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1259195" w:rsidR="00B60939" w:rsidRPr="004B2B19" w:rsidRDefault="00680B09" w:rsidP="004A6040">
      <w:pPr>
        <w:pStyle w:val="1-MainHeading"/>
      </w:pPr>
      <w:bookmarkStart w:id="0" w:name="_Toc208980598"/>
      <w:r w:rsidRPr="004B2B19">
        <w:t>6</w:t>
      </w:r>
      <w:r w:rsidR="00433044" w:rsidRPr="004B2B19">
        <w:t>.</w:t>
      </w:r>
      <w:r w:rsidRPr="004B2B19">
        <w:t>03</w:t>
      </w:r>
      <w:r w:rsidR="00163F66" w:rsidRPr="004B2B19">
        <w:tab/>
      </w:r>
      <w:r w:rsidR="006A726C" w:rsidRPr="004B2B19">
        <w:t>FENFLURAMINE</w:t>
      </w:r>
      <w:r w:rsidR="00163F66" w:rsidRPr="004B2B19">
        <w:t>,</w:t>
      </w:r>
      <w:r w:rsidR="00163F66" w:rsidRPr="004B2B19">
        <w:br/>
      </w:r>
      <w:r w:rsidR="00553027" w:rsidRPr="004B2B19">
        <w:t>O</w:t>
      </w:r>
      <w:r w:rsidR="00CE2B81" w:rsidRPr="004B2B19">
        <w:t>ral solution</w:t>
      </w:r>
      <w:r w:rsidR="00163F66" w:rsidRPr="004B2B19">
        <w:t>,</w:t>
      </w:r>
      <w:r w:rsidR="00553027" w:rsidRPr="004B2B19">
        <w:t xml:space="preserve"> </w:t>
      </w:r>
      <w:r w:rsidR="00CE2B81" w:rsidRPr="004B2B19">
        <w:t>2.2mg</w:t>
      </w:r>
      <w:r w:rsidR="007D4C58" w:rsidRPr="004B2B19">
        <w:t xml:space="preserve"> (as hydrochloride)</w:t>
      </w:r>
      <w:r w:rsidR="0041682E" w:rsidRPr="004B2B19">
        <w:t xml:space="preserve"> per </w:t>
      </w:r>
      <w:r w:rsidR="00CE2B81" w:rsidRPr="004B2B19">
        <w:t>mL</w:t>
      </w:r>
      <w:r w:rsidR="00163F66" w:rsidRPr="004B2B19">
        <w:t>,</w:t>
      </w:r>
      <w:r w:rsidR="00553027" w:rsidRPr="004B2B19">
        <w:t xml:space="preserve"> 360</w:t>
      </w:r>
      <w:r w:rsidR="00541DCF" w:rsidRPr="004B2B19">
        <w:t> </w:t>
      </w:r>
      <w:r w:rsidR="00553027" w:rsidRPr="004B2B19">
        <w:t>mL</w:t>
      </w:r>
      <w:r w:rsidR="00163F66" w:rsidRPr="004B2B19">
        <w:br/>
      </w:r>
      <w:r w:rsidR="006A726C" w:rsidRPr="004B2B19">
        <w:t>Fintepla</w:t>
      </w:r>
      <w:r w:rsidR="00B60939" w:rsidRPr="004B2B19">
        <w:rPr>
          <w:vertAlign w:val="superscript"/>
        </w:rPr>
        <w:t>®</w:t>
      </w:r>
      <w:r w:rsidR="004A6040" w:rsidRPr="004B2B19">
        <w:t>,</w:t>
      </w:r>
      <w:r w:rsidR="004A6040" w:rsidRPr="004B2B19">
        <w:br/>
      </w:r>
      <w:r w:rsidR="006A726C" w:rsidRPr="004B2B19">
        <w:t>UCB Australia Pty Ltd</w:t>
      </w:r>
      <w:r w:rsidR="00B60939" w:rsidRPr="004B2B19">
        <w:t>.</w:t>
      </w:r>
      <w:bookmarkEnd w:id="0"/>
      <w:r w:rsidR="00F73E08" w:rsidRPr="004B2B19">
        <w:t xml:space="preserve"> </w:t>
      </w:r>
    </w:p>
    <w:p w14:paraId="11C00795" w14:textId="3DFB6D23" w:rsidR="00B50DB8" w:rsidRPr="004B2B19" w:rsidRDefault="00B50DB8" w:rsidP="004A6040">
      <w:pPr>
        <w:pStyle w:val="2-SectionHeading"/>
      </w:pPr>
      <w:bookmarkStart w:id="1" w:name="_Toc208980599"/>
      <w:r w:rsidRPr="004B2B19">
        <w:t xml:space="preserve">Purpose of </w:t>
      </w:r>
      <w:r w:rsidR="00CD7193" w:rsidRPr="004B2B19">
        <w:t>s</w:t>
      </w:r>
      <w:r w:rsidR="00BB3A45" w:rsidRPr="004B2B19">
        <w:t>ubmission</w:t>
      </w:r>
      <w:bookmarkEnd w:id="1"/>
    </w:p>
    <w:p w14:paraId="535F8825" w14:textId="0AF080FF" w:rsidR="00CE2B81" w:rsidRPr="004B2B19" w:rsidRDefault="007170DA" w:rsidP="00CE2B81">
      <w:pPr>
        <w:pStyle w:val="3-BodyText"/>
      </w:pPr>
      <w:r w:rsidRPr="004B2B19">
        <w:t xml:space="preserve">The </w:t>
      </w:r>
      <w:r w:rsidR="00F73E08" w:rsidRPr="004B2B19">
        <w:t xml:space="preserve">Category </w:t>
      </w:r>
      <w:r w:rsidR="00CE2B81" w:rsidRPr="004B2B19">
        <w:t>2</w:t>
      </w:r>
      <w:r w:rsidR="00F73E08" w:rsidRPr="004B2B19">
        <w:t xml:space="preserve"> </w:t>
      </w:r>
      <w:r w:rsidRPr="004B2B19">
        <w:t>submission requested</w:t>
      </w:r>
      <w:r w:rsidR="001E5A5C" w:rsidRPr="004B2B19">
        <w:t xml:space="preserve"> a</w:t>
      </w:r>
      <w:r w:rsidR="00C83C8F" w:rsidRPr="004B2B19">
        <w:t xml:space="preserve"> General Schedule,</w:t>
      </w:r>
      <w:r w:rsidRPr="004B2B19">
        <w:t xml:space="preserve"> </w:t>
      </w:r>
      <w:r w:rsidR="008B1757" w:rsidRPr="004B2B19">
        <w:t>Authority Required</w:t>
      </w:r>
      <w:r w:rsidR="00CE2B81" w:rsidRPr="004B2B19">
        <w:t xml:space="preserve"> </w:t>
      </w:r>
      <w:r w:rsidR="008B1757" w:rsidRPr="004B2B19">
        <w:t xml:space="preserve">listing for </w:t>
      </w:r>
      <w:r w:rsidR="00CE2B81" w:rsidRPr="004B2B19">
        <w:t>fenfluramine</w:t>
      </w:r>
      <w:r w:rsidR="008B1757" w:rsidRPr="004B2B19">
        <w:t xml:space="preserve"> </w:t>
      </w:r>
      <w:r w:rsidR="00C67E31" w:rsidRPr="004B2B19">
        <w:t xml:space="preserve">(FEN) </w:t>
      </w:r>
      <w:r w:rsidR="008B1757" w:rsidRPr="004B2B19">
        <w:t xml:space="preserve">for </w:t>
      </w:r>
      <w:r w:rsidR="0050174E" w:rsidRPr="004B2B19">
        <w:t xml:space="preserve">the </w:t>
      </w:r>
      <w:r w:rsidR="008B1757" w:rsidRPr="004B2B19">
        <w:t xml:space="preserve">treatment of </w:t>
      </w:r>
      <w:r w:rsidR="00CE2B81" w:rsidRPr="004B2B19">
        <w:t>patients with Lennox-Gastau</w:t>
      </w:r>
      <w:r w:rsidR="00C67E31" w:rsidRPr="004B2B19">
        <w:t xml:space="preserve">t </w:t>
      </w:r>
      <w:r w:rsidR="00CE2B81" w:rsidRPr="004B2B19">
        <w:t>Syndrome (LGS) who are not adequately controlled with at least two other ant</w:t>
      </w:r>
      <w:r w:rsidR="00325238" w:rsidRPr="004B2B19">
        <w:t>iseizure medications</w:t>
      </w:r>
      <w:r w:rsidR="00CE2B81" w:rsidRPr="004B2B19">
        <w:t xml:space="preserve"> (</w:t>
      </w:r>
      <w:r w:rsidR="00FB7BA2" w:rsidRPr="004B2B19">
        <w:t>ASMs</w:t>
      </w:r>
      <w:r w:rsidR="00CE2B81" w:rsidRPr="004B2B19">
        <w:t xml:space="preserve">). </w:t>
      </w:r>
    </w:p>
    <w:p w14:paraId="39BDCAEA" w14:textId="0E825C09" w:rsidR="007D5172" w:rsidRPr="004B2B19" w:rsidRDefault="005750C5" w:rsidP="00B77756">
      <w:pPr>
        <w:pStyle w:val="3-BodyText"/>
      </w:pPr>
      <w:r w:rsidRPr="004B2B19">
        <w:t>Listing was requested on the basis of a cost-minimisation</w:t>
      </w:r>
      <w:r w:rsidR="001D71F4" w:rsidRPr="004B2B19">
        <w:t xml:space="preserve"> approach</w:t>
      </w:r>
      <w:r w:rsidRPr="004B2B19">
        <w:t xml:space="preserve"> versus </w:t>
      </w:r>
      <w:r w:rsidR="00CE2B81" w:rsidRPr="004B2B19">
        <w:t>cannabidiol</w:t>
      </w:r>
      <w:r w:rsidR="00C67E31" w:rsidRPr="004B2B19">
        <w:t xml:space="preserve"> (CBD)</w:t>
      </w:r>
      <w:r w:rsidRPr="004B2B19">
        <w:t>.</w:t>
      </w:r>
    </w:p>
    <w:p w14:paraId="3718DE61" w14:textId="4D74446F" w:rsidR="008B1757" w:rsidRPr="004B2B19" w:rsidRDefault="00696EF9" w:rsidP="00EC4EF8">
      <w:pPr>
        <w:pStyle w:val="3-BodyText"/>
        <w:keepNext/>
        <w:keepLines/>
        <w:numPr>
          <w:ilvl w:val="0"/>
          <w:numId w:val="0"/>
        </w:numPr>
        <w:spacing w:after="0"/>
        <w:rPr>
          <w:rStyle w:val="CommentReference"/>
          <w:szCs w:val="24"/>
        </w:rPr>
      </w:pPr>
      <w:r w:rsidRPr="004B2B19">
        <w:rPr>
          <w:rStyle w:val="TableFigureHeadingChar"/>
          <w:sz w:val="20"/>
          <w:szCs w:val="20"/>
        </w:rPr>
        <w:t xml:space="preserve">Table </w:t>
      </w:r>
      <w:r w:rsidR="009F6120" w:rsidRPr="004B2B19">
        <w:rPr>
          <w:rStyle w:val="TableFigureHeadingChar"/>
          <w:sz w:val="20"/>
          <w:szCs w:val="20"/>
        </w:rPr>
        <w:fldChar w:fldCharType="begin"/>
      </w:r>
      <w:r w:rsidR="009F6120" w:rsidRPr="004B2B19">
        <w:rPr>
          <w:rStyle w:val="TableFigureHeadingChar"/>
          <w:sz w:val="20"/>
          <w:szCs w:val="20"/>
        </w:rPr>
        <w:instrText xml:space="preserve"> SEQ Table \* ARABIC </w:instrText>
      </w:r>
      <w:r w:rsidR="009F6120" w:rsidRPr="004B2B19">
        <w:rPr>
          <w:rStyle w:val="TableFigureHeadingChar"/>
          <w:sz w:val="20"/>
          <w:szCs w:val="20"/>
        </w:rPr>
        <w:fldChar w:fldCharType="separate"/>
      </w:r>
      <w:r w:rsidR="00A037BC">
        <w:rPr>
          <w:rStyle w:val="TableFigureHeadingChar"/>
          <w:noProof/>
          <w:sz w:val="20"/>
          <w:szCs w:val="20"/>
        </w:rPr>
        <w:t>1</w:t>
      </w:r>
      <w:r w:rsidR="009F6120" w:rsidRPr="004B2B19">
        <w:rPr>
          <w:rStyle w:val="TableFigureHeadingChar"/>
          <w:sz w:val="20"/>
          <w:szCs w:val="20"/>
        </w:rPr>
        <w:fldChar w:fldCharType="end"/>
      </w:r>
      <w:r w:rsidRPr="004B2B19">
        <w:rPr>
          <w:rStyle w:val="TableFigureHeadingChar"/>
          <w:sz w:val="20"/>
          <w:szCs w:val="20"/>
        </w:rPr>
        <w:t>:</w:t>
      </w:r>
      <w:r w:rsidR="00BC591F" w:rsidRPr="004B2B19">
        <w:rPr>
          <w:rStyle w:val="CommentReference"/>
          <w:szCs w:val="24"/>
        </w:rPr>
        <w:t xml:space="preserve"> </w:t>
      </w:r>
      <w:r w:rsidR="008B1757" w:rsidRPr="004B2B19">
        <w:rPr>
          <w:rStyle w:val="CommentReference"/>
          <w:szCs w:val="24"/>
        </w:rPr>
        <w:t>Key components of the clinical issue addressed by the submission</w:t>
      </w:r>
      <w:r w:rsidR="007170DA" w:rsidRPr="004B2B19">
        <w:rPr>
          <w:rStyle w:val="CommentReference"/>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8B1757" w:rsidRPr="004B2B19" w14:paraId="569F5103" w14:textId="77777777" w:rsidTr="002A2ADE">
        <w:trPr>
          <w:cantSplit/>
          <w:tblHeader/>
        </w:trPr>
        <w:tc>
          <w:tcPr>
            <w:tcW w:w="924" w:type="pct"/>
          </w:tcPr>
          <w:p w14:paraId="501803FB" w14:textId="77777777" w:rsidR="008B1757" w:rsidRPr="004B2B19" w:rsidRDefault="008B1757" w:rsidP="005739C8">
            <w:pPr>
              <w:pStyle w:val="Tabletext"/>
              <w:keepNext/>
              <w:keepLines/>
              <w:rPr>
                <w:b/>
                <w:bCs/>
              </w:rPr>
            </w:pPr>
            <w:r w:rsidRPr="004B2B19">
              <w:rPr>
                <w:b/>
                <w:bCs/>
              </w:rPr>
              <w:t>Component</w:t>
            </w:r>
          </w:p>
        </w:tc>
        <w:tc>
          <w:tcPr>
            <w:tcW w:w="4076" w:type="pct"/>
          </w:tcPr>
          <w:p w14:paraId="445D9EBB" w14:textId="77777777" w:rsidR="008B1757" w:rsidRPr="004B2B19" w:rsidRDefault="008B1757" w:rsidP="005739C8">
            <w:pPr>
              <w:pStyle w:val="Tabletext"/>
              <w:keepNext/>
              <w:keepLines/>
              <w:rPr>
                <w:b/>
                <w:bCs/>
              </w:rPr>
            </w:pPr>
            <w:r w:rsidRPr="004B2B19">
              <w:rPr>
                <w:b/>
                <w:bCs/>
              </w:rPr>
              <w:t>Description</w:t>
            </w:r>
          </w:p>
        </w:tc>
      </w:tr>
      <w:tr w:rsidR="008B1757" w:rsidRPr="004B2B19" w14:paraId="2EB546E2" w14:textId="77777777" w:rsidTr="002A2ADE">
        <w:trPr>
          <w:cantSplit/>
        </w:trPr>
        <w:tc>
          <w:tcPr>
            <w:tcW w:w="924" w:type="pct"/>
          </w:tcPr>
          <w:p w14:paraId="38F3BB34" w14:textId="77777777" w:rsidR="008B1757" w:rsidRPr="004B2B19" w:rsidRDefault="008B1757" w:rsidP="005739C8">
            <w:pPr>
              <w:pStyle w:val="Tabletext"/>
              <w:keepNext/>
              <w:keepLines/>
            </w:pPr>
            <w:r w:rsidRPr="004B2B19">
              <w:t>Population</w:t>
            </w:r>
          </w:p>
        </w:tc>
        <w:tc>
          <w:tcPr>
            <w:tcW w:w="4076" w:type="pct"/>
          </w:tcPr>
          <w:p w14:paraId="79618EEE" w14:textId="19B081C4" w:rsidR="00233C01" w:rsidRPr="004B2B19" w:rsidRDefault="00CE2B81" w:rsidP="005739C8">
            <w:pPr>
              <w:pStyle w:val="Tabletext"/>
              <w:keepNext/>
              <w:keepLines/>
            </w:pPr>
            <w:r w:rsidRPr="004B2B19">
              <w:t xml:space="preserve">Patients with LGS not adequately controlled despite treatment with at least two other </w:t>
            </w:r>
            <w:r w:rsidR="3C3ED87A" w:rsidRPr="004B2B19">
              <w:t>ASMs</w:t>
            </w:r>
          </w:p>
        </w:tc>
      </w:tr>
      <w:tr w:rsidR="008B1757" w:rsidRPr="004B2B19" w14:paraId="0CA523AF" w14:textId="77777777" w:rsidTr="002A2ADE">
        <w:trPr>
          <w:cantSplit/>
        </w:trPr>
        <w:tc>
          <w:tcPr>
            <w:tcW w:w="924" w:type="pct"/>
          </w:tcPr>
          <w:p w14:paraId="7B6D20D8" w14:textId="77777777" w:rsidR="008B1757" w:rsidRPr="004B2B19" w:rsidRDefault="008B1757" w:rsidP="005739C8">
            <w:pPr>
              <w:pStyle w:val="Tabletext"/>
              <w:keepNext/>
              <w:keepLines/>
            </w:pPr>
            <w:r w:rsidRPr="004B2B19">
              <w:t>Intervention</w:t>
            </w:r>
          </w:p>
        </w:tc>
        <w:tc>
          <w:tcPr>
            <w:tcW w:w="4076" w:type="pct"/>
          </w:tcPr>
          <w:p w14:paraId="4B311541" w14:textId="77777777" w:rsidR="00233C01" w:rsidRPr="004B2B19" w:rsidRDefault="00CE2B81" w:rsidP="005739C8">
            <w:pPr>
              <w:pStyle w:val="Tabletext"/>
              <w:keepNext/>
              <w:keepLines/>
            </w:pPr>
            <w:r w:rsidRPr="004B2B19">
              <w:t xml:space="preserve">Fenfluramine 2.2mg/mL oral solution </w:t>
            </w:r>
          </w:p>
          <w:tbl>
            <w:tblPr>
              <w:tblStyle w:val="TableGrid"/>
              <w:tblW w:w="0" w:type="auto"/>
              <w:tblLook w:val="04A0" w:firstRow="1" w:lastRow="0" w:firstColumn="1" w:lastColumn="0" w:noHBand="0" w:noVBand="1"/>
              <w:tblCaption w:val="Fenfluramine intervention by phase and dose"/>
            </w:tblPr>
            <w:tblGrid>
              <w:gridCol w:w="3562"/>
              <w:gridCol w:w="3563"/>
            </w:tblGrid>
            <w:tr w:rsidR="00CE2B81" w:rsidRPr="004B2B19" w14:paraId="7A1D9FF0" w14:textId="77777777">
              <w:tc>
                <w:tcPr>
                  <w:tcW w:w="3562" w:type="dxa"/>
                </w:tcPr>
                <w:p w14:paraId="44E5477D" w14:textId="02EFB7A9" w:rsidR="00CE2B81" w:rsidRPr="004B2B19" w:rsidRDefault="00CE2B81" w:rsidP="005739C8">
                  <w:pPr>
                    <w:pStyle w:val="Tabletext"/>
                    <w:keepNext/>
                    <w:keepLines/>
                  </w:pPr>
                  <w:r w:rsidRPr="004B2B19">
                    <w:t xml:space="preserve">Phase </w:t>
                  </w:r>
                </w:p>
              </w:tc>
              <w:tc>
                <w:tcPr>
                  <w:tcW w:w="3563" w:type="dxa"/>
                </w:tcPr>
                <w:p w14:paraId="2AF452EA" w14:textId="3394F7D0" w:rsidR="00CE2B81" w:rsidRPr="004B2B19" w:rsidRDefault="00CE2B81" w:rsidP="005739C8">
                  <w:pPr>
                    <w:pStyle w:val="Tabletext"/>
                    <w:keepNext/>
                    <w:keepLines/>
                  </w:pPr>
                  <w:r w:rsidRPr="004B2B19">
                    <w:t xml:space="preserve">Dose </w:t>
                  </w:r>
                </w:p>
              </w:tc>
            </w:tr>
            <w:tr w:rsidR="00CE2B81" w:rsidRPr="004B2B19" w14:paraId="10BDC324" w14:textId="77777777">
              <w:tc>
                <w:tcPr>
                  <w:tcW w:w="3562" w:type="dxa"/>
                </w:tcPr>
                <w:p w14:paraId="5D8DBE96" w14:textId="79A952DF" w:rsidR="00CE2B81" w:rsidRPr="004B2B19" w:rsidRDefault="00CE2B81" w:rsidP="005739C8">
                  <w:pPr>
                    <w:pStyle w:val="Tabletext"/>
                    <w:keepNext/>
                    <w:keepLines/>
                  </w:pPr>
                  <w:r w:rsidRPr="004B2B19">
                    <w:t>First week</w:t>
                  </w:r>
                </w:p>
              </w:tc>
              <w:tc>
                <w:tcPr>
                  <w:tcW w:w="3563" w:type="dxa"/>
                </w:tcPr>
                <w:p w14:paraId="21D558D6" w14:textId="11638BC8" w:rsidR="00CE2B81" w:rsidRPr="004B2B19" w:rsidRDefault="00CE2B81" w:rsidP="005739C8">
                  <w:pPr>
                    <w:pStyle w:val="Tabletext"/>
                    <w:keepNext/>
                    <w:keepLines/>
                  </w:pPr>
                  <w:r w:rsidRPr="004B2B19">
                    <w:t>0.2 mg/kg/day (0.1 mg/kg twice daily)</w:t>
                  </w:r>
                </w:p>
              </w:tc>
            </w:tr>
            <w:tr w:rsidR="00CE2B81" w:rsidRPr="004B2B19" w14:paraId="7F6A6DB5" w14:textId="77777777">
              <w:tc>
                <w:tcPr>
                  <w:tcW w:w="3562" w:type="dxa"/>
                </w:tcPr>
                <w:p w14:paraId="5AF3F4CC" w14:textId="37E08DD8" w:rsidR="00CE2B81" w:rsidRPr="004B2B19" w:rsidRDefault="00CE2B81" w:rsidP="005739C8">
                  <w:pPr>
                    <w:pStyle w:val="Tabletext"/>
                    <w:keepNext/>
                    <w:keepLines/>
                  </w:pPr>
                  <w:r w:rsidRPr="004B2B19">
                    <w:t>Second week</w:t>
                  </w:r>
                </w:p>
              </w:tc>
              <w:tc>
                <w:tcPr>
                  <w:tcW w:w="3563" w:type="dxa"/>
                </w:tcPr>
                <w:p w14:paraId="5C032334" w14:textId="32F63ADE" w:rsidR="00CE2B81" w:rsidRPr="004B2B19" w:rsidRDefault="00CE2B81" w:rsidP="005739C8">
                  <w:pPr>
                    <w:pStyle w:val="Tabletext"/>
                    <w:keepNext/>
                    <w:keepLines/>
                  </w:pPr>
                  <w:r w:rsidRPr="004B2B19">
                    <w:t>0.4 mg/kg/day (0.2 mg/kg twice daily)</w:t>
                  </w:r>
                </w:p>
              </w:tc>
            </w:tr>
            <w:tr w:rsidR="00CE2B81" w:rsidRPr="004B2B19" w14:paraId="61974EEA" w14:textId="77777777">
              <w:tc>
                <w:tcPr>
                  <w:tcW w:w="3562" w:type="dxa"/>
                </w:tcPr>
                <w:p w14:paraId="30FFC792" w14:textId="62AA5E16" w:rsidR="00CE2B81" w:rsidRPr="004B2B19" w:rsidRDefault="00CE2B81" w:rsidP="005739C8">
                  <w:pPr>
                    <w:pStyle w:val="Tabletext"/>
                    <w:keepNext/>
                    <w:keepLines/>
                  </w:pPr>
                  <w:r w:rsidRPr="004B2B19">
                    <w:t>Ongoing treatment</w:t>
                  </w:r>
                </w:p>
              </w:tc>
              <w:tc>
                <w:tcPr>
                  <w:tcW w:w="3563" w:type="dxa"/>
                </w:tcPr>
                <w:p w14:paraId="5F97E775" w14:textId="5BD8DEF1" w:rsidR="00CE2B81" w:rsidRPr="004B2B19" w:rsidRDefault="00CE2B81" w:rsidP="005739C8">
                  <w:pPr>
                    <w:pStyle w:val="Tabletext"/>
                    <w:keepNext/>
                    <w:keepLines/>
                  </w:pPr>
                  <w:r w:rsidRPr="004B2B19">
                    <w:rPr>
                      <w:rStyle w:val="Small"/>
                      <w:rFonts w:ascii="Arial Narrow" w:hAnsi="Arial Narrow"/>
                      <w:lang w:val="en-AU"/>
                    </w:rPr>
                    <w:t xml:space="preserve">≤0.7 </w:t>
                  </w:r>
                  <w:r w:rsidRPr="004B2B19">
                    <w:t>mg/kg/day (0.35 mg/kg twice daily)</w:t>
                  </w:r>
                </w:p>
              </w:tc>
            </w:tr>
            <w:tr w:rsidR="00CE2B81" w:rsidRPr="004B2B19" w14:paraId="17591294" w14:textId="77777777">
              <w:tc>
                <w:tcPr>
                  <w:tcW w:w="3562" w:type="dxa"/>
                </w:tcPr>
                <w:p w14:paraId="04BB57EE" w14:textId="5F2CFAC2" w:rsidR="00CE2B81" w:rsidRPr="004B2B19" w:rsidRDefault="00CE2B81" w:rsidP="005739C8">
                  <w:pPr>
                    <w:pStyle w:val="Tabletext"/>
                    <w:keepNext/>
                    <w:keepLines/>
                  </w:pPr>
                  <w:r w:rsidRPr="004B2B19">
                    <w:t>Maximum recommended (as tolerated)</w:t>
                  </w:r>
                </w:p>
              </w:tc>
              <w:tc>
                <w:tcPr>
                  <w:tcW w:w="3563" w:type="dxa"/>
                </w:tcPr>
                <w:p w14:paraId="2228EEAC" w14:textId="311CBE71" w:rsidR="00CE2B81" w:rsidRPr="004B2B19" w:rsidRDefault="00CE2B81" w:rsidP="005739C8">
                  <w:pPr>
                    <w:pStyle w:val="Tabletext"/>
                    <w:keepNext/>
                    <w:keepLines/>
                  </w:pPr>
                  <w:r w:rsidRPr="004B2B19">
                    <w:t>26 mg daily (13 mg twice daily)</w:t>
                  </w:r>
                </w:p>
              </w:tc>
            </w:tr>
          </w:tbl>
          <w:p w14:paraId="2491E905" w14:textId="50CFBFA1" w:rsidR="00CE2B81" w:rsidRPr="004B2B19" w:rsidRDefault="00CE2B81" w:rsidP="005739C8">
            <w:pPr>
              <w:pStyle w:val="Tabletext"/>
              <w:keepNext/>
              <w:keepLines/>
            </w:pPr>
          </w:p>
        </w:tc>
      </w:tr>
      <w:tr w:rsidR="008B1757" w:rsidRPr="004B2B19" w14:paraId="0F81EBE4" w14:textId="77777777" w:rsidTr="002A2ADE">
        <w:trPr>
          <w:cantSplit/>
        </w:trPr>
        <w:tc>
          <w:tcPr>
            <w:tcW w:w="924" w:type="pct"/>
          </w:tcPr>
          <w:p w14:paraId="3656B343" w14:textId="77777777" w:rsidR="008B1757" w:rsidRPr="004B2B19" w:rsidRDefault="008B1757" w:rsidP="005739C8">
            <w:pPr>
              <w:pStyle w:val="Tabletext"/>
              <w:keepNext/>
              <w:keepLines/>
            </w:pPr>
            <w:r w:rsidRPr="004B2B19">
              <w:t>Comparator</w:t>
            </w:r>
          </w:p>
        </w:tc>
        <w:tc>
          <w:tcPr>
            <w:tcW w:w="4076" w:type="pct"/>
          </w:tcPr>
          <w:p w14:paraId="3727DE24" w14:textId="6071494F" w:rsidR="00233C01" w:rsidRPr="004B2B19" w:rsidRDefault="00CE2B81" w:rsidP="005739C8">
            <w:pPr>
              <w:pStyle w:val="Tabletext"/>
              <w:keepNext/>
              <w:keepLines/>
            </w:pPr>
            <w:r w:rsidRPr="004B2B19">
              <w:t>Cannabidiol 100 mg/mL oral solution: titrated to a maintenance dose of up to 20 mg/kg/day</w:t>
            </w:r>
          </w:p>
        </w:tc>
      </w:tr>
      <w:tr w:rsidR="008B1757" w:rsidRPr="004B2B19" w14:paraId="02F86F0D" w14:textId="77777777" w:rsidTr="002A2ADE">
        <w:trPr>
          <w:cantSplit/>
        </w:trPr>
        <w:tc>
          <w:tcPr>
            <w:tcW w:w="924" w:type="pct"/>
          </w:tcPr>
          <w:p w14:paraId="06433105" w14:textId="77777777" w:rsidR="008B1757" w:rsidRPr="004B2B19" w:rsidRDefault="008B1757" w:rsidP="005739C8">
            <w:pPr>
              <w:pStyle w:val="Tabletext"/>
              <w:keepNext/>
              <w:keepLines/>
            </w:pPr>
            <w:r w:rsidRPr="004B2B19">
              <w:t>Outcomes</w:t>
            </w:r>
          </w:p>
        </w:tc>
        <w:tc>
          <w:tcPr>
            <w:tcW w:w="4076" w:type="pct"/>
          </w:tcPr>
          <w:p w14:paraId="36AEF9EE" w14:textId="0E1146AE" w:rsidR="00233C01" w:rsidRPr="004B2B19" w:rsidRDefault="00CE2B81" w:rsidP="005739C8">
            <w:pPr>
              <w:pStyle w:val="Tabletext"/>
              <w:keepNext/>
              <w:keepLines/>
            </w:pPr>
            <w:r w:rsidRPr="004B2B19">
              <w:t xml:space="preserve">Drop and total seizure frequency (and associated responder analyses) </w:t>
            </w:r>
          </w:p>
          <w:p w14:paraId="0C8B2D2E" w14:textId="77777777" w:rsidR="00CE2B81" w:rsidRPr="004B2B19" w:rsidRDefault="00CE2B81" w:rsidP="005739C8">
            <w:pPr>
              <w:pStyle w:val="Tabletext"/>
              <w:keepNext/>
              <w:keepLines/>
            </w:pPr>
            <w:r w:rsidRPr="004B2B19">
              <w:t>Seizure-free days and intervals</w:t>
            </w:r>
          </w:p>
          <w:p w14:paraId="07445B8C" w14:textId="2B7A4E0E" w:rsidR="00CE2B81" w:rsidRPr="004B2B19" w:rsidRDefault="00CE2B81" w:rsidP="005739C8">
            <w:pPr>
              <w:pStyle w:val="Tabletext"/>
              <w:keepNext/>
              <w:keepLines/>
            </w:pPr>
            <w:r w:rsidRPr="004B2B19">
              <w:t>Patient reported outcomes and health related quality of l</w:t>
            </w:r>
            <w:r w:rsidR="0055706B" w:rsidRPr="004B2B19">
              <w:t>i</w:t>
            </w:r>
            <w:r w:rsidRPr="004B2B19">
              <w:t>fe</w:t>
            </w:r>
          </w:p>
          <w:p w14:paraId="2AB35EA4" w14:textId="77777777" w:rsidR="00CE2B81" w:rsidRPr="004B2B19" w:rsidRDefault="00CE2B81" w:rsidP="005739C8">
            <w:pPr>
              <w:pStyle w:val="Tabletext"/>
              <w:keepNext/>
              <w:keepLines/>
            </w:pPr>
            <w:r w:rsidRPr="004B2B19">
              <w:t>Incidence and severity of adverse events</w:t>
            </w:r>
          </w:p>
          <w:p w14:paraId="5ABC4037" w14:textId="372B8C61" w:rsidR="00CE2B81" w:rsidRPr="004B2B19" w:rsidRDefault="00CE2B81" w:rsidP="005739C8">
            <w:pPr>
              <w:pStyle w:val="Tabletext"/>
              <w:keepNext/>
              <w:keepLines/>
            </w:pPr>
            <w:r w:rsidRPr="004B2B19">
              <w:t>Lon</w:t>
            </w:r>
            <w:r w:rsidR="0055706B" w:rsidRPr="004B2B19">
              <w:t>g</w:t>
            </w:r>
            <w:r w:rsidRPr="004B2B19">
              <w:t xml:space="preserve"> term safety</w:t>
            </w:r>
          </w:p>
        </w:tc>
      </w:tr>
      <w:tr w:rsidR="008B1757" w:rsidRPr="004B2B19" w14:paraId="22223890" w14:textId="77777777" w:rsidTr="002A2ADE">
        <w:trPr>
          <w:cantSplit/>
        </w:trPr>
        <w:tc>
          <w:tcPr>
            <w:tcW w:w="924" w:type="pct"/>
          </w:tcPr>
          <w:p w14:paraId="0FC8FCE0" w14:textId="77777777" w:rsidR="008B1757" w:rsidRPr="004B2B19" w:rsidRDefault="008B1757" w:rsidP="005739C8">
            <w:pPr>
              <w:pStyle w:val="Tabletext"/>
              <w:keepNext/>
              <w:keepLines/>
            </w:pPr>
            <w:r w:rsidRPr="004B2B19">
              <w:t>Clinical claim</w:t>
            </w:r>
          </w:p>
        </w:tc>
        <w:tc>
          <w:tcPr>
            <w:tcW w:w="4076" w:type="pct"/>
          </w:tcPr>
          <w:p w14:paraId="61FC9815" w14:textId="77777777" w:rsidR="00CE2B81" w:rsidRPr="004B2B19" w:rsidRDefault="00CE2B81" w:rsidP="005739C8">
            <w:pPr>
              <w:pStyle w:val="Tabletext"/>
              <w:keepNext/>
              <w:keepLines/>
            </w:pPr>
            <w:r w:rsidRPr="004B2B19">
              <w:t>Similar and noninferior efficacy</w:t>
            </w:r>
          </w:p>
          <w:p w14:paraId="16426849" w14:textId="77777777" w:rsidR="00CE2B81" w:rsidRPr="004B2B19" w:rsidRDefault="00CE2B81" w:rsidP="005739C8">
            <w:pPr>
              <w:pStyle w:val="Tabletext"/>
              <w:keepNext/>
              <w:keepLines/>
            </w:pPr>
            <w:r w:rsidRPr="004B2B19">
              <w:t>Different but noninferior safety</w:t>
            </w:r>
          </w:p>
          <w:p w14:paraId="224BD608" w14:textId="10B4367F" w:rsidR="00CE2B81" w:rsidRPr="004B2B19" w:rsidRDefault="00CE2B81" w:rsidP="005739C8">
            <w:pPr>
              <w:pStyle w:val="Tabletext"/>
              <w:keepNext/>
              <w:keepLines/>
            </w:pPr>
            <w:r w:rsidRPr="004B2B19">
              <w:t>Economic claim: cost minimisation</w:t>
            </w:r>
          </w:p>
          <w:p w14:paraId="2C99C4DE" w14:textId="4B2B51C8" w:rsidR="00233C01" w:rsidRPr="004B2B19" w:rsidRDefault="00CE2B81" w:rsidP="005739C8">
            <w:pPr>
              <w:pStyle w:val="Tabletext"/>
              <w:keepNext/>
              <w:keepLines/>
            </w:pPr>
            <w:r w:rsidRPr="004B2B19">
              <w:t>Financial claim: Small incremental budget impact</w:t>
            </w:r>
          </w:p>
        </w:tc>
      </w:tr>
    </w:tbl>
    <w:p w14:paraId="527CA7F0" w14:textId="67A99CF2" w:rsidR="004E43B2" w:rsidRPr="004B2B19" w:rsidRDefault="008B1757" w:rsidP="005739C8">
      <w:pPr>
        <w:pStyle w:val="FooterTableFigure"/>
        <w:keepNext/>
        <w:keepLines/>
        <w:rPr>
          <w:sz w:val="20"/>
        </w:rPr>
      </w:pPr>
      <w:r w:rsidRPr="004B2B19">
        <w:t>Source: Table</w:t>
      </w:r>
      <w:r w:rsidR="00CE2B81" w:rsidRPr="004B2B19">
        <w:t xml:space="preserve"> 1.1</w:t>
      </w:r>
      <w:r w:rsidRPr="004B2B19">
        <w:t>, p</w:t>
      </w:r>
      <w:r w:rsidR="00CE2B81" w:rsidRPr="004B2B19">
        <w:t>13</w:t>
      </w:r>
      <w:r w:rsidRPr="004B2B19">
        <w:t xml:space="preserve"> of the submission.</w:t>
      </w:r>
      <w:r w:rsidR="00CE2B81" w:rsidRPr="004B2B19">
        <w:t xml:space="preserve"> LGS= Lennox</w:t>
      </w:r>
      <w:r w:rsidR="00C67E31" w:rsidRPr="004B2B19">
        <w:t>-</w:t>
      </w:r>
      <w:r w:rsidR="00CE2B81" w:rsidRPr="004B2B19">
        <w:t>Gastau</w:t>
      </w:r>
      <w:r w:rsidR="00C67E31" w:rsidRPr="004B2B19">
        <w:t>t</w:t>
      </w:r>
      <w:r w:rsidR="00CE2B81" w:rsidRPr="004B2B19">
        <w:t xml:space="preserve"> syndrome; </w:t>
      </w:r>
      <w:r w:rsidR="00FB7BA2" w:rsidRPr="004B2B19">
        <w:t>ASMs</w:t>
      </w:r>
      <w:r w:rsidR="00CE2B81" w:rsidRPr="004B2B19">
        <w:t xml:space="preserve"> = ant</w:t>
      </w:r>
      <w:r w:rsidR="00FB7BA2" w:rsidRPr="004B2B19">
        <w:t>iseizure medications</w:t>
      </w:r>
      <w:r w:rsidR="00CE2B81" w:rsidRPr="004B2B19">
        <w:t>.</w:t>
      </w:r>
    </w:p>
    <w:p w14:paraId="6B4AB6C2" w14:textId="7F01D731" w:rsidR="005C25FF" w:rsidRPr="004B2B19" w:rsidRDefault="005C25FF" w:rsidP="004A6040">
      <w:pPr>
        <w:pStyle w:val="2-SectionHeading"/>
      </w:pPr>
      <w:bookmarkStart w:id="2" w:name="_Toc208980600"/>
      <w:r w:rsidRPr="004B2B19">
        <w:t>Background</w:t>
      </w:r>
      <w:bookmarkEnd w:id="2"/>
    </w:p>
    <w:p w14:paraId="2C521D6D" w14:textId="78CF03EE" w:rsidR="005C25FF" w:rsidRPr="004B2B19" w:rsidRDefault="005C25FF" w:rsidP="004A6040">
      <w:pPr>
        <w:pStyle w:val="4-SubsectionHeading"/>
      </w:pPr>
      <w:bookmarkStart w:id="3" w:name="_Toc22897638"/>
      <w:bookmarkStart w:id="4" w:name="_Toc208980601"/>
      <w:r w:rsidRPr="004B2B19">
        <w:t>Registration status</w:t>
      </w:r>
      <w:bookmarkEnd w:id="3"/>
      <w:bookmarkEnd w:id="4"/>
    </w:p>
    <w:p w14:paraId="10E918C6" w14:textId="0E9AF6C9" w:rsidR="007D5172" w:rsidRPr="004B2B19" w:rsidRDefault="007D5172" w:rsidP="004E18E9">
      <w:pPr>
        <w:pStyle w:val="3-BodyText"/>
      </w:pPr>
      <w:r w:rsidRPr="004B2B19">
        <w:t>Fenfluramine</w:t>
      </w:r>
      <w:r w:rsidR="005C25FF" w:rsidRPr="004B2B19">
        <w:t xml:space="preserve"> was TGA registered on </w:t>
      </w:r>
      <w:r w:rsidRPr="004B2B19">
        <w:t>28 November 2024</w:t>
      </w:r>
      <w:r w:rsidR="005C25FF" w:rsidRPr="004B2B19">
        <w:t xml:space="preserve"> </w:t>
      </w:r>
      <w:r w:rsidR="00CA6047" w:rsidRPr="004B2B19">
        <w:t xml:space="preserve">as </w:t>
      </w:r>
      <w:r w:rsidRPr="004B2B19">
        <w:t xml:space="preserve">add-on therapy in the treatment of seizures associated with Dravet syndrome (DS) and LGS in patients 2 years of age and older. </w:t>
      </w:r>
    </w:p>
    <w:p w14:paraId="3E2A6EAB" w14:textId="324E9582" w:rsidR="005C25FF" w:rsidRPr="004B2B19" w:rsidRDefault="005C25FF" w:rsidP="004E18E9">
      <w:pPr>
        <w:pStyle w:val="4-SubsectionHeading"/>
      </w:pPr>
      <w:bookmarkStart w:id="5" w:name="_Toc22897639"/>
      <w:bookmarkStart w:id="6" w:name="_Toc208980602"/>
      <w:r w:rsidRPr="004B2B19">
        <w:t>Previous PBAC consideration</w:t>
      </w:r>
      <w:bookmarkEnd w:id="5"/>
      <w:bookmarkEnd w:id="6"/>
    </w:p>
    <w:p w14:paraId="7BA7B284" w14:textId="7CCAD823" w:rsidR="007D5172" w:rsidRPr="004B2B19" w:rsidRDefault="007D5172" w:rsidP="007D5172">
      <w:pPr>
        <w:pStyle w:val="3-BodyText"/>
      </w:pPr>
      <w:r w:rsidRPr="004B2B19">
        <w:t xml:space="preserve">Fenfluramine was recommended by the PBAC </w:t>
      </w:r>
      <w:r w:rsidR="00C67E31" w:rsidRPr="004B2B19">
        <w:t xml:space="preserve">for </w:t>
      </w:r>
      <w:r w:rsidR="00E96CE4" w:rsidRPr="004B2B19">
        <w:t xml:space="preserve">the </w:t>
      </w:r>
      <w:r w:rsidRPr="004B2B19">
        <w:t xml:space="preserve">treatment </w:t>
      </w:r>
      <w:r w:rsidR="00C67E31" w:rsidRPr="004B2B19">
        <w:t>of</w:t>
      </w:r>
      <w:r w:rsidRPr="004B2B19">
        <w:t xml:space="preserve"> DS in November</w:t>
      </w:r>
      <w:r w:rsidR="00FA416F" w:rsidRPr="004B2B19">
        <w:t> </w:t>
      </w:r>
      <w:r w:rsidRPr="004B2B19">
        <w:t xml:space="preserve">2024 and was listed for that indication on 1 May 2025. </w:t>
      </w:r>
    </w:p>
    <w:p w14:paraId="1EBF236C" w14:textId="017490EF" w:rsidR="002E4F02" w:rsidRPr="004B2B19" w:rsidRDefault="007D5172" w:rsidP="007D5172">
      <w:pPr>
        <w:pStyle w:val="3-BodyText"/>
      </w:pPr>
      <w:r w:rsidRPr="004B2B19">
        <w:t xml:space="preserve">The PBAC </w:t>
      </w:r>
      <w:r w:rsidR="00886EB6" w:rsidRPr="004B2B19">
        <w:t xml:space="preserve">recommended </w:t>
      </w:r>
      <w:r w:rsidRPr="004B2B19">
        <w:t>cannabidiol for LGS in</w:t>
      </w:r>
      <w:r w:rsidR="004646BF" w:rsidRPr="004B2B19">
        <w:t xml:space="preserve"> </w:t>
      </w:r>
      <w:r w:rsidRPr="004B2B19">
        <w:t>September 2022</w:t>
      </w:r>
      <w:r w:rsidR="005512C1" w:rsidRPr="004B2B19">
        <w:t xml:space="preserve"> </w:t>
      </w:r>
      <w:r w:rsidRPr="004B2B19">
        <w:t xml:space="preserve">for use in patients </w:t>
      </w:r>
      <w:r w:rsidR="00DF2BFC" w:rsidRPr="004B2B19">
        <w:t>who satisfied both clinical and</w:t>
      </w:r>
      <w:r w:rsidR="00221F4F" w:rsidRPr="004B2B19">
        <w:t xml:space="preserve"> electroencephalogram (</w:t>
      </w:r>
      <w:r w:rsidR="00DF2BFC" w:rsidRPr="004B2B19">
        <w:t>EEG</w:t>
      </w:r>
      <w:r w:rsidR="00221F4F" w:rsidRPr="004B2B19">
        <w:t>)</w:t>
      </w:r>
      <w:r w:rsidR="00DF2BFC" w:rsidRPr="004B2B19">
        <w:t xml:space="preserve"> criteria for LGS, </w:t>
      </w:r>
      <w:r w:rsidRPr="004B2B19">
        <w:t xml:space="preserve">who have not achieved adequate seizure control with at least two other </w:t>
      </w:r>
      <w:r w:rsidR="00FB7BA2" w:rsidRPr="004B2B19">
        <w:t>ASMs</w:t>
      </w:r>
      <w:r w:rsidR="00DF2BFC" w:rsidRPr="004B2B19">
        <w:t xml:space="preserve">, who are taking at least two other </w:t>
      </w:r>
      <w:r w:rsidR="00FB7BA2" w:rsidRPr="004B2B19">
        <w:t>ASMs</w:t>
      </w:r>
      <w:r w:rsidR="00DF2BFC" w:rsidRPr="004B2B19">
        <w:t>, and who are under the care of, or being cared for in consultation with a neurologist or p</w:t>
      </w:r>
      <w:r w:rsidR="00FB7BA2" w:rsidRPr="004B2B19">
        <w:t>aed</w:t>
      </w:r>
      <w:r w:rsidR="00DF2BFC" w:rsidRPr="004B2B19">
        <w:t>iatric neurologist</w:t>
      </w:r>
      <w:r w:rsidRPr="004B2B19">
        <w:t>. Listing occurred on 1</w:t>
      </w:r>
      <w:r w:rsidR="00FA416F" w:rsidRPr="004B2B19">
        <w:t> </w:t>
      </w:r>
      <w:r w:rsidRPr="004B2B19">
        <w:t>June</w:t>
      </w:r>
      <w:r w:rsidR="00FA416F" w:rsidRPr="004B2B19">
        <w:t> </w:t>
      </w:r>
      <w:r w:rsidRPr="004B2B19">
        <w:t>2023.</w:t>
      </w:r>
    </w:p>
    <w:p w14:paraId="07A85DDB" w14:textId="3984AABF" w:rsidR="00325238" w:rsidRPr="004B2B19" w:rsidRDefault="00DF2BFC" w:rsidP="00092D4E">
      <w:pPr>
        <w:pStyle w:val="3-BodyText"/>
      </w:pPr>
      <w:r w:rsidRPr="004B2B19">
        <w:t xml:space="preserve">At its meeting in July 2025 the </w:t>
      </w:r>
      <w:r w:rsidR="00A043AA" w:rsidRPr="004B2B19">
        <w:t>PBAC recommended amending the restriction level of cannabidio</w:t>
      </w:r>
      <w:r w:rsidR="007E2A23" w:rsidRPr="004B2B19">
        <w:t>l</w:t>
      </w:r>
      <w:r w:rsidR="00EF2851" w:rsidRPr="004B2B19">
        <w:rPr>
          <w:rStyle w:val="FootnoteReference"/>
        </w:rPr>
        <w:footnoteReference w:id="1"/>
      </w:r>
      <w:r w:rsidR="00A043AA" w:rsidRPr="004B2B19">
        <w:t xml:space="preserve"> for the treatment of seizures associated with LGS from Authority Required (Telephone/online PBS Authorities system) to Authority Required (STREAMLINED). The PBAC also recommended amendments to the current PBS criteria for cannabidiol to improve access for patients with LGS. These include easing the requirement for an EEG to confirm diagnosis, removing specific EEG features, seizure frequency and type, and </w:t>
      </w:r>
      <w:r w:rsidR="000D0FA0" w:rsidRPr="004B2B19">
        <w:t xml:space="preserve">reducing </w:t>
      </w:r>
      <w:r w:rsidR="00A043AA" w:rsidRPr="004B2B19">
        <w:t xml:space="preserve">the number of concomitant </w:t>
      </w:r>
      <w:r w:rsidR="000D0FA0" w:rsidRPr="004B2B19">
        <w:t>ASMs required</w:t>
      </w:r>
      <w:r w:rsidR="00A043AA" w:rsidRPr="004B2B19">
        <w:t>. The PBAC further supported allowing prescribing by a p</w:t>
      </w:r>
      <w:r w:rsidR="00FB7BA2" w:rsidRPr="004B2B19">
        <w:t>aed</w:t>
      </w:r>
      <w:r w:rsidR="00A043AA" w:rsidRPr="004B2B19">
        <w:t xml:space="preserve">iatrician for both initial and continuing treatment. </w:t>
      </w:r>
    </w:p>
    <w:p w14:paraId="76E4EF3C" w14:textId="13040F70" w:rsidR="00B60939" w:rsidRPr="004B2B19" w:rsidRDefault="00B50DB8" w:rsidP="00202439">
      <w:pPr>
        <w:pStyle w:val="2-SectionHeading"/>
      </w:pPr>
      <w:bookmarkStart w:id="7" w:name="_Toc107902078"/>
      <w:bookmarkStart w:id="8" w:name="_Toc208980603"/>
      <w:bookmarkEnd w:id="7"/>
      <w:r w:rsidRPr="004B2B19">
        <w:t>Requested listing</w:t>
      </w:r>
      <w:bookmarkEnd w:id="8"/>
    </w:p>
    <w:p w14:paraId="3CEB916A" w14:textId="77777777" w:rsidR="0095079C" w:rsidRPr="004B2B19" w:rsidRDefault="0095079C" w:rsidP="0095079C">
      <w:pPr>
        <w:pStyle w:val="3-BodyText"/>
      </w:pPr>
      <w:r w:rsidRPr="004B2B19">
        <w:t>Suggestions and additions proposed by the Secretariat are added in italics and suggested deletions are crossed out with strikethrough.</w:t>
      </w:r>
    </w:p>
    <w:p w14:paraId="1B423B86" w14:textId="33FAC320" w:rsidR="003A4C14" w:rsidRPr="004B2B19" w:rsidRDefault="003A4C14" w:rsidP="006A42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971"/>
        <w:gridCol w:w="1778"/>
        <w:gridCol w:w="812"/>
        <w:gridCol w:w="812"/>
        <w:gridCol w:w="812"/>
        <w:gridCol w:w="1832"/>
      </w:tblGrid>
      <w:tr w:rsidR="00046D64" w:rsidRPr="004B2B19" w14:paraId="73E16E29" w14:textId="77777777" w:rsidTr="00652154">
        <w:trPr>
          <w:cantSplit/>
          <w:trHeight w:val="20"/>
        </w:trPr>
        <w:tc>
          <w:tcPr>
            <w:tcW w:w="1648" w:type="pct"/>
            <w:vAlign w:val="center"/>
          </w:tcPr>
          <w:p w14:paraId="4660296B" w14:textId="77777777" w:rsidR="00046D64" w:rsidRPr="004B2B19" w:rsidRDefault="00046D64" w:rsidP="00D05BEC">
            <w:pPr>
              <w:pStyle w:val="In-tableHeading"/>
            </w:pPr>
            <w:bookmarkStart w:id="9" w:name="_Hlk104809055"/>
            <w:r w:rsidRPr="004B2B19">
              <w:t>MEDICINAL PRODUCT</w:t>
            </w:r>
          </w:p>
          <w:p w14:paraId="7221C2FD" w14:textId="77777777" w:rsidR="00046D64" w:rsidRPr="004B2B19" w:rsidRDefault="00046D64" w:rsidP="00D05BEC">
            <w:pPr>
              <w:pStyle w:val="In-tableHeading"/>
            </w:pPr>
            <w:r w:rsidRPr="004B2B19">
              <w:t>medicinal product pack</w:t>
            </w:r>
          </w:p>
        </w:tc>
        <w:tc>
          <w:tcPr>
            <w:tcW w:w="986" w:type="pct"/>
            <w:vAlign w:val="center"/>
          </w:tcPr>
          <w:p w14:paraId="14424AF1" w14:textId="54369E4C" w:rsidR="00046D64" w:rsidRPr="004B2B19" w:rsidRDefault="00C61A59" w:rsidP="00D05BEC">
            <w:pPr>
              <w:pStyle w:val="In-tableHeading"/>
            </w:pPr>
            <w:r w:rsidRPr="004B2B19">
              <w:t xml:space="preserve">Dispensed Price for Max. Qty </w:t>
            </w:r>
          </w:p>
        </w:tc>
        <w:tc>
          <w:tcPr>
            <w:tcW w:w="450" w:type="pct"/>
            <w:vAlign w:val="center"/>
          </w:tcPr>
          <w:p w14:paraId="4E41A9BC" w14:textId="0E3A90D0" w:rsidR="00046D64" w:rsidRPr="004B2B19" w:rsidRDefault="00046D64" w:rsidP="00D05BEC">
            <w:pPr>
              <w:pStyle w:val="In-tableHeading"/>
            </w:pPr>
            <w:r w:rsidRPr="004B2B19">
              <w:t>Max. qty packs</w:t>
            </w:r>
          </w:p>
        </w:tc>
        <w:tc>
          <w:tcPr>
            <w:tcW w:w="450" w:type="pct"/>
            <w:vAlign w:val="center"/>
          </w:tcPr>
          <w:p w14:paraId="48197540" w14:textId="77777777" w:rsidR="00046D64" w:rsidRPr="004B2B19" w:rsidRDefault="00046D64" w:rsidP="00D05BEC">
            <w:pPr>
              <w:pStyle w:val="In-tableHeading"/>
            </w:pPr>
            <w:r w:rsidRPr="004B2B19">
              <w:t>Max. qty units</w:t>
            </w:r>
          </w:p>
        </w:tc>
        <w:tc>
          <w:tcPr>
            <w:tcW w:w="450" w:type="pct"/>
            <w:vAlign w:val="center"/>
          </w:tcPr>
          <w:p w14:paraId="13B3FDEE" w14:textId="77777777" w:rsidR="00046D64" w:rsidRPr="004B2B19" w:rsidRDefault="00046D64" w:rsidP="00D05BEC">
            <w:pPr>
              <w:pStyle w:val="In-tableHeading"/>
            </w:pPr>
            <w:r w:rsidRPr="004B2B19">
              <w:t>№.of</w:t>
            </w:r>
          </w:p>
          <w:p w14:paraId="7B215997" w14:textId="77777777" w:rsidR="00046D64" w:rsidRPr="004B2B19" w:rsidRDefault="00046D64" w:rsidP="00D05BEC">
            <w:pPr>
              <w:pStyle w:val="In-tableHeading"/>
            </w:pPr>
            <w:r w:rsidRPr="004B2B19">
              <w:t>Rpts</w:t>
            </w:r>
          </w:p>
        </w:tc>
        <w:tc>
          <w:tcPr>
            <w:tcW w:w="1015" w:type="pct"/>
            <w:vAlign w:val="center"/>
          </w:tcPr>
          <w:p w14:paraId="4976F6A8" w14:textId="77777777" w:rsidR="00046D64" w:rsidRPr="004B2B19" w:rsidRDefault="00046D64" w:rsidP="00D05BEC">
            <w:pPr>
              <w:pStyle w:val="In-tableHeading"/>
            </w:pPr>
            <w:r w:rsidRPr="004B2B19">
              <w:t>Available brands</w:t>
            </w:r>
          </w:p>
        </w:tc>
      </w:tr>
      <w:tr w:rsidR="00046D64" w:rsidRPr="004B2B19" w14:paraId="40C1AD8E" w14:textId="77777777" w:rsidTr="00652154">
        <w:trPr>
          <w:cantSplit/>
          <w:trHeight w:val="20"/>
        </w:trPr>
        <w:tc>
          <w:tcPr>
            <w:tcW w:w="5000" w:type="pct"/>
            <w:gridSpan w:val="6"/>
            <w:vAlign w:val="center"/>
          </w:tcPr>
          <w:p w14:paraId="2A4C00A6" w14:textId="64F206A1" w:rsidR="00046D64" w:rsidRPr="004B2B19" w:rsidRDefault="007D5172" w:rsidP="00D05BEC">
            <w:pPr>
              <w:pStyle w:val="Tabletext"/>
              <w:keepNext/>
            </w:pPr>
            <w:r w:rsidRPr="004B2B19">
              <w:t>FENFLURAMINE</w:t>
            </w:r>
            <w:r w:rsidR="00A2021E" w:rsidRPr="004B2B19">
              <w:t xml:space="preserve"> </w:t>
            </w:r>
          </w:p>
        </w:tc>
      </w:tr>
      <w:tr w:rsidR="002C36E3" w:rsidRPr="004B2B19" w14:paraId="1DC2CC67" w14:textId="77777777" w:rsidTr="00652154">
        <w:trPr>
          <w:cantSplit/>
          <w:trHeight w:val="20"/>
        </w:trPr>
        <w:tc>
          <w:tcPr>
            <w:tcW w:w="1648" w:type="pct"/>
            <w:vAlign w:val="center"/>
          </w:tcPr>
          <w:p w14:paraId="4B3F0041" w14:textId="43CBD9FB" w:rsidR="007D5172" w:rsidRPr="004B2B19" w:rsidRDefault="007D5172" w:rsidP="00D05BEC">
            <w:pPr>
              <w:pStyle w:val="Tabletext"/>
              <w:keepNext/>
            </w:pPr>
            <w:r w:rsidRPr="004B2B19">
              <w:t>Fenfluramine, 2.2</w:t>
            </w:r>
            <w:r w:rsidR="0095079C" w:rsidRPr="004B2B19">
              <w:t xml:space="preserve"> </w:t>
            </w:r>
            <w:r w:rsidRPr="004B2B19">
              <w:t xml:space="preserve">mg/mL oral solution, 360 mL. </w:t>
            </w:r>
          </w:p>
          <w:p w14:paraId="612C04D7" w14:textId="60C3F30F" w:rsidR="002C36E3" w:rsidRPr="004B2B19" w:rsidRDefault="002C36E3" w:rsidP="00D05BEC">
            <w:pPr>
              <w:pStyle w:val="Tabletext"/>
              <w:keepNext/>
            </w:pPr>
          </w:p>
        </w:tc>
        <w:tc>
          <w:tcPr>
            <w:tcW w:w="986" w:type="pct"/>
          </w:tcPr>
          <w:p w14:paraId="768CBFE8" w14:textId="30098134" w:rsidR="002C36E3" w:rsidRPr="004B2B19" w:rsidRDefault="002C36E3" w:rsidP="00D05BEC">
            <w:pPr>
              <w:pStyle w:val="Tabletext"/>
              <w:keepNext/>
            </w:pPr>
            <w:r w:rsidRPr="004B2B19">
              <w:t>$</w:t>
            </w:r>
            <w:r w:rsidR="007D5172" w:rsidRPr="004B2B19">
              <w:t xml:space="preserve">4,637.44 </w:t>
            </w:r>
            <w:r w:rsidRPr="004B2B19">
              <w:t>published price</w:t>
            </w:r>
          </w:p>
          <w:p w14:paraId="70C2874A" w14:textId="7D0BF7D2" w:rsidR="002C36E3" w:rsidRPr="004B2B19" w:rsidRDefault="002C36E3" w:rsidP="00D05BEC">
            <w:pPr>
              <w:pStyle w:val="Tabletext"/>
              <w:keepNext/>
            </w:pPr>
            <w:r w:rsidRPr="004B2B19">
              <w:t>$</w:t>
            </w:r>
            <w:r w:rsidR="0021270A" w:rsidRPr="0021270A">
              <w:rPr>
                <w:highlight w:val="black"/>
              </w:rPr>
              <w:t>&amp;&amp;&amp;&amp;</w:t>
            </w:r>
            <w:r w:rsidR="007D5172" w:rsidRPr="004B2B19">
              <w:t xml:space="preserve"> </w:t>
            </w:r>
            <w:r w:rsidRPr="004B2B19">
              <w:t>effective price</w:t>
            </w:r>
          </w:p>
        </w:tc>
        <w:tc>
          <w:tcPr>
            <w:tcW w:w="450" w:type="pct"/>
            <w:vAlign w:val="center"/>
          </w:tcPr>
          <w:p w14:paraId="71CD2441" w14:textId="76AFDF9B" w:rsidR="002C36E3" w:rsidRPr="004B2B19" w:rsidRDefault="007D5172" w:rsidP="00D05BEC">
            <w:pPr>
              <w:pStyle w:val="Tabletext"/>
              <w:keepNext/>
            </w:pPr>
            <w:r w:rsidRPr="004B2B19">
              <w:t>1</w:t>
            </w:r>
          </w:p>
        </w:tc>
        <w:tc>
          <w:tcPr>
            <w:tcW w:w="450" w:type="pct"/>
            <w:vAlign w:val="center"/>
          </w:tcPr>
          <w:p w14:paraId="65F4D3E9" w14:textId="19737B86" w:rsidR="002C36E3" w:rsidRPr="004B2B19" w:rsidRDefault="007D5172" w:rsidP="00D05BEC">
            <w:pPr>
              <w:pStyle w:val="Tabletext"/>
              <w:keepNext/>
            </w:pPr>
            <w:r w:rsidRPr="004B2B19">
              <w:t>1</w:t>
            </w:r>
          </w:p>
        </w:tc>
        <w:tc>
          <w:tcPr>
            <w:tcW w:w="450" w:type="pct"/>
            <w:vAlign w:val="center"/>
          </w:tcPr>
          <w:p w14:paraId="7C728D0C" w14:textId="2127F27B" w:rsidR="002C36E3" w:rsidRPr="004B2B19" w:rsidRDefault="007D5172" w:rsidP="00D05BEC">
            <w:pPr>
              <w:pStyle w:val="Tabletext"/>
              <w:keepNext/>
            </w:pPr>
            <w:r w:rsidRPr="004B2B19">
              <w:t>5</w:t>
            </w:r>
          </w:p>
        </w:tc>
        <w:tc>
          <w:tcPr>
            <w:tcW w:w="1015" w:type="pct"/>
            <w:vAlign w:val="center"/>
          </w:tcPr>
          <w:p w14:paraId="519A0BC8" w14:textId="63378067" w:rsidR="002C36E3" w:rsidRPr="004B2B19" w:rsidRDefault="004D4E24" w:rsidP="00D05BEC">
            <w:pPr>
              <w:pStyle w:val="Tabletext"/>
              <w:keepNext/>
            </w:pPr>
            <w:r w:rsidRPr="004B2B19">
              <w:t>F</w:t>
            </w:r>
            <w:r w:rsidR="007D5172" w:rsidRPr="004B2B19">
              <w:t>intepla</w:t>
            </w:r>
          </w:p>
        </w:tc>
      </w:tr>
      <w:bookmarkEnd w:id="9"/>
    </w:tbl>
    <w:p w14:paraId="210B3796" w14:textId="12D5EEC6" w:rsidR="00046D64" w:rsidRPr="004B2B19" w:rsidRDefault="00046D64" w:rsidP="00D05BE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w:tblPr>
      <w:tblGrid>
        <w:gridCol w:w="9017"/>
      </w:tblGrid>
      <w:tr w:rsidR="003A4C14" w:rsidRPr="004B2B19" w14:paraId="3EE8ABAE" w14:textId="77777777" w:rsidTr="00652154">
        <w:trPr>
          <w:cantSplit/>
          <w:trHeight w:val="20"/>
        </w:trPr>
        <w:tc>
          <w:tcPr>
            <w:tcW w:w="5000" w:type="pct"/>
          </w:tcPr>
          <w:p w14:paraId="3B622315" w14:textId="40A0C193" w:rsidR="003A4C14" w:rsidRPr="004B2B19" w:rsidRDefault="003A4C14" w:rsidP="00D05BEC">
            <w:pPr>
              <w:pStyle w:val="Tabletext"/>
              <w:keepNext/>
              <w:keepLines/>
            </w:pPr>
            <w:bookmarkStart w:id="10" w:name="_Hlk104809470"/>
            <w:r w:rsidRPr="004B2B19">
              <w:t>Category / Program: General Schedule</w:t>
            </w:r>
          </w:p>
        </w:tc>
      </w:tr>
      <w:tr w:rsidR="003A4C14" w:rsidRPr="004B2B19" w14:paraId="09416ED3" w14:textId="77777777" w:rsidTr="00652154">
        <w:trPr>
          <w:cantSplit/>
          <w:trHeight w:val="20"/>
        </w:trPr>
        <w:tc>
          <w:tcPr>
            <w:tcW w:w="5000" w:type="pct"/>
          </w:tcPr>
          <w:p w14:paraId="7D2ED8D5" w14:textId="004708DA" w:rsidR="003A4C14" w:rsidRPr="004B2B19" w:rsidRDefault="003A4C14" w:rsidP="00D05BEC">
            <w:pPr>
              <w:pStyle w:val="Tabletext"/>
              <w:keepNext/>
              <w:keepLines/>
              <w:rPr>
                <w:b/>
              </w:rPr>
            </w:pPr>
            <w:r w:rsidRPr="004B2B19">
              <w:rPr>
                <w:b/>
              </w:rPr>
              <w:t xml:space="preserve">Prescriber type: </w:t>
            </w:r>
            <w:r w:rsidRPr="004B2B19">
              <w:fldChar w:fldCharType="begin">
                <w:ffData>
                  <w:name w:val="Check1"/>
                  <w:enabled/>
                  <w:calcOnExit w:val="0"/>
                  <w:checkBox>
                    <w:sizeAuto/>
                    <w:default w:val="0"/>
                  </w:checkBox>
                </w:ffData>
              </w:fldChar>
            </w:r>
            <w:r w:rsidRPr="004B2B19">
              <w:instrText xml:space="preserve"> FORMCHECKBOX </w:instrText>
            </w:r>
            <w:r w:rsidRPr="004B2B19">
              <w:fldChar w:fldCharType="separate"/>
            </w:r>
            <w:r w:rsidRPr="004B2B19">
              <w:fldChar w:fldCharType="end"/>
            </w:r>
            <w:r w:rsidRPr="004B2B19">
              <w:t xml:space="preserve">Dental </w:t>
            </w:r>
            <w:r w:rsidR="007D5172" w:rsidRPr="004B2B19">
              <w:fldChar w:fldCharType="begin">
                <w:ffData>
                  <w:name w:val=""/>
                  <w:enabled/>
                  <w:calcOnExit w:val="0"/>
                  <w:checkBox>
                    <w:sizeAuto/>
                    <w:default w:val="1"/>
                  </w:checkBox>
                </w:ffData>
              </w:fldChar>
            </w:r>
            <w:r w:rsidR="007D5172" w:rsidRPr="004B2B19">
              <w:instrText xml:space="preserve"> FORMCHECKBOX </w:instrText>
            </w:r>
            <w:r w:rsidR="007D5172" w:rsidRPr="004B2B19">
              <w:fldChar w:fldCharType="separate"/>
            </w:r>
            <w:r w:rsidR="007D5172" w:rsidRPr="004B2B19">
              <w:fldChar w:fldCharType="end"/>
            </w:r>
            <w:r w:rsidRPr="004B2B19">
              <w:t xml:space="preserve">Medical Practitioners </w:t>
            </w:r>
            <w:r w:rsidR="007D5172" w:rsidRPr="004B2B19">
              <w:fldChar w:fldCharType="begin">
                <w:ffData>
                  <w:name w:val="Check3"/>
                  <w:enabled/>
                  <w:calcOnExit w:val="0"/>
                  <w:checkBox>
                    <w:sizeAuto/>
                    <w:default w:val="1"/>
                  </w:checkBox>
                </w:ffData>
              </w:fldChar>
            </w:r>
            <w:bookmarkStart w:id="11" w:name="Check3"/>
            <w:r w:rsidR="007D5172" w:rsidRPr="004B2B19">
              <w:instrText xml:space="preserve"> FORMCHECKBOX </w:instrText>
            </w:r>
            <w:r w:rsidR="007D5172" w:rsidRPr="004B2B19">
              <w:fldChar w:fldCharType="separate"/>
            </w:r>
            <w:r w:rsidR="007D5172" w:rsidRPr="004B2B19">
              <w:fldChar w:fldCharType="end"/>
            </w:r>
            <w:bookmarkEnd w:id="11"/>
            <w:r w:rsidRPr="004B2B19">
              <w:t xml:space="preserve">Nurse practitioners </w:t>
            </w:r>
            <w:r w:rsidRPr="004B2B19">
              <w:fldChar w:fldCharType="begin">
                <w:ffData>
                  <w:name w:val=""/>
                  <w:enabled/>
                  <w:calcOnExit w:val="0"/>
                  <w:checkBox>
                    <w:sizeAuto/>
                    <w:default w:val="0"/>
                  </w:checkBox>
                </w:ffData>
              </w:fldChar>
            </w:r>
            <w:r w:rsidRPr="004B2B19">
              <w:instrText xml:space="preserve"> FORMCHECKBOX </w:instrText>
            </w:r>
            <w:r w:rsidRPr="004B2B19">
              <w:fldChar w:fldCharType="separate"/>
            </w:r>
            <w:r w:rsidRPr="004B2B19">
              <w:fldChar w:fldCharType="end"/>
            </w:r>
            <w:r w:rsidRPr="004B2B19">
              <w:t xml:space="preserve">Optometrists </w:t>
            </w:r>
            <w:r w:rsidRPr="004B2B19">
              <w:fldChar w:fldCharType="begin">
                <w:ffData>
                  <w:name w:val="Check5"/>
                  <w:enabled/>
                  <w:calcOnExit w:val="0"/>
                  <w:checkBox>
                    <w:sizeAuto/>
                    <w:default w:val="0"/>
                  </w:checkBox>
                </w:ffData>
              </w:fldChar>
            </w:r>
            <w:r w:rsidRPr="004B2B19">
              <w:instrText xml:space="preserve"> FORMCHECKBOX </w:instrText>
            </w:r>
            <w:r w:rsidRPr="004B2B19">
              <w:fldChar w:fldCharType="separate"/>
            </w:r>
            <w:r w:rsidRPr="004B2B19">
              <w:fldChar w:fldCharType="end"/>
            </w:r>
          </w:p>
        </w:tc>
      </w:tr>
      <w:tr w:rsidR="003A4C14" w:rsidRPr="004B2B19" w14:paraId="070CFDD2" w14:textId="77777777" w:rsidTr="00652154">
        <w:trPr>
          <w:cantSplit/>
          <w:trHeight w:val="20"/>
        </w:trPr>
        <w:tc>
          <w:tcPr>
            <w:tcW w:w="5000" w:type="pct"/>
          </w:tcPr>
          <w:p w14:paraId="3320A955" w14:textId="7ABF87DB" w:rsidR="003A4C14" w:rsidRPr="004B2B19" w:rsidRDefault="003A4C14" w:rsidP="00D05BEC">
            <w:pPr>
              <w:pStyle w:val="Tabletext"/>
              <w:keepNext/>
              <w:keepLines/>
            </w:pPr>
            <w:r w:rsidRPr="004B2B19">
              <w:rPr>
                <w:b/>
              </w:rPr>
              <w:t>Restriction type</w:t>
            </w:r>
            <w:r w:rsidR="007D5172" w:rsidRPr="004B2B19">
              <w:rPr>
                <w:b/>
              </w:rPr>
              <w:t xml:space="preserve">: </w:t>
            </w:r>
            <w:r w:rsidR="007D5172" w:rsidRPr="004B2B19">
              <w:fldChar w:fldCharType="begin">
                <w:ffData>
                  <w:name w:val=""/>
                  <w:enabled/>
                  <w:calcOnExit w:val="0"/>
                  <w:checkBox>
                    <w:sizeAuto/>
                    <w:default w:val="1"/>
                  </w:checkBox>
                </w:ffData>
              </w:fldChar>
            </w:r>
            <w:r w:rsidR="007D5172" w:rsidRPr="004B2B19">
              <w:instrText xml:space="preserve"> FORMCHECKBOX </w:instrText>
            </w:r>
            <w:r w:rsidR="007D5172" w:rsidRPr="004B2B19">
              <w:fldChar w:fldCharType="separate"/>
            </w:r>
            <w:r w:rsidR="007D5172" w:rsidRPr="004B2B19">
              <w:fldChar w:fldCharType="end"/>
            </w:r>
            <w:r w:rsidRPr="004B2B19">
              <w:t xml:space="preserve">Authority Required (telephone/online PBS Authorities system) </w:t>
            </w:r>
          </w:p>
        </w:tc>
      </w:tr>
      <w:tr w:rsidR="003A4C14" w:rsidRPr="004B2B19" w14:paraId="520BD548" w14:textId="77777777" w:rsidTr="00652154">
        <w:trPr>
          <w:cantSplit/>
          <w:trHeight w:val="20"/>
        </w:trPr>
        <w:tc>
          <w:tcPr>
            <w:tcW w:w="5000" w:type="pct"/>
            <w:vAlign w:val="center"/>
          </w:tcPr>
          <w:p w14:paraId="200DF20E" w14:textId="557A6069" w:rsidR="003A4C14" w:rsidRPr="004B2B19" w:rsidRDefault="003A4C14" w:rsidP="00D05BEC">
            <w:pPr>
              <w:pStyle w:val="Tabletext"/>
              <w:keepNext/>
              <w:keepLines/>
              <w:rPr>
                <w:b/>
              </w:rPr>
            </w:pPr>
            <w:r w:rsidRPr="004B2B19">
              <w:rPr>
                <w:b/>
              </w:rPr>
              <w:t>Administrative Advice:</w:t>
            </w:r>
            <w:r w:rsidR="00C61A59" w:rsidRPr="004B2B19">
              <w:rPr>
                <w:b/>
              </w:rPr>
              <w:t xml:space="preserve"> </w:t>
            </w:r>
            <w:r w:rsidR="007D5172" w:rsidRPr="004B2B19">
              <w:t>Applications for authorisation under this restriction may be made in real time using the Online PBS Authorities system (see www.servicesaustralia.gov.au/HPOS) or by telephone by contacting Services Australia on 1800 888 333</w:t>
            </w:r>
          </w:p>
        </w:tc>
      </w:tr>
      <w:tr w:rsidR="007D5172" w:rsidRPr="004B2B19" w14:paraId="05668FCB" w14:textId="77777777" w:rsidTr="00652154">
        <w:trPr>
          <w:cantSplit/>
          <w:trHeight w:val="20"/>
        </w:trPr>
        <w:tc>
          <w:tcPr>
            <w:tcW w:w="5000" w:type="pct"/>
            <w:vAlign w:val="center"/>
          </w:tcPr>
          <w:p w14:paraId="624B7F7B" w14:textId="4C45AC93" w:rsidR="007D5172" w:rsidRPr="004B2B19" w:rsidRDefault="007D5172" w:rsidP="00D05BEC">
            <w:pPr>
              <w:pStyle w:val="Tabletext"/>
              <w:keepNext/>
              <w:keepLines/>
              <w:rPr>
                <w:b/>
              </w:rPr>
            </w:pPr>
            <w:r w:rsidRPr="004B2B19">
              <w:rPr>
                <w:b/>
              </w:rPr>
              <w:t xml:space="preserve">Administrative Advice: </w:t>
            </w:r>
            <w:r w:rsidRPr="004B2B19">
              <w:t>No increase in the maximum quantity or number of units may be authorised</w:t>
            </w:r>
          </w:p>
        </w:tc>
      </w:tr>
      <w:tr w:rsidR="007D5172" w:rsidRPr="004B2B19" w14:paraId="4209B317" w14:textId="77777777" w:rsidTr="00652154">
        <w:trPr>
          <w:cantSplit/>
          <w:trHeight w:val="20"/>
        </w:trPr>
        <w:tc>
          <w:tcPr>
            <w:tcW w:w="5000" w:type="pct"/>
            <w:vAlign w:val="center"/>
          </w:tcPr>
          <w:p w14:paraId="108E66C8" w14:textId="273F0F50" w:rsidR="007D5172" w:rsidRPr="004B2B19" w:rsidRDefault="007D5172" w:rsidP="00D05BEC">
            <w:pPr>
              <w:pStyle w:val="Tabletext"/>
              <w:keepNext/>
              <w:keepLines/>
              <w:rPr>
                <w:b/>
              </w:rPr>
            </w:pPr>
          </w:p>
        </w:tc>
      </w:tr>
      <w:tr w:rsidR="007D5172" w:rsidRPr="004B2B19" w14:paraId="0A59DDC6" w14:textId="77777777" w:rsidTr="00652154">
        <w:trPr>
          <w:cantSplit/>
          <w:trHeight w:val="20"/>
        </w:trPr>
        <w:tc>
          <w:tcPr>
            <w:tcW w:w="5000" w:type="pct"/>
            <w:vAlign w:val="center"/>
          </w:tcPr>
          <w:p w14:paraId="05C8FB35" w14:textId="19D3672E" w:rsidR="007D5172" w:rsidRPr="004B2B19" w:rsidRDefault="007D5172" w:rsidP="00D05BEC">
            <w:pPr>
              <w:pStyle w:val="Tabletext"/>
              <w:keepNext/>
              <w:keepLines/>
            </w:pPr>
            <w:r w:rsidRPr="004B2B19">
              <w:rPr>
                <w:b/>
              </w:rPr>
              <w:t xml:space="preserve">Administrative Advice: </w:t>
            </w:r>
            <w:r w:rsidRPr="004B2B19">
              <w:t>Special Pricing Arrangements apply</w:t>
            </w:r>
          </w:p>
        </w:tc>
      </w:tr>
      <w:tr w:rsidR="003A4C14" w:rsidRPr="004B2B19" w14:paraId="5BFE3347" w14:textId="77777777" w:rsidTr="00652154">
        <w:trPr>
          <w:cantSplit/>
          <w:trHeight w:val="20"/>
        </w:trPr>
        <w:tc>
          <w:tcPr>
            <w:tcW w:w="5000" w:type="pct"/>
            <w:vAlign w:val="center"/>
          </w:tcPr>
          <w:p w14:paraId="3296BDDA" w14:textId="1BDA4084" w:rsidR="003A4C14" w:rsidRPr="004B2B19" w:rsidRDefault="003A4C14" w:rsidP="00D05BEC">
            <w:pPr>
              <w:pStyle w:val="Tabletext"/>
              <w:keepNext/>
              <w:keepLines/>
            </w:pPr>
            <w:r w:rsidRPr="004B2B19">
              <w:rPr>
                <w:b/>
              </w:rPr>
              <w:t>Indication:</w:t>
            </w:r>
            <w:r w:rsidR="00046F09">
              <w:t xml:space="preserve"> </w:t>
            </w:r>
            <w:r w:rsidR="007D5172" w:rsidRPr="004B2B19">
              <w:t>Seizures of the Lennox-Gastaut Syndrome</w:t>
            </w:r>
          </w:p>
        </w:tc>
      </w:tr>
      <w:tr w:rsidR="003A4C14" w:rsidRPr="004B2B19" w14:paraId="3ABBD2EC" w14:textId="77777777" w:rsidTr="00652154">
        <w:trPr>
          <w:cantSplit/>
          <w:trHeight w:val="20"/>
        </w:trPr>
        <w:tc>
          <w:tcPr>
            <w:tcW w:w="5000" w:type="pct"/>
            <w:vAlign w:val="center"/>
          </w:tcPr>
          <w:p w14:paraId="5D485398" w14:textId="41BDC1CE" w:rsidR="003A4C14" w:rsidRPr="004B2B19" w:rsidRDefault="003A4C14" w:rsidP="00D05BEC">
            <w:pPr>
              <w:pStyle w:val="Tabletext"/>
              <w:keepNext/>
              <w:keepLines/>
              <w:rPr>
                <w:b/>
                <w:bCs/>
              </w:rPr>
            </w:pPr>
            <w:r w:rsidRPr="004B2B19">
              <w:rPr>
                <w:b/>
                <w:bCs/>
              </w:rPr>
              <w:t>Clinical criteria:</w:t>
            </w:r>
          </w:p>
        </w:tc>
      </w:tr>
      <w:tr w:rsidR="003A4C14" w:rsidRPr="004B2B19" w14:paraId="26BA494C" w14:textId="77777777" w:rsidTr="00652154">
        <w:trPr>
          <w:cantSplit/>
          <w:trHeight w:val="20"/>
        </w:trPr>
        <w:tc>
          <w:tcPr>
            <w:tcW w:w="5000" w:type="pct"/>
            <w:vAlign w:val="center"/>
          </w:tcPr>
          <w:p w14:paraId="2BEB705C" w14:textId="77777777" w:rsidR="00D35AC1" w:rsidRPr="004B2B19" w:rsidRDefault="00D35AC1" w:rsidP="00D35AC1">
            <w:pPr>
              <w:rPr>
                <w:rFonts w:ascii="Arial Narrow" w:hAnsi="Arial Narrow"/>
                <w:strike/>
                <w:color w:val="333333"/>
                <w:sz w:val="20"/>
                <w:szCs w:val="20"/>
              </w:rPr>
            </w:pPr>
            <w:r w:rsidRPr="004B2B19">
              <w:rPr>
                <w:rFonts w:ascii="Arial Narrow" w:hAnsi="Arial Narrow"/>
                <w:strike/>
                <w:color w:val="333333"/>
                <w:sz w:val="20"/>
                <w:szCs w:val="20"/>
              </w:rPr>
              <w:t>Patient must have a diagnosis of Lennox-Gastaut syndrome confirmed by an electroencephalogram (EEG) that showed a pattern of slow (less than 3.0 hertz) spike-and-wave discharges with generalised paroxysmal fast activity (sleep recording should be obtained where it is possible)</w:t>
            </w:r>
          </w:p>
          <w:p w14:paraId="1A0AADCD" w14:textId="02424FF8" w:rsidR="00D35AC1" w:rsidRPr="004B2B19" w:rsidRDefault="00D35AC1" w:rsidP="00D35AC1">
            <w:pPr>
              <w:pStyle w:val="Tabletext"/>
              <w:keepNext/>
              <w:keepLines/>
            </w:pPr>
            <w:r w:rsidRPr="004B2B19">
              <w:rPr>
                <w:i/>
                <w:iCs/>
                <w:color w:val="333333"/>
                <w:szCs w:val="20"/>
              </w:rPr>
              <w:t>Patient must have a diagnosis of Lennox-Gastaut syndrom</w:t>
            </w:r>
            <w:r w:rsidRPr="004B2B19">
              <w:rPr>
                <w:i/>
                <w:iCs/>
                <w:szCs w:val="20"/>
              </w:rPr>
              <w:t>e. The diagnosis should be confirmed by an electroencephalogram (EEG) where possible.</w:t>
            </w:r>
          </w:p>
        </w:tc>
      </w:tr>
      <w:tr w:rsidR="003A4C14" w:rsidRPr="004B2B19" w14:paraId="1541981C" w14:textId="77777777" w:rsidTr="00652154">
        <w:trPr>
          <w:cantSplit/>
          <w:trHeight w:val="20"/>
        </w:trPr>
        <w:tc>
          <w:tcPr>
            <w:tcW w:w="5000" w:type="pct"/>
            <w:vAlign w:val="center"/>
          </w:tcPr>
          <w:p w14:paraId="6F3D1453" w14:textId="2C0B9CEF" w:rsidR="003A4C14" w:rsidRPr="004B2B19" w:rsidRDefault="003A4C14" w:rsidP="004015AC">
            <w:pPr>
              <w:pStyle w:val="Tabletext"/>
              <w:keepNext/>
              <w:keepLines/>
            </w:pPr>
            <w:r w:rsidRPr="004B2B19">
              <w:t>AND</w:t>
            </w:r>
          </w:p>
        </w:tc>
      </w:tr>
      <w:tr w:rsidR="003A4C14" w:rsidRPr="004B2B19" w14:paraId="018890B8" w14:textId="77777777" w:rsidTr="00652154">
        <w:trPr>
          <w:cantSplit/>
          <w:trHeight w:val="20"/>
        </w:trPr>
        <w:tc>
          <w:tcPr>
            <w:tcW w:w="5000" w:type="pct"/>
            <w:vAlign w:val="center"/>
          </w:tcPr>
          <w:p w14:paraId="79CB2648" w14:textId="54905085" w:rsidR="003A4C14" w:rsidRPr="004B2B19" w:rsidRDefault="003A4C14" w:rsidP="004015AC">
            <w:pPr>
              <w:pStyle w:val="Tabletext"/>
              <w:keepNext/>
              <w:keepLines/>
              <w:rPr>
                <w:b/>
                <w:bCs/>
              </w:rPr>
            </w:pPr>
            <w:r w:rsidRPr="004B2B19">
              <w:rPr>
                <w:b/>
                <w:bCs/>
              </w:rPr>
              <w:t>Clinical criteria:</w:t>
            </w:r>
          </w:p>
        </w:tc>
      </w:tr>
      <w:tr w:rsidR="007D5172" w:rsidRPr="004B2B19" w14:paraId="72243DDD" w14:textId="77777777" w:rsidTr="00652154">
        <w:trPr>
          <w:cantSplit/>
          <w:trHeight w:val="20"/>
        </w:trPr>
        <w:tc>
          <w:tcPr>
            <w:tcW w:w="5000" w:type="pct"/>
            <w:vAlign w:val="center"/>
          </w:tcPr>
          <w:p w14:paraId="1ACAD398" w14:textId="158702A6" w:rsidR="002B2E61" w:rsidRPr="004B2B19" w:rsidRDefault="002B2E61" w:rsidP="004015AC">
            <w:pPr>
              <w:pStyle w:val="Tabletext"/>
              <w:keepNext/>
              <w:keepLines/>
              <w:rPr>
                <w:i/>
              </w:rPr>
            </w:pPr>
            <w:r w:rsidRPr="004B2B19">
              <w:rPr>
                <w:color w:val="333333"/>
              </w:rPr>
              <w:t xml:space="preserve">Patient must have (as an initiating patient)/have had (as a continuing patient) more than one type of </w:t>
            </w:r>
            <w:r w:rsidRPr="004B2B19">
              <w:rPr>
                <w:strike/>
                <w:color w:val="333333"/>
              </w:rPr>
              <w:t>generalised</w:t>
            </w:r>
            <w:r w:rsidRPr="004B2B19">
              <w:rPr>
                <w:color w:val="333333"/>
              </w:rPr>
              <w:t xml:space="preserve"> seizures </w:t>
            </w:r>
            <w:r w:rsidRPr="004B2B19">
              <w:rPr>
                <w:i/>
              </w:rPr>
              <w:t>that are not adequately controlled with at least two other antiseizure medication prior to initiating treatment with this medicine</w:t>
            </w:r>
          </w:p>
        </w:tc>
      </w:tr>
      <w:tr w:rsidR="003A4C14" w:rsidRPr="004B2B19" w14:paraId="1096E289" w14:textId="77777777" w:rsidTr="00652154">
        <w:trPr>
          <w:cantSplit/>
          <w:trHeight w:val="20"/>
        </w:trPr>
        <w:tc>
          <w:tcPr>
            <w:tcW w:w="5000" w:type="pct"/>
            <w:vAlign w:val="center"/>
          </w:tcPr>
          <w:p w14:paraId="16929626" w14:textId="228EE5F7" w:rsidR="007D5172" w:rsidRPr="004B2B19" w:rsidRDefault="007D5172" w:rsidP="004015AC">
            <w:pPr>
              <w:pStyle w:val="Tabletext"/>
              <w:keepNext/>
              <w:keepLines/>
              <w:rPr>
                <w:strike/>
              </w:rPr>
            </w:pPr>
            <w:r w:rsidRPr="004B2B19">
              <w:rPr>
                <w:strike/>
              </w:rPr>
              <w:t>AND</w:t>
            </w:r>
          </w:p>
        </w:tc>
      </w:tr>
      <w:tr w:rsidR="007D5172" w:rsidRPr="004B2B19" w14:paraId="04EEB427" w14:textId="77777777" w:rsidTr="00652154">
        <w:trPr>
          <w:cantSplit/>
          <w:trHeight w:val="20"/>
        </w:trPr>
        <w:tc>
          <w:tcPr>
            <w:tcW w:w="5000" w:type="pct"/>
            <w:vAlign w:val="center"/>
          </w:tcPr>
          <w:p w14:paraId="3B4FF174" w14:textId="5F18FC10" w:rsidR="007D5172" w:rsidRPr="004B2B19" w:rsidRDefault="007D5172" w:rsidP="004015AC">
            <w:pPr>
              <w:pStyle w:val="Tabletext"/>
              <w:keepNext/>
              <w:keepLines/>
              <w:rPr>
                <w:strike/>
              </w:rPr>
            </w:pPr>
            <w:r w:rsidRPr="004B2B19">
              <w:rPr>
                <w:strike/>
              </w:rPr>
              <w:t>Clinical criteria</w:t>
            </w:r>
          </w:p>
        </w:tc>
      </w:tr>
      <w:tr w:rsidR="007D5172" w:rsidRPr="004B2B19" w14:paraId="7A8C0970" w14:textId="77777777" w:rsidTr="00652154">
        <w:trPr>
          <w:cantSplit/>
          <w:trHeight w:val="20"/>
        </w:trPr>
        <w:tc>
          <w:tcPr>
            <w:tcW w:w="5000" w:type="pct"/>
            <w:vAlign w:val="center"/>
          </w:tcPr>
          <w:p w14:paraId="4B22365A" w14:textId="5C8AC8A7" w:rsidR="007D5172" w:rsidRPr="004B2B19" w:rsidRDefault="007D5172" w:rsidP="004015AC">
            <w:pPr>
              <w:pStyle w:val="Tabletext"/>
              <w:keepNext/>
              <w:keepLines/>
              <w:rPr>
                <w:rFonts w:cs="Arial"/>
                <w:strike/>
              </w:rPr>
            </w:pPr>
            <w:r w:rsidRPr="004B2B19">
              <w:rPr>
                <w:rFonts w:cs="Arial"/>
                <w:strike/>
              </w:rPr>
              <w:t>Patient must have had at least two drop seizures (atonic, tonic or tonic-clonic) per week that are not adequately controlled with at least two other anti-epileptic drugs prior to initiating treatment with this medicine</w:t>
            </w:r>
          </w:p>
        </w:tc>
      </w:tr>
      <w:tr w:rsidR="007D5172" w:rsidRPr="004B2B19" w14:paraId="56254BCD" w14:textId="77777777" w:rsidTr="00652154">
        <w:trPr>
          <w:cantSplit/>
          <w:trHeight w:val="20"/>
        </w:trPr>
        <w:tc>
          <w:tcPr>
            <w:tcW w:w="5000" w:type="pct"/>
            <w:vAlign w:val="center"/>
          </w:tcPr>
          <w:p w14:paraId="65570345" w14:textId="53409C83" w:rsidR="007D5172" w:rsidRPr="004B2B19" w:rsidRDefault="007D5172" w:rsidP="004015AC">
            <w:pPr>
              <w:pStyle w:val="Tabletext"/>
              <w:keepNext/>
              <w:keepLines/>
              <w:rPr>
                <w:rFonts w:cs="Arial"/>
                <w:b/>
                <w:bCs/>
              </w:rPr>
            </w:pPr>
            <w:r w:rsidRPr="004B2B19">
              <w:rPr>
                <w:rFonts w:cs="Arial"/>
                <w:b/>
                <w:bCs/>
              </w:rPr>
              <w:t>AND</w:t>
            </w:r>
          </w:p>
        </w:tc>
      </w:tr>
      <w:tr w:rsidR="007D5172" w:rsidRPr="004B2B19" w14:paraId="27D4715F" w14:textId="77777777" w:rsidTr="00652154">
        <w:trPr>
          <w:cantSplit/>
          <w:trHeight w:val="20"/>
        </w:trPr>
        <w:tc>
          <w:tcPr>
            <w:tcW w:w="5000" w:type="pct"/>
            <w:vAlign w:val="center"/>
          </w:tcPr>
          <w:p w14:paraId="29C28E29" w14:textId="70C1325E" w:rsidR="007D5172" w:rsidRPr="004B2B19" w:rsidRDefault="007D5172" w:rsidP="004015AC">
            <w:pPr>
              <w:pStyle w:val="Tabletext"/>
              <w:keepNext/>
              <w:keepLines/>
              <w:rPr>
                <w:rFonts w:cs="Arial"/>
                <w:b/>
                <w:bCs/>
              </w:rPr>
            </w:pPr>
            <w:r w:rsidRPr="004B2B19">
              <w:rPr>
                <w:rFonts w:cs="Arial"/>
                <w:b/>
                <w:bCs/>
              </w:rPr>
              <w:t>Clinical criteria</w:t>
            </w:r>
          </w:p>
        </w:tc>
      </w:tr>
      <w:tr w:rsidR="007D5172" w:rsidRPr="004B2B19" w14:paraId="45B964D0" w14:textId="77777777" w:rsidTr="00652154">
        <w:trPr>
          <w:cantSplit/>
          <w:trHeight w:val="20"/>
        </w:trPr>
        <w:tc>
          <w:tcPr>
            <w:tcW w:w="5000" w:type="pct"/>
            <w:vAlign w:val="center"/>
          </w:tcPr>
          <w:p w14:paraId="0AADB9B1" w14:textId="76720EB5" w:rsidR="006D10B7" w:rsidRPr="004B2B19" w:rsidRDefault="006D10B7" w:rsidP="004015AC">
            <w:pPr>
              <w:pStyle w:val="Tabletext"/>
              <w:keepNext/>
              <w:keepLines/>
              <w:rPr>
                <w:rFonts w:cs="Arial"/>
              </w:rPr>
            </w:pPr>
            <w:r w:rsidRPr="004B2B19">
              <w:rPr>
                <w:color w:val="333333"/>
              </w:rPr>
              <w:t xml:space="preserve">The treatment must be as adjunctive therapy to </w:t>
            </w:r>
            <w:r w:rsidRPr="004B2B19">
              <w:rPr>
                <w:strike/>
                <w:color w:val="333333"/>
              </w:rPr>
              <w:t>at least two</w:t>
            </w:r>
            <w:r w:rsidRPr="004B2B19">
              <w:rPr>
                <w:color w:val="333333"/>
              </w:rPr>
              <w:t xml:space="preserve"> other </w:t>
            </w:r>
            <w:r w:rsidRPr="004B2B19">
              <w:rPr>
                <w:strike/>
                <w:color w:val="333333"/>
              </w:rPr>
              <w:t>anti-epileptic drugs</w:t>
            </w:r>
            <w:r w:rsidRPr="004B2B19">
              <w:rPr>
                <w:i/>
                <w:color w:val="333333"/>
              </w:rPr>
              <w:t xml:space="preserve"> antiseizure medication</w:t>
            </w:r>
          </w:p>
        </w:tc>
      </w:tr>
      <w:tr w:rsidR="003A4C14" w:rsidRPr="004B2B19" w14:paraId="1E0CC9FB" w14:textId="77777777" w:rsidTr="00652154">
        <w:trPr>
          <w:cantSplit/>
          <w:trHeight w:val="20"/>
        </w:trPr>
        <w:tc>
          <w:tcPr>
            <w:tcW w:w="5000" w:type="pct"/>
            <w:vAlign w:val="center"/>
          </w:tcPr>
          <w:p w14:paraId="6E11057F" w14:textId="6CD31C47" w:rsidR="003A4C14" w:rsidRPr="004B2B19" w:rsidRDefault="003A4C14" w:rsidP="004015AC">
            <w:pPr>
              <w:pStyle w:val="Tabletext"/>
              <w:keepNext/>
              <w:keepLines/>
              <w:rPr>
                <w:b/>
                <w:bCs/>
              </w:rPr>
            </w:pPr>
            <w:r w:rsidRPr="004B2B19">
              <w:rPr>
                <w:b/>
                <w:bCs/>
              </w:rPr>
              <w:t>Treatment criteria:</w:t>
            </w:r>
          </w:p>
        </w:tc>
      </w:tr>
      <w:tr w:rsidR="003A4C14" w:rsidRPr="004B2B19" w14:paraId="3FEBA230" w14:textId="77777777" w:rsidTr="00652154">
        <w:trPr>
          <w:cantSplit/>
          <w:trHeight w:val="20"/>
        </w:trPr>
        <w:tc>
          <w:tcPr>
            <w:tcW w:w="5000" w:type="pct"/>
            <w:vAlign w:val="center"/>
          </w:tcPr>
          <w:p w14:paraId="5EECDD1E" w14:textId="79F0AE59" w:rsidR="003A4C14" w:rsidRPr="004B2B19" w:rsidRDefault="007D5172" w:rsidP="004015AC">
            <w:pPr>
              <w:pStyle w:val="Tabletext"/>
              <w:keepNext/>
              <w:keepLines/>
              <w:rPr>
                <w:strike/>
              </w:rPr>
            </w:pPr>
            <w:r w:rsidRPr="004B2B19">
              <w:rPr>
                <w:strike/>
              </w:rPr>
              <w:t>Must be treated by a neurologist if treatment is being initiated;</w:t>
            </w:r>
          </w:p>
        </w:tc>
      </w:tr>
      <w:tr w:rsidR="007D5172" w:rsidRPr="004B2B19" w14:paraId="0083E9BB" w14:textId="77777777" w:rsidTr="00652154">
        <w:trPr>
          <w:cantSplit/>
          <w:trHeight w:val="20"/>
        </w:trPr>
        <w:tc>
          <w:tcPr>
            <w:tcW w:w="5000" w:type="pct"/>
            <w:vAlign w:val="center"/>
          </w:tcPr>
          <w:p w14:paraId="60D257EC" w14:textId="215D9587" w:rsidR="007D5172" w:rsidRPr="004B2B19" w:rsidRDefault="007D5172" w:rsidP="004015AC">
            <w:pPr>
              <w:pStyle w:val="Tabletext"/>
              <w:keepNext/>
              <w:keepLines/>
              <w:rPr>
                <w:strike/>
              </w:rPr>
            </w:pPr>
            <w:r w:rsidRPr="004B2B19">
              <w:rPr>
                <w:strike/>
              </w:rPr>
              <w:t>OR</w:t>
            </w:r>
          </w:p>
        </w:tc>
      </w:tr>
      <w:tr w:rsidR="007D5172" w:rsidRPr="004B2B19" w14:paraId="6D6D63EE" w14:textId="77777777" w:rsidTr="00652154">
        <w:trPr>
          <w:cantSplit/>
          <w:trHeight w:val="20"/>
        </w:trPr>
        <w:tc>
          <w:tcPr>
            <w:tcW w:w="5000" w:type="pct"/>
            <w:vAlign w:val="center"/>
          </w:tcPr>
          <w:p w14:paraId="28F22B21" w14:textId="1E3E2600" w:rsidR="007D5172" w:rsidRPr="004B2B19" w:rsidRDefault="007D5172" w:rsidP="004015AC">
            <w:pPr>
              <w:pStyle w:val="Tabletext"/>
              <w:keepNext/>
              <w:keepLines/>
              <w:rPr>
                <w:strike/>
              </w:rPr>
            </w:pPr>
            <w:r w:rsidRPr="004B2B19">
              <w:rPr>
                <w:strike/>
              </w:rPr>
              <w:t>Must be treated by a neurologist if treatment is being continued or re-initiated;</w:t>
            </w:r>
          </w:p>
        </w:tc>
      </w:tr>
      <w:tr w:rsidR="007D5172" w:rsidRPr="004B2B19" w14:paraId="0F90EB57" w14:textId="77777777" w:rsidTr="00652154">
        <w:trPr>
          <w:cantSplit/>
          <w:trHeight w:val="20"/>
        </w:trPr>
        <w:tc>
          <w:tcPr>
            <w:tcW w:w="5000" w:type="pct"/>
            <w:vAlign w:val="center"/>
          </w:tcPr>
          <w:p w14:paraId="0095D820" w14:textId="51448C31" w:rsidR="007D5172" w:rsidRPr="004B2B19" w:rsidRDefault="007D5172" w:rsidP="004015AC">
            <w:pPr>
              <w:pStyle w:val="Tabletext"/>
              <w:keepNext/>
              <w:keepLines/>
              <w:rPr>
                <w:strike/>
              </w:rPr>
            </w:pPr>
            <w:r w:rsidRPr="004B2B19">
              <w:rPr>
                <w:strike/>
              </w:rPr>
              <w:t>OR</w:t>
            </w:r>
          </w:p>
        </w:tc>
      </w:tr>
      <w:tr w:rsidR="007D5172" w:rsidRPr="004B2B19" w14:paraId="546213D5" w14:textId="77777777" w:rsidTr="00652154">
        <w:trPr>
          <w:cantSplit/>
          <w:trHeight w:val="20"/>
        </w:trPr>
        <w:tc>
          <w:tcPr>
            <w:tcW w:w="5000" w:type="pct"/>
            <w:vAlign w:val="center"/>
          </w:tcPr>
          <w:p w14:paraId="17EF5A26" w14:textId="38D9DFFB" w:rsidR="007D5172" w:rsidRPr="004B2B19" w:rsidRDefault="007D5172" w:rsidP="004015AC">
            <w:pPr>
              <w:pStyle w:val="Tabletext"/>
              <w:keepNext/>
              <w:keepLines/>
              <w:rPr>
                <w:strike/>
              </w:rPr>
            </w:pPr>
            <w:r w:rsidRPr="004B2B19">
              <w:rPr>
                <w:strike/>
              </w:rPr>
              <w:t>Must be treated by a p</w:t>
            </w:r>
            <w:r w:rsidR="00FB7BA2" w:rsidRPr="004B2B19">
              <w:rPr>
                <w:strike/>
              </w:rPr>
              <w:t>aed</w:t>
            </w:r>
            <w:r w:rsidRPr="004B2B19">
              <w:rPr>
                <w:strike/>
              </w:rPr>
              <w:t>iatrician in consultation with a neurologist if treatment is being continued;</w:t>
            </w:r>
          </w:p>
        </w:tc>
      </w:tr>
      <w:tr w:rsidR="007D5172" w:rsidRPr="004B2B19" w14:paraId="731332C3" w14:textId="77777777" w:rsidTr="00652154">
        <w:trPr>
          <w:cantSplit/>
          <w:trHeight w:val="20"/>
        </w:trPr>
        <w:tc>
          <w:tcPr>
            <w:tcW w:w="5000" w:type="pct"/>
            <w:vAlign w:val="center"/>
          </w:tcPr>
          <w:p w14:paraId="6DD72E2C" w14:textId="19726712" w:rsidR="007D5172" w:rsidRPr="004B2B19" w:rsidRDefault="007D5172" w:rsidP="004015AC">
            <w:pPr>
              <w:pStyle w:val="Tabletext"/>
              <w:keepNext/>
              <w:keepLines/>
              <w:rPr>
                <w:strike/>
              </w:rPr>
            </w:pPr>
            <w:r w:rsidRPr="004B2B19">
              <w:rPr>
                <w:strike/>
              </w:rPr>
              <w:t>OR</w:t>
            </w:r>
          </w:p>
        </w:tc>
      </w:tr>
      <w:tr w:rsidR="007D5172" w:rsidRPr="004B2B19" w14:paraId="70001741" w14:textId="77777777" w:rsidTr="00652154">
        <w:trPr>
          <w:cantSplit/>
          <w:trHeight w:val="20"/>
        </w:trPr>
        <w:tc>
          <w:tcPr>
            <w:tcW w:w="5000" w:type="pct"/>
            <w:vAlign w:val="center"/>
          </w:tcPr>
          <w:p w14:paraId="2D2B44EE" w14:textId="54E8CA92" w:rsidR="007D5172" w:rsidRPr="004B2B19" w:rsidRDefault="007D5172" w:rsidP="004015AC">
            <w:pPr>
              <w:pStyle w:val="Tabletext"/>
              <w:keepNext/>
              <w:keepLines/>
              <w:rPr>
                <w:strike/>
              </w:rPr>
            </w:pPr>
            <w:r w:rsidRPr="004B2B19">
              <w:rPr>
                <w:strike/>
              </w:rPr>
              <w:t>Must be treated by a general practitioner in consultation with a neurologist if treatment is being continued;</w:t>
            </w:r>
          </w:p>
        </w:tc>
      </w:tr>
      <w:tr w:rsidR="007D5172" w:rsidRPr="004B2B19" w14:paraId="23585CD9" w14:textId="77777777" w:rsidTr="00652154">
        <w:trPr>
          <w:cantSplit/>
          <w:trHeight w:val="20"/>
        </w:trPr>
        <w:tc>
          <w:tcPr>
            <w:tcW w:w="5000" w:type="pct"/>
            <w:vAlign w:val="center"/>
          </w:tcPr>
          <w:p w14:paraId="66F6C109" w14:textId="01B02340" w:rsidR="007D5172" w:rsidRPr="004B2B19" w:rsidRDefault="007D5172" w:rsidP="004015AC">
            <w:pPr>
              <w:pStyle w:val="Tabletext"/>
              <w:keepNext/>
              <w:keepLines/>
            </w:pPr>
            <w:r w:rsidRPr="004B2B19">
              <w:t>OR</w:t>
            </w:r>
          </w:p>
        </w:tc>
      </w:tr>
      <w:tr w:rsidR="003365BF" w:rsidRPr="004B2B19" w14:paraId="2EBEBC2A" w14:textId="77777777" w:rsidTr="00652154">
        <w:trPr>
          <w:cantSplit/>
          <w:trHeight w:val="20"/>
        </w:trPr>
        <w:tc>
          <w:tcPr>
            <w:tcW w:w="5000" w:type="pct"/>
            <w:vAlign w:val="center"/>
          </w:tcPr>
          <w:p w14:paraId="1D35A9C5" w14:textId="760D3DCB" w:rsidR="003365BF" w:rsidRPr="004B2B19" w:rsidRDefault="003365BF" w:rsidP="003365BF">
            <w:pPr>
              <w:pStyle w:val="Tabletext"/>
              <w:keepNext/>
              <w:keepLines/>
            </w:pPr>
            <w:r w:rsidRPr="004B2B19">
              <w:rPr>
                <w:rFonts w:cs="Arial Narrow"/>
                <w:i/>
                <w:iCs/>
                <w:color w:val="000000"/>
                <w:szCs w:val="20"/>
              </w:rPr>
              <w:t>Must be treated by a prescriber who is either (i) a neurologist,</w:t>
            </w:r>
            <w:r w:rsidRPr="004B2B19">
              <w:rPr>
                <w:rFonts w:cs="Arial Narrow"/>
                <w:i/>
                <w:iCs/>
                <w:szCs w:val="20"/>
              </w:rPr>
              <w:t xml:space="preserve"> </w:t>
            </w:r>
            <w:r w:rsidRPr="004B2B19">
              <w:rPr>
                <w:rFonts w:cs="Arial Narrow"/>
                <w:i/>
                <w:iCs/>
                <w:color w:val="000000"/>
                <w:szCs w:val="20"/>
              </w:rPr>
              <w:t xml:space="preserve">(ii) a </w:t>
            </w:r>
            <w:r w:rsidRPr="004B2B19">
              <w:rPr>
                <w:rFonts w:cs="Arial Narrow"/>
                <w:i/>
                <w:iCs/>
                <w:szCs w:val="20"/>
              </w:rPr>
              <w:t>paediatrician</w:t>
            </w:r>
            <w:r w:rsidRPr="004B2B19">
              <w:rPr>
                <w:rFonts w:cs="Arial Narrow"/>
                <w:i/>
                <w:iCs/>
                <w:color w:val="FF0000"/>
                <w:szCs w:val="20"/>
              </w:rPr>
              <w:t xml:space="preserve"> </w:t>
            </w:r>
            <w:r w:rsidRPr="004B2B19">
              <w:rPr>
                <w:rFonts w:cs="Arial Narrow"/>
                <w:i/>
                <w:iCs/>
                <w:color w:val="000000"/>
                <w:szCs w:val="20"/>
              </w:rPr>
              <w:t>if treatment is being initiated; or</w:t>
            </w:r>
          </w:p>
        </w:tc>
      </w:tr>
      <w:tr w:rsidR="003365BF" w:rsidRPr="004B2B19" w14:paraId="0D3ACD09" w14:textId="77777777" w:rsidTr="00652154">
        <w:trPr>
          <w:cantSplit/>
          <w:trHeight w:val="20"/>
        </w:trPr>
        <w:tc>
          <w:tcPr>
            <w:tcW w:w="5000" w:type="pct"/>
            <w:vAlign w:val="center"/>
          </w:tcPr>
          <w:p w14:paraId="1CEB62D2" w14:textId="77F4547E" w:rsidR="003365BF" w:rsidRPr="004B2B19" w:rsidRDefault="003365BF" w:rsidP="003365BF">
            <w:pPr>
              <w:pStyle w:val="Tabletext"/>
              <w:keepNext/>
              <w:keepLines/>
              <w:rPr>
                <w:rFonts w:cs="Arial Narrow"/>
                <w:i/>
                <w:iCs/>
                <w:color w:val="000000"/>
                <w:szCs w:val="20"/>
              </w:rPr>
            </w:pPr>
            <w:r w:rsidRPr="004B2B19">
              <w:rPr>
                <w:rFonts w:cs="Arial Narrow"/>
                <w:i/>
                <w:iCs/>
                <w:color w:val="000000"/>
                <w:szCs w:val="20"/>
              </w:rPr>
              <w:t>OR</w:t>
            </w:r>
          </w:p>
        </w:tc>
      </w:tr>
      <w:tr w:rsidR="003365BF" w:rsidRPr="004B2B19" w14:paraId="6F00923A" w14:textId="77777777" w:rsidTr="00652154">
        <w:trPr>
          <w:cantSplit/>
          <w:trHeight w:val="20"/>
        </w:trPr>
        <w:tc>
          <w:tcPr>
            <w:tcW w:w="5000" w:type="pct"/>
            <w:vAlign w:val="center"/>
          </w:tcPr>
          <w:p w14:paraId="522EF883" w14:textId="750898FE" w:rsidR="003365BF" w:rsidRPr="004B2B19" w:rsidRDefault="003365BF" w:rsidP="003365BF">
            <w:pPr>
              <w:pStyle w:val="Tabletext"/>
              <w:keepNext/>
              <w:keepLines/>
            </w:pPr>
            <w:r w:rsidRPr="004B2B19">
              <w:rPr>
                <w:rFonts w:cs="Arial Narrow"/>
                <w:i/>
                <w:iCs/>
                <w:color w:val="000000"/>
                <w:szCs w:val="20"/>
              </w:rPr>
              <w:t>Must be treated by a prescriber who is either (i) a neurologist,</w:t>
            </w:r>
            <w:r w:rsidRPr="004B2B19">
              <w:rPr>
                <w:rFonts w:cs="Arial Narrow"/>
                <w:i/>
                <w:iCs/>
                <w:szCs w:val="20"/>
              </w:rPr>
              <w:t xml:space="preserve"> </w:t>
            </w:r>
            <w:r w:rsidRPr="004B2B19">
              <w:rPr>
                <w:rFonts w:cs="Arial Narrow"/>
                <w:i/>
                <w:iCs/>
                <w:color w:val="000000"/>
                <w:szCs w:val="20"/>
              </w:rPr>
              <w:t xml:space="preserve">(ii) a </w:t>
            </w:r>
            <w:r w:rsidRPr="004B2B19">
              <w:rPr>
                <w:rFonts w:cs="Arial Narrow"/>
                <w:i/>
                <w:iCs/>
                <w:szCs w:val="20"/>
              </w:rPr>
              <w:t>paediatrician</w:t>
            </w:r>
            <w:r w:rsidRPr="004B2B19">
              <w:rPr>
                <w:rFonts w:cs="Arial Narrow"/>
                <w:b/>
                <w:bCs/>
                <w:i/>
                <w:iCs/>
                <w:szCs w:val="20"/>
              </w:rPr>
              <w:t xml:space="preserve"> </w:t>
            </w:r>
            <w:r w:rsidRPr="004B2B19">
              <w:rPr>
                <w:rFonts w:cs="Arial Narrow"/>
                <w:i/>
                <w:iCs/>
                <w:color w:val="000000"/>
                <w:szCs w:val="20"/>
              </w:rPr>
              <w:t>if treatment is being continued or re-initiated; or</w:t>
            </w:r>
          </w:p>
        </w:tc>
      </w:tr>
      <w:tr w:rsidR="003365BF" w:rsidRPr="004B2B19" w14:paraId="7C32EF5E" w14:textId="77777777" w:rsidTr="00652154">
        <w:trPr>
          <w:cantSplit/>
          <w:trHeight w:val="20"/>
        </w:trPr>
        <w:tc>
          <w:tcPr>
            <w:tcW w:w="5000" w:type="pct"/>
            <w:vAlign w:val="center"/>
          </w:tcPr>
          <w:p w14:paraId="2953500E" w14:textId="511A4B79" w:rsidR="003365BF" w:rsidRPr="004B2B19" w:rsidRDefault="003365BF" w:rsidP="003365BF">
            <w:pPr>
              <w:pStyle w:val="Tabletext"/>
              <w:keepNext/>
              <w:keepLines/>
              <w:rPr>
                <w:rFonts w:cs="Arial Narrow"/>
                <w:i/>
                <w:iCs/>
                <w:color w:val="000000"/>
                <w:szCs w:val="20"/>
              </w:rPr>
            </w:pPr>
            <w:r w:rsidRPr="004B2B19">
              <w:rPr>
                <w:rFonts w:cs="Arial Narrow"/>
                <w:i/>
                <w:iCs/>
                <w:color w:val="000000"/>
                <w:szCs w:val="20"/>
              </w:rPr>
              <w:t>OR</w:t>
            </w:r>
          </w:p>
        </w:tc>
      </w:tr>
      <w:tr w:rsidR="003365BF" w:rsidRPr="004B2B19" w14:paraId="217F4D38" w14:textId="77777777" w:rsidTr="00652154">
        <w:trPr>
          <w:cantSplit/>
          <w:trHeight w:val="20"/>
        </w:trPr>
        <w:tc>
          <w:tcPr>
            <w:tcW w:w="5000" w:type="pct"/>
            <w:vAlign w:val="center"/>
          </w:tcPr>
          <w:p w14:paraId="21C519E6" w14:textId="777D5100" w:rsidR="003365BF" w:rsidRPr="004B2B19" w:rsidRDefault="003365BF" w:rsidP="003365BF">
            <w:pPr>
              <w:pStyle w:val="Tabletext"/>
              <w:keepNext/>
              <w:keepLines/>
            </w:pPr>
            <w:r w:rsidRPr="004B2B19">
              <w:rPr>
                <w:rFonts w:cs="Arial Narrow"/>
                <w:i/>
                <w:iCs/>
                <w:color w:val="000000"/>
                <w:szCs w:val="20"/>
              </w:rPr>
              <w:t>Must be treated by a general practitioner in consultation with either (</w:t>
            </w:r>
            <w:r w:rsidR="00771DA3" w:rsidRPr="004B2B19">
              <w:rPr>
                <w:rFonts w:cs="Arial Narrow"/>
                <w:i/>
                <w:iCs/>
                <w:color w:val="000000"/>
                <w:szCs w:val="20"/>
              </w:rPr>
              <w:t>i</w:t>
            </w:r>
            <w:r w:rsidRPr="004B2B19">
              <w:rPr>
                <w:rFonts w:cs="Arial Narrow"/>
                <w:i/>
                <w:iCs/>
                <w:color w:val="000000"/>
                <w:szCs w:val="20"/>
              </w:rPr>
              <w:t>) a neurologist</w:t>
            </w:r>
            <w:r w:rsidRPr="004B2B19">
              <w:rPr>
                <w:rFonts w:cs="Arial Narrow"/>
                <w:i/>
                <w:iCs/>
                <w:szCs w:val="20"/>
              </w:rPr>
              <w:t xml:space="preserve">, </w:t>
            </w:r>
            <w:r w:rsidRPr="004B2B19">
              <w:rPr>
                <w:rFonts w:cs="Arial Narrow"/>
                <w:i/>
                <w:iCs/>
                <w:color w:val="000000"/>
                <w:szCs w:val="20"/>
              </w:rPr>
              <w:t xml:space="preserve">(ii) a </w:t>
            </w:r>
            <w:r w:rsidRPr="004B2B19">
              <w:rPr>
                <w:rFonts w:cs="Arial Narrow"/>
                <w:i/>
                <w:iCs/>
                <w:szCs w:val="20"/>
              </w:rPr>
              <w:t xml:space="preserve">paediatrician </w:t>
            </w:r>
            <w:r w:rsidRPr="004B2B19">
              <w:rPr>
                <w:rFonts w:cs="Arial Narrow"/>
                <w:i/>
                <w:iCs/>
                <w:color w:val="000000"/>
                <w:szCs w:val="20"/>
              </w:rPr>
              <w:t>if treatment is being continued</w:t>
            </w:r>
          </w:p>
        </w:tc>
      </w:tr>
      <w:tr w:rsidR="003365BF" w:rsidRPr="004B2B19" w14:paraId="12A88507" w14:textId="77777777" w:rsidTr="00652154">
        <w:trPr>
          <w:cantSplit/>
          <w:trHeight w:val="20"/>
        </w:trPr>
        <w:tc>
          <w:tcPr>
            <w:tcW w:w="5000" w:type="pct"/>
            <w:vAlign w:val="center"/>
          </w:tcPr>
          <w:p w14:paraId="30965786" w14:textId="143B7FC7" w:rsidR="003365BF" w:rsidRPr="004B2B19" w:rsidRDefault="003365BF" w:rsidP="003365BF">
            <w:pPr>
              <w:pStyle w:val="Tabletext"/>
              <w:keepNext/>
              <w:keepLines/>
            </w:pPr>
            <w:r w:rsidRPr="004B2B19">
              <w:t>OR</w:t>
            </w:r>
          </w:p>
        </w:tc>
      </w:tr>
      <w:tr w:rsidR="003365BF" w:rsidRPr="004B2B19" w14:paraId="13E31D06" w14:textId="77777777" w:rsidTr="00652154">
        <w:trPr>
          <w:cantSplit/>
          <w:trHeight w:val="20"/>
        </w:trPr>
        <w:tc>
          <w:tcPr>
            <w:tcW w:w="5000" w:type="pct"/>
            <w:vAlign w:val="center"/>
          </w:tcPr>
          <w:p w14:paraId="1BF7FE4A" w14:textId="5D450A6A" w:rsidR="003365BF" w:rsidRPr="004B2B19" w:rsidRDefault="003365BF" w:rsidP="003365BF">
            <w:pPr>
              <w:pStyle w:val="Tabletext"/>
              <w:keepNext/>
              <w:keepLines/>
            </w:pPr>
            <w:r w:rsidRPr="004B2B19">
              <w:t>Must be treated by a registered nurse in partnership with an authorised health practitioner under a clinical governance framework and an active prescribing agreement if treatment is being continued.</w:t>
            </w:r>
          </w:p>
        </w:tc>
      </w:tr>
      <w:tr w:rsidR="003365BF" w:rsidRPr="004B2B19" w14:paraId="292480CA" w14:textId="77777777" w:rsidTr="00652154">
        <w:trPr>
          <w:cantSplit/>
          <w:trHeight w:val="20"/>
        </w:trPr>
        <w:tc>
          <w:tcPr>
            <w:tcW w:w="5000" w:type="pct"/>
            <w:vAlign w:val="center"/>
          </w:tcPr>
          <w:p w14:paraId="78E5F63D" w14:textId="66F74C3B" w:rsidR="003365BF" w:rsidRPr="004B2B19" w:rsidRDefault="003365BF" w:rsidP="003365BF">
            <w:pPr>
              <w:pStyle w:val="Tabletext"/>
              <w:keepNext/>
              <w:keepLines/>
              <w:rPr>
                <w:strike/>
              </w:rPr>
            </w:pPr>
            <w:r w:rsidRPr="004B2B19">
              <w:rPr>
                <w:b/>
                <w:strike/>
              </w:rPr>
              <w:t xml:space="preserve">Administrative Advice: </w:t>
            </w:r>
            <w:r w:rsidRPr="004B2B19">
              <w:rPr>
                <w:strike/>
              </w:rPr>
              <w:t>Tonic seizures must have been recorded on video-EEG or have been clearly observed and reported by a witness.</w:t>
            </w:r>
          </w:p>
        </w:tc>
      </w:tr>
      <w:tr w:rsidR="003365BF" w:rsidRPr="004B2B19" w14:paraId="3DB8842B" w14:textId="77777777" w:rsidTr="00652154">
        <w:trPr>
          <w:cantSplit/>
          <w:trHeight w:val="20"/>
        </w:trPr>
        <w:tc>
          <w:tcPr>
            <w:tcW w:w="5000" w:type="pct"/>
            <w:vAlign w:val="center"/>
          </w:tcPr>
          <w:p w14:paraId="764E87B1" w14:textId="4CEF20C9" w:rsidR="003365BF" w:rsidRPr="004B2B19" w:rsidRDefault="003365BF" w:rsidP="003365BF">
            <w:pPr>
              <w:pStyle w:val="Tabletext"/>
              <w:keepNext/>
              <w:keepLines/>
            </w:pPr>
            <w:r w:rsidRPr="004B2B19">
              <w:rPr>
                <w:b/>
              </w:rPr>
              <w:t xml:space="preserve">Administrative Advice: </w:t>
            </w:r>
            <w:r w:rsidRPr="004B2B19">
              <w:t>Confirmation of eligibility for treatment with diagnostic reports must be documented in the patient's medical records.</w:t>
            </w:r>
          </w:p>
        </w:tc>
      </w:tr>
      <w:tr w:rsidR="003365BF" w:rsidRPr="004B2B19" w14:paraId="2F561F26" w14:textId="77777777" w:rsidTr="00652154">
        <w:trPr>
          <w:cantSplit/>
          <w:trHeight w:val="20"/>
        </w:trPr>
        <w:tc>
          <w:tcPr>
            <w:tcW w:w="5000" w:type="pct"/>
            <w:vAlign w:val="center"/>
          </w:tcPr>
          <w:p w14:paraId="624C9752" w14:textId="2EE2AB9C" w:rsidR="003365BF" w:rsidRPr="004B2B19" w:rsidRDefault="003365BF" w:rsidP="003365BF">
            <w:pPr>
              <w:pStyle w:val="Tabletext"/>
              <w:keepNext/>
              <w:keepLines/>
              <w:rPr>
                <w:b/>
              </w:rPr>
            </w:pPr>
            <w:r w:rsidRPr="004B2B19">
              <w:rPr>
                <w:b/>
              </w:rPr>
              <w:t xml:space="preserve">Administrative Advice: </w:t>
            </w:r>
            <w:r w:rsidRPr="004B2B19">
              <w:t>Cardiac monitoring must be carried out in accordance with the approved Product Information while on treatment with this drug for this condition.</w:t>
            </w:r>
          </w:p>
        </w:tc>
      </w:tr>
      <w:bookmarkEnd w:id="10"/>
    </w:tbl>
    <w:p w14:paraId="1A107972" w14:textId="77777777" w:rsidR="0064666A" w:rsidRPr="004B2B19" w:rsidRDefault="0064666A" w:rsidP="00772E5C">
      <w:pPr>
        <w:pStyle w:val="3-BodyText"/>
        <w:numPr>
          <w:ilvl w:val="0"/>
          <w:numId w:val="0"/>
        </w:numPr>
        <w:ind w:left="720"/>
      </w:pPr>
    </w:p>
    <w:p w14:paraId="2568837B" w14:textId="2240A3CD" w:rsidR="00E60421" w:rsidRPr="004B2B19" w:rsidRDefault="00E60421" w:rsidP="00E60421">
      <w:pPr>
        <w:pStyle w:val="3-BodyText"/>
      </w:pPr>
      <w:r w:rsidRPr="004B2B19">
        <w:t xml:space="preserve">The proposed restriction </w:t>
      </w:r>
      <w:r w:rsidR="002F71F0" w:rsidRPr="004B2B19">
        <w:t xml:space="preserve">provided in the submission </w:t>
      </w:r>
      <w:r w:rsidRPr="004B2B19">
        <w:t>was the same as the PBS restriction for cannabidiol for LGS prior to the July 2025 PBAC meeting, with the additional requirement for cardiac monitoring</w:t>
      </w:r>
      <w:r w:rsidR="00821A9F" w:rsidRPr="004B2B19">
        <w:t xml:space="preserve">, consistent with the current PBS listing for </w:t>
      </w:r>
      <w:r w:rsidR="00567AC2" w:rsidRPr="004B2B19">
        <w:t>fenfluramine</w:t>
      </w:r>
      <w:r w:rsidR="00821A9F" w:rsidRPr="004B2B19">
        <w:t xml:space="preserve"> in DS</w:t>
      </w:r>
      <w:r w:rsidR="000319DA" w:rsidRPr="004B2B19">
        <w:t>.</w:t>
      </w:r>
      <w:r w:rsidR="000319DA" w:rsidRPr="004B2B19">
        <w:rPr>
          <w:rFonts w:ascii="Calibri" w:eastAsia="Times New Roman" w:hAnsi="Calibri" w:cs="Arial"/>
          <w:szCs w:val="24"/>
        </w:rPr>
        <w:t xml:space="preserve"> </w:t>
      </w:r>
      <w:r w:rsidR="000319DA" w:rsidRPr="004B2B19">
        <w:t>The revised listing proposed by the Secretariat (above) was aligned with the PBAC recommended listing for CBD in July 2025</w:t>
      </w:r>
      <w:r w:rsidRPr="004B2B19">
        <w:t xml:space="preserve">. The Pre-Sub-Committee Response (PSCR) accepted updating the restriction to be consistent with the cannabidiol changes recommended by the PBAC at its July 2025 meeting. </w:t>
      </w:r>
    </w:p>
    <w:p w14:paraId="059997BC" w14:textId="715B7E44" w:rsidR="00F67A69" w:rsidRPr="004B2B19" w:rsidRDefault="007D5172" w:rsidP="00F9393E">
      <w:pPr>
        <w:pStyle w:val="3-BodyText"/>
      </w:pPr>
      <w:r w:rsidRPr="004B2B19">
        <w:t>The submission proposed a Special Pricing Arrangement</w:t>
      </w:r>
      <w:r w:rsidR="00567AC2" w:rsidRPr="004B2B19">
        <w:t xml:space="preserve"> (SPA)</w:t>
      </w:r>
      <w:r w:rsidRPr="004B2B19">
        <w:t xml:space="preserve"> for fenfluramine for LGS; the product currently has a SPA for its listing for</w:t>
      </w:r>
      <w:r w:rsidR="00567AC2" w:rsidRPr="004B2B19">
        <w:t xml:space="preserve"> DS</w:t>
      </w:r>
      <w:r w:rsidRPr="004B2B19">
        <w:t>. The published price proposed in the submission was the same as the current published price for DS. The submission stated that following a positive recommendation to list fenfluramine for LGS patients, once the effective price for cannabidiol was revealed, the sponsor would propose an effective price for fenfluramine to ensure that the cost minimisation approach would be realised.</w:t>
      </w:r>
    </w:p>
    <w:p w14:paraId="64C01DAC" w14:textId="65C45B2C" w:rsidR="002E1351" w:rsidRPr="004B2B19" w:rsidRDefault="002E1351" w:rsidP="00F9393E">
      <w:pPr>
        <w:pStyle w:val="3-BodyText"/>
      </w:pPr>
      <w:r w:rsidRPr="004B2B19">
        <w:t xml:space="preserve">At its July 2025 meeting, the PBAC </w:t>
      </w:r>
      <w:r w:rsidR="00C7243B" w:rsidRPr="004B2B19">
        <w:t xml:space="preserve">recommended amending the restriction level of cannabidiol for LGS from Authority Required (telephone/online PBS Authorities system) to Authority Required (STREAMLINED) (paragraph 5.1, cannabidiol </w:t>
      </w:r>
      <w:r w:rsidR="00F11B99" w:rsidRPr="004B2B19">
        <w:t>Public Summary Document [</w:t>
      </w:r>
      <w:r w:rsidR="00C7243B" w:rsidRPr="004B2B19">
        <w:t>PSD</w:t>
      </w:r>
      <w:r w:rsidR="00F11B99" w:rsidRPr="004B2B19">
        <w:t>]</w:t>
      </w:r>
      <w:r w:rsidR="00C7243B" w:rsidRPr="004B2B19">
        <w:t>, July</w:t>
      </w:r>
      <w:r w:rsidR="00FA416F" w:rsidRPr="004B2B19">
        <w:t> </w:t>
      </w:r>
      <w:r w:rsidR="00C7243B" w:rsidRPr="004B2B19">
        <w:t xml:space="preserve">2025 PBAC meeting). </w:t>
      </w:r>
    </w:p>
    <w:p w14:paraId="0E2B4863" w14:textId="77777777" w:rsidR="001F7F3B" w:rsidRPr="004B2B19" w:rsidRDefault="001F7F3B" w:rsidP="000C0EAA">
      <w:pPr>
        <w:ind w:left="142" w:firstLine="720"/>
        <w:rPr>
          <w:rFonts w:asciiTheme="minorHAnsi" w:hAnsiTheme="minorHAnsi"/>
          <w:i/>
        </w:rPr>
      </w:pPr>
      <w:bookmarkStart w:id="12" w:name="_Hlk76375324"/>
      <w:r w:rsidRPr="004B2B19">
        <w:rPr>
          <w:rFonts w:asciiTheme="minorHAnsi" w:hAnsiTheme="minorHAnsi"/>
          <w:i/>
        </w:rPr>
        <w:t>For more detail on PBAC’s view, see section 7 PBAC outcome.</w:t>
      </w:r>
    </w:p>
    <w:p w14:paraId="7075B85C" w14:textId="62A47B7B" w:rsidR="00B50DB8" w:rsidRPr="004B2B19" w:rsidDel="00195452" w:rsidRDefault="00203181" w:rsidP="004E18E9">
      <w:pPr>
        <w:pStyle w:val="2-SectionHeading"/>
      </w:pPr>
      <w:bookmarkStart w:id="13" w:name="_Toc208980604"/>
      <w:bookmarkEnd w:id="12"/>
      <w:r w:rsidRPr="004B2B19" w:rsidDel="00195452">
        <w:t xml:space="preserve">Population and </w:t>
      </w:r>
      <w:r w:rsidR="008E0D3C" w:rsidRPr="004B2B19" w:rsidDel="00195452">
        <w:t>d</w:t>
      </w:r>
      <w:r w:rsidRPr="004B2B19" w:rsidDel="00195452">
        <w:t>isease</w:t>
      </w:r>
      <w:bookmarkEnd w:id="13"/>
    </w:p>
    <w:p w14:paraId="21FDD135" w14:textId="1B2AE40A" w:rsidR="00894489" w:rsidRPr="004B2B19" w:rsidDel="00195452" w:rsidRDefault="00F23315" w:rsidP="004E18E9">
      <w:pPr>
        <w:pStyle w:val="3-BodyText"/>
      </w:pPr>
      <w:r w:rsidRPr="004B2B19">
        <w:t xml:space="preserve">Lennox-Gastaut Syndrome is a lifelong condition characterised by childhood onset of multiple types of epileptic seizures, treatment-resistance of seizures, and intellectual disability. Mortality is increased and impacts on quality of life and </w:t>
      </w:r>
      <w:r w:rsidR="00A06439" w:rsidRPr="004B2B19">
        <w:t>parent/</w:t>
      </w:r>
      <w:r w:rsidRPr="004B2B19">
        <w:t>care</w:t>
      </w:r>
      <w:r w:rsidR="00A06439" w:rsidRPr="004B2B19">
        <w:t>giver</w:t>
      </w:r>
      <w:r w:rsidRPr="004B2B19">
        <w:t xml:space="preserve"> burden are severe.</w:t>
      </w:r>
      <w:r w:rsidR="009A27BE" w:rsidRPr="004B2B19">
        <w:t xml:space="preserve"> </w:t>
      </w:r>
      <w:r w:rsidR="00D14BBB" w:rsidRPr="004B2B19">
        <w:t xml:space="preserve">Most patients require multiple </w:t>
      </w:r>
      <w:r w:rsidR="00FB7BA2" w:rsidRPr="004B2B19">
        <w:t>ASMs</w:t>
      </w:r>
      <w:r w:rsidR="00A06439" w:rsidRPr="004B2B19">
        <w:t>,</w:t>
      </w:r>
      <w:r w:rsidR="00D14BBB" w:rsidRPr="004B2B19">
        <w:t xml:space="preserve"> and changes of treatment because of intolerance or lack of efficacy are</w:t>
      </w:r>
      <w:r w:rsidR="00903BFB" w:rsidRPr="004B2B19">
        <w:t xml:space="preserve"> </w:t>
      </w:r>
      <w:r w:rsidR="00CD25C8" w:rsidRPr="004B2B19">
        <w:t>common</w:t>
      </w:r>
      <w:r w:rsidR="00903BFB" w:rsidRPr="004B2B19">
        <w:t>.</w:t>
      </w:r>
      <w:r w:rsidR="00D14BBB" w:rsidRPr="004B2B19">
        <w:t xml:space="preserve"> </w:t>
      </w:r>
    </w:p>
    <w:p w14:paraId="68C8BF37" w14:textId="77777777" w:rsidR="001C0FF1" w:rsidRPr="004B2B19" w:rsidRDefault="001C3503" w:rsidP="001C0FF1">
      <w:pPr>
        <w:pStyle w:val="3-BodyText"/>
        <w:rPr>
          <w:i/>
        </w:rPr>
      </w:pPr>
      <w:r w:rsidRPr="004B2B19">
        <w:t xml:space="preserve">The proposed treatment </w:t>
      </w:r>
      <w:r w:rsidR="00E460B7" w:rsidRPr="004B2B19">
        <w:t>algorithm positioned</w:t>
      </w:r>
      <w:r w:rsidR="00984B29" w:rsidRPr="004B2B19">
        <w:t xml:space="preserve"> FEN </w:t>
      </w:r>
      <w:r w:rsidRPr="004B2B19">
        <w:t>as</w:t>
      </w:r>
      <w:r w:rsidR="00984B29" w:rsidRPr="004B2B19">
        <w:t xml:space="preserve"> an alternative to CBD as </w:t>
      </w:r>
      <w:r w:rsidRPr="004B2B19">
        <w:t>third-line</w:t>
      </w:r>
      <w:r w:rsidR="00984B29" w:rsidRPr="004B2B19">
        <w:t xml:space="preserve"> treatment in patients whose seizures are inadequately controlled on</w:t>
      </w:r>
      <w:r w:rsidR="00651FA5" w:rsidRPr="004B2B19">
        <w:t xml:space="preserve"> at least two of</w:t>
      </w:r>
      <w:r w:rsidR="00984B29" w:rsidRPr="004B2B19">
        <w:t xml:space="preserve"> </w:t>
      </w:r>
      <w:r w:rsidR="00651FA5" w:rsidRPr="004B2B19">
        <w:t>valproate, lamotrigine and topiramate</w:t>
      </w:r>
      <w:r w:rsidRPr="004B2B19">
        <w:t>, or as fourth-line treatment in addition to CBD and two other drugs</w:t>
      </w:r>
      <w:r w:rsidR="00984B29" w:rsidRPr="004B2B19">
        <w:t xml:space="preserve">. </w:t>
      </w:r>
    </w:p>
    <w:p w14:paraId="7C90243D" w14:textId="7EBAB5A9" w:rsidR="00C10E54" w:rsidRPr="004B2B19" w:rsidRDefault="00C10E54" w:rsidP="00C10E54">
      <w:pPr>
        <w:pStyle w:val="3-BodyText"/>
        <w:rPr>
          <w:color w:val="000000" w:themeColor="text1"/>
        </w:rPr>
      </w:pPr>
      <w:r w:rsidRPr="004B2B19">
        <w:rPr>
          <w:color w:val="000000" w:themeColor="text1"/>
        </w:rPr>
        <w:t xml:space="preserve">Fenfluramine and its metabolite norfenfluramine are agonists at serotonin (5-HT) receptors, which enhances GABAergic neurotransmission, and inhibit excitatory glutamatergic signalling by mediating the interaction of the sigma-1 receptor with the N-methyl-D-aspartate receptor. </w:t>
      </w:r>
    </w:p>
    <w:p w14:paraId="10AE1D89" w14:textId="2CF90886" w:rsidR="001F7F3B" w:rsidRPr="004B2B19" w:rsidRDefault="001F7F3B" w:rsidP="000C0EAA">
      <w:pPr>
        <w:pStyle w:val="3-BodyText"/>
        <w:numPr>
          <w:ilvl w:val="0"/>
          <w:numId w:val="0"/>
        </w:numPr>
        <w:ind w:left="720" w:firstLine="142"/>
        <w:rPr>
          <w:i/>
        </w:rPr>
      </w:pPr>
      <w:r w:rsidRPr="004B2B19">
        <w:rPr>
          <w:i/>
        </w:rPr>
        <w:t>For more detail on PBAC’s view, see section 7 PBAC outcome.</w:t>
      </w:r>
    </w:p>
    <w:p w14:paraId="51E5AE96" w14:textId="136A63B1" w:rsidR="00B50DB8" w:rsidRPr="004B2B19" w:rsidRDefault="00B50DB8" w:rsidP="004E18E9">
      <w:pPr>
        <w:pStyle w:val="2-SectionHeading"/>
      </w:pPr>
      <w:bookmarkStart w:id="14" w:name="_Toc208980605"/>
      <w:r w:rsidRPr="004B2B19">
        <w:t>Comparator</w:t>
      </w:r>
      <w:bookmarkEnd w:id="14"/>
    </w:p>
    <w:p w14:paraId="171F7766" w14:textId="6E22C771" w:rsidR="004B1D12" w:rsidRPr="004B2B19" w:rsidRDefault="00753BA4" w:rsidP="004B1D12">
      <w:pPr>
        <w:pStyle w:val="3-BodyText"/>
      </w:pPr>
      <w:r w:rsidRPr="004B2B19">
        <w:t xml:space="preserve">CBD was nominated as </w:t>
      </w:r>
      <w:r w:rsidR="004B1D12" w:rsidRPr="004B2B19">
        <w:t xml:space="preserve">the </w:t>
      </w:r>
      <w:r w:rsidRPr="004B2B19">
        <w:t xml:space="preserve">main comparator. </w:t>
      </w:r>
      <w:r w:rsidR="004B1D12" w:rsidRPr="004B2B19">
        <w:t xml:space="preserve">The submission justified this in terms of the proposed restriction and proposed treatment algorithm, which position FEN and CBD as </w:t>
      </w:r>
      <w:r w:rsidR="00BC6E95" w:rsidRPr="004B2B19">
        <w:t xml:space="preserve">alternative </w:t>
      </w:r>
      <w:r w:rsidR="004B1D12" w:rsidRPr="004B2B19">
        <w:t xml:space="preserve">third-line treatments in patients </w:t>
      </w:r>
      <w:r w:rsidR="00FC47BF" w:rsidRPr="004B2B19">
        <w:t xml:space="preserve">who have </w:t>
      </w:r>
      <w:r w:rsidR="004B1D12" w:rsidRPr="004B2B19">
        <w:t>receiv</w:t>
      </w:r>
      <w:r w:rsidR="00FC47BF" w:rsidRPr="004B2B19">
        <w:t xml:space="preserve">ed </w:t>
      </w:r>
      <w:r w:rsidR="004B1D12" w:rsidRPr="004B2B19">
        <w:t xml:space="preserve">at least two other </w:t>
      </w:r>
      <w:r w:rsidR="00FB7BA2" w:rsidRPr="004B2B19">
        <w:t>ASMs</w:t>
      </w:r>
      <w:r w:rsidR="004B1D12" w:rsidRPr="004B2B19">
        <w:t>.</w:t>
      </w:r>
    </w:p>
    <w:p w14:paraId="066CC53E" w14:textId="05A6C191" w:rsidR="001D3103" w:rsidRPr="004B2B19" w:rsidRDefault="00DC696D" w:rsidP="00882E3C">
      <w:pPr>
        <w:pStyle w:val="3-BodyText"/>
      </w:pPr>
      <w:r w:rsidRPr="004B2B19">
        <w:t xml:space="preserve">The </w:t>
      </w:r>
      <w:r w:rsidR="00B932A4" w:rsidRPr="004B2B19">
        <w:t xml:space="preserve">PBS-listed </w:t>
      </w:r>
      <w:r w:rsidR="00FB7BA2" w:rsidRPr="004B2B19">
        <w:t>ASMs</w:t>
      </w:r>
      <w:r w:rsidRPr="004B2B19">
        <w:t xml:space="preserve"> </w:t>
      </w:r>
      <w:r w:rsidR="00B932A4" w:rsidRPr="004B2B19">
        <w:t>commonly used</w:t>
      </w:r>
      <w:r w:rsidRPr="004B2B19">
        <w:t xml:space="preserve"> for LGS</w:t>
      </w:r>
      <w:r w:rsidR="002E276A" w:rsidRPr="004B2B19">
        <w:t>,</w:t>
      </w:r>
      <w:r w:rsidRPr="004B2B19">
        <w:t xml:space="preserve"> other than cannabidiol</w:t>
      </w:r>
      <w:r w:rsidR="002E276A" w:rsidRPr="004B2B19">
        <w:t>,</w:t>
      </w:r>
      <w:r w:rsidRPr="004B2B19">
        <w:t xml:space="preserve"> are valproate, topiramate and lamotrigine. </w:t>
      </w:r>
      <w:r w:rsidR="007B002C" w:rsidRPr="004B2B19">
        <w:t>Valproate</w:t>
      </w:r>
      <w:r w:rsidR="00B932A4" w:rsidRPr="004B2B19">
        <w:t xml:space="preserve"> is not restricted </w:t>
      </w:r>
      <w:r w:rsidR="003062EA" w:rsidRPr="004B2B19">
        <w:t>by</w:t>
      </w:r>
      <w:r w:rsidR="00B932A4" w:rsidRPr="004B2B19">
        <w:t xml:space="preserve"> type of epilepsy and there is no requirement for prior use of other treatments. Lamotrigine is not restricted as to type of epilepsy, but "[t]he condition must have failed to be controlled satisfactorily by other anti-epileptic drugs" (or the patient must be a woman of child-bearing potential). Topiramate is PBS-listed for LGS and </w:t>
      </w:r>
      <w:r w:rsidR="007B002C" w:rsidRPr="004B2B19">
        <w:t>"</w:t>
      </w:r>
      <w:r w:rsidR="00B932A4" w:rsidRPr="004B2B19">
        <w:t>[t]</w:t>
      </w:r>
      <w:r w:rsidR="007B002C" w:rsidRPr="004B2B19">
        <w:t>he condition must have failed to be controlled satisfactorily by other anti-epileptic drugs</w:t>
      </w:r>
      <w:r w:rsidR="00B932A4" w:rsidRPr="004B2B19">
        <w:t>".</w:t>
      </w:r>
      <w:r w:rsidR="00095FD9">
        <w:t xml:space="preserve"> </w:t>
      </w:r>
      <w:r w:rsidRPr="004B2B19">
        <w:t>C</w:t>
      </w:r>
      <w:r w:rsidR="00631B2B" w:rsidRPr="004B2B19">
        <w:t>lobazam</w:t>
      </w:r>
      <w:r w:rsidR="001D3103" w:rsidRPr="004B2B19">
        <w:t xml:space="preserve"> and</w:t>
      </w:r>
      <w:r w:rsidR="00631B2B" w:rsidRPr="004B2B19">
        <w:t xml:space="preserve"> rufinamide </w:t>
      </w:r>
      <w:r w:rsidRPr="004B2B19">
        <w:t xml:space="preserve">are not PBS-listed but </w:t>
      </w:r>
      <w:r w:rsidR="00631B2B" w:rsidRPr="004B2B19">
        <w:t>are included in treatment guidelines</w:t>
      </w:r>
      <w:r w:rsidR="001D3103" w:rsidRPr="004B2B19">
        <w:t xml:space="preserve"> </w:t>
      </w:r>
      <w:r w:rsidRPr="004B2B19">
        <w:t xml:space="preserve">for LGS </w:t>
      </w:r>
      <w:r w:rsidR="001D3103" w:rsidRPr="004B2B19">
        <w:t>as first- or second-line options</w:t>
      </w:r>
      <w:r w:rsidR="00631B2B" w:rsidRPr="004B2B19">
        <w:t xml:space="preserve">. </w:t>
      </w:r>
    </w:p>
    <w:p w14:paraId="47D9B48A" w14:textId="6A18CFDC" w:rsidR="002C2775" w:rsidRPr="004B2B19" w:rsidRDefault="00DC696D" w:rsidP="002E4F02">
      <w:pPr>
        <w:pStyle w:val="3-BodyText"/>
      </w:pPr>
      <w:bookmarkStart w:id="15" w:name="_Ref210916506"/>
      <w:r w:rsidRPr="004B2B19">
        <w:t>The submission conceded that any of valproate, topiramate and lamotrigine could be comparators, but</w:t>
      </w:r>
      <w:r w:rsidR="00CD7D52" w:rsidRPr="004B2B19">
        <w:t xml:space="preserve"> that</w:t>
      </w:r>
      <w:r w:rsidRPr="004B2B19">
        <w:t xml:space="preserve"> "given the limitations of the available evidence base, as previously recognised by PBAC, (Cannabidiol PSD, March 2022), it was considered unlikely that clinical comparisons would be either technically feasible or particularly informative for PBAC decision making". </w:t>
      </w:r>
      <w:bookmarkEnd w:id="15"/>
    </w:p>
    <w:p w14:paraId="455650D2" w14:textId="16383DF8" w:rsidR="00200846" w:rsidRPr="004B2B19" w:rsidRDefault="00A256BA" w:rsidP="0011014D">
      <w:pPr>
        <w:pStyle w:val="3-BodyText"/>
      </w:pPr>
      <w:r w:rsidRPr="004B2B19">
        <w:t xml:space="preserve">The </w:t>
      </w:r>
      <w:r w:rsidR="00E24F16" w:rsidRPr="004B2B19">
        <w:t>PSCR</w:t>
      </w:r>
      <w:r w:rsidRPr="004B2B19">
        <w:t xml:space="preserve"> reiterated </w:t>
      </w:r>
      <w:r w:rsidR="00D12308" w:rsidRPr="004B2B19">
        <w:t xml:space="preserve">the submission had acknowledged </w:t>
      </w:r>
      <w:r w:rsidR="00160877" w:rsidRPr="004B2B19">
        <w:t xml:space="preserve">other treatments could be considered comparators, however </w:t>
      </w:r>
      <w:r w:rsidR="00A00EF6" w:rsidRPr="004B2B19">
        <w:t xml:space="preserve">argued the same limitations that applied to the consideration of CBD </w:t>
      </w:r>
      <w:r w:rsidR="00426EDD" w:rsidRPr="004B2B19">
        <w:t xml:space="preserve">(noted in paragraph </w:t>
      </w:r>
      <w:r w:rsidR="00426EDD" w:rsidRPr="004B2B19">
        <w:fldChar w:fldCharType="begin"/>
      </w:r>
      <w:r w:rsidR="00426EDD" w:rsidRPr="004B2B19">
        <w:instrText xml:space="preserve"> REF _Ref210916506 \r \h </w:instrText>
      </w:r>
      <w:r w:rsidR="00293BFB" w:rsidRPr="004B2B19">
        <w:instrText xml:space="preserve"> \* MERGEFORMAT </w:instrText>
      </w:r>
      <w:r w:rsidR="00426EDD" w:rsidRPr="004B2B19">
        <w:fldChar w:fldCharType="separate"/>
      </w:r>
      <w:r w:rsidR="00A037BC">
        <w:t>5.3</w:t>
      </w:r>
      <w:r w:rsidR="00426EDD" w:rsidRPr="004B2B19">
        <w:fldChar w:fldCharType="end"/>
      </w:r>
      <w:r w:rsidR="00426EDD" w:rsidRPr="004B2B19">
        <w:t>) apply for FEN</w:t>
      </w:r>
      <w:r w:rsidR="00066940" w:rsidRPr="004B2B19">
        <w:t>, thus,</w:t>
      </w:r>
      <w:r w:rsidRPr="004B2B19">
        <w:t xml:space="preserve"> it is unlikely clinical</w:t>
      </w:r>
      <w:r w:rsidR="00426EDD" w:rsidRPr="004B2B19">
        <w:t xml:space="preserve"> comparisons to other </w:t>
      </w:r>
      <w:r w:rsidR="00CE20FE" w:rsidRPr="004B2B19">
        <w:t>treatment options</w:t>
      </w:r>
      <w:r w:rsidRPr="004B2B19">
        <w:t xml:space="preserve"> would either be technically feasible or informative to the current decision context. The ESC considered other therapies could be considered comparators, but agreed with the PSCR that comparisons to these would likely be uninformative and was satisfied that </w:t>
      </w:r>
      <w:r w:rsidR="00DE0CEF" w:rsidRPr="004B2B19">
        <w:t xml:space="preserve">CBD </w:t>
      </w:r>
      <w:r w:rsidRPr="004B2B19">
        <w:t>is the most appropriate</w:t>
      </w:r>
      <w:r w:rsidR="00793F5B" w:rsidRPr="004B2B19">
        <w:t xml:space="preserve"> </w:t>
      </w:r>
      <w:r w:rsidRPr="004B2B19">
        <w:t>comparator.</w:t>
      </w:r>
      <w:r w:rsidR="001F7F3B" w:rsidRPr="004B2B19">
        <w:t xml:space="preserve"> </w:t>
      </w:r>
    </w:p>
    <w:p w14:paraId="1F636FBA" w14:textId="77777777" w:rsidR="001F7F3B" w:rsidRPr="004B2B19" w:rsidRDefault="001F7F3B" w:rsidP="0011014D">
      <w:pPr>
        <w:spacing w:before="60" w:after="60"/>
        <w:ind w:left="142" w:firstLine="720"/>
        <w:rPr>
          <w:rFonts w:asciiTheme="minorHAnsi" w:hAnsiTheme="minorHAnsi"/>
          <w:i/>
        </w:rPr>
      </w:pPr>
      <w:r w:rsidRPr="004B2B19">
        <w:rPr>
          <w:rFonts w:asciiTheme="minorHAnsi" w:hAnsiTheme="minorHAnsi"/>
          <w:i/>
        </w:rPr>
        <w:t>For more detail on PBAC’s view, see section 7 PBAC outcome.</w:t>
      </w:r>
    </w:p>
    <w:p w14:paraId="7F9C27C8" w14:textId="77777777" w:rsidR="00223D5A" w:rsidRPr="004B2B19" w:rsidRDefault="00223D5A" w:rsidP="00223D5A">
      <w:pPr>
        <w:pStyle w:val="2-SectionHeading"/>
        <w:numPr>
          <w:ilvl w:val="0"/>
          <w:numId w:val="1"/>
        </w:numPr>
      </w:pPr>
      <w:bookmarkStart w:id="16" w:name="_Toc208980606"/>
      <w:bookmarkStart w:id="17" w:name="_Toc22897640"/>
      <w:r w:rsidRPr="004B2B19">
        <w:t>Consideration of the evidence</w:t>
      </w:r>
      <w:bookmarkEnd w:id="16"/>
    </w:p>
    <w:p w14:paraId="5110A4D3" w14:textId="77777777" w:rsidR="00B82941" w:rsidRPr="004B2B19" w:rsidRDefault="00B82941" w:rsidP="004C79C4">
      <w:pPr>
        <w:pStyle w:val="3-SubsectionHeading"/>
        <w:outlineLvl w:val="1"/>
        <w:rPr>
          <w:lang w:eastAsia="en-AU"/>
        </w:rPr>
      </w:pPr>
      <w:bookmarkStart w:id="18" w:name="_Hlk76375935"/>
      <w:bookmarkStart w:id="19" w:name="_Toc208980607"/>
      <w:r w:rsidRPr="004B2B19">
        <w:rPr>
          <w:lang w:eastAsia="en-AU"/>
        </w:rPr>
        <w:t>Sponsor hearing</w:t>
      </w:r>
    </w:p>
    <w:p w14:paraId="6C845290" w14:textId="6CA91B53" w:rsidR="00332838" w:rsidRPr="004B2B19" w:rsidRDefault="00332838" w:rsidP="00B82941">
      <w:pPr>
        <w:widowControl w:val="0"/>
        <w:numPr>
          <w:ilvl w:val="1"/>
          <w:numId w:val="1"/>
        </w:numPr>
        <w:spacing w:after="120"/>
        <w:rPr>
          <w:rFonts w:asciiTheme="minorHAnsi" w:hAnsiTheme="minorHAnsi"/>
          <w:bCs/>
          <w:snapToGrid w:val="0"/>
        </w:rPr>
      </w:pPr>
      <w:bookmarkStart w:id="20" w:name="_Hlk76382586"/>
      <w:r w:rsidRPr="004B2B19">
        <w:rPr>
          <w:rFonts w:asciiTheme="minorHAnsi" w:hAnsiTheme="minorHAnsi"/>
          <w:bCs/>
          <w:snapToGrid w:val="0"/>
        </w:rPr>
        <w:t xml:space="preserve">The Sponsor requested a hearing for this item. The </w:t>
      </w:r>
      <w:r w:rsidR="00AE1F78" w:rsidRPr="004B2B19">
        <w:rPr>
          <w:rFonts w:asciiTheme="minorHAnsi" w:hAnsiTheme="minorHAnsi"/>
          <w:bCs/>
          <w:snapToGrid w:val="0"/>
        </w:rPr>
        <w:t>clinician discussed the severity of LGS, impact on patients, and highlighted th</w:t>
      </w:r>
      <w:r w:rsidR="002C6A4F" w:rsidRPr="004B2B19">
        <w:rPr>
          <w:rFonts w:asciiTheme="minorHAnsi" w:hAnsiTheme="minorHAnsi"/>
          <w:bCs/>
          <w:snapToGrid w:val="0"/>
        </w:rPr>
        <w:t xml:space="preserve">at response to different treatments and combinations was individualised, and there was a clinical need for new and effective therapies to </w:t>
      </w:r>
      <w:r w:rsidR="00D70E70" w:rsidRPr="004B2B19">
        <w:rPr>
          <w:rFonts w:asciiTheme="minorHAnsi" w:hAnsiTheme="minorHAnsi"/>
          <w:bCs/>
          <w:snapToGrid w:val="0"/>
        </w:rPr>
        <w:t xml:space="preserve">help some patients achieve better control of their condition. </w:t>
      </w:r>
    </w:p>
    <w:bookmarkEnd w:id="20"/>
    <w:p w14:paraId="291E1850" w14:textId="77777777" w:rsidR="00B82941" w:rsidRPr="004B2B19" w:rsidRDefault="00B82941" w:rsidP="004C79C4">
      <w:pPr>
        <w:pStyle w:val="3-SubsectionHeading"/>
        <w:outlineLvl w:val="1"/>
        <w:rPr>
          <w:lang w:eastAsia="en-AU"/>
        </w:rPr>
      </w:pPr>
      <w:r w:rsidRPr="004B2B19">
        <w:rPr>
          <w:lang w:eastAsia="en-AU"/>
        </w:rPr>
        <w:t>Consumer inputs</w:t>
      </w:r>
    </w:p>
    <w:p w14:paraId="441A529D" w14:textId="137832E1" w:rsidR="00D70E70" w:rsidRPr="004B2B19" w:rsidRDefault="00166FD0" w:rsidP="00B82941">
      <w:pPr>
        <w:widowControl w:val="0"/>
        <w:numPr>
          <w:ilvl w:val="1"/>
          <w:numId w:val="1"/>
        </w:numPr>
        <w:spacing w:after="120"/>
        <w:rPr>
          <w:rFonts w:asciiTheme="minorHAnsi" w:hAnsiTheme="minorHAnsi"/>
          <w:bCs/>
          <w:snapToGrid w:val="0"/>
        </w:rPr>
      </w:pPr>
      <w:bookmarkStart w:id="21" w:name="_Hlk76382618"/>
      <w:r w:rsidRPr="004B2B19">
        <w:rPr>
          <w:rFonts w:asciiTheme="minorHAnsi" w:hAnsiTheme="minorHAnsi"/>
          <w:bCs/>
          <w:snapToGrid w:val="0"/>
        </w:rPr>
        <w:t>The PBAC not</w:t>
      </w:r>
      <w:r w:rsidR="00CE5903" w:rsidRPr="004B2B19">
        <w:rPr>
          <w:rFonts w:asciiTheme="minorHAnsi" w:hAnsiTheme="minorHAnsi"/>
          <w:bCs/>
          <w:snapToGrid w:val="0"/>
        </w:rPr>
        <w:t>ed and welcomed the input from health care professionals (5), medical organisation the National Paediatric Medicines Forum (NPMF)</w:t>
      </w:r>
      <w:r w:rsidR="00E75BB9" w:rsidRPr="004B2B19">
        <w:rPr>
          <w:rFonts w:asciiTheme="minorHAnsi" w:hAnsiTheme="minorHAnsi"/>
          <w:bCs/>
          <w:snapToGrid w:val="0"/>
        </w:rPr>
        <w:t xml:space="preserve"> and consumer organisations </w:t>
      </w:r>
      <w:r w:rsidR="00786881" w:rsidRPr="004B2B19">
        <w:rPr>
          <w:rFonts w:asciiTheme="minorHAnsi" w:hAnsiTheme="minorHAnsi"/>
          <w:bCs/>
          <w:snapToGrid w:val="0"/>
        </w:rPr>
        <w:t xml:space="preserve">Epilepsy Action Australia and SCN2A Australia. </w:t>
      </w:r>
    </w:p>
    <w:p w14:paraId="320EFCCF" w14:textId="59EF9AD8" w:rsidR="00786881" w:rsidRPr="004B2B19" w:rsidRDefault="00E11015" w:rsidP="00B82941">
      <w:pPr>
        <w:widowControl w:val="0"/>
        <w:numPr>
          <w:ilvl w:val="1"/>
          <w:numId w:val="1"/>
        </w:numPr>
        <w:spacing w:after="120"/>
        <w:rPr>
          <w:rFonts w:asciiTheme="minorHAnsi" w:hAnsiTheme="minorHAnsi"/>
          <w:bCs/>
          <w:snapToGrid w:val="0"/>
        </w:rPr>
      </w:pPr>
      <w:r w:rsidRPr="004B2B19">
        <w:rPr>
          <w:rFonts w:asciiTheme="minorHAnsi" w:hAnsiTheme="minorHAnsi"/>
          <w:bCs/>
          <w:snapToGrid w:val="0"/>
        </w:rPr>
        <w:t>T</w:t>
      </w:r>
      <w:r w:rsidR="00786881" w:rsidRPr="004B2B19">
        <w:rPr>
          <w:rFonts w:asciiTheme="minorHAnsi" w:hAnsiTheme="minorHAnsi"/>
          <w:bCs/>
          <w:snapToGrid w:val="0"/>
        </w:rPr>
        <w:t xml:space="preserve">he input from health care professionals </w:t>
      </w:r>
      <w:r w:rsidR="0074742D" w:rsidRPr="004B2B19">
        <w:rPr>
          <w:rFonts w:asciiTheme="minorHAnsi" w:hAnsiTheme="minorHAnsi"/>
          <w:bCs/>
          <w:snapToGrid w:val="0"/>
        </w:rPr>
        <w:t>described LGS as a severe, treatment-resistant form of epilepsy with significant risks including intellectual disability, frequent and dangerous seizures that often cause injury, and sudden unexpected death in epilepsy (SUDEP)</w:t>
      </w:r>
      <w:r w:rsidR="00051F05" w:rsidRPr="004B2B19">
        <w:rPr>
          <w:rFonts w:asciiTheme="minorHAnsi" w:hAnsiTheme="minorHAnsi"/>
          <w:bCs/>
          <w:snapToGrid w:val="0"/>
        </w:rPr>
        <w:t xml:space="preserve"> with a devastating impact on quality of life for patients, parents and caregivers</w:t>
      </w:r>
      <w:r w:rsidR="00FF3AFD" w:rsidRPr="004B2B19">
        <w:rPr>
          <w:rFonts w:asciiTheme="minorHAnsi" w:hAnsiTheme="minorHAnsi"/>
          <w:bCs/>
          <w:snapToGrid w:val="0"/>
        </w:rPr>
        <w:t>, and stated FEN show</w:t>
      </w:r>
      <w:r w:rsidR="00A632DD" w:rsidRPr="004B2B19">
        <w:rPr>
          <w:rFonts w:asciiTheme="minorHAnsi" w:hAnsiTheme="minorHAnsi"/>
          <w:bCs/>
          <w:snapToGrid w:val="0"/>
        </w:rPr>
        <w:t>ed</w:t>
      </w:r>
      <w:r w:rsidR="00FF3AFD" w:rsidRPr="004B2B19">
        <w:rPr>
          <w:rFonts w:asciiTheme="minorHAnsi" w:hAnsiTheme="minorHAnsi"/>
          <w:bCs/>
          <w:snapToGrid w:val="0"/>
        </w:rPr>
        <w:t xml:space="preserve"> promise as an important new addition in a limited treatment landscape</w:t>
      </w:r>
      <w:r w:rsidR="00A92AD7" w:rsidRPr="004B2B19">
        <w:rPr>
          <w:rFonts w:asciiTheme="minorHAnsi" w:hAnsiTheme="minorHAnsi"/>
          <w:bCs/>
          <w:snapToGrid w:val="0"/>
        </w:rPr>
        <w:t xml:space="preserve">, with risk of side effects that are generally manageable with appropriate clinical oversight. </w:t>
      </w:r>
    </w:p>
    <w:p w14:paraId="0A769327" w14:textId="4D8FB4F0" w:rsidR="002D2878" w:rsidRPr="004B2B19" w:rsidRDefault="00780F10" w:rsidP="00B82941">
      <w:pPr>
        <w:widowControl w:val="0"/>
        <w:numPr>
          <w:ilvl w:val="1"/>
          <w:numId w:val="1"/>
        </w:numPr>
        <w:spacing w:after="120"/>
        <w:rPr>
          <w:rFonts w:asciiTheme="minorHAnsi" w:hAnsiTheme="minorHAnsi"/>
          <w:bCs/>
          <w:snapToGrid w:val="0"/>
        </w:rPr>
      </w:pPr>
      <w:r w:rsidRPr="004B2B19">
        <w:rPr>
          <w:rFonts w:asciiTheme="minorHAnsi" w:hAnsiTheme="minorHAnsi"/>
          <w:bCs/>
          <w:snapToGrid w:val="0"/>
        </w:rPr>
        <w:t>I</w:t>
      </w:r>
      <w:r w:rsidR="002D2878" w:rsidRPr="004B2B19">
        <w:rPr>
          <w:rFonts w:asciiTheme="minorHAnsi" w:hAnsiTheme="minorHAnsi"/>
          <w:bCs/>
          <w:snapToGrid w:val="0"/>
        </w:rPr>
        <w:t xml:space="preserve">nput from the NPMF </w:t>
      </w:r>
      <w:r w:rsidR="00783ED2" w:rsidRPr="004B2B19">
        <w:rPr>
          <w:rFonts w:asciiTheme="minorHAnsi" w:hAnsiTheme="minorHAnsi"/>
          <w:bCs/>
          <w:snapToGrid w:val="0"/>
        </w:rPr>
        <w:t xml:space="preserve">stated that </w:t>
      </w:r>
      <w:r w:rsidR="00E23C1E" w:rsidRPr="004B2B19">
        <w:rPr>
          <w:rFonts w:asciiTheme="minorHAnsi" w:hAnsiTheme="minorHAnsi"/>
          <w:bCs/>
          <w:snapToGrid w:val="0"/>
        </w:rPr>
        <w:t xml:space="preserve">FEN would be beneficial to all relevant paediatric patients with LGS, as these patients are often medication resistant and in need </w:t>
      </w:r>
      <w:r w:rsidRPr="004B2B19">
        <w:rPr>
          <w:rFonts w:asciiTheme="minorHAnsi" w:hAnsiTheme="minorHAnsi"/>
          <w:bCs/>
          <w:snapToGrid w:val="0"/>
        </w:rPr>
        <w:t xml:space="preserve">of </w:t>
      </w:r>
      <w:r w:rsidR="00E23C1E" w:rsidRPr="004B2B19">
        <w:rPr>
          <w:rFonts w:asciiTheme="minorHAnsi" w:hAnsiTheme="minorHAnsi"/>
          <w:bCs/>
          <w:snapToGrid w:val="0"/>
        </w:rPr>
        <w:t xml:space="preserve">further treatment options </w:t>
      </w:r>
      <w:r w:rsidRPr="004B2B19">
        <w:rPr>
          <w:rFonts w:asciiTheme="minorHAnsi" w:hAnsiTheme="minorHAnsi"/>
          <w:bCs/>
          <w:snapToGrid w:val="0"/>
        </w:rPr>
        <w:t>to</w:t>
      </w:r>
      <w:r w:rsidR="00E23C1E" w:rsidRPr="004B2B19">
        <w:rPr>
          <w:rFonts w:asciiTheme="minorHAnsi" w:hAnsiTheme="minorHAnsi"/>
          <w:bCs/>
          <w:snapToGrid w:val="0"/>
        </w:rPr>
        <w:t xml:space="preserve"> manage their condition. </w:t>
      </w:r>
    </w:p>
    <w:p w14:paraId="1C4FC463" w14:textId="26D31317" w:rsidR="00E23C1E" w:rsidRPr="004B2B19" w:rsidRDefault="00780F10" w:rsidP="00B82941">
      <w:pPr>
        <w:widowControl w:val="0"/>
        <w:numPr>
          <w:ilvl w:val="1"/>
          <w:numId w:val="1"/>
        </w:numPr>
        <w:spacing w:after="120"/>
        <w:rPr>
          <w:rFonts w:asciiTheme="minorHAnsi" w:hAnsiTheme="minorHAnsi"/>
          <w:bCs/>
          <w:snapToGrid w:val="0"/>
        </w:rPr>
      </w:pPr>
      <w:r w:rsidRPr="004B2B19">
        <w:rPr>
          <w:rFonts w:asciiTheme="minorHAnsi" w:hAnsiTheme="minorHAnsi"/>
          <w:bCs/>
          <w:snapToGrid w:val="0"/>
        </w:rPr>
        <w:t>I</w:t>
      </w:r>
      <w:r w:rsidR="00E23C1E" w:rsidRPr="004B2B19">
        <w:rPr>
          <w:rFonts w:asciiTheme="minorHAnsi" w:hAnsiTheme="minorHAnsi"/>
          <w:bCs/>
          <w:snapToGrid w:val="0"/>
        </w:rPr>
        <w:t>nput from Epilepsy Action Australia</w:t>
      </w:r>
      <w:r w:rsidR="00A45FE9" w:rsidRPr="004B2B19">
        <w:rPr>
          <w:rFonts w:asciiTheme="minorHAnsi" w:hAnsiTheme="minorHAnsi"/>
          <w:bCs/>
          <w:snapToGrid w:val="0"/>
        </w:rPr>
        <w:t xml:space="preserve"> noted</w:t>
      </w:r>
      <w:r w:rsidR="00A6377A" w:rsidRPr="004B2B19">
        <w:rPr>
          <w:rFonts w:asciiTheme="minorHAnsi" w:hAnsiTheme="minorHAnsi"/>
          <w:bCs/>
          <w:snapToGrid w:val="0"/>
        </w:rPr>
        <w:t xml:space="preserve"> the severity of LGS and</w:t>
      </w:r>
      <w:r w:rsidR="00917166" w:rsidRPr="004B2B19">
        <w:rPr>
          <w:rFonts w:asciiTheme="minorHAnsi" w:hAnsiTheme="minorHAnsi"/>
          <w:bCs/>
          <w:snapToGrid w:val="0"/>
        </w:rPr>
        <w:t xml:space="preserve"> the physical, social and financial</w:t>
      </w:r>
      <w:r w:rsidR="00A6377A" w:rsidRPr="004B2B19">
        <w:rPr>
          <w:rFonts w:asciiTheme="minorHAnsi" w:hAnsiTheme="minorHAnsi"/>
          <w:bCs/>
          <w:snapToGrid w:val="0"/>
        </w:rPr>
        <w:t xml:space="preserve"> impact on </w:t>
      </w:r>
      <w:r w:rsidR="00AC3334" w:rsidRPr="004B2B19">
        <w:rPr>
          <w:rFonts w:asciiTheme="minorHAnsi" w:hAnsiTheme="minorHAnsi"/>
          <w:bCs/>
          <w:snapToGrid w:val="0"/>
        </w:rPr>
        <w:t xml:space="preserve">patients, parents and families </w:t>
      </w:r>
      <w:r w:rsidR="00C26DDC" w:rsidRPr="004B2B19">
        <w:rPr>
          <w:rFonts w:asciiTheme="minorHAnsi" w:hAnsiTheme="minorHAnsi"/>
          <w:bCs/>
          <w:snapToGrid w:val="0"/>
        </w:rPr>
        <w:t>and</w:t>
      </w:r>
      <w:r w:rsidR="00917166" w:rsidRPr="004B2B19">
        <w:rPr>
          <w:rFonts w:asciiTheme="minorHAnsi" w:hAnsiTheme="minorHAnsi"/>
          <w:bCs/>
          <w:snapToGrid w:val="0"/>
        </w:rPr>
        <w:t xml:space="preserve"> highlighted</w:t>
      </w:r>
      <w:r w:rsidR="00C26DDC" w:rsidRPr="004B2B19">
        <w:rPr>
          <w:rFonts w:asciiTheme="minorHAnsi" w:hAnsiTheme="minorHAnsi"/>
          <w:bCs/>
          <w:snapToGrid w:val="0"/>
        </w:rPr>
        <w:t xml:space="preserve"> the clinical need for new and effective therapies. </w:t>
      </w:r>
      <w:r w:rsidR="00A45FE9" w:rsidRPr="004B2B19">
        <w:rPr>
          <w:rFonts w:asciiTheme="minorHAnsi" w:hAnsiTheme="minorHAnsi"/>
          <w:bCs/>
          <w:snapToGrid w:val="0"/>
        </w:rPr>
        <w:t xml:space="preserve">The </w:t>
      </w:r>
      <w:r w:rsidR="00C26DDC" w:rsidRPr="004B2B19">
        <w:rPr>
          <w:rFonts w:asciiTheme="minorHAnsi" w:hAnsiTheme="minorHAnsi"/>
          <w:bCs/>
          <w:snapToGrid w:val="0"/>
        </w:rPr>
        <w:t xml:space="preserve">input discussed the results of the </w:t>
      </w:r>
      <w:r w:rsidR="008563EB" w:rsidRPr="004B2B19">
        <w:rPr>
          <w:rFonts w:asciiTheme="minorHAnsi" w:hAnsiTheme="minorHAnsi"/>
          <w:bCs/>
          <w:snapToGrid w:val="0"/>
        </w:rPr>
        <w:t xml:space="preserve">pivotal FEN trial, which included some Australian patients, and the reduction in tonic and atonic seizures </w:t>
      </w:r>
      <w:r w:rsidR="00917166" w:rsidRPr="004B2B19">
        <w:rPr>
          <w:rFonts w:asciiTheme="minorHAnsi" w:hAnsiTheme="minorHAnsi"/>
          <w:bCs/>
          <w:snapToGrid w:val="0"/>
        </w:rPr>
        <w:t xml:space="preserve">experienced by patients treated with FEN. </w:t>
      </w:r>
    </w:p>
    <w:p w14:paraId="670C8084" w14:textId="3BAADDE4" w:rsidR="00917166" w:rsidRPr="004B2B19" w:rsidRDefault="00A45FE9" w:rsidP="00B82941">
      <w:pPr>
        <w:widowControl w:val="0"/>
        <w:numPr>
          <w:ilvl w:val="1"/>
          <w:numId w:val="1"/>
        </w:numPr>
        <w:spacing w:after="120"/>
        <w:rPr>
          <w:rFonts w:asciiTheme="minorHAnsi" w:hAnsiTheme="minorHAnsi"/>
          <w:bCs/>
          <w:snapToGrid w:val="0"/>
        </w:rPr>
      </w:pPr>
      <w:r w:rsidRPr="004B2B19">
        <w:rPr>
          <w:rFonts w:asciiTheme="minorHAnsi" w:hAnsiTheme="minorHAnsi"/>
          <w:bCs/>
          <w:snapToGrid w:val="0"/>
        </w:rPr>
        <w:t>I</w:t>
      </w:r>
      <w:r w:rsidR="002930D5" w:rsidRPr="004B2B19">
        <w:rPr>
          <w:rFonts w:asciiTheme="minorHAnsi" w:hAnsiTheme="minorHAnsi"/>
          <w:bCs/>
          <w:snapToGrid w:val="0"/>
        </w:rPr>
        <w:t>nput from SCN2A Australia</w:t>
      </w:r>
      <w:r w:rsidR="00205D03" w:rsidRPr="004B2B19">
        <w:rPr>
          <w:rFonts w:asciiTheme="minorHAnsi" w:hAnsiTheme="minorHAnsi"/>
          <w:bCs/>
          <w:snapToGrid w:val="0"/>
        </w:rPr>
        <w:t xml:space="preserve"> discussed the burden of LGS</w:t>
      </w:r>
      <w:r w:rsidR="00992BCB" w:rsidRPr="004B2B19">
        <w:rPr>
          <w:rFonts w:asciiTheme="minorHAnsi" w:hAnsiTheme="minorHAnsi"/>
          <w:bCs/>
          <w:snapToGrid w:val="0"/>
        </w:rPr>
        <w:t xml:space="preserve">, including frequent dangerous seizures and injury, the impact on schooling and community </w:t>
      </w:r>
      <w:r w:rsidR="009F45C3" w:rsidRPr="004B2B19">
        <w:rPr>
          <w:rFonts w:asciiTheme="minorHAnsi" w:hAnsiTheme="minorHAnsi"/>
          <w:bCs/>
          <w:snapToGrid w:val="0"/>
        </w:rPr>
        <w:t xml:space="preserve">participating and the impact on carers. The input also discussed the current management of LGS </w:t>
      </w:r>
      <w:r w:rsidR="00916981" w:rsidRPr="004B2B19">
        <w:rPr>
          <w:rFonts w:asciiTheme="minorHAnsi" w:hAnsiTheme="minorHAnsi"/>
          <w:bCs/>
          <w:snapToGrid w:val="0"/>
        </w:rPr>
        <w:t xml:space="preserve">and the potential benefits of FEN including </w:t>
      </w:r>
      <w:r w:rsidR="00360E9A" w:rsidRPr="004B2B19">
        <w:rPr>
          <w:rFonts w:asciiTheme="minorHAnsi" w:hAnsiTheme="minorHAnsi"/>
          <w:bCs/>
          <w:snapToGrid w:val="0"/>
        </w:rPr>
        <w:t>improved symptom control</w:t>
      </w:r>
      <w:r w:rsidR="00D12ADF" w:rsidRPr="004B2B19">
        <w:rPr>
          <w:rFonts w:asciiTheme="minorHAnsi" w:hAnsiTheme="minorHAnsi"/>
          <w:bCs/>
          <w:snapToGrid w:val="0"/>
        </w:rPr>
        <w:t xml:space="preserve"> and life stability, simplified administration compared to some treatments, and reduced disruption on daily life and </w:t>
      </w:r>
      <w:r w:rsidR="00DA0993" w:rsidRPr="004B2B19">
        <w:rPr>
          <w:rFonts w:asciiTheme="minorHAnsi" w:hAnsiTheme="minorHAnsi"/>
          <w:bCs/>
          <w:snapToGrid w:val="0"/>
        </w:rPr>
        <w:t xml:space="preserve">reduced burden on caregivers. </w:t>
      </w:r>
    </w:p>
    <w:bookmarkEnd w:id="18"/>
    <w:bookmarkEnd w:id="21"/>
    <w:p w14:paraId="609C0765" w14:textId="70F77ED0" w:rsidR="00B60939" w:rsidRPr="004B2B19" w:rsidRDefault="00B60939" w:rsidP="002E4F02">
      <w:pPr>
        <w:pStyle w:val="4-SubsectionHeading"/>
      </w:pPr>
      <w:r w:rsidRPr="004B2B19">
        <w:t>Clinical trials</w:t>
      </w:r>
      <w:bookmarkEnd w:id="17"/>
      <w:bookmarkEnd w:id="19"/>
    </w:p>
    <w:p w14:paraId="3CFA33E8" w14:textId="37BABBC4" w:rsidR="004A14A7" w:rsidRPr="004B2B19" w:rsidRDefault="004A14A7" w:rsidP="004A14A7">
      <w:pPr>
        <w:pStyle w:val="3-BodyText"/>
      </w:pPr>
      <w:r w:rsidRPr="004B2B19">
        <w:t>The submission was based on one trial comparing two doses of FEN to placebo (</w:t>
      </w:r>
      <w:r w:rsidR="00FB5D9D" w:rsidRPr="004B2B19">
        <w:t xml:space="preserve">Study 1601, </w:t>
      </w:r>
      <w:r w:rsidRPr="004B2B19">
        <w:t>N = 263).</w:t>
      </w:r>
      <w:r w:rsidR="00FB5D9D" w:rsidRPr="004B2B19">
        <w:t xml:space="preserve"> Study 1601</w:t>
      </w:r>
      <w:r w:rsidR="00F206C1" w:rsidRPr="004B2B19">
        <w:t xml:space="preserve"> included </w:t>
      </w:r>
      <w:r w:rsidRPr="004B2B19">
        <w:t>a randomised, double-blind phase (Part 1) and an open-label extension phase (Part 2). Subjects were enrolled in North America, Europe, Australia and Japan. Because enrolment was more rapid than expected, a protocol amendment increased the total sample size, separated patients from sites in Europe, North America and Australia (Cohort A) from patients from sites in Japan (Cohort B), and specified that Cohorts A and B were to be analysed separately</w:t>
      </w:r>
      <w:r w:rsidR="00A67480" w:rsidRPr="004B2B19">
        <w:t xml:space="preserve">. </w:t>
      </w:r>
      <w:r w:rsidRPr="004B2B19">
        <w:t xml:space="preserve">Only data from Cohort A were presented in the submission. </w:t>
      </w:r>
    </w:p>
    <w:p w14:paraId="0B3C8379" w14:textId="20F6AA73" w:rsidR="00E65B3C" w:rsidRPr="004B2B19" w:rsidRDefault="00E65B3C">
      <w:pPr>
        <w:pStyle w:val="3-BodyText"/>
      </w:pPr>
      <w:r w:rsidRPr="004B2B19">
        <w:t xml:space="preserve">Results from Cohort B (N = 33) were reviewed during the evaluation. </w:t>
      </w:r>
      <w:r w:rsidR="0032617A" w:rsidRPr="004B2B19">
        <w:t>D</w:t>
      </w:r>
      <w:r w:rsidR="00A1272A" w:rsidRPr="004B2B19">
        <w:t>ifferences between placebo, FEN 0.2 mg/kg/day and FEN 0.7 mg/kg/day</w:t>
      </w:r>
      <w:r w:rsidRPr="004B2B19">
        <w:t xml:space="preserve"> were broadly similar to those of Cohort A, both in regard to efficacy and safety</w:t>
      </w:r>
      <w:r w:rsidR="00A1272A" w:rsidRPr="004B2B19">
        <w:t>, although</w:t>
      </w:r>
      <w:r w:rsidR="0032617A" w:rsidRPr="004B2B19">
        <w:t xml:space="preserve"> </w:t>
      </w:r>
      <w:r w:rsidR="00A1272A" w:rsidRPr="004B2B19">
        <w:t xml:space="preserve">differences </w:t>
      </w:r>
      <w:r w:rsidR="0032617A" w:rsidRPr="004B2B19">
        <w:t xml:space="preserve">that were </w:t>
      </w:r>
      <w:r w:rsidR="00A1272A" w:rsidRPr="004B2B19">
        <w:t xml:space="preserve">statistically significant </w:t>
      </w:r>
      <w:r w:rsidR="0032617A" w:rsidRPr="004B2B19">
        <w:t xml:space="preserve">in Cohort A were not statistically significant in Cohort B </w:t>
      </w:r>
      <w:r w:rsidR="00A1272A" w:rsidRPr="004B2B19">
        <w:t>because of the small sample size.</w:t>
      </w:r>
    </w:p>
    <w:p w14:paraId="221519D9" w14:textId="3DE50B03" w:rsidR="007A0E45" w:rsidRPr="004B2B19" w:rsidRDefault="00E665AE" w:rsidP="007A0E45">
      <w:pPr>
        <w:pStyle w:val="3-BodyText"/>
      </w:pPr>
      <w:r w:rsidRPr="004B2B19">
        <w:t xml:space="preserve">The submission </w:t>
      </w:r>
      <w:r w:rsidR="00B33F50" w:rsidRPr="004B2B19">
        <w:t>presented</w:t>
      </w:r>
      <w:r w:rsidRPr="004B2B19">
        <w:t xml:space="preserve"> a</w:t>
      </w:r>
      <w:r w:rsidR="00BA65C0" w:rsidRPr="004B2B19">
        <w:t xml:space="preserve">n indirect treatment comparison </w:t>
      </w:r>
      <w:r w:rsidR="007A0E45" w:rsidRPr="004B2B19">
        <w:t>(ITC)</w:t>
      </w:r>
      <w:r w:rsidR="00BA65C0" w:rsidRPr="004B2B19">
        <w:t xml:space="preserve"> of FEN</w:t>
      </w:r>
      <w:r w:rsidR="007A0E45" w:rsidRPr="004B2B19">
        <w:t xml:space="preserve"> 0.7</w:t>
      </w:r>
      <w:r w:rsidR="007A489C" w:rsidRPr="004B2B19">
        <w:t> </w:t>
      </w:r>
      <w:r w:rsidR="007A0E45" w:rsidRPr="004B2B19">
        <w:t>mg/kg/day</w:t>
      </w:r>
      <w:r w:rsidR="00BA65C0" w:rsidRPr="004B2B19">
        <w:t xml:space="preserve"> vs CBD</w:t>
      </w:r>
      <w:r w:rsidR="007A0E45" w:rsidRPr="004B2B19">
        <w:t xml:space="preserve"> 10 mg/kg/day and 20 mg/kg/day</w:t>
      </w:r>
      <w:r w:rsidR="00BA65C0" w:rsidRPr="004B2B19">
        <w:t>, using two placebo-controlled trials of CBD (GWPCARE 3 and 4). These</w:t>
      </w:r>
      <w:r w:rsidRPr="004B2B19">
        <w:t xml:space="preserve"> CBD</w:t>
      </w:r>
      <w:r w:rsidR="00BA65C0" w:rsidRPr="004B2B19">
        <w:t xml:space="preserve"> trials have been </w:t>
      </w:r>
      <w:r w:rsidR="00AF3D3F" w:rsidRPr="004B2B19">
        <w:t>previously considered</w:t>
      </w:r>
      <w:r w:rsidR="00BA65C0" w:rsidRPr="004B2B19">
        <w:t xml:space="preserve"> by PBAC in its consideration of CBD for LGS.</w:t>
      </w:r>
    </w:p>
    <w:p w14:paraId="5F3ABB6B" w14:textId="4F9AD720" w:rsidR="00A151B8" w:rsidRPr="004B2B19" w:rsidRDefault="007A0E45">
      <w:pPr>
        <w:pStyle w:val="3-BodyText"/>
      </w:pPr>
      <w:r w:rsidRPr="004B2B19">
        <w:t>The submission stated that no ITC of CBD vs FEN 0.2 mg/kg/day was presented "</w:t>
      </w:r>
      <w:r w:rsidRPr="004B2B19">
        <w:rPr>
          <w:rStyle w:val="Font"/>
          <w:szCs w:val="20"/>
          <w:lang w:val="en-AU"/>
        </w:rPr>
        <w:t>as this is not a TGA recommended maintenance dose".</w:t>
      </w:r>
      <w:r w:rsidR="00B33F50" w:rsidRPr="004B2B19">
        <w:rPr>
          <w:rStyle w:val="Font"/>
          <w:lang w:val="en-AU"/>
        </w:rPr>
        <w:t xml:space="preserve"> </w:t>
      </w:r>
      <w:r w:rsidR="00E45C1B" w:rsidRPr="004B2B19">
        <w:t xml:space="preserve">However, </w:t>
      </w:r>
      <w:r w:rsidR="00944B16" w:rsidRPr="004B2B19">
        <w:t>there is no "recommended" maintenance dose in the PI, only a starting dose and a maximum.</w:t>
      </w:r>
    </w:p>
    <w:p w14:paraId="179D634B" w14:textId="091844B5" w:rsidR="004F6FB1" w:rsidRPr="004B2B19" w:rsidRDefault="00A2148B">
      <w:pPr>
        <w:pStyle w:val="3-BodyText"/>
      </w:pPr>
      <w:r w:rsidRPr="004B2B19">
        <w:t xml:space="preserve">Study 1601 was </w:t>
      </w:r>
      <w:r w:rsidR="00BF0E7B" w:rsidRPr="004B2B19">
        <w:t>designed using</w:t>
      </w:r>
      <w:r w:rsidR="006807D9" w:rsidRPr="004B2B19">
        <w:t xml:space="preserve"> results from</w:t>
      </w:r>
      <w:r w:rsidRPr="004B2B19">
        <w:t xml:space="preserve"> a</w:t>
      </w:r>
      <w:r w:rsidR="004327BA" w:rsidRPr="004B2B19">
        <w:t xml:space="preserve"> </w:t>
      </w:r>
      <w:r w:rsidR="00AE4FEF" w:rsidRPr="004B2B19">
        <w:t xml:space="preserve">small (N = 13) </w:t>
      </w:r>
      <w:r w:rsidR="004327BA" w:rsidRPr="004B2B19">
        <w:t>Phase 2, open-label</w:t>
      </w:r>
      <w:r w:rsidR="006807D9" w:rsidRPr="004B2B19">
        <w:t>,</w:t>
      </w:r>
      <w:r w:rsidR="004327BA" w:rsidRPr="004B2B19">
        <w:t xml:space="preserve"> dose-finding study</w:t>
      </w:r>
      <w:r w:rsidR="00F71627" w:rsidRPr="004B2B19">
        <w:t>, S58545</w:t>
      </w:r>
      <w:r w:rsidRPr="004B2B19">
        <w:t xml:space="preserve"> (NCT02655198) of FEN in treatment-refractory LGS. </w:t>
      </w:r>
      <w:r w:rsidR="002A5BDC" w:rsidRPr="004B2B19">
        <w:t>The submission presented r</w:t>
      </w:r>
      <w:r w:rsidR="00AE4FEF" w:rsidRPr="004B2B19">
        <w:t>esults from this study as supportive dat</w:t>
      </w:r>
      <w:r w:rsidR="00F60D48" w:rsidRPr="004B2B19">
        <w:t>a</w:t>
      </w:r>
      <w:r w:rsidR="00AE4FEF" w:rsidRPr="004B2B19">
        <w:t>.</w:t>
      </w:r>
      <w:r w:rsidR="00CD7D52" w:rsidRPr="004B2B19">
        <w:t xml:space="preserve"> </w:t>
      </w:r>
    </w:p>
    <w:p w14:paraId="554594DF" w14:textId="2390191C" w:rsidR="004F6FB1" w:rsidRPr="004B2B19" w:rsidRDefault="004F6FB1" w:rsidP="004F0948">
      <w:pPr>
        <w:pStyle w:val="3-BodyText"/>
      </w:pPr>
      <w:r w:rsidRPr="004B2B19">
        <w:t xml:space="preserve">Numerous systematic reviews and meta-analyses were identified, which </w:t>
      </w:r>
      <w:r w:rsidR="00B04201" w:rsidRPr="004B2B19">
        <w:t xml:space="preserve">the submission stated </w:t>
      </w:r>
      <w:r w:rsidRPr="004B2B19">
        <w:t xml:space="preserve">were considered to show " general consistency of data sources, results and conclusions with the present clinical evaluation"; results were not presented in the submission. </w:t>
      </w:r>
    </w:p>
    <w:p w14:paraId="623F0CFE" w14:textId="7925A87A" w:rsidR="00CD1536" w:rsidRPr="004B2B19" w:rsidRDefault="00A73134">
      <w:pPr>
        <w:pStyle w:val="3-BodyText"/>
      </w:pPr>
      <w:r w:rsidRPr="004B2B19">
        <w:t xml:space="preserve">Details of the trials </w:t>
      </w:r>
      <w:r w:rsidR="004F6FB1" w:rsidRPr="004B2B19">
        <w:t>relied on</w:t>
      </w:r>
      <w:r w:rsidRPr="004B2B19">
        <w:t xml:space="preserve"> in the submission are provided in </w:t>
      </w:r>
      <w:bookmarkStart w:id="22" w:name="_Ref104803956"/>
      <w:r w:rsidR="00B77756" w:rsidRPr="004B2B19">
        <w:fldChar w:fldCharType="begin"/>
      </w:r>
      <w:r w:rsidR="00B77756" w:rsidRPr="004B2B19">
        <w:instrText xml:space="preserve"> REF _Ref204687454 \h </w:instrText>
      </w:r>
      <w:r w:rsidR="00B44689" w:rsidRPr="004B2B19">
        <w:instrText xml:space="preserve"> \* MERGEFORMAT </w:instrText>
      </w:r>
      <w:r w:rsidR="00B77756" w:rsidRPr="004B2B19">
        <w:fldChar w:fldCharType="separate"/>
      </w:r>
      <w:r w:rsidR="00A037BC" w:rsidRPr="004B2B19">
        <w:t xml:space="preserve">Table </w:t>
      </w:r>
      <w:r w:rsidR="00A037BC">
        <w:t>2</w:t>
      </w:r>
      <w:r w:rsidR="00B77756" w:rsidRPr="004B2B19">
        <w:fldChar w:fldCharType="end"/>
      </w:r>
      <w:r w:rsidR="008E6C29" w:rsidRPr="004B2B19">
        <w:t>.</w:t>
      </w:r>
    </w:p>
    <w:p w14:paraId="7DE3A286" w14:textId="2183BA51" w:rsidR="008E0D3C" w:rsidRPr="004B2B19" w:rsidRDefault="00B77756" w:rsidP="0054306E">
      <w:pPr>
        <w:pStyle w:val="Caption"/>
        <w:rPr>
          <w:rStyle w:val="CommentReference"/>
          <w:b/>
          <w:szCs w:val="24"/>
        </w:rPr>
      </w:pPr>
      <w:bookmarkStart w:id="23" w:name="_Ref204687454"/>
      <w:bookmarkEnd w:id="22"/>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2</w:t>
      </w:r>
      <w:r w:rsidR="00057B46" w:rsidRPr="004B2B19">
        <w:rPr>
          <w:noProof/>
        </w:rPr>
        <w:fldChar w:fldCharType="end"/>
      </w:r>
      <w:bookmarkEnd w:id="23"/>
      <w:r w:rsidRPr="004B2B19">
        <w:t xml:space="preserve">: </w:t>
      </w:r>
      <w:r w:rsidR="008E0D3C" w:rsidRPr="004B2B19">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29"/>
        <w:gridCol w:w="4894"/>
        <w:gridCol w:w="2694"/>
      </w:tblGrid>
      <w:tr w:rsidR="008E0D3C" w:rsidRPr="004B2B19" w14:paraId="6ACD35C4" w14:textId="77777777" w:rsidTr="0094311D">
        <w:trPr>
          <w:cantSplit/>
          <w:tblHeader/>
        </w:trPr>
        <w:tc>
          <w:tcPr>
            <w:tcW w:w="792" w:type="pct"/>
            <w:vAlign w:val="center"/>
          </w:tcPr>
          <w:p w14:paraId="20DEEB23" w14:textId="77777777" w:rsidR="008E0D3C" w:rsidRPr="004B2B19" w:rsidRDefault="008E0D3C" w:rsidP="003B4837">
            <w:pPr>
              <w:pStyle w:val="In-tableHeading"/>
            </w:pPr>
            <w:r w:rsidRPr="004B2B19">
              <w:t>Trial ID</w:t>
            </w:r>
          </w:p>
        </w:tc>
        <w:tc>
          <w:tcPr>
            <w:tcW w:w="2714" w:type="pct"/>
            <w:vAlign w:val="center"/>
          </w:tcPr>
          <w:p w14:paraId="22EF6C51" w14:textId="77777777" w:rsidR="008E0D3C" w:rsidRPr="004B2B19" w:rsidRDefault="008E0D3C" w:rsidP="003B4837">
            <w:pPr>
              <w:pStyle w:val="In-tableHeading"/>
            </w:pPr>
            <w:r w:rsidRPr="004B2B19">
              <w:t>Protocol title/ Publication title</w:t>
            </w:r>
          </w:p>
        </w:tc>
        <w:tc>
          <w:tcPr>
            <w:tcW w:w="1494" w:type="pct"/>
            <w:vAlign w:val="center"/>
          </w:tcPr>
          <w:p w14:paraId="561B27A8" w14:textId="77777777" w:rsidR="008E0D3C" w:rsidRPr="004B2B19" w:rsidRDefault="008E0D3C" w:rsidP="003B4837">
            <w:pPr>
              <w:pStyle w:val="In-tableHeading"/>
            </w:pPr>
            <w:r w:rsidRPr="004B2B19">
              <w:t>Publication citation</w:t>
            </w:r>
          </w:p>
        </w:tc>
      </w:tr>
      <w:tr w:rsidR="002E4F02" w:rsidRPr="004B2B19" w14:paraId="298351BA" w14:textId="77777777" w:rsidTr="0094311D">
        <w:trPr>
          <w:cantSplit/>
        </w:trPr>
        <w:tc>
          <w:tcPr>
            <w:tcW w:w="792" w:type="pct"/>
            <w:vMerge w:val="restart"/>
            <w:vAlign w:val="center"/>
          </w:tcPr>
          <w:p w14:paraId="7A71CA80" w14:textId="213E8610" w:rsidR="002E4F02" w:rsidRPr="004B2B19" w:rsidRDefault="00852EFB" w:rsidP="0054306E">
            <w:pPr>
              <w:pStyle w:val="Tabletext"/>
              <w:keepNext/>
            </w:pPr>
            <w:r w:rsidRPr="004B2B19">
              <w:t>Study 1601, Part 1</w:t>
            </w:r>
          </w:p>
          <w:p w14:paraId="5D9482F5" w14:textId="6555FA3C" w:rsidR="00DF6341" w:rsidRPr="004B2B19" w:rsidRDefault="00852EFB" w:rsidP="0054306E">
            <w:pPr>
              <w:pStyle w:val="Tabletext"/>
              <w:keepNext/>
            </w:pPr>
            <w:r w:rsidRPr="004B2B19">
              <w:t>NCT03355209</w:t>
            </w:r>
          </w:p>
        </w:tc>
        <w:tc>
          <w:tcPr>
            <w:tcW w:w="2714" w:type="pct"/>
            <w:tcBorders>
              <w:bottom w:val="nil"/>
            </w:tcBorders>
            <w:vAlign w:val="center"/>
          </w:tcPr>
          <w:p w14:paraId="4D75DA42" w14:textId="02F55267" w:rsidR="00852EFB" w:rsidRPr="004B2B19" w:rsidRDefault="00852EFB" w:rsidP="0054306E">
            <w:pPr>
              <w:pStyle w:val="Tabletext"/>
              <w:keepNext/>
              <w:rPr>
                <w:rStyle w:val="SmallBold"/>
                <w:rFonts w:ascii="Arial Narrow" w:hAnsi="Arial Narrow"/>
                <w:b w:val="0"/>
              </w:rPr>
            </w:pPr>
            <w:r w:rsidRPr="004B2B19">
              <w:rPr>
                <w:rStyle w:val="SmallBold"/>
                <w:rFonts w:ascii="Arial Narrow" w:hAnsi="Arial Narrow"/>
                <w:b w:val="0"/>
              </w:rPr>
              <w:t>A Randomized, Double-blind, Placebo-controlled Trial of Two Fixed Doses of ZX008 (Fenfluramine Hydrochloride) Oral Solution as Adjunctive Therapy for Seizures in Children and Adults with LGS</w:t>
            </w:r>
            <w:r w:rsidR="00A057DD" w:rsidRPr="004B2B19">
              <w:rPr>
                <w:rStyle w:val="SmallBold"/>
                <w:rFonts w:ascii="Arial Narrow" w:hAnsi="Arial Narrow"/>
                <w:b w:val="0"/>
              </w:rPr>
              <w:t>.</w:t>
            </w:r>
          </w:p>
          <w:p w14:paraId="2570DA6E" w14:textId="3D42F30A" w:rsidR="002E4F02" w:rsidRPr="004B2B19" w:rsidRDefault="00852EFB" w:rsidP="0054306E">
            <w:pPr>
              <w:pStyle w:val="Tabletext"/>
              <w:keepNext/>
            </w:pPr>
            <w:r w:rsidRPr="004B2B19">
              <w:rPr>
                <w:rStyle w:val="SmallBold"/>
                <w:rFonts w:ascii="Arial Narrow" w:hAnsi="Arial Narrow"/>
                <w:b w:val="0"/>
              </w:rPr>
              <w:t>Part 1, Cohort A: 11 September 2021</w:t>
            </w:r>
          </w:p>
        </w:tc>
        <w:tc>
          <w:tcPr>
            <w:tcW w:w="1494" w:type="pct"/>
            <w:tcBorders>
              <w:bottom w:val="nil"/>
            </w:tcBorders>
            <w:vAlign w:val="center"/>
          </w:tcPr>
          <w:p w14:paraId="3B34EED6" w14:textId="77777777" w:rsidR="0030626F" w:rsidRPr="004B2B19" w:rsidRDefault="0030626F" w:rsidP="0054306E">
            <w:pPr>
              <w:pStyle w:val="Tabletext"/>
              <w:keepNext/>
            </w:pPr>
          </w:p>
          <w:p w14:paraId="47F75EAA" w14:textId="77777777" w:rsidR="0030626F" w:rsidRPr="004B2B19" w:rsidRDefault="0030626F" w:rsidP="0054306E">
            <w:pPr>
              <w:pStyle w:val="Tabletext"/>
              <w:keepNext/>
            </w:pPr>
          </w:p>
          <w:p w14:paraId="696B91FF" w14:textId="77777777" w:rsidR="0030626F" w:rsidRPr="004B2B19" w:rsidRDefault="0030626F" w:rsidP="0054306E">
            <w:pPr>
              <w:pStyle w:val="Tabletext"/>
              <w:keepNext/>
            </w:pPr>
          </w:p>
          <w:p w14:paraId="7578773D" w14:textId="6B156F73" w:rsidR="002E4F02" w:rsidRPr="004B2B19" w:rsidRDefault="002E4F02" w:rsidP="0054306E">
            <w:pPr>
              <w:pStyle w:val="Tabletext"/>
              <w:keepNext/>
              <w:rPr>
                <w:rFonts w:ascii="Arial" w:hAnsi="Arial" w:cs="Arial"/>
              </w:rPr>
            </w:pPr>
          </w:p>
        </w:tc>
      </w:tr>
      <w:tr w:rsidR="002E4F02" w:rsidRPr="004B2B19" w14:paraId="7F06C7BE" w14:textId="77777777" w:rsidTr="0094311D">
        <w:trPr>
          <w:cantSplit/>
        </w:trPr>
        <w:tc>
          <w:tcPr>
            <w:tcW w:w="792" w:type="pct"/>
            <w:vMerge/>
            <w:vAlign w:val="center"/>
          </w:tcPr>
          <w:p w14:paraId="2DE31C12" w14:textId="7BFA1DAD" w:rsidR="002E4F02" w:rsidRPr="004B2B19" w:rsidRDefault="002E4F02" w:rsidP="0054306E">
            <w:pPr>
              <w:pStyle w:val="Tabletext"/>
              <w:keepNext/>
              <w:rPr>
                <w:rFonts w:ascii="Arial" w:hAnsi="Arial" w:cs="Arial"/>
              </w:rPr>
            </w:pPr>
          </w:p>
        </w:tc>
        <w:tc>
          <w:tcPr>
            <w:tcW w:w="2714" w:type="pct"/>
            <w:tcBorders>
              <w:top w:val="nil"/>
              <w:bottom w:val="nil"/>
            </w:tcBorders>
            <w:vAlign w:val="center"/>
          </w:tcPr>
          <w:p w14:paraId="7CB8ADA9" w14:textId="600C29F2" w:rsidR="00054A8D" w:rsidRPr="004B2B19" w:rsidRDefault="0030626F" w:rsidP="0054306E">
            <w:pPr>
              <w:pStyle w:val="Tabletext"/>
              <w:keepNext/>
              <w:rPr>
                <w:rFonts w:ascii="Arial" w:hAnsi="Arial" w:cs="Arial"/>
              </w:rPr>
            </w:pPr>
            <w:r w:rsidRPr="004B2B19">
              <w:t>Knupp, KG, et al. Efficacy and safety of fenfluramine for the treatment of seizures associated with Lennox-Gastaut Syndrome: a randomized clinical trial.</w:t>
            </w:r>
          </w:p>
        </w:tc>
        <w:tc>
          <w:tcPr>
            <w:tcW w:w="1494" w:type="pct"/>
            <w:tcBorders>
              <w:top w:val="nil"/>
              <w:bottom w:val="nil"/>
            </w:tcBorders>
            <w:vAlign w:val="center"/>
          </w:tcPr>
          <w:p w14:paraId="50181493" w14:textId="398BB06E" w:rsidR="0030626F" w:rsidRPr="004B2B19" w:rsidRDefault="0030626F" w:rsidP="0054306E">
            <w:pPr>
              <w:pStyle w:val="Tabletext"/>
              <w:keepNext/>
            </w:pPr>
            <w:r w:rsidRPr="004B2B19">
              <w:t>JAMA, 2022; 79:554–564.</w:t>
            </w:r>
          </w:p>
          <w:p w14:paraId="53EB2567" w14:textId="256A1664" w:rsidR="002E4F02" w:rsidRPr="004B2B19" w:rsidRDefault="002E4F02" w:rsidP="0054306E">
            <w:pPr>
              <w:pStyle w:val="Tabletext"/>
              <w:keepNext/>
              <w:rPr>
                <w:rFonts w:ascii="Arial" w:hAnsi="Arial" w:cs="Arial"/>
              </w:rPr>
            </w:pPr>
          </w:p>
        </w:tc>
      </w:tr>
      <w:tr w:rsidR="00852EFB" w:rsidRPr="004B2B19" w14:paraId="74132A1A" w14:textId="77777777" w:rsidTr="0094311D">
        <w:trPr>
          <w:cantSplit/>
        </w:trPr>
        <w:tc>
          <w:tcPr>
            <w:tcW w:w="792" w:type="pct"/>
            <w:vMerge w:val="restart"/>
            <w:vAlign w:val="center"/>
          </w:tcPr>
          <w:p w14:paraId="456146B7" w14:textId="77777777" w:rsidR="00852EFB" w:rsidRPr="004B2B19" w:rsidRDefault="00852EFB" w:rsidP="0054306E">
            <w:pPr>
              <w:pStyle w:val="Tabletext"/>
              <w:keepNext/>
            </w:pPr>
            <w:r w:rsidRPr="004B2B19">
              <w:t>Study 1601, Part 2</w:t>
            </w:r>
          </w:p>
          <w:p w14:paraId="30BA87AC" w14:textId="53DEF345" w:rsidR="00852EFB" w:rsidRPr="004B2B19" w:rsidRDefault="0030626F" w:rsidP="0054306E">
            <w:pPr>
              <w:pStyle w:val="Tabletext"/>
              <w:keepNext/>
              <w:rPr>
                <w:rFonts w:ascii="Arial" w:hAnsi="Arial" w:cs="Arial"/>
              </w:rPr>
            </w:pPr>
            <w:r w:rsidRPr="004B2B19">
              <w:t>NCT03355209</w:t>
            </w:r>
          </w:p>
        </w:tc>
        <w:tc>
          <w:tcPr>
            <w:tcW w:w="2714" w:type="pct"/>
            <w:tcBorders>
              <w:bottom w:val="nil"/>
            </w:tcBorders>
          </w:tcPr>
          <w:p w14:paraId="7EF3AEBB" w14:textId="6DDB9917" w:rsidR="00852EFB" w:rsidRPr="004B2B19" w:rsidRDefault="00852EFB" w:rsidP="0054306E">
            <w:pPr>
              <w:pStyle w:val="Tabletext"/>
              <w:keepNext/>
            </w:pPr>
            <w:r w:rsidRPr="004B2B19">
              <w:rPr>
                <w:rStyle w:val="SmallBold"/>
                <w:rFonts w:ascii="Arial Narrow" w:hAnsi="Arial Narrow"/>
                <w:b w:val="0"/>
              </w:rPr>
              <w:t>An open-label, flexible-dose extension for patients who completed Part 1 that will assess long-term safety of ZX008 (Fenfluramine Hydrochloride) in Children and Adults with LGS.</w:t>
            </w:r>
            <w:r w:rsidR="0030626F" w:rsidRPr="004B2B19">
              <w:rPr>
                <w:rStyle w:val="SmallBold"/>
                <w:rFonts w:ascii="Arial Narrow" w:hAnsi="Arial Narrow"/>
                <w:b w:val="0"/>
              </w:rPr>
              <w:t xml:space="preserve"> Part 2, Cohort A: 14 September 20211</w:t>
            </w:r>
          </w:p>
        </w:tc>
        <w:tc>
          <w:tcPr>
            <w:tcW w:w="1494" w:type="pct"/>
            <w:tcBorders>
              <w:bottom w:val="nil"/>
            </w:tcBorders>
            <w:vAlign w:val="center"/>
          </w:tcPr>
          <w:p w14:paraId="65832AF0" w14:textId="0CF405EB" w:rsidR="00852EFB" w:rsidRPr="004B2B19" w:rsidRDefault="00852EFB" w:rsidP="0054306E">
            <w:pPr>
              <w:pStyle w:val="Tabletext"/>
              <w:keepNext/>
              <w:rPr>
                <w:rFonts w:ascii="Arial" w:hAnsi="Arial" w:cs="Arial"/>
              </w:rPr>
            </w:pPr>
          </w:p>
        </w:tc>
      </w:tr>
      <w:tr w:rsidR="00852EFB" w:rsidRPr="004B2B19" w14:paraId="72FE99D8" w14:textId="77777777" w:rsidTr="0094311D">
        <w:trPr>
          <w:cantSplit/>
        </w:trPr>
        <w:tc>
          <w:tcPr>
            <w:tcW w:w="792" w:type="pct"/>
            <w:vMerge/>
            <w:vAlign w:val="center"/>
          </w:tcPr>
          <w:p w14:paraId="1E431D63" w14:textId="177A5F18" w:rsidR="00852EFB" w:rsidRPr="004B2B19" w:rsidRDefault="00852EFB" w:rsidP="0054306E">
            <w:pPr>
              <w:pStyle w:val="Tabletext"/>
              <w:keepNext/>
              <w:rPr>
                <w:rFonts w:ascii="Arial" w:hAnsi="Arial" w:cs="Arial"/>
              </w:rPr>
            </w:pPr>
          </w:p>
        </w:tc>
        <w:tc>
          <w:tcPr>
            <w:tcW w:w="2714" w:type="pct"/>
            <w:tcBorders>
              <w:top w:val="nil"/>
              <w:bottom w:val="nil"/>
            </w:tcBorders>
          </w:tcPr>
          <w:p w14:paraId="0FCB0ED9" w14:textId="3420A594" w:rsidR="00852EFB" w:rsidRPr="004B2B19" w:rsidRDefault="0030626F" w:rsidP="0054306E">
            <w:pPr>
              <w:pStyle w:val="Tabletext"/>
              <w:keepNext/>
              <w:rPr>
                <w:rFonts w:ascii="Arial" w:hAnsi="Arial" w:cs="Arial"/>
              </w:rPr>
            </w:pPr>
            <w:r w:rsidRPr="004B2B19">
              <w:t>Knupp, KG, et al. Efficacy and safety of fenfluramine for the treatment of seizures associated with Lennox-Gastaut Syndrome: a randomized clinical trial.</w:t>
            </w:r>
          </w:p>
        </w:tc>
        <w:tc>
          <w:tcPr>
            <w:tcW w:w="1494" w:type="pct"/>
            <w:tcBorders>
              <w:top w:val="nil"/>
              <w:bottom w:val="nil"/>
            </w:tcBorders>
            <w:vAlign w:val="center"/>
          </w:tcPr>
          <w:p w14:paraId="7C0550ED" w14:textId="21629986" w:rsidR="00852EFB" w:rsidRPr="004B2B19" w:rsidRDefault="00852EFB" w:rsidP="0054306E">
            <w:pPr>
              <w:pStyle w:val="Tabletext"/>
              <w:keepNext/>
            </w:pPr>
            <w:r w:rsidRPr="004B2B19">
              <w:rPr>
                <w:rFonts w:ascii="Arial" w:hAnsi="Arial" w:cs="Arial"/>
              </w:rPr>
              <w:t xml:space="preserve"> </w:t>
            </w:r>
            <w:r w:rsidR="0030626F" w:rsidRPr="004B2B19">
              <w:t>JAMA, 2022; 79:554–564.</w:t>
            </w:r>
          </w:p>
        </w:tc>
      </w:tr>
      <w:tr w:rsidR="0030626F" w:rsidRPr="004B2B19" w14:paraId="63290DBC" w14:textId="77777777" w:rsidTr="0030626F">
        <w:trPr>
          <w:cantSplit/>
          <w:trHeight w:val="460"/>
        </w:trPr>
        <w:tc>
          <w:tcPr>
            <w:tcW w:w="792" w:type="pct"/>
            <w:vAlign w:val="center"/>
          </w:tcPr>
          <w:p w14:paraId="37DBBF91" w14:textId="77777777" w:rsidR="0030626F" w:rsidRPr="004B2B19" w:rsidRDefault="0030626F" w:rsidP="004A14A7">
            <w:pPr>
              <w:pStyle w:val="Tabletext"/>
            </w:pPr>
            <w:r w:rsidRPr="004B2B19">
              <w:t>S58545</w:t>
            </w:r>
          </w:p>
          <w:p w14:paraId="3AA6AF2D" w14:textId="77777777" w:rsidR="0030626F" w:rsidRPr="004B2B19" w:rsidRDefault="0030626F" w:rsidP="004A14A7">
            <w:pPr>
              <w:pStyle w:val="Tabletext"/>
            </w:pPr>
            <w:r w:rsidRPr="004B2B19">
              <w:t>NCT02655198</w:t>
            </w:r>
          </w:p>
        </w:tc>
        <w:tc>
          <w:tcPr>
            <w:tcW w:w="2714" w:type="pct"/>
            <w:vAlign w:val="center"/>
          </w:tcPr>
          <w:p w14:paraId="428D70A2" w14:textId="7C0A7752" w:rsidR="0030626F" w:rsidRPr="004B2B19" w:rsidRDefault="0030626F" w:rsidP="004A14A7">
            <w:pPr>
              <w:pStyle w:val="Tabletext"/>
            </w:pPr>
            <w:r w:rsidRPr="004B2B19">
              <w:t>Add-on therapy with low dose Fenfluramine in Lennox Gastaut Epilepsy (</w:t>
            </w:r>
            <w:r w:rsidR="00945889" w:rsidRPr="004B2B19">
              <w:t>FEN</w:t>
            </w:r>
            <w:r w:rsidRPr="004B2B19">
              <w:t>-LGS).</w:t>
            </w:r>
          </w:p>
          <w:p w14:paraId="538A91C0" w14:textId="77777777" w:rsidR="0030626F" w:rsidRPr="004B2B19" w:rsidRDefault="0030626F" w:rsidP="004A14A7">
            <w:pPr>
              <w:pStyle w:val="Tabletext"/>
              <w:rPr>
                <w:bCs/>
              </w:rPr>
            </w:pPr>
            <w:r w:rsidRPr="004B2B19">
              <w:t>Lagae L, Schoonjans AS, Gammaitoni AR, Galer BS, Ceulemans B. A pilot, open-label study of the effectiveness and tolerability of low-dose ZX008 (fenfluramine HCl) in Lennox-Gastaut syndrome.</w:t>
            </w:r>
          </w:p>
        </w:tc>
        <w:tc>
          <w:tcPr>
            <w:tcW w:w="1494" w:type="pct"/>
            <w:vAlign w:val="center"/>
          </w:tcPr>
          <w:p w14:paraId="746F0BEA" w14:textId="0FE80814" w:rsidR="0030626F" w:rsidRPr="004B2B19" w:rsidRDefault="0030626F" w:rsidP="004A14A7">
            <w:pPr>
              <w:pStyle w:val="Tabletext"/>
            </w:pPr>
            <w:r w:rsidRPr="004B2B19">
              <w:rPr>
                <w:i/>
                <w:iCs/>
              </w:rPr>
              <w:t>Epilepsia</w:t>
            </w:r>
            <w:r w:rsidRPr="004B2B19">
              <w:t xml:space="preserve"> 2018; 59:1881-1888.</w:t>
            </w:r>
          </w:p>
        </w:tc>
      </w:tr>
      <w:tr w:rsidR="00556FB1" w:rsidRPr="004B2B19" w14:paraId="599928F1" w14:textId="77777777" w:rsidTr="0030626F">
        <w:trPr>
          <w:cantSplit/>
          <w:trHeight w:val="534"/>
        </w:trPr>
        <w:tc>
          <w:tcPr>
            <w:tcW w:w="792" w:type="pct"/>
            <w:vMerge w:val="restart"/>
            <w:vAlign w:val="center"/>
          </w:tcPr>
          <w:p w14:paraId="79C7ECD2" w14:textId="77777777" w:rsidR="00556FB1" w:rsidRPr="004B2B19" w:rsidRDefault="00556FB1" w:rsidP="004A14A7">
            <w:pPr>
              <w:pStyle w:val="Tabletext"/>
            </w:pPr>
            <w:r w:rsidRPr="004B2B19">
              <w:t>GWPCARE3</w:t>
            </w:r>
          </w:p>
          <w:p w14:paraId="0AD5AF8D" w14:textId="77777777" w:rsidR="00556FB1" w:rsidRPr="004B2B19" w:rsidRDefault="00556FB1" w:rsidP="004A14A7">
            <w:pPr>
              <w:pStyle w:val="Tabletext"/>
            </w:pPr>
            <w:r w:rsidRPr="004B2B19">
              <w:t>NCT02224560</w:t>
            </w:r>
          </w:p>
        </w:tc>
        <w:tc>
          <w:tcPr>
            <w:tcW w:w="2714" w:type="pct"/>
            <w:vAlign w:val="center"/>
          </w:tcPr>
          <w:p w14:paraId="5047B021" w14:textId="5D25B676" w:rsidR="00556FB1" w:rsidRPr="004B2B19" w:rsidRDefault="00556FB1" w:rsidP="004A14A7">
            <w:pPr>
              <w:pStyle w:val="Tabletext"/>
            </w:pPr>
            <w:r w:rsidRPr="004B2B19">
              <w:t>A randomized, double-blind, placebo-controlled study to</w:t>
            </w:r>
          </w:p>
          <w:p w14:paraId="5B300B13" w14:textId="77777777" w:rsidR="00556FB1" w:rsidRPr="004B2B19" w:rsidRDefault="00556FB1" w:rsidP="004A14A7">
            <w:pPr>
              <w:pStyle w:val="Tabletext"/>
            </w:pPr>
            <w:r w:rsidRPr="004B2B19">
              <w:t>investigate the efficacy and safety of cannabidiol (GWP42003-P; CBD) as adjunctive treatment for seizures associated with Lennox-Gastaut syndrome in children and adults.</w:t>
            </w:r>
          </w:p>
        </w:tc>
        <w:tc>
          <w:tcPr>
            <w:tcW w:w="1494" w:type="pct"/>
            <w:vMerge w:val="restart"/>
            <w:vAlign w:val="center"/>
          </w:tcPr>
          <w:p w14:paraId="49FF136D" w14:textId="1ACDFDD9" w:rsidR="00556FB1" w:rsidRPr="004B2B19" w:rsidRDefault="00556FB1" w:rsidP="004A14A7">
            <w:pPr>
              <w:pStyle w:val="Tabletext"/>
            </w:pPr>
            <w:r w:rsidRPr="004B2B19">
              <w:rPr>
                <w:i/>
                <w:iCs/>
              </w:rPr>
              <w:t>N Engl J Med</w:t>
            </w:r>
            <w:r w:rsidRPr="004B2B19">
              <w:t xml:space="preserve"> 2018; 378:1888-1897</w:t>
            </w:r>
          </w:p>
        </w:tc>
      </w:tr>
      <w:tr w:rsidR="00556FB1" w:rsidRPr="004B2B19" w14:paraId="27EAA1B6" w14:textId="77777777" w:rsidTr="0030626F">
        <w:trPr>
          <w:cantSplit/>
          <w:trHeight w:val="533"/>
        </w:trPr>
        <w:tc>
          <w:tcPr>
            <w:tcW w:w="792" w:type="pct"/>
            <w:vMerge/>
            <w:vAlign w:val="center"/>
          </w:tcPr>
          <w:p w14:paraId="4C4C05DF" w14:textId="77777777" w:rsidR="00556FB1" w:rsidRPr="004B2B19" w:rsidRDefault="00556FB1" w:rsidP="004A14A7">
            <w:pPr>
              <w:pStyle w:val="Tabletext"/>
            </w:pPr>
          </w:p>
        </w:tc>
        <w:tc>
          <w:tcPr>
            <w:tcW w:w="2714" w:type="pct"/>
            <w:vAlign w:val="center"/>
          </w:tcPr>
          <w:p w14:paraId="1B8A20CB" w14:textId="717CE712" w:rsidR="00556FB1" w:rsidRPr="004B2B19" w:rsidRDefault="00556FB1" w:rsidP="004A14A7">
            <w:pPr>
              <w:pStyle w:val="Tabletext"/>
            </w:pPr>
            <w:r w:rsidRPr="004B2B19">
              <w:t>Devinsky O, Patel AD, Cross JH, et al. Effect of cannabidiol on drop seizures in the Lennox–Gastaut syndrome.</w:t>
            </w:r>
          </w:p>
        </w:tc>
        <w:tc>
          <w:tcPr>
            <w:tcW w:w="1494" w:type="pct"/>
            <w:vMerge/>
            <w:vAlign w:val="center"/>
          </w:tcPr>
          <w:p w14:paraId="4BCD8EC3" w14:textId="5ABF8299" w:rsidR="00556FB1" w:rsidRPr="004B2B19" w:rsidRDefault="00556FB1" w:rsidP="004A14A7">
            <w:pPr>
              <w:pStyle w:val="Tabletext"/>
            </w:pPr>
          </w:p>
        </w:tc>
      </w:tr>
      <w:tr w:rsidR="0030626F" w:rsidRPr="004B2B19" w14:paraId="1F15FAE3" w14:textId="77777777" w:rsidTr="0030626F">
        <w:trPr>
          <w:cantSplit/>
        </w:trPr>
        <w:tc>
          <w:tcPr>
            <w:tcW w:w="792" w:type="pct"/>
            <w:vMerge w:val="restart"/>
            <w:vAlign w:val="center"/>
          </w:tcPr>
          <w:p w14:paraId="6B0A105E" w14:textId="77777777" w:rsidR="0030626F" w:rsidRPr="004B2B19" w:rsidRDefault="0030626F" w:rsidP="004A14A7">
            <w:pPr>
              <w:pStyle w:val="Tabletext"/>
            </w:pPr>
            <w:r w:rsidRPr="004B2B19">
              <w:t>GWPCARE4</w:t>
            </w:r>
          </w:p>
          <w:p w14:paraId="7C22DB68" w14:textId="77777777" w:rsidR="0030626F" w:rsidRPr="004B2B19" w:rsidRDefault="0030626F" w:rsidP="004A14A7">
            <w:pPr>
              <w:pStyle w:val="Tabletext"/>
              <w:rPr>
                <w:rFonts w:ascii="Times New Roman" w:hAnsi="Times New Roman"/>
              </w:rPr>
            </w:pPr>
            <w:r w:rsidRPr="004B2B19">
              <w:t>NCT02224690</w:t>
            </w:r>
          </w:p>
          <w:p w14:paraId="33BF214E" w14:textId="77777777" w:rsidR="0030626F" w:rsidRPr="004B2B19" w:rsidRDefault="0030626F" w:rsidP="004A14A7">
            <w:pPr>
              <w:pStyle w:val="Tabletext"/>
            </w:pPr>
          </w:p>
        </w:tc>
        <w:tc>
          <w:tcPr>
            <w:tcW w:w="2714" w:type="pct"/>
            <w:tcBorders>
              <w:bottom w:val="nil"/>
            </w:tcBorders>
            <w:vAlign w:val="center"/>
          </w:tcPr>
          <w:p w14:paraId="466D74E4" w14:textId="52420C9B" w:rsidR="0030626F" w:rsidRPr="004B2B19" w:rsidRDefault="0030626F" w:rsidP="004A14A7">
            <w:pPr>
              <w:pStyle w:val="Tabletext"/>
            </w:pPr>
            <w:r w:rsidRPr="004B2B19">
              <w:t>A randomized, double-blind, placebo-controlled study to investigate the efficacy and safety of cannabidiol (GWP42003-P; CBD) as adjunctive treatment for seizures associated with Lennox-Gastaut syndrome in children and adults.</w:t>
            </w:r>
          </w:p>
        </w:tc>
        <w:tc>
          <w:tcPr>
            <w:tcW w:w="1494" w:type="pct"/>
            <w:tcBorders>
              <w:bottom w:val="nil"/>
            </w:tcBorders>
            <w:vAlign w:val="center"/>
          </w:tcPr>
          <w:p w14:paraId="159C4D8F" w14:textId="77777777" w:rsidR="0030626F" w:rsidRPr="004B2B19" w:rsidRDefault="0030626F" w:rsidP="004A14A7">
            <w:pPr>
              <w:pStyle w:val="Tabletext"/>
            </w:pPr>
          </w:p>
          <w:p w14:paraId="28582AC3" w14:textId="77777777" w:rsidR="0030626F" w:rsidRPr="004B2B19" w:rsidRDefault="0030626F" w:rsidP="004A14A7">
            <w:pPr>
              <w:pStyle w:val="Tabletext"/>
            </w:pPr>
            <w:r w:rsidRPr="004B2B19">
              <w:t> </w:t>
            </w:r>
          </w:p>
          <w:p w14:paraId="702A3A93" w14:textId="77777777" w:rsidR="0030626F" w:rsidRPr="004B2B19" w:rsidRDefault="0030626F" w:rsidP="004A14A7">
            <w:pPr>
              <w:pStyle w:val="Tabletext"/>
            </w:pPr>
          </w:p>
        </w:tc>
      </w:tr>
      <w:tr w:rsidR="0030626F" w:rsidRPr="004B2B19" w14:paraId="164E3302" w14:textId="77777777" w:rsidTr="0030626F">
        <w:trPr>
          <w:cantSplit/>
        </w:trPr>
        <w:tc>
          <w:tcPr>
            <w:tcW w:w="792" w:type="pct"/>
            <w:vMerge/>
            <w:vAlign w:val="center"/>
          </w:tcPr>
          <w:p w14:paraId="3EE062B4" w14:textId="77777777" w:rsidR="0030626F" w:rsidRPr="004B2B19" w:rsidRDefault="0030626F" w:rsidP="004A14A7">
            <w:pPr>
              <w:pStyle w:val="Tabletext"/>
            </w:pPr>
          </w:p>
        </w:tc>
        <w:tc>
          <w:tcPr>
            <w:tcW w:w="2714" w:type="pct"/>
            <w:tcBorders>
              <w:top w:val="nil"/>
              <w:bottom w:val="single" w:sz="4" w:space="0" w:color="auto"/>
            </w:tcBorders>
            <w:vAlign w:val="center"/>
          </w:tcPr>
          <w:p w14:paraId="787CD892" w14:textId="77777777" w:rsidR="0030626F" w:rsidRPr="004B2B19" w:rsidRDefault="0030626F" w:rsidP="0030626F">
            <w:pPr>
              <w:pStyle w:val="Tabletext"/>
            </w:pPr>
            <w:r w:rsidRPr="004B2B19">
              <w:t>Thiele EA, Marsh ED, French JA, et al. Cannabidiol in patients with seizures associated with</w:t>
            </w:r>
          </w:p>
          <w:p w14:paraId="688D4E26" w14:textId="77777777" w:rsidR="0030626F" w:rsidRPr="004B2B19" w:rsidRDefault="0030626F" w:rsidP="0030626F">
            <w:pPr>
              <w:pStyle w:val="Tabletext"/>
            </w:pPr>
            <w:r w:rsidRPr="004B2B19">
              <w:t>Lennox-Gastaut syndrome (GWPCARE4): a randomised,</w:t>
            </w:r>
          </w:p>
          <w:p w14:paraId="41376523" w14:textId="0FFC046A" w:rsidR="0030626F" w:rsidRPr="004B2B19" w:rsidRDefault="0030626F" w:rsidP="0030626F">
            <w:pPr>
              <w:pStyle w:val="Tabletext"/>
            </w:pPr>
            <w:r w:rsidRPr="004B2B19">
              <w:t>double-blind, placebo-controlled phase 3 trial.</w:t>
            </w:r>
          </w:p>
        </w:tc>
        <w:tc>
          <w:tcPr>
            <w:tcW w:w="1494" w:type="pct"/>
            <w:tcBorders>
              <w:top w:val="nil"/>
              <w:bottom w:val="single" w:sz="4" w:space="0" w:color="auto"/>
            </w:tcBorders>
            <w:vAlign w:val="center"/>
          </w:tcPr>
          <w:p w14:paraId="13044DEF" w14:textId="3D04CD80" w:rsidR="0030626F" w:rsidRPr="004B2B19" w:rsidRDefault="0030626F" w:rsidP="0030626F">
            <w:pPr>
              <w:pStyle w:val="Tabletext"/>
            </w:pPr>
            <w:r w:rsidRPr="004B2B19">
              <w:rPr>
                <w:i/>
                <w:iCs/>
              </w:rPr>
              <w:t xml:space="preserve">Lancet </w:t>
            </w:r>
            <w:r w:rsidRPr="004B2B19">
              <w:t>2018; http://dx.doi.org/10.1016/S0140-6736(18)30136-3</w:t>
            </w:r>
          </w:p>
          <w:p w14:paraId="052FD014" w14:textId="77777777" w:rsidR="0030626F" w:rsidRPr="004B2B19" w:rsidRDefault="0030626F" w:rsidP="004A14A7">
            <w:pPr>
              <w:pStyle w:val="Tabletext"/>
            </w:pPr>
          </w:p>
        </w:tc>
      </w:tr>
      <w:tr w:rsidR="0094311D" w:rsidRPr="004B2B19" w14:paraId="400ADAF8" w14:textId="77777777" w:rsidTr="0030626F">
        <w:trPr>
          <w:cantSplit/>
        </w:trPr>
        <w:tc>
          <w:tcPr>
            <w:tcW w:w="792" w:type="pct"/>
            <w:vMerge w:val="restart"/>
            <w:vAlign w:val="center"/>
          </w:tcPr>
          <w:p w14:paraId="3D8EE3D8" w14:textId="77777777" w:rsidR="0094311D" w:rsidRPr="004B2B19" w:rsidRDefault="0094311D" w:rsidP="004A14A7">
            <w:pPr>
              <w:pStyle w:val="Tabletext"/>
            </w:pPr>
            <w:r w:rsidRPr="004B2B19">
              <w:t>GWPCARE5</w:t>
            </w:r>
          </w:p>
          <w:p w14:paraId="18C64AF1" w14:textId="2DC79C94" w:rsidR="00D16AEA" w:rsidRPr="004B2B19" w:rsidRDefault="00D16AEA" w:rsidP="004A14A7">
            <w:pPr>
              <w:pStyle w:val="Tabletext"/>
            </w:pPr>
            <w:r w:rsidRPr="004B2B19">
              <w:t>NCT02224573</w:t>
            </w:r>
          </w:p>
        </w:tc>
        <w:tc>
          <w:tcPr>
            <w:tcW w:w="2714" w:type="pct"/>
            <w:tcBorders>
              <w:top w:val="single" w:sz="4" w:space="0" w:color="auto"/>
              <w:bottom w:val="nil"/>
            </w:tcBorders>
            <w:vAlign w:val="center"/>
          </w:tcPr>
          <w:p w14:paraId="0A35B979" w14:textId="16EBC798" w:rsidR="0094311D" w:rsidRPr="004B2B19" w:rsidRDefault="00D16AEA" w:rsidP="004A14A7">
            <w:pPr>
              <w:pStyle w:val="Tabletext"/>
              <w:rPr>
                <w:bCs/>
              </w:rPr>
            </w:pPr>
            <w:r w:rsidRPr="004B2B19">
              <w:t>An Open Label Extension Study of Cannabidiol (GWP42003-P) in Children and Adults With Dravet or Lennox-Gastaut Syndromes (GWPCARE5)</w:t>
            </w:r>
          </w:p>
        </w:tc>
        <w:tc>
          <w:tcPr>
            <w:tcW w:w="1494" w:type="pct"/>
            <w:tcBorders>
              <w:top w:val="single" w:sz="4" w:space="0" w:color="auto"/>
              <w:bottom w:val="nil"/>
            </w:tcBorders>
            <w:vAlign w:val="center"/>
          </w:tcPr>
          <w:p w14:paraId="4A191A18" w14:textId="5DA21B08" w:rsidR="0094311D" w:rsidRPr="004B2B19" w:rsidRDefault="0094311D" w:rsidP="004A14A7">
            <w:pPr>
              <w:pStyle w:val="Tabletext"/>
            </w:pPr>
          </w:p>
        </w:tc>
      </w:tr>
      <w:tr w:rsidR="0094311D" w:rsidRPr="004B2B19" w14:paraId="3C25A115" w14:textId="77777777" w:rsidTr="0094311D">
        <w:trPr>
          <w:cantSplit/>
        </w:trPr>
        <w:tc>
          <w:tcPr>
            <w:tcW w:w="792" w:type="pct"/>
            <w:vMerge/>
            <w:tcBorders>
              <w:bottom w:val="single" w:sz="4" w:space="0" w:color="auto"/>
            </w:tcBorders>
            <w:vAlign w:val="center"/>
          </w:tcPr>
          <w:p w14:paraId="7B7F242C" w14:textId="7CBDF1E3" w:rsidR="0094311D" w:rsidRPr="004B2B19" w:rsidRDefault="0094311D" w:rsidP="004A14A7">
            <w:pPr>
              <w:pStyle w:val="Tabletext"/>
            </w:pPr>
          </w:p>
        </w:tc>
        <w:tc>
          <w:tcPr>
            <w:tcW w:w="2714" w:type="pct"/>
            <w:tcBorders>
              <w:top w:val="nil"/>
              <w:bottom w:val="single" w:sz="4" w:space="0" w:color="auto"/>
            </w:tcBorders>
            <w:vAlign w:val="center"/>
          </w:tcPr>
          <w:p w14:paraId="5990C3B9" w14:textId="77777777" w:rsidR="0030626F" w:rsidRPr="004B2B19" w:rsidRDefault="0030626F" w:rsidP="0030626F">
            <w:pPr>
              <w:pStyle w:val="Tabletext"/>
            </w:pPr>
            <w:r w:rsidRPr="004B2B19">
              <w:t>Patel AD, Mazurkiewicz-Beldzinska M, Chin RF, et al. Long-</w:t>
            </w:r>
            <w:r w:rsidRPr="004B2B19">
              <w:softHyphen/>
              <w:t xml:space="preserve"> term safety and efficacy of add-</w:t>
            </w:r>
            <w:r w:rsidRPr="004B2B19">
              <w:softHyphen/>
              <w:t>on cannabidiol in patients</w:t>
            </w:r>
          </w:p>
          <w:p w14:paraId="21B1889E" w14:textId="77777777" w:rsidR="0030626F" w:rsidRPr="004B2B19" w:rsidRDefault="0030626F" w:rsidP="0030626F">
            <w:pPr>
              <w:pStyle w:val="Tabletext"/>
            </w:pPr>
            <w:r w:rsidRPr="004B2B19">
              <w:t>with Lennox–</w:t>
            </w:r>
            <w:r w:rsidRPr="004B2B19">
              <w:softHyphen/>
              <w:t>Gastaut syndrome: Results of a long-</w:t>
            </w:r>
            <w:r w:rsidRPr="004B2B19">
              <w:softHyphen/>
              <w:t xml:space="preserve"> term</w:t>
            </w:r>
          </w:p>
          <w:p w14:paraId="579BA225" w14:textId="32D2EB44" w:rsidR="0094311D" w:rsidRPr="004B2B19" w:rsidRDefault="0030626F" w:rsidP="0030626F">
            <w:pPr>
              <w:pStyle w:val="Tabletext"/>
            </w:pPr>
            <w:r w:rsidRPr="004B2B19">
              <w:t>open-</w:t>
            </w:r>
            <w:r w:rsidRPr="004B2B19">
              <w:softHyphen/>
              <w:t xml:space="preserve"> label extension trial.</w:t>
            </w:r>
          </w:p>
        </w:tc>
        <w:tc>
          <w:tcPr>
            <w:tcW w:w="1494" w:type="pct"/>
            <w:tcBorders>
              <w:top w:val="nil"/>
              <w:bottom w:val="single" w:sz="4" w:space="0" w:color="auto"/>
            </w:tcBorders>
            <w:vAlign w:val="center"/>
          </w:tcPr>
          <w:p w14:paraId="08A85085" w14:textId="2EF3EDF4" w:rsidR="0094311D" w:rsidRPr="004B2B19" w:rsidRDefault="0030626F" w:rsidP="004A14A7">
            <w:pPr>
              <w:pStyle w:val="Tabletext"/>
            </w:pPr>
            <w:r w:rsidRPr="004B2B19">
              <w:rPr>
                <w:i/>
                <w:iCs/>
              </w:rPr>
              <w:t>Epilepsia</w:t>
            </w:r>
            <w:r w:rsidRPr="004B2B19">
              <w:t xml:space="preserve"> 2021; 62:2228–39.</w:t>
            </w:r>
          </w:p>
        </w:tc>
      </w:tr>
    </w:tbl>
    <w:p w14:paraId="51D8173A" w14:textId="09F343A7" w:rsidR="008E0D3C" w:rsidRPr="004B2B19" w:rsidRDefault="008E0D3C" w:rsidP="00EC5836">
      <w:pPr>
        <w:pStyle w:val="FooterTableFigure"/>
      </w:pPr>
      <w:r w:rsidRPr="004B2B19">
        <w:t>Source: Table</w:t>
      </w:r>
      <w:r w:rsidR="000328A4" w:rsidRPr="004B2B19">
        <w:t xml:space="preserve"> 2-2</w:t>
      </w:r>
      <w:r w:rsidRPr="004B2B19">
        <w:t>,</w:t>
      </w:r>
      <w:r w:rsidR="000328A4" w:rsidRPr="004B2B19">
        <w:t xml:space="preserve"> p41 </w:t>
      </w:r>
      <w:r w:rsidRPr="004B2B19">
        <w:t>of the submission.</w:t>
      </w:r>
    </w:p>
    <w:p w14:paraId="1E48DE35" w14:textId="5A90F18D" w:rsidR="006F583D" w:rsidRPr="004B2B19" w:rsidRDefault="008F120A" w:rsidP="00CD4CC5">
      <w:pPr>
        <w:pStyle w:val="3-BodyText"/>
      </w:pPr>
      <w:r w:rsidRPr="004B2B19">
        <w:t>The key features of the</w:t>
      </w:r>
      <w:r w:rsidR="00A27FC9" w:rsidRPr="004B2B19">
        <w:t xml:space="preserve"> </w:t>
      </w:r>
      <w:r w:rsidR="00621ADA" w:rsidRPr="004B2B19">
        <w:t xml:space="preserve">included </w:t>
      </w:r>
      <w:r w:rsidR="00A27FC9" w:rsidRPr="004B2B19">
        <w:t>trials</w:t>
      </w:r>
      <w:r w:rsidRPr="004B2B19">
        <w:t xml:space="preserve"> are summarise</w:t>
      </w:r>
      <w:r w:rsidRPr="00CD4CC5">
        <w:rPr>
          <w:rFonts w:ascii="Calibri" w:hAnsi="Calibri" w:cs="Calibri"/>
          <w:szCs w:val="24"/>
        </w:rPr>
        <w:t>d in</w:t>
      </w:r>
      <w:r w:rsidR="00D6076E" w:rsidRPr="00CD4CC5">
        <w:rPr>
          <w:rFonts w:ascii="Calibri" w:hAnsi="Calibri" w:cs="Calibri"/>
          <w:szCs w:val="24"/>
        </w:rPr>
        <w:t xml:space="preserve"> </w:t>
      </w:r>
      <w:bookmarkStart w:id="24" w:name="_Ref104804098"/>
      <w:r w:rsidR="00CD4CC5" w:rsidRPr="00CD4CC5">
        <w:rPr>
          <w:rFonts w:ascii="Calibri" w:hAnsi="Calibri" w:cs="Calibri"/>
          <w:szCs w:val="24"/>
        </w:rPr>
        <w:fldChar w:fldCharType="begin"/>
      </w:r>
      <w:r w:rsidR="00CD4CC5" w:rsidRPr="00CD4CC5">
        <w:rPr>
          <w:rFonts w:ascii="Calibri" w:hAnsi="Calibri" w:cs="Calibri"/>
          <w:szCs w:val="24"/>
        </w:rPr>
        <w:instrText xml:space="preserve"> REF _Ref229670802 \h </w:instrText>
      </w:r>
      <w:r w:rsidR="00CD4CC5" w:rsidRPr="00CD4CC5">
        <w:rPr>
          <w:rFonts w:ascii="Calibri" w:hAnsi="Calibri" w:cs="Calibri"/>
          <w:szCs w:val="24"/>
        </w:rPr>
      </w:r>
      <w:r w:rsidR="00CD4CC5" w:rsidRPr="00CD4CC5">
        <w:rPr>
          <w:rFonts w:ascii="Calibri" w:hAnsi="Calibri" w:cs="Calibri"/>
          <w:szCs w:val="24"/>
        </w:rPr>
        <w:instrText xml:space="preserve"> \* MERGEFORMAT </w:instrText>
      </w:r>
      <w:r w:rsidR="00CD4CC5" w:rsidRPr="00CD4CC5">
        <w:rPr>
          <w:rFonts w:ascii="Calibri" w:hAnsi="Calibri" w:cs="Calibri"/>
          <w:szCs w:val="24"/>
        </w:rPr>
        <w:fldChar w:fldCharType="separate"/>
      </w:r>
      <w:r w:rsidR="00A037BC" w:rsidRPr="00A037BC">
        <w:rPr>
          <w:rStyle w:val="CommentReference"/>
          <w:rFonts w:ascii="Calibri" w:hAnsi="Calibri" w:cs="Calibri"/>
          <w:b w:val="0"/>
          <w:sz w:val="24"/>
          <w:szCs w:val="24"/>
        </w:rPr>
        <w:t xml:space="preserve">Table </w:t>
      </w:r>
      <w:r w:rsidR="00A037BC" w:rsidRPr="00A037BC">
        <w:rPr>
          <w:rStyle w:val="CommentReference"/>
          <w:rFonts w:ascii="Calibri" w:hAnsi="Calibri" w:cs="Calibri"/>
          <w:b w:val="0"/>
          <w:noProof/>
          <w:sz w:val="24"/>
          <w:szCs w:val="24"/>
        </w:rPr>
        <w:t>3</w:t>
      </w:r>
      <w:r w:rsidR="00CD4CC5" w:rsidRPr="00CD4CC5">
        <w:rPr>
          <w:rFonts w:ascii="Calibri" w:hAnsi="Calibri" w:cs="Calibri"/>
          <w:szCs w:val="24"/>
        </w:rPr>
        <w:fldChar w:fldCharType="end"/>
      </w:r>
      <w:r w:rsidR="00CD4CC5">
        <w:t>.</w:t>
      </w:r>
    </w:p>
    <w:p w14:paraId="168B9DB7" w14:textId="77777777" w:rsidR="005B3347" w:rsidRPr="004B2B19" w:rsidRDefault="005B3347">
      <w:pPr>
        <w:jc w:val="left"/>
        <w:rPr>
          <w:rStyle w:val="CommentReference"/>
          <w:rFonts w:eastAsiaTheme="majorEastAsia" w:cstheme="majorBidi"/>
          <w:bCs/>
          <w:szCs w:val="24"/>
        </w:rPr>
      </w:pPr>
      <w:bookmarkStart w:id="25" w:name="_Ref204687468"/>
      <w:r w:rsidRPr="004B2B19">
        <w:rPr>
          <w:rStyle w:val="CommentReference"/>
          <w:b w:val="0"/>
          <w:szCs w:val="24"/>
        </w:rPr>
        <w:br w:type="page"/>
      </w:r>
    </w:p>
    <w:p w14:paraId="7E24615C" w14:textId="323C63AC" w:rsidR="00EC6C49" w:rsidRPr="004B2B19" w:rsidRDefault="00EC6C49" w:rsidP="0054306E">
      <w:pPr>
        <w:pStyle w:val="TableFigureHeading"/>
        <w:rPr>
          <w:rStyle w:val="CommentReference"/>
          <w:rFonts w:asciiTheme="minorHAnsi" w:eastAsiaTheme="minorHAnsi" w:hAnsiTheme="minorHAnsi" w:cstheme="minorBidi"/>
          <w:color w:val="0066FF"/>
          <w:sz w:val="24"/>
          <w:szCs w:val="22"/>
        </w:rPr>
      </w:pPr>
      <w:bookmarkStart w:id="26" w:name="_Ref229670802"/>
      <w:r w:rsidRPr="004B2B19">
        <w:rPr>
          <w:rStyle w:val="CommentReference"/>
          <w:b/>
          <w:szCs w:val="24"/>
        </w:rPr>
        <w:t xml:space="preserve">Table </w:t>
      </w:r>
      <w:r w:rsidRPr="004B2B19">
        <w:rPr>
          <w:rStyle w:val="CommentReference"/>
          <w:b/>
          <w:szCs w:val="24"/>
        </w:rPr>
        <w:fldChar w:fldCharType="begin"/>
      </w:r>
      <w:r w:rsidRPr="004B2B19">
        <w:rPr>
          <w:rStyle w:val="CommentReference"/>
          <w:b/>
          <w:szCs w:val="24"/>
        </w:rPr>
        <w:instrText xml:space="preserve"> SEQ Table \* ARABIC </w:instrText>
      </w:r>
      <w:r w:rsidRPr="004B2B19">
        <w:rPr>
          <w:rStyle w:val="CommentReference"/>
          <w:b/>
          <w:szCs w:val="24"/>
        </w:rPr>
        <w:fldChar w:fldCharType="separate"/>
      </w:r>
      <w:r w:rsidR="00A037BC">
        <w:rPr>
          <w:rStyle w:val="CommentReference"/>
          <w:b/>
          <w:noProof/>
          <w:szCs w:val="24"/>
        </w:rPr>
        <w:t>3</w:t>
      </w:r>
      <w:r w:rsidRPr="004B2B19">
        <w:rPr>
          <w:rStyle w:val="CommentReference"/>
          <w:b/>
          <w:szCs w:val="24"/>
        </w:rPr>
        <w:fldChar w:fldCharType="end"/>
      </w:r>
      <w:bookmarkEnd w:id="24"/>
      <w:bookmarkEnd w:id="25"/>
      <w:bookmarkEnd w:id="26"/>
      <w:r w:rsidRPr="004B2B19">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995"/>
        <w:gridCol w:w="418"/>
        <w:gridCol w:w="2352"/>
        <w:gridCol w:w="626"/>
        <w:gridCol w:w="1982"/>
        <w:gridCol w:w="2644"/>
      </w:tblGrid>
      <w:tr w:rsidR="00206D58" w:rsidRPr="004B2B19" w14:paraId="201EA8B1" w14:textId="77777777" w:rsidTr="00206D58">
        <w:trPr>
          <w:cantSplit/>
          <w:tblHeader/>
        </w:trPr>
        <w:tc>
          <w:tcPr>
            <w:tcW w:w="552" w:type="pct"/>
            <w:vAlign w:val="center"/>
          </w:tcPr>
          <w:p w14:paraId="54B8105D" w14:textId="77777777" w:rsidR="00206D58" w:rsidRPr="004B2B19" w:rsidRDefault="00206D58" w:rsidP="003B4837">
            <w:pPr>
              <w:pStyle w:val="In-tableHeading"/>
            </w:pPr>
            <w:r w:rsidRPr="004B2B19">
              <w:t>Trial</w:t>
            </w:r>
          </w:p>
        </w:tc>
        <w:tc>
          <w:tcPr>
            <w:tcW w:w="232" w:type="pct"/>
            <w:vAlign w:val="center"/>
          </w:tcPr>
          <w:p w14:paraId="3458A90F" w14:textId="77777777" w:rsidR="00206D58" w:rsidRPr="004B2B19" w:rsidRDefault="00206D58" w:rsidP="003B4837">
            <w:pPr>
              <w:pStyle w:val="In-tableHeading"/>
            </w:pPr>
            <w:r w:rsidRPr="004B2B19">
              <w:t>N</w:t>
            </w:r>
          </w:p>
        </w:tc>
        <w:tc>
          <w:tcPr>
            <w:tcW w:w="1304" w:type="pct"/>
            <w:vAlign w:val="center"/>
          </w:tcPr>
          <w:p w14:paraId="485A8628" w14:textId="77777777" w:rsidR="00206D58" w:rsidRPr="004B2B19" w:rsidRDefault="00206D58" w:rsidP="003B4837">
            <w:pPr>
              <w:pStyle w:val="In-tableHeading"/>
            </w:pPr>
            <w:r w:rsidRPr="004B2B19">
              <w:t>Design/ duration</w:t>
            </w:r>
          </w:p>
        </w:tc>
        <w:tc>
          <w:tcPr>
            <w:tcW w:w="347" w:type="pct"/>
            <w:vAlign w:val="center"/>
          </w:tcPr>
          <w:p w14:paraId="53D980F9" w14:textId="77777777" w:rsidR="00206D58" w:rsidRPr="004B2B19" w:rsidRDefault="00206D58" w:rsidP="003B4837">
            <w:pPr>
              <w:pStyle w:val="In-tableHeading"/>
            </w:pPr>
            <w:r w:rsidRPr="004B2B19">
              <w:t>Risk of bias</w:t>
            </w:r>
          </w:p>
        </w:tc>
        <w:tc>
          <w:tcPr>
            <w:tcW w:w="1099" w:type="pct"/>
            <w:vAlign w:val="center"/>
          </w:tcPr>
          <w:p w14:paraId="5A35C57E" w14:textId="77777777" w:rsidR="00206D58" w:rsidRPr="004B2B19" w:rsidRDefault="00206D58" w:rsidP="003B4837">
            <w:pPr>
              <w:pStyle w:val="In-tableHeading"/>
            </w:pPr>
            <w:r w:rsidRPr="004B2B19">
              <w:t>Patient population</w:t>
            </w:r>
          </w:p>
        </w:tc>
        <w:tc>
          <w:tcPr>
            <w:tcW w:w="1466" w:type="pct"/>
            <w:vAlign w:val="center"/>
          </w:tcPr>
          <w:p w14:paraId="313D84DC" w14:textId="4A05CF72" w:rsidR="00206D58" w:rsidRPr="004B2B19" w:rsidRDefault="00206D58" w:rsidP="003B4837">
            <w:pPr>
              <w:pStyle w:val="In-tableHeading"/>
            </w:pPr>
            <w:r w:rsidRPr="004B2B19">
              <w:t>Outcome(s)</w:t>
            </w:r>
          </w:p>
        </w:tc>
      </w:tr>
      <w:tr w:rsidR="00EC6C49" w:rsidRPr="004B2B19" w14:paraId="7EC34C66" w14:textId="77777777">
        <w:trPr>
          <w:cantSplit/>
        </w:trPr>
        <w:tc>
          <w:tcPr>
            <w:tcW w:w="5000" w:type="pct"/>
            <w:gridSpan w:val="6"/>
            <w:vAlign w:val="center"/>
          </w:tcPr>
          <w:p w14:paraId="533A4DB0" w14:textId="77777777" w:rsidR="00EC6C49" w:rsidRPr="004B2B19" w:rsidRDefault="00EC6C49" w:rsidP="00F645EB">
            <w:pPr>
              <w:pStyle w:val="Tabletext"/>
              <w:jc w:val="center"/>
              <w:rPr>
                <w:b/>
                <w:bCs/>
              </w:rPr>
            </w:pPr>
            <w:r w:rsidRPr="004B2B19">
              <w:rPr>
                <w:b/>
                <w:bCs/>
              </w:rPr>
              <w:t>Fenfluramine vs placebo</w:t>
            </w:r>
          </w:p>
        </w:tc>
      </w:tr>
      <w:tr w:rsidR="00206D58" w:rsidRPr="004B2B19" w14:paraId="7404726E" w14:textId="77777777" w:rsidTr="00206D58">
        <w:trPr>
          <w:cantSplit/>
        </w:trPr>
        <w:tc>
          <w:tcPr>
            <w:tcW w:w="552" w:type="pct"/>
            <w:vAlign w:val="center"/>
          </w:tcPr>
          <w:p w14:paraId="2556E1BD" w14:textId="77777777" w:rsidR="00206D58" w:rsidRPr="004B2B19" w:rsidRDefault="00206D58" w:rsidP="0054306E">
            <w:pPr>
              <w:pStyle w:val="Tabletext"/>
            </w:pPr>
            <w:r w:rsidRPr="004B2B19">
              <w:t>Study 1601, Part 1</w:t>
            </w:r>
          </w:p>
        </w:tc>
        <w:tc>
          <w:tcPr>
            <w:tcW w:w="232" w:type="pct"/>
            <w:vAlign w:val="center"/>
          </w:tcPr>
          <w:p w14:paraId="111ECCBB" w14:textId="77777777" w:rsidR="00206D58" w:rsidRPr="004B2B19" w:rsidRDefault="00206D58" w:rsidP="0054306E">
            <w:pPr>
              <w:pStyle w:val="Tabletext"/>
            </w:pPr>
            <w:r w:rsidRPr="004B2B19">
              <w:t>263</w:t>
            </w:r>
          </w:p>
        </w:tc>
        <w:tc>
          <w:tcPr>
            <w:tcW w:w="1304" w:type="pct"/>
            <w:vAlign w:val="center"/>
          </w:tcPr>
          <w:p w14:paraId="65A0D6D5" w14:textId="77777777" w:rsidR="00206D58" w:rsidRPr="004B2B19" w:rsidRDefault="00206D58" w:rsidP="0054306E">
            <w:pPr>
              <w:pStyle w:val="Tabletext"/>
            </w:pPr>
            <w:r w:rsidRPr="004B2B19">
              <w:t>R, DB, MC; randomised 1:1:1 to placebo (N = 87), FEN 0.2 mg/kg/day (N = 89) or FEN 0.7 mg/kg/day (N = 87); 4 week baseline, 2 week titration period (T), 12 week maintenance period (M)</w:t>
            </w:r>
          </w:p>
        </w:tc>
        <w:tc>
          <w:tcPr>
            <w:tcW w:w="347" w:type="pct"/>
            <w:vAlign w:val="center"/>
          </w:tcPr>
          <w:p w14:paraId="665E8C5B" w14:textId="77777777" w:rsidR="00206D58" w:rsidRPr="004B2B19" w:rsidRDefault="00206D58" w:rsidP="0054306E">
            <w:pPr>
              <w:pStyle w:val="Tabletext"/>
            </w:pPr>
            <w:r w:rsidRPr="004B2B19">
              <w:t>Low</w:t>
            </w:r>
          </w:p>
        </w:tc>
        <w:tc>
          <w:tcPr>
            <w:tcW w:w="1099" w:type="pct"/>
            <w:vAlign w:val="center"/>
          </w:tcPr>
          <w:p w14:paraId="543B7D3D" w14:textId="749B6D49" w:rsidR="00206D58" w:rsidRPr="004B2B19" w:rsidRDefault="00206D58" w:rsidP="0054306E">
            <w:pPr>
              <w:pStyle w:val="Tabletext"/>
            </w:pPr>
            <w:r w:rsidRPr="004B2B19">
              <w:t xml:space="preserve">Age 2-35 years; LGS by EEG and clinical criteria with recent drop seizures despite 1-4 ASMs at stable dose </w:t>
            </w:r>
          </w:p>
        </w:tc>
        <w:tc>
          <w:tcPr>
            <w:tcW w:w="1466" w:type="pct"/>
            <w:vAlign w:val="center"/>
          </w:tcPr>
          <w:p w14:paraId="4DA5E698" w14:textId="77777777" w:rsidR="00206D58" w:rsidRPr="004B2B19" w:rsidRDefault="00206D58" w:rsidP="0054306E">
            <w:pPr>
              <w:pStyle w:val="Tabletext"/>
            </w:pPr>
            <w:r w:rsidRPr="004B2B19">
              <w:t>Primary: Median % CFB in DSF over T+M;</w:t>
            </w:r>
          </w:p>
          <w:p w14:paraId="708C2EE8" w14:textId="475C5D89" w:rsidR="00206D58" w:rsidRPr="004B2B19" w:rsidRDefault="00206D58" w:rsidP="0054306E">
            <w:pPr>
              <w:pStyle w:val="Tabletext"/>
            </w:pPr>
            <w:r w:rsidRPr="004B2B19">
              <w:t>Key Secondary:</w:t>
            </w:r>
            <w:r w:rsidR="00095FD9">
              <w:t xml:space="preserve"> </w:t>
            </w:r>
            <w:r w:rsidRPr="004B2B19">
              <w:t>% subjects with ≥50%</w:t>
            </w:r>
          </w:p>
          <w:p w14:paraId="25EF9A70" w14:textId="04723E7E" w:rsidR="00206D58" w:rsidRPr="004B2B19" w:rsidRDefault="00206D58" w:rsidP="0054306E">
            <w:pPr>
              <w:pStyle w:val="Tabletext"/>
            </w:pPr>
            <w:r w:rsidRPr="004B2B19">
              <w:t xml:space="preserve">reduction in DSF over T+M </w:t>
            </w:r>
          </w:p>
        </w:tc>
      </w:tr>
      <w:tr w:rsidR="00206D58" w:rsidRPr="004B2B19" w14:paraId="71FF4334" w14:textId="77777777" w:rsidTr="00206D58">
        <w:trPr>
          <w:cantSplit/>
        </w:trPr>
        <w:tc>
          <w:tcPr>
            <w:tcW w:w="552" w:type="pct"/>
            <w:vAlign w:val="center"/>
          </w:tcPr>
          <w:p w14:paraId="69A6EB8E" w14:textId="77777777" w:rsidR="00206D58" w:rsidRPr="004B2B19" w:rsidRDefault="00206D58" w:rsidP="0054306E">
            <w:pPr>
              <w:pStyle w:val="Tabletext"/>
            </w:pPr>
            <w:r w:rsidRPr="004B2B19">
              <w:t>Study 1601, Part 2 = OLE</w:t>
            </w:r>
          </w:p>
        </w:tc>
        <w:tc>
          <w:tcPr>
            <w:tcW w:w="232" w:type="pct"/>
            <w:vAlign w:val="center"/>
          </w:tcPr>
          <w:p w14:paraId="43A7A1B1" w14:textId="77777777" w:rsidR="00206D58" w:rsidRPr="004B2B19" w:rsidRDefault="00206D58" w:rsidP="0054306E">
            <w:pPr>
              <w:pStyle w:val="Tabletext"/>
            </w:pPr>
            <w:r w:rsidRPr="004B2B19">
              <w:t>247</w:t>
            </w:r>
          </w:p>
        </w:tc>
        <w:tc>
          <w:tcPr>
            <w:tcW w:w="1304" w:type="pct"/>
            <w:vAlign w:val="center"/>
          </w:tcPr>
          <w:p w14:paraId="10F2EDDA" w14:textId="78997BB2" w:rsidR="00206D58" w:rsidRPr="004B2B19" w:rsidRDefault="00206D58" w:rsidP="0054306E">
            <w:pPr>
              <w:pStyle w:val="Tabletext"/>
            </w:pPr>
            <w:r w:rsidRPr="004B2B19">
              <w:t xml:space="preserve">OL, 2 week transition to FEN 0.2 mg/kg/day, then 1 month at 0.2 mg/kg/day with no change to other ASMs, then 4 months with FEN titrated to effect and tolerability up to 0.7 mg/kg/day or 26 mg/day with other ASMs stable, then 6 months with dose reduction or discontinuation of other ASMs (at least one other had to be continued), then follow-up with FEN discontinued. </w:t>
            </w:r>
          </w:p>
        </w:tc>
        <w:tc>
          <w:tcPr>
            <w:tcW w:w="347" w:type="pct"/>
            <w:vAlign w:val="center"/>
          </w:tcPr>
          <w:p w14:paraId="529B82E9" w14:textId="1E7CD67F" w:rsidR="00206D58" w:rsidRPr="004B2B19" w:rsidRDefault="00206D58" w:rsidP="0054306E">
            <w:pPr>
              <w:pStyle w:val="Tabletext"/>
            </w:pPr>
            <w:r w:rsidRPr="004B2B19">
              <w:t>Unclear</w:t>
            </w:r>
          </w:p>
        </w:tc>
        <w:tc>
          <w:tcPr>
            <w:tcW w:w="1099" w:type="pct"/>
            <w:vAlign w:val="center"/>
          </w:tcPr>
          <w:p w14:paraId="32F9FFC2" w14:textId="77777777" w:rsidR="00206D58" w:rsidRPr="004B2B19" w:rsidRDefault="00206D58" w:rsidP="0054306E">
            <w:pPr>
              <w:pStyle w:val="Tabletext"/>
            </w:pPr>
            <w:r w:rsidRPr="004B2B19">
              <w:t>Patients completing Part 1</w:t>
            </w:r>
          </w:p>
        </w:tc>
        <w:tc>
          <w:tcPr>
            <w:tcW w:w="1466" w:type="pct"/>
            <w:vAlign w:val="center"/>
          </w:tcPr>
          <w:p w14:paraId="30E48B7A" w14:textId="77777777" w:rsidR="00206D58" w:rsidRPr="004B2B19" w:rsidRDefault="00206D58" w:rsidP="0054306E">
            <w:pPr>
              <w:pStyle w:val="Tabletext"/>
            </w:pPr>
            <w:r w:rsidRPr="004B2B19">
              <w:t>Safety, especially valve disease and pulmonary hypertension;</w:t>
            </w:r>
          </w:p>
          <w:p w14:paraId="6C256777" w14:textId="049F3972" w:rsidR="00206D58" w:rsidRPr="004B2B19" w:rsidRDefault="00206D58" w:rsidP="0054306E">
            <w:pPr>
              <w:pStyle w:val="Tabletext"/>
            </w:pPr>
            <w:r w:rsidRPr="004B2B19">
              <w:t>DSF was a secondary outcome.</w:t>
            </w:r>
          </w:p>
        </w:tc>
      </w:tr>
      <w:tr w:rsidR="00EC6C49" w:rsidRPr="004B2B19" w14:paraId="77CE650D" w14:textId="77777777">
        <w:trPr>
          <w:cantSplit/>
        </w:trPr>
        <w:tc>
          <w:tcPr>
            <w:tcW w:w="5000" w:type="pct"/>
            <w:gridSpan w:val="6"/>
            <w:vAlign w:val="center"/>
          </w:tcPr>
          <w:p w14:paraId="68C20F35" w14:textId="77777777" w:rsidR="00EC6C49" w:rsidRPr="004B2B19" w:rsidRDefault="00EC6C49" w:rsidP="003B4837">
            <w:pPr>
              <w:pStyle w:val="In-tableHeading"/>
              <w:rPr>
                <w:bCs/>
              </w:rPr>
            </w:pPr>
            <w:r w:rsidRPr="004B2B19">
              <w:t>Cannabidiol vs placebo</w:t>
            </w:r>
          </w:p>
        </w:tc>
      </w:tr>
      <w:tr w:rsidR="00206D58" w:rsidRPr="004B2B19" w14:paraId="4F3D8041" w14:textId="77777777" w:rsidTr="00206D58">
        <w:trPr>
          <w:cantSplit/>
        </w:trPr>
        <w:tc>
          <w:tcPr>
            <w:tcW w:w="552" w:type="pct"/>
            <w:vAlign w:val="center"/>
          </w:tcPr>
          <w:p w14:paraId="5608E8E8" w14:textId="18EBF503" w:rsidR="00206D58" w:rsidRPr="004B2B19" w:rsidRDefault="00206D58" w:rsidP="0054306E">
            <w:pPr>
              <w:pStyle w:val="Tabletext"/>
            </w:pPr>
            <w:r w:rsidRPr="004B2B19">
              <w:t>GWPCARE3</w:t>
            </w:r>
          </w:p>
        </w:tc>
        <w:tc>
          <w:tcPr>
            <w:tcW w:w="232" w:type="pct"/>
            <w:vAlign w:val="center"/>
          </w:tcPr>
          <w:p w14:paraId="2EDBED64" w14:textId="314E2D1C" w:rsidR="00206D58" w:rsidRPr="004B2B19" w:rsidRDefault="00206D58" w:rsidP="0054306E">
            <w:pPr>
              <w:pStyle w:val="Tabletext"/>
            </w:pPr>
            <w:r w:rsidRPr="004B2B19">
              <w:t>252</w:t>
            </w:r>
          </w:p>
        </w:tc>
        <w:tc>
          <w:tcPr>
            <w:tcW w:w="1304" w:type="pct"/>
            <w:vAlign w:val="center"/>
          </w:tcPr>
          <w:p w14:paraId="462ED864" w14:textId="1BF1EB48" w:rsidR="00206D58" w:rsidRPr="004B2B19" w:rsidRDefault="00206D58" w:rsidP="0054306E">
            <w:pPr>
              <w:pStyle w:val="Tabletext"/>
            </w:pPr>
            <w:r w:rsidRPr="004B2B19">
              <w:t xml:space="preserve">R, DB, MC; randomised 1:1:1 to placebo (N = 76) or CBD 10 mg/kg/day (N = 73) or 20 mg/kg/day (N = 76); 4 week baseline, 2 week dose titration (T), 12 week maintenance (M). </w:t>
            </w:r>
          </w:p>
        </w:tc>
        <w:tc>
          <w:tcPr>
            <w:tcW w:w="347" w:type="pct"/>
            <w:vAlign w:val="center"/>
          </w:tcPr>
          <w:p w14:paraId="0E303D9D" w14:textId="6F97EA4D" w:rsidR="00206D58" w:rsidRPr="004B2B19" w:rsidRDefault="00206D58" w:rsidP="0054306E">
            <w:pPr>
              <w:pStyle w:val="Tabletext"/>
            </w:pPr>
            <w:r w:rsidRPr="004B2B19">
              <w:t>Low</w:t>
            </w:r>
          </w:p>
        </w:tc>
        <w:tc>
          <w:tcPr>
            <w:tcW w:w="1099" w:type="pct"/>
            <w:vAlign w:val="center"/>
          </w:tcPr>
          <w:p w14:paraId="6BB855DF" w14:textId="0ACE68E8" w:rsidR="00206D58" w:rsidRPr="004B2B19" w:rsidRDefault="00206D58" w:rsidP="0054306E">
            <w:pPr>
              <w:pStyle w:val="Tabletext"/>
            </w:pPr>
            <w:r w:rsidRPr="004B2B19">
              <w:t xml:space="preserve">Age 2-55 years; diagnosis of LGS including typical EEG with recent drop seizures; at least </w:t>
            </w:r>
            <w:r w:rsidRPr="004B2B19">
              <w:rPr>
                <w:i/>
                <w:iCs/>
              </w:rPr>
              <w:t>one</w:t>
            </w:r>
            <w:r w:rsidRPr="004B2B19">
              <w:t xml:space="preserve"> failed ASM and taking one or more ASMs at stable dose. </w:t>
            </w:r>
          </w:p>
        </w:tc>
        <w:tc>
          <w:tcPr>
            <w:tcW w:w="1466" w:type="pct"/>
            <w:vAlign w:val="center"/>
          </w:tcPr>
          <w:p w14:paraId="290EC9B2" w14:textId="77777777" w:rsidR="00206D58" w:rsidRPr="004B2B19" w:rsidRDefault="00206D58" w:rsidP="0054306E">
            <w:pPr>
              <w:pStyle w:val="Tabletext"/>
            </w:pPr>
            <w:r w:rsidRPr="004B2B19">
              <w:t>Primary: Mean % CFB in DSF over M</w:t>
            </w:r>
          </w:p>
          <w:p w14:paraId="72C01DA0" w14:textId="5080EA9C" w:rsidR="00206D58" w:rsidRPr="004B2B19" w:rsidRDefault="00206D58" w:rsidP="0054306E">
            <w:pPr>
              <w:pStyle w:val="Tabletext"/>
            </w:pPr>
            <w:r w:rsidRPr="004B2B19">
              <w:t xml:space="preserve">Secondary: Patients with </w:t>
            </w:r>
            <w:r w:rsidRPr="004B2B19">
              <w:rPr>
                <w:rFonts w:ascii="Symbol" w:eastAsia="Symbol" w:hAnsi="Symbol" w:cs="Symbol"/>
              </w:rPr>
              <w:t>³</w:t>
            </w:r>
            <w:r w:rsidRPr="004B2B19">
              <w:t xml:space="preserve">25%, </w:t>
            </w:r>
            <w:r w:rsidRPr="004B2B19">
              <w:rPr>
                <w:rFonts w:ascii="Symbol" w:eastAsia="Symbol" w:hAnsi="Symbol" w:cs="Symbol"/>
              </w:rPr>
              <w:t>³</w:t>
            </w:r>
            <w:r w:rsidRPr="004B2B19">
              <w:t xml:space="preserve">50%, </w:t>
            </w:r>
            <w:r w:rsidRPr="004B2B19">
              <w:rPr>
                <w:rFonts w:ascii="Symbol" w:eastAsia="Symbol" w:hAnsi="Symbol" w:cs="Symbol"/>
              </w:rPr>
              <w:t>³</w:t>
            </w:r>
            <w:r w:rsidRPr="004B2B19">
              <w:t>75% reduction in DSF</w:t>
            </w:r>
          </w:p>
        </w:tc>
      </w:tr>
      <w:tr w:rsidR="00206D58" w:rsidRPr="004B2B19" w14:paraId="1E7D45EA" w14:textId="77777777" w:rsidTr="00206D58">
        <w:trPr>
          <w:cantSplit/>
        </w:trPr>
        <w:tc>
          <w:tcPr>
            <w:tcW w:w="552" w:type="pct"/>
            <w:vAlign w:val="center"/>
          </w:tcPr>
          <w:p w14:paraId="69E010E2" w14:textId="77777777" w:rsidR="00206D58" w:rsidRPr="004B2B19" w:rsidRDefault="00206D58" w:rsidP="0054306E">
            <w:pPr>
              <w:pStyle w:val="Tabletext"/>
            </w:pPr>
            <w:r w:rsidRPr="004B2B19">
              <w:t>GWPCARE4</w:t>
            </w:r>
          </w:p>
          <w:p w14:paraId="056E247E" w14:textId="6DC8DE0B" w:rsidR="00206D58" w:rsidRPr="004B2B19" w:rsidRDefault="00206D58" w:rsidP="0054306E">
            <w:pPr>
              <w:pStyle w:val="Tabletext"/>
            </w:pPr>
          </w:p>
        </w:tc>
        <w:tc>
          <w:tcPr>
            <w:tcW w:w="232" w:type="pct"/>
            <w:vAlign w:val="center"/>
          </w:tcPr>
          <w:p w14:paraId="6D7AB84F" w14:textId="1C557DE6" w:rsidR="00206D58" w:rsidRPr="004B2B19" w:rsidRDefault="00206D58" w:rsidP="0054306E">
            <w:pPr>
              <w:pStyle w:val="Tabletext"/>
            </w:pPr>
            <w:r w:rsidRPr="004B2B19">
              <w:t>171</w:t>
            </w:r>
          </w:p>
        </w:tc>
        <w:tc>
          <w:tcPr>
            <w:tcW w:w="1304" w:type="pct"/>
            <w:vAlign w:val="center"/>
          </w:tcPr>
          <w:p w14:paraId="17FD93EE" w14:textId="3E7EB89B" w:rsidR="00206D58" w:rsidRPr="004B2B19" w:rsidRDefault="00206D58" w:rsidP="0054306E">
            <w:pPr>
              <w:pStyle w:val="Tabletext"/>
            </w:pPr>
            <w:r w:rsidRPr="004B2B19">
              <w:t>R, DB, MC; randomised 1:1 to placebo (N = 85) or CBD 20 mg/kg/day (N = 86); 4 week baseline, 2 week dose titration (T), 12 week maintenance (M).</w:t>
            </w:r>
          </w:p>
        </w:tc>
        <w:tc>
          <w:tcPr>
            <w:tcW w:w="347" w:type="pct"/>
            <w:vAlign w:val="center"/>
          </w:tcPr>
          <w:p w14:paraId="7620D438" w14:textId="72162866" w:rsidR="00206D58" w:rsidRPr="004B2B19" w:rsidRDefault="00206D58" w:rsidP="0054306E">
            <w:pPr>
              <w:pStyle w:val="Tabletext"/>
            </w:pPr>
            <w:r w:rsidRPr="004B2B19">
              <w:t>Low</w:t>
            </w:r>
          </w:p>
        </w:tc>
        <w:tc>
          <w:tcPr>
            <w:tcW w:w="1099" w:type="pct"/>
            <w:vAlign w:val="center"/>
          </w:tcPr>
          <w:p w14:paraId="13CAA7A2" w14:textId="61B7E604" w:rsidR="00206D58" w:rsidRPr="004B2B19" w:rsidRDefault="00206D58" w:rsidP="0054306E">
            <w:pPr>
              <w:pStyle w:val="Tabletext"/>
              <w:rPr>
                <w:rFonts w:ascii="Helvetica" w:hAnsi="Helvetica"/>
                <w:sz w:val="14"/>
                <w:szCs w:val="14"/>
              </w:rPr>
            </w:pPr>
            <w:r w:rsidRPr="004B2B19">
              <w:t xml:space="preserve">Age 2-55 years; diagnosis of LGS including typical EEG with recent drop seizures; at least </w:t>
            </w:r>
            <w:r w:rsidRPr="004B2B19">
              <w:rPr>
                <w:i/>
                <w:iCs/>
              </w:rPr>
              <w:t>two</w:t>
            </w:r>
          </w:p>
          <w:p w14:paraId="608DB2AA" w14:textId="112C36FC" w:rsidR="00206D58" w:rsidRPr="004B2B19" w:rsidRDefault="00206D58" w:rsidP="0054306E">
            <w:pPr>
              <w:pStyle w:val="Tabletext"/>
            </w:pPr>
            <w:r w:rsidRPr="004B2B19">
              <w:t xml:space="preserve">failed ASMs </w:t>
            </w:r>
            <w:r w:rsidRPr="004B2B19">
              <w:rPr>
                <w:i/>
                <w:iCs/>
              </w:rPr>
              <w:t>including</w:t>
            </w:r>
            <w:r w:rsidRPr="004B2B19">
              <w:t xml:space="preserve"> prior and current</w:t>
            </w:r>
          </w:p>
          <w:p w14:paraId="370C022B" w14:textId="50D955B8" w:rsidR="00206D58" w:rsidRPr="004B2B19" w:rsidRDefault="00206D58" w:rsidP="0054306E">
            <w:pPr>
              <w:pStyle w:val="Tabletext"/>
            </w:pPr>
            <w:r w:rsidRPr="004B2B19">
              <w:t xml:space="preserve">treatment, taking one to four ASMs at stable dose. </w:t>
            </w:r>
          </w:p>
          <w:p w14:paraId="647A627A" w14:textId="62BC005D" w:rsidR="00206D58" w:rsidRPr="004B2B19" w:rsidRDefault="00206D58" w:rsidP="0054306E">
            <w:pPr>
              <w:pStyle w:val="Tabletext"/>
            </w:pPr>
            <w:r w:rsidRPr="004B2B19">
              <w:t xml:space="preserve"> </w:t>
            </w:r>
          </w:p>
        </w:tc>
        <w:tc>
          <w:tcPr>
            <w:tcW w:w="1466" w:type="pct"/>
            <w:vAlign w:val="center"/>
          </w:tcPr>
          <w:p w14:paraId="1F0DD1C3" w14:textId="77777777" w:rsidR="00206D58" w:rsidRPr="004B2B19" w:rsidRDefault="00206D58" w:rsidP="0054306E">
            <w:pPr>
              <w:pStyle w:val="Tabletext"/>
            </w:pPr>
            <w:r w:rsidRPr="004B2B19">
              <w:t xml:space="preserve">Primary: Mean % CFB in DSF over T+M; </w:t>
            </w:r>
          </w:p>
          <w:p w14:paraId="714C7DA6" w14:textId="14676101" w:rsidR="00206D58" w:rsidRPr="004B2B19" w:rsidRDefault="00206D58" w:rsidP="0054306E">
            <w:pPr>
              <w:pStyle w:val="Tabletext"/>
            </w:pPr>
            <w:r w:rsidRPr="004B2B19">
              <w:t xml:space="preserve">Secondary: Patients with </w:t>
            </w:r>
            <w:r w:rsidRPr="004B2B19">
              <w:rPr>
                <w:rFonts w:ascii="Symbol" w:eastAsia="Symbol" w:hAnsi="Symbol" w:cs="Symbol"/>
              </w:rPr>
              <w:t>³</w:t>
            </w:r>
            <w:r w:rsidRPr="004B2B19">
              <w:t xml:space="preserve">25%, </w:t>
            </w:r>
            <w:r w:rsidRPr="004B2B19">
              <w:rPr>
                <w:rFonts w:ascii="Symbol" w:eastAsia="Symbol" w:hAnsi="Symbol" w:cs="Symbol"/>
              </w:rPr>
              <w:t>³</w:t>
            </w:r>
            <w:r w:rsidRPr="004B2B19">
              <w:t xml:space="preserve">50%, </w:t>
            </w:r>
            <w:r w:rsidRPr="004B2B19">
              <w:rPr>
                <w:rFonts w:ascii="Symbol" w:eastAsia="Symbol" w:hAnsi="Symbol" w:cs="Symbol"/>
              </w:rPr>
              <w:t>³</w:t>
            </w:r>
            <w:r w:rsidRPr="004B2B19">
              <w:t>75% reduction in DSF</w:t>
            </w:r>
          </w:p>
        </w:tc>
      </w:tr>
      <w:tr w:rsidR="00206D58" w:rsidRPr="004B2B19" w14:paraId="1965DB10" w14:textId="77777777" w:rsidTr="00206D58">
        <w:trPr>
          <w:cantSplit/>
        </w:trPr>
        <w:tc>
          <w:tcPr>
            <w:tcW w:w="552" w:type="pct"/>
            <w:vAlign w:val="center"/>
          </w:tcPr>
          <w:p w14:paraId="65DA7A29" w14:textId="77777777" w:rsidR="00206D58" w:rsidRPr="004B2B19" w:rsidRDefault="00206D58" w:rsidP="0054306E">
            <w:pPr>
              <w:pStyle w:val="Tabletext"/>
            </w:pPr>
            <w:r w:rsidRPr="004B2B19">
              <w:t>GWPCARE5</w:t>
            </w:r>
          </w:p>
          <w:p w14:paraId="1A086A9E" w14:textId="4DFB3425" w:rsidR="00206D58" w:rsidRPr="004B2B19" w:rsidRDefault="00206D58" w:rsidP="0054306E">
            <w:pPr>
              <w:pStyle w:val="Tabletext"/>
            </w:pPr>
          </w:p>
        </w:tc>
        <w:tc>
          <w:tcPr>
            <w:tcW w:w="232" w:type="pct"/>
            <w:vAlign w:val="center"/>
          </w:tcPr>
          <w:p w14:paraId="4FEEF7B4" w14:textId="3EF5FF82" w:rsidR="00206D58" w:rsidRPr="004B2B19" w:rsidRDefault="00206D58" w:rsidP="0054306E">
            <w:pPr>
              <w:pStyle w:val="Tabletext"/>
            </w:pPr>
            <w:r w:rsidRPr="004B2B19">
              <w:t>366</w:t>
            </w:r>
          </w:p>
        </w:tc>
        <w:tc>
          <w:tcPr>
            <w:tcW w:w="1304" w:type="pct"/>
            <w:vAlign w:val="center"/>
          </w:tcPr>
          <w:p w14:paraId="1DA19919" w14:textId="5D15F6FF" w:rsidR="00206D58" w:rsidRPr="004B2B19" w:rsidRDefault="00206D58" w:rsidP="0054306E">
            <w:pPr>
              <w:pStyle w:val="Tabletext"/>
            </w:pPr>
            <w:r w:rsidRPr="004B2B19">
              <w:t xml:space="preserve">OLE; CBD 20 mg/kg/day; dose of CBD or other ASMs could be reduced and dose of CBD could be increased to 30 mg/kg/day; mean duration 826 days, median 1090 days. </w:t>
            </w:r>
          </w:p>
        </w:tc>
        <w:tc>
          <w:tcPr>
            <w:tcW w:w="347" w:type="pct"/>
            <w:vAlign w:val="center"/>
          </w:tcPr>
          <w:p w14:paraId="5B7B0C5A" w14:textId="1D862250" w:rsidR="00206D58" w:rsidRPr="004B2B19" w:rsidRDefault="00206D58" w:rsidP="0054306E">
            <w:pPr>
              <w:pStyle w:val="Tabletext"/>
            </w:pPr>
            <w:r w:rsidRPr="004B2B19">
              <w:t>Unclear</w:t>
            </w:r>
          </w:p>
        </w:tc>
        <w:tc>
          <w:tcPr>
            <w:tcW w:w="1099" w:type="pct"/>
            <w:vAlign w:val="center"/>
          </w:tcPr>
          <w:p w14:paraId="1A95C259" w14:textId="69AC80DA" w:rsidR="00206D58" w:rsidRPr="004B2B19" w:rsidRDefault="00206D58" w:rsidP="0054306E">
            <w:pPr>
              <w:pStyle w:val="Tabletext"/>
            </w:pPr>
            <w:r w:rsidRPr="004B2B19">
              <w:t xml:space="preserve">Completion of GWPCARE 3 or 4. </w:t>
            </w:r>
          </w:p>
        </w:tc>
        <w:tc>
          <w:tcPr>
            <w:tcW w:w="1466" w:type="pct"/>
            <w:vAlign w:val="center"/>
          </w:tcPr>
          <w:p w14:paraId="7F6D265E" w14:textId="56FE5B25" w:rsidR="00206D58" w:rsidRPr="004B2B19" w:rsidRDefault="00206D58" w:rsidP="0054306E">
            <w:pPr>
              <w:pStyle w:val="Tabletext"/>
            </w:pPr>
            <w:r w:rsidRPr="004B2B19">
              <w:t xml:space="preserve">DSF events per 28 days for 12 week periods. </w:t>
            </w:r>
          </w:p>
        </w:tc>
      </w:tr>
    </w:tbl>
    <w:p w14:paraId="7A45430F" w14:textId="7B8FE5E0" w:rsidR="00EC6C49" w:rsidRPr="004B2B19" w:rsidRDefault="00EC6C49" w:rsidP="0054306E">
      <w:pPr>
        <w:pStyle w:val="TableFigureFooter"/>
      </w:pPr>
      <w:r w:rsidRPr="004B2B19">
        <w:t xml:space="preserve">Source: Study 1601 Part 1 CSR, pp3-5; Study 1601 Part 2 CSR, pp2-5. </w:t>
      </w:r>
      <w:r w:rsidR="00FB7BA2" w:rsidRPr="004B2B19">
        <w:t>ASM</w:t>
      </w:r>
      <w:r w:rsidRPr="004B2B19">
        <w:t xml:space="preserve"> = anti</w:t>
      </w:r>
      <w:r w:rsidR="002A5BDC" w:rsidRPr="004B2B19">
        <w:t>seizure medication</w:t>
      </w:r>
      <w:r w:rsidRPr="004B2B19">
        <w:t xml:space="preserve">; </w:t>
      </w:r>
      <w:r w:rsidR="006B1002" w:rsidRPr="004B2B19">
        <w:t xml:space="preserve">CBD </w:t>
      </w:r>
      <w:r w:rsidR="001530DC" w:rsidRPr="004B2B19">
        <w:t>=</w:t>
      </w:r>
      <w:r w:rsidR="006B1002" w:rsidRPr="004B2B19">
        <w:t xml:space="preserve"> cannabidiol; </w:t>
      </w:r>
      <w:r w:rsidRPr="004B2B19">
        <w:t>CFB = change from baseline; DB = double blind; DSF = drop seizure frequency; EEG = electro-encephalogram; FEN = fenfluramine; LGS = Lennox-Gastaut Syndrome; MC = multi-centre; OLE = open label extension; R = randomised.</w:t>
      </w:r>
    </w:p>
    <w:p w14:paraId="1B26F780" w14:textId="21961384" w:rsidR="008E0FB9" w:rsidRPr="004B2B19" w:rsidRDefault="003A2DC5" w:rsidP="00EC5836">
      <w:pPr>
        <w:pStyle w:val="3-BodyText"/>
      </w:pPr>
      <w:r w:rsidRPr="004B2B19">
        <w:t>S</w:t>
      </w:r>
      <w:r w:rsidR="003504CC" w:rsidRPr="004B2B19">
        <w:t xml:space="preserve">ubjects without a diagnosis </w:t>
      </w:r>
      <w:r w:rsidRPr="004B2B19">
        <w:t xml:space="preserve">of LGS </w:t>
      </w:r>
      <w:r w:rsidR="003504CC" w:rsidRPr="004B2B19">
        <w:t xml:space="preserve">could be enrolled </w:t>
      </w:r>
      <w:r w:rsidR="004D7490" w:rsidRPr="004B2B19">
        <w:t xml:space="preserve">in Study 1601 </w:t>
      </w:r>
      <w:r w:rsidR="003504CC" w:rsidRPr="004B2B19">
        <w:t>if they met the study's diagnostic criteria</w:t>
      </w:r>
      <w:r w:rsidR="000A03BD" w:rsidRPr="004B2B19">
        <w:t xml:space="preserve">; </w:t>
      </w:r>
      <w:r w:rsidRPr="004B2B19">
        <w:t xml:space="preserve">this is important because although patients had to </w:t>
      </w:r>
      <w:r w:rsidR="001530DC" w:rsidRPr="004B2B19">
        <w:t xml:space="preserve">have </w:t>
      </w:r>
      <w:r w:rsidRPr="004B2B19">
        <w:t>be</w:t>
      </w:r>
      <w:r w:rsidR="001530DC" w:rsidRPr="004B2B19">
        <w:t>en</w:t>
      </w:r>
      <w:r w:rsidRPr="004B2B19">
        <w:t xml:space="preserve"> treated with at least one </w:t>
      </w:r>
      <w:r w:rsidR="00FB7BA2" w:rsidRPr="004B2B19">
        <w:t>ASM</w:t>
      </w:r>
      <w:r w:rsidRPr="004B2B19">
        <w:t xml:space="preserve"> </w:t>
      </w:r>
      <w:r w:rsidR="000A03BD" w:rsidRPr="004B2B19">
        <w:t>it</w:t>
      </w:r>
      <w:r w:rsidRPr="004B2B19">
        <w:t xml:space="preserve"> did not have to be an </w:t>
      </w:r>
      <w:r w:rsidR="00FB7BA2" w:rsidRPr="004B2B19">
        <w:t>ASM</w:t>
      </w:r>
      <w:r w:rsidRPr="004B2B19">
        <w:t xml:space="preserve"> </w:t>
      </w:r>
      <w:r w:rsidR="00D77E3F" w:rsidRPr="004B2B19">
        <w:t>recommended</w:t>
      </w:r>
      <w:r w:rsidRPr="004B2B19">
        <w:t xml:space="preserve"> for LGS</w:t>
      </w:r>
      <w:r w:rsidR="000A03BD" w:rsidRPr="004B2B19">
        <w:t>.</w:t>
      </w:r>
      <w:r w:rsidR="00C44F85" w:rsidRPr="004B2B19">
        <w:rPr>
          <w:rStyle w:val="FootnoteReference"/>
        </w:rPr>
        <w:footnoteReference w:id="2"/>
      </w:r>
      <w:r w:rsidR="0032617A" w:rsidRPr="004B2B19">
        <w:t xml:space="preserve"> Patients</w:t>
      </w:r>
      <w:r w:rsidRPr="004B2B19">
        <w:t xml:space="preserve"> had to have at least 4 seizures in both the first two weeks and second two weeks of the baseline</w:t>
      </w:r>
      <w:r w:rsidR="00AB1155" w:rsidRPr="004B2B19">
        <w:t xml:space="preserve"> period</w:t>
      </w:r>
      <w:r w:rsidR="003504CC" w:rsidRPr="004B2B19">
        <w:t xml:space="preserve">. </w:t>
      </w:r>
      <w:r w:rsidR="00C15B9A" w:rsidRPr="004B2B19">
        <w:t xml:space="preserve">The PSCR argued </w:t>
      </w:r>
      <w:r w:rsidR="00071616" w:rsidRPr="004B2B19">
        <w:t xml:space="preserve">that the requirement for patients without a formal diagnosis of LGS to meet all other </w:t>
      </w:r>
      <w:r w:rsidR="0084223B" w:rsidRPr="004B2B19">
        <w:t xml:space="preserve">diagnostic criteria </w:t>
      </w:r>
      <w:r w:rsidR="00355A2D" w:rsidRPr="004B2B19">
        <w:t xml:space="preserve">was likely more stringent than </w:t>
      </w:r>
      <w:r w:rsidR="00CE5EBC" w:rsidRPr="004B2B19">
        <w:t xml:space="preserve">for patients recruited through a confirmed LGS diagnosis. </w:t>
      </w:r>
    </w:p>
    <w:p w14:paraId="1DD06D7D" w14:textId="0AAD7FCD" w:rsidR="007F1017" w:rsidRPr="004B2B19" w:rsidRDefault="000C3F9A" w:rsidP="00EC5836">
      <w:pPr>
        <w:pStyle w:val="3-BodyText"/>
        <w:rPr>
          <w:color w:val="000000" w:themeColor="text1"/>
        </w:rPr>
      </w:pPr>
      <w:r w:rsidRPr="004B2B19">
        <w:t>In all studies</w:t>
      </w:r>
      <w:r w:rsidR="004F7EB3" w:rsidRPr="004B2B19">
        <w:t xml:space="preserve"> </w:t>
      </w:r>
      <w:r w:rsidRPr="004B2B19">
        <w:t>d</w:t>
      </w:r>
      <w:r w:rsidR="008E0FB9" w:rsidRPr="004B2B19">
        <w:t xml:space="preserve">rop seizures were defined as seizures </w:t>
      </w:r>
      <w:r w:rsidR="008E0FB9" w:rsidRPr="004B2B19">
        <w:rPr>
          <w:color w:val="000000" w:themeColor="text1"/>
        </w:rPr>
        <w:t>considered to typically result in</w:t>
      </w:r>
      <w:r w:rsidR="004F7EB3" w:rsidRPr="004B2B19">
        <w:rPr>
          <w:color w:val="000000" w:themeColor="text1"/>
        </w:rPr>
        <w:t xml:space="preserve"> drops (falling, slumping in a chair, or hitting the head on a surface)</w:t>
      </w:r>
      <w:r w:rsidR="008E0FB9" w:rsidRPr="004B2B19">
        <w:rPr>
          <w:color w:val="000000" w:themeColor="text1"/>
        </w:rPr>
        <w:t xml:space="preserve"> and adjudicated as causing drops for an individual patient by the Epilepsy Study Consortium (https://epilepsyconsortium.org/)</w:t>
      </w:r>
      <w:r w:rsidR="004F7EB3" w:rsidRPr="004B2B19">
        <w:rPr>
          <w:color w:val="000000" w:themeColor="text1"/>
        </w:rPr>
        <w:t xml:space="preserve">. </w:t>
      </w:r>
      <w:r w:rsidR="008E0FB9" w:rsidRPr="004B2B19">
        <w:rPr>
          <w:color w:val="000000" w:themeColor="text1"/>
        </w:rPr>
        <w:t>Drop seizures were chosen as the primary outcome because they are an important cause of morbidity and because they can be counted reliably.</w:t>
      </w:r>
    </w:p>
    <w:p w14:paraId="510B1824" w14:textId="5728B377" w:rsidR="00942D17" w:rsidRPr="004B2B19" w:rsidRDefault="00942D17" w:rsidP="00EC5836">
      <w:pPr>
        <w:pStyle w:val="3-BodyText"/>
        <w:rPr>
          <w:color w:val="000000" w:themeColor="text1"/>
        </w:rPr>
      </w:pPr>
      <w:r w:rsidRPr="004B2B19">
        <w:rPr>
          <w:color w:val="000000" w:themeColor="text1"/>
        </w:rPr>
        <w:t xml:space="preserve">In all studies </w:t>
      </w:r>
      <w:r w:rsidR="000A03BD" w:rsidRPr="004B2B19">
        <w:rPr>
          <w:color w:val="000000" w:themeColor="text1"/>
        </w:rPr>
        <w:t>drop seizure frequency (DSF)</w:t>
      </w:r>
      <w:r w:rsidRPr="004B2B19">
        <w:rPr>
          <w:color w:val="000000" w:themeColor="text1"/>
        </w:rPr>
        <w:t xml:space="preserve"> per 28 days was calculated by adding all seizures recorded in seizure diaries</w:t>
      </w:r>
      <w:r w:rsidR="009A41AC" w:rsidRPr="004B2B19">
        <w:rPr>
          <w:color w:val="000000" w:themeColor="text1"/>
        </w:rPr>
        <w:t xml:space="preserve"> for the relevant period</w:t>
      </w:r>
      <w:r w:rsidRPr="004B2B19">
        <w:rPr>
          <w:color w:val="000000" w:themeColor="text1"/>
        </w:rPr>
        <w:t xml:space="preserve">, dividing the number by the number of days with non-missing data, and multiplying by 28. </w:t>
      </w:r>
      <w:r w:rsidR="000C3F9A" w:rsidRPr="004B2B19">
        <w:rPr>
          <w:color w:val="000000" w:themeColor="text1"/>
        </w:rPr>
        <w:t xml:space="preserve">Although the submission stated that there was no imputation of missing data for efficacy outcomes in Study 1601, this procedure is equivalent to </w:t>
      </w:r>
      <w:r w:rsidR="00B04A89" w:rsidRPr="004B2B19">
        <w:rPr>
          <w:color w:val="000000" w:themeColor="text1"/>
        </w:rPr>
        <w:t>assuming</w:t>
      </w:r>
      <w:r w:rsidR="000C3F9A" w:rsidRPr="004B2B19">
        <w:rPr>
          <w:color w:val="000000" w:themeColor="text1"/>
        </w:rPr>
        <w:t xml:space="preserve"> the average frequency </w:t>
      </w:r>
      <w:r w:rsidR="000A03BD" w:rsidRPr="004B2B19">
        <w:rPr>
          <w:color w:val="000000" w:themeColor="text1"/>
        </w:rPr>
        <w:t xml:space="preserve">of seizures </w:t>
      </w:r>
      <w:r w:rsidR="00B04A89" w:rsidRPr="004B2B19">
        <w:rPr>
          <w:color w:val="000000" w:themeColor="text1"/>
        </w:rPr>
        <w:t>on</w:t>
      </w:r>
      <w:r w:rsidR="000C3F9A" w:rsidRPr="004B2B19">
        <w:rPr>
          <w:color w:val="000000" w:themeColor="text1"/>
        </w:rPr>
        <w:t xml:space="preserve"> days with missing data. </w:t>
      </w:r>
    </w:p>
    <w:p w14:paraId="1616A571" w14:textId="54953B90" w:rsidR="0053278D" w:rsidRPr="004B2B19" w:rsidRDefault="0053278D" w:rsidP="00EC5836">
      <w:pPr>
        <w:pStyle w:val="3-BodyText"/>
        <w:rPr>
          <w:color w:val="000000" w:themeColor="text1"/>
        </w:rPr>
      </w:pPr>
      <w:r w:rsidRPr="004B2B19">
        <w:rPr>
          <w:color w:val="000000" w:themeColor="text1"/>
        </w:rPr>
        <w:t xml:space="preserve">Concomitant </w:t>
      </w:r>
      <w:r w:rsidR="00FB7BA2" w:rsidRPr="004B2B19">
        <w:rPr>
          <w:color w:val="000000" w:themeColor="text1"/>
        </w:rPr>
        <w:t>ASM</w:t>
      </w:r>
      <w:r w:rsidRPr="004B2B19">
        <w:rPr>
          <w:color w:val="000000" w:themeColor="text1"/>
        </w:rPr>
        <w:t xml:space="preserve"> treatment could not be changed during the study, except that a reduction of dose to manage adverse events was allowed</w:t>
      </w:r>
      <w:r w:rsidR="005A4199" w:rsidRPr="004B2B19">
        <w:rPr>
          <w:color w:val="000000" w:themeColor="text1"/>
        </w:rPr>
        <w:t>.</w:t>
      </w:r>
      <w:r w:rsidRPr="004B2B19">
        <w:rPr>
          <w:color w:val="000000" w:themeColor="text1"/>
        </w:rPr>
        <w:t xml:space="preserve"> </w:t>
      </w:r>
    </w:p>
    <w:p w14:paraId="2D4CCC27" w14:textId="77777777" w:rsidR="00B77756" w:rsidRPr="004B2B19" w:rsidRDefault="00B77756" w:rsidP="00B04A89">
      <w:pPr>
        <w:pStyle w:val="TableFigureHeading"/>
      </w:pPr>
    </w:p>
    <w:p w14:paraId="4A4FE085" w14:textId="1C5613CC" w:rsidR="00B60939" w:rsidRPr="004B2B19" w:rsidRDefault="00B60939" w:rsidP="00EC5836">
      <w:pPr>
        <w:pStyle w:val="4-SubsectionHeading"/>
      </w:pPr>
      <w:bookmarkStart w:id="27" w:name="_Toc22897641"/>
      <w:bookmarkStart w:id="28" w:name="_Toc208980608"/>
      <w:r w:rsidRPr="004B2B19">
        <w:t>Comparative effectiveness</w:t>
      </w:r>
      <w:bookmarkEnd w:id="27"/>
      <w:bookmarkEnd w:id="28"/>
    </w:p>
    <w:p w14:paraId="28593FB8" w14:textId="7EDCCAD0" w:rsidR="002C2775" w:rsidRPr="004B2B19" w:rsidRDefault="00C72A33" w:rsidP="00C72A33">
      <w:pPr>
        <w:pStyle w:val="5-SubsectionSubheading"/>
      </w:pPr>
      <w:bookmarkStart w:id="29" w:name="_Toc208980609"/>
      <w:r w:rsidRPr="004B2B19">
        <w:t>Fenfluramine</w:t>
      </w:r>
      <w:bookmarkEnd w:id="29"/>
    </w:p>
    <w:p w14:paraId="319E50B5" w14:textId="18FD350E" w:rsidR="00EC6C49" w:rsidRPr="004B2B19" w:rsidRDefault="00EC6C49" w:rsidP="00EC5836">
      <w:pPr>
        <w:pStyle w:val="3-BodyText"/>
        <w:rPr>
          <w:color w:val="000000" w:themeColor="text1"/>
        </w:rPr>
      </w:pPr>
      <w:r w:rsidRPr="004B2B19">
        <w:rPr>
          <w:color w:val="000000" w:themeColor="text1"/>
        </w:rPr>
        <w:t xml:space="preserve">Efficacy outcomes in Study 1601 Part 1 are shown in </w:t>
      </w:r>
      <w:r w:rsidR="00FA6F90" w:rsidRPr="004B2B19">
        <w:rPr>
          <w:color w:val="000000" w:themeColor="text1"/>
        </w:rPr>
        <w:fldChar w:fldCharType="begin"/>
      </w:r>
      <w:r w:rsidR="00FA6F90" w:rsidRPr="004B2B19">
        <w:rPr>
          <w:color w:val="000000" w:themeColor="text1"/>
        </w:rPr>
        <w:instrText xml:space="preserve"> REF _Ref204688522 \h </w:instrText>
      </w:r>
      <w:r w:rsidR="004B2B19" w:rsidRPr="004B2B19">
        <w:rPr>
          <w:color w:val="000000" w:themeColor="text1"/>
        </w:rPr>
        <w:instrText xml:space="preserve"> \* MERGEFORMAT </w:instrText>
      </w:r>
      <w:r w:rsidR="00FA6F90" w:rsidRPr="004B2B19">
        <w:rPr>
          <w:color w:val="000000" w:themeColor="text1"/>
        </w:rPr>
      </w:r>
      <w:r w:rsidR="00FA6F90" w:rsidRPr="004B2B19">
        <w:rPr>
          <w:color w:val="000000" w:themeColor="text1"/>
        </w:rPr>
        <w:fldChar w:fldCharType="separate"/>
      </w:r>
      <w:r w:rsidR="00A037BC" w:rsidRPr="004B2B19">
        <w:t xml:space="preserve">Table </w:t>
      </w:r>
      <w:r w:rsidR="00A037BC">
        <w:rPr>
          <w:noProof/>
        </w:rPr>
        <w:t>4</w:t>
      </w:r>
      <w:r w:rsidR="00FA6F90" w:rsidRPr="004B2B19">
        <w:rPr>
          <w:color w:val="000000" w:themeColor="text1"/>
        </w:rPr>
        <w:fldChar w:fldCharType="end"/>
      </w:r>
      <w:r w:rsidR="00E46E53" w:rsidRPr="004B2B19">
        <w:rPr>
          <w:color w:val="000000" w:themeColor="text1"/>
        </w:rPr>
        <w:t xml:space="preserve">, with change in drop seizure frequency from baseline </w:t>
      </w:r>
      <w:r w:rsidR="00D2451B" w:rsidRPr="004B2B19">
        <w:rPr>
          <w:color w:val="000000" w:themeColor="text1"/>
        </w:rPr>
        <w:t xml:space="preserve">presented in </w:t>
      </w:r>
      <w:r w:rsidR="006235DF" w:rsidRPr="004B2B19">
        <w:rPr>
          <w:color w:val="000000" w:themeColor="text1"/>
        </w:rPr>
        <w:fldChar w:fldCharType="begin"/>
      </w:r>
      <w:r w:rsidR="006235DF" w:rsidRPr="004B2B19">
        <w:rPr>
          <w:color w:val="000000" w:themeColor="text1"/>
        </w:rPr>
        <w:instrText xml:space="preserve"> REF _Ref211496011 \h  \* MERGEFORMAT </w:instrText>
      </w:r>
      <w:r w:rsidR="006235DF" w:rsidRPr="004B2B19">
        <w:rPr>
          <w:color w:val="000000" w:themeColor="text1"/>
        </w:rPr>
      </w:r>
      <w:r w:rsidR="006235DF" w:rsidRPr="004B2B19">
        <w:rPr>
          <w:color w:val="000000" w:themeColor="text1"/>
        </w:rPr>
        <w:fldChar w:fldCharType="separate"/>
      </w:r>
      <w:r w:rsidR="00A037BC" w:rsidRPr="004B2B19">
        <w:t xml:space="preserve">Figure </w:t>
      </w:r>
      <w:r w:rsidR="00A037BC">
        <w:t>1</w:t>
      </w:r>
      <w:r w:rsidR="006235DF" w:rsidRPr="004B2B19">
        <w:rPr>
          <w:color w:val="000000" w:themeColor="text1"/>
        </w:rPr>
        <w:fldChar w:fldCharType="end"/>
      </w:r>
      <w:r w:rsidR="00FA6F90" w:rsidRPr="004B2B19">
        <w:rPr>
          <w:color w:val="000000" w:themeColor="text1"/>
        </w:rPr>
        <w:t>.</w:t>
      </w:r>
    </w:p>
    <w:p w14:paraId="404D8ABF" w14:textId="77777777" w:rsidR="00EC6C49" w:rsidRPr="004B2B19" w:rsidRDefault="00EC6C49" w:rsidP="00EC6C49"/>
    <w:p w14:paraId="046CB74A" w14:textId="42BCE60E" w:rsidR="00EC6C49" w:rsidRPr="004B2B19" w:rsidRDefault="00FA6F90" w:rsidP="004739C7">
      <w:pPr>
        <w:pStyle w:val="Caption"/>
      </w:pPr>
      <w:bookmarkStart w:id="30" w:name="_Ref204688522"/>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4</w:t>
      </w:r>
      <w:r w:rsidR="00057B46" w:rsidRPr="004B2B19">
        <w:rPr>
          <w:noProof/>
        </w:rPr>
        <w:fldChar w:fldCharType="end"/>
      </w:r>
      <w:bookmarkEnd w:id="30"/>
      <w:r w:rsidRPr="004B2B19">
        <w:t xml:space="preserve">: </w:t>
      </w:r>
      <w:r w:rsidR="00EC6C49" w:rsidRPr="004B2B19">
        <w:t>Efficacy Outcomes in Study 1601 Part 1</w:t>
      </w:r>
    </w:p>
    <w:tbl>
      <w:tblPr>
        <w:tblStyle w:val="TableGrid"/>
        <w:tblW w:w="0" w:type="auto"/>
        <w:tblLook w:val="04A0" w:firstRow="1" w:lastRow="0" w:firstColumn="1" w:lastColumn="0" w:noHBand="0" w:noVBand="1"/>
        <w:tblCaption w:val="Table 4: Efficacy Outcomes in Study 1601 Part 1"/>
      </w:tblPr>
      <w:tblGrid>
        <w:gridCol w:w="3539"/>
        <w:gridCol w:w="1985"/>
        <w:gridCol w:w="1830"/>
        <w:gridCol w:w="1663"/>
      </w:tblGrid>
      <w:tr w:rsidR="00EC6C49" w:rsidRPr="004B2B19" w14:paraId="4E2D560A" w14:textId="77777777" w:rsidTr="0045497C">
        <w:trPr>
          <w:tblHeader/>
        </w:trPr>
        <w:tc>
          <w:tcPr>
            <w:tcW w:w="3539" w:type="dxa"/>
          </w:tcPr>
          <w:p w14:paraId="59C0564B" w14:textId="77777777" w:rsidR="00EC6C49" w:rsidRPr="004B2B19" w:rsidRDefault="00EC6C49" w:rsidP="004739C7">
            <w:pPr>
              <w:keepNext/>
              <w:keepLines/>
              <w:rPr>
                <w:rFonts w:ascii="Arial Narrow" w:hAnsi="Arial Narrow"/>
                <w:sz w:val="20"/>
                <w:szCs w:val="20"/>
              </w:rPr>
            </w:pPr>
          </w:p>
        </w:tc>
        <w:tc>
          <w:tcPr>
            <w:tcW w:w="1985" w:type="dxa"/>
          </w:tcPr>
          <w:p w14:paraId="42BB4EDE" w14:textId="77777777" w:rsidR="00EC6C49" w:rsidRPr="004B2B19" w:rsidRDefault="00EC6C49" w:rsidP="003B4837">
            <w:pPr>
              <w:pStyle w:val="In-tableHeading"/>
            </w:pPr>
            <w:r w:rsidRPr="004B2B19">
              <w:t>Placebo</w:t>
            </w:r>
          </w:p>
          <w:p w14:paraId="26CD6966" w14:textId="77777777" w:rsidR="00EC6C49" w:rsidRPr="004B2B19" w:rsidRDefault="00EC6C49" w:rsidP="003B4837">
            <w:pPr>
              <w:pStyle w:val="In-tableHeading"/>
            </w:pPr>
            <w:r w:rsidRPr="004B2B19">
              <w:t>N = 87</w:t>
            </w:r>
          </w:p>
        </w:tc>
        <w:tc>
          <w:tcPr>
            <w:tcW w:w="1830" w:type="dxa"/>
          </w:tcPr>
          <w:p w14:paraId="31514439" w14:textId="77777777" w:rsidR="00EC6C49" w:rsidRPr="004B2B19" w:rsidRDefault="00EC6C49" w:rsidP="003B4837">
            <w:pPr>
              <w:pStyle w:val="In-tableHeading"/>
            </w:pPr>
            <w:r w:rsidRPr="004B2B19">
              <w:t xml:space="preserve">Fenfluramine </w:t>
            </w:r>
          </w:p>
          <w:p w14:paraId="15B31434" w14:textId="77777777" w:rsidR="00EC6C49" w:rsidRPr="004B2B19" w:rsidRDefault="00EC6C49" w:rsidP="003B4837">
            <w:pPr>
              <w:pStyle w:val="In-tableHeading"/>
            </w:pPr>
            <w:r w:rsidRPr="004B2B19">
              <w:t>0.2 mg/kg/day</w:t>
            </w:r>
          </w:p>
          <w:p w14:paraId="121ACC09" w14:textId="77777777" w:rsidR="00EC6C49" w:rsidRPr="004B2B19" w:rsidRDefault="00EC6C49" w:rsidP="003B4837">
            <w:pPr>
              <w:pStyle w:val="In-tableHeading"/>
            </w:pPr>
            <w:r w:rsidRPr="004B2B19">
              <w:t>N = 89</w:t>
            </w:r>
          </w:p>
        </w:tc>
        <w:tc>
          <w:tcPr>
            <w:tcW w:w="1663" w:type="dxa"/>
          </w:tcPr>
          <w:p w14:paraId="29123124" w14:textId="77777777" w:rsidR="00EC6C49" w:rsidRPr="004B2B19" w:rsidRDefault="00EC6C49" w:rsidP="003B4837">
            <w:pPr>
              <w:pStyle w:val="In-tableHeading"/>
            </w:pPr>
            <w:r w:rsidRPr="004B2B19">
              <w:t xml:space="preserve">Fenfluramine </w:t>
            </w:r>
          </w:p>
          <w:p w14:paraId="39F3EA93" w14:textId="77777777" w:rsidR="00EC6C49" w:rsidRPr="004B2B19" w:rsidRDefault="00EC6C49" w:rsidP="003B4837">
            <w:pPr>
              <w:pStyle w:val="In-tableHeading"/>
            </w:pPr>
            <w:r w:rsidRPr="004B2B19">
              <w:t>0.7 mg/kg/day</w:t>
            </w:r>
          </w:p>
          <w:p w14:paraId="5D7AE197" w14:textId="77777777" w:rsidR="00EC6C49" w:rsidRPr="004B2B19" w:rsidRDefault="00EC6C49" w:rsidP="003B4837">
            <w:pPr>
              <w:pStyle w:val="In-tableHeading"/>
            </w:pPr>
            <w:r w:rsidRPr="004B2B19">
              <w:t>N = 87</w:t>
            </w:r>
          </w:p>
        </w:tc>
      </w:tr>
      <w:tr w:rsidR="00EC6C49" w:rsidRPr="004B2B19" w14:paraId="2FD36246" w14:textId="77777777" w:rsidTr="004F7EB3">
        <w:tc>
          <w:tcPr>
            <w:tcW w:w="3539" w:type="dxa"/>
          </w:tcPr>
          <w:p w14:paraId="3C4AA4F6" w14:textId="42C929AD"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B</w:t>
            </w:r>
            <w:r w:rsidR="00770F01" w:rsidRPr="004B2B19">
              <w:rPr>
                <w:rFonts w:ascii="Arial Narrow" w:hAnsi="Arial Narrow"/>
                <w:sz w:val="20"/>
                <w:szCs w:val="20"/>
              </w:rPr>
              <w:t>aseline</w:t>
            </w:r>
            <w:r w:rsidRPr="004B2B19">
              <w:rPr>
                <w:rFonts w:ascii="Arial Narrow" w:hAnsi="Arial Narrow"/>
                <w:sz w:val="20"/>
                <w:szCs w:val="20"/>
              </w:rPr>
              <w:t xml:space="preserve"> DSF, events per 28 days</w:t>
            </w:r>
            <w:r w:rsidR="00FE04EA" w:rsidRPr="004B2B19">
              <w:rPr>
                <w:rFonts w:ascii="Arial Narrow" w:hAnsi="Arial Narrow"/>
                <w:sz w:val="20"/>
                <w:szCs w:val="20"/>
                <w:vertAlign w:val="superscript"/>
              </w:rPr>
              <w:t>2</w:t>
            </w:r>
          </w:p>
          <w:p w14:paraId="16A7375A"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Mean (SD)</w:t>
            </w:r>
          </w:p>
          <w:p w14:paraId="28034433"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Median (range)</w:t>
            </w:r>
          </w:p>
        </w:tc>
        <w:tc>
          <w:tcPr>
            <w:tcW w:w="1985" w:type="dxa"/>
          </w:tcPr>
          <w:p w14:paraId="205C1D77" w14:textId="77777777" w:rsidR="00EC6C49" w:rsidRPr="004B2B19" w:rsidRDefault="00EC6C49" w:rsidP="004739C7">
            <w:pPr>
              <w:keepNext/>
              <w:keepLines/>
              <w:rPr>
                <w:rFonts w:ascii="Arial Narrow" w:hAnsi="Arial Narrow" w:cs="Calibri"/>
                <w:sz w:val="20"/>
                <w:szCs w:val="20"/>
              </w:rPr>
            </w:pPr>
          </w:p>
          <w:p w14:paraId="0ACC1730" w14:textId="0584AA80"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164.4 (309.8)</w:t>
            </w:r>
          </w:p>
          <w:p w14:paraId="52A23EDD"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53.0 (2.0, 1761.0)</w:t>
            </w:r>
            <w:r w:rsidRPr="004B2B19">
              <w:rPr>
                <w:rFonts w:ascii="Arial Narrow" w:hAnsi="Arial Narrow" w:cs="Calibri"/>
                <w:sz w:val="20"/>
                <w:szCs w:val="20"/>
                <w:vertAlign w:val="superscript"/>
              </w:rPr>
              <w:t>1</w:t>
            </w:r>
          </w:p>
        </w:tc>
        <w:tc>
          <w:tcPr>
            <w:tcW w:w="1830" w:type="dxa"/>
          </w:tcPr>
          <w:p w14:paraId="4EE98F17" w14:textId="77777777" w:rsidR="000E23F2" w:rsidRPr="004B2B19" w:rsidRDefault="000E23F2" w:rsidP="004739C7">
            <w:pPr>
              <w:keepNext/>
              <w:keepLines/>
              <w:rPr>
                <w:rFonts w:ascii="Arial Narrow" w:hAnsi="Arial Narrow" w:cs="Calibri"/>
                <w:sz w:val="20"/>
                <w:szCs w:val="20"/>
              </w:rPr>
            </w:pPr>
          </w:p>
          <w:p w14:paraId="2CF8E855" w14:textId="71235140"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233.0 (435.5)</w:t>
            </w:r>
          </w:p>
          <w:p w14:paraId="63F5DB92"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85.0 (4.1, 2943.0)</w:t>
            </w:r>
          </w:p>
        </w:tc>
        <w:tc>
          <w:tcPr>
            <w:tcW w:w="1663" w:type="dxa"/>
          </w:tcPr>
          <w:p w14:paraId="69F54FF2" w14:textId="77777777" w:rsidR="00EC6C49" w:rsidRPr="004B2B19" w:rsidRDefault="00EC6C49" w:rsidP="004739C7">
            <w:pPr>
              <w:keepNext/>
              <w:keepLines/>
              <w:rPr>
                <w:rFonts w:ascii="Arial Narrow" w:hAnsi="Arial Narrow" w:cs="Calibri"/>
                <w:sz w:val="20"/>
                <w:szCs w:val="20"/>
              </w:rPr>
            </w:pPr>
          </w:p>
          <w:p w14:paraId="071D2CAE" w14:textId="20C0C4DC"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195.0 (308.9)</w:t>
            </w:r>
          </w:p>
          <w:p w14:paraId="0547D56D"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83.0 (6.5, 1803.0)</w:t>
            </w:r>
          </w:p>
        </w:tc>
      </w:tr>
      <w:tr w:rsidR="00EC6C49" w:rsidRPr="004B2B19" w14:paraId="0EC3A918" w14:textId="77777777" w:rsidTr="004F7EB3">
        <w:tc>
          <w:tcPr>
            <w:tcW w:w="3539" w:type="dxa"/>
          </w:tcPr>
          <w:p w14:paraId="5B6DDE0A"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T+M DSF, events per 28 days</w:t>
            </w:r>
          </w:p>
          <w:p w14:paraId="20EC0AF0"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Mean (SD)</w:t>
            </w:r>
          </w:p>
          <w:p w14:paraId="1A6C62D8"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Median (range)</w:t>
            </w:r>
          </w:p>
        </w:tc>
        <w:tc>
          <w:tcPr>
            <w:tcW w:w="1985" w:type="dxa"/>
          </w:tcPr>
          <w:p w14:paraId="4B18C126" w14:textId="77777777" w:rsidR="00EC6C49" w:rsidRPr="004B2B19" w:rsidRDefault="00EC6C49" w:rsidP="004739C7">
            <w:pPr>
              <w:keepNext/>
              <w:keepLines/>
              <w:rPr>
                <w:rFonts w:ascii="Arial Narrow" w:hAnsi="Arial Narrow" w:cs="Calibri"/>
                <w:sz w:val="20"/>
                <w:szCs w:val="20"/>
              </w:rPr>
            </w:pPr>
          </w:p>
          <w:p w14:paraId="6E8A46F0"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145.2 (263.2)</w:t>
            </w:r>
          </w:p>
          <w:p w14:paraId="49D050B6"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46.8 (0.0, 1683.8)</w:t>
            </w:r>
          </w:p>
        </w:tc>
        <w:tc>
          <w:tcPr>
            <w:tcW w:w="1830" w:type="dxa"/>
          </w:tcPr>
          <w:p w14:paraId="57B522C5" w14:textId="77777777" w:rsidR="00EC6C49" w:rsidRPr="004B2B19" w:rsidRDefault="00EC6C49" w:rsidP="004739C7">
            <w:pPr>
              <w:keepNext/>
              <w:keepLines/>
              <w:rPr>
                <w:rFonts w:ascii="Arial Narrow" w:hAnsi="Arial Narrow" w:cs="Calibri"/>
                <w:sz w:val="20"/>
                <w:szCs w:val="20"/>
              </w:rPr>
            </w:pPr>
          </w:p>
          <w:p w14:paraId="37E1487B"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247.3 (609.0)</w:t>
            </w:r>
          </w:p>
          <w:p w14:paraId="58A66FB2"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61.8 (0.0, 5110.9)</w:t>
            </w:r>
          </w:p>
        </w:tc>
        <w:tc>
          <w:tcPr>
            <w:tcW w:w="1663" w:type="dxa"/>
          </w:tcPr>
          <w:p w14:paraId="0417F7C7" w14:textId="77777777" w:rsidR="00EC6C49" w:rsidRPr="004B2B19" w:rsidRDefault="00EC6C49" w:rsidP="004739C7">
            <w:pPr>
              <w:keepNext/>
              <w:keepLines/>
              <w:rPr>
                <w:rFonts w:ascii="Arial Narrow" w:hAnsi="Arial Narrow" w:cs="Calibri"/>
                <w:sz w:val="20"/>
                <w:szCs w:val="20"/>
              </w:rPr>
            </w:pPr>
          </w:p>
          <w:p w14:paraId="7B80ABFC"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162.6 (285.3)</w:t>
            </w:r>
          </w:p>
          <w:p w14:paraId="1252D50A"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54.6 (0.3, 1562.0)</w:t>
            </w:r>
          </w:p>
        </w:tc>
      </w:tr>
      <w:tr w:rsidR="00EC6C49" w:rsidRPr="004B2B19" w14:paraId="21CCEA58" w14:textId="77777777" w:rsidTr="004F7EB3">
        <w:tc>
          <w:tcPr>
            <w:tcW w:w="3539" w:type="dxa"/>
          </w:tcPr>
          <w:p w14:paraId="7BA4543E" w14:textId="186FC6FB"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 xml:space="preserve">% </w:t>
            </w:r>
            <w:r w:rsidR="00040FEC" w:rsidRPr="004B2B19">
              <w:rPr>
                <w:rFonts w:ascii="Arial Narrow" w:hAnsi="Arial Narrow"/>
                <w:sz w:val="20"/>
                <w:szCs w:val="20"/>
              </w:rPr>
              <w:t>change from baseline</w:t>
            </w:r>
            <w:r w:rsidR="00095FD9">
              <w:rPr>
                <w:rFonts w:ascii="Arial Narrow" w:hAnsi="Arial Narrow"/>
                <w:sz w:val="20"/>
                <w:szCs w:val="20"/>
              </w:rPr>
              <w:t xml:space="preserve"> </w:t>
            </w:r>
            <w:r w:rsidRPr="004B2B19">
              <w:rPr>
                <w:rFonts w:ascii="Arial Narrow" w:hAnsi="Arial Narrow"/>
                <w:sz w:val="20"/>
                <w:szCs w:val="20"/>
              </w:rPr>
              <w:t>in DSF</w:t>
            </w:r>
            <w:r w:rsidR="00374E7C" w:rsidRPr="004B2B19">
              <w:rPr>
                <w:rFonts w:ascii="Arial Narrow" w:hAnsi="Arial Narrow"/>
                <w:sz w:val="20"/>
                <w:szCs w:val="20"/>
              </w:rPr>
              <w:t>, T+M</w:t>
            </w:r>
          </w:p>
          <w:p w14:paraId="6A40B8EC" w14:textId="6D058FB1"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Median (</w:t>
            </w:r>
            <w:r w:rsidR="00932D63" w:rsidRPr="004B2B19">
              <w:rPr>
                <w:rFonts w:ascii="Arial Narrow" w:hAnsi="Arial Narrow"/>
                <w:sz w:val="20"/>
                <w:szCs w:val="20"/>
              </w:rPr>
              <w:t>range</w:t>
            </w:r>
            <w:r w:rsidRPr="004B2B19">
              <w:rPr>
                <w:rFonts w:ascii="Arial Narrow" w:hAnsi="Arial Narrow"/>
                <w:sz w:val="20"/>
                <w:szCs w:val="20"/>
              </w:rPr>
              <w:t>)</w:t>
            </w:r>
          </w:p>
          <w:p w14:paraId="500323CE"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P vs placebo</w:t>
            </w:r>
          </w:p>
        </w:tc>
        <w:tc>
          <w:tcPr>
            <w:tcW w:w="1985" w:type="dxa"/>
          </w:tcPr>
          <w:p w14:paraId="36ABFCC6" w14:textId="7BF3DCA9" w:rsidR="00EC6C49" w:rsidRPr="004B2B19" w:rsidRDefault="00EC6C49" w:rsidP="004739C7">
            <w:pPr>
              <w:keepNext/>
              <w:keepLines/>
              <w:rPr>
                <w:rFonts w:ascii="Arial Narrow" w:hAnsi="Arial Narrow" w:cs="Calibri"/>
                <w:sz w:val="20"/>
                <w:szCs w:val="20"/>
              </w:rPr>
            </w:pPr>
          </w:p>
          <w:p w14:paraId="7F0CF837"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-7.6 (-100.0, 557.1)</w:t>
            </w:r>
          </w:p>
          <w:p w14:paraId="2F9B5057"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040B872E" w14:textId="54DCF0C2" w:rsidR="00EC6C49" w:rsidRPr="004B2B19" w:rsidRDefault="00EC6C49" w:rsidP="004739C7">
            <w:pPr>
              <w:keepNext/>
              <w:keepLines/>
              <w:rPr>
                <w:rFonts w:ascii="Arial Narrow" w:hAnsi="Arial Narrow" w:cs="Calibri"/>
                <w:sz w:val="20"/>
                <w:szCs w:val="20"/>
              </w:rPr>
            </w:pPr>
          </w:p>
          <w:p w14:paraId="494D9C98"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-14.2 (-100.0, 3307.3)</w:t>
            </w:r>
          </w:p>
          <w:p w14:paraId="417D457E"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0.094</w:t>
            </w:r>
          </w:p>
        </w:tc>
        <w:tc>
          <w:tcPr>
            <w:tcW w:w="1663" w:type="dxa"/>
          </w:tcPr>
          <w:p w14:paraId="0A8359B3" w14:textId="75B945CD" w:rsidR="00EC6C49" w:rsidRPr="004B2B19" w:rsidRDefault="00EC6C49" w:rsidP="004739C7">
            <w:pPr>
              <w:keepNext/>
              <w:keepLines/>
              <w:rPr>
                <w:rFonts w:ascii="Arial Narrow" w:hAnsi="Arial Narrow" w:cs="Calibri"/>
                <w:b/>
                <w:bCs/>
                <w:sz w:val="20"/>
                <w:szCs w:val="20"/>
              </w:rPr>
            </w:pPr>
          </w:p>
          <w:p w14:paraId="6C14D069"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-26.5 (-95.2, 402.1)</w:t>
            </w:r>
          </w:p>
          <w:p w14:paraId="758C48AC"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0.001</w:t>
            </w:r>
          </w:p>
        </w:tc>
      </w:tr>
      <w:tr w:rsidR="003E27FE" w:rsidRPr="004B2B19" w14:paraId="1946A0B1" w14:textId="77777777" w:rsidTr="004F7EB3">
        <w:tc>
          <w:tcPr>
            <w:tcW w:w="3539" w:type="dxa"/>
          </w:tcPr>
          <w:p w14:paraId="45FEEC93" w14:textId="66EC80A5" w:rsidR="003E27FE" w:rsidRPr="004B2B19" w:rsidRDefault="003E27FE" w:rsidP="004739C7">
            <w:pPr>
              <w:keepNext/>
              <w:keepLines/>
              <w:rPr>
                <w:rFonts w:ascii="Arial Narrow" w:hAnsi="Arial Narrow"/>
                <w:sz w:val="20"/>
                <w:szCs w:val="20"/>
              </w:rPr>
            </w:pPr>
            <w:r w:rsidRPr="004B2B19">
              <w:rPr>
                <w:rFonts w:ascii="Arial Narrow" w:hAnsi="Arial Narrow"/>
                <w:sz w:val="20"/>
                <w:szCs w:val="20"/>
              </w:rPr>
              <w:t>Estimated median (95% CI) difference vs placebo in %</w:t>
            </w:r>
            <w:r w:rsidR="00040FEC" w:rsidRPr="004B2B19">
              <w:rPr>
                <w:rFonts w:ascii="Arial Narrow" w:hAnsi="Arial Narrow"/>
                <w:sz w:val="20"/>
                <w:szCs w:val="20"/>
              </w:rPr>
              <w:t xml:space="preserve"> change from baseline</w:t>
            </w:r>
            <w:r w:rsidR="00095FD9">
              <w:rPr>
                <w:rFonts w:ascii="Arial Narrow" w:hAnsi="Arial Narrow"/>
                <w:sz w:val="20"/>
                <w:szCs w:val="20"/>
              </w:rPr>
              <w:t xml:space="preserve"> </w:t>
            </w:r>
            <w:r w:rsidRPr="004B2B19">
              <w:rPr>
                <w:rFonts w:ascii="Arial Narrow" w:hAnsi="Arial Narrow"/>
                <w:sz w:val="20"/>
                <w:szCs w:val="20"/>
              </w:rPr>
              <w:t>in DSF</w:t>
            </w:r>
            <w:r w:rsidR="00374E7C" w:rsidRPr="004B2B19">
              <w:rPr>
                <w:rFonts w:ascii="Arial Narrow" w:hAnsi="Arial Narrow"/>
                <w:sz w:val="20"/>
                <w:szCs w:val="20"/>
              </w:rPr>
              <w:t>, T+M</w:t>
            </w:r>
            <w:r w:rsidR="00374E7C" w:rsidRPr="004B2B19">
              <w:rPr>
                <w:rFonts w:ascii="Arial Narrow" w:hAnsi="Arial Narrow"/>
                <w:sz w:val="20"/>
                <w:szCs w:val="20"/>
                <w:vertAlign w:val="superscript"/>
              </w:rPr>
              <w:t>3</w:t>
            </w:r>
          </w:p>
        </w:tc>
        <w:tc>
          <w:tcPr>
            <w:tcW w:w="1985" w:type="dxa"/>
          </w:tcPr>
          <w:p w14:paraId="5FC6AA21" w14:textId="0BE9A422" w:rsidR="003E27FE" w:rsidRPr="004B2B19" w:rsidRDefault="003E27FE"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63798EF3" w14:textId="214F1320" w:rsidR="003E27FE" w:rsidRPr="004B2B19" w:rsidRDefault="003E27FE" w:rsidP="006B0CC4">
            <w:pPr>
              <w:keepNext/>
              <w:keepLines/>
              <w:rPr>
                <w:rFonts w:ascii="Arial Narrow" w:hAnsi="Arial Narrow" w:cs="Calibri"/>
                <w:sz w:val="20"/>
                <w:szCs w:val="20"/>
              </w:rPr>
            </w:pPr>
            <w:r w:rsidRPr="004B2B19">
              <w:rPr>
                <w:rFonts w:ascii="Arial Narrow" w:hAnsi="Arial Narrow" w:cs="Calibri"/>
                <w:sz w:val="20"/>
                <w:szCs w:val="20"/>
              </w:rPr>
              <w:t>10.5 (-25.0, 4.0)</w:t>
            </w:r>
          </w:p>
        </w:tc>
        <w:tc>
          <w:tcPr>
            <w:tcW w:w="1663" w:type="dxa"/>
          </w:tcPr>
          <w:p w14:paraId="496DEDBF" w14:textId="719D83B2" w:rsidR="003E27FE" w:rsidRPr="004B2B19" w:rsidRDefault="003E27FE" w:rsidP="004739C7">
            <w:pPr>
              <w:keepNext/>
              <w:keepLines/>
              <w:rPr>
                <w:rFonts w:ascii="Arial Narrow" w:hAnsi="Arial Narrow" w:cs="Calibri"/>
                <w:b/>
                <w:bCs/>
                <w:sz w:val="20"/>
                <w:szCs w:val="20"/>
              </w:rPr>
            </w:pPr>
            <w:r w:rsidRPr="004B2B19">
              <w:rPr>
                <w:rFonts w:ascii="Arial Narrow" w:hAnsi="Arial Narrow" w:cs="Calibri"/>
                <w:b/>
                <w:bCs/>
                <w:sz w:val="20"/>
                <w:szCs w:val="20"/>
              </w:rPr>
              <w:t xml:space="preserve">19.9 (-31.0, </w:t>
            </w:r>
            <w:r w:rsidR="00374E7C" w:rsidRPr="004B2B19">
              <w:rPr>
                <w:rFonts w:ascii="Arial Narrow" w:hAnsi="Arial Narrow" w:cs="Calibri"/>
                <w:b/>
                <w:bCs/>
                <w:sz w:val="20"/>
                <w:szCs w:val="20"/>
              </w:rPr>
              <w:t>-8.7)</w:t>
            </w:r>
          </w:p>
        </w:tc>
      </w:tr>
      <w:tr w:rsidR="00EC6C49" w:rsidRPr="004B2B19" w14:paraId="53C0C851" w14:textId="77777777" w:rsidTr="004F7EB3">
        <w:tc>
          <w:tcPr>
            <w:tcW w:w="3539" w:type="dxa"/>
          </w:tcPr>
          <w:p w14:paraId="21E81162" w14:textId="7D3810F5"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50% </w:t>
            </w:r>
            <w:r w:rsidR="00040FEC" w:rsidRPr="004B2B19">
              <w:rPr>
                <w:rFonts w:ascii="Arial Narrow" w:hAnsi="Arial Narrow"/>
                <w:sz w:val="20"/>
                <w:szCs w:val="20"/>
              </w:rPr>
              <w:t xml:space="preserve">change from baseline </w:t>
            </w:r>
            <w:r w:rsidRPr="004B2B19">
              <w:rPr>
                <w:rFonts w:ascii="Arial Narrow" w:hAnsi="Arial Narrow"/>
                <w:sz w:val="20"/>
                <w:szCs w:val="20"/>
              </w:rPr>
              <w:t>in DSF, T+M</w:t>
            </w:r>
          </w:p>
          <w:p w14:paraId="5EEFA475"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n (%)</w:t>
            </w:r>
          </w:p>
          <w:p w14:paraId="2A84FDC3"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OR (95% CI)</w:t>
            </w:r>
          </w:p>
          <w:p w14:paraId="4B07F2D6"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P vs placebo</w:t>
            </w:r>
          </w:p>
        </w:tc>
        <w:tc>
          <w:tcPr>
            <w:tcW w:w="1985" w:type="dxa"/>
          </w:tcPr>
          <w:p w14:paraId="0AFBE326" w14:textId="77777777" w:rsidR="00EC6C49" w:rsidRPr="004B2B19" w:rsidRDefault="00EC6C49" w:rsidP="004739C7">
            <w:pPr>
              <w:keepNext/>
              <w:keepLines/>
              <w:rPr>
                <w:rFonts w:ascii="Arial Narrow" w:hAnsi="Arial Narrow" w:cs="Calibri"/>
                <w:sz w:val="20"/>
                <w:szCs w:val="20"/>
              </w:rPr>
            </w:pPr>
          </w:p>
          <w:p w14:paraId="537D0E34" w14:textId="77777777" w:rsidR="008F122D" w:rsidRPr="004B2B19" w:rsidRDefault="008F122D" w:rsidP="004739C7">
            <w:pPr>
              <w:keepNext/>
              <w:keepLines/>
              <w:rPr>
                <w:rFonts w:ascii="Arial Narrow" w:hAnsi="Arial Narrow" w:cs="Calibri"/>
                <w:sz w:val="20"/>
                <w:szCs w:val="20"/>
              </w:rPr>
            </w:pPr>
          </w:p>
          <w:p w14:paraId="1D321E13" w14:textId="7B10EDBB"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9 (10.3%)</w:t>
            </w:r>
          </w:p>
          <w:p w14:paraId="26B88436"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p w14:paraId="0FB4E622"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29ED6A03" w14:textId="77777777" w:rsidR="00EC6C49" w:rsidRPr="004B2B19" w:rsidRDefault="00EC6C49" w:rsidP="004739C7">
            <w:pPr>
              <w:keepNext/>
              <w:keepLines/>
              <w:rPr>
                <w:rFonts w:ascii="Arial Narrow" w:hAnsi="Arial Narrow" w:cs="Calibri"/>
                <w:sz w:val="20"/>
                <w:szCs w:val="20"/>
              </w:rPr>
            </w:pPr>
          </w:p>
          <w:p w14:paraId="338D9FD0" w14:textId="77777777" w:rsidR="008F122D" w:rsidRPr="004B2B19" w:rsidRDefault="008F122D" w:rsidP="004739C7">
            <w:pPr>
              <w:keepNext/>
              <w:keepLines/>
              <w:rPr>
                <w:rFonts w:ascii="Arial Narrow" w:hAnsi="Arial Narrow" w:cs="Calibri"/>
                <w:b/>
                <w:bCs/>
                <w:sz w:val="20"/>
                <w:szCs w:val="20"/>
              </w:rPr>
            </w:pPr>
          </w:p>
          <w:p w14:paraId="3116F0B6" w14:textId="2D9B22AA"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25 (28.1%)</w:t>
            </w:r>
          </w:p>
          <w:p w14:paraId="581D488A"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3.30 (1.43, 7.59)</w:t>
            </w:r>
          </w:p>
          <w:p w14:paraId="7674A87A"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0.0051</w:t>
            </w:r>
          </w:p>
        </w:tc>
        <w:tc>
          <w:tcPr>
            <w:tcW w:w="1663" w:type="dxa"/>
          </w:tcPr>
          <w:p w14:paraId="7470420F" w14:textId="77777777" w:rsidR="00EC6C49" w:rsidRPr="004B2B19" w:rsidRDefault="00EC6C49" w:rsidP="004739C7">
            <w:pPr>
              <w:keepNext/>
              <w:keepLines/>
              <w:rPr>
                <w:rFonts w:ascii="Arial Narrow" w:hAnsi="Arial Narrow" w:cs="Calibri"/>
                <w:sz w:val="20"/>
                <w:szCs w:val="20"/>
              </w:rPr>
            </w:pPr>
          </w:p>
          <w:p w14:paraId="275D582F" w14:textId="77777777" w:rsidR="008F122D" w:rsidRPr="004B2B19" w:rsidRDefault="008F122D" w:rsidP="004739C7">
            <w:pPr>
              <w:keepNext/>
              <w:keepLines/>
              <w:rPr>
                <w:rFonts w:ascii="Arial Narrow" w:hAnsi="Arial Narrow" w:cs="Calibri"/>
                <w:b/>
                <w:bCs/>
                <w:sz w:val="20"/>
                <w:szCs w:val="20"/>
              </w:rPr>
            </w:pPr>
          </w:p>
          <w:p w14:paraId="3C5ADF43" w14:textId="77482FC4"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22 (25.3%)</w:t>
            </w:r>
          </w:p>
          <w:p w14:paraId="0533E6F5"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2.87 (1.23, 6.70)</w:t>
            </w:r>
          </w:p>
          <w:p w14:paraId="333001C6"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0.0150</w:t>
            </w:r>
          </w:p>
        </w:tc>
      </w:tr>
      <w:tr w:rsidR="00EC6C49" w:rsidRPr="004B2B19" w14:paraId="362283CA" w14:textId="77777777" w:rsidTr="004F7EB3">
        <w:tc>
          <w:tcPr>
            <w:tcW w:w="3539" w:type="dxa"/>
          </w:tcPr>
          <w:p w14:paraId="25D1BEE4" w14:textId="5A8456A0"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25% </w:t>
            </w:r>
            <w:r w:rsidR="00040FEC" w:rsidRPr="004B2B19">
              <w:rPr>
                <w:rFonts w:ascii="Arial Narrow" w:hAnsi="Arial Narrow"/>
                <w:sz w:val="20"/>
                <w:szCs w:val="20"/>
              </w:rPr>
              <w:t>change from baseline</w:t>
            </w:r>
            <w:r w:rsidRPr="004B2B19">
              <w:rPr>
                <w:rFonts w:ascii="Arial Narrow" w:hAnsi="Arial Narrow"/>
                <w:sz w:val="20"/>
                <w:szCs w:val="20"/>
              </w:rPr>
              <w:t xml:space="preserve"> in DSF, T+M</w:t>
            </w:r>
          </w:p>
          <w:p w14:paraId="7A950724"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n (%)</w:t>
            </w:r>
          </w:p>
          <w:p w14:paraId="423FF9DF"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OR (95% CI)</w:t>
            </w:r>
          </w:p>
          <w:p w14:paraId="2B61BB5A"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P vs placebo</w:t>
            </w:r>
          </w:p>
        </w:tc>
        <w:tc>
          <w:tcPr>
            <w:tcW w:w="1985" w:type="dxa"/>
          </w:tcPr>
          <w:p w14:paraId="5F5D2F47" w14:textId="77777777" w:rsidR="00EC6C49" w:rsidRPr="004B2B19" w:rsidRDefault="00EC6C49" w:rsidP="004739C7">
            <w:pPr>
              <w:keepNext/>
              <w:keepLines/>
              <w:rPr>
                <w:rFonts w:ascii="Arial Narrow" w:hAnsi="Arial Narrow" w:cs="Calibri"/>
                <w:sz w:val="20"/>
                <w:szCs w:val="20"/>
              </w:rPr>
            </w:pPr>
          </w:p>
          <w:p w14:paraId="30EC70EA"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27 (31.0%)</w:t>
            </w:r>
          </w:p>
          <w:p w14:paraId="79B4930D"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p w14:paraId="1F7A55F5"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334051A0" w14:textId="77777777" w:rsidR="00EC6C49" w:rsidRPr="004B2B19" w:rsidRDefault="00EC6C49" w:rsidP="004739C7">
            <w:pPr>
              <w:keepNext/>
              <w:keepLines/>
              <w:rPr>
                <w:rFonts w:ascii="Arial Narrow" w:hAnsi="Arial Narrow" w:cs="Calibri"/>
                <w:sz w:val="20"/>
                <w:szCs w:val="20"/>
              </w:rPr>
            </w:pPr>
          </w:p>
          <w:p w14:paraId="155C8A7C"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42 (47.2%)</w:t>
            </w:r>
          </w:p>
          <w:p w14:paraId="1A397DA2"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1.91 (1.02, 3.57)</w:t>
            </w:r>
          </w:p>
          <w:p w14:paraId="2A956760"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0.042</w:t>
            </w:r>
          </w:p>
        </w:tc>
        <w:tc>
          <w:tcPr>
            <w:tcW w:w="1663" w:type="dxa"/>
          </w:tcPr>
          <w:p w14:paraId="40AB9834" w14:textId="77777777" w:rsidR="00EC6C49" w:rsidRPr="004B2B19" w:rsidRDefault="00EC6C49" w:rsidP="004739C7">
            <w:pPr>
              <w:keepNext/>
              <w:keepLines/>
              <w:rPr>
                <w:rFonts w:ascii="Arial Narrow" w:hAnsi="Arial Narrow" w:cs="Calibri"/>
                <w:sz w:val="20"/>
                <w:szCs w:val="20"/>
              </w:rPr>
            </w:pPr>
          </w:p>
          <w:p w14:paraId="6106B730"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45 (51.7%)</w:t>
            </w:r>
          </w:p>
          <w:p w14:paraId="59AEA033"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2.39 (1.28, 4.49)</w:t>
            </w:r>
          </w:p>
          <w:p w14:paraId="1B44B6B8"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0.006</w:t>
            </w:r>
          </w:p>
        </w:tc>
      </w:tr>
      <w:tr w:rsidR="009E2B0E" w:rsidRPr="004B2B19" w14:paraId="02265413" w14:textId="77777777" w:rsidTr="004F7EB3">
        <w:tc>
          <w:tcPr>
            <w:tcW w:w="3539" w:type="dxa"/>
          </w:tcPr>
          <w:p w14:paraId="0AECB06D" w14:textId="70C3C591" w:rsidR="009E2B0E" w:rsidRPr="004B2B19" w:rsidRDefault="009E2B0E" w:rsidP="004739C7">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75% </w:t>
            </w:r>
            <w:r w:rsidR="00040FEC" w:rsidRPr="004B2B19">
              <w:rPr>
                <w:rFonts w:ascii="Arial Narrow" w:hAnsi="Arial Narrow"/>
                <w:sz w:val="20"/>
                <w:szCs w:val="20"/>
              </w:rPr>
              <w:t>change from baseline</w:t>
            </w:r>
            <w:r w:rsidRPr="004B2B19">
              <w:rPr>
                <w:rFonts w:ascii="Arial Narrow" w:hAnsi="Arial Narrow"/>
                <w:sz w:val="20"/>
                <w:szCs w:val="20"/>
              </w:rPr>
              <w:t xml:space="preserve"> in DSF, T+M</w:t>
            </w:r>
          </w:p>
          <w:p w14:paraId="35390031" w14:textId="77777777" w:rsidR="009E2B0E" w:rsidRPr="004B2B19" w:rsidRDefault="009E2B0E" w:rsidP="004739C7">
            <w:pPr>
              <w:keepNext/>
              <w:keepLines/>
              <w:rPr>
                <w:rFonts w:ascii="Arial Narrow" w:hAnsi="Arial Narrow"/>
                <w:sz w:val="20"/>
                <w:szCs w:val="20"/>
              </w:rPr>
            </w:pPr>
            <w:r w:rsidRPr="004B2B19">
              <w:rPr>
                <w:rFonts w:ascii="Arial Narrow" w:hAnsi="Arial Narrow"/>
                <w:sz w:val="20"/>
                <w:szCs w:val="20"/>
              </w:rPr>
              <w:t>n (%)</w:t>
            </w:r>
          </w:p>
          <w:p w14:paraId="66C93349" w14:textId="77777777" w:rsidR="009E2B0E" w:rsidRPr="004B2B19" w:rsidRDefault="009E2B0E" w:rsidP="004739C7">
            <w:pPr>
              <w:keepNext/>
              <w:keepLines/>
              <w:rPr>
                <w:rFonts w:ascii="Arial Narrow" w:hAnsi="Arial Narrow"/>
                <w:sz w:val="20"/>
                <w:szCs w:val="20"/>
              </w:rPr>
            </w:pPr>
            <w:r w:rsidRPr="004B2B19">
              <w:rPr>
                <w:rFonts w:ascii="Arial Narrow" w:hAnsi="Arial Narrow"/>
                <w:sz w:val="20"/>
                <w:szCs w:val="20"/>
              </w:rPr>
              <w:t>OR (95% CI)</w:t>
            </w:r>
          </w:p>
          <w:p w14:paraId="4A95D38D" w14:textId="4FC16F67" w:rsidR="009E2B0E" w:rsidRPr="004B2B19" w:rsidRDefault="009E2B0E" w:rsidP="004739C7">
            <w:pPr>
              <w:keepNext/>
              <w:keepLines/>
              <w:rPr>
                <w:rFonts w:ascii="Arial Narrow" w:hAnsi="Arial Narrow"/>
                <w:sz w:val="20"/>
                <w:szCs w:val="20"/>
              </w:rPr>
            </w:pPr>
            <w:r w:rsidRPr="004B2B19">
              <w:rPr>
                <w:rFonts w:ascii="Arial Narrow" w:hAnsi="Arial Narrow"/>
                <w:sz w:val="20"/>
                <w:szCs w:val="20"/>
              </w:rPr>
              <w:t>P vs placebo</w:t>
            </w:r>
          </w:p>
        </w:tc>
        <w:tc>
          <w:tcPr>
            <w:tcW w:w="1985" w:type="dxa"/>
          </w:tcPr>
          <w:p w14:paraId="76C2BDEE" w14:textId="77777777" w:rsidR="009E2B0E" w:rsidRPr="004B2B19" w:rsidRDefault="009E2B0E" w:rsidP="004739C7">
            <w:pPr>
              <w:keepNext/>
              <w:keepLines/>
              <w:rPr>
                <w:rFonts w:ascii="Arial Narrow" w:hAnsi="Arial Narrow" w:cs="Calibri"/>
                <w:sz w:val="20"/>
                <w:szCs w:val="20"/>
              </w:rPr>
            </w:pPr>
          </w:p>
          <w:p w14:paraId="61C591A8" w14:textId="77777777" w:rsidR="00AA4C4C" w:rsidRPr="004B2B19" w:rsidRDefault="00AA4C4C" w:rsidP="004739C7">
            <w:pPr>
              <w:keepNext/>
              <w:keepLines/>
              <w:rPr>
                <w:rFonts w:ascii="Arial Narrow" w:hAnsi="Arial Narrow" w:cs="Calibri"/>
                <w:sz w:val="20"/>
                <w:szCs w:val="20"/>
              </w:rPr>
            </w:pPr>
          </w:p>
          <w:p w14:paraId="03ED7D0F" w14:textId="4CAB46BD"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4 (4.6%)</w:t>
            </w:r>
          </w:p>
          <w:p w14:paraId="76F9F67B" w14:textId="77777777"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w:t>
            </w:r>
          </w:p>
          <w:p w14:paraId="70E19B77" w14:textId="6E71B26F"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4EB6FEC6" w14:textId="77777777" w:rsidR="009E2B0E" w:rsidRPr="004B2B19" w:rsidRDefault="009E2B0E" w:rsidP="004739C7">
            <w:pPr>
              <w:keepNext/>
              <w:keepLines/>
              <w:rPr>
                <w:rFonts w:ascii="Arial Narrow" w:hAnsi="Arial Narrow" w:cs="Calibri"/>
                <w:sz w:val="20"/>
                <w:szCs w:val="20"/>
              </w:rPr>
            </w:pPr>
          </w:p>
          <w:p w14:paraId="78D0164F" w14:textId="77777777" w:rsidR="00AA4C4C" w:rsidRPr="004B2B19" w:rsidRDefault="00AA4C4C" w:rsidP="004739C7">
            <w:pPr>
              <w:keepNext/>
              <w:keepLines/>
              <w:rPr>
                <w:rFonts w:ascii="Arial Narrow" w:hAnsi="Arial Narrow" w:cs="Calibri"/>
                <w:sz w:val="20"/>
                <w:szCs w:val="20"/>
              </w:rPr>
            </w:pPr>
          </w:p>
          <w:p w14:paraId="7A0239A5" w14:textId="402C268F"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9 (10.1%)</w:t>
            </w:r>
          </w:p>
          <w:p w14:paraId="58D8F82B" w14:textId="77777777"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2.7 (0.8, 9.2)</w:t>
            </w:r>
          </w:p>
          <w:p w14:paraId="1A161CDE" w14:textId="6B190B1D"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0.12</w:t>
            </w:r>
          </w:p>
        </w:tc>
        <w:tc>
          <w:tcPr>
            <w:tcW w:w="1663" w:type="dxa"/>
          </w:tcPr>
          <w:p w14:paraId="4C0CA24E" w14:textId="77777777" w:rsidR="009E2B0E" w:rsidRPr="004B2B19" w:rsidRDefault="009E2B0E" w:rsidP="004739C7">
            <w:pPr>
              <w:keepNext/>
              <w:keepLines/>
              <w:rPr>
                <w:rFonts w:ascii="Arial Narrow" w:hAnsi="Arial Narrow" w:cs="Calibri"/>
                <w:sz w:val="20"/>
                <w:szCs w:val="20"/>
              </w:rPr>
            </w:pPr>
          </w:p>
          <w:p w14:paraId="0E8F4A59" w14:textId="77777777" w:rsidR="00AA4C4C" w:rsidRPr="004B2B19" w:rsidRDefault="00AA4C4C" w:rsidP="004739C7">
            <w:pPr>
              <w:keepNext/>
              <w:keepLines/>
              <w:rPr>
                <w:rFonts w:ascii="Arial Narrow" w:hAnsi="Arial Narrow" w:cs="Calibri"/>
                <w:sz w:val="20"/>
                <w:szCs w:val="20"/>
              </w:rPr>
            </w:pPr>
          </w:p>
          <w:p w14:paraId="632AA401" w14:textId="37FD616C"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7 (8.0%)</w:t>
            </w:r>
          </w:p>
          <w:p w14:paraId="5C717FBA" w14:textId="77777777"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2.0 (0.6, 7.1)</w:t>
            </w:r>
          </w:p>
          <w:p w14:paraId="5D5E350E" w14:textId="5DBC3AB1" w:rsidR="009E2B0E" w:rsidRPr="004B2B19" w:rsidRDefault="009E2B0E" w:rsidP="004739C7">
            <w:pPr>
              <w:keepNext/>
              <w:keepLines/>
              <w:rPr>
                <w:rFonts w:ascii="Arial Narrow" w:hAnsi="Arial Narrow" w:cs="Calibri"/>
                <w:sz w:val="20"/>
                <w:szCs w:val="20"/>
              </w:rPr>
            </w:pPr>
            <w:r w:rsidRPr="004B2B19">
              <w:rPr>
                <w:rFonts w:ascii="Arial Narrow" w:hAnsi="Arial Narrow" w:cs="Calibri"/>
                <w:sz w:val="20"/>
                <w:szCs w:val="20"/>
              </w:rPr>
              <w:t>0.30</w:t>
            </w:r>
          </w:p>
        </w:tc>
      </w:tr>
      <w:tr w:rsidR="009C54FE" w:rsidRPr="004B2B19" w14:paraId="28266F00" w14:textId="77777777" w:rsidTr="004F7EB3">
        <w:tc>
          <w:tcPr>
            <w:tcW w:w="3539" w:type="dxa"/>
          </w:tcPr>
          <w:p w14:paraId="71E767AC" w14:textId="06B26EA9" w:rsidR="009C54FE" w:rsidRPr="004B2B19" w:rsidRDefault="009C54FE" w:rsidP="004739C7">
            <w:pPr>
              <w:keepNext/>
              <w:keepLines/>
              <w:rPr>
                <w:rFonts w:ascii="Arial Narrow" w:hAnsi="Arial Narrow"/>
                <w:sz w:val="20"/>
                <w:szCs w:val="20"/>
              </w:rPr>
            </w:pPr>
            <w:r w:rsidRPr="004B2B19">
              <w:rPr>
                <w:rFonts w:ascii="Arial Narrow" w:hAnsi="Arial Narrow"/>
                <w:sz w:val="20"/>
                <w:szCs w:val="20"/>
              </w:rPr>
              <w:t>CGI Minimally Improved, Much Improved or Very Much Improved at end of T+M, investigator rating</w:t>
            </w:r>
          </w:p>
          <w:p w14:paraId="558119DC" w14:textId="77777777" w:rsidR="009C54FE" w:rsidRPr="004B2B19" w:rsidRDefault="009C54FE" w:rsidP="004739C7">
            <w:pPr>
              <w:keepNext/>
              <w:keepLines/>
              <w:rPr>
                <w:rFonts w:ascii="Arial Narrow" w:hAnsi="Arial Narrow"/>
                <w:sz w:val="20"/>
                <w:szCs w:val="20"/>
              </w:rPr>
            </w:pPr>
            <w:r w:rsidRPr="004B2B19">
              <w:rPr>
                <w:rFonts w:ascii="Arial Narrow" w:hAnsi="Arial Narrow"/>
                <w:sz w:val="20"/>
                <w:szCs w:val="20"/>
              </w:rPr>
              <w:t>n (%)</w:t>
            </w:r>
          </w:p>
          <w:p w14:paraId="54C9E7CF" w14:textId="77777777" w:rsidR="009C54FE" w:rsidRPr="004B2B19" w:rsidRDefault="009C54FE" w:rsidP="004739C7">
            <w:pPr>
              <w:keepNext/>
              <w:keepLines/>
              <w:rPr>
                <w:rFonts w:ascii="Arial Narrow" w:hAnsi="Arial Narrow"/>
                <w:sz w:val="20"/>
                <w:szCs w:val="20"/>
              </w:rPr>
            </w:pPr>
            <w:r w:rsidRPr="004B2B19">
              <w:rPr>
                <w:rFonts w:ascii="Arial Narrow" w:hAnsi="Arial Narrow"/>
                <w:sz w:val="20"/>
                <w:szCs w:val="20"/>
              </w:rPr>
              <w:t>OR (95% CI)</w:t>
            </w:r>
          </w:p>
          <w:p w14:paraId="2BD3B7C0" w14:textId="60CED6B3" w:rsidR="009C54FE" w:rsidRPr="004B2B19" w:rsidRDefault="009C54FE" w:rsidP="004739C7">
            <w:pPr>
              <w:keepNext/>
              <w:keepLines/>
              <w:rPr>
                <w:rFonts w:ascii="Arial Narrow" w:hAnsi="Arial Narrow"/>
                <w:sz w:val="20"/>
                <w:szCs w:val="20"/>
              </w:rPr>
            </w:pPr>
            <w:r w:rsidRPr="004B2B19">
              <w:rPr>
                <w:rFonts w:ascii="Arial Narrow" w:hAnsi="Arial Narrow"/>
                <w:sz w:val="20"/>
                <w:szCs w:val="20"/>
              </w:rPr>
              <w:t>P vs placebo</w:t>
            </w:r>
          </w:p>
        </w:tc>
        <w:tc>
          <w:tcPr>
            <w:tcW w:w="1985" w:type="dxa"/>
          </w:tcPr>
          <w:p w14:paraId="1A43274B" w14:textId="77777777" w:rsidR="009C54FE" w:rsidRPr="004B2B19" w:rsidRDefault="009C54FE" w:rsidP="004739C7">
            <w:pPr>
              <w:keepNext/>
              <w:keepLines/>
              <w:rPr>
                <w:rFonts w:ascii="Arial Narrow" w:hAnsi="Arial Narrow" w:cs="Calibri"/>
                <w:sz w:val="20"/>
                <w:szCs w:val="20"/>
              </w:rPr>
            </w:pPr>
          </w:p>
          <w:p w14:paraId="573AB723" w14:textId="77777777" w:rsidR="009C54FE" w:rsidRPr="004B2B19" w:rsidRDefault="009C54FE" w:rsidP="004739C7">
            <w:pPr>
              <w:keepNext/>
              <w:keepLines/>
              <w:rPr>
                <w:rFonts w:ascii="Arial Narrow" w:hAnsi="Arial Narrow" w:cs="Calibri"/>
                <w:sz w:val="20"/>
                <w:szCs w:val="20"/>
              </w:rPr>
            </w:pPr>
          </w:p>
          <w:p w14:paraId="020BC2A5" w14:textId="77777777" w:rsidR="009C54FE" w:rsidRPr="004B2B19" w:rsidRDefault="009C54FE" w:rsidP="004739C7">
            <w:pPr>
              <w:keepNext/>
              <w:keepLines/>
              <w:rPr>
                <w:rFonts w:ascii="Arial Narrow" w:hAnsi="Arial Narrow" w:cs="Calibri"/>
                <w:sz w:val="20"/>
                <w:szCs w:val="20"/>
              </w:rPr>
            </w:pPr>
          </w:p>
          <w:p w14:paraId="3D1B74D9" w14:textId="67350DD4" w:rsidR="009C54FE" w:rsidRPr="004B2B19" w:rsidRDefault="009C54FE" w:rsidP="004739C7">
            <w:pPr>
              <w:keepNext/>
              <w:keepLines/>
              <w:rPr>
                <w:rFonts w:ascii="Arial Narrow" w:hAnsi="Arial Narrow" w:cs="Calibri"/>
                <w:sz w:val="20"/>
                <w:szCs w:val="20"/>
              </w:rPr>
            </w:pPr>
            <w:r w:rsidRPr="004B2B19">
              <w:rPr>
                <w:rFonts w:ascii="Arial Narrow" w:hAnsi="Arial Narrow" w:cs="Calibri"/>
                <w:sz w:val="20"/>
                <w:szCs w:val="20"/>
              </w:rPr>
              <w:t>27 (33.8%)</w:t>
            </w:r>
          </w:p>
          <w:p w14:paraId="743CF98B" w14:textId="486E04E9" w:rsidR="009C54FE" w:rsidRPr="004B2B19" w:rsidRDefault="009C54FE" w:rsidP="004739C7">
            <w:pPr>
              <w:keepNext/>
              <w:keepLines/>
              <w:rPr>
                <w:rFonts w:ascii="Arial Narrow" w:hAnsi="Arial Narrow" w:cs="Calibri"/>
                <w:sz w:val="20"/>
                <w:szCs w:val="20"/>
              </w:rPr>
            </w:pPr>
            <w:r w:rsidRPr="004B2B19">
              <w:rPr>
                <w:rFonts w:ascii="Arial Narrow" w:hAnsi="Arial Narrow" w:cs="Calibri"/>
                <w:sz w:val="20"/>
                <w:szCs w:val="20"/>
              </w:rPr>
              <w:t>-</w:t>
            </w:r>
            <w:r w:rsidRPr="004B2B19">
              <w:rPr>
                <w:rFonts w:ascii="Arial Narrow" w:hAnsi="Arial Narrow" w:cs="Calibri"/>
                <w:sz w:val="20"/>
                <w:szCs w:val="20"/>
              </w:rPr>
              <w:br/>
              <w:t>-</w:t>
            </w:r>
          </w:p>
        </w:tc>
        <w:tc>
          <w:tcPr>
            <w:tcW w:w="1830" w:type="dxa"/>
          </w:tcPr>
          <w:p w14:paraId="24C46BC8" w14:textId="77777777" w:rsidR="009C54FE" w:rsidRPr="004B2B19" w:rsidRDefault="009C54FE" w:rsidP="004739C7">
            <w:pPr>
              <w:keepNext/>
              <w:keepLines/>
              <w:rPr>
                <w:rFonts w:ascii="Arial Narrow" w:hAnsi="Arial Narrow" w:cs="Calibri"/>
                <w:sz w:val="20"/>
                <w:szCs w:val="20"/>
              </w:rPr>
            </w:pPr>
          </w:p>
          <w:p w14:paraId="0A22918C" w14:textId="77777777" w:rsidR="009C54FE" w:rsidRPr="004B2B19" w:rsidRDefault="009C54FE" w:rsidP="004739C7">
            <w:pPr>
              <w:keepNext/>
              <w:keepLines/>
              <w:rPr>
                <w:rFonts w:ascii="Arial Narrow" w:hAnsi="Arial Narrow" w:cs="Calibri"/>
                <w:sz w:val="20"/>
                <w:szCs w:val="20"/>
              </w:rPr>
            </w:pPr>
          </w:p>
          <w:p w14:paraId="1ECDEA41" w14:textId="77777777" w:rsidR="009C54FE" w:rsidRPr="004B2B19" w:rsidRDefault="009C54FE" w:rsidP="004739C7">
            <w:pPr>
              <w:keepNext/>
              <w:keepLines/>
              <w:rPr>
                <w:rFonts w:ascii="Arial Narrow" w:hAnsi="Arial Narrow" w:cs="Calibri"/>
                <w:sz w:val="20"/>
                <w:szCs w:val="20"/>
              </w:rPr>
            </w:pPr>
          </w:p>
          <w:p w14:paraId="3D59E6EA" w14:textId="77777777" w:rsidR="009C54FE" w:rsidRPr="004B2B19" w:rsidRDefault="009C54FE" w:rsidP="004739C7">
            <w:pPr>
              <w:keepNext/>
              <w:keepLines/>
              <w:rPr>
                <w:rFonts w:ascii="Arial Narrow" w:hAnsi="Arial Narrow" w:cs="Calibri"/>
                <w:sz w:val="20"/>
                <w:szCs w:val="20"/>
              </w:rPr>
            </w:pPr>
            <w:r w:rsidRPr="004B2B19">
              <w:rPr>
                <w:rFonts w:ascii="Arial Narrow" w:hAnsi="Arial Narrow" w:cs="Calibri"/>
                <w:sz w:val="20"/>
                <w:szCs w:val="20"/>
              </w:rPr>
              <w:t>38 (44.7%)</w:t>
            </w:r>
          </w:p>
          <w:p w14:paraId="2A3904BA" w14:textId="77777777" w:rsidR="009C54FE" w:rsidRPr="004B2B19" w:rsidRDefault="009C54FE" w:rsidP="004739C7">
            <w:pPr>
              <w:keepNext/>
              <w:keepLines/>
              <w:rPr>
                <w:rFonts w:ascii="Arial Narrow" w:hAnsi="Arial Narrow" w:cs="Calibri"/>
                <w:sz w:val="20"/>
                <w:szCs w:val="20"/>
              </w:rPr>
            </w:pPr>
            <w:r w:rsidRPr="004B2B19">
              <w:rPr>
                <w:rFonts w:ascii="Arial Narrow" w:hAnsi="Arial Narrow" w:cs="Calibri"/>
                <w:sz w:val="20"/>
                <w:szCs w:val="20"/>
              </w:rPr>
              <w:t>1.6 (0.8, 3.0)</w:t>
            </w:r>
          </w:p>
          <w:p w14:paraId="623E3D8F" w14:textId="660ED69F" w:rsidR="009C54FE" w:rsidRPr="004B2B19" w:rsidRDefault="009C54FE" w:rsidP="004739C7">
            <w:pPr>
              <w:keepNext/>
              <w:keepLines/>
              <w:rPr>
                <w:rFonts w:ascii="Arial Narrow" w:hAnsi="Arial Narrow" w:cs="Calibri"/>
                <w:sz w:val="20"/>
                <w:szCs w:val="20"/>
              </w:rPr>
            </w:pPr>
            <w:r w:rsidRPr="004B2B19">
              <w:rPr>
                <w:rFonts w:ascii="Arial Narrow" w:hAnsi="Arial Narrow" w:cs="Calibri"/>
                <w:sz w:val="20"/>
                <w:szCs w:val="20"/>
              </w:rPr>
              <w:t>0.16</w:t>
            </w:r>
          </w:p>
        </w:tc>
        <w:tc>
          <w:tcPr>
            <w:tcW w:w="1663" w:type="dxa"/>
          </w:tcPr>
          <w:p w14:paraId="2BD0E1B3" w14:textId="77777777" w:rsidR="009C54FE" w:rsidRPr="004B2B19" w:rsidRDefault="009C54FE" w:rsidP="004739C7">
            <w:pPr>
              <w:keepNext/>
              <w:keepLines/>
              <w:rPr>
                <w:rFonts w:ascii="Arial Narrow" w:hAnsi="Arial Narrow" w:cs="Calibri"/>
                <w:sz w:val="20"/>
                <w:szCs w:val="20"/>
              </w:rPr>
            </w:pPr>
          </w:p>
          <w:p w14:paraId="58263C5B" w14:textId="77777777" w:rsidR="009C54FE" w:rsidRPr="004B2B19" w:rsidRDefault="009C54FE" w:rsidP="004739C7">
            <w:pPr>
              <w:keepNext/>
              <w:keepLines/>
              <w:rPr>
                <w:rFonts w:ascii="Arial Narrow" w:hAnsi="Arial Narrow" w:cs="Calibri"/>
                <w:sz w:val="20"/>
                <w:szCs w:val="20"/>
              </w:rPr>
            </w:pPr>
          </w:p>
          <w:p w14:paraId="15A73B51" w14:textId="77777777" w:rsidR="009C54FE" w:rsidRPr="004B2B19" w:rsidRDefault="009C54FE" w:rsidP="004739C7">
            <w:pPr>
              <w:keepNext/>
              <w:keepLines/>
              <w:rPr>
                <w:rFonts w:ascii="Arial Narrow" w:hAnsi="Arial Narrow" w:cs="Calibri"/>
                <w:sz w:val="20"/>
                <w:szCs w:val="20"/>
              </w:rPr>
            </w:pPr>
          </w:p>
          <w:p w14:paraId="19284CAB" w14:textId="77777777" w:rsidR="009C54FE" w:rsidRPr="004B2B19" w:rsidRDefault="00AB6539" w:rsidP="004739C7">
            <w:pPr>
              <w:keepNext/>
              <w:keepLines/>
              <w:rPr>
                <w:rFonts w:ascii="Arial Narrow" w:hAnsi="Arial Narrow" w:cs="Calibri"/>
                <w:sz w:val="20"/>
                <w:szCs w:val="20"/>
              </w:rPr>
            </w:pPr>
            <w:r w:rsidRPr="004B2B19">
              <w:rPr>
                <w:rFonts w:ascii="Arial Narrow" w:hAnsi="Arial Narrow" w:cs="Calibri"/>
                <w:sz w:val="20"/>
                <w:szCs w:val="20"/>
              </w:rPr>
              <w:t>39 (48.8%)</w:t>
            </w:r>
          </w:p>
          <w:p w14:paraId="70F18976" w14:textId="77777777" w:rsidR="00AB6539" w:rsidRPr="004B2B19" w:rsidRDefault="00AB6539" w:rsidP="004739C7">
            <w:pPr>
              <w:keepNext/>
              <w:keepLines/>
              <w:rPr>
                <w:rFonts w:ascii="Arial Narrow" w:hAnsi="Arial Narrow" w:cs="Calibri"/>
                <w:sz w:val="20"/>
                <w:szCs w:val="20"/>
              </w:rPr>
            </w:pPr>
            <w:r w:rsidRPr="004B2B19">
              <w:rPr>
                <w:rFonts w:ascii="Arial Narrow" w:hAnsi="Arial Narrow" w:cs="Calibri"/>
                <w:sz w:val="20"/>
                <w:szCs w:val="20"/>
              </w:rPr>
              <w:t>1.9 (1.0, 3.5)</w:t>
            </w:r>
          </w:p>
          <w:p w14:paraId="08CC7EBB" w14:textId="626EBB79" w:rsidR="00AB6539" w:rsidRPr="004B2B19" w:rsidRDefault="00AB6539" w:rsidP="004739C7">
            <w:pPr>
              <w:keepNext/>
              <w:keepLines/>
              <w:rPr>
                <w:rFonts w:ascii="Arial Narrow" w:hAnsi="Arial Narrow" w:cs="Calibri"/>
                <w:sz w:val="20"/>
                <w:szCs w:val="20"/>
              </w:rPr>
            </w:pPr>
            <w:r w:rsidRPr="004B2B19">
              <w:rPr>
                <w:rFonts w:ascii="Arial Narrow" w:hAnsi="Arial Narrow" w:cs="Calibri"/>
                <w:sz w:val="20"/>
                <w:szCs w:val="20"/>
              </w:rPr>
              <w:t>0.057</w:t>
            </w:r>
          </w:p>
        </w:tc>
      </w:tr>
      <w:tr w:rsidR="00EC6C49" w:rsidRPr="004B2B19" w14:paraId="6F53BCC1" w14:textId="77777777" w:rsidTr="004F7EB3">
        <w:tc>
          <w:tcPr>
            <w:tcW w:w="3539" w:type="dxa"/>
          </w:tcPr>
          <w:p w14:paraId="6526B924" w14:textId="643474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 xml:space="preserve">CGI Much </w:t>
            </w:r>
            <w:r w:rsidR="009C54FE" w:rsidRPr="004B2B19">
              <w:rPr>
                <w:rFonts w:ascii="Arial Narrow" w:hAnsi="Arial Narrow"/>
                <w:sz w:val="20"/>
                <w:szCs w:val="20"/>
              </w:rPr>
              <w:t xml:space="preserve">Improved </w:t>
            </w:r>
            <w:r w:rsidRPr="004B2B19">
              <w:rPr>
                <w:rFonts w:ascii="Arial Narrow" w:hAnsi="Arial Narrow"/>
                <w:sz w:val="20"/>
                <w:szCs w:val="20"/>
              </w:rPr>
              <w:t>or Very Much Improved at end of T+M, investigator rating</w:t>
            </w:r>
          </w:p>
          <w:p w14:paraId="19999556"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n (%)</w:t>
            </w:r>
          </w:p>
          <w:p w14:paraId="3402D65D"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OR (95% CI)</w:t>
            </w:r>
          </w:p>
          <w:p w14:paraId="6BE68A9E"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 xml:space="preserve">P vs placebo </w:t>
            </w:r>
          </w:p>
        </w:tc>
        <w:tc>
          <w:tcPr>
            <w:tcW w:w="1985" w:type="dxa"/>
          </w:tcPr>
          <w:p w14:paraId="0660D1A1" w14:textId="77777777" w:rsidR="00EC6C49" w:rsidRPr="004B2B19" w:rsidRDefault="00EC6C49" w:rsidP="004739C7">
            <w:pPr>
              <w:keepNext/>
              <w:keepLines/>
              <w:rPr>
                <w:rFonts w:ascii="Arial Narrow" w:hAnsi="Arial Narrow" w:cs="Calibri"/>
                <w:sz w:val="20"/>
                <w:szCs w:val="20"/>
              </w:rPr>
            </w:pPr>
          </w:p>
          <w:p w14:paraId="4B56B520" w14:textId="77777777" w:rsidR="00EC6C49" w:rsidRPr="004B2B19" w:rsidRDefault="00EC6C49" w:rsidP="004739C7">
            <w:pPr>
              <w:keepNext/>
              <w:keepLines/>
              <w:rPr>
                <w:rFonts w:ascii="Arial Narrow" w:hAnsi="Arial Narrow" w:cs="Calibri"/>
                <w:sz w:val="20"/>
                <w:szCs w:val="20"/>
              </w:rPr>
            </w:pPr>
          </w:p>
          <w:p w14:paraId="0226B276" w14:textId="15776A13"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5 (</w:t>
            </w:r>
            <w:r w:rsidR="00A50D5C" w:rsidRPr="004B2B19">
              <w:rPr>
                <w:rFonts w:ascii="Arial Narrow" w:hAnsi="Arial Narrow" w:cs="Calibri"/>
                <w:sz w:val="20"/>
                <w:szCs w:val="20"/>
              </w:rPr>
              <w:t>6.3</w:t>
            </w:r>
            <w:r w:rsidRPr="004B2B19">
              <w:rPr>
                <w:rFonts w:ascii="Arial Narrow" w:hAnsi="Arial Narrow" w:cs="Calibri"/>
                <w:sz w:val="20"/>
                <w:szCs w:val="20"/>
              </w:rPr>
              <w:t>%)</w:t>
            </w:r>
          </w:p>
          <w:p w14:paraId="2198F7F7"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p w14:paraId="046D80D3"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77F3CAB5" w14:textId="77777777" w:rsidR="00EC6C49" w:rsidRPr="004B2B19" w:rsidRDefault="00EC6C49" w:rsidP="004739C7">
            <w:pPr>
              <w:keepNext/>
              <w:keepLines/>
              <w:rPr>
                <w:rFonts w:ascii="Arial Narrow" w:hAnsi="Arial Narrow" w:cs="Calibri"/>
                <w:sz w:val="20"/>
                <w:szCs w:val="20"/>
              </w:rPr>
            </w:pPr>
          </w:p>
          <w:p w14:paraId="5EB47A76" w14:textId="77777777" w:rsidR="00EC6C49" w:rsidRPr="004B2B19" w:rsidRDefault="00EC6C49" w:rsidP="004739C7">
            <w:pPr>
              <w:keepNext/>
              <w:keepLines/>
              <w:rPr>
                <w:rFonts w:ascii="Arial Narrow" w:hAnsi="Arial Narrow" w:cs="Calibri"/>
                <w:sz w:val="20"/>
                <w:szCs w:val="20"/>
              </w:rPr>
            </w:pPr>
          </w:p>
          <w:p w14:paraId="621CE58B" w14:textId="212D1A72"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17 (</w:t>
            </w:r>
            <w:r w:rsidR="003C5881" w:rsidRPr="004B2B19">
              <w:rPr>
                <w:rFonts w:ascii="Arial Narrow" w:hAnsi="Arial Narrow" w:cs="Calibri"/>
                <w:b/>
                <w:bCs/>
                <w:sz w:val="20"/>
                <w:szCs w:val="20"/>
              </w:rPr>
              <w:t>20.0</w:t>
            </w:r>
            <w:r w:rsidRPr="004B2B19">
              <w:rPr>
                <w:rFonts w:ascii="Arial Narrow" w:hAnsi="Arial Narrow" w:cs="Calibri"/>
                <w:b/>
                <w:bCs/>
                <w:sz w:val="20"/>
                <w:szCs w:val="20"/>
              </w:rPr>
              <w:t>%)</w:t>
            </w:r>
          </w:p>
          <w:p w14:paraId="099EFCA3"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3.73 (1.31, 10.65)</w:t>
            </w:r>
          </w:p>
          <w:p w14:paraId="334EA559"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0.010</w:t>
            </w:r>
          </w:p>
        </w:tc>
        <w:tc>
          <w:tcPr>
            <w:tcW w:w="1663" w:type="dxa"/>
          </w:tcPr>
          <w:p w14:paraId="6B2A20A5" w14:textId="77777777" w:rsidR="00EC6C49" w:rsidRPr="004B2B19" w:rsidRDefault="00EC6C49" w:rsidP="004739C7">
            <w:pPr>
              <w:keepNext/>
              <w:keepLines/>
              <w:rPr>
                <w:rFonts w:ascii="Arial Narrow" w:hAnsi="Arial Narrow" w:cs="Calibri"/>
                <w:sz w:val="20"/>
                <w:szCs w:val="20"/>
              </w:rPr>
            </w:pPr>
          </w:p>
          <w:p w14:paraId="4A334790" w14:textId="77777777" w:rsidR="00EC6C49" w:rsidRPr="004B2B19" w:rsidRDefault="00EC6C49" w:rsidP="004739C7">
            <w:pPr>
              <w:keepNext/>
              <w:keepLines/>
              <w:rPr>
                <w:rFonts w:ascii="Arial Narrow" w:hAnsi="Arial Narrow" w:cs="Calibri"/>
                <w:sz w:val="20"/>
                <w:szCs w:val="20"/>
              </w:rPr>
            </w:pPr>
          </w:p>
          <w:p w14:paraId="52CF9BD4" w14:textId="5A5C3C16"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21 (</w:t>
            </w:r>
            <w:r w:rsidR="003C5881" w:rsidRPr="004B2B19">
              <w:rPr>
                <w:rFonts w:ascii="Arial Narrow" w:hAnsi="Arial Narrow" w:cs="Calibri"/>
                <w:b/>
                <w:bCs/>
                <w:sz w:val="20"/>
                <w:szCs w:val="20"/>
              </w:rPr>
              <w:t>26.3</w:t>
            </w:r>
            <w:r w:rsidRPr="004B2B19">
              <w:rPr>
                <w:rFonts w:ascii="Arial Narrow" w:hAnsi="Arial Narrow" w:cs="Calibri"/>
                <w:b/>
                <w:bCs/>
                <w:sz w:val="20"/>
                <w:szCs w:val="20"/>
              </w:rPr>
              <w:t>%)</w:t>
            </w:r>
          </w:p>
          <w:p w14:paraId="019A0277"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5.30 (1,89, 14.87)</w:t>
            </w:r>
          </w:p>
          <w:p w14:paraId="0C5D38AB"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0.0007</w:t>
            </w:r>
          </w:p>
        </w:tc>
      </w:tr>
      <w:tr w:rsidR="00EC6C49" w:rsidRPr="004B2B19" w14:paraId="352C0ED6" w14:textId="77777777" w:rsidTr="004F7EB3">
        <w:tc>
          <w:tcPr>
            <w:tcW w:w="3539" w:type="dxa"/>
          </w:tcPr>
          <w:p w14:paraId="7A7D2C23" w14:textId="4D61EF05"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 xml:space="preserve">CGI Much </w:t>
            </w:r>
            <w:r w:rsidR="009C54FE" w:rsidRPr="004B2B19">
              <w:rPr>
                <w:rFonts w:ascii="Arial Narrow" w:hAnsi="Arial Narrow"/>
                <w:sz w:val="20"/>
                <w:szCs w:val="20"/>
              </w:rPr>
              <w:t xml:space="preserve">Improved </w:t>
            </w:r>
            <w:r w:rsidRPr="004B2B19">
              <w:rPr>
                <w:rFonts w:ascii="Arial Narrow" w:hAnsi="Arial Narrow"/>
                <w:sz w:val="20"/>
                <w:szCs w:val="20"/>
              </w:rPr>
              <w:t>or Very Much Improved at end of T+M,</w:t>
            </w:r>
            <w:r w:rsidR="009C54FE" w:rsidRPr="004B2B19">
              <w:rPr>
                <w:rFonts w:ascii="Arial Narrow" w:hAnsi="Arial Narrow"/>
                <w:sz w:val="20"/>
                <w:szCs w:val="20"/>
              </w:rPr>
              <w:t xml:space="preserve"> </w:t>
            </w:r>
            <w:r w:rsidRPr="004B2B19">
              <w:rPr>
                <w:rFonts w:ascii="Arial Narrow" w:hAnsi="Arial Narrow"/>
                <w:sz w:val="20"/>
                <w:szCs w:val="20"/>
              </w:rPr>
              <w:t>parent/caregiver rating</w:t>
            </w:r>
          </w:p>
          <w:p w14:paraId="2F133214"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n (%)</w:t>
            </w:r>
          </w:p>
          <w:p w14:paraId="0E74EA62"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OR (95% CI)</w:t>
            </w:r>
          </w:p>
          <w:p w14:paraId="36505F29" w14:textId="77777777" w:rsidR="00EC6C49" w:rsidRPr="004B2B19" w:rsidRDefault="00EC6C49" w:rsidP="004739C7">
            <w:pPr>
              <w:keepNext/>
              <w:keepLines/>
              <w:rPr>
                <w:rFonts w:ascii="Arial Narrow" w:hAnsi="Arial Narrow"/>
                <w:sz w:val="20"/>
                <w:szCs w:val="20"/>
              </w:rPr>
            </w:pPr>
            <w:r w:rsidRPr="004B2B19">
              <w:rPr>
                <w:rFonts w:ascii="Arial Narrow" w:hAnsi="Arial Narrow"/>
                <w:sz w:val="20"/>
                <w:szCs w:val="20"/>
              </w:rPr>
              <w:t>P vs placebo</w:t>
            </w:r>
          </w:p>
        </w:tc>
        <w:tc>
          <w:tcPr>
            <w:tcW w:w="1985" w:type="dxa"/>
          </w:tcPr>
          <w:p w14:paraId="445F6C27" w14:textId="77777777" w:rsidR="00EC6C49" w:rsidRPr="004B2B19" w:rsidRDefault="00EC6C49" w:rsidP="004739C7">
            <w:pPr>
              <w:keepNext/>
              <w:keepLines/>
              <w:rPr>
                <w:rFonts w:ascii="Arial Narrow" w:hAnsi="Arial Narrow" w:cs="Calibri"/>
                <w:sz w:val="20"/>
                <w:szCs w:val="20"/>
              </w:rPr>
            </w:pPr>
          </w:p>
          <w:p w14:paraId="1BC50038" w14:textId="77777777" w:rsidR="00EC6C49" w:rsidRPr="004B2B19" w:rsidRDefault="00EC6C49" w:rsidP="004739C7">
            <w:pPr>
              <w:keepNext/>
              <w:keepLines/>
              <w:rPr>
                <w:rFonts w:ascii="Arial Narrow" w:hAnsi="Arial Narrow" w:cs="Calibri"/>
                <w:sz w:val="20"/>
                <w:szCs w:val="20"/>
              </w:rPr>
            </w:pPr>
          </w:p>
          <w:p w14:paraId="31E3471F" w14:textId="3EA559F0"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4 (4.</w:t>
            </w:r>
            <w:r w:rsidR="00AE4C78" w:rsidRPr="004B2B19">
              <w:rPr>
                <w:rFonts w:ascii="Arial Narrow" w:hAnsi="Arial Narrow" w:cs="Calibri"/>
                <w:sz w:val="20"/>
                <w:szCs w:val="20"/>
              </w:rPr>
              <w:t>9</w:t>
            </w:r>
            <w:r w:rsidRPr="004B2B19">
              <w:rPr>
                <w:rFonts w:ascii="Arial Narrow" w:hAnsi="Arial Narrow" w:cs="Calibri"/>
                <w:sz w:val="20"/>
                <w:szCs w:val="20"/>
              </w:rPr>
              <w:t>%)</w:t>
            </w:r>
          </w:p>
          <w:p w14:paraId="772C4BF9"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p w14:paraId="796B75E1"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sz w:val="20"/>
                <w:szCs w:val="20"/>
              </w:rPr>
              <w:t>-</w:t>
            </w:r>
          </w:p>
        </w:tc>
        <w:tc>
          <w:tcPr>
            <w:tcW w:w="1830" w:type="dxa"/>
          </w:tcPr>
          <w:p w14:paraId="2A9644A2" w14:textId="77777777" w:rsidR="00EC6C49" w:rsidRPr="004B2B19" w:rsidRDefault="00EC6C49" w:rsidP="004739C7">
            <w:pPr>
              <w:keepNext/>
              <w:keepLines/>
              <w:rPr>
                <w:rFonts w:ascii="Arial Narrow" w:hAnsi="Arial Narrow" w:cs="Calibri"/>
                <w:sz w:val="20"/>
                <w:szCs w:val="20"/>
              </w:rPr>
            </w:pPr>
          </w:p>
          <w:p w14:paraId="61D3B31F" w14:textId="77777777" w:rsidR="00EC6C49" w:rsidRPr="004B2B19" w:rsidRDefault="00EC6C49" w:rsidP="004739C7">
            <w:pPr>
              <w:keepNext/>
              <w:keepLines/>
              <w:rPr>
                <w:rFonts w:ascii="Arial Narrow" w:hAnsi="Arial Narrow" w:cs="Calibri"/>
                <w:sz w:val="20"/>
                <w:szCs w:val="20"/>
              </w:rPr>
            </w:pPr>
          </w:p>
          <w:p w14:paraId="4D02C2C8" w14:textId="68782606"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23 (</w:t>
            </w:r>
            <w:r w:rsidR="00836124" w:rsidRPr="004B2B19">
              <w:rPr>
                <w:rFonts w:ascii="Arial Narrow" w:hAnsi="Arial Narrow" w:cs="Calibri"/>
                <w:b/>
                <w:bCs/>
                <w:sz w:val="20"/>
                <w:szCs w:val="20"/>
              </w:rPr>
              <w:t>27.1</w:t>
            </w:r>
            <w:r w:rsidRPr="004B2B19">
              <w:rPr>
                <w:rFonts w:ascii="Arial Narrow" w:hAnsi="Arial Narrow" w:cs="Calibri"/>
                <w:b/>
                <w:bCs/>
                <w:sz w:val="20"/>
                <w:szCs w:val="20"/>
              </w:rPr>
              <w:t>%)</w:t>
            </w:r>
          </w:p>
          <w:p w14:paraId="7DF75855"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7.26 (2.39, 22.03)</w:t>
            </w:r>
          </w:p>
          <w:p w14:paraId="1504A161"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&lt;0.0001</w:t>
            </w:r>
          </w:p>
        </w:tc>
        <w:tc>
          <w:tcPr>
            <w:tcW w:w="1663" w:type="dxa"/>
          </w:tcPr>
          <w:p w14:paraId="6DAFBA50" w14:textId="77777777" w:rsidR="00EC6C49" w:rsidRPr="004B2B19" w:rsidRDefault="00EC6C49" w:rsidP="004739C7">
            <w:pPr>
              <w:keepNext/>
              <w:keepLines/>
              <w:rPr>
                <w:rFonts w:ascii="Arial Narrow" w:hAnsi="Arial Narrow" w:cs="Calibri"/>
                <w:sz w:val="20"/>
                <w:szCs w:val="20"/>
              </w:rPr>
            </w:pPr>
          </w:p>
          <w:p w14:paraId="098B721F" w14:textId="77777777" w:rsidR="00EC6C49" w:rsidRPr="004B2B19" w:rsidRDefault="00EC6C49" w:rsidP="004739C7">
            <w:pPr>
              <w:keepNext/>
              <w:keepLines/>
              <w:rPr>
                <w:rFonts w:ascii="Arial Narrow" w:hAnsi="Arial Narrow" w:cs="Calibri"/>
                <w:sz w:val="20"/>
                <w:szCs w:val="20"/>
              </w:rPr>
            </w:pPr>
          </w:p>
          <w:p w14:paraId="5199DC5A" w14:textId="6457AC3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27 (</w:t>
            </w:r>
            <w:r w:rsidR="00836124" w:rsidRPr="004B2B19">
              <w:rPr>
                <w:rFonts w:ascii="Arial Narrow" w:hAnsi="Arial Narrow" w:cs="Calibri"/>
                <w:b/>
                <w:bCs/>
                <w:sz w:val="20"/>
                <w:szCs w:val="20"/>
              </w:rPr>
              <w:t>33.8</w:t>
            </w:r>
            <w:r w:rsidRPr="004B2B19">
              <w:rPr>
                <w:rFonts w:ascii="Arial Narrow" w:hAnsi="Arial Narrow" w:cs="Calibri"/>
                <w:b/>
                <w:bCs/>
                <w:sz w:val="20"/>
                <w:szCs w:val="20"/>
              </w:rPr>
              <w:t>%)</w:t>
            </w:r>
          </w:p>
          <w:p w14:paraId="16A749CE" w14:textId="77777777" w:rsidR="00EC6C49" w:rsidRPr="004B2B19" w:rsidRDefault="00EC6C49" w:rsidP="004739C7">
            <w:pPr>
              <w:keepNext/>
              <w:keepLines/>
              <w:rPr>
                <w:rFonts w:ascii="Arial Narrow" w:hAnsi="Arial Narrow" w:cs="Calibri"/>
                <w:b/>
                <w:bCs/>
                <w:sz w:val="20"/>
                <w:szCs w:val="20"/>
              </w:rPr>
            </w:pPr>
            <w:r w:rsidRPr="004B2B19">
              <w:rPr>
                <w:rFonts w:ascii="Arial Narrow" w:hAnsi="Arial Narrow" w:cs="Calibri"/>
                <w:b/>
                <w:bCs/>
                <w:sz w:val="20"/>
                <w:szCs w:val="20"/>
              </w:rPr>
              <w:t>9.96 (3.29, 30.17)</w:t>
            </w:r>
          </w:p>
          <w:p w14:paraId="2AC726E6" w14:textId="77777777" w:rsidR="00EC6C49" w:rsidRPr="004B2B19" w:rsidRDefault="00EC6C49" w:rsidP="004739C7">
            <w:pPr>
              <w:keepNext/>
              <w:keepLines/>
              <w:rPr>
                <w:rFonts w:ascii="Arial Narrow" w:hAnsi="Arial Narrow" w:cs="Calibri"/>
                <w:sz w:val="20"/>
                <w:szCs w:val="20"/>
              </w:rPr>
            </w:pPr>
            <w:r w:rsidRPr="004B2B19">
              <w:rPr>
                <w:rFonts w:ascii="Arial Narrow" w:hAnsi="Arial Narrow" w:cs="Calibri"/>
                <w:b/>
                <w:bCs/>
                <w:sz w:val="20"/>
                <w:szCs w:val="20"/>
              </w:rPr>
              <w:t>&lt;0.0001</w:t>
            </w:r>
          </w:p>
        </w:tc>
      </w:tr>
    </w:tbl>
    <w:p w14:paraId="69ABC727" w14:textId="77777777" w:rsidR="00CE70B7" w:rsidRPr="004B2B19" w:rsidRDefault="00CE70B7" w:rsidP="004739C7">
      <w:pPr>
        <w:pStyle w:val="TableFigureFooter"/>
        <w:keepNext/>
      </w:pPr>
    </w:p>
    <w:p w14:paraId="7AD01B0C" w14:textId="7A293F68" w:rsidR="00D709F5" w:rsidRPr="004B2B19" w:rsidRDefault="00CE70B7" w:rsidP="004739C7">
      <w:pPr>
        <w:pStyle w:val="TableFigureFooter"/>
        <w:keepNext/>
      </w:pPr>
      <w:r w:rsidRPr="004B2B19">
        <w:br w:type="column"/>
      </w:r>
      <w:r w:rsidR="00EC6C49" w:rsidRPr="004B2B19">
        <w:t xml:space="preserve">Source: Table 21, p115, Table 39, p148, Table 46, p164-5, Table 14.2.4.4.1.1, </w:t>
      </w:r>
      <w:r w:rsidR="002B2662" w:rsidRPr="004B2B19">
        <w:t xml:space="preserve">Table 14.2.5.1.1, </w:t>
      </w:r>
      <w:r w:rsidR="00EC6C49" w:rsidRPr="004B2B19">
        <w:t>Table 14.2.12.1.1, Table 14.2.13.1.1, Study 1601 Part 1 CSF.</w:t>
      </w:r>
      <w:r w:rsidR="00095FD9">
        <w:t xml:space="preserve"> </w:t>
      </w:r>
      <w:r w:rsidR="00FA3502" w:rsidRPr="004B2B19">
        <w:rPr>
          <w:rFonts w:eastAsia="Calibri"/>
          <w:b/>
          <w:bCs/>
        </w:rPr>
        <w:t>Bold</w:t>
      </w:r>
      <w:r w:rsidR="00FA3502" w:rsidRPr="004B2B19">
        <w:rPr>
          <w:rFonts w:eastAsia="Calibri"/>
        </w:rPr>
        <w:t xml:space="preserve"> indicates statistically significant results.</w:t>
      </w:r>
    </w:p>
    <w:p w14:paraId="7B2C2F0C" w14:textId="6A3E8062" w:rsidR="00D709F5" w:rsidRPr="004B2B19" w:rsidRDefault="00EC6C49" w:rsidP="004739C7">
      <w:pPr>
        <w:pStyle w:val="TableFigureFooter"/>
        <w:keepNext/>
      </w:pPr>
      <w:r w:rsidRPr="004B2B19">
        <w:rPr>
          <w:vertAlign w:val="superscript"/>
        </w:rPr>
        <w:t>1</w:t>
      </w:r>
      <w:r w:rsidRPr="004B2B19">
        <w:t xml:space="preserve"> Six patients with baseline DSF of &lt;4 per 28 days enrolled in breach of the</w:t>
      </w:r>
      <w:r w:rsidR="00D709F5" w:rsidRPr="004B2B19">
        <w:t xml:space="preserve"> protocol were included in the mITT population (Study 1601 Part 1 CSR, Table 12, p105). </w:t>
      </w:r>
    </w:p>
    <w:p w14:paraId="0DA08FD3" w14:textId="77777777" w:rsidR="00B04A89" w:rsidRPr="004B2B19" w:rsidRDefault="00FE04EA" w:rsidP="004739C7">
      <w:pPr>
        <w:pStyle w:val="TableFigureFooter"/>
        <w:keepNext/>
      </w:pPr>
      <w:r w:rsidRPr="004B2B19">
        <w:rPr>
          <w:vertAlign w:val="superscript"/>
        </w:rPr>
        <w:t>2</w:t>
      </w:r>
      <w:r w:rsidRPr="004B2B19">
        <w:t xml:space="preserve"> Seizures per 28 days were calculated from the total seizures recorded in seizure diaries over the 4 week baseline or the 14 week T+M period, divided by the number of days with non-missing data, multiplied by 28.</w:t>
      </w:r>
    </w:p>
    <w:p w14:paraId="52C1D11F" w14:textId="5F9AA942" w:rsidR="00FE04EA" w:rsidRPr="004B2B19" w:rsidRDefault="00B04A89" w:rsidP="004739C7">
      <w:pPr>
        <w:pStyle w:val="TableFigureFooter"/>
        <w:keepNext/>
      </w:pPr>
      <w:r w:rsidRPr="004B2B19">
        <w:rPr>
          <w:vertAlign w:val="superscript"/>
        </w:rPr>
        <w:t>3</w:t>
      </w:r>
      <w:r w:rsidRPr="004B2B19">
        <w:t xml:space="preserve"> Hodges-Lehmann method.</w:t>
      </w:r>
    </w:p>
    <w:p w14:paraId="16E35646" w14:textId="217F3C98" w:rsidR="00FE04EA" w:rsidRPr="004B2B19" w:rsidRDefault="00BD43E8" w:rsidP="004739C7">
      <w:pPr>
        <w:pStyle w:val="TableFigureFooter"/>
        <w:keepNext/>
      </w:pPr>
      <w:r w:rsidRPr="004B2B19">
        <w:t xml:space="preserve">CGI = Clinical Global Impression of Improvement; CI = confidence interval; </w:t>
      </w:r>
      <w:r w:rsidR="00FE04EA" w:rsidRPr="004B2B19">
        <w:t>DSF = drop seizure frequency</w:t>
      </w:r>
      <w:r w:rsidR="00BD2DDE" w:rsidRPr="004B2B19">
        <w:t xml:space="preserve"> (drop seizures were seizure of any type resulting in falls to the floor or slumping in a chair or similar event)</w:t>
      </w:r>
      <w:r w:rsidR="00FE04EA" w:rsidRPr="004B2B19">
        <w:t xml:space="preserve">; </w:t>
      </w:r>
      <w:r w:rsidRPr="004B2B19">
        <w:t xml:space="preserve">OR = odds ratio; </w:t>
      </w:r>
      <w:r w:rsidR="00FE04EA" w:rsidRPr="004B2B19">
        <w:t>SD = standard deviation; T+M = titration plus maintenance</w:t>
      </w:r>
      <w:r w:rsidR="00135148" w:rsidRPr="004B2B19">
        <w:t>.</w:t>
      </w:r>
      <w:r w:rsidR="00FE04EA" w:rsidRPr="004B2B19">
        <w:t xml:space="preserve"> </w:t>
      </w:r>
    </w:p>
    <w:p w14:paraId="386E2170" w14:textId="6915E75A" w:rsidR="00EC6C49" w:rsidRPr="004B2B19" w:rsidRDefault="00EC6C49" w:rsidP="00D709F5">
      <w:pPr>
        <w:pStyle w:val="TableFigureFooter"/>
      </w:pPr>
    </w:p>
    <w:p w14:paraId="35024A93" w14:textId="1B11F289" w:rsidR="009238BD" w:rsidRPr="004B2B19" w:rsidRDefault="009238BD" w:rsidP="009238BD">
      <w:pPr>
        <w:pStyle w:val="Caption"/>
      </w:pPr>
      <w:bookmarkStart w:id="31" w:name="_Ref211496011"/>
      <w:r w:rsidRPr="004B2B19">
        <w:t xml:space="preserve">Figure </w:t>
      </w:r>
      <w:r w:rsidR="00057B46" w:rsidRPr="004B2B19">
        <w:fldChar w:fldCharType="begin"/>
      </w:r>
      <w:r w:rsidR="00057B46" w:rsidRPr="004B2B19">
        <w:instrText xml:space="preserve"> SEQ Figure \* ARABIC </w:instrText>
      </w:r>
      <w:r w:rsidR="00057B46" w:rsidRPr="004B2B19">
        <w:fldChar w:fldCharType="separate"/>
      </w:r>
      <w:r w:rsidR="00A037BC">
        <w:rPr>
          <w:noProof/>
        </w:rPr>
        <w:t>1</w:t>
      </w:r>
      <w:r w:rsidR="00057B46" w:rsidRPr="004B2B19">
        <w:rPr>
          <w:noProof/>
        </w:rPr>
        <w:fldChar w:fldCharType="end"/>
      </w:r>
      <w:bookmarkEnd w:id="31"/>
      <w:r w:rsidRPr="004B2B19">
        <w:t xml:space="preserve">: Change from baseline </w:t>
      </w:r>
      <w:r w:rsidR="001525FB" w:rsidRPr="004B2B19">
        <w:t>drop seizure frequency (</w:t>
      </w:r>
      <w:r w:rsidRPr="004B2B19">
        <w:t>DSF</w:t>
      </w:r>
      <w:r w:rsidR="001525FB" w:rsidRPr="004B2B19">
        <w:t>)</w:t>
      </w:r>
      <w:r w:rsidRPr="004B2B19">
        <w:t xml:space="preserve"> (Study 1601 Part 1)</w:t>
      </w:r>
    </w:p>
    <w:p w14:paraId="1957E6F4" w14:textId="02E2C45D" w:rsidR="009238BD" w:rsidRPr="004B2B19" w:rsidRDefault="009238BD" w:rsidP="009238BD">
      <w:pPr>
        <w:pStyle w:val="3-BodyText"/>
        <w:keepNext/>
        <w:numPr>
          <w:ilvl w:val="0"/>
          <w:numId w:val="0"/>
        </w:numPr>
        <w:ind w:left="720" w:hanging="720"/>
      </w:pPr>
      <w:r w:rsidRPr="004B2B19">
        <w:rPr>
          <w:noProof/>
        </w:rPr>
        <w:drawing>
          <wp:inline distT="0" distB="0" distL="0" distR="0" wp14:anchorId="16B2E6A7" wp14:editId="4C913E5F">
            <wp:extent cx="4952390" cy="2584069"/>
            <wp:effectExtent l="0" t="0" r="635" b="6985"/>
            <wp:docPr id="710016771" name="Picture 1" descr="Figure 1: Change from baseline drop seizure frequency (DSF) (Study 1601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16771" name="Picture 1" descr="Figure 1: Change from baseline drop seizure frequency (DSF) (Study 1601 Part 1)"/>
                    <pic:cNvPicPr/>
                  </pic:nvPicPr>
                  <pic:blipFill>
                    <a:blip r:embed="rId11"/>
                    <a:stretch>
                      <a:fillRect/>
                    </a:stretch>
                  </pic:blipFill>
                  <pic:spPr>
                    <a:xfrm>
                      <a:off x="0" y="0"/>
                      <a:ext cx="5100167" cy="2661176"/>
                    </a:xfrm>
                    <a:prstGeom prst="rect">
                      <a:avLst/>
                    </a:prstGeom>
                  </pic:spPr>
                </pic:pic>
              </a:graphicData>
            </a:graphic>
          </wp:inline>
        </w:drawing>
      </w:r>
    </w:p>
    <w:p w14:paraId="368AE851" w14:textId="48FCF30B" w:rsidR="00BD213C" w:rsidRPr="004B2B19" w:rsidRDefault="00A134B5" w:rsidP="00F05EEB">
      <w:pPr>
        <w:pStyle w:val="TableFigureFooter"/>
      </w:pPr>
      <w:r w:rsidRPr="004B2B19">
        <w:t xml:space="preserve">Source: Figure 2-8 of the submission. </w:t>
      </w:r>
      <w:r w:rsidRPr="004B2B19">
        <w:rPr>
          <w:i/>
          <w:iCs/>
        </w:rPr>
        <w:t>The 0.8mg/kg/day dose in this figure refers to fenfluramine hydrochloride and is equivalent to 0.7 mg/kg/day of the fenfluramine free base</w:t>
      </w:r>
      <w:r w:rsidR="00727278">
        <w:rPr>
          <w:i/>
          <w:iCs/>
        </w:rPr>
        <w:t>.</w:t>
      </w:r>
    </w:p>
    <w:p w14:paraId="043D7DF0" w14:textId="37E5FFBE" w:rsidR="001744D0" w:rsidRPr="004B2B19" w:rsidRDefault="001744D0" w:rsidP="000D73D7">
      <w:pPr>
        <w:pStyle w:val="3-BodyText"/>
        <w:numPr>
          <w:ilvl w:val="0"/>
          <w:numId w:val="0"/>
        </w:numPr>
        <w:ind w:left="1145"/>
      </w:pPr>
    </w:p>
    <w:p w14:paraId="0772972C" w14:textId="7496E762" w:rsidR="008E0FB9" w:rsidRPr="004B2B19" w:rsidRDefault="00E82B71" w:rsidP="00EC5836">
      <w:pPr>
        <w:pStyle w:val="3-BodyText"/>
        <w:rPr>
          <w:color w:val="000000" w:themeColor="text1"/>
        </w:rPr>
      </w:pPr>
      <w:r w:rsidRPr="004B2B19">
        <w:rPr>
          <w:color w:val="000000" w:themeColor="text1"/>
        </w:rPr>
        <w:t>The observed c</w:t>
      </w:r>
      <w:r w:rsidR="000C7CCD" w:rsidRPr="004B2B19">
        <w:rPr>
          <w:color w:val="000000" w:themeColor="text1"/>
        </w:rPr>
        <w:t>hange</w:t>
      </w:r>
      <w:r w:rsidR="000E23F2" w:rsidRPr="004B2B19">
        <w:rPr>
          <w:color w:val="000000" w:themeColor="text1"/>
        </w:rPr>
        <w:t>s</w:t>
      </w:r>
      <w:r w:rsidR="000C7CCD" w:rsidRPr="004B2B19">
        <w:rPr>
          <w:color w:val="000000" w:themeColor="text1"/>
        </w:rPr>
        <w:t xml:space="preserve"> in DSF </w:t>
      </w:r>
      <w:r w:rsidR="00E0649C" w:rsidRPr="004B2B19">
        <w:rPr>
          <w:color w:val="000000" w:themeColor="text1"/>
        </w:rPr>
        <w:t>we</w:t>
      </w:r>
      <w:r w:rsidR="00A24BAD" w:rsidRPr="004B2B19">
        <w:rPr>
          <w:color w:val="000000" w:themeColor="text1"/>
        </w:rPr>
        <w:t>re difficult to interpret because of very large variability among patients</w:t>
      </w:r>
      <w:r w:rsidR="000E23F2" w:rsidRPr="004B2B19">
        <w:rPr>
          <w:color w:val="000000" w:themeColor="text1"/>
        </w:rPr>
        <w:t>.</w:t>
      </w:r>
    </w:p>
    <w:p w14:paraId="3A9B4001" w14:textId="1CED818C" w:rsidR="00E623C2" w:rsidRPr="004B2B19" w:rsidRDefault="000C7CCD" w:rsidP="00EC5836">
      <w:pPr>
        <w:pStyle w:val="3-BodyText"/>
        <w:rPr>
          <w:color w:val="000000" w:themeColor="text1"/>
        </w:rPr>
      </w:pPr>
      <w:r w:rsidRPr="004B2B19">
        <w:rPr>
          <w:color w:val="000000" w:themeColor="text1"/>
        </w:rPr>
        <w:t>Although drop seizures are generally easy to count, s</w:t>
      </w:r>
      <w:r w:rsidR="00901EE0" w:rsidRPr="004B2B19">
        <w:rPr>
          <w:color w:val="000000" w:themeColor="text1"/>
        </w:rPr>
        <w:t xml:space="preserve">ome patients with LGS experience </w:t>
      </w:r>
      <w:r w:rsidR="00136821" w:rsidRPr="004B2B19">
        <w:rPr>
          <w:color w:val="000000" w:themeColor="text1"/>
        </w:rPr>
        <w:t xml:space="preserve">clusters of </w:t>
      </w:r>
      <w:r w:rsidR="00901EE0" w:rsidRPr="004B2B19">
        <w:rPr>
          <w:color w:val="000000" w:themeColor="text1"/>
        </w:rPr>
        <w:t>back-to-back seizures. In these cases, only the duration of the episode was recorded and to allow the cluster to be included in seizure frequency calculations a number of seizures was impu</w:t>
      </w:r>
      <w:r w:rsidR="006235DF" w:rsidRPr="004B2B19">
        <w:rPr>
          <w:color w:val="000000" w:themeColor="text1"/>
        </w:rPr>
        <w:t>ted</w:t>
      </w:r>
      <w:r w:rsidR="00901EE0" w:rsidRPr="004B2B19">
        <w:rPr>
          <w:color w:val="000000" w:themeColor="text1"/>
        </w:rPr>
        <w:t xml:space="preserve">. Excluding seizure clusters and changing the method of imputation did not materially reduce the variability or change the results. </w:t>
      </w:r>
      <w:r w:rsidR="000E1FA6" w:rsidRPr="004B2B19">
        <w:rPr>
          <w:color w:val="000000" w:themeColor="text1"/>
        </w:rPr>
        <w:t>Exclusion of outliers also did not materially reduce variability or change the results.</w:t>
      </w:r>
    </w:p>
    <w:p w14:paraId="7C048354" w14:textId="298813E6" w:rsidR="00CD7078" w:rsidRPr="004B2B19" w:rsidRDefault="00CD7078" w:rsidP="00EC5836">
      <w:pPr>
        <w:pStyle w:val="3-BodyText"/>
        <w:rPr>
          <w:color w:val="000000" w:themeColor="text1"/>
        </w:rPr>
      </w:pPr>
      <w:r w:rsidRPr="004B2B19">
        <w:rPr>
          <w:color w:val="000000" w:themeColor="text1"/>
        </w:rPr>
        <w:t>The types of seizures considered as typically resulting in drops were generalised tonic-clonic (GTC), secondarily generalised tonic-clonic (sGTC), tonic (TS), atonic (AS) and tonic/atonic (TA).</w:t>
      </w:r>
      <w:r w:rsidR="00095FD9">
        <w:rPr>
          <w:color w:val="000000" w:themeColor="text1"/>
        </w:rPr>
        <w:t xml:space="preserve"> </w:t>
      </w:r>
      <w:r w:rsidRPr="004B2B19">
        <w:rPr>
          <w:color w:val="000000" w:themeColor="text1"/>
        </w:rPr>
        <w:t xml:space="preserve">The effect of FEN </w:t>
      </w:r>
      <w:r w:rsidR="00FB2965" w:rsidRPr="004B2B19">
        <w:rPr>
          <w:color w:val="000000" w:themeColor="text1"/>
        </w:rPr>
        <w:t xml:space="preserve">0.7 mg/kg/day was similar for all seizure types, but the effect of FEN 0.2 mg/kg/day was more variable. </w:t>
      </w:r>
    </w:p>
    <w:p w14:paraId="2BC7C89B" w14:textId="15C58A3E" w:rsidR="00136821" w:rsidRPr="004B2B19" w:rsidRDefault="00453F12" w:rsidP="000D731C">
      <w:pPr>
        <w:pStyle w:val="3-BodyText"/>
        <w:rPr>
          <w:color w:val="000000" w:themeColor="text1"/>
        </w:rPr>
      </w:pPr>
      <w:r w:rsidRPr="004B2B19">
        <w:rPr>
          <w:color w:val="000000" w:themeColor="text1"/>
        </w:rPr>
        <w:t xml:space="preserve">Seizures that do not typically result in drops, such as absence seizures, cause morbidity but are difficult to count reliably, and the study was not powered to detect an effect of FEN on non-drop seizures. The </w:t>
      </w:r>
      <w:r w:rsidR="00474DC7" w:rsidRPr="004B2B19">
        <w:rPr>
          <w:color w:val="000000" w:themeColor="text1"/>
        </w:rPr>
        <w:t xml:space="preserve">recorded </w:t>
      </w:r>
      <w:r w:rsidRPr="004B2B19">
        <w:rPr>
          <w:color w:val="000000" w:themeColor="text1"/>
        </w:rPr>
        <w:t xml:space="preserve">frequency of absence/atypical absence seizures declined markedly during the treatment period, but FEN had no greater effect than placebo: median (range) % change from baseline for placebo was </w:t>
      </w:r>
      <w:r w:rsidR="00AD6236" w:rsidRPr="004B2B19">
        <w:rPr>
          <w:color w:val="000000" w:themeColor="text1"/>
        </w:rPr>
        <w:noBreakHyphen/>
      </w:r>
      <w:r w:rsidRPr="004B2B19">
        <w:rPr>
          <w:color w:val="000000" w:themeColor="text1"/>
        </w:rPr>
        <w:t>43.4%</w:t>
      </w:r>
      <w:r w:rsidR="00AD6236" w:rsidRPr="004B2B19">
        <w:rPr>
          <w:color w:val="000000" w:themeColor="text1"/>
        </w:rPr>
        <w:t> </w:t>
      </w:r>
      <w:r w:rsidRPr="004B2B19">
        <w:rPr>
          <w:color w:val="000000" w:themeColor="text1"/>
        </w:rPr>
        <w:t>(</w:t>
      </w:r>
      <w:r w:rsidR="00AD6236" w:rsidRPr="004B2B19">
        <w:rPr>
          <w:color w:val="000000" w:themeColor="text1"/>
        </w:rPr>
        <w:noBreakHyphen/>
      </w:r>
      <w:r w:rsidRPr="004B2B19">
        <w:rPr>
          <w:color w:val="000000" w:themeColor="text1"/>
        </w:rPr>
        <w:t>100.0,</w:t>
      </w:r>
      <w:r w:rsidR="00AD6236" w:rsidRPr="004B2B19">
        <w:rPr>
          <w:color w:val="000000" w:themeColor="text1"/>
        </w:rPr>
        <w:t> </w:t>
      </w:r>
      <w:r w:rsidRPr="004B2B19">
        <w:rPr>
          <w:color w:val="000000" w:themeColor="text1"/>
        </w:rPr>
        <w:t>1056.5), for FEN 0.2 mg/kg/day -50.1% (-100.0, 2128.6), and for</w:t>
      </w:r>
      <w:r w:rsidR="00F73188" w:rsidRPr="004B2B19">
        <w:rPr>
          <w:color w:val="000000" w:themeColor="text1"/>
        </w:rPr>
        <w:t xml:space="preserve"> </w:t>
      </w:r>
      <w:r w:rsidRPr="004B2B19">
        <w:rPr>
          <w:color w:val="000000" w:themeColor="text1"/>
        </w:rPr>
        <w:t>FEN</w:t>
      </w:r>
      <w:r w:rsidR="00CB7DB2" w:rsidRPr="004B2B19">
        <w:rPr>
          <w:color w:val="000000" w:themeColor="text1"/>
        </w:rPr>
        <w:t> </w:t>
      </w:r>
      <w:r w:rsidRPr="004B2B19">
        <w:rPr>
          <w:color w:val="000000" w:themeColor="text1"/>
        </w:rPr>
        <w:t>0.7</w:t>
      </w:r>
      <w:r w:rsidR="00CB7DB2" w:rsidRPr="004B2B19">
        <w:rPr>
          <w:color w:val="000000" w:themeColor="text1"/>
        </w:rPr>
        <w:t> </w:t>
      </w:r>
      <w:r w:rsidRPr="004B2B19">
        <w:rPr>
          <w:color w:val="000000" w:themeColor="text1"/>
        </w:rPr>
        <w:t>mg/kg/day</w:t>
      </w:r>
      <w:r w:rsidR="00F73188" w:rsidRPr="004B2B19">
        <w:rPr>
          <w:color w:val="000000" w:themeColor="text1"/>
        </w:rPr>
        <w:t> </w:t>
      </w:r>
      <w:r w:rsidR="00CB7DB2" w:rsidRPr="004B2B19">
        <w:rPr>
          <w:color w:val="000000" w:themeColor="text1"/>
        </w:rPr>
        <w:noBreakHyphen/>
      </w:r>
      <w:r w:rsidRPr="004B2B19">
        <w:rPr>
          <w:color w:val="000000" w:themeColor="text1"/>
        </w:rPr>
        <w:t>52.3% (-100.0, 769.9).</w:t>
      </w:r>
    </w:p>
    <w:p w14:paraId="50033C07" w14:textId="1D3D54B5" w:rsidR="00530FD7" w:rsidRPr="004B2B19" w:rsidRDefault="00A24BAD" w:rsidP="00EC5836">
      <w:pPr>
        <w:pStyle w:val="3-BodyText"/>
        <w:rPr>
          <w:color w:val="000000" w:themeColor="text1"/>
        </w:rPr>
      </w:pPr>
      <w:r w:rsidRPr="004B2B19">
        <w:rPr>
          <w:color w:val="000000" w:themeColor="text1"/>
        </w:rPr>
        <w:t xml:space="preserve">The proportion of patients with at least a 50% reduction in </w:t>
      </w:r>
      <w:r w:rsidR="000E23F2" w:rsidRPr="004B2B19">
        <w:rPr>
          <w:color w:val="000000" w:themeColor="text1"/>
        </w:rPr>
        <w:t>DSF</w:t>
      </w:r>
      <w:r w:rsidRPr="004B2B19">
        <w:rPr>
          <w:color w:val="000000" w:themeColor="text1"/>
        </w:rPr>
        <w:t xml:space="preserve"> was defined as a key secondary outcome. </w:t>
      </w:r>
      <w:r w:rsidR="00BD2DDE" w:rsidRPr="004B2B19">
        <w:rPr>
          <w:color w:val="000000" w:themeColor="text1"/>
        </w:rPr>
        <w:t xml:space="preserve">The proportions of patients with a 25% and with a 75% reduction </w:t>
      </w:r>
      <w:r w:rsidR="00530FD7" w:rsidRPr="004B2B19">
        <w:rPr>
          <w:color w:val="000000" w:themeColor="text1"/>
        </w:rPr>
        <w:t xml:space="preserve">in DSF </w:t>
      </w:r>
      <w:r w:rsidR="00BD2DDE" w:rsidRPr="004B2B19">
        <w:rPr>
          <w:color w:val="000000" w:themeColor="text1"/>
        </w:rPr>
        <w:t>wer</w:t>
      </w:r>
      <w:r w:rsidR="00BC4D2B" w:rsidRPr="004B2B19">
        <w:rPr>
          <w:color w:val="000000" w:themeColor="text1"/>
        </w:rPr>
        <w:t>e</w:t>
      </w:r>
      <w:r w:rsidR="00933B77" w:rsidRPr="004B2B19">
        <w:rPr>
          <w:color w:val="000000" w:themeColor="text1"/>
        </w:rPr>
        <w:t xml:space="preserve"> also</w:t>
      </w:r>
      <w:r w:rsidR="00BD2DDE" w:rsidRPr="004B2B19">
        <w:rPr>
          <w:color w:val="000000" w:themeColor="text1"/>
        </w:rPr>
        <w:t xml:space="preserve"> secondary outcomes</w:t>
      </w:r>
      <w:r w:rsidR="00901EE0" w:rsidRPr="004B2B19">
        <w:rPr>
          <w:color w:val="000000" w:themeColor="text1"/>
        </w:rPr>
        <w:t>.</w:t>
      </w:r>
    </w:p>
    <w:p w14:paraId="5C0B6F2B" w14:textId="4CAEFFD1" w:rsidR="00901EE0" w:rsidRPr="004B2B19" w:rsidRDefault="00E0649C" w:rsidP="00E93660">
      <w:pPr>
        <w:pStyle w:val="3-BodyText"/>
        <w:rPr>
          <w:color w:val="000000" w:themeColor="text1"/>
        </w:rPr>
      </w:pPr>
      <w:r w:rsidRPr="004B2B19">
        <w:rPr>
          <w:color w:val="000000" w:themeColor="text1"/>
        </w:rPr>
        <w:t xml:space="preserve">The </w:t>
      </w:r>
      <w:r w:rsidR="00530FD7" w:rsidRPr="004B2B19">
        <w:rPr>
          <w:color w:val="000000" w:themeColor="text1"/>
        </w:rPr>
        <w:t xml:space="preserve">PBAC has previously determined that a 25% reduction in DSF would be clinically meaningful (paragraph 11.7, Cannabidiol PSD, July 2020 PBAC Meeting), and </w:t>
      </w:r>
      <w:r w:rsidR="003929CD" w:rsidRPr="004B2B19">
        <w:rPr>
          <w:color w:val="000000" w:themeColor="text1"/>
        </w:rPr>
        <w:t xml:space="preserve">NICE has used a 30% reduction </w:t>
      </w:r>
      <w:r w:rsidR="00474DC7" w:rsidRPr="004B2B19">
        <w:rPr>
          <w:color w:val="000000" w:themeColor="text1"/>
        </w:rPr>
        <w:t>i</w:t>
      </w:r>
      <w:r w:rsidR="003929CD" w:rsidRPr="004B2B19">
        <w:rPr>
          <w:color w:val="000000" w:themeColor="text1"/>
        </w:rPr>
        <w:t>n drop seizures as a criterion for continued use of CBD</w:t>
      </w:r>
      <w:r w:rsidR="00530FD7" w:rsidRPr="004B2B19">
        <w:rPr>
          <w:color w:val="000000" w:themeColor="text1"/>
        </w:rPr>
        <w:t>.</w:t>
      </w:r>
      <w:r w:rsidR="00530FD7" w:rsidRPr="004B2B19">
        <w:rPr>
          <w:rStyle w:val="FootnoteReference"/>
          <w:color w:val="000000" w:themeColor="text1"/>
        </w:rPr>
        <w:footnoteReference w:id="3"/>
      </w:r>
      <w:r w:rsidR="009C54FE" w:rsidRPr="004B2B19">
        <w:rPr>
          <w:color w:val="000000" w:themeColor="text1"/>
        </w:rPr>
        <w:t xml:space="preserve"> </w:t>
      </w:r>
    </w:p>
    <w:p w14:paraId="38AB347A" w14:textId="09835D2B" w:rsidR="005A13FE" w:rsidRPr="004B2B19" w:rsidRDefault="003929CD" w:rsidP="00EC5836">
      <w:pPr>
        <w:pStyle w:val="3-BodyText"/>
        <w:rPr>
          <w:color w:val="000000" w:themeColor="text1"/>
        </w:rPr>
      </w:pPr>
      <w:r w:rsidRPr="004B2B19">
        <w:rPr>
          <w:color w:val="000000" w:themeColor="text1"/>
        </w:rPr>
        <w:t xml:space="preserve">Although the </w:t>
      </w:r>
      <w:r w:rsidR="00A861C8" w:rsidRPr="004B2B19">
        <w:rPr>
          <w:color w:val="000000" w:themeColor="text1"/>
        </w:rPr>
        <w:t xml:space="preserve">average </w:t>
      </w:r>
      <w:r w:rsidRPr="004B2B19">
        <w:rPr>
          <w:color w:val="000000" w:themeColor="text1"/>
        </w:rPr>
        <w:t xml:space="preserve">frequency of seizures affects quality of life in LGS, </w:t>
      </w:r>
      <w:r w:rsidR="00530FD7" w:rsidRPr="004B2B19">
        <w:rPr>
          <w:color w:val="000000" w:themeColor="text1"/>
        </w:rPr>
        <w:t xml:space="preserve">the number of </w:t>
      </w:r>
      <w:r w:rsidRPr="004B2B19">
        <w:rPr>
          <w:color w:val="000000" w:themeColor="text1"/>
        </w:rPr>
        <w:t xml:space="preserve">seizure-free days </w:t>
      </w:r>
      <w:r w:rsidR="00530FD7" w:rsidRPr="004B2B19">
        <w:rPr>
          <w:color w:val="000000" w:themeColor="text1"/>
        </w:rPr>
        <w:t xml:space="preserve">is also relevant to </w:t>
      </w:r>
      <w:r w:rsidR="00453F12" w:rsidRPr="004B2B19">
        <w:rPr>
          <w:color w:val="000000" w:themeColor="text1"/>
        </w:rPr>
        <w:t>the burden of illness</w:t>
      </w:r>
      <w:r w:rsidR="00530FD7" w:rsidRPr="004B2B19">
        <w:rPr>
          <w:color w:val="000000" w:themeColor="text1"/>
        </w:rPr>
        <w:t>.</w:t>
      </w:r>
      <w:r w:rsidR="00530FD7" w:rsidRPr="004B2B19">
        <w:rPr>
          <w:rStyle w:val="FootnoteReference"/>
          <w:color w:val="000000" w:themeColor="text1"/>
        </w:rPr>
        <w:footnoteReference w:id="4"/>
      </w:r>
      <w:r w:rsidR="00530FD7" w:rsidRPr="004B2B19">
        <w:rPr>
          <w:color w:val="000000" w:themeColor="text1"/>
        </w:rPr>
        <w:t xml:space="preserve"> </w:t>
      </w:r>
      <w:r w:rsidR="009E2B0E" w:rsidRPr="004B2B19">
        <w:rPr>
          <w:color w:val="000000" w:themeColor="text1"/>
        </w:rPr>
        <w:t xml:space="preserve">There were no </w:t>
      </w:r>
      <w:r w:rsidR="007569A2" w:rsidRPr="004B2B19">
        <w:rPr>
          <w:color w:val="000000" w:themeColor="text1"/>
        </w:rPr>
        <w:t xml:space="preserve">large or statistically significant </w:t>
      </w:r>
      <w:r w:rsidR="009E2B0E" w:rsidRPr="004B2B19">
        <w:rPr>
          <w:color w:val="000000" w:themeColor="text1"/>
        </w:rPr>
        <w:t xml:space="preserve">differences among treatment groups in the number of </w:t>
      </w:r>
      <w:r w:rsidR="007569A2" w:rsidRPr="004B2B19">
        <w:rPr>
          <w:color w:val="000000" w:themeColor="text1"/>
        </w:rPr>
        <w:t xml:space="preserve">drop </w:t>
      </w:r>
      <w:r w:rsidR="009E2B0E" w:rsidRPr="004B2B19">
        <w:rPr>
          <w:color w:val="000000" w:themeColor="text1"/>
        </w:rPr>
        <w:t>seizure</w:t>
      </w:r>
      <w:r w:rsidR="007569A2" w:rsidRPr="004B2B19">
        <w:rPr>
          <w:color w:val="000000" w:themeColor="text1"/>
        </w:rPr>
        <w:t>-</w:t>
      </w:r>
      <w:r w:rsidR="009E2B0E" w:rsidRPr="004B2B19">
        <w:rPr>
          <w:color w:val="000000" w:themeColor="text1"/>
        </w:rPr>
        <w:t>free days or the longest seizure-free interval.</w:t>
      </w:r>
    </w:p>
    <w:p w14:paraId="44189113" w14:textId="05A7BE1C" w:rsidR="004016CA" w:rsidRPr="004B2B19" w:rsidRDefault="000B361A" w:rsidP="003C323D">
      <w:pPr>
        <w:pStyle w:val="3-BodyText"/>
        <w:rPr>
          <w:color w:val="000000" w:themeColor="text1"/>
        </w:rPr>
      </w:pPr>
      <w:r w:rsidRPr="004B2B19">
        <w:rPr>
          <w:color w:val="000000" w:themeColor="text1"/>
        </w:rPr>
        <w:t>T</w:t>
      </w:r>
      <w:r w:rsidR="005A13FE" w:rsidRPr="004B2B19">
        <w:rPr>
          <w:color w:val="000000" w:themeColor="text1"/>
        </w:rPr>
        <w:t xml:space="preserve">wo patients </w:t>
      </w:r>
      <w:r w:rsidR="00A861C8" w:rsidRPr="004B2B19">
        <w:rPr>
          <w:color w:val="000000" w:themeColor="text1"/>
        </w:rPr>
        <w:t>were</w:t>
      </w:r>
      <w:r w:rsidR="005A13FE" w:rsidRPr="004B2B19">
        <w:rPr>
          <w:color w:val="000000" w:themeColor="text1"/>
        </w:rPr>
        <w:t xml:space="preserve"> seizure-free during the trial</w:t>
      </w:r>
      <w:r w:rsidR="00285A71" w:rsidRPr="004B2B19">
        <w:rPr>
          <w:color w:val="000000" w:themeColor="text1"/>
        </w:rPr>
        <w:t xml:space="preserve">, </w:t>
      </w:r>
      <w:r w:rsidR="005A13FE" w:rsidRPr="004B2B19">
        <w:rPr>
          <w:color w:val="000000" w:themeColor="text1"/>
        </w:rPr>
        <w:t>one randomised to placebo and one to FEN 0.2 mg/kg/day; two further patients had only one observed seizure during the trial</w:t>
      </w:r>
      <w:r w:rsidR="00285A71" w:rsidRPr="004B2B19">
        <w:rPr>
          <w:color w:val="000000" w:themeColor="text1"/>
        </w:rPr>
        <w:t xml:space="preserve">, </w:t>
      </w:r>
      <w:r w:rsidR="005A13FE" w:rsidRPr="004B2B19">
        <w:rPr>
          <w:color w:val="000000" w:themeColor="text1"/>
        </w:rPr>
        <w:t>one randomised to FEN 0.2 mg/kg/day and one to FEN 0.7 mg/kg/da</w:t>
      </w:r>
      <w:r w:rsidR="00FB651E" w:rsidRPr="004B2B19">
        <w:rPr>
          <w:color w:val="000000" w:themeColor="text1"/>
        </w:rPr>
        <w:t>y</w:t>
      </w:r>
      <w:r w:rsidR="005A13FE" w:rsidRPr="004B2B19">
        <w:rPr>
          <w:color w:val="000000" w:themeColor="text1"/>
        </w:rPr>
        <w:t xml:space="preserve">. </w:t>
      </w:r>
    </w:p>
    <w:p w14:paraId="6BD4E49D" w14:textId="499D0905" w:rsidR="00474DC7" w:rsidRPr="004B2B19" w:rsidRDefault="00C72A33" w:rsidP="00C72A33">
      <w:pPr>
        <w:pStyle w:val="5-SubsectionSubheading"/>
      </w:pPr>
      <w:bookmarkStart w:id="32" w:name="_Toc208980610"/>
      <w:r w:rsidRPr="004B2B19">
        <w:t>Cannabidiol</w:t>
      </w:r>
      <w:bookmarkEnd w:id="32"/>
    </w:p>
    <w:p w14:paraId="3B473B37" w14:textId="602F0B8B" w:rsidR="004F7EB3" w:rsidRPr="004B2B19" w:rsidRDefault="004F7EB3" w:rsidP="004F7EB3">
      <w:pPr>
        <w:pStyle w:val="3-BodyText"/>
      </w:pPr>
      <w:r w:rsidRPr="004B2B19">
        <w:t xml:space="preserve">The design of the CBD trials was similar to that of the FEN trial. </w:t>
      </w:r>
      <w:r w:rsidR="00077D02" w:rsidRPr="004B2B19">
        <w:t xml:space="preserve">As in Study 1601, concomitant </w:t>
      </w:r>
      <w:r w:rsidR="00FB7BA2" w:rsidRPr="004B2B19">
        <w:t>ASM</w:t>
      </w:r>
      <w:r w:rsidR="00077D02" w:rsidRPr="004B2B19">
        <w:t xml:space="preserve"> treatment at baseline could not be changed during the study.</w:t>
      </w:r>
      <w:r w:rsidR="004016CA" w:rsidRPr="004B2B19">
        <w:t xml:space="preserve"> Results of the CBD trials are shown in </w:t>
      </w:r>
      <w:r w:rsidR="004016CA" w:rsidRPr="004B2B19">
        <w:fldChar w:fldCharType="begin"/>
      </w:r>
      <w:r w:rsidR="004016CA" w:rsidRPr="004B2B19">
        <w:instrText xml:space="preserve"> REF _Ref204688734 \h </w:instrText>
      </w:r>
      <w:r w:rsidR="004B2B19" w:rsidRPr="004B2B19">
        <w:instrText xml:space="preserve"> \* MERGEFORMAT </w:instrText>
      </w:r>
      <w:r w:rsidR="004016CA" w:rsidRPr="004B2B19">
        <w:fldChar w:fldCharType="separate"/>
      </w:r>
      <w:r w:rsidR="00A037BC" w:rsidRPr="004B2B19">
        <w:t xml:space="preserve">Table </w:t>
      </w:r>
      <w:r w:rsidR="00A037BC">
        <w:rPr>
          <w:noProof/>
        </w:rPr>
        <w:t>5</w:t>
      </w:r>
      <w:r w:rsidR="004016CA" w:rsidRPr="004B2B19">
        <w:fldChar w:fldCharType="end"/>
      </w:r>
      <w:r w:rsidR="004016CA" w:rsidRPr="004B2B19">
        <w:t>.</w:t>
      </w:r>
    </w:p>
    <w:p w14:paraId="385EF835" w14:textId="61831C2E" w:rsidR="003749EE" w:rsidRPr="004B2B19" w:rsidRDefault="007B4172" w:rsidP="003A7051">
      <w:pPr>
        <w:pStyle w:val="3-BodyText"/>
      </w:pPr>
      <w:r w:rsidRPr="004B2B19">
        <w:t xml:space="preserve">There were some differences </w:t>
      </w:r>
      <w:r w:rsidR="00F51B30" w:rsidRPr="004B2B19">
        <w:t xml:space="preserve">between Study 1601 and the CBD trials </w:t>
      </w:r>
      <w:r w:rsidRPr="004B2B19">
        <w:t xml:space="preserve">in concomitant </w:t>
      </w:r>
      <w:r w:rsidR="00FB7BA2" w:rsidRPr="004B2B19">
        <w:t>ASM</w:t>
      </w:r>
      <w:r w:rsidRPr="004B2B19">
        <w:t xml:space="preserve"> use, with valproate being used more frequently in </w:t>
      </w:r>
      <w:r w:rsidR="00F51B30" w:rsidRPr="004B2B19">
        <w:t>patients</w:t>
      </w:r>
      <w:r w:rsidRPr="004B2B19">
        <w:t xml:space="preserve"> in</w:t>
      </w:r>
      <w:r w:rsidR="00F85E04" w:rsidRPr="004B2B19">
        <w:t xml:space="preserve"> the FEN study</w:t>
      </w:r>
      <w:r w:rsidR="00095FD9">
        <w:t xml:space="preserve"> </w:t>
      </w:r>
      <w:r w:rsidRPr="004B2B19">
        <w:t>(147/263, 56%</w:t>
      </w:r>
      <w:r w:rsidR="00F51B30" w:rsidRPr="004B2B19">
        <w:t xml:space="preserve"> in Study 1601 </w:t>
      </w:r>
      <w:r w:rsidRPr="004B2B19">
        <w:t>vs 85/</w:t>
      </w:r>
      <w:r w:rsidR="00F51B30" w:rsidRPr="004B2B19">
        <w:t xml:space="preserve">225, 38% in GWPCARE3 and </w:t>
      </w:r>
      <w:r w:rsidRPr="004B2B19">
        <w:t>69/171, 40% in GWPCARE4</w:t>
      </w:r>
      <w:r w:rsidR="00F51B30" w:rsidRPr="004B2B19">
        <w:t>) and rufinamide less frequently (53/263, 20% in Study 1601 vs</w:t>
      </w:r>
      <w:r w:rsidR="002C10A6" w:rsidRPr="004B2B19">
        <w:t xml:space="preserve"> </w:t>
      </w:r>
      <w:r w:rsidR="00F51B30" w:rsidRPr="004B2B19">
        <w:t>65/225,</w:t>
      </w:r>
      <w:r w:rsidR="002C10A6" w:rsidRPr="004B2B19">
        <w:t> </w:t>
      </w:r>
      <w:r w:rsidR="00F51B30" w:rsidRPr="004B2B19">
        <w:t>29% in GWPCARE3 and 46/171, 27% in GWPCARE4).</w:t>
      </w:r>
    </w:p>
    <w:p w14:paraId="5CA2A809" w14:textId="2C767169" w:rsidR="00662DF3" w:rsidRPr="004B2B19" w:rsidRDefault="004016CA" w:rsidP="004016CA">
      <w:pPr>
        <w:pStyle w:val="Caption"/>
      </w:pPr>
      <w:bookmarkStart w:id="33" w:name="_Ref204688734"/>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5</w:t>
      </w:r>
      <w:r w:rsidR="00057B46" w:rsidRPr="004B2B19">
        <w:rPr>
          <w:noProof/>
        </w:rPr>
        <w:fldChar w:fldCharType="end"/>
      </w:r>
      <w:bookmarkEnd w:id="33"/>
      <w:r w:rsidRPr="004B2B19">
        <w:t xml:space="preserve">: </w:t>
      </w:r>
      <w:r w:rsidR="00662DF3" w:rsidRPr="004B2B19">
        <w:t>Efficacy Outcomes in CBD Trials</w:t>
      </w:r>
    </w:p>
    <w:tbl>
      <w:tblPr>
        <w:tblStyle w:val="TableGrid"/>
        <w:tblW w:w="5000" w:type="pct"/>
        <w:tblLook w:val="04A0" w:firstRow="1" w:lastRow="0" w:firstColumn="1" w:lastColumn="0" w:noHBand="0" w:noVBand="1"/>
        <w:tblCaption w:val="Table 5: Efficacy Outcomes in CBD Trials"/>
      </w:tblPr>
      <w:tblGrid>
        <w:gridCol w:w="4106"/>
        <w:gridCol w:w="1558"/>
        <w:gridCol w:w="1701"/>
        <w:gridCol w:w="1652"/>
      </w:tblGrid>
      <w:tr w:rsidR="006B0CC4" w:rsidRPr="004B2B19" w14:paraId="3FBBE17A" w14:textId="77777777" w:rsidTr="006B0CC4">
        <w:tc>
          <w:tcPr>
            <w:tcW w:w="5000" w:type="pct"/>
            <w:gridSpan w:val="4"/>
          </w:tcPr>
          <w:p w14:paraId="72A504F3" w14:textId="36CAD7AE" w:rsidR="006B0CC4" w:rsidRPr="004B2B19" w:rsidRDefault="006B0CC4" w:rsidP="00F85E04">
            <w:pPr>
              <w:keepNext/>
              <w:keepLines/>
              <w:jc w:val="left"/>
              <w:rPr>
                <w:rFonts w:ascii="Arial Narrow" w:hAnsi="Arial Narrow"/>
                <w:b/>
                <w:bCs/>
                <w:sz w:val="20"/>
                <w:szCs w:val="20"/>
              </w:rPr>
            </w:pPr>
            <w:r w:rsidRPr="004B2B19">
              <w:rPr>
                <w:rFonts w:ascii="Arial Narrow" w:hAnsi="Arial Narrow"/>
                <w:b/>
                <w:bCs/>
                <w:sz w:val="20"/>
                <w:szCs w:val="20"/>
              </w:rPr>
              <w:t>GWPCARE3</w:t>
            </w:r>
          </w:p>
        </w:tc>
      </w:tr>
      <w:tr w:rsidR="00662DF3" w:rsidRPr="004B2B19" w14:paraId="65C2C5F1" w14:textId="77777777" w:rsidTr="00D66280">
        <w:tc>
          <w:tcPr>
            <w:tcW w:w="2277" w:type="pct"/>
          </w:tcPr>
          <w:p w14:paraId="67155901" w14:textId="77777777" w:rsidR="00662DF3" w:rsidRPr="004B2B19" w:rsidRDefault="00662DF3" w:rsidP="004A58F3">
            <w:pPr>
              <w:keepNext/>
              <w:keepLines/>
              <w:rPr>
                <w:rFonts w:ascii="Arial Narrow" w:hAnsi="Arial Narrow"/>
                <w:sz w:val="20"/>
                <w:szCs w:val="20"/>
              </w:rPr>
            </w:pPr>
          </w:p>
        </w:tc>
        <w:tc>
          <w:tcPr>
            <w:tcW w:w="864" w:type="pct"/>
          </w:tcPr>
          <w:p w14:paraId="39045F3E" w14:textId="77777777" w:rsidR="00662DF3" w:rsidRPr="004B2B19" w:rsidRDefault="00662DF3" w:rsidP="004A58F3">
            <w:pPr>
              <w:keepNext/>
              <w:keepLines/>
              <w:rPr>
                <w:rFonts w:ascii="Arial Narrow" w:hAnsi="Arial Narrow"/>
                <w:b/>
                <w:bCs/>
                <w:sz w:val="20"/>
                <w:szCs w:val="20"/>
              </w:rPr>
            </w:pPr>
            <w:r w:rsidRPr="004B2B19">
              <w:rPr>
                <w:rFonts w:ascii="Arial Narrow" w:hAnsi="Arial Narrow"/>
                <w:b/>
                <w:bCs/>
                <w:sz w:val="20"/>
                <w:szCs w:val="20"/>
              </w:rPr>
              <w:t>Placebo</w:t>
            </w:r>
          </w:p>
          <w:p w14:paraId="77C6AC3B" w14:textId="1A15FAA7" w:rsidR="00662DF3" w:rsidRPr="004B2B19" w:rsidRDefault="00662DF3" w:rsidP="004A58F3">
            <w:pPr>
              <w:keepNext/>
              <w:keepLines/>
              <w:rPr>
                <w:rFonts w:ascii="Arial Narrow" w:hAnsi="Arial Narrow"/>
                <w:b/>
                <w:bCs/>
                <w:sz w:val="20"/>
                <w:szCs w:val="20"/>
              </w:rPr>
            </w:pPr>
            <w:r w:rsidRPr="004B2B19">
              <w:rPr>
                <w:rFonts w:ascii="Arial Narrow" w:hAnsi="Arial Narrow"/>
                <w:b/>
                <w:bCs/>
                <w:sz w:val="20"/>
                <w:szCs w:val="20"/>
              </w:rPr>
              <w:t>N =</w:t>
            </w:r>
            <w:r w:rsidR="007E0BD9" w:rsidRPr="004B2B19">
              <w:rPr>
                <w:rFonts w:ascii="Arial Narrow" w:hAnsi="Arial Narrow"/>
                <w:b/>
                <w:bCs/>
                <w:sz w:val="20"/>
                <w:szCs w:val="20"/>
              </w:rPr>
              <w:t xml:space="preserve"> 76</w:t>
            </w:r>
          </w:p>
        </w:tc>
        <w:tc>
          <w:tcPr>
            <w:tcW w:w="943" w:type="pct"/>
          </w:tcPr>
          <w:p w14:paraId="46DC7FED" w14:textId="77777777" w:rsidR="00662DF3" w:rsidRPr="004B2B19" w:rsidRDefault="007E0BD9" w:rsidP="004A58F3">
            <w:pPr>
              <w:keepNext/>
              <w:keepLines/>
              <w:rPr>
                <w:rFonts w:ascii="Arial Narrow" w:hAnsi="Arial Narrow"/>
                <w:b/>
                <w:bCs/>
                <w:sz w:val="20"/>
                <w:szCs w:val="20"/>
              </w:rPr>
            </w:pPr>
            <w:r w:rsidRPr="004B2B19">
              <w:rPr>
                <w:rFonts w:ascii="Arial Narrow" w:hAnsi="Arial Narrow"/>
                <w:b/>
                <w:bCs/>
                <w:sz w:val="20"/>
                <w:szCs w:val="20"/>
              </w:rPr>
              <w:t>CBD 10 mg/kg/day</w:t>
            </w:r>
          </w:p>
          <w:p w14:paraId="03D96579" w14:textId="5018CC5E" w:rsidR="007E0BD9" w:rsidRPr="004B2B19" w:rsidRDefault="007E0BD9" w:rsidP="004A58F3">
            <w:pPr>
              <w:keepNext/>
              <w:keepLines/>
              <w:rPr>
                <w:rFonts w:ascii="Arial Narrow" w:hAnsi="Arial Narrow"/>
                <w:b/>
                <w:bCs/>
                <w:sz w:val="20"/>
                <w:szCs w:val="20"/>
              </w:rPr>
            </w:pPr>
            <w:r w:rsidRPr="004B2B19">
              <w:rPr>
                <w:rFonts w:ascii="Arial Narrow" w:hAnsi="Arial Narrow"/>
                <w:b/>
                <w:bCs/>
                <w:sz w:val="20"/>
                <w:szCs w:val="20"/>
              </w:rPr>
              <w:t>N = 73</w:t>
            </w:r>
          </w:p>
        </w:tc>
        <w:tc>
          <w:tcPr>
            <w:tcW w:w="916" w:type="pct"/>
          </w:tcPr>
          <w:p w14:paraId="66A67F39" w14:textId="3236AFDE" w:rsidR="00662DF3" w:rsidRPr="004B2B19" w:rsidRDefault="007E0BD9" w:rsidP="004A58F3">
            <w:pPr>
              <w:keepNext/>
              <w:keepLines/>
              <w:rPr>
                <w:rFonts w:ascii="Arial Narrow" w:hAnsi="Arial Narrow"/>
                <w:b/>
                <w:bCs/>
                <w:sz w:val="20"/>
                <w:szCs w:val="20"/>
              </w:rPr>
            </w:pPr>
            <w:r w:rsidRPr="004B2B19">
              <w:rPr>
                <w:rFonts w:ascii="Arial Narrow" w:hAnsi="Arial Narrow"/>
                <w:b/>
                <w:bCs/>
                <w:sz w:val="20"/>
                <w:szCs w:val="20"/>
              </w:rPr>
              <w:t>CBD 20 mg/kg/day</w:t>
            </w:r>
          </w:p>
          <w:p w14:paraId="1C6B91BD" w14:textId="5881467B" w:rsidR="00662DF3" w:rsidRPr="004B2B19" w:rsidRDefault="00662DF3" w:rsidP="004A58F3">
            <w:pPr>
              <w:keepNext/>
              <w:keepLines/>
              <w:rPr>
                <w:rFonts w:ascii="Arial Narrow" w:hAnsi="Arial Narrow"/>
                <w:b/>
                <w:bCs/>
                <w:sz w:val="20"/>
                <w:szCs w:val="20"/>
              </w:rPr>
            </w:pPr>
            <w:r w:rsidRPr="004B2B19">
              <w:rPr>
                <w:rFonts w:ascii="Arial Narrow" w:hAnsi="Arial Narrow"/>
                <w:b/>
                <w:bCs/>
                <w:sz w:val="20"/>
                <w:szCs w:val="20"/>
              </w:rPr>
              <w:t xml:space="preserve">N = </w:t>
            </w:r>
            <w:r w:rsidR="007E0BD9" w:rsidRPr="004B2B19">
              <w:rPr>
                <w:rFonts w:ascii="Arial Narrow" w:hAnsi="Arial Narrow"/>
                <w:b/>
                <w:bCs/>
                <w:sz w:val="20"/>
                <w:szCs w:val="20"/>
              </w:rPr>
              <w:t>76</w:t>
            </w:r>
          </w:p>
        </w:tc>
      </w:tr>
      <w:tr w:rsidR="00662DF3" w:rsidRPr="004B2B19" w14:paraId="2E63B817" w14:textId="77777777" w:rsidTr="00D66280">
        <w:tc>
          <w:tcPr>
            <w:tcW w:w="2277" w:type="pct"/>
          </w:tcPr>
          <w:p w14:paraId="6F1ADCE8" w14:textId="7FC4BE24" w:rsidR="00662DF3" w:rsidRPr="004B2B19" w:rsidRDefault="00040FEC" w:rsidP="004A58F3">
            <w:pPr>
              <w:keepNext/>
              <w:keepLines/>
              <w:rPr>
                <w:rFonts w:ascii="Arial Narrow" w:hAnsi="Arial Narrow"/>
                <w:sz w:val="20"/>
                <w:szCs w:val="20"/>
              </w:rPr>
            </w:pPr>
            <w:r w:rsidRPr="004B2B19">
              <w:rPr>
                <w:rFonts w:ascii="Arial Narrow" w:hAnsi="Arial Narrow"/>
                <w:sz w:val="20"/>
                <w:szCs w:val="20"/>
              </w:rPr>
              <w:t xml:space="preserve">Baseline </w:t>
            </w:r>
            <w:r w:rsidR="00662DF3" w:rsidRPr="004B2B19">
              <w:rPr>
                <w:rFonts w:ascii="Arial Narrow" w:hAnsi="Arial Narrow"/>
                <w:sz w:val="20"/>
                <w:szCs w:val="20"/>
              </w:rPr>
              <w:t>DSF, events per 28 days</w:t>
            </w:r>
          </w:p>
          <w:p w14:paraId="7499B62D" w14:textId="4523D9E1"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Median (</w:t>
            </w:r>
            <w:r w:rsidR="00932D63" w:rsidRPr="004B2B19">
              <w:rPr>
                <w:rFonts w:ascii="Arial Narrow" w:hAnsi="Arial Narrow"/>
                <w:sz w:val="20"/>
                <w:szCs w:val="20"/>
              </w:rPr>
              <w:t>IQR</w:t>
            </w:r>
            <w:r w:rsidRPr="004B2B19">
              <w:rPr>
                <w:rFonts w:ascii="Arial Narrow" w:hAnsi="Arial Narrow"/>
                <w:sz w:val="20"/>
                <w:szCs w:val="20"/>
              </w:rPr>
              <w:t>)</w:t>
            </w:r>
          </w:p>
        </w:tc>
        <w:tc>
          <w:tcPr>
            <w:tcW w:w="864" w:type="pct"/>
          </w:tcPr>
          <w:p w14:paraId="47EECCF7" w14:textId="77777777" w:rsidR="00662DF3" w:rsidRPr="004B2B19" w:rsidRDefault="00662DF3" w:rsidP="004A58F3">
            <w:pPr>
              <w:keepNext/>
              <w:keepLines/>
              <w:rPr>
                <w:rFonts w:ascii="Arial Narrow" w:hAnsi="Arial Narrow" w:cs="Calibri"/>
                <w:sz w:val="20"/>
                <w:szCs w:val="20"/>
              </w:rPr>
            </w:pPr>
          </w:p>
          <w:p w14:paraId="7EA1F211" w14:textId="5F542D6D" w:rsidR="00662DF3" w:rsidRPr="004B2B19" w:rsidRDefault="00932D63" w:rsidP="004A58F3">
            <w:pPr>
              <w:keepNext/>
              <w:keepLines/>
              <w:rPr>
                <w:rFonts w:ascii="Arial Narrow" w:hAnsi="Arial Narrow" w:cs="Calibri"/>
                <w:sz w:val="20"/>
                <w:szCs w:val="20"/>
              </w:rPr>
            </w:pPr>
            <w:r w:rsidRPr="004B2B19">
              <w:rPr>
                <w:rFonts w:ascii="Arial Narrow" w:hAnsi="Arial Narrow" w:cs="Calibri"/>
                <w:sz w:val="20"/>
                <w:szCs w:val="20"/>
              </w:rPr>
              <w:t>80.3 (47.8, 148.0)</w:t>
            </w:r>
          </w:p>
        </w:tc>
        <w:tc>
          <w:tcPr>
            <w:tcW w:w="943" w:type="pct"/>
          </w:tcPr>
          <w:p w14:paraId="25D06C44" w14:textId="77777777" w:rsidR="00662DF3" w:rsidRPr="004B2B19" w:rsidRDefault="00662DF3" w:rsidP="004A58F3">
            <w:pPr>
              <w:keepNext/>
              <w:keepLines/>
              <w:rPr>
                <w:rFonts w:ascii="Arial Narrow" w:hAnsi="Arial Narrow" w:cs="Calibri"/>
                <w:sz w:val="20"/>
                <w:szCs w:val="20"/>
              </w:rPr>
            </w:pPr>
          </w:p>
          <w:p w14:paraId="5070081F" w14:textId="0E4387E6" w:rsidR="00662DF3" w:rsidRPr="004B2B19" w:rsidRDefault="00932D63" w:rsidP="004A58F3">
            <w:pPr>
              <w:keepNext/>
              <w:keepLines/>
              <w:rPr>
                <w:rFonts w:ascii="Arial Narrow" w:hAnsi="Arial Narrow" w:cs="Calibri"/>
                <w:sz w:val="20"/>
                <w:szCs w:val="20"/>
              </w:rPr>
            </w:pPr>
            <w:r w:rsidRPr="004B2B19">
              <w:rPr>
                <w:rFonts w:ascii="Arial Narrow" w:hAnsi="Arial Narrow" w:cs="Calibri"/>
                <w:sz w:val="20"/>
                <w:szCs w:val="20"/>
              </w:rPr>
              <w:t>86.9 (40.6, 190.0)</w:t>
            </w:r>
          </w:p>
        </w:tc>
        <w:tc>
          <w:tcPr>
            <w:tcW w:w="916" w:type="pct"/>
          </w:tcPr>
          <w:p w14:paraId="74F46826" w14:textId="77777777" w:rsidR="00662DF3" w:rsidRPr="004B2B19" w:rsidRDefault="00662DF3" w:rsidP="004A58F3">
            <w:pPr>
              <w:keepNext/>
              <w:keepLines/>
              <w:rPr>
                <w:rFonts w:ascii="Arial Narrow" w:hAnsi="Arial Narrow" w:cs="Calibri"/>
                <w:sz w:val="20"/>
                <w:szCs w:val="20"/>
              </w:rPr>
            </w:pPr>
          </w:p>
          <w:p w14:paraId="7019F1F2" w14:textId="0116B616" w:rsidR="00662DF3" w:rsidRPr="004B2B19" w:rsidRDefault="00932D63" w:rsidP="004A58F3">
            <w:pPr>
              <w:keepNext/>
              <w:keepLines/>
              <w:rPr>
                <w:rFonts w:ascii="Arial Narrow" w:hAnsi="Arial Narrow" w:cs="Calibri"/>
                <w:sz w:val="20"/>
                <w:szCs w:val="20"/>
              </w:rPr>
            </w:pPr>
            <w:r w:rsidRPr="004B2B19">
              <w:rPr>
                <w:rFonts w:ascii="Arial Narrow" w:hAnsi="Arial Narrow" w:cs="Calibri"/>
                <w:sz w:val="20"/>
                <w:szCs w:val="20"/>
              </w:rPr>
              <w:t>85.5 (38.3, 161.5)</w:t>
            </w:r>
          </w:p>
        </w:tc>
      </w:tr>
      <w:tr w:rsidR="003E27FE" w:rsidRPr="004B2B19" w14:paraId="740C24A1" w14:textId="77777777" w:rsidTr="00D66280">
        <w:tc>
          <w:tcPr>
            <w:tcW w:w="2277" w:type="pct"/>
          </w:tcPr>
          <w:p w14:paraId="1D891A55" w14:textId="2101DF2C" w:rsidR="003E27FE" w:rsidRPr="004B2B19" w:rsidRDefault="003E27FE" w:rsidP="004A58F3">
            <w:pPr>
              <w:keepNext/>
              <w:keepLines/>
              <w:rPr>
                <w:rFonts w:ascii="Arial Narrow" w:hAnsi="Arial Narrow"/>
                <w:sz w:val="20"/>
                <w:szCs w:val="20"/>
              </w:rPr>
            </w:pPr>
            <w:r w:rsidRPr="004B2B19">
              <w:rPr>
                <w:rFonts w:ascii="Arial Narrow" w:hAnsi="Arial Narrow"/>
                <w:sz w:val="20"/>
                <w:szCs w:val="20"/>
              </w:rPr>
              <w:t xml:space="preserve">% </w:t>
            </w:r>
            <w:r w:rsidR="00040FEC" w:rsidRPr="004B2B19">
              <w:rPr>
                <w:rFonts w:ascii="Arial Narrow" w:hAnsi="Arial Narrow"/>
                <w:sz w:val="20"/>
                <w:szCs w:val="20"/>
              </w:rPr>
              <w:t>Change from baseline</w:t>
            </w:r>
            <w:r w:rsidR="00095FD9">
              <w:rPr>
                <w:rFonts w:ascii="Arial Narrow" w:hAnsi="Arial Narrow"/>
                <w:sz w:val="20"/>
                <w:szCs w:val="20"/>
              </w:rPr>
              <w:t xml:space="preserve"> </w:t>
            </w:r>
            <w:r w:rsidRPr="004B2B19">
              <w:rPr>
                <w:rFonts w:ascii="Arial Narrow" w:hAnsi="Arial Narrow"/>
                <w:sz w:val="20"/>
                <w:szCs w:val="20"/>
              </w:rPr>
              <w:t>in DSF, T+M, median</w:t>
            </w:r>
          </w:p>
        </w:tc>
        <w:tc>
          <w:tcPr>
            <w:tcW w:w="864" w:type="pct"/>
          </w:tcPr>
          <w:p w14:paraId="2FC3DE62" w14:textId="07258AB9" w:rsidR="003E27FE" w:rsidRPr="004B2B19" w:rsidRDefault="002B692F" w:rsidP="004A58F3">
            <w:pPr>
              <w:keepNext/>
              <w:keepLines/>
              <w:rPr>
                <w:rFonts w:ascii="Arial Narrow" w:hAnsi="Arial Narrow" w:cs="Calibri"/>
                <w:sz w:val="20"/>
                <w:szCs w:val="20"/>
              </w:rPr>
            </w:pPr>
            <w:r w:rsidRPr="004B2B19">
              <w:rPr>
                <w:rFonts w:ascii="Arial Narrow" w:hAnsi="Arial Narrow" w:cs="Calibri"/>
                <w:sz w:val="20"/>
                <w:szCs w:val="20"/>
              </w:rPr>
              <w:t>-</w:t>
            </w:r>
            <w:r w:rsidR="003E27FE" w:rsidRPr="004B2B19">
              <w:rPr>
                <w:rFonts w:ascii="Arial Narrow" w:hAnsi="Arial Narrow" w:cs="Calibri"/>
                <w:sz w:val="20"/>
                <w:szCs w:val="20"/>
              </w:rPr>
              <w:t>17.2</w:t>
            </w:r>
          </w:p>
        </w:tc>
        <w:tc>
          <w:tcPr>
            <w:tcW w:w="943" w:type="pct"/>
          </w:tcPr>
          <w:p w14:paraId="08373597" w14:textId="2F0F501D" w:rsidR="003E27FE" w:rsidRPr="004B2B19" w:rsidRDefault="002B692F" w:rsidP="004A58F3">
            <w:pPr>
              <w:keepNext/>
              <w:keepLines/>
              <w:rPr>
                <w:rFonts w:ascii="Arial Narrow" w:hAnsi="Arial Narrow" w:cs="Calibri"/>
                <w:sz w:val="20"/>
                <w:szCs w:val="20"/>
              </w:rPr>
            </w:pPr>
            <w:r w:rsidRPr="004B2B19">
              <w:rPr>
                <w:rFonts w:ascii="Arial Narrow" w:hAnsi="Arial Narrow" w:cs="Calibri"/>
                <w:sz w:val="20"/>
                <w:szCs w:val="20"/>
              </w:rPr>
              <w:t>-</w:t>
            </w:r>
            <w:r w:rsidR="003E27FE" w:rsidRPr="004B2B19">
              <w:rPr>
                <w:rFonts w:ascii="Arial Narrow" w:hAnsi="Arial Narrow" w:cs="Calibri"/>
                <w:sz w:val="20"/>
                <w:szCs w:val="20"/>
              </w:rPr>
              <w:t>37.2</w:t>
            </w:r>
          </w:p>
        </w:tc>
        <w:tc>
          <w:tcPr>
            <w:tcW w:w="916" w:type="pct"/>
          </w:tcPr>
          <w:p w14:paraId="490F891E" w14:textId="234A52A3" w:rsidR="003E27FE" w:rsidRPr="004B2B19" w:rsidRDefault="002B692F" w:rsidP="004A58F3">
            <w:pPr>
              <w:keepNext/>
              <w:keepLines/>
              <w:rPr>
                <w:rFonts w:ascii="Arial Narrow" w:hAnsi="Arial Narrow" w:cs="Calibri"/>
                <w:sz w:val="20"/>
                <w:szCs w:val="20"/>
              </w:rPr>
            </w:pPr>
            <w:r w:rsidRPr="004B2B19">
              <w:rPr>
                <w:rFonts w:ascii="Arial Narrow" w:hAnsi="Arial Narrow" w:cs="Calibri"/>
                <w:sz w:val="20"/>
                <w:szCs w:val="20"/>
              </w:rPr>
              <w:t>-</w:t>
            </w:r>
            <w:r w:rsidR="003E27FE" w:rsidRPr="004B2B19">
              <w:rPr>
                <w:rFonts w:ascii="Arial Narrow" w:hAnsi="Arial Narrow" w:cs="Calibri"/>
                <w:sz w:val="20"/>
                <w:szCs w:val="20"/>
              </w:rPr>
              <w:t>41.9</w:t>
            </w:r>
          </w:p>
        </w:tc>
      </w:tr>
      <w:tr w:rsidR="00662DF3" w:rsidRPr="004B2B19" w14:paraId="7588D260" w14:textId="77777777" w:rsidTr="00D66280">
        <w:tc>
          <w:tcPr>
            <w:tcW w:w="2277" w:type="pct"/>
          </w:tcPr>
          <w:p w14:paraId="6E1072E1" w14:textId="7B0D5A28" w:rsidR="003E27FE" w:rsidRPr="004B2B19" w:rsidRDefault="00662DF3" w:rsidP="004A58F3">
            <w:pPr>
              <w:keepNext/>
              <w:keepLines/>
              <w:rPr>
                <w:rFonts w:ascii="Arial Narrow" w:hAnsi="Arial Narrow"/>
                <w:sz w:val="20"/>
                <w:szCs w:val="20"/>
              </w:rPr>
            </w:pPr>
            <w:r w:rsidRPr="004B2B19">
              <w:rPr>
                <w:rFonts w:ascii="Arial Narrow" w:hAnsi="Arial Narrow"/>
                <w:sz w:val="20"/>
                <w:szCs w:val="20"/>
              </w:rPr>
              <w:t>Estimated median (95% CI)</w:t>
            </w:r>
            <w:r w:rsidR="003E27FE" w:rsidRPr="004B2B19">
              <w:rPr>
                <w:rFonts w:ascii="Arial Narrow" w:hAnsi="Arial Narrow"/>
                <w:sz w:val="20"/>
                <w:szCs w:val="20"/>
              </w:rPr>
              <w:t xml:space="preserve"> difference in</w:t>
            </w:r>
            <w:r w:rsidR="00E67999" w:rsidRPr="004B2B19">
              <w:rPr>
                <w:rFonts w:ascii="Arial Narrow" w:hAnsi="Arial Narrow"/>
                <w:sz w:val="20"/>
                <w:szCs w:val="20"/>
              </w:rPr>
              <w:t xml:space="preserve"> </w:t>
            </w:r>
            <w:r w:rsidR="003E27FE" w:rsidRPr="004B2B19">
              <w:rPr>
                <w:rFonts w:ascii="Arial Narrow" w:hAnsi="Arial Narrow"/>
                <w:sz w:val="20"/>
                <w:szCs w:val="20"/>
              </w:rPr>
              <w:t xml:space="preserve">% </w:t>
            </w:r>
            <w:r w:rsidR="00040FEC" w:rsidRPr="004B2B19">
              <w:rPr>
                <w:rFonts w:ascii="Arial Narrow" w:hAnsi="Arial Narrow"/>
                <w:sz w:val="20"/>
                <w:szCs w:val="20"/>
              </w:rPr>
              <w:t>change from baseline</w:t>
            </w:r>
            <w:r w:rsidR="00095FD9">
              <w:rPr>
                <w:rFonts w:ascii="Arial Narrow" w:hAnsi="Arial Narrow"/>
                <w:sz w:val="20"/>
                <w:szCs w:val="20"/>
              </w:rPr>
              <w:t xml:space="preserve"> </w:t>
            </w:r>
            <w:r w:rsidR="00E67999" w:rsidRPr="004B2B19">
              <w:rPr>
                <w:rFonts w:ascii="Arial Narrow" w:hAnsi="Arial Narrow"/>
                <w:sz w:val="20"/>
                <w:szCs w:val="20"/>
              </w:rPr>
              <w:t>in DSF</w:t>
            </w:r>
          </w:p>
          <w:p w14:paraId="6B72DF93" w14:textId="71972A3D" w:rsidR="00662DF3" w:rsidRPr="004B2B19" w:rsidRDefault="003E27FE" w:rsidP="004A58F3">
            <w:pPr>
              <w:keepNext/>
              <w:keepLines/>
              <w:rPr>
                <w:rFonts w:ascii="Arial Narrow" w:hAnsi="Arial Narrow"/>
                <w:sz w:val="20"/>
                <w:szCs w:val="20"/>
              </w:rPr>
            </w:pPr>
            <w:r w:rsidRPr="004B2B19">
              <w:rPr>
                <w:rFonts w:ascii="Arial Narrow" w:hAnsi="Arial Narrow"/>
                <w:sz w:val="20"/>
                <w:szCs w:val="20"/>
              </w:rPr>
              <w:t>vs placebo</w:t>
            </w:r>
            <w:r w:rsidR="00EA7515" w:rsidRPr="004B2B19">
              <w:rPr>
                <w:rFonts w:ascii="Arial Narrow" w:hAnsi="Arial Narrow"/>
                <w:sz w:val="20"/>
                <w:szCs w:val="20"/>
                <w:vertAlign w:val="superscript"/>
              </w:rPr>
              <w:t>a</w:t>
            </w:r>
          </w:p>
          <w:p w14:paraId="5632593B" w14:textId="4761066C" w:rsidR="003E27FE" w:rsidRPr="004B2B19" w:rsidRDefault="003E27FE" w:rsidP="004A58F3">
            <w:pPr>
              <w:keepNext/>
              <w:keepLines/>
              <w:rPr>
                <w:rFonts w:ascii="Arial Narrow" w:hAnsi="Arial Narrow"/>
                <w:sz w:val="20"/>
                <w:szCs w:val="20"/>
              </w:rPr>
            </w:pPr>
            <w:r w:rsidRPr="004B2B19">
              <w:rPr>
                <w:rFonts w:ascii="Arial Narrow" w:hAnsi="Arial Narrow"/>
                <w:sz w:val="20"/>
                <w:szCs w:val="20"/>
              </w:rPr>
              <w:t>P vs placebo</w:t>
            </w:r>
          </w:p>
        </w:tc>
        <w:tc>
          <w:tcPr>
            <w:tcW w:w="864" w:type="pct"/>
          </w:tcPr>
          <w:p w14:paraId="23EE019D" w14:textId="77777777" w:rsidR="00D66280" w:rsidRPr="004B2B19" w:rsidRDefault="00D66280" w:rsidP="004A58F3">
            <w:pPr>
              <w:keepNext/>
              <w:keepLines/>
              <w:rPr>
                <w:rFonts w:ascii="Arial Narrow" w:hAnsi="Arial Narrow" w:cs="Calibri"/>
                <w:sz w:val="20"/>
                <w:szCs w:val="20"/>
              </w:rPr>
            </w:pPr>
          </w:p>
          <w:p w14:paraId="0680CBBC" w14:textId="77777777" w:rsidR="00D66280" w:rsidRPr="004B2B19" w:rsidRDefault="00D66280" w:rsidP="004A58F3">
            <w:pPr>
              <w:keepNext/>
              <w:keepLines/>
              <w:rPr>
                <w:rFonts w:ascii="Arial Narrow" w:hAnsi="Arial Narrow" w:cs="Calibri"/>
                <w:sz w:val="20"/>
                <w:szCs w:val="20"/>
              </w:rPr>
            </w:pPr>
          </w:p>
          <w:p w14:paraId="6D706456" w14:textId="7CC0AB83" w:rsidR="00662DF3" w:rsidRPr="004B2B19" w:rsidRDefault="003E27FE" w:rsidP="004A58F3">
            <w:pPr>
              <w:keepNext/>
              <w:keepLines/>
              <w:rPr>
                <w:rFonts w:ascii="Arial Narrow" w:hAnsi="Arial Narrow" w:cs="Calibri"/>
                <w:sz w:val="20"/>
                <w:szCs w:val="20"/>
              </w:rPr>
            </w:pPr>
            <w:r w:rsidRPr="004B2B19">
              <w:rPr>
                <w:rFonts w:ascii="Arial Narrow" w:hAnsi="Arial Narrow" w:cs="Calibri"/>
                <w:sz w:val="20"/>
                <w:szCs w:val="20"/>
              </w:rPr>
              <w:t>-</w:t>
            </w:r>
          </w:p>
          <w:p w14:paraId="649614CF" w14:textId="2978E85F" w:rsidR="003E27FE" w:rsidRPr="004B2B19" w:rsidRDefault="003E27FE"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tcPr>
          <w:p w14:paraId="5788E192" w14:textId="77777777" w:rsidR="00D66280" w:rsidRPr="004B2B19" w:rsidRDefault="00D66280" w:rsidP="004A58F3">
            <w:pPr>
              <w:keepNext/>
              <w:keepLines/>
              <w:rPr>
                <w:rFonts w:ascii="Arial Narrow" w:hAnsi="Arial Narrow" w:cs="Calibri"/>
                <w:b/>
                <w:bCs/>
                <w:sz w:val="20"/>
                <w:szCs w:val="20"/>
              </w:rPr>
            </w:pPr>
          </w:p>
          <w:p w14:paraId="49703CB5" w14:textId="77777777" w:rsidR="00D66280" w:rsidRPr="004B2B19" w:rsidRDefault="00D66280" w:rsidP="004A58F3">
            <w:pPr>
              <w:keepNext/>
              <w:keepLines/>
              <w:rPr>
                <w:rFonts w:ascii="Arial Narrow" w:hAnsi="Arial Narrow" w:cs="Calibri"/>
                <w:b/>
                <w:bCs/>
                <w:sz w:val="20"/>
                <w:szCs w:val="20"/>
              </w:rPr>
            </w:pPr>
          </w:p>
          <w:p w14:paraId="603E247A" w14:textId="1086A031" w:rsidR="00662DF3" w:rsidRPr="004B2B19" w:rsidRDefault="00662DF3" w:rsidP="004A58F3">
            <w:pPr>
              <w:keepNext/>
              <w:keepLines/>
              <w:rPr>
                <w:rFonts w:ascii="Arial Narrow" w:hAnsi="Arial Narrow" w:cs="Calibri"/>
                <w:b/>
                <w:bCs/>
                <w:sz w:val="20"/>
                <w:szCs w:val="20"/>
              </w:rPr>
            </w:pPr>
            <w:r w:rsidRPr="004B2B19">
              <w:rPr>
                <w:rFonts w:ascii="Arial Narrow" w:hAnsi="Arial Narrow" w:cs="Calibri"/>
                <w:b/>
                <w:bCs/>
                <w:sz w:val="20"/>
                <w:szCs w:val="20"/>
              </w:rPr>
              <w:t>1</w:t>
            </w:r>
            <w:r w:rsidR="00E67999" w:rsidRPr="004B2B19">
              <w:rPr>
                <w:rFonts w:ascii="Arial Narrow" w:hAnsi="Arial Narrow" w:cs="Calibri"/>
                <w:b/>
                <w:bCs/>
                <w:sz w:val="20"/>
                <w:szCs w:val="20"/>
              </w:rPr>
              <w:t>9</w:t>
            </w:r>
            <w:r w:rsidRPr="004B2B19">
              <w:rPr>
                <w:rFonts w:ascii="Arial Narrow" w:hAnsi="Arial Narrow" w:cs="Calibri"/>
                <w:b/>
                <w:bCs/>
                <w:sz w:val="20"/>
                <w:szCs w:val="20"/>
              </w:rPr>
              <w:t>.</w:t>
            </w:r>
            <w:r w:rsidR="003E27FE" w:rsidRPr="004B2B19">
              <w:rPr>
                <w:rFonts w:ascii="Arial Narrow" w:hAnsi="Arial Narrow" w:cs="Calibri"/>
                <w:b/>
                <w:bCs/>
                <w:sz w:val="20"/>
                <w:szCs w:val="20"/>
              </w:rPr>
              <w:t>2</w:t>
            </w:r>
            <w:r w:rsidRPr="004B2B19">
              <w:rPr>
                <w:rFonts w:ascii="Arial Narrow" w:hAnsi="Arial Narrow" w:cs="Calibri"/>
                <w:b/>
                <w:bCs/>
                <w:sz w:val="20"/>
                <w:szCs w:val="20"/>
              </w:rPr>
              <w:t xml:space="preserve"> </w:t>
            </w:r>
            <w:r w:rsidR="003E27FE" w:rsidRPr="004B2B19">
              <w:rPr>
                <w:rFonts w:ascii="Arial Narrow" w:hAnsi="Arial Narrow" w:cs="Calibri"/>
                <w:b/>
                <w:bCs/>
                <w:sz w:val="20"/>
                <w:szCs w:val="20"/>
              </w:rPr>
              <w:t>(-31.2, -7.7</w:t>
            </w:r>
            <w:r w:rsidRPr="004B2B19">
              <w:rPr>
                <w:rFonts w:ascii="Arial Narrow" w:hAnsi="Arial Narrow" w:cs="Calibri"/>
                <w:b/>
                <w:bCs/>
                <w:sz w:val="20"/>
                <w:szCs w:val="20"/>
              </w:rPr>
              <w:t>)</w:t>
            </w:r>
          </w:p>
          <w:p w14:paraId="6CA92403" w14:textId="5B374C46" w:rsidR="003E27FE" w:rsidRPr="004B2B19" w:rsidRDefault="003E27FE" w:rsidP="004A58F3">
            <w:pPr>
              <w:keepNext/>
              <w:keepLines/>
              <w:rPr>
                <w:rFonts w:ascii="Arial Narrow" w:hAnsi="Arial Narrow" w:cs="Calibri"/>
                <w:b/>
                <w:bCs/>
                <w:sz w:val="20"/>
                <w:szCs w:val="20"/>
              </w:rPr>
            </w:pPr>
            <w:r w:rsidRPr="004B2B19">
              <w:rPr>
                <w:rFonts w:ascii="Arial Narrow" w:hAnsi="Arial Narrow" w:cs="Calibri"/>
                <w:b/>
                <w:bCs/>
                <w:sz w:val="20"/>
                <w:szCs w:val="20"/>
              </w:rPr>
              <w:t>0.002</w:t>
            </w:r>
          </w:p>
        </w:tc>
        <w:tc>
          <w:tcPr>
            <w:tcW w:w="916" w:type="pct"/>
          </w:tcPr>
          <w:p w14:paraId="0FFB2176" w14:textId="77777777" w:rsidR="00D66280" w:rsidRPr="004B2B19" w:rsidRDefault="00D66280" w:rsidP="004A58F3">
            <w:pPr>
              <w:keepNext/>
              <w:keepLines/>
              <w:rPr>
                <w:rFonts w:ascii="Arial Narrow" w:hAnsi="Arial Narrow" w:cs="Calibri"/>
                <w:b/>
                <w:bCs/>
                <w:sz w:val="20"/>
                <w:szCs w:val="20"/>
              </w:rPr>
            </w:pPr>
          </w:p>
          <w:p w14:paraId="0C27EE66" w14:textId="77777777" w:rsidR="00D66280" w:rsidRPr="004B2B19" w:rsidRDefault="00D66280" w:rsidP="004A58F3">
            <w:pPr>
              <w:keepNext/>
              <w:keepLines/>
              <w:rPr>
                <w:rFonts w:ascii="Arial Narrow" w:hAnsi="Arial Narrow" w:cs="Calibri"/>
                <w:b/>
                <w:bCs/>
                <w:sz w:val="20"/>
                <w:szCs w:val="20"/>
              </w:rPr>
            </w:pPr>
          </w:p>
          <w:p w14:paraId="16219A07" w14:textId="17BC3F49" w:rsidR="00662DF3" w:rsidRPr="004B2B19" w:rsidRDefault="003E27FE" w:rsidP="004A58F3">
            <w:pPr>
              <w:keepNext/>
              <w:keepLines/>
              <w:rPr>
                <w:rFonts w:ascii="Arial Narrow" w:hAnsi="Arial Narrow" w:cs="Calibri"/>
                <w:b/>
                <w:bCs/>
                <w:sz w:val="20"/>
                <w:szCs w:val="20"/>
              </w:rPr>
            </w:pPr>
            <w:r w:rsidRPr="004B2B19">
              <w:rPr>
                <w:rFonts w:ascii="Arial Narrow" w:hAnsi="Arial Narrow" w:cs="Calibri"/>
                <w:b/>
                <w:bCs/>
                <w:sz w:val="20"/>
                <w:szCs w:val="20"/>
              </w:rPr>
              <w:t>21.6 (-34.8, -6.7)</w:t>
            </w:r>
            <w:r w:rsidR="00662DF3" w:rsidRPr="004B2B19">
              <w:rPr>
                <w:rFonts w:ascii="Arial Narrow" w:hAnsi="Arial Narrow" w:cs="Calibri"/>
                <w:b/>
                <w:bCs/>
                <w:sz w:val="20"/>
                <w:szCs w:val="20"/>
              </w:rPr>
              <w:t xml:space="preserve"> </w:t>
            </w:r>
          </w:p>
          <w:p w14:paraId="2FD766A0" w14:textId="023D81F7" w:rsidR="003E27FE" w:rsidRPr="004B2B19" w:rsidRDefault="003E27FE" w:rsidP="004A58F3">
            <w:pPr>
              <w:keepNext/>
              <w:keepLines/>
              <w:rPr>
                <w:rFonts w:ascii="Arial Narrow" w:hAnsi="Arial Narrow" w:cs="Calibri"/>
                <w:b/>
                <w:bCs/>
                <w:sz w:val="20"/>
                <w:szCs w:val="20"/>
              </w:rPr>
            </w:pPr>
            <w:r w:rsidRPr="004B2B19">
              <w:rPr>
                <w:rFonts w:ascii="Arial Narrow" w:hAnsi="Arial Narrow" w:cs="Calibri"/>
                <w:b/>
                <w:bCs/>
                <w:sz w:val="20"/>
                <w:szCs w:val="20"/>
              </w:rPr>
              <w:t>0.005</w:t>
            </w:r>
          </w:p>
        </w:tc>
      </w:tr>
      <w:tr w:rsidR="00662DF3" w:rsidRPr="004B2B19" w14:paraId="3498A4B6" w14:textId="77777777" w:rsidTr="00D66280">
        <w:tc>
          <w:tcPr>
            <w:tcW w:w="2277" w:type="pct"/>
          </w:tcPr>
          <w:p w14:paraId="1CFBAD4E" w14:textId="2993FDB3"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50% </w:t>
            </w:r>
            <w:r w:rsidR="00040FEC" w:rsidRPr="004B2B19">
              <w:rPr>
                <w:rFonts w:ascii="Arial Narrow" w:hAnsi="Arial Narrow"/>
                <w:sz w:val="20"/>
                <w:szCs w:val="20"/>
              </w:rPr>
              <w:t xml:space="preserve">change from baseline </w:t>
            </w:r>
            <w:r w:rsidRPr="004B2B19">
              <w:rPr>
                <w:rFonts w:ascii="Arial Narrow" w:hAnsi="Arial Narrow"/>
                <w:sz w:val="20"/>
                <w:szCs w:val="20"/>
              </w:rPr>
              <w:t>in DSF, T+M</w:t>
            </w:r>
          </w:p>
          <w:p w14:paraId="7E34498C" w14:textId="77777777"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n (%)</w:t>
            </w:r>
          </w:p>
          <w:p w14:paraId="36F67340" w14:textId="77777777"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OR (95% CI)</w:t>
            </w:r>
          </w:p>
          <w:p w14:paraId="27B02D9A" w14:textId="1FCBA787" w:rsidR="00662DF3" w:rsidRPr="004B2B19" w:rsidRDefault="00A55346" w:rsidP="004A58F3">
            <w:pPr>
              <w:keepNext/>
              <w:keepLines/>
              <w:rPr>
                <w:rFonts w:ascii="Arial Narrow" w:hAnsi="Arial Narrow"/>
                <w:sz w:val="20"/>
                <w:szCs w:val="20"/>
              </w:rPr>
            </w:pPr>
            <w:r w:rsidRPr="004B2B19">
              <w:rPr>
                <w:rFonts w:ascii="Arial Narrow" w:hAnsi="Arial Narrow"/>
                <w:sz w:val="20"/>
                <w:szCs w:val="20"/>
              </w:rPr>
              <w:t>P vs placebo</w:t>
            </w:r>
          </w:p>
        </w:tc>
        <w:tc>
          <w:tcPr>
            <w:tcW w:w="864" w:type="pct"/>
          </w:tcPr>
          <w:p w14:paraId="2CD22E22" w14:textId="77777777" w:rsidR="00662DF3" w:rsidRPr="004B2B19" w:rsidRDefault="00662DF3" w:rsidP="004A58F3">
            <w:pPr>
              <w:keepNext/>
              <w:keepLines/>
              <w:rPr>
                <w:rFonts w:ascii="Arial Narrow" w:hAnsi="Arial Narrow" w:cs="Calibri"/>
                <w:sz w:val="20"/>
                <w:szCs w:val="20"/>
              </w:rPr>
            </w:pPr>
          </w:p>
          <w:p w14:paraId="0B91721A" w14:textId="3B2953B4" w:rsidR="00A55346" w:rsidRPr="004B2B19" w:rsidRDefault="00A55346" w:rsidP="004A58F3">
            <w:pPr>
              <w:keepNext/>
              <w:keepLines/>
              <w:rPr>
                <w:rFonts w:ascii="Arial Narrow" w:hAnsi="Arial Narrow" w:cs="Calibri"/>
                <w:sz w:val="20"/>
                <w:szCs w:val="20"/>
              </w:rPr>
            </w:pPr>
            <w:r w:rsidRPr="004B2B19">
              <w:rPr>
                <w:rFonts w:ascii="Arial Narrow" w:hAnsi="Arial Narrow" w:cs="Calibri"/>
                <w:sz w:val="20"/>
                <w:szCs w:val="20"/>
              </w:rPr>
              <w:t>11 (14%)</w:t>
            </w:r>
          </w:p>
          <w:p w14:paraId="042D92D2" w14:textId="77777777" w:rsidR="00662DF3" w:rsidRPr="004B2B19" w:rsidRDefault="00662DF3" w:rsidP="004A58F3">
            <w:pPr>
              <w:keepNext/>
              <w:keepLines/>
              <w:rPr>
                <w:rFonts w:ascii="Arial Narrow" w:hAnsi="Arial Narrow" w:cs="Calibri"/>
                <w:sz w:val="20"/>
                <w:szCs w:val="20"/>
              </w:rPr>
            </w:pPr>
            <w:r w:rsidRPr="004B2B19">
              <w:rPr>
                <w:rFonts w:ascii="Arial Narrow" w:hAnsi="Arial Narrow" w:cs="Calibri"/>
                <w:sz w:val="20"/>
                <w:szCs w:val="20"/>
              </w:rPr>
              <w:t>-</w:t>
            </w:r>
          </w:p>
          <w:p w14:paraId="63662F65" w14:textId="77777777" w:rsidR="00662DF3" w:rsidRPr="004B2B19" w:rsidRDefault="00662DF3"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tcPr>
          <w:p w14:paraId="62351CDE" w14:textId="77777777" w:rsidR="00662DF3" w:rsidRPr="004B2B19" w:rsidRDefault="00662DF3" w:rsidP="004A58F3">
            <w:pPr>
              <w:keepNext/>
              <w:keepLines/>
              <w:rPr>
                <w:rFonts w:ascii="Arial Narrow" w:hAnsi="Arial Narrow" w:cs="Calibri"/>
                <w:sz w:val="20"/>
                <w:szCs w:val="20"/>
              </w:rPr>
            </w:pPr>
          </w:p>
          <w:p w14:paraId="0962C732" w14:textId="2A7A2B47" w:rsidR="00662DF3" w:rsidRPr="004B2B19" w:rsidRDefault="00662DF3" w:rsidP="004A58F3">
            <w:pPr>
              <w:keepNext/>
              <w:keepLines/>
              <w:rPr>
                <w:rFonts w:ascii="Arial Narrow" w:hAnsi="Arial Narrow" w:cs="Calibri"/>
                <w:b/>
                <w:bCs/>
                <w:sz w:val="20"/>
                <w:szCs w:val="20"/>
              </w:rPr>
            </w:pPr>
            <w:r w:rsidRPr="004B2B19">
              <w:rPr>
                <w:rFonts w:ascii="Arial Narrow" w:hAnsi="Arial Narrow" w:cs="Calibri"/>
                <w:b/>
                <w:bCs/>
                <w:sz w:val="20"/>
                <w:szCs w:val="20"/>
              </w:rPr>
              <w:t>2</w:t>
            </w:r>
            <w:r w:rsidR="00A55346" w:rsidRPr="004B2B19">
              <w:rPr>
                <w:rFonts w:ascii="Arial Narrow" w:hAnsi="Arial Narrow" w:cs="Calibri"/>
                <w:b/>
                <w:bCs/>
                <w:sz w:val="20"/>
                <w:szCs w:val="20"/>
              </w:rPr>
              <w:t>6</w:t>
            </w:r>
            <w:r w:rsidRPr="004B2B19">
              <w:rPr>
                <w:rFonts w:ascii="Arial Narrow" w:hAnsi="Arial Narrow" w:cs="Calibri"/>
                <w:b/>
                <w:bCs/>
                <w:sz w:val="20"/>
                <w:szCs w:val="20"/>
              </w:rPr>
              <w:t xml:space="preserve"> (</w:t>
            </w:r>
            <w:r w:rsidR="00A55346" w:rsidRPr="004B2B19">
              <w:rPr>
                <w:rFonts w:ascii="Arial Narrow" w:hAnsi="Arial Narrow" w:cs="Calibri"/>
                <w:b/>
                <w:bCs/>
                <w:sz w:val="20"/>
                <w:szCs w:val="20"/>
              </w:rPr>
              <w:t>36</w:t>
            </w:r>
            <w:r w:rsidRPr="004B2B19">
              <w:rPr>
                <w:rFonts w:ascii="Arial Narrow" w:hAnsi="Arial Narrow" w:cs="Calibri"/>
                <w:b/>
                <w:bCs/>
                <w:sz w:val="20"/>
                <w:szCs w:val="20"/>
              </w:rPr>
              <w:t>%)</w:t>
            </w:r>
          </w:p>
          <w:p w14:paraId="2D808D5A" w14:textId="614905A9" w:rsidR="00662DF3" w:rsidRPr="004B2B19" w:rsidRDefault="00662DF3" w:rsidP="004A58F3">
            <w:pPr>
              <w:keepNext/>
              <w:keepLines/>
              <w:rPr>
                <w:rFonts w:ascii="Arial Narrow" w:hAnsi="Arial Narrow" w:cs="Calibri"/>
                <w:b/>
                <w:bCs/>
                <w:sz w:val="20"/>
                <w:szCs w:val="20"/>
              </w:rPr>
            </w:pPr>
            <w:r w:rsidRPr="004B2B19">
              <w:rPr>
                <w:rFonts w:ascii="Arial Narrow" w:hAnsi="Arial Narrow" w:cs="Calibri"/>
                <w:b/>
                <w:bCs/>
                <w:sz w:val="20"/>
                <w:szCs w:val="20"/>
              </w:rPr>
              <w:t>3.</w:t>
            </w:r>
            <w:r w:rsidR="00A55346" w:rsidRPr="004B2B19">
              <w:rPr>
                <w:rFonts w:ascii="Arial Narrow" w:hAnsi="Arial Narrow" w:cs="Calibri"/>
                <w:b/>
                <w:bCs/>
                <w:sz w:val="20"/>
                <w:szCs w:val="20"/>
              </w:rPr>
              <w:t>27</w:t>
            </w:r>
            <w:r w:rsidRPr="004B2B19">
              <w:rPr>
                <w:rFonts w:ascii="Arial Narrow" w:hAnsi="Arial Narrow" w:cs="Calibri"/>
                <w:b/>
                <w:bCs/>
                <w:sz w:val="20"/>
                <w:szCs w:val="20"/>
              </w:rPr>
              <w:t xml:space="preserve"> (1.4</w:t>
            </w:r>
            <w:r w:rsidR="00A55346" w:rsidRPr="004B2B19">
              <w:rPr>
                <w:rFonts w:ascii="Arial Narrow" w:hAnsi="Arial Narrow" w:cs="Calibri"/>
                <w:b/>
                <w:bCs/>
                <w:sz w:val="20"/>
                <w:szCs w:val="20"/>
              </w:rPr>
              <w:t>7</w:t>
            </w:r>
            <w:r w:rsidRPr="004B2B19">
              <w:rPr>
                <w:rFonts w:ascii="Arial Narrow" w:hAnsi="Arial Narrow" w:cs="Calibri"/>
                <w:b/>
                <w:bCs/>
                <w:sz w:val="20"/>
                <w:szCs w:val="20"/>
              </w:rPr>
              <w:t>, 7.</w:t>
            </w:r>
            <w:r w:rsidR="00A55346" w:rsidRPr="004B2B19">
              <w:rPr>
                <w:rFonts w:ascii="Arial Narrow" w:hAnsi="Arial Narrow" w:cs="Calibri"/>
                <w:b/>
                <w:bCs/>
                <w:sz w:val="20"/>
                <w:szCs w:val="20"/>
              </w:rPr>
              <w:t>26</w:t>
            </w:r>
            <w:r w:rsidRPr="004B2B19">
              <w:rPr>
                <w:rFonts w:ascii="Arial Narrow" w:hAnsi="Arial Narrow" w:cs="Calibri"/>
                <w:b/>
                <w:bCs/>
                <w:sz w:val="20"/>
                <w:szCs w:val="20"/>
              </w:rPr>
              <w:t>)</w:t>
            </w:r>
          </w:p>
          <w:p w14:paraId="37BB7469" w14:textId="2763EDC3" w:rsidR="00662DF3" w:rsidRPr="004B2B19" w:rsidRDefault="00662DF3" w:rsidP="004A58F3">
            <w:pPr>
              <w:keepNext/>
              <w:keepLines/>
              <w:rPr>
                <w:rFonts w:ascii="Arial Narrow" w:hAnsi="Arial Narrow" w:cs="Calibri"/>
                <w:sz w:val="20"/>
                <w:szCs w:val="20"/>
              </w:rPr>
            </w:pPr>
            <w:r w:rsidRPr="004B2B19">
              <w:rPr>
                <w:rFonts w:ascii="Arial Narrow" w:hAnsi="Arial Narrow" w:cs="Calibri"/>
                <w:b/>
                <w:bCs/>
                <w:sz w:val="20"/>
                <w:szCs w:val="20"/>
              </w:rPr>
              <w:t>0.00</w:t>
            </w:r>
            <w:r w:rsidR="00A55346" w:rsidRPr="004B2B19">
              <w:rPr>
                <w:rFonts w:ascii="Arial Narrow" w:hAnsi="Arial Narrow" w:cs="Calibri"/>
                <w:b/>
                <w:bCs/>
                <w:sz w:val="20"/>
                <w:szCs w:val="20"/>
              </w:rPr>
              <w:t>3</w:t>
            </w:r>
          </w:p>
        </w:tc>
        <w:tc>
          <w:tcPr>
            <w:tcW w:w="916" w:type="pct"/>
          </w:tcPr>
          <w:p w14:paraId="1708CC60" w14:textId="77777777" w:rsidR="00845CBB" w:rsidRPr="004B2B19" w:rsidRDefault="00845CBB" w:rsidP="004A58F3">
            <w:pPr>
              <w:keepNext/>
              <w:keepLines/>
              <w:rPr>
                <w:rFonts w:ascii="Arial Narrow" w:hAnsi="Arial Narrow" w:cs="Calibri"/>
                <w:b/>
                <w:bCs/>
                <w:sz w:val="20"/>
                <w:szCs w:val="20"/>
              </w:rPr>
            </w:pPr>
          </w:p>
          <w:p w14:paraId="04FBA7E1" w14:textId="36F2ADF8" w:rsidR="00662DF3" w:rsidRPr="004B2B19" w:rsidRDefault="00E67999" w:rsidP="004A58F3">
            <w:pPr>
              <w:keepNext/>
              <w:keepLines/>
              <w:rPr>
                <w:rFonts w:ascii="Arial Narrow" w:hAnsi="Arial Narrow" w:cs="Calibri"/>
                <w:b/>
                <w:bCs/>
                <w:sz w:val="20"/>
                <w:szCs w:val="20"/>
              </w:rPr>
            </w:pPr>
            <w:r w:rsidRPr="004B2B19">
              <w:rPr>
                <w:rFonts w:ascii="Arial Narrow" w:hAnsi="Arial Narrow" w:cs="Calibri"/>
                <w:b/>
                <w:bCs/>
                <w:sz w:val="20"/>
                <w:szCs w:val="20"/>
              </w:rPr>
              <w:t>30</w:t>
            </w:r>
            <w:r w:rsidR="00662DF3" w:rsidRPr="004B2B19">
              <w:rPr>
                <w:rFonts w:ascii="Arial Narrow" w:hAnsi="Arial Narrow" w:cs="Calibri"/>
                <w:b/>
                <w:bCs/>
                <w:sz w:val="20"/>
                <w:szCs w:val="20"/>
              </w:rPr>
              <w:t xml:space="preserve"> (</w:t>
            </w:r>
            <w:r w:rsidRPr="004B2B19">
              <w:rPr>
                <w:rFonts w:ascii="Arial Narrow" w:hAnsi="Arial Narrow" w:cs="Calibri"/>
                <w:b/>
                <w:bCs/>
                <w:sz w:val="20"/>
                <w:szCs w:val="20"/>
              </w:rPr>
              <w:t>39</w:t>
            </w:r>
            <w:r w:rsidR="00662DF3" w:rsidRPr="004B2B19">
              <w:rPr>
                <w:rFonts w:ascii="Arial Narrow" w:hAnsi="Arial Narrow" w:cs="Calibri"/>
                <w:b/>
                <w:bCs/>
                <w:sz w:val="20"/>
                <w:szCs w:val="20"/>
              </w:rPr>
              <w:t>%)</w:t>
            </w:r>
          </w:p>
          <w:p w14:paraId="456410F8" w14:textId="77E20916" w:rsidR="00662DF3" w:rsidRPr="004B2B19" w:rsidRDefault="00E67999" w:rsidP="004A58F3">
            <w:pPr>
              <w:keepNext/>
              <w:keepLines/>
              <w:rPr>
                <w:rFonts w:ascii="Arial Narrow" w:hAnsi="Arial Narrow" w:cs="Calibri"/>
                <w:b/>
                <w:bCs/>
                <w:sz w:val="20"/>
                <w:szCs w:val="20"/>
              </w:rPr>
            </w:pPr>
            <w:r w:rsidRPr="004B2B19">
              <w:rPr>
                <w:rFonts w:ascii="Arial Narrow" w:hAnsi="Arial Narrow" w:cs="Calibri"/>
                <w:b/>
                <w:bCs/>
                <w:sz w:val="20"/>
                <w:szCs w:val="20"/>
              </w:rPr>
              <w:t>3.85 (1.75, 8.47)</w:t>
            </w:r>
          </w:p>
          <w:p w14:paraId="2AEBD6B5" w14:textId="76AD89D4" w:rsidR="00662DF3" w:rsidRPr="004B2B19" w:rsidRDefault="00E67999" w:rsidP="004A58F3">
            <w:pPr>
              <w:keepNext/>
              <w:keepLines/>
              <w:rPr>
                <w:rFonts w:ascii="Arial Narrow" w:hAnsi="Arial Narrow" w:cs="Calibri"/>
                <w:b/>
                <w:bCs/>
                <w:sz w:val="20"/>
                <w:szCs w:val="20"/>
              </w:rPr>
            </w:pPr>
            <w:r w:rsidRPr="004B2B19">
              <w:rPr>
                <w:rFonts w:ascii="Arial Narrow" w:hAnsi="Arial Narrow" w:cs="Calibri"/>
                <w:b/>
                <w:bCs/>
                <w:sz w:val="20"/>
                <w:szCs w:val="20"/>
              </w:rPr>
              <w:t>&lt;0.001</w:t>
            </w:r>
          </w:p>
        </w:tc>
      </w:tr>
      <w:tr w:rsidR="00662DF3" w:rsidRPr="004B2B19" w14:paraId="6266B25D" w14:textId="77777777" w:rsidTr="00D66280">
        <w:tc>
          <w:tcPr>
            <w:tcW w:w="2277" w:type="pct"/>
          </w:tcPr>
          <w:p w14:paraId="5EF3B47B" w14:textId="55763F08"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25% </w:t>
            </w:r>
            <w:r w:rsidR="00845362" w:rsidRPr="004B2B19">
              <w:rPr>
                <w:rFonts w:ascii="Arial Narrow" w:hAnsi="Arial Narrow"/>
                <w:sz w:val="20"/>
                <w:szCs w:val="20"/>
              </w:rPr>
              <w:t>change from baseline</w:t>
            </w:r>
            <w:r w:rsidRPr="004B2B19">
              <w:rPr>
                <w:rFonts w:ascii="Arial Narrow" w:hAnsi="Arial Narrow"/>
                <w:sz w:val="20"/>
                <w:szCs w:val="20"/>
              </w:rPr>
              <w:t xml:space="preserve"> in DSF, T+M</w:t>
            </w:r>
          </w:p>
          <w:p w14:paraId="465FAEC5" w14:textId="77777777"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n (%)</w:t>
            </w:r>
          </w:p>
          <w:p w14:paraId="7B8C58CD" w14:textId="5D532E88"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OR (95% CI)</w:t>
            </w:r>
          </w:p>
        </w:tc>
        <w:tc>
          <w:tcPr>
            <w:tcW w:w="864" w:type="pct"/>
          </w:tcPr>
          <w:p w14:paraId="5237B04D" w14:textId="77777777" w:rsidR="00662DF3" w:rsidRPr="004B2B19" w:rsidRDefault="00662DF3" w:rsidP="004A58F3">
            <w:pPr>
              <w:keepNext/>
              <w:keepLines/>
              <w:rPr>
                <w:rFonts w:ascii="Arial Narrow" w:hAnsi="Arial Narrow" w:cs="Calibri"/>
                <w:sz w:val="20"/>
                <w:szCs w:val="20"/>
              </w:rPr>
            </w:pPr>
          </w:p>
          <w:p w14:paraId="0258792D" w14:textId="77777777" w:rsidR="00662DF3" w:rsidRPr="004B2B19" w:rsidRDefault="00A55346" w:rsidP="004A58F3">
            <w:pPr>
              <w:keepNext/>
              <w:keepLines/>
              <w:rPr>
                <w:rFonts w:ascii="Arial Narrow" w:hAnsi="Arial Narrow" w:cs="Calibri"/>
                <w:sz w:val="20"/>
                <w:szCs w:val="20"/>
              </w:rPr>
            </w:pPr>
            <w:r w:rsidRPr="004B2B19">
              <w:rPr>
                <w:rFonts w:ascii="Arial Narrow" w:hAnsi="Arial Narrow" w:cs="Calibri"/>
                <w:sz w:val="20"/>
                <w:szCs w:val="20"/>
              </w:rPr>
              <w:t>33 (43.4%)</w:t>
            </w:r>
          </w:p>
          <w:p w14:paraId="2ADCF218" w14:textId="5425130A" w:rsidR="00A55346" w:rsidRPr="004B2B19" w:rsidRDefault="00A55346"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tcPr>
          <w:p w14:paraId="794042A1" w14:textId="77777777" w:rsidR="00662DF3" w:rsidRPr="004B2B19" w:rsidRDefault="00662DF3" w:rsidP="004A58F3">
            <w:pPr>
              <w:keepNext/>
              <w:keepLines/>
              <w:rPr>
                <w:rFonts w:ascii="Arial Narrow" w:hAnsi="Arial Narrow" w:cs="Calibri"/>
                <w:sz w:val="20"/>
                <w:szCs w:val="20"/>
              </w:rPr>
            </w:pPr>
          </w:p>
          <w:p w14:paraId="21CE1D3C" w14:textId="77777777" w:rsidR="00662DF3" w:rsidRPr="004B2B19" w:rsidRDefault="00A55346" w:rsidP="004A58F3">
            <w:pPr>
              <w:keepNext/>
              <w:keepLines/>
              <w:rPr>
                <w:rFonts w:ascii="Arial Narrow" w:hAnsi="Arial Narrow" w:cs="Calibri"/>
                <w:b/>
                <w:bCs/>
                <w:sz w:val="20"/>
                <w:szCs w:val="20"/>
              </w:rPr>
            </w:pPr>
            <w:r w:rsidRPr="004B2B19">
              <w:rPr>
                <w:rFonts w:ascii="Arial Narrow" w:hAnsi="Arial Narrow" w:cs="Calibri"/>
                <w:b/>
                <w:bCs/>
                <w:sz w:val="20"/>
                <w:szCs w:val="20"/>
              </w:rPr>
              <w:t>46 (63%)</w:t>
            </w:r>
          </w:p>
          <w:p w14:paraId="4F1A52C5" w14:textId="3D36A7AD" w:rsidR="00A55346" w:rsidRPr="004B2B19" w:rsidRDefault="00A55346" w:rsidP="004A58F3">
            <w:pPr>
              <w:keepNext/>
              <w:keepLines/>
              <w:rPr>
                <w:rFonts w:ascii="Arial Narrow" w:hAnsi="Arial Narrow" w:cs="Calibri"/>
                <w:b/>
                <w:bCs/>
                <w:sz w:val="20"/>
                <w:szCs w:val="20"/>
              </w:rPr>
            </w:pPr>
            <w:r w:rsidRPr="004B2B19">
              <w:rPr>
                <w:rFonts w:ascii="Arial Narrow" w:hAnsi="Arial Narrow" w:cs="Calibri"/>
                <w:b/>
                <w:bCs/>
                <w:sz w:val="20"/>
                <w:szCs w:val="20"/>
              </w:rPr>
              <w:t>2.22 (1.15, 4.28)</w:t>
            </w:r>
          </w:p>
        </w:tc>
        <w:tc>
          <w:tcPr>
            <w:tcW w:w="916" w:type="pct"/>
          </w:tcPr>
          <w:p w14:paraId="3FE63BC3" w14:textId="77777777" w:rsidR="00662DF3" w:rsidRPr="004B2B19" w:rsidRDefault="00662DF3" w:rsidP="004A58F3">
            <w:pPr>
              <w:keepNext/>
              <w:keepLines/>
              <w:rPr>
                <w:rFonts w:ascii="Arial Narrow" w:hAnsi="Arial Narrow" w:cs="Calibri"/>
                <w:sz w:val="20"/>
                <w:szCs w:val="20"/>
              </w:rPr>
            </w:pPr>
          </w:p>
          <w:p w14:paraId="0EC60C50" w14:textId="76742867" w:rsidR="00662DF3" w:rsidRPr="004B2B19" w:rsidRDefault="00A55346" w:rsidP="004A58F3">
            <w:pPr>
              <w:keepNext/>
              <w:keepLines/>
              <w:rPr>
                <w:rFonts w:ascii="Arial Narrow" w:hAnsi="Arial Narrow" w:cs="Calibri"/>
                <w:b/>
                <w:bCs/>
                <w:sz w:val="20"/>
                <w:szCs w:val="20"/>
              </w:rPr>
            </w:pPr>
            <w:r w:rsidRPr="004B2B19">
              <w:rPr>
                <w:rFonts w:ascii="Arial Narrow" w:hAnsi="Arial Narrow" w:cs="Calibri"/>
                <w:b/>
                <w:bCs/>
                <w:sz w:val="20"/>
                <w:szCs w:val="20"/>
              </w:rPr>
              <w:t>47 (61.8%)</w:t>
            </w:r>
          </w:p>
          <w:p w14:paraId="5ED31202" w14:textId="3272F5A6" w:rsidR="00662DF3" w:rsidRPr="004B2B19" w:rsidRDefault="00A55346" w:rsidP="004A58F3">
            <w:pPr>
              <w:keepNext/>
              <w:keepLines/>
              <w:rPr>
                <w:rFonts w:ascii="Arial Narrow" w:hAnsi="Arial Narrow" w:cs="Calibri"/>
                <w:b/>
                <w:bCs/>
                <w:sz w:val="20"/>
                <w:szCs w:val="20"/>
              </w:rPr>
            </w:pPr>
            <w:r w:rsidRPr="004B2B19">
              <w:rPr>
                <w:rFonts w:ascii="Arial Narrow" w:hAnsi="Arial Narrow" w:cs="Calibri"/>
                <w:b/>
                <w:bCs/>
                <w:sz w:val="20"/>
                <w:szCs w:val="20"/>
              </w:rPr>
              <w:t>2.11 (1.10, 4.04)</w:t>
            </w:r>
          </w:p>
        </w:tc>
      </w:tr>
      <w:tr w:rsidR="00662DF3" w:rsidRPr="004B2B19" w14:paraId="689815B9" w14:textId="77777777" w:rsidTr="00D66280">
        <w:tc>
          <w:tcPr>
            <w:tcW w:w="2277" w:type="pct"/>
          </w:tcPr>
          <w:p w14:paraId="18D5793F" w14:textId="7FED6C0D"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75% </w:t>
            </w:r>
            <w:r w:rsidR="00845362" w:rsidRPr="004B2B19">
              <w:rPr>
                <w:rFonts w:ascii="Arial Narrow" w:hAnsi="Arial Narrow"/>
                <w:sz w:val="20"/>
                <w:szCs w:val="20"/>
              </w:rPr>
              <w:t>change from baseline</w:t>
            </w:r>
            <w:r w:rsidRPr="004B2B19">
              <w:rPr>
                <w:rFonts w:ascii="Arial Narrow" w:hAnsi="Arial Narrow"/>
                <w:sz w:val="20"/>
                <w:szCs w:val="20"/>
              </w:rPr>
              <w:t xml:space="preserve"> in DSF, T+M</w:t>
            </w:r>
          </w:p>
          <w:p w14:paraId="50992919" w14:textId="77777777"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n (%)</w:t>
            </w:r>
          </w:p>
          <w:p w14:paraId="58E8FCEE" w14:textId="35EA272C" w:rsidR="00662DF3" w:rsidRPr="004B2B19" w:rsidRDefault="00662DF3" w:rsidP="004A58F3">
            <w:pPr>
              <w:keepNext/>
              <w:keepLines/>
              <w:rPr>
                <w:rFonts w:ascii="Arial Narrow" w:hAnsi="Arial Narrow"/>
                <w:sz w:val="20"/>
                <w:szCs w:val="20"/>
              </w:rPr>
            </w:pPr>
            <w:r w:rsidRPr="004B2B19">
              <w:rPr>
                <w:rFonts w:ascii="Arial Narrow" w:hAnsi="Arial Narrow"/>
                <w:sz w:val="20"/>
                <w:szCs w:val="20"/>
              </w:rPr>
              <w:t>OR (95% CI)</w:t>
            </w:r>
          </w:p>
        </w:tc>
        <w:tc>
          <w:tcPr>
            <w:tcW w:w="864" w:type="pct"/>
          </w:tcPr>
          <w:p w14:paraId="7D3C2CFE" w14:textId="77777777" w:rsidR="00662DF3" w:rsidRPr="004B2B19" w:rsidRDefault="00662DF3" w:rsidP="004A58F3">
            <w:pPr>
              <w:keepNext/>
              <w:keepLines/>
              <w:rPr>
                <w:rFonts w:ascii="Arial Narrow" w:hAnsi="Arial Narrow" w:cs="Calibri"/>
                <w:sz w:val="20"/>
                <w:szCs w:val="20"/>
              </w:rPr>
            </w:pPr>
          </w:p>
          <w:p w14:paraId="27D19E88" w14:textId="1BE52AFA" w:rsidR="00662DF3" w:rsidRPr="004B2B19" w:rsidRDefault="00A55346" w:rsidP="004A58F3">
            <w:pPr>
              <w:keepNext/>
              <w:keepLines/>
              <w:rPr>
                <w:rFonts w:ascii="Arial Narrow" w:hAnsi="Arial Narrow" w:cs="Calibri"/>
                <w:sz w:val="20"/>
                <w:szCs w:val="20"/>
              </w:rPr>
            </w:pPr>
            <w:r w:rsidRPr="004B2B19">
              <w:rPr>
                <w:rFonts w:ascii="Arial Narrow" w:hAnsi="Arial Narrow" w:cs="Calibri"/>
                <w:sz w:val="20"/>
                <w:szCs w:val="20"/>
              </w:rPr>
              <w:t>2 (2.6%)</w:t>
            </w:r>
          </w:p>
          <w:p w14:paraId="49F538C7" w14:textId="1FFC83F5" w:rsidR="00662DF3" w:rsidRPr="004B2B19" w:rsidRDefault="00662DF3"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tcPr>
          <w:p w14:paraId="5F9001A8" w14:textId="77777777" w:rsidR="00662DF3" w:rsidRPr="004B2B19" w:rsidRDefault="00662DF3" w:rsidP="004A58F3">
            <w:pPr>
              <w:keepNext/>
              <w:keepLines/>
              <w:rPr>
                <w:rFonts w:ascii="Arial Narrow" w:hAnsi="Arial Narrow" w:cs="Calibri"/>
                <w:sz w:val="20"/>
                <w:szCs w:val="20"/>
              </w:rPr>
            </w:pPr>
          </w:p>
          <w:p w14:paraId="393F3F2E" w14:textId="51400284" w:rsidR="00662DF3" w:rsidRPr="004B2B19" w:rsidRDefault="00A55346" w:rsidP="004A58F3">
            <w:pPr>
              <w:keepNext/>
              <w:keepLines/>
              <w:rPr>
                <w:rFonts w:ascii="Arial Narrow" w:hAnsi="Arial Narrow" w:cs="Calibri"/>
                <w:sz w:val="20"/>
                <w:szCs w:val="20"/>
              </w:rPr>
            </w:pPr>
            <w:r w:rsidRPr="004B2B19">
              <w:rPr>
                <w:rFonts w:ascii="Arial Narrow" w:hAnsi="Arial Narrow" w:cs="Calibri"/>
                <w:sz w:val="20"/>
                <w:szCs w:val="20"/>
              </w:rPr>
              <w:t>8 (11.0%)</w:t>
            </w:r>
          </w:p>
          <w:p w14:paraId="01159948" w14:textId="3AA82225" w:rsidR="00662DF3" w:rsidRPr="004B2B19" w:rsidRDefault="00A55346" w:rsidP="004A58F3">
            <w:pPr>
              <w:keepNext/>
              <w:keepLines/>
              <w:rPr>
                <w:rFonts w:ascii="Arial Narrow" w:hAnsi="Arial Narrow" w:cs="Calibri"/>
                <w:sz w:val="20"/>
                <w:szCs w:val="20"/>
              </w:rPr>
            </w:pPr>
            <w:r w:rsidRPr="004B2B19">
              <w:rPr>
                <w:rFonts w:ascii="Arial Narrow" w:hAnsi="Arial Narrow" w:cs="Calibri"/>
                <w:sz w:val="20"/>
                <w:szCs w:val="20"/>
              </w:rPr>
              <w:t>4.55 (0.93, 22.2)</w:t>
            </w:r>
          </w:p>
        </w:tc>
        <w:tc>
          <w:tcPr>
            <w:tcW w:w="916" w:type="pct"/>
          </w:tcPr>
          <w:p w14:paraId="34A62092" w14:textId="77777777" w:rsidR="00662DF3" w:rsidRPr="004B2B19" w:rsidRDefault="00662DF3" w:rsidP="004A58F3">
            <w:pPr>
              <w:keepNext/>
              <w:keepLines/>
              <w:rPr>
                <w:rFonts w:ascii="Arial Narrow" w:hAnsi="Arial Narrow" w:cs="Calibri"/>
                <w:sz w:val="20"/>
                <w:szCs w:val="20"/>
              </w:rPr>
            </w:pPr>
          </w:p>
          <w:p w14:paraId="7801C33B" w14:textId="1352FC89" w:rsidR="00662DF3" w:rsidRPr="004B2B19" w:rsidRDefault="00A55346" w:rsidP="004A58F3">
            <w:pPr>
              <w:keepNext/>
              <w:keepLines/>
              <w:rPr>
                <w:rFonts w:ascii="Arial Narrow" w:hAnsi="Arial Narrow" w:cs="Calibri"/>
                <w:b/>
                <w:bCs/>
                <w:sz w:val="20"/>
                <w:szCs w:val="20"/>
              </w:rPr>
            </w:pPr>
            <w:r w:rsidRPr="004B2B19">
              <w:rPr>
                <w:rFonts w:ascii="Arial Narrow" w:hAnsi="Arial Narrow" w:cs="Calibri"/>
                <w:b/>
                <w:bCs/>
                <w:sz w:val="20"/>
                <w:szCs w:val="20"/>
              </w:rPr>
              <w:t>19 (25.0%)</w:t>
            </w:r>
          </w:p>
          <w:p w14:paraId="32BF1BBE" w14:textId="50A3FA6C" w:rsidR="00662DF3" w:rsidRPr="004B2B19" w:rsidRDefault="00A55346" w:rsidP="004A58F3">
            <w:pPr>
              <w:keepNext/>
              <w:keepLines/>
              <w:rPr>
                <w:rFonts w:ascii="Arial Narrow" w:hAnsi="Arial Narrow" w:cs="Calibri"/>
                <w:sz w:val="20"/>
                <w:szCs w:val="20"/>
              </w:rPr>
            </w:pPr>
            <w:r w:rsidRPr="004B2B19">
              <w:rPr>
                <w:rFonts w:ascii="Arial Narrow" w:hAnsi="Arial Narrow" w:cs="Calibri"/>
                <w:b/>
                <w:bCs/>
                <w:sz w:val="20"/>
                <w:szCs w:val="20"/>
              </w:rPr>
              <w:t>12.33 (2.76, 55.1)</w:t>
            </w:r>
          </w:p>
        </w:tc>
      </w:tr>
      <w:tr w:rsidR="00EA78EA" w:rsidRPr="004B2B19" w14:paraId="524BC87B" w14:textId="77777777" w:rsidTr="00D66280">
        <w:tc>
          <w:tcPr>
            <w:tcW w:w="2277" w:type="pct"/>
          </w:tcPr>
          <w:p w14:paraId="64103E3F" w14:textId="77777777" w:rsidR="00EA78EA" w:rsidRPr="004B2B19" w:rsidRDefault="00EA78EA" w:rsidP="004A58F3">
            <w:pPr>
              <w:keepNext/>
              <w:keepLines/>
              <w:jc w:val="left"/>
              <w:rPr>
                <w:rFonts w:ascii="Arial Narrow" w:hAnsi="Arial Narrow"/>
                <w:sz w:val="20"/>
                <w:szCs w:val="20"/>
              </w:rPr>
            </w:pPr>
            <w:r w:rsidRPr="004B2B19">
              <w:rPr>
                <w:rFonts w:ascii="Arial Narrow" w:hAnsi="Arial Narrow"/>
                <w:sz w:val="20"/>
                <w:szCs w:val="20"/>
              </w:rPr>
              <w:t>CGI Much Improved or Very Much Improved at end of T+M, parent/caregiver rating</w:t>
            </w:r>
          </w:p>
          <w:p w14:paraId="035771BD" w14:textId="177092E7" w:rsidR="00EA78EA" w:rsidRPr="004B2B19" w:rsidRDefault="00EA78EA" w:rsidP="004A58F3">
            <w:pPr>
              <w:keepNext/>
              <w:keepLines/>
              <w:rPr>
                <w:rFonts w:ascii="Arial Narrow" w:hAnsi="Arial Narrow"/>
                <w:sz w:val="20"/>
                <w:szCs w:val="20"/>
              </w:rPr>
            </w:pPr>
            <w:r w:rsidRPr="004B2B19">
              <w:rPr>
                <w:rFonts w:ascii="Arial Narrow" w:hAnsi="Arial Narrow"/>
                <w:sz w:val="20"/>
                <w:szCs w:val="20"/>
              </w:rPr>
              <w:t>n (%)</w:t>
            </w:r>
          </w:p>
        </w:tc>
        <w:tc>
          <w:tcPr>
            <w:tcW w:w="864" w:type="pct"/>
          </w:tcPr>
          <w:p w14:paraId="0A756300" w14:textId="77777777" w:rsidR="00EA78EA" w:rsidRPr="004B2B19" w:rsidRDefault="00EA78EA" w:rsidP="004A58F3">
            <w:pPr>
              <w:keepNext/>
              <w:keepLines/>
              <w:rPr>
                <w:rFonts w:ascii="Arial Narrow" w:hAnsi="Arial Narrow" w:cs="Calibri"/>
                <w:sz w:val="20"/>
                <w:szCs w:val="20"/>
              </w:rPr>
            </w:pPr>
          </w:p>
          <w:p w14:paraId="54639FC3" w14:textId="77777777" w:rsidR="00EA78EA" w:rsidRPr="004B2B19" w:rsidRDefault="00EA78EA" w:rsidP="004A58F3">
            <w:pPr>
              <w:keepNext/>
              <w:keepLines/>
              <w:rPr>
                <w:rFonts w:ascii="Arial Narrow" w:hAnsi="Arial Narrow" w:cs="Calibri"/>
                <w:sz w:val="20"/>
                <w:szCs w:val="20"/>
              </w:rPr>
            </w:pPr>
          </w:p>
          <w:p w14:paraId="1E76266A" w14:textId="5C5581D6" w:rsidR="00EA78EA" w:rsidRPr="004B2B19" w:rsidRDefault="00EA78EA" w:rsidP="004A58F3">
            <w:pPr>
              <w:keepNext/>
              <w:keepLines/>
              <w:rPr>
                <w:rFonts w:ascii="Arial Narrow" w:hAnsi="Arial Narrow" w:cs="Calibri"/>
                <w:sz w:val="20"/>
                <w:szCs w:val="20"/>
              </w:rPr>
            </w:pPr>
            <w:r w:rsidRPr="004B2B19">
              <w:rPr>
                <w:rFonts w:ascii="Arial Narrow" w:hAnsi="Arial Narrow" w:cs="Calibri"/>
                <w:sz w:val="20"/>
                <w:szCs w:val="20"/>
              </w:rPr>
              <w:t>9 (12%)</w:t>
            </w:r>
          </w:p>
        </w:tc>
        <w:tc>
          <w:tcPr>
            <w:tcW w:w="943" w:type="pct"/>
          </w:tcPr>
          <w:p w14:paraId="67B14488" w14:textId="77777777" w:rsidR="00EA78EA" w:rsidRPr="004B2B19" w:rsidRDefault="00EA78EA" w:rsidP="004A58F3">
            <w:pPr>
              <w:keepNext/>
              <w:keepLines/>
              <w:rPr>
                <w:rFonts w:ascii="Arial Narrow" w:hAnsi="Arial Narrow" w:cs="Calibri"/>
                <w:sz w:val="20"/>
                <w:szCs w:val="20"/>
              </w:rPr>
            </w:pPr>
          </w:p>
          <w:p w14:paraId="169F0055" w14:textId="77777777" w:rsidR="00EA78EA" w:rsidRPr="004B2B19" w:rsidRDefault="00EA78EA" w:rsidP="004A58F3">
            <w:pPr>
              <w:keepNext/>
              <w:keepLines/>
              <w:rPr>
                <w:rFonts w:ascii="Arial Narrow" w:hAnsi="Arial Narrow" w:cs="Calibri"/>
                <w:sz w:val="20"/>
                <w:szCs w:val="20"/>
              </w:rPr>
            </w:pPr>
          </w:p>
          <w:p w14:paraId="0EFD2095" w14:textId="5B3D413A" w:rsidR="00EA78EA" w:rsidRPr="004B2B19" w:rsidRDefault="00EA78EA" w:rsidP="004A58F3">
            <w:pPr>
              <w:keepNext/>
              <w:keepLines/>
              <w:rPr>
                <w:rFonts w:ascii="Arial Narrow" w:hAnsi="Arial Narrow" w:cs="Calibri"/>
                <w:b/>
                <w:bCs/>
                <w:sz w:val="20"/>
                <w:szCs w:val="20"/>
              </w:rPr>
            </w:pPr>
            <w:r w:rsidRPr="004B2B19">
              <w:rPr>
                <w:rFonts w:ascii="Arial Narrow" w:hAnsi="Arial Narrow" w:cs="Calibri"/>
                <w:sz w:val="20"/>
                <w:szCs w:val="20"/>
              </w:rPr>
              <w:t>23 (31.5%)</w:t>
            </w:r>
          </w:p>
        </w:tc>
        <w:tc>
          <w:tcPr>
            <w:tcW w:w="916" w:type="pct"/>
          </w:tcPr>
          <w:p w14:paraId="60FAAA22" w14:textId="77777777" w:rsidR="00EA78EA" w:rsidRPr="004B2B19" w:rsidRDefault="00EA78EA" w:rsidP="004A58F3">
            <w:pPr>
              <w:keepNext/>
              <w:keepLines/>
              <w:rPr>
                <w:rFonts w:ascii="Arial Narrow" w:hAnsi="Arial Narrow" w:cs="Calibri"/>
                <w:sz w:val="20"/>
                <w:szCs w:val="20"/>
              </w:rPr>
            </w:pPr>
          </w:p>
          <w:p w14:paraId="0B5DB6E4" w14:textId="77777777" w:rsidR="00EA78EA" w:rsidRPr="004B2B19" w:rsidRDefault="00EA78EA" w:rsidP="004A58F3">
            <w:pPr>
              <w:keepNext/>
              <w:keepLines/>
              <w:rPr>
                <w:rFonts w:ascii="Arial Narrow" w:hAnsi="Arial Narrow" w:cs="Calibri"/>
                <w:sz w:val="20"/>
                <w:szCs w:val="20"/>
              </w:rPr>
            </w:pPr>
          </w:p>
          <w:p w14:paraId="097E6DED" w14:textId="0317AC30" w:rsidR="00EA78EA" w:rsidRPr="004B2B19" w:rsidRDefault="00EA78EA" w:rsidP="004A58F3">
            <w:pPr>
              <w:keepNext/>
              <w:keepLines/>
              <w:rPr>
                <w:rFonts w:ascii="Arial Narrow" w:hAnsi="Arial Narrow" w:cs="Calibri"/>
                <w:b/>
                <w:bCs/>
                <w:sz w:val="20"/>
                <w:szCs w:val="20"/>
              </w:rPr>
            </w:pPr>
            <w:r w:rsidRPr="004B2B19">
              <w:rPr>
                <w:rFonts w:ascii="Arial Narrow" w:hAnsi="Arial Narrow" w:cs="Calibri"/>
                <w:sz w:val="20"/>
                <w:szCs w:val="20"/>
              </w:rPr>
              <w:t>21 (28%)</w:t>
            </w:r>
          </w:p>
        </w:tc>
      </w:tr>
      <w:tr w:rsidR="00725200" w:rsidRPr="004B2B19" w14:paraId="0492C87A" w14:textId="77777777" w:rsidTr="00725200">
        <w:tc>
          <w:tcPr>
            <w:tcW w:w="5000" w:type="pct"/>
            <w:gridSpan w:val="4"/>
          </w:tcPr>
          <w:p w14:paraId="1C36FCF3" w14:textId="4F05BCEE" w:rsidR="00725200" w:rsidRPr="004B2B19" w:rsidRDefault="00725200" w:rsidP="00F85E04">
            <w:pPr>
              <w:keepNext/>
              <w:keepLines/>
              <w:jc w:val="left"/>
              <w:rPr>
                <w:rFonts w:ascii="Arial Narrow" w:hAnsi="Arial Narrow" w:cs="Calibri"/>
                <w:b/>
                <w:bCs/>
                <w:sz w:val="20"/>
                <w:szCs w:val="20"/>
              </w:rPr>
            </w:pPr>
            <w:r w:rsidRPr="004B2B19">
              <w:rPr>
                <w:rFonts w:ascii="Arial Narrow" w:hAnsi="Arial Narrow" w:cs="Calibri"/>
                <w:b/>
                <w:bCs/>
                <w:sz w:val="20"/>
                <w:szCs w:val="20"/>
              </w:rPr>
              <w:t>GWPCARE4</w:t>
            </w:r>
          </w:p>
        </w:tc>
      </w:tr>
      <w:tr w:rsidR="00466119" w:rsidRPr="004B2B19" w14:paraId="01964AE9" w14:textId="77777777" w:rsidTr="00D66280">
        <w:tc>
          <w:tcPr>
            <w:tcW w:w="2277" w:type="pct"/>
          </w:tcPr>
          <w:p w14:paraId="00C8ABC5"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BL DSF, events per 28 days</w:t>
            </w:r>
          </w:p>
          <w:p w14:paraId="23C20053" w14:textId="2D72421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Median (IQR)</w:t>
            </w:r>
          </w:p>
        </w:tc>
        <w:tc>
          <w:tcPr>
            <w:tcW w:w="864" w:type="pct"/>
          </w:tcPr>
          <w:p w14:paraId="40F474BD" w14:textId="77777777" w:rsidR="00A951E5" w:rsidRPr="004B2B19" w:rsidRDefault="00A951E5" w:rsidP="004A58F3">
            <w:pPr>
              <w:keepNext/>
              <w:keepLines/>
              <w:rPr>
                <w:rFonts w:ascii="Arial Narrow" w:hAnsi="Arial Narrow" w:cs="Calibri"/>
                <w:sz w:val="20"/>
                <w:szCs w:val="20"/>
              </w:rPr>
            </w:pPr>
          </w:p>
          <w:p w14:paraId="64932B6B" w14:textId="5C86F86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74.7 (47.3, 144.0)</w:t>
            </w:r>
          </w:p>
        </w:tc>
        <w:tc>
          <w:tcPr>
            <w:tcW w:w="943" w:type="pct"/>
            <w:vMerge w:val="restart"/>
          </w:tcPr>
          <w:p w14:paraId="7CF59BB5" w14:textId="4DC27D82"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NA</w:t>
            </w:r>
          </w:p>
        </w:tc>
        <w:tc>
          <w:tcPr>
            <w:tcW w:w="916" w:type="pct"/>
          </w:tcPr>
          <w:p w14:paraId="1B442F45" w14:textId="77777777" w:rsidR="00A951E5" w:rsidRPr="004B2B19" w:rsidRDefault="00A951E5" w:rsidP="004A58F3">
            <w:pPr>
              <w:keepNext/>
              <w:keepLines/>
              <w:rPr>
                <w:rFonts w:ascii="Arial Narrow" w:hAnsi="Arial Narrow" w:cs="Calibri"/>
                <w:sz w:val="20"/>
                <w:szCs w:val="20"/>
              </w:rPr>
            </w:pPr>
          </w:p>
          <w:p w14:paraId="756367E9" w14:textId="7D2F5105"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71.4 (27.0, 156.0)</w:t>
            </w:r>
          </w:p>
        </w:tc>
      </w:tr>
      <w:tr w:rsidR="00466119" w:rsidRPr="004B2B19" w14:paraId="13763AB7" w14:textId="77777777" w:rsidTr="00D66280">
        <w:tc>
          <w:tcPr>
            <w:tcW w:w="2277" w:type="pct"/>
          </w:tcPr>
          <w:p w14:paraId="41C00CF6" w14:textId="6FDAA58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 xml:space="preserve">% </w:t>
            </w:r>
            <w:r w:rsidR="00845362" w:rsidRPr="004B2B19">
              <w:rPr>
                <w:rFonts w:ascii="Arial Narrow" w:hAnsi="Arial Narrow"/>
                <w:sz w:val="20"/>
                <w:szCs w:val="20"/>
              </w:rPr>
              <w:t>change from baseline</w:t>
            </w:r>
            <w:r w:rsidRPr="004B2B19">
              <w:rPr>
                <w:rFonts w:ascii="Arial Narrow" w:hAnsi="Arial Narrow"/>
                <w:sz w:val="20"/>
                <w:szCs w:val="20"/>
              </w:rPr>
              <w:t xml:space="preserve"> in DSF, T+M, median</w:t>
            </w:r>
          </w:p>
        </w:tc>
        <w:tc>
          <w:tcPr>
            <w:tcW w:w="864" w:type="pct"/>
          </w:tcPr>
          <w:p w14:paraId="7FBE0FE8" w14:textId="0560082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21.8</w:t>
            </w:r>
          </w:p>
        </w:tc>
        <w:tc>
          <w:tcPr>
            <w:tcW w:w="943" w:type="pct"/>
            <w:vMerge/>
          </w:tcPr>
          <w:p w14:paraId="39752F9E" w14:textId="77777777" w:rsidR="00466119" w:rsidRPr="004B2B19" w:rsidRDefault="00466119" w:rsidP="004A58F3">
            <w:pPr>
              <w:keepNext/>
              <w:keepLines/>
              <w:rPr>
                <w:rFonts w:ascii="Arial Narrow" w:hAnsi="Arial Narrow" w:cs="Calibri"/>
                <w:sz w:val="20"/>
                <w:szCs w:val="20"/>
              </w:rPr>
            </w:pPr>
          </w:p>
        </w:tc>
        <w:tc>
          <w:tcPr>
            <w:tcW w:w="916" w:type="pct"/>
          </w:tcPr>
          <w:p w14:paraId="5FB08F4C" w14:textId="6080408D"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43.9</w:t>
            </w:r>
          </w:p>
        </w:tc>
      </w:tr>
      <w:tr w:rsidR="00466119" w:rsidRPr="004B2B19" w14:paraId="1269B1F6" w14:textId="77777777" w:rsidTr="00D66280">
        <w:tc>
          <w:tcPr>
            <w:tcW w:w="2277" w:type="pct"/>
          </w:tcPr>
          <w:p w14:paraId="5D6524A7"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Estimated median (95% CI) difference in % CFB in DSF</w:t>
            </w:r>
          </w:p>
          <w:p w14:paraId="0C3C1302"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vs placebo</w:t>
            </w:r>
            <w:r w:rsidRPr="004B2B19">
              <w:rPr>
                <w:rFonts w:ascii="Arial Narrow" w:hAnsi="Arial Narrow"/>
                <w:sz w:val="20"/>
                <w:szCs w:val="20"/>
                <w:vertAlign w:val="superscript"/>
              </w:rPr>
              <w:t>3</w:t>
            </w:r>
            <w:r w:rsidRPr="004B2B19">
              <w:rPr>
                <w:rFonts w:ascii="Arial Narrow" w:hAnsi="Arial Narrow"/>
                <w:sz w:val="20"/>
                <w:szCs w:val="20"/>
              </w:rPr>
              <w:t xml:space="preserve"> </w:t>
            </w:r>
          </w:p>
          <w:p w14:paraId="0D3F11A8" w14:textId="77B1DC42"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P vs placebo</w:t>
            </w:r>
          </w:p>
        </w:tc>
        <w:tc>
          <w:tcPr>
            <w:tcW w:w="864" w:type="pct"/>
          </w:tcPr>
          <w:p w14:paraId="479508A3" w14:textId="33393BD0"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vMerge/>
          </w:tcPr>
          <w:p w14:paraId="3B792E4E" w14:textId="77777777" w:rsidR="00466119" w:rsidRPr="004B2B19" w:rsidRDefault="00466119" w:rsidP="004A58F3">
            <w:pPr>
              <w:keepNext/>
              <w:keepLines/>
              <w:rPr>
                <w:rFonts w:ascii="Arial Narrow" w:hAnsi="Arial Narrow" w:cs="Calibri"/>
                <w:sz w:val="20"/>
                <w:szCs w:val="20"/>
              </w:rPr>
            </w:pPr>
          </w:p>
        </w:tc>
        <w:tc>
          <w:tcPr>
            <w:tcW w:w="916" w:type="pct"/>
          </w:tcPr>
          <w:p w14:paraId="2F96DF64" w14:textId="77777777" w:rsidR="00A951E5" w:rsidRPr="004B2B19" w:rsidRDefault="00A951E5" w:rsidP="004A58F3">
            <w:pPr>
              <w:keepNext/>
              <w:keepLines/>
              <w:rPr>
                <w:rFonts w:ascii="Arial Narrow" w:hAnsi="Arial Narrow" w:cs="Calibri"/>
                <w:b/>
                <w:bCs/>
                <w:sz w:val="20"/>
                <w:szCs w:val="20"/>
              </w:rPr>
            </w:pPr>
          </w:p>
          <w:p w14:paraId="4E7D4546" w14:textId="77777777" w:rsidR="00A951E5" w:rsidRPr="004B2B19" w:rsidRDefault="00A951E5" w:rsidP="004A58F3">
            <w:pPr>
              <w:keepNext/>
              <w:keepLines/>
              <w:rPr>
                <w:rFonts w:ascii="Arial Narrow" w:hAnsi="Arial Narrow" w:cs="Calibri"/>
                <w:b/>
                <w:bCs/>
                <w:sz w:val="20"/>
                <w:szCs w:val="20"/>
              </w:rPr>
            </w:pPr>
          </w:p>
          <w:p w14:paraId="5070E612" w14:textId="0D8BFD33" w:rsidR="00466119" w:rsidRPr="004B2B19" w:rsidRDefault="00466119" w:rsidP="004A58F3">
            <w:pPr>
              <w:keepNext/>
              <w:keepLines/>
              <w:rPr>
                <w:rFonts w:ascii="Arial Narrow" w:hAnsi="Arial Narrow" w:cs="Calibri"/>
                <w:b/>
                <w:bCs/>
                <w:sz w:val="20"/>
                <w:szCs w:val="20"/>
              </w:rPr>
            </w:pPr>
            <w:r w:rsidRPr="004B2B19">
              <w:rPr>
                <w:rFonts w:ascii="Arial Narrow" w:hAnsi="Arial Narrow" w:cs="Calibri"/>
                <w:b/>
                <w:bCs/>
                <w:sz w:val="20"/>
                <w:szCs w:val="20"/>
              </w:rPr>
              <w:t>-17.21 (-30.3, -4.1)</w:t>
            </w:r>
          </w:p>
          <w:p w14:paraId="32F23F0D" w14:textId="463C599E" w:rsidR="00466119" w:rsidRPr="004B2B19" w:rsidRDefault="00466119" w:rsidP="004A58F3">
            <w:pPr>
              <w:keepNext/>
              <w:keepLines/>
              <w:rPr>
                <w:rFonts w:ascii="Arial Narrow" w:hAnsi="Arial Narrow" w:cs="Calibri"/>
                <w:sz w:val="20"/>
                <w:szCs w:val="20"/>
              </w:rPr>
            </w:pPr>
            <w:r w:rsidRPr="004B2B19">
              <w:rPr>
                <w:rFonts w:ascii="Arial Narrow" w:hAnsi="Arial Narrow" w:cs="Calibri"/>
                <w:b/>
                <w:bCs/>
                <w:sz w:val="20"/>
                <w:szCs w:val="20"/>
              </w:rPr>
              <w:t>0.014</w:t>
            </w:r>
          </w:p>
        </w:tc>
      </w:tr>
      <w:tr w:rsidR="00466119" w:rsidRPr="004B2B19" w14:paraId="29B4DD5C" w14:textId="77777777" w:rsidTr="00D66280">
        <w:tc>
          <w:tcPr>
            <w:tcW w:w="2277" w:type="pct"/>
          </w:tcPr>
          <w:p w14:paraId="6DC383C6" w14:textId="47F77CD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50% </w:t>
            </w:r>
            <w:r w:rsidR="00845362" w:rsidRPr="004B2B19">
              <w:rPr>
                <w:rFonts w:ascii="Arial Narrow" w:hAnsi="Arial Narrow"/>
                <w:sz w:val="20"/>
                <w:szCs w:val="20"/>
              </w:rPr>
              <w:t>change from baseline</w:t>
            </w:r>
            <w:r w:rsidRPr="004B2B19">
              <w:rPr>
                <w:rFonts w:ascii="Arial Narrow" w:hAnsi="Arial Narrow"/>
                <w:sz w:val="20"/>
                <w:szCs w:val="20"/>
              </w:rPr>
              <w:t xml:space="preserve"> in DSF, T+M</w:t>
            </w:r>
          </w:p>
          <w:p w14:paraId="00A33D25"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n (%)</w:t>
            </w:r>
          </w:p>
          <w:p w14:paraId="116D56D6"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OR (95% CI)</w:t>
            </w:r>
          </w:p>
          <w:p w14:paraId="65100436" w14:textId="2AA91188"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P vs placebo</w:t>
            </w:r>
          </w:p>
        </w:tc>
        <w:tc>
          <w:tcPr>
            <w:tcW w:w="864" w:type="pct"/>
          </w:tcPr>
          <w:p w14:paraId="7868A807" w14:textId="77777777" w:rsidR="00466119" w:rsidRPr="004B2B19" w:rsidRDefault="00466119" w:rsidP="004A58F3">
            <w:pPr>
              <w:keepNext/>
              <w:keepLines/>
              <w:rPr>
                <w:rFonts w:ascii="Arial Narrow" w:hAnsi="Arial Narrow" w:cs="Calibri"/>
                <w:sz w:val="20"/>
                <w:szCs w:val="20"/>
              </w:rPr>
            </w:pPr>
          </w:p>
          <w:p w14:paraId="5C8DDB3B" w14:textId="7777777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20 (24%)</w:t>
            </w:r>
          </w:p>
          <w:p w14:paraId="16A41CD8" w14:textId="7777777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w:t>
            </w:r>
          </w:p>
          <w:p w14:paraId="327E8274" w14:textId="30F353FA"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vMerge/>
          </w:tcPr>
          <w:p w14:paraId="3A5F7921" w14:textId="77777777" w:rsidR="00466119" w:rsidRPr="004B2B19" w:rsidRDefault="00466119" w:rsidP="004A58F3">
            <w:pPr>
              <w:keepNext/>
              <w:keepLines/>
              <w:rPr>
                <w:rFonts w:ascii="Arial Narrow" w:hAnsi="Arial Narrow" w:cs="Calibri"/>
                <w:sz w:val="20"/>
                <w:szCs w:val="20"/>
              </w:rPr>
            </w:pPr>
          </w:p>
        </w:tc>
        <w:tc>
          <w:tcPr>
            <w:tcW w:w="916" w:type="pct"/>
          </w:tcPr>
          <w:p w14:paraId="78CDACAE" w14:textId="77777777" w:rsidR="00466119" w:rsidRPr="004B2B19" w:rsidRDefault="00466119" w:rsidP="004A58F3">
            <w:pPr>
              <w:keepNext/>
              <w:keepLines/>
              <w:rPr>
                <w:rFonts w:ascii="Arial Narrow" w:hAnsi="Arial Narrow" w:cs="Calibri"/>
                <w:sz w:val="20"/>
                <w:szCs w:val="20"/>
              </w:rPr>
            </w:pPr>
          </w:p>
          <w:p w14:paraId="1752579E" w14:textId="77777777" w:rsidR="00466119" w:rsidRPr="004B2B19" w:rsidRDefault="00466119" w:rsidP="004A58F3">
            <w:pPr>
              <w:keepNext/>
              <w:keepLines/>
              <w:rPr>
                <w:rFonts w:ascii="Arial Narrow" w:hAnsi="Arial Narrow" w:cs="Calibri"/>
                <w:b/>
                <w:bCs/>
                <w:sz w:val="20"/>
                <w:szCs w:val="20"/>
              </w:rPr>
            </w:pPr>
            <w:r w:rsidRPr="004B2B19">
              <w:rPr>
                <w:rFonts w:ascii="Arial Narrow" w:hAnsi="Arial Narrow" w:cs="Calibri"/>
                <w:b/>
                <w:bCs/>
                <w:sz w:val="20"/>
                <w:szCs w:val="20"/>
              </w:rPr>
              <w:t>38 (44%)</w:t>
            </w:r>
          </w:p>
          <w:p w14:paraId="0FB8BDBF" w14:textId="77777777" w:rsidR="00466119" w:rsidRPr="004B2B19" w:rsidRDefault="00466119" w:rsidP="004A58F3">
            <w:pPr>
              <w:keepNext/>
              <w:keepLines/>
              <w:rPr>
                <w:rFonts w:ascii="Arial Narrow" w:hAnsi="Arial Narrow" w:cs="Calibri"/>
                <w:b/>
                <w:bCs/>
                <w:sz w:val="20"/>
                <w:szCs w:val="20"/>
              </w:rPr>
            </w:pPr>
            <w:r w:rsidRPr="004B2B19">
              <w:rPr>
                <w:rFonts w:ascii="Arial Narrow" w:hAnsi="Arial Narrow" w:cs="Calibri"/>
                <w:b/>
                <w:bCs/>
                <w:sz w:val="20"/>
                <w:szCs w:val="20"/>
              </w:rPr>
              <w:t>2.57 (1.33, 4.97)</w:t>
            </w:r>
          </w:p>
          <w:p w14:paraId="7BB6AA6C" w14:textId="65341631" w:rsidR="00466119" w:rsidRPr="004B2B19" w:rsidRDefault="00466119" w:rsidP="004A58F3">
            <w:pPr>
              <w:keepNext/>
              <w:keepLines/>
              <w:rPr>
                <w:rFonts w:ascii="Arial Narrow" w:hAnsi="Arial Narrow" w:cs="Calibri"/>
                <w:sz w:val="20"/>
                <w:szCs w:val="20"/>
              </w:rPr>
            </w:pPr>
            <w:r w:rsidRPr="004B2B19">
              <w:rPr>
                <w:rFonts w:ascii="Arial Narrow" w:hAnsi="Arial Narrow" w:cs="Calibri"/>
                <w:b/>
                <w:bCs/>
                <w:sz w:val="20"/>
                <w:szCs w:val="20"/>
              </w:rPr>
              <w:t>0.004</w:t>
            </w:r>
          </w:p>
        </w:tc>
      </w:tr>
      <w:tr w:rsidR="00466119" w:rsidRPr="004B2B19" w14:paraId="7031DEF4" w14:textId="77777777" w:rsidTr="00D66280">
        <w:tc>
          <w:tcPr>
            <w:tcW w:w="2277" w:type="pct"/>
          </w:tcPr>
          <w:p w14:paraId="33125FD1" w14:textId="640E904A"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 xml:space="preserve">Patients with </w:t>
            </w:r>
            <w:r w:rsidRPr="004B2B19">
              <w:rPr>
                <w:rFonts w:ascii="Symbol" w:eastAsia="Symbol" w:hAnsi="Symbol" w:cs="Symbol"/>
                <w:sz w:val="20"/>
                <w:szCs w:val="20"/>
              </w:rPr>
              <w:t>³</w:t>
            </w:r>
            <w:r w:rsidRPr="004B2B19">
              <w:rPr>
                <w:rFonts w:ascii="Arial Narrow" w:hAnsi="Arial Narrow"/>
                <w:sz w:val="20"/>
                <w:szCs w:val="20"/>
              </w:rPr>
              <w:t xml:space="preserve">25% </w:t>
            </w:r>
            <w:r w:rsidR="00845362" w:rsidRPr="004B2B19">
              <w:rPr>
                <w:rFonts w:ascii="Arial Narrow" w:hAnsi="Arial Narrow"/>
                <w:sz w:val="20"/>
                <w:szCs w:val="20"/>
              </w:rPr>
              <w:t>change from baseline</w:t>
            </w:r>
            <w:r w:rsidRPr="004B2B19">
              <w:rPr>
                <w:rFonts w:ascii="Arial Narrow" w:hAnsi="Arial Narrow"/>
                <w:sz w:val="20"/>
                <w:szCs w:val="20"/>
              </w:rPr>
              <w:t xml:space="preserve"> in DSF, T+M</w:t>
            </w:r>
          </w:p>
          <w:p w14:paraId="62F2A91B"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n (%)</w:t>
            </w:r>
          </w:p>
          <w:p w14:paraId="2BACFE69" w14:textId="77777777"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OR (95% CI)</w:t>
            </w:r>
          </w:p>
          <w:p w14:paraId="20E08623" w14:textId="717DBC23" w:rsidR="00466119" w:rsidRPr="004B2B19" w:rsidRDefault="00466119" w:rsidP="004A58F3">
            <w:pPr>
              <w:keepNext/>
              <w:keepLines/>
              <w:rPr>
                <w:rFonts w:ascii="Arial Narrow" w:hAnsi="Arial Narrow"/>
                <w:sz w:val="20"/>
                <w:szCs w:val="20"/>
              </w:rPr>
            </w:pPr>
            <w:r w:rsidRPr="004B2B19">
              <w:rPr>
                <w:rFonts w:ascii="Arial Narrow" w:hAnsi="Arial Narrow"/>
                <w:sz w:val="20"/>
                <w:szCs w:val="20"/>
              </w:rPr>
              <w:t>P vs placebo</w:t>
            </w:r>
          </w:p>
        </w:tc>
        <w:tc>
          <w:tcPr>
            <w:tcW w:w="864" w:type="pct"/>
          </w:tcPr>
          <w:p w14:paraId="1A90A01E" w14:textId="77777777" w:rsidR="00466119" w:rsidRPr="004B2B19" w:rsidRDefault="00466119" w:rsidP="004A58F3">
            <w:pPr>
              <w:keepNext/>
              <w:keepLines/>
              <w:rPr>
                <w:rFonts w:ascii="Arial Narrow" w:hAnsi="Arial Narrow" w:cs="Calibri"/>
                <w:sz w:val="20"/>
                <w:szCs w:val="20"/>
              </w:rPr>
            </w:pPr>
          </w:p>
          <w:p w14:paraId="3FF80AC4" w14:textId="7777777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37 (44%)</w:t>
            </w:r>
          </w:p>
          <w:p w14:paraId="6252FED4" w14:textId="7777777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w:t>
            </w:r>
          </w:p>
          <w:p w14:paraId="6086B5C5" w14:textId="25070347" w:rsidR="00466119" w:rsidRPr="004B2B19" w:rsidRDefault="00466119" w:rsidP="004A58F3">
            <w:pPr>
              <w:keepNext/>
              <w:keepLines/>
              <w:rPr>
                <w:rFonts w:ascii="Arial Narrow" w:hAnsi="Arial Narrow" w:cs="Calibri"/>
                <w:sz w:val="20"/>
                <w:szCs w:val="20"/>
              </w:rPr>
            </w:pPr>
            <w:r w:rsidRPr="004B2B19">
              <w:rPr>
                <w:rFonts w:ascii="Arial Narrow" w:hAnsi="Arial Narrow" w:cs="Calibri"/>
                <w:sz w:val="20"/>
                <w:szCs w:val="20"/>
              </w:rPr>
              <w:t>-</w:t>
            </w:r>
          </w:p>
        </w:tc>
        <w:tc>
          <w:tcPr>
            <w:tcW w:w="943" w:type="pct"/>
            <w:vMerge/>
          </w:tcPr>
          <w:p w14:paraId="2AF8243A" w14:textId="77777777" w:rsidR="00466119" w:rsidRPr="004B2B19" w:rsidRDefault="00466119" w:rsidP="004A58F3">
            <w:pPr>
              <w:keepNext/>
              <w:keepLines/>
              <w:rPr>
                <w:rFonts w:ascii="Arial Narrow" w:hAnsi="Arial Narrow" w:cs="Calibri"/>
                <w:sz w:val="20"/>
                <w:szCs w:val="20"/>
              </w:rPr>
            </w:pPr>
          </w:p>
        </w:tc>
        <w:tc>
          <w:tcPr>
            <w:tcW w:w="916" w:type="pct"/>
          </w:tcPr>
          <w:p w14:paraId="6944DB6E" w14:textId="77777777" w:rsidR="00466119" w:rsidRPr="004B2B19" w:rsidRDefault="00466119" w:rsidP="004A58F3">
            <w:pPr>
              <w:keepNext/>
              <w:keepLines/>
              <w:rPr>
                <w:rFonts w:ascii="Arial Narrow" w:hAnsi="Arial Narrow" w:cs="Calibri"/>
                <w:sz w:val="20"/>
                <w:szCs w:val="20"/>
              </w:rPr>
            </w:pPr>
          </w:p>
          <w:p w14:paraId="6EE68DAF" w14:textId="77777777" w:rsidR="00466119" w:rsidRPr="004B2B19" w:rsidRDefault="00466119" w:rsidP="004A58F3">
            <w:pPr>
              <w:keepNext/>
              <w:keepLines/>
              <w:rPr>
                <w:rFonts w:ascii="Arial Narrow" w:hAnsi="Arial Narrow" w:cs="Calibri"/>
                <w:b/>
                <w:bCs/>
                <w:sz w:val="20"/>
                <w:szCs w:val="20"/>
              </w:rPr>
            </w:pPr>
            <w:r w:rsidRPr="004B2B19">
              <w:rPr>
                <w:rFonts w:ascii="Arial Narrow" w:hAnsi="Arial Narrow" w:cs="Calibri"/>
                <w:b/>
                <w:bCs/>
                <w:sz w:val="20"/>
                <w:szCs w:val="20"/>
              </w:rPr>
              <w:t>55 (64%)</w:t>
            </w:r>
          </w:p>
          <w:p w14:paraId="1DFE328A" w14:textId="77777777" w:rsidR="00466119" w:rsidRPr="004B2B19" w:rsidRDefault="00466119" w:rsidP="004A58F3">
            <w:pPr>
              <w:keepNext/>
              <w:keepLines/>
              <w:rPr>
                <w:rFonts w:ascii="Arial Narrow" w:hAnsi="Arial Narrow" w:cs="Calibri"/>
                <w:b/>
                <w:bCs/>
                <w:sz w:val="20"/>
                <w:szCs w:val="20"/>
              </w:rPr>
            </w:pPr>
            <w:r w:rsidRPr="004B2B19">
              <w:rPr>
                <w:rFonts w:ascii="Arial Narrow" w:hAnsi="Arial Narrow" w:cs="Calibri"/>
                <w:b/>
                <w:bCs/>
                <w:sz w:val="20"/>
                <w:szCs w:val="20"/>
              </w:rPr>
              <w:t>2.30 (1.24, 4.26)</w:t>
            </w:r>
          </w:p>
          <w:p w14:paraId="0C92A0DC" w14:textId="2907A4AD" w:rsidR="00466119" w:rsidRPr="004B2B19" w:rsidRDefault="00466119" w:rsidP="004A58F3">
            <w:pPr>
              <w:keepNext/>
              <w:keepLines/>
              <w:rPr>
                <w:rFonts w:ascii="Arial Narrow" w:hAnsi="Arial Narrow" w:cs="Calibri"/>
                <w:sz w:val="20"/>
                <w:szCs w:val="20"/>
              </w:rPr>
            </w:pPr>
            <w:r w:rsidRPr="004B2B19">
              <w:rPr>
                <w:rFonts w:ascii="Arial Narrow" w:hAnsi="Arial Narrow" w:cs="Calibri"/>
                <w:b/>
                <w:bCs/>
                <w:sz w:val="20"/>
                <w:szCs w:val="20"/>
              </w:rPr>
              <w:t>0.008</w:t>
            </w:r>
          </w:p>
        </w:tc>
      </w:tr>
      <w:tr w:rsidR="00466119" w:rsidRPr="004B2B19" w14:paraId="7A0FF79A" w14:textId="77777777" w:rsidTr="00D05BEC">
        <w:tc>
          <w:tcPr>
            <w:tcW w:w="2277" w:type="pct"/>
          </w:tcPr>
          <w:p w14:paraId="01DD2EB1" w14:textId="795B0ABC" w:rsidR="00A07AC1" w:rsidRPr="004B2B19" w:rsidRDefault="00A07AC1" w:rsidP="004A58F3">
            <w:pPr>
              <w:keepNext/>
              <w:keepLines/>
              <w:rPr>
                <w:rFonts w:ascii="Arial Narrow" w:hAnsi="Arial Narrow"/>
                <w:sz w:val="20"/>
                <w:szCs w:val="20"/>
              </w:rPr>
            </w:pPr>
            <w:r w:rsidRPr="004B2B19">
              <w:rPr>
                <w:rFonts w:ascii="Arial Narrow" w:hAnsi="Arial Narrow"/>
                <w:sz w:val="20"/>
                <w:szCs w:val="20"/>
              </w:rPr>
              <w:t>Patients with &gt;25% worsening of DSF vs BL, T+M</w:t>
            </w:r>
          </w:p>
          <w:p w14:paraId="12068DF8" w14:textId="1D54FD31" w:rsidR="00466119" w:rsidRPr="004B2B19" w:rsidRDefault="00A07AC1" w:rsidP="004A58F3">
            <w:pPr>
              <w:keepNext/>
              <w:keepLines/>
              <w:rPr>
                <w:rFonts w:ascii="Arial Narrow" w:hAnsi="Arial Narrow"/>
                <w:sz w:val="20"/>
                <w:szCs w:val="20"/>
              </w:rPr>
            </w:pPr>
            <w:r w:rsidRPr="004B2B19">
              <w:rPr>
                <w:rFonts w:ascii="Arial Narrow" w:hAnsi="Arial Narrow"/>
                <w:sz w:val="20"/>
                <w:szCs w:val="20"/>
              </w:rPr>
              <w:t>n (%)</w:t>
            </w:r>
          </w:p>
        </w:tc>
        <w:tc>
          <w:tcPr>
            <w:tcW w:w="864" w:type="pct"/>
            <w:vAlign w:val="center"/>
          </w:tcPr>
          <w:p w14:paraId="7E6C64FF" w14:textId="77777777" w:rsidR="00A07AC1" w:rsidRPr="004B2B19" w:rsidRDefault="00A07AC1" w:rsidP="00D05BEC">
            <w:pPr>
              <w:keepNext/>
              <w:keepLines/>
              <w:jc w:val="center"/>
              <w:rPr>
                <w:rFonts w:ascii="Arial Narrow" w:hAnsi="Arial Narrow" w:cs="Calibri"/>
                <w:sz w:val="20"/>
                <w:szCs w:val="20"/>
              </w:rPr>
            </w:pPr>
          </w:p>
          <w:p w14:paraId="20811AB1" w14:textId="78C02CD6" w:rsidR="00466119" w:rsidRPr="004B2B19" w:rsidRDefault="00A07AC1" w:rsidP="00D05BEC">
            <w:pPr>
              <w:keepNext/>
              <w:keepLines/>
              <w:jc w:val="center"/>
              <w:rPr>
                <w:rFonts w:ascii="Arial Narrow" w:hAnsi="Arial Narrow" w:cs="Calibri"/>
                <w:sz w:val="20"/>
                <w:szCs w:val="20"/>
              </w:rPr>
            </w:pPr>
            <w:r w:rsidRPr="004B2B19">
              <w:rPr>
                <w:rFonts w:ascii="Arial Narrow" w:hAnsi="Arial Narrow" w:cs="Calibri"/>
                <w:sz w:val="20"/>
                <w:szCs w:val="20"/>
              </w:rPr>
              <w:t>9 (10.6%)</w:t>
            </w:r>
          </w:p>
        </w:tc>
        <w:tc>
          <w:tcPr>
            <w:tcW w:w="943" w:type="pct"/>
            <w:vMerge/>
            <w:vAlign w:val="center"/>
          </w:tcPr>
          <w:p w14:paraId="13E9C99A" w14:textId="77777777" w:rsidR="00466119" w:rsidRPr="004B2B19" w:rsidRDefault="00466119" w:rsidP="00D05BEC">
            <w:pPr>
              <w:keepNext/>
              <w:keepLines/>
              <w:jc w:val="center"/>
              <w:rPr>
                <w:rFonts w:ascii="Arial Narrow" w:hAnsi="Arial Narrow" w:cs="Calibri"/>
                <w:sz w:val="20"/>
                <w:szCs w:val="20"/>
              </w:rPr>
            </w:pPr>
          </w:p>
        </w:tc>
        <w:tc>
          <w:tcPr>
            <w:tcW w:w="916" w:type="pct"/>
            <w:vAlign w:val="center"/>
          </w:tcPr>
          <w:p w14:paraId="64ADD1D5" w14:textId="77777777" w:rsidR="00A07AC1" w:rsidRPr="004B2B19" w:rsidRDefault="00A07AC1" w:rsidP="00D05BEC">
            <w:pPr>
              <w:keepNext/>
              <w:keepLines/>
              <w:jc w:val="center"/>
              <w:rPr>
                <w:rFonts w:ascii="Arial Narrow" w:hAnsi="Arial Narrow" w:cs="Calibri"/>
                <w:sz w:val="20"/>
                <w:szCs w:val="20"/>
              </w:rPr>
            </w:pPr>
          </w:p>
          <w:p w14:paraId="0AE7CF7F" w14:textId="5E5C83FD" w:rsidR="00A07AC1" w:rsidRPr="004B2B19" w:rsidRDefault="00A07AC1" w:rsidP="00D05BEC">
            <w:pPr>
              <w:keepNext/>
              <w:keepLines/>
              <w:jc w:val="center"/>
              <w:rPr>
                <w:rFonts w:ascii="Arial Narrow" w:hAnsi="Arial Narrow" w:cs="Calibri"/>
                <w:sz w:val="20"/>
                <w:szCs w:val="20"/>
              </w:rPr>
            </w:pPr>
            <w:r w:rsidRPr="004B2B19">
              <w:rPr>
                <w:rFonts w:ascii="Arial Narrow" w:hAnsi="Arial Narrow" w:cs="Calibri"/>
                <w:sz w:val="20"/>
                <w:szCs w:val="20"/>
              </w:rPr>
              <w:t>12 (14.0%)</w:t>
            </w:r>
          </w:p>
        </w:tc>
      </w:tr>
      <w:tr w:rsidR="00A07AC1" w:rsidRPr="004B2B19" w14:paraId="770AEB16" w14:textId="77777777" w:rsidTr="00D05BEC">
        <w:tc>
          <w:tcPr>
            <w:tcW w:w="2277" w:type="pct"/>
          </w:tcPr>
          <w:p w14:paraId="372359AC" w14:textId="54B0391F" w:rsidR="00A07AC1" w:rsidRPr="004B2B19" w:rsidRDefault="00A07AC1" w:rsidP="004A58F3">
            <w:pPr>
              <w:keepNext/>
              <w:keepLines/>
              <w:jc w:val="left"/>
              <w:rPr>
                <w:rFonts w:ascii="Arial Narrow" w:hAnsi="Arial Narrow"/>
                <w:sz w:val="20"/>
                <w:szCs w:val="20"/>
              </w:rPr>
            </w:pPr>
            <w:r w:rsidRPr="004B2B19">
              <w:rPr>
                <w:rFonts w:ascii="Arial Narrow" w:hAnsi="Arial Narrow"/>
                <w:sz w:val="20"/>
                <w:szCs w:val="20"/>
              </w:rPr>
              <w:t>CGI Much Improved or Very Much Improved at end of T+M, parent/caregiver rating</w:t>
            </w:r>
          </w:p>
          <w:p w14:paraId="73BB5850" w14:textId="6233DE65" w:rsidR="00A07AC1" w:rsidRPr="004B2B19" w:rsidRDefault="00A07AC1" w:rsidP="004A58F3">
            <w:pPr>
              <w:keepNext/>
              <w:keepLines/>
              <w:rPr>
                <w:rFonts w:ascii="Arial Narrow" w:hAnsi="Arial Narrow"/>
                <w:sz w:val="20"/>
                <w:szCs w:val="20"/>
              </w:rPr>
            </w:pPr>
            <w:r w:rsidRPr="004B2B19">
              <w:rPr>
                <w:rFonts w:ascii="Arial Narrow" w:hAnsi="Arial Narrow"/>
                <w:sz w:val="20"/>
                <w:szCs w:val="20"/>
              </w:rPr>
              <w:t>n (%)</w:t>
            </w:r>
          </w:p>
        </w:tc>
        <w:tc>
          <w:tcPr>
            <w:tcW w:w="864" w:type="pct"/>
            <w:vAlign w:val="center"/>
          </w:tcPr>
          <w:p w14:paraId="13189B01" w14:textId="77777777" w:rsidR="00511D9B" w:rsidRPr="004B2B19" w:rsidRDefault="00511D9B" w:rsidP="00D05BEC">
            <w:pPr>
              <w:keepNext/>
              <w:keepLines/>
              <w:jc w:val="center"/>
              <w:rPr>
                <w:rFonts w:ascii="Arial Narrow" w:hAnsi="Arial Narrow" w:cs="Calibri"/>
                <w:sz w:val="20"/>
                <w:szCs w:val="20"/>
              </w:rPr>
            </w:pPr>
          </w:p>
          <w:p w14:paraId="26E539B9" w14:textId="77777777" w:rsidR="00511D9B" w:rsidRPr="004B2B19" w:rsidRDefault="00511D9B" w:rsidP="00D05BEC">
            <w:pPr>
              <w:keepNext/>
              <w:keepLines/>
              <w:jc w:val="center"/>
              <w:rPr>
                <w:rFonts w:ascii="Arial Narrow" w:hAnsi="Arial Narrow" w:cs="Calibri"/>
                <w:sz w:val="20"/>
                <w:szCs w:val="20"/>
              </w:rPr>
            </w:pPr>
          </w:p>
          <w:p w14:paraId="7537E574" w14:textId="1A4FA1DC" w:rsidR="00A07AC1" w:rsidRPr="004B2B19" w:rsidRDefault="00A07AC1" w:rsidP="00D05BEC">
            <w:pPr>
              <w:keepNext/>
              <w:keepLines/>
              <w:jc w:val="center"/>
              <w:rPr>
                <w:rFonts w:ascii="Arial Narrow" w:hAnsi="Arial Narrow" w:cs="Calibri"/>
                <w:sz w:val="20"/>
                <w:szCs w:val="20"/>
              </w:rPr>
            </w:pPr>
            <w:r w:rsidRPr="004B2B19">
              <w:rPr>
                <w:rFonts w:ascii="Arial Narrow" w:hAnsi="Arial Narrow" w:cs="Calibri"/>
                <w:sz w:val="20"/>
                <w:szCs w:val="20"/>
              </w:rPr>
              <w:t xml:space="preserve">15 </w:t>
            </w:r>
            <w:r w:rsidR="00511D9B" w:rsidRPr="004B2B19">
              <w:rPr>
                <w:rFonts w:ascii="Arial Narrow" w:hAnsi="Arial Narrow" w:cs="Calibri"/>
                <w:sz w:val="20"/>
                <w:szCs w:val="20"/>
              </w:rPr>
              <w:t>(17%)</w:t>
            </w:r>
          </w:p>
        </w:tc>
        <w:tc>
          <w:tcPr>
            <w:tcW w:w="943" w:type="pct"/>
            <w:vMerge/>
            <w:vAlign w:val="center"/>
          </w:tcPr>
          <w:p w14:paraId="7C6A7EA9" w14:textId="77777777" w:rsidR="00A07AC1" w:rsidRPr="004B2B19" w:rsidRDefault="00A07AC1" w:rsidP="00D05BEC">
            <w:pPr>
              <w:keepNext/>
              <w:keepLines/>
              <w:jc w:val="center"/>
              <w:rPr>
                <w:rFonts w:ascii="Arial Narrow" w:hAnsi="Arial Narrow" w:cs="Calibri"/>
                <w:sz w:val="20"/>
                <w:szCs w:val="20"/>
              </w:rPr>
            </w:pPr>
          </w:p>
        </w:tc>
        <w:tc>
          <w:tcPr>
            <w:tcW w:w="916" w:type="pct"/>
            <w:vAlign w:val="center"/>
          </w:tcPr>
          <w:p w14:paraId="6048FE6F" w14:textId="77777777" w:rsidR="00511D9B" w:rsidRPr="004B2B19" w:rsidRDefault="00511D9B" w:rsidP="00D05BEC">
            <w:pPr>
              <w:keepNext/>
              <w:keepLines/>
              <w:jc w:val="center"/>
              <w:rPr>
                <w:rFonts w:ascii="Arial Narrow" w:hAnsi="Arial Narrow" w:cs="Calibri"/>
                <w:sz w:val="20"/>
                <w:szCs w:val="20"/>
              </w:rPr>
            </w:pPr>
          </w:p>
          <w:p w14:paraId="5845260B" w14:textId="77777777" w:rsidR="00511D9B" w:rsidRPr="004B2B19" w:rsidRDefault="00511D9B" w:rsidP="00D05BEC">
            <w:pPr>
              <w:keepNext/>
              <w:keepLines/>
              <w:jc w:val="center"/>
              <w:rPr>
                <w:rFonts w:ascii="Arial Narrow" w:hAnsi="Arial Narrow" w:cs="Calibri"/>
                <w:sz w:val="20"/>
                <w:szCs w:val="20"/>
              </w:rPr>
            </w:pPr>
          </w:p>
          <w:p w14:paraId="1C8A0C69" w14:textId="5634BA77" w:rsidR="00A07AC1" w:rsidRPr="004B2B19" w:rsidRDefault="00511D9B" w:rsidP="00D05BEC">
            <w:pPr>
              <w:keepNext/>
              <w:keepLines/>
              <w:jc w:val="center"/>
              <w:rPr>
                <w:rFonts w:ascii="Arial Narrow" w:hAnsi="Arial Narrow" w:cs="Calibri"/>
                <w:sz w:val="20"/>
                <w:szCs w:val="20"/>
              </w:rPr>
            </w:pPr>
            <w:r w:rsidRPr="004B2B19">
              <w:rPr>
                <w:rFonts w:ascii="Arial Narrow" w:hAnsi="Arial Narrow" w:cs="Calibri"/>
                <w:sz w:val="20"/>
                <w:szCs w:val="20"/>
              </w:rPr>
              <w:t>29 (35%)</w:t>
            </w:r>
          </w:p>
        </w:tc>
      </w:tr>
    </w:tbl>
    <w:p w14:paraId="44581B5C" w14:textId="77777777" w:rsidR="00E95682" w:rsidRPr="004B2B19" w:rsidRDefault="00E95682" w:rsidP="004A58F3">
      <w:pPr>
        <w:pStyle w:val="TableFigureFooter"/>
        <w:keepNext/>
        <w:rPr>
          <w:rStyle w:val="CommentReference"/>
          <w:b w:val="0"/>
          <w:sz w:val="18"/>
          <w:szCs w:val="22"/>
        </w:rPr>
      </w:pPr>
    </w:p>
    <w:p w14:paraId="43FAF007" w14:textId="77777777" w:rsidR="00E95682" w:rsidRPr="004B2B19" w:rsidRDefault="00E95682">
      <w:pPr>
        <w:jc w:val="left"/>
        <w:rPr>
          <w:rStyle w:val="CommentReference"/>
          <w:b w:val="0"/>
          <w:snapToGrid w:val="0"/>
          <w:color w:val="000000" w:themeColor="text1"/>
          <w:sz w:val="18"/>
          <w:szCs w:val="22"/>
        </w:rPr>
      </w:pPr>
      <w:r w:rsidRPr="004B2B19">
        <w:rPr>
          <w:rStyle w:val="CommentReference"/>
          <w:b w:val="0"/>
          <w:sz w:val="18"/>
          <w:szCs w:val="22"/>
        </w:rPr>
        <w:br w:type="page"/>
      </w:r>
    </w:p>
    <w:p w14:paraId="0D60FB4D" w14:textId="031E7F01" w:rsidR="00511D9B" w:rsidRPr="004B2B19" w:rsidRDefault="00511D9B" w:rsidP="004A58F3">
      <w:pPr>
        <w:pStyle w:val="TableFigureFooter"/>
        <w:keepNext/>
      </w:pPr>
      <w:r w:rsidRPr="004B2B19">
        <w:rPr>
          <w:rStyle w:val="CommentReference"/>
          <w:b w:val="0"/>
          <w:sz w:val="18"/>
          <w:szCs w:val="22"/>
        </w:rPr>
        <w:t>Source:</w:t>
      </w:r>
      <w:r w:rsidRPr="004B2B19">
        <w:t xml:space="preserve"> Devinsky O, et al. N Engl J Med 2018; 378:1888-1897. Thiele EA, et al. Lancet 2018 http://dx.doi.org/10.1016/S0140-6736(18)30136-3.</w:t>
      </w:r>
    </w:p>
    <w:p w14:paraId="7D477711" w14:textId="61AB2E4D" w:rsidR="00511D9B" w:rsidRPr="004B2B19" w:rsidRDefault="00511D9B" w:rsidP="004A58F3">
      <w:pPr>
        <w:pStyle w:val="TableFigureFooter"/>
        <w:keepNext/>
      </w:pPr>
      <w:r w:rsidRPr="004B2B19">
        <w:t xml:space="preserve">; CGI = clinical global improvement; CI = confidence interval; DSF = drop seizure frequency; IQR = inter-quartile range; OR = odds </w:t>
      </w:r>
      <w:r w:rsidR="00C053BE" w:rsidRPr="004B2B19">
        <w:t>ratio;</w:t>
      </w:r>
      <w:r w:rsidRPr="004B2B19">
        <w:t xml:space="preserve"> T+M = titration + maintenance periods. </w:t>
      </w:r>
      <w:r w:rsidR="006C77A7" w:rsidRPr="004B2B19">
        <w:rPr>
          <w:b/>
          <w:bCs/>
        </w:rPr>
        <w:t>Bold</w:t>
      </w:r>
      <w:r w:rsidR="006C77A7" w:rsidRPr="004B2B19">
        <w:t xml:space="preserve"> indicates statistically significant results.</w:t>
      </w:r>
    </w:p>
    <w:p w14:paraId="6BF6E6DE" w14:textId="1052DDBA" w:rsidR="00DF6B01" w:rsidRPr="004B2B19" w:rsidRDefault="00EA7515" w:rsidP="0074741C">
      <w:pPr>
        <w:pStyle w:val="TableFigureFooter"/>
      </w:pPr>
      <w:r w:rsidRPr="004B2B19">
        <w:rPr>
          <w:rStyle w:val="CommentReference"/>
          <w:b w:val="0"/>
          <w:vertAlign w:val="superscript"/>
        </w:rPr>
        <w:t>a</w:t>
      </w:r>
      <w:r w:rsidR="00374E7C" w:rsidRPr="004B2B19">
        <w:rPr>
          <w:rStyle w:val="CommentReference"/>
          <w:b w:val="0"/>
        </w:rPr>
        <w:t xml:space="preserve"> </w:t>
      </w:r>
      <w:r w:rsidR="00374E7C" w:rsidRPr="004B2B19">
        <w:t>Hodges-Lehmann method.</w:t>
      </w:r>
    </w:p>
    <w:p w14:paraId="2E410A7D" w14:textId="0D3914D4" w:rsidR="000D6604" w:rsidRPr="004B2B19" w:rsidRDefault="000D6604" w:rsidP="000D6604">
      <w:pPr>
        <w:pStyle w:val="5-SubsectionSubheading"/>
      </w:pPr>
      <w:bookmarkStart w:id="34" w:name="_Toc208980611"/>
      <w:r w:rsidRPr="004B2B19">
        <w:t>Indirect Treatment Comparison (ITC)</w:t>
      </w:r>
      <w:bookmarkEnd w:id="34"/>
    </w:p>
    <w:p w14:paraId="4A489A85" w14:textId="11CF0865" w:rsidR="000D6604" w:rsidRPr="004B2B19" w:rsidRDefault="000D6604" w:rsidP="000D6604">
      <w:pPr>
        <w:pStyle w:val="3-BodyText"/>
      </w:pPr>
      <w:r w:rsidRPr="004B2B19">
        <w:t xml:space="preserve">The submission stated that the ITC "should not be interpreted as a definitive statement on the comparative efficacy and safety of the two therapies". No non-inferiority margin was nominated, and "it is unlikely that any ITC could realistically support a formal claim of noninferiority, subject to a theoretically defensible margin". </w:t>
      </w:r>
    </w:p>
    <w:p w14:paraId="338941AB" w14:textId="570EDEF1" w:rsidR="009F4EC6" w:rsidRPr="004B2B19" w:rsidRDefault="009F4EC6" w:rsidP="000D6604">
      <w:pPr>
        <w:pStyle w:val="3-BodyText"/>
      </w:pPr>
      <w:r w:rsidRPr="004B2B19">
        <w:t xml:space="preserve">The ITC included only patients allocated to 0.7 mg/kg/day, although </w:t>
      </w:r>
      <w:r w:rsidR="00AE144B" w:rsidRPr="004B2B19">
        <w:t>only about half the patients</w:t>
      </w:r>
      <w:r w:rsidRPr="004B2B19">
        <w:t xml:space="preserve"> in that group </w:t>
      </w:r>
      <w:r w:rsidR="00AE144B" w:rsidRPr="004B2B19">
        <w:t xml:space="preserve">received that dose </w:t>
      </w:r>
      <w:r w:rsidR="0022544C" w:rsidRPr="004B2B19">
        <w:t>(</w:t>
      </w:r>
      <w:r w:rsidR="002D5689" w:rsidRPr="004B2B19">
        <w:t xml:space="preserve">mostly </w:t>
      </w:r>
      <w:r w:rsidR="0022544C" w:rsidRPr="004B2B19">
        <w:t>due to the maximum daily dose of 26 mg/kg</w:t>
      </w:r>
      <w:r w:rsidR="00AD55C8" w:rsidRPr="004B2B19">
        <w:t>).</w:t>
      </w:r>
    </w:p>
    <w:p w14:paraId="339C0276" w14:textId="7E130EF6" w:rsidR="009F4EC6" w:rsidRPr="004B2B19" w:rsidRDefault="009F4EC6" w:rsidP="000D6604">
      <w:pPr>
        <w:pStyle w:val="3-BodyText"/>
      </w:pPr>
      <w:r w:rsidRPr="004B2B19">
        <w:t>The results of the Bucher method ITC for efficacy outcomes are shown in</w:t>
      </w:r>
      <w:r w:rsidR="004016CA" w:rsidRPr="004B2B19">
        <w:t xml:space="preserve"> </w:t>
      </w:r>
      <w:r w:rsidR="004016CA" w:rsidRPr="004B2B19">
        <w:fldChar w:fldCharType="begin"/>
      </w:r>
      <w:r w:rsidR="004016CA" w:rsidRPr="004B2B19">
        <w:instrText xml:space="preserve"> REF _Ref204688765 \h </w:instrText>
      </w:r>
      <w:r w:rsidR="004B2B19" w:rsidRPr="004B2B19">
        <w:instrText xml:space="preserve"> \* MERGEFORMAT </w:instrText>
      </w:r>
      <w:r w:rsidR="004016CA" w:rsidRPr="004B2B19">
        <w:fldChar w:fldCharType="separate"/>
      </w:r>
      <w:r w:rsidR="00A037BC" w:rsidRPr="004B2B19">
        <w:t xml:space="preserve">Table </w:t>
      </w:r>
      <w:r w:rsidR="00A037BC">
        <w:rPr>
          <w:noProof/>
        </w:rPr>
        <w:t>6</w:t>
      </w:r>
      <w:r w:rsidR="004016CA" w:rsidRPr="004B2B19">
        <w:fldChar w:fldCharType="end"/>
      </w:r>
      <w:r w:rsidR="004016CA" w:rsidRPr="004B2B19">
        <w:t>.</w:t>
      </w:r>
    </w:p>
    <w:p w14:paraId="0A4B9F4A" w14:textId="1D799FEB" w:rsidR="005D0886" w:rsidRPr="004B2B19" w:rsidRDefault="004016CA" w:rsidP="004016CA">
      <w:pPr>
        <w:pStyle w:val="Caption"/>
      </w:pPr>
      <w:bookmarkStart w:id="35" w:name="_Ref204688765"/>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6</w:t>
      </w:r>
      <w:r w:rsidR="00057B46" w:rsidRPr="004B2B19">
        <w:rPr>
          <w:noProof/>
        </w:rPr>
        <w:fldChar w:fldCharType="end"/>
      </w:r>
      <w:bookmarkEnd w:id="35"/>
      <w:r w:rsidRPr="004B2B19">
        <w:t xml:space="preserve">: </w:t>
      </w:r>
      <w:r w:rsidR="009F4EC6" w:rsidRPr="004B2B19">
        <w:t>Results of the ITC for efficacy of FEN vs CBD</w:t>
      </w:r>
      <w:r w:rsidR="005D0886" w:rsidRPr="004B2B19">
        <w:t xml:space="preserve"> </w:t>
      </w:r>
    </w:p>
    <w:tbl>
      <w:tblPr>
        <w:tblStyle w:val="TableGrid"/>
        <w:tblW w:w="0" w:type="auto"/>
        <w:tblLook w:val="04A0" w:firstRow="1" w:lastRow="0" w:firstColumn="1" w:lastColumn="0" w:noHBand="0" w:noVBand="1"/>
        <w:tblCaption w:val="Table 6: Results of the ITC for efficacy of FEN vs CBD "/>
      </w:tblPr>
      <w:tblGrid>
        <w:gridCol w:w="2830"/>
        <w:gridCol w:w="2835"/>
        <w:gridCol w:w="3261"/>
      </w:tblGrid>
      <w:tr w:rsidR="00AE144B" w:rsidRPr="004B2B19" w14:paraId="24B5B2F7" w14:textId="77777777" w:rsidTr="009E6B65">
        <w:tc>
          <w:tcPr>
            <w:tcW w:w="2830" w:type="dxa"/>
          </w:tcPr>
          <w:p w14:paraId="4FC90DE2" w14:textId="77777777" w:rsidR="00AE144B" w:rsidRPr="004B2B19" w:rsidRDefault="00AE144B" w:rsidP="009F4EC6">
            <w:pPr>
              <w:pStyle w:val="TableFigureHeading"/>
            </w:pPr>
          </w:p>
        </w:tc>
        <w:tc>
          <w:tcPr>
            <w:tcW w:w="2835" w:type="dxa"/>
          </w:tcPr>
          <w:p w14:paraId="385575AB" w14:textId="079F31B4" w:rsidR="00AE144B" w:rsidRPr="004B2B19" w:rsidRDefault="00AE144B" w:rsidP="009F4EC6">
            <w:pPr>
              <w:pStyle w:val="TableFigureHeading"/>
            </w:pPr>
            <w:r w:rsidRPr="004B2B19">
              <w:t>F</w:t>
            </w:r>
            <w:r w:rsidR="00A86EC4" w:rsidRPr="004B2B19">
              <w:t>enfluramine</w:t>
            </w:r>
            <w:r w:rsidRPr="004B2B19">
              <w:t xml:space="preserve"> 0.7 mg/kg/day vs </w:t>
            </w:r>
          </w:p>
          <w:p w14:paraId="6F2680BF" w14:textId="19FDFD96" w:rsidR="00AE144B" w:rsidRPr="004B2B19" w:rsidRDefault="00AE144B" w:rsidP="009F4EC6">
            <w:pPr>
              <w:pStyle w:val="TableFigureHeading"/>
            </w:pPr>
            <w:r w:rsidRPr="004B2B19">
              <w:t>C</w:t>
            </w:r>
            <w:r w:rsidR="00A86EC4" w:rsidRPr="004B2B19">
              <w:t>annabidiol</w:t>
            </w:r>
            <w:r w:rsidRPr="004B2B19">
              <w:t xml:space="preserve"> 10 mg/kg/day</w:t>
            </w:r>
          </w:p>
        </w:tc>
        <w:tc>
          <w:tcPr>
            <w:tcW w:w="3261" w:type="dxa"/>
          </w:tcPr>
          <w:p w14:paraId="498A98D6" w14:textId="2B0F0B7B" w:rsidR="00AE144B" w:rsidRPr="004B2B19" w:rsidRDefault="00AE144B" w:rsidP="009F4EC6">
            <w:pPr>
              <w:pStyle w:val="TableFigureHeading"/>
            </w:pPr>
            <w:r w:rsidRPr="004B2B19">
              <w:t>F</w:t>
            </w:r>
            <w:r w:rsidR="00A86EC4" w:rsidRPr="004B2B19">
              <w:t>enfluramine</w:t>
            </w:r>
            <w:r w:rsidRPr="004B2B19">
              <w:t xml:space="preserve"> 0.7 mg/kg/day vs </w:t>
            </w:r>
          </w:p>
          <w:p w14:paraId="593D6E1A" w14:textId="6E9393E6" w:rsidR="00AE144B" w:rsidRPr="004B2B19" w:rsidRDefault="00A86EC4" w:rsidP="009F4EC6">
            <w:pPr>
              <w:pStyle w:val="TableFigureHeading"/>
            </w:pPr>
            <w:r w:rsidRPr="004B2B19">
              <w:t>Cannabidiol</w:t>
            </w:r>
            <w:r w:rsidR="00AE144B" w:rsidRPr="004B2B19">
              <w:t xml:space="preserve"> 20 mg/kg/day</w:t>
            </w:r>
          </w:p>
        </w:tc>
      </w:tr>
      <w:tr w:rsidR="00AE144B" w:rsidRPr="004B2B19" w14:paraId="46F24B7D" w14:textId="77777777" w:rsidTr="009E6B65">
        <w:tc>
          <w:tcPr>
            <w:tcW w:w="2830" w:type="dxa"/>
          </w:tcPr>
          <w:p w14:paraId="699F6733" w14:textId="32494E7D" w:rsidR="00AE144B" w:rsidRPr="004B2B19" w:rsidRDefault="00AE144B" w:rsidP="009F4EC6">
            <w:pPr>
              <w:pStyle w:val="TableFigureHeading"/>
              <w:rPr>
                <w:b w:val="0"/>
                <w:bCs w:val="0"/>
              </w:rPr>
            </w:pPr>
            <w:r w:rsidRPr="004B2B19">
              <w:rPr>
                <w:b w:val="0"/>
                <w:bCs w:val="0"/>
              </w:rPr>
              <w:t>Median (95% CI) difference in % CFB in DSF (events per 28 days)</w:t>
            </w:r>
          </w:p>
        </w:tc>
        <w:tc>
          <w:tcPr>
            <w:tcW w:w="2835" w:type="dxa"/>
          </w:tcPr>
          <w:p w14:paraId="7B1A15F7" w14:textId="77777777" w:rsidR="00AE144B" w:rsidRPr="004B2B19" w:rsidRDefault="00AE144B" w:rsidP="009F4EC6">
            <w:pPr>
              <w:pStyle w:val="TableFigureHeading"/>
              <w:rPr>
                <w:b w:val="0"/>
                <w:bCs w:val="0"/>
              </w:rPr>
            </w:pPr>
            <w:r w:rsidRPr="004B2B19">
              <w:rPr>
                <w:b w:val="0"/>
                <w:bCs w:val="0"/>
              </w:rPr>
              <w:t>-0.78 (-16.97, 15.41)</w:t>
            </w:r>
          </w:p>
          <w:p w14:paraId="2346F595" w14:textId="238AC546" w:rsidR="00AE144B" w:rsidRPr="004B2B19" w:rsidRDefault="00AE144B" w:rsidP="009F4EC6">
            <w:pPr>
              <w:pStyle w:val="TableFigureHeading"/>
              <w:rPr>
                <w:b w:val="0"/>
                <w:bCs w:val="0"/>
              </w:rPr>
            </w:pPr>
            <w:r w:rsidRPr="004B2B19">
              <w:rPr>
                <w:b w:val="0"/>
                <w:bCs w:val="0"/>
              </w:rPr>
              <w:t xml:space="preserve">P = 0.92 </w:t>
            </w:r>
          </w:p>
        </w:tc>
        <w:tc>
          <w:tcPr>
            <w:tcW w:w="3261" w:type="dxa"/>
          </w:tcPr>
          <w:p w14:paraId="7D8847C4" w14:textId="77777777" w:rsidR="00AE144B" w:rsidRPr="004B2B19" w:rsidRDefault="00AE144B" w:rsidP="009F4EC6">
            <w:pPr>
              <w:pStyle w:val="TableFigureHeading"/>
              <w:rPr>
                <w:b w:val="0"/>
                <w:bCs w:val="0"/>
              </w:rPr>
            </w:pPr>
            <w:r w:rsidRPr="004B2B19">
              <w:rPr>
                <w:b w:val="0"/>
                <w:bCs w:val="0"/>
              </w:rPr>
              <w:t>-0.74 (-15.42, 13.94)</w:t>
            </w:r>
          </w:p>
          <w:p w14:paraId="0CC399DC" w14:textId="3224ED40" w:rsidR="00AE144B" w:rsidRPr="004B2B19" w:rsidRDefault="00AE144B" w:rsidP="009F4EC6">
            <w:pPr>
              <w:pStyle w:val="TableFigureHeading"/>
              <w:rPr>
                <w:b w:val="0"/>
                <w:bCs w:val="0"/>
              </w:rPr>
            </w:pPr>
            <w:r w:rsidRPr="004B2B19">
              <w:rPr>
                <w:b w:val="0"/>
                <w:bCs w:val="0"/>
              </w:rPr>
              <w:t>P = 0.92</w:t>
            </w:r>
          </w:p>
        </w:tc>
      </w:tr>
      <w:tr w:rsidR="00AE144B" w:rsidRPr="004B2B19" w14:paraId="795F2996" w14:textId="77777777" w:rsidTr="009E6B65">
        <w:tc>
          <w:tcPr>
            <w:tcW w:w="2830" w:type="dxa"/>
          </w:tcPr>
          <w:p w14:paraId="0047C891" w14:textId="77777777" w:rsidR="00AE144B" w:rsidRPr="004B2B19" w:rsidRDefault="00AE144B" w:rsidP="009F4EC6">
            <w:pPr>
              <w:pStyle w:val="TableFigureHeading"/>
              <w:rPr>
                <w:b w:val="0"/>
                <w:bCs w:val="0"/>
              </w:rPr>
            </w:pPr>
            <w:r w:rsidRPr="004B2B19">
              <w:rPr>
                <w:rFonts w:ascii="Symbol" w:eastAsia="Symbol" w:hAnsi="Symbol" w:cs="Symbol"/>
                <w:b w:val="0"/>
              </w:rPr>
              <w:t>³</w:t>
            </w:r>
            <w:r w:rsidRPr="004B2B19">
              <w:rPr>
                <w:b w:val="0"/>
                <w:bCs w:val="0"/>
              </w:rPr>
              <w:t>25% reduction of DSF from BL</w:t>
            </w:r>
          </w:p>
          <w:p w14:paraId="0ED46B29" w14:textId="77777777" w:rsidR="00AE144B" w:rsidRPr="004B2B19" w:rsidRDefault="00AE144B" w:rsidP="00AE144B">
            <w:pPr>
              <w:pStyle w:val="TableFigureHeading"/>
              <w:jc w:val="right"/>
              <w:rPr>
                <w:b w:val="0"/>
                <w:bCs w:val="0"/>
              </w:rPr>
            </w:pPr>
            <w:r w:rsidRPr="004B2B19">
              <w:rPr>
                <w:b w:val="0"/>
                <w:bCs w:val="0"/>
              </w:rPr>
              <w:t>OR (95% CI)</w:t>
            </w:r>
          </w:p>
          <w:p w14:paraId="3334F0AF" w14:textId="77777777" w:rsidR="00AE144B" w:rsidRPr="004B2B19" w:rsidRDefault="00AE144B" w:rsidP="00AE144B">
            <w:pPr>
              <w:pStyle w:val="TableFigureHeading"/>
              <w:jc w:val="right"/>
              <w:rPr>
                <w:b w:val="0"/>
                <w:bCs w:val="0"/>
              </w:rPr>
            </w:pPr>
            <w:r w:rsidRPr="004B2B19">
              <w:rPr>
                <w:b w:val="0"/>
                <w:bCs w:val="0"/>
              </w:rPr>
              <w:t>RR (95% CI)</w:t>
            </w:r>
          </w:p>
          <w:p w14:paraId="5846C796" w14:textId="72E72145" w:rsidR="00AE144B" w:rsidRPr="004B2B19" w:rsidRDefault="00AE144B" w:rsidP="00AE144B">
            <w:pPr>
              <w:pStyle w:val="TableFigureHeading"/>
              <w:jc w:val="right"/>
              <w:rPr>
                <w:b w:val="0"/>
                <w:bCs w:val="0"/>
              </w:rPr>
            </w:pPr>
            <w:r w:rsidRPr="004B2B19">
              <w:rPr>
                <w:b w:val="0"/>
                <w:bCs w:val="0"/>
              </w:rPr>
              <w:t>RD (95% CI)</w:t>
            </w:r>
          </w:p>
        </w:tc>
        <w:tc>
          <w:tcPr>
            <w:tcW w:w="2835" w:type="dxa"/>
          </w:tcPr>
          <w:p w14:paraId="2F5E378E" w14:textId="77777777" w:rsidR="00AE144B" w:rsidRPr="004B2B19" w:rsidRDefault="00AE144B" w:rsidP="009F4EC6">
            <w:pPr>
              <w:pStyle w:val="TableFigureHeading"/>
              <w:rPr>
                <w:b w:val="0"/>
                <w:bCs w:val="0"/>
              </w:rPr>
            </w:pPr>
          </w:p>
          <w:p w14:paraId="2740A5F3" w14:textId="77777777" w:rsidR="00AE144B" w:rsidRPr="004B2B19" w:rsidRDefault="00AE144B" w:rsidP="009F4EC6">
            <w:pPr>
              <w:pStyle w:val="TableFigureHeading"/>
              <w:rPr>
                <w:b w:val="0"/>
                <w:bCs w:val="0"/>
              </w:rPr>
            </w:pPr>
            <w:r w:rsidRPr="004B2B19">
              <w:rPr>
                <w:b w:val="0"/>
                <w:bCs w:val="0"/>
              </w:rPr>
              <w:t>1.02 (0.42, 2.51)</w:t>
            </w:r>
          </w:p>
          <w:p w14:paraId="03093EF8" w14:textId="77777777" w:rsidR="00AE144B" w:rsidRPr="004B2B19" w:rsidRDefault="00AE144B" w:rsidP="009F4EC6">
            <w:pPr>
              <w:pStyle w:val="TableFigureHeading"/>
              <w:rPr>
                <w:b w:val="0"/>
                <w:bCs w:val="0"/>
              </w:rPr>
            </w:pPr>
            <w:r w:rsidRPr="004B2B19">
              <w:rPr>
                <w:b w:val="0"/>
                <w:bCs w:val="0"/>
              </w:rPr>
              <w:t>1.12 (0.69, 1.83)</w:t>
            </w:r>
          </w:p>
          <w:p w14:paraId="2E63A2C8" w14:textId="311A8218" w:rsidR="00AE144B" w:rsidRPr="004B2B19" w:rsidRDefault="00AE144B" w:rsidP="009F4EC6">
            <w:pPr>
              <w:pStyle w:val="TableFigureHeading"/>
              <w:rPr>
                <w:b w:val="0"/>
                <w:bCs w:val="0"/>
              </w:rPr>
            </w:pPr>
            <w:r w:rsidRPr="004B2B19">
              <w:rPr>
                <w:b w:val="0"/>
                <w:bCs w:val="0"/>
              </w:rPr>
              <w:t>0.00 (-0.16, 0.18)</w:t>
            </w:r>
          </w:p>
        </w:tc>
        <w:tc>
          <w:tcPr>
            <w:tcW w:w="3261" w:type="dxa"/>
          </w:tcPr>
          <w:p w14:paraId="1719AE4E" w14:textId="77777777" w:rsidR="009E6B65" w:rsidRPr="004B2B19" w:rsidRDefault="009E6B65" w:rsidP="009F4EC6">
            <w:pPr>
              <w:pStyle w:val="TableFigureHeading"/>
              <w:rPr>
                <w:b w:val="0"/>
                <w:bCs w:val="0"/>
              </w:rPr>
            </w:pPr>
          </w:p>
          <w:p w14:paraId="0AC825CD" w14:textId="073BAAF2" w:rsidR="00AE144B" w:rsidRPr="004B2B19" w:rsidRDefault="00AE144B" w:rsidP="009F4EC6">
            <w:pPr>
              <w:pStyle w:val="TableFigureHeading"/>
              <w:rPr>
                <w:b w:val="0"/>
                <w:bCs w:val="0"/>
              </w:rPr>
            </w:pPr>
            <w:r w:rsidRPr="004B2B19">
              <w:rPr>
                <w:b w:val="0"/>
                <w:bCs w:val="0"/>
              </w:rPr>
              <w:t>1.03 (</w:t>
            </w:r>
            <w:r w:rsidR="00A86EC4" w:rsidRPr="004B2B19">
              <w:rPr>
                <w:b w:val="0"/>
                <w:bCs w:val="0"/>
              </w:rPr>
              <w:t>0.48, 2.2)</w:t>
            </w:r>
          </w:p>
          <w:p w14:paraId="6A840AC0" w14:textId="77777777" w:rsidR="00A86EC4" w:rsidRPr="004B2B19" w:rsidRDefault="00A86EC4" w:rsidP="009F4EC6">
            <w:pPr>
              <w:pStyle w:val="TableFigureHeading"/>
              <w:rPr>
                <w:b w:val="0"/>
                <w:bCs w:val="0"/>
              </w:rPr>
            </w:pPr>
            <w:r w:rsidRPr="004B2B19">
              <w:rPr>
                <w:b w:val="0"/>
                <w:bCs w:val="0"/>
              </w:rPr>
              <w:t>1.12 (0.73, 1.73)</w:t>
            </w:r>
          </w:p>
          <w:p w14:paraId="28C06E96" w14:textId="2D575F81" w:rsidR="00A86EC4" w:rsidRPr="004B2B19" w:rsidRDefault="00A86EC4" w:rsidP="009F4EC6">
            <w:pPr>
              <w:pStyle w:val="TableFigureHeading"/>
              <w:rPr>
                <w:b w:val="0"/>
                <w:bCs w:val="0"/>
              </w:rPr>
            </w:pPr>
            <w:r w:rsidRPr="004B2B19">
              <w:rPr>
                <w:b w:val="0"/>
                <w:bCs w:val="0"/>
              </w:rPr>
              <w:t>0.01 (-0.16, 0.18)</w:t>
            </w:r>
          </w:p>
        </w:tc>
      </w:tr>
      <w:tr w:rsidR="00AE144B" w:rsidRPr="004B2B19" w14:paraId="3CAC4BC9" w14:textId="77777777" w:rsidTr="009E6B65">
        <w:tc>
          <w:tcPr>
            <w:tcW w:w="2830" w:type="dxa"/>
          </w:tcPr>
          <w:p w14:paraId="64D509A5" w14:textId="022BD8A3" w:rsidR="00AE144B" w:rsidRPr="004B2B19" w:rsidRDefault="00AE144B" w:rsidP="00AE144B">
            <w:pPr>
              <w:pStyle w:val="TableFigureHeading"/>
              <w:rPr>
                <w:b w:val="0"/>
                <w:bCs w:val="0"/>
              </w:rPr>
            </w:pPr>
            <w:r w:rsidRPr="004B2B19">
              <w:rPr>
                <w:rFonts w:ascii="Symbol" w:eastAsia="Symbol" w:hAnsi="Symbol" w:cs="Symbol"/>
                <w:b w:val="0"/>
              </w:rPr>
              <w:t>³</w:t>
            </w:r>
            <w:r w:rsidRPr="004B2B19">
              <w:rPr>
                <w:b w:val="0"/>
                <w:bCs w:val="0"/>
              </w:rPr>
              <w:t>50% reduction of DSF from BL</w:t>
            </w:r>
          </w:p>
          <w:p w14:paraId="5BDFE7D7" w14:textId="77777777" w:rsidR="00AE144B" w:rsidRPr="004B2B19" w:rsidRDefault="00AE144B" w:rsidP="00AE144B">
            <w:pPr>
              <w:pStyle w:val="TableFigureHeading"/>
              <w:jc w:val="right"/>
              <w:rPr>
                <w:b w:val="0"/>
                <w:bCs w:val="0"/>
              </w:rPr>
            </w:pPr>
            <w:r w:rsidRPr="004B2B19">
              <w:rPr>
                <w:b w:val="0"/>
                <w:bCs w:val="0"/>
              </w:rPr>
              <w:t>OR (95% CI)</w:t>
            </w:r>
          </w:p>
          <w:p w14:paraId="37CE0856" w14:textId="77777777" w:rsidR="00AE144B" w:rsidRPr="004B2B19" w:rsidRDefault="00AE144B" w:rsidP="00AE144B">
            <w:pPr>
              <w:pStyle w:val="TableFigureHeading"/>
              <w:jc w:val="right"/>
              <w:rPr>
                <w:b w:val="0"/>
                <w:bCs w:val="0"/>
              </w:rPr>
            </w:pPr>
            <w:r w:rsidRPr="004B2B19">
              <w:rPr>
                <w:b w:val="0"/>
                <w:bCs w:val="0"/>
              </w:rPr>
              <w:t>RR (95% CI)</w:t>
            </w:r>
          </w:p>
          <w:p w14:paraId="52CB4911" w14:textId="76228DED" w:rsidR="00AE144B" w:rsidRPr="004B2B19" w:rsidRDefault="00AE144B" w:rsidP="00AE144B">
            <w:pPr>
              <w:pStyle w:val="TableFigureHeading"/>
              <w:jc w:val="right"/>
              <w:rPr>
                <w:b w:val="0"/>
                <w:bCs w:val="0"/>
              </w:rPr>
            </w:pPr>
            <w:r w:rsidRPr="004B2B19">
              <w:rPr>
                <w:b w:val="0"/>
                <w:bCs w:val="0"/>
              </w:rPr>
              <w:t>RD (95% CI)</w:t>
            </w:r>
          </w:p>
        </w:tc>
        <w:tc>
          <w:tcPr>
            <w:tcW w:w="2835" w:type="dxa"/>
          </w:tcPr>
          <w:p w14:paraId="61EF0B6A" w14:textId="77777777" w:rsidR="00AE144B" w:rsidRPr="004B2B19" w:rsidRDefault="00AE144B" w:rsidP="00AE144B">
            <w:pPr>
              <w:pStyle w:val="TableFigureHeading"/>
              <w:rPr>
                <w:b w:val="0"/>
                <w:bCs w:val="0"/>
              </w:rPr>
            </w:pPr>
          </w:p>
          <w:p w14:paraId="4D18D8D0" w14:textId="77777777" w:rsidR="00AE144B" w:rsidRPr="004B2B19" w:rsidRDefault="00AE144B" w:rsidP="00AE144B">
            <w:pPr>
              <w:pStyle w:val="TableFigureHeading"/>
              <w:rPr>
                <w:b w:val="0"/>
                <w:bCs w:val="0"/>
              </w:rPr>
            </w:pPr>
            <w:r w:rsidRPr="004B2B19">
              <w:rPr>
                <w:b w:val="0"/>
                <w:bCs w:val="0"/>
              </w:rPr>
              <w:t>1.09 (0.34, 3.47)</w:t>
            </w:r>
          </w:p>
          <w:p w14:paraId="4D429048" w14:textId="77777777" w:rsidR="00AE144B" w:rsidRPr="004B2B19" w:rsidRDefault="00AE144B" w:rsidP="00AE144B">
            <w:pPr>
              <w:pStyle w:val="TableFigureHeading"/>
              <w:rPr>
                <w:b w:val="0"/>
                <w:bCs w:val="0"/>
              </w:rPr>
            </w:pPr>
            <w:r w:rsidRPr="004B2B19">
              <w:rPr>
                <w:b w:val="0"/>
                <w:bCs w:val="0"/>
              </w:rPr>
              <w:t>1.17 (0.44, 3.11)</w:t>
            </w:r>
          </w:p>
          <w:p w14:paraId="5BBEE877" w14:textId="0DA60981" w:rsidR="00AE144B" w:rsidRPr="004B2B19" w:rsidRDefault="00AE144B" w:rsidP="00AE144B">
            <w:pPr>
              <w:pStyle w:val="TableFigureHeading"/>
              <w:rPr>
                <w:b w:val="0"/>
                <w:bCs w:val="0"/>
              </w:rPr>
            </w:pPr>
            <w:r w:rsidRPr="004B2B19">
              <w:rPr>
                <w:b w:val="0"/>
                <w:bCs w:val="0"/>
              </w:rPr>
              <w:t>-0.04 (-0.21, 0.13)</w:t>
            </w:r>
          </w:p>
        </w:tc>
        <w:tc>
          <w:tcPr>
            <w:tcW w:w="3261" w:type="dxa"/>
          </w:tcPr>
          <w:p w14:paraId="1F8C9E07" w14:textId="77777777" w:rsidR="009E6B65" w:rsidRPr="004B2B19" w:rsidRDefault="009E6B65" w:rsidP="00AE144B">
            <w:pPr>
              <w:pStyle w:val="TableFigureHeading"/>
              <w:rPr>
                <w:b w:val="0"/>
                <w:bCs w:val="0"/>
              </w:rPr>
            </w:pPr>
          </w:p>
          <w:p w14:paraId="02C521C7" w14:textId="78A6515F" w:rsidR="00AE144B" w:rsidRPr="004B2B19" w:rsidRDefault="00AE144B" w:rsidP="00AE144B">
            <w:pPr>
              <w:pStyle w:val="TableFigureHeading"/>
              <w:rPr>
                <w:b w:val="0"/>
                <w:bCs w:val="0"/>
              </w:rPr>
            </w:pPr>
            <w:r w:rsidRPr="004B2B19">
              <w:rPr>
                <w:b w:val="0"/>
                <w:bCs w:val="0"/>
              </w:rPr>
              <w:t>1.17 (0.43, 3.15)</w:t>
            </w:r>
          </w:p>
          <w:p w14:paraId="5FAD8DC8" w14:textId="77777777" w:rsidR="00AE144B" w:rsidRPr="004B2B19" w:rsidRDefault="00AE144B" w:rsidP="00AE144B">
            <w:pPr>
              <w:pStyle w:val="TableFigureHeading"/>
              <w:rPr>
                <w:b w:val="0"/>
                <w:bCs w:val="0"/>
              </w:rPr>
            </w:pPr>
            <w:r w:rsidRPr="004B2B19">
              <w:rPr>
                <w:b w:val="0"/>
                <w:bCs w:val="0"/>
              </w:rPr>
              <w:t>1.35 (0.59, 3.09)</w:t>
            </w:r>
          </w:p>
          <w:p w14:paraId="18DEF6BC" w14:textId="20251E3B" w:rsidR="00AE144B" w:rsidRPr="004B2B19" w:rsidRDefault="00AE144B" w:rsidP="00AE144B">
            <w:pPr>
              <w:pStyle w:val="TableFigureHeading"/>
              <w:rPr>
                <w:b w:val="0"/>
                <w:bCs w:val="0"/>
              </w:rPr>
            </w:pPr>
            <w:r w:rsidRPr="004B2B19">
              <w:rPr>
                <w:b w:val="0"/>
                <w:bCs w:val="0"/>
              </w:rPr>
              <w:t>-0.06 (-0.21, 0.09)</w:t>
            </w:r>
          </w:p>
        </w:tc>
      </w:tr>
      <w:tr w:rsidR="00AE144B" w:rsidRPr="004B2B19" w14:paraId="2B756CD1" w14:textId="77777777" w:rsidTr="009E6B65">
        <w:tc>
          <w:tcPr>
            <w:tcW w:w="2830" w:type="dxa"/>
          </w:tcPr>
          <w:p w14:paraId="264921E3" w14:textId="34B316B3" w:rsidR="00AE144B" w:rsidRPr="004B2B19" w:rsidRDefault="00AE144B" w:rsidP="00AE144B">
            <w:pPr>
              <w:pStyle w:val="TableFigureHeading"/>
              <w:rPr>
                <w:b w:val="0"/>
                <w:bCs w:val="0"/>
              </w:rPr>
            </w:pPr>
            <w:r w:rsidRPr="004B2B19">
              <w:rPr>
                <w:rFonts w:ascii="Symbol" w:eastAsia="Symbol" w:hAnsi="Symbol" w:cs="Symbol"/>
                <w:b w:val="0"/>
              </w:rPr>
              <w:t>³</w:t>
            </w:r>
            <w:r w:rsidRPr="004B2B19">
              <w:rPr>
                <w:b w:val="0"/>
                <w:bCs w:val="0"/>
              </w:rPr>
              <w:t>75% reduction of DSF from BL</w:t>
            </w:r>
          </w:p>
          <w:p w14:paraId="5EA5BF0E" w14:textId="77777777" w:rsidR="00AE144B" w:rsidRPr="004B2B19" w:rsidRDefault="00AE144B" w:rsidP="00AE144B">
            <w:pPr>
              <w:pStyle w:val="TableFigureHeading"/>
              <w:jc w:val="right"/>
              <w:rPr>
                <w:b w:val="0"/>
                <w:bCs w:val="0"/>
              </w:rPr>
            </w:pPr>
            <w:r w:rsidRPr="004B2B19">
              <w:rPr>
                <w:b w:val="0"/>
                <w:bCs w:val="0"/>
              </w:rPr>
              <w:t>OR (95% CI)</w:t>
            </w:r>
          </w:p>
          <w:p w14:paraId="179F61C4" w14:textId="77777777" w:rsidR="00AE144B" w:rsidRPr="004B2B19" w:rsidRDefault="00AE144B" w:rsidP="00AE144B">
            <w:pPr>
              <w:pStyle w:val="TableFigureHeading"/>
              <w:jc w:val="right"/>
              <w:rPr>
                <w:b w:val="0"/>
                <w:bCs w:val="0"/>
              </w:rPr>
            </w:pPr>
            <w:r w:rsidRPr="004B2B19">
              <w:rPr>
                <w:b w:val="0"/>
                <w:bCs w:val="0"/>
              </w:rPr>
              <w:t>RR (95% CI)</w:t>
            </w:r>
          </w:p>
          <w:p w14:paraId="38E42E6B" w14:textId="58766256" w:rsidR="00AE144B" w:rsidRPr="004B2B19" w:rsidRDefault="00AE144B" w:rsidP="00AE144B">
            <w:pPr>
              <w:pStyle w:val="TableFigureHeading"/>
              <w:jc w:val="right"/>
              <w:rPr>
                <w:b w:val="0"/>
                <w:bCs w:val="0"/>
              </w:rPr>
            </w:pPr>
            <w:r w:rsidRPr="004B2B19">
              <w:rPr>
                <w:b w:val="0"/>
                <w:bCs w:val="0"/>
              </w:rPr>
              <w:t>RD (95% CI)</w:t>
            </w:r>
          </w:p>
        </w:tc>
        <w:tc>
          <w:tcPr>
            <w:tcW w:w="2835" w:type="dxa"/>
          </w:tcPr>
          <w:p w14:paraId="3771E32F" w14:textId="77777777" w:rsidR="00AE144B" w:rsidRPr="004B2B19" w:rsidRDefault="00AE144B" w:rsidP="00AE144B">
            <w:pPr>
              <w:pStyle w:val="TableFigureHeading"/>
              <w:rPr>
                <w:b w:val="0"/>
                <w:bCs w:val="0"/>
              </w:rPr>
            </w:pPr>
          </w:p>
          <w:p w14:paraId="45F2D715" w14:textId="77777777" w:rsidR="00A86EC4" w:rsidRPr="004B2B19" w:rsidRDefault="00A86EC4" w:rsidP="00AE144B">
            <w:pPr>
              <w:pStyle w:val="TableFigureHeading"/>
              <w:rPr>
                <w:b w:val="0"/>
                <w:bCs w:val="0"/>
              </w:rPr>
            </w:pPr>
            <w:r w:rsidRPr="004B2B19">
              <w:rPr>
                <w:b w:val="0"/>
                <w:bCs w:val="0"/>
              </w:rPr>
              <w:t>0.54 (0.07, 4.2)</w:t>
            </w:r>
          </w:p>
          <w:p w14:paraId="555DF1F3" w14:textId="77777777" w:rsidR="00A86EC4" w:rsidRPr="004B2B19" w:rsidRDefault="00A86EC4" w:rsidP="00AE144B">
            <w:pPr>
              <w:pStyle w:val="TableFigureHeading"/>
              <w:rPr>
                <w:b w:val="0"/>
                <w:bCs w:val="0"/>
              </w:rPr>
            </w:pPr>
            <w:r w:rsidRPr="004B2B19">
              <w:rPr>
                <w:b w:val="0"/>
                <w:bCs w:val="0"/>
              </w:rPr>
              <w:t>0.56 (0.07, 4.19)</w:t>
            </w:r>
          </w:p>
          <w:p w14:paraId="24D594E4" w14:textId="3B62F2F6" w:rsidR="00A86EC4" w:rsidRPr="004B2B19" w:rsidRDefault="00A86EC4" w:rsidP="00AE144B">
            <w:pPr>
              <w:pStyle w:val="TableFigureHeading"/>
              <w:rPr>
                <w:b w:val="0"/>
                <w:bCs w:val="0"/>
              </w:rPr>
            </w:pPr>
            <w:r w:rsidRPr="004B2B19">
              <w:rPr>
                <w:b w:val="0"/>
                <w:bCs w:val="0"/>
              </w:rPr>
              <w:t>-0.03 (-0.13, 0.07)</w:t>
            </w:r>
          </w:p>
        </w:tc>
        <w:tc>
          <w:tcPr>
            <w:tcW w:w="3261" w:type="dxa"/>
          </w:tcPr>
          <w:p w14:paraId="16DC549F" w14:textId="77777777" w:rsidR="00AE144B" w:rsidRPr="004B2B19" w:rsidRDefault="00AE144B" w:rsidP="00AE144B">
            <w:pPr>
              <w:pStyle w:val="TableFigureHeading"/>
              <w:rPr>
                <w:b w:val="0"/>
                <w:bCs w:val="0"/>
              </w:rPr>
            </w:pPr>
          </w:p>
          <w:p w14:paraId="1FB7C490" w14:textId="77777777" w:rsidR="00A86EC4" w:rsidRPr="004B2B19" w:rsidRDefault="00A86EC4" w:rsidP="00AE144B">
            <w:pPr>
              <w:pStyle w:val="TableFigureHeading"/>
              <w:rPr>
                <w:b w:val="0"/>
                <w:bCs w:val="0"/>
              </w:rPr>
            </w:pPr>
            <w:r w:rsidRPr="004B2B19">
              <w:rPr>
                <w:b w:val="0"/>
                <w:bCs w:val="0"/>
              </w:rPr>
              <w:t>0.47 (0.07, 3.34)</w:t>
            </w:r>
          </w:p>
          <w:p w14:paraId="0ED8073D" w14:textId="77777777" w:rsidR="00A86EC4" w:rsidRPr="004B2B19" w:rsidRDefault="00A86EC4" w:rsidP="00AE144B">
            <w:pPr>
              <w:pStyle w:val="TableFigureHeading"/>
              <w:rPr>
                <w:b w:val="0"/>
                <w:bCs w:val="0"/>
              </w:rPr>
            </w:pPr>
            <w:r w:rsidRPr="004B2B19">
              <w:rPr>
                <w:b w:val="0"/>
                <w:bCs w:val="0"/>
              </w:rPr>
              <w:t>0.55 (0.09, 3.6)</w:t>
            </w:r>
          </w:p>
          <w:p w14:paraId="790AB958" w14:textId="42D7B8D8" w:rsidR="00A86EC4" w:rsidRPr="004B2B19" w:rsidRDefault="00A86EC4" w:rsidP="00AE144B">
            <w:pPr>
              <w:pStyle w:val="TableFigureHeading"/>
              <w:rPr>
                <w:b w:val="0"/>
                <w:bCs w:val="0"/>
              </w:rPr>
            </w:pPr>
            <w:r w:rsidRPr="004B2B19">
              <w:rPr>
                <w:b w:val="0"/>
                <w:bCs w:val="0"/>
              </w:rPr>
              <w:t>-0.12 (-0.25, 0.01)</w:t>
            </w:r>
          </w:p>
        </w:tc>
      </w:tr>
    </w:tbl>
    <w:p w14:paraId="7E7289A0" w14:textId="77777777" w:rsidR="00A86EC4" w:rsidRPr="004B2B19" w:rsidRDefault="00A86EC4" w:rsidP="00A86EC4">
      <w:pPr>
        <w:pStyle w:val="TableFigureFooter"/>
      </w:pPr>
      <w:r w:rsidRPr="004B2B19">
        <w:t xml:space="preserve">Source: Table 2-56, p120 of the submission. </w:t>
      </w:r>
    </w:p>
    <w:p w14:paraId="57B32C03" w14:textId="041C33DE" w:rsidR="00A86EC4" w:rsidRPr="004B2B19" w:rsidRDefault="00A86EC4" w:rsidP="00A86EC4">
      <w:pPr>
        <w:pStyle w:val="TableFigureFooter"/>
      </w:pPr>
      <w:r w:rsidRPr="004B2B19">
        <w:t xml:space="preserve">BL = baseline; CFB = change from baseline; CI = confidence interval; DSF = drop seizure frequency; OR = odds ratio; RD = risk difference; RR = risk ratio. </w:t>
      </w:r>
    </w:p>
    <w:p w14:paraId="5D03BF57" w14:textId="0A42A1E2" w:rsidR="00F750F9" w:rsidRPr="004B2B19" w:rsidRDefault="00F750F9" w:rsidP="00F750F9">
      <w:pPr>
        <w:pStyle w:val="3-BodyText"/>
      </w:pPr>
      <w:r w:rsidRPr="004B2B19">
        <w:t xml:space="preserve">Most outcome measures showed clinically insignificant differences between FEN and CBD. </w:t>
      </w:r>
    </w:p>
    <w:p w14:paraId="1452C351" w14:textId="0D19F1B0" w:rsidR="00B60939" w:rsidRPr="004B2B19" w:rsidRDefault="00B60939" w:rsidP="00D86231">
      <w:pPr>
        <w:pStyle w:val="4-SubsectionHeading"/>
      </w:pPr>
      <w:bookmarkStart w:id="36" w:name="_Toc22897642"/>
      <w:bookmarkStart w:id="37" w:name="_Toc208980612"/>
      <w:r w:rsidRPr="004B2B19">
        <w:t>Comparative harms</w:t>
      </w:r>
      <w:bookmarkEnd w:id="36"/>
      <w:bookmarkEnd w:id="37"/>
    </w:p>
    <w:p w14:paraId="7F3965B1" w14:textId="04C44E94" w:rsidR="00FD2CB8" w:rsidRPr="004B2B19" w:rsidRDefault="00FD2CB8" w:rsidP="00FD2CB8">
      <w:pPr>
        <w:pStyle w:val="5-SubsectionSubheading"/>
        <w:rPr>
          <w:lang w:eastAsia="en-US"/>
        </w:rPr>
      </w:pPr>
      <w:bookmarkStart w:id="38" w:name="_Toc208980613"/>
      <w:r w:rsidRPr="004B2B19">
        <w:rPr>
          <w:lang w:eastAsia="en-US"/>
        </w:rPr>
        <w:t>Fenfluramine</w:t>
      </w:r>
      <w:bookmarkEnd w:id="38"/>
    </w:p>
    <w:p w14:paraId="243C4108" w14:textId="2F17467F" w:rsidR="00E0649C" w:rsidRPr="004B2B19" w:rsidRDefault="00E0649C" w:rsidP="00E0649C">
      <w:pPr>
        <w:pStyle w:val="3-BodyText"/>
        <w:rPr>
          <w:lang w:eastAsia="en-US"/>
        </w:rPr>
      </w:pPr>
      <w:r w:rsidRPr="004B2B19">
        <w:rPr>
          <w:lang w:eastAsia="en-US"/>
        </w:rPr>
        <w:t>Adverse events reported in the trial are shown in</w:t>
      </w:r>
      <w:r w:rsidR="004016CA" w:rsidRPr="004B2B19">
        <w:rPr>
          <w:lang w:eastAsia="en-US"/>
        </w:rPr>
        <w:t xml:space="preserve"> </w:t>
      </w:r>
      <w:r w:rsidR="004016CA" w:rsidRPr="004B2B19">
        <w:rPr>
          <w:lang w:eastAsia="en-US"/>
        </w:rPr>
        <w:fldChar w:fldCharType="begin"/>
      </w:r>
      <w:r w:rsidR="004016CA" w:rsidRPr="004B2B19">
        <w:rPr>
          <w:lang w:eastAsia="en-US"/>
        </w:rPr>
        <w:instrText xml:space="preserve"> REF _Ref204688795 \h </w:instrText>
      </w:r>
      <w:r w:rsidR="004B2B19" w:rsidRPr="004B2B19">
        <w:rPr>
          <w:lang w:eastAsia="en-US"/>
        </w:rPr>
        <w:instrText xml:space="preserve"> \* MERGEFORMAT </w:instrText>
      </w:r>
      <w:r w:rsidR="004016CA" w:rsidRPr="004B2B19">
        <w:rPr>
          <w:lang w:eastAsia="en-US"/>
        </w:rPr>
      </w:r>
      <w:r w:rsidR="004016CA" w:rsidRPr="004B2B19">
        <w:rPr>
          <w:lang w:eastAsia="en-US"/>
        </w:rPr>
        <w:fldChar w:fldCharType="separate"/>
      </w:r>
      <w:r w:rsidR="00A037BC" w:rsidRPr="004B2B19">
        <w:t xml:space="preserve">Table </w:t>
      </w:r>
      <w:r w:rsidR="00A037BC">
        <w:rPr>
          <w:noProof/>
        </w:rPr>
        <w:t>7</w:t>
      </w:r>
      <w:r w:rsidR="004016CA" w:rsidRPr="004B2B19">
        <w:rPr>
          <w:lang w:eastAsia="en-US"/>
        </w:rPr>
        <w:fldChar w:fldCharType="end"/>
      </w:r>
      <w:r w:rsidRPr="004B2B19">
        <w:rPr>
          <w:lang w:eastAsia="en-US"/>
        </w:rPr>
        <w:t xml:space="preserve">. </w:t>
      </w:r>
    </w:p>
    <w:p w14:paraId="310B2246" w14:textId="43E0504F" w:rsidR="00B60939" w:rsidRPr="004B2B19" w:rsidRDefault="004016CA" w:rsidP="0039258B">
      <w:pPr>
        <w:pStyle w:val="Caption"/>
        <w:rPr>
          <w:rStyle w:val="CommentReference"/>
          <w:b/>
          <w:szCs w:val="24"/>
        </w:rPr>
      </w:pPr>
      <w:bookmarkStart w:id="39" w:name="_Ref204688795"/>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7</w:t>
      </w:r>
      <w:r w:rsidR="00057B46" w:rsidRPr="004B2B19">
        <w:rPr>
          <w:noProof/>
        </w:rPr>
        <w:fldChar w:fldCharType="end"/>
      </w:r>
      <w:bookmarkEnd w:id="39"/>
      <w:r w:rsidRPr="004B2B19">
        <w:t xml:space="preserve">: </w:t>
      </w:r>
      <w:r w:rsidR="005D26B4" w:rsidRPr="004B2B19">
        <w:rPr>
          <w:rStyle w:val="CommentReference"/>
          <w:b/>
          <w:szCs w:val="24"/>
        </w:rPr>
        <w:t xml:space="preserve">Summary of key adverse events in </w:t>
      </w:r>
      <w:r w:rsidR="00E233B9" w:rsidRPr="004B2B19">
        <w:rPr>
          <w:rStyle w:val="CommentReference"/>
          <w:b/>
          <w:szCs w:val="24"/>
        </w:rPr>
        <w:t>Study 1601, Part 1</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key adverse events in Study 1601, Part 1"/>
      </w:tblPr>
      <w:tblGrid>
        <w:gridCol w:w="2331"/>
        <w:gridCol w:w="2231"/>
        <w:gridCol w:w="2234"/>
        <w:gridCol w:w="2234"/>
      </w:tblGrid>
      <w:tr w:rsidR="00E233B9" w:rsidRPr="004B2B19" w14:paraId="3ADA51C0" w14:textId="77777777" w:rsidTr="00E233B9">
        <w:trPr>
          <w:cantSplit/>
          <w:tblHeader/>
        </w:trPr>
        <w:tc>
          <w:tcPr>
            <w:tcW w:w="2331" w:type="dxa"/>
            <w:vAlign w:val="center"/>
          </w:tcPr>
          <w:p w14:paraId="21B479AB" w14:textId="7326F066" w:rsidR="00E233B9" w:rsidRPr="004B2B19" w:rsidRDefault="00E233B9" w:rsidP="0039258B">
            <w:pPr>
              <w:pStyle w:val="Tabletext"/>
              <w:keepNext/>
              <w:keepLines/>
            </w:pPr>
          </w:p>
        </w:tc>
        <w:tc>
          <w:tcPr>
            <w:tcW w:w="2231" w:type="dxa"/>
            <w:vAlign w:val="center"/>
          </w:tcPr>
          <w:p w14:paraId="04943159" w14:textId="77777777" w:rsidR="00E233B9" w:rsidRPr="004B2B19" w:rsidRDefault="00E233B9" w:rsidP="003B4837">
            <w:pPr>
              <w:pStyle w:val="In-tableHeading"/>
            </w:pPr>
            <w:r w:rsidRPr="004B2B19">
              <w:t xml:space="preserve">Fenfluramine </w:t>
            </w:r>
          </w:p>
          <w:p w14:paraId="356821C7" w14:textId="77777777" w:rsidR="00E233B9" w:rsidRPr="004B2B19" w:rsidRDefault="00E233B9" w:rsidP="003B4837">
            <w:pPr>
              <w:pStyle w:val="In-tableHeading"/>
            </w:pPr>
            <w:r w:rsidRPr="004B2B19">
              <w:t>0.2 mg/kg/day</w:t>
            </w:r>
          </w:p>
          <w:p w14:paraId="25AE8D22" w14:textId="0E4E4131" w:rsidR="00E233B9" w:rsidRPr="004B2B19" w:rsidRDefault="00E233B9" w:rsidP="003B4837">
            <w:pPr>
              <w:pStyle w:val="In-tableHeading"/>
            </w:pPr>
            <w:r w:rsidRPr="004B2B19">
              <w:t>N = 89</w:t>
            </w:r>
          </w:p>
        </w:tc>
        <w:tc>
          <w:tcPr>
            <w:tcW w:w="2234" w:type="dxa"/>
          </w:tcPr>
          <w:p w14:paraId="61F16430" w14:textId="77777777" w:rsidR="00E233B9" w:rsidRPr="004B2B19" w:rsidRDefault="00E233B9" w:rsidP="003B4837">
            <w:pPr>
              <w:pStyle w:val="In-tableHeading"/>
            </w:pPr>
            <w:r w:rsidRPr="004B2B19">
              <w:t xml:space="preserve">Fenfluramine </w:t>
            </w:r>
          </w:p>
          <w:p w14:paraId="0E9E3E85" w14:textId="77777777" w:rsidR="00E233B9" w:rsidRPr="004B2B19" w:rsidRDefault="00E233B9" w:rsidP="003B4837">
            <w:pPr>
              <w:pStyle w:val="In-tableHeading"/>
            </w:pPr>
            <w:r w:rsidRPr="004B2B19">
              <w:t>0.7 mg/kg/day</w:t>
            </w:r>
          </w:p>
          <w:p w14:paraId="157BC26B" w14:textId="311BB291" w:rsidR="00E233B9" w:rsidRPr="004B2B19" w:rsidRDefault="00E233B9" w:rsidP="003B4837">
            <w:pPr>
              <w:pStyle w:val="In-tableHeading"/>
            </w:pPr>
            <w:r w:rsidRPr="004B2B19">
              <w:t>N = 87</w:t>
            </w:r>
          </w:p>
        </w:tc>
        <w:tc>
          <w:tcPr>
            <w:tcW w:w="2234" w:type="dxa"/>
            <w:vAlign w:val="center"/>
          </w:tcPr>
          <w:p w14:paraId="7E87822E" w14:textId="77777777" w:rsidR="00E233B9" w:rsidRPr="004B2B19" w:rsidRDefault="00E233B9" w:rsidP="003B4837">
            <w:pPr>
              <w:pStyle w:val="In-tableHeading"/>
            </w:pPr>
            <w:r w:rsidRPr="004B2B19">
              <w:t>Placebo</w:t>
            </w:r>
          </w:p>
          <w:p w14:paraId="3D94778C" w14:textId="2989C494" w:rsidR="00E233B9" w:rsidRPr="004B2B19" w:rsidRDefault="00E233B9" w:rsidP="003B4837">
            <w:pPr>
              <w:pStyle w:val="In-tableHeading"/>
            </w:pPr>
            <w:r w:rsidRPr="004B2B19">
              <w:t>N = 87</w:t>
            </w:r>
          </w:p>
        </w:tc>
      </w:tr>
      <w:tr w:rsidR="00E233B9" w:rsidRPr="004B2B19" w14:paraId="222746FA" w14:textId="77777777" w:rsidTr="00E233B9">
        <w:trPr>
          <w:cantSplit/>
        </w:trPr>
        <w:tc>
          <w:tcPr>
            <w:tcW w:w="2331" w:type="dxa"/>
            <w:vAlign w:val="center"/>
          </w:tcPr>
          <w:p w14:paraId="3823D7CF" w14:textId="1C76F9BB" w:rsidR="00E233B9" w:rsidRPr="004B2B19" w:rsidRDefault="00E233B9" w:rsidP="0039258B">
            <w:pPr>
              <w:pStyle w:val="Tabletext"/>
              <w:keepNext/>
              <w:keepLines/>
            </w:pPr>
            <w:r w:rsidRPr="004B2B19">
              <w:t>Subjects with any TEAE, n (%)</w:t>
            </w:r>
          </w:p>
        </w:tc>
        <w:tc>
          <w:tcPr>
            <w:tcW w:w="2231" w:type="dxa"/>
            <w:vAlign w:val="center"/>
          </w:tcPr>
          <w:p w14:paraId="521AF77D" w14:textId="6B0C5370" w:rsidR="00E233B9" w:rsidRPr="004B2B19" w:rsidRDefault="00E233B9" w:rsidP="0039258B">
            <w:pPr>
              <w:pStyle w:val="Tabletext"/>
              <w:keepNext/>
              <w:keepLines/>
            </w:pPr>
            <w:r w:rsidRPr="004B2B19">
              <w:t>69 (77.5%)</w:t>
            </w:r>
          </w:p>
        </w:tc>
        <w:tc>
          <w:tcPr>
            <w:tcW w:w="2234" w:type="dxa"/>
          </w:tcPr>
          <w:p w14:paraId="7FD6DD24" w14:textId="3CC3873F" w:rsidR="00E233B9" w:rsidRPr="004B2B19" w:rsidRDefault="00E233B9" w:rsidP="0039258B">
            <w:pPr>
              <w:pStyle w:val="Tabletext"/>
              <w:keepNext/>
              <w:keepLines/>
            </w:pPr>
            <w:r w:rsidRPr="004B2B19">
              <w:t>78 (89.7%)</w:t>
            </w:r>
          </w:p>
        </w:tc>
        <w:tc>
          <w:tcPr>
            <w:tcW w:w="2234" w:type="dxa"/>
            <w:vAlign w:val="center"/>
          </w:tcPr>
          <w:p w14:paraId="6F9567B3" w14:textId="0BD2098A" w:rsidR="00E233B9" w:rsidRPr="004B2B19" w:rsidRDefault="00E233B9" w:rsidP="0039258B">
            <w:pPr>
              <w:pStyle w:val="Tabletext"/>
              <w:keepNext/>
              <w:keepLines/>
            </w:pPr>
            <w:r w:rsidRPr="004B2B19">
              <w:t>65 (74.7%)</w:t>
            </w:r>
          </w:p>
        </w:tc>
      </w:tr>
      <w:tr w:rsidR="00E233B9" w:rsidRPr="004B2B19" w14:paraId="0384327F" w14:textId="77777777" w:rsidTr="00E233B9">
        <w:trPr>
          <w:cantSplit/>
        </w:trPr>
        <w:tc>
          <w:tcPr>
            <w:tcW w:w="2331" w:type="dxa"/>
            <w:vAlign w:val="center"/>
          </w:tcPr>
          <w:p w14:paraId="57DABC30" w14:textId="6EBB548B" w:rsidR="00E233B9" w:rsidRPr="004B2B19" w:rsidRDefault="00E233B9" w:rsidP="0039258B">
            <w:pPr>
              <w:pStyle w:val="Tabletext"/>
              <w:keepNext/>
              <w:keepLines/>
            </w:pPr>
            <w:r w:rsidRPr="004B2B19">
              <w:t>Subjects with any TESAE, n (%)</w:t>
            </w:r>
          </w:p>
        </w:tc>
        <w:tc>
          <w:tcPr>
            <w:tcW w:w="2231" w:type="dxa"/>
            <w:vAlign w:val="center"/>
          </w:tcPr>
          <w:p w14:paraId="7D724F55" w14:textId="4C6CFDC5" w:rsidR="00E233B9" w:rsidRPr="004B2B19" w:rsidRDefault="00E233B9" w:rsidP="0039258B">
            <w:pPr>
              <w:pStyle w:val="Tabletext"/>
              <w:keepNext/>
              <w:keepLines/>
            </w:pPr>
            <w:r w:rsidRPr="004B2B19">
              <w:t>4 (4.5%)</w:t>
            </w:r>
          </w:p>
        </w:tc>
        <w:tc>
          <w:tcPr>
            <w:tcW w:w="2234" w:type="dxa"/>
          </w:tcPr>
          <w:p w14:paraId="10E2C36C" w14:textId="3BACA420" w:rsidR="00E233B9" w:rsidRPr="004B2B19" w:rsidRDefault="00E233B9" w:rsidP="0039258B">
            <w:pPr>
              <w:pStyle w:val="Tabletext"/>
              <w:keepNext/>
              <w:keepLines/>
            </w:pPr>
            <w:r w:rsidRPr="004B2B19">
              <w:t>10 (11.5%)</w:t>
            </w:r>
          </w:p>
        </w:tc>
        <w:tc>
          <w:tcPr>
            <w:tcW w:w="2234" w:type="dxa"/>
            <w:vAlign w:val="center"/>
          </w:tcPr>
          <w:p w14:paraId="255A5E2D" w14:textId="2C53A354" w:rsidR="00E233B9" w:rsidRPr="004B2B19" w:rsidRDefault="00E233B9" w:rsidP="0039258B">
            <w:pPr>
              <w:pStyle w:val="Tabletext"/>
              <w:keepNext/>
              <w:keepLines/>
            </w:pPr>
            <w:r w:rsidRPr="004B2B19">
              <w:t>4 (4.6%)</w:t>
            </w:r>
          </w:p>
        </w:tc>
      </w:tr>
      <w:tr w:rsidR="00E233B9" w:rsidRPr="004B2B19" w14:paraId="288735B9" w14:textId="77777777" w:rsidTr="00E233B9">
        <w:trPr>
          <w:cantSplit/>
        </w:trPr>
        <w:tc>
          <w:tcPr>
            <w:tcW w:w="2331" w:type="dxa"/>
            <w:vAlign w:val="center"/>
          </w:tcPr>
          <w:p w14:paraId="0191F38E" w14:textId="0B21396E" w:rsidR="00E233B9" w:rsidRPr="004B2B19" w:rsidRDefault="00DC3CDE" w:rsidP="0039258B">
            <w:pPr>
              <w:pStyle w:val="Tabletext"/>
              <w:keepNext/>
              <w:keepLines/>
            </w:pPr>
            <w:r w:rsidRPr="004B2B19">
              <w:t>Subjects with any severe TEAE, n (%)</w:t>
            </w:r>
          </w:p>
        </w:tc>
        <w:tc>
          <w:tcPr>
            <w:tcW w:w="2231" w:type="dxa"/>
            <w:vAlign w:val="center"/>
          </w:tcPr>
          <w:p w14:paraId="573931A7" w14:textId="43FBC9F2" w:rsidR="00E233B9" w:rsidRPr="004B2B19" w:rsidRDefault="00DC3CDE" w:rsidP="0039258B">
            <w:pPr>
              <w:pStyle w:val="Tabletext"/>
              <w:keepNext/>
              <w:keepLines/>
            </w:pPr>
            <w:r w:rsidRPr="004B2B19">
              <w:t>1 (1.1%)</w:t>
            </w:r>
          </w:p>
        </w:tc>
        <w:tc>
          <w:tcPr>
            <w:tcW w:w="2234" w:type="dxa"/>
          </w:tcPr>
          <w:p w14:paraId="6803437A" w14:textId="4CA9247E" w:rsidR="00E233B9" w:rsidRPr="004B2B19" w:rsidRDefault="00DC3CDE" w:rsidP="0039258B">
            <w:pPr>
              <w:pStyle w:val="Tabletext"/>
              <w:keepNext/>
              <w:keepLines/>
            </w:pPr>
            <w:r w:rsidRPr="004B2B19">
              <w:t>3 (3.4%)</w:t>
            </w:r>
          </w:p>
        </w:tc>
        <w:tc>
          <w:tcPr>
            <w:tcW w:w="2234" w:type="dxa"/>
            <w:vAlign w:val="center"/>
          </w:tcPr>
          <w:p w14:paraId="4832ADCF" w14:textId="5072A5C5" w:rsidR="00E233B9" w:rsidRPr="004B2B19" w:rsidRDefault="00DC3CDE" w:rsidP="0039258B">
            <w:pPr>
              <w:pStyle w:val="Tabletext"/>
              <w:keepNext/>
              <w:keepLines/>
            </w:pPr>
            <w:r w:rsidRPr="004B2B19">
              <w:t>1 (1.1%)</w:t>
            </w:r>
          </w:p>
        </w:tc>
      </w:tr>
      <w:tr w:rsidR="00E233B9" w:rsidRPr="004B2B19" w14:paraId="097999E8" w14:textId="77777777" w:rsidTr="00E233B9">
        <w:trPr>
          <w:cantSplit/>
        </w:trPr>
        <w:tc>
          <w:tcPr>
            <w:tcW w:w="2331" w:type="dxa"/>
            <w:vAlign w:val="center"/>
          </w:tcPr>
          <w:p w14:paraId="73C7D16F" w14:textId="536506E4" w:rsidR="00E233B9" w:rsidRPr="004B2B19" w:rsidRDefault="00DC3CDE" w:rsidP="0039258B">
            <w:pPr>
              <w:pStyle w:val="Tabletext"/>
              <w:keepNext/>
              <w:keepLines/>
            </w:pPr>
            <w:r w:rsidRPr="004B2B19">
              <w:t>TEAE leading to death, n (%)</w:t>
            </w:r>
          </w:p>
        </w:tc>
        <w:tc>
          <w:tcPr>
            <w:tcW w:w="2231" w:type="dxa"/>
            <w:vAlign w:val="center"/>
          </w:tcPr>
          <w:p w14:paraId="53BA973E" w14:textId="4D254FAC" w:rsidR="00E233B9" w:rsidRPr="004B2B19" w:rsidRDefault="00DC3CDE" w:rsidP="0039258B">
            <w:pPr>
              <w:pStyle w:val="Tabletext"/>
              <w:keepNext/>
              <w:keepLines/>
            </w:pPr>
            <w:r w:rsidRPr="004B2B19">
              <w:t>0</w:t>
            </w:r>
          </w:p>
        </w:tc>
        <w:tc>
          <w:tcPr>
            <w:tcW w:w="2234" w:type="dxa"/>
          </w:tcPr>
          <w:p w14:paraId="0BA35BC4" w14:textId="2B6E617D" w:rsidR="00E233B9" w:rsidRPr="004B2B19" w:rsidRDefault="00DC3CDE" w:rsidP="0039258B">
            <w:pPr>
              <w:pStyle w:val="Tabletext"/>
              <w:keepNext/>
              <w:keepLines/>
            </w:pPr>
            <w:r w:rsidRPr="004B2B19">
              <w:t>0</w:t>
            </w:r>
          </w:p>
        </w:tc>
        <w:tc>
          <w:tcPr>
            <w:tcW w:w="2234" w:type="dxa"/>
            <w:vAlign w:val="center"/>
          </w:tcPr>
          <w:p w14:paraId="3849128B" w14:textId="00316333" w:rsidR="00E233B9" w:rsidRPr="004B2B19" w:rsidRDefault="00DC3CDE" w:rsidP="0039258B">
            <w:pPr>
              <w:pStyle w:val="Tabletext"/>
              <w:keepNext/>
              <w:keepLines/>
            </w:pPr>
            <w:r w:rsidRPr="004B2B19">
              <w:t>1 (1.1%)</w:t>
            </w:r>
          </w:p>
        </w:tc>
      </w:tr>
      <w:tr w:rsidR="00E233B9" w:rsidRPr="004B2B19" w14:paraId="21E7BF5A" w14:textId="77777777" w:rsidTr="00E233B9">
        <w:trPr>
          <w:cantSplit/>
        </w:trPr>
        <w:tc>
          <w:tcPr>
            <w:tcW w:w="2331" w:type="dxa"/>
            <w:vAlign w:val="center"/>
          </w:tcPr>
          <w:p w14:paraId="19121454" w14:textId="739D7392" w:rsidR="00E233B9" w:rsidRPr="004B2B19" w:rsidRDefault="00DC3CDE" w:rsidP="0039258B">
            <w:pPr>
              <w:pStyle w:val="Tabletext"/>
              <w:keepNext/>
              <w:keepLines/>
            </w:pPr>
            <w:r w:rsidRPr="004B2B19">
              <w:t>TEAE leading to discontinuation, n (%)</w:t>
            </w:r>
          </w:p>
        </w:tc>
        <w:tc>
          <w:tcPr>
            <w:tcW w:w="2231" w:type="dxa"/>
            <w:vAlign w:val="center"/>
          </w:tcPr>
          <w:p w14:paraId="65A29316" w14:textId="537C90C2" w:rsidR="00E233B9" w:rsidRPr="004B2B19" w:rsidRDefault="00DC3CDE" w:rsidP="0039258B">
            <w:pPr>
              <w:pStyle w:val="Tabletext"/>
              <w:keepNext/>
              <w:keepLines/>
            </w:pPr>
            <w:r w:rsidRPr="004B2B19">
              <w:t>4 (4.5%)</w:t>
            </w:r>
          </w:p>
        </w:tc>
        <w:tc>
          <w:tcPr>
            <w:tcW w:w="2234" w:type="dxa"/>
          </w:tcPr>
          <w:p w14:paraId="20EF84EA" w14:textId="77777777" w:rsidR="001866CE" w:rsidRPr="004B2B19" w:rsidRDefault="001866CE" w:rsidP="0039258B">
            <w:pPr>
              <w:pStyle w:val="Tabletext"/>
              <w:keepNext/>
              <w:keepLines/>
            </w:pPr>
          </w:p>
          <w:p w14:paraId="58D235CC" w14:textId="074C9B53" w:rsidR="00E233B9" w:rsidRPr="004B2B19" w:rsidRDefault="00DC3CDE" w:rsidP="0039258B">
            <w:pPr>
              <w:pStyle w:val="Tabletext"/>
              <w:keepNext/>
              <w:keepLines/>
            </w:pPr>
            <w:r w:rsidRPr="004B2B19">
              <w:t>5 (5.7%)</w:t>
            </w:r>
          </w:p>
        </w:tc>
        <w:tc>
          <w:tcPr>
            <w:tcW w:w="2234" w:type="dxa"/>
            <w:vAlign w:val="center"/>
          </w:tcPr>
          <w:p w14:paraId="28F19227" w14:textId="422C3C85" w:rsidR="00E233B9" w:rsidRPr="004B2B19" w:rsidRDefault="00DC3CDE" w:rsidP="0039258B">
            <w:pPr>
              <w:pStyle w:val="Tabletext"/>
              <w:keepNext/>
              <w:keepLines/>
            </w:pPr>
            <w:r w:rsidRPr="004B2B19">
              <w:t>1 (1.1%)</w:t>
            </w:r>
          </w:p>
        </w:tc>
      </w:tr>
      <w:tr w:rsidR="00DC3CDE" w:rsidRPr="004B2B19" w14:paraId="4C5B7BD1" w14:textId="77777777" w:rsidTr="00E233B9">
        <w:trPr>
          <w:cantSplit/>
        </w:trPr>
        <w:tc>
          <w:tcPr>
            <w:tcW w:w="2331" w:type="dxa"/>
            <w:vAlign w:val="center"/>
          </w:tcPr>
          <w:p w14:paraId="360E4F2F" w14:textId="2346A878" w:rsidR="00DC3CDE" w:rsidRPr="004B2B19" w:rsidRDefault="00DC3CDE" w:rsidP="0039258B">
            <w:pPr>
              <w:pStyle w:val="Tabletext"/>
              <w:keepNext/>
              <w:keepLines/>
            </w:pPr>
            <w:r w:rsidRPr="004B2B19">
              <w:t>Diarrhoea, n (%)</w:t>
            </w:r>
          </w:p>
        </w:tc>
        <w:tc>
          <w:tcPr>
            <w:tcW w:w="2231" w:type="dxa"/>
            <w:vAlign w:val="center"/>
          </w:tcPr>
          <w:p w14:paraId="5E008375" w14:textId="2BE63B12" w:rsidR="00DC3CDE" w:rsidRPr="004B2B19" w:rsidRDefault="00DC3CDE" w:rsidP="0039258B">
            <w:pPr>
              <w:pStyle w:val="Tabletext"/>
              <w:keepNext/>
              <w:keepLines/>
            </w:pPr>
            <w:r w:rsidRPr="004B2B19">
              <w:t>10 (11.2%)</w:t>
            </w:r>
          </w:p>
        </w:tc>
        <w:tc>
          <w:tcPr>
            <w:tcW w:w="2234" w:type="dxa"/>
          </w:tcPr>
          <w:p w14:paraId="54C000FC" w14:textId="6A95A48C" w:rsidR="00DC3CDE" w:rsidRPr="004B2B19" w:rsidRDefault="00DC3CDE" w:rsidP="0039258B">
            <w:pPr>
              <w:pStyle w:val="Tabletext"/>
              <w:keepNext/>
              <w:keepLines/>
            </w:pPr>
            <w:r w:rsidRPr="004B2B19">
              <w:t>12 (12.6%)</w:t>
            </w:r>
          </w:p>
        </w:tc>
        <w:tc>
          <w:tcPr>
            <w:tcW w:w="2234" w:type="dxa"/>
            <w:vAlign w:val="center"/>
          </w:tcPr>
          <w:p w14:paraId="64F2A973" w14:textId="2128A930" w:rsidR="00DC3CDE" w:rsidRPr="004B2B19" w:rsidRDefault="00DC3CDE" w:rsidP="0039258B">
            <w:pPr>
              <w:pStyle w:val="Tabletext"/>
              <w:keepNext/>
              <w:keepLines/>
            </w:pPr>
            <w:r w:rsidRPr="004B2B19">
              <w:t>4 (4.6%)</w:t>
            </w:r>
          </w:p>
        </w:tc>
      </w:tr>
      <w:tr w:rsidR="00DC3CDE" w:rsidRPr="004B2B19" w14:paraId="69B28B95" w14:textId="77777777" w:rsidTr="00E233B9">
        <w:trPr>
          <w:cantSplit/>
        </w:trPr>
        <w:tc>
          <w:tcPr>
            <w:tcW w:w="2331" w:type="dxa"/>
            <w:vAlign w:val="center"/>
          </w:tcPr>
          <w:p w14:paraId="262719AC" w14:textId="17417B2E" w:rsidR="00DC3CDE" w:rsidRPr="004B2B19" w:rsidRDefault="00DC3CDE" w:rsidP="0039258B">
            <w:pPr>
              <w:pStyle w:val="Tabletext"/>
              <w:keepNext/>
              <w:keepLines/>
            </w:pPr>
            <w:r w:rsidRPr="004B2B19">
              <w:t>Vomiting, n (%)</w:t>
            </w:r>
          </w:p>
        </w:tc>
        <w:tc>
          <w:tcPr>
            <w:tcW w:w="2231" w:type="dxa"/>
            <w:vAlign w:val="center"/>
          </w:tcPr>
          <w:p w14:paraId="4510B459" w14:textId="527B4FC1" w:rsidR="00DC3CDE" w:rsidRPr="004B2B19" w:rsidRDefault="00DC3CDE" w:rsidP="0039258B">
            <w:pPr>
              <w:pStyle w:val="Tabletext"/>
              <w:keepNext/>
              <w:keepLines/>
            </w:pPr>
            <w:r w:rsidRPr="004B2B19">
              <w:t>12 (13.5%)</w:t>
            </w:r>
          </w:p>
        </w:tc>
        <w:tc>
          <w:tcPr>
            <w:tcW w:w="2234" w:type="dxa"/>
          </w:tcPr>
          <w:p w14:paraId="2CE3A482" w14:textId="5D6C7871" w:rsidR="00DC3CDE" w:rsidRPr="004B2B19" w:rsidRDefault="00DC3CDE" w:rsidP="0039258B">
            <w:pPr>
              <w:pStyle w:val="Tabletext"/>
              <w:keepNext/>
              <w:keepLines/>
            </w:pPr>
            <w:r w:rsidRPr="004B2B19">
              <w:t>7 (8.0%)</w:t>
            </w:r>
          </w:p>
        </w:tc>
        <w:tc>
          <w:tcPr>
            <w:tcW w:w="2234" w:type="dxa"/>
            <w:vAlign w:val="center"/>
          </w:tcPr>
          <w:p w14:paraId="342AD177" w14:textId="1535D559" w:rsidR="00DC3CDE" w:rsidRPr="004B2B19" w:rsidRDefault="00DC3CDE" w:rsidP="0039258B">
            <w:pPr>
              <w:pStyle w:val="Tabletext"/>
              <w:keepNext/>
              <w:keepLines/>
            </w:pPr>
            <w:r w:rsidRPr="004B2B19">
              <w:t>5 (5.7%)</w:t>
            </w:r>
          </w:p>
        </w:tc>
      </w:tr>
      <w:tr w:rsidR="00DC3CDE" w:rsidRPr="004B2B19" w14:paraId="3CC67E68" w14:textId="77777777" w:rsidTr="00E233B9">
        <w:trPr>
          <w:cantSplit/>
        </w:trPr>
        <w:tc>
          <w:tcPr>
            <w:tcW w:w="2331" w:type="dxa"/>
            <w:vAlign w:val="center"/>
          </w:tcPr>
          <w:p w14:paraId="3BCBA210" w14:textId="467BE56D" w:rsidR="00DC3CDE" w:rsidRPr="004B2B19" w:rsidRDefault="00DC3CDE" w:rsidP="0039258B">
            <w:pPr>
              <w:pStyle w:val="Tabletext"/>
              <w:keepNext/>
              <w:keepLines/>
            </w:pPr>
            <w:r w:rsidRPr="004B2B19">
              <w:t>Fatigue, n (%)</w:t>
            </w:r>
          </w:p>
        </w:tc>
        <w:tc>
          <w:tcPr>
            <w:tcW w:w="2231" w:type="dxa"/>
            <w:vAlign w:val="center"/>
          </w:tcPr>
          <w:p w14:paraId="0E151D8D" w14:textId="5FFCF929" w:rsidR="00DC3CDE" w:rsidRPr="004B2B19" w:rsidRDefault="00DC3CDE" w:rsidP="0039258B">
            <w:pPr>
              <w:pStyle w:val="Tabletext"/>
              <w:keepNext/>
              <w:keepLines/>
            </w:pPr>
            <w:r w:rsidRPr="004B2B19">
              <w:t>8 (9.0%)</w:t>
            </w:r>
          </w:p>
        </w:tc>
        <w:tc>
          <w:tcPr>
            <w:tcW w:w="2234" w:type="dxa"/>
          </w:tcPr>
          <w:p w14:paraId="5B1B669D" w14:textId="6BDF8627" w:rsidR="00DC3CDE" w:rsidRPr="004B2B19" w:rsidRDefault="00DC3CDE" w:rsidP="0039258B">
            <w:pPr>
              <w:pStyle w:val="Tabletext"/>
              <w:keepNext/>
              <w:keepLines/>
            </w:pPr>
            <w:r w:rsidRPr="004B2B19">
              <w:t>16 (</w:t>
            </w:r>
            <w:r w:rsidR="00821127" w:rsidRPr="004B2B19">
              <w:t>1</w:t>
            </w:r>
            <w:r w:rsidRPr="004B2B19">
              <w:t>8.4%)</w:t>
            </w:r>
          </w:p>
        </w:tc>
        <w:tc>
          <w:tcPr>
            <w:tcW w:w="2234" w:type="dxa"/>
            <w:vAlign w:val="center"/>
          </w:tcPr>
          <w:p w14:paraId="453C7E4F" w14:textId="07F5F683" w:rsidR="00DC3CDE" w:rsidRPr="004B2B19" w:rsidRDefault="00DC3CDE" w:rsidP="0039258B">
            <w:pPr>
              <w:pStyle w:val="Tabletext"/>
              <w:keepNext/>
              <w:keepLines/>
            </w:pPr>
            <w:r w:rsidRPr="004B2B19">
              <w:t>9 (10.3%)</w:t>
            </w:r>
          </w:p>
        </w:tc>
      </w:tr>
      <w:tr w:rsidR="00DC3CDE" w:rsidRPr="004B2B19" w14:paraId="12FB97EA" w14:textId="77777777" w:rsidTr="00E233B9">
        <w:trPr>
          <w:cantSplit/>
        </w:trPr>
        <w:tc>
          <w:tcPr>
            <w:tcW w:w="2331" w:type="dxa"/>
            <w:vAlign w:val="center"/>
          </w:tcPr>
          <w:p w14:paraId="1E9F6172" w14:textId="4822F839" w:rsidR="00DC3CDE" w:rsidRPr="004B2B19" w:rsidRDefault="00DC3CDE" w:rsidP="0039258B">
            <w:pPr>
              <w:pStyle w:val="Tabletext"/>
              <w:keepNext/>
              <w:keepLines/>
            </w:pPr>
            <w:r w:rsidRPr="004B2B19">
              <w:t>Somnolence, n (%)</w:t>
            </w:r>
          </w:p>
        </w:tc>
        <w:tc>
          <w:tcPr>
            <w:tcW w:w="2231" w:type="dxa"/>
            <w:vAlign w:val="center"/>
          </w:tcPr>
          <w:p w14:paraId="636A0570" w14:textId="67777F5C" w:rsidR="00DC3CDE" w:rsidRPr="004B2B19" w:rsidRDefault="00DC3CDE" w:rsidP="0039258B">
            <w:pPr>
              <w:pStyle w:val="Tabletext"/>
              <w:keepNext/>
              <w:keepLines/>
            </w:pPr>
            <w:r w:rsidRPr="004B2B19">
              <w:t>9 (10.1%)</w:t>
            </w:r>
          </w:p>
        </w:tc>
        <w:tc>
          <w:tcPr>
            <w:tcW w:w="2234" w:type="dxa"/>
          </w:tcPr>
          <w:p w14:paraId="755F8E46" w14:textId="50D49DC6" w:rsidR="00DC3CDE" w:rsidRPr="004B2B19" w:rsidRDefault="00DC3CDE" w:rsidP="0039258B">
            <w:pPr>
              <w:pStyle w:val="Tabletext"/>
              <w:keepNext/>
              <w:keepLines/>
            </w:pPr>
            <w:r w:rsidRPr="004B2B19">
              <w:t>15 (17.2%)</w:t>
            </w:r>
          </w:p>
        </w:tc>
        <w:tc>
          <w:tcPr>
            <w:tcW w:w="2234" w:type="dxa"/>
            <w:vAlign w:val="center"/>
          </w:tcPr>
          <w:p w14:paraId="6DE2058B" w14:textId="0D3B2C4E" w:rsidR="00DC3CDE" w:rsidRPr="004B2B19" w:rsidRDefault="00DC3CDE" w:rsidP="0039258B">
            <w:pPr>
              <w:pStyle w:val="Tabletext"/>
              <w:keepNext/>
              <w:keepLines/>
            </w:pPr>
            <w:r w:rsidRPr="004B2B19">
              <w:t>9 (10.3%)</w:t>
            </w:r>
          </w:p>
        </w:tc>
      </w:tr>
      <w:tr w:rsidR="00821127" w:rsidRPr="004B2B19" w14:paraId="35D3E52E" w14:textId="77777777" w:rsidTr="00E233B9">
        <w:trPr>
          <w:cantSplit/>
        </w:trPr>
        <w:tc>
          <w:tcPr>
            <w:tcW w:w="2331" w:type="dxa"/>
            <w:vAlign w:val="center"/>
          </w:tcPr>
          <w:p w14:paraId="1B902524" w14:textId="2146CA09" w:rsidR="00821127" w:rsidRPr="004B2B19" w:rsidRDefault="00821127" w:rsidP="0039258B">
            <w:pPr>
              <w:pStyle w:val="Tabletext"/>
              <w:keepNext/>
              <w:keepLines/>
            </w:pPr>
            <w:r w:rsidRPr="004B2B19">
              <w:t>Decreased appetite, n (%)</w:t>
            </w:r>
          </w:p>
        </w:tc>
        <w:tc>
          <w:tcPr>
            <w:tcW w:w="2231" w:type="dxa"/>
            <w:vAlign w:val="center"/>
          </w:tcPr>
          <w:p w14:paraId="03EDA4D5" w14:textId="7F3DDF10" w:rsidR="00821127" w:rsidRPr="004B2B19" w:rsidRDefault="00821127" w:rsidP="0039258B">
            <w:pPr>
              <w:pStyle w:val="Tabletext"/>
              <w:keepNext/>
              <w:keepLines/>
            </w:pPr>
            <w:r w:rsidRPr="004B2B19">
              <w:t>18 (20.2%)</w:t>
            </w:r>
          </w:p>
        </w:tc>
        <w:tc>
          <w:tcPr>
            <w:tcW w:w="2234" w:type="dxa"/>
          </w:tcPr>
          <w:p w14:paraId="4ED92F2F" w14:textId="093E1969" w:rsidR="00821127" w:rsidRPr="004B2B19" w:rsidRDefault="00821127" w:rsidP="0039258B">
            <w:pPr>
              <w:pStyle w:val="Tabletext"/>
              <w:keepNext/>
              <w:keepLines/>
            </w:pPr>
            <w:r w:rsidRPr="004B2B19">
              <w:t>31 (35.6%)</w:t>
            </w:r>
          </w:p>
        </w:tc>
        <w:tc>
          <w:tcPr>
            <w:tcW w:w="2234" w:type="dxa"/>
            <w:vAlign w:val="center"/>
          </w:tcPr>
          <w:p w14:paraId="7CF3F390" w14:textId="39CD74FC" w:rsidR="00821127" w:rsidRPr="004B2B19" w:rsidRDefault="00821127" w:rsidP="0039258B">
            <w:pPr>
              <w:pStyle w:val="Tabletext"/>
              <w:keepNext/>
              <w:keepLines/>
            </w:pPr>
            <w:r w:rsidRPr="004B2B19">
              <w:t>10 (11.5%)</w:t>
            </w:r>
          </w:p>
        </w:tc>
      </w:tr>
      <w:tr w:rsidR="005B187C" w:rsidRPr="004B2B19" w14:paraId="5205CF40" w14:textId="77777777" w:rsidTr="00E233B9">
        <w:trPr>
          <w:cantSplit/>
        </w:trPr>
        <w:tc>
          <w:tcPr>
            <w:tcW w:w="2331" w:type="dxa"/>
            <w:vAlign w:val="center"/>
          </w:tcPr>
          <w:p w14:paraId="0EDA0513" w14:textId="6C593D28" w:rsidR="005B187C" w:rsidRPr="004B2B19" w:rsidRDefault="005B187C" w:rsidP="0039258B">
            <w:pPr>
              <w:pStyle w:val="Tabletext"/>
              <w:keepNext/>
              <w:keepLines/>
            </w:pPr>
            <w:r w:rsidRPr="004B2B19">
              <w:t xml:space="preserve">Weight loss </w:t>
            </w:r>
            <w:r w:rsidRPr="004B2B19">
              <w:rPr>
                <w:rFonts w:ascii="Symbol" w:eastAsia="Symbol" w:hAnsi="Symbol" w:cs="Symbol"/>
              </w:rPr>
              <w:t>³</w:t>
            </w:r>
            <w:r w:rsidRPr="004B2B19">
              <w:t>7% during T+M, n (%)</w:t>
            </w:r>
          </w:p>
        </w:tc>
        <w:tc>
          <w:tcPr>
            <w:tcW w:w="2231" w:type="dxa"/>
            <w:vAlign w:val="center"/>
          </w:tcPr>
          <w:p w14:paraId="5D016C70" w14:textId="61A4F5AB" w:rsidR="005B187C" w:rsidRPr="004B2B19" w:rsidRDefault="005B187C" w:rsidP="0039258B">
            <w:pPr>
              <w:pStyle w:val="Tabletext"/>
              <w:keepNext/>
              <w:keepLines/>
            </w:pPr>
            <w:r w:rsidRPr="004B2B19">
              <w:t>6 (7%)</w:t>
            </w:r>
          </w:p>
        </w:tc>
        <w:tc>
          <w:tcPr>
            <w:tcW w:w="2234" w:type="dxa"/>
          </w:tcPr>
          <w:p w14:paraId="1AA9E9EB" w14:textId="09641676" w:rsidR="005B187C" w:rsidRPr="004B2B19" w:rsidRDefault="005B187C" w:rsidP="0039258B">
            <w:pPr>
              <w:pStyle w:val="Tabletext"/>
              <w:keepNext/>
              <w:keepLines/>
            </w:pPr>
            <w:r w:rsidRPr="004B2B19">
              <w:t>8 (9%)</w:t>
            </w:r>
          </w:p>
        </w:tc>
        <w:tc>
          <w:tcPr>
            <w:tcW w:w="2234" w:type="dxa"/>
            <w:vAlign w:val="center"/>
          </w:tcPr>
          <w:p w14:paraId="037F9F10" w14:textId="152E953E" w:rsidR="005B187C" w:rsidRPr="004B2B19" w:rsidRDefault="005B187C" w:rsidP="0039258B">
            <w:pPr>
              <w:pStyle w:val="Tabletext"/>
              <w:keepNext/>
              <w:keepLines/>
            </w:pPr>
            <w:r w:rsidRPr="004B2B19">
              <w:t>0</w:t>
            </w:r>
          </w:p>
        </w:tc>
      </w:tr>
    </w:tbl>
    <w:p w14:paraId="1E3E6BB6" w14:textId="03AD993C" w:rsidR="00821127" w:rsidRPr="004B2B19" w:rsidRDefault="005D26B4" w:rsidP="0039258B">
      <w:pPr>
        <w:pStyle w:val="FooterTableFigure"/>
        <w:keepNext/>
        <w:keepLines/>
      </w:pPr>
      <w:r w:rsidRPr="004B2B19">
        <w:t xml:space="preserve">Source: </w:t>
      </w:r>
      <w:r w:rsidR="00821127" w:rsidRPr="004B2B19">
        <w:t>Study 1601 Part 1 CSR, Table 49, p180, Table 50, p181</w:t>
      </w:r>
      <w:r w:rsidR="007C41B8" w:rsidRPr="004B2B19">
        <w:t>;</w:t>
      </w:r>
      <w:r w:rsidR="005B187C" w:rsidRPr="004B2B19">
        <w:t xml:space="preserve"> p239</w:t>
      </w:r>
      <w:r w:rsidR="00821127" w:rsidRPr="004B2B19">
        <w:t>.</w:t>
      </w:r>
    </w:p>
    <w:p w14:paraId="77412402" w14:textId="40C65978" w:rsidR="005D26B4" w:rsidRPr="004B2B19" w:rsidRDefault="00821127" w:rsidP="00D86231">
      <w:pPr>
        <w:pStyle w:val="FooterTableFigure"/>
      </w:pPr>
      <w:r w:rsidRPr="004B2B19">
        <w:t>TEAE = treatment-emergent adverse event; TESAE = treatment emergent serious adverse event</w:t>
      </w:r>
      <w:r w:rsidR="007C41B8" w:rsidRPr="004B2B19">
        <w:t>; T+M = titration + maintenance periods</w:t>
      </w:r>
      <w:r w:rsidRPr="004B2B19">
        <w:t>.</w:t>
      </w:r>
    </w:p>
    <w:p w14:paraId="6BA9A2D0" w14:textId="77777777" w:rsidR="00821127" w:rsidRPr="004B2B19" w:rsidRDefault="00821127" w:rsidP="00D86231">
      <w:pPr>
        <w:pStyle w:val="FooterTableFigure"/>
      </w:pPr>
    </w:p>
    <w:p w14:paraId="14CF3FA0" w14:textId="01016974" w:rsidR="00D041AB" w:rsidRPr="004B2B19" w:rsidRDefault="00B4517D" w:rsidP="00B4517D">
      <w:pPr>
        <w:pStyle w:val="3-BodyText"/>
      </w:pPr>
      <w:bookmarkStart w:id="40" w:name="_Ref214518861"/>
      <w:r w:rsidRPr="004B2B19">
        <w:t>The most prominent adverse event</w:t>
      </w:r>
      <w:r w:rsidR="00A861C8" w:rsidRPr="004B2B19">
        <w:t>s</w:t>
      </w:r>
      <w:r w:rsidRPr="004B2B19">
        <w:t xml:space="preserve"> associated with fenfluramine w</w:t>
      </w:r>
      <w:r w:rsidR="00A861C8" w:rsidRPr="004B2B19">
        <w:t>ere</w:t>
      </w:r>
      <w:r w:rsidRPr="004B2B19">
        <w:t xml:space="preserve"> loss of appetite and weight loss. </w:t>
      </w:r>
      <w:r w:rsidR="006D7C78" w:rsidRPr="004B2B19">
        <w:t>Feeding difficulties in patients with LGS are common, m</w:t>
      </w:r>
      <w:r w:rsidR="005B187C" w:rsidRPr="004B2B19">
        <w:t xml:space="preserve">edian BMI was less than 19 at baseline and </w:t>
      </w:r>
      <w:r w:rsidR="006D7C78" w:rsidRPr="004B2B19">
        <w:t xml:space="preserve">some patients were seriously underweight. In such underweight </w:t>
      </w:r>
      <w:r w:rsidR="005B187C" w:rsidRPr="004B2B19">
        <w:t>patients</w:t>
      </w:r>
      <w:r w:rsidR="006D7C78" w:rsidRPr="004B2B19">
        <w:t>,</w:t>
      </w:r>
      <w:r w:rsidR="004E38AD" w:rsidRPr="004B2B19">
        <w:t xml:space="preserve"> the evaluation considered</w:t>
      </w:r>
      <w:r w:rsidR="005B187C" w:rsidRPr="004B2B19">
        <w:t xml:space="preserve"> 7% weight loss could</w:t>
      </w:r>
      <w:r w:rsidR="006D7C78" w:rsidRPr="004B2B19">
        <w:t xml:space="preserve"> have serious consequences</w:t>
      </w:r>
      <w:r w:rsidR="00570520" w:rsidRPr="004B2B19">
        <w:t>.</w:t>
      </w:r>
      <w:bookmarkEnd w:id="40"/>
    </w:p>
    <w:p w14:paraId="59124E37" w14:textId="5C3782E6" w:rsidR="00B4517D" w:rsidRPr="004B2B19" w:rsidRDefault="00D041AB" w:rsidP="00B4517D">
      <w:pPr>
        <w:pStyle w:val="3-BodyText"/>
      </w:pPr>
      <w:bookmarkStart w:id="41" w:name="_Ref214518877"/>
      <w:r w:rsidRPr="004B2B19">
        <w:t>In the open-label extension of Study 1601 (Part 2), 43/247 (17.4%) patients were observed at some</w:t>
      </w:r>
      <w:r w:rsidR="00887348" w:rsidRPr="004B2B19">
        <w:t xml:space="preserve"> point in the open-label extension</w:t>
      </w:r>
      <w:r w:rsidRPr="004B2B19">
        <w:t xml:space="preserve"> to</w:t>
      </w:r>
      <w:r w:rsidR="00887348" w:rsidRPr="004B2B19">
        <w:t xml:space="preserve"> </w:t>
      </w:r>
      <w:r w:rsidRPr="004B2B19">
        <w:t xml:space="preserve">have lost 7% or more of body weight from their Part 2 baseline. </w:t>
      </w:r>
      <w:r w:rsidR="00887348" w:rsidRPr="004B2B19">
        <w:t xml:space="preserve">Weight loss </w:t>
      </w:r>
      <w:r w:rsidR="006A20F6" w:rsidRPr="004B2B19">
        <w:t xml:space="preserve">was </w:t>
      </w:r>
      <w:r w:rsidR="00887348" w:rsidRPr="004B2B19">
        <w:t>reported as an adverse event in 13/247 (5.3%) patients. Weight loss as an adverse event appeared to be dose-related, reported in 2/68 (3%) patients receiving a mean daily dose of FEN between 0.2</w:t>
      </w:r>
      <w:r w:rsidR="002C10A6" w:rsidRPr="004B2B19">
        <w:t> </w:t>
      </w:r>
      <w:r w:rsidR="00887348" w:rsidRPr="004B2B19">
        <w:t>mg/kg</w:t>
      </w:r>
      <w:r w:rsidR="002C10A6" w:rsidRPr="004B2B19">
        <w:t> </w:t>
      </w:r>
      <w:r w:rsidR="00887348" w:rsidRPr="004B2B19">
        <w:t>and 0.4 mg/kg, in 7/110 (6.4%) receiving 0.4 mg/kg/day to 0.6 mg/kg/day</w:t>
      </w:r>
      <w:r w:rsidR="001866CE" w:rsidRPr="004B2B19">
        <w:t>,</w:t>
      </w:r>
      <w:r w:rsidR="00887348" w:rsidRPr="004B2B19">
        <w:t xml:space="preserve"> and </w:t>
      </w:r>
      <w:r w:rsidR="001866CE" w:rsidRPr="004B2B19">
        <w:t>in</w:t>
      </w:r>
      <w:r w:rsidR="002C10A6" w:rsidRPr="004B2B19">
        <w:t> </w:t>
      </w:r>
      <w:r w:rsidR="00887348" w:rsidRPr="004B2B19">
        <w:t>4/62</w:t>
      </w:r>
      <w:r w:rsidR="002C10A6" w:rsidRPr="004B2B19">
        <w:t> </w:t>
      </w:r>
      <w:r w:rsidR="00887348" w:rsidRPr="004B2B19">
        <w:t>(6.4%) receiving 0.6 mg/kg/day or more.</w:t>
      </w:r>
      <w:bookmarkEnd w:id="41"/>
    </w:p>
    <w:p w14:paraId="39EEC037" w14:textId="7A4FBE2B" w:rsidR="007C26FD" w:rsidRDefault="007C26FD" w:rsidP="007C26FD">
      <w:pPr>
        <w:pStyle w:val="5-SubsectionSubheading"/>
      </w:pPr>
      <w:bookmarkStart w:id="42" w:name="_Toc208980614"/>
      <w:r w:rsidRPr="004B2B19">
        <w:t>Extended Assessment of Safety of Fenfluramine</w:t>
      </w:r>
      <w:bookmarkEnd w:id="42"/>
    </w:p>
    <w:p w14:paraId="5C7B3325" w14:textId="665EA2CB" w:rsidR="007D0807" w:rsidRPr="002051DB" w:rsidRDefault="007D0807" w:rsidP="00A41C22">
      <w:pPr>
        <w:pStyle w:val="3-BodyText"/>
      </w:pPr>
      <w:r w:rsidRPr="002051DB">
        <w:t xml:space="preserve">The Periodic Safety Update Report for FEN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r w:rsidR="00A37109" w:rsidRPr="00A37109">
        <w:t xml:space="preserve"> </w:t>
      </w:r>
      <w:r w:rsidR="0021270A" w:rsidRPr="0021270A">
        <w:rPr>
          <w:highlight w:val="black"/>
        </w:rPr>
        <w:t>&amp;&amp;&amp;&amp;</w:t>
      </w:r>
    </w:p>
    <w:p w14:paraId="7D65EF46" w14:textId="7B2EC757" w:rsidR="007D0807" w:rsidRPr="002051DB" w:rsidRDefault="0021270A" w:rsidP="007D0807">
      <w:pPr>
        <w:pStyle w:val="3-BodyText"/>
      </w:pP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p>
    <w:p w14:paraId="4A9952A8" w14:textId="285B305A" w:rsidR="007D0807" w:rsidRPr="002051DB" w:rsidRDefault="0021270A" w:rsidP="007D0807">
      <w:pPr>
        <w:pStyle w:val="3-BodyText"/>
      </w:pP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7D0807" w:rsidRPr="002051DB">
        <w:t xml:space="preserve"> </w:t>
      </w:r>
    </w:p>
    <w:p w14:paraId="7704C52E" w14:textId="3D1A6215" w:rsidR="007D0807" w:rsidRDefault="0021270A" w:rsidP="007D0807">
      <w:pPr>
        <w:pStyle w:val="3-BodyText"/>
      </w:pP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r w:rsidR="00A37109" w:rsidRPr="00A37109">
        <w:t xml:space="preserve"> </w:t>
      </w:r>
      <w:r w:rsidRPr="0021270A">
        <w:rPr>
          <w:highlight w:val="black"/>
        </w:rPr>
        <w:t>&amp;&amp;&amp;&amp;</w:t>
      </w:r>
    </w:p>
    <w:p w14:paraId="788ACD1B" w14:textId="5EA906FE" w:rsidR="00A37109" w:rsidRDefault="00A37109" w:rsidP="007D0807">
      <w:pPr>
        <w:pStyle w:val="3-BodyText"/>
      </w:pPr>
      <w:r>
        <w:t>T</w:t>
      </w:r>
      <w:r w:rsidRPr="002051DB">
        <w:t xml:space="preserve">he PSCR provided an extract of the Periodic Safety Update Report (PSUR)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A37109">
        <w:t xml:space="preserve"> </w:t>
      </w:r>
      <w:r w:rsidR="0021270A" w:rsidRPr="0021270A">
        <w:rPr>
          <w:highlight w:val="black"/>
        </w:rPr>
        <w:t>&amp;&amp;&amp;&amp;</w:t>
      </w:r>
      <w:r w:rsidRPr="004B2B19">
        <w:rPr>
          <w:rStyle w:val="FootnoteReference"/>
        </w:rPr>
        <w:footnoteReference w:id="5"/>
      </w:r>
      <w:r w:rsidR="00095FD9">
        <w:t xml:space="preserve"> </w:t>
      </w:r>
      <w:r w:rsidRPr="004B2B19">
        <w:t>The PBAC noted the TGA Product Information for FEN includes a black box warning regarding VHD and PAH and the following statement in the ‘special warnings and precautions for use’ heading: “</w:t>
      </w:r>
      <w:r w:rsidRPr="007D0807">
        <w:rPr>
          <w:rFonts w:eastAsia="Calibri"/>
        </w:rPr>
        <w:t>VHD and PAH have been reported from post-marketing surveillance of [fenfluramine] used at the doses recommended for patients with Dravet syndrome and Lennox-Gastaut syndrome”.</w:t>
      </w:r>
    </w:p>
    <w:p w14:paraId="32F1E63D" w14:textId="2991A441" w:rsidR="006E10D6" w:rsidRPr="007D0807" w:rsidRDefault="00B76B61" w:rsidP="00A37109">
      <w:pPr>
        <w:pStyle w:val="3-BodyText"/>
        <w:numPr>
          <w:ilvl w:val="0"/>
          <w:numId w:val="0"/>
        </w:numPr>
        <w:ind w:left="142"/>
        <w:rPr>
          <w:rFonts w:eastAsia="Calibri"/>
        </w:rPr>
      </w:pPr>
      <w:r w:rsidRPr="007D0807">
        <w:rPr>
          <w:rFonts w:eastAsia="Calibri"/>
        </w:rPr>
        <w:cr/>
      </w:r>
    </w:p>
    <w:p w14:paraId="709942FB" w14:textId="7FD12B80" w:rsidR="00FD2CB8" w:rsidRPr="004B2B19" w:rsidRDefault="00FD2CB8" w:rsidP="00FD2CB8">
      <w:pPr>
        <w:pStyle w:val="5-SubsectionSubheading"/>
      </w:pPr>
      <w:bookmarkStart w:id="43" w:name="_Toc208980615"/>
      <w:r w:rsidRPr="004B2B19">
        <w:t>Cannabidiol</w:t>
      </w:r>
      <w:bookmarkEnd w:id="43"/>
    </w:p>
    <w:p w14:paraId="03CABEFC" w14:textId="73A0E47F" w:rsidR="004016CA" w:rsidRPr="004B2B19" w:rsidRDefault="00E0649C" w:rsidP="00C16578">
      <w:pPr>
        <w:pStyle w:val="3-BodyText"/>
      </w:pPr>
      <w:r w:rsidRPr="004B2B19">
        <w:t>Adverse eve</w:t>
      </w:r>
      <w:r w:rsidR="0037139B" w:rsidRPr="004B2B19">
        <w:t>n</w:t>
      </w:r>
      <w:r w:rsidRPr="004B2B19">
        <w:t>ts report</w:t>
      </w:r>
      <w:r w:rsidR="0037139B" w:rsidRPr="004B2B19">
        <w:t>ed</w:t>
      </w:r>
      <w:r w:rsidRPr="004B2B19">
        <w:t xml:space="preserve"> in the CBD trials are shown in</w:t>
      </w:r>
      <w:r w:rsidR="004016CA" w:rsidRPr="004B2B19">
        <w:t xml:space="preserve"> </w:t>
      </w:r>
      <w:r w:rsidR="004016CA" w:rsidRPr="004B2B19">
        <w:fldChar w:fldCharType="begin"/>
      </w:r>
      <w:r w:rsidR="004016CA" w:rsidRPr="004B2B19">
        <w:instrText xml:space="preserve"> REF _Ref204688841 \h </w:instrText>
      </w:r>
      <w:r w:rsidR="004B2B19" w:rsidRPr="004B2B19">
        <w:instrText xml:space="preserve"> \* MERGEFORMAT </w:instrText>
      </w:r>
      <w:r w:rsidR="004016CA" w:rsidRPr="004B2B19">
        <w:fldChar w:fldCharType="separate"/>
      </w:r>
      <w:r w:rsidR="00A037BC" w:rsidRPr="004B2B19">
        <w:t xml:space="preserve">Table </w:t>
      </w:r>
      <w:r w:rsidR="00A037BC">
        <w:rPr>
          <w:noProof/>
        </w:rPr>
        <w:t>8</w:t>
      </w:r>
      <w:r w:rsidR="004016CA" w:rsidRPr="004B2B19">
        <w:fldChar w:fldCharType="end"/>
      </w:r>
      <w:r w:rsidR="004016CA" w:rsidRPr="004B2B19">
        <w:t>.</w:t>
      </w:r>
    </w:p>
    <w:p w14:paraId="30FCB3DE" w14:textId="707934E7" w:rsidR="00821127" w:rsidRPr="004B2B19" w:rsidRDefault="004016CA" w:rsidP="0039258B">
      <w:pPr>
        <w:pStyle w:val="Caption"/>
        <w:rPr>
          <w:rStyle w:val="CommentReference"/>
          <w:b/>
          <w:szCs w:val="24"/>
        </w:rPr>
      </w:pPr>
      <w:bookmarkStart w:id="44" w:name="_Ref204688841"/>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8</w:t>
      </w:r>
      <w:r w:rsidR="00057B46" w:rsidRPr="004B2B19">
        <w:rPr>
          <w:noProof/>
        </w:rPr>
        <w:fldChar w:fldCharType="end"/>
      </w:r>
      <w:bookmarkEnd w:id="44"/>
      <w:r w:rsidRPr="004B2B19">
        <w:t xml:space="preserve">: </w:t>
      </w:r>
      <w:r w:rsidR="00821127" w:rsidRPr="004B2B19">
        <w:rPr>
          <w:rStyle w:val="CommentReference"/>
          <w:b/>
          <w:szCs w:val="24"/>
        </w:rPr>
        <w:t xml:space="preserve">Summary of key adverse events in </w:t>
      </w:r>
      <w:r w:rsidR="00BD36FD" w:rsidRPr="004B2B19">
        <w:rPr>
          <w:rStyle w:val="CommentReference"/>
          <w:b/>
          <w:szCs w:val="24"/>
        </w:rPr>
        <w:t>cannabidiol</w:t>
      </w:r>
      <w:r w:rsidR="00821127" w:rsidRPr="004B2B19">
        <w:rPr>
          <w:rStyle w:val="CommentReference"/>
          <w:b/>
          <w:szCs w:val="24"/>
        </w:rPr>
        <w:t xml:space="preserve"> trials</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Summary of key adverse events in cannabidiol trials"/>
      </w:tblPr>
      <w:tblGrid>
        <w:gridCol w:w="3823"/>
        <w:gridCol w:w="1701"/>
        <w:gridCol w:w="1984"/>
        <w:gridCol w:w="1522"/>
      </w:tblGrid>
      <w:tr w:rsidR="006D7C78" w:rsidRPr="004B2B19" w14:paraId="01CD0FD9" w14:textId="77777777">
        <w:trPr>
          <w:cantSplit/>
          <w:tblHeader/>
        </w:trPr>
        <w:tc>
          <w:tcPr>
            <w:tcW w:w="9030" w:type="dxa"/>
            <w:gridSpan w:val="4"/>
            <w:vAlign w:val="center"/>
          </w:tcPr>
          <w:p w14:paraId="6F2BE3BF" w14:textId="6DD8B393" w:rsidR="006D7C78" w:rsidRPr="004B2B19" w:rsidRDefault="006D7C78" w:rsidP="003B4837">
            <w:pPr>
              <w:pStyle w:val="In-tableHeading"/>
            </w:pPr>
            <w:r w:rsidRPr="004B2B19">
              <w:t>GWPCARE3</w:t>
            </w:r>
          </w:p>
        </w:tc>
      </w:tr>
      <w:tr w:rsidR="00821127" w:rsidRPr="004B2B19" w14:paraId="28CA4773" w14:textId="77777777" w:rsidTr="0039258B">
        <w:trPr>
          <w:cantSplit/>
          <w:tblHeader/>
        </w:trPr>
        <w:tc>
          <w:tcPr>
            <w:tcW w:w="3823" w:type="dxa"/>
            <w:vAlign w:val="center"/>
          </w:tcPr>
          <w:p w14:paraId="698D0C62" w14:textId="77777777" w:rsidR="00821127" w:rsidRPr="004B2B19" w:rsidRDefault="00821127" w:rsidP="0039258B">
            <w:pPr>
              <w:pStyle w:val="Tabletext"/>
              <w:keepNext/>
              <w:keepLines/>
              <w:rPr>
                <w:b/>
              </w:rPr>
            </w:pPr>
          </w:p>
        </w:tc>
        <w:tc>
          <w:tcPr>
            <w:tcW w:w="1701" w:type="dxa"/>
            <w:vAlign w:val="center"/>
          </w:tcPr>
          <w:p w14:paraId="39EEAA56" w14:textId="77777777" w:rsidR="00BD36FD" w:rsidRPr="004B2B19" w:rsidRDefault="00BD36FD" w:rsidP="0039258B">
            <w:pPr>
              <w:pStyle w:val="Tabletext"/>
              <w:keepNext/>
              <w:keepLines/>
              <w:rPr>
                <w:b/>
                <w:bCs/>
              </w:rPr>
            </w:pPr>
            <w:r w:rsidRPr="004B2B19">
              <w:rPr>
                <w:b/>
                <w:bCs/>
              </w:rPr>
              <w:t>Cannabidiol</w:t>
            </w:r>
          </w:p>
          <w:p w14:paraId="4B181D67" w14:textId="77777777" w:rsidR="00821127" w:rsidRPr="004B2B19" w:rsidRDefault="00BD36FD" w:rsidP="0039258B">
            <w:pPr>
              <w:pStyle w:val="Tabletext"/>
              <w:keepNext/>
              <w:keepLines/>
              <w:rPr>
                <w:b/>
                <w:bCs/>
              </w:rPr>
            </w:pPr>
            <w:r w:rsidRPr="004B2B19">
              <w:rPr>
                <w:b/>
                <w:bCs/>
              </w:rPr>
              <w:t>10 mg/kg/day</w:t>
            </w:r>
          </w:p>
          <w:p w14:paraId="1C62AB1E" w14:textId="4AF6DEF9" w:rsidR="00BD36FD" w:rsidRPr="004B2B19" w:rsidRDefault="00BD36FD" w:rsidP="0039258B">
            <w:pPr>
              <w:pStyle w:val="Tabletext"/>
              <w:keepNext/>
              <w:keepLines/>
              <w:rPr>
                <w:b/>
                <w:bCs/>
              </w:rPr>
            </w:pPr>
            <w:r w:rsidRPr="004B2B19">
              <w:rPr>
                <w:b/>
                <w:bCs/>
              </w:rPr>
              <w:t>N = 67</w:t>
            </w:r>
          </w:p>
        </w:tc>
        <w:tc>
          <w:tcPr>
            <w:tcW w:w="1984" w:type="dxa"/>
          </w:tcPr>
          <w:p w14:paraId="7C2E5E67" w14:textId="77777777" w:rsidR="00821127" w:rsidRPr="004B2B19" w:rsidRDefault="00BD36FD" w:rsidP="0039258B">
            <w:pPr>
              <w:pStyle w:val="Tabletext"/>
              <w:keepNext/>
              <w:keepLines/>
              <w:rPr>
                <w:b/>
                <w:bCs/>
              </w:rPr>
            </w:pPr>
            <w:r w:rsidRPr="004B2B19">
              <w:rPr>
                <w:b/>
                <w:bCs/>
              </w:rPr>
              <w:t>Cannabidiol</w:t>
            </w:r>
          </w:p>
          <w:p w14:paraId="4D3230AC" w14:textId="77777777" w:rsidR="00BD36FD" w:rsidRPr="004B2B19" w:rsidRDefault="00BD36FD" w:rsidP="0039258B">
            <w:pPr>
              <w:pStyle w:val="Tabletext"/>
              <w:keepNext/>
              <w:keepLines/>
              <w:rPr>
                <w:b/>
                <w:bCs/>
              </w:rPr>
            </w:pPr>
            <w:r w:rsidRPr="004B2B19">
              <w:rPr>
                <w:b/>
                <w:bCs/>
              </w:rPr>
              <w:t>20 mg/kg/day</w:t>
            </w:r>
          </w:p>
          <w:p w14:paraId="2EDACDB6" w14:textId="3BB46E3E" w:rsidR="00BD36FD" w:rsidRPr="004B2B19" w:rsidRDefault="00BD36FD" w:rsidP="0039258B">
            <w:pPr>
              <w:pStyle w:val="Tabletext"/>
              <w:keepNext/>
              <w:keepLines/>
              <w:rPr>
                <w:b/>
                <w:bCs/>
              </w:rPr>
            </w:pPr>
            <w:r w:rsidRPr="004B2B19">
              <w:rPr>
                <w:b/>
                <w:bCs/>
              </w:rPr>
              <w:t>N = 82</w:t>
            </w:r>
          </w:p>
        </w:tc>
        <w:tc>
          <w:tcPr>
            <w:tcW w:w="1522" w:type="dxa"/>
            <w:vAlign w:val="center"/>
          </w:tcPr>
          <w:p w14:paraId="0CE66EDA" w14:textId="77777777" w:rsidR="00821127" w:rsidRPr="004B2B19" w:rsidRDefault="00BD36FD" w:rsidP="0039258B">
            <w:pPr>
              <w:pStyle w:val="Tabletext"/>
              <w:keepNext/>
              <w:keepLines/>
              <w:rPr>
                <w:b/>
                <w:bCs/>
              </w:rPr>
            </w:pPr>
            <w:r w:rsidRPr="004B2B19">
              <w:rPr>
                <w:b/>
                <w:bCs/>
              </w:rPr>
              <w:t>Placebo</w:t>
            </w:r>
          </w:p>
          <w:p w14:paraId="315519C4" w14:textId="3288FEDA" w:rsidR="00BD36FD" w:rsidRPr="004B2B19" w:rsidRDefault="00BD36FD" w:rsidP="0039258B">
            <w:pPr>
              <w:pStyle w:val="Tabletext"/>
              <w:keepNext/>
              <w:keepLines/>
              <w:rPr>
                <w:b/>
                <w:bCs/>
              </w:rPr>
            </w:pPr>
            <w:r w:rsidRPr="004B2B19">
              <w:rPr>
                <w:b/>
                <w:bCs/>
              </w:rPr>
              <w:t>N = 76</w:t>
            </w:r>
          </w:p>
        </w:tc>
      </w:tr>
      <w:tr w:rsidR="00821127" w:rsidRPr="004B2B19" w14:paraId="138FB351" w14:textId="77777777" w:rsidTr="0039258B">
        <w:trPr>
          <w:cantSplit/>
        </w:trPr>
        <w:tc>
          <w:tcPr>
            <w:tcW w:w="3823" w:type="dxa"/>
            <w:vAlign w:val="center"/>
          </w:tcPr>
          <w:p w14:paraId="7323D90C" w14:textId="7300331A" w:rsidR="00821127" w:rsidRPr="004B2B19" w:rsidRDefault="001B7C82" w:rsidP="0039258B">
            <w:pPr>
              <w:pStyle w:val="Tabletext"/>
              <w:keepNext/>
              <w:keepLines/>
              <w:rPr>
                <w:rFonts w:cs="Arial"/>
                <w:szCs w:val="20"/>
              </w:rPr>
            </w:pPr>
            <w:r w:rsidRPr="004B2B19">
              <w:rPr>
                <w:rFonts w:cs="Arial"/>
                <w:szCs w:val="20"/>
              </w:rPr>
              <w:t>Patients</w:t>
            </w:r>
            <w:r w:rsidR="00821127" w:rsidRPr="004B2B19">
              <w:rPr>
                <w:rFonts w:cs="Arial"/>
                <w:szCs w:val="20"/>
              </w:rPr>
              <w:t xml:space="preserve"> with any TEAE, n (%)</w:t>
            </w:r>
          </w:p>
        </w:tc>
        <w:tc>
          <w:tcPr>
            <w:tcW w:w="1701" w:type="dxa"/>
            <w:vAlign w:val="center"/>
          </w:tcPr>
          <w:p w14:paraId="414A8C22" w14:textId="43046132" w:rsidR="00821127" w:rsidRPr="004B2B19" w:rsidRDefault="00BD36FD" w:rsidP="0039258B">
            <w:pPr>
              <w:pStyle w:val="Tabletext"/>
              <w:keepNext/>
              <w:keepLines/>
              <w:rPr>
                <w:rFonts w:cs="Arial"/>
                <w:szCs w:val="20"/>
              </w:rPr>
            </w:pPr>
            <w:r w:rsidRPr="004B2B19">
              <w:rPr>
                <w:rFonts w:cs="Arial"/>
                <w:szCs w:val="20"/>
              </w:rPr>
              <w:t>56</w:t>
            </w:r>
            <w:r w:rsidR="00821127" w:rsidRPr="004B2B19">
              <w:rPr>
                <w:rFonts w:cs="Arial"/>
                <w:szCs w:val="20"/>
              </w:rPr>
              <w:t xml:space="preserve"> (</w:t>
            </w:r>
            <w:r w:rsidRPr="004B2B19">
              <w:rPr>
                <w:rFonts w:cs="Arial"/>
                <w:szCs w:val="20"/>
              </w:rPr>
              <w:t>84%)</w:t>
            </w:r>
          </w:p>
        </w:tc>
        <w:tc>
          <w:tcPr>
            <w:tcW w:w="1984" w:type="dxa"/>
          </w:tcPr>
          <w:p w14:paraId="63EEC80B" w14:textId="1AB73300" w:rsidR="00821127" w:rsidRPr="004B2B19" w:rsidRDefault="00821127" w:rsidP="0039258B">
            <w:pPr>
              <w:pStyle w:val="Tabletext"/>
              <w:keepNext/>
              <w:keepLines/>
              <w:rPr>
                <w:rFonts w:cs="Arial"/>
                <w:szCs w:val="20"/>
              </w:rPr>
            </w:pPr>
            <w:r w:rsidRPr="004B2B19">
              <w:rPr>
                <w:rFonts w:cs="Arial"/>
                <w:szCs w:val="20"/>
              </w:rPr>
              <w:t>7</w:t>
            </w:r>
            <w:r w:rsidR="00BD36FD" w:rsidRPr="004B2B19">
              <w:rPr>
                <w:rFonts w:cs="Arial"/>
                <w:szCs w:val="20"/>
              </w:rPr>
              <w:t>7 (94%)</w:t>
            </w:r>
          </w:p>
        </w:tc>
        <w:tc>
          <w:tcPr>
            <w:tcW w:w="1522" w:type="dxa"/>
            <w:vAlign w:val="center"/>
          </w:tcPr>
          <w:p w14:paraId="5A7D4A13" w14:textId="1D4F47B7" w:rsidR="00821127" w:rsidRPr="004B2B19" w:rsidRDefault="00BD36FD" w:rsidP="0039258B">
            <w:pPr>
              <w:pStyle w:val="Tabletext"/>
              <w:keepNext/>
              <w:keepLines/>
              <w:rPr>
                <w:rFonts w:cs="Arial"/>
                <w:szCs w:val="20"/>
              </w:rPr>
            </w:pPr>
            <w:r w:rsidRPr="004B2B19">
              <w:rPr>
                <w:rFonts w:cs="Arial"/>
                <w:szCs w:val="20"/>
              </w:rPr>
              <w:t>55 (72%)</w:t>
            </w:r>
          </w:p>
        </w:tc>
      </w:tr>
      <w:tr w:rsidR="00821127" w:rsidRPr="004B2B19" w14:paraId="24A2D2BC" w14:textId="77777777" w:rsidTr="0039258B">
        <w:trPr>
          <w:cantSplit/>
        </w:trPr>
        <w:tc>
          <w:tcPr>
            <w:tcW w:w="3823" w:type="dxa"/>
            <w:vAlign w:val="center"/>
          </w:tcPr>
          <w:p w14:paraId="0ADED9EF" w14:textId="33974DF9" w:rsidR="00821127" w:rsidRPr="004B2B19" w:rsidRDefault="001B7C82" w:rsidP="0039258B">
            <w:pPr>
              <w:pStyle w:val="Tabletext"/>
              <w:keepNext/>
              <w:keepLines/>
              <w:rPr>
                <w:rFonts w:cs="Arial"/>
                <w:szCs w:val="20"/>
              </w:rPr>
            </w:pPr>
            <w:r w:rsidRPr="004B2B19">
              <w:rPr>
                <w:rFonts w:cs="Arial"/>
                <w:szCs w:val="20"/>
              </w:rPr>
              <w:t>Patients</w:t>
            </w:r>
            <w:r w:rsidR="00821127" w:rsidRPr="004B2B19">
              <w:rPr>
                <w:rFonts w:cs="Arial"/>
                <w:szCs w:val="20"/>
              </w:rPr>
              <w:t xml:space="preserve"> with any TESAE, n (%)</w:t>
            </w:r>
          </w:p>
        </w:tc>
        <w:tc>
          <w:tcPr>
            <w:tcW w:w="1701" w:type="dxa"/>
            <w:vAlign w:val="center"/>
          </w:tcPr>
          <w:p w14:paraId="225B5F72" w14:textId="15306CF6" w:rsidR="00821127" w:rsidRPr="004B2B19" w:rsidRDefault="00821127" w:rsidP="0039258B">
            <w:pPr>
              <w:pStyle w:val="Tabletext"/>
              <w:keepNext/>
              <w:keepLines/>
              <w:rPr>
                <w:rFonts w:cs="Arial"/>
                <w:szCs w:val="20"/>
              </w:rPr>
            </w:pPr>
            <w:r w:rsidRPr="004B2B19">
              <w:rPr>
                <w:rFonts w:cs="Arial"/>
                <w:szCs w:val="20"/>
              </w:rPr>
              <w:t xml:space="preserve"> </w:t>
            </w:r>
            <w:r w:rsidR="00BD36FD" w:rsidRPr="004B2B19">
              <w:rPr>
                <w:rFonts w:cs="Arial"/>
                <w:szCs w:val="20"/>
              </w:rPr>
              <w:t>13</w:t>
            </w:r>
            <w:r w:rsidR="006D7C78" w:rsidRPr="004B2B19">
              <w:rPr>
                <w:rFonts w:cs="Arial"/>
                <w:szCs w:val="20"/>
              </w:rPr>
              <w:t xml:space="preserve"> (19%)</w:t>
            </w:r>
          </w:p>
        </w:tc>
        <w:tc>
          <w:tcPr>
            <w:tcW w:w="1984" w:type="dxa"/>
          </w:tcPr>
          <w:p w14:paraId="2669660B" w14:textId="36B265A1" w:rsidR="00821127" w:rsidRPr="004B2B19" w:rsidRDefault="00821127" w:rsidP="0039258B">
            <w:pPr>
              <w:pStyle w:val="Tabletext"/>
              <w:keepNext/>
              <w:keepLines/>
              <w:rPr>
                <w:rFonts w:cs="Arial"/>
                <w:szCs w:val="20"/>
              </w:rPr>
            </w:pPr>
            <w:r w:rsidRPr="004B2B19">
              <w:rPr>
                <w:rFonts w:cs="Arial"/>
                <w:szCs w:val="20"/>
              </w:rPr>
              <w:t>1</w:t>
            </w:r>
            <w:r w:rsidR="00BD36FD" w:rsidRPr="004B2B19">
              <w:rPr>
                <w:rFonts w:cs="Arial"/>
                <w:szCs w:val="20"/>
              </w:rPr>
              <w:t>3</w:t>
            </w:r>
            <w:r w:rsidR="006D7C78" w:rsidRPr="004B2B19">
              <w:rPr>
                <w:rFonts w:cs="Arial"/>
                <w:szCs w:val="20"/>
              </w:rPr>
              <w:t xml:space="preserve"> (16%)</w:t>
            </w:r>
          </w:p>
        </w:tc>
        <w:tc>
          <w:tcPr>
            <w:tcW w:w="1522" w:type="dxa"/>
            <w:vAlign w:val="center"/>
          </w:tcPr>
          <w:p w14:paraId="347C6E5E" w14:textId="10FBD1EC" w:rsidR="00821127" w:rsidRPr="004B2B19" w:rsidRDefault="00BD36FD" w:rsidP="0039258B">
            <w:pPr>
              <w:pStyle w:val="Tabletext"/>
              <w:keepNext/>
              <w:keepLines/>
              <w:rPr>
                <w:rFonts w:cs="Arial"/>
                <w:szCs w:val="20"/>
              </w:rPr>
            </w:pPr>
            <w:r w:rsidRPr="004B2B19">
              <w:rPr>
                <w:rFonts w:cs="Arial"/>
                <w:szCs w:val="20"/>
              </w:rPr>
              <w:t>7</w:t>
            </w:r>
            <w:r w:rsidR="006D7C78" w:rsidRPr="004B2B19">
              <w:rPr>
                <w:rFonts w:cs="Arial"/>
                <w:szCs w:val="20"/>
              </w:rPr>
              <w:t xml:space="preserve"> (9%)</w:t>
            </w:r>
          </w:p>
        </w:tc>
      </w:tr>
      <w:tr w:rsidR="00821127" w:rsidRPr="004B2B19" w14:paraId="126E6C08" w14:textId="77777777" w:rsidTr="0039258B">
        <w:trPr>
          <w:cantSplit/>
        </w:trPr>
        <w:tc>
          <w:tcPr>
            <w:tcW w:w="3823" w:type="dxa"/>
            <w:vAlign w:val="center"/>
          </w:tcPr>
          <w:p w14:paraId="23352642" w14:textId="77777777" w:rsidR="00821127" w:rsidRPr="004B2B19" w:rsidRDefault="00821127" w:rsidP="0039258B">
            <w:pPr>
              <w:pStyle w:val="Tabletext"/>
              <w:keepNext/>
              <w:keepLines/>
              <w:rPr>
                <w:rFonts w:cs="Arial"/>
                <w:szCs w:val="20"/>
              </w:rPr>
            </w:pPr>
            <w:r w:rsidRPr="004B2B19">
              <w:rPr>
                <w:rFonts w:cs="Arial"/>
                <w:szCs w:val="20"/>
              </w:rPr>
              <w:t>TEAE leading to death, n (%)</w:t>
            </w:r>
          </w:p>
        </w:tc>
        <w:tc>
          <w:tcPr>
            <w:tcW w:w="1701" w:type="dxa"/>
            <w:vAlign w:val="center"/>
          </w:tcPr>
          <w:p w14:paraId="490984EC" w14:textId="77777777" w:rsidR="00821127" w:rsidRPr="004B2B19" w:rsidRDefault="00821127" w:rsidP="0039258B">
            <w:pPr>
              <w:pStyle w:val="Tabletext"/>
              <w:keepNext/>
              <w:keepLines/>
              <w:rPr>
                <w:rFonts w:cs="Arial"/>
                <w:szCs w:val="20"/>
              </w:rPr>
            </w:pPr>
            <w:r w:rsidRPr="004B2B19">
              <w:rPr>
                <w:rFonts w:cs="Arial"/>
                <w:szCs w:val="20"/>
              </w:rPr>
              <w:t>0</w:t>
            </w:r>
          </w:p>
        </w:tc>
        <w:tc>
          <w:tcPr>
            <w:tcW w:w="1984" w:type="dxa"/>
          </w:tcPr>
          <w:p w14:paraId="0D3D2E80" w14:textId="77777777" w:rsidR="00821127" w:rsidRPr="004B2B19" w:rsidRDefault="00821127" w:rsidP="0039258B">
            <w:pPr>
              <w:pStyle w:val="Tabletext"/>
              <w:keepNext/>
              <w:keepLines/>
              <w:rPr>
                <w:rFonts w:cs="Arial"/>
                <w:szCs w:val="20"/>
              </w:rPr>
            </w:pPr>
            <w:r w:rsidRPr="004B2B19">
              <w:rPr>
                <w:rFonts w:cs="Arial"/>
                <w:szCs w:val="20"/>
              </w:rPr>
              <w:t>0</w:t>
            </w:r>
          </w:p>
        </w:tc>
        <w:tc>
          <w:tcPr>
            <w:tcW w:w="1522" w:type="dxa"/>
            <w:vAlign w:val="center"/>
          </w:tcPr>
          <w:p w14:paraId="7F2D9307" w14:textId="4B05A910" w:rsidR="00821127" w:rsidRPr="004B2B19" w:rsidRDefault="00BD36FD" w:rsidP="0039258B">
            <w:pPr>
              <w:pStyle w:val="Tabletext"/>
              <w:keepNext/>
              <w:keepLines/>
              <w:rPr>
                <w:rFonts w:cs="Arial"/>
                <w:szCs w:val="20"/>
              </w:rPr>
            </w:pPr>
            <w:r w:rsidRPr="004B2B19">
              <w:rPr>
                <w:rFonts w:cs="Arial"/>
                <w:szCs w:val="20"/>
              </w:rPr>
              <w:t>0</w:t>
            </w:r>
          </w:p>
        </w:tc>
      </w:tr>
      <w:tr w:rsidR="00821127" w:rsidRPr="004B2B19" w14:paraId="144A7578" w14:textId="77777777" w:rsidTr="0039258B">
        <w:trPr>
          <w:cantSplit/>
        </w:trPr>
        <w:tc>
          <w:tcPr>
            <w:tcW w:w="3823" w:type="dxa"/>
            <w:vAlign w:val="center"/>
          </w:tcPr>
          <w:p w14:paraId="31332561" w14:textId="77777777" w:rsidR="00821127" w:rsidRPr="004B2B19" w:rsidRDefault="00821127" w:rsidP="0039258B">
            <w:pPr>
              <w:pStyle w:val="Tabletext"/>
              <w:keepNext/>
              <w:keepLines/>
              <w:rPr>
                <w:rFonts w:cs="Arial"/>
                <w:szCs w:val="20"/>
              </w:rPr>
            </w:pPr>
            <w:r w:rsidRPr="004B2B19">
              <w:rPr>
                <w:rFonts w:cs="Arial"/>
                <w:szCs w:val="20"/>
              </w:rPr>
              <w:t>TEAE leading to discontinuation, n (%)</w:t>
            </w:r>
          </w:p>
        </w:tc>
        <w:tc>
          <w:tcPr>
            <w:tcW w:w="1701" w:type="dxa"/>
            <w:vAlign w:val="center"/>
          </w:tcPr>
          <w:p w14:paraId="122DD61A" w14:textId="2C57890D" w:rsidR="00821127" w:rsidRPr="004B2B19" w:rsidRDefault="00BD36FD" w:rsidP="0039258B">
            <w:pPr>
              <w:pStyle w:val="Tabletext"/>
              <w:keepNext/>
              <w:keepLines/>
              <w:rPr>
                <w:rFonts w:cs="Arial"/>
                <w:szCs w:val="20"/>
              </w:rPr>
            </w:pPr>
            <w:r w:rsidRPr="004B2B19">
              <w:rPr>
                <w:rFonts w:cs="Arial"/>
                <w:szCs w:val="20"/>
              </w:rPr>
              <w:t>1</w:t>
            </w:r>
            <w:r w:rsidR="00821127" w:rsidRPr="004B2B19">
              <w:rPr>
                <w:rFonts w:cs="Arial"/>
                <w:szCs w:val="20"/>
              </w:rPr>
              <w:t xml:space="preserve"> </w:t>
            </w:r>
            <w:r w:rsidR="006D7C78" w:rsidRPr="004B2B19">
              <w:rPr>
                <w:rFonts w:cs="Arial"/>
                <w:szCs w:val="20"/>
              </w:rPr>
              <w:t>(1.5%)</w:t>
            </w:r>
          </w:p>
        </w:tc>
        <w:tc>
          <w:tcPr>
            <w:tcW w:w="1984" w:type="dxa"/>
          </w:tcPr>
          <w:p w14:paraId="037B7173" w14:textId="24C0F8AB" w:rsidR="00821127" w:rsidRPr="004B2B19" w:rsidRDefault="00BD36FD" w:rsidP="0039258B">
            <w:pPr>
              <w:pStyle w:val="Tabletext"/>
              <w:keepNext/>
              <w:keepLines/>
              <w:rPr>
                <w:rFonts w:cs="Arial"/>
                <w:szCs w:val="20"/>
              </w:rPr>
            </w:pPr>
            <w:r w:rsidRPr="004B2B19">
              <w:rPr>
                <w:rFonts w:cs="Arial"/>
                <w:szCs w:val="20"/>
              </w:rPr>
              <w:t>6</w:t>
            </w:r>
            <w:r w:rsidR="00821127" w:rsidRPr="004B2B19">
              <w:rPr>
                <w:rFonts w:cs="Arial"/>
                <w:szCs w:val="20"/>
              </w:rPr>
              <w:t xml:space="preserve"> </w:t>
            </w:r>
            <w:r w:rsidR="006D7C78" w:rsidRPr="004B2B19">
              <w:rPr>
                <w:rFonts w:cs="Arial"/>
                <w:szCs w:val="20"/>
              </w:rPr>
              <w:t>(7%)</w:t>
            </w:r>
          </w:p>
        </w:tc>
        <w:tc>
          <w:tcPr>
            <w:tcW w:w="1522" w:type="dxa"/>
            <w:vAlign w:val="center"/>
          </w:tcPr>
          <w:p w14:paraId="31BBFFA0" w14:textId="209A775A" w:rsidR="00821127" w:rsidRPr="004B2B19" w:rsidRDefault="00821127" w:rsidP="0039258B">
            <w:pPr>
              <w:pStyle w:val="Tabletext"/>
              <w:keepNext/>
              <w:keepLines/>
              <w:rPr>
                <w:rFonts w:cs="Arial"/>
                <w:szCs w:val="20"/>
              </w:rPr>
            </w:pPr>
            <w:r w:rsidRPr="004B2B19">
              <w:rPr>
                <w:rFonts w:cs="Arial"/>
                <w:szCs w:val="20"/>
              </w:rPr>
              <w:t xml:space="preserve">1 </w:t>
            </w:r>
            <w:r w:rsidR="006D7C78" w:rsidRPr="004B2B19">
              <w:rPr>
                <w:rFonts w:cs="Arial"/>
                <w:szCs w:val="20"/>
              </w:rPr>
              <w:t>(1.3%)</w:t>
            </w:r>
          </w:p>
        </w:tc>
      </w:tr>
      <w:tr w:rsidR="000472DD" w:rsidRPr="004B2B19" w14:paraId="7E37D43E" w14:textId="77777777" w:rsidTr="0039258B">
        <w:trPr>
          <w:cantSplit/>
        </w:trPr>
        <w:tc>
          <w:tcPr>
            <w:tcW w:w="3823" w:type="dxa"/>
            <w:vAlign w:val="center"/>
          </w:tcPr>
          <w:p w14:paraId="26655766" w14:textId="6FD5F414" w:rsidR="000472DD" w:rsidRPr="004B2B19" w:rsidRDefault="000472DD" w:rsidP="0039258B">
            <w:pPr>
              <w:pStyle w:val="Tabletext"/>
              <w:keepNext/>
              <w:keepLines/>
              <w:rPr>
                <w:rFonts w:cs="Arial"/>
                <w:szCs w:val="20"/>
              </w:rPr>
            </w:pPr>
            <w:r w:rsidRPr="004B2B19">
              <w:rPr>
                <w:rFonts w:cs="Arial"/>
                <w:szCs w:val="20"/>
              </w:rPr>
              <w:t>Serum transaminase &gt;3x ULN, n (%)</w:t>
            </w:r>
          </w:p>
        </w:tc>
        <w:tc>
          <w:tcPr>
            <w:tcW w:w="1701" w:type="dxa"/>
            <w:vAlign w:val="center"/>
          </w:tcPr>
          <w:p w14:paraId="18D6B042" w14:textId="61ACF902" w:rsidR="000472DD" w:rsidRPr="004B2B19" w:rsidRDefault="000472DD" w:rsidP="0039258B">
            <w:pPr>
              <w:pStyle w:val="Tabletext"/>
              <w:keepNext/>
              <w:keepLines/>
              <w:rPr>
                <w:rFonts w:cs="Arial"/>
                <w:szCs w:val="20"/>
              </w:rPr>
            </w:pPr>
            <w:r w:rsidRPr="004B2B19">
              <w:rPr>
                <w:rFonts w:cs="Arial"/>
                <w:szCs w:val="20"/>
              </w:rPr>
              <w:t>3</w:t>
            </w:r>
            <w:r w:rsidR="001B7C82" w:rsidRPr="004B2B19">
              <w:rPr>
                <w:rFonts w:cs="Arial"/>
                <w:szCs w:val="20"/>
              </w:rPr>
              <w:t xml:space="preserve"> (4.5%)</w:t>
            </w:r>
          </w:p>
        </w:tc>
        <w:tc>
          <w:tcPr>
            <w:tcW w:w="1984" w:type="dxa"/>
          </w:tcPr>
          <w:p w14:paraId="7F34A366" w14:textId="26C71A1A" w:rsidR="000472DD" w:rsidRPr="004B2B19" w:rsidRDefault="000472DD" w:rsidP="0039258B">
            <w:pPr>
              <w:pStyle w:val="Tabletext"/>
              <w:keepNext/>
              <w:keepLines/>
              <w:rPr>
                <w:rFonts w:cs="Arial"/>
                <w:szCs w:val="20"/>
              </w:rPr>
            </w:pPr>
            <w:r w:rsidRPr="004B2B19">
              <w:rPr>
                <w:rFonts w:cs="Arial"/>
                <w:szCs w:val="20"/>
              </w:rPr>
              <w:t>11 (13%)</w:t>
            </w:r>
          </w:p>
        </w:tc>
        <w:tc>
          <w:tcPr>
            <w:tcW w:w="1522" w:type="dxa"/>
            <w:vAlign w:val="center"/>
          </w:tcPr>
          <w:p w14:paraId="216D6E93" w14:textId="67199F93" w:rsidR="000472DD" w:rsidRPr="004B2B19" w:rsidRDefault="000472DD" w:rsidP="0039258B">
            <w:pPr>
              <w:pStyle w:val="Tabletext"/>
              <w:keepNext/>
              <w:keepLines/>
              <w:rPr>
                <w:rFonts w:cs="Arial"/>
                <w:szCs w:val="20"/>
              </w:rPr>
            </w:pPr>
            <w:r w:rsidRPr="004B2B19">
              <w:rPr>
                <w:rFonts w:cs="Arial"/>
                <w:szCs w:val="20"/>
              </w:rPr>
              <w:t>0</w:t>
            </w:r>
          </w:p>
        </w:tc>
      </w:tr>
      <w:tr w:rsidR="00821127" w:rsidRPr="004B2B19" w14:paraId="408E418B" w14:textId="77777777" w:rsidTr="0039258B">
        <w:trPr>
          <w:cantSplit/>
        </w:trPr>
        <w:tc>
          <w:tcPr>
            <w:tcW w:w="3823" w:type="dxa"/>
            <w:vAlign w:val="center"/>
          </w:tcPr>
          <w:p w14:paraId="078935FE" w14:textId="77777777" w:rsidR="00821127" w:rsidRPr="004B2B19" w:rsidRDefault="00821127" w:rsidP="0039258B">
            <w:pPr>
              <w:pStyle w:val="Tabletext"/>
              <w:keepNext/>
              <w:keepLines/>
              <w:rPr>
                <w:rFonts w:cs="Arial"/>
                <w:szCs w:val="20"/>
              </w:rPr>
            </w:pPr>
            <w:r w:rsidRPr="004B2B19">
              <w:rPr>
                <w:rFonts w:cs="Arial"/>
                <w:szCs w:val="20"/>
              </w:rPr>
              <w:t>Diarrhoea, n (%)</w:t>
            </w:r>
          </w:p>
        </w:tc>
        <w:tc>
          <w:tcPr>
            <w:tcW w:w="1701" w:type="dxa"/>
            <w:vAlign w:val="center"/>
          </w:tcPr>
          <w:p w14:paraId="35E909FF" w14:textId="1FA5AEF6" w:rsidR="00821127" w:rsidRPr="004B2B19" w:rsidRDefault="00BD36FD" w:rsidP="0039258B">
            <w:pPr>
              <w:pStyle w:val="Tabletext"/>
              <w:keepNext/>
              <w:keepLines/>
              <w:rPr>
                <w:rFonts w:cs="Arial"/>
                <w:szCs w:val="20"/>
              </w:rPr>
            </w:pPr>
            <w:r w:rsidRPr="004B2B19">
              <w:rPr>
                <w:rFonts w:cs="Arial"/>
                <w:szCs w:val="20"/>
              </w:rPr>
              <w:t>7 (10%)</w:t>
            </w:r>
          </w:p>
        </w:tc>
        <w:tc>
          <w:tcPr>
            <w:tcW w:w="1984" w:type="dxa"/>
          </w:tcPr>
          <w:p w14:paraId="4831425E" w14:textId="57B10696" w:rsidR="00821127" w:rsidRPr="004B2B19" w:rsidRDefault="00BD36FD" w:rsidP="0039258B">
            <w:pPr>
              <w:pStyle w:val="Tabletext"/>
              <w:keepNext/>
              <w:keepLines/>
              <w:rPr>
                <w:rFonts w:cs="Arial"/>
                <w:szCs w:val="20"/>
              </w:rPr>
            </w:pPr>
            <w:r w:rsidRPr="004B2B19">
              <w:rPr>
                <w:rFonts w:cs="Arial"/>
                <w:szCs w:val="20"/>
              </w:rPr>
              <w:t>12 (15%)</w:t>
            </w:r>
          </w:p>
        </w:tc>
        <w:tc>
          <w:tcPr>
            <w:tcW w:w="1522" w:type="dxa"/>
            <w:vAlign w:val="center"/>
          </w:tcPr>
          <w:p w14:paraId="24CBFBF9" w14:textId="34CAA071" w:rsidR="00821127" w:rsidRPr="004B2B19" w:rsidRDefault="00BD36FD" w:rsidP="0039258B">
            <w:pPr>
              <w:pStyle w:val="Tabletext"/>
              <w:keepNext/>
              <w:keepLines/>
              <w:rPr>
                <w:rFonts w:cs="Arial"/>
                <w:szCs w:val="20"/>
              </w:rPr>
            </w:pPr>
            <w:r w:rsidRPr="004B2B19">
              <w:rPr>
                <w:rFonts w:cs="Arial"/>
                <w:szCs w:val="20"/>
              </w:rPr>
              <w:t>6 (8%)</w:t>
            </w:r>
          </w:p>
        </w:tc>
      </w:tr>
      <w:tr w:rsidR="00821127" w:rsidRPr="004B2B19" w14:paraId="01BF9707" w14:textId="77777777" w:rsidTr="0039258B">
        <w:trPr>
          <w:cantSplit/>
        </w:trPr>
        <w:tc>
          <w:tcPr>
            <w:tcW w:w="3823" w:type="dxa"/>
            <w:vAlign w:val="center"/>
          </w:tcPr>
          <w:p w14:paraId="2C755347" w14:textId="77777777" w:rsidR="00821127" w:rsidRPr="004B2B19" w:rsidRDefault="00821127" w:rsidP="0039258B">
            <w:pPr>
              <w:pStyle w:val="Tabletext"/>
              <w:keepNext/>
              <w:keepLines/>
              <w:rPr>
                <w:rFonts w:cs="Arial"/>
                <w:szCs w:val="20"/>
              </w:rPr>
            </w:pPr>
            <w:r w:rsidRPr="004B2B19">
              <w:rPr>
                <w:rFonts w:cs="Arial"/>
                <w:szCs w:val="20"/>
              </w:rPr>
              <w:t>Vomiting, n (%)</w:t>
            </w:r>
          </w:p>
        </w:tc>
        <w:tc>
          <w:tcPr>
            <w:tcW w:w="1701" w:type="dxa"/>
            <w:vAlign w:val="center"/>
          </w:tcPr>
          <w:p w14:paraId="2C08A635" w14:textId="7B438DB9" w:rsidR="00821127" w:rsidRPr="004B2B19" w:rsidRDefault="000472DD" w:rsidP="0039258B">
            <w:pPr>
              <w:pStyle w:val="Tabletext"/>
              <w:keepNext/>
              <w:keepLines/>
              <w:rPr>
                <w:rFonts w:cs="Arial"/>
                <w:szCs w:val="20"/>
              </w:rPr>
            </w:pPr>
            <w:r w:rsidRPr="004B2B19">
              <w:rPr>
                <w:rFonts w:cs="Arial"/>
                <w:szCs w:val="20"/>
              </w:rPr>
              <w:t>4 (6%)</w:t>
            </w:r>
          </w:p>
        </w:tc>
        <w:tc>
          <w:tcPr>
            <w:tcW w:w="1984" w:type="dxa"/>
          </w:tcPr>
          <w:p w14:paraId="62DD09CE" w14:textId="5EA04D98" w:rsidR="00821127" w:rsidRPr="004B2B19" w:rsidRDefault="000472DD" w:rsidP="0039258B">
            <w:pPr>
              <w:pStyle w:val="Tabletext"/>
              <w:keepNext/>
              <w:keepLines/>
              <w:rPr>
                <w:rFonts w:cs="Arial"/>
                <w:szCs w:val="20"/>
              </w:rPr>
            </w:pPr>
            <w:r w:rsidRPr="004B2B19">
              <w:rPr>
                <w:rFonts w:cs="Arial"/>
                <w:szCs w:val="20"/>
              </w:rPr>
              <w:t>10 (12%)</w:t>
            </w:r>
          </w:p>
        </w:tc>
        <w:tc>
          <w:tcPr>
            <w:tcW w:w="1522" w:type="dxa"/>
            <w:vAlign w:val="center"/>
          </w:tcPr>
          <w:p w14:paraId="54CE19C6" w14:textId="2091D65F" w:rsidR="00821127" w:rsidRPr="004B2B19" w:rsidRDefault="000472DD" w:rsidP="0039258B">
            <w:pPr>
              <w:pStyle w:val="Tabletext"/>
              <w:keepNext/>
              <w:keepLines/>
              <w:rPr>
                <w:rFonts w:cs="Arial"/>
                <w:szCs w:val="20"/>
              </w:rPr>
            </w:pPr>
            <w:r w:rsidRPr="004B2B19">
              <w:rPr>
                <w:rFonts w:cs="Arial"/>
                <w:szCs w:val="20"/>
              </w:rPr>
              <w:t>9 (12%)</w:t>
            </w:r>
          </w:p>
        </w:tc>
      </w:tr>
      <w:tr w:rsidR="00821127" w:rsidRPr="004B2B19" w14:paraId="41657E63" w14:textId="77777777" w:rsidTr="0039258B">
        <w:trPr>
          <w:cantSplit/>
        </w:trPr>
        <w:tc>
          <w:tcPr>
            <w:tcW w:w="3823" w:type="dxa"/>
            <w:vAlign w:val="center"/>
          </w:tcPr>
          <w:p w14:paraId="425F45E7" w14:textId="5A5C5484" w:rsidR="00821127" w:rsidRPr="004B2B19" w:rsidRDefault="00821127" w:rsidP="0039258B">
            <w:pPr>
              <w:pStyle w:val="Tabletext"/>
              <w:keepNext/>
              <w:keepLines/>
              <w:rPr>
                <w:rFonts w:cs="Arial"/>
                <w:szCs w:val="20"/>
              </w:rPr>
            </w:pPr>
            <w:r w:rsidRPr="004B2B19">
              <w:rPr>
                <w:rFonts w:cs="Arial"/>
                <w:szCs w:val="20"/>
              </w:rPr>
              <w:t>Somnolence, n (%)</w:t>
            </w:r>
          </w:p>
        </w:tc>
        <w:tc>
          <w:tcPr>
            <w:tcW w:w="1701" w:type="dxa"/>
            <w:vAlign w:val="center"/>
          </w:tcPr>
          <w:p w14:paraId="5C097AE5" w14:textId="6310D1EB" w:rsidR="00821127" w:rsidRPr="004B2B19" w:rsidRDefault="00BD36FD" w:rsidP="0039258B">
            <w:pPr>
              <w:pStyle w:val="Tabletext"/>
              <w:keepNext/>
              <w:keepLines/>
              <w:rPr>
                <w:rFonts w:cs="Arial"/>
                <w:szCs w:val="20"/>
              </w:rPr>
            </w:pPr>
            <w:r w:rsidRPr="004B2B19">
              <w:rPr>
                <w:rFonts w:cs="Arial"/>
                <w:szCs w:val="20"/>
              </w:rPr>
              <w:t>14 (21%)</w:t>
            </w:r>
          </w:p>
        </w:tc>
        <w:tc>
          <w:tcPr>
            <w:tcW w:w="1984" w:type="dxa"/>
          </w:tcPr>
          <w:p w14:paraId="72BC9B13" w14:textId="60328B65" w:rsidR="00821127" w:rsidRPr="004B2B19" w:rsidRDefault="00BD36FD" w:rsidP="0039258B">
            <w:pPr>
              <w:pStyle w:val="Tabletext"/>
              <w:keepNext/>
              <w:keepLines/>
              <w:rPr>
                <w:rFonts w:cs="Arial"/>
                <w:szCs w:val="20"/>
              </w:rPr>
            </w:pPr>
            <w:r w:rsidRPr="004B2B19">
              <w:rPr>
                <w:rFonts w:cs="Arial"/>
                <w:szCs w:val="20"/>
              </w:rPr>
              <w:t>25 (30%)</w:t>
            </w:r>
          </w:p>
        </w:tc>
        <w:tc>
          <w:tcPr>
            <w:tcW w:w="1522" w:type="dxa"/>
            <w:vAlign w:val="center"/>
          </w:tcPr>
          <w:p w14:paraId="489619B8" w14:textId="2ABF8251" w:rsidR="00821127" w:rsidRPr="004B2B19" w:rsidRDefault="00BD36FD" w:rsidP="0039258B">
            <w:pPr>
              <w:pStyle w:val="Tabletext"/>
              <w:keepNext/>
              <w:keepLines/>
              <w:rPr>
                <w:rFonts w:cs="Arial"/>
                <w:szCs w:val="20"/>
              </w:rPr>
            </w:pPr>
            <w:r w:rsidRPr="004B2B19">
              <w:rPr>
                <w:rFonts w:cs="Arial"/>
                <w:szCs w:val="20"/>
              </w:rPr>
              <w:t>4 (5%)</w:t>
            </w:r>
          </w:p>
        </w:tc>
      </w:tr>
      <w:tr w:rsidR="00821127" w:rsidRPr="004B2B19" w14:paraId="04367207" w14:textId="77777777" w:rsidTr="0039258B">
        <w:trPr>
          <w:cantSplit/>
        </w:trPr>
        <w:tc>
          <w:tcPr>
            <w:tcW w:w="3823" w:type="dxa"/>
            <w:vAlign w:val="center"/>
          </w:tcPr>
          <w:p w14:paraId="6DAE6DEF" w14:textId="77777777" w:rsidR="00821127" w:rsidRPr="004B2B19" w:rsidRDefault="00821127" w:rsidP="0039258B">
            <w:pPr>
              <w:pStyle w:val="Tabletext"/>
              <w:keepNext/>
              <w:keepLines/>
              <w:rPr>
                <w:rFonts w:cs="Arial"/>
                <w:szCs w:val="20"/>
              </w:rPr>
            </w:pPr>
            <w:r w:rsidRPr="004B2B19">
              <w:rPr>
                <w:rFonts w:cs="Arial"/>
                <w:szCs w:val="20"/>
              </w:rPr>
              <w:t>Decreased appetite, n (%)</w:t>
            </w:r>
          </w:p>
        </w:tc>
        <w:tc>
          <w:tcPr>
            <w:tcW w:w="1701" w:type="dxa"/>
            <w:vAlign w:val="center"/>
          </w:tcPr>
          <w:p w14:paraId="57BC5F16" w14:textId="04A4F77A" w:rsidR="00821127" w:rsidRPr="004B2B19" w:rsidRDefault="00BD36FD" w:rsidP="0039258B">
            <w:pPr>
              <w:pStyle w:val="Tabletext"/>
              <w:keepNext/>
              <w:keepLines/>
              <w:rPr>
                <w:rFonts w:cs="Arial"/>
                <w:szCs w:val="20"/>
              </w:rPr>
            </w:pPr>
            <w:r w:rsidRPr="004B2B19">
              <w:rPr>
                <w:rFonts w:cs="Arial"/>
                <w:szCs w:val="20"/>
              </w:rPr>
              <w:t>11 (16%)</w:t>
            </w:r>
          </w:p>
        </w:tc>
        <w:tc>
          <w:tcPr>
            <w:tcW w:w="1984" w:type="dxa"/>
          </w:tcPr>
          <w:p w14:paraId="7098B32B" w14:textId="387111F2" w:rsidR="00821127" w:rsidRPr="004B2B19" w:rsidRDefault="00BD36FD" w:rsidP="0039258B">
            <w:pPr>
              <w:pStyle w:val="Tabletext"/>
              <w:keepNext/>
              <w:keepLines/>
              <w:rPr>
                <w:rFonts w:cs="Arial"/>
                <w:szCs w:val="20"/>
              </w:rPr>
            </w:pPr>
            <w:r w:rsidRPr="004B2B19">
              <w:rPr>
                <w:rFonts w:cs="Arial"/>
                <w:szCs w:val="20"/>
              </w:rPr>
              <w:t>21 (26%)</w:t>
            </w:r>
          </w:p>
        </w:tc>
        <w:tc>
          <w:tcPr>
            <w:tcW w:w="1522" w:type="dxa"/>
            <w:vAlign w:val="center"/>
          </w:tcPr>
          <w:p w14:paraId="2D1E7335" w14:textId="5A533E42" w:rsidR="00821127" w:rsidRPr="004B2B19" w:rsidRDefault="00BD36FD" w:rsidP="0039258B">
            <w:pPr>
              <w:pStyle w:val="Tabletext"/>
              <w:keepNext/>
              <w:keepLines/>
              <w:rPr>
                <w:rFonts w:cs="Arial"/>
                <w:szCs w:val="20"/>
              </w:rPr>
            </w:pPr>
            <w:r w:rsidRPr="004B2B19">
              <w:rPr>
                <w:rFonts w:cs="Arial"/>
                <w:szCs w:val="20"/>
              </w:rPr>
              <w:t>6 (8%)</w:t>
            </w:r>
          </w:p>
        </w:tc>
      </w:tr>
      <w:tr w:rsidR="006D7C78" w:rsidRPr="004B2B19" w14:paraId="24B81A48" w14:textId="77777777">
        <w:trPr>
          <w:cantSplit/>
        </w:trPr>
        <w:tc>
          <w:tcPr>
            <w:tcW w:w="9030" w:type="dxa"/>
            <w:gridSpan w:val="4"/>
            <w:vAlign w:val="center"/>
          </w:tcPr>
          <w:p w14:paraId="1D1E0BD1" w14:textId="69121FE0" w:rsidR="006D7C78" w:rsidRPr="004B2B19" w:rsidRDefault="006D7C78" w:rsidP="003B4837">
            <w:pPr>
              <w:pStyle w:val="Tabletext"/>
              <w:keepNext/>
              <w:keepLines/>
              <w:rPr>
                <w:rFonts w:cs="Arial"/>
                <w:b/>
                <w:szCs w:val="20"/>
              </w:rPr>
            </w:pPr>
            <w:r w:rsidRPr="004B2B19">
              <w:rPr>
                <w:rFonts w:cs="Arial"/>
                <w:b/>
                <w:szCs w:val="20"/>
              </w:rPr>
              <w:t>GWPCARE4</w:t>
            </w:r>
          </w:p>
        </w:tc>
      </w:tr>
      <w:tr w:rsidR="00B4517D" w:rsidRPr="004B2B19" w14:paraId="31F7DDDD" w14:textId="77777777" w:rsidTr="0039258B">
        <w:trPr>
          <w:cantSplit/>
        </w:trPr>
        <w:tc>
          <w:tcPr>
            <w:tcW w:w="3823" w:type="dxa"/>
            <w:vAlign w:val="center"/>
          </w:tcPr>
          <w:p w14:paraId="3899FD0B" w14:textId="77777777" w:rsidR="00B4517D" w:rsidRPr="004B2B19" w:rsidRDefault="00B4517D" w:rsidP="0039258B">
            <w:pPr>
              <w:pStyle w:val="Tabletext"/>
              <w:keepNext/>
              <w:keepLines/>
              <w:rPr>
                <w:rFonts w:cs="Arial"/>
                <w:szCs w:val="20"/>
              </w:rPr>
            </w:pPr>
          </w:p>
        </w:tc>
        <w:tc>
          <w:tcPr>
            <w:tcW w:w="1701" w:type="dxa"/>
            <w:vMerge w:val="restart"/>
            <w:vAlign w:val="center"/>
          </w:tcPr>
          <w:p w14:paraId="068D5369" w14:textId="3A3427A8" w:rsidR="00B4517D" w:rsidRPr="004B2B19" w:rsidRDefault="00A861C8" w:rsidP="0039258B">
            <w:pPr>
              <w:pStyle w:val="Tabletext"/>
              <w:keepNext/>
              <w:keepLines/>
              <w:rPr>
                <w:rFonts w:cs="Arial"/>
                <w:szCs w:val="20"/>
              </w:rPr>
            </w:pPr>
            <w:r w:rsidRPr="004B2B19">
              <w:rPr>
                <w:rFonts w:cs="Arial"/>
                <w:szCs w:val="20"/>
              </w:rPr>
              <w:t>NA</w:t>
            </w:r>
          </w:p>
        </w:tc>
        <w:tc>
          <w:tcPr>
            <w:tcW w:w="1984" w:type="dxa"/>
          </w:tcPr>
          <w:p w14:paraId="439AA97E" w14:textId="77777777" w:rsidR="00B4517D" w:rsidRPr="004B2B19" w:rsidRDefault="00B4517D" w:rsidP="0039258B">
            <w:pPr>
              <w:pStyle w:val="Tabletext"/>
              <w:keepNext/>
              <w:keepLines/>
              <w:rPr>
                <w:rFonts w:cs="Arial"/>
                <w:b/>
                <w:bCs/>
                <w:szCs w:val="20"/>
              </w:rPr>
            </w:pPr>
            <w:r w:rsidRPr="004B2B19">
              <w:rPr>
                <w:rFonts w:cs="Arial"/>
                <w:b/>
                <w:bCs/>
                <w:szCs w:val="20"/>
              </w:rPr>
              <w:t xml:space="preserve">Cannabidiol </w:t>
            </w:r>
          </w:p>
          <w:p w14:paraId="76C59066" w14:textId="1545A340" w:rsidR="00B4517D" w:rsidRPr="004B2B19" w:rsidRDefault="00B4517D" w:rsidP="0039258B">
            <w:pPr>
              <w:pStyle w:val="Tabletext"/>
              <w:keepNext/>
              <w:keepLines/>
              <w:rPr>
                <w:rFonts w:cs="Arial"/>
                <w:b/>
                <w:bCs/>
                <w:szCs w:val="20"/>
              </w:rPr>
            </w:pPr>
            <w:r w:rsidRPr="004B2B19">
              <w:rPr>
                <w:rFonts w:cs="Arial"/>
                <w:b/>
                <w:bCs/>
                <w:szCs w:val="20"/>
              </w:rPr>
              <w:t>20 mg/kg/day</w:t>
            </w:r>
          </w:p>
        </w:tc>
        <w:tc>
          <w:tcPr>
            <w:tcW w:w="1522" w:type="dxa"/>
            <w:vAlign w:val="center"/>
          </w:tcPr>
          <w:p w14:paraId="14418E2C" w14:textId="3C65CC1A" w:rsidR="00B4517D" w:rsidRPr="004B2B19" w:rsidRDefault="00B4517D" w:rsidP="0039258B">
            <w:pPr>
              <w:pStyle w:val="Tabletext"/>
              <w:keepNext/>
              <w:keepLines/>
              <w:rPr>
                <w:rFonts w:cs="Arial"/>
                <w:b/>
                <w:bCs/>
                <w:szCs w:val="20"/>
              </w:rPr>
            </w:pPr>
            <w:r w:rsidRPr="004B2B19">
              <w:rPr>
                <w:rFonts w:cs="Arial"/>
                <w:b/>
                <w:bCs/>
                <w:szCs w:val="20"/>
              </w:rPr>
              <w:t>Placebo</w:t>
            </w:r>
          </w:p>
        </w:tc>
      </w:tr>
      <w:tr w:rsidR="00B4517D" w:rsidRPr="004B2B19" w14:paraId="1AC24198" w14:textId="77777777" w:rsidTr="0039258B">
        <w:trPr>
          <w:cantSplit/>
        </w:trPr>
        <w:tc>
          <w:tcPr>
            <w:tcW w:w="3823" w:type="dxa"/>
            <w:vAlign w:val="center"/>
          </w:tcPr>
          <w:p w14:paraId="15177B21" w14:textId="4959654D" w:rsidR="00B4517D" w:rsidRPr="004B2B19" w:rsidRDefault="00B4517D" w:rsidP="0039258B">
            <w:pPr>
              <w:pStyle w:val="Tabletext"/>
              <w:keepNext/>
              <w:keepLines/>
              <w:rPr>
                <w:rFonts w:cs="Arial"/>
                <w:szCs w:val="20"/>
              </w:rPr>
            </w:pPr>
            <w:r w:rsidRPr="004B2B19">
              <w:rPr>
                <w:rFonts w:cs="Arial"/>
                <w:szCs w:val="20"/>
              </w:rPr>
              <w:t>Patients with any TEAE, n (%)</w:t>
            </w:r>
          </w:p>
        </w:tc>
        <w:tc>
          <w:tcPr>
            <w:tcW w:w="1701" w:type="dxa"/>
            <w:vMerge/>
            <w:vAlign w:val="center"/>
          </w:tcPr>
          <w:p w14:paraId="40DB4B79" w14:textId="77777777" w:rsidR="00B4517D" w:rsidRPr="004B2B19" w:rsidRDefault="00B4517D" w:rsidP="0039258B">
            <w:pPr>
              <w:pStyle w:val="Tabletext"/>
              <w:keepNext/>
              <w:keepLines/>
              <w:rPr>
                <w:rFonts w:cs="Arial"/>
                <w:szCs w:val="20"/>
              </w:rPr>
            </w:pPr>
          </w:p>
        </w:tc>
        <w:tc>
          <w:tcPr>
            <w:tcW w:w="1984" w:type="dxa"/>
          </w:tcPr>
          <w:p w14:paraId="37EB3A6C" w14:textId="0285B7A5" w:rsidR="00B4517D" w:rsidRPr="004B2B19" w:rsidRDefault="00B4517D" w:rsidP="0039258B">
            <w:pPr>
              <w:pStyle w:val="Tabletext"/>
              <w:keepNext/>
              <w:keepLines/>
              <w:rPr>
                <w:rFonts w:cs="Arial"/>
                <w:szCs w:val="20"/>
              </w:rPr>
            </w:pPr>
            <w:r w:rsidRPr="004B2B19">
              <w:rPr>
                <w:rFonts w:cs="Arial"/>
                <w:szCs w:val="20"/>
              </w:rPr>
              <w:t>74 (86%)</w:t>
            </w:r>
          </w:p>
        </w:tc>
        <w:tc>
          <w:tcPr>
            <w:tcW w:w="1522" w:type="dxa"/>
            <w:vAlign w:val="center"/>
          </w:tcPr>
          <w:p w14:paraId="562D166D" w14:textId="6C2CF85A" w:rsidR="00B4517D" w:rsidRPr="004B2B19" w:rsidRDefault="00B4517D" w:rsidP="0039258B">
            <w:pPr>
              <w:pStyle w:val="Tabletext"/>
              <w:keepNext/>
              <w:keepLines/>
              <w:rPr>
                <w:rFonts w:cs="Arial"/>
                <w:szCs w:val="20"/>
              </w:rPr>
            </w:pPr>
            <w:r w:rsidRPr="004B2B19">
              <w:rPr>
                <w:rFonts w:cs="Arial"/>
                <w:szCs w:val="20"/>
              </w:rPr>
              <w:t>59 (69.4%)</w:t>
            </w:r>
          </w:p>
        </w:tc>
      </w:tr>
      <w:tr w:rsidR="00B4517D" w:rsidRPr="004B2B19" w14:paraId="32FB3087" w14:textId="77777777" w:rsidTr="0039258B">
        <w:trPr>
          <w:cantSplit/>
        </w:trPr>
        <w:tc>
          <w:tcPr>
            <w:tcW w:w="3823" w:type="dxa"/>
            <w:vAlign w:val="center"/>
          </w:tcPr>
          <w:p w14:paraId="22129387" w14:textId="10A037F0" w:rsidR="00B4517D" w:rsidRPr="004B2B19" w:rsidRDefault="00B4517D" w:rsidP="0039258B">
            <w:pPr>
              <w:pStyle w:val="Tabletext"/>
              <w:keepNext/>
              <w:keepLines/>
              <w:rPr>
                <w:rFonts w:cs="Arial"/>
                <w:szCs w:val="20"/>
              </w:rPr>
            </w:pPr>
            <w:r w:rsidRPr="004B2B19">
              <w:rPr>
                <w:rFonts w:cs="Arial"/>
                <w:szCs w:val="20"/>
              </w:rPr>
              <w:t>TEAE leading to discontinuation, n (%)</w:t>
            </w:r>
          </w:p>
        </w:tc>
        <w:tc>
          <w:tcPr>
            <w:tcW w:w="1701" w:type="dxa"/>
            <w:vMerge/>
            <w:vAlign w:val="center"/>
          </w:tcPr>
          <w:p w14:paraId="3DB261CF" w14:textId="77777777" w:rsidR="00B4517D" w:rsidRPr="004B2B19" w:rsidRDefault="00B4517D" w:rsidP="0039258B">
            <w:pPr>
              <w:pStyle w:val="Tabletext"/>
              <w:keepNext/>
              <w:keepLines/>
              <w:rPr>
                <w:rFonts w:cs="Arial"/>
                <w:szCs w:val="20"/>
              </w:rPr>
            </w:pPr>
          </w:p>
        </w:tc>
        <w:tc>
          <w:tcPr>
            <w:tcW w:w="1984" w:type="dxa"/>
          </w:tcPr>
          <w:p w14:paraId="7F5F0BC6" w14:textId="6E716E0D" w:rsidR="00B4517D" w:rsidRPr="004B2B19" w:rsidRDefault="007C41B8" w:rsidP="0039258B">
            <w:pPr>
              <w:pStyle w:val="Tabletext"/>
              <w:keepNext/>
              <w:keepLines/>
              <w:rPr>
                <w:rFonts w:cs="Arial"/>
                <w:szCs w:val="20"/>
              </w:rPr>
            </w:pPr>
            <w:r w:rsidRPr="004B2B19">
              <w:rPr>
                <w:rFonts w:cs="Arial"/>
                <w:szCs w:val="20"/>
              </w:rPr>
              <w:t>12 (14%)</w:t>
            </w:r>
          </w:p>
        </w:tc>
        <w:tc>
          <w:tcPr>
            <w:tcW w:w="1522" w:type="dxa"/>
            <w:vAlign w:val="center"/>
          </w:tcPr>
          <w:p w14:paraId="7C53B95D" w14:textId="40A778E8" w:rsidR="00B4517D" w:rsidRPr="004B2B19" w:rsidRDefault="00B4517D" w:rsidP="0039258B">
            <w:pPr>
              <w:pStyle w:val="Tabletext"/>
              <w:keepNext/>
              <w:keepLines/>
              <w:rPr>
                <w:rFonts w:cs="Arial"/>
                <w:szCs w:val="20"/>
              </w:rPr>
            </w:pPr>
            <w:r w:rsidRPr="004B2B19">
              <w:rPr>
                <w:rFonts w:cs="Arial"/>
                <w:szCs w:val="20"/>
              </w:rPr>
              <w:t>1</w:t>
            </w:r>
            <w:r w:rsidR="007C41B8" w:rsidRPr="004B2B19">
              <w:rPr>
                <w:rFonts w:cs="Arial"/>
                <w:szCs w:val="20"/>
              </w:rPr>
              <w:t xml:space="preserve"> (1.2%)</w:t>
            </w:r>
          </w:p>
        </w:tc>
      </w:tr>
      <w:tr w:rsidR="00B4517D" w:rsidRPr="004B2B19" w14:paraId="04EA833A" w14:textId="77777777" w:rsidTr="0039258B">
        <w:trPr>
          <w:cantSplit/>
        </w:trPr>
        <w:tc>
          <w:tcPr>
            <w:tcW w:w="3823" w:type="dxa"/>
            <w:vAlign w:val="center"/>
          </w:tcPr>
          <w:p w14:paraId="7422162F" w14:textId="0096B24C" w:rsidR="00B4517D" w:rsidRPr="004B2B19" w:rsidRDefault="007C41B8" w:rsidP="0039258B">
            <w:pPr>
              <w:pStyle w:val="Tabletext"/>
              <w:keepNext/>
              <w:keepLines/>
              <w:rPr>
                <w:rFonts w:cs="Arial"/>
                <w:szCs w:val="20"/>
              </w:rPr>
            </w:pPr>
            <w:r w:rsidRPr="004B2B19">
              <w:rPr>
                <w:rFonts w:cs="Arial"/>
                <w:szCs w:val="20"/>
              </w:rPr>
              <w:t>Serum transaminase &gt; 3 x ULN, n (%)</w:t>
            </w:r>
          </w:p>
        </w:tc>
        <w:tc>
          <w:tcPr>
            <w:tcW w:w="1701" w:type="dxa"/>
            <w:vMerge/>
            <w:vAlign w:val="center"/>
          </w:tcPr>
          <w:p w14:paraId="5ABA0FA5" w14:textId="77777777" w:rsidR="00B4517D" w:rsidRPr="004B2B19" w:rsidRDefault="00B4517D" w:rsidP="0039258B">
            <w:pPr>
              <w:pStyle w:val="Tabletext"/>
              <w:keepNext/>
              <w:keepLines/>
              <w:rPr>
                <w:rFonts w:cs="Arial"/>
                <w:szCs w:val="20"/>
              </w:rPr>
            </w:pPr>
          </w:p>
        </w:tc>
        <w:tc>
          <w:tcPr>
            <w:tcW w:w="1984" w:type="dxa"/>
          </w:tcPr>
          <w:p w14:paraId="2EF70F79" w14:textId="5A6660B2" w:rsidR="00B4517D" w:rsidRPr="004B2B19" w:rsidRDefault="007C41B8" w:rsidP="0039258B">
            <w:pPr>
              <w:pStyle w:val="Tabletext"/>
              <w:keepNext/>
              <w:keepLines/>
              <w:rPr>
                <w:rFonts w:cs="Arial"/>
                <w:szCs w:val="20"/>
              </w:rPr>
            </w:pPr>
            <w:r w:rsidRPr="004B2B19">
              <w:rPr>
                <w:rFonts w:cs="Arial"/>
                <w:szCs w:val="20"/>
              </w:rPr>
              <w:t>20 (24%)</w:t>
            </w:r>
          </w:p>
        </w:tc>
        <w:tc>
          <w:tcPr>
            <w:tcW w:w="1522" w:type="dxa"/>
            <w:vAlign w:val="center"/>
          </w:tcPr>
          <w:p w14:paraId="57196953" w14:textId="3B1E1183" w:rsidR="00B4517D" w:rsidRPr="004B2B19" w:rsidRDefault="00B4517D" w:rsidP="0039258B">
            <w:pPr>
              <w:pStyle w:val="Tabletext"/>
              <w:keepNext/>
              <w:keepLines/>
              <w:rPr>
                <w:rFonts w:cs="Arial"/>
                <w:szCs w:val="20"/>
              </w:rPr>
            </w:pPr>
            <w:r w:rsidRPr="004B2B19">
              <w:rPr>
                <w:rFonts w:cs="Arial"/>
                <w:szCs w:val="20"/>
              </w:rPr>
              <w:t>1 (1.2%)</w:t>
            </w:r>
          </w:p>
        </w:tc>
      </w:tr>
      <w:tr w:rsidR="00B4517D" w:rsidRPr="004B2B19" w14:paraId="65674CFC" w14:textId="77777777" w:rsidTr="0039258B">
        <w:trPr>
          <w:cantSplit/>
        </w:trPr>
        <w:tc>
          <w:tcPr>
            <w:tcW w:w="3823" w:type="dxa"/>
            <w:vAlign w:val="center"/>
          </w:tcPr>
          <w:p w14:paraId="78088041" w14:textId="557570F4" w:rsidR="00B4517D" w:rsidRPr="004B2B19" w:rsidRDefault="00B4517D" w:rsidP="0039258B">
            <w:pPr>
              <w:pStyle w:val="Tabletext"/>
              <w:keepNext/>
              <w:keepLines/>
              <w:rPr>
                <w:rFonts w:cs="Arial"/>
                <w:szCs w:val="20"/>
              </w:rPr>
            </w:pPr>
            <w:r w:rsidRPr="004B2B19">
              <w:rPr>
                <w:rFonts w:cs="Arial"/>
                <w:szCs w:val="20"/>
              </w:rPr>
              <w:t>Diarrhoea, n (%)</w:t>
            </w:r>
          </w:p>
        </w:tc>
        <w:tc>
          <w:tcPr>
            <w:tcW w:w="1701" w:type="dxa"/>
            <w:vMerge/>
            <w:vAlign w:val="center"/>
          </w:tcPr>
          <w:p w14:paraId="792D41B5" w14:textId="77777777" w:rsidR="00B4517D" w:rsidRPr="004B2B19" w:rsidRDefault="00B4517D" w:rsidP="0039258B">
            <w:pPr>
              <w:pStyle w:val="Tabletext"/>
              <w:keepNext/>
              <w:keepLines/>
              <w:rPr>
                <w:rFonts w:cs="Arial"/>
                <w:szCs w:val="20"/>
              </w:rPr>
            </w:pPr>
          </w:p>
        </w:tc>
        <w:tc>
          <w:tcPr>
            <w:tcW w:w="1984" w:type="dxa"/>
          </w:tcPr>
          <w:p w14:paraId="583EC5F2" w14:textId="05DC6DE6" w:rsidR="00B4517D" w:rsidRPr="004B2B19" w:rsidRDefault="00B4517D" w:rsidP="0039258B">
            <w:pPr>
              <w:pStyle w:val="Tabletext"/>
              <w:keepNext/>
              <w:keepLines/>
              <w:rPr>
                <w:rFonts w:cs="Arial"/>
                <w:szCs w:val="20"/>
              </w:rPr>
            </w:pPr>
            <w:r w:rsidRPr="004B2B19">
              <w:rPr>
                <w:rFonts w:cs="Arial"/>
                <w:szCs w:val="20"/>
              </w:rPr>
              <w:t>16 (19%)</w:t>
            </w:r>
          </w:p>
        </w:tc>
        <w:tc>
          <w:tcPr>
            <w:tcW w:w="1522" w:type="dxa"/>
            <w:vAlign w:val="center"/>
          </w:tcPr>
          <w:p w14:paraId="7B3CC53A" w14:textId="595C929B" w:rsidR="00B4517D" w:rsidRPr="004B2B19" w:rsidRDefault="00B4517D" w:rsidP="0039258B">
            <w:pPr>
              <w:pStyle w:val="Tabletext"/>
              <w:keepNext/>
              <w:keepLines/>
              <w:rPr>
                <w:rFonts w:cs="Arial"/>
                <w:szCs w:val="20"/>
              </w:rPr>
            </w:pPr>
            <w:r w:rsidRPr="004B2B19">
              <w:rPr>
                <w:rFonts w:cs="Arial"/>
                <w:szCs w:val="20"/>
              </w:rPr>
              <w:t>7 (8%)</w:t>
            </w:r>
          </w:p>
        </w:tc>
      </w:tr>
      <w:tr w:rsidR="00B4517D" w:rsidRPr="004B2B19" w14:paraId="2C2F58B6" w14:textId="77777777" w:rsidTr="0039258B">
        <w:trPr>
          <w:cantSplit/>
        </w:trPr>
        <w:tc>
          <w:tcPr>
            <w:tcW w:w="3823" w:type="dxa"/>
            <w:vAlign w:val="center"/>
          </w:tcPr>
          <w:p w14:paraId="5553176E" w14:textId="157B1B62" w:rsidR="00B4517D" w:rsidRPr="004B2B19" w:rsidRDefault="00B4517D" w:rsidP="0039258B">
            <w:pPr>
              <w:pStyle w:val="Tabletext"/>
              <w:keepNext/>
              <w:keepLines/>
              <w:rPr>
                <w:rFonts w:cs="Arial"/>
                <w:szCs w:val="20"/>
              </w:rPr>
            </w:pPr>
            <w:r w:rsidRPr="004B2B19">
              <w:rPr>
                <w:rFonts w:cs="Arial"/>
                <w:szCs w:val="20"/>
              </w:rPr>
              <w:t>Vomiting, n (%)</w:t>
            </w:r>
          </w:p>
        </w:tc>
        <w:tc>
          <w:tcPr>
            <w:tcW w:w="1701" w:type="dxa"/>
            <w:vMerge/>
            <w:vAlign w:val="center"/>
          </w:tcPr>
          <w:p w14:paraId="6FB6B72B" w14:textId="77777777" w:rsidR="00B4517D" w:rsidRPr="004B2B19" w:rsidRDefault="00B4517D" w:rsidP="0039258B">
            <w:pPr>
              <w:pStyle w:val="Tabletext"/>
              <w:keepNext/>
              <w:keepLines/>
              <w:rPr>
                <w:rFonts w:cs="Arial"/>
                <w:szCs w:val="20"/>
              </w:rPr>
            </w:pPr>
          </w:p>
        </w:tc>
        <w:tc>
          <w:tcPr>
            <w:tcW w:w="1984" w:type="dxa"/>
          </w:tcPr>
          <w:p w14:paraId="4F9DCF27" w14:textId="0895B8F6" w:rsidR="00B4517D" w:rsidRPr="004B2B19" w:rsidRDefault="00B4517D" w:rsidP="0039258B">
            <w:pPr>
              <w:pStyle w:val="Tabletext"/>
              <w:keepNext/>
              <w:keepLines/>
              <w:rPr>
                <w:rFonts w:cs="Arial"/>
                <w:szCs w:val="20"/>
              </w:rPr>
            </w:pPr>
            <w:r w:rsidRPr="004B2B19">
              <w:rPr>
                <w:rFonts w:cs="Arial"/>
                <w:szCs w:val="20"/>
              </w:rPr>
              <w:t>9 (10.5%)</w:t>
            </w:r>
          </w:p>
        </w:tc>
        <w:tc>
          <w:tcPr>
            <w:tcW w:w="1522" w:type="dxa"/>
            <w:vAlign w:val="center"/>
          </w:tcPr>
          <w:p w14:paraId="7420DF9C" w14:textId="1A5DDDAD" w:rsidR="00B4517D" w:rsidRPr="004B2B19" w:rsidRDefault="00B4517D" w:rsidP="0039258B">
            <w:pPr>
              <w:pStyle w:val="Tabletext"/>
              <w:keepNext/>
              <w:keepLines/>
              <w:rPr>
                <w:rFonts w:cs="Arial"/>
                <w:szCs w:val="20"/>
              </w:rPr>
            </w:pPr>
            <w:r w:rsidRPr="004B2B19">
              <w:rPr>
                <w:rFonts w:cs="Arial"/>
                <w:szCs w:val="20"/>
              </w:rPr>
              <w:t>14 (16.5%)</w:t>
            </w:r>
          </w:p>
        </w:tc>
      </w:tr>
      <w:tr w:rsidR="00B4517D" w:rsidRPr="004B2B19" w14:paraId="18411638" w14:textId="77777777" w:rsidTr="0039258B">
        <w:trPr>
          <w:cantSplit/>
        </w:trPr>
        <w:tc>
          <w:tcPr>
            <w:tcW w:w="3823" w:type="dxa"/>
            <w:vAlign w:val="center"/>
          </w:tcPr>
          <w:p w14:paraId="314EFA52" w14:textId="1E0E044D" w:rsidR="00B4517D" w:rsidRPr="004B2B19" w:rsidRDefault="00B4517D" w:rsidP="0039258B">
            <w:pPr>
              <w:pStyle w:val="Tabletext"/>
              <w:keepNext/>
              <w:keepLines/>
              <w:rPr>
                <w:rFonts w:cs="Arial"/>
                <w:szCs w:val="20"/>
              </w:rPr>
            </w:pPr>
            <w:r w:rsidRPr="004B2B19">
              <w:rPr>
                <w:rFonts w:cs="Arial"/>
                <w:szCs w:val="20"/>
              </w:rPr>
              <w:t>Somnolence, n (%)</w:t>
            </w:r>
          </w:p>
        </w:tc>
        <w:tc>
          <w:tcPr>
            <w:tcW w:w="1701" w:type="dxa"/>
            <w:vMerge/>
            <w:vAlign w:val="center"/>
          </w:tcPr>
          <w:p w14:paraId="3DE5F21B" w14:textId="77777777" w:rsidR="00B4517D" w:rsidRPr="004B2B19" w:rsidRDefault="00B4517D" w:rsidP="0039258B">
            <w:pPr>
              <w:pStyle w:val="Tabletext"/>
              <w:keepNext/>
              <w:keepLines/>
              <w:rPr>
                <w:rFonts w:cs="Arial"/>
                <w:szCs w:val="20"/>
              </w:rPr>
            </w:pPr>
          </w:p>
        </w:tc>
        <w:tc>
          <w:tcPr>
            <w:tcW w:w="1984" w:type="dxa"/>
          </w:tcPr>
          <w:p w14:paraId="3985D93D" w14:textId="1F2B9C5F" w:rsidR="00B4517D" w:rsidRPr="004B2B19" w:rsidRDefault="00B4517D" w:rsidP="0039258B">
            <w:pPr>
              <w:pStyle w:val="Tabletext"/>
              <w:keepNext/>
              <w:keepLines/>
              <w:rPr>
                <w:rFonts w:cs="Arial"/>
                <w:szCs w:val="20"/>
              </w:rPr>
            </w:pPr>
            <w:r w:rsidRPr="004B2B19">
              <w:rPr>
                <w:rFonts w:cs="Arial"/>
                <w:szCs w:val="20"/>
              </w:rPr>
              <w:t>13 (15%)</w:t>
            </w:r>
          </w:p>
        </w:tc>
        <w:tc>
          <w:tcPr>
            <w:tcW w:w="1522" w:type="dxa"/>
            <w:vAlign w:val="center"/>
          </w:tcPr>
          <w:p w14:paraId="5EEBD46C" w14:textId="2071A9AA" w:rsidR="00B4517D" w:rsidRPr="004B2B19" w:rsidRDefault="00B4517D" w:rsidP="0039258B">
            <w:pPr>
              <w:pStyle w:val="Tabletext"/>
              <w:keepNext/>
              <w:keepLines/>
              <w:rPr>
                <w:rFonts w:cs="Arial"/>
                <w:szCs w:val="20"/>
              </w:rPr>
            </w:pPr>
            <w:r w:rsidRPr="004B2B19">
              <w:rPr>
                <w:rFonts w:cs="Arial"/>
                <w:szCs w:val="20"/>
              </w:rPr>
              <w:t>8 (9%)</w:t>
            </w:r>
          </w:p>
        </w:tc>
      </w:tr>
      <w:tr w:rsidR="00B4517D" w:rsidRPr="004B2B19" w14:paraId="79278411" w14:textId="77777777" w:rsidTr="0039258B">
        <w:trPr>
          <w:cantSplit/>
        </w:trPr>
        <w:tc>
          <w:tcPr>
            <w:tcW w:w="3823" w:type="dxa"/>
            <w:vAlign w:val="center"/>
          </w:tcPr>
          <w:p w14:paraId="759154AB" w14:textId="03E0AD1A" w:rsidR="00B4517D" w:rsidRPr="004B2B19" w:rsidRDefault="00B4517D" w:rsidP="0039258B">
            <w:pPr>
              <w:pStyle w:val="Tabletext"/>
              <w:keepNext/>
              <w:keepLines/>
              <w:rPr>
                <w:rFonts w:cs="Arial"/>
                <w:szCs w:val="20"/>
              </w:rPr>
            </w:pPr>
            <w:r w:rsidRPr="004B2B19">
              <w:rPr>
                <w:rFonts w:cs="Arial"/>
                <w:szCs w:val="20"/>
              </w:rPr>
              <w:t>Fatigue, n (%)</w:t>
            </w:r>
          </w:p>
        </w:tc>
        <w:tc>
          <w:tcPr>
            <w:tcW w:w="1701" w:type="dxa"/>
            <w:vMerge/>
            <w:vAlign w:val="center"/>
          </w:tcPr>
          <w:p w14:paraId="636A12F0" w14:textId="77777777" w:rsidR="00B4517D" w:rsidRPr="004B2B19" w:rsidRDefault="00B4517D" w:rsidP="0039258B">
            <w:pPr>
              <w:pStyle w:val="Tabletext"/>
              <w:keepNext/>
              <w:keepLines/>
              <w:rPr>
                <w:rFonts w:cs="Arial"/>
                <w:szCs w:val="20"/>
              </w:rPr>
            </w:pPr>
          </w:p>
        </w:tc>
        <w:tc>
          <w:tcPr>
            <w:tcW w:w="1984" w:type="dxa"/>
          </w:tcPr>
          <w:p w14:paraId="776573E6" w14:textId="0A95F402" w:rsidR="00B4517D" w:rsidRPr="004B2B19" w:rsidRDefault="00B4517D" w:rsidP="0039258B">
            <w:pPr>
              <w:pStyle w:val="Tabletext"/>
              <w:keepNext/>
              <w:keepLines/>
              <w:rPr>
                <w:rFonts w:cs="Arial"/>
                <w:szCs w:val="20"/>
              </w:rPr>
            </w:pPr>
            <w:r w:rsidRPr="004B2B19">
              <w:rPr>
                <w:rFonts w:cs="Arial"/>
                <w:szCs w:val="20"/>
              </w:rPr>
              <w:t>5 (6%)</w:t>
            </w:r>
          </w:p>
        </w:tc>
        <w:tc>
          <w:tcPr>
            <w:tcW w:w="1522" w:type="dxa"/>
            <w:vAlign w:val="center"/>
          </w:tcPr>
          <w:p w14:paraId="0A1C4248" w14:textId="5B17AF64" w:rsidR="00B4517D" w:rsidRPr="004B2B19" w:rsidRDefault="00B4517D" w:rsidP="0039258B">
            <w:pPr>
              <w:pStyle w:val="Tabletext"/>
              <w:keepNext/>
              <w:keepLines/>
              <w:rPr>
                <w:rFonts w:cs="Arial"/>
                <w:szCs w:val="20"/>
              </w:rPr>
            </w:pPr>
            <w:r w:rsidRPr="004B2B19">
              <w:rPr>
                <w:rFonts w:cs="Arial"/>
                <w:szCs w:val="20"/>
              </w:rPr>
              <w:t>2 (2.4%)</w:t>
            </w:r>
          </w:p>
        </w:tc>
      </w:tr>
      <w:tr w:rsidR="00B4517D" w:rsidRPr="004B2B19" w14:paraId="3059ED6F" w14:textId="77777777" w:rsidTr="0039258B">
        <w:trPr>
          <w:cantSplit/>
        </w:trPr>
        <w:tc>
          <w:tcPr>
            <w:tcW w:w="3823" w:type="dxa"/>
            <w:vAlign w:val="center"/>
          </w:tcPr>
          <w:p w14:paraId="5E65CEF7" w14:textId="6A1B1D22" w:rsidR="00B4517D" w:rsidRPr="004B2B19" w:rsidRDefault="00B4517D" w:rsidP="0039258B">
            <w:pPr>
              <w:pStyle w:val="Tabletext"/>
              <w:keepNext/>
              <w:keepLines/>
              <w:rPr>
                <w:rFonts w:cs="Arial"/>
                <w:szCs w:val="20"/>
              </w:rPr>
            </w:pPr>
            <w:r w:rsidRPr="004B2B19">
              <w:rPr>
                <w:rFonts w:cs="Arial"/>
                <w:szCs w:val="20"/>
              </w:rPr>
              <w:t>Decreased appetite, n (%)</w:t>
            </w:r>
          </w:p>
        </w:tc>
        <w:tc>
          <w:tcPr>
            <w:tcW w:w="1701" w:type="dxa"/>
            <w:vMerge/>
            <w:vAlign w:val="center"/>
          </w:tcPr>
          <w:p w14:paraId="02C1C8A1" w14:textId="77777777" w:rsidR="00B4517D" w:rsidRPr="004B2B19" w:rsidRDefault="00B4517D" w:rsidP="0039258B">
            <w:pPr>
              <w:pStyle w:val="Tabletext"/>
              <w:keepNext/>
              <w:keepLines/>
              <w:rPr>
                <w:rFonts w:cs="Arial"/>
                <w:szCs w:val="20"/>
              </w:rPr>
            </w:pPr>
          </w:p>
        </w:tc>
        <w:tc>
          <w:tcPr>
            <w:tcW w:w="1984" w:type="dxa"/>
          </w:tcPr>
          <w:p w14:paraId="5F3A755E" w14:textId="4A0222AD" w:rsidR="00B4517D" w:rsidRPr="004B2B19" w:rsidRDefault="00B4517D" w:rsidP="0039258B">
            <w:pPr>
              <w:pStyle w:val="Tabletext"/>
              <w:keepNext/>
              <w:keepLines/>
              <w:rPr>
                <w:rFonts w:cs="Arial"/>
                <w:szCs w:val="20"/>
              </w:rPr>
            </w:pPr>
            <w:r w:rsidRPr="004B2B19">
              <w:rPr>
                <w:rFonts w:cs="Arial"/>
                <w:szCs w:val="20"/>
              </w:rPr>
              <w:t>11 (13%)</w:t>
            </w:r>
          </w:p>
        </w:tc>
        <w:tc>
          <w:tcPr>
            <w:tcW w:w="1522" w:type="dxa"/>
            <w:vAlign w:val="center"/>
          </w:tcPr>
          <w:p w14:paraId="60B58FC9" w14:textId="2A85BF89" w:rsidR="00B4517D" w:rsidRPr="004B2B19" w:rsidRDefault="00B4517D" w:rsidP="0039258B">
            <w:pPr>
              <w:pStyle w:val="Tabletext"/>
              <w:keepNext/>
              <w:keepLines/>
              <w:rPr>
                <w:rFonts w:cs="Arial"/>
                <w:szCs w:val="20"/>
              </w:rPr>
            </w:pPr>
            <w:r w:rsidRPr="004B2B19">
              <w:rPr>
                <w:rFonts w:cs="Arial"/>
                <w:szCs w:val="20"/>
              </w:rPr>
              <w:t>2 (2.4%)</w:t>
            </w:r>
          </w:p>
        </w:tc>
      </w:tr>
    </w:tbl>
    <w:p w14:paraId="7A6A9F6B" w14:textId="5C598E76" w:rsidR="000472DD" w:rsidRPr="004B2B19" w:rsidRDefault="00821127" w:rsidP="0039258B">
      <w:pPr>
        <w:pStyle w:val="TableFigureFooter"/>
        <w:keepNext/>
      </w:pPr>
      <w:r w:rsidRPr="004B2B19">
        <w:t xml:space="preserve">Source: </w:t>
      </w:r>
      <w:r w:rsidR="000472DD" w:rsidRPr="004B2B19">
        <w:t xml:space="preserve">Devinsky O, et al. N Engl J Med 2018; 378:1888-1897. Thiele EA, et al. Lancet 2018 http://dx.doi.org/10.1016/S0140-6736(18)30136-3. </w:t>
      </w:r>
    </w:p>
    <w:p w14:paraId="6F4A7649" w14:textId="244A015C" w:rsidR="00821127" w:rsidRPr="004B2B19" w:rsidRDefault="00A861C8" w:rsidP="0039258B">
      <w:pPr>
        <w:pStyle w:val="TableFigureFooter"/>
        <w:keepNext/>
      </w:pPr>
      <w:r w:rsidRPr="004B2B19">
        <w:t xml:space="preserve">NA = not applicable; </w:t>
      </w:r>
      <w:r w:rsidR="00821127" w:rsidRPr="004B2B19">
        <w:t>TEAE = treatment-emergent adverse event; TESAE = treatment emergent serious adverse event</w:t>
      </w:r>
      <w:r w:rsidR="007C41B8" w:rsidRPr="004B2B19">
        <w:t>; ULN = upper limit of normal.</w:t>
      </w:r>
    </w:p>
    <w:p w14:paraId="7F1CEF45" w14:textId="369C50A7" w:rsidR="00CD0ECF" w:rsidRPr="004B2B19" w:rsidRDefault="007C41B8" w:rsidP="007C41B8">
      <w:pPr>
        <w:pStyle w:val="3-BodyText"/>
      </w:pPr>
      <w:r w:rsidRPr="004B2B19">
        <w:t xml:space="preserve">Elevations of serum transaminases were more common in patients also receiving valproate: 11/14 (78.6%) </w:t>
      </w:r>
      <w:r w:rsidR="009B766D" w:rsidRPr="004B2B19">
        <w:t xml:space="preserve">CBD-treated patients </w:t>
      </w:r>
      <w:r w:rsidRPr="004B2B19">
        <w:t>with elevation &gt; 3 x ULN in GWPCARE3 and 16/20</w:t>
      </w:r>
      <w:r w:rsidR="009B766D" w:rsidRPr="004B2B19">
        <w:t xml:space="preserve"> (80%)</w:t>
      </w:r>
      <w:r w:rsidRPr="004B2B19">
        <w:t xml:space="preserve"> in GWPCARE4</w:t>
      </w:r>
      <w:r w:rsidR="009B766D" w:rsidRPr="004B2B19">
        <w:t xml:space="preserve"> were taking valproate, about twice the proportion</w:t>
      </w:r>
      <w:r w:rsidR="00A55F7A" w:rsidRPr="004B2B19">
        <w:t xml:space="preserve"> taking valproate</w:t>
      </w:r>
      <w:r w:rsidR="009B766D" w:rsidRPr="004B2B19">
        <w:t xml:space="preserve"> in the stud</w:t>
      </w:r>
      <w:r w:rsidR="006D7C78" w:rsidRPr="004B2B19">
        <w:t>ies</w:t>
      </w:r>
      <w:r w:rsidR="009B766D" w:rsidRPr="004B2B19">
        <w:t xml:space="preserve"> as a whole</w:t>
      </w:r>
      <w:r w:rsidRPr="004B2B19">
        <w:t xml:space="preserve">. </w:t>
      </w:r>
    </w:p>
    <w:p w14:paraId="29739832" w14:textId="4618EFAB" w:rsidR="00821127" w:rsidRPr="004B2B19" w:rsidRDefault="009B766D" w:rsidP="007C41B8">
      <w:pPr>
        <w:pStyle w:val="3-BodyText"/>
      </w:pPr>
      <w:r w:rsidRPr="004B2B19">
        <w:t>Somnolence was more common among patients also taking clobazam: 26/39 (66.7%) of CBD-treated patients with somnolence in GWPCARE3 and 9/13 (69%) in GWPCARE4 were also taking clobazam, compared to about 50% in the stud</w:t>
      </w:r>
      <w:r w:rsidR="006D7C78" w:rsidRPr="004B2B19">
        <w:t>ies</w:t>
      </w:r>
      <w:r w:rsidRPr="004B2B19">
        <w:t xml:space="preserve"> as a whole.</w:t>
      </w:r>
    </w:p>
    <w:p w14:paraId="70106BC9" w14:textId="6724FC69" w:rsidR="00F750F9" w:rsidRPr="004B2B19" w:rsidRDefault="00C97B4B" w:rsidP="007C41B8">
      <w:pPr>
        <w:pStyle w:val="3-BodyText"/>
      </w:pPr>
      <w:r w:rsidRPr="004B2B19">
        <w:t>In the open-label extension study (GWPCARE5) e</w:t>
      </w:r>
      <w:r w:rsidR="00B26981" w:rsidRPr="004B2B19">
        <w:t xml:space="preserve">levations of serum transaminases </w:t>
      </w:r>
      <w:r w:rsidRPr="004B2B19">
        <w:t xml:space="preserve">greater than three times the upper limit of normal </w:t>
      </w:r>
      <w:r w:rsidR="00B26981" w:rsidRPr="004B2B19">
        <w:t xml:space="preserve">were </w:t>
      </w:r>
      <w:r w:rsidRPr="004B2B19">
        <w:t xml:space="preserve">seen in 55/366 (15%) patients, of whom 40 (73%) were also taking valproate. </w:t>
      </w:r>
      <w:r w:rsidR="00920640" w:rsidRPr="004B2B19">
        <w:t>Liver enzyme abnormalities resolved in 52/55 (95%)</w:t>
      </w:r>
      <w:r w:rsidR="00CD0ECF" w:rsidRPr="004B2B19">
        <w:t>:</w:t>
      </w:r>
      <w:r w:rsidR="00920640" w:rsidRPr="004B2B19">
        <w:t xml:space="preserve"> in 25 patients spontaneously, in 14/15 who stopped CBD and withdrew from the study, and in 13/13 whose dose of CBD or another </w:t>
      </w:r>
      <w:r w:rsidR="00FB7BA2" w:rsidRPr="004B2B19">
        <w:t>ASM</w:t>
      </w:r>
      <w:r w:rsidR="00920640" w:rsidRPr="004B2B19">
        <w:t xml:space="preserve"> was </w:t>
      </w:r>
      <w:r w:rsidR="00CD0ECF" w:rsidRPr="004B2B19">
        <w:t>reduced</w:t>
      </w:r>
      <w:r w:rsidR="00920640" w:rsidRPr="004B2B19">
        <w:t>.</w:t>
      </w:r>
      <w:r w:rsidR="007C26FD" w:rsidRPr="004B2B19">
        <w:rPr>
          <w:rStyle w:val="FootnoteReference"/>
        </w:rPr>
        <w:footnoteReference w:id="6"/>
      </w:r>
    </w:p>
    <w:p w14:paraId="41814B44" w14:textId="5C0B571F" w:rsidR="00B26981" w:rsidRPr="004B2B19" w:rsidRDefault="00F750F9" w:rsidP="00F750F9">
      <w:pPr>
        <w:pStyle w:val="5-SubsectionSubheading"/>
      </w:pPr>
      <w:bookmarkStart w:id="45" w:name="_Toc208980616"/>
      <w:r w:rsidRPr="004B2B19">
        <w:t>Indirect Treatment Comparison of Safety</w:t>
      </w:r>
      <w:bookmarkEnd w:id="45"/>
      <w:r w:rsidR="00C97B4B" w:rsidRPr="004B2B19">
        <w:t xml:space="preserve"> </w:t>
      </w:r>
    </w:p>
    <w:p w14:paraId="6F9C027C" w14:textId="071050C4" w:rsidR="00F750F9" w:rsidRPr="004B2B19" w:rsidRDefault="00F750F9" w:rsidP="00F750F9">
      <w:pPr>
        <w:pStyle w:val="3-BodyText"/>
      </w:pPr>
      <w:r w:rsidRPr="004B2B19">
        <w:t>Only data for serious adverse events was provided in the ITC. There were no clinically meaningful or statistically significant differences in the rate of serious adverse events, but</w:t>
      </w:r>
      <w:r w:rsidR="00981825" w:rsidRPr="004B2B19">
        <w:t xml:space="preserve"> the evaluation considered</w:t>
      </w:r>
      <w:r w:rsidRPr="004B2B19">
        <w:t xml:space="preserve"> this does not</w:t>
      </w:r>
      <w:r w:rsidR="00981825" w:rsidRPr="004B2B19">
        <w:t xml:space="preserve"> adequately</w:t>
      </w:r>
      <w:r w:rsidRPr="004B2B19">
        <w:t xml:space="preserve"> establish non-inferior safety</w:t>
      </w:r>
      <w:r w:rsidR="00981825" w:rsidRPr="004B2B19">
        <w:t xml:space="preserve"> in and of itself</w:t>
      </w:r>
      <w:r w:rsidRPr="004B2B19">
        <w:t xml:space="preserve">. </w:t>
      </w:r>
    </w:p>
    <w:p w14:paraId="04908C7F" w14:textId="415B9B7D" w:rsidR="007F1017" w:rsidRPr="004B2B19" w:rsidRDefault="007F1017" w:rsidP="00D86231">
      <w:pPr>
        <w:pStyle w:val="4-SubsectionHeading"/>
      </w:pPr>
      <w:bookmarkStart w:id="46" w:name="_Toc22897643"/>
      <w:bookmarkStart w:id="47" w:name="_Toc208980617"/>
      <w:r w:rsidRPr="004B2B19">
        <w:t>Benefits/harms</w:t>
      </w:r>
      <w:bookmarkEnd w:id="46"/>
      <w:bookmarkEnd w:id="47"/>
    </w:p>
    <w:p w14:paraId="2FB07167" w14:textId="161B9525" w:rsidR="002441D2" w:rsidRPr="004B2B19" w:rsidRDefault="00311D9B" w:rsidP="0055706B">
      <w:pPr>
        <w:pStyle w:val="3-BodyText"/>
      </w:pPr>
      <w:r w:rsidRPr="004B2B19">
        <w:t>A benefits and harms table is not presented as the submission made a claim of non-inferiority.</w:t>
      </w:r>
      <w:r w:rsidR="00E926A5" w:rsidRPr="004B2B19">
        <w:t xml:space="preserve"> </w:t>
      </w:r>
    </w:p>
    <w:p w14:paraId="7A1772B6" w14:textId="23BB3145" w:rsidR="00B60939" w:rsidRPr="004B2B19" w:rsidRDefault="00B60939" w:rsidP="00E9094A">
      <w:pPr>
        <w:pStyle w:val="4-SubsectionHeading"/>
      </w:pPr>
      <w:bookmarkStart w:id="48" w:name="_Toc22897644"/>
      <w:bookmarkStart w:id="49" w:name="_Toc208980618"/>
      <w:r w:rsidRPr="004B2B19">
        <w:t>Clinical claim</w:t>
      </w:r>
      <w:bookmarkEnd w:id="48"/>
      <w:bookmarkEnd w:id="49"/>
    </w:p>
    <w:p w14:paraId="54D3A82D" w14:textId="55D15F74" w:rsidR="005F7588" w:rsidRPr="004B2B19" w:rsidRDefault="005F7588" w:rsidP="00E9094A">
      <w:pPr>
        <w:pStyle w:val="3-BodyText"/>
        <w:rPr>
          <w:rFonts w:eastAsia="Calibri"/>
        </w:rPr>
      </w:pPr>
      <w:r w:rsidRPr="004B2B19">
        <w:rPr>
          <w:rFonts w:eastAsia="Calibri"/>
        </w:rPr>
        <w:t xml:space="preserve">The submission described </w:t>
      </w:r>
      <w:r w:rsidR="006A2FA7" w:rsidRPr="004B2B19">
        <w:rPr>
          <w:rFonts w:eastAsia="Calibri"/>
        </w:rPr>
        <w:t>fenfluramine</w:t>
      </w:r>
      <w:r w:rsidRPr="004B2B19">
        <w:rPr>
          <w:rFonts w:eastAsia="Calibri"/>
        </w:rPr>
        <w:t xml:space="preserve"> as non-inferior in terms of effectiveness compared to </w:t>
      </w:r>
      <w:r w:rsidR="006A2FA7" w:rsidRPr="004B2B19">
        <w:rPr>
          <w:rFonts w:eastAsia="Calibri"/>
        </w:rPr>
        <w:t>cannabidiol</w:t>
      </w:r>
      <w:r w:rsidRPr="004B2B19">
        <w:rPr>
          <w:rFonts w:eastAsia="Calibri"/>
        </w:rPr>
        <w:t>. This</w:t>
      </w:r>
      <w:r w:rsidR="00F2562F" w:rsidRPr="004B2B19">
        <w:rPr>
          <w:rFonts w:eastAsia="Calibri"/>
        </w:rPr>
        <w:t xml:space="preserve"> evaluation considered the</w:t>
      </w:r>
      <w:r w:rsidRPr="004B2B19">
        <w:rPr>
          <w:rFonts w:eastAsia="Calibri"/>
        </w:rPr>
        <w:t xml:space="preserve"> claim</w:t>
      </w:r>
      <w:r w:rsidR="00BA6324" w:rsidRPr="004B2B19">
        <w:rPr>
          <w:rFonts w:eastAsia="Calibri"/>
        </w:rPr>
        <w:t xml:space="preserve"> </w:t>
      </w:r>
      <w:r w:rsidR="00F2562F" w:rsidRPr="004B2B19">
        <w:rPr>
          <w:rFonts w:eastAsia="Calibri"/>
        </w:rPr>
        <w:t xml:space="preserve">was </w:t>
      </w:r>
      <w:r w:rsidR="00BA6324" w:rsidRPr="004B2B19">
        <w:rPr>
          <w:rFonts w:eastAsia="Calibri"/>
        </w:rPr>
        <w:t>uncertain and may not be</w:t>
      </w:r>
      <w:r w:rsidRPr="004B2B19">
        <w:rPr>
          <w:rFonts w:eastAsia="Calibri"/>
        </w:rPr>
        <w:t xml:space="preserve"> adequately supported.</w:t>
      </w:r>
      <w:r w:rsidR="00786212" w:rsidRPr="004B2B19">
        <w:rPr>
          <w:rFonts w:eastAsia="Calibri"/>
        </w:rPr>
        <w:t xml:space="preserve"> More patients in the CBD trials than in the FEN trial had 25%, 50% and 75% reductions in DSF</w:t>
      </w:r>
      <w:r w:rsidR="00990621" w:rsidRPr="004B2B19">
        <w:rPr>
          <w:rFonts w:eastAsia="Calibri"/>
        </w:rPr>
        <w:t>, but these differences did not reach statistical significance, for either CBD 10</w:t>
      </w:r>
      <w:r w:rsidR="005A62D9" w:rsidRPr="004B2B19">
        <w:rPr>
          <w:rFonts w:eastAsia="Calibri"/>
        </w:rPr>
        <w:t xml:space="preserve"> </w:t>
      </w:r>
      <w:r w:rsidR="00990621" w:rsidRPr="004B2B19">
        <w:rPr>
          <w:rFonts w:eastAsia="Calibri"/>
        </w:rPr>
        <w:t>mg/kg/day or 20 mg/kg/day</w:t>
      </w:r>
      <w:r w:rsidR="00786212" w:rsidRPr="004B2B19">
        <w:rPr>
          <w:rFonts w:eastAsia="Calibri"/>
        </w:rPr>
        <w:t>. However, t</w:t>
      </w:r>
      <w:r w:rsidR="007C70FF" w:rsidRPr="004B2B19">
        <w:rPr>
          <w:rFonts w:eastAsia="Calibri"/>
        </w:rPr>
        <w:t>he</w:t>
      </w:r>
      <w:r w:rsidR="00786212" w:rsidRPr="004B2B19">
        <w:rPr>
          <w:rFonts w:eastAsia="Calibri"/>
        </w:rPr>
        <w:t>re</w:t>
      </w:r>
      <w:r w:rsidR="007C70FF" w:rsidRPr="004B2B19">
        <w:rPr>
          <w:rFonts w:eastAsia="Calibri"/>
        </w:rPr>
        <w:t xml:space="preserve"> </w:t>
      </w:r>
      <w:r w:rsidR="00786212" w:rsidRPr="004B2B19">
        <w:rPr>
          <w:rFonts w:eastAsia="Calibri"/>
        </w:rPr>
        <w:t>was</w:t>
      </w:r>
      <w:r w:rsidR="006A2FA7" w:rsidRPr="004B2B19">
        <w:rPr>
          <w:rFonts w:eastAsia="Calibri"/>
        </w:rPr>
        <w:t xml:space="preserve"> very </w:t>
      </w:r>
      <w:r w:rsidR="00786212" w:rsidRPr="004B2B19">
        <w:rPr>
          <w:rFonts w:eastAsia="Calibri"/>
        </w:rPr>
        <w:t>marked</w:t>
      </w:r>
      <w:r w:rsidR="006A2FA7" w:rsidRPr="004B2B19">
        <w:rPr>
          <w:rFonts w:eastAsia="Calibri"/>
        </w:rPr>
        <w:t xml:space="preserve"> variability of response to treatment</w:t>
      </w:r>
      <w:r w:rsidR="00E17E49" w:rsidRPr="004B2B19">
        <w:rPr>
          <w:rFonts w:eastAsia="Calibri"/>
        </w:rPr>
        <w:t>.</w:t>
      </w:r>
      <w:r w:rsidR="007A3F16" w:rsidRPr="004B2B19">
        <w:rPr>
          <w:rFonts w:eastAsia="Calibri"/>
        </w:rPr>
        <w:t xml:space="preserve"> O</w:t>
      </w:r>
      <w:r w:rsidR="00E17E49" w:rsidRPr="004B2B19">
        <w:rPr>
          <w:rFonts w:eastAsia="Calibri"/>
        </w:rPr>
        <w:t>n balance,</w:t>
      </w:r>
      <w:r w:rsidR="004F7479" w:rsidRPr="004B2B19">
        <w:rPr>
          <w:rFonts w:eastAsia="Calibri"/>
        </w:rPr>
        <w:t xml:space="preserve"> the ESC considered the claim of non-inferior comparative effectiveness may be reasonable</w:t>
      </w:r>
      <w:r w:rsidR="00996875" w:rsidRPr="004B2B19">
        <w:rPr>
          <w:rFonts w:eastAsia="Calibri"/>
        </w:rPr>
        <w:t xml:space="preserve">, considering the rarity of LGS and </w:t>
      </w:r>
      <w:r w:rsidR="00A56E27" w:rsidRPr="004B2B19">
        <w:rPr>
          <w:rFonts w:eastAsia="Calibri"/>
        </w:rPr>
        <w:t xml:space="preserve">low </w:t>
      </w:r>
      <w:r w:rsidR="00996875" w:rsidRPr="004B2B19">
        <w:rPr>
          <w:rFonts w:eastAsia="Calibri"/>
        </w:rPr>
        <w:t>likelihood of fu</w:t>
      </w:r>
      <w:r w:rsidR="007362A5" w:rsidRPr="004B2B19">
        <w:rPr>
          <w:rFonts w:eastAsia="Calibri"/>
        </w:rPr>
        <w:t>ture</w:t>
      </w:r>
      <w:r w:rsidR="00996875" w:rsidRPr="004B2B19">
        <w:rPr>
          <w:rFonts w:eastAsia="Calibri"/>
        </w:rPr>
        <w:t xml:space="preserve"> clinical data to </w:t>
      </w:r>
      <w:r w:rsidR="007362A5" w:rsidRPr="004B2B19">
        <w:rPr>
          <w:rFonts w:eastAsia="Calibri"/>
        </w:rPr>
        <w:t>inform the claims</w:t>
      </w:r>
      <w:r w:rsidR="006A2FA7" w:rsidRPr="004B2B19">
        <w:rPr>
          <w:rFonts w:eastAsia="Calibri"/>
        </w:rPr>
        <w:t xml:space="preserve">. </w:t>
      </w:r>
    </w:p>
    <w:p w14:paraId="73C2DDD4" w14:textId="15404BA3" w:rsidR="008C6680" w:rsidRPr="004B2B19" w:rsidRDefault="005F7588" w:rsidP="00F81F7C">
      <w:pPr>
        <w:pStyle w:val="3-BodyText"/>
      </w:pPr>
      <w:r w:rsidRPr="004B2B19">
        <w:rPr>
          <w:rFonts w:eastAsia="Calibri"/>
        </w:rPr>
        <w:t xml:space="preserve">The submission described </w:t>
      </w:r>
      <w:r w:rsidR="006A2FA7" w:rsidRPr="004B2B19">
        <w:rPr>
          <w:rFonts w:eastAsia="Calibri"/>
        </w:rPr>
        <w:t>fenfluramine</w:t>
      </w:r>
      <w:r w:rsidRPr="004B2B19">
        <w:rPr>
          <w:rFonts w:eastAsia="Calibri"/>
        </w:rPr>
        <w:t xml:space="preserve"> as </w:t>
      </w:r>
      <w:r w:rsidR="006A2FA7" w:rsidRPr="004B2B19">
        <w:rPr>
          <w:rFonts w:eastAsia="Calibri"/>
        </w:rPr>
        <w:t xml:space="preserve">having "different but non-inferior" safety </w:t>
      </w:r>
      <w:r w:rsidRPr="004B2B19">
        <w:rPr>
          <w:rFonts w:eastAsia="Calibri"/>
        </w:rPr>
        <w:t xml:space="preserve">compared to </w:t>
      </w:r>
      <w:r w:rsidR="006A2FA7" w:rsidRPr="004B2B19">
        <w:rPr>
          <w:rFonts w:eastAsia="Calibri"/>
        </w:rPr>
        <w:t>cannabidiol</w:t>
      </w:r>
      <w:r w:rsidRPr="004B2B19">
        <w:rPr>
          <w:rFonts w:eastAsia="Calibri"/>
        </w:rPr>
        <w:t>. Th</w:t>
      </w:r>
      <w:r w:rsidR="00981825" w:rsidRPr="004B2B19">
        <w:rPr>
          <w:rFonts w:eastAsia="Calibri"/>
        </w:rPr>
        <w:t>e evaluation considered</w:t>
      </w:r>
      <w:r w:rsidRPr="004B2B19">
        <w:rPr>
          <w:rFonts w:eastAsia="Calibri"/>
        </w:rPr>
        <w:t xml:space="preserve"> </w:t>
      </w:r>
      <w:r w:rsidR="0064409D" w:rsidRPr="004B2B19">
        <w:rPr>
          <w:rFonts w:eastAsia="Calibri"/>
        </w:rPr>
        <w:t xml:space="preserve">the </w:t>
      </w:r>
      <w:r w:rsidRPr="004B2B19">
        <w:rPr>
          <w:rFonts w:eastAsia="Calibri"/>
        </w:rPr>
        <w:t xml:space="preserve">claim was </w:t>
      </w:r>
      <w:r w:rsidR="007C70FF" w:rsidRPr="004B2B19">
        <w:rPr>
          <w:rFonts w:eastAsia="Calibri"/>
        </w:rPr>
        <w:t>not adequatel</w:t>
      </w:r>
      <w:r w:rsidR="00184B0E" w:rsidRPr="004B2B19">
        <w:rPr>
          <w:rFonts w:eastAsia="Calibri"/>
        </w:rPr>
        <w:t>y supported</w:t>
      </w:r>
      <w:r w:rsidR="00715287" w:rsidRPr="004B2B19">
        <w:rPr>
          <w:rFonts w:eastAsia="Calibri"/>
        </w:rPr>
        <w:t xml:space="preserve">. </w:t>
      </w:r>
      <w:r w:rsidR="00254A49" w:rsidRPr="004B2B19">
        <w:rPr>
          <w:rFonts w:eastAsia="Calibri"/>
        </w:rPr>
        <w:t>A</w:t>
      </w:r>
      <w:r w:rsidR="00355A74" w:rsidRPr="004B2B19">
        <w:rPr>
          <w:rFonts w:eastAsia="Calibri"/>
        </w:rPr>
        <w:t>s PBAC noted in its consideration of fenfluramine for Dravet Syndrome, a</w:t>
      </w:r>
      <w:r w:rsidR="00254A49" w:rsidRPr="004B2B19">
        <w:rPr>
          <w:rFonts w:eastAsia="Calibri"/>
        </w:rPr>
        <w:t xml:space="preserve">lthough the overall frequency of adverse events with FEN and CBD was similar, </w:t>
      </w:r>
      <w:r w:rsidR="00355A74" w:rsidRPr="004B2B19">
        <w:rPr>
          <w:rFonts w:eastAsia="Calibri"/>
        </w:rPr>
        <w:t>the adverse events were different</w:t>
      </w:r>
      <w:r w:rsidR="008C6680" w:rsidRPr="004B2B19">
        <w:rPr>
          <w:rFonts w:eastAsia="Calibri"/>
        </w:rPr>
        <w:t xml:space="preserve"> (Paragraph 6.52, Fenfluramine PSD, November 2024 PBAC Meeting)</w:t>
      </w:r>
      <w:r w:rsidR="00F81F7C" w:rsidRPr="004B2B19">
        <w:rPr>
          <w:rFonts w:eastAsia="Calibri"/>
        </w:rPr>
        <w:t xml:space="preserve">, with FEN </w:t>
      </w:r>
      <w:r w:rsidR="00715287" w:rsidRPr="004B2B19">
        <w:rPr>
          <w:rFonts w:eastAsia="Calibri"/>
        </w:rPr>
        <w:t xml:space="preserve">associated with cardiovascular and nutritional adverse events </w:t>
      </w:r>
      <w:r w:rsidR="00CD751D" w:rsidRPr="004B2B19">
        <w:rPr>
          <w:rFonts w:eastAsia="Calibri"/>
        </w:rPr>
        <w:t xml:space="preserve">that may have a long-lasting impact on children with epilepsy and may be difficult to manage </w:t>
      </w:r>
      <w:r w:rsidR="00715287" w:rsidRPr="004B2B19">
        <w:rPr>
          <w:rFonts w:eastAsia="Calibri"/>
        </w:rPr>
        <w:t>(</w:t>
      </w:r>
      <w:r w:rsidR="0053278D" w:rsidRPr="004B2B19">
        <w:rPr>
          <w:rFonts w:eastAsia="Calibri"/>
        </w:rPr>
        <w:t>Paragraph 6.68, Fenfluramine PSD, November 2024 PBAC Meeting).</w:t>
      </w:r>
      <w:r w:rsidR="00A332FD" w:rsidRPr="004B2B19">
        <w:rPr>
          <w:rFonts w:eastAsia="Calibri"/>
        </w:rPr>
        <w:t xml:space="preserve"> </w:t>
      </w:r>
      <w:r w:rsidR="008C6680" w:rsidRPr="004B2B19">
        <w:rPr>
          <w:rFonts w:eastAsia="Calibri"/>
        </w:rPr>
        <w:t>Tr</w:t>
      </w:r>
      <w:r w:rsidR="00AE1DDB" w:rsidRPr="004B2B19">
        <w:rPr>
          <w:rFonts w:eastAsia="Calibri"/>
        </w:rPr>
        <w:t xml:space="preserve">ansaminase levels </w:t>
      </w:r>
      <w:r w:rsidR="008C6680" w:rsidRPr="004B2B19">
        <w:rPr>
          <w:rFonts w:eastAsia="Calibri"/>
        </w:rPr>
        <w:t xml:space="preserve">more than three times the upper limit of normal </w:t>
      </w:r>
      <w:r w:rsidR="00AE1DDB" w:rsidRPr="004B2B19">
        <w:rPr>
          <w:rFonts w:eastAsia="Calibri"/>
        </w:rPr>
        <w:t>were seen more commonly in the CBD trials in LGS than in Dravet Syndrome, but they resolved either spontaneously (in half of the patients) or after CBD was withdrawn</w:t>
      </w:r>
      <w:r w:rsidR="008C6680" w:rsidRPr="004B2B19">
        <w:rPr>
          <w:rFonts w:eastAsia="Calibri"/>
        </w:rPr>
        <w:t xml:space="preserve"> or the dose reduced</w:t>
      </w:r>
      <w:r w:rsidR="00AE1DDB" w:rsidRPr="004B2B19">
        <w:rPr>
          <w:rFonts w:eastAsia="Calibri"/>
        </w:rPr>
        <w:t xml:space="preserve">. </w:t>
      </w:r>
      <w:r w:rsidR="003240D0" w:rsidRPr="004B2B19">
        <w:rPr>
          <w:rFonts w:eastAsia="Calibri"/>
        </w:rPr>
        <w:t xml:space="preserve">The ESC considered views of the PBAC regarding the safety profiles of FEN and CBD for Dravet Syndrome were generally </w:t>
      </w:r>
      <w:r w:rsidR="00766218" w:rsidRPr="004B2B19">
        <w:rPr>
          <w:rFonts w:eastAsia="Calibri"/>
        </w:rPr>
        <w:t xml:space="preserve">also </w:t>
      </w:r>
      <w:r w:rsidR="003240D0" w:rsidRPr="004B2B19">
        <w:rPr>
          <w:rFonts w:eastAsia="Calibri"/>
        </w:rPr>
        <w:t>applicable to the LGS indication</w:t>
      </w:r>
      <w:r w:rsidR="00FF292C">
        <w:rPr>
          <w:rFonts w:eastAsia="Calibri"/>
        </w:rPr>
        <w:t xml:space="preserve"> (Paragraph 7.9</w:t>
      </w:r>
      <w:r w:rsidR="001F3E43">
        <w:rPr>
          <w:rFonts w:eastAsia="Calibri"/>
        </w:rPr>
        <w:t>, Fenfluramine PSD, November 2024 PBAC meeting)</w:t>
      </w:r>
      <w:r w:rsidR="003240D0" w:rsidRPr="004B2B19">
        <w:rPr>
          <w:rFonts w:eastAsia="Calibri"/>
        </w:rPr>
        <w:t>.</w:t>
      </w:r>
      <w:r w:rsidR="004E7C5C" w:rsidRPr="004B2B19">
        <w:rPr>
          <w:rFonts w:eastAsia="Calibri"/>
        </w:rPr>
        <w:t xml:space="preserve"> </w:t>
      </w:r>
    </w:p>
    <w:p w14:paraId="7EFBF484" w14:textId="52AC7E85" w:rsidR="004E7C5C" w:rsidRPr="004B2B19" w:rsidRDefault="004E7C5C" w:rsidP="004E7C5C">
      <w:pPr>
        <w:pStyle w:val="3-BodyText"/>
        <w:rPr>
          <w:snapToGrid w:val="0"/>
        </w:rPr>
      </w:pPr>
      <w:bookmarkStart w:id="50" w:name="_Hlk76376200"/>
      <w:r w:rsidRPr="004B2B19">
        <w:rPr>
          <w:iCs/>
          <w:snapToGrid w:val="0"/>
        </w:rPr>
        <w:t>The</w:t>
      </w:r>
      <w:r w:rsidRPr="004B2B19">
        <w:rPr>
          <w:snapToGrid w:val="0"/>
        </w:rPr>
        <w:t xml:space="preserve"> PBAC considered that the claim of non-inferior comparative effectiveness was</w:t>
      </w:r>
      <w:r w:rsidR="00287974" w:rsidRPr="004B2B19">
        <w:rPr>
          <w:snapToGrid w:val="0"/>
        </w:rPr>
        <w:t>, on balance, likely to be</w:t>
      </w:r>
      <w:r w:rsidRPr="004B2B19">
        <w:rPr>
          <w:snapToGrid w:val="0"/>
        </w:rPr>
        <w:t xml:space="preserve"> reasonable</w:t>
      </w:r>
      <w:r w:rsidR="00287974" w:rsidRPr="004B2B19">
        <w:rPr>
          <w:snapToGrid w:val="0"/>
        </w:rPr>
        <w:t>.</w:t>
      </w:r>
    </w:p>
    <w:p w14:paraId="30EFEA4A" w14:textId="7192B534" w:rsidR="004E7C5C" w:rsidRPr="004B2B19" w:rsidRDefault="004E7C5C" w:rsidP="004E7C5C">
      <w:pPr>
        <w:pStyle w:val="3-BodyText"/>
        <w:rPr>
          <w:snapToGrid w:val="0"/>
        </w:rPr>
      </w:pPr>
      <w:r w:rsidRPr="004B2B19">
        <w:rPr>
          <w:snapToGrid w:val="0"/>
        </w:rPr>
        <w:t>The PBAC considered that the claim of non-inferior comparative safety was not adequately supported</w:t>
      </w:r>
      <w:bookmarkEnd w:id="50"/>
      <w:r w:rsidR="00287974" w:rsidRPr="004B2B19">
        <w:rPr>
          <w:snapToGrid w:val="0"/>
        </w:rPr>
        <w:t xml:space="preserve">, and considered that while the safety profiles </w:t>
      </w:r>
      <w:r w:rsidR="005C76E0" w:rsidRPr="004B2B19">
        <w:rPr>
          <w:snapToGrid w:val="0"/>
        </w:rPr>
        <w:t>of FEN and CBD were different, the type and potential severity of adverse events</w:t>
      </w:r>
      <w:r w:rsidR="008C253B" w:rsidRPr="004B2B19">
        <w:rPr>
          <w:snapToGrid w:val="0"/>
        </w:rPr>
        <w:t xml:space="preserve"> observed for FEN </w:t>
      </w:r>
      <w:r w:rsidR="00184558" w:rsidRPr="004B2B19">
        <w:rPr>
          <w:snapToGrid w:val="0"/>
        </w:rPr>
        <w:t xml:space="preserve">supports a conclusion that FEN is of inferior comparative safety to CBD. </w:t>
      </w:r>
    </w:p>
    <w:p w14:paraId="74A1172E" w14:textId="2BE3197F" w:rsidR="00B60939" w:rsidRPr="004B2B19" w:rsidRDefault="00B60939" w:rsidP="0053278D">
      <w:pPr>
        <w:pStyle w:val="4-SubsectionHeading"/>
      </w:pPr>
      <w:bookmarkStart w:id="51" w:name="_Toc22897645"/>
      <w:bookmarkStart w:id="52" w:name="_Toc208980619"/>
      <w:r w:rsidRPr="004B2B19">
        <w:t>Economic analysis</w:t>
      </w:r>
      <w:bookmarkEnd w:id="51"/>
      <w:bookmarkEnd w:id="52"/>
      <w:r w:rsidR="00491B3A" w:rsidRPr="004B2B19">
        <w:t xml:space="preserve"> </w:t>
      </w:r>
    </w:p>
    <w:p w14:paraId="72F54D08" w14:textId="7F273FB5" w:rsidR="00306203" w:rsidRPr="004B2B19" w:rsidRDefault="00306203" w:rsidP="00641FB3">
      <w:pPr>
        <w:pStyle w:val="3-BodyText"/>
      </w:pPr>
      <w:r w:rsidRPr="004B2B19">
        <w:t xml:space="preserve">The submission presented a cost minimisation approach. The key components of the approach are shown in </w:t>
      </w:r>
      <w:r w:rsidR="004016CA" w:rsidRPr="004B2B19">
        <w:fldChar w:fldCharType="begin"/>
      </w:r>
      <w:r w:rsidR="004016CA" w:rsidRPr="004B2B19">
        <w:instrText xml:space="preserve"> REF _Ref204688870 \h </w:instrText>
      </w:r>
      <w:r w:rsidR="00B44689" w:rsidRPr="004B2B19">
        <w:instrText xml:space="preserve"> \* MERGEFORMAT </w:instrText>
      </w:r>
      <w:r w:rsidR="004016CA" w:rsidRPr="004B2B19">
        <w:fldChar w:fldCharType="separate"/>
      </w:r>
      <w:r w:rsidR="00A037BC" w:rsidRPr="004B2B19">
        <w:t xml:space="preserve">Table </w:t>
      </w:r>
      <w:r w:rsidR="00A037BC">
        <w:t>9</w:t>
      </w:r>
      <w:r w:rsidR="004016CA" w:rsidRPr="004B2B19">
        <w:fldChar w:fldCharType="end"/>
      </w:r>
      <w:r w:rsidRPr="004B2B19">
        <w:t xml:space="preserve">. </w:t>
      </w:r>
    </w:p>
    <w:p w14:paraId="0D775961" w14:textId="1B60DC90" w:rsidR="00306203" w:rsidRPr="004B2B19" w:rsidRDefault="004016CA" w:rsidP="004016CA">
      <w:pPr>
        <w:pStyle w:val="Caption"/>
        <w:rPr>
          <w:rStyle w:val="CommentReference"/>
          <w:b/>
          <w:szCs w:val="24"/>
        </w:rPr>
      </w:pPr>
      <w:bookmarkStart w:id="53" w:name="_Ref204688870"/>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9</w:t>
      </w:r>
      <w:r w:rsidR="00057B46" w:rsidRPr="004B2B19">
        <w:rPr>
          <w:noProof/>
        </w:rPr>
        <w:fldChar w:fldCharType="end"/>
      </w:r>
      <w:bookmarkEnd w:id="53"/>
      <w:r w:rsidRPr="004B2B19">
        <w:t xml:space="preserve">: </w:t>
      </w:r>
      <w:r w:rsidR="00306203" w:rsidRPr="004B2B19">
        <w:rPr>
          <w:rStyle w:val="CommentReference"/>
          <w:b/>
          <w:szCs w:val="24"/>
        </w:rPr>
        <w:t>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Key components and assumptions of the cost-minimisation approach"/>
      </w:tblPr>
      <w:tblGrid>
        <w:gridCol w:w="2613"/>
        <w:gridCol w:w="6404"/>
      </w:tblGrid>
      <w:tr w:rsidR="00306203" w:rsidRPr="004B2B19" w14:paraId="303261F9" w14:textId="77777777" w:rsidTr="002D5DF4">
        <w:tc>
          <w:tcPr>
            <w:tcW w:w="1449" w:type="pct"/>
            <w:vAlign w:val="center"/>
          </w:tcPr>
          <w:p w14:paraId="36AC9E74" w14:textId="77777777" w:rsidR="00306203" w:rsidRPr="004B2B19" w:rsidRDefault="00306203" w:rsidP="003B4837">
            <w:pPr>
              <w:pStyle w:val="In-tableHeading"/>
            </w:pPr>
            <w:r w:rsidRPr="004B2B19">
              <w:t>Component</w:t>
            </w:r>
          </w:p>
        </w:tc>
        <w:tc>
          <w:tcPr>
            <w:tcW w:w="3551" w:type="pct"/>
            <w:vAlign w:val="center"/>
          </w:tcPr>
          <w:p w14:paraId="1747952B" w14:textId="77777777" w:rsidR="00306203" w:rsidRPr="004B2B19" w:rsidRDefault="00306203" w:rsidP="003B4837">
            <w:pPr>
              <w:pStyle w:val="In-tableHeading"/>
            </w:pPr>
            <w:r w:rsidRPr="004B2B19">
              <w:t>Claim or assumption</w:t>
            </w:r>
          </w:p>
        </w:tc>
      </w:tr>
      <w:tr w:rsidR="00306203" w:rsidRPr="004B2B19" w14:paraId="4B6BAD84" w14:textId="77777777" w:rsidTr="002D5DF4">
        <w:tc>
          <w:tcPr>
            <w:tcW w:w="1449" w:type="pct"/>
            <w:vAlign w:val="center"/>
          </w:tcPr>
          <w:p w14:paraId="17E54EA6" w14:textId="77777777" w:rsidR="00306203" w:rsidRPr="004B2B19" w:rsidRDefault="00306203" w:rsidP="009D3FAD">
            <w:pPr>
              <w:pStyle w:val="Tabletext"/>
              <w:keepNext/>
              <w:keepLines/>
            </w:pPr>
            <w:r w:rsidRPr="004B2B19">
              <w:t>Therapeutic claim: effectiveness</w:t>
            </w:r>
          </w:p>
        </w:tc>
        <w:tc>
          <w:tcPr>
            <w:tcW w:w="3551" w:type="pct"/>
            <w:vAlign w:val="center"/>
          </w:tcPr>
          <w:p w14:paraId="5306EAD4" w14:textId="5FBE54AD" w:rsidR="00306203" w:rsidRPr="004B2B19" w:rsidRDefault="00306203" w:rsidP="009D3FAD">
            <w:pPr>
              <w:pStyle w:val="Tabletext"/>
              <w:keepNext/>
              <w:keepLines/>
            </w:pPr>
            <w:r w:rsidRPr="004B2B19">
              <w:t>Based on evidence presented in</w:t>
            </w:r>
            <w:r w:rsidR="00E64524" w:rsidRPr="004B2B19">
              <w:t xml:space="preserve"> the submission</w:t>
            </w:r>
            <w:r w:rsidRPr="004B2B19">
              <w:t>, effectiveness is assumed to be similar.</w:t>
            </w:r>
          </w:p>
        </w:tc>
      </w:tr>
      <w:tr w:rsidR="00306203" w:rsidRPr="004B2B19" w14:paraId="6AD46A25" w14:textId="77777777" w:rsidTr="002D5DF4">
        <w:tc>
          <w:tcPr>
            <w:tcW w:w="1449" w:type="pct"/>
            <w:vAlign w:val="center"/>
          </w:tcPr>
          <w:p w14:paraId="7CEC8D5F" w14:textId="77777777" w:rsidR="00306203" w:rsidRPr="004B2B19" w:rsidRDefault="00306203" w:rsidP="009D3FAD">
            <w:pPr>
              <w:pStyle w:val="Tabletext"/>
              <w:keepNext/>
              <w:keepLines/>
            </w:pPr>
            <w:r w:rsidRPr="004B2B19">
              <w:t>Therapeutic claim: safety</w:t>
            </w:r>
          </w:p>
        </w:tc>
        <w:tc>
          <w:tcPr>
            <w:tcW w:w="3551" w:type="pct"/>
            <w:vAlign w:val="center"/>
          </w:tcPr>
          <w:p w14:paraId="19F86F59" w14:textId="0CDF95E3" w:rsidR="00306203" w:rsidRPr="004B2B19" w:rsidRDefault="00306203" w:rsidP="009D3FAD">
            <w:pPr>
              <w:pStyle w:val="Tabletext"/>
              <w:keepNext/>
              <w:keepLines/>
            </w:pPr>
            <w:r w:rsidRPr="004B2B19">
              <w:t>Based on evidence presented in</w:t>
            </w:r>
            <w:r w:rsidR="00E64524" w:rsidRPr="004B2B19">
              <w:t xml:space="preserve"> the submission</w:t>
            </w:r>
            <w:r w:rsidRPr="004B2B19">
              <w:t>, safety is assumed to be comparable but different</w:t>
            </w:r>
          </w:p>
        </w:tc>
      </w:tr>
      <w:tr w:rsidR="00306203" w:rsidRPr="004B2B19" w14:paraId="528187CF" w14:textId="77777777" w:rsidTr="002D5DF4">
        <w:tc>
          <w:tcPr>
            <w:tcW w:w="1449" w:type="pct"/>
            <w:vAlign w:val="center"/>
          </w:tcPr>
          <w:p w14:paraId="71F8EBD9" w14:textId="77777777" w:rsidR="00306203" w:rsidRPr="004B2B19" w:rsidRDefault="00306203" w:rsidP="009D3FAD">
            <w:pPr>
              <w:pStyle w:val="Tabletext"/>
              <w:keepNext/>
              <w:keepLines/>
            </w:pPr>
            <w:r w:rsidRPr="004B2B19">
              <w:t>Evidence base</w:t>
            </w:r>
          </w:p>
        </w:tc>
        <w:tc>
          <w:tcPr>
            <w:tcW w:w="3551" w:type="pct"/>
            <w:vAlign w:val="center"/>
          </w:tcPr>
          <w:p w14:paraId="757CDEF0" w14:textId="72F9F616" w:rsidR="00306203" w:rsidRPr="004B2B19" w:rsidRDefault="00306203" w:rsidP="009D3FAD">
            <w:pPr>
              <w:pStyle w:val="Tabletext"/>
              <w:keepNext/>
              <w:keepLines/>
            </w:pPr>
            <w:r w:rsidRPr="004B2B19">
              <w:t>Pairwise, frequentist, adjusted (Bucher) ITC using similarly well-designed placebo controlled randomised controlled trials of fenfluramine 0.7 (max 26 mg/day) (Study 1601) and cannabidiol 10 AND/OR 20 mg/kg/day (GWPCARE3/4) all of which included 14 weeks of treatment (2 weeks titration + 12 weeks maintenance) and appropriate follow-up/analysis of similar clinically relevant efficacy and safety outcomes.</w:t>
            </w:r>
          </w:p>
        </w:tc>
      </w:tr>
      <w:tr w:rsidR="00306203" w:rsidRPr="004B2B19" w14:paraId="57839E0C" w14:textId="77777777" w:rsidTr="002D5DF4">
        <w:tc>
          <w:tcPr>
            <w:tcW w:w="1449" w:type="pct"/>
            <w:vAlign w:val="center"/>
          </w:tcPr>
          <w:p w14:paraId="4E43FC52" w14:textId="77777777" w:rsidR="00306203" w:rsidRPr="004B2B19" w:rsidRDefault="00306203" w:rsidP="009D3FAD">
            <w:pPr>
              <w:pStyle w:val="Tabletext"/>
              <w:keepNext/>
              <w:keepLines/>
            </w:pPr>
            <w:r w:rsidRPr="004B2B19">
              <w:t>Equi-effective doses</w:t>
            </w:r>
          </w:p>
        </w:tc>
        <w:tc>
          <w:tcPr>
            <w:tcW w:w="3551" w:type="pct"/>
            <w:vAlign w:val="center"/>
          </w:tcPr>
          <w:p w14:paraId="6EDABF21" w14:textId="365055C7" w:rsidR="00306203" w:rsidRPr="004B2B19" w:rsidRDefault="00306203" w:rsidP="009D3FAD">
            <w:pPr>
              <w:pStyle w:val="Tabletext"/>
              <w:keepNext/>
              <w:keepLines/>
            </w:pPr>
            <w:r w:rsidRPr="004B2B19">
              <w:t xml:space="preserve">Fenfluramine 0.7 mg/kg/day (max 26 mg/day) is considered equi-effective to cannabidiol at a fixed dose of either 10 </w:t>
            </w:r>
            <w:r w:rsidR="005156CA" w:rsidRPr="004B2B19">
              <w:t xml:space="preserve">mg/kg/day </w:t>
            </w:r>
            <w:r w:rsidRPr="004B2B19">
              <w:t>OR 20 mg/kg/day.</w:t>
            </w:r>
          </w:p>
          <w:p w14:paraId="2517013D" w14:textId="77777777" w:rsidR="00306203" w:rsidRPr="004B2B19" w:rsidRDefault="00306203" w:rsidP="009D3FAD">
            <w:pPr>
              <w:pStyle w:val="Tabletext"/>
              <w:keepNext/>
              <w:keepLines/>
            </w:pPr>
          </w:p>
          <w:p w14:paraId="1597B2BB" w14:textId="33C6AD54" w:rsidR="00306203" w:rsidRPr="004B2B19" w:rsidRDefault="00306203" w:rsidP="009D3FAD">
            <w:pPr>
              <w:pStyle w:val="Tabletext"/>
              <w:keepNext/>
              <w:keepLines/>
            </w:pPr>
            <w:r w:rsidRPr="004B2B19">
              <w:t>While the average stable dose of cannabidiol in the real world PBS setting likely approaches the TGA recommended maximum of 20 mg/kg/day, the CMA has been conducted using a relativity of fenfluramine 0.7 mg/kg/day (max 26 mg/day) to cannabidiol 12 mg/kg/day, as this was the average dose at which PBAC assessed the comparator to be acceptably cost effective at its September 2022 meeting.</w:t>
            </w:r>
          </w:p>
          <w:p w14:paraId="6A5F8211" w14:textId="77777777" w:rsidR="00AF3C5F" w:rsidRPr="004B2B19" w:rsidRDefault="00AF3C5F" w:rsidP="009D3FAD">
            <w:pPr>
              <w:pStyle w:val="Tabletext"/>
              <w:keepNext/>
              <w:keepLines/>
            </w:pPr>
          </w:p>
          <w:p w14:paraId="58E76008" w14:textId="0E451372" w:rsidR="006D5988" w:rsidRPr="004B2B19" w:rsidRDefault="0039495C" w:rsidP="009D3FAD">
            <w:pPr>
              <w:pStyle w:val="Tabletext"/>
              <w:keepNext/>
              <w:keepLines/>
            </w:pPr>
            <w:r w:rsidRPr="004B2B19">
              <w:t>CBD titration = 7.5 mg/kg/day for 14 days</w:t>
            </w:r>
          </w:p>
          <w:p w14:paraId="2133B3C0" w14:textId="62DE698C" w:rsidR="0039495C" w:rsidRPr="004B2B19" w:rsidRDefault="00F86A6A" w:rsidP="009D3FAD">
            <w:pPr>
              <w:pStyle w:val="Tabletext"/>
              <w:keepNext/>
              <w:keepLines/>
            </w:pPr>
            <w:r w:rsidRPr="004B2B19">
              <w:t xml:space="preserve">Fenfluramine titration = </w:t>
            </w:r>
            <w:r w:rsidR="00017D93" w:rsidRPr="004B2B19">
              <w:t>0.3 mg/kg/day for 14 days</w:t>
            </w:r>
          </w:p>
        </w:tc>
      </w:tr>
      <w:tr w:rsidR="00306203" w:rsidRPr="004B2B19" w14:paraId="505EBD82" w14:textId="77777777" w:rsidTr="002D5DF4">
        <w:tc>
          <w:tcPr>
            <w:tcW w:w="1449" w:type="pct"/>
            <w:vAlign w:val="center"/>
          </w:tcPr>
          <w:p w14:paraId="6F530F45" w14:textId="77777777" w:rsidR="00306203" w:rsidRPr="004B2B19" w:rsidRDefault="00306203" w:rsidP="009D3FAD">
            <w:pPr>
              <w:pStyle w:val="Tabletext"/>
              <w:keepNext/>
              <w:keepLines/>
            </w:pPr>
            <w:r w:rsidRPr="004B2B19">
              <w:t>Direct medicine costs</w:t>
            </w:r>
          </w:p>
        </w:tc>
        <w:tc>
          <w:tcPr>
            <w:tcW w:w="3551" w:type="pct"/>
            <w:vAlign w:val="center"/>
          </w:tcPr>
          <w:p w14:paraId="3BFA61DA" w14:textId="215E7D5B" w:rsidR="00306203" w:rsidRPr="004B2B19" w:rsidRDefault="00306203" w:rsidP="009D3FAD">
            <w:pPr>
              <w:pStyle w:val="Tabletext"/>
              <w:keepNext/>
              <w:keepLines/>
            </w:pPr>
            <w:r w:rsidRPr="004B2B19">
              <w:t>Equivalent total treatment costs, over 2 years of titration and maintenance therapy.</w:t>
            </w:r>
          </w:p>
          <w:p w14:paraId="6E2F7861" w14:textId="77777777" w:rsidR="00911FF8" w:rsidRPr="004B2B19" w:rsidRDefault="00911FF8" w:rsidP="009D3FAD">
            <w:pPr>
              <w:pStyle w:val="Tabletext"/>
              <w:keepNext/>
              <w:keepLines/>
            </w:pPr>
          </w:p>
          <w:p w14:paraId="0D5A7B81" w14:textId="6F9040A8" w:rsidR="00306203" w:rsidRPr="004B2B19" w:rsidRDefault="00911FF8" w:rsidP="009D3FAD">
            <w:pPr>
              <w:pStyle w:val="Tabletext"/>
              <w:keepNext/>
              <w:keepLines/>
            </w:pPr>
            <w:r w:rsidRPr="004B2B19">
              <w:t>T</w:t>
            </w:r>
            <w:r w:rsidR="00306203" w:rsidRPr="004B2B19">
              <w:t xml:space="preserve">he analysis is based on the </w:t>
            </w:r>
            <w:r w:rsidR="00A30AB1" w:rsidRPr="004B2B19">
              <w:t xml:space="preserve">June 2025 </w:t>
            </w:r>
            <w:r w:rsidR="00306203" w:rsidRPr="004B2B19">
              <w:t xml:space="preserve">published dispensed price of cannabidiol (100 m x 100 mg/mL). </w:t>
            </w:r>
          </w:p>
          <w:p w14:paraId="607DACE5" w14:textId="4E8B18BE" w:rsidR="00306203" w:rsidRPr="004B2B19" w:rsidRDefault="00306203" w:rsidP="009D3FAD">
            <w:pPr>
              <w:pStyle w:val="Tabletext"/>
              <w:keepNext/>
              <w:keepLines/>
            </w:pPr>
          </w:p>
        </w:tc>
      </w:tr>
      <w:tr w:rsidR="00306203" w:rsidRPr="004B2B19" w14:paraId="438ABB96" w14:textId="77777777" w:rsidTr="002D5DF4">
        <w:tc>
          <w:tcPr>
            <w:tcW w:w="1449" w:type="pct"/>
            <w:vAlign w:val="center"/>
          </w:tcPr>
          <w:p w14:paraId="5D9908C7" w14:textId="77777777" w:rsidR="00306203" w:rsidRPr="004B2B19" w:rsidRDefault="00306203" w:rsidP="009D3FAD">
            <w:pPr>
              <w:pStyle w:val="Tabletext"/>
              <w:keepNext/>
              <w:keepLines/>
            </w:pPr>
            <w:r w:rsidRPr="004B2B19">
              <w:t>Other costs or cost offsets</w:t>
            </w:r>
          </w:p>
        </w:tc>
        <w:tc>
          <w:tcPr>
            <w:tcW w:w="3551" w:type="pct"/>
            <w:vAlign w:val="center"/>
          </w:tcPr>
          <w:p w14:paraId="461D5861" w14:textId="77777777" w:rsidR="00306203" w:rsidRPr="004B2B19" w:rsidRDefault="00306203" w:rsidP="009D3FAD">
            <w:pPr>
              <w:pStyle w:val="Tabletext"/>
              <w:keepNext/>
              <w:keepLines/>
            </w:pPr>
            <w:r w:rsidRPr="004B2B19">
              <w:t>Differential monitoring costs included as per TGA recommendations and MBS items.</w:t>
            </w:r>
          </w:p>
          <w:p w14:paraId="52F2B15A" w14:textId="441A084F" w:rsidR="0089251D" w:rsidRPr="004B2B19" w:rsidRDefault="0089251D" w:rsidP="009D3FAD">
            <w:pPr>
              <w:pStyle w:val="Tabletext"/>
              <w:keepNext/>
              <w:keepLines/>
            </w:pPr>
            <w:r w:rsidRPr="004B2B19">
              <w:t>The PBAC noted the PI states that plasma drug concentration should be considered but and considered it is rarely done in clinical practice.</w:t>
            </w:r>
          </w:p>
        </w:tc>
      </w:tr>
    </w:tbl>
    <w:p w14:paraId="3C4B46EE" w14:textId="2DF1946C" w:rsidR="00306203" w:rsidRPr="004B2B19" w:rsidRDefault="00306203" w:rsidP="009D3FAD">
      <w:pPr>
        <w:pStyle w:val="FooterTableFigure"/>
        <w:keepNext/>
        <w:keepLines/>
        <w:rPr>
          <w:sz w:val="20"/>
        </w:rPr>
      </w:pPr>
      <w:r w:rsidRPr="004B2B19">
        <w:t>Source: Table 3.1, p129 of the submission.</w:t>
      </w:r>
    </w:p>
    <w:p w14:paraId="467CBEDF" w14:textId="784A1DF4" w:rsidR="004016CA" w:rsidRPr="004B2B19" w:rsidRDefault="00A86E8B" w:rsidP="004016CA">
      <w:pPr>
        <w:pStyle w:val="3-BodyText"/>
        <w:rPr>
          <w:color w:val="3366FF"/>
        </w:rPr>
      </w:pPr>
      <w:r w:rsidRPr="004B2B19">
        <w:t xml:space="preserve">The equi-effective doses </w:t>
      </w:r>
      <w:r w:rsidR="00F61C18" w:rsidRPr="004B2B19">
        <w:t>we</w:t>
      </w:r>
      <w:r w:rsidRPr="004B2B19">
        <w:t xml:space="preserve">re estimated as </w:t>
      </w:r>
      <w:r w:rsidR="00306203" w:rsidRPr="004B2B19">
        <w:t>fenfluramine</w:t>
      </w:r>
      <w:r w:rsidRPr="004B2B19">
        <w:t xml:space="preserve"> </w:t>
      </w:r>
      <w:r w:rsidR="00306203" w:rsidRPr="004B2B19">
        <w:t>0.7 mg/kg/day</w:t>
      </w:r>
      <w:r w:rsidR="00F61C18" w:rsidRPr="004B2B19">
        <w:t xml:space="preserve"> </w:t>
      </w:r>
      <w:r w:rsidRPr="004B2B19">
        <w:t xml:space="preserve">mg over </w:t>
      </w:r>
      <w:r w:rsidR="00306203" w:rsidRPr="004B2B19">
        <w:t xml:space="preserve">two years </w:t>
      </w:r>
      <w:r w:rsidRPr="004B2B19">
        <w:t xml:space="preserve">and </w:t>
      </w:r>
      <w:r w:rsidR="00306203" w:rsidRPr="004B2B19">
        <w:t>cannabidiol 12 mg/kg/day over 2 years, with the latter dose based on the PBAC consideration of cannabidiol in September 2022</w:t>
      </w:r>
      <w:r w:rsidR="00306203" w:rsidRPr="004B2B19">
        <w:rPr>
          <w:i/>
          <w:iCs/>
        </w:rPr>
        <w:t xml:space="preserve">. </w:t>
      </w:r>
      <w:r w:rsidR="00306203" w:rsidRPr="004B2B19">
        <w:t>The submission constructed a stratified CMA, using ten discrete population subgroups defined by patient weights, which were estimated from a post hoc analysis of Study 1601</w:t>
      </w:r>
      <w:r w:rsidR="004016CA" w:rsidRPr="004B2B19">
        <w:t xml:space="preserve">. </w:t>
      </w:r>
      <w:r w:rsidR="00F645E5" w:rsidRPr="004B2B19">
        <w:t xml:space="preserve">The average weight derived from the stratified analysis was </w:t>
      </w:r>
      <w:r w:rsidR="0021270A" w:rsidRPr="0021270A">
        <w:rPr>
          <w:highlight w:val="black"/>
        </w:rPr>
        <w:t>&amp;&amp;&amp;&amp;</w:t>
      </w:r>
      <w:r w:rsidR="00F645E5" w:rsidRPr="004B2B19">
        <w:t>kg (consistent with the average weight of patients in the trial).</w:t>
      </w:r>
    </w:p>
    <w:p w14:paraId="41B161FB" w14:textId="739051A2" w:rsidR="004016CA" w:rsidRPr="004B2B19" w:rsidRDefault="00306203" w:rsidP="007925B7">
      <w:pPr>
        <w:pStyle w:val="3-BodyText"/>
      </w:pPr>
      <w:r w:rsidRPr="004B2B19">
        <w:t>This analysis is shown in</w:t>
      </w:r>
      <w:r w:rsidR="000716F1" w:rsidRPr="004B2B19">
        <w:t xml:space="preserve"> </w:t>
      </w:r>
      <w:r w:rsidR="000716F1" w:rsidRPr="004B2B19">
        <w:fldChar w:fldCharType="begin"/>
      </w:r>
      <w:r w:rsidR="000716F1" w:rsidRPr="004B2B19">
        <w:instrText xml:space="preserve"> REF _Ref205382009 \h </w:instrText>
      </w:r>
      <w:r w:rsidR="004B2B19" w:rsidRPr="004B2B19">
        <w:instrText xml:space="preserve"> \* MERGEFORMAT </w:instrText>
      </w:r>
      <w:r w:rsidR="000716F1" w:rsidRPr="004B2B19">
        <w:fldChar w:fldCharType="separate"/>
      </w:r>
      <w:r w:rsidR="00A037BC" w:rsidRPr="004B2B19">
        <w:t xml:space="preserve">Table </w:t>
      </w:r>
      <w:r w:rsidR="00A037BC">
        <w:rPr>
          <w:noProof/>
        </w:rPr>
        <w:t>10</w:t>
      </w:r>
      <w:r w:rsidR="000716F1" w:rsidRPr="004B2B19">
        <w:fldChar w:fldCharType="end"/>
      </w:r>
      <w:r w:rsidR="000716F1" w:rsidRPr="004B2B19">
        <w:t xml:space="preserve"> and </w:t>
      </w:r>
      <w:r w:rsidR="000716F1" w:rsidRPr="004B2B19">
        <w:fldChar w:fldCharType="begin"/>
      </w:r>
      <w:r w:rsidR="000716F1" w:rsidRPr="004B2B19">
        <w:instrText xml:space="preserve"> REF _Ref205382041 \h </w:instrText>
      </w:r>
      <w:r w:rsidR="004B2B19" w:rsidRPr="004B2B19">
        <w:instrText xml:space="preserve"> \* MERGEFORMAT </w:instrText>
      </w:r>
      <w:r w:rsidR="000716F1" w:rsidRPr="004B2B19">
        <w:fldChar w:fldCharType="separate"/>
      </w:r>
      <w:r w:rsidR="00A037BC" w:rsidRPr="004B2B19">
        <w:t xml:space="preserve">Table </w:t>
      </w:r>
      <w:r w:rsidR="00A037BC">
        <w:rPr>
          <w:noProof/>
        </w:rPr>
        <w:t>11</w:t>
      </w:r>
      <w:r w:rsidR="000716F1" w:rsidRPr="004B2B19">
        <w:fldChar w:fldCharType="end"/>
      </w:r>
      <w:r w:rsidRPr="004B2B19">
        <w:t>, based on the published price of cannabidiol.</w:t>
      </w:r>
      <w:r w:rsidR="000716F1" w:rsidRPr="004B2B19">
        <w:t xml:space="preserve"> The submission also included the costs of monitoring for both cannabidiol and fenfluramine: for cannabidiol, 6 liver function tests over 2 years (MBS</w:t>
      </w:r>
      <w:r w:rsidR="00DC3AFF" w:rsidRPr="004B2B19">
        <w:t> </w:t>
      </w:r>
      <w:r w:rsidR="000716F1" w:rsidRPr="004B2B19">
        <w:t>Item</w:t>
      </w:r>
      <w:r w:rsidR="00DC3AFF" w:rsidRPr="004B2B19">
        <w:t> </w:t>
      </w:r>
      <w:r w:rsidR="000716F1" w:rsidRPr="004B2B19">
        <w:t>66512,</w:t>
      </w:r>
      <w:r w:rsidR="00DC3AFF" w:rsidRPr="004B2B19">
        <w:t> </w:t>
      </w:r>
      <w:r w:rsidR="000716F1" w:rsidRPr="004B2B19">
        <w:t xml:space="preserve">fee $17.70) and 2 measurements of plasma drug concentration (MBS item 66626, fee $24.10), and for fenfluramine, 5 echocardiograms over 2 years (MBS Item 55133, $232.80). </w:t>
      </w:r>
    </w:p>
    <w:p w14:paraId="55FF4E0D" w14:textId="6FB5998B" w:rsidR="00306203" w:rsidRPr="004B2B19" w:rsidRDefault="000716F1" w:rsidP="00F248BE">
      <w:pPr>
        <w:pStyle w:val="Caption"/>
      </w:pPr>
      <w:bookmarkStart w:id="54" w:name="_Ref205382009"/>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10</w:t>
      </w:r>
      <w:r w:rsidR="00057B46" w:rsidRPr="004B2B19">
        <w:rPr>
          <w:noProof/>
        </w:rPr>
        <w:fldChar w:fldCharType="end"/>
      </w:r>
      <w:bookmarkEnd w:id="54"/>
      <w:r w:rsidRPr="004B2B19">
        <w:t xml:space="preserve">: </w:t>
      </w:r>
      <w:r w:rsidR="00306203" w:rsidRPr="004B2B19">
        <w:t>Weights by decile of patients in Study 1601, Cohort A, mITT</w:t>
      </w:r>
    </w:p>
    <w:tbl>
      <w:tblPr>
        <w:tblStyle w:val="TableGrid"/>
        <w:tblW w:w="5000" w:type="pct"/>
        <w:tblLook w:val="04A0" w:firstRow="1" w:lastRow="0" w:firstColumn="1" w:lastColumn="0" w:noHBand="0" w:noVBand="1"/>
        <w:tblCaption w:val="Table 10: Weights by decile of patients in Study 1601, Cohort A, mITT"/>
      </w:tblPr>
      <w:tblGrid>
        <w:gridCol w:w="3027"/>
        <w:gridCol w:w="2995"/>
        <w:gridCol w:w="2995"/>
      </w:tblGrid>
      <w:tr w:rsidR="00DC2740" w:rsidRPr="004B2B19" w14:paraId="2C1F8E41" w14:textId="160EE616" w:rsidTr="00DC2740">
        <w:tc>
          <w:tcPr>
            <w:tcW w:w="1678" w:type="pct"/>
          </w:tcPr>
          <w:p w14:paraId="49F8E677" w14:textId="5BF008E9" w:rsidR="00DC2740" w:rsidRPr="004B2B19" w:rsidRDefault="00DC2740" w:rsidP="003B4837">
            <w:pPr>
              <w:pStyle w:val="In-tableHeading"/>
            </w:pPr>
            <w:r w:rsidRPr="004B2B19">
              <w:t>Cohort,1 (n)</w:t>
            </w:r>
          </w:p>
        </w:tc>
        <w:tc>
          <w:tcPr>
            <w:tcW w:w="1661" w:type="pct"/>
          </w:tcPr>
          <w:p w14:paraId="6CAE49E1" w14:textId="638CCBEF" w:rsidR="00DC2740" w:rsidRPr="008421CF" w:rsidRDefault="00DC2740" w:rsidP="003B4837">
            <w:pPr>
              <w:pStyle w:val="In-tableHeading"/>
            </w:pPr>
            <w:r w:rsidRPr="008421CF">
              <w:t xml:space="preserve">Mean weight (kg) </w:t>
            </w:r>
          </w:p>
        </w:tc>
        <w:tc>
          <w:tcPr>
            <w:tcW w:w="1661" w:type="pct"/>
          </w:tcPr>
          <w:p w14:paraId="549DA1B3" w14:textId="49B50D59" w:rsidR="00DC2740" w:rsidRPr="004B2B19" w:rsidRDefault="00457631" w:rsidP="003B4837">
            <w:pPr>
              <w:pStyle w:val="In-tableHeading"/>
            </w:pPr>
            <w:r w:rsidRPr="004B2B19">
              <w:t xml:space="preserve">Weighting </w:t>
            </w:r>
          </w:p>
        </w:tc>
      </w:tr>
      <w:tr w:rsidR="00DC2740" w:rsidRPr="004B2B19" w14:paraId="077B73FF" w14:textId="482B55B1" w:rsidTr="00DC2740">
        <w:tc>
          <w:tcPr>
            <w:tcW w:w="1678" w:type="pct"/>
          </w:tcPr>
          <w:p w14:paraId="51A121C3" w14:textId="47AB35C2" w:rsidR="00DC2740" w:rsidRPr="004B2B19" w:rsidRDefault="0021270A" w:rsidP="00F248BE">
            <w:pPr>
              <w:pStyle w:val="Tabletext"/>
              <w:keepNext/>
              <w:keepLines/>
            </w:pPr>
            <w:r w:rsidRPr="0021270A">
              <w:rPr>
                <w:highlight w:val="black"/>
              </w:rPr>
              <w:t>&amp;&amp;&amp;&amp;</w:t>
            </w:r>
            <w:r w:rsidRPr="0021270A">
              <w:t xml:space="preserve"> </w:t>
            </w:r>
            <w:r w:rsidRPr="0021270A">
              <w:rPr>
                <w:highlight w:val="black"/>
              </w:rPr>
              <w:t>&amp;&amp;&amp;&amp;</w:t>
            </w:r>
          </w:p>
        </w:tc>
        <w:tc>
          <w:tcPr>
            <w:tcW w:w="1661" w:type="pct"/>
          </w:tcPr>
          <w:p w14:paraId="2D9920FD" w14:textId="0D0ABCE7" w:rsidR="00DC2740" w:rsidRPr="008421CF" w:rsidRDefault="00DC2740" w:rsidP="00F248BE">
            <w:pPr>
              <w:pStyle w:val="Tabletext"/>
              <w:keepNext/>
              <w:keepLines/>
            </w:pPr>
            <w:r w:rsidRPr="008421CF">
              <w:t>15.08</w:t>
            </w:r>
          </w:p>
        </w:tc>
        <w:tc>
          <w:tcPr>
            <w:tcW w:w="1661" w:type="pct"/>
          </w:tcPr>
          <w:p w14:paraId="41833B4C" w14:textId="6B7010FF"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6AF2339F" w14:textId="080D317E" w:rsidTr="00DC2740">
        <w:tc>
          <w:tcPr>
            <w:tcW w:w="1678" w:type="pct"/>
          </w:tcPr>
          <w:p w14:paraId="261DA07B" w14:textId="1EFB06BA"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59A253EB" w14:textId="37881BE3" w:rsidR="00DC2740" w:rsidRPr="008421CF" w:rsidRDefault="00DC2740" w:rsidP="00F248BE">
            <w:pPr>
              <w:pStyle w:val="Tabletext"/>
              <w:keepNext/>
              <w:keepLines/>
            </w:pPr>
            <w:r w:rsidRPr="008421CF">
              <w:t>20.93</w:t>
            </w:r>
          </w:p>
        </w:tc>
        <w:tc>
          <w:tcPr>
            <w:tcW w:w="1661" w:type="pct"/>
          </w:tcPr>
          <w:p w14:paraId="7D305A4E" w14:textId="203A8E7D"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0D7F967B" w14:textId="3207F15C" w:rsidTr="00DC2740">
        <w:tc>
          <w:tcPr>
            <w:tcW w:w="1678" w:type="pct"/>
          </w:tcPr>
          <w:p w14:paraId="68B341C9" w14:textId="5433E28A"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3FEFB2EE" w14:textId="4493F509" w:rsidR="00DC2740" w:rsidRPr="008421CF" w:rsidRDefault="00DC2740" w:rsidP="00F248BE">
            <w:pPr>
              <w:pStyle w:val="Tabletext"/>
              <w:keepNext/>
              <w:keepLines/>
            </w:pPr>
            <w:r w:rsidRPr="008421CF">
              <w:t>26.55</w:t>
            </w:r>
          </w:p>
        </w:tc>
        <w:tc>
          <w:tcPr>
            <w:tcW w:w="1661" w:type="pct"/>
          </w:tcPr>
          <w:p w14:paraId="75C317D5" w14:textId="7ABE2B15"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2CE6CCBC" w14:textId="58BC62CE" w:rsidTr="00DC2740">
        <w:tc>
          <w:tcPr>
            <w:tcW w:w="1678" w:type="pct"/>
          </w:tcPr>
          <w:p w14:paraId="72BCA95F" w14:textId="601E26E4"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4ABAA6A9" w14:textId="78CA6014" w:rsidR="00DC2740" w:rsidRPr="008421CF" w:rsidRDefault="00DC2740" w:rsidP="00F248BE">
            <w:pPr>
              <w:pStyle w:val="Tabletext"/>
              <w:keepNext/>
              <w:keepLines/>
            </w:pPr>
            <w:r w:rsidRPr="008421CF">
              <w:t>31.37</w:t>
            </w:r>
          </w:p>
        </w:tc>
        <w:tc>
          <w:tcPr>
            <w:tcW w:w="1661" w:type="pct"/>
          </w:tcPr>
          <w:p w14:paraId="4E27681B" w14:textId="0D41511E"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3A85D2EE" w14:textId="05619AF9" w:rsidTr="00DC2740">
        <w:tc>
          <w:tcPr>
            <w:tcW w:w="1678" w:type="pct"/>
          </w:tcPr>
          <w:p w14:paraId="2D49067D" w14:textId="1A2ED071"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658ABA1B" w14:textId="352F738C" w:rsidR="00DC2740" w:rsidRPr="008421CF" w:rsidRDefault="00DC2740" w:rsidP="00F248BE">
            <w:pPr>
              <w:pStyle w:val="Tabletext"/>
              <w:keepNext/>
              <w:keepLines/>
            </w:pPr>
            <w:r w:rsidRPr="008421CF">
              <w:t>36.28</w:t>
            </w:r>
          </w:p>
        </w:tc>
        <w:tc>
          <w:tcPr>
            <w:tcW w:w="1661" w:type="pct"/>
          </w:tcPr>
          <w:p w14:paraId="0C83049F" w14:textId="2AF7230F"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396AB557" w14:textId="53492902" w:rsidTr="00DC2740">
        <w:tc>
          <w:tcPr>
            <w:tcW w:w="1678" w:type="pct"/>
          </w:tcPr>
          <w:p w14:paraId="3AF9D4AB" w14:textId="1E3299D7"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1D6086A7" w14:textId="75BC99B6" w:rsidR="00DC2740" w:rsidRPr="008421CF" w:rsidRDefault="00DC2740" w:rsidP="00F248BE">
            <w:pPr>
              <w:pStyle w:val="Tabletext"/>
              <w:keepNext/>
              <w:keepLines/>
            </w:pPr>
            <w:r w:rsidRPr="008421CF">
              <w:t>41.52</w:t>
            </w:r>
          </w:p>
        </w:tc>
        <w:tc>
          <w:tcPr>
            <w:tcW w:w="1661" w:type="pct"/>
          </w:tcPr>
          <w:p w14:paraId="38B72425" w14:textId="618C11AE"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681EAB64" w14:textId="01137FF2" w:rsidTr="00DC2740">
        <w:tc>
          <w:tcPr>
            <w:tcW w:w="1678" w:type="pct"/>
          </w:tcPr>
          <w:p w14:paraId="4DBB8AE5" w14:textId="7C75BE63"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2ECC4730" w14:textId="5AB9288D" w:rsidR="00DC2740" w:rsidRPr="008421CF" w:rsidRDefault="00DC2740" w:rsidP="00F248BE">
            <w:pPr>
              <w:pStyle w:val="Tabletext"/>
              <w:keepNext/>
              <w:keepLines/>
            </w:pPr>
            <w:r w:rsidRPr="008421CF">
              <w:t>48.88</w:t>
            </w:r>
          </w:p>
        </w:tc>
        <w:tc>
          <w:tcPr>
            <w:tcW w:w="1661" w:type="pct"/>
          </w:tcPr>
          <w:p w14:paraId="6420081B" w14:textId="7EF6C091"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481919EB" w14:textId="2CD33A4B" w:rsidTr="00DC2740">
        <w:tc>
          <w:tcPr>
            <w:tcW w:w="1678" w:type="pct"/>
          </w:tcPr>
          <w:p w14:paraId="7BA20C77" w14:textId="5B40ED92"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12C53C13" w14:textId="0B15568E" w:rsidR="00DC2740" w:rsidRPr="008421CF" w:rsidRDefault="00DC2740" w:rsidP="00F248BE">
            <w:pPr>
              <w:pStyle w:val="Tabletext"/>
              <w:keepNext/>
              <w:keepLines/>
            </w:pPr>
            <w:r w:rsidRPr="008421CF">
              <w:t>54.97</w:t>
            </w:r>
          </w:p>
        </w:tc>
        <w:tc>
          <w:tcPr>
            <w:tcW w:w="1661" w:type="pct"/>
          </w:tcPr>
          <w:p w14:paraId="3E701993" w14:textId="0AA25F24"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52B019B6" w14:textId="68E45F34" w:rsidTr="00DC2740">
        <w:tc>
          <w:tcPr>
            <w:tcW w:w="1678" w:type="pct"/>
          </w:tcPr>
          <w:p w14:paraId="060430DB" w14:textId="2EC6EBA9"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69D2E4EC" w14:textId="4800D96B" w:rsidR="00DC2740" w:rsidRPr="008421CF" w:rsidRDefault="00DC2740" w:rsidP="00F248BE">
            <w:pPr>
              <w:pStyle w:val="Tabletext"/>
              <w:keepNext/>
              <w:keepLines/>
            </w:pPr>
            <w:r w:rsidRPr="008421CF">
              <w:t>63.49</w:t>
            </w:r>
          </w:p>
        </w:tc>
        <w:tc>
          <w:tcPr>
            <w:tcW w:w="1661" w:type="pct"/>
          </w:tcPr>
          <w:p w14:paraId="1C254E05" w14:textId="0C165992" w:rsidR="00DC2740" w:rsidRPr="004B2B19" w:rsidRDefault="0021270A" w:rsidP="00F248BE">
            <w:pPr>
              <w:pStyle w:val="Tabletext"/>
              <w:keepNext/>
              <w:keepLines/>
            </w:pPr>
            <w:r w:rsidRPr="0021270A">
              <w:rPr>
                <w:highlight w:val="black"/>
              </w:rPr>
              <w:t>&amp;&amp;&amp;&amp;</w:t>
            </w:r>
            <w:r w:rsidR="00457631" w:rsidRPr="004B2B19">
              <w:t>%</w:t>
            </w:r>
          </w:p>
        </w:tc>
      </w:tr>
      <w:tr w:rsidR="00DC2740" w:rsidRPr="004B2B19" w14:paraId="02F99636" w14:textId="026631DF" w:rsidTr="00DC2740">
        <w:tc>
          <w:tcPr>
            <w:tcW w:w="1678" w:type="pct"/>
          </w:tcPr>
          <w:p w14:paraId="48D73974" w14:textId="77865BE5" w:rsidR="00DC2740" w:rsidRPr="008421CF" w:rsidRDefault="0021270A" w:rsidP="00F248BE">
            <w:pPr>
              <w:pStyle w:val="Tabletext"/>
              <w:keepNext/>
              <w:keepLines/>
              <w:rPr>
                <w:highlight w:val="darkGray"/>
              </w:rPr>
            </w:pPr>
            <w:r w:rsidRPr="0021270A">
              <w:rPr>
                <w:highlight w:val="black"/>
              </w:rPr>
              <w:t>&amp;&amp;&amp;&amp;</w:t>
            </w:r>
            <w:r w:rsidRPr="0021270A">
              <w:t xml:space="preserve"> </w:t>
            </w:r>
            <w:r w:rsidRPr="0021270A">
              <w:rPr>
                <w:highlight w:val="black"/>
              </w:rPr>
              <w:t>&amp;&amp;&amp;&amp;</w:t>
            </w:r>
          </w:p>
        </w:tc>
        <w:tc>
          <w:tcPr>
            <w:tcW w:w="1661" w:type="pct"/>
          </w:tcPr>
          <w:p w14:paraId="03C3E4EC" w14:textId="4F8226CF" w:rsidR="00DC2740" w:rsidRPr="008421CF" w:rsidRDefault="00DC2740" w:rsidP="00F248BE">
            <w:pPr>
              <w:pStyle w:val="Tabletext"/>
              <w:keepNext/>
              <w:keepLines/>
            </w:pPr>
            <w:r w:rsidRPr="008421CF">
              <w:t>84.92</w:t>
            </w:r>
          </w:p>
        </w:tc>
        <w:tc>
          <w:tcPr>
            <w:tcW w:w="1661" w:type="pct"/>
          </w:tcPr>
          <w:p w14:paraId="2593E0ED" w14:textId="714965A3" w:rsidR="00DC2740" w:rsidRPr="004B2B19" w:rsidRDefault="0021270A" w:rsidP="00F248BE">
            <w:pPr>
              <w:pStyle w:val="Tabletext"/>
              <w:keepNext/>
              <w:keepLines/>
            </w:pPr>
            <w:r w:rsidRPr="0021270A">
              <w:rPr>
                <w:highlight w:val="black"/>
              </w:rPr>
              <w:t>&amp;&amp;&amp;&amp;</w:t>
            </w:r>
            <w:r w:rsidR="00457631" w:rsidRPr="004B2B19">
              <w:t>%</w:t>
            </w:r>
          </w:p>
        </w:tc>
      </w:tr>
    </w:tbl>
    <w:p w14:paraId="426AE436" w14:textId="77777777" w:rsidR="00A73826" w:rsidRPr="004B2B19" w:rsidRDefault="00306203" w:rsidP="00F248BE">
      <w:pPr>
        <w:pStyle w:val="TableFigureFooter"/>
        <w:keepNext/>
      </w:pPr>
      <w:r w:rsidRPr="004B2B19">
        <w:t xml:space="preserve">Source: Table 3.3, p131 of the submission. </w:t>
      </w:r>
    </w:p>
    <w:p w14:paraId="7A6CFCCB" w14:textId="67FBD017" w:rsidR="004016CA" w:rsidRPr="004B2B19" w:rsidRDefault="00306203" w:rsidP="00F248BE">
      <w:pPr>
        <w:pStyle w:val="TableFigureFooter"/>
        <w:keepNext/>
      </w:pPr>
      <w:r w:rsidRPr="004B2B19">
        <w:t>mITT=modified intention to treat</w:t>
      </w:r>
    </w:p>
    <w:p w14:paraId="601C89B8" w14:textId="300E615E" w:rsidR="00306203" w:rsidRPr="004B2B19" w:rsidRDefault="000716F1" w:rsidP="000716F1">
      <w:pPr>
        <w:pStyle w:val="Caption"/>
      </w:pPr>
      <w:bookmarkStart w:id="55" w:name="_Ref205382041"/>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11</w:t>
      </w:r>
      <w:r w:rsidR="00057B46" w:rsidRPr="004B2B19">
        <w:rPr>
          <w:noProof/>
        </w:rPr>
        <w:fldChar w:fldCharType="end"/>
      </w:r>
      <w:bookmarkEnd w:id="55"/>
      <w:r w:rsidRPr="004B2B19">
        <w:t xml:space="preserve">: </w:t>
      </w:r>
      <w:r w:rsidR="00306203" w:rsidRPr="004B2B19">
        <w:t>Summary weighted average results for the whole population</w:t>
      </w:r>
    </w:p>
    <w:tbl>
      <w:tblPr>
        <w:tblStyle w:val="TableGrid"/>
        <w:tblW w:w="5000" w:type="pct"/>
        <w:tblLook w:val="04A0" w:firstRow="1" w:lastRow="0" w:firstColumn="1" w:lastColumn="0" w:noHBand="0" w:noVBand="1"/>
        <w:tblCaption w:val="Table 11: Summary weighted average results for the whole population"/>
      </w:tblPr>
      <w:tblGrid>
        <w:gridCol w:w="2979"/>
        <w:gridCol w:w="3012"/>
        <w:gridCol w:w="3026"/>
      </w:tblGrid>
      <w:tr w:rsidR="00CF0408" w:rsidRPr="004B2B19" w14:paraId="4099B240" w14:textId="77777777" w:rsidTr="00CF0408">
        <w:tc>
          <w:tcPr>
            <w:tcW w:w="1652" w:type="pct"/>
          </w:tcPr>
          <w:p w14:paraId="06C18645" w14:textId="05114641" w:rsidR="00ED6FB6" w:rsidRPr="004B2B19" w:rsidRDefault="00306203"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ab/>
            </w:r>
          </w:p>
        </w:tc>
        <w:tc>
          <w:tcPr>
            <w:tcW w:w="1670" w:type="pct"/>
          </w:tcPr>
          <w:p w14:paraId="4948B971" w14:textId="6AC58D24" w:rsidR="00ED6FB6" w:rsidRPr="004B2B19" w:rsidRDefault="00ED6FB6" w:rsidP="002936C1">
            <w:pPr>
              <w:pStyle w:val="3-BodyText"/>
              <w:numPr>
                <w:ilvl w:val="0"/>
                <w:numId w:val="0"/>
              </w:numPr>
              <w:spacing w:before="0" w:after="0"/>
              <w:rPr>
                <w:rFonts w:ascii="Arial Narrow" w:hAnsi="Arial Narrow"/>
                <w:b/>
                <w:bCs/>
                <w:color w:val="000000" w:themeColor="text1"/>
                <w:sz w:val="20"/>
                <w:szCs w:val="20"/>
              </w:rPr>
            </w:pPr>
            <w:r w:rsidRPr="004B2B19">
              <w:rPr>
                <w:rFonts w:ascii="Arial Narrow" w:hAnsi="Arial Narrow"/>
                <w:b/>
                <w:bCs/>
                <w:color w:val="000000" w:themeColor="text1"/>
                <w:sz w:val="20"/>
                <w:szCs w:val="20"/>
              </w:rPr>
              <w:t>Cannabidiol</w:t>
            </w:r>
          </w:p>
        </w:tc>
        <w:tc>
          <w:tcPr>
            <w:tcW w:w="1678" w:type="pct"/>
          </w:tcPr>
          <w:p w14:paraId="05FEFC9F" w14:textId="1BBBE080" w:rsidR="00ED6FB6" w:rsidRPr="004B2B19" w:rsidRDefault="00ED6FB6" w:rsidP="002936C1">
            <w:pPr>
              <w:pStyle w:val="3-BodyText"/>
              <w:numPr>
                <w:ilvl w:val="0"/>
                <w:numId w:val="0"/>
              </w:numPr>
              <w:spacing w:before="0" w:after="0"/>
              <w:rPr>
                <w:rFonts w:ascii="Arial Narrow" w:hAnsi="Arial Narrow"/>
                <w:b/>
                <w:bCs/>
                <w:color w:val="000000" w:themeColor="text1"/>
                <w:sz w:val="20"/>
                <w:szCs w:val="20"/>
              </w:rPr>
            </w:pPr>
            <w:r w:rsidRPr="004B2B19">
              <w:rPr>
                <w:rFonts w:ascii="Arial Narrow" w:hAnsi="Arial Narrow"/>
                <w:b/>
                <w:bCs/>
                <w:color w:val="000000" w:themeColor="text1"/>
                <w:sz w:val="20"/>
                <w:szCs w:val="20"/>
              </w:rPr>
              <w:t>Fenfluramine</w:t>
            </w:r>
          </w:p>
        </w:tc>
      </w:tr>
      <w:tr w:rsidR="00CF0408" w:rsidRPr="004B2B19" w14:paraId="54EA117D" w14:textId="77777777" w:rsidTr="00CF0408">
        <w:tc>
          <w:tcPr>
            <w:tcW w:w="1652" w:type="pct"/>
          </w:tcPr>
          <w:p w14:paraId="601DFDFC" w14:textId="35708EBC"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Total mg over 2 years</w:t>
            </w:r>
          </w:p>
        </w:tc>
        <w:tc>
          <w:tcPr>
            <w:tcW w:w="1670" w:type="pct"/>
          </w:tcPr>
          <w:p w14:paraId="79A59F2F" w14:textId="2C479970"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372,345</w:t>
            </w:r>
          </w:p>
        </w:tc>
        <w:tc>
          <w:tcPr>
            <w:tcW w:w="1678" w:type="pct"/>
          </w:tcPr>
          <w:p w14:paraId="61D8CAD4" w14:textId="0314C09F" w:rsidR="00ED6FB6" w:rsidRPr="007054EB" w:rsidRDefault="0021270A" w:rsidP="002936C1">
            <w:pPr>
              <w:pStyle w:val="3-BodyText"/>
              <w:numPr>
                <w:ilvl w:val="0"/>
                <w:numId w:val="0"/>
              </w:numPr>
              <w:spacing w:before="0" w:after="0"/>
              <w:rPr>
                <w:rFonts w:ascii="Arial Narrow" w:hAnsi="Arial Narrow"/>
                <w:color w:val="000000" w:themeColor="text1"/>
                <w:sz w:val="20"/>
                <w:szCs w:val="20"/>
                <w:highlight w:val="darkGray"/>
              </w:rPr>
            </w:pPr>
            <w:r w:rsidRPr="0021270A">
              <w:rPr>
                <w:rFonts w:ascii="Arial Narrow" w:hAnsi="Arial Narrow"/>
                <w:color w:val="000000" w:themeColor="text1"/>
                <w:sz w:val="20"/>
                <w:szCs w:val="20"/>
                <w:highlight w:val="black"/>
              </w:rPr>
              <w:t>&amp;&amp;&amp;&amp;</w:t>
            </w:r>
          </w:p>
        </w:tc>
      </w:tr>
      <w:tr w:rsidR="00CF0408" w:rsidRPr="004B2B19" w14:paraId="2FA0FFB9" w14:textId="77777777" w:rsidTr="00CF0408">
        <w:tc>
          <w:tcPr>
            <w:tcW w:w="1652" w:type="pct"/>
          </w:tcPr>
          <w:p w14:paraId="76E305C8" w14:textId="26CDC227"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Weighted average mg per day</w:t>
            </w:r>
          </w:p>
        </w:tc>
        <w:tc>
          <w:tcPr>
            <w:tcW w:w="1670" w:type="pct"/>
          </w:tcPr>
          <w:p w14:paraId="7E61CD14" w14:textId="57A64E69"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510.1</w:t>
            </w:r>
          </w:p>
        </w:tc>
        <w:tc>
          <w:tcPr>
            <w:tcW w:w="1678" w:type="pct"/>
          </w:tcPr>
          <w:p w14:paraId="09056930" w14:textId="6169D595" w:rsidR="00ED6FB6" w:rsidRPr="007054EB" w:rsidRDefault="0021270A" w:rsidP="002936C1">
            <w:pPr>
              <w:pStyle w:val="3-BodyText"/>
              <w:numPr>
                <w:ilvl w:val="0"/>
                <w:numId w:val="0"/>
              </w:numPr>
              <w:spacing w:before="0" w:after="0"/>
              <w:rPr>
                <w:rFonts w:ascii="Arial Narrow" w:hAnsi="Arial Narrow"/>
                <w:color w:val="000000" w:themeColor="text1"/>
                <w:sz w:val="20"/>
                <w:szCs w:val="20"/>
                <w:highlight w:val="darkGray"/>
              </w:rPr>
            </w:pPr>
            <w:r w:rsidRPr="0021270A">
              <w:rPr>
                <w:rFonts w:ascii="Arial Narrow" w:hAnsi="Arial Narrow"/>
                <w:color w:val="000000" w:themeColor="text1"/>
                <w:sz w:val="20"/>
                <w:szCs w:val="20"/>
                <w:highlight w:val="black"/>
              </w:rPr>
              <w:t>&amp;&amp;&amp;&amp;</w:t>
            </w:r>
          </w:p>
        </w:tc>
      </w:tr>
      <w:tr w:rsidR="00CF0408" w:rsidRPr="004B2B19" w14:paraId="019586E3" w14:textId="77777777" w:rsidTr="00CF0408">
        <w:tc>
          <w:tcPr>
            <w:tcW w:w="1652" w:type="pct"/>
          </w:tcPr>
          <w:p w14:paraId="2036CCB0" w14:textId="4F913BDA"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Weighted average mg per kg</w:t>
            </w:r>
          </w:p>
        </w:tc>
        <w:tc>
          <w:tcPr>
            <w:tcW w:w="1670" w:type="pct"/>
          </w:tcPr>
          <w:p w14:paraId="71573C00" w14:textId="4C8E9696"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11.91</w:t>
            </w:r>
          </w:p>
        </w:tc>
        <w:tc>
          <w:tcPr>
            <w:tcW w:w="1678" w:type="pct"/>
          </w:tcPr>
          <w:p w14:paraId="3AA5B174" w14:textId="3A6501BB" w:rsidR="00ED6FB6" w:rsidRPr="007054EB" w:rsidRDefault="0021270A" w:rsidP="002936C1">
            <w:pPr>
              <w:pStyle w:val="3-BodyText"/>
              <w:numPr>
                <w:ilvl w:val="0"/>
                <w:numId w:val="0"/>
              </w:numPr>
              <w:spacing w:before="0" w:after="0"/>
              <w:rPr>
                <w:rFonts w:ascii="Arial Narrow" w:hAnsi="Arial Narrow"/>
                <w:color w:val="000000" w:themeColor="text1"/>
                <w:sz w:val="20"/>
                <w:szCs w:val="20"/>
                <w:highlight w:val="darkGray"/>
              </w:rPr>
            </w:pPr>
            <w:r w:rsidRPr="0021270A">
              <w:rPr>
                <w:rFonts w:ascii="Arial Narrow" w:hAnsi="Arial Narrow"/>
                <w:color w:val="000000" w:themeColor="text1"/>
                <w:sz w:val="20"/>
                <w:szCs w:val="20"/>
                <w:highlight w:val="black"/>
              </w:rPr>
              <w:t>&amp;&amp;&amp;&amp;</w:t>
            </w:r>
          </w:p>
        </w:tc>
      </w:tr>
      <w:tr w:rsidR="00CF0408" w:rsidRPr="004B2B19" w14:paraId="2751F440" w14:textId="77777777" w:rsidTr="00CF0408">
        <w:tc>
          <w:tcPr>
            <w:tcW w:w="1652" w:type="pct"/>
          </w:tcPr>
          <w:p w14:paraId="5441F20A" w14:textId="223D6A65"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Total drug cost over 2 years</w:t>
            </w:r>
          </w:p>
        </w:tc>
        <w:tc>
          <w:tcPr>
            <w:tcW w:w="1670" w:type="pct"/>
          </w:tcPr>
          <w:p w14:paraId="00EF57C8" w14:textId="00E4200B"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t>
            </w:r>
            <w:r w:rsidRPr="00947507">
              <w:rPr>
                <w:rFonts w:ascii="Arial Narrow" w:hAnsi="Arial Narrow"/>
                <w:color w:val="000000" w:themeColor="text1"/>
                <w:sz w:val="20"/>
                <w:szCs w:val="20"/>
              </w:rPr>
              <w:t>57,167</w:t>
            </w:r>
          </w:p>
        </w:tc>
        <w:tc>
          <w:tcPr>
            <w:tcW w:w="1678" w:type="pct"/>
          </w:tcPr>
          <w:p w14:paraId="79074794" w14:textId="323F9F97"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t>
            </w:r>
            <w:r w:rsidR="0021270A" w:rsidRPr="0021270A">
              <w:rPr>
                <w:rFonts w:ascii="Arial Narrow" w:hAnsi="Arial Narrow"/>
                <w:color w:val="000000" w:themeColor="text1"/>
                <w:sz w:val="20"/>
                <w:szCs w:val="20"/>
                <w:highlight w:val="black"/>
              </w:rPr>
              <w:t>&amp;&amp;&amp;&amp;</w:t>
            </w:r>
          </w:p>
        </w:tc>
      </w:tr>
      <w:tr w:rsidR="00CF0408" w:rsidRPr="004B2B19" w14:paraId="1FCB669B" w14:textId="77777777" w:rsidTr="00CF0408">
        <w:tc>
          <w:tcPr>
            <w:tcW w:w="1652" w:type="pct"/>
          </w:tcPr>
          <w:p w14:paraId="10D895AA" w14:textId="76755BFE" w:rsidR="00ED6FB6" w:rsidRPr="004B2B19" w:rsidRDefault="000C2B3C"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Monitoring costs</w:t>
            </w:r>
          </w:p>
        </w:tc>
        <w:tc>
          <w:tcPr>
            <w:tcW w:w="1670" w:type="pct"/>
          </w:tcPr>
          <w:p w14:paraId="5FF242D8" w14:textId="30F06B9A"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$154</w:t>
            </w:r>
          </w:p>
        </w:tc>
        <w:tc>
          <w:tcPr>
            <w:tcW w:w="1678" w:type="pct"/>
          </w:tcPr>
          <w:p w14:paraId="6BFB3920" w14:textId="239D0D5A"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$1,164</w:t>
            </w:r>
          </w:p>
        </w:tc>
      </w:tr>
      <w:tr w:rsidR="00CF0408" w:rsidRPr="004B2B19" w14:paraId="0488DA88" w14:textId="77777777" w:rsidTr="00CF0408">
        <w:tc>
          <w:tcPr>
            <w:tcW w:w="1652" w:type="pct"/>
          </w:tcPr>
          <w:p w14:paraId="3E256AC1" w14:textId="0FF8E526"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Total cost over 2 years</w:t>
            </w:r>
          </w:p>
        </w:tc>
        <w:tc>
          <w:tcPr>
            <w:tcW w:w="1670" w:type="pct"/>
          </w:tcPr>
          <w:p w14:paraId="3C7D41BC" w14:textId="0F0C1C9D"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$57,321</w:t>
            </w:r>
          </w:p>
        </w:tc>
        <w:tc>
          <w:tcPr>
            <w:tcW w:w="1678" w:type="pct"/>
          </w:tcPr>
          <w:p w14:paraId="2C4F980C" w14:textId="442DD8FF"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t>
            </w:r>
            <w:r w:rsidR="0021270A" w:rsidRPr="0021270A">
              <w:rPr>
                <w:rFonts w:ascii="Arial Narrow" w:hAnsi="Arial Narrow"/>
                <w:color w:val="000000" w:themeColor="text1"/>
                <w:sz w:val="20"/>
                <w:szCs w:val="20"/>
                <w:highlight w:val="black"/>
              </w:rPr>
              <w:t>&amp;&amp;&amp;&amp;</w:t>
            </w:r>
          </w:p>
        </w:tc>
      </w:tr>
      <w:tr w:rsidR="00CF0408" w:rsidRPr="004B2B19" w14:paraId="59503048" w14:textId="77777777" w:rsidTr="00CF0408">
        <w:tc>
          <w:tcPr>
            <w:tcW w:w="1652" w:type="pct"/>
          </w:tcPr>
          <w:p w14:paraId="530A6899" w14:textId="429D24E8"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DPMQ per pack</w:t>
            </w:r>
          </w:p>
        </w:tc>
        <w:tc>
          <w:tcPr>
            <w:tcW w:w="1670" w:type="pct"/>
          </w:tcPr>
          <w:p w14:paraId="515B968A" w14:textId="1A83C752"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$1,535.31</w:t>
            </w:r>
          </w:p>
        </w:tc>
        <w:tc>
          <w:tcPr>
            <w:tcW w:w="1678" w:type="pct"/>
          </w:tcPr>
          <w:p w14:paraId="41AB079F" w14:textId="1AE13238"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t>
            </w:r>
            <w:r w:rsidR="0021270A" w:rsidRPr="0021270A">
              <w:rPr>
                <w:rFonts w:ascii="Arial Narrow" w:hAnsi="Arial Narrow"/>
                <w:color w:val="000000" w:themeColor="text1"/>
                <w:sz w:val="20"/>
                <w:szCs w:val="20"/>
                <w:highlight w:val="black"/>
              </w:rPr>
              <w:t>&amp;&amp;&amp;&amp;</w:t>
            </w:r>
          </w:p>
        </w:tc>
      </w:tr>
      <w:tr w:rsidR="00CF0408" w:rsidRPr="004B2B19" w14:paraId="2F741588" w14:textId="77777777" w:rsidTr="00CF0408">
        <w:tc>
          <w:tcPr>
            <w:tcW w:w="1652" w:type="pct"/>
          </w:tcPr>
          <w:p w14:paraId="67C52BB9" w14:textId="75A73A93"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EMP per pack</w:t>
            </w:r>
          </w:p>
        </w:tc>
        <w:tc>
          <w:tcPr>
            <w:tcW w:w="1670" w:type="pct"/>
          </w:tcPr>
          <w:p w14:paraId="122B55A4" w14:textId="06A63A5C"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$1,400.00</w:t>
            </w:r>
          </w:p>
        </w:tc>
        <w:tc>
          <w:tcPr>
            <w:tcW w:w="1678" w:type="pct"/>
          </w:tcPr>
          <w:p w14:paraId="238138FD" w14:textId="3D4D6EB9" w:rsidR="00ED6FB6" w:rsidRPr="004B2B19" w:rsidRDefault="00ED6FB6" w:rsidP="002936C1">
            <w:pPr>
              <w:pStyle w:val="3-BodyText"/>
              <w:numPr>
                <w:ilvl w:val="0"/>
                <w:numId w:val="0"/>
              </w:numPr>
              <w:spacing w:before="0" w:after="0"/>
              <w:rPr>
                <w:rFonts w:ascii="Arial Narrow" w:hAnsi="Arial Narrow"/>
                <w:color w:val="000000" w:themeColor="text1"/>
                <w:sz w:val="20"/>
                <w:szCs w:val="20"/>
              </w:rPr>
            </w:pPr>
            <w:r w:rsidRPr="004B2B19">
              <w:rPr>
                <w:rFonts w:ascii="Arial Narrow" w:hAnsi="Arial Narrow"/>
                <w:color w:val="000000" w:themeColor="text1"/>
                <w:sz w:val="20"/>
                <w:szCs w:val="20"/>
              </w:rPr>
              <w:t>$</w:t>
            </w:r>
            <w:r w:rsidR="0021270A" w:rsidRPr="0021270A">
              <w:rPr>
                <w:rFonts w:ascii="Arial Narrow" w:hAnsi="Arial Narrow"/>
                <w:color w:val="000000" w:themeColor="text1"/>
                <w:sz w:val="20"/>
                <w:szCs w:val="20"/>
                <w:highlight w:val="black"/>
              </w:rPr>
              <w:t>&amp;&amp;&amp;&amp;</w:t>
            </w:r>
          </w:p>
        </w:tc>
      </w:tr>
    </w:tbl>
    <w:p w14:paraId="4EF1D297" w14:textId="12BFE17F" w:rsidR="00277283" w:rsidRPr="004B2B19" w:rsidRDefault="000C2B3C" w:rsidP="00277283">
      <w:pPr>
        <w:pStyle w:val="TableFigureFooter"/>
      </w:pPr>
      <w:r w:rsidRPr="004B2B19">
        <w:t>Source: Table 3.6, p132 of the submission</w:t>
      </w:r>
    </w:p>
    <w:p w14:paraId="00864FEA" w14:textId="2CCBE1CF" w:rsidR="00277283" w:rsidRPr="004B2B19" w:rsidRDefault="00277283" w:rsidP="00277283">
      <w:pPr>
        <w:pStyle w:val="TableFigureFooter"/>
      </w:pPr>
      <w:r w:rsidRPr="004B2B19">
        <w:t>DPMQ = dispensed price for maximum quantity; EMP = ex-manufacturer price</w:t>
      </w:r>
    </w:p>
    <w:p w14:paraId="0C587DFC" w14:textId="24986040" w:rsidR="00ED6FB6" w:rsidRPr="004B2B19" w:rsidRDefault="00812E5B" w:rsidP="00ED6FB6">
      <w:pPr>
        <w:pStyle w:val="3-BodyText"/>
        <w:rPr>
          <w:color w:val="0066FF"/>
        </w:rPr>
      </w:pPr>
      <w:r w:rsidRPr="004B2B19">
        <w:t xml:space="preserve">The mean patient weight in the pivotal FEN trial (Study 1601 Part 1) was </w:t>
      </w:r>
      <w:r w:rsidR="0021270A" w:rsidRPr="0021270A">
        <w:rPr>
          <w:highlight w:val="black"/>
        </w:rPr>
        <w:t>&amp;&amp;&amp;&amp;</w:t>
      </w:r>
      <w:r w:rsidRPr="004B2B19">
        <w:t xml:space="preserve"> kg. Based on the cost minimised price per mg proposed in the submission (calculated at DPMQ level, $0.15 for CBD and $</w:t>
      </w:r>
      <w:r w:rsidR="0021270A" w:rsidRPr="0021270A">
        <w:rPr>
          <w:highlight w:val="black"/>
        </w:rPr>
        <w:t>&amp;&amp;&amp;&amp;</w:t>
      </w:r>
      <w:r w:rsidRPr="004B2B19">
        <w:t xml:space="preserve"> for FEN), for a patient of average weight this would result in a drug cost over 2 years of approximately</w:t>
      </w:r>
      <w:r w:rsidR="00D424D3" w:rsidRPr="004B2B19">
        <w:t xml:space="preserve"> $56,291</w:t>
      </w:r>
      <w:r w:rsidRPr="004B2B19">
        <w:t xml:space="preserve"> for CBD (12 mg/kg/day</w:t>
      </w:r>
      <w:r w:rsidR="002B7F9B" w:rsidRPr="004B2B19">
        <w:t xml:space="preserve">, previously accepted </w:t>
      </w:r>
      <w:r w:rsidR="00A75C3A" w:rsidRPr="004B2B19">
        <w:t>average dose</w:t>
      </w:r>
      <w:r w:rsidR="002B7F9B" w:rsidRPr="004B2B19">
        <w:t xml:space="preserve">, </w:t>
      </w:r>
      <w:r w:rsidR="008109DA" w:rsidRPr="004B2B19">
        <w:t>(</w:t>
      </w:r>
      <w:r w:rsidR="002B7F9B" w:rsidRPr="004B2B19">
        <w:t xml:space="preserve">see paragraph </w:t>
      </w:r>
      <w:r w:rsidR="006D3C45" w:rsidRPr="004B2B19">
        <w:t>11</w:t>
      </w:r>
      <w:r w:rsidR="002B7F9B" w:rsidRPr="004B2B19">
        <w:t xml:space="preserve">.2, </w:t>
      </w:r>
      <w:r w:rsidR="00437E55" w:rsidRPr="004B2B19">
        <w:t xml:space="preserve">CBD PSD, </w:t>
      </w:r>
      <w:r w:rsidR="006D3C45" w:rsidRPr="004B2B19">
        <w:t>September 2022 PBAC meeting</w:t>
      </w:r>
      <w:r w:rsidRPr="004B2B19">
        <w:t>) and $</w:t>
      </w:r>
      <w:r w:rsidR="0021270A" w:rsidRPr="0021270A">
        <w:rPr>
          <w:highlight w:val="black"/>
        </w:rPr>
        <w:t>&amp;&amp;&amp;&amp;</w:t>
      </w:r>
      <w:r w:rsidRPr="004B2B19">
        <w:t xml:space="preserve"> for FEN (26 mg/day). This would result in FEN being more costly over 2 years for an average patient with LGS (excluding dose titration and monitoring costs). </w:t>
      </w:r>
      <w:r w:rsidR="002926D4" w:rsidRPr="004B2B19">
        <w:t>The PSCR argued using a single weight input like mean patient weight would not account for the heterogeneity of the target patient population nor for the reality that the daily dose of fenfluramine is capped, whilst it is uncapped for cannabidiol.</w:t>
      </w:r>
      <w:r w:rsidR="00095FD9">
        <w:t xml:space="preserve"> </w:t>
      </w:r>
      <w:r w:rsidR="00AE67DF" w:rsidRPr="004B2B19">
        <w:t>The ESC considered the use of a stratified weight distribution to determine dose inputs to the CMA may, in principle, better reflect the range of patients being treated with cannabidiol and/or fenfluramine</w:t>
      </w:r>
      <w:r w:rsidR="00745613" w:rsidRPr="004B2B19">
        <w:t>.</w:t>
      </w:r>
    </w:p>
    <w:p w14:paraId="74190D53" w14:textId="0E54CC70" w:rsidR="00277283" w:rsidRPr="004B2B19" w:rsidRDefault="00277283" w:rsidP="00ED6FB6">
      <w:pPr>
        <w:pStyle w:val="3-BodyText"/>
        <w:rPr>
          <w:color w:val="0066FF"/>
        </w:rPr>
      </w:pPr>
      <w:bookmarkStart w:id="56" w:name="_Ref214521726"/>
      <w:r w:rsidRPr="004B2B19">
        <w:t>The CMA provided in the submission was based on the dispensed price for maximum quantity</w:t>
      </w:r>
      <w:r w:rsidR="007F506D" w:rsidRPr="004B2B19">
        <w:t xml:space="preserve"> (DPMQ)</w:t>
      </w:r>
      <w:r w:rsidR="00802E39" w:rsidRPr="004B2B19">
        <w:t>.</w:t>
      </w:r>
      <w:r w:rsidR="00095FD9">
        <w:t xml:space="preserve"> </w:t>
      </w:r>
      <w:r w:rsidR="00E52A6E" w:rsidRPr="004B2B19">
        <w:t xml:space="preserve">Pricing agreements are made by Government under the </w:t>
      </w:r>
      <w:r w:rsidR="00E52A6E" w:rsidRPr="004B2B19">
        <w:rPr>
          <w:i/>
          <w:iCs/>
        </w:rPr>
        <w:t>National Health Act 1953</w:t>
      </w:r>
      <w:r w:rsidR="00E52A6E" w:rsidRPr="004B2B19">
        <w:t xml:space="preserve"> at the ex-manufacturer level and, as such, the prices would be agreed on this basis. It is not usually the case that pharmacy and wholesaler mark-ups are considered for the purpose of cost-minimisation as they do not relate to the cost of the medicine. </w:t>
      </w:r>
      <w:r w:rsidR="00381F7B" w:rsidRPr="004B2B19">
        <w:t xml:space="preserve">Using the published EMP for CBD in the CMA </w:t>
      </w:r>
      <w:r w:rsidR="00A0454A" w:rsidRPr="004B2B19">
        <w:t xml:space="preserve">provided in the submission </w:t>
      </w:r>
      <w:r w:rsidR="00381F7B" w:rsidRPr="004B2B19">
        <w:t>results in an EMP of $</w:t>
      </w:r>
      <w:r w:rsidR="0021270A" w:rsidRPr="0021270A">
        <w:rPr>
          <w:highlight w:val="black"/>
        </w:rPr>
        <w:t>&amp;&amp;&amp;&amp;</w:t>
      </w:r>
      <w:r w:rsidR="00095FD9">
        <w:t xml:space="preserve"> </w:t>
      </w:r>
      <w:r w:rsidR="00381F7B" w:rsidRPr="004B2B19">
        <w:t>for FEN.</w:t>
      </w:r>
      <w:bookmarkEnd w:id="56"/>
    </w:p>
    <w:p w14:paraId="79437CFB" w14:textId="5BA4479A" w:rsidR="001E2F24" w:rsidRPr="004B2B19" w:rsidRDefault="001E2F24" w:rsidP="00E0649C">
      <w:pPr>
        <w:pStyle w:val="3-BodyText"/>
        <w:rPr>
          <w:color w:val="0066FF"/>
        </w:rPr>
      </w:pPr>
      <w:r w:rsidRPr="004B2B19">
        <w:t xml:space="preserve">Should the PBAC accept the clinical claim of overall non-inferior effectiveness and safety, the cost-minimisation approach must establish that the cost per patient for treatment with </w:t>
      </w:r>
      <w:r w:rsidR="00E0649C" w:rsidRPr="004B2B19">
        <w:t>fenfluramine</w:t>
      </w:r>
      <w:r w:rsidRPr="004B2B19">
        <w:t xml:space="preserve"> would be no more than the cost per patient of </w:t>
      </w:r>
      <w:r w:rsidR="00E0649C" w:rsidRPr="004B2B19">
        <w:t>cannabidiol</w:t>
      </w:r>
      <w:r w:rsidRPr="004B2B19">
        <w:t>.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2A7943" w:rsidRPr="004B2B19">
        <w:t xml:space="preserve"> In this case, the PBAC should consider the following parameters: </w:t>
      </w:r>
      <w:r w:rsidR="00E0649C" w:rsidRPr="004B2B19">
        <w:t xml:space="preserve">uncertain dose in practice, frequency of adverse events. </w:t>
      </w:r>
    </w:p>
    <w:p w14:paraId="472842D7" w14:textId="2EE00550" w:rsidR="00C25D9C" w:rsidRPr="004B2B19" w:rsidRDefault="00C25D9C" w:rsidP="00BB732D">
      <w:pPr>
        <w:pStyle w:val="4-SubsectionHeading"/>
      </w:pPr>
      <w:bookmarkStart w:id="57" w:name="_Toc22897646"/>
      <w:bookmarkStart w:id="58" w:name="_Toc208980620"/>
      <w:r w:rsidRPr="004B2B19">
        <w:t>Drug cost/patien</w:t>
      </w:r>
      <w:r w:rsidR="00C35056" w:rsidRPr="004B2B19">
        <w:t>t</w:t>
      </w:r>
      <w:r w:rsidRPr="004B2B19">
        <w:t>/year</w:t>
      </w:r>
      <w:bookmarkEnd w:id="57"/>
      <w:bookmarkEnd w:id="58"/>
    </w:p>
    <w:p w14:paraId="3DBFE151" w14:textId="5778B348" w:rsidR="00494207" w:rsidRPr="004B2B19" w:rsidRDefault="00F92A6E" w:rsidP="002B05A1">
      <w:pPr>
        <w:pStyle w:val="3-BodyText"/>
      </w:pPr>
      <w:bookmarkStart w:id="59" w:name="_Hlk107307804"/>
      <w:r w:rsidRPr="004B2B19">
        <w:t>The cost per patient per year based on the published price of CBD to calculate the price of F</w:t>
      </w:r>
      <w:r w:rsidR="00945889" w:rsidRPr="004B2B19">
        <w:t>EN</w:t>
      </w:r>
      <w:r w:rsidRPr="004B2B19">
        <w:t xml:space="preserve"> and using the weighted average dose of F</w:t>
      </w:r>
      <w:r w:rsidR="00945889" w:rsidRPr="004B2B19">
        <w:t>EN</w:t>
      </w:r>
      <w:r w:rsidRPr="004B2B19">
        <w:t xml:space="preserve"> as calculated in the economic analysis (see </w:t>
      </w:r>
      <w:r w:rsidRPr="004B2B19">
        <w:fldChar w:fldCharType="begin"/>
      </w:r>
      <w:r w:rsidRPr="004B2B19">
        <w:instrText xml:space="preserve"> REF _Ref205382041 \h </w:instrText>
      </w:r>
      <w:r w:rsidR="00BA3DA2" w:rsidRPr="004B2B19">
        <w:instrText xml:space="preserve"> \* MERGEFORMAT </w:instrText>
      </w:r>
      <w:r w:rsidRPr="004B2B19">
        <w:fldChar w:fldCharType="separate"/>
      </w:r>
      <w:r w:rsidR="00A037BC" w:rsidRPr="004B2B19">
        <w:t xml:space="preserve">Table </w:t>
      </w:r>
      <w:r w:rsidR="00A037BC">
        <w:t>11</w:t>
      </w:r>
      <w:r w:rsidRPr="004B2B19">
        <w:fldChar w:fldCharType="end"/>
      </w:r>
      <w:r w:rsidRPr="004B2B19">
        <w:t>) was $</w:t>
      </w:r>
      <w:r w:rsidR="0021270A" w:rsidRPr="0021270A">
        <w:rPr>
          <w:highlight w:val="black"/>
        </w:rPr>
        <w:t>&amp;&amp;&amp;&amp;</w:t>
      </w:r>
      <w:r w:rsidRPr="004B2B19">
        <w:t xml:space="preserve">. </w:t>
      </w:r>
    </w:p>
    <w:p w14:paraId="268768EF" w14:textId="3626F292" w:rsidR="00B60939" w:rsidRPr="004B2B19" w:rsidRDefault="00B60939" w:rsidP="002B05A1">
      <w:pPr>
        <w:pStyle w:val="4-SubsectionHeading"/>
      </w:pPr>
      <w:bookmarkStart w:id="60" w:name="_Toc22897647"/>
      <w:bookmarkStart w:id="61" w:name="_Toc208980621"/>
      <w:bookmarkEnd w:id="59"/>
      <w:r w:rsidRPr="004B2B19">
        <w:t>Estimated PBS usage &amp; financial implications</w:t>
      </w:r>
      <w:bookmarkEnd w:id="60"/>
      <w:bookmarkEnd w:id="61"/>
    </w:p>
    <w:p w14:paraId="3571B0D9" w14:textId="1E501CA1" w:rsidR="009233D6" w:rsidRPr="004B2B19" w:rsidRDefault="009233D6" w:rsidP="009233D6">
      <w:pPr>
        <w:pStyle w:val="3-BodyText"/>
        <w:rPr>
          <w:color w:val="0066FF"/>
        </w:rPr>
      </w:pPr>
      <w:r w:rsidRPr="004B2B19">
        <w:t>This submission w</w:t>
      </w:r>
      <w:r w:rsidR="00CE6903" w:rsidRPr="004B2B19">
        <w:t>as not</w:t>
      </w:r>
      <w:r w:rsidRPr="004B2B19">
        <w:t xml:space="preserve"> considered by DUSC</w:t>
      </w:r>
      <w:r w:rsidRPr="004B2B19">
        <w:rPr>
          <w:color w:val="0070C0"/>
        </w:rPr>
        <w:t xml:space="preserve">. </w:t>
      </w:r>
    </w:p>
    <w:p w14:paraId="6BC32E6A" w14:textId="01C900A7" w:rsidR="009233D6" w:rsidRPr="004B2B19" w:rsidRDefault="009233D6" w:rsidP="005C281B">
      <w:pPr>
        <w:pStyle w:val="3-BodyText"/>
        <w:rPr>
          <w:color w:val="0066FF"/>
        </w:rPr>
      </w:pPr>
      <w:r w:rsidRPr="004B2B19">
        <w:t xml:space="preserve">The submission presented a mixed market share and epidemiological model to estimate utilisation and cost of fenfluramine. The key inputs used in the model are shown in </w:t>
      </w:r>
      <w:r w:rsidR="00F92A6E" w:rsidRPr="004B2B19">
        <w:fldChar w:fldCharType="begin"/>
      </w:r>
      <w:r w:rsidR="00F92A6E" w:rsidRPr="004B2B19">
        <w:instrText xml:space="preserve"> REF _Ref205455465 \h </w:instrText>
      </w:r>
      <w:r w:rsidR="004B2B19" w:rsidRPr="004B2B19">
        <w:instrText xml:space="preserve"> \* MERGEFORMAT </w:instrText>
      </w:r>
      <w:r w:rsidR="00F92A6E" w:rsidRPr="004B2B19">
        <w:fldChar w:fldCharType="separate"/>
      </w:r>
      <w:r w:rsidR="00A037BC" w:rsidRPr="004B2B19">
        <w:t xml:space="preserve">Table </w:t>
      </w:r>
      <w:r w:rsidR="00A037BC">
        <w:rPr>
          <w:noProof/>
        </w:rPr>
        <w:t>12</w:t>
      </w:r>
      <w:r w:rsidR="00F92A6E" w:rsidRPr="004B2B19">
        <w:fldChar w:fldCharType="end"/>
      </w:r>
      <w:r w:rsidR="00F92A6E" w:rsidRPr="004B2B19">
        <w:t>.</w:t>
      </w:r>
    </w:p>
    <w:p w14:paraId="39D87A24" w14:textId="335EEEBA" w:rsidR="009233D6" w:rsidRPr="004B2B19" w:rsidRDefault="00F92A6E" w:rsidP="0090171B">
      <w:pPr>
        <w:pStyle w:val="Caption"/>
        <w:rPr>
          <w:rStyle w:val="CommentReference"/>
          <w:b/>
          <w:szCs w:val="24"/>
        </w:rPr>
      </w:pPr>
      <w:bookmarkStart w:id="62" w:name="_Ref205455465"/>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12</w:t>
      </w:r>
      <w:r w:rsidR="00057B46" w:rsidRPr="004B2B19">
        <w:rPr>
          <w:noProof/>
        </w:rPr>
        <w:fldChar w:fldCharType="end"/>
      </w:r>
      <w:bookmarkEnd w:id="62"/>
      <w:r w:rsidRPr="004B2B19">
        <w:t xml:space="preserve">: </w:t>
      </w:r>
      <w:r w:rsidR="009233D6" w:rsidRPr="004B2B19">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inputs for financial estimates"/>
      </w:tblPr>
      <w:tblGrid>
        <w:gridCol w:w="1078"/>
        <w:gridCol w:w="5117"/>
        <w:gridCol w:w="2822"/>
      </w:tblGrid>
      <w:tr w:rsidR="009233D6" w:rsidRPr="004B2B19" w14:paraId="744F46EF" w14:textId="77777777" w:rsidTr="00A958F1">
        <w:trPr>
          <w:tblHeader/>
        </w:trPr>
        <w:tc>
          <w:tcPr>
            <w:tcW w:w="946" w:type="pct"/>
            <w:vAlign w:val="center"/>
          </w:tcPr>
          <w:p w14:paraId="40D284A1" w14:textId="77777777" w:rsidR="009233D6" w:rsidRPr="004B2B19" w:rsidRDefault="009233D6" w:rsidP="003B4837">
            <w:pPr>
              <w:pStyle w:val="In-tableHeading"/>
            </w:pPr>
            <w:r w:rsidRPr="004B2B19">
              <w:t>Parameter</w:t>
            </w:r>
          </w:p>
        </w:tc>
        <w:tc>
          <w:tcPr>
            <w:tcW w:w="2038" w:type="pct"/>
            <w:vAlign w:val="center"/>
          </w:tcPr>
          <w:p w14:paraId="6736EE40" w14:textId="77777777" w:rsidR="009233D6" w:rsidRPr="004B2B19" w:rsidRDefault="009233D6" w:rsidP="003B4837">
            <w:pPr>
              <w:pStyle w:val="In-tableHeading"/>
            </w:pPr>
            <w:r w:rsidRPr="004B2B19">
              <w:t>Value applied and source</w:t>
            </w:r>
          </w:p>
        </w:tc>
        <w:tc>
          <w:tcPr>
            <w:tcW w:w="2016" w:type="pct"/>
            <w:vAlign w:val="center"/>
          </w:tcPr>
          <w:p w14:paraId="415EFE51" w14:textId="77777777" w:rsidR="009233D6" w:rsidRPr="004B2B19" w:rsidRDefault="009233D6" w:rsidP="003B4837">
            <w:pPr>
              <w:pStyle w:val="In-tableHeading"/>
            </w:pPr>
            <w:r w:rsidRPr="004B2B19">
              <w:t>Comment</w:t>
            </w:r>
          </w:p>
        </w:tc>
      </w:tr>
      <w:tr w:rsidR="009233D6" w:rsidRPr="004B2B19" w14:paraId="08A08E07" w14:textId="77777777" w:rsidTr="00A958F1">
        <w:tc>
          <w:tcPr>
            <w:tcW w:w="946" w:type="pct"/>
            <w:vAlign w:val="center"/>
          </w:tcPr>
          <w:p w14:paraId="2061330A" w14:textId="77777777" w:rsidR="009233D6" w:rsidRPr="004B2B19" w:rsidRDefault="009233D6" w:rsidP="0090171B">
            <w:pPr>
              <w:pStyle w:val="Tabletext"/>
              <w:keepNext/>
              <w:keepLines/>
            </w:pPr>
            <w:r w:rsidRPr="004B2B19">
              <w:t>Existing market for cannabidiol for LGS</w:t>
            </w:r>
          </w:p>
        </w:tc>
        <w:tc>
          <w:tcPr>
            <w:tcW w:w="2038" w:type="pct"/>
            <w:vAlign w:val="center"/>
          </w:tcPr>
          <w:p w14:paraId="4BEFD5FB" w14:textId="77777777" w:rsidR="009233D6" w:rsidRPr="004B2B19" w:rsidRDefault="009233D6" w:rsidP="0090171B">
            <w:pPr>
              <w:pStyle w:val="Tabletext"/>
              <w:keepNext/>
              <w:keepLines/>
            </w:pPr>
            <w:r w:rsidRPr="004B2B19">
              <w:t>PBS item reports 2024, Item 13277T, 100*100mg/mL</w:t>
            </w:r>
          </w:p>
          <w:p w14:paraId="162D2153" w14:textId="77777777" w:rsidR="009233D6" w:rsidRPr="004B2B19" w:rsidRDefault="009233D6" w:rsidP="0090171B">
            <w:pPr>
              <w:pStyle w:val="Tabletext"/>
              <w:keepNext/>
              <w:keepLines/>
            </w:pPr>
          </w:p>
        </w:tc>
        <w:tc>
          <w:tcPr>
            <w:tcW w:w="2016" w:type="pct"/>
            <w:vAlign w:val="center"/>
          </w:tcPr>
          <w:p w14:paraId="5A841918" w14:textId="2A7701FA" w:rsidR="009233D6" w:rsidRPr="004B2B19" w:rsidRDefault="009233D6" w:rsidP="0090171B">
            <w:pPr>
              <w:pStyle w:val="Tabletext"/>
              <w:keepNext/>
              <w:keepLines/>
            </w:pPr>
            <w:r w:rsidRPr="004B2B19">
              <w:t xml:space="preserve">Limited to cannabidiol – market likely to be larger as other treatments are </w:t>
            </w:r>
            <w:r w:rsidR="002F02EE" w:rsidRPr="004B2B19">
              <w:t xml:space="preserve">also </w:t>
            </w:r>
            <w:r w:rsidRPr="004B2B19">
              <w:t>PBS listed for LGS.</w:t>
            </w:r>
            <w:r w:rsidR="002E0C79" w:rsidRPr="004B2B19">
              <w:t xml:space="preserve"> </w:t>
            </w:r>
          </w:p>
          <w:p w14:paraId="69B7C86A" w14:textId="77777777" w:rsidR="002E0C79" w:rsidRPr="004B2B19" w:rsidRDefault="002E0C79" w:rsidP="0090171B">
            <w:pPr>
              <w:pStyle w:val="Tabletext"/>
              <w:keepNext/>
              <w:keepLines/>
              <w:rPr>
                <w:sz w:val="12"/>
                <w:szCs w:val="12"/>
              </w:rPr>
            </w:pPr>
          </w:p>
          <w:p w14:paraId="5C642306" w14:textId="3AADA0BF" w:rsidR="002E0C79" w:rsidRPr="004B2B19" w:rsidRDefault="002E0C79" w:rsidP="0090171B">
            <w:pPr>
              <w:pStyle w:val="Tabletext"/>
              <w:keepNext/>
              <w:keepLines/>
            </w:pPr>
            <w:r w:rsidRPr="004B2B19">
              <w:t>The population was based on 100% growth from 2024 scripts</w:t>
            </w:r>
            <w:r w:rsidR="00E17DAA" w:rsidRPr="004B2B19">
              <w:t>, with further growth applied in the estimates model. The rationale for this assumption was unclear.</w:t>
            </w:r>
          </w:p>
        </w:tc>
      </w:tr>
      <w:tr w:rsidR="009233D6" w:rsidRPr="004B2B19" w14:paraId="68E7DCA2" w14:textId="77777777" w:rsidTr="00A958F1">
        <w:tc>
          <w:tcPr>
            <w:tcW w:w="946" w:type="pct"/>
            <w:vAlign w:val="center"/>
          </w:tcPr>
          <w:p w14:paraId="127544CA" w14:textId="77777777" w:rsidR="009233D6" w:rsidRPr="004B2B19" w:rsidRDefault="009233D6" w:rsidP="0090171B">
            <w:pPr>
              <w:pStyle w:val="Tabletext"/>
              <w:keepNext/>
              <w:keepLines/>
            </w:pPr>
            <w:r w:rsidRPr="004B2B19">
              <w:t>Uptake rate</w:t>
            </w:r>
          </w:p>
        </w:tc>
        <w:tc>
          <w:tcPr>
            <w:tcW w:w="2038" w:type="pct"/>
            <w:vAlign w:val="center"/>
          </w:tcPr>
          <w:tbl>
            <w:tblPr>
              <w:tblStyle w:val="TableGrid"/>
              <w:tblW w:w="0" w:type="auto"/>
              <w:tblLook w:val="04A0" w:firstRow="1" w:lastRow="0" w:firstColumn="1" w:lastColumn="0" w:noHBand="0" w:noVBand="1"/>
              <w:tblCaption w:val="Uptake rate"/>
            </w:tblPr>
            <w:tblGrid>
              <w:gridCol w:w="800"/>
              <w:gridCol w:w="1276"/>
              <w:gridCol w:w="1701"/>
            </w:tblGrid>
            <w:tr w:rsidR="009233D6" w:rsidRPr="004B2B19" w14:paraId="4FAE2727" w14:textId="77777777" w:rsidTr="002D5DF4">
              <w:tc>
                <w:tcPr>
                  <w:tcW w:w="800" w:type="dxa"/>
                </w:tcPr>
                <w:p w14:paraId="27EEA4F3" w14:textId="77777777" w:rsidR="009233D6" w:rsidRPr="004B2B19" w:rsidRDefault="009233D6" w:rsidP="0090171B">
                  <w:pPr>
                    <w:pStyle w:val="Tabletext"/>
                    <w:keepNext/>
                    <w:keepLines/>
                  </w:pPr>
                  <w:r w:rsidRPr="004B2B19">
                    <w:t>year</w:t>
                  </w:r>
                </w:p>
              </w:tc>
              <w:tc>
                <w:tcPr>
                  <w:tcW w:w="1276" w:type="dxa"/>
                </w:tcPr>
                <w:p w14:paraId="093AC311" w14:textId="77777777" w:rsidR="009233D6" w:rsidRPr="004B2B19" w:rsidRDefault="009233D6" w:rsidP="0090171B">
                  <w:pPr>
                    <w:pStyle w:val="Tabletext"/>
                    <w:keepNext/>
                    <w:keepLines/>
                  </w:pPr>
                  <w:r w:rsidRPr="004B2B19">
                    <w:t>Substitution</w:t>
                  </w:r>
                </w:p>
              </w:tc>
              <w:tc>
                <w:tcPr>
                  <w:tcW w:w="1701" w:type="dxa"/>
                </w:tcPr>
                <w:p w14:paraId="2E5A0CEA" w14:textId="77777777" w:rsidR="009233D6" w:rsidRPr="004B2B19" w:rsidRDefault="009233D6" w:rsidP="0090171B">
                  <w:pPr>
                    <w:pStyle w:val="Tabletext"/>
                    <w:keepNext/>
                    <w:keepLines/>
                  </w:pPr>
                  <w:r w:rsidRPr="004B2B19">
                    <w:t>Additional population</w:t>
                  </w:r>
                </w:p>
              </w:tc>
            </w:tr>
            <w:tr w:rsidR="009233D6" w:rsidRPr="004B2B19" w14:paraId="77F997D8" w14:textId="77777777" w:rsidTr="002D5DF4">
              <w:tc>
                <w:tcPr>
                  <w:tcW w:w="800" w:type="dxa"/>
                </w:tcPr>
                <w:p w14:paraId="6720DB35" w14:textId="77777777" w:rsidR="009233D6" w:rsidRPr="004B2B19" w:rsidRDefault="009233D6" w:rsidP="0090171B">
                  <w:pPr>
                    <w:pStyle w:val="Tabletext"/>
                    <w:keepNext/>
                    <w:keepLines/>
                  </w:pPr>
                  <w:r w:rsidRPr="004B2B19">
                    <w:t>2025</w:t>
                  </w:r>
                </w:p>
              </w:tc>
              <w:tc>
                <w:tcPr>
                  <w:tcW w:w="1276" w:type="dxa"/>
                </w:tcPr>
                <w:p w14:paraId="72866A80" w14:textId="593F621D"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29B0A012" w14:textId="7B2921EE" w:rsidR="009233D6" w:rsidRPr="004B2B19" w:rsidRDefault="0021270A" w:rsidP="0090171B">
                  <w:pPr>
                    <w:pStyle w:val="Tabletext"/>
                    <w:keepNext/>
                    <w:keepLines/>
                  </w:pPr>
                  <w:r w:rsidRPr="0021270A">
                    <w:rPr>
                      <w:highlight w:val="black"/>
                    </w:rPr>
                    <w:t>&amp;&amp;&amp;&amp;</w:t>
                  </w:r>
                  <w:r w:rsidR="009D4352" w:rsidRPr="004B2B19">
                    <w:t>%</w:t>
                  </w:r>
                </w:p>
              </w:tc>
            </w:tr>
            <w:tr w:rsidR="009233D6" w:rsidRPr="004B2B19" w14:paraId="43FE8DC9" w14:textId="77777777" w:rsidTr="002D5DF4">
              <w:tc>
                <w:tcPr>
                  <w:tcW w:w="800" w:type="dxa"/>
                </w:tcPr>
                <w:p w14:paraId="3D433A59" w14:textId="77777777" w:rsidR="009233D6" w:rsidRPr="004B2B19" w:rsidRDefault="009233D6" w:rsidP="0090171B">
                  <w:pPr>
                    <w:pStyle w:val="Tabletext"/>
                    <w:keepNext/>
                    <w:keepLines/>
                  </w:pPr>
                  <w:r w:rsidRPr="004B2B19">
                    <w:t>2026</w:t>
                  </w:r>
                </w:p>
              </w:tc>
              <w:tc>
                <w:tcPr>
                  <w:tcW w:w="1276" w:type="dxa"/>
                </w:tcPr>
                <w:p w14:paraId="57222BFE" w14:textId="63DD8055"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54FE89F0" w14:textId="320FCC46" w:rsidR="009233D6" w:rsidRPr="004B2B19" w:rsidRDefault="0021270A" w:rsidP="0090171B">
                  <w:pPr>
                    <w:pStyle w:val="Tabletext"/>
                    <w:keepNext/>
                    <w:keepLines/>
                  </w:pPr>
                  <w:r w:rsidRPr="0021270A">
                    <w:rPr>
                      <w:highlight w:val="black"/>
                    </w:rPr>
                    <w:t>&amp;&amp;&amp;&amp;</w:t>
                  </w:r>
                  <w:r w:rsidR="009D4352" w:rsidRPr="004B2B19">
                    <w:t>%</w:t>
                  </w:r>
                </w:p>
              </w:tc>
            </w:tr>
            <w:tr w:rsidR="009233D6" w:rsidRPr="004B2B19" w14:paraId="24CD10D3" w14:textId="77777777" w:rsidTr="002D5DF4">
              <w:tc>
                <w:tcPr>
                  <w:tcW w:w="800" w:type="dxa"/>
                </w:tcPr>
                <w:p w14:paraId="17922A72" w14:textId="77777777" w:rsidR="009233D6" w:rsidRPr="004B2B19" w:rsidRDefault="009233D6" w:rsidP="0090171B">
                  <w:pPr>
                    <w:pStyle w:val="Tabletext"/>
                    <w:keepNext/>
                    <w:keepLines/>
                  </w:pPr>
                  <w:r w:rsidRPr="004B2B19">
                    <w:t>2027</w:t>
                  </w:r>
                </w:p>
              </w:tc>
              <w:tc>
                <w:tcPr>
                  <w:tcW w:w="1276" w:type="dxa"/>
                </w:tcPr>
                <w:p w14:paraId="5D730365" w14:textId="12B05013"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20562B6F" w14:textId="45221142" w:rsidR="009233D6" w:rsidRPr="004B2B19" w:rsidRDefault="0021270A" w:rsidP="0090171B">
                  <w:pPr>
                    <w:pStyle w:val="Tabletext"/>
                    <w:keepNext/>
                    <w:keepLines/>
                  </w:pPr>
                  <w:r w:rsidRPr="0021270A">
                    <w:rPr>
                      <w:highlight w:val="black"/>
                    </w:rPr>
                    <w:t>&amp;&amp;&amp;&amp;</w:t>
                  </w:r>
                  <w:r w:rsidR="009D4352" w:rsidRPr="004B2B19">
                    <w:t>%</w:t>
                  </w:r>
                </w:p>
              </w:tc>
            </w:tr>
            <w:tr w:rsidR="009233D6" w:rsidRPr="004B2B19" w14:paraId="09414912" w14:textId="77777777" w:rsidTr="002D5DF4">
              <w:tc>
                <w:tcPr>
                  <w:tcW w:w="800" w:type="dxa"/>
                </w:tcPr>
                <w:p w14:paraId="6A0B3DC6" w14:textId="77777777" w:rsidR="009233D6" w:rsidRPr="004B2B19" w:rsidRDefault="009233D6" w:rsidP="0090171B">
                  <w:pPr>
                    <w:pStyle w:val="Tabletext"/>
                    <w:keepNext/>
                    <w:keepLines/>
                  </w:pPr>
                  <w:r w:rsidRPr="004B2B19">
                    <w:t>2028</w:t>
                  </w:r>
                </w:p>
              </w:tc>
              <w:tc>
                <w:tcPr>
                  <w:tcW w:w="1276" w:type="dxa"/>
                </w:tcPr>
                <w:p w14:paraId="4C4DCDF0" w14:textId="6D620145"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5FE25770" w14:textId="65090E5D" w:rsidR="009233D6" w:rsidRPr="004B2B19" w:rsidRDefault="0021270A" w:rsidP="0090171B">
                  <w:pPr>
                    <w:pStyle w:val="Tabletext"/>
                    <w:keepNext/>
                    <w:keepLines/>
                  </w:pPr>
                  <w:r w:rsidRPr="0021270A">
                    <w:rPr>
                      <w:highlight w:val="black"/>
                    </w:rPr>
                    <w:t>&amp;&amp;&amp;&amp;</w:t>
                  </w:r>
                  <w:r w:rsidR="009D4352" w:rsidRPr="004B2B19">
                    <w:t>%</w:t>
                  </w:r>
                </w:p>
              </w:tc>
            </w:tr>
            <w:tr w:rsidR="009233D6" w:rsidRPr="004B2B19" w14:paraId="077A69BE" w14:textId="77777777" w:rsidTr="002D5DF4">
              <w:tc>
                <w:tcPr>
                  <w:tcW w:w="800" w:type="dxa"/>
                </w:tcPr>
                <w:p w14:paraId="289CE1CD" w14:textId="77777777" w:rsidR="009233D6" w:rsidRPr="004B2B19" w:rsidRDefault="009233D6" w:rsidP="0090171B">
                  <w:pPr>
                    <w:pStyle w:val="Tabletext"/>
                    <w:keepNext/>
                    <w:keepLines/>
                  </w:pPr>
                  <w:r w:rsidRPr="004B2B19">
                    <w:t>2029</w:t>
                  </w:r>
                </w:p>
              </w:tc>
              <w:tc>
                <w:tcPr>
                  <w:tcW w:w="1276" w:type="dxa"/>
                </w:tcPr>
                <w:p w14:paraId="258F3A09" w14:textId="65CB5067"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02B22678" w14:textId="622C3960" w:rsidR="009233D6" w:rsidRPr="004B2B19" w:rsidRDefault="0021270A" w:rsidP="0090171B">
                  <w:pPr>
                    <w:pStyle w:val="Tabletext"/>
                    <w:keepNext/>
                    <w:keepLines/>
                  </w:pPr>
                  <w:r w:rsidRPr="0021270A">
                    <w:rPr>
                      <w:highlight w:val="black"/>
                    </w:rPr>
                    <w:t>&amp;&amp;&amp;&amp;</w:t>
                  </w:r>
                  <w:r w:rsidR="009D4352" w:rsidRPr="004B2B19">
                    <w:t>%</w:t>
                  </w:r>
                </w:p>
              </w:tc>
            </w:tr>
            <w:tr w:rsidR="009233D6" w:rsidRPr="004B2B19" w14:paraId="6174B670" w14:textId="77777777" w:rsidTr="002D5DF4">
              <w:tc>
                <w:tcPr>
                  <w:tcW w:w="800" w:type="dxa"/>
                </w:tcPr>
                <w:p w14:paraId="7E374E93" w14:textId="77777777" w:rsidR="009233D6" w:rsidRPr="004B2B19" w:rsidRDefault="009233D6" w:rsidP="0090171B">
                  <w:pPr>
                    <w:pStyle w:val="Tabletext"/>
                    <w:keepNext/>
                    <w:keepLines/>
                  </w:pPr>
                  <w:r w:rsidRPr="004B2B19">
                    <w:t>2030</w:t>
                  </w:r>
                </w:p>
              </w:tc>
              <w:tc>
                <w:tcPr>
                  <w:tcW w:w="1276" w:type="dxa"/>
                </w:tcPr>
                <w:p w14:paraId="2ACE6936" w14:textId="411BE725"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4BA704EC" w14:textId="3B40A276" w:rsidR="009233D6" w:rsidRPr="004B2B19" w:rsidRDefault="0021270A" w:rsidP="0090171B">
                  <w:pPr>
                    <w:pStyle w:val="Tabletext"/>
                    <w:keepNext/>
                    <w:keepLines/>
                  </w:pPr>
                  <w:r w:rsidRPr="0021270A">
                    <w:rPr>
                      <w:highlight w:val="black"/>
                    </w:rPr>
                    <w:t>&amp;&amp;&amp;&amp;</w:t>
                  </w:r>
                  <w:r w:rsidR="009D4352" w:rsidRPr="004B2B19">
                    <w:t>%</w:t>
                  </w:r>
                </w:p>
              </w:tc>
            </w:tr>
            <w:tr w:rsidR="009233D6" w:rsidRPr="004B2B19" w14:paraId="66968336" w14:textId="77777777" w:rsidTr="002D5DF4">
              <w:tc>
                <w:tcPr>
                  <w:tcW w:w="800" w:type="dxa"/>
                </w:tcPr>
                <w:p w14:paraId="5587C552" w14:textId="77777777" w:rsidR="009233D6" w:rsidRPr="004B2B19" w:rsidRDefault="009233D6" w:rsidP="0090171B">
                  <w:pPr>
                    <w:pStyle w:val="Tabletext"/>
                    <w:keepNext/>
                    <w:keepLines/>
                  </w:pPr>
                  <w:r w:rsidRPr="004B2B19">
                    <w:t>2031</w:t>
                  </w:r>
                </w:p>
              </w:tc>
              <w:tc>
                <w:tcPr>
                  <w:tcW w:w="1276" w:type="dxa"/>
                </w:tcPr>
                <w:p w14:paraId="54A9C470" w14:textId="178F3986" w:rsidR="009233D6" w:rsidRPr="004B2B19" w:rsidRDefault="0021270A" w:rsidP="0090171B">
                  <w:pPr>
                    <w:pStyle w:val="Tabletext"/>
                    <w:keepNext/>
                    <w:keepLines/>
                  </w:pPr>
                  <w:r w:rsidRPr="0021270A">
                    <w:rPr>
                      <w:highlight w:val="black"/>
                    </w:rPr>
                    <w:t>&amp;&amp;&amp;&amp;</w:t>
                  </w:r>
                  <w:r w:rsidR="009D4352" w:rsidRPr="004B2B19">
                    <w:t>%</w:t>
                  </w:r>
                </w:p>
              </w:tc>
              <w:tc>
                <w:tcPr>
                  <w:tcW w:w="1701" w:type="dxa"/>
                </w:tcPr>
                <w:p w14:paraId="0FE1DAE0" w14:textId="1B366B09" w:rsidR="009233D6" w:rsidRPr="004B2B19" w:rsidRDefault="0021270A" w:rsidP="0090171B">
                  <w:pPr>
                    <w:pStyle w:val="Tabletext"/>
                    <w:keepNext/>
                    <w:keepLines/>
                  </w:pPr>
                  <w:r w:rsidRPr="0021270A">
                    <w:rPr>
                      <w:highlight w:val="black"/>
                    </w:rPr>
                    <w:t>&amp;&amp;&amp;&amp;</w:t>
                  </w:r>
                  <w:r w:rsidR="009D4352" w:rsidRPr="004B2B19">
                    <w:t>%</w:t>
                  </w:r>
                </w:p>
              </w:tc>
            </w:tr>
          </w:tbl>
          <w:p w14:paraId="79BF0FFE" w14:textId="77777777" w:rsidR="009233D6" w:rsidRPr="004B2B19" w:rsidRDefault="009233D6" w:rsidP="0090171B">
            <w:pPr>
              <w:pStyle w:val="Tabletext"/>
              <w:keepNext/>
              <w:keepLines/>
            </w:pPr>
          </w:p>
        </w:tc>
        <w:tc>
          <w:tcPr>
            <w:tcW w:w="2016" w:type="pct"/>
            <w:vAlign w:val="center"/>
          </w:tcPr>
          <w:p w14:paraId="31D58F51" w14:textId="65BD2547" w:rsidR="009233D6" w:rsidRPr="004B2B19" w:rsidRDefault="009233D6" w:rsidP="0090171B">
            <w:pPr>
              <w:pStyle w:val="Tabletext"/>
              <w:keepNext/>
              <w:keepLines/>
            </w:pPr>
            <w:r w:rsidRPr="004B2B19">
              <w:t>Basis for estimate of combination use, ie additional population, unclear.</w:t>
            </w:r>
            <w:r w:rsidR="0089251D" w:rsidRPr="004B2B19">
              <w:t xml:space="preserve"> The PBAC considered the estimated</w:t>
            </w:r>
            <w:r w:rsidR="00DD10DD" w:rsidRPr="004B2B19">
              <w:t xml:space="preserve"> use of FEN </w:t>
            </w:r>
            <w:r w:rsidR="00FB7C29" w:rsidRPr="004B2B19">
              <w:t xml:space="preserve">and </w:t>
            </w:r>
            <w:r w:rsidR="00DD10DD" w:rsidRPr="004B2B19">
              <w:t xml:space="preserve">CBD </w:t>
            </w:r>
            <w:r w:rsidR="00FB7C29" w:rsidRPr="004B2B19">
              <w:t xml:space="preserve">in combination </w:t>
            </w:r>
            <w:r w:rsidR="00DD10DD" w:rsidRPr="004B2B19">
              <w:t>was likely overestimated.</w:t>
            </w:r>
            <w:r w:rsidR="0089251D" w:rsidRPr="004B2B19">
              <w:t xml:space="preserve"> </w:t>
            </w:r>
          </w:p>
        </w:tc>
      </w:tr>
      <w:tr w:rsidR="009233D6" w:rsidRPr="004B2B19" w14:paraId="365D5037" w14:textId="77777777" w:rsidTr="00A958F1">
        <w:tc>
          <w:tcPr>
            <w:tcW w:w="946" w:type="pct"/>
            <w:vAlign w:val="center"/>
          </w:tcPr>
          <w:p w14:paraId="22081443" w14:textId="77777777" w:rsidR="009233D6" w:rsidRPr="004B2B19" w:rsidRDefault="009233D6" w:rsidP="0090171B">
            <w:pPr>
              <w:pStyle w:val="Tabletext"/>
              <w:keepNext/>
              <w:keepLines/>
            </w:pPr>
            <w:r w:rsidRPr="004B2B19">
              <w:t>Growth rate</w:t>
            </w:r>
          </w:p>
        </w:tc>
        <w:tc>
          <w:tcPr>
            <w:tcW w:w="2038" w:type="pct"/>
            <w:vAlign w:val="center"/>
          </w:tcPr>
          <w:p w14:paraId="2AFE06EA" w14:textId="77777777" w:rsidR="009233D6" w:rsidRPr="004B2B19" w:rsidRDefault="009233D6" w:rsidP="0090171B">
            <w:pPr>
              <w:pStyle w:val="Tabletext"/>
              <w:keepNext/>
              <w:keepLines/>
            </w:pPr>
            <w:r w:rsidRPr="004B2B19">
              <w:t>Sponsor assumption, also notes estimates in cannabidiol PSD.</w:t>
            </w:r>
          </w:p>
          <w:tbl>
            <w:tblPr>
              <w:tblStyle w:val="TableGrid"/>
              <w:tblW w:w="0" w:type="auto"/>
              <w:tblLook w:val="04A0" w:firstRow="1" w:lastRow="0" w:firstColumn="1" w:lastColumn="0" w:noHBand="0" w:noVBand="1"/>
              <w:tblCaption w:val="Growth rate"/>
            </w:tblPr>
            <w:tblGrid>
              <w:gridCol w:w="942"/>
              <w:gridCol w:w="992"/>
            </w:tblGrid>
            <w:tr w:rsidR="009233D6" w:rsidRPr="004B2B19" w14:paraId="4A16DA8C" w14:textId="77777777" w:rsidTr="002D5DF4">
              <w:tc>
                <w:tcPr>
                  <w:tcW w:w="942" w:type="dxa"/>
                </w:tcPr>
                <w:p w14:paraId="6E5BF7CD" w14:textId="77777777" w:rsidR="009233D6" w:rsidRPr="004B2B19" w:rsidRDefault="009233D6" w:rsidP="0090171B">
                  <w:pPr>
                    <w:pStyle w:val="Tabletext"/>
                    <w:keepNext/>
                    <w:keepLines/>
                  </w:pPr>
                  <w:r w:rsidRPr="004B2B19">
                    <w:t>year</w:t>
                  </w:r>
                </w:p>
              </w:tc>
              <w:tc>
                <w:tcPr>
                  <w:tcW w:w="992" w:type="dxa"/>
                </w:tcPr>
                <w:p w14:paraId="593E6789" w14:textId="77777777" w:rsidR="009233D6" w:rsidRPr="004B2B19" w:rsidRDefault="009233D6" w:rsidP="0090171B">
                  <w:pPr>
                    <w:pStyle w:val="Tabletext"/>
                    <w:keepNext/>
                    <w:keepLines/>
                  </w:pPr>
                  <w:r w:rsidRPr="004B2B19">
                    <w:t>Growth</w:t>
                  </w:r>
                </w:p>
              </w:tc>
            </w:tr>
            <w:tr w:rsidR="009233D6" w:rsidRPr="004B2B19" w14:paraId="727F605C" w14:textId="77777777" w:rsidTr="002D5DF4">
              <w:tc>
                <w:tcPr>
                  <w:tcW w:w="942" w:type="dxa"/>
                </w:tcPr>
                <w:p w14:paraId="69CAF649" w14:textId="77777777" w:rsidR="009233D6" w:rsidRPr="004B2B19" w:rsidRDefault="009233D6" w:rsidP="0090171B">
                  <w:pPr>
                    <w:pStyle w:val="Tabletext"/>
                    <w:keepNext/>
                    <w:keepLines/>
                  </w:pPr>
                  <w:r w:rsidRPr="004B2B19">
                    <w:t>2025</w:t>
                  </w:r>
                </w:p>
              </w:tc>
              <w:tc>
                <w:tcPr>
                  <w:tcW w:w="992" w:type="dxa"/>
                </w:tcPr>
                <w:p w14:paraId="2A574F06" w14:textId="6873A5A3" w:rsidR="009233D6" w:rsidRPr="004B2B19" w:rsidRDefault="0021270A" w:rsidP="0090171B">
                  <w:pPr>
                    <w:pStyle w:val="Tabletext"/>
                    <w:keepNext/>
                    <w:keepLines/>
                  </w:pPr>
                  <w:r w:rsidRPr="0021270A">
                    <w:rPr>
                      <w:highlight w:val="black"/>
                    </w:rPr>
                    <w:t>&amp;&amp;&amp;&amp;</w:t>
                  </w:r>
                  <w:r w:rsidR="009233D6" w:rsidRPr="004B2B19">
                    <w:t>%</w:t>
                  </w:r>
                </w:p>
              </w:tc>
            </w:tr>
            <w:tr w:rsidR="009233D6" w:rsidRPr="004B2B19" w14:paraId="786E4014" w14:textId="77777777" w:rsidTr="002D5DF4">
              <w:tc>
                <w:tcPr>
                  <w:tcW w:w="942" w:type="dxa"/>
                </w:tcPr>
                <w:p w14:paraId="1BA098B1" w14:textId="77777777" w:rsidR="009233D6" w:rsidRPr="004B2B19" w:rsidRDefault="009233D6" w:rsidP="0090171B">
                  <w:pPr>
                    <w:pStyle w:val="Tabletext"/>
                    <w:keepNext/>
                    <w:keepLines/>
                  </w:pPr>
                  <w:r w:rsidRPr="004B2B19">
                    <w:t>2026</w:t>
                  </w:r>
                </w:p>
              </w:tc>
              <w:tc>
                <w:tcPr>
                  <w:tcW w:w="992" w:type="dxa"/>
                </w:tcPr>
                <w:p w14:paraId="7B0E8E19" w14:textId="0316D0D8" w:rsidR="009233D6" w:rsidRPr="004B2B19" w:rsidRDefault="0021270A" w:rsidP="0090171B">
                  <w:pPr>
                    <w:pStyle w:val="Tabletext"/>
                    <w:keepNext/>
                    <w:keepLines/>
                  </w:pPr>
                  <w:r w:rsidRPr="0021270A">
                    <w:rPr>
                      <w:highlight w:val="black"/>
                    </w:rPr>
                    <w:t>&amp;&amp;&amp;&amp;</w:t>
                  </w:r>
                  <w:r w:rsidR="009233D6" w:rsidRPr="004B2B19">
                    <w:t>%</w:t>
                  </w:r>
                </w:p>
              </w:tc>
            </w:tr>
            <w:tr w:rsidR="009233D6" w:rsidRPr="004B2B19" w14:paraId="74C72483" w14:textId="77777777" w:rsidTr="002D5DF4">
              <w:tc>
                <w:tcPr>
                  <w:tcW w:w="942" w:type="dxa"/>
                </w:tcPr>
                <w:p w14:paraId="389D27CB" w14:textId="77777777" w:rsidR="009233D6" w:rsidRPr="004B2B19" w:rsidRDefault="009233D6" w:rsidP="0090171B">
                  <w:pPr>
                    <w:pStyle w:val="Tabletext"/>
                    <w:keepNext/>
                    <w:keepLines/>
                  </w:pPr>
                  <w:r w:rsidRPr="004B2B19">
                    <w:t>2027</w:t>
                  </w:r>
                </w:p>
              </w:tc>
              <w:tc>
                <w:tcPr>
                  <w:tcW w:w="992" w:type="dxa"/>
                </w:tcPr>
                <w:p w14:paraId="000C5936" w14:textId="1CD23225" w:rsidR="009233D6" w:rsidRPr="004B2B19" w:rsidRDefault="0021270A" w:rsidP="0090171B">
                  <w:pPr>
                    <w:pStyle w:val="Tabletext"/>
                    <w:keepNext/>
                    <w:keepLines/>
                  </w:pPr>
                  <w:r w:rsidRPr="0021270A">
                    <w:rPr>
                      <w:highlight w:val="black"/>
                    </w:rPr>
                    <w:t>&amp;&amp;&amp;&amp;</w:t>
                  </w:r>
                  <w:r w:rsidR="009233D6" w:rsidRPr="004B2B19">
                    <w:t>%</w:t>
                  </w:r>
                </w:p>
              </w:tc>
            </w:tr>
            <w:tr w:rsidR="009233D6" w:rsidRPr="004B2B19" w14:paraId="0790205F" w14:textId="77777777" w:rsidTr="002D5DF4">
              <w:tc>
                <w:tcPr>
                  <w:tcW w:w="942" w:type="dxa"/>
                </w:tcPr>
                <w:p w14:paraId="16D0A2C4" w14:textId="77777777" w:rsidR="009233D6" w:rsidRPr="004B2B19" w:rsidRDefault="009233D6" w:rsidP="0090171B">
                  <w:pPr>
                    <w:pStyle w:val="Tabletext"/>
                    <w:keepNext/>
                    <w:keepLines/>
                  </w:pPr>
                  <w:r w:rsidRPr="004B2B19">
                    <w:t>2028</w:t>
                  </w:r>
                </w:p>
              </w:tc>
              <w:tc>
                <w:tcPr>
                  <w:tcW w:w="992" w:type="dxa"/>
                </w:tcPr>
                <w:p w14:paraId="5D00ECFA" w14:textId="488F7C26" w:rsidR="009233D6" w:rsidRPr="004B2B19" w:rsidRDefault="0021270A" w:rsidP="0090171B">
                  <w:pPr>
                    <w:pStyle w:val="Tabletext"/>
                    <w:keepNext/>
                    <w:keepLines/>
                  </w:pPr>
                  <w:r w:rsidRPr="0021270A">
                    <w:rPr>
                      <w:highlight w:val="black"/>
                    </w:rPr>
                    <w:t>&amp;&amp;&amp;&amp;</w:t>
                  </w:r>
                  <w:r w:rsidR="009233D6" w:rsidRPr="004B2B19">
                    <w:t>%</w:t>
                  </w:r>
                </w:p>
              </w:tc>
            </w:tr>
            <w:tr w:rsidR="009233D6" w:rsidRPr="004B2B19" w14:paraId="4492E83B" w14:textId="77777777" w:rsidTr="002D5DF4">
              <w:tc>
                <w:tcPr>
                  <w:tcW w:w="942" w:type="dxa"/>
                </w:tcPr>
                <w:p w14:paraId="3F367F0E" w14:textId="77777777" w:rsidR="009233D6" w:rsidRPr="004B2B19" w:rsidRDefault="009233D6" w:rsidP="0090171B">
                  <w:pPr>
                    <w:pStyle w:val="Tabletext"/>
                    <w:keepNext/>
                    <w:keepLines/>
                  </w:pPr>
                  <w:r w:rsidRPr="004B2B19">
                    <w:t>2029</w:t>
                  </w:r>
                </w:p>
              </w:tc>
              <w:tc>
                <w:tcPr>
                  <w:tcW w:w="992" w:type="dxa"/>
                </w:tcPr>
                <w:p w14:paraId="28B50BD0" w14:textId="1D060320" w:rsidR="009233D6" w:rsidRPr="004B2B19" w:rsidRDefault="0021270A" w:rsidP="0090171B">
                  <w:pPr>
                    <w:pStyle w:val="Tabletext"/>
                    <w:keepNext/>
                    <w:keepLines/>
                  </w:pPr>
                  <w:r w:rsidRPr="0021270A">
                    <w:rPr>
                      <w:highlight w:val="black"/>
                    </w:rPr>
                    <w:t>&amp;&amp;&amp;&amp;</w:t>
                  </w:r>
                  <w:r w:rsidR="009233D6" w:rsidRPr="004B2B19">
                    <w:t>%</w:t>
                  </w:r>
                </w:p>
              </w:tc>
            </w:tr>
            <w:tr w:rsidR="009233D6" w:rsidRPr="004B2B19" w14:paraId="254BFD60" w14:textId="77777777" w:rsidTr="002D5DF4">
              <w:tc>
                <w:tcPr>
                  <w:tcW w:w="942" w:type="dxa"/>
                </w:tcPr>
                <w:p w14:paraId="52E3E5B7" w14:textId="77777777" w:rsidR="009233D6" w:rsidRPr="004B2B19" w:rsidRDefault="009233D6" w:rsidP="0090171B">
                  <w:pPr>
                    <w:pStyle w:val="Tabletext"/>
                    <w:keepNext/>
                    <w:keepLines/>
                  </w:pPr>
                  <w:r w:rsidRPr="004B2B19">
                    <w:t>2030</w:t>
                  </w:r>
                </w:p>
              </w:tc>
              <w:tc>
                <w:tcPr>
                  <w:tcW w:w="992" w:type="dxa"/>
                </w:tcPr>
                <w:p w14:paraId="0BF085DC" w14:textId="00B68F4D" w:rsidR="009233D6" w:rsidRPr="004B2B19" w:rsidRDefault="0021270A" w:rsidP="0090171B">
                  <w:pPr>
                    <w:pStyle w:val="Tabletext"/>
                    <w:keepNext/>
                    <w:keepLines/>
                  </w:pPr>
                  <w:r w:rsidRPr="0021270A">
                    <w:rPr>
                      <w:highlight w:val="black"/>
                    </w:rPr>
                    <w:t>&amp;&amp;&amp;&amp;</w:t>
                  </w:r>
                  <w:r w:rsidR="009233D6" w:rsidRPr="004B2B19">
                    <w:t>%</w:t>
                  </w:r>
                </w:p>
              </w:tc>
            </w:tr>
            <w:tr w:rsidR="009233D6" w:rsidRPr="004B2B19" w14:paraId="68CAEC3A" w14:textId="77777777" w:rsidTr="002D5DF4">
              <w:tc>
                <w:tcPr>
                  <w:tcW w:w="942" w:type="dxa"/>
                </w:tcPr>
                <w:p w14:paraId="6F44050B" w14:textId="77777777" w:rsidR="009233D6" w:rsidRPr="004B2B19" w:rsidRDefault="009233D6" w:rsidP="0090171B">
                  <w:pPr>
                    <w:pStyle w:val="Tabletext"/>
                    <w:keepNext/>
                    <w:keepLines/>
                  </w:pPr>
                  <w:r w:rsidRPr="004B2B19">
                    <w:t>2031</w:t>
                  </w:r>
                </w:p>
              </w:tc>
              <w:tc>
                <w:tcPr>
                  <w:tcW w:w="992" w:type="dxa"/>
                </w:tcPr>
                <w:p w14:paraId="1F82678A" w14:textId="14C6933D" w:rsidR="009233D6" w:rsidRPr="004B2B19" w:rsidRDefault="0021270A" w:rsidP="0090171B">
                  <w:pPr>
                    <w:pStyle w:val="Tabletext"/>
                    <w:keepNext/>
                    <w:keepLines/>
                  </w:pPr>
                  <w:r w:rsidRPr="0021270A">
                    <w:rPr>
                      <w:highlight w:val="black"/>
                    </w:rPr>
                    <w:t>&amp;&amp;&amp;&amp;</w:t>
                  </w:r>
                  <w:r w:rsidR="009233D6" w:rsidRPr="004B2B19">
                    <w:t>%</w:t>
                  </w:r>
                </w:p>
              </w:tc>
            </w:tr>
          </w:tbl>
          <w:p w14:paraId="4BD557C5" w14:textId="223D04A7" w:rsidR="009233D6" w:rsidRPr="004B2B19" w:rsidRDefault="009233D6" w:rsidP="0090171B">
            <w:pPr>
              <w:pStyle w:val="Tabletext"/>
              <w:keepNext/>
              <w:keepLines/>
            </w:pPr>
          </w:p>
        </w:tc>
        <w:tc>
          <w:tcPr>
            <w:tcW w:w="2016" w:type="pct"/>
            <w:vAlign w:val="center"/>
          </w:tcPr>
          <w:p w14:paraId="5294ED38" w14:textId="0E242EF5" w:rsidR="009233D6" w:rsidRPr="004B2B19" w:rsidRDefault="009233D6" w:rsidP="0090171B">
            <w:pPr>
              <w:pStyle w:val="Tabletext"/>
              <w:keepNext/>
              <w:keepLines/>
            </w:pPr>
            <w:r w:rsidRPr="004B2B19">
              <w:t xml:space="preserve">Assumes that current market is still expanding and that growth will then stabilise. </w:t>
            </w:r>
          </w:p>
        </w:tc>
      </w:tr>
      <w:tr w:rsidR="009233D6" w:rsidRPr="004B2B19" w14:paraId="3856E525" w14:textId="77777777" w:rsidTr="00A958F1">
        <w:tc>
          <w:tcPr>
            <w:tcW w:w="946" w:type="pct"/>
            <w:vAlign w:val="center"/>
          </w:tcPr>
          <w:p w14:paraId="2197E138" w14:textId="77777777" w:rsidR="009233D6" w:rsidRPr="004B2B19" w:rsidRDefault="009233D6" w:rsidP="0090171B">
            <w:pPr>
              <w:pStyle w:val="Tabletext"/>
              <w:keepNext/>
              <w:keepLines/>
            </w:pPr>
            <w:r w:rsidRPr="004B2B19">
              <w:t>Drug prices</w:t>
            </w:r>
          </w:p>
        </w:tc>
        <w:tc>
          <w:tcPr>
            <w:tcW w:w="2038" w:type="pct"/>
            <w:vAlign w:val="center"/>
          </w:tcPr>
          <w:tbl>
            <w:tblPr>
              <w:tblStyle w:val="Summarybox1"/>
              <w:tblW w:w="5051" w:type="dxa"/>
              <w:tblLook w:val="04A0" w:firstRow="1" w:lastRow="0" w:firstColumn="1" w:lastColumn="0" w:noHBand="0" w:noVBand="1"/>
              <w:tblCaption w:val="Drug prices"/>
            </w:tblPr>
            <w:tblGrid>
              <w:gridCol w:w="1289"/>
              <w:gridCol w:w="2628"/>
              <w:gridCol w:w="1134"/>
            </w:tblGrid>
            <w:tr w:rsidR="005701EF" w:rsidRPr="004B2B19" w14:paraId="61EE548A" w14:textId="77777777" w:rsidTr="00A01409">
              <w:trPr>
                <w:trHeight w:val="198"/>
              </w:trPr>
              <w:tc>
                <w:tcPr>
                  <w:tcW w:w="1289" w:type="dxa"/>
                  <w:noWrap/>
                  <w:hideMark/>
                </w:tcPr>
                <w:p w14:paraId="5AA7ED78" w14:textId="77777777" w:rsidR="005701EF" w:rsidRPr="004B2B19" w:rsidRDefault="005701EF" w:rsidP="0090171B">
                  <w:pPr>
                    <w:pStyle w:val="Tabletext"/>
                    <w:keepNext/>
                    <w:keepLines/>
                    <w:rPr>
                      <w:rStyle w:val="SmallBold"/>
                      <w:rFonts w:cs="Arial"/>
                      <w:b w:val="0"/>
                    </w:rPr>
                  </w:pPr>
                  <w:r w:rsidRPr="004B2B19">
                    <w:rPr>
                      <w:rStyle w:val="SmallBold"/>
                      <w:rFonts w:cs="Arial"/>
                    </w:rPr>
                    <w:t>Medicine</w:t>
                  </w:r>
                </w:p>
              </w:tc>
              <w:tc>
                <w:tcPr>
                  <w:tcW w:w="2628" w:type="dxa"/>
                  <w:noWrap/>
                  <w:vAlign w:val="center"/>
                  <w:hideMark/>
                </w:tcPr>
                <w:p w14:paraId="06E5C5CA" w14:textId="05606A7C" w:rsidR="005701EF" w:rsidRPr="004B2B19" w:rsidRDefault="005701EF" w:rsidP="0090171B">
                  <w:pPr>
                    <w:pStyle w:val="Tabletext"/>
                    <w:keepNext/>
                    <w:keepLines/>
                    <w:rPr>
                      <w:rStyle w:val="SmallBold"/>
                      <w:rFonts w:cs="Arial"/>
                      <w:b w:val="0"/>
                    </w:rPr>
                  </w:pPr>
                  <w:r w:rsidRPr="004B2B19">
                    <w:rPr>
                      <w:rStyle w:val="SmallBold"/>
                      <w:rFonts w:cs="Arial"/>
                    </w:rPr>
                    <w:t xml:space="preserve">Dose form </w:t>
                  </w:r>
                </w:p>
              </w:tc>
              <w:tc>
                <w:tcPr>
                  <w:tcW w:w="1134" w:type="dxa"/>
                  <w:noWrap/>
                </w:tcPr>
                <w:p w14:paraId="37E1866A" w14:textId="3DD56325" w:rsidR="005701EF" w:rsidRPr="004B2B19" w:rsidRDefault="005701EF" w:rsidP="0090171B">
                  <w:pPr>
                    <w:pStyle w:val="Tabletext"/>
                    <w:keepNext/>
                    <w:keepLines/>
                    <w:rPr>
                      <w:rStyle w:val="SmallBold"/>
                      <w:rFonts w:cs="Arial"/>
                      <w:b w:val="0"/>
                    </w:rPr>
                  </w:pPr>
                  <w:r w:rsidRPr="004B2B19">
                    <w:rPr>
                      <w:rStyle w:val="SmallBold"/>
                      <w:rFonts w:cs="Arial"/>
                    </w:rPr>
                    <w:t>DPMQ</w:t>
                  </w:r>
                </w:p>
              </w:tc>
            </w:tr>
            <w:tr w:rsidR="005701EF" w:rsidRPr="004B2B19" w14:paraId="3270977F" w14:textId="77777777" w:rsidTr="00A01409">
              <w:trPr>
                <w:trHeight w:val="198"/>
              </w:trPr>
              <w:tc>
                <w:tcPr>
                  <w:tcW w:w="1289" w:type="dxa"/>
                  <w:noWrap/>
                  <w:hideMark/>
                </w:tcPr>
                <w:p w14:paraId="0F2E2FA4" w14:textId="77777777" w:rsidR="005701EF" w:rsidRPr="004B2B19" w:rsidRDefault="005701EF" w:rsidP="0090171B">
                  <w:pPr>
                    <w:pStyle w:val="Tabletext"/>
                    <w:keepNext/>
                    <w:keepLines/>
                    <w:rPr>
                      <w:rFonts w:cs="Arial"/>
                    </w:rPr>
                  </w:pPr>
                  <w:r w:rsidRPr="004B2B19">
                    <w:rPr>
                      <w:rFonts w:cs="Arial"/>
                    </w:rPr>
                    <w:t>Fenfluramine</w:t>
                  </w:r>
                </w:p>
              </w:tc>
              <w:tc>
                <w:tcPr>
                  <w:tcW w:w="2628" w:type="dxa"/>
                  <w:noWrap/>
                  <w:vAlign w:val="center"/>
                  <w:hideMark/>
                </w:tcPr>
                <w:p w14:paraId="1686AC56" w14:textId="35D168FD" w:rsidR="005701EF" w:rsidRPr="004B2B19" w:rsidRDefault="005701EF" w:rsidP="0090171B">
                  <w:pPr>
                    <w:pStyle w:val="Tabletext"/>
                    <w:keepNext/>
                    <w:keepLines/>
                    <w:rPr>
                      <w:rFonts w:cs="Arial"/>
                    </w:rPr>
                  </w:pPr>
                  <w:r w:rsidRPr="004B2B19">
                    <w:rPr>
                      <w:rFonts w:cs="Arial"/>
                    </w:rPr>
                    <w:t>360 mL x 2.2 mg/mL</w:t>
                  </w:r>
                </w:p>
              </w:tc>
              <w:tc>
                <w:tcPr>
                  <w:tcW w:w="1134" w:type="dxa"/>
                  <w:noWrap/>
                </w:tcPr>
                <w:p w14:paraId="478E200E" w14:textId="464F51D2" w:rsidR="005701EF" w:rsidRPr="004B2B19" w:rsidRDefault="005701EF" w:rsidP="0090171B">
                  <w:pPr>
                    <w:pStyle w:val="Tabletext"/>
                    <w:keepNext/>
                    <w:keepLines/>
                    <w:rPr>
                      <w:rFonts w:cs="Arial"/>
                    </w:rPr>
                  </w:pPr>
                  <w:r w:rsidRPr="004B2B19">
                    <w:rPr>
                      <w:rFonts w:cs="Arial"/>
                    </w:rPr>
                    <w:t>$</w:t>
                  </w:r>
                  <w:r w:rsidR="0021270A" w:rsidRPr="0021270A">
                    <w:rPr>
                      <w:rFonts w:cs="Arial"/>
                      <w:highlight w:val="black"/>
                    </w:rPr>
                    <w:t>&amp;&amp;&amp;&amp;</w:t>
                  </w:r>
                </w:p>
              </w:tc>
            </w:tr>
            <w:tr w:rsidR="005701EF" w:rsidRPr="004B2B19" w14:paraId="05EDF7B6" w14:textId="77777777" w:rsidTr="00A01409">
              <w:trPr>
                <w:trHeight w:val="198"/>
              </w:trPr>
              <w:tc>
                <w:tcPr>
                  <w:tcW w:w="1289" w:type="dxa"/>
                  <w:noWrap/>
                  <w:hideMark/>
                </w:tcPr>
                <w:p w14:paraId="2470B7E2" w14:textId="77777777" w:rsidR="005701EF" w:rsidRPr="004B2B19" w:rsidRDefault="005701EF" w:rsidP="0090171B">
                  <w:pPr>
                    <w:pStyle w:val="Tabletext"/>
                    <w:keepNext/>
                    <w:keepLines/>
                    <w:rPr>
                      <w:rFonts w:cs="Arial"/>
                    </w:rPr>
                  </w:pPr>
                  <w:r w:rsidRPr="004B2B19">
                    <w:rPr>
                      <w:rFonts w:cs="Arial"/>
                    </w:rPr>
                    <w:t>Cannabidiol</w:t>
                  </w:r>
                </w:p>
              </w:tc>
              <w:tc>
                <w:tcPr>
                  <w:tcW w:w="2628" w:type="dxa"/>
                  <w:noWrap/>
                  <w:vAlign w:val="center"/>
                  <w:hideMark/>
                </w:tcPr>
                <w:p w14:paraId="43AF5E99" w14:textId="4FD98171" w:rsidR="005701EF" w:rsidRPr="004B2B19" w:rsidRDefault="005701EF" w:rsidP="0090171B">
                  <w:pPr>
                    <w:pStyle w:val="Tabletext"/>
                    <w:keepNext/>
                    <w:keepLines/>
                    <w:rPr>
                      <w:rFonts w:cs="Arial"/>
                    </w:rPr>
                  </w:pPr>
                  <w:r w:rsidRPr="004B2B19">
                    <w:rPr>
                      <w:rFonts w:cs="Arial"/>
                    </w:rPr>
                    <w:t>100 mL x 100 mg/mL</w:t>
                  </w:r>
                </w:p>
              </w:tc>
              <w:tc>
                <w:tcPr>
                  <w:tcW w:w="1134" w:type="dxa"/>
                  <w:noWrap/>
                </w:tcPr>
                <w:p w14:paraId="39CCEEB2" w14:textId="77777777" w:rsidR="005701EF" w:rsidRPr="004B2B19" w:rsidRDefault="005701EF" w:rsidP="0090171B">
                  <w:pPr>
                    <w:pStyle w:val="Tabletext"/>
                    <w:keepNext/>
                    <w:keepLines/>
                    <w:rPr>
                      <w:rFonts w:cs="Arial"/>
                    </w:rPr>
                  </w:pPr>
                  <w:r w:rsidRPr="004B2B19">
                    <w:rPr>
                      <w:rFonts w:cs="Arial"/>
                    </w:rPr>
                    <w:t>$1,535.31</w:t>
                  </w:r>
                </w:p>
              </w:tc>
            </w:tr>
          </w:tbl>
          <w:p w14:paraId="1544BAD1" w14:textId="77777777" w:rsidR="009233D6" w:rsidRPr="004B2B19" w:rsidRDefault="009233D6" w:rsidP="0090171B">
            <w:pPr>
              <w:pStyle w:val="Tabletext"/>
              <w:keepNext/>
              <w:keepLines/>
            </w:pPr>
          </w:p>
        </w:tc>
        <w:tc>
          <w:tcPr>
            <w:tcW w:w="2016" w:type="pct"/>
            <w:vAlign w:val="center"/>
          </w:tcPr>
          <w:p w14:paraId="08BF9229" w14:textId="15BFECF5" w:rsidR="009233D6" w:rsidRPr="004B2B19" w:rsidRDefault="00104D9B" w:rsidP="0090171B">
            <w:pPr>
              <w:pStyle w:val="Tabletext"/>
              <w:keepNext/>
              <w:keepLines/>
            </w:pPr>
            <w:r w:rsidRPr="004B2B19">
              <w:t>Based on published price</w:t>
            </w:r>
            <w:r w:rsidR="00B5775C" w:rsidRPr="004B2B19">
              <w:t xml:space="preserve"> for CBD and </w:t>
            </w:r>
            <w:r w:rsidR="005701EF" w:rsidRPr="004B2B19">
              <w:t xml:space="preserve">the </w:t>
            </w:r>
            <w:r w:rsidR="00B5775C" w:rsidRPr="004B2B19">
              <w:t xml:space="preserve">price </w:t>
            </w:r>
            <w:r w:rsidR="00697708" w:rsidRPr="004B2B19">
              <w:t xml:space="preserve">of FEN </w:t>
            </w:r>
            <w:r w:rsidR="00B5775C" w:rsidRPr="004B2B19">
              <w:t>calculated using the published price</w:t>
            </w:r>
            <w:r w:rsidR="00697708" w:rsidRPr="004B2B19">
              <w:t xml:space="preserve"> CBD</w:t>
            </w:r>
            <w:r w:rsidR="00B5775C" w:rsidRPr="004B2B19">
              <w:t>.</w:t>
            </w:r>
          </w:p>
        </w:tc>
      </w:tr>
      <w:tr w:rsidR="009233D6" w:rsidRPr="004B2B19" w14:paraId="6CF677E8" w14:textId="77777777" w:rsidTr="00A958F1">
        <w:tc>
          <w:tcPr>
            <w:tcW w:w="946" w:type="pct"/>
            <w:vAlign w:val="center"/>
          </w:tcPr>
          <w:p w14:paraId="78A18365" w14:textId="77777777" w:rsidR="009233D6" w:rsidRPr="004B2B19" w:rsidRDefault="009233D6" w:rsidP="0090171B">
            <w:pPr>
              <w:pStyle w:val="Tabletext"/>
              <w:keepNext/>
              <w:keepLines/>
            </w:pPr>
            <w:r w:rsidRPr="004B2B19">
              <w:t>Dose/duration</w:t>
            </w:r>
          </w:p>
        </w:tc>
        <w:tc>
          <w:tcPr>
            <w:tcW w:w="2038" w:type="pct"/>
            <w:vAlign w:val="center"/>
          </w:tcPr>
          <w:p w14:paraId="673ABA6B" w14:textId="77777777" w:rsidR="009233D6" w:rsidRPr="004B2B19" w:rsidRDefault="009233D6" w:rsidP="0090171B">
            <w:pPr>
              <w:pStyle w:val="Tabletext"/>
              <w:keepNext/>
              <w:keepLines/>
              <w:rPr>
                <w:rStyle w:val="SmallBold"/>
                <w:rFonts w:ascii="Arial Narrow" w:hAnsi="Arial Narrow"/>
                <w:b w:val="0"/>
              </w:rPr>
            </w:pPr>
            <w:r w:rsidRPr="004B2B19">
              <w:rPr>
                <w:rStyle w:val="SmallBold"/>
                <w:rFonts w:ascii="Arial Narrow" w:hAnsi="Arial Narrow"/>
                <w:b w:val="0"/>
              </w:rPr>
              <w:t xml:space="preserve"> As per PI</w:t>
            </w:r>
          </w:p>
        </w:tc>
        <w:tc>
          <w:tcPr>
            <w:tcW w:w="2016" w:type="pct"/>
            <w:vAlign w:val="center"/>
          </w:tcPr>
          <w:p w14:paraId="530E76F5" w14:textId="77777777" w:rsidR="009233D6" w:rsidRPr="004B2B19" w:rsidRDefault="009233D6" w:rsidP="0090171B">
            <w:pPr>
              <w:pStyle w:val="Tabletext"/>
              <w:keepNext/>
              <w:keepLines/>
            </w:pPr>
          </w:p>
        </w:tc>
      </w:tr>
      <w:tr w:rsidR="009233D6" w:rsidRPr="004B2B19" w14:paraId="12A217F6" w14:textId="77777777" w:rsidTr="00A958F1">
        <w:tc>
          <w:tcPr>
            <w:tcW w:w="946" w:type="pct"/>
            <w:vAlign w:val="center"/>
          </w:tcPr>
          <w:p w14:paraId="4662F67E" w14:textId="77777777" w:rsidR="009233D6" w:rsidRPr="004B2B19" w:rsidRDefault="009233D6" w:rsidP="0090171B">
            <w:pPr>
              <w:pStyle w:val="Tabletext"/>
              <w:keepNext/>
              <w:keepLines/>
            </w:pPr>
            <w:r w:rsidRPr="004B2B19">
              <w:t>Script equivalence</w:t>
            </w:r>
          </w:p>
        </w:tc>
        <w:tc>
          <w:tcPr>
            <w:tcW w:w="2038" w:type="pct"/>
            <w:vAlign w:val="center"/>
          </w:tcPr>
          <w:p w14:paraId="5D971950" w14:textId="3EDE7882" w:rsidR="009233D6" w:rsidRPr="004B2B19" w:rsidRDefault="009233D6" w:rsidP="0090171B">
            <w:pPr>
              <w:pStyle w:val="Tabletext"/>
              <w:keepNext/>
              <w:keepLines/>
              <w:rPr>
                <w:rStyle w:val="SmallBold"/>
                <w:rFonts w:ascii="Arial Narrow" w:hAnsi="Arial Narrow"/>
                <w:b w:val="0"/>
              </w:rPr>
            </w:pPr>
            <w:r w:rsidRPr="004B2B19">
              <w:rPr>
                <w:rStyle w:val="SmallBold"/>
                <w:rFonts w:ascii="Arial Narrow" w:hAnsi="Arial Narrow"/>
                <w:b w:val="0"/>
              </w:rPr>
              <w:t xml:space="preserve">Based on CMA: </w:t>
            </w:r>
            <w:r w:rsidR="0021270A" w:rsidRPr="0021270A">
              <w:rPr>
                <w:rStyle w:val="SmallBold"/>
                <w:rFonts w:ascii="Arial Narrow" w:hAnsi="Arial Narrow"/>
                <w:b w:val="0"/>
                <w:highlight w:val="black"/>
              </w:rPr>
              <w:t>&amp;&amp;&amp;&amp;</w:t>
            </w:r>
            <w:r w:rsidRPr="004B2B19">
              <w:rPr>
                <w:rStyle w:val="SmallBold"/>
                <w:rFonts w:ascii="Arial Narrow" w:hAnsi="Arial Narrow"/>
                <w:b w:val="0"/>
              </w:rPr>
              <w:t xml:space="preserve"> packs of fenfluramine (360</w:t>
            </w:r>
            <w:r w:rsidR="00551F08" w:rsidRPr="004B2B19">
              <w:rPr>
                <w:rStyle w:val="SmallBold"/>
                <w:rFonts w:ascii="Arial Narrow" w:hAnsi="Arial Narrow"/>
                <w:b w:val="0"/>
              </w:rPr>
              <w:t xml:space="preserve"> </w:t>
            </w:r>
            <w:r w:rsidRPr="004B2B19">
              <w:rPr>
                <w:rStyle w:val="SmallBold"/>
                <w:rFonts w:ascii="Arial Narrow" w:hAnsi="Arial Narrow"/>
                <w:b w:val="0"/>
              </w:rPr>
              <w:t>mL*2.2</w:t>
            </w:r>
            <w:r w:rsidR="00551F08" w:rsidRPr="004B2B19">
              <w:rPr>
                <w:rStyle w:val="SmallBold"/>
                <w:rFonts w:ascii="Arial Narrow" w:hAnsi="Arial Narrow"/>
                <w:b w:val="0"/>
              </w:rPr>
              <w:t xml:space="preserve"> </w:t>
            </w:r>
            <w:r w:rsidRPr="004B2B19">
              <w:rPr>
                <w:rStyle w:val="SmallBold"/>
                <w:rFonts w:ascii="Arial Narrow" w:hAnsi="Arial Narrow"/>
                <w:b w:val="0"/>
              </w:rPr>
              <w:t>mg/mL)</w:t>
            </w:r>
            <w:r w:rsidR="00A53219" w:rsidRPr="004B2B19">
              <w:rPr>
                <w:rStyle w:val="SmallBold"/>
                <w:rFonts w:ascii="Arial Narrow" w:hAnsi="Arial Narrow"/>
                <w:b w:val="0"/>
              </w:rPr>
              <w:t xml:space="preserve"> </w:t>
            </w:r>
            <w:r w:rsidRPr="004B2B19">
              <w:rPr>
                <w:rStyle w:val="SmallBold"/>
                <w:rFonts w:ascii="Arial Narrow" w:hAnsi="Arial Narrow"/>
                <w:b w:val="0"/>
              </w:rPr>
              <w:t>=</w:t>
            </w:r>
            <w:r w:rsidR="00A53219" w:rsidRPr="004B2B19">
              <w:rPr>
                <w:rStyle w:val="SmallBold"/>
                <w:rFonts w:ascii="Arial Narrow" w:hAnsi="Arial Narrow"/>
                <w:b w:val="0"/>
              </w:rPr>
              <w:t xml:space="preserve"> </w:t>
            </w:r>
            <w:r w:rsidRPr="004B2B19">
              <w:rPr>
                <w:rStyle w:val="SmallBold"/>
                <w:rFonts w:ascii="Arial Narrow" w:hAnsi="Arial Narrow"/>
                <w:b w:val="0"/>
              </w:rPr>
              <w:t xml:space="preserve">1 </w:t>
            </w:r>
            <w:r w:rsidR="00782802" w:rsidRPr="004B2B19">
              <w:rPr>
                <w:rStyle w:val="SmallBold"/>
                <w:rFonts w:ascii="Arial Narrow" w:hAnsi="Arial Narrow"/>
                <w:b w:val="0"/>
              </w:rPr>
              <w:t xml:space="preserve">pack </w:t>
            </w:r>
            <w:r w:rsidRPr="004B2B19">
              <w:rPr>
                <w:rStyle w:val="SmallBold"/>
                <w:rFonts w:ascii="Arial Narrow" w:hAnsi="Arial Narrow"/>
                <w:b w:val="0"/>
              </w:rPr>
              <w:t>of cannabidiol (100</w:t>
            </w:r>
            <w:r w:rsidR="00551F08" w:rsidRPr="004B2B19">
              <w:rPr>
                <w:rStyle w:val="SmallBold"/>
                <w:rFonts w:ascii="Arial Narrow" w:hAnsi="Arial Narrow"/>
                <w:b w:val="0"/>
              </w:rPr>
              <w:t xml:space="preserve"> </w:t>
            </w:r>
            <w:r w:rsidRPr="004B2B19">
              <w:rPr>
                <w:rStyle w:val="SmallBold"/>
                <w:rFonts w:ascii="Arial Narrow" w:hAnsi="Arial Narrow"/>
                <w:b w:val="0"/>
              </w:rPr>
              <w:t>mL*100</w:t>
            </w:r>
            <w:r w:rsidR="00551F08" w:rsidRPr="004B2B19">
              <w:rPr>
                <w:rStyle w:val="SmallBold"/>
                <w:rFonts w:ascii="Arial Narrow" w:hAnsi="Arial Narrow"/>
                <w:b w:val="0"/>
              </w:rPr>
              <w:t xml:space="preserve"> </w:t>
            </w:r>
            <w:r w:rsidRPr="004B2B19">
              <w:rPr>
                <w:rStyle w:val="SmallBold"/>
                <w:rFonts w:ascii="Arial Narrow" w:hAnsi="Arial Narrow"/>
                <w:b w:val="0"/>
              </w:rPr>
              <w:t>mg/mL</w:t>
            </w:r>
            <w:r w:rsidR="00A53EE5" w:rsidRPr="004B2B19">
              <w:rPr>
                <w:rStyle w:val="SmallBold"/>
                <w:rFonts w:ascii="Arial Narrow" w:hAnsi="Arial Narrow"/>
                <w:b w:val="0"/>
              </w:rPr>
              <w:t>)</w:t>
            </w:r>
          </w:p>
          <w:p w14:paraId="5369EA94" w14:textId="7858703B" w:rsidR="009233D6" w:rsidRPr="004B2B19" w:rsidRDefault="00C1434E" w:rsidP="0027493F">
            <w:pPr>
              <w:pStyle w:val="Tabletext"/>
              <w:keepNext/>
              <w:keepLines/>
              <w:rPr>
                <w:rStyle w:val="SmallBold"/>
                <w:rFonts w:ascii="Arial Narrow" w:hAnsi="Arial Narrow"/>
                <w:b w:val="0"/>
              </w:rPr>
            </w:pPr>
            <w:r w:rsidRPr="004B2B19">
              <w:rPr>
                <w:rStyle w:val="SmallBold"/>
                <w:rFonts w:ascii="Arial Narrow" w:hAnsi="Arial Narrow"/>
                <w:b w:val="0"/>
              </w:rPr>
              <w:t>The financial estimates applied</w:t>
            </w:r>
            <w:r w:rsidRPr="004B2B19">
              <w:rPr>
                <w:rStyle w:val="SmallBold"/>
                <w:rFonts w:ascii="Arial Narrow" w:hAnsi="Arial Narrow"/>
              </w:rPr>
              <w:t xml:space="preserve"> </w:t>
            </w:r>
            <w:r w:rsidRPr="004B2B19">
              <w:rPr>
                <w:rStyle w:val="SmallBold"/>
                <w:rFonts w:ascii="Arial Narrow" w:hAnsi="Arial Narrow"/>
                <w:b w:val="0"/>
                <w:bCs/>
              </w:rPr>
              <w:t>a</w:t>
            </w:r>
            <w:r w:rsidRPr="004B2B19">
              <w:rPr>
                <w:rStyle w:val="SmallBold"/>
                <w:rFonts w:ascii="Arial Narrow" w:hAnsi="Arial Narrow"/>
              </w:rPr>
              <w:t xml:space="preserve"> </w:t>
            </w:r>
            <w:r w:rsidR="009233D6" w:rsidRPr="004B2B19">
              <w:rPr>
                <w:rStyle w:val="SmallBold"/>
                <w:rFonts w:ascii="Arial Narrow" w:hAnsi="Arial Narrow"/>
                <w:b w:val="0"/>
              </w:rPr>
              <w:t>‘more realistic relativity’: 1.71 bottles cannabidiol dispensed every 28 days compared to 1 bottle of fenfluramine every 32.77 days i</w:t>
            </w:r>
            <w:r w:rsidR="00933F87" w:rsidRPr="004B2B19">
              <w:rPr>
                <w:rStyle w:val="SmallBold"/>
                <w:rFonts w:ascii="Arial Narrow" w:hAnsi="Arial Narrow"/>
                <w:b w:val="0"/>
              </w:rPr>
              <w:t>.</w:t>
            </w:r>
            <w:r w:rsidR="009233D6" w:rsidRPr="004B2B19">
              <w:rPr>
                <w:rStyle w:val="SmallBold"/>
                <w:rFonts w:ascii="Arial Narrow" w:hAnsi="Arial Narrow"/>
                <w:b w:val="0"/>
              </w:rPr>
              <w:t>e</w:t>
            </w:r>
            <w:r w:rsidR="00933F87" w:rsidRPr="004B2B19">
              <w:rPr>
                <w:rStyle w:val="SmallBold"/>
                <w:rFonts w:ascii="Arial Narrow" w:hAnsi="Arial Narrow"/>
                <w:b w:val="0"/>
              </w:rPr>
              <w:t xml:space="preserve">. </w:t>
            </w:r>
            <w:r w:rsidR="009233D6" w:rsidRPr="004B2B19">
              <w:rPr>
                <w:rStyle w:val="SmallBold"/>
                <w:rFonts w:ascii="Arial Narrow" w:hAnsi="Arial Narrow"/>
                <w:b w:val="0"/>
              </w:rPr>
              <w:t>0.777 scripts of fenfluramine = 1 script of cannabidiol</w:t>
            </w:r>
          </w:p>
          <w:p w14:paraId="215922DC" w14:textId="77777777" w:rsidR="009233D6" w:rsidRPr="004B2B19" w:rsidRDefault="009233D6" w:rsidP="0090171B">
            <w:pPr>
              <w:pStyle w:val="Tabletext"/>
              <w:keepNext/>
              <w:keepLines/>
              <w:rPr>
                <w:rStyle w:val="SmallBold"/>
                <w:rFonts w:ascii="Arial Narrow" w:hAnsi="Arial Narrow"/>
                <w:b w:val="0"/>
              </w:rPr>
            </w:pPr>
            <w:r w:rsidRPr="004B2B19">
              <w:rPr>
                <w:rStyle w:val="SmallBold"/>
                <w:rFonts w:ascii="Arial Narrow" w:hAnsi="Arial Narrow"/>
                <w:b w:val="0"/>
              </w:rPr>
              <w:t xml:space="preserve">For the incremental cohort – assumes 1 pack every 36.05 days. </w:t>
            </w:r>
          </w:p>
          <w:p w14:paraId="739B0565" w14:textId="77777777" w:rsidR="009233D6" w:rsidRPr="004B2B19" w:rsidRDefault="009233D6" w:rsidP="0090171B">
            <w:pPr>
              <w:pStyle w:val="Tabletext"/>
              <w:keepNext/>
              <w:keepLines/>
              <w:rPr>
                <w:rStyle w:val="SmallBold"/>
                <w:rFonts w:ascii="Arial Narrow" w:hAnsi="Arial Narrow"/>
                <w:b w:val="0"/>
              </w:rPr>
            </w:pPr>
          </w:p>
        </w:tc>
        <w:tc>
          <w:tcPr>
            <w:tcW w:w="2016" w:type="pct"/>
            <w:vAlign w:val="center"/>
          </w:tcPr>
          <w:p w14:paraId="00F3DB48" w14:textId="77777777" w:rsidR="00D92816" w:rsidRPr="004B2B19" w:rsidRDefault="009233D6" w:rsidP="0090171B">
            <w:pPr>
              <w:pStyle w:val="Tabletext"/>
              <w:keepNext/>
              <w:keepLines/>
            </w:pPr>
            <w:r w:rsidRPr="004B2B19">
              <w:t>Very difficult to determine what the actual dose equivalence will be in practice so this may or may not be reasonable.</w:t>
            </w:r>
            <w:r w:rsidR="00155584" w:rsidRPr="004B2B19">
              <w:t xml:space="preserve"> </w:t>
            </w:r>
          </w:p>
          <w:p w14:paraId="7C3DCFBE" w14:textId="77777777" w:rsidR="00D92816" w:rsidRPr="004B2B19" w:rsidRDefault="00D92816" w:rsidP="0090171B">
            <w:pPr>
              <w:pStyle w:val="Tabletext"/>
              <w:keepNext/>
              <w:keepLines/>
              <w:rPr>
                <w:sz w:val="12"/>
                <w:szCs w:val="12"/>
              </w:rPr>
            </w:pPr>
          </w:p>
          <w:p w14:paraId="1D2AEBBB" w14:textId="6A453637" w:rsidR="009233D6" w:rsidRPr="004B2B19" w:rsidRDefault="00155584" w:rsidP="0090171B">
            <w:pPr>
              <w:pStyle w:val="Tabletext"/>
              <w:keepNext/>
              <w:keepLines/>
            </w:pPr>
            <w:r w:rsidRPr="004B2B19">
              <w:t>Titration dosing was not considered</w:t>
            </w:r>
            <w:r w:rsidR="002E0C79" w:rsidRPr="004B2B19">
              <w:t xml:space="preserve"> in the estimates model. </w:t>
            </w:r>
          </w:p>
        </w:tc>
      </w:tr>
      <w:tr w:rsidR="009233D6" w:rsidRPr="004B2B19" w14:paraId="30876D3D" w14:textId="77777777" w:rsidTr="00A958F1">
        <w:tc>
          <w:tcPr>
            <w:tcW w:w="946" w:type="pct"/>
            <w:vAlign w:val="center"/>
          </w:tcPr>
          <w:p w14:paraId="6F7E0697" w14:textId="77777777" w:rsidR="009233D6" w:rsidRPr="004B2B19" w:rsidRDefault="009233D6" w:rsidP="0090171B">
            <w:pPr>
              <w:pStyle w:val="Tabletext"/>
              <w:keepNext/>
              <w:keepLines/>
            </w:pPr>
            <w:r w:rsidRPr="004B2B19">
              <w:t>MBS item</w:t>
            </w:r>
          </w:p>
        </w:tc>
        <w:tc>
          <w:tcPr>
            <w:tcW w:w="2038" w:type="pct"/>
            <w:vAlign w:val="center"/>
          </w:tcPr>
          <w:p w14:paraId="50CFC0F8" w14:textId="77777777" w:rsidR="009233D6" w:rsidRPr="004B2B19" w:rsidRDefault="009233D6" w:rsidP="0090171B">
            <w:pPr>
              <w:pStyle w:val="Tabletext"/>
              <w:keepNext/>
              <w:keepLines/>
            </w:pPr>
            <w:r w:rsidRPr="004B2B19">
              <w:t>Costs of monitoring for fenfluramine and cannabidiol:</w:t>
            </w:r>
          </w:p>
          <w:p w14:paraId="4D2ADC82" w14:textId="77777777" w:rsidR="009233D6" w:rsidRPr="004B2B19" w:rsidRDefault="009233D6" w:rsidP="0090171B">
            <w:pPr>
              <w:pStyle w:val="Tabletext"/>
              <w:keepNext/>
              <w:keepLines/>
            </w:pPr>
            <w:r w:rsidRPr="004B2B19">
              <w:t>MBS items 66512, LFTs for CBD</w:t>
            </w:r>
          </w:p>
          <w:p w14:paraId="005A4F15" w14:textId="77777777" w:rsidR="009233D6" w:rsidRPr="004B2B19" w:rsidRDefault="009233D6" w:rsidP="0090171B">
            <w:pPr>
              <w:pStyle w:val="Tabletext"/>
              <w:keepNext/>
              <w:keepLines/>
            </w:pPr>
            <w:r w:rsidRPr="004B2B19">
              <w:t>66626: plasma drug concentration monitoring for CBD</w:t>
            </w:r>
          </w:p>
          <w:p w14:paraId="239882AA" w14:textId="77777777" w:rsidR="009233D6" w:rsidRPr="004B2B19" w:rsidRDefault="009233D6" w:rsidP="0090171B">
            <w:pPr>
              <w:pStyle w:val="Tabletext"/>
              <w:keepNext/>
              <w:keepLines/>
            </w:pPr>
            <w:r w:rsidRPr="004B2B19">
              <w:t>55133: echocardiogram for fenfluramine</w:t>
            </w:r>
          </w:p>
        </w:tc>
        <w:tc>
          <w:tcPr>
            <w:tcW w:w="2016" w:type="pct"/>
            <w:vAlign w:val="center"/>
          </w:tcPr>
          <w:p w14:paraId="2CD989C7" w14:textId="4412CBCE" w:rsidR="009233D6" w:rsidRPr="004B2B19" w:rsidRDefault="009233D6" w:rsidP="0090171B">
            <w:pPr>
              <w:pStyle w:val="Tabletext"/>
              <w:keepNext/>
              <w:keepLines/>
            </w:pPr>
            <w:r w:rsidRPr="004B2B19">
              <w:t>Consistent with CMA</w:t>
            </w:r>
            <w:r w:rsidR="00CD5AE1" w:rsidRPr="004B2B19">
              <w:t xml:space="preserve">. </w:t>
            </w:r>
          </w:p>
        </w:tc>
      </w:tr>
    </w:tbl>
    <w:p w14:paraId="1AC2F842" w14:textId="2DC04B91" w:rsidR="009233D6" w:rsidRPr="004B2B19" w:rsidRDefault="009233D6" w:rsidP="00691DA6">
      <w:pPr>
        <w:pStyle w:val="FooterTableFigure"/>
      </w:pPr>
      <w:r w:rsidRPr="004B2B19">
        <w:t>Source:</w:t>
      </w:r>
      <w:r w:rsidR="00095FD9">
        <w:t xml:space="preserve"> </w:t>
      </w:r>
      <w:r w:rsidRPr="004B2B19">
        <w:t>Table 4.1, p135; Table, 4.4, p 136. Table 4.5, p137 and associated text of Section of the submission.</w:t>
      </w:r>
    </w:p>
    <w:p w14:paraId="44BAB6B8" w14:textId="1FE74BD3" w:rsidR="009233D6" w:rsidRPr="004B2B19" w:rsidRDefault="009233D6" w:rsidP="009233D6">
      <w:pPr>
        <w:pStyle w:val="3-BodyText"/>
      </w:pPr>
      <w:r w:rsidRPr="004B2B19">
        <w:t>A number of assumptions in the analysis were not well supported: estimates of substitution and additional population, which did not account for switch</w:t>
      </w:r>
      <w:r w:rsidR="000D1F43" w:rsidRPr="004B2B19">
        <w:t>ing</w:t>
      </w:r>
      <w:r w:rsidRPr="004B2B19">
        <w:t xml:space="preserve"> from other </w:t>
      </w:r>
      <w:r w:rsidR="00FB7BA2" w:rsidRPr="004B2B19">
        <w:t>ASMs</w:t>
      </w:r>
      <w:r w:rsidRPr="004B2B19">
        <w:t xml:space="preserve"> or use in combination with products other than cannabidiol; the overall growth rate of the market</w:t>
      </w:r>
      <w:r w:rsidR="0069408B" w:rsidRPr="004B2B19">
        <w:t xml:space="preserve">, the number of MBS items per script </w:t>
      </w:r>
      <w:r w:rsidRPr="004B2B19">
        <w:t xml:space="preserve">and the script equivalence. The latter in particular is uncertain given the problems in determining actual dose used on the trials as well as the </w:t>
      </w:r>
      <w:r w:rsidR="000D1F43" w:rsidRPr="004B2B19">
        <w:t xml:space="preserve">estimated </w:t>
      </w:r>
      <w:r w:rsidRPr="004B2B19">
        <w:t xml:space="preserve">equivalence between cannabidiol and fenfluramine in practice. </w:t>
      </w:r>
    </w:p>
    <w:p w14:paraId="4A009A44" w14:textId="51567414" w:rsidR="009233D6" w:rsidRPr="004B2B19" w:rsidRDefault="009233D6" w:rsidP="009233D6">
      <w:pPr>
        <w:pStyle w:val="3-BodyText"/>
      </w:pPr>
      <w:r w:rsidRPr="004B2B19">
        <w:t>The estimated use and cost</w:t>
      </w:r>
      <w:r w:rsidR="004B4BAE" w:rsidRPr="004B2B19">
        <w:t>,</w:t>
      </w:r>
      <w:r w:rsidRPr="004B2B19">
        <w:t xml:space="preserve"> as presented in the submission, using the published price of cannabidiol to calculate the effective price of fenfluramine as derived from the CMA (</w:t>
      </w:r>
      <w:r w:rsidR="00B22FE0" w:rsidRPr="004B2B19">
        <w:t xml:space="preserve">noting </w:t>
      </w:r>
      <w:r w:rsidRPr="004B2B19">
        <w:t xml:space="preserve">its limitations) is shown in </w:t>
      </w:r>
      <w:r w:rsidR="004B4BAE" w:rsidRPr="004B2B19">
        <w:fldChar w:fldCharType="begin"/>
      </w:r>
      <w:r w:rsidR="004B4BAE" w:rsidRPr="004B2B19">
        <w:instrText xml:space="preserve"> REF _Ref104805295 \h </w:instrText>
      </w:r>
      <w:r w:rsidR="00B44689" w:rsidRPr="004B2B19">
        <w:instrText xml:space="preserve"> \* MERGEFORMAT </w:instrText>
      </w:r>
      <w:r w:rsidR="004B4BAE" w:rsidRPr="004B2B19">
        <w:fldChar w:fldCharType="separate"/>
      </w:r>
      <w:r w:rsidR="00A037BC" w:rsidRPr="004B2B19">
        <w:t xml:space="preserve">Table </w:t>
      </w:r>
      <w:r w:rsidR="00A037BC">
        <w:t>13</w:t>
      </w:r>
      <w:r w:rsidR="004B4BAE" w:rsidRPr="004B2B19">
        <w:fldChar w:fldCharType="end"/>
      </w:r>
      <w:r w:rsidRPr="004B2B19">
        <w:t xml:space="preserve">. The submission stated that for these estimates, the incremental cost to the PBS was </w:t>
      </w:r>
      <w:r w:rsidR="003F3ACC">
        <w:t>due to</w:t>
      </w:r>
      <w:r w:rsidRPr="004B2B19">
        <w:t xml:space="preserve"> the estimated use of fenfluramine in combination with cannabidiol.</w:t>
      </w:r>
      <w:r w:rsidR="00A228B2" w:rsidRPr="004B2B19">
        <w:t xml:space="preserve"> The ESC was of the view the </w:t>
      </w:r>
      <w:r w:rsidR="00EC08F3" w:rsidRPr="004B2B19">
        <w:t>financial implications may be underestimated, as the submission does not assume switching from other anti-seizure medications.</w:t>
      </w:r>
      <w:r w:rsidRPr="004B2B19">
        <w:t xml:space="preserve"> </w:t>
      </w:r>
    </w:p>
    <w:p w14:paraId="142B1259" w14:textId="7DCC9770" w:rsidR="009233D6" w:rsidRPr="004B2B19" w:rsidRDefault="009233D6" w:rsidP="009233D6">
      <w:pPr>
        <w:pStyle w:val="Caption"/>
      </w:pPr>
      <w:bookmarkStart w:id="63" w:name="_Ref104805295"/>
      <w:r w:rsidRPr="004B2B19">
        <w:t xml:space="preserve">Table </w:t>
      </w:r>
      <w:r w:rsidR="00057B46" w:rsidRPr="004B2B19">
        <w:fldChar w:fldCharType="begin"/>
      </w:r>
      <w:r w:rsidR="00057B46" w:rsidRPr="004B2B19">
        <w:instrText xml:space="preserve"> SEQ Table \* ARABIC </w:instrText>
      </w:r>
      <w:r w:rsidR="00057B46" w:rsidRPr="004B2B19">
        <w:fldChar w:fldCharType="separate"/>
      </w:r>
      <w:r w:rsidR="00A037BC">
        <w:rPr>
          <w:noProof/>
        </w:rPr>
        <w:t>13</w:t>
      </w:r>
      <w:r w:rsidR="00057B46" w:rsidRPr="004B2B19">
        <w:rPr>
          <w:noProof/>
        </w:rPr>
        <w:fldChar w:fldCharType="end"/>
      </w:r>
      <w:bookmarkEnd w:id="63"/>
      <w:r w:rsidRPr="004B2B19">
        <w:t>:</w:t>
      </w:r>
      <w:r w:rsidRPr="004B2B19">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w:tblPr>
      <w:tblGrid>
        <w:gridCol w:w="2405"/>
        <w:gridCol w:w="1102"/>
        <w:gridCol w:w="1102"/>
        <w:gridCol w:w="1102"/>
        <w:gridCol w:w="1102"/>
        <w:gridCol w:w="1102"/>
        <w:gridCol w:w="1102"/>
      </w:tblGrid>
      <w:tr w:rsidR="009233D6" w:rsidRPr="004B2B19" w14:paraId="35151716" w14:textId="77777777">
        <w:trPr>
          <w:tblHeader/>
        </w:trPr>
        <w:tc>
          <w:tcPr>
            <w:tcW w:w="1334" w:type="pct"/>
            <w:vAlign w:val="center"/>
          </w:tcPr>
          <w:p w14:paraId="536BAC89" w14:textId="77777777" w:rsidR="009233D6" w:rsidRPr="004B2B19" w:rsidRDefault="009233D6">
            <w:pPr>
              <w:pStyle w:val="Tabletext"/>
            </w:pPr>
          </w:p>
        </w:tc>
        <w:tc>
          <w:tcPr>
            <w:tcW w:w="611" w:type="pct"/>
            <w:vAlign w:val="center"/>
          </w:tcPr>
          <w:p w14:paraId="64C6D331" w14:textId="7830B93F" w:rsidR="009233D6" w:rsidRPr="004B2B19" w:rsidRDefault="009233D6">
            <w:pPr>
              <w:pStyle w:val="Tabletext"/>
            </w:pPr>
            <w:r w:rsidRPr="004B2B19">
              <w:t>Year 1</w:t>
            </w:r>
          </w:p>
        </w:tc>
        <w:tc>
          <w:tcPr>
            <w:tcW w:w="611" w:type="pct"/>
            <w:vAlign w:val="center"/>
          </w:tcPr>
          <w:p w14:paraId="3AA0ED52" w14:textId="77777777" w:rsidR="009233D6" w:rsidRPr="004B2B19" w:rsidRDefault="009233D6">
            <w:pPr>
              <w:pStyle w:val="Tabletext"/>
            </w:pPr>
            <w:r w:rsidRPr="004B2B19">
              <w:t>Year 2</w:t>
            </w:r>
          </w:p>
        </w:tc>
        <w:tc>
          <w:tcPr>
            <w:tcW w:w="611" w:type="pct"/>
            <w:vAlign w:val="center"/>
          </w:tcPr>
          <w:p w14:paraId="4ABD398E" w14:textId="77777777" w:rsidR="009233D6" w:rsidRPr="004B2B19" w:rsidRDefault="009233D6">
            <w:pPr>
              <w:pStyle w:val="Tabletext"/>
            </w:pPr>
            <w:r w:rsidRPr="004B2B19">
              <w:t>Year 3</w:t>
            </w:r>
          </w:p>
        </w:tc>
        <w:tc>
          <w:tcPr>
            <w:tcW w:w="611" w:type="pct"/>
            <w:vAlign w:val="center"/>
          </w:tcPr>
          <w:p w14:paraId="5855E376" w14:textId="77777777" w:rsidR="009233D6" w:rsidRPr="004B2B19" w:rsidRDefault="009233D6">
            <w:pPr>
              <w:pStyle w:val="Tabletext"/>
            </w:pPr>
            <w:r w:rsidRPr="004B2B19">
              <w:t>Year 4</w:t>
            </w:r>
          </w:p>
        </w:tc>
        <w:tc>
          <w:tcPr>
            <w:tcW w:w="611" w:type="pct"/>
            <w:vAlign w:val="center"/>
          </w:tcPr>
          <w:p w14:paraId="72040EC4" w14:textId="77777777" w:rsidR="009233D6" w:rsidRPr="004B2B19" w:rsidRDefault="009233D6">
            <w:pPr>
              <w:pStyle w:val="Tabletext"/>
            </w:pPr>
            <w:r w:rsidRPr="004B2B19">
              <w:t>Year 5</w:t>
            </w:r>
          </w:p>
        </w:tc>
        <w:tc>
          <w:tcPr>
            <w:tcW w:w="611" w:type="pct"/>
          </w:tcPr>
          <w:p w14:paraId="20B75A6F" w14:textId="77777777" w:rsidR="009233D6" w:rsidRPr="004B2B19" w:rsidRDefault="009233D6">
            <w:pPr>
              <w:pStyle w:val="Tabletext"/>
            </w:pPr>
            <w:r w:rsidRPr="004B2B19">
              <w:t>Year 6</w:t>
            </w:r>
          </w:p>
        </w:tc>
      </w:tr>
      <w:tr w:rsidR="009233D6" w:rsidRPr="004B2B19" w14:paraId="3D296787" w14:textId="77777777">
        <w:tc>
          <w:tcPr>
            <w:tcW w:w="5000" w:type="pct"/>
            <w:gridSpan w:val="7"/>
            <w:vAlign w:val="center"/>
          </w:tcPr>
          <w:p w14:paraId="05237AC4" w14:textId="77777777" w:rsidR="009233D6" w:rsidRPr="004B2B19" w:rsidRDefault="009233D6">
            <w:pPr>
              <w:pStyle w:val="Tabletext"/>
              <w:rPr>
                <w:b/>
                <w:color w:val="000000"/>
              </w:rPr>
            </w:pPr>
            <w:r w:rsidRPr="004B2B19">
              <w:rPr>
                <w:b/>
                <w:color w:val="000000"/>
              </w:rPr>
              <w:t>Estimated extent of use</w:t>
            </w:r>
          </w:p>
        </w:tc>
      </w:tr>
      <w:tr w:rsidR="009233D6" w:rsidRPr="004B2B19" w14:paraId="38FAAEF8" w14:textId="77777777" w:rsidTr="00B1000C">
        <w:tc>
          <w:tcPr>
            <w:tcW w:w="1334" w:type="pct"/>
            <w:vAlign w:val="center"/>
          </w:tcPr>
          <w:p w14:paraId="787573F7" w14:textId="77777777" w:rsidR="009233D6" w:rsidRPr="004B2B19" w:rsidRDefault="009233D6">
            <w:pPr>
              <w:pStyle w:val="Tabletext"/>
              <w:rPr>
                <w:rFonts w:ascii="Times" w:hAnsi="Times"/>
              </w:rPr>
            </w:pPr>
            <w:r w:rsidRPr="004B2B19">
              <w:t>Number of scripts dispensed - substitution</w:t>
            </w:r>
          </w:p>
        </w:tc>
        <w:tc>
          <w:tcPr>
            <w:tcW w:w="611" w:type="pct"/>
            <w:vAlign w:val="center"/>
          </w:tcPr>
          <w:p w14:paraId="4CEEC756" w14:textId="649C8343" w:rsidR="009233D6" w:rsidRPr="004B2B19" w:rsidRDefault="0021270A">
            <w:pPr>
              <w:pStyle w:val="Tabletext"/>
              <w:rPr>
                <w:vertAlign w:val="superscript"/>
              </w:rPr>
            </w:pPr>
            <w:r w:rsidRPr="0021270A">
              <w:rPr>
                <w:highlight w:val="black"/>
              </w:rPr>
              <w:t>&amp;&amp;&amp;&amp;</w:t>
            </w:r>
            <w:r w:rsidR="00B1000C" w:rsidRPr="004B2B19">
              <w:rPr>
                <w:vertAlign w:val="superscript"/>
              </w:rPr>
              <w:t>2</w:t>
            </w:r>
          </w:p>
        </w:tc>
        <w:tc>
          <w:tcPr>
            <w:tcW w:w="611" w:type="pct"/>
            <w:vAlign w:val="center"/>
          </w:tcPr>
          <w:p w14:paraId="7F620AC6" w14:textId="2296D136" w:rsidR="009233D6" w:rsidRPr="004B2B19" w:rsidRDefault="0021270A">
            <w:pPr>
              <w:pStyle w:val="Tabletext"/>
            </w:pPr>
            <w:r w:rsidRPr="0021270A">
              <w:rPr>
                <w:highlight w:val="black"/>
              </w:rPr>
              <w:t>&amp;&amp;&amp;&amp;</w:t>
            </w:r>
            <w:r w:rsidR="00B1000C" w:rsidRPr="004B2B19">
              <w:rPr>
                <w:vertAlign w:val="superscript"/>
              </w:rPr>
              <w:t>2</w:t>
            </w:r>
          </w:p>
        </w:tc>
        <w:tc>
          <w:tcPr>
            <w:tcW w:w="611" w:type="pct"/>
            <w:vAlign w:val="center"/>
          </w:tcPr>
          <w:p w14:paraId="6F445AA4" w14:textId="78CA7321" w:rsidR="009233D6" w:rsidRPr="004B2B19" w:rsidRDefault="0021270A">
            <w:pPr>
              <w:pStyle w:val="Tabletext"/>
            </w:pPr>
            <w:r w:rsidRPr="0021270A">
              <w:rPr>
                <w:highlight w:val="black"/>
              </w:rPr>
              <w:t>&amp;&amp;&amp;&amp;</w:t>
            </w:r>
            <w:r w:rsidR="00B1000C" w:rsidRPr="004B2B19">
              <w:rPr>
                <w:vertAlign w:val="superscript"/>
              </w:rPr>
              <w:t>2</w:t>
            </w:r>
          </w:p>
        </w:tc>
        <w:tc>
          <w:tcPr>
            <w:tcW w:w="611" w:type="pct"/>
            <w:vAlign w:val="center"/>
          </w:tcPr>
          <w:p w14:paraId="2C564A6D" w14:textId="316C8C12" w:rsidR="009233D6" w:rsidRPr="004B2B19" w:rsidRDefault="0021270A" w:rsidP="00B1000C">
            <w:pPr>
              <w:pStyle w:val="Tabletext"/>
            </w:pPr>
            <w:r w:rsidRPr="0021270A">
              <w:rPr>
                <w:highlight w:val="black"/>
              </w:rPr>
              <w:t>&amp;&amp;&amp;&amp;</w:t>
            </w:r>
            <w:r w:rsidR="00B1000C" w:rsidRPr="004B2B19">
              <w:rPr>
                <w:rStyle w:val="CommentReference"/>
                <w:vertAlign w:val="superscript"/>
              </w:rPr>
              <w:t>3</w:t>
            </w:r>
          </w:p>
        </w:tc>
        <w:tc>
          <w:tcPr>
            <w:tcW w:w="611" w:type="pct"/>
            <w:vAlign w:val="center"/>
          </w:tcPr>
          <w:p w14:paraId="05721364" w14:textId="24054413" w:rsidR="009233D6" w:rsidRPr="004B2B19" w:rsidRDefault="0021270A" w:rsidP="00B1000C">
            <w:pPr>
              <w:pStyle w:val="Tabletext"/>
            </w:pPr>
            <w:r w:rsidRPr="0021270A">
              <w:rPr>
                <w:highlight w:val="black"/>
              </w:rPr>
              <w:t>&amp;&amp;&amp;&amp;</w:t>
            </w:r>
            <w:r w:rsidR="00B1000C" w:rsidRPr="004B2B19">
              <w:rPr>
                <w:rStyle w:val="CommentReference"/>
                <w:vertAlign w:val="superscript"/>
              </w:rPr>
              <w:t>3</w:t>
            </w:r>
          </w:p>
        </w:tc>
        <w:tc>
          <w:tcPr>
            <w:tcW w:w="611" w:type="pct"/>
            <w:vAlign w:val="center"/>
          </w:tcPr>
          <w:p w14:paraId="045E8400" w14:textId="2B5D3BAC" w:rsidR="009233D6" w:rsidRPr="004B2B19" w:rsidRDefault="0021270A" w:rsidP="00B1000C">
            <w:pPr>
              <w:pStyle w:val="Tabletext"/>
            </w:pPr>
            <w:r w:rsidRPr="0021270A">
              <w:rPr>
                <w:highlight w:val="black"/>
              </w:rPr>
              <w:t>&amp;&amp;&amp;&amp;</w:t>
            </w:r>
            <w:r w:rsidR="00B1000C" w:rsidRPr="004B2B19">
              <w:rPr>
                <w:rStyle w:val="CommentReference"/>
                <w:vertAlign w:val="superscript"/>
              </w:rPr>
              <w:t>3</w:t>
            </w:r>
          </w:p>
        </w:tc>
      </w:tr>
      <w:tr w:rsidR="009233D6" w:rsidRPr="004B2B19" w14:paraId="44B0CBEF" w14:textId="77777777" w:rsidTr="00B1000C">
        <w:tc>
          <w:tcPr>
            <w:tcW w:w="1334" w:type="pct"/>
            <w:vAlign w:val="center"/>
          </w:tcPr>
          <w:p w14:paraId="04173810" w14:textId="77777777" w:rsidR="009233D6" w:rsidRPr="004B2B19" w:rsidRDefault="009233D6">
            <w:pPr>
              <w:pStyle w:val="Tabletext"/>
              <w:rPr>
                <w:rFonts w:ascii="Times" w:hAnsi="Times"/>
              </w:rPr>
            </w:pPr>
            <w:r w:rsidRPr="004B2B19">
              <w:t xml:space="preserve">Number of scripts dispensed- incremental </w:t>
            </w:r>
          </w:p>
        </w:tc>
        <w:tc>
          <w:tcPr>
            <w:tcW w:w="611" w:type="pct"/>
            <w:vAlign w:val="center"/>
          </w:tcPr>
          <w:p w14:paraId="09CE7ABC" w14:textId="168A5885" w:rsidR="009233D6" w:rsidRPr="004B2B19" w:rsidRDefault="0021270A">
            <w:pPr>
              <w:pStyle w:val="Tabletext"/>
              <w:rPr>
                <w:vertAlign w:val="superscript"/>
              </w:rPr>
            </w:pPr>
            <w:r w:rsidRPr="0021270A">
              <w:rPr>
                <w:highlight w:val="black"/>
              </w:rPr>
              <w:t>&amp;&amp;&amp;&amp;</w:t>
            </w:r>
            <w:r w:rsidR="008F400F" w:rsidRPr="004B2B19">
              <w:rPr>
                <w:vertAlign w:val="superscript"/>
              </w:rPr>
              <w:t>1</w:t>
            </w:r>
          </w:p>
        </w:tc>
        <w:tc>
          <w:tcPr>
            <w:tcW w:w="611" w:type="pct"/>
            <w:vAlign w:val="center"/>
          </w:tcPr>
          <w:p w14:paraId="51472542" w14:textId="4F2BE842" w:rsidR="009233D6" w:rsidRPr="004B2B19" w:rsidRDefault="0021270A">
            <w:pPr>
              <w:pStyle w:val="Tabletext"/>
            </w:pPr>
            <w:r w:rsidRPr="0021270A">
              <w:rPr>
                <w:highlight w:val="black"/>
              </w:rPr>
              <w:t>&amp;&amp;&amp;&amp;</w:t>
            </w:r>
            <w:r w:rsidR="00B1000C" w:rsidRPr="004B2B19">
              <w:rPr>
                <w:vertAlign w:val="superscript"/>
              </w:rPr>
              <w:t>2</w:t>
            </w:r>
          </w:p>
        </w:tc>
        <w:tc>
          <w:tcPr>
            <w:tcW w:w="611" w:type="pct"/>
            <w:vAlign w:val="center"/>
          </w:tcPr>
          <w:p w14:paraId="316D4033" w14:textId="7E0FF6AA" w:rsidR="009233D6" w:rsidRPr="004B2B19" w:rsidRDefault="0021270A">
            <w:pPr>
              <w:pStyle w:val="Tabletext"/>
            </w:pPr>
            <w:r w:rsidRPr="0021270A">
              <w:rPr>
                <w:highlight w:val="black"/>
              </w:rPr>
              <w:t>&amp;&amp;&amp;&amp;</w:t>
            </w:r>
            <w:r w:rsidR="00B1000C" w:rsidRPr="004B2B19">
              <w:rPr>
                <w:vertAlign w:val="superscript"/>
              </w:rPr>
              <w:t>2</w:t>
            </w:r>
          </w:p>
        </w:tc>
        <w:tc>
          <w:tcPr>
            <w:tcW w:w="611" w:type="pct"/>
            <w:vAlign w:val="center"/>
          </w:tcPr>
          <w:p w14:paraId="4744BB98" w14:textId="79989D82" w:rsidR="009233D6" w:rsidRPr="004B2B19" w:rsidRDefault="0021270A" w:rsidP="00B1000C">
            <w:pPr>
              <w:pStyle w:val="Tabletext"/>
              <w:rPr>
                <w:vertAlign w:val="superscript"/>
              </w:rPr>
            </w:pPr>
            <w:r w:rsidRPr="0021270A">
              <w:rPr>
                <w:highlight w:val="black"/>
              </w:rPr>
              <w:t>&amp;&amp;&amp;&amp;</w:t>
            </w:r>
            <w:r w:rsidR="00B1000C" w:rsidRPr="004B2B19">
              <w:rPr>
                <w:vertAlign w:val="superscript"/>
              </w:rPr>
              <w:t>2</w:t>
            </w:r>
          </w:p>
        </w:tc>
        <w:tc>
          <w:tcPr>
            <w:tcW w:w="611" w:type="pct"/>
            <w:vAlign w:val="center"/>
          </w:tcPr>
          <w:p w14:paraId="32DD929B" w14:textId="11890EE2" w:rsidR="009233D6" w:rsidRPr="004B2B19" w:rsidRDefault="0021270A" w:rsidP="00B1000C">
            <w:pPr>
              <w:pStyle w:val="Tabletext"/>
            </w:pPr>
            <w:r w:rsidRPr="0021270A">
              <w:rPr>
                <w:highlight w:val="black"/>
              </w:rPr>
              <w:t>&amp;&amp;&amp;&amp;</w:t>
            </w:r>
            <w:r w:rsidR="00B1000C" w:rsidRPr="004B2B19">
              <w:rPr>
                <w:vertAlign w:val="superscript"/>
              </w:rPr>
              <w:t>2</w:t>
            </w:r>
          </w:p>
        </w:tc>
        <w:tc>
          <w:tcPr>
            <w:tcW w:w="611" w:type="pct"/>
            <w:vAlign w:val="center"/>
          </w:tcPr>
          <w:p w14:paraId="794E1CB9" w14:textId="4CE70F05" w:rsidR="009233D6" w:rsidRPr="004B2B19" w:rsidRDefault="0021270A" w:rsidP="00B1000C">
            <w:pPr>
              <w:pStyle w:val="Tabletext"/>
            </w:pPr>
            <w:r w:rsidRPr="0021270A">
              <w:rPr>
                <w:highlight w:val="black"/>
              </w:rPr>
              <w:t>&amp;&amp;&amp;&amp;</w:t>
            </w:r>
            <w:r w:rsidR="00B1000C" w:rsidRPr="004B2B19">
              <w:rPr>
                <w:vertAlign w:val="superscript"/>
              </w:rPr>
              <w:t>2</w:t>
            </w:r>
          </w:p>
        </w:tc>
      </w:tr>
      <w:tr w:rsidR="009233D6" w:rsidRPr="004B2B19" w14:paraId="4B0B1D1F" w14:textId="77777777">
        <w:tc>
          <w:tcPr>
            <w:tcW w:w="1334" w:type="pct"/>
            <w:vAlign w:val="center"/>
          </w:tcPr>
          <w:p w14:paraId="4D8C6ADD" w14:textId="77777777" w:rsidR="009233D6" w:rsidRPr="004B2B19" w:rsidRDefault="009233D6">
            <w:pPr>
              <w:pStyle w:val="Tabletext"/>
            </w:pPr>
            <w:r w:rsidRPr="004B2B19">
              <w:t>Total items/packs</w:t>
            </w:r>
          </w:p>
        </w:tc>
        <w:tc>
          <w:tcPr>
            <w:tcW w:w="611" w:type="pct"/>
            <w:vAlign w:val="center"/>
          </w:tcPr>
          <w:p w14:paraId="1EEC6E5D" w14:textId="1D868C7B" w:rsidR="009233D6" w:rsidRPr="004B2B19" w:rsidRDefault="0021270A">
            <w:pPr>
              <w:pStyle w:val="Tabletext"/>
            </w:pPr>
            <w:r w:rsidRPr="0021270A">
              <w:rPr>
                <w:highlight w:val="black"/>
              </w:rPr>
              <w:t>&amp;&amp;&amp;&amp;</w:t>
            </w:r>
            <w:r w:rsidR="00B1000C" w:rsidRPr="004B2B19">
              <w:rPr>
                <w:vertAlign w:val="superscript"/>
              </w:rPr>
              <w:t>2</w:t>
            </w:r>
          </w:p>
        </w:tc>
        <w:tc>
          <w:tcPr>
            <w:tcW w:w="611" w:type="pct"/>
            <w:vAlign w:val="center"/>
          </w:tcPr>
          <w:p w14:paraId="6F52A399" w14:textId="0D6B3130" w:rsidR="009233D6" w:rsidRPr="004B2B19" w:rsidRDefault="0021270A">
            <w:pPr>
              <w:pStyle w:val="Tabletext"/>
            </w:pPr>
            <w:r w:rsidRPr="0021270A">
              <w:rPr>
                <w:highlight w:val="black"/>
              </w:rPr>
              <w:t>&amp;&amp;&amp;&amp;</w:t>
            </w:r>
            <w:r w:rsidR="00B1000C" w:rsidRPr="004B2B19">
              <w:rPr>
                <w:vertAlign w:val="superscript"/>
              </w:rPr>
              <w:t>2</w:t>
            </w:r>
          </w:p>
        </w:tc>
        <w:tc>
          <w:tcPr>
            <w:tcW w:w="611" w:type="pct"/>
            <w:vAlign w:val="center"/>
          </w:tcPr>
          <w:p w14:paraId="505B1F2A" w14:textId="23ABCC3F" w:rsidR="009233D6" w:rsidRPr="004B2B19" w:rsidRDefault="0021270A">
            <w:pPr>
              <w:pStyle w:val="Tabletext"/>
            </w:pPr>
            <w:r w:rsidRPr="0021270A">
              <w:rPr>
                <w:highlight w:val="black"/>
              </w:rPr>
              <w:t>&amp;&amp;&amp;&amp;</w:t>
            </w:r>
            <w:r w:rsidR="00B1000C" w:rsidRPr="004B2B19">
              <w:rPr>
                <w:rStyle w:val="CommentReference"/>
                <w:vertAlign w:val="superscript"/>
              </w:rPr>
              <w:t>3</w:t>
            </w:r>
          </w:p>
        </w:tc>
        <w:tc>
          <w:tcPr>
            <w:tcW w:w="611" w:type="pct"/>
          </w:tcPr>
          <w:p w14:paraId="52C76E64" w14:textId="4A2D5CBA" w:rsidR="009233D6" w:rsidRPr="004B2B19" w:rsidRDefault="0021270A">
            <w:pPr>
              <w:pStyle w:val="Tabletext"/>
            </w:pPr>
            <w:r w:rsidRPr="0021270A">
              <w:rPr>
                <w:highlight w:val="black"/>
              </w:rPr>
              <w:t>&amp;&amp;&amp;&amp;</w:t>
            </w:r>
            <w:r w:rsidR="00B1000C" w:rsidRPr="004B2B19">
              <w:rPr>
                <w:rStyle w:val="CommentReference"/>
                <w:vertAlign w:val="superscript"/>
              </w:rPr>
              <w:t>3</w:t>
            </w:r>
            <w:r w:rsidR="009233D6" w:rsidRPr="004B2B19">
              <w:t xml:space="preserve"> </w:t>
            </w:r>
          </w:p>
        </w:tc>
        <w:tc>
          <w:tcPr>
            <w:tcW w:w="611" w:type="pct"/>
          </w:tcPr>
          <w:p w14:paraId="47E2CDE4" w14:textId="65AA1F00" w:rsidR="009233D6" w:rsidRPr="004B2B19" w:rsidRDefault="0021270A">
            <w:pPr>
              <w:pStyle w:val="Tabletext"/>
            </w:pPr>
            <w:r w:rsidRPr="0021270A">
              <w:rPr>
                <w:highlight w:val="black"/>
              </w:rPr>
              <w:t>&amp;&amp;&amp;&amp;</w:t>
            </w:r>
            <w:r w:rsidR="00B1000C" w:rsidRPr="004B2B19">
              <w:rPr>
                <w:rStyle w:val="CommentReference"/>
                <w:vertAlign w:val="superscript"/>
              </w:rPr>
              <w:t>4</w:t>
            </w:r>
            <w:r w:rsidR="009233D6" w:rsidRPr="004B2B19">
              <w:t xml:space="preserve"> </w:t>
            </w:r>
          </w:p>
        </w:tc>
        <w:tc>
          <w:tcPr>
            <w:tcW w:w="611" w:type="pct"/>
          </w:tcPr>
          <w:p w14:paraId="63017C51" w14:textId="66BF1088" w:rsidR="009233D6" w:rsidRPr="004B2B19" w:rsidRDefault="0021270A">
            <w:pPr>
              <w:pStyle w:val="Tabletext"/>
            </w:pPr>
            <w:r w:rsidRPr="0021270A">
              <w:rPr>
                <w:highlight w:val="black"/>
              </w:rPr>
              <w:t>&amp;&amp;&amp;&amp;</w:t>
            </w:r>
            <w:r w:rsidR="00B1000C" w:rsidRPr="004B2B19">
              <w:rPr>
                <w:rStyle w:val="CommentReference"/>
                <w:vertAlign w:val="superscript"/>
              </w:rPr>
              <w:t>4</w:t>
            </w:r>
            <w:r w:rsidR="009233D6" w:rsidRPr="004B2B19">
              <w:t xml:space="preserve"> </w:t>
            </w:r>
          </w:p>
        </w:tc>
      </w:tr>
      <w:tr w:rsidR="009233D6" w:rsidRPr="004B2B19" w14:paraId="4BF5A44A" w14:textId="77777777">
        <w:tc>
          <w:tcPr>
            <w:tcW w:w="5000" w:type="pct"/>
            <w:gridSpan w:val="7"/>
            <w:vAlign w:val="center"/>
          </w:tcPr>
          <w:p w14:paraId="0469051C" w14:textId="77777777" w:rsidR="009233D6" w:rsidRPr="004B2B19" w:rsidRDefault="009233D6">
            <w:pPr>
              <w:pStyle w:val="Tabletext"/>
              <w:rPr>
                <w:b/>
                <w:bCs/>
              </w:rPr>
            </w:pPr>
            <w:r w:rsidRPr="004B2B19">
              <w:rPr>
                <w:b/>
                <w:bCs/>
              </w:rPr>
              <w:t>Estimated financial implications of fenfluramine</w:t>
            </w:r>
          </w:p>
        </w:tc>
      </w:tr>
      <w:tr w:rsidR="009233D6" w:rsidRPr="004B2B19" w14:paraId="4E7CC65B" w14:textId="77777777">
        <w:tc>
          <w:tcPr>
            <w:tcW w:w="1334" w:type="pct"/>
            <w:vAlign w:val="center"/>
          </w:tcPr>
          <w:p w14:paraId="29AC8FAA" w14:textId="77777777" w:rsidR="009233D6" w:rsidRPr="004B2B19" w:rsidRDefault="009233D6">
            <w:pPr>
              <w:pStyle w:val="Tabletext"/>
            </w:pPr>
            <w:r w:rsidRPr="004B2B19">
              <w:t>Cost to PBS/RPBS less copayments</w:t>
            </w:r>
          </w:p>
        </w:tc>
        <w:tc>
          <w:tcPr>
            <w:tcW w:w="611" w:type="pct"/>
          </w:tcPr>
          <w:p w14:paraId="5C102BFF" w14:textId="1008FE33"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7374BB29" w14:textId="3435D11B"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6</w:t>
            </w:r>
          </w:p>
        </w:tc>
        <w:tc>
          <w:tcPr>
            <w:tcW w:w="611" w:type="pct"/>
          </w:tcPr>
          <w:p w14:paraId="603D18D1" w14:textId="167F6DE6"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6</w:t>
            </w:r>
          </w:p>
        </w:tc>
        <w:tc>
          <w:tcPr>
            <w:tcW w:w="611" w:type="pct"/>
          </w:tcPr>
          <w:p w14:paraId="22EDEC9C" w14:textId="0EB31A94"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7</w:t>
            </w:r>
          </w:p>
        </w:tc>
        <w:tc>
          <w:tcPr>
            <w:tcW w:w="611" w:type="pct"/>
          </w:tcPr>
          <w:p w14:paraId="1C9AD89E" w14:textId="4F5AFECC"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7</w:t>
            </w:r>
          </w:p>
        </w:tc>
        <w:tc>
          <w:tcPr>
            <w:tcW w:w="611" w:type="pct"/>
          </w:tcPr>
          <w:p w14:paraId="7B74E4DC" w14:textId="6BBEF2B4"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8</w:t>
            </w:r>
          </w:p>
        </w:tc>
      </w:tr>
      <w:tr w:rsidR="009233D6" w:rsidRPr="004B2B19" w14:paraId="5936986B" w14:textId="77777777">
        <w:tc>
          <w:tcPr>
            <w:tcW w:w="5000" w:type="pct"/>
            <w:gridSpan w:val="7"/>
            <w:vAlign w:val="center"/>
          </w:tcPr>
          <w:p w14:paraId="23D26342" w14:textId="77777777" w:rsidR="009233D6" w:rsidRPr="004B2B19" w:rsidRDefault="009233D6">
            <w:pPr>
              <w:pStyle w:val="Tabletext"/>
              <w:rPr>
                <w:b/>
                <w:bCs/>
              </w:rPr>
            </w:pPr>
            <w:r w:rsidRPr="004B2B19">
              <w:rPr>
                <w:b/>
                <w:bCs/>
              </w:rPr>
              <w:t>Estimated financial implications for cannabidiol</w:t>
            </w:r>
          </w:p>
        </w:tc>
      </w:tr>
      <w:tr w:rsidR="009233D6" w:rsidRPr="004B2B19" w14:paraId="52C475DB" w14:textId="77777777">
        <w:tc>
          <w:tcPr>
            <w:tcW w:w="1334" w:type="pct"/>
            <w:vAlign w:val="center"/>
          </w:tcPr>
          <w:p w14:paraId="1E82189D" w14:textId="77777777" w:rsidR="009233D6" w:rsidRPr="004B2B19" w:rsidRDefault="009233D6">
            <w:pPr>
              <w:pStyle w:val="Tabletext"/>
            </w:pPr>
            <w:r w:rsidRPr="004B2B19">
              <w:t>Cost to PBS/RPBS less copayments</w:t>
            </w:r>
          </w:p>
        </w:tc>
        <w:tc>
          <w:tcPr>
            <w:tcW w:w="611" w:type="pct"/>
          </w:tcPr>
          <w:p w14:paraId="7FF70D68" w14:textId="046C300B"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43CA4ED5" w14:textId="37D6252D"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433F2B8D" w14:textId="61CF4F4B"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6</w:t>
            </w:r>
          </w:p>
        </w:tc>
        <w:tc>
          <w:tcPr>
            <w:tcW w:w="611" w:type="pct"/>
          </w:tcPr>
          <w:p w14:paraId="6976A8D2" w14:textId="5368FC19"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7</w:t>
            </w:r>
          </w:p>
        </w:tc>
        <w:tc>
          <w:tcPr>
            <w:tcW w:w="611" w:type="pct"/>
          </w:tcPr>
          <w:p w14:paraId="08377003" w14:textId="6CD385CA"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7</w:t>
            </w:r>
          </w:p>
        </w:tc>
        <w:tc>
          <w:tcPr>
            <w:tcW w:w="611" w:type="pct"/>
          </w:tcPr>
          <w:p w14:paraId="51D0CFE5" w14:textId="38DCF297" w:rsidR="009233D6" w:rsidRPr="004B2B19" w:rsidRDefault="009233D6">
            <w:pPr>
              <w:pStyle w:val="Tabletext"/>
            </w:pPr>
            <w:r w:rsidRPr="004B2B19">
              <w:t>-$</w:t>
            </w:r>
            <w:r w:rsidR="0021270A" w:rsidRPr="0021270A">
              <w:rPr>
                <w:highlight w:val="black"/>
              </w:rPr>
              <w:t>&amp;&amp;&amp;&amp;</w:t>
            </w:r>
            <w:r w:rsidR="00A12A35" w:rsidRPr="004B2B19">
              <w:rPr>
                <w:rStyle w:val="CommentReference"/>
                <w:vertAlign w:val="superscript"/>
              </w:rPr>
              <w:t>7</w:t>
            </w:r>
          </w:p>
        </w:tc>
      </w:tr>
      <w:tr w:rsidR="009233D6" w:rsidRPr="004B2B19" w14:paraId="16DDD264" w14:textId="77777777">
        <w:tc>
          <w:tcPr>
            <w:tcW w:w="5000" w:type="pct"/>
            <w:gridSpan w:val="7"/>
            <w:vAlign w:val="center"/>
          </w:tcPr>
          <w:p w14:paraId="55EA4174" w14:textId="77777777" w:rsidR="009233D6" w:rsidRPr="004B2B19" w:rsidRDefault="009233D6">
            <w:pPr>
              <w:pStyle w:val="Tabletext"/>
              <w:rPr>
                <w:b/>
                <w:bCs/>
              </w:rPr>
            </w:pPr>
            <w:r w:rsidRPr="004B2B19">
              <w:rPr>
                <w:b/>
                <w:bCs/>
              </w:rPr>
              <w:t>Net financial implications</w:t>
            </w:r>
            <w:r w:rsidRPr="004B2B19">
              <w:rPr>
                <w:b/>
                <w:bCs/>
                <w:color w:val="4BACC6" w:themeColor="accent5"/>
              </w:rPr>
              <w:t xml:space="preserve"> </w:t>
            </w:r>
          </w:p>
        </w:tc>
      </w:tr>
      <w:tr w:rsidR="009233D6" w:rsidRPr="004B2B19" w14:paraId="72F80411" w14:textId="77777777">
        <w:tc>
          <w:tcPr>
            <w:tcW w:w="1334" w:type="pct"/>
            <w:vAlign w:val="center"/>
          </w:tcPr>
          <w:p w14:paraId="56DCF23C" w14:textId="77777777" w:rsidR="009233D6" w:rsidRPr="004B2B19" w:rsidRDefault="009233D6">
            <w:pPr>
              <w:pStyle w:val="Tabletext"/>
            </w:pPr>
            <w:r w:rsidRPr="004B2B19">
              <w:t>Net cost to PBS/RPBS</w:t>
            </w:r>
          </w:p>
        </w:tc>
        <w:tc>
          <w:tcPr>
            <w:tcW w:w="611" w:type="pct"/>
          </w:tcPr>
          <w:p w14:paraId="7545D291" w14:textId="0B7C0729"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12ABFEAA" w14:textId="0D30D26F"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6B556824" w14:textId="662ED1DB"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4689299C" w14:textId="7DFE9D62"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170E1B2B" w14:textId="1B8A9734"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Pr>
          <w:p w14:paraId="1334FDC4" w14:textId="15AEE6C8"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r>
      <w:tr w:rsidR="009233D6" w:rsidRPr="004B2B19" w14:paraId="327D6636" w14:textId="77777777">
        <w:tc>
          <w:tcPr>
            <w:tcW w:w="1334" w:type="pct"/>
            <w:vAlign w:val="center"/>
          </w:tcPr>
          <w:p w14:paraId="2FC10566" w14:textId="77777777" w:rsidR="009233D6" w:rsidRPr="004B2B19" w:rsidRDefault="009233D6">
            <w:pPr>
              <w:pStyle w:val="Tabletext"/>
              <w:rPr>
                <w:rFonts w:ascii="Times" w:hAnsi="Times"/>
              </w:rPr>
            </w:pPr>
            <w:r w:rsidRPr="004B2B19">
              <w:t>Net cost to MBS</w:t>
            </w:r>
          </w:p>
        </w:tc>
        <w:tc>
          <w:tcPr>
            <w:tcW w:w="611" w:type="pct"/>
            <w:tcBorders>
              <w:bottom w:val="single" w:sz="4" w:space="0" w:color="auto"/>
            </w:tcBorders>
          </w:tcPr>
          <w:p w14:paraId="1AF8F23F" w14:textId="10B94AD4"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Borders>
              <w:bottom w:val="single" w:sz="4" w:space="0" w:color="auto"/>
            </w:tcBorders>
          </w:tcPr>
          <w:p w14:paraId="5B722CB5" w14:textId="357F791B"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Borders>
              <w:bottom w:val="single" w:sz="4" w:space="0" w:color="auto"/>
            </w:tcBorders>
          </w:tcPr>
          <w:p w14:paraId="462A0314" w14:textId="52C3D13D"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Borders>
              <w:bottom w:val="single" w:sz="4" w:space="0" w:color="auto"/>
            </w:tcBorders>
          </w:tcPr>
          <w:p w14:paraId="54C5029C" w14:textId="352889E0"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Borders>
              <w:bottom w:val="single" w:sz="4" w:space="0" w:color="auto"/>
            </w:tcBorders>
          </w:tcPr>
          <w:p w14:paraId="25020D8A" w14:textId="3E6DCF6E"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c>
          <w:tcPr>
            <w:tcW w:w="611" w:type="pct"/>
            <w:tcBorders>
              <w:bottom w:val="single" w:sz="4" w:space="0" w:color="auto"/>
            </w:tcBorders>
          </w:tcPr>
          <w:p w14:paraId="5ACE2C11" w14:textId="5705EBF0"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p>
        </w:tc>
      </w:tr>
      <w:tr w:rsidR="009233D6" w:rsidRPr="004B2B19" w14:paraId="609B5DD2" w14:textId="77777777">
        <w:tc>
          <w:tcPr>
            <w:tcW w:w="1334" w:type="pct"/>
            <w:vAlign w:val="center"/>
          </w:tcPr>
          <w:p w14:paraId="0FC6FDE3" w14:textId="77777777" w:rsidR="009233D6" w:rsidRPr="004B2B19" w:rsidRDefault="009233D6">
            <w:pPr>
              <w:pStyle w:val="Tabletext"/>
            </w:pPr>
            <w:r w:rsidRPr="004B2B19">
              <w:t>Net cost to PBS/RPBS/MBS</w:t>
            </w:r>
          </w:p>
        </w:tc>
        <w:tc>
          <w:tcPr>
            <w:tcW w:w="611" w:type="pct"/>
            <w:tcBorders>
              <w:top w:val="single" w:sz="4" w:space="0" w:color="auto"/>
              <w:left w:val="nil"/>
              <w:bottom w:val="single" w:sz="4" w:space="0" w:color="auto"/>
              <w:right w:val="single" w:sz="4" w:space="0" w:color="auto"/>
            </w:tcBorders>
            <w:vAlign w:val="bottom"/>
          </w:tcPr>
          <w:p w14:paraId="60069FE4" w14:textId="40FD1956"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r w:rsidRPr="004B2B19">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930D108" w14:textId="4FF2B24C"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r w:rsidRPr="004B2B19">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0D00CA0" w14:textId="4FFA1588"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r w:rsidRPr="004B2B19">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2881458C" w14:textId="7CAF2F97"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r w:rsidRPr="004B2B19">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0255C329" w14:textId="0C453F49"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r w:rsidRPr="004B2B19">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2F2CB152" w14:textId="3B0471F8" w:rsidR="009233D6" w:rsidRPr="004B2B19" w:rsidRDefault="009233D6">
            <w:pPr>
              <w:pStyle w:val="Tabletext"/>
            </w:pPr>
            <w:r w:rsidRPr="004B2B19">
              <w:t>$</w:t>
            </w:r>
            <w:r w:rsidR="0021270A" w:rsidRPr="0021270A">
              <w:rPr>
                <w:highlight w:val="black"/>
              </w:rPr>
              <w:t>&amp;&amp;&amp;&amp;</w:t>
            </w:r>
            <w:r w:rsidR="00033A3A" w:rsidRPr="004B2B19">
              <w:rPr>
                <w:rStyle w:val="CommentReference"/>
                <w:vertAlign w:val="superscript"/>
              </w:rPr>
              <w:t>5</w:t>
            </w:r>
            <w:r w:rsidRPr="004B2B19">
              <w:t xml:space="preserve"> </w:t>
            </w:r>
          </w:p>
        </w:tc>
      </w:tr>
    </w:tbl>
    <w:p w14:paraId="436B39A0" w14:textId="21FE85F8" w:rsidR="009233D6" w:rsidRPr="004B2B19" w:rsidRDefault="009233D6" w:rsidP="009233D6">
      <w:pPr>
        <w:pStyle w:val="FooterTableFigure"/>
      </w:pPr>
      <w:r w:rsidRPr="004B2B19">
        <w:t>Source: Tables 4.6, 4.7 and 4.8, pp138-9; Tables 4.9 and 4.19, pp140 and 141 of the submission.</w:t>
      </w:r>
    </w:p>
    <w:p w14:paraId="792FA772" w14:textId="30ED94B3" w:rsidR="00C22473" w:rsidRPr="004B2B19" w:rsidRDefault="00C22473" w:rsidP="009233D6">
      <w:pPr>
        <w:pStyle w:val="FooterTableFigure"/>
        <w:rPr>
          <w:i/>
          <w:iCs/>
        </w:rPr>
      </w:pPr>
      <w:r w:rsidRPr="004B2B19">
        <w:rPr>
          <w:i/>
          <w:iCs/>
        </w:rPr>
        <w:t>The redacted values correspond to the following ranges:</w:t>
      </w:r>
    </w:p>
    <w:p w14:paraId="7EE6B7E3" w14:textId="44502722" w:rsidR="008F400F" w:rsidRPr="004B2B19" w:rsidRDefault="008F400F" w:rsidP="008F400F">
      <w:pPr>
        <w:pStyle w:val="FooterTableFigure"/>
        <w:rPr>
          <w:rStyle w:val="CommentReference"/>
          <w:b w:val="0"/>
          <w:bCs/>
          <w:i/>
          <w:iCs/>
          <w:sz w:val="18"/>
          <w:szCs w:val="18"/>
        </w:rPr>
      </w:pPr>
      <w:r w:rsidRPr="004B2B19">
        <w:rPr>
          <w:rStyle w:val="CommentReference"/>
          <w:b w:val="0"/>
          <w:bCs/>
          <w:i/>
          <w:iCs/>
          <w:sz w:val="18"/>
          <w:szCs w:val="18"/>
          <w:vertAlign w:val="superscript"/>
        </w:rPr>
        <w:t>1</w:t>
      </w:r>
      <w:r w:rsidR="00FE48C4">
        <w:rPr>
          <w:rStyle w:val="CommentReference"/>
          <w:b w:val="0"/>
          <w:bCs/>
          <w:i/>
          <w:iCs/>
          <w:sz w:val="18"/>
          <w:szCs w:val="18"/>
          <w:vertAlign w:val="superscript"/>
        </w:rPr>
        <w:t xml:space="preserve"> </w:t>
      </w:r>
      <w:r w:rsidRPr="004B2B19">
        <w:rPr>
          <w:rStyle w:val="CommentReference"/>
          <w:b w:val="0"/>
          <w:bCs/>
          <w:i/>
          <w:iCs/>
          <w:sz w:val="18"/>
          <w:szCs w:val="18"/>
        </w:rPr>
        <w:t>&lt; 500</w:t>
      </w:r>
    </w:p>
    <w:p w14:paraId="74296FEE" w14:textId="51FA255B" w:rsidR="008F400F" w:rsidRPr="004B2B19" w:rsidRDefault="00B1000C" w:rsidP="008F400F">
      <w:pPr>
        <w:pStyle w:val="FooterTableFigure"/>
        <w:rPr>
          <w:rStyle w:val="CommentReference"/>
          <w:b w:val="0"/>
          <w:bCs/>
          <w:i/>
          <w:iCs/>
          <w:sz w:val="18"/>
          <w:szCs w:val="18"/>
        </w:rPr>
      </w:pPr>
      <w:r w:rsidRPr="004B2B19">
        <w:rPr>
          <w:rStyle w:val="CommentReference"/>
          <w:b w:val="0"/>
          <w:bCs/>
          <w:i/>
          <w:iCs/>
          <w:sz w:val="18"/>
          <w:szCs w:val="18"/>
          <w:vertAlign w:val="superscript"/>
        </w:rPr>
        <w:t>2</w:t>
      </w:r>
      <w:r w:rsidR="00FE48C4">
        <w:rPr>
          <w:rStyle w:val="CommentReference"/>
          <w:b w:val="0"/>
          <w:bCs/>
          <w:i/>
          <w:iCs/>
          <w:sz w:val="18"/>
          <w:szCs w:val="18"/>
          <w:vertAlign w:val="superscript"/>
        </w:rPr>
        <w:t xml:space="preserve"> </w:t>
      </w:r>
      <w:r w:rsidR="008F400F" w:rsidRPr="004B2B19">
        <w:rPr>
          <w:rStyle w:val="CommentReference"/>
          <w:b w:val="0"/>
          <w:bCs/>
          <w:i/>
          <w:iCs/>
          <w:sz w:val="18"/>
          <w:szCs w:val="18"/>
        </w:rPr>
        <w:t>500 to &lt; 5,000</w:t>
      </w:r>
    </w:p>
    <w:p w14:paraId="74B7F006" w14:textId="04780461" w:rsidR="008F400F" w:rsidRPr="004B2B19" w:rsidRDefault="00B1000C" w:rsidP="008F400F">
      <w:pPr>
        <w:pStyle w:val="FooterTableFigure"/>
        <w:rPr>
          <w:rStyle w:val="CommentReference"/>
          <w:b w:val="0"/>
          <w:bCs/>
          <w:i/>
          <w:iCs/>
          <w:sz w:val="18"/>
          <w:szCs w:val="18"/>
        </w:rPr>
      </w:pPr>
      <w:r w:rsidRPr="004B2B19">
        <w:rPr>
          <w:rStyle w:val="CommentReference"/>
          <w:b w:val="0"/>
          <w:bCs/>
          <w:i/>
          <w:iCs/>
          <w:sz w:val="18"/>
          <w:szCs w:val="18"/>
          <w:vertAlign w:val="superscript"/>
        </w:rPr>
        <w:t>3</w:t>
      </w:r>
      <w:r w:rsidR="00FE48C4">
        <w:rPr>
          <w:rStyle w:val="CommentReference"/>
          <w:b w:val="0"/>
          <w:bCs/>
          <w:i/>
          <w:iCs/>
          <w:sz w:val="18"/>
          <w:szCs w:val="18"/>
          <w:vertAlign w:val="superscript"/>
        </w:rPr>
        <w:t xml:space="preserve"> </w:t>
      </w:r>
      <w:r w:rsidR="008F400F" w:rsidRPr="004B2B19">
        <w:rPr>
          <w:rStyle w:val="CommentReference"/>
          <w:b w:val="0"/>
          <w:bCs/>
          <w:i/>
          <w:iCs/>
          <w:sz w:val="18"/>
          <w:szCs w:val="18"/>
        </w:rPr>
        <w:t>5,000 to &lt; 10,000</w:t>
      </w:r>
    </w:p>
    <w:p w14:paraId="1C6037A9" w14:textId="0B4CBB6F" w:rsidR="006F47C2" w:rsidRPr="004B2B19" w:rsidRDefault="00B1000C" w:rsidP="008F400F">
      <w:pPr>
        <w:pStyle w:val="FooterTableFigure"/>
        <w:rPr>
          <w:rStyle w:val="CommentReference"/>
          <w:b w:val="0"/>
          <w:bCs/>
          <w:i/>
          <w:iCs/>
          <w:sz w:val="18"/>
          <w:szCs w:val="18"/>
        </w:rPr>
      </w:pPr>
      <w:r w:rsidRPr="004B2B19">
        <w:rPr>
          <w:rStyle w:val="CommentReference"/>
          <w:b w:val="0"/>
          <w:bCs/>
          <w:i/>
          <w:iCs/>
          <w:sz w:val="18"/>
          <w:szCs w:val="18"/>
          <w:vertAlign w:val="superscript"/>
        </w:rPr>
        <w:t>4</w:t>
      </w:r>
      <w:r w:rsidR="00FE48C4">
        <w:rPr>
          <w:rStyle w:val="CommentReference"/>
          <w:b w:val="0"/>
          <w:bCs/>
          <w:i/>
          <w:iCs/>
          <w:sz w:val="18"/>
          <w:szCs w:val="18"/>
          <w:vertAlign w:val="superscript"/>
        </w:rPr>
        <w:t xml:space="preserve"> </w:t>
      </w:r>
      <w:r w:rsidR="008F400F" w:rsidRPr="004B2B19">
        <w:rPr>
          <w:rStyle w:val="CommentReference"/>
          <w:b w:val="0"/>
          <w:bCs/>
          <w:i/>
          <w:iCs/>
          <w:sz w:val="18"/>
          <w:szCs w:val="18"/>
        </w:rPr>
        <w:t>10,000 to &lt; 20,000</w:t>
      </w:r>
    </w:p>
    <w:p w14:paraId="59B97B83" w14:textId="19BF3BA9" w:rsidR="00711D69" w:rsidRPr="004B2B19" w:rsidRDefault="00711D69" w:rsidP="00711D69">
      <w:pPr>
        <w:pStyle w:val="FooterTableFigure"/>
        <w:rPr>
          <w:rStyle w:val="CommentReference"/>
          <w:b w:val="0"/>
          <w:bCs/>
          <w:i/>
          <w:iCs/>
          <w:sz w:val="18"/>
          <w:szCs w:val="18"/>
        </w:rPr>
      </w:pPr>
      <w:r w:rsidRPr="004B2B19">
        <w:rPr>
          <w:rStyle w:val="CommentReference"/>
          <w:b w:val="0"/>
          <w:bCs/>
          <w:i/>
          <w:iCs/>
          <w:sz w:val="18"/>
          <w:szCs w:val="18"/>
          <w:vertAlign w:val="superscript"/>
        </w:rPr>
        <w:t>5</w:t>
      </w:r>
      <w:r w:rsidR="00FE48C4">
        <w:rPr>
          <w:rStyle w:val="CommentReference"/>
          <w:b w:val="0"/>
          <w:bCs/>
          <w:i/>
          <w:iCs/>
          <w:sz w:val="18"/>
          <w:szCs w:val="18"/>
          <w:vertAlign w:val="superscript"/>
        </w:rPr>
        <w:t xml:space="preserve"> </w:t>
      </w:r>
      <w:r w:rsidRPr="004B2B19">
        <w:rPr>
          <w:rStyle w:val="CommentReference"/>
          <w:b w:val="0"/>
          <w:bCs/>
          <w:i/>
          <w:iCs/>
          <w:sz w:val="18"/>
          <w:szCs w:val="18"/>
        </w:rPr>
        <w:t>$0 to &lt; $10 million</w:t>
      </w:r>
    </w:p>
    <w:p w14:paraId="3BC43957" w14:textId="58608DEC" w:rsidR="00711D69" w:rsidRPr="004B2B19" w:rsidRDefault="00033A3A" w:rsidP="00711D69">
      <w:pPr>
        <w:pStyle w:val="FooterTableFigure"/>
        <w:rPr>
          <w:rStyle w:val="CommentReference"/>
          <w:b w:val="0"/>
          <w:bCs/>
          <w:i/>
          <w:iCs/>
          <w:sz w:val="18"/>
          <w:szCs w:val="18"/>
        </w:rPr>
      </w:pPr>
      <w:r w:rsidRPr="004B2B19">
        <w:rPr>
          <w:rStyle w:val="CommentReference"/>
          <w:b w:val="0"/>
          <w:bCs/>
          <w:i/>
          <w:iCs/>
          <w:sz w:val="18"/>
          <w:szCs w:val="18"/>
          <w:vertAlign w:val="superscript"/>
        </w:rPr>
        <w:t>6</w:t>
      </w:r>
      <w:r w:rsidR="00FE48C4">
        <w:rPr>
          <w:rStyle w:val="CommentReference"/>
          <w:b w:val="0"/>
          <w:bCs/>
          <w:i/>
          <w:iCs/>
          <w:sz w:val="18"/>
          <w:szCs w:val="18"/>
          <w:vertAlign w:val="superscript"/>
        </w:rPr>
        <w:t xml:space="preserve"> </w:t>
      </w:r>
      <w:r w:rsidR="00711D69" w:rsidRPr="004B2B19">
        <w:rPr>
          <w:rStyle w:val="CommentReference"/>
          <w:b w:val="0"/>
          <w:bCs/>
          <w:i/>
          <w:iCs/>
          <w:sz w:val="18"/>
          <w:szCs w:val="18"/>
        </w:rPr>
        <w:t>$10 million to &lt; $20 million</w:t>
      </w:r>
    </w:p>
    <w:p w14:paraId="71D895E5" w14:textId="0B31742C" w:rsidR="00711D69" w:rsidRPr="004B2B19" w:rsidRDefault="00A12A35" w:rsidP="00711D69">
      <w:pPr>
        <w:pStyle w:val="FooterTableFigure"/>
        <w:rPr>
          <w:rStyle w:val="CommentReference"/>
          <w:b w:val="0"/>
          <w:bCs/>
          <w:i/>
          <w:iCs/>
          <w:sz w:val="18"/>
          <w:szCs w:val="18"/>
        </w:rPr>
      </w:pPr>
      <w:r w:rsidRPr="004B2B19">
        <w:rPr>
          <w:rStyle w:val="CommentReference"/>
          <w:b w:val="0"/>
          <w:bCs/>
          <w:i/>
          <w:iCs/>
          <w:sz w:val="18"/>
          <w:szCs w:val="18"/>
          <w:vertAlign w:val="superscript"/>
        </w:rPr>
        <w:t>7</w:t>
      </w:r>
      <w:r w:rsidR="00FE48C4">
        <w:rPr>
          <w:rStyle w:val="CommentReference"/>
          <w:b w:val="0"/>
          <w:bCs/>
          <w:i/>
          <w:iCs/>
          <w:sz w:val="18"/>
          <w:szCs w:val="18"/>
          <w:vertAlign w:val="superscript"/>
        </w:rPr>
        <w:t xml:space="preserve"> </w:t>
      </w:r>
      <w:r w:rsidR="00711D69" w:rsidRPr="004B2B19">
        <w:rPr>
          <w:rStyle w:val="CommentReference"/>
          <w:b w:val="0"/>
          <w:bCs/>
          <w:i/>
          <w:iCs/>
          <w:sz w:val="18"/>
          <w:szCs w:val="18"/>
        </w:rPr>
        <w:t>$20 million to &lt; $30 million</w:t>
      </w:r>
    </w:p>
    <w:p w14:paraId="055E4D36" w14:textId="034282DF" w:rsidR="00A12A35" w:rsidRPr="004B2B19" w:rsidRDefault="00A12A35" w:rsidP="00711D69">
      <w:pPr>
        <w:pStyle w:val="FooterTableFigure"/>
        <w:rPr>
          <w:rStyle w:val="CommentReference"/>
          <w:b w:val="0"/>
          <w:bCs/>
          <w:i/>
          <w:iCs/>
          <w:sz w:val="18"/>
          <w:szCs w:val="18"/>
        </w:rPr>
      </w:pPr>
      <w:r w:rsidRPr="004B2B19">
        <w:rPr>
          <w:rStyle w:val="CommentReference"/>
          <w:b w:val="0"/>
          <w:bCs/>
          <w:i/>
          <w:iCs/>
          <w:sz w:val="18"/>
          <w:szCs w:val="18"/>
          <w:vertAlign w:val="superscript"/>
        </w:rPr>
        <w:t>8</w:t>
      </w:r>
      <w:r w:rsidR="00FE48C4">
        <w:rPr>
          <w:rStyle w:val="CommentReference"/>
          <w:b w:val="0"/>
          <w:bCs/>
          <w:i/>
          <w:iCs/>
          <w:sz w:val="18"/>
          <w:szCs w:val="18"/>
          <w:vertAlign w:val="superscript"/>
        </w:rPr>
        <w:t xml:space="preserve"> </w:t>
      </w:r>
      <w:r w:rsidR="00711D69" w:rsidRPr="004B2B19">
        <w:rPr>
          <w:rStyle w:val="CommentReference"/>
          <w:b w:val="0"/>
          <w:bCs/>
          <w:i/>
          <w:iCs/>
          <w:sz w:val="18"/>
          <w:szCs w:val="18"/>
        </w:rPr>
        <w:t>$30 million to &lt; $40 million</w:t>
      </w:r>
    </w:p>
    <w:p w14:paraId="08355876" w14:textId="718C3A6A" w:rsidR="007F18B3" w:rsidRPr="004B2B19" w:rsidRDefault="009A75DB" w:rsidP="009A75DB">
      <w:pPr>
        <w:pStyle w:val="3-BodyText"/>
        <w:rPr>
          <w:i/>
          <w:iCs/>
        </w:rPr>
      </w:pPr>
      <w:r w:rsidRPr="004B2B19">
        <w:t>The submission presented sensitivity analyses for the estimates, varying market growth rates, the number of CBD bottles per script, the substitution rate and the script equivalence. These analyses, using the fenfluramine price derived from the cannabidiol published price, demonstrated that the estimates of financial impact were highly variable and illustrate the fundamental uncertainty of the estimation of use of fenfluramine for LGS.</w:t>
      </w:r>
      <w:r w:rsidR="00A96B6F" w:rsidRPr="004B2B19">
        <w:t xml:space="preserve"> The ESC considered the assumptions around patient weight/dose and likely uptake in practice were highly uncertain</w:t>
      </w:r>
      <w:r w:rsidR="00503447" w:rsidRPr="004B2B19">
        <w:t>.</w:t>
      </w:r>
      <w:r w:rsidR="00AE6F06" w:rsidRPr="004B2B19">
        <w:t xml:space="preserve"> The Pre-PBAC Response (pg 1) </w:t>
      </w:r>
      <w:r w:rsidR="002C6611" w:rsidRPr="004B2B19">
        <w:t xml:space="preserve">acknowledged the changes to the CBD restriction had the potential to alter the LGS market </w:t>
      </w:r>
      <w:r w:rsidR="00F61398" w:rsidRPr="004B2B19">
        <w:t xml:space="preserve">and </w:t>
      </w:r>
      <w:r w:rsidR="00733D50" w:rsidRPr="004B2B19">
        <w:t xml:space="preserve">a willingness to engage with the Department to </w:t>
      </w:r>
      <w:r w:rsidR="00DC7AFC" w:rsidRPr="004B2B19">
        <w:t xml:space="preserve">manage the impact of these changes on the financial estimates. </w:t>
      </w:r>
      <w:r w:rsidR="00D03F4E" w:rsidRPr="004B2B19">
        <w:t xml:space="preserve">The PBAC recalled </w:t>
      </w:r>
      <w:r w:rsidR="00635C50" w:rsidRPr="004B2B19">
        <w:t xml:space="preserve">it had </w:t>
      </w:r>
      <w:r w:rsidR="00A07D36" w:rsidRPr="004B2B19">
        <w:t xml:space="preserve">previously </w:t>
      </w:r>
      <w:r w:rsidR="00635C50" w:rsidRPr="004B2B19">
        <w:t>considered</w:t>
      </w:r>
      <w:r w:rsidR="008B5889" w:rsidRPr="004B2B19">
        <w:t xml:space="preserve"> the revised PBS restrictions w</w:t>
      </w:r>
      <w:r w:rsidR="002C2307" w:rsidRPr="004B2B19">
        <w:t>ere</w:t>
      </w:r>
      <w:r w:rsidR="008B5889" w:rsidRPr="004B2B19">
        <w:t xml:space="preserve"> not expected to result in a substantial financial impact (paragraph 5.8, cannabidiol PSD, July 2025 PBAC meeting).</w:t>
      </w:r>
    </w:p>
    <w:p w14:paraId="43958B9D" w14:textId="19859A9A" w:rsidR="00C35056" w:rsidRPr="004B2B19" w:rsidRDefault="00C35056" w:rsidP="003077CF">
      <w:pPr>
        <w:pStyle w:val="3-BodyText"/>
        <w:numPr>
          <w:ilvl w:val="0"/>
          <w:numId w:val="0"/>
        </w:numPr>
        <w:rPr>
          <w:i/>
          <w:iCs/>
        </w:rPr>
      </w:pPr>
    </w:p>
    <w:p w14:paraId="5975FD55" w14:textId="77777777" w:rsidR="009233D6" w:rsidRPr="004B2B19" w:rsidRDefault="009233D6" w:rsidP="009233D6">
      <w:pPr>
        <w:pStyle w:val="4-SubsectionHeading"/>
      </w:pPr>
      <w:bookmarkStart w:id="64" w:name="_Toc202884183"/>
      <w:bookmarkStart w:id="65" w:name="_Toc208980623"/>
      <w:r w:rsidRPr="004B2B19">
        <w:t>Financial Management – Risk Sharing Arrangements</w:t>
      </w:r>
      <w:bookmarkEnd w:id="64"/>
      <w:bookmarkEnd w:id="65"/>
    </w:p>
    <w:p w14:paraId="0EBC8B54" w14:textId="589B1A93" w:rsidR="00576972" w:rsidRPr="004B2B19" w:rsidRDefault="009233D6" w:rsidP="00B93B26">
      <w:pPr>
        <w:pStyle w:val="3-BodyText"/>
      </w:pPr>
      <w:r w:rsidRPr="004B2B19">
        <w:t>The submission did not formally propose a risk sharing arrangement, but noted that the sponsor was aware that a RSA had been implemented for cannabidiol for LGS, and therefore that they were prepared to work with the PBAC and Department to address the issues concerning the uncertainty of use and cost of listing of fenfluramine.</w:t>
      </w:r>
      <w:r w:rsidR="00046F09">
        <w:t xml:space="preserve"> </w:t>
      </w:r>
      <w:r w:rsidR="00A35067" w:rsidRPr="004B2B19">
        <w:t xml:space="preserve">The ESC considered </w:t>
      </w:r>
      <w:r w:rsidR="00A63E28" w:rsidRPr="004B2B19">
        <w:t xml:space="preserve">inclusion of fenfluramine in the </w:t>
      </w:r>
      <w:r w:rsidR="00A35067" w:rsidRPr="004B2B19">
        <w:t>existing RSA for cannabidiol for LGS</w:t>
      </w:r>
      <w:r w:rsidR="00A63E28" w:rsidRPr="004B2B19">
        <w:t xml:space="preserve"> </w:t>
      </w:r>
      <w:r w:rsidR="00BD4E96" w:rsidRPr="004B2B19">
        <w:t xml:space="preserve">may partially </w:t>
      </w:r>
      <w:r w:rsidR="00A63E28" w:rsidRPr="004B2B19">
        <w:t xml:space="preserve">mitigate </w:t>
      </w:r>
      <w:r w:rsidR="00BD4E96" w:rsidRPr="004B2B19">
        <w:t xml:space="preserve">some of </w:t>
      </w:r>
      <w:r w:rsidR="00A63E28" w:rsidRPr="004B2B19">
        <w:t>the uncertainties regarding the financial estimates.</w:t>
      </w:r>
      <w:r w:rsidR="001F7F3B" w:rsidRPr="004B2B19">
        <w:t xml:space="preserve"> </w:t>
      </w:r>
    </w:p>
    <w:p w14:paraId="5E88067B" w14:textId="77777777" w:rsidR="001F7F3B" w:rsidRPr="004B2B19" w:rsidRDefault="001F7F3B" w:rsidP="001F4279">
      <w:pPr>
        <w:ind w:left="142" w:firstLine="720"/>
        <w:rPr>
          <w:rFonts w:asciiTheme="minorHAnsi" w:hAnsiTheme="minorHAnsi"/>
          <w:i/>
        </w:rPr>
      </w:pPr>
      <w:r w:rsidRPr="004B2B19">
        <w:rPr>
          <w:rFonts w:asciiTheme="minorHAnsi" w:hAnsiTheme="minorHAnsi"/>
          <w:i/>
        </w:rPr>
        <w:t>For more detail on PBAC’s view, see section 7 PBAC outcome.</w:t>
      </w:r>
    </w:p>
    <w:p w14:paraId="5C91F933" w14:textId="77777777" w:rsidR="006C052E" w:rsidRPr="004B2B19" w:rsidRDefault="006C052E" w:rsidP="006C052E">
      <w:pPr>
        <w:pStyle w:val="2-SectionHeading"/>
        <w:numPr>
          <w:ilvl w:val="0"/>
          <w:numId w:val="1"/>
        </w:numPr>
      </w:pPr>
      <w:bookmarkStart w:id="66" w:name="_Hlk76381249"/>
      <w:bookmarkStart w:id="67" w:name="_Hlk76377955"/>
      <w:r w:rsidRPr="004B2B19">
        <w:t>PBAC Outcome</w:t>
      </w:r>
    </w:p>
    <w:p w14:paraId="5595E0D8" w14:textId="1D73D7B1" w:rsidR="0071233E" w:rsidRPr="004B2B19" w:rsidRDefault="00A14CF5" w:rsidP="0071233E">
      <w:pPr>
        <w:pStyle w:val="3-BodyText"/>
        <w:rPr>
          <w:rFonts w:eastAsia="Times New Roman" w:cs="Arial"/>
          <w:snapToGrid w:val="0"/>
          <w:szCs w:val="24"/>
          <w:lang w:val="en-GB"/>
        </w:rPr>
      </w:pPr>
      <w:bookmarkStart w:id="68" w:name="_Hlk111543188"/>
      <w:r w:rsidRPr="004B2B19">
        <w:rPr>
          <w:snapToGrid w:val="0"/>
          <w:lang w:val="en-GB"/>
        </w:rPr>
        <w:t>The PBAC recommended the General Schedule, Authority Required (</w:t>
      </w:r>
      <w:r w:rsidR="00EC57D3" w:rsidRPr="004B2B19">
        <w:rPr>
          <w:snapToGrid w:val="0"/>
          <w:lang w:val="en-GB"/>
        </w:rPr>
        <w:t>Streamlined</w:t>
      </w:r>
      <w:r w:rsidRPr="004B2B19">
        <w:rPr>
          <w:snapToGrid w:val="0"/>
          <w:lang w:val="en-GB"/>
        </w:rPr>
        <w:t xml:space="preserve">) listing of fenfluramine (FEN) for the treatment of seizures associated with Lennox Gastaut Syndrome (LGS). In making this recommendation, the PBAC considered the available evidence, whilst uncertain, on balance likely supports a conclusion that FEN is of non-inferior comparative effectiveness to cannabidiol (CBD). However, the PBAC considered that fenfluramine is associated with more serious safety concerns than CBD, including nutritional impacts </w:t>
      </w:r>
      <w:r w:rsidR="00645083" w:rsidRPr="004B2B19">
        <w:rPr>
          <w:snapToGrid w:val="0"/>
          <w:lang w:val="en-GB"/>
        </w:rPr>
        <w:t>(</w:t>
      </w:r>
      <w:r w:rsidR="008E58F4" w:rsidRPr="004B2B19">
        <w:rPr>
          <w:snapToGrid w:val="0"/>
          <w:lang w:val="en-GB"/>
        </w:rPr>
        <w:t>e.g</w:t>
      </w:r>
      <w:r w:rsidR="00645083" w:rsidRPr="004B2B19">
        <w:rPr>
          <w:snapToGrid w:val="0"/>
          <w:lang w:val="en-GB"/>
        </w:rPr>
        <w:t xml:space="preserve">., </w:t>
      </w:r>
      <w:r w:rsidRPr="004B2B19">
        <w:rPr>
          <w:snapToGrid w:val="0"/>
          <w:lang w:val="en-GB"/>
        </w:rPr>
        <w:t>weight loss</w:t>
      </w:r>
      <w:r w:rsidR="00645083" w:rsidRPr="004B2B19">
        <w:rPr>
          <w:snapToGrid w:val="0"/>
          <w:lang w:val="en-GB"/>
        </w:rPr>
        <w:t>)</w:t>
      </w:r>
      <w:r w:rsidRPr="004B2B19">
        <w:rPr>
          <w:snapToGrid w:val="0"/>
          <w:lang w:val="en-GB"/>
        </w:rPr>
        <w:t xml:space="preserve"> </w:t>
      </w:r>
      <w:r w:rsidR="00AE020D" w:rsidRPr="004B2B19">
        <w:rPr>
          <w:snapToGrid w:val="0"/>
          <w:lang w:val="en-GB"/>
        </w:rPr>
        <w:t xml:space="preserve">and the </w:t>
      </w:r>
      <w:r w:rsidRPr="004B2B19">
        <w:rPr>
          <w:snapToGrid w:val="0"/>
          <w:lang w:val="en-GB"/>
        </w:rPr>
        <w:t>risk of serious cardiac events</w:t>
      </w:r>
      <w:r w:rsidR="00645083" w:rsidRPr="004B2B19">
        <w:rPr>
          <w:snapToGrid w:val="0"/>
          <w:lang w:val="en-GB"/>
        </w:rPr>
        <w:t xml:space="preserve">. The PBAC </w:t>
      </w:r>
      <w:r w:rsidRPr="004B2B19">
        <w:rPr>
          <w:snapToGrid w:val="0"/>
          <w:lang w:val="en-GB"/>
        </w:rPr>
        <w:t>considered it was appropriate for these concerns to be reflected in the price at which it considered FEN would be cost effective</w:t>
      </w:r>
      <w:r w:rsidR="005E1058" w:rsidRPr="004B2B19">
        <w:rPr>
          <w:snapToGrid w:val="0"/>
          <w:lang w:val="en-GB"/>
        </w:rPr>
        <w:t xml:space="preserve">. </w:t>
      </w:r>
      <w:r w:rsidR="0071233E" w:rsidRPr="004B2B19">
        <w:rPr>
          <w:rFonts w:eastAsia="Times New Roman" w:cs="Arial"/>
          <w:snapToGrid w:val="0"/>
          <w:szCs w:val="24"/>
          <w:lang w:val="en-GB"/>
        </w:rPr>
        <w:t xml:space="preserve">The PBAC advised FEN should be included in the risk sharing arrangement (RSA) currently in place for LGS with no increase in expenditure caps. </w:t>
      </w:r>
    </w:p>
    <w:p w14:paraId="4E6504B0" w14:textId="77777777" w:rsidR="00F1758A" w:rsidRPr="004B2B19" w:rsidRDefault="00791442" w:rsidP="00F1758A">
      <w:pPr>
        <w:widowControl w:val="0"/>
        <w:numPr>
          <w:ilvl w:val="1"/>
          <w:numId w:val="1"/>
        </w:numPr>
        <w:spacing w:after="120"/>
        <w:rPr>
          <w:rFonts w:asciiTheme="minorHAnsi" w:hAnsiTheme="minorHAnsi"/>
          <w:snapToGrid w:val="0"/>
          <w:lang w:val="en-GB"/>
        </w:rPr>
      </w:pPr>
      <w:r w:rsidRPr="004B2B19">
        <w:rPr>
          <w:rFonts w:asciiTheme="minorHAnsi" w:hAnsiTheme="minorHAnsi"/>
          <w:snapToGrid w:val="0"/>
          <w:lang w:val="en-GB"/>
        </w:rPr>
        <w:t>The PBAC considered the equi-effective doses were:</w:t>
      </w:r>
      <w:r w:rsidR="00F1758A" w:rsidRPr="004B2B19">
        <w:rPr>
          <w:rFonts w:asciiTheme="minorHAnsi" w:hAnsiTheme="minorHAnsi"/>
          <w:snapToGrid w:val="0"/>
          <w:lang w:val="en-GB"/>
        </w:rPr>
        <w:t xml:space="preserve"> </w:t>
      </w:r>
    </w:p>
    <w:p w14:paraId="586A7CDC" w14:textId="1160ECB1" w:rsidR="00791442" w:rsidRPr="004B2B19" w:rsidRDefault="00791442" w:rsidP="00F1758A">
      <w:pPr>
        <w:widowControl w:val="0"/>
        <w:spacing w:after="120"/>
        <w:ind w:left="1145"/>
        <w:rPr>
          <w:rFonts w:asciiTheme="minorHAnsi" w:hAnsiTheme="minorHAnsi"/>
          <w:snapToGrid w:val="0"/>
          <w:lang w:val="en-GB"/>
        </w:rPr>
      </w:pPr>
      <w:r w:rsidRPr="004B2B19">
        <w:rPr>
          <w:rFonts w:asciiTheme="minorHAnsi" w:hAnsiTheme="minorHAnsi"/>
          <w:snapToGrid w:val="0"/>
          <w:lang w:val="en-GB"/>
        </w:rPr>
        <w:t>FEN 0.7 mg/kg/day (up to a maximum dose of 26 mg/day) = CBD 12 mg/kg/day</w:t>
      </w:r>
    </w:p>
    <w:p w14:paraId="2D347FBD" w14:textId="4F279CF7" w:rsidR="00F57F59" w:rsidRPr="004B2B19" w:rsidRDefault="009576E0" w:rsidP="009B5932">
      <w:pPr>
        <w:widowControl w:val="0"/>
        <w:numPr>
          <w:ilvl w:val="1"/>
          <w:numId w:val="1"/>
        </w:numPr>
        <w:spacing w:after="120"/>
        <w:rPr>
          <w:rFonts w:asciiTheme="minorHAnsi" w:hAnsiTheme="minorHAnsi"/>
          <w:snapToGrid w:val="0"/>
          <w:lang w:val="en-GB"/>
        </w:rPr>
      </w:pPr>
      <w:r w:rsidRPr="004B2B19">
        <w:rPr>
          <w:rFonts w:asciiTheme="minorHAnsi" w:hAnsiTheme="minorHAnsi"/>
          <w:snapToGrid w:val="0"/>
          <w:lang w:val="en-GB"/>
        </w:rPr>
        <w:t>The PBAC acknowledged the input from individuals, healthcare professionals and organisations highlighting the</w:t>
      </w:r>
      <w:r w:rsidR="005F3CD4" w:rsidRPr="004B2B19">
        <w:rPr>
          <w:rFonts w:asciiTheme="minorHAnsi" w:hAnsiTheme="minorHAnsi"/>
          <w:snapToGrid w:val="0"/>
          <w:lang w:val="en-GB"/>
        </w:rPr>
        <w:t xml:space="preserve"> devastating impact of LGS as a rare and serious </w:t>
      </w:r>
      <w:r w:rsidR="00C24357" w:rsidRPr="004B2B19">
        <w:rPr>
          <w:rFonts w:asciiTheme="minorHAnsi" w:hAnsiTheme="minorHAnsi"/>
          <w:snapToGrid w:val="0"/>
          <w:lang w:val="en-GB"/>
        </w:rPr>
        <w:t xml:space="preserve">epileptic encephalopathy, often manifesting with </w:t>
      </w:r>
      <w:r w:rsidR="00D93227" w:rsidRPr="004B2B19">
        <w:rPr>
          <w:rFonts w:asciiTheme="minorHAnsi" w:hAnsiTheme="minorHAnsi"/>
          <w:snapToGrid w:val="0"/>
          <w:lang w:val="en-GB"/>
        </w:rPr>
        <w:t>dangerous tonic-clonic</w:t>
      </w:r>
      <w:r w:rsidR="00155401" w:rsidRPr="004B2B19">
        <w:rPr>
          <w:rFonts w:asciiTheme="minorHAnsi" w:hAnsiTheme="minorHAnsi"/>
          <w:snapToGrid w:val="0"/>
          <w:lang w:val="en-GB"/>
        </w:rPr>
        <w:t xml:space="preserve"> (</w:t>
      </w:r>
      <w:r w:rsidR="00FA61CE" w:rsidRPr="004B2B19">
        <w:rPr>
          <w:rFonts w:asciiTheme="minorHAnsi" w:hAnsiTheme="minorHAnsi"/>
          <w:snapToGrid w:val="0"/>
          <w:lang w:val="en-GB"/>
        </w:rPr>
        <w:t>con</w:t>
      </w:r>
      <w:r w:rsidR="006D5F7D" w:rsidRPr="004B2B19">
        <w:rPr>
          <w:rFonts w:asciiTheme="minorHAnsi" w:hAnsiTheme="minorHAnsi"/>
          <w:snapToGrid w:val="0"/>
          <w:lang w:val="en-GB"/>
        </w:rPr>
        <w:t>v</w:t>
      </w:r>
      <w:r w:rsidR="00FA61CE" w:rsidRPr="004B2B19">
        <w:rPr>
          <w:rFonts w:asciiTheme="minorHAnsi" w:hAnsiTheme="minorHAnsi"/>
          <w:snapToGrid w:val="0"/>
          <w:lang w:val="en-GB"/>
        </w:rPr>
        <w:t>ulsive)</w:t>
      </w:r>
      <w:r w:rsidR="00D93227" w:rsidRPr="004B2B19">
        <w:rPr>
          <w:rFonts w:asciiTheme="minorHAnsi" w:hAnsiTheme="minorHAnsi"/>
          <w:snapToGrid w:val="0"/>
          <w:lang w:val="en-GB"/>
        </w:rPr>
        <w:t xml:space="preserve"> and atonic</w:t>
      </w:r>
      <w:r w:rsidR="00FA61CE" w:rsidRPr="004B2B19">
        <w:rPr>
          <w:rFonts w:asciiTheme="minorHAnsi" w:hAnsiTheme="minorHAnsi"/>
          <w:snapToGrid w:val="0"/>
          <w:lang w:val="en-GB"/>
        </w:rPr>
        <w:t xml:space="preserve"> (</w:t>
      </w:r>
      <w:r w:rsidR="00E0020E" w:rsidRPr="004B2B19">
        <w:rPr>
          <w:rFonts w:asciiTheme="minorHAnsi" w:hAnsiTheme="minorHAnsi"/>
          <w:snapToGrid w:val="0"/>
          <w:lang w:val="en-GB"/>
        </w:rPr>
        <w:t>‘</w:t>
      </w:r>
      <w:r w:rsidR="00FA61CE" w:rsidRPr="004B2B19">
        <w:rPr>
          <w:rFonts w:asciiTheme="minorHAnsi" w:hAnsiTheme="minorHAnsi"/>
          <w:snapToGrid w:val="0"/>
          <w:lang w:val="en-GB"/>
        </w:rPr>
        <w:t>drop</w:t>
      </w:r>
      <w:r w:rsidR="00E0020E" w:rsidRPr="004B2B19">
        <w:rPr>
          <w:rFonts w:asciiTheme="minorHAnsi" w:hAnsiTheme="minorHAnsi"/>
          <w:snapToGrid w:val="0"/>
          <w:lang w:val="en-GB"/>
        </w:rPr>
        <w:t>’</w:t>
      </w:r>
      <w:r w:rsidR="00FA61CE" w:rsidRPr="004B2B19">
        <w:rPr>
          <w:rFonts w:asciiTheme="minorHAnsi" w:hAnsiTheme="minorHAnsi"/>
          <w:snapToGrid w:val="0"/>
          <w:lang w:val="en-GB"/>
        </w:rPr>
        <w:t>)</w:t>
      </w:r>
      <w:r w:rsidR="004F638E" w:rsidRPr="004B2B19">
        <w:rPr>
          <w:rFonts w:asciiTheme="minorHAnsi" w:hAnsiTheme="minorHAnsi"/>
          <w:snapToGrid w:val="0"/>
          <w:lang w:val="en-GB"/>
        </w:rPr>
        <w:t xml:space="preserve"> </w:t>
      </w:r>
      <w:r w:rsidR="006F297B" w:rsidRPr="004B2B19">
        <w:rPr>
          <w:rFonts w:asciiTheme="minorHAnsi" w:hAnsiTheme="minorHAnsi"/>
          <w:snapToGrid w:val="0"/>
          <w:lang w:val="en-GB"/>
        </w:rPr>
        <w:t xml:space="preserve">seizures, which carry a significant risk of </w:t>
      </w:r>
      <w:r w:rsidR="004B336B" w:rsidRPr="004B2B19">
        <w:rPr>
          <w:rFonts w:asciiTheme="minorHAnsi" w:hAnsiTheme="minorHAnsi"/>
          <w:snapToGrid w:val="0"/>
          <w:lang w:val="en-GB"/>
        </w:rPr>
        <w:t xml:space="preserve">injury, the developmental delays that typically occur, and the </w:t>
      </w:r>
      <w:r w:rsidR="009B5932" w:rsidRPr="004B2B19">
        <w:rPr>
          <w:rFonts w:asciiTheme="minorHAnsi" w:hAnsiTheme="minorHAnsi"/>
          <w:snapToGrid w:val="0"/>
          <w:lang w:val="en-GB"/>
        </w:rPr>
        <w:t>urgent need for additional effective treatment options.</w:t>
      </w:r>
      <w:r w:rsidR="00060B53" w:rsidRPr="004B2B19">
        <w:rPr>
          <w:rFonts w:asciiTheme="minorHAnsi" w:hAnsiTheme="minorHAnsi"/>
          <w:snapToGrid w:val="0"/>
          <w:lang w:val="en-GB"/>
        </w:rPr>
        <w:t xml:space="preserve"> The Committee also acknowledged the significant caregiver burden</w:t>
      </w:r>
      <w:r w:rsidR="005B55C8" w:rsidRPr="004B2B19">
        <w:rPr>
          <w:rFonts w:asciiTheme="minorHAnsi" w:hAnsiTheme="minorHAnsi"/>
          <w:snapToGrid w:val="0"/>
          <w:lang w:val="en-GB"/>
        </w:rPr>
        <w:t xml:space="preserve"> for parents and family members</w:t>
      </w:r>
      <w:r w:rsidR="00A16F34" w:rsidRPr="004B2B19">
        <w:rPr>
          <w:rFonts w:asciiTheme="minorHAnsi" w:hAnsiTheme="minorHAnsi"/>
          <w:snapToGrid w:val="0"/>
          <w:lang w:val="en-GB"/>
        </w:rPr>
        <w:t xml:space="preserve"> of children with LGS.</w:t>
      </w:r>
      <w:r w:rsidR="009B5932" w:rsidRPr="004B2B19">
        <w:rPr>
          <w:rFonts w:asciiTheme="minorHAnsi" w:hAnsiTheme="minorHAnsi"/>
          <w:snapToGrid w:val="0"/>
          <w:lang w:val="en-GB"/>
        </w:rPr>
        <w:t xml:space="preserve"> The PBAC </w:t>
      </w:r>
      <w:r w:rsidR="00B6759B" w:rsidRPr="004B2B19">
        <w:rPr>
          <w:rFonts w:asciiTheme="minorHAnsi" w:hAnsiTheme="minorHAnsi"/>
          <w:snapToGrid w:val="0"/>
          <w:lang w:val="en-GB"/>
        </w:rPr>
        <w:t>noted</w:t>
      </w:r>
      <w:r w:rsidR="009B5932" w:rsidRPr="004B2B19">
        <w:rPr>
          <w:rFonts w:asciiTheme="minorHAnsi" w:hAnsiTheme="minorHAnsi"/>
          <w:snapToGrid w:val="0"/>
          <w:lang w:val="en-GB"/>
        </w:rPr>
        <w:t xml:space="preserve"> current treatments </w:t>
      </w:r>
      <w:r w:rsidR="00773C4E" w:rsidRPr="004B2B19">
        <w:rPr>
          <w:rFonts w:asciiTheme="minorHAnsi" w:hAnsiTheme="minorHAnsi"/>
          <w:snapToGrid w:val="0"/>
          <w:lang w:val="en-GB"/>
        </w:rPr>
        <w:t>for LGS, which include</w:t>
      </w:r>
      <w:r w:rsidR="000F3027" w:rsidRPr="004B2B19">
        <w:rPr>
          <w:rFonts w:asciiTheme="minorHAnsi" w:hAnsiTheme="minorHAnsi"/>
          <w:snapToGrid w:val="0"/>
          <w:lang w:val="en-GB"/>
        </w:rPr>
        <w:t>s</w:t>
      </w:r>
      <w:r w:rsidR="00773C4E" w:rsidRPr="004B2B19">
        <w:rPr>
          <w:rFonts w:asciiTheme="minorHAnsi" w:hAnsiTheme="minorHAnsi"/>
          <w:snapToGrid w:val="0"/>
          <w:lang w:val="en-GB"/>
        </w:rPr>
        <w:t xml:space="preserve"> standard anti-seizure medications</w:t>
      </w:r>
      <w:r w:rsidR="00A40590" w:rsidRPr="004B2B19">
        <w:rPr>
          <w:rFonts w:asciiTheme="minorHAnsi" w:hAnsiTheme="minorHAnsi"/>
          <w:snapToGrid w:val="0"/>
          <w:lang w:val="en-GB"/>
        </w:rPr>
        <w:t xml:space="preserve"> (ASMs)</w:t>
      </w:r>
      <w:r w:rsidR="00773C4E" w:rsidRPr="004B2B19">
        <w:rPr>
          <w:rFonts w:asciiTheme="minorHAnsi" w:hAnsiTheme="minorHAnsi"/>
          <w:snapToGrid w:val="0"/>
          <w:lang w:val="en-GB"/>
        </w:rPr>
        <w:t xml:space="preserve"> and</w:t>
      </w:r>
      <w:r w:rsidR="006414AD" w:rsidRPr="004B2B19">
        <w:rPr>
          <w:rFonts w:asciiTheme="minorHAnsi" w:hAnsiTheme="minorHAnsi"/>
          <w:snapToGrid w:val="0"/>
          <w:lang w:val="en-GB"/>
        </w:rPr>
        <w:t xml:space="preserve"> CBD</w:t>
      </w:r>
      <w:r w:rsidR="000F3027" w:rsidRPr="004B2B19">
        <w:rPr>
          <w:rFonts w:asciiTheme="minorHAnsi" w:hAnsiTheme="minorHAnsi"/>
          <w:snapToGrid w:val="0"/>
          <w:lang w:val="en-GB"/>
        </w:rPr>
        <w:t>,</w:t>
      </w:r>
      <w:r w:rsidR="006414AD" w:rsidRPr="004B2B19">
        <w:rPr>
          <w:rFonts w:asciiTheme="minorHAnsi" w:hAnsiTheme="minorHAnsi"/>
          <w:snapToGrid w:val="0"/>
          <w:lang w:val="en-GB"/>
        </w:rPr>
        <w:t xml:space="preserve"> are often not effective or sub-optimally effective, and</w:t>
      </w:r>
      <w:r w:rsidR="00B6759B" w:rsidRPr="004B2B19">
        <w:rPr>
          <w:rFonts w:asciiTheme="minorHAnsi" w:hAnsiTheme="minorHAnsi"/>
          <w:snapToGrid w:val="0"/>
          <w:lang w:val="en-GB"/>
        </w:rPr>
        <w:t xml:space="preserve"> considered</w:t>
      </w:r>
      <w:r w:rsidR="006414AD" w:rsidRPr="004B2B19">
        <w:rPr>
          <w:rFonts w:asciiTheme="minorHAnsi" w:hAnsiTheme="minorHAnsi"/>
          <w:snapToGrid w:val="0"/>
          <w:lang w:val="en-GB"/>
        </w:rPr>
        <w:t xml:space="preserve"> </w:t>
      </w:r>
      <w:r w:rsidR="006811C0" w:rsidRPr="004B2B19">
        <w:rPr>
          <w:rFonts w:asciiTheme="minorHAnsi" w:hAnsiTheme="minorHAnsi"/>
          <w:snapToGrid w:val="0"/>
          <w:lang w:val="en-GB"/>
        </w:rPr>
        <w:t xml:space="preserve">there was an unmet need for additional </w:t>
      </w:r>
      <w:r w:rsidR="0046211B" w:rsidRPr="004B2B19">
        <w:rPr>
          <w:rFonts w:asciiTheme="minorHAnsi" w:hAnsiTheme="minorHAnsi"/>
          <w:snapToGrid w:val="0"/>
          <w:lang w:val="en-GB"/>
        </w:rPr>
        <w:t>therapies to allow patients to optimise therapy for their individual circumstances</w:t>
      </w:r>
      <w:r w:rsidR="00397131" w:rsidRPr="004B2B19">
        <w:rPr>
          <w:rFonts w:asciiTheme="minorHAnsi" w:hAnsiTheme="minorHAnsi"/>
          <w:snapToGrid w:val="0"/>
          <w:lang w:val="en-GB"/>
        </w:rPr>
        <w:t>. The PBAC accepted</w:t>
      </w:r>
      <w:r w:rsidR="00D52834" w:rsidRPr="004B2B19">
        <w:rPr>
          <w:rFonts w:asciiTheme="minorHAnsi" w:hAnsiTheme="minorHAnsi"/>
          <w:snapToGrid w:val="0"/>
          <w:lang w:val="en-GB"/>
        </w:rPr>
        <w:t xml:space="preserve"> there was a clinical place for</w:t>
      </w:r>
      <w:r w:rsidR="00397131" w:rsidRPr="004B2B19">
        <w:rPr>
          <w:rFonts w:asciiTheme="minorHAnsi" w:hAnsiTheme="minorHAnsi"/>
          <w:snapToGrid w:val="0"/>
          <w:lang w:val="en-GB"/>
        </w:rPr>
        <w:t xml:space="preserve"> FEN</w:t>
      </w:r>
      <w:r w:rsidR="00D52834" w:rsidRPr="004B2B19">
        <w:rPr>
          <w:rFonts w:asciiTheme="minorHAnsi" w:hAnsiTheme="minorHAnsi"/>
          <w:snapToGrid w:val="0"/>
          <w:lang w:val="en-GB"/>
        </w:rPr>
        <w:t xml:space="preserve"> and it</w:t>
      </w:r>
      <w:r w:rsidR="00397131" w:rsidRPr="004B2B19">
        <w:rPr>
          <w:rFonts w:asciiTheme="minorHAnsi" w:hAnsiTheme="minorHAnsi"/>
          <w:snapToGrid w:val="0"/>
          <w:lang w:val="en-GB"/>
        </w:rPr>
        <w:t xml:space="preserve"> may be effective for some patients</w:t>
      </w:r>
      <w:r w:rsidR="00C53493" w:rsidRPr="004B2B19">
        <w:rPr>
          <w:rFonts w:asciiTheme="minorHAnsi" w:hAnsiTheme="minorHAnsi"/>
          <w:snapToGrid w:val="0"/>
          <w:lang w:val="en-GB"/>
        </w:rPr>
        <w:t>;</w:t>
      </w:r>
      <w:r w:rsidR="008C5501" w:rsidRPr="004B2B19">
        <w:rPr>
          <w:rFonts w:asciiTheme="minorHAnsi" w:hAnsiTheme="minorHAnsi"/>
          <w:snapToGrid w:val="0"/>
          <w:lang w:val="en-GB"/>
        </w:rPr>
        <w:t xml:space="preserve"> </w:t>
      </w:r>
      <w:r w:rsidR="00C53493" w:rsidRPr="004B2B19">
        <w:rPr>
          <w:rFonts w:asciiTheme="minorHAnsi" w:hAnsiTheme="minorHAnsi"/>
          <w:snapToGrid w:val="0"/>
          <w:lang w:val="en-GB"/>
        </w:rPr>
        <w:t>h</w:t>
      </w:r>
      <w:r w:rsidR="00F33A88" w:rsidRPr="004B2B19">
        <w:rPr>
          <w:rFonts w:asciiTheme="minorHAnsi" w:hAnsiTheme="minorHAnsi"/>
          <w:snapToGrid w:val="0"/>
          <w:lang w:val="en-GB"/>
        </w:rPr>
        <w:t xml:space="preserve">owever, the Committee considered the safety profile of FEN would likely lead to it being </w:t>
      </w:r>
      <w:r w:rsidR="00450308" w:rsidRPr="004B2B19">
        <w:rPr>
          <w:rFonts w:asciiTheme="minorHAnsi" w:hAnsiTheme="minorHAnsi"/>
          <w:snapToGrid w:val="0"/>
          <w:lang w:val="en-GB"/>
        </w:rPr>
        <w:t>reserved for use until after most other options had been tried</w:t>
      </w:r>
      <w:r w:rsidR="00CB2ECA" w:rsidRPr="004B2B19">
        <w:rPr>
          <w:rFonts w:asciiTheme="minorHAnsi" w:hAnsiTheme="minorHAnsi"/>
          <w:snapToGrid w:val="0"/>
          <w:lang w:val="en-GB"/>
        </w:rPr>
        <w:t>.</w:t>
      </w:r>
      <w:r w:rsidR="00450308" w:rsidRPr="004B2B19">
        <w:rPr>
          <w:rFonts w:asciiTheme="minorHAnsi" w:hAnsiTheme="minorHAnsi"/>
          <w:snapToGrid w:val="0"/>
          <w:lang w:val="en-GB"/>
        </w:rPr>
        <w:t xml:space="preserve"> </w:t>
      </w:r>
    </w:p>
    <w:bookmarkEnd w:id="68"/>
    <w:p w14:paraId="7E1B23E5" w14:textId="21E437E0" w:rsidR="006C052E" w:rsidRPr="004B2B19" w:rsidRDefault="00450308" w:rsidP="009A518B">
      <w:pPr>
        <w:widowControl w:val="0"/>
        <w:numPr>
          <w:ilvl w:val="1"/>
          <w:numId w:val="1"/>
        </w:numPr>
        <w:spacing w:after="120"/>
        <w:rPr>
          <w:rFonts w:asciiTheme="minorHAnsi" w:hAnsiTheme="minorHAnsi"/>
          <w:snapToGrid w:val="0"/>
        </w:rPr>
      </w:pPr>
      <w:r w:rsidRPr="004B2B19">
        <w:rPr>
          <w:rFonts w:asciiTheme="minorHAnsi" w:hAnsiTheme="minorHAnsi"/>
          <w:snapToGrid w:val="0"/>
        </w:rPr>
        <w:t xml:space="preserve">The PBAC </w:t>
      </w:r>
      <w:r w:rsidR="00596433" w:rsidRPr="004B2B19">
        <w:rPr>
          <w:rFonts w:asciiTheme="minorHAnsi" w:hAnsiTheme="minorHAnsi"/>
          <w:snapToGrid w:val="0"/>
        </w:rPr>
        <w:t xml:space="preserve">considered the listing of FEN should </w:t>
      </w:r>
      <w:r w:rsidR="0008059B" w:rsidRPr="004B2B19">
        <w:rPr>
          <w:rFonts w:asciiTheme="minorHAnsi" w:hAnsiTheme="minorHAnsi"/>
          <w:snapToGrid w:val="0"/>
        </w:rPr>
        <w:t xml:space="preserve">be aligned with </w:t>
      </w:r>
      <w:r w:rsidR="00FB7206" w:rsidRPr="004B2B19">
        <w:rPr>
          <w:rFonts w:asciiTheme="minorHAnsi" w:hAnsiTheme="minorHAnsi"/>
          <w:snapToGrid w:val="0"/>
        </w:rPr>
        <w:t xml:space="preserve">the restriction </w:t>
      </w:r>
      <w:r w:rsidR="006814C4" w:rsidRPr="004B2B19">
        <w:rPr>
          <w:rFonts w:asciiTheme="minorHAnsi" w:hAnsiTheme="minorHAnsi"/>
          <w:snapToGrid w:val="0"/>
        </w:rPr>
        <w:t>recommended for CBD in July 2025</w:t>
      </w:r>
      <w:r w:rsidR="00C9578D" w:rsidRPr="004B2B19">
        <w:rPr>
          <w:rFonts w:asciiTheme="minorHAnsi" w:hAnsiTheme="minorHAnsi"/>
          <w:snapToGrid w:val="0"/>
        </w:rPr>
        <w:t xml:space="preserve">, as </w:t>
      </w:r>
      <w:r w:rsidR="00125F54" w:rsidRPr="004B2B19">
        <w:rPr>
          <w:rFonts w:asciiTheme="minorHAnsi" w:hAnsiTheme="minorHAnsi"/>
          <w:snapToGrid w:val="0"/>
        </w:rPr>
        <w:t xml:space="preserve">proposed </w:t>
      </w:r>
      <w:r w:rsidR="00C9578D" w:rsidRPr="004B2B19">
        <w:rPr>
          <w:rFonts w:asciiTheme="minorHAnsi" w:hAnsiTheme="minorHAnsi"/>
          <w:snapToGrid w:val="0"/>
        </w:rPr>
        <w:t>in Section 3</w:t>
      </w:r>
      <w:r w:rsidR="006814C4" w:rsidRPr="004B2B19">
        <w:rPr>
          <w:rFonts w:asciiTheme="minorHAnsi" w:hAnsiTheme="minorHAnsi"/>
          <w:snapToGrid w:val="0"/>
        </w:rPr>
        <w:t>.</w:t>
      </w:r>
    </w:p>
    <w:p w14:paraId="59125D9D" w14:textId="48C52E03" w:rsidR="009A518B" w:rsidRPr="004B2B19" w:rsidRDefault="009A518B" w:rsidP="006C052E">
      <w:pPr>
        <w:widowControl w:val="0"/>
        <w:numPr>
          <w:ilvl w:val="1"/>
          <w:numId w:val="1"/>
        </w:numPr>
        <w:spacing w:after="120"/>
        <w:rPr>
          <w:rFonts w:asciiTheme="minorHAnsi" w:hAnsiTheme="minorHAnsi"/>
          <w:snapToGrid w:val="0"/>
          <w:lang w:val="en-GB"/>
        </w:rPr>
      </w:pPr>
      <w:r w:rsidRPr="004B2B19">
        <w:rPr>
          <w:rFonts w:asciiTheme="minorHAnsi" w:hAnsiTheme="minorHAnsi"/>
          <w:snapToGrid w:val="0"/>
          <w:lang w:val="en-GB"/>
        </w:rPr>
        <w:t>The PBAC con</w:t>
      </w:r>
      <w:r w:rsidR="00F92CE6" w:rsidRPr="004B2B19">
        <w:rPr>
          <w:rFonts w:asciiTheme="minorHAnsi" w:hAnsiTheme="minorHAnsi"/>
          <w:snapToGrid w:val="0"/>
          <w:lang w:val="en-GB"/>
        </w:rPr>
        <w:t xml:space="preserve">sidered the nominated comparator of CBD was reasonable, but </w:t>
      </w:r>
      <w:r w:rsidR="0033610E" w:rsidRPr="004B2B19">
        <w:rPr>
          <w:rFonts w:asciiTheme="minorHAnsi" w:hAnsiTheme="minorHAnsi"/>
          <w:snapToGrid w:val="0"/>
          <w:lang w:val="en-GB"/>
        </w:rPr>
        <w:t xml:space="preserve">noted sequencing </w:t>
      </w:r>
      <w:r w:rsidR="005939BE" w:rsidRPr="004B2B19">
        <w:rPr>
          <w:rFonts w:asciiTheme="minorHAnsi" w:hAnsiTheme="minorHAnsi"/>
          <w:snapToGrid w:val="0"/>
          <w:lang w:val="en-GB"/>
        </w:rPr>
        <w:t>of ASMs could occur in any order, and any could be used as third-line treatment</w:t>
      </w:r>
      <w:r w:rsidR="00D7344F" w:rsidRPr="004B2B19">
        <w:rPr>
          <w:rFonts w:asciiTheme="minorHAnsi" w:hAnsiTheme="minorHAnsi"/>
          <w:snapToGrid w:val="0"/>
          <w:lang w:val="en-GB"/>
        </w:rPr>
        <w:t>. However, the Committee recalled in its consideration of CBD</w:t>
      </w:r>
      <w:r w:rsidR="00534112" w:rsidRPr="004B2B19">
        <w:rPr>
          <w:rFonts w:asciiTheme="minorHAnsi" w:hAnsiTheme="minorHAnsi"/>
          <w:snapToGrid w:val="0"/>
          <w:lang w:val="en-GB"/>
        </w:rPr>
        <w:t xml:space="preserve"> the view</w:t>
      </w:r>
      <w:r w:rsidR="00D7344F" w:rsidRPr="004B2B19">
        <w:rPr>
          <w:rFonts w:asciiTheme="minorHAnsi" w:hAnsiTheme="minorHAnsi"/>
          <w:snapToGrid w:val="0"/>
          <w:lang w:val="en-GB"/>
        </w:rPr>
        <w:t xml:space="preserve"> </w:t>
      </w:r>
      <w:r w:rsidR="0069618D" w:rsidRPr="004B2B19">
        <w:rPr>
          <w:rFonts w:asciiTheme="minorHAnsi" w:hAnsiTheme="minorHAnsi"/>
          <w:snapToGrid w:val="0"/>
          <w:lang w:val="en-GB"/>
        </w:rPr>
        <w:t xml:space="preserve">that comparisons to </w:t>
      </w:r>
      <w:r w:rsidR="00242F9C" w:rsidRPr="004B2B19">
        <w:rPr>
          <w:rFonts w:asciiTheme="minorHAnsi" w:hAnsiTheme="minorHAnsi"/>
          <w:snapToGrid w:val="0"/>
          <w:lang w:val="en-GB"/>
        </w:rPr>
        <w:t>other ASMs would likely not be informative (paragraph 5.3 refers)</w:t>
      </w:r>
      <w:r w:rsidR="00A662FF" w:rsidRPr="004B2B19">
        <w:rPr>
          <w:rFonts w:asciiTheme="minorHAnsi" w:hAnsiTheme="minorHAnsi"/>
          <w:snapToGrid w:val="0"/>
          <w:lang w:val="en-GB"/>
        </w:rPr>
        <w:t xml:space="preserve"> and </w:t>
      </w:r>
      <w:r w:rsidR="00534112" w:rsidRPr="004B2B19">
        <w:rPr>
          <w:rFonts w:asciiTheme="minorHAnsi" w:hAnsiTheme="minorHAnsi"/>
          <w:snapToGrid w:val="0"/>
          <w:lang w:val="en-GB"/>
        </w:rPr>
        <w:t xml:space="preserve">considered this view was also applicable to FEN. </w:t>
      </w:r>
    </w:p>
    <w:p w14:paraId="71D3E629" w14:textId="06FBA8EA" w:rsidR="006D7BAA" w:rsidRPr="004B2B19" w:rsidRDefault="006D7BAA" w:rsidP="006C052E">
      <w:pPr>
        <w:widowControl w:val="0"/>
        <w:numPr>
          <w:ilvl w:val="1"/>
          <w:numId w:val="1"/>
        </w:numPr>
        <w:spacing w:after="120"/>
        <w:rPr>
          <w:rFonts w:asciiTheme="minorHAnsi" w:hAnsiTheme="minorHAnsi"/>
          <w:snapToGrid w:val="0"/>
          <w:lang w:val="en-GB"/>
        </w:rPr>
      </w:pPr>
      <w:r w:rsidRPr="004B2B19">
        <w:rPr>
          <w:rFonts w:asciiTheme="minorHAnsi" w:hAnsiTheme="minorHAnsi"/>
          <w:snapToGrid w:val="0"/>
          <w:lang w:val="en-GB"/>
        </w:rPr>
        <w:t xml:space="preserve">The Committee noted the submission was primarily supported by a single, randomised head-to-head trial comparing FEN to placebo (Study 1601), where background ASMs were continued in both arms of the trial over a period of 12 weeks following dose titration. Additional longer-term data was provided from an open label extension of this study. The PBAC also noted the CBD data was informed by two randomised head-to-head trials (GWPCARE 3 and 4), with a similar 12-week duration (after dose titration) </w:t>
      </w:r>
      <w:r w:rsidR="00DC024C" w:rsidRPr="004B2B19">
        <w:rPr>
          <w:rFonts w:asciiTheme="minorHAnsi" w:hAnsiTheme="minorHAnsi"/>
          <w:snapToGrid w:val="0"/>
          <w:lang w:val="en-GB"/>
        </w:rPr>
        <w:t>and</w:t>
      </w:r>
      <w:r w:rsidRPr="004B2B19">
        <w:rPr>
          <w:rFonts w:asciiTheme="minorHAnsi" w:hAnsiTheme="minorHAnsi"/>
          <w:snapToGrid w:val="0"/>
          <w:lang w:val="en-GB"/>
        </w:rPr>
        <w:t xml:space="preserve"> supported by an open label extension stage (GWPCARE5). The FEN and CBD studies both measured change in drop seizure frequency (DSF) from baseline as the primary outcome, with proportion of patients with a </w:t>
      </w:r>
      <w:r w:rsidRPr="004B2B19">
        <w:t>≥</w:t>
      </w:r>
      <w:r w:rsidRPr="004B2B19">
        <w:rPr>
          <w:rFonts w:asciiTheme="minorHAnsi" w:hAnsiTheme="minorHAnsi"/>
          <w:snapToGrid w:val="0"/>
          <w:lang w:val="en-GB"/>
        </w:rPr>
        <w:t xml:space="preserve">25%, </w:t>
      </w:r>
      <w:r w:rsidRPr="004B2B19">
        <w:t>≥</w:t>
      </w:r>
      <w:r w:rsidRPr="004B2B19">
        <w:rPr>
          <w:rFonts w:asciiTheme="minorHAnsi" w:hAnsiTheme="minorHAnsi"/>
          <w:snapToGrid w:val="0"/>
          <w:lang w:val="en-GB"/>
        </w:rPr>
        <w:t xml:space="preserve">50%, </w:t>
      </w:r>
      <w:r w:rsidRPr="004B2B19">
        <w:t>≥</w:t>
      </w:r>
      <w:r w:rsidRPr="004B2B19">
        <w:rPr>
          <w:rFonts w:asciiTheme="minorHAnsi" w:hAnsiTheme="minorHAnsi"/>
          <w:snapToGrid w:val="0"/>
          <w:lang w:val="en-GB"/>
        </w:rPr>
        <w:t>75% reduction in DSF</w:t>
      </w:r>
      <w:r w:rsidR="00DE4360" w:rsidRPr="004B2B19">
        <w:rPr>
          <w:rFonts w:asciiTheme="minorHAnsi" w:hAnsiTheme="minorHAnsi"/>
          <w:snapToGrid w:val="0"/>
          <w:lang w:val="en-GB"/>
        </w:rPr>
        <w:t xml:space="preserve"> and clinical global improvement assessments also collected.</w:t>
      </w:r>
      <w:r w:rsidR="00A37EA3" w:rsidRPr="004B2B19">
        <w:rPr>
          <w:rFonts w:asciiTheme="minorHAnsi" w:hAnsiTheme="minorHAnsi"/>
          <w:snapToGrid w:val="0"/>
          <w:lang w:val="en-GB"/>
        </w:rPr>
        <w:t xml:space="preserve"> </w:t>
      </w:r>
    </w:p>
    <w:p w14:paraId="08D82A16" w14:textId="03BE4A05" w:rsidR="001640D8" w:rsidRPr="004B2B19" w:rsidRDefault="001640D8" w:rsidP="006C052E">
      <w:pPr>
        <w:widowControl w:val="0"/>
        <w:numPr>
          <w:ilvl w:val="1"/>
          <w:numId w:val="1"/>
        </w:numPr>
        <w:spacing w:after="120"/>
        <w:rPr>
          <w:rFonts w:asciiTheme="minorHAnsi" w:hAnsiTheme="minorHAnsi"/>
          <w:snapToGrid w:val="0"/>
          <w:lang w:val="en-GB"/>
        </w:rPr>
      </w:pPr>
      <w:r w:rsidRPr="004B2B19">
        <w:rPr>
          <w:rFonts w:asciiTheme="minorHAnsi" w:hAnsiTheme="minorHAnsi"/>
          <w:snapToGrid w:val="0"/>
          <w:lang w:val="en-GB"/>
        </w:rPr>
        <w:t xml:space="preserve">The PBAC noted the FEN trial did not require a formal diagnosis of LGS if they otherwise met the study's diagnostic criteria, and considered this added some uncertainty regarding the population recruited to Study 1601. Furthermore, the Committee also considered the nomination of change in DSF as the main seizure type of interest may mean important information about changes in other seizure types may not have been </w:t>
      </w:r>
      <w:r w:rsidR="00DC0CB6" w:rsidRPr="004B2B19">
        <w:rPr>
          <w:rFonts w:asciiTheme="minorHAnsi" w:hAnsiTheme="minorHAnsi"/>
          <w:snapToGrid w:val="0"/>
          <w:lang w:val="en-GB"/>
        </w:rPr>
        <w:t>captured</w:t>
      </w:r>
      <w:r w:rsidRPr="004B2B19">
        <w:rPr>
          <w:rFonts w:asciiTheme="minorHAnsi" w:hAnsiTheme="minorHAnsi"/>
          <w:snapToGrid w:val="0"/>
          <w:lang w:val="en-GB"/>
        </w:rPr>
        <w:t>. However, given the overall similarity in primary outcomes between the FEN and CBD trials, the PBAC considered the available data was sufficient for assessing the clinical claims, albeit with</w:t>
      </w:r>
      <w:r w:rsidR="00084C4B" w:rsidRPr="004B2B19">
        <w:rPr>
          <w:rFonts w:asciiTheme="minorHAnsi" w:hAnsiTheme="minorHAnsi"/>
          <w:snapToGrid w:val="0"/>
          <w:lang w:val="en-GB"/>
        </w:rPr>
        <w:t xml:space="preserve"> some</w:t>
      </w:r>
      <w:r w:rsidRPr="004B2B19">
        <w:rPr>
          <w:rFonts w:asciiTheme="minorHAnsi" w:hAnsiTheme="minorHAnsi"/>
          <w:snapToGrid w:val="0"/>
          <w:lang w:val="en-GB"/>
        </w:rPr>
        <w:t xml:space="preserve"> uncertainty.</w:t>
      </w:r>
      <w:r w:rsidR="00502D89" w:rsidRPr="004B2B19">
        <w:rPr>
          <w:rFonts w:asciiTheme="minorHAnsi" w:hAnsiTheme="minorHAnsi"/>
          <w:snapToGrid w:val="0"/>
          <w:lang w:val="en-GB"/>
        </w:rPr>
        <w:t xml:space="preserve"> </w:t>
      </w:r>
    </w:p>
    <w:p w14:paraId="5E597EA9" w14:textId="7AE13FBC" w:rsidR="00570F55" w:rsidRPr="004B2B19" w:rsidRDefault="00502D89" w:rsidP="00502D89">
      <w:pPr>
        <w:pStyle w:val="3-BodyText"/>
        <w:rPr>
          <w:rFonts w:eastAsia="Times New Roman" w:cs="Arial"/>
          <w:snapToGrid w:val="0"/>
          <w:szCs w:val="24"/>
          <w:lang w:val="en-GB"/>
        </w:rPr>
      </w:pPr>
      <w:r w:rsidRPr="004B2B19">
        <w:rPr>
          <w:rFonts w:eastAsia="Times New Roman" w:cs="Arial"/>
          <w:snapToGrid w:val="0"/>
          <w:szCs w:val="24"/>
          <w:lang w:val="en-GB"/>
        </w:rPr>
        <w:t xml:space="preserve">The PBAC noted that for the primary outcome of change in DSF from baseline, </w:t>
      </w:r>
      <w:r w:rsidR="00A82A5C" w:rsidRPr="004B2B19">
        <w:rPr>
          <w:rFonts w:eastAsia="Times New Roman" w:cs="Arial"/>
          <w:snapToGrid w:val="0"/>
          <w:szCs w:val="24"/>
          <w:lang w:val="en-GB"/>
        </w:rPr>
        <w:t xml:space="preserve">FEN </w:t>
      </w:r>
      <w:r w:rsidR="00F26EC8" w:rsidRPr="004B2B19">
        <w:rPr>
          <w:rFonts w:eastAsia="Times New Roman" w:cs="Arial"/>
          <w:snapToGrid w:val="0"/>
          <w:szCs w:val="24"/>
          <w:lang w:val="en-GB"/>
        </w:rPr>
        <w:t xml:space="preserve">(at a dose of 0.7 mg/kg/day) </w:t>
      </w:r>
      <w:r w:rsidR="00A82A5C" w:rsidRPr="004B2B19">
        <w:rPr>
          <w:rFonts w:eastAsia="Times New Roman" w:cs="Arial"/>
          <w:snapToGrid w:val="0"/>
          <w:szCs w:val="24"/>
          <w:lang w:val="en-GB"/>
        </w:rPr>
        <w:t xml:space="preserve">was superior to placebo </w:t>
      </w:r>
      <w:r w:rsidR="00F26EC8" w:rsidRPr="004B2B19">
        <w:rPr>
          <w:rFonts w:eastAsia="Times New Roman" w:cs="Arial"/>
          <w:snapToGrid w:val="0"/>
          <w:szCs w:val="24"/>
          <w:lang w:val="en-GB"/>
        </w:rPr>
        <w:t>(</w:t>
      </w:r>
      <w:r w:rsidR="00DD7246" w:rsidRPr="004B2B19">
        <w:rPr>
          <w:rFonts w:eastAsia="Times New Roman" w:cs="Arial"/>
          <w:snapToGrid w:val="0"/>
          <w:szCs w:val="24"/>
          <w:lang w:val="en-GB"/>
        </w:rPr>
        <w:t>7.6% reduction from baseline for placebo vs 26.5% reduction from baseline for FEN)</w:t>
      </w:r>
      <w:r w:rsidR="002020CA" w:rsidRPr="004B2B19">
        <w:rPr>
          <w:rFonts w:eastAsia="Times New Roman" w:cs="Arial"/>
          <w:snapToGrid w:val="0"/>
          <w:szCs w:val="24"/>
          <w:lang w:val="en-GB"/>
        </w:rPr>
        <w:t xml:space="preserve"> and</w:t>
      </w:r>
      <w:r w:rsidR="003443F8" w:rsidRPr="004B2B19">
        <w:rPr>
          <w:rFonts w:eastAsia="Times New Roman" w:cs="Arial"/>
          <w:snapToGrid w:val="0"/>
          <w:szCs w:val="24"/>
          <w:lang w:val="en-GB"/>
        </w:rPr>
        <w:t xml:space="preserve"> the odds ratio of achieving a </w:t>
      </w:r>
      <w:r w:rsidR="00FD1A21" w:rsidRPr="004B2B19">
        <w:rPr>
          <w:rFonts w:eastAsia="Times New Roman" w:cs="Arial"/>
          <w:snapToGrid w:val="0"/>
          <w:szCs w:val="24"/>
          <w:lang w:val="en-GB"/>
        </w:rPr>
        <w:t>25</w:t>
      </w:r>
      <w:r w:rsidR="003443F8" w:rsidRPr="004B2B19">
        <w:rPr>
          <w:rFonts w:eastAsia="Times New Roman" w:cs="Arial"/>
          <w:snapToGrid w:val="0"/>
          <w:szCs w:val="24"/>
          <w:lang w:val="en-GB"/>
        </w:rPr>
        <w:t>% reduction in DSF fro</w:t>
      </w:r>
      <w:r w:rsidR="00311B60" w:rsidRPr="004B2B19">
        <w:rPr>
          <w:rFonts w:eastAsia="Times New Roman" w:cs="Arial"/>
          <w:snapToGrid w:val="0"/>
          <w:szCs w:val="24"/>
          <w:lang w:val="en-GB"/>
        </w:rPr>
        <w:t>m</w:t>
      </w:r>
      <w:r w:rsidR="003443F8" w:rsidRPr="004B2B19">
        <w:rPr>
          <w:rFonts w:eastAsia="Times New Roman" w:cs="Arial"/>
          <w:snapToGrid w:val="0"/>
          <w:szCs w:val="24"/>
          <w:lang w:val="en-GB"/>
        </w:rPr>
        <w:t xml:space="preserve"> baseline was </w:t>
      </w:r>
      <w:r w:rsidR="00311B60" w:rsidRPr="004B2B19">
        <w:rPr>
          <w:rFonts w:eastAsia="Times New Roman" w:cs="Arial"/>
          <w:snapToGrid w:val="0"/>
          <w:szCs w:val="24"/>
          <w:lang w:val="en-GB"/>
        </w:rPr>
        <w:t>2.</w:t>
      </w:r>
      <w:r w:rsidR="000A03AF" w:rsidRPr="004B2B19">
        <w:rPr>
          <w:rFonts w:eastAsia="Times New Roman" w:cs="Arial"/>
          <w:snapToGrid w:val="0"/>
          <w:szCs w:val="24"/>
          <w:lang w:val="en-GB"/>
        </w:rPr>
        <w:t>39</w:t>
      </w:r>
      <w:r w:rsidR="00046F09">
        <w:rPr>
          <w:rFonts w:eastAsia="Times New Roman" w:cs="Arial"/>
          <w:snapToGrid w:val="0"/>
          <w:szCs w:val="24"/>
          <w:lang w:val="en-GB"/>
        </w:rPr>
        <w:t xml:space="preserve"> </w:t>
      </w:r>
      <w:r w:rsidR="00311B60" w:rsidRPr="004B2B19">
        <w:rPr>
          <w:rFonts w:eastAsia="Times New Roman" w:cs="Arial"/>
          <w:snapToGrid w:val="0"/>
          <w:szCs w:val="24"/>
          <w:lang w:val="en-GB"/>
        </w:rPr>
        <w:t>(95%</w:t>
      </w:r>
      <w:r w:rsidR="00F22FB4" w:rsidRPr="004B2B19">
        <w:rPr>
          <w:rFonts w:eastAsia="Times New Roman" w:cs="Arial"/>
          <w:snapToGrid w:val="0"/>
          <w:szCs w:val="24"/>
          <w:lang w:val="en-GB"/>
        </w:rPr>
        <w:t xml:space="preserve"> </w:t>
      </w:r>
      <w:r w:rsidR="00311B60" w:rsidRPr="004B2B19">
        <w:rPr>
          <w:rFonts w:eastAsia="Times New Roman" w:cs="Arial"/>
          <w:snapToGrid w:val="0"/>
          <w:szCs w:val="24"/>
          <w:lang w:val="en-GB"/>
        </w:rPr>
        <w:t>CI: 1.2</w:t>
      </w:r>
      <w:r w:rsidR="000A03AF" w:rsidRPr="004B2B19">
        <w:rPr>
          <w:rFonts w:eastAsia="Times New Roman" w:cs="Arial"/>
          <w:snapToGrid w:val="0"/>
          <w:szCs w:val="24"/>
          <w:lang w:val="en-GB"/>
        </w:rPr>
        <w:t>8</w:t>
      </w:r>
      <w:r w:rsidR="00311B60" w:rsidRPr="004B2B19">
        <w:rPr>
          <w:rFonts w:eastAsia="Times New Roman" w:cs="Arial"/>
          <w:snapToGrid w:val="0"/>
          <w:szCs w:val="24"/>
          <w:lang w:val="en-GB"/>
        </w:rPr>
        <w:t xml:space="preserve">, </w:t>
      </w:r>
      <w:r w:rsidR="000A03AF" w:rsidRPr="004B2B19">
        <w:rPr>
          <w:rFonts w:eastAsia="Times New Roman" w:cs="Arial"/>
          <w:snapToGrid w:val="0"/>
          <w:szCs w:val="24"/>
          <w:lang w:val="en-GB"/>
        </w:rPr>
        <w:t>4.49</w:t>
      </w:r>
      <w:r w:rsidR="00311B60" w:rsidRPr="004B2B19">
        <w:rPr>
          <w:rFonts w:eastAsia="Times New Roman" w:cs="Arial"/>
          <w:snapToGrid w:val="0"/>
          <w:szCs w:val="24"/>
          <w:lang w:val="en-GB"/>
        </w:rPr>
        <w:t xml:space="preserve">) for FEN (at a dose of 0.7 mg/kg/day) compared to placebo. </w:t>
      </w:r>
    </w:p>
    <w:p w14:paraId="51CEC0C4" w14:textId="49BB675E" w:rsidR="00502D89" w:rsidRPr="004B2B19" w:rsidRDefault="00570F55" w:rsidP="00502D89">
      <w:pPr>
        <w:pStyle w:val="3-BodyText"/>
        <w:rPr>
          <w:rFonts w:eastAsia="Times New Roman" w:cs="Arial"/>
          <w:snapToGrid w:val="0"/>
          <w:szCs w:val="24"/>
          <w:lang w:val="en-GB"/>
        </w:rPr>
      </w:pPr>
      <w:r w:rsidRPr="004B2B19">
        <w:rPr>
          <w:rFonts w:eastAsia="Times New Roman" w:cs="Arial"/>
          <w:snapToGrid w:val="0"/>
          <w:szCs w:val="24"/>
          <w:lang w:val="en-GB"/>
        </w:rPr>
        <w:t>B</w:t>
      </w:r>
      <w:r w:rsidR="00502D89" w:rsidRPr="004B2B19">
        <w:rPr>
          <w:rFonts w:eastAsia="Times New Roman" w:cs="Arial"/>
          <w:snapToGrid w:val="0"/>
          <w:szCs w:val="24"/>
          <w:lang w:val="en-GB"/>
        </w:rPr>
        <w:t xml:space="preserve">ased on the indirect treatment comparison (ITC) presented using the Bucher method, </w:t>
      </w:r>
      <w:r w:rsidR="00DB7C74" w:rsidRPr="004B2B19">
        <w:rPr>
          <w:rFonts w:eastAsia="Times New Roman" w:cs="Arial"/>
          <w:snapToGrid w:val="0"/>
          <w:szCs w:val="24"/>
          <w:lang w:val="en-GB"/>
        </w:rPr>
        <w:t xml:space="preserve">the PBAC noted there were </w:t>
      </w:r>
      <w:r w:rsidR="00502D89" w:rsidRPr="004B2B19">
        <w:rPr>
          <w:rFonts w:eastAsia="Times New Roman" w:cs="Arial"/>
          <w:snapToGrid w:val="0"/>
          <w:szCs w:val="24"/>
          <w:lang w:val="en-GB"/>
        </w:rPr>
        <w:t>no statistically significant differences between FEN and CBD for the outcomes of median change in DSF, or proportion with a greater than 25</w:t>
      </w:r>
      <w:r w:rsidR="00923042" w:rsidRPr="004B2B19">
        <w:rPr>
          <w:rFonts w:eastAsia="Times New Roman" w:cs="Arial"/>
          <w:snapToGrid w:val="0"/>
          <w:szCs w:val="24"/>
          <w:lang w:val="en-GB"/>
        </w:rPr>
        <w:t>%</w:t>
      </w:r>
      <w:r w:rsidR="00502D89" w:rsidRPr="004B2B19">
        <w:rPr>
          <w:rFonts w:eastAsia="Times New Roman" w:cs="Arial"/>
          <w:snapToGrid w:val="0"/>
          <w:szCs w:val="24"/>
          <w:lang w:val="en-GB"/>
        </w:rPr>
        <w:t>, 50</w:t>
      </w:r>
      <w:r w:rsidR="00923042" w:rsidRPr="004B2B19">
        <w:rPr>
          <w:rFonts w:eastAsia="Times New Roman" w:cs="Arial"/>
          <w:snapToGrid w:val="0"/>
          <w:szCs w:val="24"/>
          <w:lang w:val="en-GB"/>
        </w:rPr>
        <w:t>%</w:t>
      </w:r>
      <w:r w:rsidR="00502D89" w:rsidRPr="004B2B19">
        <w:rPr>
          <w:rFonts w:eastAsia="Times New Roman" w:cs="Arial"/>
          <w:snapToGrid w:val="0"/>
          <w:szCs w:val="24"/>
          <w:lang w:val="en-GB"/>
        </w:rPr>
        <w:t xml:space="preserve"> or 75% reduction in DSF from baseline (see Table 8).</w:t>
      </w:r>
      <w:r w:rsidR="00923042" w:rsidRPr="004B2B19">
        <w:rPr>
          <w:rFonts w:eastAsia="Times New Roman" w:cs="Arial"/>
          <w:snapToGrid w:val="0"/>
          <w:szCs w:val="24"/>
          <w:lang w:val="en-GB"/>
        </w:rPr>
        <w:t>T</w:t>
      </w:r>
      <w:r w:rsidR="00502D89" w:rsidRPr="004B2B19">
        <w:rPr>
          <w:rFonts w:eastAsia="Times New Roman" w:cs="Arial"/>
          <w:snapToGrid w:val="0"/>
          <w:szCs w:val="24"/>
          <w:lang w:val="en-GB"/>
        </w:rPr>
        <w:t>he PBAC considered</w:t>
      </w:r>
      <w:r w:rsidR="00923042" w:rsidRPr="004B2B19">
        <w:rPr>
          <w:rFonts w:eastAsia="Times New Roman" w:cs="Arial"/>
          <w:snapToGrid w:val="0"/>
          <w:szCs w:val="24"/>
          <w:lang w:val="en-GB"/>
        </w:rPr>
        <w:t xml:space="preserve"> that</w:t>
      </w:r>
      <w:r w:rsidR="00502D89" w:rsidRPr="004B2B19">
        <w:rPr>
          <w:rFonts w:eastAsia="Times New Roman" w:cs="Arial"/>
          <w:snapToGrid w:val="0"/>
          <w:szCs w:val="24"/>
          <w:lang w:val="en-GB"/>
        </w:rPr>
        <w:t xml:space="preserve">, on balance, a claim of non-inferior comparative effectiveness of FEN and CBD was likely to be reasonable. </w:t>
      </w:r>
    </w:p>
    <w:p w14:paraId="59740C63" w14:textId="080BE587" w:rsidR="00502D89" w:rsidRPr="004B2B19" w:rsidRDefault="00502D89" w:rsidP="00502D89">
      <w:pPr>
        <w:pStyle w:val="3-BodyText"/>
        <w:rPr>
          <w:snapToGrid w:val="0"/>
          <w:lang w:val="en-GB"/>
        </w:rPr>
      </w:pPr>
      <w:r w:rsidRPr="004B2B19">
        <w:rPr>
          <w:rFonts w:eastAsia="Times New Roman" w:cs="Arial"/>
          <w:snapToGrid w:val="0"/>
          <w:szCs w:val="24"/>
          <w:lang w:val="en-GB"/>
        </w:rPr>
        <w:t xml:space="preserve">With respect to comparative safety, the PBAC noted the available data indicated FEN was associated with nutritional side effects such as loss of appetite and weight loss, which was of particular concern in LGS given median baseline body mass index (BMI) was less than 19 in Study 1601 (paragraph </w:t>
      </w:r>
      <w:r w:rsidR="007B1F29" w:rsidRPr="004B2B19">
        <w:rPr>
          <w:rFonts w:eastAsia="Times New Roman" w:cs="Arial"/>
          <w:snapToGrid w:val="0"/>
          <w:szCs w:val="24"/>
          <w:lang w:val="en-GB"/>
        </w:rPr>
        <w:fldChar w:fldCharType="begin"/>
      </w:r>
      <w:r w:rsidR="007B1F29" w:rsidRPr="004B2B19">
        <w:rPr>
          <w:rFonts w:eastAsia="Times New Roman" w:cs="Arial"/>
          <w:snapToGrid w:val="0"/>
          <w:szCs w:val="24"/>
          <w:lang w:val="en-GB"/>
        </w:rPr>
        <w:instrText xml:space="preserve"> REF _Ref214518861 \r \h </w:instrText>
      </w:r>
      <w:r w:rsidR="004B2B19">
        <w:rPr>
          <w:rFonts w:eastAsia="Times New Roman" w:cs="Arial"/>
          <w:snapToGrid w:val="0"/>
          <w:szCs w:val="24"/>
          <w:lang w:val="en-GB"/>
        </w:rPr>
        <w:instrText xml:space="preserve"> \* MERGEFORMAT </w:instrText>
      </w:r>
      <w:r w:rsidR="007B1F29" w:rsidRPr="004B2B19">
        <w:rPr>
          <w:rFonts w:eastAsia="Times New Roman" w:cs="Arial"/>
          <w:snapToGrid w:val="0"/>
          <w:szCs w:val="24"/>
          <w:lang w:val="en-GB"/>
        </w:rPr>
      </w:r>
      <w:r w:rsidR="007B1F29" w:rsidRPr="004B2B19">
        <w:rPr>
          <w:rFonts w:eastAsia="Times New Roman" w:cs="Arial"/>
          <w:snapToGrid w:val="0"/>
          <w:szCs w:val="24"/>
          <w:lang w:val="en-GB"/>
        </w:rPr>
        <w:fldChar w:fldCharType="separate"/>
      </w:r>
      <w:r w:rsidR="00A037BC">
        <w:rPr>
          <w:rFonts w:eastAsia="Times New Roman" w:cs="Arial"/>
          <w:snapToGrid w:val="0"/>
          <w:szCs w:val="24"/>
          <w:lang w:val="en-GB"/>
        </w:rPr>
        <w:t>6.35</w:t>
      </w:r>
      <w:r w:rsidR="007B1F29" w:rsidRPr="004B2B19">
        <w:rPr>
          <w:rFonts w:eastAsia="Times New Roman" w:cs="Arial"/>
          <w:snapToGrid w:val="0"/>
          <w:szCs w:val="24"/>
          <w:lang w:val="en-GB"/>
        </w:rPr>
        <w:fldChar w:fldCharType="end"/>
      </w:r>
      <w:r w:rsidR="004C1507" w:rsidRPr="004B2B19">
        <w:rPr>
          <w:rFonts w:eastAsia="Times New Roman" w:cs="Arial"/>
          <w:snapToGrid w:val="0"/>
          <w:szCs w:val="24"/>
          <w:lang w:val="en-GB"/>
        </w:rPr>
        <w:t xml:space="preserve"> </w:t>
      </w:r>
      <w:r w:rsidRPr="004B2B19">
        <w:rPr>
          <w:rFonts w:eastAsia="Times New Roman" w:cs="Arial"/>
          <w:snapToGrid w:val="0"/>
          <w:szCs w:val="24"/>
          <w:lang w:val="en-GB"/>
        </w:rPr>
        <w:t xml:space="preserve">refers), and was concerned that ~17% of patients were observed to have lost 7% or more body weight during the open label extension phase of the FEN trial (paragraph </w:t>
      </w:r>
      <w:r w:rsidR="007B1F29" w:rsidRPr="004B2B19">
        <w:rPr>
          <w:rFonts w:eastAsia="Times New Roman" w:cs="Arial"/>
          <w:snapToGrid w:val="0"/>
          <w:szCs w:val="24"/>
          <w:lang w:val="en-GB"/>
        </w:rPr>
        <w:fldChar w:fldCharType="begin"/>
      </w:r>
      <w:r w:rsidR="007B1F29" w:rsidRPr="004B2B19">
        <w:rPr>
          <w:rFonts w:eastAsia="Times New Roman" w:cs="Arial"/>
          <w:snapToGrid w:val="0"/>
          <w:szCs w:val="24"/>
          <w:lang w:val="en-GB"/>
        </w:rPr>
        <w:instrText xml:space="preserve"> REF _Ref214518877 \r \h </w:instrText>
      </w:r>
      <w:r w:rsidR="004B2B19">
        <w:rPr>
          <w:rFonts w:eastAsia="Times New Roman" w:cs="Arial"/>
          <w:snapToGrid w:val="0"/>
          <w:szCs w:val="24"/>
          <w:lang w:val="en-GB"/>
        </w:rPr>
        <w:instrText xml:space="preserve"> \* MERGEFORMAT </w:instrText>
      </w:r>
      <w:r w:rsidR="007B1F29" w:rsidRPr="004B2B19">
        <w:rPr>
          <w:rFonts w:eastAsia="Times New Roman" w:cs="Arial"/>
          <w:snapToGrid w:val="0"/>
          <w:szCs w:val="24"/>
          <w:lang w:val="en-GB"/>
        </w:rPr>
      </w:r>
      <w:r w:rsidR="007B1F29" w:rsidRPr="004B2B19">
        <w:rPr>
          <w:rFonts w:eastAsia="Times New Roman" w:cs="Arial"/>
          <w:snapToGrid w:val="0"/>
          <w:szCs w:val="24"/>
          <w:lang w:val="en-GB"/>
        </w:rPr>
        <w:fldChar w:fldCharType="separate"/>
      </w:r>
      <w:r w:rsidR="00A037BC">
        <w:rPr>
          <w:rFonts w:eastAsia="Times New Roman" w:cs="Arial"/>
          <w:snapToGrid w:val="0"/>
          <w:szCs w:val="24"/>
          <w:lang w:val="en-GB"/>
        </w:rPr>
        <w:t>6.36</w:t>
      </w:r>
      <w:r w:rsidR="007B1F29" w:rsidRPr="004B2B19">
        <w:rPr>
          <w:rFonts w:eastAsia="Times New Roman" w:cs="Arial"/>
          <w:snapToGrid w:val="0"/>
          <w:szCs w:val="24"/>
          <w:lang w:val="en-GB"/>
        </w:rPr>
        <w:fldChar w:fldCharType="end"/>
      </w:r>
      <w:r w:rsidR="007B1F29" w:rsidRPr="004B2B19">
        <w:rPr>
          <w:rFonts w:eastAsia="Times New Roman" w:cs="Arial"/>
          <w:snapToGrid w:val="0"/>
          <w:szCs w:val="24"/>
          <w:lang w:val="en-GB"/>
        </w:rPr>
        <w:t xml:space="preserve"> </w:t>
      </w:r>
      <w:r w:rsidRPr="004B2B19">
        <w:rPr>
          <w:rFonts w:eastAsia="Times New Roman" w:cs="Arial"/>
          <w:snapToGrid w:val="0"/>
          <w:szCs w:val="24"/>
          <w:lang w:val="en-GB"/>
        </w:rPr>
        <w:t>refers).</w:t>
      </w:r>
      <w:r w:rsidR="009B2B93" w:rsidRPr="004B2B19">
        <w:rPr>
          <w:rFonts w:eastAsia="Times New Roman" w:cs="Arial"/>
          <w:snapToGrid w:val="0"/>
          <w:szCs w:val="24"/>
          <w:lang w:val="en-GB"/>
        </w:rPr>
        <w:t>T</w:t>
      </w:r>
      <w:r w:rsidRPr="004B2B19">
        <w:rPr>
          <w:rFonts w:eastAsia="Times New Roman" w:cs="Arial"/>
          <w:snapToGrid w:val="0"/>
          <w:szCs w:val="24"/>
          <w:lang w:val="en-GB"/>
        </w:rPr>
        <w:t xml:space="preserve">he PBAC noted </w:t>
      </w:r>
      <w:r w:rsidR="00712BA6" w:rsidRPr="004B2B19">
        <w:rPr>
          <w:rFonts w:eastAsia="Times New Roman" w:cs="Arial"/>
          <w:snapToGrid w:val="0"/>
          <w:szCs w:val="24"/>
          <w:lang w:val="en-GB"/>
        </w:rPr>
        <w:t>valvul</w:t>
      </w:r>
      <w:r w:rsidR="00021DAF" w:rsidRPr="004B2B19">
        <w:rPr>
          <w:rFonts w:eastAsia="Times New Roman" w:cs="Arial"/>
          <w:snapToGrid w:val="0"/>
          <w:szCs w:val="24"/>
          <w:lang w:val="en-GB"/>
        </w:rPr>
        <w:t>o</w:t>
      </w:r>
      <w:r w:rsidR="00712BA6" w:rsidRPr="004B2B19">
        <w:rPr>
          <w:rFonts w:eastAsia="Times New Roman" w:cs="Arial"/>
          <w:snapToGrid w:val="0"/>
          <w:szCs w:val="24"/>
          <w:lang w:val="en-GB"/>
        </w:rPr>
        <w:t>pathy</w:t>
      </w:r>
      <w:r w:rsidR="0005355C" w:rsidRPr="004B2B19">
        <w:rPr>
          <w:rFonts w:eastAsia="Times New Roman" w:cs="Arial"/>
          <w:snapToGrid w:val="0"/>
          <w:szCs w:val="24"/>
          <w:lang w:val="en-GB"/>
        </w:rPr>
        <w:t xml:space="preserve"> and </w:t>
      </w:r>
      <w:r w:rsidR="00712BA6" w:rsidRPr="004B2B19">
        <w:rPr>
          <w:rFonts w:eastAsia="Times New Roman" w:cs="Arial"/>
          <w:snapToGrid w:val="0"/>
          <w:szCs w:val="24"/>
          <w:lang w:val="en-GB"/>
        </w:rPr>
        <w:t xml:space="preserve">pulmonary </w:t>
      </w:r>
      <w:r w:rsidR="00021DAF" w:rsidRPr="004B2B19">
        <w:rPr>
          <w:rFonts w:eastAsia="Times New Roman" w:cs="Arial"/>
          <w:snapToGrid w:val="0"/>
          <w:szCs w:val="24"/>
          <w:lang w:val="en-GB"/>
        </w:rPr>
        <w:t>arterial</w:t>
      </w:r>
      <w:r w:rsidR="00A7170B" w:rsidRPr="004B2B19">
        <w:rPr>
          <w:rFonts w:eastAsia="Times New Roman" w:cs="Arial"/>
          <w:snapToGrid w:val="0"/>
          <w:szCs w:val="24"/>
          <w:lang w:val="en-GB"/>
        </w:rPr>
        <w:t xml:space="preserve"> </w:t>
      </w:r>
      <w:r w:rsidR="007E0678" w:rsidRPr="004B2B19">
        <w:rPr>
          <w:rFonts w:eastAsia="Times New Roman" w:cs="Arial"/>
          <w:snapToGrid w:val="0"/>
          <w:szCs w:val="24"/>
          <w:lang w:val="en-GB"/>
        </w:rPr>
        <w:t xml:space="preserve">have been reported </w:t>
      </w:r>
      <w:r w:rsidR="003067A3" w:rsidRPr="004B2B19">
        <w:rPr>
          <w:rFonts w:eastAsia="Times New Roman" w:cs="Arial"/>
          <w:snapToGrid w:val="0"/>
          <w:szCs w:val="24"/>
          <w:lang w:val="en-GB"/>
        </w:rPr>
        <w:t xml:space="preserve">at doses used </w:t>
      </w:r>
      <w:r w:rsidR="009D0DC2" w:rsidRPr="004B2B19">
        <w:rPr>
          <w:rFonts w:eastAsia="Times New Roman" w:cs="Arial"/>
          <w:snapToGrid w:val="0"/>
          <w:szCs w:val="24"/>
          <w:lang w:val="en-GB"/>
        </w:rPr>
        <w:t xml:space="preserve">in patients with </w:t>
      </w:r>
      <w:r w:rsidR="007E0678" w:rsidRPr="004B2B19">
        <w:rPr>
          <w:rFonts w:eastAsia="Times New Roman" w:cs="Arial"/>
          <w:snapToGrid w:val="0"/>
          <w:szCs w:val="24"/>
          <w:lang w:val="en-GB"/>
        </w:rPr>
        <w:t xml:space="preserve">LGS </w:t>
      </w:r>
      <w:r w:rsidR="009D0DC2" w:rsidRPr="004B2B19">
        <w:rPr>
          <w:rFonts w:eastAsia="Times New Roman" w:cs="Arial"/>
          <w:snapToGrid w:val="0"/>
          <w:szCs w:val="24"/>
          <w:lang w:val="en-GB"/>
        </w:rPr>
        <w:t xml:space="preserve">(and Dravet syndrome) </w:t>
      </w:r>
      <w:r w:rsidR="007E0678" w:rsidRPr="004B2B19">
        <w:rPr>
          <w:rFonts w:eastAsia="Times New Roman" w:cs="Arial"/>
          <w:snapToGrid w:val="0"/>
          <w:szCs w:val="24"/>
          <w:lang w:val="en-GB"/>
        </w:rPr>
        <w:t>in post-marketing studies</w:t>
      </w:r>
      <w:r w:rsidR="00BB3F5C" w:rsidRPr="004B2B19">
        <w:rPr>
          <w:rFonts w:eastAsia="Times New Roman" w:cs="Arial"/>
          <w:snapToGrid w:val="0"/>
          <w:szCs w:val="24"/>
          <w:lang w:val="en-GB"/>
        </w:rPr>
        <w:t xml:space="preserve"> and the long term risk</w:t>
      </w:r>
      <w:r w:rsidR="00096DCD" w:rsidRPr="004B2B19">
        <w:rPr>
          <w:rFonts w:eastAsia="Times New Roman" w:cs="Arial"/>
          <w:snapToGrid w:val="0"/>
          <w:szCs w:val="24"/>
          <w:lang w:val="en-GB"/>
        </w:rPr>
        <w:t xml:space="preserve"> remain</w:t>
      </w:r>
      <w:r w:rsidR="001A1840" w:rsidRPr="004B2B19">
        <w:rPr>
          <w:rFonts w:eastAsia="Times New Roman" w:cs="Arial"/>
          <w:snapToGrid w:val="0"/>
          <w:szCs w:val="24"/>
          <w:lang w:val="en-GB"/>
        </w:rPr>
        <w:t>ed</w:t>
      </w:r>
      <w:r w:rsidR="00096DCD" w:rsidRPr="004B2B19">
        <w:rPr>
          <w:rFonts w:eastAsia="Times New Roman" w:cs="Arial"/>
          <w:snapToGrid w:val="0"/>
          <w:szCs w:val="24"/>
          <w:lang w:val="en-GB"/>
        </w:rPr>
        <w:t xml:space="preserve"> uncertain</w:t>
      </w:r>
      <w:r w:rsidR="00BB3F5C" w:rsidRPr="004B2B19">
        <w:rPr>
          <w:rFonts w:eastAsia="Times New Roman" w:cs="Arial"/>
          <w:snapToGrid w:val="0"/>
          <w:szCs w:val="24"/>
          <w:lang w:val="en-GB"/>
        </w:rPr>
        <w:t>.</w:t>
      </w:r>
      <w:r w:rsidR="00046F09">
        <w:rPr>
          <w:rFonts w:eastAsia="Times New Roman" w:cs="Arial"/>
          <w:snapToGrid w:val="0"/>
          <w:szCs w:val="24"/>
          <w:lang w:val="en-GB"/>
        </w:rPr>
        <w:t xml:space="preserve"> </w:t>
      </w:r>
      <w:r w:rsidRPr="004B2B19">
        <w:rPr>
          <w:rFonts w:eastAsia="Times New Roman" w:cs="Arial"/>
          <w:snapToGrid w:val="0"/>
          <w:szCs w:val="24"/>
          <w:lang w:val="en-GB"/>
        </w:rPr>
        <w:t>For CBD, the Committee noted the most common side effects were elevated serum transaminases and somnolence (paragraphs 6.45 and 6.46 refer).</w:t>
      </w:r>
      <w:r w:rsidR="006020AC" w:rsidRPr="004B2B19">
        <w:rPr>
          <w:rFonts w:eastAsia="Times New Roman" w:cs="Arial"/>
          <w:snapToGrid w:val="0"/>
          <w:szCs w:val="24"/>
          <w:lang w:val="en-GB"/>
        </w:rPr>
        <w:t xml:space="preserve"> T</w:t>
      </w:r>
      <w:r w:rsidRPr="004B2B19">
        <w:rPr>
          <w:rFonts w:eastAsia="Times New Roman" w:cs="Arial"/>
          <w:snapToGrid w:val="0"/>
          <w:szCs w:val="24"/>
          <w:lang w:val="en-GB"/>
        </w:rPr>
        <w:t>he PBAC considered FEN to be of inferior comparative safety to CBD, with a higher risk of more serious and impactful adverse events.</w:t>
      </w:r>
    </w:p>
    <w:p w14:paraId="4F3EC442" w14:textId="4FCA17DB" w:rsidR="00B9459C" w:rsidRPr="004B2B19" w:rsidRDefault="00DB1C79" w:rsidP="006C052E">
      <w:pPr>
        <w:widowControl w:val="0"/>
        <w:numPr>
          <w:ilvl w:val="1"/>
          <w:numId w:val="1"/>
        </w:numPr>
        <w:spacing w:after="120"/>
      </w:pPr>
      <w:r w:rsidRPr="004B2B19">
        <w:rPr>
          <w:rFonts w:asciiTheme="minorHAnsi" w:hAnsiTheme="minorHAnsi"/>
          <w:snapToGrid w:val="0"/>
          <w:lang w:val="en-GB"/>
        </w:rPr>
        <w:t>The PBAC noted the submission presented a cost minimisation approach (CMA) of FEN and CBD, reflecting the submission claims of non-inferior comparative effectiveness and safety. The Committee noted the CMA</w:t>
      </w:r>
      <w:r w:rsidR="00E853D1" w:rsidRPr="004B2B19">
        <w:rPr>
          <w:rFonts w:asciiTheme="minorHAnsi" w:hAnsiTheme="minorHAnsi"/>
          <w:snapToGrid w:val="0"/>
          <w:lang w:val="en-GB"/>
        </w:rPr>
        <w:t xml:space="preserve"> was conducted over two years and</w:t>
      </w:r>
      <w:r w:rsidRPr="004B2B19">
        <w:rPr>
          <w:rFonts w:asciiTheme="minorHAnsi" w:hAnsiTheme="minorHAnsi"/>
          <w:snapToGrid w:val="0"/>
          <w:lang w:val="en-GB"/>
        </w:rPr>
        <w:t xml:space="preserve"> included offsets for </w:t>
      </w:r>
      <w:r w:rsidR="008B773C" w:rsidRPr="004B2B19">
        <w:rPr>
          <w:rFonts w:asciiTheme="minorHAnsi" w:hAnsiTheme="minorHAnsi"/>
          <w:snapToGrid w:val="0"/>
          <w:lang w:val="en-GB"/>
        </w:rPr>
        <w:t>cardiac monitoring</w:t>
      </w:r>
      <w:r w:rsidRPr="004B2B19">
        <w:rPr>
          <w:rFonts w:asciiTheme="minorHAnsi" w:hAnsiTheme="minorHAnsi"/>
          <w:snapToGrid w:val="0"/>
          <w:lang w:val="en-GB"/>
        </w:rPr>
        <w:t xml:space="preserve"> for FEN and </w:t>
      </w:r>
      <w:r w:rsidR="008B773C" w:rsidRPr="004B2B19">
        <w:rPr>
          <w:rFonts w:asciiTheme="minorHAnsi" w:hAnsiTheme="minorHAnsi"/>
          <w:snapToGrid w:val="0"/>
          <w:lang w:val="en-GB"/>
        </w:rPr>
        <w:t xml:space="preserve">liver function monitoring </w:t>
      </w:r>
      <w:r w:rsidR="005E1D3B" w:rsidRPr="004B2B19">
        <w:rPr>
          <w:rFonts w:asciiTheme="minorHAnsi" w:hAnsiTheme="minorHAnsi"/>
          <w:snapToGrid w:val="0"/>
          <w:lang w:val="en-GB"/>
        </w:rPr>
        <w:t xml:space="preserve">and </w:t>
      </w:r>
      <w:r w:rsidR="00F941AE" w:rsidRPr="004B2B19">
        <w:rPr>
          <w:rFonts w:asciiTheme="minorHAnsi" w:hAnsiTheme="minorHAnsi"/>
          <w:snapToGrid w:val="0"/>
          <w:lang w:val="en-GB"/>
        </w:rPr>
        <w:t xml:space="preserve">plasma drug concentration </w:t>
      </w:r>
      <w:r w:rsidR="005E1D3B" w:rsidRPr="004B2B19">
        <w:rPr>
          <w:rFonts w:asciiTheme="minorHAnsi" w:hAnsiTheme="minorHAnsi"/>
          <w:snapToGrid w:val="0"/>
          <w:lang w:val="en-GB"/>
        </w:rPr>
        <w:t xml:space="preserve">monitoring </w:t>
      </w:r>
      <w:r w:rsidR="008B773C" w:rsidRPr="004B2B19">
        <w:rPr>
          <w:rFonts w:asciiTheme="minorHAnsi" w:hAnsiTheme="minorHAnsi"/>
          <w:snapToGrid w:val="0"/>
          <w:lang w:val="en-GB"/>
        </w:rPr>
        <w:t xml:space="preserve">for </w:t>
      </w:r>
      <w:r w:rsidRPr="004B2B19">
        <w:rPr>
          <w:rFonts w:asciiTheme="minorHAnsi" w:hAnsiTheme="minorHAnsi"/>
          <w:snapToGrid w:val="0"/>
          <w:lang w:val="en-GB"/>
        </w:rPr>
        <w:t xml:space="preserve">CBD. </w:t>
      </w:r>
      <w:r w:rsidR="005E1D3B" w:rsidRPr="004B2B19">
        <w:rPr>
          <w:rFonts w:asciiTheme="minorHAnsi" w:hAnsiTheme="minorHAnsi"/>
          <w:snapToGrid w:val="0"/>
          <w:lang w:val="en-GB"/>
        </w:rPr>
        <w:t>The PB</w:t>
      </w:r>
      <w:r w:rsidR="00F941AE" w:rsidRPr="004B2B19">
        <w:rPr>
          <w:rFonts w:asciiTheme="minorHAnsi" w:hAnsiTheme="minorHAnsi"/>
          <w:snapToGrid w:val="0"/>
          <w:lang w:val="en-GB"/>
        </w:rPr>
        <w:t>A</w:t>
      </w:r>
      <w:r w:rsidR="005E1D3B" w:rsidRPr="004B2B19">
        <w:rPr>
          <w:rFonts w:asciiTheme="minorHAnsi" w:hAnsiTheme="minorHAnsi"/>
          <w:snapToGrid w:val="0"/>
          <w:lang w:val="en-GB"/>
        </w:rPr>
        <w:t xml:space="preserve">C considered the inclusion of </w:t>
      </w:r>
      <w:r w:rsidR="00F941AE" w:rsidRPr="004B2B19">
        <w:rPr>
          <w:rFonts w:asciiTheme="minorHAnsi" w:hAnsiTheme="minorHAnsi"/>
          <w:snapToGrid w:val="0"/>
          <w:lang w:val="en-GB"/>
        </w:rPr>
        <w:t xml:space="preserve">cardiac and liver function </w:t>
      </w:r>
      <w:r w:rsidR="005E1D3B" w:rsidRPr="004B2B19">
        <w:rPr>
          <w:rFonts w:asciiTheme="minorHAnsi" w:hAnsiTheme="minorHAnsi"/>
          <w:snapToGrid w:val="0"/>
          <w:lang w:val="en-GB"/>
        </w:rPr>
        <w:t xml:space="preserve">monitoring costs </w:t>
      </w:r>
      <w:r w:rsidR="00F941AE" w:rsidRPr="004B2B19">
        <w:rPr>
          <w:rFonts w:asciiTheme="minorHAnsi" w:hAnsiTheme="minorHAnsi"/>
          <w:snapToGrid w:val="0"/>
          <w:lang w:val="en-GB"/>
        </w:rPr>
        <w:t xml:space="preserve">in the CMA </w:t>
      </w:r>
      <w:r w:rsidR="005E1D3B" w:rsidRPr="004B2B19">
        <w:rPr>
          <w:rFonts w:asciiTheme="minorHAnsi" w:hAnsiTheme="minorHAnsi"/>
          <w:snapToGrid w:val="0"/>
          <w:lang w:val="en-GB"/>
        </w:rPr>
        <w:t>w</w:t>
      </w:r>
      <w:r w:rsidR="00F941AE" w:rsidRPr="004B2B19">
        <w:rPr>
          <w:rFonts w:asciiTheme="minorHAnsi" w:hAnsiTheme="minorHAnsi"/>
          <w:snapToGrid w:val="0"/>
          <w:lang w:val="en-GB"/>
        </w:rPr>
        <w:t>as appropriate</w:t>
      </w:r>
      <w:r w:rsidR="005E1D3B" w:rsidRPr="004B2B19">
        <w:rPr>
          <w:rFonts w:asciiTheme="minorHAnsi" w:hAnsiTheme="minorHAnsi"/>
          <w:snapToGrid w:val="0"/>
          <w:lang w:val="en-GB"/>
        </w:rPr>
        <w:t>; however, blood plasma monitoring for CBD is not required in the Product Information and is rarely undertaken in clinical practi</w:t>
      </w:r>
      <w:r w:rsidR="000A15BC" w:rsidRPr="004B2B19">
        <w:rPr>
          <w:rFonts w:asciiTheme="minorHAnsi" w:hAnsiTheme="minorHAnsi"/>
          <w:snapToGrid w:val="0"/>
          <w:lang w:val="en-GB"/>
        </w:rPr>
        <w:t>c</w:t>
      </w:r>
      <w:r w:rsidR="005E1D3B" w:rsidRPr="004B2B19">
        <w:rPr>
          <w:rFonts w:asciiTheme="minorHAnsi" w:hAnsiTheme="minorHAnsi"/>
          <w:snapToGrid w:val="0"/>
          <w:lang w:val="en-GB"/>
        </w:rPr>
        <w:t>e</w:t>
      </w:r>
      <w:r w:rsidR="00B9459C" w:rsidRPr="004B2B19">
        <w:rPr>
          <w:rFonts w:asciiTheme="minorHAnsi" w:hAnsiTheme="minorHAnsi"/>
          <w:snapToGrid w:val="0"/>
          <w:lang w:val="en-GB"/>
        </w:rPr>
        <w:t xml:space="preserve">. The PBAC advised </w:t>
      </w:r>
      <w:r w:rsidR="000A15BC" w:rsidRPr="004B2B19">
        <w:rPr>
          <w:rFonts w:asciiTheme="minorHAnsi" w:hAnsiTheme="minorHAnsi"/>
          <w:snapToGrid w:val="0"/>
          <w:lang w:val="en-GB"/>
        </w:rPr>
        <w:t xml:space="preserve">blood plasma monitoring </w:t>
      </w:r>
      <w:r w:rsidR="00B9459C" w:rsidRPr="004B2B19">
        <w:rPr>
          <w:rFonts w:asciiTheme="minorHAnsi" w:hAnsiTheme="minorHAnsi"/>
          <w:snapToGrid w:val="0"/>
          <w:lang w:val="en-GB"/>
        </w:rPr>
        <w:t xml:space="preserve">should be removed from the CMA. </w:t>
      </w:r>
      <w:r w:rsidR="00A10BB0" w:rsidRPr="004B2B19">
        <w:rPr>
          <w:rFonts w:asciiTheme="minorHAnsi" w:hAnsiTheme="minorHAnsi"/>
          <w:snapToGrid w:val="0"/>
          <w:lang w:val="en-GB"/>
        </w:rPr>
        <w:t xml:space="preserve">Additionally, the PBAC considered the CMA should be based on the ex-manufacturer price (as discussed in paragraph </w:t>
      </w:r>
      <w:r w:rsidR="00A10BB0" w:rsidRPr="004B2B19">
        <w:rPr>
          <w:rFonts w:asciiTheme="minorHAnsi" w:hAnsiTheme="minorHAnsi"/>
          <w:snapToGrid w:val="0"/>
          <w:lang w:val="en-GB"/>
        </w:rPr>
        <w:fldChar w:fldCharType="begin"/>
      </w:r>
      <w:r w:rsidR="00A10BB0" w:rsidRPr="004B2B19">
        <w:rPr>
          <w:rFonts w:asciiTheme="minorHAnsi" w:hAnsiTheme="minorHAnsi"/>
          <w:snapToGrid w:val="0"/>
          <w:lang w:val="en-GB"/>
        </w:rPr>
        <w:instrText xml:space="preserve"> REF _Ref214521726 \r \h </w:instrText>
      </w:r>
      <w:r w:rsidR="004B2B19">
        <w:rPr>
          <w:rFonts w:asciiTheme="minorHAnsi" w:hAnsiTheme="minorHAnsi"/>
          <w:snapToGrid w:val="0"/>
          <w:lang w:val="en-GB"/>
        </w:rPr>
        <w:instrText xml:space="preserve"> \* MERGEFORMAT </w:instrText>
      </w:r>
      <w:r w:rsidR="00A10BB0" w:rsidRPr="004B2B19">
        <w:rPr>
          <w:rFonts w:asciiTheme="minorHAnsi" w:hAnsiTheme="minorHAnsi"/>
          <w:snapToGrid w:val="0"/>
          <w:lang w:val="en-GB"/>
        </w:rPr>
      </w:r>
      <w:r w:rsidR="00A10BB0" w:rsidRPr="004B2B19">
        <w:rPr>
          <w:rFonts w:asciiTheme="minorHAnsi" w:hAnsiTheme="minorHAnsi"/>
          <w:snapToGrid w:val="0"/>
          <w:lang w:val="en-GB"/>
        </w:rPr>
        <w:fldChar w:fldCharType="separate"/>
      </w:r>
      <w:r w:rsidR="00A037BC">
        <w:rPr>
          <w:rFonts w:asciiTheme="minorHAnsi" w:hAnsiTheme="minorHAnsi"/>
          <w:snapToGrid w:val="0"/>
          <w:lang w:val="en-GB"/>
        </w:rPr>
        <w:t>6.56</w:t>
      </w:r>
      <w:r w:rsidR="00A10BB0" w:rsidRPr="004B2B19">
        <w:rPr>
          <w:rFonts w:asciiTheme="minorHAnsi" w:hAnsiTheme="minorHAnsi"/>
          <w:snapToGrid w:val="0"/>
          <w:lang w:val="en-GB"/>
        </w:rPr>
        <w:fldChar w:fldCharType="end"/>
      </w:r>
      <w:r w:rsidR="00A10BB0" w:rsidRPr="004B2B19">
        <w:rPr>
          <w:rFonts w:asciiTheme="minorHAnsi" w:hAnsiTheme="minorHAnsi"/>
          <w:snapToGrid w:val="0"/>
          <w:lang w:val="en-GB"/>
        </w:rPr>
        <w:t xml:space="preserve">). </w:t>
      </w:r>
    </w:p>
    <w:p w14:paraId="769F72AC" w14:textId="5FBADB12" w:rsidR="009D7C9F" w:rsidRPr="004B2B19" w:rsidRDefault="00DB1C79" w:rsidP="006C052E">
      <w:pPr>
        <w:widowControl w:val="0"/>
        <w:numPr>
          <w:ilvl w:val="1"/>
          <w:numId w:val="1"/>
        </w:numPr>
        <w:spacing w:after="120"/>
      </w:pPr>
      <w:r w:rsidRPr="004B2B19">
        <w:rPr>
          <w:rFonts w:asciiTheme="minorHAnsi" w:hAnsiTheme="minorHAnsi"/>
          <w:snapToGrid w:val="0"/>
          <w:lang w:val="en-GB"/>
        </w:rPr>
        <w:t>The PBAC noted the CMA was based on</w:t>
      </w:r>
      <w:r w:rsidR="00046F12" w:rsidRPr="004B2B19">
        <w:rPr>
          <w:rFonts w:asciiTheme="minorHAnsi" w:hAnsiTheme="minorHAnsi"/>
          <w:snapToGrid w:val="0"/>
          <w:lang w:val="en-GB"/>
        </w:rPr>
        <w:t xml:space="preserve"> </w:t>
      </w:r>
      <w:r w:rsidRPr="004B2B19">
        <w:rPr>
          <w:rFonts w:asciiTheme="minorHAnsi" w:hAnsiTheme="minorHAnsi"/>
          <w:snapToGrid w:val="0"/>
          <w:lang w:val="en-GB"/>
        </w:rPr>
        <w:t xml:space="preserve">patient </w:t>
      </w:r>
      <w:r w:rsidR="00046F12" w:rsidRPr="004B2B19">
        <w:rPr>
          <w:rFonts w:asciiTheme="minorHAnsi" w:hAnsiTheme="minorHAnsi"/>
          <w:snapToGrid w:val="0"/>
          <w:lang w:val="en-GB"/>
        </w:rPr>
        <w:t xml:space="preserve">weight </w:t>
      </w:r>
      <w:r w:rsidRPr="004B2B19">
        <w:rPr>
          <w:rFonts w:asciiTheme="minorHAnsi" w:hAnsiTheme="minorHAnsi"/>
          <w:snapToGrid w:val="0"/>
          <w:lang w:val="en-GB"/>
        </w:rPr>
        <w:t xml:space="preserve">distribution </w:t>
      </w:r>
      <w:r w:rsidR="00C913CC" w:rsidRPr="004B2B19">
        <w:rPr>
          <w:rFonts w:asciiTheme="minorHAnsi" w:hAnsiTheme="minorHAnsi"/>
          <w:snapToGrid w:val="0"/>
          <w:lang w:val="en-GB"/>
        </w:rPr>
        <w:t xml:space="preserve">in Study 1601 </w:t>
      </w:r>
      <w:r w:rsidRPr="004B2B19">
        <w:rPr>
          <w:rFonts w:asciiTheme="minorHAnsi" w:hAnsiTheme="minorHAnsi"/>
          <w:snapToGrid w:val="0"/>
          <w:lang w:val="en-GB"/>
        </w:rPr>
        <w:t>grouped by</w:t>
      </w:r>
      <w:r w:rsidR="008C5329" w:rsidRPr="004B2B19">
        <w:rPr>
          <w:rFonts w:asciiTheme="minorHAnsi" w:hAnsiTheme="minorHAnsi"/>
          <w:snapToGrid w:val="0"/>
          <w:lang w:val="en-GB"/>
        </w:rPr>
        <w:t xml:space="preserve"> deciles</w:t>
      </w:r>
      <w:r w:rsidR="00063A89" w:rsidRPr="004B2B19">
        <w:rPr>
          <w:rFonts w:asciiTheme="minorHAnsi" w:hAnsiTheme="minorHAnsi"/>
          <w:snapToGrid w:val="0"/>
          <w:lang w:val="en-GB"/>
        </w:rPr>
        <w:t xml:space="preserve"> </w:t>
      </w:r>
      <w:r w:rsidRPr="004B2B19">
        <w:rPr>
          <w:rFonts w:asciiTheme="minorHAnsi" w:hAnsiTheme="minorHAnsi"/>
          <w:snapToGrid w:val="0"/>
          <w:lang w:val="en-GB"/>
        </w:rPr>
        <w:t>to determine the overall amounts of FEN and CBD used over 2 years, based on the equi-effective doses of FEN 0.7 mg/kg/day (up to a maximum of 26 mg/day) and CBD 12 mg/kg/day</w:t>
      </w:r>
      <w:r w:rsidR="00530597" w:rsidRPr="004B2B19">
        <w:rPr>
          <w:rFonts w:asciiTheme="minorHAnsi" w:hAnsiTheme="minorHAnsi"/>
          <w:snapToGrid w:val="0"/>
          <w:lang w:val="en-GB"/>
        </w:rPr>
        <w:t xml:space="preserve">. </w:t>
      </w:r>
      <w:r w:rsidR="00EB44E5" w:rsidRPr="004B2B19">
        <w:rPr>
          <w:rFonts w:asciiTheme="minorHAnsi" w:hAnsiTheme="minorHAnsi"/>
          <w:snapToGrid w:val="0"/>
          <w:lang w:val="en-GB"/>
        </w:rPr>
        <w:t xml:space="preserve">The PBAC </w:t>
      </w:r>
      <w:r w:rsidR="00D72A93" w:rsidRPr="004B2B19">
        <w:rPr>
          <w:rFonts w:asciiTheme="minorHAnsi" w:hAnsiTheme="minorHAnsi"/>
          <w:snapToGrid w:val="0"/>
          <w:lang w:val="en-GB"/>
        </w:rPr>
        <w:t xml:space="preserve">noted </w:t>
      </w:r>
      <w:r w:rsidR="00063A89" w:rsidRPr="004B2B19">
        <w:rPr>
          <w:rFonts w:asciiTheme="minorHAnsi" w:hAnsiTheme="minorHAnsi"/>
          <w:snapToGrid w:val="0"/>
          <w:lang w:val="en-GB"/>
        </w:rPr>
        <w:t xml:space="preserve">the applicability of the weight distributions </w:t>
      </w:r>
      <w:r w:rsidR="00D72A93" w:rsidRPr="004B2B19">
        <w:rPr>
          <w:rFonts w:asciiTheme="minorHAnsi" w:hAnsiTheme="minorHAnsi"/>
          <w:snapToGrid w:val="0"/>
          <w:lang w:val="en-GB"/>
        </w:rPr>
        <w:t>to the Australian population</w:t>
      </w:r>
      <w:r w:rsidR="002D533F" w:rsidRPr="004B2B19">
        <w:rPr>
          <w:rFonts w:asciiTheme="minorHAnsi" w:hAnsiTheme="minorHAnsi"/>
          <w:snapToGrid w:val="0"/>
          <w:lang w:val="en-GB"/>
        </w:rPr>
        <w:t xml:space="preserve"> was uncertain </w:t>
      </w:r>
      <w:r w:rsidR="00D72A93" w:rsidRPr="004B2B19">
        <w:rPr>
          <w:rFonts w:asciiTheme="minorHAnsi" w:hAnsiTheme="minorHAnsi"/>
          <w:snapToGrid w:val="0"/>
          <w:lang w:val="en-GB"/>
        </w:rPr>
        <w:t xml:space="preserve">but considered that, on balance, this approach was reasonable. </w:t>
      </w:r>
    </w:p>
    <w:p w14:paraId="42CFA115" w14:textId="2E6F2AD2" w:rsidR="00DB1C79" w:rsidRPr="004B2B19" w:rsidRDefault="00DA132A" w:rsidP="006C052E">
      <w:pPr>
        <w:widowControl w:val="0"/>
        <w:numPr>
          <w:ilvl w:val="1"/>
          <w:numId w:val="1"/>
        </w:numPr>
        <w:spacing w:after="120"/>
      </w:pPr>
      <w:r w:rsidRPr="004B2B19">
        <w:rPr>
          <w:rFonts w:asciiTheme="minorHAnsi" w:hAnsiTheme="minorHAnsi"/>
          <w:snapToGrid w:val="0"/>
          <w:lang w:val="en-GB"/>
        </w:rPr>
        <w:t>Noting the inferior safety profile of FEN, t</w:t>
      </w:r>
      <w:r w:rsidR="001224C0" w:rsidRPr="004B2B19">
        <w:rPr>
          <w:rFonts w:asciiTheme="minorHAnsi" w:hAnsiTheme="minorHAnsi"/>
          <w:snapToGrid w:val="0"/>
          <w:lang w:val="en-GB"/>
        </w:rPr>
        <w:t xml:space="preserve">he PBAC </w:t>
      </w:r>
      <w:r w:rsidR="00EA5C32" w:rsidRPr="004B2B19">
        <w:rPr>
          <w:rFonts w:asciiTheme="minorHAnsi" w:hAnsiTheme="minorHAnsi"/>
          <w:snapToGrid w:val="0"/>
        </w:rPr>
        <w:t>advised the cost per patient for FEN</w:t>
      </w:r>
      <w:r w:rsidR="00353DC9" w:rsidRPr="004B2B19">
        <w:rPr>
          <w:rFonts w:asciiTheme="minorHAnsi" w:hAnsiTheme="minorHAnsi"/>
          <w:snapToGrid w:val="0"/>
        </w:rPr>
        <w:t xml:space="preserve"> (as calculated in the CMA)</w:t>
      </w:r>
      <w:r w:rsidR="00EA5C32" w:rsidRPr="004B2B19">
        <w:rPr>
          <w:rFonts w:asciiTheme="minorHAnsi" w:hAnsiTheme="minorHAnsi"/>
          <w:snapToGrid w:val="0"/>
        </w:rPr>
        <w:t xml:space="preserve"> should be </w:t>
      </w:r>
      <w:r w:rsidR="003A085A" w:rsidRPr="003A085A">
        <w:rPr>
          <w:rFonts w:asciiTheme="minorHAnsi" w:hAnsiTheme="minorHAnsi"/>
          <w:snapToGrid w:val="0"/>
        </w:rPr>
        <w:t>aligned with the comparable efficacy and uncertainty around its comparative safety</w:t>
      </w:r>
      <w:r w:rsidR="00EA5C32" w:rsidRPr="004B2B19">
        <w:rPr>
          <w:rFonts w:asciiTheme="minorHAnsi" w:hAnsiTheme="minorHAnsi"/>
          <w:snapToGrid w:val="0"/>
        </w:rPr>
        <w:t xml:space="preserve">. </w:t>
      </w:r>
    </w:p>
    <w:p w14:paraId="44664394" w14:textId="7FA0B208" w:rsidR="006C052E" w:rsidRPr="004B2B19" w:rsidRDefault="00B63FF0" w:rsidP="006C052E">
      <w:pPr>
        <w:widowControl w:val="0"/>
        <w:numPr>
          <w:ilvl w:val="1"/>
          <w:numId w:val="1"/>
        </w:numPr>
        <w:spacing w:after="120"/>
        <w:rPr>
          <w:rFonts w:asciiTheme="minorHAnsi" w:hAnsiTheme="minorHAnsi"/>
          <w:snapToGrid w:val="0"/>
          <w:lang w:val="en-GB"/>
        </w:rPr>
      </w:pPr>
      <w:r w:rsidRPr="004B2B19">
        <w:rPr>
          <w:rFonts w:asciiTheme="minorHAnsi" w:hAnsiTheme="minorHAnsi"/>
          <w:snapToGrid w:val="0"/>
          <w:lang w:val="en-GB"/>
        </w:rPr>
        <w:t xml:space="preserve">The PBAC noted the submission presented a </w:t>
      </w:r>
      <w:r w:rsidR="00D4203D" w:rsidRPr="004B2B19">
        <w:rPr>
          <w:rFonts w:asciiTheme="minorHAnsi" w:hAnsiTheme="minorHAnsi"/>
          <w:snapToGrid w:val="0"/>
          <w:lang w:val="en-GB"/>
        </w:rPr>
        <w:t xml:space="preserve">mixed </w:t>
      </w:r>
      <w:r w:rsidRPr="004B2B19">
        <w:rPr>
          <w:rFonts w:asciiTheme="minorHAnsi" w:hAnsiTheme="minorHAnsi"/>
          <w:snapToGrid w:val="0"/>
          <w:lang w:val="en-GB"/>
        </w:rPr>
        <w:t xml:space="preserve">market share </w:t>
      </w:r>
      <w:r w:rsidR="00D4203D" w:rsidRPr="004B2B19">
        <w:rPr>
          <w:rFonts w:asciiTheme="minorHAnsi" w:hAnsiTheme="minorHAnsi"/>
          <w:snapToGrid w:val="0"/>
          <w:lang w:val="en-GB"/>
        </w:rPr>
        <w:t xml:space="preserve">(based on current CBD scripts) and epidemiological </w:t>
      </w:r>
      <w:r w:rsidR="00046A68" w:rsidRPr="004B2B19">
        <w:rPr>
          <w:rFonts w:asciiTheme="minorHAnsi" w:hAnsiTheme="minorHAnsi"/>
          <w:snapToGrid w:val="0"/>
          <w:lang w:val="en-GB"/>
        </w:rPr>
        <w:t>model (</w:t>
      </w:r>
      <w:r w:rsidR="00D4203D" w:rsidRPr="004B2B19">
        <w:rPr>
          <w:rFonts w:asciiTheme="minorHAnsi" w:hAnsiTheme="minorHAnsi"/>
          <w:snapToGrid w:val="0"/>
          <w:lang w:val="en-GB"/>
        </w:rPr>
        <w:t xml:space="preserve">to capture patients using FEN and CBD in combination) </w:t>
      </w:r>
      <w:r w:rsidRPr="004B2B19">
        <w:rPr>
          <w:rFonts w:asciiTheme="minorHAnsi" w:hAnsiTheme="minorHAnsi"/>
          <w:snapToGrid w:val="0"/>
          <w:lang w:val="en-GB"/>
        </w:rPr>
        <w:t xml:space="preserve">to estimate the utilisation of FEN. </w:t>
      </w:r>
      <w:r w:rsidR="00AA7D0F" w:rsidRPr="004B2B19">
        <w:rPr>
          <w:rFonts w:asciiTheme="minorHAnsi" w:hAnsiTheme="minorHAnsi"/>
          <w:snapToGrid w:val="0"/>
          <w:lang w:val="en-GB"/>
        </w:rPr>
        <w:t xml:space="preserve">The PBAC considered the utilisation </w:t>
      </w:r>
      <w:r w:rsidR="00367D02" w:rsidRPr="004B2B19">
        <w:rPr>
          <w:rFonts w:asciiTheme="minorHAnsi" w:hAnsiTheme="minorHAnsi"/>
          <w:snapToGrid w:val="0"/>
          <w:lang w:val="en-GB"/>
        </w:rPr>
        <w:t xml:space="preserve">estimates </w:t>
      </w:r>
      <w:r w:rsidR="00AA7D0F" w:rsidRPr="004B2B19">
        <w:rPr>
          <w:rFonts w:asciiTheme="minorHAnsi" w:hAnsiTheme="minorHAnsi"/>
          <w:snapToGrid w:val="0"/>
          <w:lang w:val="en-GB"/>
        </w:rPr>
        <w:t xml:space="preserve">were uncertain, as the prescribing of cannabinoids including CBD was complex in Australia, its use had been lower than expected (paragraph 5.7, cannabidiol PSD, July 2025 PBAC meeting) and it was unclear how reliable its </w:t>
      </w:r>
      <w:r w:rsidR="00532995" w:rsidRPr="004B2B19">
        <w:rPr>
          <w:rFonts w:asciiTheme="minorHAnsi" w:hAnsiTheme="minorHAnsi"/>
          <w:snapToGrid w:val="0"/>
          <w:lang w:val="en-GB"/>
        </w:rPr>
        <w:t xml:space="preserve">current </w:t>
      </w:r>
      <w:r w:rsidR="00AA7D0F" w:rsidRPr="004B2B19">
        <w:rPr>
          <w:rFonts w:asciiTheme="minorHAnsi" w:hAnsiTheme="minorHAnsi"/>
          <w:snapToGrid w:val="0"/>
          <w:lang w:val="en-GB"/>
        </w:rPr>
        <w:t>use was for estimating the LGS market.</w:t>
      </w:r>
      <w:r w:rsidR="00C009CF" w:rsidRPr="004B2B19">
        <w:rPr>
          <w:rFonts w:asciiTheme="minorHAnsi" w:hAnsiTheme="minorHAnsi"/>
          <w:snapToGrid w:val="0"/>
          <w:lang w:val="en-GB"/>
        </w:rPr>
        <w:t xml:space="preserve"> </w:t>
      </w:r>
      <w:r w:rsidR="00CC45F3" w:rsidRPr="004B2B19">
        <w:rPr>
          <w:rFonts w:asciiTheme="minorHAnsi" w:hAnsiTheme="minorHAnsi"/>
          <w:snapToGrid w:val="0"/>
          <w:lang w:val="en-GB"/>
        </w:rPr>
        <w:t>Additionally, t</w:t>
      </w:r>
      <w:r w:rsidR="00AA7D0F" w:rsidRPr="004B2B19">
        <w:rPr>
          <w:rFonts w:asciiTheme="minorHAnsi" w:hAnsiTheme="minorHAnsi"/>
          <w:snapToGrid w:val="0"/>
          <w:lang w:val="en-GB"/>
        </w:rPr>
        <w:t xml:space="preserve">he Committee considered the assumptions around </w:t>
      </w:r>
      <w:r w:rsidR="00C009CF" w:rsidRPr="004B2B19">
        <w:rPr>
          <w:rFonts w:asciiTheme="minorHAnsi" w:hAnsiTheme="minorHAnsi"/>
          <w:snapToGrid w:val="0"/>
          <w:lang w:val="en-GB"/>
        </w:rPr>
        <w:t xml:space="preserve">market growth, </w:t>
      </w:r>
      <w:r w:rsidR="00AA7D0F" w:rsidRPr="004B2B19">
        <w:rPr>
          <w:rFonts w:asciiTheme="minorHAnsi" w:hAnsiTheme="minorHAnsi"/>
          <w:snapToGrid w:val="0"/>
          <w:lang w:val="en-GB"/>
        </w:rPr>
        <w:t xml:space="preserve">script equivalence and </w:t>
      </w:r>
      <w:r w:rsidR="00713083" w:rsidRPr="004B2B19">
        <w:rPr>
          <w:rFonts w:asciiTheme="minorHAnsi" w:hAnsiTheme="minorHAnsi"/>
          <w:snapToGrid w:val="0"/>
          <w:lang w:val="en-GB"/>
        </w:rPr>
        <w:t xml:space="preserve">extent of </w:t>
      </w:r>
      <w:r w:rsidR="00367D02" w:rsidRPr="004B2B19">
        <w:rPr>
          <w:rFonts w:asciiTheme="minorHAnsi" w:hAnsiTheme="minorHAnsi"/>
          <w:snapToGrid w:val="0"/>
          <w:lang w:val="en-GB"/>
        </w:rPr>
        <w:t xml:space="preserve">use in combination with CBD </w:t>
      </w:r>
      <w:r w:rsidR="00AA7D0F" w:rsidRPr="004B2B19">
        <w:rPr>
          <w:rFonts w:asciiTheme="minorHAnsi" w:hAnsiTheme="minorHAnsi"/>
          <w:snapToGrid w:val="0"/>
          <w:lang w:val="en-GB"/>
        </w:rPr>
        <w:t>to be uncertain</w:t>
      </w:r>
      <w:r w:rsidR="00C009CF" w:rsidRPr="004B2B19">
        <w:rPr>
          <w:rFonts w:asciiTheme="minorHAnsi" w:hAnsiTheme="minorHAnsi"/>
          <w:snapToGrid w:val="0"/>
          <w:lang w:val="en-GB"/>
        </w:rPr>
        <w:t xml:space="preserve">. </w:t>
      </w:r>
      <w:r w:rsidR="007D68EF" w:rsidRPr="004B2B19">
        <w:rPr>
          <w:rFonts w:asciiTheme="minorHAnsi" w:hAnsiTheme="minorHAnsi"/>
          <w:snapToGrid w:val="0"/>
          <w:lang w:val="en-GB"/>
        </w:rPr>
        <w:t>However</w:t>
      </w:r>
      <w:r w:rsidR="009915D4" w:rsidRPr="004B2B19">
        <w:rPr>
          <w:rFonts w:asciiTheme="minorHAnsi" w:hAnsiTheme="minorHAnsi"/>
          <w:snapToGrid w:val="0"/>
          <w:lang w:val="en-GB"/>
        </w:rPr>
        <w:t xml:space="preserve">, </w:t>
      </w:r>
      <w:r w:rsidR="009E242B" w:rsidRPr="004B2B19">
        <w:rPr>
          <w:rFonts w:asciiTheme="minorHAnsi" w:hAnsiTheme="minorHAnsi"/>
          <w:snapToGrid w:val="0"/>
          <w:lang w:val="en-GB"/>
        </w:rPr>
        <w:t xml:space="preserve">on balance, the PBAC considered the incremental cost of listing FEN on the PBS for LGS was likely to be small and </w:t>
      </w:r>
      <w:r w:rsidR="00F93E58" w:rsidRPr="004B2B19">
        <w:rPr>
          <w:rFonts w:asciiTheme="minorHAnsi" w:hAnsiTheme="minorHAnsi"/>
          <w:snapToGrid w:val="0"/>
          <w:lang w:val="en-GB"/>
        </w:rPr>
        <w:t>it would be appropriate</w:t>
      </w:r>
      <w:r w:rsidR="009E242B" w:rsidRPr="004B2B19">
        <w:rPr>
          <w:rFonts w:asciiTheme="minorHAnsi" w:hAnsiTheme="minorHAnsi"/>
          <w:snapToGrid w:val="0"/>
          <w:lang w:val="en-GB"/>
        </w:rPr>
        <w:t xml:space="preserve"> </w:t>
      </w:r>
      <w:r w:rsidR="00F93E58" w:rsidRPr="004B2B19">
        <w:rPr>
          <w:rFonts w:asciiTheme="minorHAnsi" w:hAnsiTheme="minorHAnsi"/>
          <w:snapToGrid w:val="0"/>
          <w:lang w:val="en-GB"/>
        </w:rPr>
        <w:t xml:space="preserve">to include FEN </w:t>
      </w:r>
      <w:r w:rsidR="009E242B" w:rsidRPr="004B2B19">
        <w:rPr>
          <w:rFonts w:asciiTheme="minorHAnsi" w:hAnsiTheme="minorHAnsi"/>
          <w:snapToGrid w:val="0"/>
          <w:lang w:val="en-GB"/>
        </w:rPr>
        <w:t xml:space="preserve">in the RSA in place for LGS with no change in the expenditure caps. </w:t>
      </w:r>
    </w:p>
    <w:p w14:paraId="6C82BF31" w14:textId="238BCA0B" w:rsidR="006C052E" w:rsidRPr="004B2B19" w:rsidRDefault="006C052E" w:rsidP="00AA7D0F">
      <w:pPr>
        <w:widowControl w:val="0"/>
        <w:numPr>
          <w:ilvl w:val="1"/>
          <w:numId w:val="1"/>
        </w:numPr>
        <w:spacing w:after="120"/>
        <w:rPr>
          <w:rFonts w:asciiTheme="minorHAnsi" w:hAnsiTheme="minorHAnsi"/>
          <w:b/>
          <w:bCs/>
          <w:lang w:val="en-GB"/>
        </w:rPr>
      </w:pPr>
      <w:r w:rsidRPr="004B2B19">
        <w:rPr>
          <w:rFonts w:asciiTheme="minorHAnsi" w:hAnsiTheme="minorHAnsi" w:cstheme="minorHAnsi"/>
          <w:lang w:val="en-GB"/>
        </w:rPr>
        <w:t xml:space="preserve">The PBAC noted that its recommendation was on a cost-minimisation basis and advised that, because </w:t>
      </w:r>
      <w:r w:rsidR="00AA7D0F" w:rsidRPr="004B2B19">
        <w:rPr>
          <w:rFonts w:asciiTheme="minorHAnsi" w:hAnsiTheme="minorHAnsi" w:cstheme="minorHAnsi"/>
          <w:lang w:val="en-GB"/>
        </w:rPr>
        <w:t xml:space="preserve">FEN </w:t>
      </w:r>
      <w:r w:rsidRPr="004B2B19">
        <w:rPr>
          <w:rFonts w:asciiTheme="minorHAnsi" w:hAnsiTheme="minorHAnsi" w:cstheme="minorHAnsi"/>
          <w:lang w:val="en-GB"/>
        </w:rPr>
        <w:t>is not expected to provide a substantial</w:t>
      </w:r>
      <w:r w:rsidRPr="004B2B19">
        <w:rPr>
          <w:rFonts w:asciiTheme="minorHAnsi" w:hAnsiTheme="minorHAnsi"/>
          <w:bCs/>
          <w:lang w:val="en-GB"/>
        </w:rPr>
        <w:t xml:space="preserve"> and clinically relevant improvement in efficacy, or reduction of toxicity, over </w:t>
      </w:r>
      <w:r w:rsidR="00AA7D0F" w:rsidRPr="004B2B19">
        <w:rPr>
          <w:rFonts w:asciiTheme="minorHAnsi" w:hAnsiTheme="minorHAnsi"/>
          <w:bCs/>
          <w:lang w:val="en-GB"/>
        </w:rPr>
        <w:t>CBD</w:t>
      </w:r>
      <w:r w:rsidRPr="004B2B19">
        <w:rPr>
          <w:rFonts w:asciiTheme="minorHAnsi" w:hAnsiTheme="minorHAnsi"/>
          <w:bCs/>
          <w:lang w:val="en-GB"/>
        </w:rPr>
        <w:t xml:space="preserve">, or not expected to address a high and urgent unmet clinical need given the presence of an alternative therapy, the criteria prescribed by the </w:t>
      </w:r>
      <w:r w:rsidRPr="004B2B19">
        <w:rPr>
          <w:rFonts w:asciiTheme="minorHAnsi" w:hAnsiTheme="minorHAnsi"/>
          <w:bCs/>
          <w:i/>
          <w:lang w:val="en-GB"/>
        </w:rPr>
        <w:t>National Health (Pharmaceuticals and Vaccines – Cost Recovery) Regulations 2022</w:t>
      </w:r>
      <w:r w:rsidRPr="004B2B19">
        <w:rPr>
          <w:rFonts w:asciiTheme="minorHAnsi" w:hAnsiTheme="minorHAnsi"/>
          <w:bCs/>
          <w:lang w:val="en-GB"/>
        </w:rPr>
        <w:t xml:space="preserve"> for Pricing Pathway A were not met.</w:t>
      </w:r>
    </w:p>
    <w:p w14:paraId="26AA9C65" w14:textId="7847EE09" w:rsidR="006C052E" w:rsidRPr="004B2B19" w:rsidRDefault="006C052E" w:rsidP="00AA7D0F">
      <w:pPr>
        <w:widowControl w:val="0"/>
        <w:numPr>
          <w:ilvl w:val="1"/>
          <w:numId w:val="1"/>
        </w:numPr>
        <w:spacing w:after="120"/>
        <w:rPr>
          <w:rFonts w:asciiTheme="minorHAnsi" w:hAnsiTheme="minorHAnsi"/>
          <w:bCs/>
          <w:snapToGrid w:val="0"/>
          <w:lang w:val="en-GB"/>
        </w:rPr>
      </w:pPr>
      <w:r w:rsidRPr="004B2B19">
        <w:rPr>
          <w:rFonts w:asciiTheme="minorHAnsi" w:hAnsiTheme="minorHAnsi"/>
          <w:bCs/>
          <w:snapToGrid w:val="0"/>
          <w:lang w:val="en-GB"/>
        </w:rPr>
        <w:t>The PBAC noted that this submission is not eligible for an Independent Review</w:t>
      </w:r>
      <w:r w:rsidR="00AA7D0F" w:rsidRPr="004B2B19">
        <w:rPr>
          <w:rFonts w:asciiTheme="minorHAnsi" w:hAnsiTheme="minorHAnsi"/>
          <w:bCs/>
          <w:snapToGrid w:val="0"/>
          <w:lang w:val="en-GB"/>
        </w:rPr>
        <w:t xml:space="preserve"> as it received a positive recommendation</w:t>
      </w:r>
      <w:r w:rsidRPr="004B2B19">
        <w:rPr>
          <w:rFonts w:asciiTheme="minorHAnsi" w:hAnsiTheme="minorHAnsi"/>
          <w:bCs/>
          <w:snapToGrid w:val="0"/>
          <w:lang w:val="en-GB"/>
        </w:rPr>
        <w:t xml:space="preserve">. </w:t>
      </w:r>
    </w:p>
    <w:p w14:paraId="7A3EA861" w14:textId="77777777" w:rsidR="006C052E" w:rsidRPr="004B2B19" w:rsidRDefault="006C052E" w:rsidP="006C052E">
      <w:pPr>
        <w:spacing w:before="240"/>
        <w:rPr>
          <w:rFonts w:asciiTheme="minorHAnsi" w:hAnsiTheme="minorHAnsi"/>
          <w:b/>
          <w:bCs/>
          <w:snapToGrid w:val="0"/>
          <w:lang w:val="en-GB"/>
        </w:rPr>
      </w:pPr>
      <w:r w:rsidRPr="004B2B19">
        <w:rPr>
          <w:rFonts w:asciiTheme="minorHAnsi" w:hAnsiTheme="minorHAnsi"/>
          <w:b/>
          <w:bCs/>
          <w:snapToGrid w:val="0"/>
          <w:lang w:val="en-GB"/>
        </w:rPr>
        <w:t>Outcome:</w:t>
      </w:r>
    </w:p>
    <w:p w14:paraId="6E9025D9" w14:textId="39F99984" w:rsidR="006C052E" w:rsidRPr="004B2B19" w:rsidRDefault="006C052E" w:rsidP="007B5933">
      <w:pPr>
        <w:rPr>
          <w:rFonts w:asciiTheme="minorHAnsi" w:hAnsiTheme="minorHAnsi"/>
          <w:bCs/>
          <w:snapToGrid w:val="0"/>
          <w:lang w:val="en-GB"/>
        </w:rPr>
      </w:pPr>
      <w:r w:rsidRPr="004B2B19">
        <w:rPr>
          <w:rFonts w:asciiTheme="minorHAnsi" w:hAnsiTheme="minorHAnsi"/>
          <w:bCs/>
          <w:snapToGrid w:val="0"/>
          <w:lang w:val="en-GB"/>
        </w:rPr>
        <w:t>Recommended</w:t>
      </w:r>
    </w:p>
    <w:p w14:paraId="742D44BB" w14:textId="77777777" w:rsidR="00AA0CAE" w:rsidRPr="004B2B19" w:rsidRDefault="00AA0CAE" w:rsidP="008947A1">
      <w:pPr>
        <w:widowControl w:val="0"/>
        <w:rPr>
          <w:rFonts w:asciiTheme="minorHAnsi" w:hAnsiTheme="minorHAnsi"/>
          <w:snapToGrid w:val="0"/>
          <w:lang w:val="en-GB"/>
        </w:rPr>
      </w:pPr>
      <w:bookmarkStart w:id="69" w:name="_Hlk111543254"/>
    </w:p>
    <w:bookmarkEnd w:id="66"/>
    <w:bookmarkEnd w:id="69"/>
    <w:p w14:paraId="1D7FD59F" w14:textId="77777777" w:rsidR="006C052E" w:rsidRPr="004B2B19" w:rsidRDefault="006C052E" w:rsidP="006C052E">
      <w:pPr>
        <w:pStyle w:val="2-SectionHeading"/>
        <w:numPr>
          <w:ilvl w:val="0"/>
          <w:numId w:val="1"/>
        </w:numPr>
      </w:pPr>
      <w:r w:rsidRPr="004B2B19">
        <w:t>Recommended listing</w:t>
      </w:r>
    </w:p>
    <w:p w14:paraId="5820FC8A" w14:textId="6C2D82EB" w:rsidR="006C052E" w:rsidRPr="004B2B19" w:rsidRDefault="006C052E" w:rsidP="00530841">
      <w:pPr>
        <w:widowControl w:val="0"/>
        <w:numPr>
          <w:ilvl w:val="1"/>
          <w:numId w:val="1"/>
        </w:numPr>
        <w:spacing w:after="120"/>
        <w:contextualSpacing/>
        <w:rPr>
          <w:rFonts w:asciiTheme="minorHAnsi" w:hAnsiTheme="minorHAnsi"/>
          <w:b/>
          <w:bCs/>
          <w:snapToGrid w:val="0"/>
        </w:rPr>
      </w:pPr>
      <w:r w:rsidRPr="004B2B19">
        <w:rPr>
          <w:rFonts w:asciiTheme="minorHAnsi" w:hAnsiTheme="minorHAnsi"/>
          <w:bCs/>
          <w:snapToGrid w:val="0"/>
        </w:rPr>
        <w:t>Add new item:</w:t>
      </w:r>
    </w:p>
    <w:p w14:paraId="0D86848F" w14:textId="77777777" w:rsidR="00530841" w:rsidRPr="004B2B19" w:rsidRDefault="00530841" w:rsidP="006C052E">
      <w:pPr>
        <w:spacing w:before="120"/>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88"/>
        <w:gridCol w:w="784"/>
        <w:gridCol w:w="2668"/>
        <w:gridCol w:w="811"/>
        <w:gridCol w:w="812"/>
        <w:gridCol w:w="811"/>
        <w:gridCol w:w="812"/>
        <w:gridCol w:w="1831"/>
      </w:tblGrid>
      <w:tr w:rsidR="000A0271" w:rsidRPr="004B2B19" w14:paraId="16AEDDE5" w14:textId="77777777" w:rsidTr="00A01409">
        <w:trPr>
          <w:cantSplit/>
          <w:trHeight w:val="20"/>
        </w:trPr>
        <w:tc>
          <w:tcPr>
            <w:tcW w:w="3940" w:type="dxa"/>
            <w:gridSpan w:val="3"/>
            <w:vAlign w:val="center"/>
          </w:tcPr>
          <w:p w14:paraId="75353E0D" w14:textId="77777777" w:rsidR="000A0271" w:rsidRPr="004B2B19" w:rsidRDefault="000A0271" w:rsidP="00A01409">
            <w:pPr>
              <w:keepLines/>
              <w:rPr>
                <w:rFonts w:ascii="Arial Narrow" w:hAnsi="Arial Narrow"/>
                <w:b/>
                <w:bCs/>
                <w:sz w:val="20"/>
                <w:szCs w:val="20"/>
              </w:rPr>
            </w:pPr>
            <w:r w:rsidRPr="004B2B19">
              <w:rPr>
                <w:rFonts w:ascii="Arial Narrow" w:hAnsi="Arial Narrow"/>
                <w:b/>
                <w:bCs/>
                <w:sz w:val="20"/>
                <w:szCs w:val="20"/>
              </w:rPr>
              <w:t>MEDICINAL PRODUCT</w:t>
            </w:r>
          </w:p>
          <w:p w14:paraId="169A7050" w14:textId="77777777" w:rsidR="000A0271" w:rsidRPr="004B2B19" w:rsidRDefault="000A0271" w:rsidP="00A01409">
            <w:pPr>
              <w:keepLines/>
              <w:rPr>
                <w:rFonts w:ascii="Arial Narrow" w:hAnsi="Arial Narrow"/>
                <w:b/>
                <w:sz w:val="20"/>
                <w:szCs w:val="20"/>
              </w:rPr>
            </w:pPr>
            <w:r w:rsidRPr="004B2B19">
              <w:rPr>
                <w:rFonts w:ascii="Arial Narrow" w:hAnsi="Arial Narrow"/>
                <w:b/>
                <w:bCs/>
                <w:sz w:val="20"/>
                <w:szCs w:val="20"/>
              </w:rPr>
              <w:t>medicinal product pack</w:t>
            </w:r>
          </w:p>
        </w:tc>
        <w:tc>
          <w:tcPr>
            <w:tcW w:w="811" w:type="dxa"/>
            <w:vAlign w:val="center"/>
          </w:tcPr>
          <w:p w14:paraId="3DD35CA4" w14:textId="77777777" w:rsidR="000A0271" w:rsidRPr="004B2B19" w:rsidRDefault="000A0271" w:rsidP="00A01409">
            <w:pPr>
              <w:keepLines/>
              <w:jc w:val="center"/>
              <w:rPr>
                <w:rFonts w:ascii="Arial Narrow" w:hAnsi="Arial Narrow"/>
                <w:b/>
                <w:sz w:val="20"/>
                <w:szCs w:val="20"/>
              </w:rPr>
            </w:pPr>
            <w:r w:rsidRPr="004B2B19">
              <w:rPr>
                <w:rFonts w:ascii="Arial Narrow" w:hAnsi="Arial Narrow"/>
                <w:b/>
                <w:sz w:val="20"/>
                <w:szCs w:val="20"/>
              </w:rPr>
              <w:t>PBS item code</w:t>
            </w:r>
          </w:p>
        </w:tc>
        <w:tc>
          <w:tcPr>
            <w:tcW w:w="812" w:type="dxa"/>
            <w:vAlign w:val="center"/>
          </w:tcPr>
          <w:p w14:paraId="7095E687" w14:textId="77777777" w:rsidR="000A0271" w:rsidRPr="004B2B19" w:rsidRDefault="000A0271" w:rsidP="00A01409">
            <w:pPr>
              <w:keepLines/>
              <w:jc w:val="center"/>
              <w:rPr>
                <w:rFonts w:ascii="Arial Narrow" w:hAnsi="Arial Narrow"/>
                <w:b/>
                <w:sz w:val="20"/>
                <w:szCs w:val="20"/>
              </w:rPr>
            </w:pPr>
            <w:r w:rsidRPr="004B2B19">
              <w:rPr>
                <w:rFonts w:ascii="Arial Narrow" w:hAnsi="Arial Narrow"/>
                <w:b/>
                <w:sz w:val="20"/>
                <w:szCs w:val="20"/>
              </w:rPr>
              <w:t>Max. qty packs</w:t>
            </w:r>
          </w:p>
        </w:tc>
        <w:tc>
          <w:tcPr>
            <w:tcW w:w="811" w:type="dxa"/>
            <w:vAlign w:val="center"/>
          </w:tcPr>
          <w:p w14:paraId="41B9B8E9" w14:textId="77777777" w:rsidR="000A0271" w:rsidRPr="004B2B19" w:rsidRDefault="000A0271" w:rsidP="00A01409">
            <w:pPr>
              <w:keepLines/>
              <w:jc w:val="center"/>
              <w:rPr>
                <w:rFonts w:ascii="Arial Narrow" w:hAnsi="Arial Narrow"/>
                <w:b/>
                <w:sz w:val="20"/>
                <w:szCs w:val="20"/>
              </w:rPr>
            </w:pPr>
            <w:r w:rsidRPr="004B2B19">
              <w:rPr>
                <w:rFonts w:ascii="Arial Narrow" w:hAnsi="Arial Narrow"/>
                <w:b/>
                <w:sz w:val="20"/>
                <w:szCs w:val="20"/>
              </w:rPr>
              <w:t>Max. qty units</w:t>
            </w:r>
          </w:p>
        </w:tc>
        <w:tc>
          <w:tcPr>
            <w:tcW w:w="812" w:type="dxa"/>
            <w:vAlign w:val="center"/>
          </w:tcPr>
          <w:p w14:paraId="0CF7A3D4" w14:textId="77777777" w:rsidR="000A0271" w:rsidRPr="004B2B19" w:rsidRDefault="000A0271" w:rsidP="00A01409">
            <w:pPr>
              <w:keepLines/>
              <w:jc w:val="center"/>
              <w:rPr>
                <w:rFonts w:ascii="Arial Narrow" w:hAnsi="Arial Narrow"/>
                <w:b/>
                <w:sz w:val="20"/>
                <w:szCs w:val="20"/>
              </w:rPr>
            </w:pPr>
            <w:r w:rsidRPr="004B2B19">
              <w:rPr>
                <w:rFonts w:ascii="Arial Narrow" w:hAnsi="Arial Narrow"/>
                <w:b/>
                <w:sz w:val="20"/>
                <w:szCs w:val="20"/>
              </w:rPr>
              <w:t>№.of</w:t>
            </w:r>
          </w:p>
          <w:p w14:paraId="1354C60C" w14:textId="77777777" w:rsidR="000A0271" w:rsidRPr="004B2B19" w:rsidRDefault="000A0271" w:rsidP="00A01409">
            <w:pPr>
              <w:keepLines/>
              <w:jc w:val="center"/>
              <w:rPr>
                <w:rFonts w:ascii="Arial Narrow" w:hAnsi="Arial Narrow"/>
                <w:b/>
                <w:sz w:val="20"/>
                <w:szCs w:val="20"/>
              </w:rPr>
            </w:pPr>
            <w:r w:rsidRPr="004B2B19">
              <w:rPr>
                <w:rFonts w:ascii="Arial Narrow" w:hAnsi="Arial Narrow"/>
                <w:b/>
                <w:sz w:val="20"/>
                <w:szCs w:val="20"/>
              </w:rPr>
              <w:t>Rpts</w:t>
            </w:r>
          </w:p>
        </w:tc>
        <w:tc>
          <w:tcPr>
            <w:tcW w:w="1831" w:type="dxa"/>
            <w:vAlign w:val="center"/>
          </w:tcPr>
          <w:p w14:paraId="363E7F85" w14:textId="77777777" w:rsidR="000A0271" w:rsidRPr="004B2B19" w:rsidRDefault="000A0271" w:rsidP="00A01409">
            <w:pPr>
              <w:keepLines/>
              <w:rPr>
                <w:rFonts w:ascii="Arial Narrow" w:hAnsi="Arial Narrow"/>
                <w:b/>
                <w:sz w:val="20"/>
                <w:szCs w:val="20"/>
              </w:rPr>
            </w:pPr>
            <w:r w:rsidRPr="004B2B19">
              <w:rPr>
                <w:rFonts w:ascii="Arial Narrow" w:hAnsi="Arial Narrow"/>
                <w:b/>
                <w:sz w:val="20"/>
                <w:szCs w:val="20"/>
              </w:rPr>
              <w:t>Available brands</w:t>
            </w:r>
          </w:p>
        </w:tc>
      </w:tr>
      <w:tr w:rsidR="000A0271" w:rsidRPr="004B2B19" w14:paraId="44F080A2" w14:textId="77777777" w:rsidTr="00A01409">
        <w:trPr>
          <w:cantSplit/>
          <w:trHeight w:val="20"/>
        </w:trPr>
        <w:tc>
          <w:tcPr>
            <w:tcW w:w="9017" w:type="dxa"/>
            <w:gridSpan w:val="8"/>
            <w:vAlign w:val="center"/>
          </w:tcPr>
          <w:p w14:paraId="4D836618" w14:textId="77777777" w:rsidR="000A0271" w:rsidRPr="004B2B19" w:rsidRDefault="000A0271" w:rsidP="00A01409">
            <w:pPr>
              <w:keepLines/>
              <w:rPr>
                <w:rFonts w:ascii="Arial Narrow" w:hAnsi="Arial Narrow"/>
                <w:sz w:val="20"/>
                <w:szCs w:val="20"/>
              </w:rPr>
            </w:pPr>
            <w:r w:rsidRPr="004B2B19">
              <w:rPr>
                <w:rFonts w:ascii="Arial Narrow" w:hAnsi="Arial Narrow"/>
                <w:sz w:val="20"/>
                <w:szCs w:val="20"/>
              </w:rPr>
              <w:t>FENFLURAMINE</w:t>
            </w:r>
          </w:p>
        </w:tc>
      </w:tr>
      <w:tr w:rsidR="000A0271" w:rsidRPr="004B2B19" w14:paraId="32E966EE" w14:textId="77777777" w:rsidTr="00A01409">
        <w:trPr>
          <w:cantSplit/>
          <w:trHeight w:val="20"/>
        </w:trPr>
        <w:tc>
          <w:tcPr>
            <w:tcW w:w="3940" w:type="dxa"/>
            <w:gridSpan w:val="3"/>
            <w:vAlign w:val="center"/>
          </w:tcPr>
          <w:p w14:paraId="59839F7E" w14:textId="77777777" w:rsidR="000A0271" w:rsidRPr="004B2B19" w:rsidRDefault="000A0271" w:rsidP="00A01409">
            <w:pPr>
              <w:keepLines/>
              <w:rPr>
                <w:rFonts w:ascii="Arial Narrow" w:hAnsi="Arial Narrow"/>
                <w:sz w:val="20"/>
                <w:szCs w:val="20"/>
              </w:rPr>
            </w:pPr>
            <w:r w:rsidRPr="004B2B19">
              <w:rPr>
                <w:rFonts w:ascii="Arial Narrow" w:hAnsi="Arial Narrow"/>
                <w:sz w:val="20"/>
                <w:szCs w:val="20"/>
              </w:rPr>
              <w:t>fenfluramine hydrochloride 2.2 mg/mL oral liquid, 360 mL</w:t>
            </w:r>
          </w:p>
        </w:tc>
        <w:tc>
          <w:tcPr>
            <w:tcW w:w="811" w:type="dxa"/>
            <w:vAlign w:val="center"/>
          </w:tcPr>
          <w:p w14:paraId="298A7A0B" w14:textId="77777777" w:rsidR="000A0271" w:rsidRPr="004B2B19" w:rsidRDefault="000A0271" w:rsidP="00A01409">
            <w:pPr>
              <w:keepLines/>
              <w:jc w:val="center"/>
              <w:rPr>
                <w:rFonts w:ascii="Arial Narrow" w:hAnsi="Arial Narrow"/>
                <w:sz w:val="20"/>
                <w:szCs w:val="20"/>
              </w:rPr>
            </w:pPr>
            <w:r w:rsidRPr="004B2B19">
              <w:rPr>
                <w:rFonts w:ascii="Arial Narrow" w:hAnsi="Arial Narrow"/>
                <w:sz w:val="20"/>
                <w:szCs w:val="20"/>
              </w:rPr>
              <w:t>NEW</w:t>
            </w:r>
          </w:p>
        </w:tc>
        <w:tc>
          <w:tcPr>
            <w:tcW w:w="812" w:type="dxa"/>
            <w:vAlign w:val="center"/>
          </w:tcPr>
          <w:p w14:paraId="4078C699" w14:textId="77777777" w:rsidR="000A0271" w:rsidRPr="004B2B19" w:rsidRDefault="000A0271" w:rsidP="00A01409">
            <w:pPr>
              <w:keepLines/>
              <w:jc w:val="center"/>
              <w:rPr>
                <w:rFonts w:ascii="Arial Narrow" w:hAnsi="Arial Narrow"/>
                <w:sz w:val="20"/>
                <w:szCs w:val="20"/>
              </w:rPr>
            </w:pPr>
            <w:r w:rsidRPr="004B2B19">
              <w:rPr>
                <w:rFonts w:ascii="Arial Narrow" w:hAnsi="Arial Narrow"/>
                <w:sz w:val="20"/>
                <w:szCs w:val="20"/>
              </w:rPr>
              <w:t>1</w:t>
            </w:r>
          </w:p>
        </w:tc>
        <w:tc>
          <w:tcPr>
            <w:tcW w:w="811" w:type="dxa"/>
            <w:vAlign w:val="center"/>
          </w:tcPr>
          <w:p w14:paraId="7467A3CF" w14:textId="77777777" w:rsidR="000A0271" w:rsidRPr="004B2B19" w:rsidRDefault="000A0271" w:rsidP="00A01409">
            <w:pPr>
              <w:keepLines/>
              <w:jc w:val="center"/>
              <w:rPr>
                <w:rFonts w:ascii="Arial Narrow" w:hAnsi="Arial Narrow"/>
                <w:sz w:val="20"/>
                <w:szCs w:val="20"/>
              </w:rPr>
            </w:pPr>
            <w:r w:rsidRPr="004B2B19">
              <w:rPr>
                <w:rFonts w:ascii="Arial Narrow" w:hAnsi="Arial Narrow"/>
                <w:sz w:val="20"/>
                <w:szCs w:val="20"/>
              </w:rPr>
              <w:t>1</w:t>
            </w:r>
          </w:p>
        </w:tc>
        <w:tc>
          <w:tcPr>
            <w:tcW w:w="812" w:type="dxa"/>
            <w:vAlign w:val="center"/>
          </w:tcPr>
          <w:p w14:paraId="4704404C" w14:textId="77777777" w:rsidR="000A0271" w:rsidRPr="004B2B19" w:rsidRDefault="000A0271" w:rsidP="00A01409">
            <w:pPr>
              <w:keepLines/>
              <w:jc w:val="center"/>
              <w:rPr>
                <w:rFonts w:ascii="Arial Narrow" w:hAnsi="Arial Narrow"/>
                <w:sz w:val="20"/>
                <w:szCs w:val="20"/>
              </w:rPr>
            </w:pPr>
            <w:r w:rsidRPr="004B2B19">
              <w:rPr>
                <w:rFonts w:ascii="Arial Narrow" w:hAnsi="Arial Narrow"/>
                <w:sz w:val="20"/>
                <w:szCs w:val="20"/>
              </w:rPr>
              <w:t>5</w:t>
            </w:r>
          </w:p>
        </w:tc>
        <w:tc>
          <w:tcPr>
            <w:tcW w:w="1831" w:type="dxa"/>
            <w:vAlign w:val="center"/>
          </w:tcPr>
          <w:p w14:paraId="09238672" w14:textId="77777777" w:rsidR="000A0271" w:rsidRPr="004B2B19" w:rsidRDefault="000A0271" w:rsidP="00A01409">
            <w:pPr>
              <w:keepLines/>
              <w:rPr>
                <w:rFonts w:ascii="Arial Narrow" w:hAnsi="Arial Narrow"/>
                <w:sz w:val="20"/>
                <w:szCs w:val="20"/>
              </w:rPr>
            </w:pPr>
            <w:r w:rsidRPr="004B2B19">
              <w:rPr>
                <w:rFonts w:ascii="Arial Narrow" w:hAnsi="Arial Narrow"/>
                <w:sz w:val="20"/>
                <w:szCs w:val="20"/>
              </w:rPr>
              <w:t>Fintepla</w:t>
            </w:r>
          </w:p>
        </w:tc>
      </w:tr>
      <w:tr w:rsidR="000A0271" w:rsidRPr="004B2B19" w14:paraId="136F1F2E" w14:textId="77777777" w:rsidTr="00A01409">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F1E960C" w14:textId="77777777" w:rsidR="000A0271" w:rsidRPr="004B2B19" w:rsidRDefault="000A0271" w:rsidP="00A01409">
            <w:pPr>
              <w:rPr>
                <w:rFonts w:ascii="Arial Narrow" w:hAnsi="Arial Narrow"/>
                <w:sz w:val="20"/>
                <w:szCs w:val="20"/>
              </w:rPr>
            </w:pPr>
          </w:p>
        </w:tc>
      </w:tr>
      <w:tr w:rsidR="000A0271" w:rsidRPr="004B2B19" w14:paraId="4A70E93E" w14:textId="77777777" w:rsidTr="00A01409">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90BF2DE" w14:textId="77777777" w:rsidR="000A0271" w:rsidRPr="004B2B19" w:rsidRDefault="000A0271" w:rsidP="00A01409">
            <w:pPr>
              <w:keepLines/>
              <w:rPr>
                <w:rFonts w:ascii="Arial Narrow" w:hAnsi="Arial Narrow"/>
                <w:b/>
                <w:sz w:val="20"/>
                <w:szCs w:val="20"/>
              </w:rPr>
            </w:pPr>
            <w:r w:rsidRPr="004B2B19">
              <w:rPr>
                <w:rFonts w:ascii="Arial Narrow" w:hAnsi="Arial Narrow"/>
                <w:b/>
                <w:sz w:val="20"/>
                <w:szCs w:val="20"/>
              </w:rPr>
              <w:t>Restriction Summary NEW / Treatment of Concept: NEW1A</w:t>
            </w:r>
          </w:p>
        </w:tc>
      </w:tr>
      <w:tr w:rsidR="000A0271" w:rsidRPr="004B2B19" w14:paraId="14BC697E" w14:textId="77777777" w:rsidTr="00A01409">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68B0CB02" w14:textId="77777777" w:rsidR="000A0271" w:rsidRPr="004B2B19" w:rsidRDefault="000A0271" w:rsidP="00A01409">
            <w:pPr>
              <w:jc w:val="center"/>
              <w:rPr>
                <w:rFonts w:ascii="Arial Narrow" w:hAnsi="Arial Narrow"/>
                <w:b/>
                <w:sz w:val="20"/>
                <w:szCs w:val="20"/>
              </w:rPr>
            </w:pPr>
            <w:r w:rsidRPr="004B2B19">
              <w:rPr>
                <w:rFonts w:ascii="Arial Narrow" w:hAnsi="Arial Narrow"/>
                <w:b/>
                <w:sz w:val="20"/>
                <w:szCs w:val="20"/>
              </w:rPr>
              <w:t xml:space="preserve">Concept ID </w:t>
            </w:r>
            <w:r w:rsidRPr="004B2B1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169039C" w14:textId="77777777" w:rsidR="000A0271" w:rsidRPr="004B2B19" w:rsidRDefault="000A0271" w:rsidP="00A01409">
            <w:pPr>
              <w:keepLines/>
              <w:rPr>
                <w:rFonts w:ascii="Arial Narrow" w:hAnsi="Arial Narrow"/>
                <w:sz w:val="20"/>
                <w:szCs w:val="20"/>
              </w:rPr>
            </w:pPr>
            <w:r w:rsidRPr="004B2B19">
              <w:rPr>
                <w:rFonts w:ascii="Arial Narrow" w:hAnsi="Arial Narrow"/>
                <w:b/>
                <w:sz w:val="20"/>
                <w:szCs w:val="20"/>
              </w:rPr>
              <w:t>Category / Program:</w:t>
            </w:r>
            <w:r w:rsidRPr="004B2B19">
              <w:rPr>
                <w:rFonts w:ascii="Arial Narrow" w:hAnsi="Arial Narrow"/>
                <w:sz w:val="20"/>
                <w:szCs w:val="20"/>
              </w:rPr>
              <w:t xml:space="preserve"> </w:t>
            </w:r>
            <w:r w:rsidRPr="004B2B19">
              <w:rPr>
                <w:rFonts w:ascii="Arial Narrow" w:eastAsia="Calibri" w:hAnsi="Arial Narrow"/>
                <w:sz w:val="20"/>
                <w:szCs w:val="20"/>
              </w:rPr>
              <w:fldChar w:fldCharType="begin">
                <w:ffData>
                  <w:name w:val="Check1"/>
                  <w:enabled/>
                  <w:calcOnExit w:val="0"/>
                  <w:checkBox>
                    <w:sizeAuto/>
                    <w:default w:val="1"/>
                  </w:checkBox>
                </w:ffData>
              </w:fldChar>
            </w:r>
            <w:bookmarkStart w:id="70" w:name="Check1"/>
            <w:r w:rsidRPr="004B2B19">
              <w:rPr>
                <w:rFonts w:ascii="Arial Narrow" w:eastAsia="Calibri" w:hAnsi="Arial Narrow"/>
                <w:sz w:val="20"/>
                <w:szCs w:val="20"/>
              </w:rPr>
              <w:instrText xml:space="preserve"> FORMCHECKBOX </w:instrText>
            </w:r>
            <w:r w:rsidRPr="004B2B19">
              <w:rPr>
                <w:rFonts w:ascii="Arial Narrow" w:eastAsia="Calibri" w:hAnsi="Arial Narrow"/>
                <w:sz w:val="20"/>
                <w:szCs w:val="20"/>
              </w:rPr>
            </w:r>
            <w:r w:rsidRPr="004B2B19">
              <w:rPr>
                <w:rFonts w:ascii="Arial Narrow" w:eastAsia="Calibri" w:hAnsi="Arial Narrow"/>
                <w:sz w:val="20"/>
                <w:szCs w:val="20"/>
              </w:rPr>
              <w:fldChar w:fldCharType="separate"/>
            </w:r>
            <w:r w:rsidRPr="004B2B19">
              <w:rPr>
                <w:rFonts w:ascii="Arial Narrow" w:eastAsia="Calibri" w:hAnsi="Arial Narrow"/>
                <w:sz w:val="20"/>
                <w:szCs w:val="20"/>
              </w:rPr>
              <w:fldChar w:fldCharType="end"/>
            </w:r>
            <w:bookmarkEnd w:id="70"/>
            <w:r w:rsidRPr="004B2B19">
              <w:rPr>
                <w:rFonts w:ascii="Arial Narrow" w:eastAsia="Calibri" w:hAnsi="Arial Narrow"/>
                <w:sz w:val="20"/>
                <w:szCs w:val="20"/>
              </w:rPr>
              <w:t xml:space="preserve"> GENERAL - General Schedule (Code GE) </w:t>
            </w:r>
          </w:p>
        </w:tc>
      </w:tr>
      <w:tr w:rsidR="000A0271" w:rsidRPr="004B2B19" w14:paraId="4FE66C0B" w14:textId="77777777" w:rsidTr="00A01409">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1B27B6E1" w14:textId="77777777" w:rsidR="000A0271" w:rsidRPr="004B2B19" w:rsidRDefault="000A0271" w:rsidP="00A0140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D9FA0BD" w14:textId="5C4B1B36" w:rsidR="000A0271" w:rsidRPr="004B2B19" w:rsidRDefault="000A0271" w:rsidP="00A01409">
            <w:pPr>
              <w:keepLines/>
              <w:rPr>
                <w:rFonts w:ascii="Arial Narrow" w:hAnsi="Arial Narrow"/>
                <w:b/>
                <w:sz w:val="20"/>
                <w:szCs w:val="20"/>
              </w:rPr>
            </w:pPr>
            <w:r w:rsidRPr="004B2B19">
              <w:rPr>
                <w:rFonts w:ascii="Arial Narrow" w:hAnsi="Arial Narrow"/>
                <w:b/>
                <w:sz w:val="20"/>
                <w:szCs w:val="20"/>
              </w:rPr>
              <w:t xml:space="preserve">Prescriber type: </w:t>
            </w:r>
            <w:r w:rsidRPr="004B2B19">
              <w:rPr>
                <w:rFonts w:ascii="Arial Narrow" w:hAnsi="Arial Narrow"/>
                <w:sz w:val="20"/>
                <w:szCs w:val="20"/>
              </w:rPr>
              <w:fldChar w:fldCharType="begin">
                <w:ffData>
                  <w:name w:val=""/>
                  <w:enabled/>
                  <w:calcOnExit w:val="0"/>
                  <w:checkBox>
                    <w:sizeAuto/>
                    <w:default w:val="1"/>
                  </w:checkBox>
                </w:ffData>
              </w:fldChar>
            </w:r>
            <w:r w:rsidRPr="004B2B19">
              <w:rPr>
                <w:rFonts w:ascii="Arial Narrow" w:hAnsi="Arial Narrow"/>
                <w:sz w:val="20"/>
                <w:szCs w:val="20"/>
              </w:rPr>
              <w:instrText xml:space="preserve"> FORMCHECKBOX </w:instrText>
            </w:r>
            <w:r w:rsidRPr="004B2B19">
              <w:rPr>
                <w:rFonts w:ascii="Arial Narrow" w:hAnsi="Arial Narrow"/>
                <w:sz w:val="20"/>
                <w:szCs w:val="20"/>
              </w:rPr>
            </w:r>
            <w:r w:rsidRPr="004B2B19">
              <w:rPr>
                <w:rFonts w:ascii="Arial Narrow" w:hAnsi="Arial Narrow"/>
                <w:sz w:val="20"/>
                <w:szCs w:val="20"/>
              </w:rPr>
              <w:fldChar w:fldCharType="separate"/>
            </w:r>
            <w:r w:rsidRPr="004B2B19">
              <w:rPr>
                <w:rFonts w:ascii="Arial Narrow" w:hAnsi="Arial Narrow"/>
                <w:sz w:val="20"/>
                <w:szCs w:val="20"/>
              </w:rPr>
              <w:fldChar w:fldCharType="end"/>
            </w:r>
            <w:r w:rsidRPr="004B2B19">
              <w:rPr>
                <w:rFonts w:ascii="Arial Narrow" w:hAnsi="Arial Narrow"/>
                <w:sz w:val="20"/>
                <w:szCs w:val="20"/>
              </w:rPr>
              <w:t xml:space="preserve">Medical Practitioners </w:t>
            </w:r>
            <w:r w:rsidRPr="004B2B19">
              <w:rPr>
                <w:rFonts w:ascii="Arial Narrow" w:hAnsi="Arial Narrow"/>
                <w:sz w:val="20"/>
                <w:szCs w:val="20"/>
              </w:rPr>
              <w:fldChar w:fldCharType="begin">
                <w:ffData>
                  <w:name w:val="Check3"/>
                  <w:enabled/>
                  <w:calcOnExit w:val="0"/>
                  <w:checkBox>
                    <w:sizeAuto/>
                    <w:default w:val="1"/>
                  </w:checkBox>
                </w:ffData>
              </w:fldChar>
            </w:r>
            <w:r w:rsidRPr="004B2B19">
              <w:rPr>
                <w:rFonts w:ascii="Arial Narrow" w:hAnsi="Arial Narrow"/>
                <w:sz w:val="20"/>
                <w:szCs w:val="20"/>
              </w:rPr>
              <w:instrText xml:space="preserve"> FORMCHECKBOX </w:instrText>
            </w:r>
            <w:r w:rsidRPr="004B2B19">
              <w:rPr>
                <w:rFonts w:ascii="Arial Narrow" w:hAnsi="Arial Narrow"/>
                <w:sz w:val="20"/>
                <w:szCs w:val="20"/>
              </w:rPr>
            </w:r>
            <w:r w:rsidRPr="004B2B19">
              <w:rPr>
                <w:rFonts w:ascii="Arial Narrow" w:hAnsi="Arial Narrow"/>
                <w:sz w:val="20"/>
                <w:szCs w:val="20"/>
              </w:rPr>
              <w:fldChar w:fldCharType="separate"/>
            </w:r>
            <w:r w:rsidRPr="004B2B19">
              <w:rPr>
                <w:rFonts w:ascii="Arial Narrow" w:hAnsi="Arial Narrow"/>
                <w:sz w:val="20"/>
                <w:szCs w:val="20"/>
              </w:rPr>
              <w:fldChar w:fldCharType="end"/>
            </w:r>
            <w:r w:rsidRPr="004B2B19">
              <w:rPr>
                <w:rFonts w:ascii="Arial Narrow" w:hAnsi="Arial Narrow"/>
                <w:sz w:val="20"/>
                <w:szCs w:val="20"/>
              </w:rPr>
              <w:t>Nurse practitioners</w:t>
            </w:r>
          </w:p>
        </w:tc>
      </w:tr>
      <w:tr w:rsidR="000A0271" w:rsidRPr="004B2B19" w14:paraId="4B709F77" w14:textId="77777777" w:rsidTr="00A01409">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5CBC5BA" w14:textId="77777777" w:rsidR="000A0271" w:rsidRPr="004B2B19" w:rsidRDefault="000A0271" w:rsidP="00A0140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6D4159" w14:textId="5CCA24B1" w:rsidR="000A0271" w:rsidRPr="004B2B19" w:rsidRDefault="000A0271" w:rsidP="00A01409">
            <w:pPr>
              <w:keepLines/>
              <w:rPr>
                <w:rFonts w:ascii="Arial Narrow" w:eastAsia="Calibri" w:hAnsi="Arial Narrow"/>
                <w:sz w:val="20"/>
                <w:szCs w:val="20"/>
              </w:rPr>
            </w:pPr>
            <w:r w:rsidRPr="004B2B19">
              <w:rPr>
                <w:rFonts w:ascii="Arial Narrow" w:hAnsi="Arial Narrow"/>
                <w:b/>
                <w:sz w:val="20"/>
                <w:szCs w:val="20"/>
              </w:rPr>
              <w:t xml:space="preserve">Restriction type: </w:t>
            </w:r>
            <w:r w:rsidRPr="004B2B19">
              <w:rPr>
                <w:rFonts w:ascii="Arial Narrow" w:eastAsia="Calibri" w:hAnsi="Arial Narrow"/>
                <w:sz w:val="20"/>
                <w:szCs w:val="20"/>
              </w:rPr>
              <w:fldChar w:fldCharType="begin">
                <w:ffData>
                  <w:name w:val=""/>
                  <w:enabled/>
                  <w:calcOnExit w:val="0"/>
                  <w:checkBox>
                    <w:sizeAuto/>
                    <w:default w:val="1"/>
                  </w:checkBox>
                </w:ffData>
              </w:fldChar>
            </w:r>
            <w:r w:rsidRPr="004B2B19">
              <w:rPr>
                <w:rFonts w:ascii="Arial Narrow" w:eastAsia="Calibri" w:hAnsi="Arial Narrow"/>
                <w:sz w:val="20"/>
                <w:szCs w:val="20"/>
              </w:rPr>
              <w:instrText xml:space="preserve"> FORMCHECKBOX </w:instrText>
            </w:r>
            <w:r w:rsidRPr="004B2B19">
              <w:rPr>
                <w:rFonts w:ascii="Arial Narrow" w:eastAsia="Calibri" w:hAnsi="Arial Narrow"/>
                <w:sz w:val="20"/>
                <w:szCs w:val="20"/>
              </w:rPr>
            </w:r>
            <w:r w:rsidRPr="004B2B19">
              <w:rPr>
                <w:rFonts w:ascii="Arial Narrow" w:eastAsia="Calibri" w:hAnsi="Arial Narrow"/>
                <w:sz w:val="20"/>
                <w:szCs w:val="20"/>
              </w:rPr>
              <w:fldChar w:fldCharType="separate"/>
            </w:r>
            <w:r w:rsidRPr="004B2B19">
              <w:rPr>
                <w:rFonts w:ascii="Arial Narrow" w:eastAsia="Calibri" w:hAnsi="Arial Narrow"/>
                <w:sz w:val="20"/>
                <w:szCs w:val="20"/>
              </w:rPr>
              <w:fldChar w:fldCharType="end"/>
            </w:r>
            <w:r w:rsidRPr="004B2B19">
              <w:rPr>
                <w:rFonts w:ascii="Arial Narrow" w:eastAsia="Calibri" w:hAnsi="Arial Narrow"/>
                <w:sz w:val="20"/>
                <w:szCs w:val="20"/>
              </w:rPr>
              <w:t>Authority Required (</w:t>
            </w:r>
            <w:r w:rsidR="005532BB" w:rsidRPr="004B2B19">
              <w:rPr>
                <w:rFonts w:ascii="Arial Narrow" w:eastAsia="Calibri" w:hAnsi="Arial Narrow"/>
                <w:sz w:val="20"/>
                <w:szCs w:val="20"/>
              </w:rPr>
              <w:t>S</w:t>
            </w:r>
            <w:r w:rsidR="008F57F1" w:rsidRPr="004B2B19">
              <w:rPr>
                <w:rFonts w:ascii="Arial Narrow" w:eastAsia="Calibri" w:hAnsi="Arial Narrow"/>
                <w:sz w:val="20"/>
                <w:szCs w:val="20"/>
              </w:rPr>
              <w:t>TREAMLINED</w:t>
            </w:r>
            <w:r w:rsidRPr="004B2B19">
              <w:rPr>
                <w:rFonts w:ascii="Arial Narrow" w:eastAsia="Calibri" w:hAnsi="Arial Narrow"/>
                <w:sz w:val="20"/>
                <w:szCs w:val="20"/>
              </w:rPr>
              <w:t>)</w:t>
            </w:r>
            <w:r w:rsidR="005532BB" w:rsidRPr="004B2B19" w:rsidDel="005532BB">
              <w:rPr>
                <w:rFonts w:ascii="Arial Narrow" w:eastAsia="Calibri" w:hAnsi="Arial Narrow"/>
                <w:sz w:val="20"/>
                <w:szCs w:val="20"/>
              </w:rPr>
              <w:t xml:space="preserve"> </w:t>
            </w:r>
          </w:p>
        </w:tc>
      </w:tr>
      <w:tr w:rsidR="000A0271" w:rsidRPr="004B2B19" w14:paraId="2A375489" w14:textId="77777777" w:rsidTr="00A01409">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3AA2718C" w14:textId="77777777" w:rsidR="000A0271" w:rsidRPr="004B2B19" w:rsidRDefault="000A0271" w:rsidP="00A01409">
            <w:pPr>
              <w:jc w:val="center"/>
              <w:rPr>
                <w:rFonts w:ascii="Arial Narrow" w:hAnsi="Arial Narrow"/>
                <w:sz w:val="18"/>
                <w:szCs w:val="18"/>
              </w:rPr>
            </w:pPr>
            <w:r w:rsidRPr="004B2B19">
              <w:rPr>
                <w:rFonts w:ascii="Arial Narrow" w:hAnsi="Arial Narrow"/>
                <w:sz w:val="18"/>
                <w:szCs w:val="18"/>
              </w:rPr>
              <w:t>Prescribing rule level</w:t>
            </w:r>
          </w:p>
        </w:tc>
        <w:tc>
          <w:tcPr>
            <w:tcW w:w="784" w:type="dxa"/>
            <w:vAlign w:val="center"/>
          </w:tcPr>
          <w:p w14:paraId="04EACF1F" w14:textId="06F5A687" w:rsidR="000A0271" w:rsidRPr="004B2B19" w:rsidRDefault="000A0271" w:rsidP="00A01409">
            <w:pPr>
              <w:jc w:val="center"/>
              <w:rPr>
                <w:rFonts w:ascii="Arial Narrow" w:hAnsi="Arial Narrow"/>
                <w:sz w:val="20"/>
                <w:szCs w:val="20"/>
              </w:rPr>
            </w:pPr>
          </w:p>
        </w:tc>
        <w:tc>
          <w:tcPr>
            <w:tcW w:w="7745" w:type="dxa"/>
            <w:gridSpan w:val="6"/>
            <w:vAlign w:val="center"/>
          </w:tcPr>
          <w:p w14:paraId="3F1881C6" w14:textId="77777777" w:rsidR="000A0271" w:rsidRPr="004B2B19" w:rsidRDefault="000A0271" w:rsidP="00A01409">
            <w:pPr>
              <w:rPr>
                <w:rFonts w:ascii="Arial Narrow" w:hAnsi="Arial Narrow"/>
                <w:sz w:val="20"/>
                <w:szCs w:val="20"/>
              </w:rPr>
            </w:pPr>
            <w:r w:rsidRPr="004B2B19">
              <w:rPr>
                <w:rFonts w:ascii="Arial Narrow" w:hAnsi="Arial Narrow"/>
                <w:b/>
                <w:bCs/>
                <w:sz w:val="20"/>
                <w:szCs w:val="20"/>
              </w:rPr>
              <w:t xml:space="preserve">Administrative Advice: </w:t>
            </w:r>
            <w:r w:rsidRPr="004B2B19">
              <w:rPr>
                <w:rFonts w:ascii="Arial Narrow" w:hAnsi="Arial Narrow"/>
                <w:bCs/>
                <w:sz w:val="20"/>
                <w:szCs w:val="20"/>
              </w:rPr>
              <w:t>No increase in the maximum quantity or number of units may be authorised.</w:t>
            </w:r>
          </w:p>
        </w:tc>
      </w:tr>
      <w:tr w:rsidR="000A0271" w:rsidRPr="004B2B19" w14:paraId="28095C6C" w14:textId="77777777" w:rsidTr="00A01409">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27B2C9D0" w14:textId="77777777" w:rsidR="000A0271" w:rsidRPr="004B2B19" w:rsidRDefault="000A0271" w:rsidP="00A01409">
            <w:pPr>
              <w:rPr>
                <w:rFonts w:ascii="Arial Narrow" w:hAnsi="Arial Narrow"/>
                <w:sz w:val="20"/>
                <w:szCs w:val="20"/>
              </w:rPr>
            </w:pPr>
          </w:p>
        </w:tc>
        <w:tc>
          <w:tcPr>
            <w:tcW w:w="784" w:type="dxa"/>
            <w:vAlign w:val="center"/>
          </w:tcPr>
          <w:p w14:paraId="10F4F354" w14:textId="1902401E" w:rsidR="000A0271" w:rsidRPr="004B2B19" w:rsidRDefault="000A0271" w:rsidP="00A01409">
            <w:pPr>
              <w:jc w:val="center"/>
              <w:rPr>
                <w:rFonts w:ascii="Arial Narrow" w:hAnsi="Arial Narrow"/>
                <w:sz w:val="20"/>
                <w:szCs w:val="20"/>
              </w:rPr>
            </w:pPr>
          </w:p>
        </w:tc>
        <w:tc>
          <w:tcPr>
            <w:tcW w:w="7745" w:type="dxa"/>
            <w:gridSpan w:val="6"/>
            <w:vAlign w:val="center"/>
          </w:tcPr>
          <w:p w14:paraId="20278AED" w14:textId="77777777" w:rsidR="000A0271" w:rsidRPr="004B2B19" w:rsidRDefault="000A0271" w:rsidP="00A01409">
            <w:pPr>
              <w:rPr>
                <w:rFonts w:ascii="Arial Narrow" w:hAnsi="Arial Narrow"/>
                <w:b/>
                <w:bCs/>
                <w:sz w:val="20"/>
                <w:szCs w:val="20"/>
              </w:rPr>
            </w:pPr>
            <w:r w:rsidRPr="004B2B19">
              <w:rPr>
                <w:rFonts w:ascii="Arial Narrow" w:hAnsi="Arial Narrow"/>
                <w:b/>
                <w:bCs/>
                <w:sz w:val="20"/>
                <w:szCs w:val="20"/>
              </w:rPr>
              <w:t xml:space="preserve">Administrative Advice: </w:t>
            </w:r>
            <w:r w:rsidRPr="004B2B19">
              <w:rPr>
                <w:rFonts w:ascii="Arial Narrow" w:hAnsi="Arial Narrow"/>
                <w:bCs/>
                <w:sz w:val="20"/>
                <w:szCs w:val="20"/>
              </w:rPr>
              <w:t>No increase in the maximum number of repeats may be authorised.</w:t>
            </w:r>
          </w:p>
        </w:tc>
      </w:tr>
      <w:tr w:rsidR="000A0271" w:rsidRPr="004B2B19" w14:paraId="52C08CBB" w14:textId="77777777" w:rsidTr="00A01409">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0A2B692A" w14:textId="77777777" w:rsidR="000A0271" w:rsidRPr="004B2B19" w:rsidRDefault="000A0271" w:rsidP="00A01409">
            <w:pPr>
              <w:rPr>
                <w:rFonts w:ascii="Arial Narrow" w:hAnsi="Arial Narrow"/>
                <w:sz w:val="20"/>
                <w:szCs w:val="20"/>
              </w:rPr>
            </w:pPr>
          </w:p>
        </w:tc>
        <w:tc>
          <w:tcPr>
            <w:tcW w:w="784" w:type="dxa"/>
            <w:vAlign w:val="center"/>
          </w:tcPr>
          <w:p w14:paraId="3E6E2023" w14:textId="066285C9" w:rsidR="000A0271" w:rsidRPr="004B2B19" w:rsidRDefault="000A0271" w:rsidP="00A01409">
            <w:pPr>
              <w:jc w:val="center"/>
              <w:rPr>
                <w:rFonts w:ascii="Arial Narrow" w:hAnsi="Arial Narrow"/>
                <w:sz w:val="20"/>
                <w:szCs w:val="20"/>
              </w:rPr>
            </w:pPr>
          </w:p>
        </w:tc>
        <w:tc>
          <w:tcPr>
            <w:tcW w:w="7745" w:type="dxa"/>
            <w:gridSpan w:val="6"/>
            <w:vAlign w:val="center"/>
          </w:tcPr>
          <w:p w14:paraId="21D3BB2E" w14:textId="77777777" w:rsidR="000A0271" w:rsidRPr="004B2B19" w:rsidRDefault="000A0271" w:rsidP="00A01409">
            <w:pPr>
              <w:rPr>
                <w:rFonts w:ascii="Arial Narrow" w:hAnsi="Arial Narrow"/>
                <w:b/>
                <w:bCs/>
                <w:sz w:val="20"/>
                <w:szCs w:val="20"/>
              </w:rPr>
            </w:pPr>
            <w:r w:rsidRPr="004B2B19">
              <w:rPr>
                <w:rFonts w:ascii="Arial Narrow" w:hAnsi="Arial Narrow"/>
                <w:b/>
                <w:bCs/>
                <w:sz w:val="20"/>
                <w:szCs w:val="20"/>
              </w:rPr>
              <w:t xml:space="preserve">Administrative Advice: </w:t>
            </w:r>
            <w:r w:rsidRPr="004B2B19">
              <w:rPr>
                <w:rFonts w:ascii="Arial Narrow" w:hAnsi="Arial Narrow"/>
                <w:bCs/>
                <w:sz w:val="20"/>
                <w:szCs w:val="20"/>
              </w:rPr>
              <w:t>Special Pricing Arrangements apply.</w:t>
            </w:r>
          </w:p>
        </w:tc>
      </w:tr>
      <w:tr w:rsidR="000A0271" w:rsidRPr="004B2B19" w14:paraId="0E653E32" w14:textId="77777777" w:rsidTr="00A01409">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3FE3C48A" w14:textId="77777777" w:rsidR="000A0271" w:rsidRPr="004B2B19" w:rsidRDefault="000A0271" w:rsidP="00A01409">
            <w:pPr>
              <w:rPr>
                <w:rFonts w:ascii="Arial Narrow" w:hAnsi="Arial Narrow"/>
                <w:sz w:val="20"/>
                <w:szCs w:val="20"/>
              </w:rPr>
            </w:pPr>
          </w:p>
        </w:tc>
        <w:tc>
          <w:tcPr>
            <w:tcW w:w="784" w:type="dxa"/>
            <w:vAlign w:val="center"/>
          </w:tcPr>
          <w:p w14:paraId="1FF7BD79" w14:textId="7260EFA9" w:rsidR="000A0271" w:rsidRPr="004B2B19" w:rsidRDefault="000A0271" w:rsidP="00A01409">
            <w:pPr>
              <w:jc w:val="center"/>
              <w:rPr>
                <w:rFonts w:ascii="Arial Narrow" w:hAnsi="Arial Narrow"/>
                <w:bCs/>
                <w:sz w:val="20"/>
                <w:szCs w:val="20"/>
              </w:rPr>
            </w:pPr>
          </w:p>
        </w:tc>
        <w:tc>
          <w:tcPr>
            <w:tcW w:w="7745" w:type="dxa"/>
            <w:gridSpan w:val="6"/>
            <w:vAlign w:val="center"/>
          </w:tcPr>
          <w:p w14:paraId="7E2C8E8A" w14:textId="7CE56192" w:rsidR="000A0271" w:rsidRPr="004B2B19" w:rsidRDefault="000A0271" w:rsidP="00A01409">
            <w:pPr>
              <w:rPr>
                <w:rFonts w:ascii="Arial Narrow" w:hAnsi="Arial Narrow"/>
                <w:sz w:val="20"/>
                <w:szCs w:val="20"/>
              </w:rPr>
            </w:pPr>
          </w:p>
        </w:tc>
      </w:tr>
      <w:tr w:rsidR="000A0271" w:rsidRPr="004B2B19" w14:paraId="2951FCC5" w14:textId="77777777" w:rsidTr="0026605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4FC3E6" w14:textId="0CB31D0E" w:rsidR="000A0271" w:rsidRPr="004B2B19" w:rsidRDefault="000A0271" w:rsidP="00A01409">
            <w:pPr>
              <w:keepLines/>
              <w:jc w:val="center"/>
              <w:rPr>
                <w:rFonts w:ascii="Arial Narrow" w:hAnsi="Arial Narrow"/>
                <w:color w:val="333333"/>
                <w:sz w:val="20"/>
                <w:szCs w:val="20"/>
              </w:rPr>
            </w:pPr>
          </w:p>
        </w:tc>
        <w:tc>
          <w:tcPr>
            <w:tcW w:w="7745" w:type="dxa"/>
            <w:gridSpan w:val="6"/>
            <w:vAlign w:val="center"/>
            <w:hideMark/>
          </w:tcPr>
          <w:p w14:paraId="6A1B0314" w14:textId="77777777" w:rsidR="000A0271" w:rsidRPr="004B2B19" w:rsidRDefault="000A0271" w:rsidP="00A01409">
            <w:pPr>
              <w:keepLines/>
              <w:rPr>
                <w:rFonts w:ascii="Arial Narrow" w:hAnsi="Arial Narrow"/>
                <w:color w:val="333333"/>
                <w:sz w:val="20"/>
                <w:szCs w:val="20"/>
              </w:rPr>
            </w:pPr>
            <w:r w:rsidRPr="004B2B19">
              <w:rPr>
                <w:rFonts w:ascii="Arial Narrow" w:hAnsi="Arial Narrow"/>
                <w:b/>
                <w:bCs/>
                <w:color w:val="333333"/>
                <w:sz w:val="20"/>
                <w:szCs w:val="20"/>
              </w:rPr>
              <w:t>Indication:</w:t>
            </w:r>
            <w:r w:rsidRPr="004B2B19">
              <w:rPr>
                <w:rFonts w:ascii="Arial Narrow" w:hAnsi="Arial Narrow"/>
                <w:color w:val="333333"/>
                <w:sz w:val="20"/>
                <w:szCs w:val="20"/>
              </w:rPr>
              <w:t xml:space="preserve"> Seizures of the Lennox-Gastaut syndrome</w:t>
            </w:r>
          </w:p>
        </w:tc>
      </w:tr>
      <w:tr w:rsidR="000A0271" w:rsidRPr="004B2B19" w14:paraId="4AA344FC"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E25F1A" w14:textId="4E6E5BEE" w:rsidR="000A0271" w:rsidRPr="004B2B19" w:rsidRDefault="000A0271" w:rsidP="00A01409">
            <w:pPr>
              <w:jc w:val="center"/>
              <w:rPr>
                <w:rFonts w:ascii="Arial Narrow" w:hAnsi="Arial Narrow"/>
                <w:color w:val="333333"/>
                <w:sz w:val="20"/>
                <w:szCs w:val="20"/>
              </w:rPr>
            </w:pPr>
          </w:p>
        </w:tc>
        <w:tc>
          <w:tcPr>
            <w:tcW w:w="7745" w:type="dxa"/>
            <w:gridSpan w:val="6"/>
            <w:vAlign w:val="center"/>
            <w:hideMark/>
          </w:tcPr>
          <w:p w14:paraId="23673D31" w14:textId="77777777" w:rsidR="000A0271" w:rsidRPr="004B2B19" w:rsidRDefault="000A0271" w:rsidP="00A01409">
            <w:pPr>
              <w:rPr>
                <w:rFonts w:ascii="Arial Narrow" w:hAnsi="Arial Narrow"/>
                <w:color w:val="333333"/>
                <w:sz w:val="20"/>
                <w:szCs w:val="20"/>
              </w:rPr>
            </w:pPr>
            <w:r w:rsidRPr="004B2B19">
              <w:rPr>
                <w:rFonts w:ascii="Arial Narrow" w:hAnsi="Arial Narrow"/>
                <w:b/>
                <w:bCs/>
                <w:color w:val="333333"/>
                <w:sz w:val="20"/>
                <w:szCs w:val="20"/>
              </w:rPr>
              <w:t>Clinical criteria:</w:t>
            </w:r>
          </w:p>
        </w:tc>
      </w:tr>
      <w:tr w:rsidR="000A0271" w:rsidRPr="004B2B19" w14:paraId="16339635"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9A5C9F" w14:textId="7AC99BFD" w:rsidR="000A0271" w:rsidRPr="004B2B19" w:rsidRDefault="000A0271" w:rsidP="00A01409">
            <w:pPr>
              <w:jc w:val="center"/>
              <w:rPr>
                <w:rFonts w:ascii="Arial Narrow" w:hAnsi="Arial Narrow"/>
                <w:color w:val="333333"/>
                <w:sz w:val="20"/>
                <w:szCs w:val="20"/>
              </w:rPr>
            </w:pPr>
          </w:p>
        </w:tc>
        <w:tc>
          <w:tcPr>
            <w:tcW w:w="7745" w:type="dxa"/>
            <w:gridSpan w:val="6"/>
            <w:vAlign w:val="center"/>
            <w:hideMark/>
          </w:tcPr>
          <w:p w14:paraId="60E0413C" w14:textId="13B96A8C" w:rsidR="000A0271" w:rsidRPr="004B2B19" w:rsidRDefault="000A0271" w:rsidP="00A01409">
            <w:pPr>
              <w:rPr>
                <w:rFonts w:ascii="Arial Narrow" w:hAnsi="Arial Narrow"/>
                <w:color w:val="FF0000"/>
                <w:sz w:val="20"/>
                <w:szCs w:val="20"/>
              </w:rPr>
            </w:pPr>
            <w:r w:rsidRPr="004B2B19">
              <w:rPr>
                <w:rFonts w:ascii="Arial Narrow" w:hAnsi="Arial Narrow"/>
                <w:color w:val="333333"/>
                <w:sz w:val="20"/>
                <w:szCs w:val="20"/>
              </w:rPr>
              <w:t>Patient must have a diagnosis of Lennox-Gastaut syndrom</w:t>
            </w:r>
            <w:r w:rsidRPr="004B2B19">
              <w:rPr>
                <w:rFonts w:ascii="Arial Narrow" w:hAnsi="Arial Narrow"/>
                <w:sz w:val="20"/>
                <w:szCs w:val="20"/>
              </w:rPr>
              <w:t>e</w:t>
            </w:r>
            <w:r w:rsidR="003808A7" w:rsidRPr="004B2B19">
              <w:rPr>
                <w:rFonts w:ascii="Arial Narrow" w:hAnsi="Arial Narrow"/>
                <w:sz w:val="20"/>
                <w:szCs w:val="20"/>
              </w:rPr>
              <w:t>; t</w:t>
            </w:r>
            <w:r w:rsidRPr="004B2B19">
              <w:rPr>
                <w:rFonts w:ascii="Arial Narrow" w:hAnsi="Arial Narrow"/>
                <w:sz w:val="20"/>
                <w:szCs w:val="20"/>
              </w:rPr>
              <w:t>he diagnosis should be confirmed by an electroencephalogram (EEG) where possible.</w:t>
            </w:r>
          </w:p>
        </w:tc>
      </w:tr>
      <w:tr w:rsidR="000A0271" w:rsidRPr="004B2B19" w14:paraId="043335A1"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1628F3" w14:textId="77777777" w:rsidR="000A0271" w:rsidRPr="004B2B19" w:rsidRDefault="000A0271" w:rsidP="00A01409">
            <w:pPr>
              <w:jc w:val="center"/>
              <w:rPr>
                <w:rFonts w:ascii="Arial Narrow" w:hAnsi="Arial Narrow"/>
                <w:color w:val="333333"/>
                <w:sz w:val="20"/>
                <w:szCs w:val="20"/>
              </w:rPr>
            </w:pPr>
          </w:p>
        </w:tc>
        <w:tc>
          <w:tcPr>
            <w:tcW w:w="7745" w:type="dxa"/>
            <w:gridSpan w:val="6"/>
            <w:vAlign w:val="center"/>
            <w:hideMark/>
          </w:tcPr>
          <w:p w14:paraId="712DC6DE" w14:textId="77777777" w:rsidR="000A0271" w:rsidRPr="004B2B19" w:rsidRDefault="000A0271" w:rsidP="00A01409">
            <w:pPr>
              <w:rPr>
                <w:rFonts w:ascii="Arial Narrow" w:hAnsi="Arial Narrow"/>
                <w:color w:val="333333"/>
                <w:sz w:val="20"/>
                <w:szCs w:val="20"/>
              </w:rPr>
            </w:pPr>
            <w:r w:rsidRPr="004B2B19">
              <w:rPr>
                <w:rFonts w:ascii="Arial Narrow" w:hAnsi="Arial Narrow"/>
                <w:b/>
                <w:bCs/>
                <w:color w:val="333333"/>
                <w:sz w:val="20"/>
                <w:szCs w:val="20"/>
              </w:rPr>
              <w:t>AND</w:t>
            </w:r>
          </w:p>
        </w:tc>
      </w:tr>
      <w:tr w:rsidR="000A0271" w:rsidRPr="004B2B19" w14:paraId="069D215D"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9D0215" w14:textId="4EC80185" w:rsidR="000A0271" w:rsidRPr="004B2B19" w:rsidRDefault="000A0271" w:rsidP="00A01409">
            <w:pPr>
              <w:jc w:val="center"/>
              <w:rPr>
                <w:rFonts w:ascii="Arial Narrow" w:hAnsi="Arial Narrow"/>
                <w:color w:val="333333"/>
                <w:sz w:val="20"/>
                <w:szCs w:val="20"/>
              </w:rPr>
            </w:pPr>
          </w:p>
        </w:tc>
        <w:tc>
          <w:tcPr>
            <w:tcW w:w="7745" w:type="dxa"/>
            <w:gridSpan w:val="6"/>
            <w:vAlign w:val="center"/>
            <w:hideMark/>
          </w:tcPr>
          <w:p w14:paraId="1165B9FF" w14:textId="77777777" w:rsidR="000A0271" w:rsidRPr="004B2B19" w:rsidRDefault="000A0271" w:rsidP="00A01409">
            <w:pPr>
              <w:rPr>
                <w:rFonts w:ascii="Arial Narrow" w:hAnsi="Arial Narrow"/>
                <w:color w:val="333333"/>
                <w:sz w:val="20"/>
                <w:szCs w:val="20"/>
              </w:rPr>
            </w:pPr>
            <w:r w:rsidRPr="004B2B19">
              <w:rPr>
                <w:rFonts w:ascii="Arial Narrow" w:hAnsi="Arial Narrow"/>
                <w:b/>
                <w:bCs/>
                <w:color w:val="333333"/>
                <w:sz w:val="20"/>
                <w:szCs w:val="20"/>
              </w:rPr>
              <w:t>Clinical criteria:</w:t>
            </w:r>
          </w:p>
        </w:tc>
      </w:tr>
      <w:tr w:rsidR="000A0271" w:rsidRPr="004B2B19" w14:paraId="1B65E541"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15A954" w14:textId="237233A5" w:rsidR="000A0271" w:rsidRPr="004B2B19" w:rsidRDefault="000A0271" w:rsidP="00A01409">
            <w:pPr>
              <w:jc w:val="center"/>
              <w:rPr>
                <w:rFonts w:ascii="Arial Narrow" w:hAnsi="Arial Narrow"/>
                <w:color w:val="333333"/>
                <w:sz w:val="20"/>
                <w:szCs w:val="20"/>
              </w:rPr>
            </w:pPr>
          </w:p>
        </w:tc>
        <w:tc>
          <w:tcPr>
            <w:tcW w:w="7745" w:type="dxa"/>
            <w:gridSpan w:val="6"/>
            <w:vAlign w:val="center"/>
            <w:hideMark/>
          </w:tcPr>
          <w:p w14:paraId="3B0DCC5D" w14:textId="59A40262" w:rsidR="000A0271" w:rsidRPr="004B2B19" w:rsidRDefault="000A0271" w:rsidP="00A01409">
            <w:pPr>
              <w:rPr>
                <w:rFonts w:ascii="Arial Narrow" w:hAnsi="Arial Narrow"/>
                <w:color w:val="333333"/>
                <w:sz w:val="20"/>
                <w:szCs w:val="20"/>
              </w:rPr>
            </w:pPr>
            <w:r w:rsidRPr="004B2B19">
              <w:rPr>
                <w:rFonts w:ascii="Arial Narrow" w:hAnsi="Arial Narrow"/>
                <w:color w:val="333333"/>
                <w:sz w:val="20"/>
                <w:szCs w:val="20"/>
              </w:rPr>
              <w:t xml:space="preserve">Patient must have (as an initiating patient)/have had (as a continuing patient) more than one type of seizures </w:t>
            </w:r>
            <w:r w:rsidRPr="004B2B19">
              <w:rPr>
                <w:rFonts w:ascii="Arial Narrow" w:hAnsi="Arial Narrow"/>
                <w:sz w:val="20"/>
                <w:szCs w:val="20"/>
              </w:rPr>
              <w:t>that are not adequately controlled with at least two other antiseizure medication prior to initiating treatment with this medicine</w:t>
            </w:r>
          </w:p>
        </w:tc>
      </w:tr>
      <w:tr w:rsidR="000A0271" w:rsidRPr="004B2B19" w14:paraId="2CF226B6"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189D72" w14:textId="77777777"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5E5CE60B" w14:textId="77777777" w:rsidR="000A0271" w:rsidRPr="004B2B19" w:rsidRDefault="000A0271" w:rsidP="00A01409">
            <w:pPr>
              <w:rPr>
                <w:rFonts w:ascii="Arial Narrow" w:hAnsi="Arial Narrow"/>
                <w:color w:val="333333"/>
                <w:sz w:val="20"/>
                <w:szCs w:val="20"/>
              </w:rPr>
            </w:pPr>
            <w:r w:rsidRPr="004B2B19">
              <w:rPr>
                <w:rFonts w:ascii="Arial Narrow" w:hAnsi="Arial Narrow"/>
                <w:b/>
                <w:bCs/>
                <w:color w:val="333333"/>
                <w:sz w:val="20"/>
                <w:szCs w:val="20"/>
              </w:rPr>
              <w:t>AND</w:t>
            </w:r>
          </w:p>
        </w:tc>
      </w:tr>
      <w:tr w:rsidR="000A0271" w:rsidRPr="004B2B19" w14:paraId="0810B41A"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C3F17A" w14:textId="246C90CD"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5813BB99" w14:textId="77777777" w:rsidR="000A0271" w:rsidRPr="004B2B19" w:rsidRDefault="000A0271" w:rsidP="00A01409">
            <w:pPr>
              <w:rPr>
                <w:rFonts w:ascii="Arial Narrow" w:hAnsi="Arial Narrow"/>
                <w:color w:val="333333"/>
                <w:sz w:val="20"/>
                <w:szCs w:val="20"/>
              </w:rPr>
            </w:pPr>
            <w:r w:rsidRPr="004B2B19">
              <w:rPr>
                <w:rFonts w:ascii="Arial Narrow" w:hAnsi="Arial Narrow"/>
                <w:b/>
                <w:bCs/>
                <w:color w:val="333333"/>
                <w:sz w:val="20"/>
                <w:szCs w:val="20"/>
              </w:rPr>
              <w:t>Clinical criteria:</w:t>
            </w:r>
          </w:p>
        </w:tc>
      </w:tr>
      <w:tr w:rsidR="000A0271" w:rsidRPr="004B2B19" w14:paraId="11CB756D"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DA02EB" w14:textId="6F3408CC"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5DAEB10F" w14:textId="77777777" w:rsidR="000A0271" w:rsidRPr="004B2B19" w:rsidRDefault="000A0271" w:rsidP="00A01409">
            <w:pPr>
              <w:rPr>
                <w:rFonts w:ascii="Arial Narrow" w:hAnsi="Arial Narrow"/>
                <w:color w:val="333333"/>
                <w:sz w:val="20"/>
                <w:szCs w:val="20"/>
              </w:rPr>
            </w:pPr>
            <w:r w:rsidRPr="004B2B19">
              <w:rPr>
                <w:rFonts w:ascii="Arial Narrow" w:hAnsi="Arial Narrow"/>
                <w:color w:val="333333"/>
                <w:sz w:val="20"/>
                <w:szCs w:val="20"/>
              </w:rPr>
              <w:t>The treatment must be as adjunctive therapy to other antiseizure medication</w:t>
            </w:r>
          </w:p>
        </w:tc>
      </w:tr>
      <w:tr w:rsidR="000A0271" w:rsidRPr="004B2B19" w14:paraId="78455400"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649C6E" w14:textId="1E78FE6D" w:rsidR="000A0271" w:rsidRPr="004B2B19" w:rsidRDefault="000A0271" w:rsidP="00A01409">
            <w:pPr>
              <w:keepNext/>
              <w:jc w:val="center"/>
              <w:rPr>
                <w:rFonts w:ascii="Arial Narrow" w:hAnsi="Arial Narrow"/>
                <w:color w:val="333333"/>
                <w:sz w:val="20"/>
                <w:szCs w:val="20"/>
              </w:rPr>
            </w:pPr>
          </w:p>
        </w:tc>
        <w:tc>
          <w:tcPr>
            <w:tcW w:w="7745" w:type="dxa"/>
            <w:gridSpan w:val="6"/>
            <w:vAlign w:val="center"/>
            <w:hideMark/>
          </w:tcPr>
          <w:p w14:paraId="3FD20CE4" w14:textId="77777777" w:rsidR="000A0271" w:rsidRPr="004B2B19" w:rsidRDefault="000A0271" w:rsidP="00A01409">
            <w:pPr>
              <w:keepNext/>
              <w:rPr>
                <w:rFonts w:ascii="Arial Narrow" w:hAnsi="Arial Narrow"/>
                <w:color w:val="333333"/>
                <w:sz w:val="20"/>
                <w:szCs w:val="20"/>
              </w:rPr>
            </w:pPr>
            <w:r w:rsidRPr="004B2B19">
              <w:rPr>
                <w:rFonts w:ascii="Arial Narrow" w:hAnsi="Arial Narrow"/>
                <w:b/>
                <w:bCs/>
                <w:color w:val="333333"/>
                <w:sz w:val="20"/>
                <w:szCs w:val="20"/>
              </w:rPr>
              <w:t>Treatment criteria:</w:t>
            </w:r>
          </w:p>
        </w:tc>
      </w:tr>
      <w:tr w:rsidR="000A0271" w:rsidRPr="004B2B19" w14:paraId="66A0A48B"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B487A7" w14:textId="3A425B5E"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26C4CAB1" w14:textId="77777777" w:rsidR="000A0271" w:rsidRPr="004B2B19" w:rsidRDefault="000A0271" w:rsidP="00A01409">
            <w:pPr>
              <w:autoSpaceDE w:val="0"/>
              <w:autoSpaceDN w:val="0"/>
              <w:adjustRightInd w:val="0"/>
              <w:rPr>
                <w:rFonts w:ascii="Arial Narrow" w:hAnsi="Arial Narrow" w:cs="Arial Narrow"/>
                <w:sz w:val="20"/>
                <w:szCs w:val="20"/>
              </w:rPr>
            </w:pPr>
            <w:r w:rsidRPr="004B2B19">
              <w:rPr>
                <w:rFonts w:ascii="Arial Narrow" w:hAnsi="Arial Narrow" w:cs="Arial Narrow"/>
                <w:color w:val="000000"/>
                <w:sz w:val="20"/>
                <w:szCs w:val="20"/>
              </w:rPr>
              <w:t>Must be treated by a prescriber who is either (i) a neurologist,</w:t>
            </w:r>
            <w:r w:rsidRPr="004B2B19">
              <w:rPr>
                <w:rFonts w:ascii="Arial Narrow" w:hAnsi="Arial Narrow" w:cs="Arial Narrow"/>
                <w:sz w:val="20"/>
                <w:szCs w:val="20"/>
              </w:rPr>
              <w:t xml:space="preserve"> </w:t>
            </w:r>
            <w:r w:rsidRPr="004B2B19">
              <w:rPr>
                <w:rFonts w:ascii="Arial Narrow" w:hAnsi="Arial Narrow" w:cs="Arial Narrow"/>
                <w:color w:val="000000"/>
                <w:sz w:val="20"/>
                <w:szCs w:val="20"/>
              </w:rPr>
              <w:t xml:space="preserve">(ii) a </w:t>
            </w:r>
            <w:r w:rsidRPr="004B2B19">
              <w:rPr>
                <w:rFonts w:ascii="Arial Narrow" w:hAnsi="Arial Narrow" w:cs="Arial Narrow"/>
                <w:sz w:val="20"/>
                <w:szCs w:val="20"/>
              </w:rPr>
              <w:t>paediatrician</w:t>
            </w:r>
            <w:r w:rsidRPr="004B2B19">
              <w:rPr>
                <w:rFonts w:ascii="Arial Narrow" w:hAnsi="Arial Narrow" w:cs="Arial Narrow"/>
                <w:color w:val="FF0000"/>
                <w:sz w:val="20"/>
                <w:szCs w:val="20"/>
              </w:rPr>
              <w:t xml:space="preserve"> </w:t>
            </w:r>
            <w:r w:rsidRPr="004B2B19">
              <w:rPr>
                <w:rFonts w:ascii="Arial Narrow" w:hAnsi="Arial Narrow" w:cs="Arial Narrow"/>
                <w:color w:val="000000"/>
                <w:sz w:val="20"/>
                <w:szCs w:val="20"/>
              </w:rPr>
              <w:t>if treatment is being initiated; or</w:t>
            </w:r>
          </w:p>
        </w:tc>
      </w:tr>
      <w:tr w:rsidR="000A0271" w:rsidRPr="004B2B19" w14:paraId="0BE96637" w14:textId="77777777" w:rsidTr="00254700">
        <w:tblPrEx>
          <w:tblCellMar>
            <w:top w:w="15" w:type="dxa"/>
            <w:bottom w:w="15" w:type="dxa"/>
          </w:tblCellMar>
          <w:tblLook w:val="04A0" w:firstRow="1" w:lastRow="0" w:firstColumn="1" w:lastColumn="0" w:noHBand="0" w:noVBand="1"/>
        </w:tblPrEx>
        <w:trPr>
          <w:cantSplit/>
          <w:trHeight w:val="532"/>
        </w:trPr>
        <w:tc>
          <w:tcPr>
            <w:tcW w:w="1272" w:type="dxa"/>
            <w:gridSpan w:val="2"/>
            <w:vAlign w:val="center"/>
          </w:tcPr>
          <w:p w14:paraId="3BD543D6" w14:textId="1EB7F64C"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7F982C53" w14:textId="77777777" w:rsidR="000A0271" w:rsidRPr="004B2B19" w:rsidRDefault="000A0271" w:rsidP="00A01409">
            <w:pPr>
              <w:autoSpaceDE w:val="0"/>
              <w:autoSpaceDN w:val="0"/>
              <w:adjustRightInd w:val="0"/>
              <w:rPr>
                <w:rFonts w:ascii="Arial Narrow" w:hAnsi="Arial Narrow" w:cs="Arial Narrow"/>
                <w:sz w:val="20"/>
                <w:szCs w:val="20"/>
              </w:rPr>
            </w:pPr>
            <w:r w:rsidRPr="004B2B19">
              <w:rPr>
                <w:rFonts w:ascii="Arial Narrow" w:hAnsi="Arial Narrow" w:cs="Arial Narrow"/>
                <w:color w:val="000000"/>
                <w:sz w:val="20"/>
                <w:szCs w:val="20"/>
              </w:rPr>
              <w:t>Must be treated by a prescriber who is either (i) a neurologist,</w:t>
            </w:r>
            <w:r w:rsidRPr="004B2B19">
              <w:rPr>
                <w:rFonts w:ascii="Arial Narrow" w:hAnsi="Arial Narrow" w:cs="Arial Narrow"/>
                <w:sz w:val="20"/>
                <w:szCs w:val="20"/>
              </w:rPr>
              <w:t xml:space="preserve"> </w:t>
            </w:r>
            <w:r w:rsidRPr="004B2B19">
              <w:rPr>
                <w:rFonts w:ascii="Arial Narrow" w:hAnsi="Arial Narrow" w:cs="Arial Narrow"/>
                <w:color w:val="000000"/>
                <w:sz w:val="20"/>
                <w:szCs w:val="20"/>
              </w:rPr>
              <w:t xml:space="preserve">(ii) a </w:t>
            </w:r>
            <w:r w:rsidRPr="004B2B19">
              <w:rPr>
                <w:rFonts w:ascii="Arial Narrow" w:hAnsi="Arial Narrow" w:cs="Arial Narrow"/>
                <w:sz w:val="20"/>
                <w:szCs w:val="20"/>
              </w:rPr>
              <w:t>paediatrician</w:t>
            </w:r>
            <w:r w:rsidRPr="004B2B19">
              <w:rPr>
                <w:rFonts w:ascii="Arial Narrow" w:hAnsi="Arial Narrow" w:cs="Arial Narrow"/>
                <w:b/>
                <w:bCs/>
                <w:sz w:val="20"/>
                <w:szCs w:val="20"/>
              </w:rPr>
              <w:t xml:space="preserve"> </w:t>
            </w:r>
            <w:r w:rsidRPr="004B2B19">
              <w:rPr>
                <w:rFonts w:ascii="Arial Narrow" w:hAnsi="Arial Narrow" w:cs="Arial Narrow"/>
                <w:color w:val="000000"/>
                <w:sz w:val="20"/>
                <w:szCs w:val="20"/>
              </w:rPr>
              <w:t>if treatment is being continued or re-initiated; or</w:t>
            </w:r>
          </w:p>
        </w:tc>
      </w:tr>
      <w:tr w:rsidR="000A0271" w:rsidRPr="004B2B19" w14:paraId="61392AA4"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02FB6A" w14:textId="12709096"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5173C429" w14:textId="01C4FF28" w:rsidR="000A0271" w:rsidRPr="004B2B19" w:rsidRDefault="000A0271" w:rsidP="00A01409">
            <w:pPr>
              <w:autoSpaceDE w:val="0"/>
              <w:autoSpaceDN w:val="0"/>
              <w:adjustRightInd w:val="0"/>
              <w:rPr>
                <w:rFonts w:ascii="Arial Narrow" w:hAnsi="Arial Narrow" w:cs="Arial Narrow"/>
                <w:sz w:val="20"/>
                <w:szCs w:val="20"/>
              </w:rPr>
            </w:pPr>
            <w:r w:rsidRPr="004B2B19">
              <w:rPr>
                <w:rFonts w:ascii="Arial Narrow" w:hAnsi="Arial Narrow" w:cs="Arial Narrow"/>
                <w:color w:val="000000"/>
                <w:sz w:val="20"/>
                <w:szCs w:val="20"/>
              </w:rPr>
              <w:t>Must be treated by a general practitioner in consultation with either (</w:t>
            </w:r>
            <w:r w:rsidR="004D5C5C" w:rsidRPr="004B2B19">
              <w:rPr>
                <w:rFonts w:ascii="Arial Narrow" w:hAnsi="Arial Narrow" w:cs="Arial Narrow"/>
                <w:color w:val="000000"/>
                <w:sz w:val="20"/>
                <w:szCs w:val="20"/>
              </w:rPr>
              <w:t>i</w:t>
            </w:r>
            <w:r w:rsidRPr="004B2B19">
              <w:rPr>
                <w:rFonts w:ascii="Arial Narrow" w:hAnsi="Arial Narrow" w:cs="Arial Narrow"/>
                <w:color w:val="000000"/>
                <w:sz w:val="20"/>
                <w:szCs w:val="20"/>
              </w:rPr>
              <w:t>) a neurologist</w:t>
            </w:r>
            <w:r w:rsidRPr="004B2B19">
              <w:rPr>
                <w:rFonts w:ascii="Arial Narrow" w:hAnsi="Arial Narrow" w:cs="Arial Narrow"/>
                <w:sz w:val="20"/>
                <w:szCs w:val="20"/>
              </w:rPr>
              <w:t xml:space="preserve">, </w:t>
            </w:r>
            <w:r w:rsidRPr="004B2B19">
              <w:rPr>
                <w:rFonts w:ascii="Arial Narrow" w:hAnsi="Arial Narrow" w:cs="Arial Narrow"/>
                <w:color w:val="000000"/>
                <w:sz w:val="20"/>
                <w:szCs w:val="20"/>
              </w:rPr>
              <w:t xml:space="preserve">(ii) a </w:t>
            </w:r>
            <w:r w:rsidRPr="004B2B19">
              <w:rPr>
                <w:rFonts w:ascii="Arial Narrow" w:hAnsi="Arial Narrow" w:cs="Arial Narrow"/>
                <w:sz w:val="20"/>
                <w:szCs w:val="20"/>
              </w:rPr>
              <w:t xml:space="preserve">paediatrician </w:t>
            </w:r>
            <w:r w:rsidRPr="004B2B19">
              <w:rPr>
                <w:rFonts w:ascii="Arial Narrow" w:hAnsi="Arial Narrow" w:cs="Arial Narrow"/>
                <w:color w:val="000000"/>
                <w:sz w:val="20"/>
                <w:szCs w:val="20"/>
              </w:rPr>
              <w:t>if treatment is being continued</w:t>
            </w:r>
          </w:p>
        </w:tc>
      </w:tr>
      <w:tr w:rsidR="000A0271" w:rsidRPr="004B2B19" w14:paraId="628CABEC"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158256" w14:textId="03678F35"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0D35C329" w14:textId="77777777" w:rsidR="000A0271" w:rsidRPr="004B2B19" w:rsidRDefault="000A0271" w:rsidP="00A01409">
            <w:pPr>
              <w:autoSpaceDE w:val="0"/>
              <w:autoSpaceDN w:val="0"/>
              <w:adjustRightInd w:val="0"/>
              <w:rPr>
                <w:rFonts w:ascii="Arial Narrow" w:hAnsi="Arial Narrow" w:cs="Arial Narrow"/>
                <w:sz w:val="20"/>
                <w:szCs w:val="20"/>
              </w:rPr>
            </w:pPr>
            <w:r w:rsidRPr="004B2B19">
              <w:rPr>
                <w:rFonts w:ascii="Arial Narrow" w:hAnsi="Arial Narrow" w:cs="Arial Narrow"/>
                <w:b/>
                <w:bCs/>
                <w:sz w:val="20"/>
                <w:szCs w:val="20"/>
              </w:rPr>
              <w:t xml:space="preserve">Administrative Advice: </w:t>
            </w:r>
            <w:r w:rsidRPr="004B2B19">
              <w:rPr>
                <w:rFonts w:ascii="Arial Narrow" w:hAnsi="Arial Narrow" w:cs="Arial Narrow"/>
                <w:sz w:val="20"/>
                <w:szCs w:val="20"/>
              </w:rPr>
              <w:t>Confirmation of eligibility for treatment with diagnostic reports must be documented in the patient's medical records</w:t>
            </w:r>
          </w:p>
        </w:tc>
      </w:tr>
      <w:tr w:rsidR="000A0271" w:rsidRPr="004B2B19" w14:paraId="13857722" w14:textId="77777777" w:rsidTr="00A0140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AC6722" w14:textId="36ED8706" w:rsidR="000A0271" w:rsidRPr="004B2B19" w:rsidRDefault="000A0271" w:rsidP="00A01409">
            <w:pPr>
              <w:jc w:val="center"/>
              <w:rPr>
                <w:rFonts w:ascii="Arial Narrow" w:hAnsi="Arial Narrow"/>
                <w:color w:val="333333"/>
                <w:sz w:val="20"/>
                <w:szCs w:val="20"/>
              </w:rPr>
            </w:pPr>
          </w:p>
        </w:tc>
        <w:tc>
          <w:tcPr>
            <w:tcW w:w="7745" w:type="dxa"/>
            <w:gridSpan w:val="6"/>
            <w:vAlign w:val="center"/>
          </w:tcPr>
          <w:p w14:paraId="75FD5A7D" w14:textId="77777777" w:rsidR="000A0271" w:rsidRPr="004B2B19" w:rsidRDefault="000A0271" w:rsidP="00A01409">
            <w:pPr>
              <w:autoSpaceDE w:val="0"/>
              <w:autoSpaceDN w:val="0"/>
              <w:adjustRightInd w:val="0"/>
              <w:rPr>
                <w:rFonts w:ascii="Arial Narrow" w:hAnsi="Arial Narrow" w:cs="Arial Narrow"/>
                <w:sz w:val="20"/>
                <w:szCs w:val="20"/>
              </w:rPr>
            </w:pPr>
            <w:r w:rsidRPr="004B2B19">
              <w:rPr>
                <w:rFonts w:ascii="Arial Narrow" w:hAnsi="Arial Narrow" w:cs="Arial Narrow"/>
                <w:b/>
                <w:bCs/>
                <w:sz w:val="20"/>
                <w:szCs w:val="20"/>
              </w:rPr>
              <w:t xml:space="preserve">Administrative Advice: </w:t>
            </w:r>
            <w:r w:rsidRPr="004B2B19">
              <w:rPr>
                <w:rFonts w:ascii="Arial Narrow" w:hAnsi="Arial Narrow" w:cs="Arial Narrow"/>
                <w:sz w:val="20"/>
                <w:szCs w:val="20"/>
              </w:rPr>
              <w:t>Cardiac monitoring must be carried out in accordance with the approved Product Information while on treatment with this drug for this condition</w:t>
            </w:r>
          </w:p>
        </w:tc>
      </w:tr>
    </w:tbl>
    <w:p w14:paraId="6FB77C92" w14:textId="77777777" w:rsidR="00530841" w:rsidRPr="004B2B19" w:rsidRDefault="00530841" w:rsidP="006C052E">
      <w:pPr>
        <w:spacing w:before="120"/>
        <w:rPr>
          <w:rFonts w:asciiTheme="minorHAnsi" w:hAnsiTheme="minorHAnsi"/>
          <w:bCs/>
          <w:snapToGrid w:val="0"/>
        </w:rPr>
      </w:pPr>
    </w:p>
    <w:p w14:paraId="069706D1" w14:textId="13EE7612" w:rsidR="001108B2" w:rsidRPr="004B2B19" w:rsidRDefault="006C052E" w:rsidP="00954B1F">
      <w:pPr>
        <w:spacing w:before="120"/>
        <w:rPr>
          <w:rFonts w:asciiTheme="minorHAnsi" w:hAnsiTheme="minorHAnsi"/>
          <w:b/>
          <w:i/>
          <w:iCs/>
          <w:snapToGrid w:val="0"/>
          <w:lang w:val="en-GB"/>
        </w:rPr>
      </w:pPr>
      <w:r w:rsidRPr="004B2B19">
        <w:rPr>
          <w:rFonts w:asciiTheme="minorHAnsi" w:hAnsiTheme="minorHAnsi"/>
          <w:b/>
          <w:i/>
          <w:iCs/>
          <w:snapToGrid w:val="0"/>
          <w:lang w:val="en-GB"/>
        </w:rPr>
        <w:t>These restrictions may be subject to further review. Should there be any changes made to the restriction the sponsor will be informed.</w:t>
      </w:r>
      <w:bookmarkEnd w:id="67"/>
    </w:p>
    <w:p w14:paraId="48E0EBC7" w14:textId="77777777" w:rsidR="003743D6" w:rsidRPr="004B2B19" w:rsidRDefault="003743D6" w:rsidP="003743D6">
      <w:pPr>
        <w:pStyle w:val="COMH1numbered"/>
        <w:numPr>
          <w:ilvl w:val="0"/>
          <w:numId w:val="0"/>
        </w:numPr>
        <w:ind w:left="720" w:hanging="720"/>
        <w:rPr>
          <w:bCs/>
          <w:lang w:val="en-GB"/>
        </w:rPr>
      </w:pPr>
      <w:r w:rsidRPr="004B2B19">
        <w:t>9</w:t>
      </w:r>
      <w:r w:rsidRPr="004B2B19">
        <w:tab/>
        <w:t>Context for Decision</w:t>
      </w:r>
    </w:p>
    <w:p w14:paraId="77C2153F" w14:textId="77777777" w:rsidR="003743D6" w:rsidRPr="004B2B19" w:rsidRDefault="003743D6" w:rsidP="003743D6">
      <w:pPr>
        <w:spacing w:after="120"/>
        <w:ind w:left="720"/>
        <w:rPr>
          <w:rFonts w:asciiTheme="minorHAnsi" w:hAnsiTheme="minorHAnsi"/>
          <w:bCs/>
          <w:lang w:val="en-GB"/>
        </w:rPr>
      </w:pPr>
      <w:r w:rsidRPr="004B2B19">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BB5F790" w14:textId="77777777" w:rsidR="003743D6" w:rsidRPr="004B2B19" w:rsidRDefault="003743D6" w:rsidP="003743D6">
      <w:pPr>
        <w:pStyle w:val="COMH1numbered"/>
        <w:numPr>
          <w:ilvl w:val="0"/>
          <w:numId w:val="0"/>
        </w:numPr>
        <w:ind w:left="720" w:hanging="720"/>
      </w:pPr>
      <w:r w:rsidRPr="004B2B19">
        <w:t>10</w:t>
      </w:r>
      <w:r w:rsidRPr="004B2B19">
        <w:tab/>
        <w:t>Sponsor’s Comment</w:t>
      </w:r>
    </w:p>
    <w:p w14:paraId="34F62E0E" w14:textId="0FABB926" w:rsidR="003743D6" w:rsidRPr="00653655" w:rsidRDefault="006C3C3C" w:rsidP="006C3C3C">
      <w:pPr>
        <w:ind w:left="720"/>
      </w:pPr>
      <w:r w:rsidRPr="006C3C3C">
        <w:rPr>
          <w:rFonts w:asciiTheme="minorHAnsi" w:hAnsiTheme="minorHAnsi"/>
          <w:lang w:val="en-GB"/>
        </w:rPr>
        <w:t>UCB welcomes the PBAC recommendation for Fintepla in Lennox-Gastaut Syndrome, a lifelong, rare and serious form of epilepsy. UCB is committed to the highest standards of patient safety and actively monitors adverse events, minimises risk and ensures quality use of medicines is maintained through the Controlled Access Program for Fintepla. Cumulative and ongoing data collection in Australia and internationally ensure the safety profile for Fintepla is well-characterised and indicates that the risk-benefit balance for Fintepla remains favourable.</w:t>
      </w:r>
    </w:p>
    <w:sectPr w:rsidR="003743D6" w:rsidRPr="00653655" w:rsidSect="00764EF8">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19AE" w14:textId="77777777" w:rsidR="00652E5D" w:rsidRPr="00D87009" w:rsidRDefault="00652E5D" w:rsidP="00124A51">
      <w:r w:rsidRPr="00D87009">
        <w:separator/>
      </w:r>
    </w:p>
    <w:p w14:paraId="6695E247" w14:textId="77777777" w:rsidR="00652E5D" w:rsidRPr="00D87009" w:rsidRDefault="00652E5D"/>
  </w:endnote>
  <w:endnote w:type="continuationSeparator" w:id="0">
    <w:p w14:paraId="45336071" w14:textId="77777777" w:rsidR="00652E5D" w:rsidRPr="00D87009" w:rsidRDefault="00652E5D" w:rsidP="00124A51">
      <w:r w:rsidRPr="00D87009">
        <w:continuationSeparator/>
      </w:r>
    </w:p>
    <w:p w14:paraId="5F0797E1" w14:textId="77777777" w:rsidR="00652E5D" w:rsidRPr="00D87009" w:rsidRDefault="00652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811C" w14:textId="0D383A35" w:rsidR="00D85D63" w:rsidRDefault="001002BF">
    <w:pPr>
      <w:pStyle w:val="Footer"/>
    </w:pPr>
    <w:r>
      <w:rPr>
        <w:noProof/>
      </w:rPr>
      <mc:AlternateContent>
        <mc:Choice Requires="wps">
          <w:drawing>
            <wp:anchor distT="0" distB="0" distL="0" distR="0" simplePos="0" relativeHeight="251658243" behindDoc="0" locked="0" layoutInCell="1" allowOverlap="1" wp14:anchorId="411DB010" wp14:editId="2FFE7FAD">
              <wp:simplePos x="635" y="635"/>
              <wp:positionH relativeFrom="page">
                <wp:align>center</wp:align>
              </wp:positionH>
              <wp:positionV relativeFrom="page">
                <wp:align>bottom</wp:align>
              </wp:positionV>
              <wp:extent cx="622300" cy="376555"/>
              <wp:effectExtent l="0" t="0" r="6350" b="0"/>
              <wp:wrapNone/>
              <wp:docPr id="20492329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1B446F" w14:textId="0D1D0336"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DB010" id="_x0000_t202" coordsize="21600,21600" o:spt="202" path="m,l,21600r21600,l21600,xe">
              <v:stroke joinstyle="miter"/>
              <v:path gradientshapeok="t" o:connecttype="rect"/>
            </v:shapetype>
            <v:shape id="Text Box 17"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0C1B446F" w14:textId="0D1D0336"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FF80" w14:textId="6A0CE4F2" w:rsidR="00FD6358" w:rsidRPr="00D87009" w:rsidRDefault="00FD6358" w:rsidP="00753B29">
    <w:pPr>
      <w:pStyle w:val="Footer"/>
      <w:jc w:val="center"/>
    </w:pPr>
  </w:p>
  <w:bookmarkStart w:id="71" w:name="_Hlk76375156"/>
  <w:p w14:paraId="148FC39E" w14:textId="4BBF382D" w:rsidR="00FD6358" w:rsidRPr="000517A2" w:rsidRDefault="000517A2" w:rsidP="000517A2">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7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B4EB" w14:textId="3FEA8E00" w:rsidR="00D85D63" w:rsidRDefault="001002BF">
    <w:pPr>
      <w:pStyle w:val="Footer"/>
    </w:pPr>
    <w:r>
      <w:rPr>
        <w:noProof/>
      </w:rPr>
      <mc:AlternateContent>
        <mc:Choice Requires="wps">
          <w:drawing>
            <wp:anchor distT="0" distB="0" distL="0" distR="0" simplePos="0" relativeHeight="251658242" behindDoc="0" locked="0" layoutInCell="1" allowOverlap="1" wp14:anchorId="24566474" wp14:editId="02B63066">
              <wp:simplePos x="635" y="635"/>
              <wp:positionH relativeFrom="page">
                <wp:align>center</wp:align>
              </wp:positionH>
              <wp:positionV relativeFrom="page">
                <wp:align>bottom</wp:align>
              </wp:positionV>
              <wp:extent cx="622300" cy="376555"/>
              <wp:effectExtent l="0" t="0" r="6350" b="0"/>
              <wp:wrapNone/>
              <wp:docPr id="178928967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DE384D" w14:textId="6022C3FA"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66474" id="_x0000_t202" coordsize="21600,21600" o:spt="202" path="m,l,21600r21600,l21600,xe">
              <v:stroke joinstyle="miter"/>
              <v:path gradientshapeok="t" o:connecttype="rect"/>
            </v:shapetype>
            <v:shape id="Text Box 16" o:spid="_x0000_s1029"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8DE384D" w14:textId="6022C3FA"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9138" w14:textId="77777777" w:rsidR="00652E5D" w:rsidRPr="00D87009" w:rsidRDefault="00652E5D" w:rsidP="00124A51">
      <w:r w:rsidRPr="00D87009">
        <w:separator/>
      </w:r>
    </w:p>
    <w:p w14:paraId="7B8FECFA" w14:textId="77777777" w:rsidR="00652E5D" w:rsidRPr="00D87009" w:rsidRDefault="00652E5D"/>
  </w:footnote>
  <w:footnote w:type="continuationSeparator" w:id="0">
    <w:p w14:paraId="5420D54D" w14:textId="77777777" w:rsidR="00652E5D" w:rsidRPr="00D87009" w:rsidRDefault="00652E5D" w:rsidP="00124A51">
      <w:r w:rsidRPr="00D87009">
        <w:continuationSeparator/>
      </w:r>
    </w:p>
    <w:p w14:paraId="0AA3D021" w14:textId="77777777" w:rsidR="00652E5D" w:rsidRPr="00D87009" w:rsidRDefault="00652E5D"/>
  </w:footnote>
  <w:footnote w:id="1">
    <w:p w14:paraId="7CF9F0AB" w14:textId="710C5DED" w:rsidR="00EF2851" w:rsidRPr="00D87009" w:rsidRDefault="00EF2851">
      <w:pPr>
        <w:pStyle w:val="FootnoteText"/>
      </w:pPr>
      <w:r w:rsidRPr="00D87009">
        <w:rPr>
          <w:rStyle w:val="FootnoteReference"/>
        </w:rPr>
        <w:footnoteRef/>
      </w:r>
      <w:r w:rsidRPr="00D87009">
        <w:t xml:space="preserve"> </w:t>
      </w:r>
      <w:r w:rsidR="002B5D30" w:rsidRPr="002B5D30">
        <w:t>https://www.pbs.gov.au/info/industry/listing/elements/pbac-meetings/psd/2025-07/cannabidiol-epidyolex-psd-july-2025</w:t>
      </w:r>
    </w:p>
  </w:footnote>
  <w:footnote w:id="2">
    <w:p w14:paraId="652116E4" w14:textId="54EAD915" w:rsidR="00C44F85" w:rsidRPr="00D87009" w:rsidRDefault="00C44F85">
      <w:pPr>
        <w:pStyle w:val="FootnoteText"/>
      </w:pPr>
      <w:r w:rsidRPr="00D87009">
        <w:rPr>
          <w:rStyle w:val="FootnoteReference"/>
        </w:rPr>
        <w:footnoteRef/>
      </w:r>
      <w:r w:rsidRPr="00D87009">
        <w:t xml:space="preserve"> In Study 1601</w:t>
      </w:r>
      <w:r w:rsidR="0094311D" w:rsidRPr="00D87009">
        <w:t xml:space="preserve"> 64/261 patients (24.5%) had received carbamazepine and 40/261 (15.3%) had received phenytoin, which guidelines recommend should be avoided because they can worsen drop seizures (Study 1601 Part 1 CSR, Table 14.1.4.3.1 and Figures 1-9, p28 and 1-10, p30 of the submission). </w:t>
      </w:r>
    </w:p>
  </w:footnote>
  <w:footnote w:id="3">
    <w:p w14:paraId="4BC9AE92" w14:textId="584A3EE7" w:rsidR="00530FD7" w:rsidRPr="00D87009" w:rsidRDefault="00530FD7" w:rsidP="00530FD7">
      <w:pPr>
        <w:pStyle w:val="FootnoteText"/>
      </w:pPr>
      <w:r w:rsidRPr="00D87009">
        <w:rPr>
          <w:rStyle w:val="FootnoteReference"/>
        </w:rPr>
        <w:footnoteRef/>
      </w:r>
      <w:r w:rsidRPr="00D87009">
        <w:t xml:space="preserve"> NICE TA 615, Cannabidiol with clobazam for treating seizures associated with Lennox–Gastaut syndrome. 18 December 2019.</w:t>
      </w:r>
    </w:p>
    <w:p w14:paraId="5C0B5AF9" w14:textId="133AED49" w:rsidR="00530FD7" w:rsidRPr="00D87009" w:rsidRDefault="00530FD7">
      <w:pPr>
        <w:pStyle w:val="FootnoteText"/>
      </w:pPr>
    </w:p>
  </w:footnote>
  <w:footnote w:id="4">
    <w:p w14:paraId="485A1B4F" w14:textId="228C9914" w:rsidR="00530FD7" w:rsidRPr="00D87009" w:rsidRDefault="00530FD7">
      <w:pPr>
        <w:pStyle w:val="FootnoteText"/>
      </w:pPr>
      <w:r w:rsidRPr="00D87009">
        <w:rPr>
          <w:rStyle w:val="FootnoteReference"/>
        </w:rPr>
        <w:footnoteRef/>
      </w:r>
      <w:r w:rsidRPr="00D87009">
        <w:t xml:space="preserve"> Strzelczyk A, Zuberi SM, Striano P, Rosenow F, Schubert-Bast S. The burden of illness in Lennox–Gastaut syndrome: a systematic literature review. </w:t>
      </w:r>
      <w:r w:rsidRPr="00D87009">
        <w:rPr>
          <w:i/>
          <w:iCs/>
        </w:rPr>
        <w:t>Orphanet J Rare Dis</w:t>
      </w:r>
      <w:r w:rsidRPr="00D87009">
        <w:t xml:space="preserve"> 2023; 18</w:t>
      </w:r>
      <w:r w:rsidR="00453F12" w:rsidRPr="00D87009">
        <w:t>:</w:t>
      </w:r>
      <w:r w:rsidRPr="00D87009">
        <w:t xml:space="preserve"> 42</w:t>
      </w:r>
      <w:r w:rsidR="00453F12" w:rsidRPr="00D87009">
        <w:t>.</w:t>
      </w:r>
    </w:p>
  </w:footnote>
  <w:footnote w:id="5">
    <w:p w14:paraId="51395DAD" w14:textId="77777777" w:rsidR="00A37109" w:rsidRDefault="00A37109" w:rsidP="00A37109">
      <w:pPr>
        <w:pStyle w:val="FootnoteText"/>
      </w:pPr>
      <w:r>
        <w:rPr>
          <w:rStyle w:val="FootnoteReference"/>
        </w:rPr>
        <w:footnoteRef/>
      </w:r>
      <w:r>
        <w:t xml:space="preserve"> </w:t>
      </w:r>
      <w:r w:rsidRPr="00E87FBF">
        <w:t xml:space="preserve">Information will be unredacted in full when the </w:t>
      </w:r>
      <w:r>
        <w:t>Periodic Safety Update Report to June 2024</w:t>
      </w:r>
      <w:r w:rsidRPr="00E87FBF">
        <w:t xml:space="preserve"> is </w:t>
      </w:r>
      <w:r>
        <w:t>published.</w:t>
      </w:r>
    </w:p>
  </w:footnote>
  <w:footnote w:id="6">
    <w:p w14:paraId="08FABD0E" w14:textId="656B29DE" w:rsidR="007C26FD" w:rsidRPr="00D87009" w:rsidRDefault="007C26FD" w:rsidP="007C26FD">
      <w:pPr>
        <w:pStyle w:val="FootnoteText"/>
      </w:pPr>
      <w:r w:rsidRPr="00D87009">
        <w:rPr>
          <w:rStyle w:val="FootnoteReference"/>
        </w:rPr>
        <w:footnoteRef/>
      </w:r>
      <w:r w:rsidRPr="00D87009">
        <w:t xml:space="preserve"> Patel AD, Mazurkiewicz-Beldzinska M, Chin RF, et al. Long-</w:t>
      </w:r>
      <w:r w:rsidRPr="00D87009">
        <w:softHyphen/>
        <w:t>term safety and efficacy of add-</w:t>
      </w:r>
      <w:r w:rsidRPr="00D87009">
        <w:softHyphen/>
        <w:t>on cannabidiol in patients with Lennox–</w:t>
      </w:r>
      <w:r w:rsidRPr="00D87009">
        <w:softHyphen/>
        <w:t>Gastaut syndrome: Results of a long-</w:t>
      </w:r>
      <w:r w:rsidRPr="00D87009">
        <w:softHyphen/>
        <w:t>term open-</w:t>
      </w:r>
      <w:r w:rsidRPr="00D87009">
        <w:softHyphen/>
        <w:t xml:space="preserve">label extension trial. </w:t>
      </w:r>
      <w:r w:rsidRPr="00D87009">
        <w:rPr>
          <w:i/>
          <w:iCs/>
        </w:rPr>
        <w:t>Epilepsia</w:t>
      </w:r>
      <w:r w:rsidRPr="00D87009">
        <w:t xml:space="preserve"> 2021; 62:2228-39. </w:t>
      </w:r>
    </w:p>
    <w:p w14:paraId="2DFD2E9C" w14:textId="16338659" w:rsidR="007C26FD" w:rsidRDefault="007C26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D7B4" w14:textId="61F59AD8" w:rsidR="00D85D63" w:rsidRDefault="001002BF">
    <w:pPr>
      <w:pStyle w:val="Header"/>
    </w:pPr>
    <w:r>
      <w:rPr>
        <w:noProof/>
      </w:rPr>
      <mc:AlternateContent>
        <mc:Choice Requires="wps">
          <w:drawing>
            <wp:anchor distT="0" distB="0" distL="0" distR="0" simplePos="0" relativeHeight="251658241" behindDoc="0" locked="0" layoutInCell="1" allowOverlap="1" wp14:anchorId="26424728" wp14:editId="36BF6849">
              <wp:simplePos x="635" y="635"/>
              <wp:positionH relativeFrom="page">
                <wp:align>center</wp:align>
              </wp:positionH>
              <wp:positionV relativeFrom="page">
                <wp:align>top</wp:align>
              </wp:positionV>
              <wp:extent cx="622300" cy="376555"/>
              <wp:effectExtent l="0" t="0" r="6350" b="4445"/>
              <wp:wrapNone/>
              <wp:docPr id="83744450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7CF" w14:textId="4F676535"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24728" id="_x0000_t202" coordsize="21600,21600" o:spt="202" path="m,l,21600r21600,l21600,xe">
              <v:stroke joinstyle="miter"/>
              <v:path gradientshapeok="t" o:connecttype="rect"/>
            </v:shapetype>
            <v:shape id="Text Box 14"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CDA57CF" w14:textId="4F676535"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E5F5" w14:textId="2C2ADB78" w:rsidR="004C35A5" w:rsidRDefault="00020DAC" w:rsidP="00115CED">
    <w:pPr>
      <w:pStyle w:val="Header"/>
    </w:pPr>
    <w:r w:rsidRPr="005E2CEF">
      <w:t xml:space="preserve">Public Summary Document – </w:t>
    </w:r>
    <w:r w:rsidR="00E77E95">
      <w:t>November</w:t>
    </w:r>
    <w:r w:rsidRPr="005E2CEF">
      <w:t xml:space="preserve"> 2025 PBAC Meeting</w:t>
    </w:r>
  </w:p>
  <w:p w14:paraId="02B386CB" w14:textId="77777777" w:rsidR="00115CED" w:rsidRPr="005E2CEF" w:rsidRDefault="00115CED" w:rsidP="00115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497C" w14:textId="755DEE85" w:rsidR="00D85D63" w:rsidRDefault="001002BF">
    <w:pPr>
      <w:pStyle w:val="Header"/>
    </w:pPr>
    <w:r>
      <w:rPr>
        <w:noProof/>
      </w:rPr>
      <mc:AlternateContent>
        <mc:Choice Requires="wps">
          <w:drawing>
            <wp:anchor distT="0" distB="0" distL="0" distR="0" simplePos="0" relativeHeight="251658240" behindDoc="0" locked="0" layoutInCell="1" allowOverlap="1" wp14:anchorId="2F9461BF" wp14:editId="59AE9F9F">
              <wp:simplePos x="635" y="635"/>
              <wp:positionH relativeFrom="page">
                <wp:align>center</wp:align>
              </wp:positionH>
              <wp:positionV relativeFrom="page">
                <wp:align>top</wp:align>
              </wp:positionV>
              <wp:extent cx="622300" cy="376555"/>
              <wp:effectExtent l="0" t="0" r="6350" b="4445"/>
              <wp:wrapNone/>
              <wp:docPr id="54414990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A11C16" w14:textId="2ABF567A"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461BF" id="_x0000_t202" coordsize="21600,21600" o:spt="202" path="m,l,21600r21600,l21600,xe">
              <v:stroke joinstyle="miter"/>
              <v:path gradientshapeok="t" o:connecttype="rect"/>
            </v:shapetype>
            <v:shape id="Text Box 13" o:spid="_x0000_s1028"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7A11C16" w14:textId="2ABF567A" w:rsidR="001002BF" w:rsidRPr="001002BF" w:rsidRDefault="001002BF" w:rsidP="001002BF">
                    <w:pPr>
                      <w:rPr>
                        <w:rFonts w:ascii="Aptos" w:eastAsia="Aptos" w:hAnsi="Aptos" w:cs="Aptos"/>
                        <w:noProof/>
                        <w:color w:val="FF0000"/>
                      </w:rPr>
                    </w:pPr>
                    <w:r w:rsidRPr="001002B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F4D81"/>
    <w:multiLevelType w:val="hybridMultilevel"/>
    <w:tmpl w:val="31005A76"/>
    <w:lvl w:ilvl="0" w:tplc="BCBE72AE">
      <w:start w:val="1"/>
      <w:numFmt w:val="bullet"/>
      <w:lvlText w:val=""/>
      <w:lvlJc w:val="left"/>
      <w:pPr>
        <w:ind w:left="720" w:hanging="360"/>
      </w:pPr>
      <w:rPr>
        <w:rFonts w:ascii="Symbol" w:hAnsi="Symbol"/>
      </w:rPr>
    </w:lvl>
    <w:lvl w:ilvl="1" w:tplc="EBC69274">
      <w:start w:val="1"/>
      <w:numFmt w:val="bullet"/>
      <w:lvlText w:val=""/>
      <w:lvlJc w:val="left"/>
      <w:pPr>
        <w:ind w:left="720" w:hanging="360"/>
      </w:pPr>
      <w:rPr>
        <w:rFonts w:ascii="Symbol" w:hAnsi="Symbol"/>
      </w:rPr>
    </w:lvl>
    <w:lvl w:ilvl="2" w:tplc="DCC63570">
      <w:start w:val="1"/>
      <w:numFmt w:val="bullet"/>
      <w:lvlText w:val=""/>
      <w:lvlJc w:val="left"/>
      <w:pPr>
        <w:ind w:left="720" w:hanging="360"/>
      </w:pPr>
      <w:rPr>
        <w:rFonts w:ascii="Symbol" w:hAnsi="Symbol"/>
      </w:rPr>
    </w:lvl>
    <w:lvl w:ilvl="3" w:tplc="7018E882">
      <w:start w:val="1"/>
      <w:numFmt w:val="bullet"/>
      <w:lvlText w:val=""/>
      <w:lvlJc w:val="left"/>
      <w:pPr>
        <w:ind w:left="720" w:hanging="360"/>
      </w:pPr>
      <w:rPr>
        <w:rFonts w:ascii="Symbol" w:hAnsi="Symbol"/>
      </w:rPr>
    </w:lvl>
    <w:lvl w:ilvl="4" w:tplc="653628A0">
      <w:start w:val="1"/>
      <w:numFmt w:val="bullet"/>
      <w:lvlText w:val=""/>
      <w:lvlJc w:val="left"/>
      <w:pPr>
        <w:ind w:left="720" w:hanging="360"/>
      </w:pPr>
      <w:rPr>
        <w:rFonts w:ascii="Symbol" w:hAnsi="Symbol"/>
      </w:rPr>
    </w:lvl>
    <w:lvl w:ilvl="5" w:tplc="10889868">
      <w:start w:val="1"/>
      <w:numFmt w:val="bullet"/>
      <w:lvlText w:val=""/>
      <w:lvlJc w:val="left"/>
      <w:pPr>
        <w:ind w:left="720" w:hanging="360"/>
      </w:pPr>
      <w:rPr>
        <w:rFonts w:ascii="Symbol" w:hAnsi="Symbol"/>
      </w:rPr>
    </w:lvl>
    <w:lvl w:ilvl="6" w:tplc="741845F8">
      <w:start w:val="1"/>
      <w:numFmt w:val="bullet"/>
      <w:lvlText w:val=""/>
      <w:lvlJc w:val="left"/>
      <w:pPr>
        <w:ind w:left="720" w:hanging="360"/>
      </w:pPr>
      <w:rPr>
        <w:rFonts w:ascii="Symbol" w:hAnsi="Symbol"/>
      </w:rPr>
    </w:lvl>
    <w:lvl w:ilvl="7" w:tplc="B5FABE44">
      <w:start w:val="1"/>
      <w:numFmt w:val="bullet"/>
      <w:lvlText w:val=""/>
      <w:lvlJc w:val="left"/>
      <w:pPr>
        <w:ind w:left="720" w:hanging="360"/>
      </w:pPr>
      <w:rPr>
        <w:rFonts w:ascii="Symbol" w:hAnsi="Symbol"/>
      </w:rPr>
    </w:lvl>
    <w:lvl w:ilvl="8" w:tplc="E13A0C5A">
      <w:start w:val="1"/>
      <w:numFmt w:val="bullet"/>
      <w:lvlText w:val=""/>
      <w:lvlJc w:val="left"/>
      <w:pPr>
        <w:ind w:left="720" w:hanging="360"/>
      </w:pPr>
      <w:rPr>
        <w:rFonts w:ascii="Symbol" w:hAnsi="Symbol"/>
      </w:rPr>
    </w:lvl>
  </w:abstractNum>
  <w:abstractNum w:abstractNumId="2" w15:restartNumberingAfterBreak="0">
    <w:nsid w:val="018166FF"/>
    <w:multiLevelType w:val="hybridMultilevel"/>
    <w:tmpl w:val="26226F58"/>
    <w:lvl w:ilvl="0" w:tplc="EB0CD89C">
      <w:start w:val="1"/>
      <w:numFmt w:val="bullet"/>
      <w:lvlText w:val=""/>
      <w:lvlJc w:val="left"/>
      <w:pPr>
        <w:ind w:left="960" w:hanging="360"/>
      </w:pPr>
      <w:rPr>
        <w:rFonts w:ascii="Symbol" w:hAnsi="Symbol"/>
      </w:rPr>
    </w:lvl>
    <w:lvl w:ilvl="1" w:tplc="944A63DC">
      <w:start w:val="1"/>
      <w:numFmt w:val="bullet"/>
      <w:lvlText w:val=""/>
      <w:lvlJc w:val="left"/>
      <w:pPr>
        <w:ind w:left="960" w:hanging="360"/>
      </w:pPr>
      <w:rPr>
        <w:rFonts w:ascii="Symbol" w:hAnsi="Symbol"/>
      </w:rPr>
    </w:lvl>
    <w:lvl w:ilvl="2" w:tplc="70E2EE3C">
      <w:start w:val="1"/>
      <w:numFmt w:val="bullet"/>
      <w:lvlText w:val=""/>
      <w:lvlJc w:val="left"/>
      <w:pPr>
        <w:ind w:left="960" w:hanging="360"/>
      </w:pPr>
      <w:rPr>
        <w:rFonts w:ascii="Symbol" w:hAnsi="Symbol"/>
      </w:rPr>
    </w:lvl>
    <w:lvl w:ilvl="3" w:tplc="39F49042">
      <w:start w:val="1"/>
      <w:numFmt w:val="bullet"/>
      <w:lvlText w:val=""/>
      <w:lvlJc w:val="left"/>
      <w:pPr>
        <w:ind w:left="960" w:hanging="360"/>
      </w:pPr>
      <w:rPr>
        <w:rFonts w:ascii="Symbol" w:hAnsi="Symbol"/>
      </w:rPr>
    </w:lvl>
    <w:lvl w:ilvl="4" w:tplc="AF04B6CE">
      <w:start w:val="1"/>
      <w:numFmt w:val="bullet"/>
      <w:lvlText w:val=""/>
      <w:lvlJc w:val="left"/>
      <w:pPr>
        <w:ind w:left="960" w:hanging="360"/>
      </w:pPr>
      <w:rPr>
        <w:rFonts w:ascii="Symbol" w:hAnsi="Symbol"/>
      </w:rPr>
    </w:lvl>
    <w:lvl w:ilvl="5" w:tplc="B2469FE0">
      <w:start w:val="1"/>
      <w:numFmt w:val="bullet"/>
      <w:lvlText w:val=""/>
      <w:lvlJc w:val="left"/>
      <w:pPr>
        <w:ind w:left="960" w:hanging="360"/>
      </w:pPr>
      <w:rPr>
        <w:rFonts w:ascii="Symbol" w:hAnsi="Symbol"/>
      </w:rPr>
    </w:lvl>
    <w:lvl w:ilvl="6" w:tplc="D702233C">
      <w:start w:val="1"/>
      <w:numFmt w:val="bullet"/>
      <w:lvlText w:val=""/>
      <w:lvlJc w:val="left"/>
      <w:pPr>
        <w:ind w:left="960" w:hanging="360"/>
      </w:pPr>
      <w:rPr>
        <w:rFonts w:ascii="Symbol" w:hAnsi="Symbol"/>
      </w:rPr>
    </w:lvl>
    <w:lvl w:ilvl="7" w:tplc="0890E06C">
      <w:start w:val="1"/>
      <w:numFmt w:val="bullet"/>
      <w:lvlText w:val=""/>
      <w:lvlJc w:val="left"/>
      <w:pPr>
        <w:ind w:left="960" w:hanging="360"/>
      </w:pPr>
      <w:rPr>
        <w:rFonts w:ascii="Symbol" w:hAnsi="Symbol"/>
      </w:rPr>
    </w:lvl>
    <w:lvl w:ilvl="8" w:tplc="233403EE">
      <w:start w:val="1"/>
      <w:numFmt w:val="bullet"/>
      <w:lvlText w:val=""/>
      <w:lvlJc w:val="left"/>
      <w:pPr>
        <w:ind w:left="960" w:hanging="360"/>
      </w:pPr>
      <w:rPr>
        <w:rFonts w:ascii="Symbol" w:hAnsi="Symbol"/>
      </w:rPr>
    </w:lvl>
  </w:abstractNum>
  <w:abstractNum w:abstractNumId="3" w15:restartNumberingAfterBreak="0">
    <w:nsid w:val="02E35FF2"/>
    <w:multiLevelType w:val="hybridMultilevel"/>
    <w:tmpl w:val="3E4E928A"/>
    <w:lvl w:ilvl="0" w:tplc="1CA439F0">
      <w:start w:val="1"/>
      <w:numFmt w:val="bullet"/>
      <w:lvlText w:val=""/>
      <w:lvlJc w:val="left"/>
      <w:pPr>
        <w:ind w:left="960" w:hanging="360"/>
      </w:pPr>
      <w:rPr>
        <w:rFonts w:ascii="Symbol" w:hAnsi="Symbol"/>
      </w:rPr>
    </w:lvl>
    <w:lvl w:ilvl="1" w:tplc="F88A897A">
      <w:start w:val="1"/>
      <w:numFmt w:val="bullet"/>
      <w:lvlText w:val=""/>
      <w:lvlJc w:val="left"/>
      <w:pPr>
        <w:ind w:left="960" w:hanging="360"/>
      </w:pPr>
      <w:rPr>
        <w:rFonts w:ascii="Symbol" w:hAnsi="Symbol"/>
      </w:rPr>
    </w:lvl>
    <w:lvl w:ilvl="2" w:tplc="9DA077B8">
      <w:start w:val="1"/>
      <w:numFmt w:val="bullet"/>
      <w:lvlText w:val=""/>
      <w:lvlJc w:val="left"/>
      <w:pPr>
        <w:ind w:left="960" w:hanging="360"/>
      </w:pPr>
      <w:rPr>
        <w:rFonts w:ascii="Symbol" w:hAnsi="Symbol"/>
      </w:rPr>
    </w:lvl>
    <w:lvl w:ilvl="3" w:tplc="4650C828">
      <w:start w:val="1"/>
      <w:numFmt w:val="bullet"/>
      <w:lvlText w:val=""/>
      <w:lvlJc w:val="left"/>
      <w:pPr>
        <w:ind w:left="960" w:hanging="360"/>
      </w:pPr>
      <w:rPr>
        <w:rFonts w:ascii="Symbol" w:hAnsi="Symbol"/>
      </w:rPr>
    </w:lvl>
    <w:lvl w:ilvl="4" w:tplc="35461ED0">
      <w:start w:val="1"/>
      <w:numFmt w:val="bullet"/>
      <w:lvlText w:val=""/>
      <w:lvlJc w:val="left"/>
      <w:pPr>
        <w:ind w:left="960" w:hanging="360"/>
      </w:pPr>
      <w:rPr>
        <w:rFonts w:ascii="Symbol" w:hAnsi="Symbol"/>
      </w:rPr>
    </w:lvl>
    <w:lvl w:ilvl="5" w:tplc="95D213E6">
      <w:start w:val="1"/>
      <w:numFmt w:val="bullet"/>
      <w:lvlText w:val=""/>
      <w:lvlJc w:val="left"/>
      <w:pPr>
        <w:ind w:left="960" w:hanging="360"/>
      </w:pPr>
      <w:rPr>
        <w:rFonts w:ascii="Symbol" w:hAnsi="Symbol"/>
      </w:rPr>
    </w:lvl>
    <w:lvl w:ilvl="6" w:tplc="B84A92F0">
      <w:start w:val="1"/>
      <w:numFmt w:val="bullet"/>
      <w:lvlText w:val=""/>
      <w:lvlJc w:val="left"/>
      <w:pPr>
        <w:ind w:left="960" w:hanging="360"/>
      </w:pPr>
      <w:rPr>
        <w:rFonts w:ascii="Symbol" w:hAnsi="Symbol"/>
      </w:rPr>
    </w:lvl>
    <w:lvl w:ilvl="7" w:tplc="7A64D688">
      <w:start w:val="1"/>
      <w:numFmt w:val="bullet"/>
      <w:lvlText w:val=""/>
      <w:lvlJc w:val="left"/>
      <w:pPr>
        <w:ind w:left="960" w:hanging="360"/>
      </w:pPr>
      <w:rPr>
        <w:rFonts w:ascii="Symbol" w:hAnsi="Symbol"/>
      </w:rPr>
    </w:lvl>
    <w:lvl w:ilvl="8" w:tplc="9DC87B0C">
      <w:start w:val="1"/>
      <w:numFmt w:val="bullet"/>
      <w:lvlText w:val=""/>
      <w:lvlJc w:val="left"/>
      <w:pPr>
        <w:ind w:left="960" w:hanging="360"/>
      </w:pPr>
      <w:rPr>
        <w:rFonts w:ascii="Symbol" w:hAnsi="Symbol"/>
      </w:rPr>
    </w:lvl>
  </w:abstractNum>
  <w:abstractNum w:abstractNumId="4" w15:restartNumberingAfterBreak="0">
    <w:nsid w:val="0B7075C6"/>
    <w:multiLevelType w:val="hybridMultilevel"/>
    <w:tmpl w:val="DCF65446"/>
    <w:lvl w:ilvl="0" w:tplc="7E2CD4E4">
      <w:start w:val="1"/>
      <w:numFmt w:val="bullet"/>
      <w:lvlText w:val=""/>
      <w:lvlJc w:val="left"/>
      <w:pPr>
        <w:ind w:left="720" w:hanging="360"/>
      </w:pPr>
      <w:rPr>
        <w:rFonts w:ascii="Symbol" w:hAnsi="Symbol"/>
      </w:rPr>
    </w:lvl>
    <w:lvl w:ilvl="1" w:tplc="E7C04022">
      <w:start w:val="1"/>
      <w:numFmt w:val="bullet"/>
      <w:lvlText w:val=""/>
      <w:lvlJc w:val="left"/>
      <w:pPr>
        <w:ind w:left="720" w:hanging="360"/>
      </w:pPr>
      <w:rPr>
        <w:rFonts w:ascii="Symbol" w:hAnsi="Symbol"/>
      </w:rPr>
    </w:lvl>
    <w:lvl w:ilvl="2" w:tplc="B9A0CC30">
      <w:start w:val="1"/>
      <w:numFmt w:val="bullet"/>
      <w:lvlText w:val=""/>
      <w:lvlJc w:val="left"/>
      <w:pPr>
        <w:ind w:left="720" w:hanging="360"/>
      </w:pPr>
      <w:rPr>
        <w:rFonts w:ascii="Symbol" w:hAnsi="Symbol"/>
      </w:rPr>
    </w:lvl>
    <w:lvl w:ilvl="3" w:tplc="CC2660E4">
      <w:start w:val="1"/>
      <w:numFmt w:val="bullet"/>
      <w:lvlText w:val=""/>
      <w:lvlJc w:val="left"/>
      <w:pPr>
        <w:ind w:left="720" w:hanging="360"/>
      </w:pPr>
      <w:rPr>
        <w:rFonts w:ascii="Symbol" w:hAnsi="Symbol"/>
      </w:rPr>
    </w:lvl>
    <w:lvl w:ilvl="4" w:tplc="AA121064">
      <w:start w:val="1"/>
      <w:numFmt w:val="bullet"/>
      <w:lvlText w:val=""/>
      <w:lvlJc w:val="left"/>
      <w:pPr>
        <w:ind w:left="720" w:hanging="360"/>
      </w:pPr>
      <w:rPr>
        <w:rFonts w:ascii="Symbol" w:hAnsi="Symbol"/>
      </w:rPr>
    </w:lvl>
    <w:lvl w:ilvl="5" w:tplc="45DC5A7C">
      <w:start w:val="1"/>
      <w:numFmt w:val="bullet"/>
      <w:lvlText w:val=""/>
      <w:lvlJc w:val="left"/>
      <w:pPr>
        <w:ind w:left="720" w:hanging="360"/>
      </w:pPr>
      <w:rPr>
        <w:rFonts w:ascii="Symbol" w:hAnsi="Symbol"/>
      </w:rPr>
    </w:lvl>
    <w:lvl w:ilvl="6" w:tplc="B14648C6">
      <w:start w:val="1"/>
      <w:numFmt w:val="bullet"/>
      <w:lvlText w:val=""/>
      <w:lvlJc w:val="left"/>
      <w:pPr>
        <w:ind w:left="720" w:hanging="360"/>
      </w:pPr>
      <w:rPr>
        <w:rFonts w:ascii="Symbol" w:hAnsi="Symbol"/>
      </w:rPr>
    </w:lvl>
    <w:lvl w:ilvl="7" w:tplc="3BAA3924">
      <w:start w:val="1"/>
      <w:numFmt w:val="bullet"/>
      <w:lvlText w:val=""/>
      <w:lvlJc w:val="left"/>
      <w:pPr>
        <w:ind w:left="720" w:hanging="360"/>
      </w:pPr>
      <w:rPr>
        <w:rFonts w:ascii="Symbol" w:hAnsi="Symbol"/>
      </w:rPr>
    </w:lvl>
    <w:lvl w:ilvl="8" w:tplc="9EAE205E">
      <w:start w:val="1"/>
      <w:numFmt w:val="bullet"/>
      <w:lvlText w:val=""/>
      <w:lvlJc w:val="left"/>
      <w:pPr>
        <w:ind w:left="720" w:hanging="360"/>
      </w:pPr>
      <w:rPr>
        <w:rFonts w:ascii="Symbol" w:hAnsi="Symbol"/>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2B6041F4"/>
    <w:multiLevelType w:val="hybridMultilevel"/>
    <w:tmpl w:val="BEAC3CD8"/>
    <w:lvl w:ilvl="0" w:tplc="96D62746">
      <w:start w:val="1"/>
      <w:numFmt w:val="bullet"/>
      <w:lvlText w:val=""/>
      <w:lvlJc w:val="left"/>
      <w:pPr>
        <w:ind w:left="960" w:hanging="360"/>
      </w:pPr>
      <w:rPr>
        <w:rFonts w:ascii="Symbol" w:hAnsi="Symbol"/>
      </w:rPr>
    </w:lvl>
    <w:lvl w:ilvl="1" w:tplc="FDCC1C60">
      <w:start w:val="1"/>
      <w:numFmt w:val="bullet"/>
      <w:lvlText w:val=""/>
      <w:lvlJc w:val="left"/>
      <w:pPr>
        <w:ind w:left="960" w:hanging="360"/>
      </w:pPr>
      <w:rPr>
        <w:rFonts w:ascii="Symbol" w:hAnsi="Symbol"/>
      </w:rPr>
    </w:lvl>
    <w:lvl w:ilvl="2" w:tplc="D9985C2A">
      <w:start w:val="1"/>
      <w:numFmt w:val="bullet"/>
      <w:lvlText w:val=""/>
      <w:lvlJc w:val="left"/>
      <w:pPr>
        <w:ind w:left="960" w:hanging="360"/>
      </w:pPr>
      <w:rPr>
        <w:rFonts w:ascii="Symbol" w:hAnsi="Symbol"/>
      </w:rPr>
    </w:lvl>
    <w:lvl w:ilvl="3" w:tplc="1C2E7E56">
      <w:start w:val="1"/>
      <w:numFmt w:val="bullet"/>
      <w:lvlText w:val=""/>
      <w:lvlJc w:val="left"/>
      <w:pPr>
        <w:ind w:left="960" w:hanging="360"/>
      </w:pPr>
      <w:rPr>
        <w:rFonts w:ascii="Symbol" w:hAnsi="Symbol"/>
      </w:rPr>
    </w:lvl>
    <w:lvl w:ilvl="4" w:tplc="2A0EB084">
      <w:start w:val="1"/>
      <w:numFmt w:val="bullet"/>
      <w:lvlText w:val=""/>
      <w:lvlJc w:val="left"/>
      <w:pPr>
        <w:ind w:left="960" w:hanging="360"/>
      </w:pPr>
      <w:rPr>
        <w:rFonts w:ascii="Symbol" w:hAnsi="Symbol"/>
      </w:rPr>
    </w:lvl>
    <w:lvl w:ilvl="5" w:tplc="5E6E0F32">
      <w:start w:val="1"/>
      <w:numFmt w:val="bullet"/>
      <w:lvlText w:val=""/>
      <w:lvlJc w:val="left"/>
      <w:pPr>
        <w:ind w:left="960" w:hanging="360"/>
      </w:pPr>
      <w:rPr>
        <w:rFonts w:ascii="Symbol" w:hAnsi="Symbol"/>
      </w:rPr>
    </w:lvl>
    <w:lvl w:ilvl="6" w:tplc="59963FA8">
      <w:start w:val="1"/>
      <w:numFmt w:val="bullet"/>
      <w:lvlText w:val=""/>
      <w:lvlJc w:val="left"/>
      <w:pPr>
        <w:ind w:left="960" w:hanging="360"/>
      </w:pPr>
      <w:rPr>
        <w:rFonts w:ascii="Symbol" w:hAnsi="Symbol"/>
      </w:rPr>
    </w:lvl>
    <w:lvl w:ilvl="7" w:tplc="8CC6FB84">
      <w:start w:val="1"/>
      <w:numFmt w:val="bullet"/>
      <w:lvlText w:val=""/>
      <w:lvlJc w:val="left"/>
      <w:pPr>
        <w:ind w:left="960" w:hanging="360"/>
      </w:pPr>
      <w:rPr>
        <w:rFonts w:ascii="Symbol" w:hAnsi="Symbol"/>
      </w:rPr>
    </w:lvl>
    <w:lvl w:ilvl="8" w:tplc="8F4008E8">
      <w:start w:val="1"/>
      <w:numFmt w:val="bullet"/>
      <w:lvlText w:val=""/>
      <w:lvlJc w:val="left"/>
      <w:pPr>
        <w:ind w:left="960" w:hanging="360"/>
      </w:pPr>
      <w:rPr>
        <w:rFonts w:ascii="Symbol" w:hAnsi="Symbol"/>
      </w:rPr>
    </w:lvl>
  </w:abstractNum>
  <w:abstractNum w:abstractNumId="7" w15:restartNumberingAfterBreak="0">
    <w:nsid w:val="2E633946"/>
    <w:multiLevelType w:val="hybridMultilevel"/>
    <w:tmpl w:val="F1A02F3C"/>
    <w:lvl w:ilvl="0" w:tplc="86BC3E98">
      <w:start w:val="1"/>
      <w:numFmt w:val="bullet"/>
      <w:lvlText w:val=""/>
      <w:lvlJc w:val="left"/>
      <w:pPr>
        <w:ind w:left="720" w:hanging="360"/>
      </w:pPr>
      <w:rPr>
        <w:rFonts w:ascii="Symbol" w:hAnsi="Symbol"/>
      </w:rPr>
    </w:lvl>
    <w:lvl w:ilvl="1" w:tplc="A70E76BE">
      <w:start w:val="1"/>
      <w:numFmt w:val="bullet"/>
      <w:lvlText w:val=""/>
      <w:lvlJc w:val="left"/>
      <w:pPr>
        <w:ind w:left="720" w:hanging="360"/>
      </w:pPr>
      <w:rPr>
        <w:rFonts w:ascii="Symbol" w:hAnsi="Symbol"/>
      </w:rPr>
    </w:lvl>
    <w:lvl w:ilvl="2" w:tplc="CEF88018">
      <w:start w:val="1"/>
      <w:numFmt w:val="bullet"/>
      <w:lvlText w:val=""/>
      <w:lvlJc w:val="left"/>
      <w:pPr>
        <w:ind w:left="720" w:hanging="360"/>
      </w:pPr>
      <w:rPr>
        <w:rFonts w:ascii="Symbol" w:hAnsi="Symbol"/>
      </w:rPr>
    </w:lvl>
    <w:lvl w:ilvl="3" w:tplc="89448A6C">
      <w:start w:val="1"/>
      <w:numFmt w:val="bullet"/>
      <w:lvlText w:val=""/>
      <w:lvlJc w:val="left"/>
      <w:pPr>
        <w:ind w:left="720" w:hanging="360"/>
      </w:pPr>
      <w:rPr>
        <w:rFonts w:ascii="Symbol" w:hAnsi="Symbol"/>
      </w:rPr>
    </w:lvl>
    <w:lvl w:ilvl="4" w:tplc="B28E735A">
      <w:start w:val="1"/>
      <w:numFmt w:val="bullet"/>
      <w:lvlText w:val=""/>
      <w:lvlJc w:val="left"/>
      <w:pPr>
        <w:ind w:left="720" w:hanging="360"/>
      </w:pPr>
      <w:rPr>
        <w:rFonts w:ascii="Symbol" w:hAnsi="Symbol"/>
      </w:rPr>
    </w:lvl>
    <w:lvl w:ilvl="5" w:tplc="AFDAAE62">
      <w:start w:val="1"/>
      <w:numFmt w:val="bullet"/>
      <w:lvlText w:val=""/>
      <w:lvlJc w:val="left"/>
      <w:pPr>
        <w:ind w:left="720" w:hanging="360"/>
      </w:pPr>
      <w:rPr>
        <w:rFonts w:ascii="Symbol" w:hAnsi="Symbol"/>
      </w:rPr>
    </w:lvl>
    <w:lvl w:ilvl="6" w:tplc="6054DFEC">
      <w:start w:val="1"/>
      <w:numFmt w:val="bullet"/>
      <w:lvlText w:val=""/>
      <w:lvlJc w:val="left"/>
      <w:pPr>
        <w:ind w:left="720" w:hanging="360"/>
      </w:pPr>
      <w:rPr>
        <w:rFonts w:ascii="Symbol" w:hAnsi="Symbol"/>
      </w:rPr>
    </w:lvl>
    <w:lvl w:ilvl="7" w:tplc="2222F4A0">
      <w:start w:val="1"/>
      <w:numFmt w:val="bullet"/>
      <w:lvlText w:val=""/>
      <w:lvlJc w:val="left"/>
      <w:pPr>
        <w:ind w:left="720" w:hanging="360"/>
      </w:pPr>
      <w:rPr>
        <w:rFonts w:ascii="Symbol" w:hAnsi="Symbol"/>
      </w:rPr>
    </w:lvl>
    <w:lvl w:ilvl="8" w:tplc="530A2DBA">
      <w:start w:val="1"/>
      <w:numFmt w:val="bullet"/>
      <w:lvlText w:val=""/>
      <w:lvlJc w:val="left"/>
      <w:pPr>
        <w:ind w:left="720" w:hanging="360"/>
      </w:pPr>
      <w:rPr>
        <w:rFonts w:ascii="Symbol" w:hAnsi="Symbol"/>
      </w:rPr>
    </w:lvl>
  </w:abstractNum>
  <w:abstractNum w:abstractNumId="8" w15:restartNumberingAfterBreak="0">
    <w:nsid w:val="30346AD7"/>
    <w:multiLevelType w:val="hybridMultilevel"/>
    <w:tmpl w:val="7CFC413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645381C"/>
    <w:multiLevelType w:val="hybridMultilevel"/>
    <w:tmpl w:val="A4AC06D2"/>
    <w:lvl w:ilvl="0" w:tplc="23FAAA10">
      <w:start w:val="1"/>
      <w:numFmt w:val="bullet"/>
      <w:lvlText w:val=""/>
      <w:lvlJc w:val="left"/>
      <w:pPr>
        <w:ind w:left="720" w:hanging="360"/>
      </w:pPr>
      <w:rPr>
        <w:rFonts w:ascii="Symbol" w:hAnsi="Symbol"/>
      </w:rPr>
    </w:lvl>
    <w:lvl w:ilvl="1" w:tplc="A9DA832E">
      <w:start w:val="1"/>
      <w:numFmt w:val="bullet"/>
      <w:lvlText w:val=""/>
      <w:lvlJc w:val="left"/>
      <w:pPr>
        <w:ind w:left="720" w:hanging="360"/>
      </w:pPr>
      <w:rPr>
        <w:rFonts w:ascii="Symbol" w:hAnsi="Symbol"/>
      </w:rPr>
    </w:lvl>
    <w:lvl w:ilvl="2" w:tplc="DD70C09A">
      <w:start w:val="1"/>
      <w:numFmt w:val="bullet"/>
      <w:lvlText w:val=""/>
      <w:lvlJc w:val="left"/>
      <w:pPr>
        <w:ind w:left="720" w:hanging="360"/>
      </w:pPr>
      <w:rPr>
        <w:rFonts w:ascii="Symbol" w:hAnsi="Symbol"/>
      </w:rPr>
    </w:lvl>
    <w:lvl w:ilvl="3" w:tplc="8B7A5FF8">
      <w:start w:val="1"/>
      <w:numFmt w:val="bullet"/>
      <w:lvlText w:val=""/>
      <w:lvlJc w:val="left"/>
      <w:pPr>
        <w:ind w:left="720" w:hanging="360"/>
      </w:pPr>
      <w:rPr>
        <w:rFonts w:ascii="Symbol" w:hAnsi="Symbol"/>
      </w:rPr>
    </w:lvl>
    <w:lvl w:ilvl="4" w:tplc="49582376">
      <w:start w:val="1"/>
      <w:numFmt w:val="bullet"/>
      <w:lvlText w:val=""/>
      <w:lvlJc w:val="left"/>
      <w:pPr>
        <w:ind w:left="720" w:hanging="360"/>
      </w:pPr>
      <w:rPr>
        <w:rFonts w:ascii="Symbol" w:hAnsi="Symbol"/>
      </w:rPr>
    </w:lvl>
    <w:lvl w:ilvl="5" w:tplc="ABBCC65C">
      <w:start w:val="1"/>
      <w:numFmt w:val="bullet"/>
      <w:lvlText w:val=""/>
      <w:lvlJc w:val="left"/>
      <w:pPr>
        <w:ind w:left="720" w:hanging="360"/>
      </w:pPr>
      <w:rPr>
        <w:rFonts w:ascii="Symbol" w:hAnsi="Symbol"/>
      </w:rPr>
    </w:lvl>
    <w:lvl w:ilvl="6" w:tplc="3A764EEA">
      <w:start w:val="1"/>
      <w:numFmt w:val="bullet"/>
      <w:lvlText w:val=""/>
      <w:lvlJc w:val="left"/>
      <w:pPr>
        <w:ind w:left="720" w:hanging="360"/>
      </w:pPr>
      <w:rPr>
        <w:rFonts w:ascii="Symbol" w:hAnsi="Symbol"/>
      </w:rPr>
    </w:lvl>
    <w:lvl w:ilvl="7" w:tplc="D924C52E">
      <w:start w:val="1"/>
      <w:numFmt w:val="bullet"/>
      <w:lvlText w:val=""/>
      <w:lvlJc w:val="left"/>
      <w:pPr>
        <w:ind w:left="720" w:hanging="360"/>
      </w:pPr>
      <w:rPr>
        <w:rFonts w:ascii="Symbol" w:hAnsi="Symbol"/>
      </w:rPr>
    </w:lvl>
    <w:lvl w:ilvl="8" w:tplc="2A98906E">
      <w:start w:val="1"/>
      <w:numFmt w:val="bullet"/>
      <w:lvlText w:val=""/>
      <w:lvlJc w:val="left"/>
      <w:pPr>
        <w:ind w:left="720" w:hanging="360"/>
      </w:pPr>
      <w:rPr>
        <w:rFonts w:ascii="Symbol" w:hAnsi="Symbol"/>
      </w:rPr>
    </w:lvl>
  </w:abstractNum>
  <w:abstractNum w:abstractNumId="12" w15:restartNumberingAfterBreak="0">
    <w:nsid w:val="6DE10FDD"/>
    <w:multiLevelType w:val="hybridMultilevel"/>
    <w:tmpl w:val="97B0C7A2"/>
    <w:lvl w:ilvl="0" w:tplc="044C5674">
      <w:start w:val="1"/>
      <w:numFmt w:val="bullet"/>
      <w:lvlText w:val=""/>
      <w:lvlJc w:val="left"/>
      <w:pPr>
        <w:ind w:left="720" w:hanging="360"/>
      </w:pPr>
      <w:rPr>
        <w:rFonts w:ascii="Symbol" w:hAnsi="Symbol"/>
      </w:rPr>
    </w:lvl>
    <w:lvl w:ilvl="1" w:tplc="2D986BD4">
      <w:start w:val="1"/>
      <w:numFmt w:val="bullet"/>
      <w:lvlText w:val=""/>
      <w:lvlJc w:val="left"/>
      <w:pPr>
        <w:ind w:left="720" w:hanging="360"/>
      </w:pPr>
      <w:rPr>
        <w:rFonts w:ascii="Symbol" w:hAnsi="Symbol"/>
      </w:rPr>
    </w:lvl>
    <w:lvl w:ilvl="2" w:tplc="42DAF580">
      <w:start w:val="1"/>
      <w:numFmt w:val="bullet"/>
      <w:lvlText w:val=""/>
      <w:lvlJc w:val="left"/>
      <w:pPr>
        <w:ind w:left="720" w:hanging="360"/>
      </w:pPr>
      <w:rPr>
        <w:rFonts w:ascii="Symbol" w:hAnsi="Symbol"/>
      </w:rPr>
    </w:lvl>
    <w:lvl w:ilvl="3" w:tplc="E8686E8E">
      <w:start w:val="1"/>
      <w:numFmt w:val="bullet"/>
      <w:lvlText w:val=""/>
      <w:lvlJc w:val="left"/>
      <w:pPr>
        <w:ind w:left="720" w:hanging="360"/>
      </w:pPr>
      <w:rPr>
        <w:rFonts w:ascii="Symbol" w:hAnsi="Symbol"/>
      </w:rPr>
    </w:lvl>
    <w:lvl w:ilvl="4" w:tplc="DBF271D0">
      <w:start w:val="1"/>
      <w:numFmt w:val="bullet"/>
      <w:lvlText w:val=""/>
      <w:lvlJc w:val="left"/>
      <w:pPr>
        <w:ind w:left="720" w:hanging="360"/>
      </w:pPr>
      <w:rPr>
        <w:rFonts w:ascii="Symbol" w:hAnsi="Symbol"/>
      </w:rPr>
    </w:lvl>
    <w:lvl w:ilvl="5" w:tplc="D6109FD0">
      <w:start w:val="1"/>
      <w:numFmt w:val="bullet"/>
      <w:lvlText w:val=""/>
      <w:lvlJc w:val="left"/>
      <w:pPr>
        <w:ind w:left="720" w:hanging="360"/>
      </w:pPr>
      <w:rPr>
        <w:rFonts w:ascii="Symbol" w:hAnsi="Symbol"/>
      </w:rPr>
    </w:lvl>
    <w:lvl w:ilvl="6" w:tplc="97261DA8">
      <w:start w:val="1"/>
      <w:numFmt w:val="bullet"/>
      <w:lvlText w:val=""/>
      <w:lvlJc w:val="left"/>
      <w:pPr>
        <w:ind w:left="720" w:hanging="360"/>
      </w:pPr>
      <w:rPr>
        <w:rFonts w:ascii="Symbol" w:hAnsi="Symbol"/>
      </w:rPr>
    </w:lvl>
    <w:lvl w:ilvl="7" w:tplc="05E817D2">
      <w:start w:val="1"/>
      <w:numFmt w:val="bullet"/>
      <w:lvlText w:val=""/>
      <w:lvlJc w:val="left"/>
      <w:pPr>
        <w:ind w:left="720" w:hanging="360"/>
      </w:pPr>
      <w:rPr>
        <w:rFonts w:ascii="Symbol" w:hAnsi="Symbol"/>
      </w:rPr>
    </w:lvl>
    <w:lvl w:ilvl="8" w:tplc="5C9C276A">
      <w:start w:val="1"/>
      <w:numFmt w:val="bullet"/>
      <w:lvlText w:val=""/>
      <w:lvlJc w:val="left"/>
      <w:pPr>
        <w:ind w:left="720" w:hanging="360"/>
      </w:pPr>
      <w:rPr>
        <w:rFonts w:ascii="Symbol" w:hAnsi="Symbol"/>
      </w:rPr>
    </w:lvl>
  </w:abstractNum>
  <w:abstractNum w:abstractNumId="13" w15:restartNumberingAfterBreak="0">
    <w:nsid w:val="6F317D46"/>
    <w:multiLevelType w:val="hybridMultilevel"/>
    <w:tmpl w:val="9A3ED576"/>
    <w:lvl w:ilvl="0" w:tplc="A348A642">
      <w:start w:val="1"/>
      <w:numFmt w:val="decimal"/>
      <w:lvlText w:val="%1."/>
      <w:lvlJc w:val="left"/>
      <w:pPr>
        <w:ind w:left="1020" w:hanging="360"/>
      </w:pPr>
    </w:lvl>
    <w:lvl w:ilvl="1" w:tplc="B12A3058">
      <w:start w:val="1"/>
      <w:numFmt w:val="decimal"/>
      <w:lvlText w:val="%2."/>
      <w:lvlJc w:val="left"/>
      <w:pPr>
        <w:ind w:left="1020" w:hanging="360"/>
      </w:pPr>
    </w:lvl>
    <w:lvl w:ilvl="2" w:tplc="03E81CC6">
      <w:start w:val="1"/>
      <w:numFmt w:val="decimal"/>
      <w:lvlText w:val="%3."/>
      <w:lvlJc w:val="left"/>
      <w:pPr>
        <w:ind w:left="1020" w:hanging="360"/>
      </w:pPr>
    </w:lvl>
    <w:lvl w:ilvl="3" w:tplc="39889040">
      <w:start w:val="1"/>
      <w:numFmt w:val="decimal"/>
      <w:lvlText w:val="%4."/>
      <w:lvlJc w:val="left"/>
      <w:pPr>
        <w:ind w:left="1020" w:hanging="360"/>
      </w:pPr>
    </w:lvl>
    <w:lvl w:ilvl="4" w:tplc="7A52FB64">
      <w:start w:val="1"/>
      <w:numFmt w:val="decimal"/>
      <w:lvlText w:val="%5."/>
      <w:lvlJc w:val="left"/>
      <w:pPr>
        <w:ind w:left="1020" w:hanging="360"/>
      </w:pPr>
    </w:lvl>
    <w:lvl w:ilvl="5" w:tplc="DB04BFA4">
      <w:start w:val="1"/>
      <w:numFmt w:val="decimal"/>
      <w:lvlText w:val="%6."/>
      <w:lvlJc w:val="left"/>
      <w:pPr>
        <w:ind w:left="1020" w:hanging="360"/>
      </w:pPr>
    </w:lvl>
    <w:lvl w:ilvl="6" w:tplc="674AF940">
      <w:start w:val="1"/>
      <w:numFmt w:val="decimal"/>
      <w:lvlText w:val="%7."/>
      <w:lvlJc w:val="left"/>
      <w:pPr>
        <w:ind w:left="1020" w:hanging="360"/>
      </w:pPr>
    </w:lvl>
    <w:lvl w:ilvl="7" w:tplc="C6E4B1FE">
      <w:start w:val="1"/>
      <w:numFmt w:val="decimal"/>
      <w:lvlText w:val="%8."/>
      <w:lvlJc w:val="left"/>
      <w:pPr>
        <w:ind w:left="1020" w:hanging="360"/>
      </w:pPr>
    </w:lvl>
    <w:lvl w:ilvl="8" w:tplc="0FF8F4E6">
      <w:start w:val="1"/>
      <w:numFmt w:val="decimal"/>
      <w:lvlText w:val="%9."/>
      <w:lvlJc w:val="left"/>
      <w:pPr>
        <w:ind w:left="1020" w:hanging="360"/>
      </w:pPr>
    </w:lvl>
  </w:abstractNum>
  <w:abstractNum w:abstractNumId="14" w15:restartNumberingAfterBreak="0">
    <w:nsid w:val="75AA5918"/>
    <w:multiLevelType w:val="hybridMultilevel"/>
    <w:tmpl w:val="5D2E450C"/>
    <w:lvl w:ilvl="0" w:tplc="53D0B30C">
      <w:start w:val="1"/>
      <w:numFmt w:val="bullet"/>
      <w:lvlText w:val=""/>
      <w:lvlJc w:val="left"/>
      <w:pPr>
        <w:ind w:left="960" w:hanging="360"/>
      </w:pPr>
      <w:rPr>
        <w:rFonts w:ascii="Symbol" w:hAnsi="Symbol"/>
      </w:rPr>
    </w:lvl>
    <w:lvl w:ilvl="1" w:tplc="4D6ECC5E">
      <w:start w:val="1"/>
      <w:numFmt w:val="bullet"/>
      <w:lvlText w:val=""/>
      <w:lvlJc w:val="left"/>
      <w:pPr>
        <w:ind w:left="960" w:hanging="360"/>
      </w:pPr>
      <w:rPr>
        <w:rFonts w:ascii="Symbol" w:hAnsi="Symbol"/>
      </w:rPr>
    </w:lvl>
    <w:lvl w:ilvl="2" w:tplc="EAFEB222">
      <w:start w:val="1"/>
      <w:numFmt w:val="bullet"/>
      <w:lvlText w:val=""/>
      <w:lvlJc w:val="left"/>
      <w:pPr>
        <w:ind w:left="960" w:hanging="360"/>
      </w:pPr>
      <w:rPr>
        <w:rFonts w:ascii="Symbol" w:hAnsi="Symbol"/>
      </w:rPr>
    </w:lvl>
    <w:lvl w:ilvl="3" w:tplc="67DA80B6">
      <w:start w:val="1"/>
      <w:numFmt w:val="bullet"/>
      <w:lvlText w:val=""/>
      <w:lvlJc w:val="left"/>
      <w:pPr>
        <w:ind w:left="960" w:hanging="360"/>
      </w:pPr>
      <w:rPr>
        <w:rFonts w:ascii="Symbol" w:hAnsi="Symbol"/>
      </w:rPr>
    </w:lvl>
    <w:lvl w:ilvl="4" w:tplc="465ED66A">
      <w:start w:val="1"/>
      <w:numFmt w:val="bullet"/>
      <w:lvlText w:val=""/>
      <w:lvlJc w:val="left"/>
      <w:pPr>
        <w:ind w:left="960" w:hanging="360"/>
      </w:pPr>
      <w:rPr>
        <w:rFonts w:ascii="Symbol" w:hAnsi="Symbol"/>
      </w:rPr>
    </w:lvl>
    <w:lvl w:ilvl="5" w:tplc="614895E0">
      <w:start w:val="1"/>
      <w:numFmt w:val="bullet"/>
      <w:lvlText w:val=""/>
      <w:lvlJc w:val="left"/>
      <w:pPr>
        <w:ind w:left="960" w:hanging="360"/>
      </w:pPr>
      <w:rPr>
        <w:rFonts w:ascii="Symbol" w:hAnsi="Symbol"/>
      </w:rPr>
    </w:lvl>
    <w:lvl w:ilvl="6" w:tplc="44BEB564">
      <w:start w:val="1"/>
      <w:numFmt w:val="bullet"/>
      <w:lvlText w:val=""/>
      <w:lvlJc w:val="left"/>
      <w:pPr>
        <w:ind w:left="960" w:hanging="360"/>
      </w:pPr>
      <w:rPr>
        <w:rFonts w:ascii="Symbol" w:hAnsi="Symbol"/>
      </w:rPr>
    </w:lvl>
    <w:lvl w:ilvl="7" w:tplc="3722782E">
      <w:start w:val="1"/>
      <w:numFmt w:val="bullet"/>
      <w:lvlText w:val=""/>
      <w:lvlJc w:val="left"/>
      <w:pPr>
        <w:ind w:left="960" w:hanging="360"/>
      </w:pPr>
      <w:rPr>
        <w:rFonts w:ascii="Symbol" w:hAnsi="Symbol"/>
      </w:rPr>
    </w:lvl>
    <w:lvl w:ilvl="8" w:tplc="FC8C4536">
      <w:start w:val="1"/>
      <w:numFmt w:val="bullet"/>
      <w:lvlText w:val=""/>
      <w:lvlJc w:val="left"/>
      <w:pPr>
        <w:ind w:left="960" w:hanging="360"/>
      </w:pPr>
      <w:rPr>
        <w:rFonts w:ascii="Symbol" w:hAnsi="Symbol"/>
      </w:rPr>
    </w:lvl>
  </w:abstractNum>
  <w:abstractNum w:abstractNumId="15" w15:restartNumberingAfterBreak="0">
    <w:nsid w:val="784D033C"/>
    <w:multiLevelType w:val="multilevel"/>
    <w:tmpl w:val="E588153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5813B5"/>
    <w:multiLevelType w:val="hybridMultilevel"/>
    <w:tmpl w:val="5D727C32"/>
    <w:lvl w:ilvl="0" w:tplc="2CBCB3DA">
      <w:start w:val="1"/>
      <w:numFmt w:val="bullet"/>
      <w:lvlText w:val=""/>
      <w:lvlJc w:val="left"/>
      <w:pPr>
        <w:ind w:left="960" w:hanging="360"/>
      </w:pPr>
      <w:rPr>
        <w:rFonts w:ascii="Symbol" w:hAnsi="Symbol"/>
      </w:rPr>
    </w:lvl>
    <w:lvl w:ilvl="1" w:tplc="1FA6973A">
      <w:start w:val="1"/>
      <w:numFmt w:val="bullet"/>
      <w:lvlText w:val=""/>
      <w:lvlJc w:val="left"/>
      <w:pPr>
        <w:ind w:left="960" w:hanging="360"/>
      </w:pPr>
      <w:rPr>
        <w:rFonts w:ascii="Symbol" w:hAnsi="Symbol"/>
      </w:rPr>
    </w:lvl>
    <w:lvl w:ilvl="2" w:tplc="125EE070">
      <w:start w:val="1"/>
      <w:numFmt w:val="bullet"/>
      <w:lvlText w:val=""/>
      <w:lvlJc w:val="left"/>
      <w:pPr>
        <w:ind w:left="960" w:hanging="360"/>
      </w:pPr>
      <w:rPr>
        <w:rFonts w:ascii="Symbol" w:hAnsi="Symbol"/>
      </w:rPr>
    </w:lvl>
    <w:lvl w:ilvl="3" w:tplc="C1E05C38">
      <w:start w:val="1"/>
      <w:numFmt w:val="bullet"/>
      <w:lvlText w:val=""/>
      <w:lvlJc w:val="left"/>
      <w:pPr>
        <w:ind w:left="960" w:hanging="360"/>
      </w:pPr>
      <w:rPr>
        <w:rFonts w:ascii="Symbol" w:hAnsi="Symbol"/>
      </w:rPr>
    </w:lvl>
    <w:lvl w:ilvl="4" w:tplc="5C6E5F24">
      <w:start w:val="1"/>
      <w:numFmt w:val="bullet"/>
      <w:lvlText w:val=""/>
      <w:lvlJc w:val="left"/>
      <w:pPr>
        <w:ind w:left="960" w:hanging="360"/>
      </w:pPr>
      <w:rPr>
        <w:rFonts w:ascii="Symbol" w:hAnsi="Symbol"/>
      </w:rPr>
    </w:lvl>
    <w:lvl w:ilvl="5" w:tplc="688C2ABE">
      <w:start w:val="1"/>
      <w:numFmt w:val="bullet"/>
      <w:lvlText w:val=""/>
      <w:lvlJc w:val="left"/>
      <w:pPr>
        <w:ind w:left="960" w:hanging="360"/>
      </w:pPr>
      <w:rPr>
        <w:rFonts w:ascii="Symbol" w:hAnsi="Symbol"/>
      </w:rPr>
    </w:lvl>
    <w:lvl w:ilvl="6" w:tplc="20942A78">
      <w:start w:val="1"/>
      <w:numFmt w:val="bullet"/>
      <w:lvlText w:val=""/>
      <w:lvlJc w:val="left"/>
      <w:pPr>
        <w:ind w:left="960" w:hanging="360"/>
      </w:pPr>
      <w:rPr>
        <w:rFonts w:ascii="Symbol" w:hAnsi="Symbol"/>
      </w:rPr>
    </w:lvl>
    <w:lvl w:ilvl="7" w:tplc="A7642E86">
      <w:start w:val="1"/>
      <w:numFmt w:val="bullet"/>
      <w:lvlText w:val=""/>
      <w:lvlJc w:val="left"/>
      <w:pPr>
        <w:ind w:left="960" w:hanging="360"/>
      </w:pPr>
      <w:rPr>
        <w:rFonts w:ascii="Symbol" w:hAnsi="Symbol"/>
      </w:rPr>
    </w:lvl>
    <w:lvl w:ilvl="8" w:tplc="1428B980">
      <w:start w:val="1"/>
      <w:numFmt w:val="bullet"/>
      <w:lvlText w:val=""/>
      <w:lvlJc w:val="left"/>
      <w:pPr>
        <w:ind w:left="960" w:hanging="360"/>
      </w:pPr>
      <w:rPr>
        <w:rFonts w:ascii="Symbol" w:hAnsi="Symbol"/>
      </w:rPr>
    </w:lvl>
  </w:abstractNum>
  <w:num w:numId="1" w16cid:durableId="816186631">
    <w:abstractNumId w:val="15"/>
  </w:num>
  <w:num w:numId="2" w16cid:durableId="917793048">
    <w:abstractNumId w:val="9"/>
  </w:num>
  <w:num w:numId="3" w16cid:durableId="263461728">
    <w:abstractNumId w:val="0"/>
  </w:num>
  <w:num w:numId="4" w16cid:durableId="220360847">
    <w:abstractNumId w:val="10"/>
  </w:num>
  <w:num w:numId="5" w16cid:durableId="268196418">
    <w:abstractNumId w:val="8"/>
  </w:num>
  <w:num w:numId="6" w16cid:durableId="1486511654">
    <w:abstractNumId w:val="15"/>
  </w:num>
  <w:num w:numId="7" w16cid:durableId="341587399">
    <w:abstractNumId w:val="5"/>
  </w:num>
  <w:num w:numId="8" w16cid:durableId="1686514034">
    <w:abstractNumId w:val="13"/>
  </w:num>
  <w:num w:numId="9" w16cid:durableId="518007735">
    <w:abstractNumId w:val="1"/>
  </w:num>
  <w:num w:numId="10" w16cid:durableId="252931451">
    <w:abstractNumId w:val="3"/>
  </w:num>
  <w:num w:numId="11" w16cid:durableId="1449546958">
    <w:abstractNumId w:val="7"/>
  </w:num>
  <w:num w:numId="12" w16cid:durableId="1809860082">
    <w:abstractNumId w:val="16"/>
  </w:num>
  <w:num w:numId="13" w16cid:durableId="938022748">
    <w:abstractNumId w:val="12"/>
  </w:num>
  <w:num w:numId="14" w16cid:durableId="2122452670">
    <w:abstractNumId w:val="2"/>
  </w:num>
  <w:num w:numId="15" w16cid:durableId="877201522">
    <w:abstractNumId w:val="11"/>
  </w:num>
  <w:num w:numId="16" w16cid:durableId="1585451380">
    <w:abstractNumId w:val="14"/>
  </w:num>
  <w:num w:numId="17" w16cid:durableId="7223649">
    <w:abstractNumId w:val="4"/>
  </w:num>
  <w:num w:numId="18" w16cid:durableId="2025015177">
    <w:abstractNumId w:val="6"/>
  </w:num>
  <w:num w:numId="19" w16cid:durableId="1226182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8956218">
    <w:abstractNumId w:val="8"/>
  </w:num>
  <w:num w:numId="21" w16cid:durableId="1481996010">
    <w:abstractNumId w:val="15"/>
  </w:num>
  <w:num w:numId="22" w16cid:durableId="80643349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80"/>
    <w:rsid w:val="00000790"/>
    <w:rsid w:val="0000110B"/>
    <w:rsid w:val="0000299D"/>
    <w:rsid w:val="00002FB6"/>
    <w:rsid w:val="00003427"/>
    <w:rsid w:val="00003499"/>
    <w:rsid w:val="000039B7"/>
    <w:rsid w:val="00003CE0"/>
    <w:rsid w:val="00004802"/>
    <w:rsid w:val="00004F49"/>
    <w:rsid w:val="000056B9"/>
    <w:rsid w:val="0000639A"/>
    <w:rsid w:val="000070E5"/>
    <w:rsid w:val="000075EB"/>
    <w:rsid w:val="00007695"/>
    <w:rsid w:val="00007AD7"/>
    <w:rsid w:val="000106C9"/>
    <w:rsid w:val="00010A4B"/>
    <w:rsid w:val="00010D9E"/>
    <w:rsid w:val="00012161"/>
    <w:rsid w:val="0001224E"/>
    <w:rsid w:val="000128B4"/>
    <w:rsid w:val="00012A12"/>
    <w:rsid w:val="00012B77"/>
    <w:rsid w:val="00013247"/>
    <w:rsid w:val="0001367A"/>
    <w:rsid w:val="00013A95"/>
    <w:rsid w:val="00014547"/>
    <w:rsid w:val="00014839"/>
    <w:rsid w:val="00015117"/>
    <w:rsid w:val="00015886"/>
    <w:rsid w:val="000162EF"/>
    <w:rsid w:val="00017652"/>
    <w:rsid w:val="00017B35"/>
    <w:rsid w:val="00017B6D"/>
    <w:rsid w:val="00017D93"/>
    <w:rsid w:val="00017E27"/>
    <w:rsid w:val="000207C9"/>
    <w:rsid w:val="00020DAC"/>
    <w:rsid w:val="000217BF"/>
    <w:rsid w:val="00021D0C"/>
    <w:rsid w:val="00021DAF"/>
    <w:rsid w:val="000220E2"/>
    <w:rsid w:val="0002225F"/>
    <w:rsid w:val="000225F9"/>
    <w:rsid w:val="00023763"/>
    <w:rsid w:val="00023D12"/>
    <w:rsid w:val="00024019"/>
    <w:rsid w:val="000242FB"/>
    <w:rsid w:val="00024EB5"/>
    <w:rsid w:val="00025671"/>
    <w:rsid w:val="00025BEC"/>
    <w:rsid w:val="00025C11"/>
    <w:rsid w:val="00025D6B"/>
    <w:rsid w:val="00025FD0"/>
    <w:rsid w:val="0002650F"/>
    <w:rsid w:val="00026596"/>
    <w:rsid w:val="00026962"/>
    <w:rsid w:val="000274B8"/>
    <w:rsid w:val="00027875"/>
    <w:rsid w:val="00027C28"/>
    <w:rsid w:val="00027E19"/>
    <w:rsid w:val="00030678"/>
    <w:rsid w:val="000319DA"/>
    <w:rsid w:val="000328A4"/>
    <w:rsid w:val="00033863"/>
    <w:rsid w:val="000339F6"/>
    <w:rsid w:val="00033A3A"/>
    <w:rsid w:val="00034DAE"/>
    <w:rsid w:val="000354ED"/>
    <w:rsid w:val="00035DC0"/>
    <w:rsid w:val="00036829"/>
    <w:rsid w:val="00036BE7"/>
    <w:rsid w:val="00036FCB"/>
    <w:rsid w:val="00040342"/>
    <w:rsid w:val="00040895"/>
    <w:rsid w:val="000408A5"/>
    <w:rsid w:val="00040FEC"/>
    <w:rsid w:val="000410A0"/>
    <w:rsid w:val="00041588"/>
    <w:rsid w:val="0004316D"/>
    <w:rsid w:val="000435EE"/>
    <w:rsid w:val="00043C37"/>
    <w:rsid w:val="00045017"/>
    <w:rsid w:val="00045795"/>
    <w:rsid w:val="00045A2B"/>
    <w:rsid w:val="00045B5B"/>
    <w:rsid w:val="000461D9"/>
    <w:rsid w:val="0004698F"/>
    <w:rsid w:val="00046A68"/>
    <w:rsid w:val="00046D64"/>
    <w:rsid w:val="00046F09"/>
    <w:rsid w:val="00046F12"/>
    <w:rsid w:val="000472DD"/>
    <w:rsid w:val="00047FBD"/>
    <w:rsid w:val="000508C2"/>
    <w:rsid w:val="00050AAA"/>
    <w:rsid w:val="000517A2"/>
    <w:rsid w:val="00051F05"/>
    <w:rsid w:val="00053557"/>
    <w:rsid w:val="0005355C"/>
    <w:rsid w:val="000539D0"/>
    <w:rsid w:val="00054621"/>
    <w:rsid w:val="000546D7"/>
    <w:rsid w:val="00054A8D"/>
    <w:rsid w:val="0005579E"/>
    <w:rsid w:val="000558B0"/>
    <w:rsid w:val="00055A2C"/>
    <w:rsid w:val="000569AE"/>
    <w:rsid w:val="00056A55"/>
    <w:rsid w:val="00056ECF"/>
    <w:rsid w:val="00057B46"/>
    <w:rsid w:val="00057BDA"/>
    <w:rsid w:val="00057E6E"/>
    <w:rsid w:val="000604DF"/>
    <w:rsid w:val="00060B53"/>
    <w:rsid w:val="00060F26"/>
    <w:rsid w:val="000615F4"/>
    <w:rsid w:val="00062324"/>
    <w:rsid w:val="000625A6"/>
    <w:rsid w:val="00063A89"/>
    <w:rsid w:val="000644C2"/>
    <w:rsid w:val="00064577"/>
    <w:rsid w:val="00064D00"/>
    <w:rsid w:val="000650E8"/>
    <w:rsid w:val="000653B5"/>
    <w:rsid w:val="00065B59"/>
    <w:rsid w:val="00066161"/>
    <w:rsid w:val="00066360"/>
    <w:rsid w:val="00066940"/>
    <w:rsid w:val="00066AF8"/>
    <w:rsid w:val="00067C5F"/>
    <w:rsid w:val="00070D16"/>
    <w:rsid w:val="00071248"/>
    <w:rsid w:val="00071616"/>
    <w:rsid w:val="000716F1"/>
    <w:rsid w:val="00071732"/>
    <w:rsid w:val="000720B9"/>
    <w:rsid w:val="000737F7"/>
    <w:rsid w:val="000745A4"/>
    <w:rsid w:val="0007638E"/>
    <w:rsid w:val="00076548"/>
    <w:rsid w:val="0007672F"/>
    <w:rsid w:val="00076B13"/>
    <w:rsid w:val="00076B54"/>
    <w:rsid w:val="00076C96"/>
    <w:rsid w:val="00076F12"/>
    <w:rsid w:val="000774F0"/>
    <w:rsid w:val="00077B2D"/>
    <w:rsid w:val="00077D02"/>
    <w:rsid w:val="000802E4"/>
    <w:rsid w:val="0008059B"/>
    <w:rsid w:val="00080909"/>
    <w:rsid w:val="00080EC3"/>
    <w:rsid w:val="000812CA"/>
    <w:rsid w:val="00081A62"/>
    <w:rsid w:val="00081E63"/>
    <w:rsid w:val="0008235A"/>
    <w:rsid w:val="0008258D"/>
    <w:rsid w:val="00083527"/>
    <w:rsid w:val="000836EB"/>
    <w:rsid w:val="00083D76"/>
    <w:rsid w:val="00083E99"/>
    <w:rsid w:val="00084C4B"/>
    <w:rsid w:val="00084FA8"/>
    <w:rsid w:val="000856C5"/>
    <w:rsid w:val="00085C31"/>
    <w:rsid w:val="000902D9"/>
    <w:rsid w:val="00090C7E"/>
    <w:rsid w:val="000911AC"/>
    <w:rsid w:val="0009152A"/>
    <w:rsid w:val="00091597"/>
    <w:rsid w:val="00092600"/>
    <w:rsid w:val="0009262B"/>
    <w:rsid w:val="000927CA"/>
    <w:rsid w:val="0009291B"/>
    <w:rsid w:val="00092AC8"/>
    <w:rsid w:val="00092D4E"/>
    <w:rsid w:val="00092F1E"/>
    <w:rsid w:val="00093310"/>
    <w:rsid w:val="0009371D"/>
    <w:rsid w:val="0009391A"/>
    <w:rsid w:val="000942F1"/>
    <w:rsid w:val="0009445C"/>
    <w:rsid w:val="0009477D"/>
    <w:rsid w:val="00095200"/>
    <w:rsid w:val="000954C6"/>
    <w:rsid w:val="0009569D"/>
    <w:rsid w:val="00095778"/>
    <w:rsid w:val="00095C33"/>
    <w:rsid w:val="00095FD9"/>
    <w:rsid w:val="00095FE5"/>
    <w:rsid w:val="00096038"/>
    <w:rsid w:val="00096284"/>
    <w:rsid w:val="000966C8"/>
    <w:rsid w:val="000968A9"/>
    <w:rsid w:val="00096DCD"/>
    <w:rsid w:val="00096EEC"/>
    <w:rsid w:val="00097121"/>
    <w:rsid w:val="000974B2"/>
    <w:rsid w:val="000A0271"/>
    <w:rsid w:val="000A03AF"/>
    <w:rsid w:val="000A03BD"/>
    <w:rsid w:val="000A064F"/>
    <w:rsid w:val="000A1083"/>
    <w:rsid w:val="000A110C"/>
    <w:rsid w:val="000A15BC"/>
    <w:rsid w:val="000A15F0"/>
    <w:rsid w:val="000A1BC0"/>
    <w:rsid w:val="000A2F9E"/>
    <w:rsid w:val="000A3304"/>
    <w:rsid w:val="000A34A4"/>
    <w:rsid w:val="000A37A4"/>
    <w:rsid w:val="000A3B42"/>
    <w:rsid w:val="000A3DA4"/>
    <w:rsid w:val="000A3E47"/>
    <w:rsid w:val="000A3F48"/>
    <w:rsid w:val="000A4359"/>
    <w:rsid w:val="000A522B"/>
    <w:rsid w:val="000A569C"/>
    <w:rsid w:val="000A6039"/>
    <w:rsid w:val="000A6CA7"/>
    <w:rsid w:val="000A7453"/>
    <w:rsid w:val="000A75C9"/>
    <w:rsid w:val="000A7D08"/>
    <w:rsid w:val="000A7F34"/>
    <w:rsid w:val="000B0121"/>
    <w:rsid w:val="000B0670"/>
    <w:rsid w:val="000B0930"/>
    <w:rsid w:val="000B0DBA"/>
    <w:rsid w:val="000B0E75"/>
    <w:rsid w:val="000B1030"/>
    <w:rsid w:val="000B1987"/>
    <w:rsid w:val="000B1F3B"/>
    <w:rsid w:val="000B2DCB"/>
    <w:rsid w:val="000B361A"/>
    <w:rsid w:val="000B5603"/>
    <w:rsid w:val="000B59A8"/>
    <w:rsid w:val="000B5CE0"/>
    <w:rsid w:val="000B5EE3"/>
    <w:rsid w:val="000B6CAC"/>
    <w:rsid w:val="000B6E47"/>
    <w:rsid w:val="000B7612"/>
    <w:rsid w:val="000B78AE"/>
    <w:rsid w:val="000B7B1F"/>
    <w:rsid w:val="000B7F82"/>
    <w:rsid w:val="000C09FF"/>
    <w:rsid w:val="000C0EAA"/>
    <w:rsid w:val="000C2B3C"/>
    <w:rsid w:val="000C2E06"/>
    <w:rsid w:val="000C3DF9"/>
    <w:rsid w:val="000C3F9A"/>
    <w:rsid w:val="000C4CF2"/>
    <w:rsid w:val="000C5FBD"/>
    <w:rsid w:val="000C6713"/>
    <w:rsid w:val="000C6941"/>
    <w:rsid w:val="000C7C57"/>
    <w:rsid w:val="000C7CCD"/>
    <w:rsid w:val="000D0337"/>
    <w:rsid w:val="000D0FA0"/>
    <w:rsid w:val="000D10F2"/>
    <w:rsid w:val="000D1BFC"/>
    <w:rsid w:val="000D1D5D"/>
    <w:rsid w:val="000D1F43"/>
    <w:rsid w:val="000D281A"/>
    <w:rsid w:val="000D2848"/>
    <w:rsid w:val="000D2BBC"/>
    <w:rsid w:val="000D309A"/>
    <w:rsid w:val="000D31A6"/>
    <w:rsid w:val="000D326A"/>
    <w:rsid w:val="000D4E17"/>
    <w:rsid w:val="000D50EE"/>
    <w:rsid w:val="000D51FB"/>
    <w:rsid w:val="000D545A"/>
    <w:rsid w:val="000D5522"/>
    <w:rsid w:val="000D6604"/>
    <w:rsid w:val="000D7187"/>
    <w:rsid w:val="000D731C"/>
    <w:rsid w:val="000D736B"/>
    <w:rsid w:val="000D73D7"/>
    <w:rsid w:val="000D7E8F"/>
    <w:rsid w:val="000E05EC"/>
    <w:rsid w:val="000E0640"/>
    <w:rsid w:val="000E074B"/>
    <w:rsid w:val="000E1202"/>
    <w:rsid w:val="000E135D"/>
    <w:rsid w:val="000E1622"/>
    <w:rsid w:val="000E1F50"/>
    <w:rsid w:val="000E1FA6"/>
    <w:rsid w:val="000E23F2"/>
    <w:rsid w:val="000E25D3"/>
    <w:rsid w:val="000E4689"/>
    <w:rsid w:val="000E4C89"/>
    <w:rsid w:val="000E7386"/>
    <w:rsid w:val="000F00BA"/>
    <w:rsid w:val="000F1304"/>
    <w:rsid w:val="000F250C"/>
    <w:rsid w:val="000F3027"/>
    <w:rsid w:val="000F316A"/>
    <w:rsid w:val="000F3529"/>
    <w:rsid w:val="000F3C74"/>
    <w:rsid w:val="000F4BB8"/>
    <w:rsid w:val="000F4F0E"/>
    <w:rsid w:val="000F4FA9"/>
    <w:rsid w:val="000F508A"/>
    <w:rsid w:val="000F53FB"/>
    <w:rsid w:val="000F5C2A"/>
    <w:rsid w:val="000F68D9"/>
    <w:rsid w:val="000F7127"/>
    <w:rsid w:val="000F7296"/>
    <w:rsid w:val="000F7B54"/>
    <w:rsid w:val="001000B3"/>
    <w:rsid w:val="0010018A"/>
    <w:rsid w:val="00100223"/>
    <w:rsid w:val="001002BF"/>
    <w:rsid w:val="00100E4B"/>
    <w:rsid w:val="00100F8A"/>
    <w:rsid w:val="00101EE8"/>
    <w:rsid w:val="00102198"/>
    <w:rsid w:val="00102EDE"/>
    <w:rsid w:val="0010356B"/>
    <w:rsid w:val="0010452E"/>
    <w:rsid w:val="00104D9B"/>
    <w:rsid w:val="00105734"/>
    <w:rsid w:val="00105AC6"/>
    <w:rsid w:val="00105AE2"/>
    <w:rsid w:val="001060C6"/>
    <w:rsid w:val="00106B80"/>
    <w:rsid w:val="0011014D"/>
    <w:rsid w:val="0011032E"/>
    <w:rsid w:val="001108B2"/>
    <w:rsid w:val="001119A7"/>
    <w:rsid w:val="00111EC2"/>
    <w:rsid w:val="00112428"/>
    <w:rsid w:val="001131CE"/>
    <w:rsid w:val="0011348B"/>
    <w:rsid w:val="001151A5"/>
    <w:rsid w:val="00115982"/>
    <w:rsid w:val="00115CED"/>
    <w:rsid w:val="00115D59"/>
    <w:rsid w:val="001165C2"/>
    <w:rsid w:val="00116C53"/>
    <w:rsid w:val="00117A82"/>
    <w:rsid w:val="0012041D"/>
    <w:rsid w:val="00121799"/>
    <w:rsid w:val="001222FC"/>
    <w:rsid w:val="001224C0"/>
    <w:rsid w:val="00123902"/>
    <w:rsid w:val="00124053"/>
    <w:rsid w:val="00124A51"/>
    <w:rsid w:val="00124D4E"/>
    <w:rsid w:val="001250CE"/>
    <w:rsid w:val="00125F54"/>
    <w:rsid w:val="001261FC"/>
    <w:rsid w:val="00126621"/>
    <w:rsid w:val="00126B1D"/>
    <w:rsid w:val="00126D37"/>
    <w:rsid w:val="001301E9"/>
    <w:rsid w:val="00131D82"/>
    <w:rsid w:val="00132B22"/>
    <w:rsid w:val="00132D47"/>
    <w:rsid w:val="00132E0B"/>
    <w:rsid w:val="00133D36"/>
    <w:rsid w:val="00134FC0"/>
    <w:rsid w:val="00135148"/>
    <w:rsid w:val="0013633C"/>
    <w:rsid w:val="00136821"/>
    <w:rsid w:val="00137645"/>
    <w:rsid w:val="00137F6E"/>
    <w:rsid w:val="0014015A"/>
    <w:rsid w:val="00140DAF"/>
    <w:rsid w:val="00140E99"/>
    <w:rsid w:val="00142CCF"/>
    <w:rsid w:val="00143F67"/>
    <w:rsid w:val="0014400F"/>
    <w:rsid w:val="00144698"/>
    <w:rsid w:val="0014485B"/>
    <w:rsid w:val="00145234"/>
    <w:rsid w:val="00145540"/>
    <w:rsid w:val="001456B0"/>
    <w:rsid w:val="00145C5B"/>
    <w:rsid w:val="00145F46"/>
    <w:rsid w:val="00150128"/>
    <w:rsid w:val="0015040F"/>
    <w:rsid w:val="00151814"/>
    <w:rsid w:val="00151A88"/>
    <w:rsid w:val="00151DB7"/>
    <w:rsid w:val="001523B7"/>
    <w:rsid w:val="001525FB"/>
    <w:rsid w:val="0015294D"/>
    <w:rsid w:val="00152B3F"/>
    <w:rsid w:val="001530DC"/>
    <w:rsid w:val="001547AB"/>
    <w:rsid w:val="00155401"/>
    <w:rsid w:val="00155584"/>
    <w:rsid w:val="001568A8"/>
    <w:rsid w:val="00156F8F"/>
    <w:rsid w:val="00157130"/>
    <w:rsid w:val="001576B1"/>
    <w:rsid w:val="0016047B"/>
    <w:rsid w:val="00160877"/>
    <w:rsid w:val="00160A4C"/>
    <w:rsid w:val="00160EAE"/>
    <w:rsid w:val="00160F81"/>
    <w:rsid w:val="0016247E"/>
    <w:rsid w:val="0016255B"/>
    <w:rsid w:val="00162913"/>
    <w:rsid w:val="0016351A"/>
    <w:rsid w:val="001635E4"/>
    <w:rsid w:val="0016392B"/>
    <w:rsid w:val="00163BF2"/>
    <w:rsid w:val="00163EFF"/>
    <w:rsid w:val="00163F66"/>
    <w:rsid w:val="001640D8"/>
    <w:rsid w:val="00164288"/>
    <w:rsid w:val="001642E6"/>
    <w:rsid w:val="0016451F"/>
    <w:rsid w:val="0016478E"/>
    <w:rsid w:val="00165BB4"/>
    <w:rsid w:val="00165EC4"/>
    <w:rsid w:val="00165F5E"/>
    <w:rsid w:val="001661FB"/>
    <w:rsid w:val="00166BF9"/>
    <w:rsid w:val="00166D29"/>
    <w:rsid w:val="00166FD0"/>
    <w:rsid w:val="00167023"/>
    <w:rsid w:val="001671A0"/>
    <w:rsid w:val="0016767F"/>
    <w:rsid w:val="00167DC8"/>
    <w:rsid w:val="00167E7C"/>
    <w:rsid w:val="00171638"/>
    <w:rsid w:val="00171962"/>
    <w:rsid w:val="00172452"/>
    <w:rsid w:val="00172D0F"/>
    <w:rsid w:val="00173565"/>
    <w:rsid w:val="001737EC"/>
    <w:rsid w:val="00173B07"/>
    <w:rsid w:val="001742DC"/>
    <w:rsid w:val="001744AB"/>
    <w:rsid w:val="001744D0"/>
    <w:rsid w:val="00174DDA"/>
    <w:rsid w:val="001751FA"/>
    <w:rsid w:val="00175FCC"/>
    <w:rsid w:val="00176C71"/>
    <w:rsid w:val="00176D34"/>
    <w:rsid w:val="00177A1D"/>
    <w:rsid w:val="0018032D"/>
    <w:rsid w:val="00180E1C"/>
    <w:rsid w:val="001810A4"/>
    <w:rsid w:val="001819E0"/>
    <w:rsid w:val="00181C10"/>
    <w:rsid w:val="00181D9C"/>
    <w:rsid w:val="00182C4D"/>
    <w:rsid w:val="001837FF"/>
    <w:rsid w:val="00184186"/>
    <w:rsid w:val="001843A1"/>
    <w:rsid w:val="00184558"/>
    <w:rsid w:val="00184B0E"/>
    <w:rsid w:val="0018526D"/>
    <w:rsid w:val="001852A0"/>
    <w:rsid w:val="001866CE"/>
    <w:rsid w:val="0018692F"/>
    <w:rsid w:val="0018752F"/>
    <w:rsid w:val="00187B87"/>
    <w:rsid w:val="00190876"/>
    <w:rsid w:val="001918B5"/>
    <w:rsid w:val="00193838"/>
    <w:rsid w:val="00193A69"/>
    <w:rsid w:val="00194AD8"/>
    <w:rsid w:val="00194F11"/>
    <w:rsid w:val="00195222"/>
    <w:rsid w:val="00195452"/>
    <w:rsid w:val="00195660"/>
    <w:rsid w:val="001959E6"/>
    <w:rsid w:val="00195A80"/>
    <w:rsid w:val="001962A1"/>
    <w:rsid w:val="001975D8"/>
    <w:rsid w:val="001A0013"/>
    <w:rsid w:val="001A0691"/>
    <w:rsid w:val="001A0B57"/>
    <w:rsid w:val="001A10E6"/>
    <w:rsid w:val="001A178E"/>
    <w:rsid w:val="001A1840"/>
    <w:rsid w:val="001A43FA"/>
    <w:rsid w:val="001A47C5"/>
    <w:rsid w:val="001A57A8"/>
    <w:rsid w:val="001A59FB"/>
    <w:rsid w:val="001A5CB7"/>
    <w:rsid w:val="001A5E9E"/>
    <w:rsid w:val="001A6354"/>
    <w:rsid w:val="001A6366"/>
    <w:rsid w:val="001A65F7"/>
    <w:rsid w:val="001A78E5"/>
    <w:rsid w:val="001A7AE8"/>
    <w:rsid w:val="001B1661"/>
    <w:rsid w:val="001B204E"/>
    <w:rsid w:val="001B234E"/>
    <w:rsid w:val="001B2372"/>
    <w:rsid w:val="001B3443"/>
    <w:rsid w:val="001B3D20"/>
    <w:rsid w:val="001B4D20"/>
    <w:rsid w:val="001B5879"/>
    <w:rsid w:val="001B5A0A"/>
    <w:rsid w:val="001B6035"/>
    <w:rsid w:val="001B60F0"/>
    <w:rsid w:val="001B7C82"/>
    <w:rsid w:val="001B7D12"/>
    <w:rsid w:val="001B7F84"/>
    <w:rsid w:val="001C0FF1"/>
    <w:rsid w:val="001C2A9B"/>
    <w:rsid w:val="001C3503"/>
    <w:rsid w:val="001C3642"/>
    <w:rsid w:val="001C3DD6"/>
    <w:rsid w:val="001C4299"/>
    <w:rsid w:val="001C4325"/>
    <w:rsid w:val="001C4874"/>
    <w:rsid w:val="001C5402"/>
    <w:rsid w:val="001C5F94"/>
    <w:rsid w:val="001C6DAA"/>
    <w:rsid w:val="001C6E66"/>
    <w:rsid w:val="001C7266"/>
    <w:rsid w:val="001C73F8"/>
    <w:rsid w:val="001D1100"/>
    <w:rsid w:val="001D1391"/>
    <w:rsid w:val="001D1EA4"/>
    <w:rsid w:val="001D25D7"/>
    <w:rsid w:val="001D3103"/>
    <w:rsid w:val="001D39CC"/>
    <w:rsid w:val="001D3C1D"/>
    <w:rsid w:val="001D4239"/>
    <w:rsid w:val="001D43C8"/>
    <w:rsid w:val="001D4FAD"/>
    <w:rsid w:val="001D50B2"/>
    <w:rsid w:val="001D71F4"/>
    <w:rsid w:val="001D72B6"/>
    <w:rsid w:val="001D7645"/>
    <w:rsid w:val="001E032E"/>
    <w:rsid w:val="001E0F26"/>
    <w:rsid w:val="001E1E86"/>
    <w:rsid w:val="001E22A7"/>
    <w:rsid w:val="001E238E"/>
    <w:rsid w:val="001E2483"/>
    <w:rsid w:val="001E2B1E"/>
    <w:rsid w:val="001E2CFF"/>
    <w:rsid w:val="001E2D53"/>
    <w:rsid w:val="001E2F24"/>
    <w:rsid w:val="001E30D4"/>
    <w:rsid w:val="001E3443"/>
    <w:rsid w:val="001E34DF"/>
    <w:rsid w:val="001E429B"/>
    <w:rsid w:val="001E4D0B"/>
    <w:rsid w:val="001E52EB"/>
    <w:rsid w:val="001E5A5C"/>
    <w:rsid w:val="001E607D"/>
    <w:rsid w:val="001E61D2"/>
    <w:rsid w:val="001E700D"/>
    <w:rsid w:val="001E740C"/>
    <w:rsid w:val="001E76FB"/>
    <w:rsid w:val="001F0DBA"/>
    <w:rsid w:val="001F1235"/>
    <w:rsid w:val="001F1352"/>
    <w:rsid w:val="001F1CB3"/>
    <w:rsid w:val="001F38B5"/>
    <w:rsid w:val="001F3E43"/>
    <w:rsid w:val="001F4081"/>
    <w:rsid w:val="001F4279"/>
    <w:rsid w:val="001F4945"/>
    <w:rsid w:val="001F4E11"/>
    <w:rsid w:val="001F72A8"/>
    <w:rsid w:val="001F7361"/>
    <w:rsid w:val="001F7BE8"/>
    <w:rsid w:val="001F7F3B"/>
    <w:rsid w:val="002002AE"/>
    <w:rsid w:val="00200846"/>
    <w:rsid w:val="00200B9F"/>
    <w:rsid w:val="002011B0"/>
    <w:rsid w:val="002020CA"/>
    <w:rsid w:val="00202439"/>
    <w:rsid w:val="00203181"/>
    <w:rsid w:val="00203720"/>
    <w:rsid w:val="00203783"/>
    <w:rsid w:val="0020385F"/>
    <w:rsid w:val="00204FFB"/>
    <w:rsid w:val="002051DB"/>
    <w:rsid w:val="00205D03"/>
    <w:rsid w:val="00205D53"/>
    <w:rsid w:val="002067F3"/>
    <w:rsid w:val="002068A0"/>
    <w:rsid w:val="00206D58"/>
    <w:rsid w:val="00207021"/>
    <w:rsid w:val="0020732F"/>
    <w:rsid w:val="00207C7C"/>
    <w:rsid w:val="00207D00"/>
    <w:rsid w:val="002105C1"/>
    <w:rsid w:val="002105C5"/>
    <w:rsid w:val="002107D0"/>
    <w:rsid w:val="00210B5B"/>
    <w:rsid w:val="002111AF"/>
    <w:rsid w:val="002116FD"/>
    <w:rsid w:val="002120D0"/>
    <w:rsid w:val="00212447"/>
    <w:rsid w:val="0021270A"/>
    <w:rsid w:val="002135B6"/>
    <w:rsid w:val="00213C0C"/>
    <w:rsid w:val="00213EF5"/>
    <w:rsid w:val="002152CA"/>
    <w:rsid w:val="00215374"/>
    <w:rsid w:val="00215B39"/>
    <w:rsid w:val="00216678"/>
    <w:rsid w:val="00216BF5"/>
    <w:rsid w:val="00217107"/>
    <w:rsid w:val="0022077D"/>
    <w:rsid w:val="00220846"/>
    <w:rsid w:val="002216BE"/>
    <w:rsid w:val="00221F4F"/>
    <w:rsid w:val="0022228E"/>
    <w:rsid w:val="00223B49"/>
    <w:rsid w:val="00223C5B"/>
    <w:rsid w:val="00223C68"/>
    <w:rsid w:val="00223D5A"/>
    <w:rsid w:val="00224859"/>
    <w:rsid w:val="00224DD4"/>
    <w:rsid w:val="0022544C"/>
    <w:rsid w:val="00225454"/>
    <w:rsid w:val="002258B6"/>
    <w:rsid w:val="00225EAE"/>
    <w:rsid w:val="00227077"/>
    <w:rsid w:val="002278A0"/>
    <w:rsid w:val="0023015F"/>
    <w:rsid w:val="002303B7"/>
    <w:rsid w:val="002309CC"/>
    <w:rsid w:val="00231068"/>
    <w:rsid w:val="0023158A"/>
    <w:rsid w:val="002316E1"/>
    <w:rsid w:val="00231BA9"/>
    <w:rsid w:val="00231C64"/>
    <w:rsid w:val="0023209F"/>
    <w:rsid w:val="00232264"/>
    <w:rsid w:val="002323BF"/>
    <w:rsid w:val="00233C01"/>
    <w:rsid w:val="0023413C"/>
    <w:rsid w:val="002346F0"/>
    <w:rsid w:val="002354DF"/>
    <w:rsid w:val="00235795"/>
    <w:rsid w:val="002357AA"/>
    <w:rsid w:val="0023619E"/>
    <w:rsid w:val="0023629D"/>
    <w:rsid w:val="00236E5E"/>
    <w:rsid w:val="00237255"/>
    <w:rsid w:val="002412F8"/>
    <w:rsid w:val="002418AE"/>
    <w:rsid w:val="002421AD"/>
    <w:rsid w:val="002424AF"/>
    <w:rsid w:val="00242B55"/>
    <w:rsid w:val="00242F9C"/>
    <w:rsid w:val="002439DC"/>
    <w:rsid w:val="00244062"/>
    <w:rsid w:val="002440C0"/>
    <w:rsid w:val="002441D2"/>
    <w:rsid w:val="00244251"/>
    <w:rsid w:val="00244442"/>
    <w:rsid w:val="00244671"/>
    <w:rsid w:val="00244BEE"/>
    <w:rsid w:val="00244DC8"/>
    <w:rsid w:val="002458BA"/>
    <w:rsid w:val="00245CE9"/>
    <w:rsid w:val="0024636C"/>
    <w:rsid w:val="0024729D"/>
    <w:rsid w:val="00247925"/>
    <w:rsid w:val="002508F0"/>
    <w:rsid w:val="00251006"/>
    <w:rsid w:val="0025111D"/>
    <w:rsid w:val="00251DBF"/>
    <w:rsid w:val="002524D5"/>
    <w:rsid w:val="0025254D"/>
    <w:rsid w:val="00252740"/>
    <w:rsid w:val="00252BBE"/>
    <w:rsid w:val="00252DF2"/>
    <w:rsid w:val="00253B1D"/>
    <w:rsid w:val="00253D66"/>
    <w:rsid w:val="00254700"/>
    <w:rsid w:val="00254A49"/>
    <w:rsid w:val="00254DCF"/>
    <w:rsid w:val="00254DF8"/>
    <w:rsid w:val="00254F50"/>
    <w:rsid w:val="0025534B"/>
    <w:rsid w:val="00255BB7"/>
    <w:rsid w:val="002560F3"/>
    <w:rsid w:val="00256B90"/>
    <w:rsid w:val="00257308"/>
    <w:rsid w:val="00257541"/>
    <w:rsid w:val="00257A39"/>
    <w:rsid w:val="00257AC4"/>
    <w:rsid w:val="00257BBE"/>
    <w:rsid w:val="0026022F"/>
    <w:rsid w:val="00261ABC"/>
    <w:rsid w:val="00261EEF"/>
    <w:rsid w:val="00262A1A"/>
    <w:rsid w:val="00262A87"/>
    <w:rsid w:val="00263B68"/>
    <w:rsid w:val="00264D26"/>
    <w:rsid w:val="0026504F"/>
    <w:rsid w:val="00265D4B"/>
    <w:rsid w:val="00266058"/>
    <w:rsid w:val="00266231"/>
    <w:rsid w:val="00267642"/>
    <w:rsid w:val="002679EF"/>
    <w:rsid w:val="00267AEA"/>
    <w:rsid w:val="00267DC7"/>
    <w:rsid w:val="00270005"/>
    <w:rsid w:val="002700E6"/>
    <w:rsid w:val="00271078"/>
    <w:rsid w:val="0027294B"/>
    <w:rsid w:val="002739B8"/>
    <w:rsid w:val="00273EB4"/>
    <w:rsid w:val="00274682"/>
    <w:rsid w:val="0027493F"/>
    <w:rsid w:val="00275158"/>
    <w:rsid w:val="0027589B"/>
    <w:rsid w:val="00275C5A"/>
    <w:rsid w:val="0027611B"/>
    <w:rsid w:val="002765CB"/>
    <w:rsid w:val="00277201"/>
    <w:rsid w:val="00277283"/>
    <w:rsid w:val="00277912"/>
    <w:rsid w:val="00277FF1"/>
    <w:rsid w:val="00281014"/>
    <w:rsid w:val="00281111"/>
    <w:rsid w:val="00281CD1"/>
    <w:rsid w:val="0028258A"/>
    <w:rsid w:val="00282767"/>
    <w:rsid w:val="002832FF"/>
    <w:rsid w:val="00283ACB"/>
    <w:rsid w:val="00284D20"/>
    <w:rsid w:val="00285A71"/>
    <w:rsid w:val="00285BCE"/>
    <w:rsid w:val="0028665D"/>
    <w:rsid w:val="0028666E"/>
    <w:rsid w:val="00286F57"/>
    <w:rsid w:val="002871B3"/>
    <w:rsid w:val="00287974"/>
    <w:rsid w:val="00291756"/>
    <w:rsid w:val="00291E96"/>
    <w:rsid w:val="00291EDC"/>
    <w:rsid w:val="00292321"/>
    <w:rsid w:val="00292630"/>
    <w:rsid w:val="002926D4"/>
    <w:rsid w:val="002930D5"/>
    <w:rsid w:val="002936C1"/>
    <w:rsid w:val="0029381D"/>
    <w:rsid w:val="00293BFB"/>
    <w:rsid w:val="00293E7D"/>
    <w:rsid w:val="002944DA"/>
    <w:rsid w:val="002947F5"/>
    <w:rsid w:val="00297CDB"/>
    <w:rsid w:val="002A0368"/>
    <w:rsid w:val="002A0574"/>
    <w:rsid w:val="002A14AB"/>
    <w:rsid w:val="002A17AE"/>
    <w:rsid w:val="002A1D66"/>
    <w:rsid w:val="002A2ADE"/>
    <w:rsid w:val="002A2C26"/>
    <w:rsid w:val="002A2F50"/>
    <w:rsid w:val="002A4032"/>
    <w:rsid w:val="002A4F01"/>
    <w:rsid w:val="002A588B"/>
    <w:rsid w:val="002A5BDC"/>
    <w:rsid w:val="002A631F"/>
    <w:rsid w:val="002A6663"/>
    <w:rsid w:val="002A6C08"/>
    <w:rsid w:val="002A716E"/>
    <w:rsid w:val="002A7498"/>
    <w:rsid w:val="002A7943"/>
    <w:rsid w:val="002A7A25"/>
    <w:rsid w:val="002A7F9F"/>
    <w:rsid w:val="002B05A1"/>
    <w:rsid w:val="002B09A4"/>
    <w:rsid w:val="002B0CD2"/>
    <w:rsid w:val="002B15CF"/>
    <w:rsid w:val="002B1C1F"/>
    <w:rsid w:val="002B2662"/>
    <w:rsid w:val="002B2E61"/>
    <w:rsid w:val="002B31C2"/>
    <w:rsid w:val="002B432F"/>
    <w:rsid w:val="002B437E"/>
    <w:rsid w:val="002B5124"/>
    <w:rsid w:val="002B59B9"/>
    <w:rsid w:val="002B5D30"/>
    <w:rsid w:val="002B62B3"/>
    <w:rsid w:val="002B6754"/>
    <w:rsid w:val="002B692F"/>
    <w:rsid w:val="002B6CCE"/>
    <w:rsid w:val="002B7847"/>
    <w:rsid w:val="002B7AF6"/>
    <w:rsid w:val="002B7D33"/>
    <w:rsid w:val="002B7F9B"/>
    <w:rsid w:val="002C0632"/>
    <w:rsid w:val="002C0A80"/>
    <w:rsid w:val="002C10A6"/>
    <w:rsid w:val="002C10BD"/>
    <w:rsid w:val="002C10E6"/>
    <w:rsid w:val="002C1415"/>
    <w:rsid w:val="002C1B99"/>
    <w:rsid w:val="002C224B"/>
    <w:rsid w:val="002C2307"/>
    <w:rsid w:val="002C23E0"/>
    <w:rsid w:val="002C2510"/>
    <w:rsid w:val="002C26A7"/>
    <w:rsid w:val="002C2775"/>
    <w:rsid w:val="002C27C1"/>
    <w:rsid w:val="002C36E3"/>
    <w:rsid w:val="002C4877"/>
    <w:rsid w:val="002C4AC7"/>
    <w:rsid w:val="002C5099"/>
    <w:rsid w:val="002C5889"/>
    <w:rsid w:val="002C6611"/>
    <w:rsid w:val="002C66A9"/>
    <w:rsid w:val="002C6A4F"/>
    <w:rsid w:val="002C71CE"/>
    <w:rsid w:val="002D08F8"/>
    <w:rsid w:val="002D170B"/>
    <w:rsid w:val="002D1973"/>
    <w:rsid w:val="002D214B"/>
    <w:rsid w:val="002D22A1"/>
    <w:rsid w:val="002D22ED"/>
    <w:rsid w:val="002D2878"/>
    <w:rsid w:val="002D37D5"/>
    <w:rsid w:val="002D4A7C"/>
    <w:rsid w:val="002D4FDE"/>
    <w:rsid w:val="002D533F"/>
    <w:rsid w:val="002D5689"/>
    <w:rsid w:val="002D577C"/>
    <w:rsid w:val="002D5AF7"/>
    <w:rsid w:val="002D5D86"/>
    <w:rsid w:val="002D5DF4"/>
    <w:rsid w:val="002D60F6"/>
    <w:rsid w:val="002D7832"/>
    <w:rsid w:val="002D7CF6"/>
    <w:rsid w:val="002E0C79"/>
    <w:rsid w:val="002E0D7F"/>
    <w:rsid w:val="002E1071"/>
    <w:rsid w:val="002E1351"/>
    <w:rsid w:val="002E1535"/>
    <w:rsid w:val="002E15B9"/>
    <w:rsid w:val="002E16FE"/>
    <w:rsid w:val="002E2158"/>
    <w:rsid w:val="002E276A"/>
    <w:rsid w:val="002E4F02"/>
    <w:rsid w:val="002E6DB8"/>
    <w:rsid w:val="002E7361"/>
    <w:rsid w:val="002E7722"/>
    <w:rsid w:val="002F0294"/>
    <w:rsid w:val="002F02EE"/>
    <w:rsid w:val="002F07BA"/>
    <w:rsid w:val="002F07BC"/>
    <w:rsid w:val="002F0B3B"/>
    <w:rsid w:val="002F0DA9"/>
    <w:rsid w:val="002F1014"/>
    <w:rsid w:val="002F1E3B"/>
    <w:rsid w:val="002F1FA3"/>
    <w:rsid w:val="002F31BE"/>
    <w:rsid w:val="002F51B1"/>
    <w:rsid w:val="002F533F"/>
    <w:rsid w:val="002F5612"/>
    <w:rsid w:val="002F58E8"/>
    <w:rsid w:val="002F61E6"/>
    <w:rsid w:val="002F643C"/>
    <w:rsid w:val="002F665A"/>
    <w:rsid w:val="002F6AFE"/>
    <w:rsid w:val="002F71C0"/>
    <w:rsid w:val="002F71F0"/>
    <w:rsid w:val="002F74F1"/>
    <w:rsid w:val="00300323"/>
    <w:rsid w:val="00300545"/>
    <w:rsid w:val="00300574"/>
    <w:rsid w:val="003005E0"/>
    <w:rsid w:val="00301017"/>
    <w:rsid w:val="0030155F"/>
    <w:rsid w:val="003031B1"/>
    <w:rsid w:val="00303489"/>
    <w:rsid w:val="00305797"/>
    <w:rsid w:val="0030587B"/>
    <w:rsid w:val="00305BC7"/>
    <w:rsid w:val="00306200"/>
    <w:rsid w:val="00306203"/>
    <w:rsid w:val="0030626F"/>
    <w:rsid w:val="003062EA"/>
    <w:rsid w:val="003063D1"/>
    <w:rsid w:val="0030644F"/>
    <w:rsid w:val="00306621"/>
    <w:rsid w:val="003067A3"/>
    <w:rsid w:val="00306A42"/>
    <w:rsid w:val="00306D98"/>
    <w:rsid w:val="003077CF"/>
    <w:rsid w:val="0030786C"/>
    <w:rsid w:val="00307CBB"/>
    <w:rsid w:val="0031031A"/>
    <w:rsid w:val="003106B5"/>
    <w:rsid w:val="00310981"/>
    <w:rsid w:val="0031146D"/>
    <w:rsid w:val="003117AC"/>
    <w:rsid w:val="00311B60"/>
    <w:rsid w:val="00311D9B"/>
    <w:rsid w:val="00311DD6"/>
    <w:rsid w:val="003124D9"/>
    <w:rsid w:val="00312594"/>
    <w:rsid w:val="00312C48"/>
    <w:rsid w:val="003149B1"/>
    <w:rsid w:val="00314DB3"/>
    <w:rsid w:val="00315498"/>
    <w:rsid w:val="00316474"/>
    <w:rsid w:val="00316C74"/>
    <w:rsid w:val="00316E22"/>
    <w:rsid w:val="00317869"/>
    <w:rsid w:val="00317EFD"/>
    <w:rsid w:val="00320587"/>
    <w:rsid w:val="00322107"/>
    <w:rsid w:val="003222FC"/>
    <w:rsid w:val="00322355"/>
    <w:rsid w:val="003227D6"/>
    <w:rsid w:val="00322846"/>
    <w:rsid w:val="003240D0"/>
    <w:rsid w:val="00324EFB"/>
    <w:rsid w:val="00325238"/>
    <w:rsid w:val="00326130"/>
    <w:rsid w:val="0032617A"/>
    <w:rsid w:val="00326DA7"/>
    <w:rsid w:val="003270E4"/>
    <w:rsid w:val="0032743E"/>
    <w:rsid w:val="00330DAA"/>
    <w:rsid w:val="00330F5C"/>
    <w:rsid w:val="003311CF"/>
    <w:rsid w:val="003312D8"/>
    <w:rsid w:val="003313EE"/>
    <w:rsid w:val="003315DF"/>
    <w:rsid w:val="00332838"/>
    <w:rsid w:val="00334D39"/>
    <w:rsid w:val="00334D58"/>
    <w:rsid w:val="00334EB4"/>
    <w:rsid w:val="00335629"/>
    <w:rsid w:val="00336051"/>
    <w:rsid w:val="0033610E"/>
    <w:rsid w:val="00336354"/>
    <w:rsid w:val="003365BF"/>
    <w:rsid w:val="003366C9"/>
    <w:rsid w:val="003371B0"/>
    <w:rsid w:val="0034002F"/>
    <w:rsid w:val="0034078D"/>
    <w:rsid w:val="00340DF1"/>
    <w:rsid w:val="0034177C"/>
    <w:rsid w:val="00341C95"/>
    <w:rsid w:val="003443F8"/>
    <w:rsid w:val="003447CE"/>
    <w:rsid w:val="00345337"/>
    <w:rsid w:val="00346948"/>
    <w:rsid w:val="00346D28"/>
    <w:rsid w:val="00347E2F"/>
    <w:rsid w:val="003504CC"/>
    <w:rsid w:val="0035154C"/>
    <w:rsid w:val="00351792"/>
    <w:rsid w:val="003517F9"/>
    <w:rsid w:val="00351BA9"/>
    <w:rsid w:val="00351F83"/>
    <w:rsid w:val="0035311B"/>
    <w:rsid w:val="003539FB"/>
    <w:rsid w:val="00353DC9"/>
    <w:rsid w:val="00354444"/>
    <w:rsid w:val="00354F64"/>
    <w:rsid w:val="00355A2D"/>
    <w:rsid w:val="00355A74"/>
    <w:rsid w:val="00356010"/>
    <w:rsid w:val="0035620E"/>
    <w:rsid w:val="00356E29"/>
    <w:rsid w:val="003575BE"/>
    <w:rsid w:val="003578D1"/>
    <w:rsid w:val="00360323"/>
    <w:rsid w:val="00360345"/>
    <w:rsid w:val="00360E9A"/>
    <w:rsid w:val="00360F90"/>
    <w:rsid w:val="00361A05"/>
    <w:rsid w:val="003624C4"/>
    <w:rsid w:val="003630A0"/>
    <w:rsid w:val="00363B00"/>
    <w:rsid w:val="003646D3"/>
    <w:rsid w:val="003654AC"/>
    <w:rsid w:val="00367D02"/>
    <w:rsid w:val="00367D84"/>
    <w:rsid w:val="00370719"/>
    <w:rsid w:val="003710CF"/>
    <w:rsid w:val="003712AC"/>
    <w:rsid w:val="0037139B"/>
    <w:rsid w:val="00371FEF"/>
    <w:rsid w:val="0037210F"/>
    <w:rsid w:val="0037279B"/>
    <w:rsid w:val="00373110"/>
    <w:rsid w:val="0037358A"/>
    <w:rsid w:val="003736D3"/>
    <w:rsid w:val="003743D6"/>
    <w:rsid w:val="003749EE"/>
    <w:rsid w:val="00374E7C"/>
    <w:rsid w:val="003750F6"/>
    <w:rsid w:val="00375BBF"/>
    <w:rsid w:val="00375F07"/>
    <w:rsid w:val="003760FC"/>
    <w:rsid w:val="00380745"/>
    <w:rsid w:val="003808A7"/>
    <w:rsid w:val="00380B7E"/>
    <w:rsid w:val="0038104D"/>
    <w:rsid w:val="003817D3"/>
    <w:rsid w:val="00381C5B"/>
    <w:rsid w:val="00381F7B"/>
    <w:rsid w:val="00382520"/>
    <w:rsid w:val="00382551"/>
    <w:rsid w:val="0038365C"/>
    <w:rsid w:val="0038369B"/>
    <w:rsid w:val="003836F9"/>
    <w:rsid w:val="00383B78"/>
    <w:rsid w:val="00384086"/>
    <w:rsid w:val="003846D9"/>
    <w:rsid w:val="00384C2D"/>
    <w:rsid w:val="00385A9D"/>
    <w:rsid w:val="00386610"/>
    <w:rsid w:val="003869CA"/>
    <w:rsid w:val="00387076"/>
    <w:rsid w:val="003870AB"/>
    <w:rsid w:val="00387121"/>
    <w:rsid w:val="003902B1"/>
    <w:rsid w:val="0039038D"/>
    <w:rsid w:val="0039077D"/>
    <w:rsid w:val="003914F2"/>
    <w:rsid w:val="0039179C"/>
    <w:rsid w:val="00391B31"/>
    <w:rsid w:val="0039258B"/>
    <w:rsid w:val="003929CD"/>
    <w:rsid w:val="003940F3"/>
    <w:rsid w:val="0039477C"/>
    <w:rsid w:val="0039495C"/>
    <w:rsid w:val="00395075"/>
    <w:rsid w:val="00395231"/>
    <w:rsid w:val="00396639"/>
    <w:rsid w:val="00396896"/>
    <w:rsid w:val="00396CF2"/>
    <w:rsid w:val="00396FD0"/>
    <w:rsid w:val="00397131"/>
    <w:rsid w:val="00397379"/>
    <w:rsid w:val="003977C0"/>
    <w:rsid w:val="00397946"/>
    <w:rsid w:val="003A0772"/>
    <w:rsid w:val="003A085A"/>
    <w:rsid w:val="003A0A6A"/>
    <w:rsid w:val="003A10D4"/>
    <w:rsid w:val="003A1732"/>
    <w:rsid w:val="003A1A7A"/>
    <w:rsid w:val="003A2392"/>
    <w:rsid w:val="003A26AD"/>
    <w:rsid w:val="003A2831"/>
    <w:rsid w:val="003A297D"/>
    <w:rsid w:val="003A2DC5"/>
    <w:rsid w:val="003A3669"/>
    <w:rsid w:val="003A3CB6"/>
    <w:rsid w:val="003A3ED1"/>
    <w:rsid w:val="003A44DB"/>
    <w:rsid w:val="003A4BE8"/>
    <w:rsid w:val="003A4C14"/>
    <w:rsid w:val="003A4D81"/>
    <w:rsid w:val="003A57D5"/>
    <w:rsid w:val="003A7051"/>
    <w:rsid w:val="003B0222"/>
    <w:rsid w:val="003B15C9"/>
    <w:rsid w:val="003B1A78"/>
    <w:rsid w:val="003B364B"/>
    <w:rsid w:val="003B3971"/>
    <w:rsid w:val="003B3AD9"/>
    <w:rsid w:val="003B3D1D"/>
    <w:rsid w:val="003B4837"/>
    <w:rsid w:val="003B4E24"/>
    <w:rsid w:val="003B53F2"/>
    <w:rsid w:val="003B55D1"/>
    <w:rsid w:val="003B5B61"/>
    <w:rsid w:val="003B7303"/>
    <w:rsid w:val="003B7847"/>
    <w:rsid w:val="003C041A"/>
    <w:rsid w:val="003C1481"/>
    <w:rsid w:val="003C1654"/>
    <w:rsid w:val="003C323D"/>
    <w:rsid w:val="003C397A"/>
    <w:rsid w:val="003C3EFB"/>
    <w:rsid w:val="003C4465"/>
    <w:rsid w:val="003C4D3B"/>
    <w:rsid w:val="003C5542"/>
    <w:rsid w:val="003C5694"/>
    <w:rsid w:val="003C5881"/>
    <w:rsid w:val="003C6840"/>
    <w:rsid w:val="003C7C15"/>
    <w:rsid w:val="003C7CE9"/>
    <w:rsid w:val="003C7D19"/>
    <w:rsid w:val="003C7D2F"/>
    <w:rsid w:val="003D0B60"/>
    <w:rsid w:val="003D0C5A"/>
    <w:rsid w:val="003D0CCA"/>
    <w:rsid w:val="003D1828"/>
    <w:rsid w:val="003D1DE4"/>
    <w:rsid w:val="003D1E9A"/>
    <w:rsid w:val="003D2422"/>
    <w:rsid w:val="003D2FC7"/>
    <w:rsid w:val="003D39A1"/>
    <w:rsid w:val="003D3FBF"/>
    <w:rsid w:val="003D4A30"/>
    <w:rsid w:val="003D59E8"/>
    <w:rsid w:val="003D7428"/>
    <w:rsid w:val="003D7452"/>
    <w:rsid w:val="003D74B5"/>
    <w:rsid w:val="003D79BB"/>
    <w:rsid w:val="003D7C98"/>
    <w:rsid w:val="003D7D9D"/>
    <w:rsid w:val="003E00AD"/>
    <w:rsid w:val="003E0543"/>
    <w:rsid w:val="003E1DD7"/>
    <w:rsid w:val="003E2024"/>
    <w:rsid w:val="003E2409"/>
    <w:rsid w:val="003E2648"/>
    <w:rsid w:val="003E27FE"/>
    <w:rsid w:val="003E48BE"/>
    <w:rsid w:val="003E5603"/>
    <w:rsid w:val="003E564B"/>
    <w:rsid w:val="003E6144"/>
    <w:rsid w:val="003E637B"/>
    <w:rsid w:val="003E749E"/>
    <w:rsid w:val="003F1F90"/>
    <w:rsid w:val="003F2DC6"/>
    <w:rsid w:val="003F3340"/>
    <w:rsid w:val="003F3ACC"/>
    <w:rsid w:val="003F4156"/>
    <w:rsid w:val="003F4BB8"/>
    <w:rsid w:val="003F5ADF"/>
    <w:rsid w:val="003F648F"/>
    <w:rsid w:val="003F6AC7"/>
    <w:rsid w:val="003F7038"/>
    <w:rsid w:val="003F708F"/>
    <w:rsid w:val="00400784"/>
    <w:rsid w:val="00400B29"/>
    <w:rsid w:val="004015AC"/>
    <w:rsid w:val="0040163A"/>
    <w:rsid w:val="004016CA"/>
    <w:rsid w:val="00401847"/>
    <w:rsid w:val="00401B2C"/>
    <w:rsid w:val="00402182"/>
    <w:rsid w:val="0040258E"/>
    <w:rsid w:val="00402812"/>
    <w:rsid w:val="00403246"/>
    <w:rsid w:val="004033CB"/>
    <w:rsid w:val="00404A6F"/>
    <w:rsid w:val="0040504B"/>
    <w:rsid w:val="00405133"/>
    <w:rsid w:val="004059F4"/>
    <w:rsid w:val="00406197"/>
    <w:rsid w:val="00406518"/>
    <w:rsid w:val="00406680"/>
    <w:rsid w:val="0040701F"/>
    <w:rsid w:val="00407694"/>
    <w:rsid w:val="00407FE5"/>
    <w:rsid w:val="004101B0"/>
    <w:rsid w:val="00410326"/>
    <w:rsid w:val="00410708"/>
    <w:rsid w:val="00410EC7"/>
    <w:rsid w:val="00410F52"/>
    <w:rsid w:val="0041163A"/>
    <w:rsid w:val="00411AB2"/>
    <w:rsid w:val="00411B39"/>
    <w:rsid w:val="004127A7"/>
    <w:rsid w:val="0041317C"/>
    <w:rsid w:val="00413652"/>
    <w:rsid w:val="00413A1E"/>
    <w:rsid w:val="00414476"/>
    <w:rsid w:val="00414C2E"/>
    <w:rsid w:val="00415057"/>
    <w:rsid w:val="004151CF"/>
    <w:rsid w:val="00416364"/>
    <w:rsid w:val="0041682E"/>
    <w:rsid w:val="0042047F"/>
    <w:rsid w:val="00420AA6"/>
    <w:rsid w:val="00420AB6"/>
    <w:rsid w:val="00420B9F"/>
    <w:rsid w:val="00420D2C"/>
    <w:rsid w:val="00420FB7"/>
    <w:rsid w:val="0042192C"/>
    <w:rsid w:val="00422260"/>
    <w:rsid w:val="00422447"/>
    <w:rsid w:val="0042413F"/>
    <w:rsid w:val="00425B54"/>
    <w:rsid w:val="00425C3E"/>
    <w:rsid w:val="004265A7"/>
    <w:rsid w:val="00426EDD"/>
    <w:rsid w:val="00427B7C"/>
    <w:rsid w:val="00431195"/>
    <w:rsid w:val="004319F8"/>
    <w:rsid w:val="00431CBE"/>
    <w:rsid w:val="00431E55"/>
    <w:rsid w:val="004321F6"/>
    <w:rsid w:val="004326B0"/>
    <w:rsid w:val="004327BA"/>
    <w:rsid w:val="004327CA"/>
    <w:rsid w:val="00433044"/>
    <w:rsid w:val="00433764"/>
    <w:rsid w:val="00433CDB"/>
    <w:rsid w:val="00433CEE"/>
    <w:rsid w:val="00433F4E"/>
    <w:rsid w:val="00434088"/>
    <w:rsid w:val="004342AE"/>
    <w:rsid w:val="00435340"/>
    <w:rsid w:val="00435E37"/>
    <w:rsid w:val="00435FD1"/>
    <w:rsid w:val="00436B87"/>
    <w:rsid w:val="004375B9"/>
    <w:rsid w:val="004378A7"/>
    <w:rsid w:val="00437E55"/>
    <w:rsid w:val="0044057F"/>
    <w:rsid w:val="00440B52"/>
    <w:rsid w:val="00440D7B"/>
    <w:rsid w:val="00441F15"/>
    <w:rsid w:val="004421FF"/>
    <w:rsid w:val="004428D0"/>
    <w:rsid w:val="00442F29"/>
    <w:rsid w:val="00443BC7"/>
    <w:rsid w:val="00444185"/>
    <w:rsid w:val="004443A7"/>
    <w:rsid w:val="0044442C"/>
    <w:rsid w:val="00444C4C"/>
    <w:rsid w:val="004457E9"/>
    <w:rsid w:val="00445941"/>
    <w:rsid w:val="0044633C"/>
    <w:rsid w:val="004464EB"/>
    <w:rsid w:val="00446D30"/>
    <w:rsid w:val="00447D26"/>
    <w:rsid w:val="00447DFC"/>
    <w:rsid w:val="00450308"/>
    <w:rsid w:val="00450607"/>
    <w:rsid w:val="00450C6B"/>
    <w:rsid w:val="0045188E"/>
    <w:rsid w:val="0045203E"/>
    <w:rsid w:val="00452547"/>
    <w:rsid w:val="0045300F"/>
    <w:rsid w:val="00453F12"/>
    <w:rsid w:val="004542D0"/>
    <w:rsid w:val="0045436E"/>
    <w:rsid w:val="0045497C"/>
    <w:rsid w:val="004550B3"/>
    <w:rsid w:val="004558CD"/>
    <w:rsid w:val="00455CE3"/>
    <w:rsid w:val="00455D45"/>
    <w:rsid w:val="00457222"/>
    <w:rsid w:val="00457631"/>
    <w:rsid w:val="004603D3"/>
    <w:rsid w:val="00460599"/>
    <w:rsid w:val="0046211B"/>
    <w:rsid w:val="00464595"/>
    <w:rsid w:val="0046465B"/>
    <w:rsid w:val="004646BF"/>
    <w:rsid w:val="004658B5"/>
    <w:rsid w:val="004659B0"/>
    <w:rsid w:val="00465AC5"/>
    <w:rsid w:val="00466119"/>
    <w:rsid w:val="0046709A"/>
    <w:rsid w:val="00467475"/>
    <w:rsid w:val="00467F34"/>
    <w:rsid w:val="00471EA5"/>
    <w:rsid w:val="004725E8"/>
    <w:rsid w:val="0047261E"/>
    <w:rsid w:val="00472A79"/>
    <w:rsid w:val="00472AE9"/>
    <w:rsid w:val="00472CC5"/>
    <w:rsid w:val="004739C7"/>
    <w:rsid w:val="00473ED3"/>
    <w:rsid w:val="00473F19"/>
    <w:rsid w:val="0047449A"/>
    <w:rsid w:val="00474DC7"/>
    <w:rsid w:val="0047582E"/>
    <w:rsid w:val="00475E22"/>
    <w:rsid w:val="004766CC"/>
    <w:rsid w:val="004767B8"/>
    <w:rsid w:val="00476DFD"/>
    <w:rsid w:val="0048010D"/>
    <w:rsid w:val="004805E0"/>
    <w:rsid w:val="0048088E"/>
    <w:rsid w:val="00480F2B"/>
    <w:rsid w:val="00481302"/>
    <w:rsid w:val="004813A5"/>
    <w:rsid w:val="004817C7"/>
    <w:rsid w:val="00481DB4"/>
    <w:rsid w:val="00481E8B"/>
    <w:rsid w:val="00482720"/>
    <w:rsid w:val="004829E0"/>
    <w:rsid w:val="004835E7"/>
    <w:rsid w:val="00484291"/>
    <w:rsid w:val="004847E7"/>
    <w:rsid w:val="0048504B"/>
    <w:rsid w:val="00485139"/>
    <w:rsid w:val="004859E1"/>
    <w:rsid w:val="00485C0D"/>
    <w:rsid w:val="00486553"/>
    <w:rsid w:val="004867E2"/>
    <w:rsid w:val="004870B1"/>
    <w:rsid w:val="004906E2"/>
    <w:rsid w:val="00490B17"/>
    <w:rsid w:val="004914DB"/>
    <w:rsid w:val="0049182F"/>
    <w:rsid w:val="00491972"/>
    <w:rsid w:val="00491B3A"/>
    <w:rsid w:val="0049208B"/>
    <w:rsid w:val="00492CFD"/>
    <w:rsid w:val="00494207"/>
    <w:rsid w:val="004947EE"/>
    <w:rsid w:val="00494DD5"/>
    <w:rsid w:val="00495DB5"/>
    <w:rsid w:val="00495EDD"/>
    <w:rsid w:val="004962D2"/>
    <w:rsid w:val="0049773A"/>
    <w:rsid w:val="00497BCF"/>
    <w:rsid w:val="004A0A42"/>
    <w:rsid w:val="004A0DA1"/>
    <w:rsid w:val="004A13D6"/>
    <w:rsid w:val="004A14A7"/>
    <w:rsid w:val="004A1BE0"/>
    <w:rsid w:val="004A45D3"/>
    <w:rsid w:val="004A506D"/>
    <w:rsid w:val="004A52E9"/>
    <w:rsid w:val="004A58F3"/>
    <w:rsid w:val="004A5F24"/>
    <w:rsid w:val="004A6040"/>
    <w:rsid w:val="004A6597"/>
    <w:rsid w:val="004A708D"/>
    <w:rsid w:val="004A77DA"/>
    <w:rsid w:val="004A7848"/>
    <w:rsid w:val="004A793B"/>
    <w:rsid w:val="004A7B27"/>
    <w:rsid w:val="004B1CB4"/>
    <w:rsid w:val="004B1D12"/>
    <w:rsid w:val="004B2B19"/>
    <w:rsid w:val="004B2F18"/>
    <w:rsid w:val="004B3129"/>
    <w:rsid w:val="004B336B"/>
    <w:rsid w:val="004B397A"/>
    <w:rsid w:val="004B3DDB"/>
    <w:rsid w:val="004B44FD"/>
    <w:rsid w:val="004B4BAE"/>
    <w:rsid w:val="004B5CFC"/>
    <w:rsid w:val="004B5EDD"/>
    <w:rsid w:val="004B5FED"/>
    <w:rsid w:val="004B6DFC"/>
    <w:rsid w:val="004B6E4B"/>
    <w:rsid w:val="004B6F79"/>
    <w:rsid w:val="004B774D"/>
    <w:rsid w:val="004B7A35"/>
    <w:rsid w:val="004C0148"/>
    <w:rsid w:val="004C1507"/>
    <w:rsid w:val="004C221B"/>
    <w:rsid w:val="004C2AC2"/>
    <w:rsid w:val="004C35A5"/>
    <w:rsid w:val="004C35A9"/>
    <w:rsid w:val="004C3B02"/>
    <w:rsid w:val="004C4AED"/>
    <w:rsid w:val="004C5614"/>
    <w:rsid w:val="004C5AAB"/>
    <w:rsid w:val="004C7260"/>
    <w:rsid w:val="004C79C4"/>
    <w:rsid w:val="004D251A"/>
    <w:rsid w:val="004D2527"/>
    <w:rsid w:val="004D2C2D"/>
    <w:rsid w:val="004D3D6A"/>
    <w:rsid w:val="004D4E24"/>
    <w:rsid w:val="004D4E58"/>
    <w:rsid w:val="004D5002"/>
    <w:rsid w:val="004D53A9"/>
    <w:rsid w:val="004D5522"/>
    <w:rsid w:val="004D5C5C"/>
    <w:rsid w:val="004D607C"/>
    <w:rsid w:val="004D69B5"/>
    <w:rsid w:val="004D6D1D"/>
    <w:rsid w:val="004D7227"/>
    <w:rsid w:val="004D7490"/>
    <w:rsid w:val="004D7B5E"/>
    <w:rsid w:val="004D7D45"/>
    <w:rsid w:val="004E0E7F"/>
    <w:rsid w:val="004E0EB8"/>
    <w:rsid w:val="004E1004"/>
    <w:rsid w:val="004E18E9"/>
    <w:rsid w:val="004E2468"/>
    <w:rsid w:val="004E2ADC"/>
    <w:rsid w:val="004E31A6"/>
    <w:rsid w:val="004E327F"/>
    <w:rsid w:val="004E38AD"/>
    <w:rsid w:val="004E43B2"/>
    <w:rsid w:val="004E53C2"/>
    <w:rsid w:val="004E757F"/>
    <w:rsid w:val="004E7BF8"/>
    <w:rsid w:val="004E7C5C"/>
    <w:rsid w:val="004F0948"/>
    <w:rsid w:val="004F0A20"/>
    <w:rsid w:val="004F1D02"/>
    <w:rsid w:val="004F1EA9"/>
    <w:rsid w:val="004F2679"/>
    <w:rsid w:val="004F26A1"/>
    <w:rsid w:val="004F2F21"/>
    <w:rsid w:val="004F3DE5"/>
    <w:rsid w:val="004F4659"/>
    <w:rsid w:val="004F48AE"/>
    <w:rsid w:val="004F638E"/>
    <w:rsid w:val="004F6913"/>
    <w:rsid w:val="004F6F7E"/>
    <w:rsid w:val="004F6FB1"/>
    <w:rsid w:val="004F7371"/>
    <w:rsid w:val="004F7479"/>
    <w:rsid w:val="004F7865"/>
    <w:rsid w:val="004F7CE5"/>
    <w:rsid w:val="004F7EB3"/>
    <w:rsid w:val="005000FC"/>
    <w:rsid w:val="00500145"/>
    <w:rsid w:val="0050174E"/>
    <w:rsid w:val="00501854"/>
    <w:rsid w:val="00502108"/>
    <w:rsid w:val="0050219B"/>
    <w:rsid w:val="00502D89"/>
    <w:rsid w:val="0050336A"/>
    <w:rsid w:val="00503447"/>
    <w:rsid w:val="00503F17"/>
    <w:rsid w:val="00503F3A"/>
    <w:rsid w:val="00506663"/>
    <w:rsid w:val="00506928"/>
    <w:rsid w:val="00506A9E"/>
    <w:rsid w:val="0050742E"/>
    <w:rsid w:val="0050758B"/>
    <w:rsid w:val="005077EF"/>
    <w:rsid w:val="0051037B"/>
    <w:rsid w:val="00511AD5"/>
    <w:rsid w:val="00511D9B"/>
    <w:rsid w:val="00511DC7"/>
    <w:rsid w:val="005141D1"/>
    <w:rsid w:val="005142C5"/>
    <w:rsid w:val="0051501B"/>
    <w:rsid w:val="005150D9"/>
    <w:rsid w:val="005152B5"/>
    <w:rsid w:val="005156CA"/>
    <w:rsid w:val="00515886"/>
    <w:rsid w:val="00516A90"/>
    <w:rsid w:val="0052123C"/>
    <w:rsid w:val="00521319"/>
    <w:rsid w:val="00521B6A"/>
    <w:rsid w:val="0052201B"/>
    <w:rsid w:val="00522BC8"/>
    <w:rsid w:val="00523516"/>
    <w:rsid w:val="00523C28"/>
    <w:rsid w:val="0052468B"/>
    <w:rsid w:val="005251DF"/>
    <w:rsid w:val="0052567F"/>
    <w:rsid w:val="00525CD8"/>
    <w:rsid w:val="00526177"/>
    <w:rsid w:val="00526648"/>
    <w:rsid w:val="00526B1E"/>
    <w:rsid w:val="00527602"/>
    <w:rsid w:val="00530597"/>
    <w:rsid w:val="00530841"/>
    <w:rsid w:val="00530FD7"/>
    <w:rsid w:val="0053143E"/>
    <w:rsid w:val="00531619"/>
    <w:rsid w:val="0053176B"/>
    <w:rsid w:val="00531B0F"/>
    <w:rsid w:val="00531B73"/>
    <w:rsid w:val="00531E3F"/>
    <w:rsid w:val="00531EA6"/>
    <w:rsid w:val="0053278D"/>
    <w:rsid w:val="00532995"/>
    <w:rsid w:val="00534112"/>
    <w:rsid w:val="005341B3"/>
    <w:rsid w:val="00534526"/>
    <w:rsid w:val="00534D06"/>
    <w:rsid w:val="00535114"/>
    <w:rsid w:val="005358E7"/>
    <w:rsid w:val="00536F42"/>
    <w:rsid w:val="00537182"/>
    <w:rsid w:val="0053719B"/>
    <w:rsid w:val="00540239"/>
    <w:rsid w:val="005407F6"/>
    <w:rsid w:val="00541387"/>
    <w:rsid w:val="00541DCF"/>
    <w:rsid w:val="00541EDD"/>
    <w:rsid w:val="00542743"/>
    <w:rsid w:val="005427BB"/>
    <w:rsid w:val="00542C2D"/>
    <w:rsid w:val="0054306E"/>
    <w:rsid w:val="00543241"/>
    <w:rsid w:val="00545367"/>
    <w:rsid w:val="005457F7"/>
    <w:rsid w:val="005478BD"/>
    <w:rsid w:val="005479E3"/>
    <w:rsid w:val="00551047"/>
    <w:rsid w:val="005512C1"/>
    <w:rsid w:val="005513FD"/>
    <w:rsid w:val="00551985"/>
    <w:rsid w:val="00551F08"/>
    <w:rsid w:val="0055298B"/>
    <w:rsid w:val="00552ACA"/>
    <w:rsid w:val="00552BD3"/>
    <w:rsid w:val="00552C11"/>
    <w:rsid w:val="00553027"/>
    <w:rsid w:val="00553051"/>
    <w:rsid w:val="005531CC"/>
    <w:rsid w:val="005532A0"/>
    <w:rsid w:val="005532BB"/>
    <w:rsid w:val="00554F64"/>
    <w:rsid w:val="00555109"/>
    <w:rsid w:val="00555354"/>
    <w:rsid w:val="00556B35"/>
    <w:rsid w:val="00556FB1"/>
    <w:rsid w:val="0055706B"/>
    <w:rsid w:val="0055741A"/>
    <w:rsid w:val="005579C9"/>
    <w:rsid w:val="005603C3"/>
    <w:rsid w:val="005611B7"/>
    <w:rsid w:val="005618D4"/>
    <w:rsid w:val="00561E5C"/>
    <w:rsid w:val="00563C71"/>
    <w:rsid w:val="00563E4B"/>
    <w:rsid w:val="00564867"/>
    <w:rsid w:val="005648FF"/>
    <w:rsid w:val="00564FFE"/>
    <w:rsid w:val="005652E9"/>
    <w:rsid w:val="00565571"/>
    <w:rsid w:val="00565C79"/>
    <w:rsid w:val="00565DF0"/>
    <w:rsid w:val="00565F55"/>
    <w:rsid w:val="0056696F"/>
    <w:rsid w:val="00567AC2"/>
    <w:rsid w:val="00567BAF"/>
    <w:rsid w:val="005701EF"/>
    <w:rsid w:val="00570520"/>
    <w:rsid w:val="00570F55"/>
    <w:rsid w:val="00571550"/>
    <w:rsid w:val="005715FD"/>
    <w:rsid w:val="00572269"/>
    <w:rsid w:val="0057244A"/>
    <w:rsid w:val="00572BAD"/>
    <w:rsid w:val="00572F26"/>
    <w:rsid w:val="005734BE"/>
    <w:rsid w:val="005738E9"/>
    <w:rsid w:val="005739C8"/>
    <w:rsid w:val="0057486D"/>
    <w:rsid w:val="005750C5"/>
    <w:rsid w:val="00575179"/>
    <w:rsid w:val="005752DE"/>
    <w:rsid w:val="00575D60"/>
    <w:rsid w:val="00575D8D"/>
    <w:rsid w:val="005767E5"/>
    <w:rsid w:val="00576972"/>
    <w:rsid w:val="00577248"/>
    <w:rsid w:val="00577529"/>
    <w:rsid w:val="0057764E"/>
    <w:rsid w:val="00582427"/>
    <w:rsid w:val="00582862"/>
    <w:rsid w:val="005829C9"/>
    <w:rsid w:val="00583699"/>
    <w:rsid w:val="00584128"/>
    <w:rsid w:val="0058492F"/>
    <w:rsid w:val="00584C3D"/>
    <w:rsid w:val="00585553"/>
    <w:rsid w:val="005858C7"/>
    <w:rsid w:val="00585CDD"/>
    <w:rsid w:val="005863B6"/>
    <w:rsid w:val="0058693F"/>
    <w:rsid w:val="00586982"/>
    <w:rsid w:val="00587058"/>
    <w:rsid w:val="00587E8C"/>
    <w:rsid w:val="00590B22"/>
    <w:rsid w:val="00591957"/>
    <w:rsid w:val="005925B9"/>
    <w:rsid w:val="00592733"/>
    <w:rsid w:val="00592C24"/>
    <w:rsid w:val="005936F0"/>
    <w:rsid w:val="005939BE"/>
    <w:rsid w:val="0059449B"/>
    <w:rsid w:val="0059538F"/>
    <w:rsid w:val="005960FE"/>
    <w:rsid w:val="00596433"/>
    <w:rsid w:val="0059689D"/>
    <w:rsid w:val="00597BF9"/>
    <w:rsid w:val="00597F97"/>
    <w:rsid w:val="005A07BE"/>
    <w:rsid w:val="005A0875"/>
    <w:rsid w:val="005A0C11"/>
    <w:rsid w:val="005A10A1"/>
    <w:rsid w:val="005A13FE"/>
    <w:rsid w:val="005A194D"/>
    <w:rsid w:val="005A1D4D"/>
    <w:rsid w:val="005A2924"/>
    <w:rsid w:val="005A309A"/>
    <w:rsid w:val="005A373D"/>
    <w:rsid w:val="005A3A1F"/>
    <w:rsid w:val="005A3B40"/>
    <w:rsid w:val="005A4199"/>
    <w:rsid w:val="005A439E"/>
    <w:rsid w:val="005A48D6"/>
    <w:rsid w:val="005A51C2"/>
    <w:rsid w:val="005A62D9"/>
    <w:rsid w:val="005B0B58"/>
    <w:rsid w:val="005B187C"/>
    <w:rsid w:val="005B3347"/>
    <w:rsid w:val="005B47B1"/>
    <w:rsid w:val="005B4E53"/>
    <w:rsid w:val="005B4FEF"/>
    <w:rsid w:val="005B5177"/>
    <w:rsid w:val="005B55C8"/>
    <w:rsid w:val="005B5857"/>
    <w:rsid w:val="005B6AB9"/>
    <w:rsid w:val="005B7849"/>
    <w:rsid w:val="005B7909"/>
    <w:rsid w:val="005C041F"/>
    <w:rsid w:val="005C19C4"/>
    <w:rsid w:val="005C1B83"/>
    <w:rsid w:val="005C2253"/>
    <w:rsid w:val="005C25FF"/>
    <w:rsid w:val="005C281B"/>
    <w:rsid w:val="005C2D55"/>
    <w:rsid w:val="005C346B"/>
    <w:rsid w:val="005C3584"/>
    <w:rsid w:val="005C3AEF"/>
    <w:rsid w:val="005C487F"/>
    <w:rsid w:val="005C4B4D"/>
    <w:rsid w:val="005C4C1E"/>
    <w:rsid w:val="005C5ABC"/>
    <w:rsid w:val="005C76E0"/>
    <w:rsid w:val="005C7748"/>
    <w:rsid w:val="005D044D"/>
    <w:rsid w:val="005D0886"/>
    <w:rsid w:val="005D0ABD"/>
    <w:rsid w:val="005D0C0C"/>
    <w:rsid w:val="005D18AD"/>
    <w:rsid w:val="005D266C"/>
    <w:rsid w:val="005D2688"/>
    <w:rsid w:val="005D26B4"/>
    <w:rsid w:val="005D2B75"/>
    <w:rsid w:val="005D4BB8"/>
    <w:rsid w:val="005D5B90"/>
    <w:rsid w:val="005D6D98"/>
    <w:rsid w:val="005E01D2"/>
    <w:rsid w:val="005E0B69"/>
    <w:rsid w:val="005E1058"/>
    <w:rsid w:val="005E1359"/>
    <w:rsid w:val="005E1605"/>
    <w:rsid w:val="005E1995"/>
    <w:rsid w:val="005E1D3B"/>
    <w:rsid w:val="005E20FD"/>
    <w:rsid w:val="005E266A"/>
    <w:rsid w:val="005E2C39"/>
    <w:rsid w:val="005E2CEF"/>
    <w:rsid w:val="005E367C"/>
    <w:rsid w:val="005E4C90"/>
    <w:rsid w:val="005E4E39"/>
    <w:rsid w:val="005E6012"/>
    <w:rsid w:val="005E6CBC"/>
    <w:rsid w:val="005E72FF"/>
    <w:rsid w:val="005E73C0"/>
    <w:rsid w:val="005F05F9"/>
    <w:rsid w:val="005F07ED"/>
    <w:rsid w:val="005F2706"/>
    <w:rsid w:val="005F3440"/>
    <w:rsid w:val="005F3CD4"/>
    <w:rsid w:val="005F4B34"/>
    <w:rsid w:val="005F4F84"/>
    <w:rsid w:val="005F6051"/>
    <w:rsid w:val="005F63A7"/>
    <w:rsid w:val="005F67D1"/>
    <w:rsid w:val="005F6A8F"/>
    <w:rsid w:val="005F6BB7"/>
    <w:rsid w:val="005F728E"/>
    <w:rsid w:val="005F7588"/>
    <w:rsid w:val="00600C8A"/>
    <w:rsid w:val="006018E8"/>
    <w:rsid w:val="00601FE9"/>
    <w:rsid w:val="006020AC"/>
    <w:rsid w:val="006028D3"/>
    <w:rsid w:val="00603AE1"/>
    <w:rsid w:val="00603DB9"/>
    <w:rsid w:val="00604132"/>
    <w:rsid w:val="0060482A"/>
    <w:rsid w:val="00604A06"/>
    <w:rsid w:val="00604F56"/>
    <w:rsid w:val="006060FC"/>
    <w:rsid w:val="0060690C"/>
    <w:rsid w:val="00606FBA"/>
    <w:rsid w:val="00607669"/>
    <w:rsid w:val="006076F4"/>
    <w:rsid w:val="006079D7"/>
    <w:rsid w:val="00607AFD"/>
    <w:rsid w:val="006101A1"/>
    <w:rsid w:val="00610997"/>
    <w:rsid w:val="00611B12"/>
    <w:rsid w:val="00611E07"/>
    <w:rsid w:val="00611FAB"/>
    <w:rsid w:val="00612F97"/>
    <w:rsid w:val="006133D8"/>
    <w:rsid w:val="0061345D"/>
    <w:rsid w:val="0061549B"/>
    <w:rsid w:val="0061629B"/>
    <w:rsid w:val="00616802"/>
    <w:rsid w:val="00616CBB"/>
    <w:rsid w:val="00616DB5"/>
    <w:rsid w:val="00617E12"/>
    <w:rsid w:val="006206EF"/>
    <w:rsid w:val="006207FA"/>
    <w:rsid w:val="00620BBA"/>
    <w:rsid w:val="00620C25"/>
    <w:rsid w:val="0062139C"/>
    <w:rsid w:val="00621477"/>
    <w:rsid w:val="00621662"/>
    <w:rsid w:val="00621ADA"/>
    <w:rsid w:val="00622DB6"/>
    <w:rsid w:val="006235DF"/>
    <w:rsid w:val="0062397B"/>
    <w:rsid w:val="00623F7B"/>
    <w:rsid w:val="0062485A"/>
    <w:rsid w:val="00624BD4"/>
    <w:rsid w:val="0062591A"/>
    <w:rsid w:val="00626967"/>
    <w:rsid w:val="00626D6C"/>
    <w:rsid w:val="006303F7"/>
    <w:rsid w:val="0063064D"/>
    <w:rsid w:val="0063158F"/>
    <w:rsid w:val="006317B2"/>
    <w:rsid w:val="00631B2B"/>
    <w:rsid w:val="00631D6B"/>
    <w:rsid w:val="00632183"/>
    <w:rsid w:val="006322A9"/>
    <w:rsid w:val="006326F3"/>
    <w:rsid w:val="0063290B"/>
    <w:rsid w:val="006329EB"/>
    <w:rsid w:val="00632BFB"/>
    <w:rsid w:val="00632D00"/>
    <w:rsid w:val="006330A1"/>
    <w:rsid w:val="00633FD7"/>
    <w:rsid w:val="00634046"/>
    <w:rsid w:val="0063455B"/>
    <w:rsid w:val="0063461E"/>
    <w:rsid w:val="0063470C"/>
    <w:rsid w:val="0063479F"/>
    <w:rsid w:val="006353F0"/>
    <w:rsid w:val="006357B5"/>
    <w:rsid w:val="00635C50"/>
    <w:rsid w:val="00636074"/>
    <w:rsid w:val="006364A1"/>
    <w:rsid w:val="0063678E"/>
    <w:rsid w:val="006373F2"/>
    <w:rsid w:val="006375DC"/>
    <w:rsid w:val="00637BFD"/>
    <w:rsid w:val="00637C5C"/>
    <w:rsid w:val="00640013"/>
    <w:rsid w:val="00640043"/>
    <w:rsid w:val="00641007"/>
    <w:rsid w:val="006414AD"/>
    <w:rsid w:val="00641C42"/>
    <w:rsid w:val="00641C4E"/>
    <w:rsid w:val="00641FB3"/>
    <w:rsid w:val="006427EB"/>
    <w:rsid w:val="00643EF1"/>
    <w:rsid w:val="0064409D"/>
    <w:rsid w:val="0064434C"/>
    <w:rsid w:val="00645083"/>
    <w:rsid w:val="00646669"/>
    <w:rsid w:val="0064666A"/>
    <w:rsid w:val="006471CC"/>
    <w:rsid w:val="006472FE"/>
    <w:rsid w:val="00647594"/>
    <w:rsid w:val="00647692"/>
    <w:rsid w:val="00647A29"/>
    <w:rsid w:val="0065079F"/>
    <w:rsid w:val="00651FA5"/>
    <w:rsid w:val="00652154"/>
    <w:rsid w:val="00652320"/>
    <w:rsid w:val="00652A28"/>
    <w:rsid w:val="00652E5D"/>
    <w:rsid w:val="00653655"/>
    <w:rsid w:val="0065379F"/>
    <w:rsid w:val="006537ED"/>
    <w:rsid w:val="00653902"/>
    <w:rsid w:val="00655D50"/>
    <w:rsid w:val="00656188"/>
    <w:rsid w:val="00656B63"/>
    <w:rsid w:val="0065715A"/>
    <w:rsid w:val="00657A1E"/>
    <w:rsid w:val="00660408"/>
    <w:rsid w:val="00660778"/>
    <w:rsid w:val="006610F1"/>
    <w:rsid w:val="00661C6B"/>
    <w:rsid w:val="00662D3E"/>
    <w:rsid w:val="00662DF3"/>
    <w:rsid w:val="00663401"/>
    <w:rsid w:val="00665B6C"/>
    <w:rsid w:val="006678B4"/>
    <w:rsid w:val="00667AC5"/>
    <w:rsid w:val="00667BE3"/>
    <w:rsid w:val="00671004"/>
    <w:rsid w:val="00671742"/>
    <w:rsid w:val="00671AC7"/>
    <w:rsid w:val="00672518"/>
    <w:rsid w:val="00672646"/>
    <w:rsid w:val="00672A35"/>
    <w:rsid w:val="00672A91"/>
    <w:rsid w:val="00672F5B"/>
    <w:rsid w:val="0067382E"/>
    <w:rsid w:val="00673A94"/>
    <w:rsid w:val="00673FC2"/>
    <w:rsid w:val="00674390"/>
    <w:rsid w:val="00674835"/>
    <w:rsid w:val="006748C9"/>
    <w:rsid w:val="00674E42"/>
    <w:rsid w:val="00675637"/>
    <w:rsid w:val="0067570A"/>
    <w:rsid w:val="0067577F"/>
    <w:rsid w:val="00675DAB"/>
    <w:rsid w:val="006764C5"/>
    <w:rsid w:val="00676563"/>
    <w:rsid w:val="00676B5A"/>
    <w:rsid w:val="00676B7A"/>
    <w:rsid w:val="006807D9"/>
    <w:rsid w:val="00680B09"/>
    <w:rsid w:val="00680E06"/>
    <w:rsid w:val="006811C0"/>
    <w:rsid w:val="006813F8"/>
    <w:rsid w:val="006814C4"/>
    <w:rsid w:val="00682112"/>
    <w:rsid w:val="006826B9"/>
    <w:rsid w:val="00682BA6"/>
    <w:rsid w:val="00682C94"/>
    <w:rsid w:val="00683C24"/>
    <w:rsid w:val="00683D20"/>
    <w:rsid w:val="006840B2"/>
    <w:rsid w:val="00685ABD"/>
    <w:rsid w:val="00685F39"/>
    <w:rsid w:val="00686064"/>
    <w:rsid w:val="00686957"/>
    <w:rsid w:val="00686F63"/>
    <w:rsid w:val="006872BA"/>
    <w:rsid w:val="00687E51"/>
    <w:rsid w:val="00687E6C"/>
    <w:rsid w:val="00690795"/>
    <w:rsid w:val="00691180"/>
    <w:rsid w:val="00691648"/>
    <w:rsid w:val="006917D7"/>
    <w:rsid w:val="00691DA6"/>
    <w:rsid w:val="006926D9"/>
    <w:rsid w:val="0069408B"/>
    <w:rsid w:val="0069434C"/>
    <w:rsid w:val="00694F44"/>
    <w:rsid w:val="00695D9A"/>
    <w:rsid w:val="0069618D"/>
    <w:rsid w:val="00696CA2"/>
    <w:rsid w:val="00696EF9"/>
    <w:rsid w:val="00696F51"/>
    <w:rsid w:val="00697708"/>
    <w:rsid w:val="0069774E"/>
    <w:rsid w:val="006978AA"/>
    <w:rsid w:val="006979A5"/>
    <w:rsid w:val="00697C51"/>
    <w:rsid w:val="00697DD7"/>
    <w:rsid w:val="00697DED"/>
    <w:rsid w:val="006A016F"/>
    <w:rsid w:val="006A052D"/>
    <w:rsid w:val="006A0C14"/>
    <w:rsid w:val="006A0DF7"/>
    <w:rsid w:val="006A20F6"/>
    <w:rsid w:val="006A25A8"/>
    <w:rsid w:val="006A2C65"/>
    <w:rsid w:val="006A2FA7"/>
    <w:rsid w:val="006A3CCC"/>
    <w:rsid w:val="006A42C4"/>
    <w:rsid w:val="006A4321"/>
    <w:rsid w:val="006A43D9"/>
    <w:rsid w:val="006A4B21"/>
    <w:rsid w:val="006A5375"/>
    <w:rsid w:val="006A5BE3"/>
    <w:rsid w:val="006A6B99"/>
    <w:rsid w:val="006A701B"/>
    <w:rsid w:val="006A726C"/>
    <w:rsid w:val="006A7DDF"/>
    <w:rsid w:val="006A7E5F"/>
    <w:rsid w:val="006B0272"/>
    <w:rsid w:val="006B0CC4"/>
    <w:rsid w:val="006B1002"/>
    <w:rsid w:val="006B1058"/>
    <w:rsid w:val="006B1109"/>
    <w:rsid w:val="006B2116"/>
    <w:rsid w:val="006B25ED"/>
    <w:rsid w:val="006B261B"/>
    <w:rsid w:val="006B2C90"/>
    <w:rsid w:val="006B3132"/>
    <w:rsid w:val="006B35E6"/>
    <w:rsid w:val="006B35EB"/>
    <w:rsid w:val="006B3687"/>
    <w:rsid w:val="006B462F"/>
    <w:rsid w:val="006B465A"/>
    <w:rsid w:val="006B635D"/>
    <w:rsid w:val="006B67BE"/>
    <w:rsid w:val="006B69D6"/>
    <w:rsid w:val="006B6DD0"/>
    <w:rsid w:val="006B6E7A"/>
    <w:rsid w:val="006B76B4"/>
    <w:rsid w:val="006B7F58"/>
    <w:rsid w:val="006C0399"/>
    <w:rsid w:val="006C052E"/>
    <w:rsid w:val="006C0565"/>
    <w:rsid w:val="006C2013"/>
    <w:rsid w:val="006C2A8E"/>
    <w:rsid w:val="006C304B"/>
    <w:rsid w:val="006C311D"/>
    <w:rsid w:val="006C3255"/>
    <w:rsid w:val="006C3C3C"/>
    <w:rsid w:val="006C3F26"/>
    <w:rsid w:val="006C4FC6"/>
    <w:rsid w:val="006C5068"/>
    <w:rsid w:val="006C5F84"/>
    <w:rsid w:val="006C77A7"/>
    <w:rsid w:val="006D02AB"/>
    <w:rsid w:val="006D0AD2"/>
    <w:rsid w:val="006D0D17"/>
    <w:rsid w:val="006D10B7"/>
    <w:rsid w:val="006D3486"/>
    <w:rsid w:val="006D3C45"/>
    <w:rsid w:val="006D3C7D"/>
    <w:rsid w:val="006D4659"/>
    <w:rsid w:val="006D4CFA"/>
    <w:rsid w:val="006D5988"/>
    <w:rsid w:val="006D5D5F"/>
    <w:rsid w:val="006D5F7D"/>
    <w:rsid w:val="006D6721"/>
    <w:rsid w:val="006D68FB"/>
    <w:rsid w:val="006D6D29"/>
    <w:rsid w:val="006D7274"/>
    <w:rsid w:val="006D761E"/>
    <w:rsid w:val="006D7BAA"/>
    <w:rsid w:val="006D7C78"/>
    <w:rsid w:val="006E0C13"/>
    <w:rsid w:val="006E10D6"/>
    <w:rsid w:val="006E1613"/>
    <w:rsid w:val="006E1FF2"/>
    <w:rsid w:val="006E2868"/>
    <w:rsid w:val="006E3491"/>
    <w:rsid w:val="006E3495"/>
    <w:rsid w:val="006E3B1E"/>
    <w:rsid w:val="006E45D8"/>
    <w:rsid w:val="006E5502"/>
    <w:rsid w:val="006E5586"/>
    <w:rsid w:val="006E5699"/>
    <w:rsid w:val="006E682D"/>
    <w:rsid w:val="006E7F7F"/>
    <w:rsid w:val="006E7FC7"/>
    <w:rsid w:val="006F1CD6"/>
    <w:rsid w:val="006F2618"/>
    <w:rsid w:val="006F272A"/>
    <w:rsid w:val="006F297B"/>
    <w:rsid w:val="006F306C"/>
    <w:rsid w:val="006F47C2"/>
    <w:rsid w:val="006F4D10"/>
    <w:rsid w:val="006F533B"/>
    <w:rsid w:val="006F5685"/>
    <w:rsid w:val="006F583D"/>
    <w:rsid w:val="006F63A5"/>
    <w:rsid w:val="006F64E7"/>
    <w:rsid w:val="006F7F23"/>
    <w:rsid w:val="00700C9D"/>
    <w:rsid w:val="0070142B"/>
    <w:rsid w:val="007020B4"/>
    <w:rsid w:val="0070276E"/>
    <w:rsid w:val="00702777"/>
    <w:rsid w:val="00702F8F"/>
    <w:rsid w:val="007035DA"/>
    <w:rsid w:val="007054EB"/>
    <w:rsid w:val="00705748"/>
    <w:rsid w:val="00705D20"/>
    <w:rsid w:val="00705E69"/>
    <w:rsid w:val="0070788E"/>
    <w:rsid w:val="007079FC"/>
    <w:rsid w:val="00707C18"/>
    <w:rsid w:val="00710328"/>
    <w:rsid w:val="00710360"/>
    <w:rsid w:val="007107D6"/>
    <w:rsid w:val="00710C82"/>
    <w:rsid w:val="00711A36"/>
    <w:rsid w:val="00711D69"/>
    <w:rsid w:val="0071233E"/>
    <w:rsid w:val="00712461"/>
    <w:rsid w:val="007125D3"/>
    <w:rsid w:val="00712BA6"/>
    <w:rsid w:val="00713083"/>
    <w:rsid w:val="00713532"/>
    <w:rsid w:val="007143A3"/>
    <w:rsid w:val="00714C26"/>
    <w:rsid w:val="00715207"/>
    <w:rsid w:val="00715287"/>
    <w:rsid w:val="0071529C"/>
    <w:rsid w:val="00716566"/>
    <w:rsid w:val="007170DA"/>
    <w:rsid w:val="007172AD"/>
    <w:rsid w:val="00717546"/>
    <w:rsid w:val="00720801"/>
    <w:rsid w:val="007208B5"/>
    <w:rsid w:val="0072122C"/>
    <w:rsid w:val="00721389"/>
    <w:rsid w:val="007218E9"/>
    <w:rsid w:val="00722B1B"/>
    <w:rsid w:val="00722FBA"/>
    <w:rsid w:val="00723596"/>
    <w:rsid w:val="007238F1"/>
    <w:rsid w:val="00723B95"/>
    <w:rsid w:val="00723CBA"/>
    <w:rsid w:val="0072416F"/>
    <w:rsid w:val="00724BC1"/>
    <w:rsid w:val="0072513D"/>
    <w:rsid w:val="00725200"/>
    <w:rsid w:val="00725C10"/>
    <w:rsid w:val="00726B0B"/>
    <w:rsid w:val="00727278"/>
    <w:rsid w:val="007272BC"/>
    <w:rsid w:val="00727C94"/>
    <w:rsid w:val="007300F7"/>
    <w:rsid w:val="00731AB2"/>
    <w:rsid w:val="00731B0A"/>
    <w:rsid w:val="00731EAE"/>
    <w:rsid w:val="00732251"/>
    <w:rsid w:val="007322BD"/>
    <w:rsid w:val="00732861"/>
    <w:rsid w:val="00733073"/>
    <w:rsid w:val="007334A5"/>
    <w:rsid w:val="00733D50"/>
    <w:rsid w:val="007340D8"/>
    <w:rsid w:val="00734D83"/>
    <w:rsid w:val="00735033"/>
    <w:rsid w:val="00735328"/>
    <w:rsid w:val="0073535B"/>
    <w:rsid w:val="00735CE9"/>
    <w:rsid w:val="00736199"/>
    <w:rsid w:val="007362A5"/>
    <w:rsid w:val="0073654B"/>
    <w:rsid w:val="0073685B"/>
    <w:rsid w:val="00740627"/>
    <w:rsid w:val="00740959"/>
    <w:rsid w:val="00740A9A"/>
    <w:rsid w:val="007419AA"/>
    <w:rsid w:val="0074229D"/>
    <w:rsid w:val="00743C17"/>
    <w:rsid w:val="00744129"/>
    <w:rsid w:val="00744227"/>
    <w:rsid w:val="007449BF"/>
    <w:rsid w:val="00744E84"/>
    <w:rsid w:val="00745613"/>
    <w:rsid w:val="007463FE"/>
    <w:rsid w:val="00746BC0"/>
    <w:rsid w:val="007471AA"/>
    <w:rsid w:val="0074741C"/>
    <w:rsid w:val="0074742D"/>
    <w:rsid w:val="007500C8"/>
    <w:rsid w:val="00750136"/>
    <w:rsid w:val="0075067B"/>
    <w:rsid w:val="00750848"/>
    <w:rsid w:val="007510B4"/>
    <w:rsid w:val="007510C0"/>
    <w:rsid w:val="0075112C"/>
    <w:rsid w:val="00751577"/>
    <w:rsid w:val="0075157C"/>
    <w:rsid w:val="007520D9"/>
    <w:rsid w:val="00752142"/>
    <w:rsid w:val="007523F9"/>
    <w:rsid w:val="00752F16"/>
    <w:rsid w:val="0075357E"/>
    <w:rsid w:val="00753B29"/>
    <w:rsid w:val="00753BA4"/>
    <w:rsid w:val="0075447D"/>
    <w:rsid w:val="007549F4"/>
    <w:rsid w:val="007569A2"/>
    <w:rsid w:val="007573E8"/>
    <w:rsid w:val="00760C4E"/>
    <w:rsid w:val="00760F9E"/>
    <w:rsid w:val="007616E6"/>
    <w:rsid w:val="00761FCA"/>
    <w:rsid w:val="007627BE"/>
    <w:rsid w:val="00762970"/>
    <w:rsid w:val="007635A8"/>
    <w:rsid w:val="00763D23"/>
    <w:rsid w:val="00763F7A"/>
    <w:rsid w:val="00764EF8"/>
    <w:rsid w:val="00764F03"/>
    <w:rsid w:val="007651EB"/>
    <w:rsid w:val="00765B1A"/>
    <w:rsid w:val="00765DC1"/>
    <w:rsid w:val="00766218"/>
    <w:rsid w:val="00766ABB"/>
    <w:rsid w:val="00767BB9"/>
    <w:rsid w:val="00770068"/>
    <w:rsid w:val="007701AF"/>
    <w:rsid w:val="00770F01"/>
    <w:rsid w:val="00771878"/>
    <w:rsid w:val="00771DA3"/>
    <w:rsid w:val="00771E18"/>
    <w:rsid w:val="00772737"/>
    <w:rsid w:val="00772E5C"/>
    <w:rsid w:val="00773C4E"/>
    <w:rsid w:val="00773CC4"/>
    <w:rsid w:val="0077456A"/>
    <w:rsid w:val="00775870"/>
    <w:rsid w:val="00776A29"/>
    <w:rsid w:val="00777335"/>
    <w:rsid w:val="00780221"/>
    <w:rsid w:val="00780F10"/>
    <w:rsid w:val="00780F23"/>
    <w:rsid w:val="00781ABF"/>
    <w:rsid w:val="00781B0C"/>
    <w:rsid w:val="007821EB"/>
    <w:rsid w:val="0078252E"/>
    <w:rsid w:val="00782802"/>
    <w:rsid w:val="00783ED2"/>
    <w:rsid w:val="007843F2"/>
    <w:rsid w:val="007846FA"/>
    <w:rsid w:val="00784BBE"/>
    <w:rsid w:val="00785A9F"/>
    <w:rsid w:val="00785F8D"/>
    <w:rsid w:val="00786212"/>
    <w:rsid w:val="00786881"/>
    <w:rsid w:val="00786B9E"/>
    <w:rsid w:val="00787DCB"/>
    <w:rsid w:val="00791442"/>
    <w:rsid w:val="0079195F"/>
    <w:rsid w:val="00791CF5"/>
    <w:rsid w:val="00791DEC"/>
    <w:rsid w:val="007923D9"/>
    <w:rsid w:val="007925B7"/>
    <w:rsid w:val="007925DF"/>
    <w:rsid w:val="007927FC"/>
    <w:rsid w:val="00792EF8"/>
    <w:rsid w:val="007937EC"/>
    <w:rsid w:val="00793D25"/>
    <w:rsid w:val="00793DA3"/>
    <w:rsid w:val="00793F5B"/>
    <w:rsid w:val="007955D8"/>
    <w:rsid w:val="007957F3"/>
    <w:rsid w:val="00795802"/>
    <w:rsid w:val="0079634E"/>
    <w:rsid w:val="007970A8"/>
    <w:rsid w:val="007976A2"/>
    <w:rsid w:val="007A0594"/>
    <w:rsid w:val="007A08AA"/>
    <w:rsid w:val="007A0A12"/>
    <w:rsid w:val="007A0E45"/>
    <w:rsid w:val="007A132D"/>
    <w:rsid w:val="007A1345"/>
    <w:rsid w:val="007A1FE2"/>
    <w:rsid w:val="007A2DDB"/>
    <w:rsid w:val="007A358E"/>
    <w:rsid w:val="007A3C3F"/>
    <w:rsid w:val="007A3F16"/>
    <w:rsid w:val="007A450F"/>
    <w:rsid w:val="007A489C"/>
    <w:rsid w:val="007A542A"/>
    <w:rsid w:val="007A6D23"/>
    <w:rsid w:val="007A70BA"/>
    <w:rsid w:val="007A7869"/>
    <w:rsid w:val="007A7EDA"/>
    <w:rsid w:val="007B002C"/>
    <w:rsid w:val="007B0CEC"/>
    <w:rsid w:val="007B0D68"/>
    <w:rsid w:val="007B1F29"/>
    <w:rsid w:val="007B251D"/>
    <w:rsid w:val="007B3098"/>
    <w:rsid w:val="007B3533"/>
    <w:rsid w:val="007B4172"/>
    <w:rsid w:val="007B4AEC"/>
    <w:rsid w:val="007B4F58"/>
    <w:rsid w:val="007B50AA"/>
    <w:rsid w:val="007B528D"/>
    <w:rsid w:val="007B5933"/>
    <w:rsid w:val="007B63CA"/>
    <w:rsid w:val="007B75D7"/>
    <w:rsid w:val="007B77D1"/>
    <w:rsid w:val="007B7A6D"/>
    <w:rsid w:val="007C04E5"/>
    <w:rsid w:val="007C07A5"/>
    <w:rsid w:val="007C07C7"/>
    <w:rsid w:val="007C1CD9"/>
    <w:rsid w:val="007C26FD"/>
    <w:rsid w:val="007C2CB4"/>
    <w:rsid w:val="007C2D23"/>
    <w:rsid w:val="007C32EF"/>
    <w:rsid w:val="007C34A0"/>
    <w:rsid w:val="007C361D"/>
    <w:rsid w:val="007C41B8"/>
    <w:rsid w:val="007C4B84"/>
    <w:rsid w:val="007C4CEA"/>
    <w:rsid w:val="007C4DEE"/>
    <w:rsid w:val="007C70FF"/>
    <w:rsid w:val="007C7AE0"/>
    <w:rsid w:val="007C7C25"/>
    <w:rsid w:val="007D004F"/>
    <w:rsid w:val="007D035F"/>
    <w:rsid w:val="007D06B2"/>
    <w:rsid w:val="007D0807"/>
    <w:rsid w:val="007D0B38"/>
    <w:rsid w:val="007D0F09"/>
    <w:rsid w:val="007D4C58"/>
    <w:rsid w:val="007D4F59"/>
    <w:rsid w:val="007D5172"/>
    <w:rsid w:val="007D5440"/>
    <w:rsid w:val="007D5C48"/>
    <w:rsid w:val="007D5C9F"/>
    <w:rsid w:val="007D5E56"/>
    <w:rsid w:val="007D62E5"/>
    <w:rsid w:val="007D649B"/>
    <w:rsid w:val="007D68EF"/>
    <w:rsid w:val="007D69EB"/>
    <w:rsid w:val="007E0678"/>
    <w:rsid w:val="007E0BD9"/>
    <w:rsid w:val="007E0C7F"/>
    <w:rsid w:val="007E128F"/>
    <w:rsid w:val="007E1CB8"/>
    <w:rsid w:val="007E29BC"/>
    <w:rsid w:val="007E2A23"/>
    <w:rsid w:val="007E2E4E"/>
    <w:rsid w:val="007E3C26"/>
    <w:rsid w:val="007E3F4E"/>
    <w:rsid w:val="007E44A5"/>
    <w:rsid w:val="007E4559"/>
    <w:rsid w:val="007E725A"/>
    <w:rsid w:val="007E7851"/>
    <w:rsid w:val="007E7A42"/>
    <w:rsid w:val="007F1017"/>
    <w:rsid w:val="007F11AE"/>
    <w:rsid w:val="007F18B3"/>
    <w:rsid w:val="007F2760"/>
    <w:rsid w:val="007F2CCB"/>
    <w:rsid w:val="007F4A3F"/>
    <w:rsid w:val="007F4A61"/>
    <w:rsid w:val="007F506D"/>
    <w:rsid w:val="007F5255"/>
    <w:rsid w:val="007F56CC"/>
    <w:rsid w:val="007F5D1D"/>
    <w:rsid w:val="007F61C2"/>
    <w:rsid w:val="007F6798"/>
    <w:rsid w:val="007F7D1E"/>
    <w:rsid w:val="007F7D66"/>
    <w:rsid w:val="00800A65"/>
    <w:rsid w:val="008010D7"/>
    <w:rsid w:val="00802E39"/>
    <w:rsid w:val="00803877"/>
    <w:rsid w:val="008038EE"/>
    <w:rsid w:val="00803A51"/>
    <w:rsid w:val="008044DC"/>
    <w:rsid w:val="00804DB8"/>
    <w:rsid w:val="00805142"/>
    <w:rsid w:val="008052FA"/>
    <w:rsid w:val="0080566B"/>
    <w:rsid w:val="00805FCE"/>
    <w:rsid w:val="00806080"/>
    <w:rsid w:val="00807A8B"/>
    <w:rsid w:val="008105C3"/>
    <w:rsid w:val="008109DA"/>
    <w:rsid w:val="00811383"/>
    <w:rsid w:val="00811D01"/>
    <w:rsid w:val="00811F1A"/>
    <w:rsid w:val="00812149"/>
    <w:rsid w:val="00812375"/>
    <w:rsid w:val="008125A1"/>
    <w:rsid w:val="008129AE"/>
    <w:rsid w:val="00812CAC"/>
    <w:rsid w:val="00812E5B"/>
    <w:rsid w:val="008140F3"/>
    <w:rsid w:val="00814690"/>
    <w:rsid w:val="00814DDC"/>
    <w:rsid w:val="00816361"/>
    <w:rsid w:val="008166EF"/>
    <w:rsid w:val="00816AA8"/>
    <w:rsid w:val="00816FEF"/>
    <w:rsid w:val="00817261"/>
    <w:rsid w:val="00820A8C"/>
    <w:rsid w:val="00821127"/>
    <w:rsid w:val="008215FB"/>
    <w:rsid w:val="00821A9F"/>
    <w:rsid w:val="008220CC"/>
    <w:rsid w:val="00823174"/>
    <w:rsid w:val="00823C2C"/>
    <w:rsid w:val="00824754"/>
    <w:rsid w:val="008254A9"/>
    <w:rsid w:val="008256A8"/>
    <w:rsid w:val="00825719"/>
    <w:rsid w:val="00825751"/>
    <w:rsid w:val="00825FE8"/>
    <w:rsid w:val="008264EB"/>
    <w:rsid w:val="008268CE"/>
    <w:rsid w:val="008277FA"/>
    <w:rsid w:val="00827C23"/>
    <w:rsid w:val="00830CD4"/>
    <w:rsid w:val="0083121B"/>
    <w:rsid w:val="00831498"/>
    <w:rsid w:val="008319BD"/>
    <w:rsid w:val="0083244B"/>
    <w:rsid w:val="00832E98"/>
    <w:rsid w:val="00833023"/>
    <w:rsid w:val="00833631"/>
    <w:rsid w:val="00833B05"/>
    <w:rsid w:val="00834575"/>
    <w:rsid w:val="008357B2"/>
    <w:rsid w:val="00835FD2"/>
    <w:rsid w:val="00836124"/>
    <w:rsid w:val="008362B4"/>
    <w:rsid w:val="00836556"/>
    <w:rsid w:val="0084057D"/>
    <w:rsid w:val="008405BB"/>
    <w:rsid w:val="00840CA2"/>
    <w:rsid w:val="008413C1"/>
    <w:rsid w:val="00841D4D"/>
    <w:rsid w:val="008421CF"/>
    <w:rsid w:val="0084223B"/>
    <w:rsid w:val="0084374F"/>
    <w:rsid w:val="00843D20"/>
    <w:rsid w:val="00844A22"/>
    <w:rsid w:val="00844E83"/>
    <w:rsid w:val="00845362"/>
    <w:rsid w:val="00845CBB"/>
    <w:rsid w:val="00845D05"/>
    <w:rsid w:val="00846451"/>
    <w:rsid w:val="00846C82"/>
    <w:rsid w:val="00846CB9"/>
    <w:rsid w:val="00847703"/>
    <w:rsid w:val="00847BC6"/>
    <w:rsid w:val="00847DF5"/>
    <w:rsid w:val="00850619"/>
    <w:rsid w:val="00850846"/>
    <w:rsid w:val="00850988"/>
    <w:rsid w:val="0085172F"/>
    <w:rsid w:val="00851B11"/>
    <w:rsid w:val="008522CD"/>
    <w:rsid w:val="00852409"/>
    <w:rsid w:val="008529D7"/>
    <w:rsid w:val="00852EFB"/>
    <w:rsid w:val="0085309D"/>
    <w:rsid w:val="008536CC"/>
    <w:rsid w:val="00853A6C"/>
    <w:rsid w:val="00853A70"/>
    <w:rsid w:val="0085421F"/>
    <w:rsid w:val="00855DA9"/>
    <w:rsid w:val="00855F4D"/>
    <w:rsid w:val="00855FDF"/>
    <w:rsid w:val="0085621B"/>
    <w:rsid w:val="008563EB"/>
    <w:rsid w:val="00856897"/>
    <w:rsid w:val="00856E9A"/>
    <w:rsid w:val="0086075D"/>
    <w:rsid w:val="00860977"/>
    <w:rsid w:val="00861BD4"/>
    <w:rsid w:val="00862502"/>
    <w:rsid w:val="00862656"/>
    <w:rsid w:val="0086281C"/>
    <w:rsid w:val="008628B7"/>
    <w:rsid w:val="00862CC1"/>
    <w:rsid w:val="00863595"/>
    <w:rsid w:val="008642A7"/>
    <w:rsid w:val="00865CE5"/>
    <w:rsid w:val="00865DC5"/>
    <w:rsid w:val="008660D4"/>
    <w:rsid w:val="0086664C"/>
    <w:rsid w:val="00867415"/>
    <w:rsid w:val="00867F0A"/>
    <w:rsid w:val="00870AFB"/>
    <w:rsid w:val="00871A38"/>
    <w:rsid w:val="00871FA9"/>
    <w:rsid w:val="008728E9"/>
    <w:rsid w:val="00873393"/>
    <w:rsid w:val="00873C11"/>
    <w:rsid w:val="008749B8"/>
    <w:rsid w:val="00875B0C"/>
    <w:rsid w:val="00876E16"/>
    <w:rsid w:val="00877FC3"/>
    <w:rsid w:val="00881295"/>
    <w:rsid w:val="0088162D"/>
    <w:rsid w:val="008816BE"/>
    <w:rsid w:val="00882040"/>
    <w:rsid w:val="008820EB"/>
    <w:rsid w:val="00882874"/>
    <w:rsid w:val="00882E3C"/>
    <w:rsid w:val="0088308A"/>
    <w:rsid w:val="00883787"/>
    <w:rsid w:val="00883C54"/>
    <w:rsid w:val="00884199"/>
    <w:rsid w:val="00884882"/>
    <w:rsid w:val="008855E4"/>
    <w:rsid w:val="008869A4"/>
    <w:rsid w:val="00886CD2"/>
    <w:rsid w:val="00886EB6"/>
    <w:rsid w:val="008870EC"/>
    <w:rsid w:val="00887348"/>
    <w:rsid w:val="0088770C"/>
    <w:rsid w:val="00890837"/>
    <w:rsid w:val="00891E6F"/>
    <w:rsid w:val="00892100"/>
    <w:rsid w:val="0089251D"/>
    <w:rsid w:val="0089275D"/>
    <w:rsid w:val="00892A36"/>
    <w:rsid w:val="00893239"/>
    <w:rsid w:val="00893D3F"/>
    <w:rsid w:val="00893E75"/>
    <w:rsid w:val="0089420E"/>
    <w:rsid w:val="00894489"/>
    <w:rsid w:val="008947A1"/>
    <w:rsid w:val="00894CD6"/>
    <w:rsid w:val="008963A5"/>
    <w:rsid w:val="008965D1"/>
    <w:rsid w:val="00896D5D"/>
    <w:rsid w:val="008978FD"/>
    <w:rsid w:val="00897B59"/>
    <w:rsid w:val="008A082F"/>
    <w:rsid w:val="008A0967"/>
    <w:rsid w:val="008A2362"/>
    <w:rsid w:val="008A2932"/>
    <w:rsid w:val="008A3158"/>
    <w:rsid w:val="008A3363"/>
    <w:rsid w:val="008A3371"/>
    <w:rsid w:val="008A3BA9"/>
    <w:rsid w:val="008A3C3E"/>
    <w:rsid w:val="008A476C"/>
    <w:rsid w:val="008A4871"/>
    <w:rsid w:val="008A4C5F"/>
    <w:rsid w:val="008A4EE9"/>
    <w:rsid w:val="008A4F41"/>
    <w:rsid w:val="008A5BAF"/>
    <w:rsid w:val="008A71FF"/>
    <w:rsid w:val="008A79DE"/>
    <w:rsid w:val="008B04A0"/>
    <w:rsid w:val="008B1757"/>
    <w:rsid w:val="008B1B2D"/>
    <w:rsid w:val="008B1C33"/>
    <w:rsid w:val="008B2602"/>
    <w:rsid w:val="008B2E16"/>
    <w:rsid w:val="008B3F12"/>
    <w:rsid w:val="008B4252"/>
    <w:rsid w:val="008B4629"/>
    <w:rsid w:val="008B4B6F"/>
    <w:rsid w:val="008B4F30"/>
    <w:rsid w:val="008B56EA"/>
    <w:rsid w:val="008B5889"/>
    <w:rsid w:val="008B5D1E"/>
    <w:rsid w:val="008B6D12"/>
    <w:rsid w:val="008B773C"/>
    <w:rsid w:val="008B7992"/>
    <w:rsid w:val="008B7D7E"/>
    <w:rsid w:val="008C1938"/>
    <w:rsid w:val="008C1D12"/>
    <w:rsid w:val="008C253B"/>
    <w:rsid w:val="008C2D3C"/>
    <w:rsid w:val="008C3836"/>
    <w:rsid w:val="008C5329"/>
    <w:rsid w:val="008C5501"/>
    <w:rsid w:val="008C5610"/>
    <w:rsid w:val="008C5739"/>
    <w:rsid w:val="008C5BEC"/>
    <w:rsid w:val="008C6680"/>
    <w:rsid w:val="008C6729"/>
    <w:rsid w:val="008C7282"/>
    <w:rsid w:val="008C763A"/>
    <w:rsid w:val="008C7ECB"/>
    <w:rsid w:val="008D0131"/>
    <w:rsid w:val="008D1000"/>
    <w:rsid w:val="008D168F"/>
    <w:rsid w:val="008D25CC"/>
    <w:rsid w:val="008D2C3B"/>
    <w:rsid w:val="008D3B86"/>
    <w:rsid w:val="008D3B97"/>
    <w:rsid w:val="008D3D31"/>
    <w:rsid w:val="008D43FD"/>
    <w:rsid w:val="008D4606"/>
    <w:rsid w:val="008D4755"/>
    <w:rsid w:val="008D4C3D"/>
    <w:rsid w:val="008D4E53"/>
    <w:rsid w:val="008D58D7"/>
    <w:rsid w:val="008D6F7F"/>
    <w:rsid w:val="008D743C"/>
    <w:rsid w:val="008D78A5"/>
    <w:rsid w:val="008E0A84"/>
    <w:rsid w:val="008E0D3C"/>
    <w:rsid w:val="008E0FB9"/>
    <w:rsid w:val="008E1144"/>
    <w:rsid w:val="008E1625"/>
    <w:rsid w:val="008E1B9E"/>
    <w:rsid w:val="008E1BCC"/>
    <w:rsid w:val="008E25FA"/>
    <w:rsid w:val="008E3BC0"/>
    <w:rsid w:val="008E40E4"/>
    <w:rsid w:val="008E55AB"/>
    <w:rsid w:val="008E58F4"/>
    <w:rsid w:val="008E6877"/>
    <w:rsid w:val="008E6C29"/>
    <w:rsid w:val="008E75C3"/>
    <w:rsid w:val="008E7915"/>
    <w:rsid w:val="008F0476"/>
    <w:rsid w:val="008F1193"/>
    <w:rsid w:val="008F120A"/>
    <w:rsid w:val="008F122D"/>
    <w:rsid w:val="008F1C55"/>
    <w:rsid w:val="008F27E0"/>
    <w:rsid w:val="008F3FDE"/>
    <w:rsid w:val="008F400F"/>
    <w:rsid w:val="008F4859"/>
    <w:rsid w:val="008F48EB"/>
    <w:rsid w:val="008F4F0B"/>
    <w:rsid w:val="008F57F1"/>
    <w:rsid w:val="008F5D6B"/>
    <w:rsid w:val="008F66D4"/>
    <w:rsid w:val="008F77FD"/>
    <w:rsid w:val="0090171B"/>
    <w:rsid w:val="00901A97"/>
    <w:rsid w:val="00901EE0"/>
    <w:rsid w:val="009021EC"/>
    <w:rsid w:val="00902331"/>
    <w:rsid w:val="009023CE"/>
    <w:rsid w:val="009024D0"/>
    <w:rsid w:val="00903362"/>
    <w:rsid w:val="00903480"/>
    <w:rsid w:val="00903BFB"/>
    <w:rsid w:val="009046C4"/>
    <w:rsid w:val="009062A5"/>
    <w:rsid w:val="00907699"/>
    <w:rsid w:val="0091094D"/>
    <w:rsid w:val="00910FA7"/>
    <w:rsid w:val="0091125E"/>
    <w:rsid w:val="00911272"/>
    <w:rsid w:val="00911339"/>
    <w:rsid w:val="009114C9"/>
    <w:rsid w:val="00911FF8"/>
    <w:rsid w:val="009124C7"/>
    <w:rsid w:val="00912600"/>
    <w:rsid w:val="00912FEC"/>
    <w:rsid w:val="009135D6"/>
    <w:rsid w:val="00914C77"/>
    <w:rsid w:val="00914FF7"/>
    <w:rsid w:val="00915A88"/>
    <w:rsid w:val="00915C2B"/>
    <w:rsid w:val="00916981"/>
    <w:rsid w:val="00916D57"/>
    <w:rsid w:val="00917166"/>
    <w:rsid w:val="00920640"/>
    <w:rsid w:val="00920ABE"/>
    <w:rsid w:val="00921ACB"/>
    <w:rsid w:val="00922343"/>
    <w:rsid w:val="00922E0C"/>
    <w:rsid w:val="00923042"/>
    <w:rsid w:val="009233D6"/>
    <w:rsid w:val="00923640"/>
    <w:rsid w:val="0092369B"/>
    <w:rsid w:val="009238BD"/>
    <w:rsid w:val="009256A8"/>
    <w:rsid w:val="0092654A"/>
    <w:rsid w:val="00926C86"/>
    <w:rsid w:val="00930742"/>
    <w:rsid w:val="00931E3A"/>
    <w:rsid w:val="00932032"/>
    <w:rsid w:val="009322C2"/>
    <w:rsid w:val="00932D63"/>
    <w:rsid w:val="00933B77"/>
    <w:rsid w:val="00933F87"/>
    <w:rsid w:val="009347A0"/>
    <w:rsid w:val="00934988"/>
    <w:rsid w:val="00934C6A"/>
    <w:rsid w:val="0093566D"/>
    <w:rsid w:val="0093594F"/>
    <w:rsid w:val="00937089"/>
    <w:rsid w:val="0093748F"/>
    <w:rsid w:val="00937DBB"/>
    <w:rsid w:val="0094071B"/>
    <w:rsid w:val="0094205B"/>
    <w:rsid w:val="00942D17"/>
    <w:rsid w:val="0094311D"/>
    <w:rsid w:val="00943A08"/>
    <w:rsid w:val="0094415C"/>
    <w:rsid w:val="009448D7"/>
    <w:rsid w:val="00944958"/>
    <w:rsid w:val="00944B16"/>
    <w:rsid w:val="00944F8A"/>
    <w:rsid w:val="009456E1"/>
    <w:rsid w:val="00945871"/>
    <w:rsid w:val="00945889"/>
    <w:rsid w:val="00947507"/>
    <w:rsid w:val="00947FF4"/>
    <w:rsid w:val="009502BD"/>
    <w:rsid w:val="00950326"/>
    <w:rsid w:val="0095079C"/>
    <w:rsid w:val="009510A2"/>
    <w:rsid w:val="00951763"/>
    <w:rsid w:val="00951A3F"/>
    <w:rsid w:val="00953257"/>
    <w:rsid w:val="0095474C"/>
    <w:rsid w:val="00954B1F"/>
    <w:rsid w:val="0095587B"/>
    <w:rsid w:val="009565F0"/>
    <w:rsid w:val="0095712A"/>
    <w:rsid w:val="009576E0"/>
    <w:rsid w:val="00957D92"/>
    <w:rsid w:val="00960985"/>
    <w:rsid w:val="00960DC3"/>
    <w:rsid w:val="00960E7F"/>
    <w:rsid w:val="00962CB9"/>
    <w:rsid w:val="00964146"/>
    <w:rsid w:val="00964312"/>
    <w:rsid w:val="009651D1"/>
    <w:rsid w:val="00965B8A"/>
    <w:rsid w:val="0096698C"/>
    <w:rsid w:val="00967D00"/>
    <w:rsid w:val="0097071F"/>
    <w:rsid w:val="009711BA"/>
    <w:rsid w:val="009717AC"/>
    <w:rsid w:val="00971861"/>
    <w:rsid w:val="00973DA0"/>
    <w:rsid w:val="009744C0"/>
    <w:rsid w:val="00974538"/>
    <w:rsid w:val="009751C1"/>
    <w:rsid w:val="00975339"/>
    <w:rsid w:val="00975BDA"/>
    <w:rsid w:val="009761C9"/>
    <w:rsid w:val="0098061D"/>
    <w:rsid w:val="00980694"/>
    <w:rsid w:val="009811F1"/>
    <w:rsid w:val="00981825"/>
    <w:rsid w:val="00981B44"/>
    <w:rsid w:val="0098262F"/>
    <w:rsid w:val="00983027"/>
    <w:rsid w:val="00983E57"/>
    <w:rsid w:val="00983F7A"/>
    <w:rsid w:val="00984B29"/>
    <w:rsid w:val="009852E4"/>
    <w:rsid w:val="00985DE2"/>
    <w:rsid w:val="00985F28"/>
    <w:rsid w:val="00986121"/>
    <w:rsid w:val="0098675D"/>
    <w:rsid w:val="00987BA4"/>
    <w:rsid w:val="00990621"/>
    <w:rsid w:val="009915D4"/>
    <w:rsid w:val="009918AF"/>
    <w:rsid w:val="009926E0"/>
    <w:rsid w:val="00992BCB"/>
    <w:rsid w:val="00993B8F"/>
    <w:rsid w:val="009942E1"/>
    <w:rsid w:val="0099451E"/>
    <w:rsid w:val="00994BA0"/>
    <w:rsid w:val="00994C0F"/>
    <w:rsid w:val="00996875"/>
    <w:rsid w:val="00996B1A"/>
    <w:rsid w:val="009971BB"/>
    <w:rsid w:val="009978CA"/>
    <w:rsid w:val="009A03BE"/>
    <w:rsid w:val="009A0B34"/>
    <w:rsid w:val="009A1362"/>
    <w:rsid w:val="009A18F6"/>
    <w:rsid w:val="009A20CB"/>
    <w:rsid w:val="009A27BE"/>
    <w:rsid w:val="009A2DCC"/>
    <w:rsid w:val="009A3C4E"/>
    <w:rsid w:val="009A41AC"/>
    <w:rsid w:val="009A518B"/>
    <w:rsid w:val="009A5ABC"/>
    <w:rsid w:val="009A60C4"/>
    <w:rsid w:val="009A6BF1"/>
    <w:rsid w:val="009A75DB"/>
    <w:rsid w:val="009A796F"/>
    <w:rsid w:val="009A7F10"/>
    <w:rsid w:val="009B01B0"/>
    <w:rsid w:val="009B050C"/>
    <w:rsid w:val="009B0D61"/>
    <w:rsid w:val="009B2B93"/>
    <w:rsid w:val="009B3C76"/>
    <w:rsid w:val="009B3E26"/>
    <w:rsid w:val="009B5932"/>
    <w:rsid w:val="009B6B61"/>
    <w:rsid w:val="009B7007"/>
    <w:rsid w:val="009B766D"/>
    <w:rsid w:val="009C0CD3"/>
    <w:rsid w:val="009C0D91"/>
    <w:rsid w:val="009C0FD3"/>
    <w:rsid w:val="009C1271"/>
    <w:rsid w:val="009C1A6E"/>
    <w:rsid w:val="009C1D80"/>
    <w:rsid w:val="009C2112"/>
    <w:rsid w:val="009C2AAA"/>
    <w:rsid w:val="009C3706"/>
    <w:rsid w:val="009C3A3A"/>
    <w:rsid w:val="009C3F36"/>
    <w:rsid w:val="009C426B"/>
    <w:rsid w:val="009C4707"/>
    <w:rsid w:val="009C504A"/>
    <w:rsid w:val="009C537F"/>
    <w:rsid w:val="009C54FE"/>
    <w:rsid w:val="009C6CEA"/>
    <w:rsid w:val="009C6D66"/>
    <w:rsid w:val="009C7B85"/>
    <w:rsid w:val="009D0254"/>
    <w:rsid w:val="009D04DE"/>
    <w:rsid w:val="009D0976"/>
    <w:rsid w:val="009D0DC2"/>
    <w:rsid w:val="009D1A64"/>
    <w:rsid w:val="009D1C30"/>
    <w:rsid w:val="009D25AA"/>
    <w:rsid w:val="009D25B2"/>
    <w:rsid w:val="009D2687"/>
    <w:rsid w:val="009D2A4C"/>
    <w:rsid w:val="009D2AD9"/>
    <w:rsid w:val="009D3FAD"/>
    <w:rsid w:val="009D4352"/>
    <w:rsid w:val="009D475B"/>
    <w:rsid w:val="009D48F7"/>
    <w:rsid w:val="009D5B91"/>
    <w:rsid w:val="009D5E0D"/>
    <w:rsid w:val="009D6E85"/>
    <w:rsid w:val="009D7734"/>
    <w:rsid w:val="009D792E"/>
    <w:rsid w:val="009D795D"/>
    <w:rsid w:val="009D7C9F"/>
    <w:rsid w:val="009E0323"/>
    <w:rsid w:val="009E0DFE"/>
    <w:rsid w:val="009E17C2"/>
    <w:rsid w:val="009E242B"/>
    <w:rsid w:val="009E245D"/>
    <w:rsid w:val="009E2B0E"/>
    <w:rsid w:val="009E31F6"/>
    <w:rsid w:val="009E3C57"/>
    <w:rsid w:val="009E4023"/>
    <w:rsid w:val="009E48C4"/>
    <w:rsid w:val="009E4B06"/>
    <w:rsid w:val="009E4C07"/>
    <w:rsid w:val="009E4D1D"/>
    <w:rsid w:val="009E528B"/>
    <w:rsid w:val="009E6474"/>
    <w:rsid w:val="009E6B65"/>
    <w:rsid w:val="009E72C5"/>
    <w:rsid w:val="009E777F"/>
    <w:rsid w:val="009F0088"/>
    <w:rsid w:val="009F0313"/>
    <w:rsid w:val="009F095C"/>
    <w:rsid w:val="009F0BF0"/>
    <w:rsid w:val="009F2DF5"/>
    <w:rsid w:val="009F310A"/>
    <w:rsid w:val="009F3F26"/>
    <w:rsid w:val="009F45C3"/>
    <w:rsid w:val="009F4791"/>
    <w:rsid w:val="009F4D6A"/>
    <w:rsid w:val="009F4EC6"/>
    <w:rsid w:val="009F5676"/>
    <w:rsid w:val="009F5C5D"/>
    <w:rsid w:val="009F6120"/>
    <w:rsid w:val="009F6638"/>
    <w:rsid w:val="009F74EE"/>
    <w:rsid w:val="00A002C3"/>
    <w:rsid w:val="00A00D76"/>
    <w:rsid w:val="00A00D97"/>
    <w:rsid w:val="00A00EF6"/>
    <w:rsid w:val="00A01184"/>
    <w:rsid w:val="00A0129F"/>
    <w:rsid w:val="00A01409"/>
    <w:rsid w:val="00A01449"/>
    <w:rsid w:val="00A0167C"/>
    <w:rsid w:val="00A027EB"/>
    <w:rsid w:val="00A02815"/>
    <w:rsid w:val="00A037BC"/>
    <w:rsid w:val="00A037C2"/>
    <w:rsid w:val="00A03D43"/>
    <w:rsid w:val="00A0431E"/>
    <w:rsid w:val="00A04380"/>
    <w:rsid w:val="00A043AA"/>
    <w:rsid w:val="00A0454A"/>
    <w:rsid w:val="00A04786"/>
    <w:rsid w:val="00A05472"/>
    <w:rsid w:val="00A057DD"/>
    <w:rsid w:val="00A05C32"/>
    <w:rsid w:val="00A06439"/>
    <w:rsid w:val="00A0653F"/>
    <w:rsid w:val="00A06C6A"/>
    <w:rsid w:val="00A07AC1"/>
    <w:rsid w:val="00A07D36"/>
    <w:rsid w:val="00A100C0"/>
    <w:rsid w:val="00A1050C"/>
    <w:rsid w:val="00A10536"/>
    <w:rsid w:val="00A10BB0"/>
    <w:rsid w:val="00A1174E"/>
    <w:rsid w:val="00A11CD0"/>
    <w:rsid w:val="00A1272A"/>
    <w:rsid w:val="00A12A35"/>
    <w:rsid w:val="00A134B5"/>
    <w:rsid w:val="00A13948"/>
    <w:rsid w:val="00A14984"/>
    <w:rsid w:val="00A14CF5"/>
    <w:rsid w:val="00A151B8"/>
    <w:rsid w:val="00A153FF"/>
    <w:rsid w:val="00A1555B"/>
    <w:rsid w:val="00A155C5"/>
    <w:rsid w:val="00A16AD8"/>
    <w:rsid w:val="00A16F13"/>
    <w:rsid w:val="00A16F34"/>
    <w:rsid w:val="00A17D2D"/>
    <w:rsid w:val="00A2021E"/>
    <w:rsid w:val="00A20EF9"/>
    <w:rsid w:val="00A2148B"/>
    <w:rsid w:val="00A2151F"/>
    <w:rsid w:val="00A2182E"/>
    <w:rsid w:val="00A219EE"/>
    <w:rsid w:val="00A21C95"/>
    <w:rsid w:val="00A21CF3"/>
    <w:rsid w:val="00A22790"/>
    <w:rsid w:val="00A228B2"/>
    <w:rsid w:val="00A238E2"/>
    <w:rsid w:val="00A2444C"/>
    <w:rsid w:val="00A24813"/>
    <w:rsid w:val="00A24BAD"/>
    <w:rsid w:val="00A256BA"/>
    <w:rsid w:val="00A26017"/>
    <w:rsid w:val="00A2615B"/>
    <w:rsid w:val="00A26BDD"/>
    <w:rsid w:val="00A27AEC"/>
    <w:rsid w:val="00A27FC9"/>
    <w:rsid w:val="00A3094F"/>
    <w:rsid w:val="00A30AB1"/>
    <w:rsid w:val="00A31B8C"/>
    <w:rsid w:val="00A320DB"/>
    <w:rsid w:val="00A32433"/>
    <w:rsid w:val="00A32572"/>
    <w:rsid w:val="00A332FD"/>
    <w:rsid w:val="00A33E3A"/>
    <w:rsid w:val="00A35067"/>
    <w:rsid w:val="00A35A39"/>
    <w:rsid w:val="00A35D16"/>
    <w:rsid w:val="00A36D85"/>
    <w:rsid w:val="00A37109"/>
    <w:rsid w:val="00A37BCD"/>
    <w:rsid w:val="00A37EA3"/>
    <w:rsid w:val="00A40590"/>
    <w:rsid w:val="00A41689"/>
    <w:rsid w:val="00A41C22"/>
    <w:rsid w:val="00A42592"/>
    <w:rsid w:val="00A427E9"/>
    <w:rsid w:val="00A43C59"/>
    <w:rsid w:val="00A449C1"/>
    <w:rsid w:val="00A454F7"/>
    <w:rsid w:val="00A45FE9"/>
    <w:rsid w:val="00A4642E"/>
    <w:rsid w:val="00A500E7"/>
    <w:rsid w:val="00A50D5C"/>
    <w:rsid w:val="00A50ECD"/>
    <w:rsid w:val="00A51652"/>
    <w:rsid w:val="00A518F3"/>
    <w:rsid w:val="00A51E9D"/>
    <w:rsid w:val="00A52478"/>
    <w:rsid w:val="00A524AB"/>
    <w:rsid w:val="00A525B9"/>
    <w:rsid w:val="00A52729"/>
    <w:rsid w:val="00A53219"/>
    <w:rsid w:val="00A53675"/>
    <w:rsid w:val="00A53950"/>
    <w:rsid w:val="00A53EE5"/>
    <w:rsid w:val="00A55346"/>
    <w:rsid w:val="00A55F7A"/>
    <w:rsid w:val="00A5606A"/>
    <w:rsid w:val="00A564D7"/>
    <w:rsid w:val="00A56B6A"/>
    <w:rsid w:val="00A56E27"/>
    <w:rsid w:val="00A578DC"/>
    <w:rsid w:val="00A61E4A"/>
    <w:rsid w:val="00A63038"/>
    <w:rsid w:val="00A632DD"/>
    <w:rsid w:val="00A6377A"/>
    <w:rsid w:val="00A63E28"/>
    <w:rsid w:val="00A640E2"/>
    <w:rsid w:val="00A64D65"/>
    <w:rsid w:val="00A65752"/>
    <w:rsid w:val="00A662FF"/>
    <w:rsid w:val="00A66E6A"/>
    <w:rsid w:val="00A6725B"/>
    <w:rsid w:val="00A67480"/>
    <w:rsid w:val="00A67931"/>
    <w:rsid w:val="00A67C86"/>
    <w:rsid w:val="00A70498"/>
    <w:rsid w:val="00A70605"/>
    <w:rsid w:val="00A7084A"/>
    <w:rsid w:val="00A711B5"/>
    <w:rsid w:val="00A7170B"/>
    <w:rsid w:val="00A71FDB"/>
    <w:rsid w:val="00A7301B"/>
    <w:rsid w:val="00A73134"/>
    <w:rsid w:val="00A7365A"/>
    <w:rsid w:val="00A73826"/>
    <w:rsid w:val="00A73B7F"/>
    <w:rsid w:val="00A7537C"/>
    <w:rsid w:val="00A75C3A"/>
    <w:rsid w:val="00A76001"/>
    <w:rsid w:val="00A777B2"/>
    <w:rsid w:val="00A80539"/>
    <w:rsid w:val="00A81375"/>
    <w:rsid w:val="00A820F1"/>
    <w:rsid w:val="00A825D4"/>
    <w:rsid w:val="00A828F6"/>
    <w:rsid w:val="00A82A5C"/>
    <w:rsid w:val="00A82B73"/>
    <w:rsid w:val="00A83FED"/>
    <w:rsid w:val="00A84135"/>
    <w:rsid w:val="00A85551"/>
    <w:rsid w:val="00A856C7"/>
    <w:rsid w:val="00A861C8"/>
    <w:rsid w:val="00A86652"/>
    <w:rsid w:val="00A86799"/>
    <w:rsid w:val="00A86E8B"/>
    <w:rsid w:val="00A86EC4"/>
    <w:rsid w:val="00A87164"/>
    <w:rsid w:val="00A871A9"/>
    <w:rsid w:val="00A871EA"/>
    <w:rsid w:val="00A87213"/>
    <w:rsid w:val="00A8751F"/>
    <w:rsid w:val="00A9003D"/>
    <w:rsid w:val="00A90516"/>
    <w:rsid w:val="00A914D2"/>
    <w:rsid w:val="00A91728"/>
    <w:rsid w:val="00A91A84"/>
    <w:rsid w:val="00A924DE"/>
    <w:rsid w:val="00A92A03"/>
    <w:rsid w:val="00A92AD7"/>
    <w:rsid w:val="00A93072"/>
    <w:rsid w:val="00A938BD"/>
    <w:rsid w:val="00A93953"/>
    <w:rsid w:val="00A93D43"/>
    <w:rsid w:val="00A941DD"/>
    <w:rsid w:val="00A9433F"/>
    <w:rsid w:val="00A951E5"/>
    <w:rsid w:val="00A95329"/>
    <w:rsid w:val="00A958F1"/>
    <w:rsid w:val="00A959D8"/>
    <w:rsid w:val="00A96B6F"/>
    <w:rsid w:val="00A97CA0"/>
    <w:rsid w:val="00AA0AC6"/>
    <w:rsid w:val="00AA0CAE"/>
    <w:rsid w:val="00AA113D"/>
    <w:rsid w:val="00AA1361"/>
    <w:rsid w:val="00AA1B7C"/>
    <w:rsid w:val="00AA1CD0"/>
    <w:rsid w:val="00AA3C47"/>
    <w:rsid w:val="00AA3F1C"/>
    <w:rsid w:val="00AA4887"/>
    <w:rsid w:val="00AA4C4C"/>
    <w:rsid w:val="00AA672D"/>
    <w:rsid w:val="00AA6BD5"/>
    <w:rsid w:val="00AA6BD8"/>
    <w:rsid w:val="00AA6C7D"/>
    <w:rsid w:val="00AA6D42"/>
    <w:rsid w:val="00AA7BBA"/>
    <w:rsid w:val="00AA7D0F"/>
    <w:rsid w:val="00AA7FD6"/>
    <w:rsid w:val="00AB042A"/>
    <w:rsid w:val="00AB045C"/>
    <w:rsid w:val="00AB0D1D"/>
    <w:rsid w:val="00AB1155"/>
    <w:rsid w:val="00AB11AD"/>
    <w:rsid w:val="00AB137A"/>
    <w:rsid w:val="00AB19E6"/>
    <w:rsid w:val="00AB19EF"/>
    <w:rsid w:val="00AB2495"/>
    <w:rsid w:val="00AB2D34"/>
    <w:rsid w:val="00AB3430"/>
    <w:rsid w:val="00AB37B9"/>
    <w:rsid w:val="00AB4496"/>
    <w:rsid w:val="00AB4AD1"/>
    <w:rsid w:val="00AB5E07"/>
    <w:rsid w:val="00AB6539"/>
    <w:rsid w:val="00AB65AA"/>
    <w:rsid w:val="00AB7A3F"/>
    <w:rsid w:val="00AB7CFA"/>
    <w:rsid w:val="00AC25D5"/>
    <w:rsid w:val="00AC3334"/>
    <w:rsid w:val="00AC409A"/>
    <w:rsid w:val="00AC4CB8"/>
    <w:rsid w:val="00AC4E0A"/>
    <w:rsid w:val="00AC51B6"/>
    <w:rsid w:val="00AC5B42"/>
    <w:rsid w:val="00AC5B48"/>
    <w:rsid w:val="00AC74CA"/>
    <w:rsid w:val="00AD07D2"/>
    <w:rsid w:val="00AD1450"/>
    <w:rsid w:val="00AD15BB"/>
    <w:rsid w:val="00AD15E8"/>
    <w:rsid w:val="00AD1769"/>
    <w:rsid w:val="00AD202A"/>
    <w:rsid w:val="00AD21E2"/>
    <w:rsid w:val="00AD2276"/>
    <w:rsid w:val="00AD3164"/>
    <w:rsid w:val="00AD356D"/>
    <w:rsid w:val="00AD3A4A"/>
    <w:rsid w:val="00AD3C1D"/>
    <w:rsid w:val="00AD442B"/>
    <w:rsid w:val="00AD4743"/>
    <w:rsid w:val="00AD4A9D"/>
    <w:rsid w:val="00AD55C8"/>
    <w:rsid w:val="00AD570C"/>
    <w:rsid w:val="00AD6236"/>
    <w:rsid w:val="00AD6502"/>
    <w:rsid w:val="00AE020D"/>
    <w:rsid w:val="00AE04AB"/>
    <w:rsid w:val="00AE0695"/>
    <w:rsid w:val="00AE144B"/>
    <w:rsid w:val="00AE1C3C"/>
    <w:rsid w:val="00AE1DDB"/>
    <w:rsid w:val="00AE1F78"/>
    <w:rsid w:val="00AE203D"/>
    <w:rsid w:val="00AE2081"/>
    <w:rsid w:val="00AE39CE"/>
    <w:rsid w:val="00AE3E7E"/>
    <w:rsid w:val="00AE4418"/>
    <w:rsid w:val="00AE44A2"/>
    <w:rsid w:val="00AE4887"/>
    <w:rsid w:val="00AE48D4"/>
    <w:rsid w:val="00AE4C78"/>
    <w:rsid w:val="00AE4E60"/>
    <w:rsid w:val="00AE4E69"/>
    <w:rsid w:val="00AE4EB3"/>
    <w:rsid w:val="00AE4FEF"/>
    <w:rsid w:val="00AE5DEE"/>
    <w:rsid w:val="00AE66F4"/>
    <w:rsid w:val="00AE67DF"/>
    <w:rsid w:val="00AE6F06"/>
    <w:rsid w:val="00AE766B"/>
    <w:rsid w:val="00AE77CA"/>
    <w:rsid w:val="00AE7E53"/>
    <w:rsid w:val="00AF01EE"/>
    <w:rsid w:val="00AF045D"/>
    <w:rsid w:val="00AF10C9"/>
    <w:rsid w:val="00AF1315"/>
    <w:rsid w:val="00AF1856"/>
    <w:rsid w:val="00AF191A"/>
    <w:rsid w:val="00AF19BF"/>
    <w:rsid w:val="00AF1EDD"/>
    <w:rsid w:val="00AF1FA2"/>
    <w:rsid w:val="00AF2348"/>
    <w:rsid w:val="00AF2DC3"/>
    <w:rsid w:val="00AF3C5F"/>
    <w:rsid w:val="00AF3D14"/>
    <w:rsid w:val="00AF3D3F"/>
    <w:rsid w:val="00AF448F"/>
    <w:rsid w:val="00AF6969"/>
    <w:rsid w:val="00AF72C1"/>
    <w:rsid w:val="00B01754"/>
    <w:rsid w:val="00B01EE6"/>
    <w:rsid w:val="00B02123"/>
    <w:rsid w:val="00B02237"/>
    <w:rsid w:val="00B033E5"/>
    <w:rsid w:val="00B0386B"/>
    <w:rsid w:val="00B0389C"/>
    <w:rsid w:val="00B03A63"/>
    <w:rsid w:val="00B04201"/>
    <w:rsid w:val="00B04A89"/>
    <w:rsid w:val="00B05DE0"/>
    <w:rsid w:val="00B06019"/>
    <w:rsid w:val="00B064CA"/>
    <w:rsid w:val="00B075EC"/>
    <w:rsid w:val="00B1000C"/>
    <w:rsid w:val="00B129A4"/>
    <w:rsid w:val="00B13715"/>
    <w:rsid w:val="00B13C29"/>
    <w:rsid w:val="00B14FB1"/>
    <w:rsid w:val="00B165EC"/>
    <w:rsid w:val="00B201A4"/>
    <w:rsid w:val="00B201D1"/>
    <w:rsid w:val="00B20F5F"/>
    <w:rsid w:val="00B213A6"/>
    <w:rsid w:val="00B2158C"/>
    <w:rsid w:val="00B218A6"/>
    <w:rsid w:val="00B218CA"/>
    <w:rsid w:val="00B225D5"/>
    <w:rsid w:val="00B2271C"/>
    <w:rsid w:val="00B22F6C"/>
    <w:rsid w:val="00B22FE0"/>
    <w:rsid w:val="00B235B0"/>
    <w:rsid w:val="00B24B60"/>
    <w:rsid w:val="00B24D1B"/>
    <w:rsid w:val="00B24DF6"/>
    <w:rsid w:val="00B266A9"/>
    <w:rsid w:val="00B26981"/>
    <w:rsid w:val="00B2779F"/>
    <w:rsid w:val="00B27A61"/>
    <w:rsid w:val="00B30192"/>
    <w:rsid w:val="00B3158A"/>
    <w:rsid w:val="00B3166E"/>
    <w:rsid w:val="00B33476"/>
    <w:rsid w:val="00B33C23"/>
    <w:rsid w:val="00B33F50"/>
    <w:rsid w:val="00B34FE2"/>
    <w:rsid w:val="00B35166"/>
    <w:rsid w:val="00B357D8"/>
    <w:rsid w:val="00B360F4"/>
    <w:rsid w:val="00B363FB"/>
    <w:rsid w:val="00B36A00"/>
    <w:rsid w:val="00B36DAF"/>
    <w:rsid w:val="00B3792B"/>
    <w:rsid w:val="00B37BFC"/>
    <w:rsid w:val="00B40358"/>
    <w:rsid w:val="00B41177"/>
    <w:rsid w:val="00B413BF"/>
    <w:rsid w:val="00B4152E"/>
    <w:rsid w:val="00B41614"/>
    <w:rsid w:val="00B4250B"/>
    <w:rsid w:val="00B42851"/>
    <w:rsid w:val="00B42F80"/>
    <w:rsid w:val="00B435CB"/>
    <w:rsid w:val="00B44503"/>
    <w:rsid w:val="00B44689"/>
    <w:rsid w:val="00B4517D"/>
    <w:rsid w:val="00B45BBF"/>
    <w:rsid w:val="00B45CA3"/>
    <w:rsid w:val="00B464EC"/>
    <w:rsid w:val="00B465EC"/>
    <w:rsid w:val="00B468BD"/>
    <w:rsid w:val="00B47306"/>
    <w:rsid w:val="00B47831"/>
    <w:rsid w:val="00B505C8"/>
    <w:rsid w:val="00B509F3"/>
    <w:rsid w:val="00B50DB8"/>
    <w:rsid w:val="00B50F2B"/>
    <w:rsid w:val="00B51B56"/>
    <w:rsid w:val="00B522A6"/>
    <w:rsid w:val="00B5238A"/>
    <w:rsid w:val="00B5269F"/>
    <w:rsid w:val="00B52769"/>
    <w:rsid w:val="00B53654"/>
    <w:rsid w:val="00B53905"/>
    <w:rsid w:val="00B546DB"/>
    <w:rsid w:val="00B5483B"/>
    <w:rsid w:val="00B54B5B"/>
    <w:rsid w:val="00B5562E"/>
    <w:rsid w:val="00B55862"/>
    <w:rsid w:val="00B559B3"/>
    <w:rsid w:val="00B55D65"/>
    <w:rsid w:val="00B55DCC"/>
    <w:rsid w:val="00B56305"/>
    <w:rsid w:val="00B56824"/>
    <w:rsid w:val="00B57000"/>
    <w:rsid w:val="00B57005"/>
    <w:rsid w:val="00B574D1"/>
    <w:rsid w:val="00B575AF"/>
    <w:rsid w:val="00B5775C"/>
    <w:rsid w:val="00B57816"/>
    <w:rsid w:val="00B5798A"/>
    <w:rsid w:val="00B57EFC"/>
    <w:rsid w:val="00B60597"/>
    <w:rsid w:val="00B60939"/>
    <w:rsid w:val="00B60AFD"/>
    <w:rsid w:val="00B611F8"/>
    <w:rsid w:val="00B61773"/>
    <w:rsid w:val="00B617B7"/>
    <w:rsid w:val="00B61AE1"/>
    <w:rsid w:val="00B61F33"/>
    <w:rsid w:val="00B62715"/>
    <w:rsid w:val="00B62B7E"/>
    <w:rsid w:val="00B62F47"/>
    <w:rsid w:val="00B63841"/>
    <w:rsid w:val="00B63FF0"/>
    <w:rsid w:val="00B65611"/>
    <w:rsid w:val="00B65748"/>
    <w:rsid w:val="00B6619D"/>
    <w:rsid w:val="00B662AC"/>
    <w:rsid w:val="00B66E1E"/>
    <w:rsid w:val="00B6759B"/>
    <w:rsid w:val="00B7077F"/>
    <w:rsid w:val="00B70E8E"/>
    <w:rsid w:val="00B71D92"/>
    <w:rsid w:val="00B72547"/>
    <w:rsid w:val="00B72BC7"/>
    <w:rsid w:val="00B73DAC"/>
    <w:rsid w:val="00B74A73"/>
    <w:rsid w:val="00B76B61"/>
    <w:rsid w:val="00B76C92"/>
    <w:rsid w:val="00B77756"/>
    <w:rsid w:val="00B80EAD"/>
    <w:rsid w:val="00B80EFD"/>
    <w:rsid w:val="00B811B0"/>
    <w:rsid w:val="00B8155B"/>
    <w:rsid w:val="00B818A4"/>
    <w:rsid w:val="00B82941"/>
    <w:rsid w:val="00B82C51"/>
    <w:rsid w:val="00B83177"/>
    <w:rsid w:val="00B83739"/>
    <w:rsid w:val="00B84117"/>
    <w:rsid w:val="00B858F0"/>
    <w:rsid w:val="00B85AA2"/>
    <w:rsid w:val="00B85EDA"/>
    <w:rsid w:val="00B85F5A"/>
    <w:rsid w:val="00B85FD7"/>
    <w:rsid w:val="00B8649C"/>
    <w:rsid w:val="00B8695D"/>
    <w:rsid w:val="00B873B0"/>
    <w:rsid w:val="00B87F0A"/>
    <w:rsid w:val="00B9205C"/>
    <w:rsid w:val="00B9289F"/>
    <w:rsid w:val="00B92D0B"/>
    <w:rsid w:val="00B932A4"/>
    <w:rsid w:val="00B93B26"/>
    <w:rsid w:val="00B9459C"/>
    <w:rsid w:val="00B94642"/>
    <w:rsid w:val="00B94945"/>
    <w:rsid w:val="00B94DD6"/>
    <w:rsid w:val="00B95803"/>
    <w:rsid w:val="00BA16AA"/>
    <w:rsid w:val="00BA16D4"/>
    <w:rsid w:val="00BA24A1"/>
    <w:rsid w:val="00BA2BC6"/>
    <w:rsid w:val="00BA322D"/>
    <w:rsid w:val="00BA3613"/>
    <w:rsid w:val="00BA3DA2"/>
    <w:rsid w:val="00BA4D05"/>
    <w:rsid w:val="00BA53A7"/>
    <w:rsid w:val="00BA6324"/>
    <w:rsid w:val="00BA63FA"/>
    <w:rsid w:val="00BA65C0"/>
    <w:rsid w:val="00BA709A"/>
    <w:rsid w:val="00BB00B3"/>
    <w:rsid w:val="00BB0BDD"/>
    <w:rsid w:val="00BB176C"/>
    <w:rsid w:val="00BB2078"/>
    <w:rsid w:val="00BB2A73"/>
    <w:rsid w:val="00BB3A45"/>
    <w:rsid w:val="00BB3DCC"/>
    <w:rsid w:val="00BB3F5C"/>
    <w:rsid w:val="00BB4ACC"/>
    <w:rsid w:val="00BB54DF"/>
    <w:rsid w:val="00BB61C5"/>
    <w:rsid w:val="00BB703E"/>
    <w:rsid w:val="00BB732D"/>
    <w:rsid w:val="00BB7405"/>
    <w:rsid w:val="00BB799D"/>
    <w:rsid w:val="00BC12DF"/>
    <w:rsid w:val="00BC1FAA"/>
    <w:rsid w:val="00BC3288"/>
    <w:rsid w:val="00BC3631"/>
    <w:rsid w:val="00BC39F9"/>
    <w:rsid w:val="00BC47EC"/>
    <w:rsid w:val="00BC481E"/>
    <w:rsid w:val="00BC4D2B"/>
    <w:rsid w:val="00BC591F"/>
    <w:rsid w:val="00BC62C0"/>
    <w:rsid w:val="00BC660E"/>
    <w:rsid w:val="00BC6E95"/>
    <w:rsid w:val="00BC732B"/>
    <w:rsid w:val="00BC7D6D"/>
    <w:rsid w:val="00BC7EE8"/>
    <w:rsid w:val="00BC7F25"/>
    <w:rsid w:val="00BD01F6"/>
    <w:rsid w:val="00BD081B"/>
    <w:rsid w:val="00BD0E3A"/>
    <w:rsid w:val="00BD125C"/>
    <w:rsid w:val="00BD2108"/>
    <w:rsid w:val="00BD213C"/>
    <w:rsid w:val="00BD281B"/>
    <w:rsid w:val="00BD29A9"/>
    <w:rsid w:val="00BD2DDE"/>
    <w:rsid w:val="00BD36FD"/>
    <w:rsid w:val="00BD3E2C"/>
    <w:rsid w:val="00BD4214"/>
    <w:rsid w:val="00BD43E8"/>
    <w:rsid w:val="00BD4E96"/>
    <w:rsid w:val="00BD5E33"/>
    <w:rsid w:val="00BD6368"/>
    <w:rsid w:val="00BD643F"/>
    <w:rsid w:val="00BD68A3"/>
    <w:rsid w:val="00BD6938"/>
    <w:rsid w:val="00BD6CF3"/>
    <w:rsid w:val="00BD6FCF"/>
    <w:rsid w:val="00BD7819"/>
    <w:rsid w:val="00BD7F72"/>
    <w:rsid w:val="00BE094A"/>
    <w:rsid w:val="00BE0ECA"/>
    <w:rsid w:val="00BE1DB7"/>
    <w:rsid w:val="00BE2180"/>
    <w:rsid w:val="00BE21F2"/>
    <w:rsid w:val="00BE32DB"/>
    <w:rsid w:val="00BE34C9"/>
    <w:rsid w:val="00BE4275"/>
    <w:rsid w:val="00BE4610"/>
    <w:rsid w:val="00BE528B"/>
    <w:rsid w:val="00BE5436"/>
    <w:rsid w:val="00BE5A3B"/>
    <w:rsid w:val="00BE60D3"/>
    <w:rsid w:val="00BE679F"/>
    <w:rsid w:val="00BE6DF3"/>
    <w:rsid w:val="00BF027D"/>
    <w:rsid w:val="00BF02D7"/>
    <w:rsid w:val="00BF06AE"/>
    <w:rsid w:val="00BF0E7B"/>
    <w:rsid w:val="00BF0F95"/>
    <w:rsid w:val="00BF2433"/>
    <w:rsid w:val="00BF2A41"/>
    <w:rsid w:val="00BF2B49"/>
    <w:rsid w:val="00BF2E6E"/>
    <w:rsid w:val="00BF380A"/>
    <w:rsid w:val="00BF4565"/>
    <w:rsid w:val="00BF4E2A"/>
    <w:rsid w:val="00BF5C86"/>
    <w:rsid w:val="00BF5D19"/>
    <w:rsid w:val="00BF61C9"/>
    <w:rsid w:val="00BF6C94"/>
    <w:rsid w:val="00C00424"/>
    <w:rsid w:val="00C009CF"/>
    <w:rsid w:val="00C00BB0"/>
    <w:rsid w:val="00C011A4"/>
    <w:rsid w:val="00C012D8"/>
    <w:rsid w:val="00C018D8"/>
    <w:rsid w:val="00C02760"/>
    <w:rsid w:val="00C030B5"/>
    <w:rsid w:val="00C0478E"/>
    <w:rsid w:val="00C053BE"/>
    <w:rsid w:val="00C06F41"/>
    <w:rsid w:val="00C070C8"/>
    <w:rsid w:val="00C07133"/>
    <w:rsid w:val="00C07216"/>
    <w:rsid w:val="00C10E54"/>
    <w:rsid w:val="00C1179F"/>
    <w:rsid w:val="00C11D48"/>
    <w:rsid w:val="00C11F51"/>
    <w:rsid w:val="00C127B9"/>
    <w:rsid w:val="00C128FA"/>
    <w:rsid w:val="00C12C14"/>
    <w:rsid w:val="00C1434E"/>
    <w:rsid w:val="00C15B9A"/>
    <w:rsid w:val="00C15F04"/>
    <w:rsid w:val="00C164DF"/>
    <w:rsid w:val="00C16578"/>
    <w:rsid w:val="00C166FB"/>
    <w:rsid w:val="00C16863"/>
    <w:rsid w:val="00C16DE2"/>
    <w:rsid w:val="00C1777A"/>
    <w:rsid w:val="00C179B3"/>
    <w:rsid w:val="00C17E3F"/>
    <w:rsid w:val="00C200AA"/>
    <w:rsid w:val="00C22096"/>
    <w:rsid w:val="00C220A9"/>
    <w:rsid w:val="00C22473"/>
    <w:rsid w:val="00C237ED"/>
    <w:rsid w:val="00C23CF0"/>
    <w:rsid w:val="00C23D1C"/>
    <w:rsid w:val="00C240D0"/>
    <w:rsid w:val="00C24357"/>
    <w:rsid w:val="00C24632"/>
    <w:rsid w:val="00C24892"/>
    <w:rsid w:val="00C24A50"/>
    <w:rsid w:val="00C25418"/>
    <w:rsid w:val="00C259EB"/>
    <w:rsid w:val="00C25D9C"/>
    <w:rsid w:val="00C260F7"/>
    <w:rsid w:val="00C262A1"/>
    <w:rsid w:val="00C26DDC"/>
    <w:rsid w:val="00C2778B"/>
    <w:rsid w:val="00C27D6C"/>
    <w:rsid w:val="00C27E01"/>
    <w:rsid w:val="00C31649"/>
    <w:rsid w:val="00C31FC4"/>
    <w:rsid w:val="00C32D28"/>
    <w:rsid w:val="00C341AA"/>
    <w:rsid w:val="00C3434C"/>
    <w:rsid w:val="00C35056"/>
    <w:rsid w:val="00C35734"/>
    <w:rsid w:val="00C363C3"/>
    <w:rsid w:val="00C36DFD"/>
    <w:rsid w:val="00C40385"/>
    <w:rsid w:val="00C41756"/>
    <w:rsid w:val="00C41768"/>
    <w:rsid w:val="00C41B03"/>
    <w:rsid w:val="00C41FA0"/>
    <w:rsid w:val="00C41FBC"/>
    <w:rsid w:val="00C42ADB"/>
    <w:rsid w:val="00C44045"/>
    <w:rsid w:val="00C44F85"/>
    <w:rsid w:val="00C4549B"/>
    <w:rsid w:val="00C46665"/>
    <w:rsid w:val="00C475AA"/>
    <w:rsid w:val="00C47A7A"/>
    <w:rsid w:val="00C51612"/>
    <w:rsid w:val="00C52390"/>
    <w:rsid w:val="00C527C7"/>
    <w:rsid w:val="00C53493"/>
    <w:rsid w:val="00C53C98"/>
    <w:rsid w:val="00C54911"/>
    <w:rsid w:val="00C5500C"/>
    <w:rsid w:val="00C56906"/>
    <w:rsid w:val="00C56FCF"/>
    <w:rsid w:val="00C572F6"/>
    <w:rsid w:val="00C57B6C"/>
    <w:rsid w:val="00C6014B"/>
    <w:rsid w:val="00C605EB"/>
    <w:rsid w:val="00C60C08"/>
    <w:rsid w:val="00C60FFE"/>
    <w:rsid w:val="00C61A59"/>
    <w:rsid w:val="00C628A6"/>
    <w:rsid w:val="00C638CC"/>
    <w:rsid w:val="00C64344"/>
    <w:rsid w:val="00C64666"/>
    <w:rsid w:val="00C64AF5"/>
    <w:rsid w:val="00C65108"/>
    <w:rsid w:val="00C65576"/>
    <w:rsid w:val="00C65C6A"/>
    <w:rsid w:val="00C66165"/>
    <w:rsid w:val="00C662B7"/>
    <w:rsid w:val="00C66A0C"/>
    <w:rsid w:val="00C66FCD"/>
    <w:rsid w:val="00C67941"/>
    <w:rsid w:val="00C67E31"/>
    <w:rsid w:val="00C67F7D"/>
    <w:rsid w:val="00C7060A"/>
    <w:rsid w:val="00C7151A"/>
    <w:rsid w:val="00C717E3"/>
    <w:rsid w:val="00C71F60"/>
    <w:rsid w:val="00C72134"/>
    <w:rsid w:val="00C72241"/>
    <w:rsid w:val="00C7243B"/>
    <w:rsid w:val="00C728F7"/>
    <w:rsid w:val="00C72A33"/>
    <w:rsid w:val="00C72AE7"/>
    <w:rsid w:val="00C74766"/>
    <w:rsid w:val="00C7476E"/>
    <w:rsid w:val="00C74CB6"/>
    <w:rsid w:val="00C74D71"/>
    <w:rsid w:val="00C750C8"/>
    <w:rsid w:val="00C7560F"/>
    <w:rsid w:val="00C7638E"/>
    <w:rsid w:val="00C766F7"/>
    <w:rsid w:val="00C77D3A"/>
    <w:rsid w:val="00C80A0E"/>
    <w:rsid w:val="00C80B25"/>
    <w:rsid w:val="00C80CFE"/>
    <w:rsid w:val="00C81371"/>
    <w:rsid w:val="00C8213F"/>
    <w:rsid w:val="00C82423"/>
    <w:rsid w:val="00C828FD"/>
    <w:rsid w:val="00C82E5C"/>
    <w:rsid w:val="00C8303F"/>
    <w:rsid w:val="00C83C8F"/>
    <w:rsid w:val="00C84906"/>
    <w:rsid w:val="00C84D6A"/>
    <w:rsid w:val="00C8510B"/>
    <w:rsid w:val="00C85154"/>
    <w:rsid w:val="00C8587D"/>
    <w:rsid w:val="00C85A70"/>
    <w:rsid w:val="00C86475"/>
    <w:rsid w:val="00C86837"/>
    <w:rsid w:val="00C86CFE"/>
    <w:rsid w:val="00C8797A"/>
    <w:rsid w:val="00C900B8"/>
    <w:rsid w:val="00C90197"/>
    <w:rsid w:val="00C90C71"/>
    <w:rsid w:val="00C90C7E"/>
    <w:rsid w:val="00C910A7"/>
    <w:rsid w:val="00C913CC"/>
    <w:rsid w:val="00C91480"/>
    <w:rsid w:val="00C91FD1"/>
    <w:rsid w:val="00C9319B"/>
    <w:rsid w:val="00C931CF"/>
    <w:rsid w:val="00C938CF"/>
    <w:rsid w:val="00C94053"/>
    <w:rsid w:val="00C94835"/>
    <w:rsid w:val="00C9578D"/>
    <w:rsid w:val="00C9624D"/>
    <w:rsid w:val="00C969DA"/>
    <w:rsid w:val="00C97B4B"/>
    <w:rsid w:val="00CA0A7D"/>
    <w:rsid w:val="00CA14E4"/>
    <w:rsid w:val="00CA1630"/>
    <w:rsid w:val="00CA1F43"/>
    <w:rsid w:val="00CA2202"/>
    <w:rsid w:val="00CA2BF9"/>
    <w:rsid w:val="00CA2C77"/>
    <w:rsid w:val="00CA320D"/>
    <w:rsid w:val="00CA330B"/>
    <w:rsid w:val="00CA3923"/>
    <w:rsid w:val="00CA444F"/>
    <w:rsid w:val="00CA4FBC"/>
    <w:rsid w:val="00CA5245"/>
    <w:rsid w:val="00CA6047"/>
    <w:rsid w:val="00CA71F4"/>
    <w:rsid w:val="00CA7A6A"/>
    <w:rsid w:val="00CA7B09"/>
    <w:rsid w:val="00CB0E9D"/>
    <w:rsid w:val="00CB12A5"/>
    <w:rsid w:val="00CB1CAC"/>
    <w:rsid w:val="00CB282A"/>
    <w:rsid w:val="00CB2EC3"/>
    <w:rsid w:val="00CB2ECA"/>
    <w:rsid w:val="00CB2F2A"/>
    <w:rsid w:val="00CB329E"/>
    <w:rsid w:val="00CB33FE"/>
    <w:rsid w:val="00CB4B5D"/>
    <w:rsid w:val="00CB5218"/>
    <w:rsid w:val="00CB5B1A"/>
    <w:rsid w:val="00CB6953"/>
    <w:rsid w:val="00CB6B22"/>
    <w:rsid w:val="00CB7663"/>
    <w:rsid w:val="00CB7C09"/>
    <w:rsid w:val="00CB7DB2"/>
    <w:rsid w:val="00CB7F5F"/>
    <w:rsid w:val="00CC0793"/>
    <w:rsid w:val="00CC158C"/>
    <w:rsid w:val="00CC17E0"/>
    <w:rsid w:val="00CC194D"/>
    <w:rsid w:val="00CC1B39"/>
    <w:rsid w:val="00CC1BFA"/>
    <w:rsid w:val="00CC2E9F"/>
    <w:rsid w:val="00CC35EA"/>
    <w:rsid w:val="00CC3848"/>
    <w:rsid w:val="00CC3BCD"/>
    <w:rsid w:val="00CC45F3"/>
    <w:rsid w:val="00CC53D2"/>
    <w:rsid w:val="00CC57A8"/>
    <w:rsid w:val="00CC6160"/>
    <w:rsid w:val="00CC6D5E"/>
    <w:rsid w:val="00CC7215"/>
    <w:rsid w:val="00CC75B1"/>
    <w:rsid w:val="00CC7638"/>
    <w:rsid w:val="00CC7E9F"/>
    <w:rsid w:val="00CD0200"/>
    <w:rsid w:val="00CD0ECF"/>
    <w:rsid w:val="00CD0FEE"/>
    <w:rsid w:val="00CD1536"/>
    <w:rsid w:val="00CD171E"/>
    <w:rsid w:val="00CD1B86"/>
    <w:rsid w:val="00CD25C8"/>
    <w:rsid w:val="00CD3F77"/>
    <w:rsid w:val="00CD42FF"/>
    <w:rsid w:val="00CD4B3F"/>
    <w:rsid w:val="00CD4CC5"/>
    <w:rsid w:val="00CD5AE1"/>
    <w:rsid w:val="00CD6067"/>
    <w:rsid w:val="00CD6ADC"/>
    <w:rsid w:val="00CD7069"/>
    <w:rsid w:val="00CD7078"/>
    <w:rsid w:val="00CD7193"/>
    <w:rsid w:val="00CD751D"/>
    <w:rsid w:val="00CD7545"/>
    <w:rsid w:val="00CD7D52"/>
    <w:rsid w:val="00CE1245"/>
    <w:rsid w:val="00CE209B"/>
    <w:rsid w:val="00CE20FE"/>
    <w:rsid w:val="00CE2919"/>
    <w:rsid w:val="00CE2B81"/>
    <w:rsid w:val="00CE38C8"/>
    <w:rsid w:val="00CE4317"/>
    <w:rsid w:val="00CE4A27"/>
    <w:rsid w:val="00CE4F0D"/>
    <w:rsid w:val="00CE524F"/>
    <w:rsid w:val="00CE58CC"/>
    <w:rsid w:val="00CE5903"/>
    <w:rsid w:val="00CE5EBC"/>
    <w:rsid w:val="00CE6274"/>
    <w:rsid w:val="00CE6903"/>
    <w:rsid w:val="00CE6D8E"/>
    <w:rsid w:val="00CE70B7"/>
    <w:rsid w:val="00CE77B6"/>
    <w:rsid w:val="00CE7EEF"/>
    <w:rsid w:val="00CF03C4"/>
    <w:rsid w:val="00CF0408"/>
    <w:rsid w:val="00CF0E97"/>
    <w:rsid w:val="00CF1A02"/>
    <w:rsid w:val="00CF2769"/>
    <w:rsid w:val="00CF2B8D"/>
    <w:rsid w:val="00CF2CEE"/>
    <w:rsid w:val="00CF32B9"/>
    <w:rsid w:val="00CF3A1B"/>
    <w:rsid w:val="00CF456B"/>
    <w:rsid w:val="00CF5A22"/>
    <w:rsid w:val="00CF5FB9"/>
    <w:rsid w:val="00D0054F"/>
    <w:rsid w:val="00D00A4B"/>
    <w:rsid w:val="00D00AA8"/>
    <w:rsid w:val="00D013BE"/>
    <w:rsid w:val="00D01F45"/>
    <w:rsid w:val="00D0262E"/>
    <w:rsid w:val="00D03506"/>
    <w:rsid w:val="00D03679"/>
    <w:rsid w:val="00D03F4E"/>
    <w:rsid w:val="00D041AB"/>
    <w:rsid w:val="00D0521F"/>
    <w:rsid w:val="00D05BEC"/>
    <w:rsid w:val="00D05E3D"/>
    <w:rsid w:val="00D06139"/>
    <w:rsid w:val="00D110BD"/>
    <w:rsid w:val="00D116EE"/>
    <w:rsid w:val="00D12308"/>
    <w:rsid w:val="00D12AB2"/>
    <w:rsid w:val="00D12ADF"/>
    <w:rsid w:val="00D12FAF"/>
    <w:rsid w:val="00D13675"/>
    <w:rsid w:val="00D13EF1"/>
    <w:rsid w:val="00D141E1"/>
    <w:rsid w:val="00D14BBB"/>
    <w:rsid w:val="00D15314"/>
    <w:rsid w:val="00D15B48"/>
    <w:rsid w:val="00D15E12"/>
    <w:rsid w:val="00D16AEA"/>
    <w:rsid w:val="00D16D14"/>
    <w:rsid w:val="00D17D6C"/>
    <w:rsid w:val="00D20A9B"/>
    <w:rsid w:val="00D2155B"/>
    <w:rsid w:val="00D22395"/>
    <w:rsid w:val="00D225D0"/>
    <w:rsid w:val="00D23D11"/>
    <w:rsid w:val="00D244B6"/>
    <w:rsid w:val="00D2451B"/>
    <w:rsid w:val="00D24B8C"/>
    <w:rsid w:val="00D25D6D"/>
    <w:rsid w:val="00D2754D"/>
    <w:rsid w:val="00D275AE"/>
    <w:rsid w:val="00D278E1"/>
    <w:rsid w:val="00D2798E"/>
    <w:rsid w:val="00D27B27"/>
    <w:rsid w:val="00D30553"/>
    <w:rsid w:val="00D30D5B"/>
    <w:rsid w:val="00D31BFE"/>
    <w:rsid w:val="00D32AB3"/>
    <w:rsid w:val="00D32FB9"/>
    <w:rsid w:val="00D331D2"/>
    <w:rsid w:val="00D33BE9"/>
    <w:rsid w:val="00D33F93"/>
    <w:rsid w:val="00D33FB5"/>
    <w:rsid w:val="00D357FF"/>
    <w:rsid w:val="00D35AC1"/>
    <w:rsid w:val="00D361BB"/>
    <w:rsid w:val="00D36FAF"/>
    <w:rsid w:val="00D41973"/>
    <w:rsid w:val="00D41A09"/>
    <w:rsid w:val="00D41F2B"/>
    <w:rsid w:val="00D4203D"/>
    <w:rsid w:val="00D424C7"/>
    <w:rsid w:val="00D424D3"/>
    <w:rsid w:val="00D438AF"/>
    <w:rsid w:val="00D43ADD"/>
    <w:rsid w:val="00D43B2A"/>
    <w:rsid w:val="00D43CF1"/>
    <w:rsid w:val="00D43D83"/>
    <w:rsid w:val="00D442B8"/>
    <w:rsid w:val="00D442BB"/>
    <w:rsid w:val="00D444E0"/>
    <w:rsid w:val="00D451FD"/>
    <w:rsid w:val="00D45BB9"/>
    <w:rsid w:val="00D461C6"/>
    <w:rsid w:val="00D46F51"/>
    <w:rsid w:val="00D470F2"/>
    <w:rsid w:val="00D47575"/>
    <w:rsid w:val="00D4766B"/>
    <w:rsid w:val="00D4775C"/>
    <w:rsid w:val="00D47948"/>
    <w:rsid w:val="00D507AB"/>
    <w:rsid w:val="00D51607"/>
    <w:rsid w:val="00D51865"/>
    <w:rsid w:val="00D51C99"/>
    <w:rsid w:val="00D5243B"/>
    <w:rsid w:val="00D52783"/>
    <w:rsid w:val="00D527CF"/>
    <w:rsid w:val="00D52834"/>
    <w:rsid w:val="00D5326A"/>
    <w:rsid w:val="00D533EC"/>
    <w:rsid w:val="00D544C1"/>
    <w:rsid w:val="00D54B60"/>
    <w:rsid w:val="00D55C3D"/>
    <w:rsid w:val="00D56A95"/>
    <w:rsid w:val="00D56F36"/>
    <w:rsid w:val="00D6076E"/>
    <w:rsid w:val="00D61DD2"/>
    <w:rsid w:val="00D6247B"/>
    <w:rsid w:val="00D62CA5"/>
    <w:rsid w:val="00D6391F"/>
    <w:rsid w:val="00D63BB0"/>
    <w:rsid w:val="00D66280"/>
    <w:rsid w:val="00D70307"/>
    <w:rsid w:val="00D709F5"/>
    <w:rsid w:val="00D70E70"/>
    <w:rsid w:val="00D70F16"/>
    <w:rsid w:val="00D713EC"/>
    <w:rsid w:val="00D72617"/>
    <w:rsid w:val="00D72A72"/>
    <w:rsid w:val="00D72A93"/>
    <w:rsid w:val="00D72B53"/>
    <w:rsid w:val="00D72E87"/>
    <w:rsid w:val="00D72F57"/>
    <w:rsid w:val="00D7344F"/>
    <w:rsid w:val="00D744FC"/>
    <w:rsid w:val="00D751BB"/>
    <w:rsid w:val="00D76290"/>
    <w:rsid w:val="00D76A43"/>
    <w:rsid w:val="00D76A44"/>
    <w:rsid w:val="00D77016"/>
    <w:rsid w:val="00D77E3F"/>
    <w:rsid w:val="00D80116"/>
    <w:rsid w:val="00D80274"/>
    <w:rsid w:val="00D805CB"/>
    <w:rsid w:val="00D80981"/>
    <w:rsid w:val="00D81290"/>
    <w:rsid w:val="00D8148E"/>
    <w:rsid w:val="00D815EF"/>
    <w:rsid w:val="00D81949"/>
    <w:rsid w:val="00D81F26"/>
    <w:rsid w:val="00D82217"/>
    <w:rsid w:val="00D822E2"/>
    <w:rsid w:val="00D82E20"/>
    <w:rsid w:val="00D833AE"/>
    <w:rsid w:val="00D83E50"/>
    <w:rsid w:val="00D843F2"/>
    <w:rsid w:val="00D85C77"/>
    <w:rsid w:val="00D85D63"/>
    <w:rsid w:val="00D86012"/>
    <w:rsid w:val="00D86231"/>
    <w:rsid w:val="00D868E0"/>
    <w:rsid w:val="00D87009"/>
    <w:rsid w:val="00D90B5E"/>
    <w:rsid w:val="00D91222"/>
    <w:rsid w:val="00D912AB"/>
    <w:rsid w:val="00D91923"/>
    <w:rsid w:val="00D92816"/>
    <w:rsid w:val="00D92D9D"/>
    <w:rsid w:val="00D92F64"/>
    <w:rsid w:val="00D93227"/>
    <w:rsid w:val="00D93753"/>
    <w:rsid w:val="00D93773"/>
    <w:rsid w:val="00D941BA"/>
    <w:rsid w:val="00D94CCC"/>
    <w:rsid w:val="00D94E96"/>
    <w:rsid w:val="00D95CDD"/>
    <w:rsid w:val="00D96A3E"/>
    <w:rsid w:val="00D97680"/>
    <w:rsid w:val="00DA0993"/>
    <w:rsid w:val="00DA132A"/>
    <w:rsid w:val="00DA1A90"/>
    <w:rsid w:val="00DA2225"/>
    <w:rsid w:val="00DA2A49"/>
    <w:rsid w:val="00DA3167"/>
    <w:rsid w:val="00DA3E61"/>
    <w:rsid w:val="00DA4549"/>
    <w:rsid w:val="00DA4DC3"/>
    <w:rsid w:val="00DA50CE"/>
    <w:rsid w:val="00DA71B4"/>
    <w:rsid w:val="00DA77A5"/>
    <w:rsid w:val="00DA799B"/>
    <w:rsid w:val="00DA7D8C"/>
    <w:rsid w:val="00DB01C3"/>
    <w:rsid w:val="00DB0B0D"/>
    <w:rsid w:val="00DB0C45"/>
    <w:rsid w:val="00DB0E36"/>
    <w:rsid w:val="00DB131D"/>
    <w:rsid w:val="00DB14E9"/>
    <w:rsid w:val="00DB1A8F"/>
    <w:rsid w:val="00DB1C79"/>
    <w:rsid w:val="00DB23B4"/>
    <w:rsid w:val="00DB240F"/>
    <w:rsid w:val="00DB2723"/>
    <w:rsid w:val="00DB3A04"/>
    <w:rsid w:val="00DB3DBF"/>
    <w:rsid w:val="00DB431F"/>
    <w:rsid w:val="00DB484F"/>
    <w:rsid w:val="00DB4FBC"/>
    <w:rsid w:val="00DB7C4A"/>
    <w:rsid w:val="00DB7C74"/>
    <w:rsid w:val="00DC024C"/>
    <w:rsid w:val="00DC04F6"/>
    <w:rsid w:val="00DC0690"/>
    <w:rsid w:val="00DC0B48"/>
    <w:rsid w:val="00DC0CB6"/>
    <w:rsid w:val="00DC1D65"/>
    <w:rsid w:val="00DC2740"/>
    <w:rsid w:val="00DC36B6"/>
    <w:rsid w:val="00DC39F0"/>
    <w:rsid w:val="00DC3A60"/>
    <w:rsid w:val="00DC3AFF"/>
    <w:rsid w:val="00DC3C57"/>
    <w:rsid w:val="00DC3CDE"/>
    <w:rsid w:val="00DC4EFC"/>
    <w:rsid w:val="00DC5501"/>
    <w:rsid w:val="00DC5879"/>
    <w:rsid w:val="00DC5DE4"/>
    <w:rsid w:val="00DC6322"/>
    <w:rsid w:val="00DC6631"/>
    <w:rsid w:val="00DC696D"/>
    <w:rsid w:val="00DC711F"/>
    <w:rsid w:val="00DC7154"/>
    <w:rsid w:val="00DC7231"/>
    <w:rsid w:val="00DC7AFC"/>
    <w:rsid w:val="00DC7E8A"/>
    <w:rsid w:val="00DD001F"/>
    <w:rsid w:val="00DD0BD6"/>
    <w:rsid w:val="00DD0E5E"/>
    <w:rsid w:val="00DD0F78"/>
    <w:rsid w:val="00DD10DD"/>
    <w:rsid w:val="00DD14CE"/>
    <w:rsid w:val="00DD273C"/>
    <w:rsid w:val="00DD3DB0"/>
    <w:rsid w:val="00DD3F28"/>
    <w:rsid w:val="00DD4446"/>
    <w:rsid w:val="00DD4537"/>
    <w:rsid w:val="00DD4DEB"/>
    <w:rsid w:val="00DD4E15"/>
    <w:rsid w:val="00DD50DC"/>
    <w:rsid w:val="00DD5C9C"/>
    <w:rsid w:val="00DD5D35"/>
    <w:rsid w:val="00DD5F84"/>
    <w:rsid w:val="00DD7246"/>
    <w:rsid w:val="00DD789A"/>
    <w:rsid w:val="00DD7990"/>
    <w:rsid w:val="00DE0B61"/>
    <w:rsid w:val="00DE0CEF"/>
    <w:rsid w:val="00DE145D"/>
    <w:rsid w:val="00DE1B8B"/>
    <w:rsid w:val="00DE2304"/>
    <w:rsid w:val="00DE3138"/>
    <w:rsid w:val="00DE37F8"/>
    <w:rsid w:val="00DE4273"/>
    <w:rsid w:val="00DE4360"/>
    <w:rsid w:val="00DE4B75"/>
    <w:rsid w:val="00DE4FCB"/>
    <w:rsid w:val="00DE527B"/>
    <w:rsid w:val="00DE5D07"/>
    <w:rsid w:val="00DE61D6"/>
    <w:rsid w:val="00DE72A7"/>
    <w:rsid w:val="00DE7832"/>
    <w:rsid w:val="00DF01FA"/>
    <w:rsid w:val="00DF03A4"/>
    <w:rsid w:val="00DF0B2C"/>
    <w:rsid w:val="00DF0EAB"/>
    <w:rsid w:val="00DF18FC"/>
    <w:rsid w:val="00DF1CA5"/>
    <w:rsid w:val="00DF2638"/>
    <w:rsid w:val="00DF2BE2"/>
    <w:rsid w:val="00DF2BFC"/>
    <w:rsid w:val="00DF3B3B"/>
    <w:rsid w:val="00DF52C9"/>
    <w:rsid w:val="00DF59B9"/>
    <w:rsid w:val="00DF5D2B"/>
    <w:rsid w:val="00DF6341"/>
    <w:rsid w:val="00DF674D"/>
    <w:rsid w:val="00DF6B01"/>
    <w:rsid w:val="00DF753D"/>
    <w:rsid w:val="00DF7A1A"/>
    <w:rsid w:val="00DF7C09"/>
    <w:rsid w:val="00E0020E"/>
    <w:rsid w:val="00E00E8E"/>
    <w:rsid w:val="00E01720"/>
    <w:rsid w:val="00E01D57"/>
    <w:rsid w:val="00E01E1E"/>
    <w:rsid w:val="00E044D5"/>
    <w:rsid w:val="00E0474F"/>
    <w:rsid w:val="00E05630"/>
    <w:rsid w:val="00E0649C"/>
    <w:rsid w:val="00E06DBB"/>
    <w:rsid w:val="00E06F85"/>
    <w:rsid w:val="00E070C5"/>
    <w:rsid w:val="00E10149"/>
    <w:rsid w:val="00E11015"/>
    <w:rsid w:val="00E11340"/>
    <w:rsid w:val="00E122A1"/>
    <w:rsid w:val="00E12588"/>
    <w:rsid w:val="00E127D4"/>
    <w:rsid w:val="00E1286F"/>
    <w:rsid w:val="00E12BE2"/>
    <w:rsid w:val="00E13BF8"/>
    <w:rsid w:val="00E13E90"/>
    <w:rsid w:val="00E1443C"/>
    <w:rsid w:val="00E144C4"/>
    <w:rsid w:val="00E16273"/>
    <w:rsid w:val="00E16372"/>
    <w:rsid w:val="00E16AD8"/>
    <w:rsid w:val="00E17DAA"/>
    <w:rsid w:val="00E17E49"/>
    <w:rsid w:val="00E17FFA"/>
    <w:rsid w:val="00E2084A"/>
    <w:rsid w:val="00E2084B"/>
    <w:rsid w:val="00E20E4D"/>
    <w:rsid w:val="00E20ED6"/>
    <w:rsid w:val="00E21358"/>
    <w:rsid w:val="00E21552"/>
    <w:rsid w:val="00E21DD6"/>
    <w:rsid w:val="00E2249B"/>
    <w:rsid w:val="00E229F2"/>
    <w:rsid w:val="00E22A0D"/>
    <w:rsid w:val="00E233B9"/>
    <w:rsid w:val="00E23C1E"/>
    <w:rsid w:val="00E23D84"/>
    <w:rsid w:val="00E244F6"/>
    <w:rsid w:val="00E247CA"/>
    <w:rsid w:val="00E2497A"/>
    <w:rsid w:val="00E24F16"/>
    <w:rsid w:val="00E258DB"/>
    <w:rsid w:val="00E25C19"/>
    <w:rsid w:val="00E25DC8"/>
    <w:rsid w:val="00E26810"/>
    <w:rsid w:val="00E27346"/>
    <w:rsid w:val="00E2771E"/>
    <w:rsid w:val="00E27DA0"/>
    <w:rsid w:val="00E3110D"/>
    <w:rsid w:val="00E311EF"/>
    <w:rsid w:val="00E314B4"/>
    <w:rsid w:val="00E31BB9"/>
    <w:rsid w:val="00E31BCB"/>
    <w:rsid w:val="00E32180"/>
    <w:rsid w:val="00E33027"/>
    <w:rsid w:val="00E33080"/>
    <w:rsid w:val="00E331AF"/>
    <w:rsid w:val="00E33840"/>
    <w:rsid w:val="00E33F92"/>
    <w:rsid w:val="00E3424E"/>
    <w:rsid w:val="00E34948"/>
    <w:rsid w:val="00E34D7C"/>
    <w:rsid w:val="00E35DB4"/>
    <w:rsid w:val="00E3676D"/>
    <w:rsid w:val="00E36DC7"/>
    <w:rsid w:val="00E37569"/>
    <w:rsid w:val="00E37BEE"/>
    <w:rsid w:val="00E37E6F"/>
    <w:rsid w:val="00E401B2"/>
    <w:rsid w:val="00E41E30"/>
    <w:rsid w:val="00E42E02"/>
    <w:rsid w:val="00E42F73"/>
    <w:rsid w:val="00E43D70"/>
    <w:rsid w:val="00E44BBA"/>
    <w:rsid w:val="00E455D9"/>
    <w:rsid w:val="00E45C1B"/>
    <w:rsid w:val="00E460B7"/>
    <w:rsid w:val="00E466F3"/>
    <w:rsid w:val="00E46E53"/>
    <w:rsid w:val="00E479F1"/>
    <w:rsid w:val="00E47B2C"/>
    <w:rsid w:val="00E51560"/>
    <w:rsid w:val="00E51821"/>
    <w:rsid w:val="00E51C3E"/>
    <w:rsid w:val="00E52A6E"/>
    <w:rsid w:val="00E53461"/>
    <w:rsid w:val="00E5364C"/>
    <w:rsid w:val="00E536FC"/>
    <w:rsid w:val="00E53FC8"/>
    <w:rsid w:val="00E54347"/>
    <w:rsid w:val="00E54811"/>
    <w:rsid w:val="00E5491A"/>
    <w:rsid w:val="00E54F41"/>
    <w:rsid w:val="00E55424"/>
    <w:rsid w:val="00E55915"/>
    <w:rsid w:val="00E55AEF"/>
    <w:rsid w:val="00E55BB5"/>
    <w:rsid w:val="00E55FE0"/>
    <w:rsid w:val="00E56A25"/>
    <w:rsid w:val="00E57EBC"/>
    <w:rsid w:val="00E60421"/>
    <w:rsid w:val="00E611DF"/>
    <w:rsid w:val="00E62123"/>
    <w:rsid w:val="00E622AE"/>
    <w:rsid w:val="00E623C2"/>
    <w:rsid w:val="00E64524"/>
    <w:rsid w:val="00E6574C"/>
    <w:rsid w:val="00E65B3C"/>
    <w:rsid w:val="00E65C8C"/>
    <w:rsid w:val="00E65E79"/>
    <w:rsid w:val="00E66572"/>
    <w:rsid w:val="00E665AE"/>
    <w:rsid w:val="00E66A3B"/>
    <w:rsid w:val="00E66BA2"/>
    <w:rsid w:val="00E67416"/>
    <w:rsid w:val="00E67999"/>
    <w:rsid w:val="00E703B6"/>
    <w:rsid w:val="00E718B6"/>
    <w:rsid w:val="00E71E43"/>
    <w:rsid w:val="00E723BA"/>
    <w:rsid w:val="00E723DA"/>
    <w:rsid w:val="00E72658"/>
    <w:rsid w:val="00E73581"/>
    <w:rsid w:val="00E74402"/>
    <w:rsid w:val="00E745AE"/>
    <w:rsid w:val="00E74887"/>
    <w:rsid w:val="00E74F00"/>
    <w:rsid w:val="00E75BB9"/>
    <w:rsid w:val="00E77E95"/>
    <w:rsid w:val="00E77F63"/>
    <w:rsid w:val="00E8123B"/>
    <w:rsid w:val="00E81DBB"/>
    <w:rsid w:val="00E825BF"/>
    <w:rsid w:val="00E82B71"/>
    <w:rsid w:val="00E8331F"/>
    <w:rsid w:val="00E833F7"/>
    <w:rsid w:val="00E8377F"/>
    <w:rsid w:val="00E83BDF"/>
    <w:rsid w:val="00E83C5F"/>
    <w:rsid w:val="00E84106"/>
    <w:rsid w:val="00E84537"/>
    <w:rsid w:val="00E853D1"/>
    <w:rsid w:val="00E867CB"/>
    <w:rsid w:val="00E86AA5"/>
    <w:rsid w:val="00E86FCC"/>
    <w:rsid w:val="00E875A2"/>
    <w:rsid w:val="00E87767"/>
    <w:rsid w:val="00E87A1D"/>
    <w:rsid w:val="00E87BC7"/>
    <w:rsid w:val="00E87FBF"/>
    <w:rsid w:val="00E9034F"/>
    <w:rsid w:val="00E9094A"/>
    <w:rsid w:val="00E914F9"/>
    <w:rsid w:val="00E91D35"/>
    <w:rsid w:val="00E9243B"/>
    <w:rsid w:val="00E926A5"/>
    <w:rsid w:val="00E93660"/>
    <w:rsid w:val="00E94419"/>
    <w:rsid w:val="00E953D3"/>
    <w:rsid w:val="00E95682"/>
    <w:rsid w:val="00E957CA"/>
    <w:rsid w:val="00E95FAF"/>
    <w:rsid w:val="00E962CC"/>
    <w:rsid w:val="00E96CE4"/>
    <w:rsid w:val="00E971FC"/>
    <w:rsid w:val="00EA0DA0"/>
    <w:rsid w:val="00EA1064"/>
    <w:rsid w:val="00EA17C3"/>
    <w:rsid w:val="00EA237A"/>
    <w:rsid w:val="00EA2CAA"/>
    <w:rsid w:val="00EA3864"/>
    <w:rsid w:val="00EA3EF1"/>
    <w:rsid w:val="00EA5301"/>
    <w:rsid w:val="00EA5C32"/>
    <w:rsid w:val="00EA6CAD"/>
    <w:rsid w:val="00EA7515"/>
    <w:rsid w:val="00EA78EA"/>
    <w:rsid w:val="00EA79DD"/>
    <w:rsid w:val="00EA7EED"/>
    <w:rsid w:val="00EA7F1C"/>
    <w:rsid w:val="00EB0310"/>
    <w:rsid w:val="00EB0492"/>
    <w:rsid w:val="00EB05C1"/>
    <w:rsid w:val="00EB0F4C"/>
    <w:rsid w:val="00EB15B6"/>
    <w:rsid w:val="00EB1ACA"/>
    <w:rsid w:val="00EB1D73"/>
    <w:rsid w:val="00EB2059"/>
    <w:rsid w:val="00EB2288"/>
    <w:rsid w:val="00EB3D06"/>
    <w:rsid w:val="00EB4287"/>
    <w:rsid w:val="00EB44E5"/>
    <w:rsid w:val="00EB48CF"/>
    <w:rsid w:val="00EB4916"/>
    <w:rsid w:val="00EB4CB3"/>
    <w:rsid w:val="00EB4FDE"/>
    <w:rsid w:val="00EB64F8"/>
    <w:rsid w:val="00EB79A4"/>
    <w:rsid w:val="00EB7EE5"/>
    <w:rsid w:val="00EC00C9"/>
    <w:rsid w:val="00EC062C"/>
    <w:rsid w:val="00EC08F3"/>
    <w:rsid w:val="00EC0DD9"/>
    <w:rsid w:val="00EC1307"/>
    <w:rsid w:val="00EC1458"/>
    <w:rsid w:val="00EC2068"/>
    <w:rsid w:val="00EC2649"/>
    <w:rsid w:val="00EC31ED"/>
    <w:rsid w:val="00EC341F"/>
    <w:rsid w:val="00EC36AD"/>
    <w:rsid w:val="00EC4EF8"/>
    <w:rsid w:val="00EC57D3"/>
    <w:rsid w:val="00EC5836"/>
    <w:rsid w:val="00EC5C13"/>
    <w:rsid w:val="00EC688C"/>
    <w:rsid w:val="00EC6C49"/>
    <w:rsid w:val="00EC6CA6"/>
    <w:rsid w:val="00ED0CBB"/>
    <w:rsid w:val="00ED12E3"/>
    <w:rsid w:val="00ED1335"/>
    <w:rsid w:val="00ED19D2"/>
    <w:rsid w:val="00ED214E"/>
    <w:rsid w:val="00ED3091"/>
    <w:rsid w:val="00ED452C"/>
    <w:rsid w:val="00ED4B04"/>
    <w:rsid w:val="00ED57EA"/>
    <w:rsid w:val="00ED5BD4"/>
    <w:rsid w:val="00ED6455"/>
    <w:rsid w:val="00ED6FB6"/>
    <w:rsid w:val="00ED727B"/>
    <w:rsid w:val="00ED7742"/>
    <w:rsid w:val="00EE03E0"/>
    <w:rsid w:val="00EE05DA"/>
    <w:rsid w:val="00EE07D3"/>
    <w:rsid w:val="00EE18A6"/>
    <w:rsid w:val="00EE1996"/>
    <w:rsid w:val="00EE1C01"/>
    <w:rsid w:val="00EE22AF"/>
    <w:rsid w:val="00EE2C71"/>
    <w:rsid w:val="00EE35D3"/>
    <w:rsid w:val="00EE66B1"/>
    <w:rsid w:val="00EE7434"/>
    <w:rsid w:val="00EE7910"/>
    <w:rsid w:val="00EE7E05"/>
    <w:rsid w:val="00EE7F42"/>
    <w:rsid w:val="00EF0171"/>
    <w:rsid w:val="00EF0720"/>
    <w:rsid w:val="00EF1AB8"/>
    <w:rsid w:val="00EF1B25"/>
    <w:rsid w:val="00EF1DA0"/>
    <w:rsid w:val="00EF2851"/>
    <w:rsid w:val="00EF4747"/>
    <w:rsid w:val="00EF4BF8"/>
    <w:rsid w:val="00EF5582"/>
    <w:rsid w:val="00EF58F4"/>
    <w:rsid w:val="00EF77F5"/>
    <w:rsid w:val="00EF789F"/>
    <w:rsid w:val="00EF7999"/>
    <w:rsid w:val="00EF7BD3"/>
    <w:rsid w:val="00EF7C1B"/>
    <w:rsid w:val="00EF7E4E"/>
    <w:rsid w:val="00F00548"/>
    <w:rsid w:val="00F007EF"/>
    <w:rsid w:val="00F00976"/>
    <w:rsid w:val="00F0167D"/>
    <w:rsid w:val="00F0194D"/>
    <w:rsid w:val="00F021BF"/>
    <w:rsid w:val="00F02253"/>
    <w:rsid w:val="00F02649"/>
    <w:rsid w:val="00F0350A"/>
    <w:rsid w:val="00F03C2E"/>
    <w:rsid w:val="00F03E16"/>
    <w:rsid w:val="00F04881"/>
    <w:rsid w:val="00F049F4"/>
    <w:rsid w:val="00F04A66"/>
    <w:rsid w:val="00F04B4B"/>
    <w:rsid w:val="00F0516C"/>
    <w:rsid w:val="00F05910"/>
    <w:rsid w:val="00F05C15"/>
    <w:rsid w:val="00F05EEB"/>
    <w:rsid w:val="00F067A2"/>
    <w:rsid w:val="00F06E0F"/>
    <w:rsid w:val="00F07B9E"/>
    <w:rsid w:val="00F10BF9"/>
    <w:rsid w:val="00F1116F"/>
    <w:rsid w:val="00F11B7B"/>
    <w:rsid w:val="00F11B99"/>
    <w:rsid w:val="00F11C41"/>
    <w:rsid w:val="00F1263A"/>
    <w:rsid w:val="00F126AF"/>
    <w:rsid w:val="00F139C5"/>
    <w:rsid w:val="00F14316"/>
    <w:rsid w:val="00F155CA"/>
    <w:rsid w:val="00F1576D"/>
    <w:rsid w:val="00F15A30"/>
    <w:rsid w:val="00F15B77"/>
    <w:rsid w:val="00F16123"/>
    <w:rsid w:val="00F1657C"/>
    <w:rsid w:val="00F168C9"/>
    <w:rsid w:val="00F16E7C"/>
    <w:rsid w:val="00F1758A"/>
    <w:rsid w:val="00F206C1"/>
    <w:rsid w:val="00F21236"/>
    <w:rsid w:val="00F2130E"/>
    <w:rsid w:val="00F22FB4"/>
    <w:rsid w:val="00F23315"/>
    <w:rsid w:val="00F23467"/>
    <w:rsid w:val="00F23605"/>
    <w:rsid w:val="00F239DF"/>
    <w:rsid w:val="00F23B9D"/>
    <w:rsid w:val="00F242F4"/>
    <w:rsid w:val="00F24392"/>
    <w:rsid w:val="00F24837"/>
    <w:rsid w:val="00F248BE"/>
    <w:rsid w:val="00F24BF9"/>
    <w:rsid w:val="00F24F55"/>
    <w:rsid w:val="00F2562F"/>
    <w:rsid w:val="00F2575F"/>
    <w:rsid w:val="00F2583A"/>
    <w:rsid w:val="00F25FB6"/>
    <w:rsid w:val="00F26201"/>
    <w:rsid w:val="00F26596"/>
    <w:rsid w:val="00F269D2"/>
    <w:rsid w:val="00F26EC8"/>
    <w:rsid w:val="00F27565"/>
    <w:rsid w:val="00F30CBE"/>
    <w:rsid w:val="00F310D4"/>
    <w:rsid w:val="00F31D5A"/>
    <w:rsid w:val="00F31E63"/>
    <w:rsid w:val="00F32290"/>
    <w:rsid w:val="00F3236D"/>
    <w:rsid w:val="00F327B5"/>
    <w:rsid w:val="00F33975"/>
    <w:rsid w:val="00F33A88"/>
    <w:rsid w:val="00F33DE9"/>
    <w:rsid w:val="00F35E6D"/>
    <w:rsid w:val="00F3619A"/>
    <w:rsid w:val="00F36428"/>
    <w:rsid w:val="00F365E2"/>
    <w:rsid w:val="00F36D40"/>
    <w:rsid w:val="00F40AAA"/>
    <w:rsid w:val="00F40BA7"/>
    <w:rsid w:val="00F40F9D"/>
    <w:rsid w:val="00F41AA0"/>
    <w:rsid w:val="00F41ACD"/>
    <w:rsid w:val="00F44D73"/>
    <w:rsid w:val="00F453CE"/>
    <w:rsid w:val="00F45E3F"/>
    <w:rsid w:val="00F465D8"/>
    <w:rsid w:val="00F46CB6"/>
    <w:rsid w:val="00F46CEC"/>
    <w:rsid w:val="00F46EA8"/>
    <w:rsid w:val="00F4756D"/>
    <w:rsid w:val="00F47D77"/>
    <w:rsid w:val="00F47DE8"/>
    <w:rsid w:val="00F50A0B"/>
    <w:rsid w:val="00F51B30"/>
    <w:rsid w:val="00F5211D"/>
    <w:rsid w:val="00F53583"/>
    <w:rsid w:val="00F542C1"/>
    <w:rsid w:val="00F550E3"/>
    <w:rsid w:val="00F55B76"/>
    <w:rsid w:val="00F55E73"/>
    <w:rsid w:val="00F55EDA"/>
    <w:rsid w:val="00F56B72"/>
    <w:rsid w:val="00F56C80"/>
    <w:rsid w:val="00F56CD8"/>
    <w:rsid w:val="00F573EE"/>
    <w:rsid w:val="00F57A15"/>
    <w:rsid w:val="00F57A2F"/>
    <w:rsid w:val="00F57F59"/>
    <w:rsid w:val="00F57FEF"/>
    <w:rsid w:val="00F60092"/>
    <w:rsid w:val="00F60100"/>
    <w:rsid w:val="00F60D48"/>
    <w:rsid w:val="00F61296"/>
    <w:rsid w:val="00F61398"/>
    <w:rsid w:val="00F61C18"/>
    <w:rsid w:val="00F62628"/>
    <w:rsid w:val="00F62746"/>
    <w:rsid w:val="00F628E5"/>
    <w:rsid w:val="00F629DF"/>
    <w:rsid w:val="00F62F46"/>
    <w:rsid w:val="00F645E5"/>
    <w:rsid w:val="00F645EB"/>
    <w:rsid w:val="00F64A43"/>
    <w:rsid w:val="00F65F4B"/>
    <w:rsid w:val="00F662F0"/>
    <w:rsid w:val="00F66305"/>
    <w:rsid w:val="00F6682C"/>
    <w:rsid w:val="00F676A9"/>
    <w:rsid w:val="00F67A69"/>
    <w:rsid w:val="00F70BFF"/>
    <w:rsid w:val="00F70C9D"/>
    <w:rsid w:val="00F71627"/>
    <w:rsid w:val="00F72539"/>
    <w:rsid w:val="00F72D4B"/>
    <w:rsid w:val="00F73188"/>
    <w:rsid w:val="00F73E08"/>
    <w:rsid w:val="00F73E81"/>
    <w:rsid w:val="00F73EC1"/>
    <w:rsid w:val="00F7460A"/>
    <w:rsid w:val="00F74CD9"/>
    <w:rsid w:val="00F750F9"/>
    <w:rsid w:val="00F75262"/>
    <w:rsid w:val="00F76998"/>
    <w:rsid w:val="00F805FB"/>
    <w:rsid w:val="00F80A7B"/>
    <w:rsid w:val="00F80E5D"/>
    <w:rsid w:val="00F81E78"/>
    <w:rsid w:val="00F81E83"/>
    <w:rsid w:val="00F81F00"/>
    <w:rsid w:val="00F81F7C"/>
    <w:rsid w:val="00F82338"/>
    <w:rsid w:val="00F823AF"/>
    <w:rsid w:val="00F82CA0"/>
    <w:rsid w:val="00F82E29"/>
    <w:rsid w:val="00F8325B"/>
    <w:rsid w:val="00F83916"/>
    <w:rsid w:val="00F84A81"/>
    <w:rsid w:val="00F84E13"/>
    <w:rsid w:val="00F851CE"/>
    <w:rsid w:val="00F857A6"/>
    <w:rsid w:val="00F85E04"/>
    <w:rsid w:val="00F86A6A"/>
    <w:rsid w:val="00F87202"/>
    <w:rsid w:val="00F87A8E"/>
    <w:rsid w:val="00F9040C"/>
    <w:rsid w:val="00F91219"/>
    <w:rsid w:val="00F91BAC"/>
    <w:rsid w:val="00F92444"/>
    <w:rsid w:val="00F925D1"/>
    <w:rsid w:val="00F92A6E"/>
    <w:rsid w:val="00F92CE6"/>
    <w:rsid w:val="00F93079"/>
    <w:rsid w:val="00F931BF"/>
    <w:rsid w:val="00F935AF"/>
    <w:rsid w:val="00F9393E"/>
    <w:rsid w:val="00F93E58"/>
    <w:rsid w:val="00F941AE"/>
    <w:rsid w:val="00F94512"/>
    <w:rsid w:val="00F9476D"/>
    <w:rsid w:val="00F95B7D"/>
    <w:rsid w:val="00F96007"/>
    <w:rsid w:val="00F96DF2"/>
    <w:rsid w:val="00F96FD0"/>
    <w:rsid w:val="00F97A78"/>
    <w:rsid w:val="00F97C59"/>
    <w:rsid w:val="00F97E1F"/>
    <w:rsid w:val="00FA0254"/>
    <w:rsid w:val="00FA0B20"/>
    <w:rsid w:val="00FA0DA2"/>
    <w:rsid w:val="00FA116A"/>
    <w:rsid w:val="00FA24E7"/>
    <w:rsid w:val="00FA2F9F"/>
    <w:rsid w:val="00FA3502"/>
    <w:rsid w:val="00FA416F"/>
    <w:rsid w:val="00FA45FB"/>
    <w:rsid w:val="00FA58C2"/>
    <w:rsid w:val="00FA5EE6"/>
    <w:rsid w:val="00FA6110"/>
    <w:rsid w:val="00FA61CE"/>
    <w:rsid w:val="00FA64C1"/>
    <w:rsid w:val="00FA6F90"/>
    <w:rsid w:val="00FA7956"/>
    <w:rsid w:val="00FA7E0D"/>
    <w:rsid w:val="00FA7FCA"/>
    <w:rsid w:val="00FB070E"/>
    <w:rsid w:val="00FB0824"/>
    <w:rsid w:val="00FB0D81"/>
    <w:rsid w:val="00FB1B2A"/>
    <w:rsid w:val="00FB280C"/>
    <w:rsid w:val="00FB2932"/>
    <w:rsid w:val="00FB2965"/>
    <w:rsid w:val="00FB2FCB"/>
    <w:rsid w:val="00FB3159"/>
    <w:rsid w:val="00FB434C"/>
    <w:rsid w:val="00FB46C4"/>
    <w:rsid w:val="00FB46CB"/>
    <w:rsid w:val="00FB4C9C"/>
    <w:rsid w:val="00FB54B2"/>
    <w:rsid w:val="00FB56B7"/>
    <w:rsid w:val="00FB5D9D"/>
    <w:rsid w:val="00FB63B1"/>
    <w:rsid w:val="00FB651E"/>
    <w:rsid w:val="00FB7206"/>
    <w:rsid w:val="00FB7BA2"/>
    <w:rsid w:val="00FB7C29"/>
    <w:rsid w:val="00FB7C55"/>
    <w:rsid w:val="00FC0694"/>
    <w:rsid w:val="00FC1074"/>
    <w:rsid w:val="00FC1884"/>
    <w:rsid w:val="00FC18A3"/>
    <w:rsid w:val="00FC1F54"/>
    <w:rsid w:val="00FC23B0"/>
    <w:rsid w:val="00FC371D"/>
    <w:rsid w:val="00FC3EBD"/>
    <w:rsid w:val="00FC47BF"/>
    <w:rsid w:val="00FC5039"/>
    <w:rsid w:val="00FC5691"/>
    <w:rsid w:val="00FC5F0B"/>
    <w:rsid w:val="00FC6D1A"/>
    <w:rsid w:val="00FC733C"/>
    <w:rsid w:val="00FC792B"/>
    <w:rsid w:val="00FD0447"/>
    <w:rsid w:val="00FD14EB"/>
    <w:rsid w:val="00FD1797"/>
    <w:rsid w:val="00FD1A21"/>
    <w:rsid w:val="00FD1FE2"/>
    <w:rsid w:val="00FD2100"/>
    <w:rsid w:val="00FD2CB8"/>
    <w:rsid w:val="00FD366E"/>
    <w:rsid w:val="00FD3C33"/>
    <w:rsid w:val="00FD3FE2"/>
    <w:rsid w:val="00FD436C"/>
    <w:rsid w:val="00FD43F7"/>
    <w:rsid w:val="00FD4462"/>
    <w:rsid w:val="00FD446D"/>
    <w:rsid w:val="00FD4633"/>
    <w:rsid w:val="00FD4A19"/>
    <w:rsid w:val="00FD4F2C"/>
    <w:rsid w:val="00FD6358"/>
    <w:rsid w:val="00FD6394"/>
    <w:rsid w:val="00FD7320"/>
    <w:rsid w:val="00FD7846"/>
    <w:rsid w:val="00FE04EA"/>
    <w:rsid w:val="00FE055B"/>
    <w:rsid w:val="00FE099B"/>
    <w:rsid w:val="00FE0E6C"/>
    <w:rsid w:val="00FE1CDC"/>
    <w:rsid w:val="00FE3DB7"/>
    <w:rsid w:val="00FE48C4"/>
    <w:rsid w:val="00FE4CE6"/>
    <w:rsid w:val="00FE6964"/>
    <w:rsid w:val="00FE70C3"/>
    <w:rsid w:val="00FE7F6A"/>
    <w:rsid w:val="00FF0648"/>
    <w:rsid w:val="00FF09C0"/>
    <w:rsid w:val="00FF0AA6"/>
    <w:rsid w:val="00FF19FF"/>
    <w:rsid w:val="00FF1A8B"/>
    <w:rsid w:val="00FF213F"/>
    <w:rsid w:val="00FF292C"/>
    <w:rsid w:val="00FF2AD5"/>
    <w:rsid w:val="00FF2AD9"/>
    <w:rsid w:val="00FF359F"/>
    <w:rsid w:val="00FF3AFD"/>
    <w:rsid w:val="00FF3DCF"/>
    <w:rsid w:val="00FF492C"/>
    <w:rsid w:val="00FF4995"/>
    <w:rsid w:val="00FF4A21"/>
    <w:rsid w:val="00FF5AA3"/>
    <w:rsid w:val="00FF5AD8"/>
    <w:rsid w:val="00FF5DE4"/>
    <w:rsid w:val="00FF5E19"/>
    <w:rsid w:val="00FF6A46"/>
    <w:rsid w:val="00FF73FD"/>
    <w:rsid w:val="0DF3632D"/>
    <w:rsid w:val="25332BB4"/>
    <w:rsid w:val="380E4B39"/>
    <w:rsid w:val="3C3ED87A"/>
    <w:rsid w:val="3F18DF1F"/>
    <w:rsid w:val="45B2B1DD"/>
    <w:rsid w:val="45FD9AB7"/>
    <w:rsid w:val="48EA3231"/>
    <w:rsid w:val="56FC0B7B"/>
    <w:rsid w:val="5DCBDE89"/>
    <w:rsid w:val="66F34C0B"/>
    <w:rsid w:val="7DA356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9"/>
    <w:lsdException w:name="heading 5" w:uiPriority="9"/>
    <w:lsdException w:name="heading 6" w:uiPriority="9"/>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CEF"/>
    <w:pPr>
      <w:jc w:val="both"/>
    </w:pPr>
    <w:rPr>
      <w:rFonts w:ascii="Calibri" w:hAnsi="Calibri" w:cs="Arial"/>
      <w:sz w:val="24"/>
      <w:szCs w:val="24"/>
    </w:rPr>
  </w:style>
  <w:style w:type="paragraph" w:styleId="Heading1">
    <w:name w:val="heading 1"/>
    <w:basedOn w:val="Normal"/>
    <w:next w:val="Normal"/>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uiPriority w:val="9"/>
    <w:rsid w:val="00124A51"/>
    <w:pPr>
      <w:keepNext/>
      <w:spacing w:before="240" w:after="60"/>
      <w:outlineLvl w:val="3"/>
    </w:pPr>
    <w:rPr>
      <w:b/>
      <w:bCs/>
      <w:i/>
      <w:sz w:val="26"/>
      <w:szCs w:val="28"/>
    </w:rPr>
  </w:style>
  <w:style w:type="paragraph" w:styleId="Heading5">
    <w:name w:val="heading 5"/>
    <w:basedOn w:val="Normal"/>
    <w:next w:val="Normal"/>
    <w:uiPriority w:val="9"/>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9"/>
    <w:rsid w:val="00124A51"/>
    <w:pPr>
      <w:keepNext/>
      <w:jc w:val="center"/>
      <w:outlineLvl w:val="6"/>
    </w:pPr>
    <w:rPr>
      <w:b/>
      <w:sz w:val="20"/>
    </w:rPr>
  </w:style>
  <w:style w:type="paragraph" w:styleId="Heading8">
    <w:name w:val="heading 8"/>
    <w:basedOn w:val="Normal"/>
    <w:next w:val="Normal"/>
    <w:link w:val="Heading8Char"/>
    <w:uiPriority w:val="99"/>
    <w:rsid w:val="00124A51"/>
    <w:pPr>
      <w:keepNext/>
      <w:jc w:val="right"/>
      <w:outlineLvl w:val="7"/>
    </w:pPr>
    <w:rPr>
      <w:b/>
    </w:rPr>
  </w:style>
  <w:style w:type="paragraph" w:styleId="Heading9">
    <w:name w:val="heading 9"/>
    <w:basedOn w:val="Normal"/>
    <w:next w:val="Normal"/>
    <w:link w:val="Heading9Char"/>
    <w:uiPriority w:val="9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99"/>
    <w:unhideWhenUsed/>
    <w:rsid w:val="00E16AD8"/>
    <w:pPr>
      <w:keepNext/>
      <w:keepLines/>
    </w:pPr>
    <w:rPr>
      <w:rFonts w:ascii="Arial Narrow" w:hAnsi="Arial Narrow"/>
      <w:b/>
      <w:bCs/>
      <w:sz w:val="20"/>
      <w:szCs w:val="18"/>
    </w:rPr>
  </w:style>
  <w:style w:type="character" w:customStyle="1" w:styleId="CaptionChar">
    <w:name w:val="Caption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72"/>
    <w:qFormat/>
    <w:rsid w:val="005E2CEF"/>
    <w:pPr>
      <w:numPr>
        <w:numId w:val="20"/>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5E2CEF"/>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5E2CEF"/>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5E2CEF"/>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RTI AMCP Table,new style,Dossier table,Section 3- footnote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Summarybox1">
    <w:name w:val="Summary box1"/>
    <w:basedOn w:val="TableNormal"/>
    <w:next w:val="TableGrid"/>
    <w:uiPriority w:val="39"/>
    <w:rsid w:val="009233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5E2CEF"/>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5E2CEF"/>
    <w:pPr>
      <w:keepNext/>
    </w:pPr>
    <w:rPr>
      <w:rFonts w:ascii="Arial Narrow" w:eastAsiaTheme="majorEastAsia" w:hAnsi="Arial Narrow"/>
      <w:b/>
      <w:szCs w:val="24"/>
      <w:lang w:val="en-US"/>
    </w:rPr>
  </w:style>
  <w:style w:type="paragraph" w:customStyle="1" w:styleId="2-SectionHeading">
    <w:name w:val="2-Section Heading"/>
    <w:next w:val="3-BodyText"/>
    <w:qFormat/>
    <w:rsid w:val="005E2CEF"/>
    <w:pPr>
      <w:keepNext/>
      <w:numPr>
        <w:numId w:val="2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5E2CE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5E2CE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5E2CE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E2CEF"/>
    <w:rPr>
      <w:rFonts w:ascii="Arial Narrow" w:eastAsiaTheme="majorEastAsia" w:hAnsi="Arial Narrow" w:cstheme="majorBidi"/>
      <w:b/>
      <w:bCs/>
      <w:szCs w:val="24"/>
    </w:rPr>
  </w:style>
  <w:style w:type="paragraph" w:customStyle="1" w:styleId="3-BodyText">
    <w:name w:val="3-Body Text"/>
    <w:link w:val="3-BodyTextChar"/>
    <w:qFormat/>
    <w:rsid w:val="005E2CEF"/>
    <w:pPr>
      <w:numPr>
        <w:ilvl w:val="1"/>
        <w:numId w:val="22"/>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5E2CEF"/>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5E2CEF"/>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5E2CEF"/>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5E2CEF"/>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5E2CEF"/>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5E2CEF"/>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5E2CEF"/>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5E2CE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5E2CEF"/>
    <w:rPr>
      <w:rFonts w:ascii="Arial Narrow" w:hAnsi="Arial Narrow" w:cs="Arial"/>
      <w:snapToGrid w:val="0"/>
      <w:sz w:val="18"/>
      <w:szCs w:val="22"/>
    </w:rPr>
  </w:style>
  <w:style w:type="character" w:customStyle="1" w:styleId="Small">
    <w:name w:val="Small"/>
    <w:basedOn w:val="DefaultParagraphFont"/>
    <w:uiPriority w:val="4"/>
    <w:rsid w:val="00CE2B81"/>
    <w:rPr>
      <w:rFonts w:asciiTheme="minorHAnsi" w:hAnsiTheme="minorHAnsi"/>
      <w:sz w:val="20"/>
      <w:lang w:val="en-GB"/>
    </w:rPr>
  </w:style>
  <w:style w:type="paragraph" w:customStyle="1" w:styleId="Table">
    <w:name w:val="Table"/>
    <w:basedOn w:val="Normal"/>
    <w:link w:val="TableChar"/>
    <w:rsid w:val="007D5172"/>
    <w:rPr>
      <w:rFonts w:asciiTheme="minorHAnsi" w:eastAsiaTheme="majorEastAsia" w:hAnsiTheme="minorHAnsi" w:cstheme="majorBidi"/>
      <w:sz w:val="20"/>
      <w:szCs w:val="22"/>
      <w:lang w:eastAsia="en-US" w:bidi="en-US"/>
    </w:rPr>
  </w:style>
  <w:style w:type="character" w:customStyle="1" w:styleId="TableChar">
    <w:name w:val="Table Char"/>
    <w:basedOn w:val="DefaultParagraphFont"/>
    <w:link w:val="Table"/>
    <w:locked/>
    <w:rsid w:val="007D5172"/>
    <w:rPr>
      <w:rFonts w:asciiTheme="minorHAnsi" w:eastAsiaTheme="majorEastAsia" w:hAnsiTheme="minorHAnsi" w:cstheme="majorBidi"/>
      <w:szCs w:val="22"/>
      <w:lang w:eastAsia="en-US" w:bidi="en-US"/>
    </w:rPr>
  </w:style>
  <w:style w:type="character" w:customStyle="1" w:styleId="SmallBold">
    <w:name w:val="Small Bold"/>
    <w:basedOn w:val="Small"/>
    <w:uiPriority w:val="4"/>
    <w:rsid w:val="00306203"/>
    <w:rPr>
      <w:rFonts w:asciiTheme="minorHAnsi" w:hAnsiTheme="minorHAnsi"/>
      <w:b/>
      <w:sz w:val="20"/>
      <w:lang w:val="en-AU"/>
    </w:rPr>
  </w:style>
  <w:style w:type="paragraph" w:styleId="DocumentMap">
    <w:name w:val="Document Map"/>
    <w:basedOn w:val="Normal"/>
    <w:link w:val="DocumentMapChar"/>
    <w:semiHidden/>
    <w:unhideWhenUsed/>
    <w:rsid w:val="00852EFB"/>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semiHidden/>
    <w:rsid w:val="00852EFB"/>
    <w:rPr>
      <w:rFonts w:ascii="Tahoma" w:eastAsiaTheme="majorEastAsia" w:hAnsi="Tahoma" w:cs="Tahoma"/>
      <w:sz w:val="16"/>
      <w:szCs w:val="16"/>
      <w:lang w:eastAsia="en-US" w:bidi="en-US"/>
    </w:rPr>
  </w:style>
  <w:style w:type="paragraph" w:customStyle="1" w:styleId="p1">
    <w:name w:val="p1"/>
    <w:basedOn w:val="Normal"/>
    <w:rsid w:val="00993B8F"/>
    <w:pPr>
      <w:jc w:val="left"/>
    </w:pPr>
    <w:rPr>
      <w:rFonts w:ascii="Times New Roman" w:hAnsi="Times New Roman" w:cs="Times New Roman"/>
      <w:color w:val="000000"/>
      <w:sz w:val="18"/>
      <w:szCs w:val="18"/>
      <w:lang w:eastAsia="en-GB"/>
    </w:rPr>
  </w:style>
  <w:style w:type="paragraph" w:styleId="FootnoteText">
    <w:name w:val="footnote text"/>
    <w:basedOn w:val="Normal"/>
    <w:link w:val="FootnoteTextChar"/>
    <w:semiHidden/>
    <w:unhideWhenUsed/>
    <w:rsid w:val="00993B8F"/>
    <w:rPr>
      <w:sz w:val="20"/>
      <w:szCs w:val="20"/>
    </w:rPr>
  </w:style>
  <w:style w:type="character" w:customStyle="1" w:styleId="FootnoteTextChar">
    <w:name w:val="Footnote Text Char"/>
    <w:basedOn w:val="DefaultParagraphFont"/>
    <w:link w:val="FootnoteText"/>
    <w:semiHidden/>
    <w:rsid w:val="00993B8F"/>
    <w:rPr>
      <w:rFonts w:ascii="Calibri" w:hAnsi="Calibri" w:cs="Arial"/>
    </w:rPr>
  </w:style>
  <w:style w:type="character" w:styleId="FootnoteReference">
    <w:name w:val="footnote reference"/>
    <w:basedOn w:val="DefaultParagraphFont"/>
    <w:semiHidden/>
    <w:unhideWhenUsed/>
    <w:rsid w:val="00993B8F"/>
    <w:rPr>
      <w:vertAlign w:val="superscript"/>
    </w:rPr>
  </w:style>
  <w:style w:type="character" w:customStyle="1" w:styleId="Font">
    <w:name w:val="Font"/>
    <w:uiPriority w:val="1"/>
    <w:rsid w:val="007A0E45"/>
    <w:rPr>
      <w:lang w:val="en-GB"/>
    </w:rPr>
  </w:style>
  <w:style w:type="character" w:customStyle="1" w:styleId="apple-converted-space">
    <w:name w:val="apple-converted-space"/>
    <w:basedOn w:val="DefaultParagraphFont"/>
    <w:rsid w:val="001530DC"/>
  </w:style>
  <w:style w:type="character" w:styleId="UnresolvedMention">
    <w:name w:val="Unresolved Mention"/>
    <w:basedOn w:val="DefaultParagraphFont"/>
    <w:uiPriority w:val="99"/>
    <w:semiHidden/>
    <w:unhideWhenUsed/>
    <w:rsid w:val="00EF2851"/>
    <w:rPr>
      <w:color w:val="605E5C"/>
      <w:shd w:val="clear" w:color="auto" w:fill="E1DFDD"/>
    </w:rPr>
  </w:style>
  <w:style w:type="paragraph" w:customStyle="1" w:styleId="3-SubsectionHeading">
    <w:name w:val="3-Subsection Heading"/>
    <w:basedOn w:val="Heading2"/>
    <w:next w:val="Normal"/>
    <w:link w:val="3-SubsectionHeadingChar"/>
    <w:rsid w:val="00B8294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82941"/>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rsid w:val="003743D6"/>
    <w:pPr>
      <w:numPr>
        <w:ilvl w:val="1"/>
        <w:numId w:val="7"/>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rsid w:val="003743D6"/>
    <w:pPr>
      <w:numPr>
        <w:ilvl w:val="2"/>
        <w:numId w:val="7"/>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3743D6"/>
    <w:pPr>
      <w:numPr>
        <w:numId w:val="7"/>
      </w:numPr>
    </w:pPr>
  </w:style>
  <w:style w:type="paragraph" w:customStyle="1" w:styleId="COMH1numbered">
    <w:name w:val="COM H1 numbered"/>
    <w:next w:val="Normal"/>
    <w:link w:val="COMH1numberedChar"/>
    <w:rsid w:val="003743D6"/>
    <w:pPr>
      <w:keepNext/>
      <w:numPr>
        <w:numId w:val="7"/>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3743D6"/>
    <w:rPr>
      <w:rFonts w:asciiTheme="minorHAnsi" w:hAnsiTheme="minorHAnsi" w:cs="Arial"/>
      <w:b/>
      <w:snapToGrid w:val="0"/>
      <w:sz w:val="32"/>
      <w:szCs w:val="32"/>
    </w:rPr>
  </w:style>
  <w:style w:type="paragraph" w:styleId="ListBullet2">
    <w:name w:val="List Bullet 2"/>
    <w:basedOn w:val="Normal"/>
    <w:semiHidden/>
    <w:unhideWhenUsed/>
    <w:rsid w:val="003743D6"/>
    <w:pPr>
      <w:contextualSpacing/>
    </w:pPr>
  </w:style>
  <w:style w:type="paragraph" w:styleId="ListBullet3">
    <w:name w:val="List Bullet 3"/>
    <w:basedOn w:val="Normal"/>
    <w:semiHidden/>
    <w:unhideWhenUsed/>
    <w:rsid w:val="003743D6"/>
    <w:pPr>
      <w:contextualSpacing/>
    </w:pPr>
  </w:style>
  <w:style w:type="paragraph" w:customStyle="1" w:styleId="TableText0">
    <w:name w:val="Table Text"/>
    <w:link w:val="TableTextChar0"/>
    <w:qFormat/>
    <w:rsid w:val="005E2CEF"/>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5E2CEF"/>
    <w:rPr>
      <w:rFonts w:ascii="Arial Narrow" w:eastAsiaTheme="majorEastAsia" w:hAnsi="Arial Narrow" w:cstheme="majorBidi"/>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04">
      <w:bodyDiv w:val="1"/>
      <w:marLeft w:val="0"/>
      <w:marRight w:val="0"/>
      <w:marTop w:val="0"/>
      <w:marBottom w:val="0"/>
      <w:divBdr>
        <w:top w:val="none" w:sz="0" w:space="0" w:color="auto"/>
        <w:left w:val="none" w:sz="0" w:space="0" w:color="auto"/>
        <w:bottom w:val="none" w:sz="0" w:space="0" w:color="auto"/>
        <w:right w:val="none" w:sz="0" w:space="0" w:color="auto"/>
      </w:divBdr>
    </w:div>
    <w:div w:id="40983634">
      <w:bodyDiv w:val="1"/>
      <w:marLeft w:val="0"/>
      <w:marRight w:val="0"/>
      <w:marTop w:val="0"/>
      <w:marBottom w:val="0"/>
      <w:divBdr>
        <w:top w:val="none" w:sz="0" w:space="0" w:color="auto"/>
        <w:left w:val="none" w:sz="0" w:space="0" w:color="auto"/>
        <w:bottom w:val="none" w:sz="0" w:space="0" w:color="auto"/>
        <w:right w:val="none" w:sz="0" w:space="0" w:color="auto"/>
      </w:divBdr>
    </w:div>
    <w:div w:id="45952561">
      <w:bodyDiv w:val="1"/>
      <w:marLeft w:val="0"/>
      <w:marRight w:val="0"/>
      <w:marTop w:val="0"/>
      <w:marBottom w:val="0"/>
      <w:divBdr>
        <w:top w:val="none" w:sz="0" w:space="0" w:color="auto"/>
        <w:left w:val="none" w:sz="0" w:space="0" w:color="auto"/>
        <w:bottom w:val="none" w:sz="0" w:space="0" w:color="auto"/>
        <w:right w:val="none" w:sz="0" w:space="0" w:color="auto"/>
      </w:divBdr>
    </w:div>
    <w:div w:id="8233568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876175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1507675">
      <w:bodyDiv w:val="1"/>
      <w:marLeft w:val="0"/>
      <w:marRight w:val="0"/>
      <w:marTop w:val="0"/>
      <w:marBottom w:val="0"/>
      <w:divBdr>
        <w:top w:val="none" w:sz="0" w:space="0" w:color="auto"/>
        <w:left w:val="none" w:sz="0" w:space="0" w:color="auto"/>
        <w:bottom w:val="none" w:sz="0" w:space="0" w:color="auto"/>
        <w:right w:val="none" w:sz="0" w:space="0" w:color="auto"/>
      </w:divBdr>
    </w:div>
    <w:div w:id="285350679">
      <w:bodyDiv w:val="1"/>
      <w:marLeft w:val="0"/>
      <w:marRight w:val="0"/>
      <w:marTop w:val="0"/>
      <w:marBottom w:val="0"/>
      <w:divBdr>
        <w:top w:val="none" w:sz="0" w:space="0" w:color="auto"/>
        <w:left w:val="none" w:sz="0" w:space="0" w:color="auto"/>
        <w:bottom w:val="none" w:sz="0" w:space="0" w:color="auto"/>
        <w:right w:val="none" w:sz="0" w:space="0" w:color="auto"/>
      </w:divBdr>
    </w:div>
    <w:div w:id="30408808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102443">
      <w:bodyDiv w:val="1"/>
      <w:marLeft w:val="0"/>
      <w:marRight w:val="0"/>
      <w:marTop w:val="0"/>
      <w:marBottom w:val="0"/>
      <w:divBdr>
        <w:top w:val="none" w:sz="0" w:space="0" w:color="auto"/>
        <w:left w:val="none" w:sz="0" w:space="0" w:color="auto"/>
        <w:bottom w:val="none" w:sz="0" w:space="0" w:color="auto"/>
        <w:right w:val="none" w:sz="0" w:space="0" w:color="auto"/>
      </w:divBdr>
    </w:div>
    <w:div w:id="376324249">
      <w:bodyDiv w:val="1"/>
      <w:marLeft w:val="0"/>
      <w:marRight w:val="0"/>
      <w:marTop w:val="0"/>
      <w:marBottom w:val="0"/>
      <w:divBdr>
        <w:top w:val="none" w:sz="0" w:space="0" w:color="auto"/>
        <w:left w:val="none" w:sz="0" w:space="0" w:color="auto"/>
        <w:bottom w:val="none" w:sz="0" w:space="0" w:color="auto"/>
        <w:right w:val="none" w:sz="0" w:space="0" w:color="auto"/>
      </w:divBdr>
    </w:div>
    <w:div w:id="382680079">
      <w:bodyDiv w:val="1"/>
      <w:marLeft w:val="0"/>
      <w:marRight w:val="0"/>
      <w:marTop w:val="0"/>
      <w:marBottom w:val="0"/>
      <w:divBdr>
        <w:top w:val="none" w:sz="0" w:space="0" w:color="auto"/>
        <w:left w:val="none" w:sz="0" w:space="0" w:color="auto"/>
        <w:bottom w:val="none" w:sz="0" w:space="0" w:color="auto"/>
        <w:right w:val="none" w:sz="0" w:space="0" w:color="auto"/>
      </w:divBdr>
    </w:div>
    <w:div w:id="397289362">
      <w:bodyDiv w:val="1"/>
      <w:marLeft w:val="0"/>
      <w:marRight w:val="0"/>
      <w:marTop w:val="0"/>
      <w:marBottom w:val="0"/>
      <w:divBdr>
        <w:top w:val="none" w:sz="0" w:space="0" w:color="auto"/>
        <w:left w:val="none" w:sz="0" w:space="0" w:color="auto"/>
        <w:bottom w:val="none" w:sz="0" w:space="0" w:color="auto"/>
        <w:right w:val="none" w:sz="0" w:space="0" w:color="auto"/>
      </w:divBdr>
    </w:div>
    <w:div w:id="422843287">
      <w:bodyDiv w:val="1"/>
      <w:marLeft w:val="0"/>
      <w:marRight w:val="0"/>
      <w:marTop w:val="0"/>
      <w:marBottom w:val="0"/>
      <w:divBdr>
        <w:top w:val="none" w:sz="0" w:space="0" w:color="auto"/>
        <w:left w:val="none" w:sz="0" w:space="0" w:color="auto"/>
        <w:bottom w:val="none" w:sz="0" w:space="0" w:color="auto"/>
        <w:right w:val="none" w:sz="0" w:space="0" w:color="auto"/>
      </w:divBdr>
    </w:div>
    <w:div w:id="473564234">
      <w:bodyDiv w:val="1"/>
      <w:marLeft w:val="0"/>
      <w:marRight w:val="0"/>
      <w:marTop w:val="0"/>
      <w:marBottom w:val="0"/>
      <w:divBdr>
        <w:top w:val="none" w:sz="0" w:space="0" w:color="auto"/>
        <w:left w:val="none" w:sz="0" w:space="0" w:color="auto"/>
        <w:bottom w:val="none" w:sz="0" w:space="0" w:color="auto"/>
        <w:right w:val="none" w:sz="0" w:space="0" w:color="auto"/>
      </w:divBdr>
      <w:divsChild>
        <w:div w:id="36860817">
          <w:marLeft w:val="0"/>
          <w:marRight w:val="0"/>
          <w:marTop w:val="0"/>
          <w:marBottom w:val="0"/>
          <w:divBdr>
            <w:top w:val="none" w:sz="0" w:space="0" w:color="auto"/>
            <w:left w:val="none" w:sz="0" w:space="0" w:color="auto"/>
            <w:bottom w:val="none" w:sz="0" w:space="0" w:color="auto"/>
            <w:right w:val="none" w:sz="0" w:space="0" w:color="auto"/>
          </w:divBdr>
          <w:divsChild>
            <w:div w:id="16563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943">
      <w:bodyDiv w:val="1"/>
      <w:marLeft w:val="0"/>
      <w:marRight w:val="0"/>
      <w:marTop w:val="0"/>
      <w:marBottom w:val="0"/>
      <w:divBdr>
        <w:top w:val="none" w:sz="0" w:space="0" w:color="auto"/>
        <w:left w:val="none" w:sz="0" w:space="0" w:color="auto"/>
        <w:bottom w:val="none" w:sz="0" w:space="0" w:color="auto"/>
        <w:right w:val="none" w:sz="0" w:space="0" w:color="auto"/>
      </w:divBdr>
    </w:div>
    <w:div w:id="659508060">
      <w:bodyDiv w:val="1"/>
      <w:marLeft w:val="0"/>
      <w:marRight w:val="0"/>
      <w:marTop w:val="0"/>
      <w:marBottom w:val="0"/>
      <w:divBdr>
        <w:top w:val="none" w:sz="0" w:space="0" w:color="auto"/>
        <w:left w:val="none" w:sz="0" w:space="0" w:color="auto"/>
        <w:bottom w:val="none" w:sz="0" w:space="0" w:color="auto"/>
        <w:right w:val="none" w:sz="0" w:space="0" w:color="auto"/>
      </w:divBdr>
    </w:div>
    <w:div w:id="74071910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0934579">
      <w:bodyDiv w:val="1"/>
      <w:marLeft w:val="0"/>
      <w:marRight w:val="0"/>
      <w:marTop w:val="0"/>
      <w:marBottom w:val="0"/>
      <w:divBdr>
        <w:top w:val="none" w:sz="0" w:space="0" w:color="auto"/>
        <w:left w:val="none" w:sz="0" w:space="0" w:color="auto"/>
        <w:bottom w:val="none" w:sz="0" w:space="0" w:color="auto"/>
        <w:right w:val="none" w:sz="0" w:space="0" w:color="auto"/>
      </w:divBdr>
    </w:div>
    <w:div w:id="110284758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11481428">
      <w:bodyDiv w:val="1"/>
      <w:marLeft w:val="0"/>
      <w:marRight w:val="0"/>
      <w:marTop w:val="0"/>
      <w:marBottom w:val="0"/>
      <w:divBdr>
        <w:top w:val="none" w:sz="0" w:space="0" w:color="auto"/>
        <w:left w:val="none" w:sz="0" w:space="0" w:color="auto"/>
        <w:bottom w:val="none" w:sz="0" w:space="0" w:color="auto"/>
        <w:right w:val="none" w:sz="0" w:space="0" w:color="auto"/>
      </w:divBdr>
    </w:div>
    <w:div w:id="1555044821">
      <w:bodyDiv w:val="1"/>
      <w:marLeft w:val="0"/>
      <w:marRight w:val="0"/>
      <w:marTop w:val="0"/>
      <w:marBottom w:val="0"/>
      <w:divBdr>
        <w:top w:val="none" w:sz="0" w:space="0" w:color="auto"/>
        <w:left w:val="none" w:sz="0" w:space="0" w:color="auto"/>
        <w:bottom w:val="none" w:sz="0" w:space="0" w:color="auto"/>
        <w:right w:val="none" w:sz="0" w:space="0" w:color="auto"/>
      </w:divBdr>
      <w:divsChild>
        <w:div w:id="1694917001">
          <w:marLeft w:val="0"/>
          <w:marRight w:val="0"/>
          <w:marTop w:val="0"/>
          <w:marBottom w:val="0"/>
          <w:divBdr>
            <w:top w:val="none" w:sz="0" w:space="0" w:color="auto"/>
            <w:left w:val="none" w:sz="0" w:space="0" w:color="auto"/>
            <w:bottom w:val="none" w:sz="0" w:space="0" w:color="auto"/>
            <w:right w:val="none" w:sz="0" w:space="0" w:color="auto"/>
          </w:divBdr>
        </w:div>
      </w:divsChild>
    </w:div>
    <w:div w:id="1567570855">
      <w:bodyDiv w:val="1"/>
      <w:marLeft w:val="0"/>
      <w:marRight w:val="0"/>
      <w:marTop w:val="0"/>
      <w:marBottom w:val="0"/>
      <w:divBdr>
        <w:top w:val="none" w:sz="0" w:space="0" w:color="auto"/>
        <w:left w:val="none" w:sz="0" w:space="0" w:color="auto"/>
        <w:bottom w:val="none" w:sz="0" w:space="0" w:color="auto"/>
        <w:right w:val="none" w:sz="0" w:space="0" w:color="auto"/>
      </w:divBdr>
    </w:div>
    <w:div w:id="1659262384">
      <w:bodyDiv w:val="1"/>
      <w:marLeft w:val="0"/>
      <w:marRight w:val="0"/>
      <w:marTop w:val="0"/>
      <w:marBottom w:val="0"/>
      <w:divBdr>
        <w:top w:val="none" w:sz="0" w:space="0" w:color="auto"/>
        <w:left w:val="none" w:sz="0" w:space="0" w:color="auto"/>
        <w:bottom w:val="none" w:sz="0" w:space="0" w:color="auto"/>
        <w:right w:val="none" w:sz="0" w:space="0" w:color="auto"/>
      </w:divBdr>
    </w:div>
    <w:div w:id="1712924866">
      <w:bodyDiv w:val="1"/>
      <w:marLeft w:val="0"/>
      <w:marRight w:val="0"/>
      <w:marTop w:val="0"/>
      <w:marBottom w:val="0"/>
      <w:divBdr>
        <w:top w:val="none" w:sz="0" w:space="0" w:color="auto"/>
        <w:left w:val="none" w:sz="0" w:space="0" w:color="auto"/>
        <w:bottom w:val="none" w:sz="0" w:space="0" w:color="auto"/>
        <w:right w:val="none" w:sz="0" w:space="0" w:color="auto"/>
      </w:divBdr>
    </w:div>
    <w:div w:id="1791589564">
      <w:bodyDiv w:val="1"/>
      <w:marLeft w:val="0"/>
      <w:marRight w:val="0"/>
      <w:marTop w:val="0"/>
      <w:marBottom w:val="0"/>
      <w:divBdr>
        <w:top w:val="none" w:sz="0" w:space="0" w:color="auto"/>
        <w:left w:val="none" w:sz="0" w:space="0" w:color="auto"/>
        <w:bottom w:val="none" w:sz="0" w:space="0" w:color="auto"/>
        <w:right w:val="none" w:sz="0" w:space="0" w:color="auto"/>
      </w:divBdr>
    </w:div>
    <w:div w:id="184636089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5915970">
      <w:bodyDiv w:val="1"/>
      <w:marLeft w:val="0"/>
      <w:marRight w:val="0"/>
      <w:marTop w:val="0"/>
      <w:marBottom w:val="0"/>
      <w:divBdr>
        <w:top w:val="none" w:sz="0" w:space="0" w:color="auto"/>
        <w:left w:val="none" w:sz="0" w:space="0" w:color="auto"/>
        <w:bottom w:val="none" w:sz="0" w:space="0" w:color="auto"/>
        <w:right w:val="none" w:sz="0" w:space="0" w:color="auto"/>
      </w:divBdr>
      <w:divsChild>
        <w:div w:id="696389743">
          <w:marLeft w:val="0"/>
          <w:marRight w:val="0"/>
          <w:marTop w:val="0"/>
          <w:marBottom w:val="0"/>
          <w:divBdr>
            <w:top w:val="none" w:sz="0" w:space="0" w:color="auto"/>
            <w:left w:val="none" w:sz="0" w:space="0" w:color="auto"/>
            <w:bottom w:val="none" w:sz="0" w:space="0" w:color="auto"/>
            <w:right w:val="none" w:sz="0" w:space="0" w:color="auto"/>
          </w:divBdr>
        </w:div>
      </w:divsChild>
    </w:div>
    <w:div w:id="20129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AE939CAD-BAC3-4388-95C6-82493274A511}">
  <ds:schemaRefs>
    <ds:schemaRef ds:uri="http://schemas.microsoft.com/sharepoint/v3/contenttype/forms"/>
  </ds:schemaRefs>
</ds:datastoreItem>
</file>

<file path=customXml/itemProps3.xml><?xml version="1.0" encoding="utf-8"?>
<ds:datastoreItem xmlns:ds="http://schemas.openxmlformats.org/officeDocument/2006/customXml" ds:itemID="{F55027CF-1F5F-4AF9-8E2A-1700DDD09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4D4D1-9D55-46AA-8CC6-35FA1FADA1DC}">
  <ds:schemaRefs>
    <ds:schemaRef ds:uri="http://schemas.microsoft.com/office/2006/metadata/properties"/>
    <ds:schemaRef ds:uri="http://schemas.microsoft.com/office/2006/documentManagement/types"/>
    <ds:schemaRef ds:uri="http://www.w3.org/XML/1998/namespace"/>
    <ds:schemaRef ds:uri="72f95629-adac-4ec1-8738-e1cec852b92b"/>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7f856f8d-13b3-495a-9a4b-41f8182eda4c"/>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10731</Words>
  <Characters>56555</Characters>
  <Application>Microsoft Office Word</Application>
  <DocSecurity>4</DocSecurity>
  <Lines>1885</Lines>
  <Paragraphs>1201</Paragraphs>
  <ScaleCrop>false</ScaleCrop>
  <Company/>
  <LinksUpToDate>false</LinksUpToDate>
  <CharactersWithSpaces>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2026-04-23T04:26:00Z</dcterms:created>
  <dcterms:modified xsi:type="dcterms:W3CDTF">2026-05-14T07:07:00Z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206f1195,31ea6396,3e8417de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6aa664cf,c36e1a2,39e67b53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2025-11-26T23:49:42Z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8ca012db-6c2d-458e-a40f-2b9e7bf2be83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