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61ADD6D1" w:rsidR="00B60939" w:rsidRPr="0098262F" w:rsidRDefault="00B372C9" w:rsidP="004A6040">
      <w:pPr>
        <w:pStyle w:val="COMH1-notnumbered"/>
      </w:pPr>
      <w:bookmarkStart w:id="0" w:name="_Toc209002705"/>
      <w:r>
        <w:t>7.01</w:t>
      </w:r>
      <w:r w:rsidR="00163F66" w:rsidRPr="0098262F">
        <w:tab/>
      </w:r>
      <w:r w:rsidR="009E799A">
        <w:t>FEDRATINIB</w:t>
      </w:r>
      <w:r w:rsidR="00163F66" w:rsidRPr="0098262F">
        <w:t>,</w:t>
      </w:r>
      <w:r w:rsidR="00163F66" w:rsidRPr="0098262F">
        <w:br/>
      </w:r>
      <w:r w:rsidR="00B168EA">
        <w:t>Capsule</w:t>
      </w:r>
      <w:r w:rsidR="0018122C">
        <w:t xml:space="preserve"> </w:t>
      </w:r>
      <w:r w:rsidR="00B168EA">
        <w:t>100 mg</w:t>
      </w:r>
      <w:r w:rsidR="00163F66" w:rsidRPr="0098262F">
        <w:t>,</w:t>
      </w:r>
      <w:r w:rsidR="00163F66" w:rsidRPr="0098262F">
        <w:br/>
      </w:r>
      <w:proofErr w:type="spellStart"/>
      <w:r w:rsidR="00B168EA">
        <w:t>Inrebic</w:t>
      </w:r>
      <w:proofErr w:type="spellEnd"/>
      <w:r w:rsidR="00B60939" w:rsidRPr="0098262F">
        <w:rPr>
          <w:vertAlign w:val="superscript"/>
        </w:rPr>
        <w:t>®</w:t>
      </w:r>
      <w:r w:rsidR="004A6040" w:rsidRPr="0098262F">
        <w:t>,</w:t>
      </w:r>
      <w:r w:rsidR="004A6040" w:rsidRPr="0098262F">
        <w:br/>
      </w:r>
      <w:r w:rsidR="00B168EA">
        <w:t>Bristol-Myers Squibb Australia Pty Ltd</w:t>
      </w:r>
      <w:r w:rsidR="00B60939" w:rsidRPr="0098262F">
        <w:t>.</w:t>
      </w:r>
      <w:bookmarkEnd w:id="0"/>
    </w:p>
    <w:p w14:paraId="11C00795" w14:textId="3DFB6D23" w:rsidR="00B50DB8" w:rsidRPr="007E186A" w:rsidRDefault="00B50DB8" w:rsidP="002B2723">
      <w:pPr>
        <w:pStyle w:val="COMESH2"/>
      </w:pPr>
      <w:bookmarkStart w:id="1" w:name="_Toc209002707"/>
      <w:r w:rsidRPr="007E186A">
        <w:t xml:space="preserve">Purpose of </w:t>
      </w:r>
      <w:r w:rsidR="00CD7193" w:rsidRPr="007E186A">
        <w:t>s</w:t>
      </w:r>
      <w:r w:rsidR="00BB3A45" w:rsidRPr="007E186A">
        <w:t>ubmission</w:t>
      </w:r>
      <w:bookmarkEnd w:id="1"/>
    </w:p>
    <w:p w14:paraId="49C1210A" w14:textId="39AEB34F" w:rsidR="00777C11" w:rsidRPr="00A1318D" w:rsidRDefault="00777C11" w:rsidP="00777C11">
      <w:pPr>
        <w:pStyle w:val="COMESnumberedpara"/>
      </w:pPr>
      <w:r w:rsidRPr="00A1318D">
        <w:t xml:space="preserve">The standard re-entry submission requested a General Schedule, Authority Required (Telephone/Online) listing </w:t>
      </w:r>
      <w:r w:rsidR="00085AF9">
        <w:t xml:space="preserve">of fedratinib </w:t>
      </w:r>
      <w:r w:rsidRPr="00A1318D">
        <w:t>for the treatment of patients with intermediate</w:t>
      </w:r>
      <w:r w:rsidR="00C86CAE">
        <w:t>-2</w:t>
      </w:r>
      <w:r w:rsidRPr="00A1318D">
        <w:t xml:space="preserve">/high-risk primary myelofibrosis, post-polycythaemia vera myelofibrosis, or post-essential thrombocythaemia myelofibrosis.  </w:t>
      </w:r>
    </w:p>
    <w:p w14:paraId="111D47B7" w14:textId="12B44796" w:rsidR="00777C11" w:rsidRPr="00C11B00" w:rsidRDefault="00777C11" w:rsidP="00777C11">
      <w:pPr>
        <w:pStyle w:val="COMESnumberedpara"/>
      </w:pPr>
      <w:r w:rsidRPr="000F1FC5">
        <w:t>PBS</w:t>
      </w:r>
      <w:r w:rsidRPr="00C11B00">
        <w:rPr>
          <w:color w:val="0066FF"/>
        </w:rPr>
        <w:t xml:space="preserve"> </w:t>
      </w:r>
      <w:r>
        <w:t>l</w:t>
      </w:r>
      <w:r w:rsidRPr="0098262F">
        <w:t xml:space="preserve">isting was requested </w:t>
      </w:r>
      <w:proofErr w:type="gramStart"/>
      <w:r w:rsidRPr="0098262F">
        <w:t>on the basis of</w:t>
      </w:r>
      <w:proofErr w:type="gramEnd"/>
      <w:r w:rsidRPr="0098262F">
        <w:t xml:space="preserve"> a cost-minimisation approach versus </w:t>
      </w:r>
      <w:r>
        <w:t>ruxolitinib</w:t>
      </w:r>
      <w:r w:rsidRPr="0098262F">
        <w:t xml:space="preserve">. </w:t>
      </w:r>
    </w:p>
    <w:p w14:paraId="66A2B471" w14:textId="7EE9D68F" w:rsidR="003E7112" w:rsidRPr="00C11B00" w:rsidRDefault="003E7112" w:rsidP="003E7112">
      <w:pPr>
        <w:pStyle w:val="COMtablefigcaption"/>
      </w:pPr>
      <w:r w:rsidRPr="0098262F">
        <w:t xml:space="preserve">Table </w:t>
      </w:r>
      <w:r w:rsidR="0003298B">
        <w:fldChar w:fldCharType="begin"/>
      </w:r>
      <w:r w:rsidR="0003298B">
        <w:instrText xml:space="preserve"> SEQ Table \* ARABIC </w:instrText>
      </w:r>
      <w:r w:rsidR="0003298B">
        <w:fldChar w:fldCharType="separate"/>
      </w:r>
      <w:r w:rsidR="000F0515">
        <w:rPr>
          <w:noProof/>
        </w:rPr>
        <w:t>1</w:t>
      </w:r>
      <w:r w:rsidR="0003298B">
        <w:rPr>
          <w:noProof/>
        </w:rPr>
        <w:fldChar w:fldCharType="end"/>
      </w:r>
      <w:r w:rsidRPr="0098262F">
        <w:t xml:space="preserve">: Key components of the clinical issue addressed </w:t>
      </w:r>
      <w:r>
        <w:t>in</w:t>
      </w:r>
      <w:r w:rsidRPr="0098262F">
        <w:t xml:space="preserve"> the </w:t>
      </w:r>
      <w:r>
        <w:t>re</w:t>
      </w:r>
      <w:r w:rsidRPr="0098262F">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 Key components of the clinical issue addressed in the resubmission"/>
      </w:tblPr>
      <w:tblGrid>
        <w:gridCol w:w="1327"/>
        <w:gridCol w:w="7690"/>
      </w:tblGrid>
      <w:tr w:rsidR="003E7112" w:rsidRPr="001A3093" w14:paraId="401E2808"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0AF12E2B" w14:textId="77777777" w:rsidR="003E7112" w:rsidRPr="001A3093" w:rsidRDefault="003E7112">
            <w:pPr>
              <w:pStyle w:val="COMTableheadingrow"/>
            </w:pPr>
            <w:r w:rsidRPr="001A3093">
              <w:t>Component</w:t>
            </w:r>
          </w:p>
        </w:tc>
        <w:tc>
          <w:tcPr>
            <w:tcW w:w="7690" w:type="dxa"/>
            <w:tcBorders>
              <w:top w:val="single" w:sz="4" w:space="0" w:color="auto"/>
              <w:left w:val="single" w:sz="4" w:space="0" w:color="auto"/>
              <w:bottom w:val="single" w:sz="4" w:space="0" w:color="auto"/>
              <w:right w:val="single" w:sz="4" w:space="0" w:color="auto"/>
            </w:tcBorders>
            <w:vAlign w:val="center"/>
            <w:hideMark/>
          </w:tcPr>
          <w:p w14:paraId="6184D64D" w14:textId="77777777" w:rsidR="003E7112" w:rsidRPr="001A3093" w:rsidRDefault="003E7112">
            <w:pPr>
              <w:pStyle w:val="COMTableheadingrow"/>
            </w:pPr>
            <w:r w:rsidRPr="001A3093">
              <w:t>Description</w:t>
            </w:r>
          </w:p>
        </w:tc>
      </w:tr>
      <w:tr w:rsidR="00321143" w:rsidRPr="001A3093" w14:paraId="515C657E"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5FF28F80" w14:textId="77777777" w:rsidR="00321143" w:rsidRPr="001A3093" w:rsidRDefault="00321143" w:rsidP="00321143">
            <w:pPr>
              <w:pStyle w:val="COMTabletext"/>
            </w:pPr>
            <w:r w:rsidRPr="001A3093">
              <w:t>Population</w:t>
            </w:r>
          </w:p>
        </w:tc>
        <w:tc>
          <w:tcPr>
            <w:tcW w:w="7690" w:type="dxa"/>
            <w:tcBorders>
              <w:top w:val="single" w:sz="4" w:space="0" w:color="auto"/>
              <w:left w:val="single" w:sz="4" w:space="0" w:color="auto"/>
              <w:bottom w:val="single" w:sz="4" w:space="0" w:color="auto"/>
              <w:right w:val="single" w:sz="4" w:space="0" w:color="auto"/>
            </w:tcBorders>
            <w:hideMark/>
          </w:tcPr>
          <w:p w14:paraId="7777FE1C" w14:textId="7A9FFDC3" w:rsidR="00321143" w:rsidRPr="001A3093" w:rsidRDefault="00321143" w:rsidP="00321143">
            <w:pPr>
              <w:pStyle w:val="COMTabletext"/>
            </w:pPr>
            <w:r w:rsidRPr="001A3093">
              <w:t>Adult patients with intermediate</w:t>
            </w:r>
            <w:r>
              <w:t>-2 or</w:t>
            </w:r>
            <w:r w:rsidRPr="001A3093">
              <w:t xml:space="preserve"> high</w:t>
            </w:r>
            <w:r>
              <w:t xml:space="preserve"> </w:t>
            </w:r>
            <w:r w:rsidRPr="001A3093">
              <w:t xml:space="preserve">risk primary myelofibrosis, post-polycythaemia vera myelofibrosis, or post-essential thrombocythaemia myelofibrosis </w:t>
            </w:r>
            <w:r>
              <w:t xml:space="preserve">who </w:t>
            </w:r>
            <w:r w:rsidRPr="00A47102">
              <w:t>are Janus kinase (JAK) inhibitor naïve or post ruxolitinib or another JAK inhibitor</w:t>
            </w:r>
            <w:r>
              <w:t xml:space="preserve">; and </w:t>
            </w:r>
            <w:r w:rsidRPr="00401C59">
              <w:t xml:space="preserve">intermediate-1 risk </w:t>
            </w:r>
            <w:r w:rsidRPr="00E73FC2">
              <w:t>myelofibrosis</w:t>
            </w:r>
            <w:r w:rsidRPr="00401C59">
              <w:t xml:space="preserve"> patients </w:t>
            </w:r>
            <w:r>
              <w:t>with</w:t>
            </w:r>
            <w:r w:rsidRPr="00401C59">
              <w:t xml:space="preserve"> severe disease-related symptoms that are resistant, refractory or intolerant to available therapy (second line treatment).</w:t>
            </w:r>
            <w:r>
              <w:t xml:space="preserve"> </w:t>
            </w:r>
          </w:p>
        </w:tc>
      </w:tr>
      <w:tr w:rsidR="00321143" w:rsidRPr="001A3093" w14:paraId="114E0C46"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60AE6D36" w14:textId="77777777" w:rsidR="00321143" w:rsidRPr="001A3093" w:rsidRDefault="00321143" w:rsidP="00321143">
            <w:pPr>
              <w:pStyle w:val="COMTabletext"/>
            </w:pPr>
            <w:r w:rsidRPr="001A3093">
              <w:t>Intervention</w:t>
            </w:r>
          </w:p>
        </w:tc>
        <w:tc>
          <w:tcPr>
            <w:tcW w:w="7690" w:type="dxa"/>
            <w:tcBorders>
              <w:top w:val="single" w:sz="4" w:space="0" w:color="auto"/>
              <w:left w:val="single" w:sz="4" w:space="0" w:color="auto"/>
              <w:bottom w:val="single" w:sz="4" w:space="0" w:color="auto"/>
              <w:right w:val="single" w:sz="4" w:space="0" w:color="auto"/>
            </w:tcBorders>
            <w:hideMark/>
          </w:tcPr>
          <w:p w14:paraId="1EA093AD" w14:textId="4A55563B" w:rsidR="00321143" w:rsidRPr="001A3093" w:rsidRDefault="00321143" w:rsidP="00321143">
            <w:pPr>
              <w:pStyle w:val="COMTabletext"/>
            </w:pPr>
            <w:r w:rsidRPr="001A3093">
              <w:t>Fedratinib 400 mg (4 × 100 mg capsules) administered orally once a day.</w:t>
            </w:r>
          </w:p>
        </w:tc>
      </w:tr>
      <w:tr w:rsidR="00321143" w:rsidRPr="001A3093" w14:paraId="375514AF"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7A398449" w14:textId="77777777" w:rsidR="00321143" w:rsidRPr="001A3093" w:rsidRDefault="00321143" w:rsidP="00321143">
            <w:pPr>
              <w:pStyle w:val="COMTabletext"/>
            </w:pPr>
            <w:r w:rsidRPr="001A3093">
              <w:t>Comparator</w:t>
            </w:r>
          </w:p>
        </w:tc>
        <w:tc>
          <w:tcPr>
            <w:tcW w:w="7690" w:type="dxa"/>
            <w:tcBorders>
              <w:top w:val="single" w:sz="4" w:space="0" w:color="auto"/>
              <w:left w:val="single" w:sz="4" w:space="0" w:color="auto"/>
              <w:bottom w:val="single" w:sz="4" w:space="0" w:color="auto"/>
              <w:right w:val="single" w:sz="4" w:space="0" w:color="auto"/>
            </w:tcBorders>
            <w:hideMark/>
          </w:tcPr>
          <w:p w14:paraId="278DE7CA" w14:textId="77777777" w:rsidR="00321143" w:rsidRPr="00D17790" w:rsidRDefault="00321143" w:rsidP="00321143">
            <w:pPr>
              <w:pStyle w:val="COMTabletext"/>
            </w:pPr>
            <w:r w:rsidRPr="00C373A8">
              <w:t xml:space="preserve">Ruxolitinib </w:t>
            </w:r>
            <w:r>
              <w:t>5 mg to 25 mg twice daily, administered as 5 mg, 10 mg, 15 mg or 20 mg tablets</w:t>
            </w:r>
            <w:r w:rsidRPr="00C373A8">
              <w:t xml:space="preserve"> for the</w:t>
            </w:r>
            <w:r w:rsidRPr="00D17790">
              <w:t xml:space="preserve"> population that is JAK inhibitor naïve.</w:t>
            </w:r>
          </w:p>
          <w:p w14:paraId="6981E5AD" w14:textId="4048F77C" w:rsidR="00321143" w:rsidRPr="001A3093" w:rsidRDefault="00321143" w:rsidP="00321143">
            <w:pPr>
              <w:pStyle w:val="COMTabletext"/>
            </w:pPr>
            <w:r w:rsidRPr="00D17790">
              <w:t xml:space="preserve">Best available therapy, comprised of </w:t>
            </w:r>
            <w:r w:rsidRPr="00D17790">
              <w:rPr>
                <w:rStyle w:val="COMBodyChar"/>
                <w:rFonts w:ascii="Arial Narrow" w:hAnsi="Arial Narrow"/>
                <w:sz w:val="20"/>
                <w:szCs w:val="20"/>
              </w:rPr>
              <w:t xml:space="preserve">suboptimal treatment with ruxolitinib for </w:t>
            </w:r>
            <w:proofErr w:type="gramStart"/>
            <w:r w:rsidRPr="00D17790">
              <w:rPr>
                <w:rStyle w:val="COMBodyChar"/>
                <w:rFonts w:ascii="Arial Narrow" w:hAnsi="Arial Narrow"/>
                <w:sz w:val="20"/>
                <w:szCs w:val="20"/>
              </w:rPr>
              <w:t>the majority of</w:t>
            </w:r>
            <w:proofErr w:type="gramEnd"/>
            <w:r w:rsidRPr="00D17790">
              <w:rPr>
                <w:rStyle w:val="COMBodyChar"/>
                <w:rFonts w:ascii="Arial Narrow" w:hAnsi="Arial Narrow"/>
                <w:sz w:val="20"/>
                <w:szCs w:val="20"/>
              </w:rPr>
              <w:t xml:space="preserve"> patients, along with other treatments such hydroxyurea, interferon alfa, prednisone, or busulfan for a small proportion of patients,</w:t>
            </w:r>
            <w:r w:rsidRPr="00D17790">
              <w:t xml:space="preserve"> for the population previously treated with ruxolitinib or another JAK inhibitor.</w:t>
            </w:r>
          </w:p>
        </w:tc>
      </w:tr>
      <w:tr w:rsidR="00321143" w:rsidRPr="001A3093" w14:paraId="2EC4D082"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56075A8F" w14:textId="77777777" w:rsidR="00321143" w:rsidRPr="001A3093" w:rsidRDefault="00321143" w:rsidP="00321143">
            <w:pPr>
              <w:pStyle w:val="COMTabletext"/>
            </w:pPr>
            <w:r w:rsidRPr="001A3093">
              <w:t>Outcomes</w:t>
            </w:r>
          </w:p>
        </w:tc>
        <w:tc>
          <w:tcPr>
            <w:tcW w:w="7690" w:type="dxa"/>
            <w:tcBorders>
              <w:top w:val="single" w:sz="4" w:space="0" w:color="auto"/>
              <w:left w:val="single" w:sz="4" w:space="0" w:color="auto"/>
              <w:bottom w:val="single" w:sz="4" w:space="0" w:color="auto"/>
              <w:right w:val="single" w:sz="4" w:space="0" w:color="auto"/>
            </w:tcBorders>
            <w:hideMark/>
          </w:tcPr>
          <w:p w14:paraId="732A09BF" w14:textId="5CD28C1D" w:rsidR="00321143" w:rsidRPr="001A3093" w:rsidRDefault="00321143" w:rsidP="00321143">
            <w:pPr>
              <w:pStyle w:val="COMTabletext"/>
            </w:pPr>
            <w:r w:rsidRPr="001A3093">
              <w:t>Spleen volume</w:t>
            </w:r>
            <w:r>
              <w:t xml:space="preserve"> reduction</w:t>
            </w:r>
            <w:r w:rsidRPr="001A3093">
              <w:t>; myelofibrosis-associated symptoms; quality of life</w:t>
            </w:r>
            <w:r>
              <w:t>, adverse events.</w:t>
            </w:r>
          </w:p>
        </w:tc>
      </w:tr>
      <w:tr w:rsidR="00321143" w:rsidRPr="001A3093" w14:paraId="09731E1A" w14:textId="77777777">
        <w:tc>
          <w:tcPr>
            <w:tcW w:w="1327" w:type="dxa"/>
            <w:tcBorders>
              <w:top w:val="single" w:sz="4" w:space="0" w:color="auto"/>
              <w:left w:val="single" w:sz="4" w:space="0" w:color="auto"/>
              <w:bottom w:val="single" w:sz="4" w:space="0" w:color="auto"/>
              <w:right w:val="single" w:sz="4" w:space="0" w:color="auto"/>
            </w:tcBorders>
            <w:vAlign w:val="center"/>
            <w:hideMark/>
          </w:tcPr>
          <w:p w14:paraId="4F7FE943" w14:textId="77777777" w:rsidR="00321143" w:rsidRPr="001A3093" w:rsidRDefault="00321143" w:rsidP="00321143">
            <w:pPr>
              <w:pStyle w:val="COMTabletext"/>
            </w:pPr>
            <w:r w:rsidRPr="001A3093">
              <w:t>Clinical claim</w:t>
            </w:r>
          </w:p>
        </w:tc>
        <w:tc>
          <w:tcPr>
            <w:tcW w:w="7690" w:type="dxa"/>
            <w:tcBorders>
              <w:top w:val="single" w:sz="4" w:space="0" w:color="auto"/>
              <w:left w:val="single" w:sz="4" w:space="0" w:color="auto"/>
              <w:bottom w:val="single" w:sz="4" w:space="0" w:color="auto"/>
              <w:right w:val="single" w:sz="4" w:space="0" w:color="auto"/>
            </w:tcBorders>
            <w:hideMark/>
          </w:tcPr>
          <w:p w14:paraId="7924879A" w14:textId="057D6E9F" w:rsidR="00321143" w:rsidRPr="004D1454" w:rsidRDefault="00321143" w:rsidP="00321143">
            <w:pPr>
              <w:pStyle w:val="COMTabletext"/>
            </w:pPr>
            <w:r w:rsidRPr="00857B74">
              <w:t>In consideration of the totality of evidence presented for fedratinib in the original submission and this resubmission, the clinical claim for fedratinib is one of non-inferiority overall for both efficacy and safety compared with ruxolitinib</w:t>
            </w:r>
            <w:r>
              <w:t>.</w:t>
            </w:r>
          </w:p>
        </w:tc>
      </w:tr>
    </w:tbl>
    <w:p w14:paraId="2056885D" w14:textId="77777777" w:rsidR="003E7112" w:rsidRPr="00F839BB" w:rsidRDefault="003E7112" w:rsidP="003E7112">
      <w:pPr>
        <w:pStyle w:val="COMTablefooter"/>
      </w:pPr>
      <w:r w:rsidRPr="00F839BB">
        <w:t>Source: Table 4-5, p18-20, p76 of the resubmission.</w:t>
      </w:r>
    </w:p>
    <w:p w14:paraId="32BA251D" w14:textId="106AD76B" w:rsidR="003E7112" w:rsidRDefault="003E7112" w:rsidP="003E7112">
      <w:pPr>
        <w:pStyle w:val="COMTablefooter"/>
      </w:pPr>
      <w:r w:rsidRPr="00F839BB">
        <w:t>Abbreviations: JAK, Janus kinase.</w:t>
      </w:r>
    </w:p>
    <w:p w14:paraId="6B4AB6C2" w14:textId="7F01D731" w:rsidR="005C25FF" w:rsidRPr="0098262F" w:rsidRDefault="005C25FF" w:rsidP="001C6B82">
      <w:pPr>
        <w:pStyle w:val="COMESH2"/>
      </w:pPr>
      <w:bookmarkStart w:id="2" w:name="_Toc209002708"/>
      <w:r w:rsidRPr="0098262F">
        <w:t>Background</w:t>
      </w:r>
      <w:bookmarkEnd w:id="2"/>
    </w:p>
    <w:p w14:paraId="2C521D6D" w14:textId="654A7931" w:rsidR="005C25FF" w:rsidRPr="0098262F" w:rsidRDefault="005C25FF" w:rsidP="004A6040">
      <w:pPr>
        <w:pStyle w:val="COMESSubsectionheading"/>
      </w:pPr>
      <w:bookmarkStart w:id="3" w:name="_Toc22897638"/>
      <w:bookmarkStart w:id="4" w:name="_Toc209002709"/>
      <w:r w:rsidRPr="0098262F">
        <w:t>Registration status</w:t>
      </w:r>
      <w:bookmarkEnd w:id="3"/>
      <w:bookmarkEnd w:id="4"/>
    </w:p>
    <w:p w14:paraId="534A49CE" w14:textId="7729AF80" w:rsidR="00DC1E5E" w:rsidRDefault="00DC1E5E" w:rsidP="00846C8E">
      <w:pPr>
        <w:pStyle w:val="COMESnumberedpara"/>
        <w:numPr>
          <w:ilvl w:val="1"/>
          <w:numId w:val="3"/>
        </w:numPr>
      </w:pPr>
      <w:bookmarkStart w:id="5" w:name="_Toc22897639"/>
      <w:r w:rsidRPr="009D5424">
        <w:t xml:space="preserve">Fedratinib </w:t>
      </w:r>
      <w:bookmarkStart w:id="6" w:name="_Hlk191983277"/>
      <w:r w:rsidRPr="009D5424">
        <w:t>was registered on the Australian Register of Therapeutic Goods on 13</w:t>
      </w:r>
      <w:r w:rsidR="0069063A">
        <w:t> </w:t>
      </w:r>
      <w:r w:rsidRPr="009D5424">
        <w:t xml:space="preserve">February 2025 </w:t>
      </w:r>
      <w:bookmarkEnd w:id="6"/>
      <w:r w:rsidRPr="009D5424">
        <w:t>for</w:t>
      </w:r>
      <w:r w:rsidRPr="00D466FD">
        <w:t xml:space="preserve"> the treatment of disease-related splenomegaly or symptoms in adult patients with primary myelofibrosis, post-polycythaemia vera myelofibrosis or post-essential thrombocythaemia myelofibrosis who are JAK inhibitor naïve or have been treated with ruxolitinib. </w:t>
      </w:r>
    </w:p>
    <w:p w14:paraId="63FE4278" w14:textId="77777777" w:rsidR="00DC1E5E" w:rsidRDefault="00DC1E5E" w:rsidP="00846C8E">
      <w:pPr>
        <w:pStyle w:val="COMESnumberedpara"/>
        <w:numPr>
          <w:ilvl w:val="1"/>
          <w:numId w:val="3"/>
        </w:numPr>
      </w:pPr>
      <w:r>
        <w:t xml:space="preserve">The product information includes a black box warning on the risks of serious and fatal encephalopathy, including Wernicke’s, associated with fedratinib and that the risk of </w:t>
      </w:r>
      <w:r>
        <w:lastRenderedPageBreak/>
        <w:t>Wernicke’s encephalopathy is reduced via thiamine monitoring and prophylaxis with daily oral thiamine.</w:t>
      </w:r>
    </w:p>
    <w:p w14:paraId="2C48DF3F" w14:textId="77777777" w:rsidR="00DC1E5E" w:rsidRPr="00D466FD" w:rsidRDefault="00DC1E5E" w:rsidP="00846C8E">
      <w:pPr>
        <w:pStyle w:val="COMESnumberedpara"/>
        <w:numPr>
          <w:ilvl w:val="1"/>
          <w:numId w:val="3"/>
        </w:numPr>
      </w:pPr>
      <w:r>
        <w:t>Fedratinib is subject to additional monitoring in Australia under the Black Triangle Scheme.</w:t>
      </w:r>
    </w:p>
    <w:p w14:paraId="3E2A6EAB" w14:textId="469C8C0C" w:rsidR="005C25FF" w:rsidRPr="0098262F" w:rsidRDefault="005C25FF" w:rsidP="004E18E9">
      <w:pPr>
        <w:pStyle w:val="COMESSubsectionheading"/>
      </w:pPr>
      <w:bookmarkStart w:id="7" w:name="_Toc209002710"/>
      <w:r w:rsidRPr="0098262F">
        <w:t>Previous PBAC consideration</w:t>
      </w:r>
      <w:bookmarkEnd w:id="5"/>
      <w:bookmarkEnd w:id="7"/>
    </w:p>
    <w:p w14:paraId="3A57FBED" w14:textId="4CF263F6" w:rsidR="00204D93" w:rsidRPr="00644E67" w:rsidRDefault="00B34BF9" w:rsidP="00644E67">
      <w:pPr>
        <w:pStyle w:val="COMESnumberedpara"/>
      </w:pPr>
      <w:r>
        <w:fldChar w:fldCharType="begin"/>
      </w:r>
      <w:r>
        <w:instrText xml:space="preserve"> REF _Ref223516514 \h </w:instrText>
      </w:r>
      <w:r>
        <w:fldChar w:fldCharType="separate"/>
      </w:r>
      <w:r w:rsidR="000F0515" w:rsidRPr="00204D93">
        <w:t xml:space="preserve">Table </w:t>
      </w:r>
      <w:r w:rsidR="000F0515">
        <w:rPr>
          <w:noProof/>
        </w:rPr>
        <w:t>2</w:t>
      </w:r>
      <w:r>
        <w:fldChar w:fldCharType="end"/>
      </w:r>
      <w:r>
        <w:t xml:space="preserve"> </w:t>
      </w:r>
      <w:r w:rsidR="00204D93" w:rsidRPr="00644E67">
        <w:t>summarises the key matters of concern identified at the May 2025 PBAC meeting and how these were addressed in the resubmission.</w:t>
      </w:r>
    </w:p>
    <w:p w14:paraId="2A23A49F" w14:textId="6352FC26" w:rsidR="005C25FF" w:rsidRPr="00204D93" w:rsidRDefault="00696EF9" w:rsidP="00E4253D">
      <w:pPr>
        <w:pStyle w:val="COMTableFigurecaption"/>
        <w:keepLines/>
        <w:rPr>
          <w:b w:val="0"/>
        </w:rPr>
      </w:pPr>
      <w:bookmarkStart w:id="8" w:name="_Ref223516514"/>
      <w:r w:rsidRPr="00204D93">
        <w:lastRenderedPageBreak/>
        <w:t xml:space="preserve">Table </w:t>
      </w:r>
      <w:r w:rsidR="0003298B">
        <w:fldChar w:fldCharType="begin"/>
      </w:r>
      <w:r w:rsidR="0003298B">
        <w:instrText xml:space="preserve"> SEQ Table \* ARABIC </w:instrText>
      </w:r>
      <w:r w:rsidR="0003298B">
        <w:fldChar w:fldCharType="separate"/>
      </w:r>
      <w:r w:rsidR="000F0515">
        <w:rPr>
          <w:noProof/>
        </w:rPr>
        <w:t>2</w:t>
      </w:r>
      <w:r w:rsidR="0003298B">
        <w:rPr>
          <w:noProof/>
        </w:rPr>
        <w:fldChar w:fldCharType="end"/>
      </w:r>
      <w:bookmarkEnd w:id="8"/>
      <w:r w:rsidRPr="00204D93">
        <w:t>:</w:t>
      </w:r>
      <w:r w:rsidR="005C25FF" w:rsidRPr="00204D93">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key matters of concern"/>
      </w:tblPr>
      <w:tblGrid>
        <w:gridCol w:w="6092"/>
        <w:gridCol w:w="2925"/>
      </w:tblGrid>
      <w:tr w:rsidR="00B33DC0" w:rsidRPr="0098262F" w14:paraId="13567600" w14:textId="77777777" w:rsidTr="00B153C7">
        <w:trPr>
          <w:cantSplit/>
          <w:tblHeader/>
        </w:trPr>
        <w:tc>
          <w:tcPr>
            <w:tcW w:w="3378" w:type="pct"/>
            <w:vAlign w:val="center"/>
          </w:tcPr>
          <w:p w14:paraId="232E0B56" w14:textId="77777777" w:rsidR="00B33DC0" w:rsidRPr="00C474CA" w:rsidRDefault="00B33DC0" w:rsidP="00E4253D">
            <w:pPr>
              <w:pStyle w:val="COMTableheadingrow"/>
            </w:pPr>
            <w:r w:rsidRPr="00C474CA">
              <w:t>Matter of concern</w:t>
            </w:r>
          </w:p>
        </w:tc>
        <w:tc>
          <w:tcPr>
            <w:tcW w:w="1622" w:type="pct"/>
            <w:vAlign w:val="center"/>
          </w:tcPr>
          <w:p w14:paraId="38759EB6" w14:textId="77777777" w:rsidR="00B33DC0" w:rsidRPr="00C474CA" w:rsidRDefault="00B33DC0" w:rsidP="00E4253D">
            <w:pPr>
              <w:pStyle w:val="COMTableheadingrow"/>
            </w:pPr>
            <w:r w:rsidRPr="00C474CA">
              <w:t>How the resubmission addresses it</w:t>
            </w:r>
          </w:p>
        </w:tc>
      </w:tr>
      <w:tr w:rsidR="00B33DC0" w:rsidRPr="0098262F" w14:paraId="5FDE8086" w14:textId="77777777" w:rsidTr="00B153C7">
        <w:trPr>
          <w:cantSplit/>
        </w:trPr>
        <w:tc>
          <w:tcPr>
            <w:tcW w:w="5000" w:type="pct"/>
            <w:gridSpan w:val="2"/>
            <w:vAlign w:val="center"/>
          </w:tcPr>
          <w:p w14:paraId="76F99538" w14:textId="77777777" w:rsidR="00B33DC0" w:rsidRPr="00184CB9" w:rsidRDefault="00B33DC0" w:rsidP="00E4253D">
            <w:pPr>
              <w:pStyle w:val="COMTabletext"/>
              <w:rPr>
                <w:b/>
                <w:bCs w:val="0"/>
                <w:highlight w:val="cyan"/>
              </w:rPr>
            </w:pPr>
            <w:r w:rsidRPr="00184CB9">
              <w:rPr>
                <w:b/>
                <w:bCs w:val="0"/>
              </w:rPr>
              <w:t>Proposed restriction</w:t>
            </w:r>
          </w:p>
        </w:tc>
      </w:tr>
      <w:tr w:rsidR="00B33DC0" w:rsidRPr="00BB5AEB" w14:paraId="4361B8AA" w14:textId="77777777" w:rsidTr="00B153C7">
        <w:trPr>
          <w:cantSplit/>
        </w:trPr>
        <w:tc>
          <w:tcPr>
            <w:tcW w:w="3378" w:type="pct"/>
          </w:tcPr>
          <w:p w14:paraId="75F58631" w14:textId="1FFAD536" w:rsidR="00B33DC0" w:rsidRPr="00B25EED" w:rsidRDefault="004E5483" w:rsidP="00E4253D">
            <w:pPr>
              <w:pStyle w:val="COMTabletext"/>
              <w:rPr>
                <w:rFonts w:eastAsia="Times New Roman" w:cs="Arial"/>
                <w:bCs w:val="0"/>
                <w:snapToGrid w:val="0"/>
              </w:rPr>
            </w:pPr>
            <w:r>
              <w:rPr>
                <w:rFonts w:eastAsia="Times New Roman" w:cs="Arial"/>
                <w:bCs w:val="0"/>
                <w:snapToGrid w:val="0"/>
              </w:rPr>
              <w:t xml:space="preserve">The </w:t>
            </w:r>
            <w:r w:rsidRPr="004E5483">
              <w:rPr>
                <w:rFonts w:eastAsia="Times New Roman" w:cs="Arial"/>
                <w:bCs w:val="0"/>
                <w:snapToGrid w:val="0"/>
              </w:rPr>
              <w:t xml:space="preserve">PBAC noted the advice of the ESC and Pre-PBAC Response that </w:t>
            </w:r>
            <w:r w:rsidR="00D33511">
              <w:rPr>
                <w:rFonts w:eastAsia="Times New Roman" w:cs="Arial"/>
                <w:bCs w:val="0"/>
                <w:snapToGrid w:val="0"/>
              </w:rPr>
              <w:t xml:space="preserve">noted </w:t>
            </w:r>
            <w:r w:rsidRPr="004E5483">
              <w:rPr>
                <w:rFonts w:eastAsia="Times New Roman" w:cs="Arial"/>
                <w:bCs w:val="0"/>
                <w:snapToGrid w:val="0"/>
              </w:rPr>
              <w:t xml:space="preserve">the available evidence for fedratinib in a first-line setting (the JAKARTA trial) and agreed with the ESC that it would be simpler for patients and clinicians if a potential future listing for fedratinib was line agnostic alongside ruxolitinib and </w:t>
            </w:r>
            <w:proofErr w:type="spellStart"/>
            <w:r w:rsidRPr="004E5483">
              <w:rPr>
                <w:rFonts w:eastAsia="Times New Roman" w:cs="Arial"/>
                <w:bCs w:val="0"/>
                <w:snapToGrid w:val="0"/>
              </w:rPr>
              <w:t>momelotinib</w:t>
            </w:r>
            <w:proofErr w:type="spellEnd"/>
            <w:r w:rsidRPr="004E5483">
              <w:rPr>
                <w:rFonts w:eastAsia="Times New Roman" w:cs="Arial"/>
                <w:bCs w:val="0"/>
                <w:snapToGrid w:val="0"/>
              </w:rPr>
              <w:t xml:space="preserve"> and expressed a preference for such an approach</w:t>
            </w:r>
            <w:r w:rsidR="00B33DC0" w:rsidRPr="00253CFF">
              <w:rPr>
                <w:rFonts w:eastAsia="Times New Roman" w:cs="Arial"/>
                <w:bCs w:val="0"/>
                <w:snapToGrid w:val="0"/>
              </w:rPr>
              <w:t xml:space="preserve"> (</w:t>
            </w:r>
            <w:r w:rsidR="00736DA2">
              <w:rPr>
                <w:rFonts w:eastAsia="Times New Roman" w:cs="Arial"/>
                <w:bCs w:val="0"/>
                <w:snapToGrid w:val="0"/>
              </w:rPr>
              <w:t>p</w:t>
            </w:r>
            <w:r w:rsidR="00736DA2" w:rsidRPr="00253CFF">
              <w:rPr>
                <w:rFonts w:eastAsia="Times New Roman" w:cs="Arial"/>
                <w:bCs w:val="0"/>
                <w:snapToGrid w:val="0"/>
              </w:rPr>
              <w:t xml:space="preserve">ara </w:t>
            </w:r>
            <w:r w:rsidR="00B33DC0" w:rsidRPr="00253CFF">
              <w:rPr>
                <w:rFonts w:eastAsia="Times New Roman" w:cs="Arial"/>
                <w:bCs w:val="0"/>
                <w:snapToGrid w:val="0"/>
              </w:rPr>
              <w:t>7.</w:t>
            </w:r>
            <w:r w:rsidR="00B25EED">
              <w:rPr>
                <w:rFonts w:eastAsia="Times New Roman" w:cs="Arial"/>
                <w:bCs w:val="0"/>
                <w:snapToGrid w:val="0"/>
              </w:rPr>
              <w:t>3</w:t>
            </w:r>
            <w:r w:rsidR="00B33DC0" w:rsidRPr="00253CFF">
              <w:rPr>
                <w:rFonts w:eastAsia="Times New Roman" w:cs="Arial"/>
                <w:bCs w:val="0"/>
                <w:snapToGrid w:val="0"/>
              </w:rPr>
              <w:t xml:space="preserve">, </w:t>
            </w:r>
            <w:r w:rsidR="00B33DC0">
              <w:rPr>
                <w:rFonts w:eastAsia="Times New Roman" w:cs="Arial"/>
                <w:bCs w:val="0"/>
                <w:snapToGrid w:val="0"/>
              </w:rPr>
              <w:t xml:space="preserve">fedratinib PBAC minutes, </w:t>
            </w:r>
            <w:r w:rsidR="00B33DC0" w:rsidRPr="00253CFF">
              <w:rPr>
                <w:rFonts w:eastAsia="Times New Roman" w:cs="Arial"/>
                <w:bCs w:val="0"/>
                <w:snapToGrid w:val="0"/>
              </w:rPr>
              <w:t>May 2025 PBAC meeting).</w:t>
            </w:r>
          </w:p>
        </w:tc>
        <w:tc>
          <w:tcPr>
            <w:tcW w:w="1622" w:type="pct"/>
          </w:tcPr>
          <w:p w14:paraId="48280C03" w14:textId="5B1FC07B" w:rsidR="00B33DC0" w:rsidRPr="00D4477E" w:rsidRDefault="00B25EED" w:rsidP="00E4253D">
            <w:pPr>
              <w:pStyle w:val="COMTabletext"/>
              <w:rPr>
                <w:rFonts w:eastAsia="Times New Roman" w:cs="Arial"/>
                <w:bCs w:val="0"/>
                <w:snapToGrid w:val="0"/>
              </w:rPr>
            </w:pPr>
            <w:r>
              <w:rPr>
                <w:rFonts w:eastAsia="Times New Roman" w:cs="Arial"/>
                <w:bCs w:val="0"/>
                <w:snapToGrid w:val="0"/>
              </w:rPr>
              <w:t>A line agnostic listing</w:t>
            </w:r>
            <w:r w:rsidR="00BA245D">
              <w:rPr>
                <w:rFonts w:eastAsia="Times New Roman" w:cs="Arial"/>
                <w:bCs w:val="0"/>
                <w:snapToGrid w:val="0"/>
              </w:rPr>
              <w:t xml:space="preserve"> based on </w:t>
            </w:r>
            <w:r w:rsidR="00AD212B">
              <w:rPr>
                <w:rFonts w:eastAsia="Times New Roman" w:cs="Arial"/>
                <w:bCs w:val="0"/>
                <w:snapToGrid w:val="0"/>
              </w:rPr>
              <w:t xml:space="preserve">the </w:t>
            </w:r>
            <w:r w:rsidR="00BA245D">
              <w:rPr>
                <w:rFonts w:eastAsia="Times New Roman" w:cs="Arial"/>
                <w:bCs w:val="0"/>
                <w:snapToGrid w:val="0"/>
              </w:rPr>
              <w:t xml:space="preserve">PBS restrictions for ruxolitinib and </w:t>
            </w:r>
            <w:proofErr w:type="spellStart"/>
            <w:r w:rsidR="00BA245D">
              <w:rPr>
                <w:rFonts w:eastAsia="Times New Roman" w:cs="Arial"/>
                <w:bCs w:val="0"/>
                <w:snapToGrid w:val="0"/>
              </w:rPr>
              <w:t>momelotinib</w:t>
            </w:r>
            <w:proofErr w:type="spellEnd"/>
            <w:r w:rsidR="00BA245D">
              <w:rPr>
                <w:rFonts w:eastAsia="Times New Roman" w:cs="Arial"/>
                <w:bCs w:val="0"/>
                <w:snapToGrid w:val="0"/>
              </w:rPr>
              <w:t xml:space="preserve"> was proposed. </w:t>
            </w:r>
            <w:r w:rsidR="00B33DC0" w:rsidRPr="007E6F97">
              <w:t xml:space="preserve"> </w:t>
            </w:r>
          </w:p>
        </w:tc>
      </w:tr>
      <w:tr w:rsidR="00B33DC0" w:rsidRPr="00BB5AEB" w14:paraId="0BD342D5" w14:textId="77777777" w:rsidTr="00B153C7">
        <w:trPr>
          <w:cantSplit/>
        </w:trPr>
        <w:tc>
          <w:tcPr>
            <w:tcW w:w="3378" w:type="pct"/>
          </w:tcPr>
          <w:p w14:paraId="16F628FA" w14:textId="5872CA5F" w:rsidR="00B33DC0" w:rsidRPr="00F5012E" w:rsidRDefault="00B33DC0" w:rsidP="00E4253D">
            <w:pPr>
              <w:pStyle w:val="COMTabletext"/>
              <w:rPr>
                <w:rFonts w:eastAsia="Times New Roman" w:cs="Arial"/>
                <w:bCs w:val="0"/>
                <w:snapToGrid w:val="0"/>
              </w:rPr>
            </w:pPr>
            <w:r w:rsidRPr="003B5184">
              <w:rPr>
                <w:rFonts w:eastAsia="Times New Roman" w:cs="Arial"/>
                <w:bCs w:val="0"/>
                <w:snapToGrid w:val="0"/>
              </w:rPr>
              <w:t xml:space="preserve">The PBAC </w:t>
            </w:r>
            <w:r w:rsidRPr="00CC5F33">
              <w:rPr>
                <w:rFonts w:eastAsia="Times New Roman" w:cs="Arial"/>
                <w:bCs w:val="0"/>
                <w:snapToGrid w:val="0"/>
              </w:rPr>
              <w:t xml:space="preserve">noted the restrictions for fedratinib should consider the inclusion of both an initial and continuing treatment phase, similar to the current PBS restriction structure for ruxolitinib and </w:t>
            </w:r>
            <w:proofErr w:type="spellStart"/>
            <w:r w:rsidRPr="00CC5F33">
              <w:rPr>
                <w:rFonts w:eastAsia="Times New Roman" w:cs="Arial"/>
                <w:bCs w:val="0"/>
                <w:snapToGrid w:val="0"/>
              </w:rPr>
              <w:t>momelotinib</w:t>
            </w:r>
            <w:proofErr w:type="spellEnd"/>
            <w:r w:rsidR="00FC4B05" w:rsidRPr="00CC5F33">
              <w:rPr>
                <w:rFonts w:eastAsia="Times New Roman" w:cs="Arial"/>
                <w:bCs w:val="0"/>
                <w:snapToGrid w:val="0"/>
              </w:rPr>
              <w:t xml:space="preserve">; a criterion that the treatment must be sole PBS subsidised JAK inhibitor for the condition; include prescribing instructions to document the details of the patient’s medical records for the bone marrow biopsy report confirming diagnosis of myelofibrosis and risk classification based on IPSS, DIPSS or age-adjusted DIPSS (consistent with the listings of ruxolitinib and </w:t>
            </w:r>
            <w:proofErr w:type="spellStart"/>
            <w:r w:rsidR="00FC4B05" w:rsidRPr="00CC5F33">
              <w:rPr>
                <w:rFonts w:eastAsia="Times New Roman" w:cs="Arial"/>
                <w:bCs w:val="0"/>
                <w:snapToGrid w:val="0"/>
              </w:rPr>
              <w:t>momelotinib</w:t>
            </w:r>
            <w:proofErr w:type="spellEnd"/>
            <w:r w:rsidR="00FC4B05" w:rsidRPr="00CC5F33">
              <w:rPr>
                <w:rFonts w:eastAsia="Times New Roman" w:cs="Arial"/>
                <w:bCs w:val="0"/>
                <w:snapToGrid w:val="0"/>
              </w:rPr>
              <w:t>)</w:t>
            </w:r>
            <w:r w:rsidR="00F165B9" w:rsidRPr="00CC5F33">
              <w:rPr>
                <w:rFonts w:eastAsia="Times New Roman" w:cs="Arial"/>
                <w:bCs w:val="0"/>
                <w:snapToGrid w:val="0"/>
              </w:rPr>
              <w:t>; and should include a caution that thiamine levels must be monitored whilst on treatment, as per the approved</w:t>
            </w:r>
            <w:r w:rsidR="00F165B9" w:rsidRPr="007005F9">
              <w:rPr>
                <w:rFonts w:eastAsia="Times New Roman" w:cs="Arial"/>
                <w:bCs w:val="0"/>
                <w:snapToGrid w:val="0"/>
              </w:rPr>
              <w:t xml:space="preserve"> TGA boxed warning</w:t>
            </w:r>
            <w:r w:rsidR="00F165B9">
              <w:rPr>
                <w:rFonts w:eastAsia="Times New Roman" w:cs="Arial"/>
                <w:bCs w:val="0"/>
                <w:snapToGrid w:val="0"/>
              </w:rPr>
              <w:t xml:space="preserve"> </w:t>
            </w:r>
            <w:r w:rsidRPr="004D0A06">
              <w:rPr>
                <w:rFonts w:eastAsia="Times New Roman" w:cs="Arial"/>
                <w:bCs w:val="0"/>
                <w:snapToGrid w:val="0"/>
              </w:rPr>
              <w:t>(</w:t>
            </w:r>
            <w:r w:rsidR="00736DA2">
              <w:rPr>
                <w:rFonts w:eastAsia="Times New Roman" w:cs="Arial"/>
                <w:bCs w:val="0"/>
                <w:snapToGrid w:val="0"/>
              </w:rPr>
              <w:t>p</w:t>
            </w:r>
            <w:r w:rsidR="00736DA2" w:rsidRPr="004D0A06">
              <w:rPr>
                <w:rFonts w:eastAsia="Times New Roman" w:cs="Arial"/>
                <w:bCs w:val="0"/>
                <w:snapToGrid w:val="0"/>
              </w:rPr>
              <w:t xml:space="preserve">ara </w:t>
            </w:r>
            <w:r w:rsidRPr="004D0A06">
              <w:rPr>
                <w:rFonts w:eastAsia="Times New Roman" w:cs="Arial"/>
                <w:bCs w:val="0"/>
                <w:snapToGrid w:val="0"/>
              </w:rPr>
              <w:t>7.6, fedratinib PBAC minutes, May 2025 PBAC meeting).</w:t>
            </w:r>
          </w:p>
        </w:tc>
        <w:tc>
          <w:tcPr>
            <w:tcW w:w="1622" w:type="pct"/>
          </w:tcPr>
          <w:p w14:paraId="7C8EC2C7" w14:textId="62C1FF66" w:rsidR="00B33DC0" w:rsidRPr="007E6F97" w:rsidRDefault="00F165B9" w:rsidP="00E4253D">
            <w:pPr>
              <w:pStyle w:val="COMTabletext"/>
              <w:rPr>
                <w:rFonts w:eastAsia="Times New Roman" w:cs="Arial"/>
                <w:bCs w:val="0"/>
                <w:snapToGrid w:val="0"/>
              </w:rPr>
            </w:pPr>
            <w:r>
              <w:rPr>
                <w:rFonts w:eastAsia="Times New Roman" w:cs="Arial"/>
                <w:bCs w:val="0"/>
                <w:snapToGrid w:val="0"/>
              </w:rPr>
              <w:t xml:space="preserve">The proposed restriction addressed all the </w:t>
            </w:r>
            <w:r w:rsidR="00FD3C77">
              <w:rPr>
                <w:rFonts w:eastAsia="Times New Roman" w:cs="Arial"/>
                <w:bCs w:val="0"/>
                <w:snapToGrid w:val="0"/>
              </w:rPr>
              <w:t>issues identified by the PBAC.</w:t>
            </w:r>
          </w:p>
        </w:tc>
      </w:tr>
      <w:tr w:rsidR="00B33DC0" w:rsidRPr="00BB5AEB" w14:paraId="1AF8A5B3" w14:textId="77777777" w:rsidTr="00B153C7">
        <w:trPr>
          <w:cantSplit/>
        </w:trPr>
        <w:tc>
          <w:tcPr>
            <w:tcW w:w="3378" w:type="pct"/>
          </w:tcPr>
          <w:p w14:paraId="717060F9" w14:textId="77777777" w:rsidR="00B33DC0" w:rsidRPr="00C474CA" w:rsidRDefault="00B33DC0" w:rsidP="00E4253D">
            <w:pPr>
              <w:pStyle w:val="COMTabletext"/>
              <w:rPr>
                <w:rFonts w:eastAsia="Times New Roman" w:cs="Arial"/>
                <w:b/>
                <w:snapToGrid w:val="0"/>
                <w:color w:val="0066FF"/>
              </w:rPr>
            </w:pPr>
            <w:bookmarkStart w:id="9" w:name="_Hlk207199756"/>
            <w:r w:rsidRPr="00C474CA">
              <w:rPr>
                <w:rFonts w:eastAsia="Times New Roman" w:cs="Arial"/>
                <w:b/>
                <w:snapToGrid w:val="0"/>
              </w:rPr>
              <w:t xml:space="preserve">Clinical evidence </w:t>
            </w:r>
          </w:p>
        </w:tc>
        <w:tc>
          <w:tcPr>
            <w:tcW w:w="1622" w:type="pct"/>
          </w:tcPr>
          <w:p w14:paraId="7F452711" w14:textId="77777777" w:rsidR="00B33DC0" w:rsidRPr="00BB5AEB" w:rsidRDefault="00B33DC0" w:rsidP="00E4253D">
            <w:pPr>
              <w:pStyle w:val="COMTabletext"/>
              <w:rPr>
                <w:rFonts w:eastAsia="Times New Roman" w:cs="Arial"/>
                <w:bCs w:val="0"/>
                <w:snapToGrid w:val="0"/>
                <w:color w:val="0066FF"/>
              </w:rPr>
            </w:pPr>
          </w:p>
        </w:tc>
      </w:tr>
      <w:tr w:rsidR="00B33DC0" w:rsidRPr="00BB5AEB" w14:paraId="412C1288" w14:textId="77777777" w:rsidTr="00B153C7">
        <w:trPr>
          <w:cantSplit/>
        </w:trPr>
        <w:tc>
          <w:tcPr>
            <w:tcW w:w="3378" w:type="pct"/>
          </w:tcPr>
          <w:p w14:paraId="4FF97481" w14:textId="5C488B91" w:rsidR="00B33DC0" w:rsidRPr="009544BA" w:rsidRDefault="0003139F" w:rsidP="00E4253D">
            <w:pPr>
              <w:pStyle w:val="COMTabletext"/>
              <w:rPr>
                <w:rFonts w:eastAsia="Times New Roman" w:cs="Arial"/>
                <w:bCs w:val="0"/>
                <w:snapToGrid w:val="0"/>
              </w:rPr>
            </w:pPr>
            <w:r>
              <w:rPr>
                <w:rFonts w:eastAsia="Times New Roman" w:cs="Arial"/>
                <w:bCs w:val="0"/>
                <w:snapToGrid w:val="0"/>
              </w:rPr>
              <w:t xml:space="preserve">The </w:t>
            </w:r>
            <w:r w:rsidR="00B33DC0" w:rsidRPr="009544BA">
              <w:rPr>
                <w:rFonts w:eastAsia="Times New Roman" w:cs="Arial"/>
                <w:bCs w:val="0"/>
                <w:snapToGrid w:val="0"/>
              </w:rPr>
              <w:t>PBAC considered overall the evidence supports a conclusion that fedratinib is effective in myelofibrosis in the requested population. However, the PBAC considered there is a lack of long-term comparative efficacy and safety data for fedratinib in this setting (</w:t>
            </w:r>
            <w:r w:rsidR="00736DA2">
              <w:rPr>
                <w:rFonts w:eastAsia="Times New Roman" w:cs="Arial"/>
                <w:bCs w:val="0"/>
                <w:snapToGrid w:val="0"/>
              </w:rPr>
              <w:t>p</w:t>
            </w:r>
            <w:r w:rsidR="00736DA2" w:rsidRPr="009544BA">
              <w:rPr>
                <w:rFonts w:eastAsia="Times New Roman" w:cs="Arial"/>
                <w:bCs w:val="0"/>
                <w:snapToGrid w:val="0"/>
              </w:rPr>
              <w:t xml:space="preserve">ara </w:t>
            </w:r>
            <w:r w:rsidR="00B33DC0" w:rsidRPr="009544BA">
              <w:rPr>
                <w:rFonts w:eastAsia="Times New Roman" w:cs="Arial"/>
                <w:bCs w:val="0"/>
                <w:snapToGrid w:val="0"/>
              </w:rPr>
              <w:t>7.6, fedratinib PBAC minutes, May 2025 PBAC meeting).</w:t>
            </w:r>
          </w:p>
        </w:tc>
        <w:tc>
          <w:tcPr>
            <w:tcW w:w="1622" w:type="pct"/>
          </w:tcPr>
          <w:p w14:paraId="2FF766B6" w14:textId="77777777" w:rsidR="00B33DC0" w:rsidRPr="009544BA" w:rsidRDefault="00B33DC0" w:rsidP="00E4253D">
            <w:pPr>
              <w:pStyle w:val="COMTabletext"/>
              <w:rPr>
                <w:rFonts w:eastAsia="Times New Roman" w:cs="Arial"/>
                <w:bCs w:val="0"/>
                <w:snapToGrid w:val="0"/>
              </w:rPr>
            </w:pPr>
            <w:r w:rsidRPr="009544BA">
              <w:rPr>
                <w:rFonts w:eastAsia="Times New Roman" w:cs="Arial"/>
                <w:bCs w:val="0"/>
                <w:snapToGrid w:val="0"/>
              </w:rPr>
              <w:t>The lack of long-term comparative efficacy and safety data was not addressed in the resubmission</w:t>
            </w:r>
            <w:r>
              <w:rPr>
                <w:rFonts w:eastAsia="Times New Roman" w:cs="Arial"/>
                <w:bCs w:val="0"/>
                <w:snapToGrid w:val="0"/>
              </w:rPr>
              <w:t>.</w:t>
            </w:r>
          </w:p>
        </w:tc>
      </w:tr>
      <w:tr w:rsidR="00A82A87" w:rsidRPr="00BB5AEB" w14:paraId="5A7617B8" w14:textId="77777777" w:rsidTr="00B153C7">
        <w:trPr>
          <w:cantSplit/>
        </w:trPr>
        <w:tc>
          <w:tcPr>
            <w:tcW w:w="3378" w:type="pct"/>
          </w:tcPr>
          <w:p w14:paraId="4C98A973" w14:textId="28E1EABD" w:rsidR="00A82A87" w:rsidRPr="009544BA" w:rsidRDefault="007D156E" w:rsidP="00E4253D">
            <w:pPr>
              <w:pStyle w:val="COMTabletext"/>
              <w:rPr>
                <w:rFonts w:eastAsia="Times New Roman" w:cs="Arial"/>
                <w:bCs w:val="0"/>
                <w:snapToGrid w:val="0"/>
              </w:rPr>
            </w:pPr>
            <w:r>
              <w:rPr>
                <w:rFonts w:eastAsia="Times New Roman" w:cs="Arial"/>
                <w:bCs w:val="0"/>
                <w:snapToGrid w:val="0"/>
              </w:rPr>
              <w:t xml:space="preserve">The PBAC considered that, if </w:t>
            </w:r>
            <w:r w:rsidR="00A82A87">
              <w:rPr>
                <w:rFonts w:eastAsia="Times New Roman" w:cs="Arial"/>
                <w:bCs w:val="0"/>
                <w:snapToGrid w:val="0"/>
              </w:rPr>
              <w:t xml:space="preserve">a first-line or line agnostic listing is sought, a new submission </w:t>
            </w:r>
            <w:r w:rsidR="00A864C9">
              <w:rPr>
                <w:rFonts w:eastAsia="Times New Roman" w:cs="Arial"/>
                <w:bCs w:val="0"/>
                <w:snapToGrid w:val="0"/>
              </w:rPr>
              <w:t xml:space="preserve">should be </w:t>
            </w:r>
            <w:r w:rsidR="00A82A87">
              <w:rPr>
                <w:rFonts w:eastAsia="Times New Roman" w:cs="Arial"/>
                <w:bCs w:val="0"/>
                <w:snapToGrid w:val="0"/>
              </w:rPr>
              <w:t xml:space="preserve">based primarily on the </w:t>
            </w:r>
            <w:r>
              <w:rPr>
                <w:rFonts w:eastAsia="Times New Roman" w:cs="Arial"/>
                <w:bCs w:val="0"/>
                <w:snapToGrid w:val="0"/>
              </w:rPr>
              <w:t>first</w:t>
            </w:r>
            <w:r w:rsidR="00A82A87">
              <w:rPr>
                <w:rFonts w:eastAsia="Times New Roman" w:cs="Arial"/>
                <w:bCs w:val="0"/>
                <w:snapToGrid w:val="0"/>
              </w:rPr>
              <w:t xml:space="preserve"> line evidence from the JAKARTA trial (with the FREEDOM-2 evidence supportive of use in later line therapy and in patients who are intolerant or who do not respond/lose response to </w:t>
            </w:r>
            <w:r w:rsidR="00531CDD">
              <w:rPr>
                <w:rFonts w:eastAsia="Times New Roman" w:cs="Arial"/>
                <w:bCs w:val="0"/>
                <w:snapToGrid w:val="0"/>
              </w:rPr>
              <w:t>ruxolitinib</w:t>
            </w:r>
            <w:r w:rsidR="00A03F81">
              <w:rPr>
                <w:rFonts w:eastAsia="Times New Roman" w:cs="Arial"/>
                <w:bCs w:val="0"/>
                <w:snapToGrid w:val="0"/>
              </w:rPr>
              <w:t>)</w:t>
            </w:r>
            <w:r w:rsidR="00531CDD">
              <w:rPr>
                <w:rFonts w:eastAsia="Times New Roman" w:cs="Arial"/>
                <w:bCs w:val="0"/>
                <w:snapToGrid w:val="0"/>
              </w:rPr>
              <w:t xml:space="preserve"> (para 7.13, fedratinib PBAC minutes, May 2025 PBAC meeting).</w:t>
            </w:r>
          </w:p>
        </w:tc>
        <w:tc>
          <w:tcPr>
            <w:tcW w:w="1622" w:type="pct"/>
          </w:tcPr>
          <w:p w14:paraId="17A9718E" w14:textId="1B346848" w:rsidR="00A82A87" w:rsidRPr="009544BA" w:rsidRDefault="00531CDD" w:rsidP="00E4253D">
            <w:pPr>
              <w:pStyle w:val="COMTabletext"/>
              <w:rPr>
                <w:rFonts w:eastAsia="Times New Roman" w:cs="Arial"/>
                <w:bCs w:val="0"/>
                <w:snapToGrid w:val="0"/>
              </w:rPr>
            </w:pPr>
            <w:r>
              <w:rPr>
                <w:rFonts w:eastAsia="Times New Roman" w:cs="Arial"/>
                <w:bCs w:val="0"/>
                <w:snapToGrid w:val="0"/>
              </w:rPr>
              <w:t>The resubmission was based primarily on evidence from the JAKARTA trial.</w:t>
            </w:r>
          </w:p>
        </w:tc>
      </w:tr>
      <w:tr w:rsidR="00B33DC0" w:rsidRPr="00BB5AEB" w14:paraId="45C5DF2C" w14:textId="77777777" w:rsidTr="00B153C7">
        <w:trPr>
          <w:cantSplit/>
        </w:trPr>
        <w:tc>
          <w:tcPr>
            <w:tcW w:w="3378" w:type="pct"/>
          </w:tcPr>
          <w:p w14:paraId="52CFD102" w14:textId="77777777" w:rsidR="00B33DC0" w:rsidRPr="00867250" w:rsidRDefault="00B33DC0" w:rsidP="00E4253D">
            <w:pPr>
              <w:pStyle w:val="COMTabletext"/>
              <w:rPr>
                <w:rFonts w:eastAsia="Times New Roman" w:cs="Arial"/>
                <w:b/>
                <w:snapToGrid w:val="0"/>
              </w:rPr>
            </w:pPr>
            <w:r w:rsidRPr="00867250">
              <w:rPr>
                <w:rFonts w:eastAsia="Times New Roman" w:cs="Arial"/>
                <w:b/>
                <w:snapToGrid w:val="0"/>
              </w:rPr>
              <w:t xml:space="preserve">Economic Issues </w:t>
            </w:r>
          </w:p>
        </w:tc>
        <w:tc>
          <w:tcPr>
            <w:tcW w:w="1622" w:type="pct"/>
          </w:tcPr>
          <w:p w14:paraId="09921F42" w14:textId="77777777" w:rsidR="00B33DC0" w:rsidRPr="009544BA" w:rsidRDefault="00B33DC0" w:rsidP="00E4253D">
            <w:pPr>
              <w:pStyle w:val="COMTabletext"/>
              <w:rPr>
                <w:rFonts w:eastAsia="Times New Roman" w:cs="Arial"/>
                <w:bCs w:val="0"/>
                <w:snapToGrid w:val="0"/>
              </w:rPr>
            </w:pPr>
          </w:p>
        </w:tc>
      </w:tr>
      <w:tr w:rsidR="00B33DC0" w:rsidRPr="00BB5AEB" w14:paraId="7602E74D" w14:textId="77777777" w:rsidTr="00B153C7">
        <w:trPr>
          <w:cantSplit/>
        </w:trPr>
        <w:tc>
          <w:tcPr>
            <w:tcW w:w="3378" w:type="pct"/>
          </w:tcPr>
          <w:p w14:paraId="3BD553A6" w14:textId="260229B7" w:rsidR="00B33DC0" w:rsidRPr="009544BA" w:rsidRDefault="00824AB3" w:rsidP="00E4253D">
            <w:pPr>
              <w:pStyle w:val="COMTabletext"/>
              <w:rPr>
                <w:rFonts w:eastAsia="Times New Roman" w:cs="Arial"/>
                <w:bCs w:val="0"/>
                <w:snapToGrid w:val="0"/>
              </w:rPr>
            </w:pPr>
            <w:r w:rsidRPr="00824AB3">
              <w:rPr>
                <w:rFonts w:eastAsia="Times New Roman" w:cs="Arial"/>
                <w:bCs w:val="0"/>
                <w:snapToGrid w:val="0"/>
              </w:rPr>
              <w:t xml:space="preserve">Overall, the </w:t>
            </w:r>
            <w:r w:rsidR="0082571F">
              <w:rPr>
                <w:rFonts w:eastAsia="Times New Roman" w:cs="Arial"/>
                <w:bCs w:val="0"/>
                <w:snapToGrid w:val="0"/>
              </w:rPr>
              <w:t>PBAC</w:t>
            </w:r>
            <w:r w:rsidR="0082571F" w:rsidRPr="00824AB3">
              <w:rPr>
                <w:rFonts w:eastAsia="Times New Roman" w:cs="Arial"/>
                <w:bCs w:val="0"/>
                <w:snapToGrid w:val="0"/>
              </w:rPr>
              <w:t xml:space="preserve"> </w:t>
            </w:r>
            <w:r w:rsidRPr="00824AB3">
              <w:rPr>
                <w:rFonts w:eastAsia="Times New Roman" w:cs="Arial"/>
                <w:bCs w:val="0"/>
                <w:snapToGrid w:val="0"/>
              </w:rPr>
              <w:t>considered the approach of a line agnostic listing on a cost</w:t>
            </w:r>
            <w:r>
              <w:rPr>
                <w:rFonts w:eastAsia="Times New Roman" w:cs="Arial"/>
                <w:bCs w:val="0"/>
                <w:snapToGrid w:val="0"/>
              </w:rPr>
              <w:t>-</w:t>
            </w:r>
            <w:r w:rsidRPr="00824AB3">
              <w:rPr>
                <w:rFonts w:eastAsia="Times New Roman" w:cs="Arial"/>
                <w:bCs w:val="0"/>
                <w:snapToGrid w:val="0"/>
              </w:rPr>
              <w:t>minimisation basis with ruxolitinib may be reasonable</w:t>
            </w:r>
            <w:r>
              <w:rPr>
                <w:rFonts w:eastAsia="Times New Roman" w:cs="Arial"/>
                <w:bCs w:val="0"/>
                <w:snapToGrid w:val="0"/>
              </w:rPr>
              <w:t xml:space="preserve"> (para 7.3, fedratinib PBAC minutes, May 2025 PBAC meeting)</w:t>
            </w:r>
            <w:r w:rsidRPr="00C25F3C">
              <w:rPr>
                <w:rFonts w:eastAsia="Times New Roman" w:cs="Arial"/>
                <w:bCs w:val="0"/>
                <w:snapToGrid w:val="0"/>
              </w:rPr>
              <w:t>.</w:t>
            </w:r>
          </w:p>
        </w:tc>
        <w:tc>
          <w:tcPr>
            <w:tcW w:w="1622" w:type="pct"/>
          </w:tcPr>
          <w:p w14:paraId="01F6D981" w14:textId="12493E13" w:rsidR="00B33DC0" w:rsidRPr="009544BA" w:rsidRDefault="00824AB3" w:rsidP="00E4253D">
            <w:pPr>
              <w:pStyle w:val="COMTabletext"/>
              <w:rPr>
                <w:rFonts w:eastAsia="Times New Roman" w:cs="Arial"/>
                <w:bCs w:val="0"/>
                <w:snapToGrid w:val="0"/>
              </w:rPr>
            </w:pPr>
            <w:r>
              <w:rPr>
                <w:rFonts w:eastAsia="Times New Roman" w:cs="Arial"/>
                <w:bCs w:val="0"/>
                <w:snapToGrid w:val="0"/>
              </w:rPr>
              <w:t>The resubmission requested a line agnostic listing on a cost-minimisation basis with ruxolitinib.</w:t>
            </w:r>
          </w:p>
        </w:tc>
      </w:tr>
      <w:tr w:rsidR="00B33DC0" w:rsidRPr="00BB5AEB" w14:paraId="3CCE7091" w14:textId="77777777" w:rsidTr="00B153C7">
        <w:trPr>
          <w:cantSplit/>
        </w:trPr>
        <w:tc>
          <w:tcPr>
            <w:tcW w:w="3378" w:type="pct"/>
          </w:tcPr>
          <w:p w14:paraId="4E19E43C" w14:textId="77777777" w:rsidR="00B33DC0" w:rsidRPr="00790442" w:rsidRDefault="00B33DC0" w:rsidP="00E4253D">
            <w:pPr>
              <w:pStyle w:val="COMTabletext"/>
              <w:rPr>
                <w:rFonts w:eastAsia="Times New Roman" w:cs="Arial"/>
                <w:b/>
                <w:snapToGrid w:val="0"/>
                <w:color w:val="0066FF"/>
              </w:rPr>
            </w:pPr>
            <w:r w:rsidRPr="00790442">
              <w:rPr>
                <w:rFonts w:eastAsia="Times New Roman" w:cs="Arial"/>
                <w:b/>
                <w:snapToGrid w:val="0"/>
              </w:rPr>
              <w:t>Financial Issues</w:t>
            </w:r>
          </w:p>
        </w:tc>
        <w:tc>
          <w:tcPr>
            <w:tcW w:w="1622" w:type="pct"/>
          </w:tcPr>
          <w:p w14:paraId="5255B35A" w14:textId="77777777" w:rsidR="00B33DC0" w:rsidRPr="00BB5AEB" w:rsidRDefault="00B33DC0" w:rsidP="00E4253D">
            <w:pPr>
              <w:pStyle w:val="COMTabletext"/>
              <w:rPr>
                <w:rFonts w:eastAsia="Times New Roman" w:cs="Arial"/>
                <w:bCs w:val="0"/>
                <w:snapToGrid w:val="0"/>
                <w:color w:val="0066FF"/>
              </w:rPr>
            </w:pPr>
          </w:p>
        </w:tc>
      </w:tr>
      <w:bookmarkEnd w:id="9"/>
      <w:tr w:rsidR="00B33DC0" w:rsidRPr="00BB5AEB" w14:paraId="08EAAAC8" w14:textId="77777777" w:rsidTr="00B153C7">
        <w:trPr>
          <w:cantSplit/>
        </w:trPr>
        <w:tc>
          <w:tcPr>
            <w:tcW w:w="3378" w:type="pct"/>
          </w:tcPr>
          <w:p w14:paraId="56C14197" w14:textId="6CCB48D0" w:rsidR="00B33DC0" w:rsidRPr="00BB5AEB" w:rsidRDefault="00B33DC0" w:rsidP="00E4253D">
            <w:pPr>
              <w:pStyle w:val="COMTabletext"/>
              <w:rPr>
                <w:rFonts w:eastAsia="Times New Roman" w:cs="Arial"/>
                <w:bCs w:val="0"/>
                <w:snapToGrid w:val="0"/>
                <w:color w:val="0066FF"/>
              </w:rPr>
            </w:pPr>
            <w:r w:rsidRPr="00D24927">
              <w:rPr>
                <w:rFonts w:eastAsia="Times New Roman" w:cs="Arial"/>
                <w:bCs w:val="0"/>
                <w:snapToGrid w:val="0"/>
              </w:rPr>
              <w:t xml:space="preserve">The PBAC considered the </w:t>
            </w:r>
            <w:r w:rsidRPr="00F61A3A">
              <w:rPr>
                <w:rFonts w:eastAsia="Times New Roman" w:cs="Arial"/>
                <w:bCs w:val="0"/>
                <w:snapToGrid w:val="0"/>
              </w:rPr>
              <w:t xml:space="preserve">market share </w:t>
            </w:r>
            <w:r w:rsidRPr="00D24927">
              <w:rPr>
                <w:rFonts w:eastAsia="Times New Roman" w:cs="Arial"/>
                <w:bCs w:val="0"/>
                <w:snapToGrid w:val="0"/>
              </w:rPr>
              <w:t xml:space="preserve">approach underestimated the market, as it failed to account for market expansion with the recent PBS listing of </w:t>
            </w:r>
            <w:proofErr w:type="spellStart"/>
            <w:r w:rsidRPr="00D24927">
              <w:rPr>
                <w:rFonts w:eastAsia="Times New Roman" w:cs="Arial"/>
                <w:bCs w:val="0"/>
                <w:snapToGrid w:val="0"/>
              </w:rPr>
              <w:t>momelotinib</w:t>
            </w:r>
            <w:proofErr w:type="spellEnd"/>
            <w:r w:rsidRPr="00D24927">
              <w:rPr>
                <w:rFonts w:eastAsia="Times New Roman" w:cs="Arial"/>
                <w:bCs w:val="0"/>
                <w:snapToGrid w:val="0"/>
              </w:rPr>
              <w:t xml:space="preserve"> and utilisation of non-JAK-inhibitor therapies</w:t>
            </w:r>
            <w:r w:rsidR="001E039C">
              <w:rPr>
                <w:rFonts w:eastAsia="Times New Roman" w:cs="Arial"/>
                <w:bCs w:val="0"/>
                <w:snapToGrid w:val="0"/>
              </w:rPr>
              <w:t xml:space="preserve"> </w:t>
            </w:r>
            <w:r w:rsidRPr="00503C09">
              <w:rPr>
                <w:rFonts w:eastAsia="Times New Roman" w:cs="Arial"/>
                <w:bCs w:val="0"/>
                <w:snapToGrid w:val="0"/>
              </w:rPr>
              <w:t>(</w:t>
            </w:r>
            <w:r w:rsidR="00736DA2">
              <w:rPr>
                <w:rFonts w:eastAsia="Times New Roman" w:cs="Arial"/>
                <w:bCs w:val="0"/>
                <w:snapToGrid w:val="0"/>
              </w:rPr>
              <w:t>p</w:t>
            </w:r>
            <w:r w:rsidR="00736DA2" w:rsidRPr="00503C09">
              <w:rPr>
                <w:rFonts w:eastAsia="Times New Roman" w:cs="Arial"/>
                <w:bCs w:val="0"/>
                <w:snapToGrid w:val="0"/>
              </w:rPr>
              <w:t xml:space="preserve">ara </w:t>
            </w:r>
            <w:r w:rsidRPr="00503C09">
              <w:rPr>
                <w:rFonts w:eastAsia="Times New Roman" w:cs="Arial"/>
                <w:bCs w:val="0"/>
                <w:snapToGrid w:val="0"/>
              </w:rPr>
              <w:t>7.</w:t>
            </w:r>
            <w:r>
              <w:rPr>
                <w:rFonts w:eastAsia="Times New Roman" w:cs="Arial"/>
                <w:bCs w:val="0"/>
                <w:snapToGrid w:val="0"/>
              </w:rPr>
              <w:t>12</w:t>
            </w:r>
            <w:r w:rsidRPr="00503C09">
              <w:rPr>
                <w:rFonts w:eastAsia="Times New Roman" w:cs="Arial"/>
                <w:bCs w:val="0"/>
                <w:snapToGrid w:val="0"/>
              </w:rPr>
              <w:t>, fedratinib PBAC minutes, May 2025 PBAC meeting).</w:t>
            </w:r>
          </w:p>
        </w:tc>
        <w:tc>
          <w:tcPr>
            <w:tcW w:w="1622" w:type="pct"/>
          </w:tcPr>
          <w:p w14:paraId="4EFE32AB" w14:textId="46880743" w:rsidR="00B33DC0" w:rsidRPr="00BB5AEB" w:rsidRDefault="00B96085" w:rsidP="00E4253D">
            <w:pPr>
              <w:pStyle w:val="COMTabletext"/>
              <w:rPr>
                <w:rFonts w:eastAsia="Times New Roman" w:cs="Arial"/>
                <w:bCs w:val="0"/>
                <w:snapToGrid w:val="0"/>
                <w:color w:val="0066FF"/>
              </w:rPr>
            </w:pPr>
            <w:r>
              <w:rPr>
                <w:rFonts w:eastAsia="Times New Roman" w:cs="Arial"/>
                <w:bCs w:val="0"/>
                <w:snapToGrid w:val="0"/>
              </w:rPr>
              <w:t xml:space="preserve">The resubmission did not account for the potential market expansion associated with the recent PBS listing of </w:t>
            </w:r>
            <w:proofErr w:type="spellStart"/>
            <w:r>
              <w:rPr>
                <w:rFonts w:eastAsia="Times New Roman" w:cs="Arial"/>
                <w:bCs w:val="0"/>
                <w:snapToGrid w:val="0"/>
              </w:rPr>
              <w:t>momelotinib</w:t>
            </w:r>
            <w:proofErr w:type="spellEnd"/>
            <w:r w:rsidR="00353498">
              <w:rPr>
                <w:rFonts w:eastAsia="Times New Roman" w:cs="Arial"/>
                <w:bCs w:val="0"/>
                <w:snapToGrid w:val="0"/>
              </w:rPr>
              <w:t xml:space="preserve"> or utilisation of non-JAK inhibitor therapies</w:t>
            </w:r>
            <w:r w:rsidR="00B33DC0">
              <w:rPr>
                <w:rFonts w:eastAsia="Times New Roman" w:cs="Arial"/>
                <w:bCs w:val="0"/>
                <w:snapToGrid w:val="0"/>
              </w:rPr>
              <w:t>.</w:t>
            </w:r>
          </w:p>
        </w:tc>
      </w:tr>
    </w:tbl>
    <w:p w14:paraId="0813806A" w14:textId="77777777" w:rsidR="001A5407" w:rsidRDefault="001A5407" w:rsidP="00E4253D">
      <w:pPr>
        <w:pStyle w:val="COMTablefooter"/>
        <w:keepNext/>
        <w:keepLines/>
        <w:rPr>
          <w:rFonts w:eastAsiaTheme="majorEastAsia"/>
        </w:rPr>
      </w:pPr>
      <w:bookmarkStart w:id="10" w:name="_Toc107902078"/>
      <w:bookmarkEnd w:id="10"/>
      <w:r w:rsidRPr="002F153B">
        <w:rPr>
          <w:rFonts w:eastAsiaTheme="majorEastAsia"/>
        </w:rPr>
        <w:t>Source: Fedratinib PBAC minutes, May 2025 PBAC meeting; Sections 1-4 of the resubmission</w:t>
      </w:r>
      <w:r>
        <w:rPr>
          <w:rFonts w:eastAsiaTheme="majorEastAsia"/>
        </w:rPr>
        <w:t>.</w:t>
      </w:r>
    </w:p>
    <w:p w14:paraId="392F85CE" w14:textId="53354F43" w:rsidR="00947AC6" w:rsidRPr="00107546" w:rsidRDefault="00947AC6" w:rsidP="00E4253D">
      <w:pPr>
        <w:pStyle w:val="COMTablefooter"/>
        <w:keepNext/>
        <w:keepLines/>
        <w:rPr>
          <w:rFonts w:eastAsiaTheme="majorEastAsia"/>
        </w:rPr>
      </w:pPr>
      <w:r>
        <w:rPr>
          <w:rFonts w:eastAsiaTheme="majorEastAsia"/>
        </w:rPr>
        <w:t>Abbreviations:</w:t>
      </w:r>
      <w:r w:rsidR="00D60F4D">
        <w:rPr>
          <w:rFonts w:eastAsiaTheme="majorEastAsia"/>
        </w:rPr>
        <w:t xml:space="preserve"> DIPSS, </w:t>
      </w:r>
      <w:r w:rsidR="00525663" w:rsidRPr="00525663">
        <w:rPr>
          <w:rFonts w:eastAsiaTheme="majorEastAsia"/>
        </w:rPr>
        <w:t>Dynamic International Prognostic Scoring System</w:t>
      </w:r>
      <w:r w:rsidR="00D60F4D">
        <w:rPr>
          <w:rFonts w:eastAsiaTheme="majorEastAsia"/>
        </w:rPr>
        <w:t xml:space="preserve">; IPSS, </w:t>
      </w:r>
      <w:r w:rsidR="00525663" w:rsidRPr="00525663">
        <w:rPr>
          <w:rFonts w:eastAsiaTheme="majorEastAsia"/>
        </w:rPr>
        <w:t>International Prognostic Scoring System</w:t>
      </w:r>
      <w:r w:rsidR="00525663">
        <w:rPr>
          <w:rFonts w:eastAsiaTheme="majorEastAsia"/>
        </w:rPr>
        <w:t>;</w:t>
      </w:r>
      <w:r w:rsidR="00D60F4D">
        <w:rPr>
          <w:rFonts w:eastAsiaTheme="majorEastAsia"/>
        </w:rPr>
        <w:t xml:space="preserve"> JAK, Janus kinase;</w:t>
      </w:r>
      <w:r>
        <w:rPr>
          <w:rFonts w:eastAsiaTheme="majorEastAsia"/>
        </w:rPr>
        <w:t xml:space="preserve"> para, paragraph</w:t>
      </w:r>
      <w:r w:rsidR="00525663">
        <w:rPr>
          <w:rFonts w:eastAsiaTheme="majorEastAsia"/>
        </w:rPr>
        <w:t>.</w:t>
      </w:r>
      <w:r>
        <w:rPr>
          <w:rFonts w:eastAsiaTheme="majorEastAsia"/>
        </w:rPr>
        <w:t xml:space="preserve"> </w:t>
      </w:r>
    </w:p>
    <w:p w14:paraId="76E4EF3C" w14:textId="13040F70" w:rsidR="00B60939" w:rsidRDefault="00B50DB8" w:rsidP="004E18E9">
      <w:pPr>
        <w:pStyle w:val="COMESH2"/>
      </w:pPr>
      <w:bookmarkStart w:id="11" w:name="_Toc209002711"/>
      <w:r w:rsidRPr="0098262F">
        <w:t>Requested listing</w:t>
      </w:r>
      <w:bookmarkEnd w:id="11"/>
    </w:p>
    <w:p w14:paraId="435BF9E7" w14:textId="475C90D0" w:rsidR="00D20EED" w:rsidRDefault="00177E0D" w:rsidP="00D20EED">
      <w:pPr>
        <w:pStyle w:val="COMESnumberedpara"/>
      </w:pPr>
      <w:r w:rsidRPr="00177E0D">
        <w:t>Secretariat suggestions and additions proposed are shown in italics and deletions are in strikethrough.</w:t>
      </w:r>
    </w:p>
    <w:p w14:paraId="54E22D8F" w14:textId="77777777" w:rsidR="00A8140F" w:rsidRDefault="00A8140F">
      <w:pPr>
        <w:jc w:val="left"/>
        <w:rPr>
          <w:rFonts w:ascii="Arial Narrow" w:hAnsi="Arial Narrow"/>
          <w:iCs/>
        </w:rPr>
      </w:pPr>
      <w:r>
        <w:rPr>
          <w:rFonts w:ascii="Arial Narrow" w:hAnsi="Arial Narrow"/>
          <w:iCs/>
        </w:rPr>
        <w:br w:type="page"/>
      </w:r>
    </w:p>
    <w:p w14:paraId="5C3A91A1" w14:textId="4196E529" w:rsidR="005E7BE6" w:rsidRPr="001E53A5" w:rsidRDefault="005E7BE6" w:rsidP="005E7BE6">
      <w:pPr>
        <w:spacing w:after="120"/>
        <w:rPr>
          <w:rFonts w:ascii="Arial Narrow" w:hAnsi="Arial Narrow"/>
          <w:iCs/>
        </w:rPr>
      </w:pPr>
      <w:r w:rsidRPr="00247F47">
        <w:rPr>
          <w:rFonts w:ascii="Arial Narrow" w:hAnsi="Arial Narrow"/>
          <w:iCs/>
        </w:rPr>
        <w:lastRenderedPageBreak/>
        <w:t>High-risk and intermediate-2 risk myelofibrosis</w:t>
      </w:r>
    </w:p>
    <w:p w14:paraId="4DF1A59A" w14:textId="77777777" w:rsidR="005E7BE6" w:rsidRPr="001E53A5" w:rsidRDefault="005E7BE6" w:rsidP="005E7BE6">
      <w:pPr>
        <w:spacing w:after="120"/>
        <w:rPr>
          <w:rFonts w:ascii="Arial Narrow" w:hAnsi="Arial Narrow" w:cstheme="minorHAnsi"/>
        </w:rPr>
      </w:pPr>
      <w:r w:rsidRPr="001E53A5">
        <w:rPr>
          <w:rFonts w:ascii="Arial Narrow" w:hAnsi="Arial Narrow"/>
          <w:iCs/>
        </w:rPr>
        <w:t>Initial/Continuing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
      </w:tblPr>
      <w:tblGrid>
        <w:gridCol w:w="489"/>
        <w:gridCol w:w="785"/>
        <w:gridCol w:w="1306"/>
        <w:gridCol w:w="2240"/>
        <w:gridCol w:w="739"/>
        <w:gridCol w:w="814"/>
        <w:gridCol w:w="817"/>
        <w:gridCol w:w="1832"/>
      </w:tblGrid>
      <w:tr w:rsidR="005E7BE6" w:rsidRPr="00247F47" w14:paraId="635669A0" w14:textId="77777777">
        <w:trPr>
          <w:cantSplit/>
          <w:trHeight w:val="20"/>
        </w:trPr>
        <w:tc>
          <w:tcPr>
            <w:tcW w:w="2579" w:type="dxa"/>
            <w:gridSpan w:val="3"/>
            <w:tcBorders>
              <w:top w:val="single" w:sz="4" w:space="0" w:color="auto"/>
              <w:left w:val="single" w:sz="4" w:space="0" w:color="auto"/>
              <w:bottom w:val="single" w:sz="4" w:space="0" w:color="auto"/>
              <w:right w:val="single" w:sz="4" w:space="0" w:color="auto"/>
            </w:tcBorders>
            <w:vAlign w:val="center"/>
            <w:hideMark/>
          </w:tcPr>
          <w:p w14:paraId="4A6AF629"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w:t>
            </w:r>
          </w:p>
          <w:p w14:paraId="04726E58"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4FFEB94" w14:textId="77777777" w:rsidR="005E7BE6" w:rsidRPr="00247F47" w:rsidRDefault="005E7BE6">
            <w:pPr>
              <w:keepNext/>
              <w:jc w:val="center"/>
              <w:rPr>
                <w:rFonts w:ascii="Arial Narrow" w:eastAsia="MS Gothic" w:hAnsi="Arial Narrow"/>
                <w:b/>
                <w:iCs/>
                <w:sz w:val="20"/>
              </w:rPr>
            </w:pPr>
            <w:r w:rsidRPr="00247F47">
              <w:rPr>
                <w:rFonts w:ascii="Arial Narrow" w:eastAsia="MS Gothic" w:hAnsi="Arial Narrow"/>
                <w:b/>
                <w:iCs/>
                <w:sz w:val="20"/>
              </w:rPr>
              <w:t>Dispensed Price for Max. Qty</w:t>
            </w:r>
          </w:p>
        </w:tc>
        <w:tc>
          <w:tcPr>
            <w:tcW w:w="739" w:type="dxa"/>
            <w:tcBorders>
              <w:top w:val="single" w:sz="4" w:space="0" w:color="auto"/>
              <w:left w:val="single" w:sz="4" w:space="0" w:color="auto"/>
              <w:bottom w:val="single" w:sz="4" w:space="0" w:color="auto"/>
              <w:right w:val="single" w:sz="4" w:space="0" w:color="auto"/>
            </w:tcBorders>
            <w:vAlign w:val="center"/>
            <w:hideMark/>
          </w:tcPr>
          <w:p w14:paraId="58FD5CCA"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DD8AED"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70275BE5"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30FD4A11"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00F3AFB"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5E7BE6" w:rsidRPr="00247F47" w14:paraId="142A4E09" w14:textId="77777777">
        <w:trPr>
          <w:cantSplit/>
          <w:trHeight w:val="20"/>
        </w:trPr>
        <w:tc>
          <w:tcPr>
            <w:tcW w:w="9021" w:type="dxa"/>
            <w:gridSpan w:val="8"/>
            <w:tcBorders>
              <w:top w:val="single" w:sz="4" w:space="0" w:color="auto"/>
              <w:left w:val="single" w:sz="4" w:space="0" w:color="auto"/>
              <w:bottom w:val="single" w:sz="4" w:space="0" w:color="auto"/>
              <w:right w:val="single" w:sz="4" w:space="0" w:color="auto"/>
            </w:tcBorders>
            <w:vAlign w:val="center"/>
            <w:hideMark/>
          </w:tcPr>
          <w:p w14:paraId="051F130B" w14:textId="77777777" w:rsidR="005E7BE6" w:rsidRPr="00247F47" w:rsidRDefault="005E7BE6">
            <w:pPr>
              <w:keepNext/>
              <w:rPr>
                <w:rFonts w:ascii="Arial Narrow" w:eastAsia="MS Gothic" w:hAnsi="Arial Narrow"/>
                <w:b/>
                <w:iCs/>
                <w:sz w:val="20"/>
                <w:szCs w:val="20"/>
              </w:rPr>
            </w:pPr>
            <w:r w:rsidRPr="00247F47">
              <w:rPr>
                <w:rFonts w:ascii="Arial Narrow" w:eastAsia="MS Gothic" w:hAnsi="Arial Narrow"/>
                <w:b/>
                <w:iCs/>
                <w:sz w:val="20"/>
              </w:rPr>
              <w:t>FEDRATINIB</w:t>
            </w:r>
          </w:p>
        </w:tc>
      </w:tr>
      <w:tr w:rsidR="005E7BE6" w:rsidRPr="00247F47" w14:paraId="0DC2E1EF" w14:textId="77777777">
        <w:trPr>
          <w:cantSplit/>
          <w:trHeight w:val="20"/>
        </w:trPr>
        <w:tc>
          <w:tcPr>
            <w:tcW w:w="2579" w:type="dxa"/>
            <w:gridSpan w:val="3"/>
            <w:tcBorders>
              <w:top w:val="single" w:sz="4" w:space="0" w:color="auto"/>
              <w:left w:val="single" w:sz="4" w:space="0" w:color="auto"/>
              <w:bottom w:val="single" w:sz="4" w:space="0" w:color="auto"/>
              <w:right w:val="single" w:sz="4" w:space="0" w:color="auto"/>
            </w:tcBorders>
            <w:vAlign w:val="center"/>
            <w:hideMark/>
          </w:tcPr>
          <w:p w14:paraId="36007C39" w14:textId="77777777" w:rsidR="005E7BE6" w:rsidRPr="00247F47" w:rsidRDefault="005E7BE6">
            <w:pPr>
              <w:keepNext/>
              <w:rPr>
                <w:rFonts w:ascii="Arial Narrow" w:eastAsia="MS Gothic" w:hAnsi="Arial Narrow"/>
                <w:bCs/>
                <w:iCs/>
                <w:color w:val="0066FF"/>
                <w:sz w:val="20"/>
                <w:szCs w:val="20"/>
              </w:rPr>
            </w:pPr>
            <w:r w:rsidRPr="00247F47">
              <w:rPr>
                <w:rFonts w:ascii="Arial Narrow" w:eastAsia="MS Gothic" w:hAnsi="Arial Narrow"/>
                <w:bCs/>
                <w:iCs/>
                <w:sz w:val="20"/>
              </w:rPr>
              <w:t>Fedratinib 100 mg capsule, 120</w:t>
            </w:r>
          </w:p>
        </w:tc>
        <w:tc>
          <w:tcPr>
            <w:tcW w:w="2240" w:type="dxa"/>
            <w:tcBorders>
              <w:top w:val="single" w:sz="4" w:space="0" w:color="auto"/>
              <w:left w:val="single" w:sz="4" w:space="0" w:color="auto"/>
              <w:bottom w:val="single" w:sz="4" w:space="0" w:color="auto"/>
              <w:right w:val="single" w:sz="4" w:space="0" w:color="auto"/>
            </w:tcBorders>
            <w:hideMark/>
          </w:tcPr>
          <w:p w14:paraId="4BAA5F16" w14:textId="77777777" w:rsidR="005E7BE6" w:rsidRPr="00247F47" w:rsidRDefault="005E7BE6">
            <w:pPr>
              <w:keepNext/>
              <w:rPr>
                <w:rFonts w:ascii="Arial Narrow" w:eastAsia="MS Gothic" w:hAnsi="Arial Narrow"/>
                <w:bCs/>
                <w:iCs/>
                <w:sz w:val="20"/>
              </w:rPr>
            </w:pPr>
            <w:r w:rsidRPr="00247F47">
              <w:rPr>
                <w:rFonts w:ascii="Arial Narrow" w:eastAsia="MS Gothic" w:hAnsi="Arial Narrow"/>
                <w:bCs/>
                <w:iCs/>
                <w:sz w:val="20"/>
              </w:rPr>
              <w:t>$10,515.60 (published)</w:t>
            </w:r>
          </w:p>
          <w:p w14:paraId="620EBAAA" w14:textId="6D6C3472" w:rsidR="005E7BE6" w:rsidRPr="00247F47" w:rsidRDefault="005E7BE6">
            <w:pPr>
              <w:keepNext/>
              <w:rPr>
                <w:rFonts w:ascii="Arial Narrow" w:eastAsia="MS Gothic" w:hAnsi="Arial Narrow"/>
                <w:bCs/>
                <w:iCs/>
                <w:sz w:val="20"/>
                <w:szCs w:val="20"/>
              </w:rPr>
            </w:pPr>
            <w:r w:rsidRPr="00247F47">
              <w:rPr>
                <w:rFonts w:ascii="Arial Narrow" w:eastAsia="MS Gothic" w:hAnsi="Arial Narrow"/>
                <w:bCs/>
                <w:iCs/>
                <w:sz w:val="20"/>
              </w:rPr>
              <w:t>$</w:t>
            </w:r>
            <w:r w:rsidR="00783DC2" w:rsidRPr="00783DC2">
              <w:rPr>
                <w:rFonts w:ascii="Arial Narrow" w:eastAsia="MS Gothic" w:hAnsi="Arial Narrow"/>
                <w:bCs/>
                <w:iCs/>
                <w:sz w:val="20"/>
                <w:highlight w:val="black"/>
              </w:rPr>
              <w:t>&amp;&amp;&amp;&amp;</w:t>
            </w:r>
            <w:r w:rsidR="00B44A35" w:rsidRPr="00B44A35">
              <w:rPr>
                <w:rFonts w:ascii="Arial Narrow" w:eastAsia="MS Gothic" w:hAnsi="Arial Narrow"/>
                <w:bCs/>
                <w:iCs/>
                <w:sz w:val="20"/>
              </w:rPr>
              <w:t xml:space="preserve"> </w:t>
            </w:r>
            <w:r w:rsidRPr="00201B4C">
              <w:rPr>
                <w:rFonts w:ascii="Arial Narrow" w:eastAsia="MS Gothic" w:hAnsi="Arial Narrow"/>
                <w:bCs/>
                <w:iCs/>
                <w:sz w:val="20"/>
              </w:rPr>
              <w:t>(effective</w:t>
            </w:r>
            <w:r w:rsidRPr="00247F47">
              <w:rPr>
                <w:rFonts w:ascii="Arial Narrow" w:eastAsia="MS Gothic" w:hAnsi="Arial Narrow"/>
                <w:bCs/>
                <w:iCs/>
                <w:sz w:val="20"/>
              </w:rPr>
              <w:t>)</w:t>
            </w:r>
          </w:p>
        </w:tc>
        <w:tc>
          <w:tcPr>
            <w:tcW w:w="739" w:type="dxa"/>
            <w:tcBorders>
              <w:top w:val="single" w:sz="4" w:space="0" w:color="auto"/>
              <w:left w:val="single" w:sz="4" w:space="0" w:color="auto"/>
              <w:bottom w:val="single" w:sz="4" w:space="0" w:color="auto"/>
              <w:right w:val="single" w:sz="4" w:space="0" w:color="auto"/>
            </w:tcBorders>
            <w:vAlign w:val="center"/>
            <w:hideMark/>
          </w:tcPr>
          <w:p w14:paraId="6A1BE645"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B5DCF17"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8DE8004"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AE2116A" w14:textId="77777777" w:rsidR="005E7BE6" w:rsidRPr="00247F47" w:rsidRDefault="005E7BE6">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005E7BE6" w:rsidRPr="00247F47" w14:paraId="3B508594" w14:textId="77777777">
        <w:tblPrEx>
          <w:tblCellMar>
            <w:top w:w="15" w:type="dxa"/>
            <w:bottom w:w="15" w:type="dxa"/>
          </w:tblCellMar>
        </w:tblPrEx>
        <w:trPr>
          <w:trHeight w:val="20"/>
        </w:trPr>
        <w:tc>
          <w:tcPr>
            <w:tcW w:w="9021" w:type="dxa"/>
            <w:gridSpan w:val="8"/>
            <w:tcBorders>
              <w:top w:val="single" w:sz="4" w:space="0" w:color="auto"/>
              <w:left w:val="single" w:sz="4" w:space="0" w:color="auto"/>
              <w:right w:val="single" w:sz="4" w:space="0" w:color="auto"/>
            </w:tcBorders>
            <w:vAlign w:val="center"/>
          </w:tcPr>
          <w:p w14:paraId="086239D0"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Restriction Summary [new1] / Treatment of Concept: [new1A]</w:t>
            </w:r>
          </w:p>
        </w:tc>
      </w:tr>
      <w:tr w:rsidR="005E7BE6" w:rsidRPr="00247F47" w14:paraId="6FAAD2A5" w14:textId="77777777">
        <w:tblPrEx>
          <w:tblCellMar>
            <w:top w:w="15" w:type="dxa"/>
            <w:bottom w:w="15" w:type="dxa"/>
          </w:tblCellMar>
        </w:tblPrEx>
        <w:trPr>
          <w:trHeight w:val="20"/>
        </w:trPr>
        <w:tc>
          <w:tcPr>
            <w:tcW w:w="1273" w:type="dxa"/>
            <w:gridSpan w:val="2"/>
            <w:vMerge w:val="restart"/>
            <w:tcBorders>
              <w:top w:val="single" w:sz="4" w:space="0" w:color="auto"/>
              <w:left w:val="single" w:sz="4" w:space="0" w:color="auto"/>
              <w:right w:val="single" w:sz="4" w:space="0" w:color="auto"/>
            </w:tcBorders>
          </w:tcPr>
          <w:p w14:paraId="1B214E44" w14:textId="77777777" w:rsidR="005E7BE6" w:rsidRPr="00247F47" w:rsidRDefault="005E7BE6">
            <w:pPr>
              <w:jc w:val="center"/>
              <w:rPr>
                <w:rFonts w:ascii="Arial Narrow" w:hAnsi="Arial Narrow"/>
                <w:b/>
                <w:iCs/>
                <w:sz w:val="20"/>
                <w:szCs w:val="20"/>
              </w:rPr>
            </w:pPr>
            <w:r w:rsidRPr="00247F47">
              <w:rPr>
                <w:rFonts w:ascii="Arial Narrow" w:hAnsi="Arial Narrow"/>
                <w:b/>
                <w:iCs/>
                <w:sz w:val="20"/>
                <w:szCs w:val="20"/>
              </w:rPr>
              <w:t xml:space="preserve">Concept ID </w:t>
            </w:r>
            <w:r w:rsidRPr="00247F47">
              <w:rPr>
                <w:rFonts w:ascii="Arial Narrow" w:hAnsi="Arial Narrow"/>
                <w:iCs/>
                <w:sz w:val="20"/>
                <w:szCs w:val="20"/>
              </w:rPr>
              <w:t>(for internal Dept. use)</w:t>
            </w: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67C455D3" w14:textId="77777777" w:rsidR="005E7BE6" w:rsidRPr="00247F47" w:rsidRDefault="005E7BE6">
            <w:pPr>
              <w:keepLines/>
              <w:rPr>
                <w:rFonts w:ascii="Arial Narrow"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p>
          <w:p w14:paraId="721D78A9" w14:textId="4B55DD3A" w:rsidR="005E7BE6" w:rsidRPr="00247F47" w:rsidRDefault="005E7BE6">
            <w:pPr>
              <w:keepLines/>
              <w:rPr>
                <w:rFonts w:ascii="Arial Narrow" w:hAnsi="Arial Narrow"/>
                <w:iCs/>
                <w:sz w:val="20"/>
                <w:szCs w:val="20"/>
              </w:rPr>
            </w:pPr>
            <w:r w:rsidRPr="00247F47">
              <w:rPr>
                <w:rFonts w:ascii="Arial Narrow" w:eastAsia="Calibri" w:hAnsi="Arial Narrow"/>
                <w:iCs/>
                <w:sz w:val="20"/>
                <w:szCs w:val="20"/>
              </w:rPr>
              <w:fldChar w:fldCharType="begin">
                <w:ffData>
                  <w:name w:val="Check1"/>
                  <w:enabled/>
                  <w:calcOnExit w:val="0"/>
                  <w:checkBox>
                    <w:sizeAuto/>
                    <w:default w:val="1"/>
                  </w:checkBox>
                </w:ffData>
              </w:fldChar>
            </w:r>
            <w:r w:rsidRPr="00247F47">
              <w:rPr>
                <w:rFonts w:ascii="Arial Narrow" w:eastAsia="Calibri" w:hAnsi="Arial Narrow"/>
                <w:iCs/>
                <w:sz w:val="20"/>
                <w:szCs w:val="20"/>
              </w:rPr>
              <w:instrText xml:space="preserve"> FORMCHECKBOX </w:instrText>
            </w:r>
            <w:r w:rsidRPr="00247F47">
              <w:rPr>
                <w:rFonts w:ascii="Arial Narrow" w:eastAsia="Calibri" w:hAnsi="Arial Narrow"/>
                <w:iCs/>
                <w:sz w:val="20"/>
                <w:szCs w:val="20"/>
              </w:rPr>
            </w:r>
            <w:r w:rsidRPr="00247F47">
              <w:rPr>
                <w:rFonts w:ascii="Arial Narrow" w:eastAsia="Calibri" w:hAnsi="Arial Narrow"/>
                <w:iCs/>
                <w:sz w:val="20"/>
                <w:szCs w:val="20"/>
              </w:rPr>
              <w:fldChar w:fldCharType="separate"/>
            </w:r>
            <w:r w:rsidRPr="00247F47">
              <w:rPr>
                <w:rFonts w:ascii="Arial Narrow" w:eastAsia="Calibri" w:hAnsi="Arial Narrow"/>
                <w:iCs/>
                <w:sz w:val="20"/>
                <w:szCs w:val="20"/>
              </w:rPr>
              <w:fldChar w:fldCharType="end"/>
            </w:r>
            <w:r w:rsidRPr="00247F47">
              <w:rPr>
                <w:rFonts w:ascii="Arial Narrow" w:eastAsia="Calibri" w:hAnsi="Arial Narrow"/>
                <w:iCs/>
                <w:sz w:val="20"/>
                <w:szCs w:val="20"/>
              </w:rPr>
              <w:t xml:space="preserve">GENERAL - General Schedule (Code GE) </w:t>
            </w:r>
          </w:p>
        </w:tc>
      </w:tr>
      <w:tr w:rsidR="005E7BE6" w:rsidRPr="00247F47" w14:paraId="7CF01A06" w14:textId="77777777">
        <w:tblPrEx>
          <w:tblCellMar>
            <w:top w:w="15" w:type="dxa"/>
            <w:bottom w:w="15" w:type="dxa"/>
          </w:tblCellMar>
        </w:tblPrEx>
        <w:trPr>
          <w:trHeight w:val="20"/>
        </w:trPr>
        <w:tc>
          <w:tcPr>
            <w:tcW w:w="1273" w:type="dxa"/>
            <w:gridSpan w:val="2"/>
            <w:vMerge/>
          </w:tcPr>
          <w:p w14:paraId="075FE979"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058C7F3B"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 xml:space="preserve">Prescriber type: </w:t>
            </w:r>
          </w:p>
          <w:p w14:paraId="79F9BDB7" w14:textId="77777777" w:rsidR="005E7BE6" w:rsidRPr="00247F47" w:rsidRDefault="005E7BE6">
            <w:pPr>
              <w:keepLines/>
              <w:rPr>
                <w:rFonts w:ascii="Arial Narrow" w:hAnsi="Arial Narrow"/>
                <w:b/>
                <w:iCs/>
                <w:sz w:val="20"/>
                <w:szCs w:val="20"/>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Medical Practitioners </w:t>
            </w:r>
          </w:p>
        </w:tc>
      </w:tr>
      <w:tr w:rsidR="005E7BE6" w:rsidRPr="00247F47" w14:paraId="2072F111" w14:textId="77777777">
        <w:tblPrEx>
          <w:tblCellMar>
            <w:top w:w="15" w:type="dxa"/>
            <w:bottom w:w="15" w:type="dxa"/>
          </w:tblCellMar>
        </w:tblPrEx>
        <w:trPr>
          <w:trHeight w:val="20"/>
        </w:trPr>
        <w:tc>
          <w:tcPr>
            <w:tcW w:w="1273" w:type="dxa"/>
            <w:gridSpan w:val="2"/>
            <w:vMerge/>
          </w:tcPr>
          <w:p w14:paraId="222364D2"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42DFA3E1" w14:textId="77777777" w:rsidR="005E7BE6" w:rsidRPr="00247F47" w:rsidRDefault="005E7BE6">
            <w:pPr>
              <w:keepLines/>
              <w:rPr>
                <w:rFonts w:ascii="Arial Narrow" w:hAnsi="Arial Narrow"/>
                <w:b/>
                <w:iCs/>
                <w:color w:val="000000" w:themeColor="text1"/>
                <w:sz w:val="20"/>
                <w:szCs w:val="20"/>
              </w:rPr>
            </w:pPr>
            <w:r w:rsidRPr="00247F47">
              <w:rPr>
                <w:rFonts w:ascii="Arial Narrow" w:hAnsi="Arial Narrow"/>
                <w:b/>
                <w:iCs/>
                <w:sz w:val="20"/>
                <w:szCs w:val="20"/>
              </w:rPr>
              <w:t xml:space="preserve">Restriction type: </w:t>
            </w:r>
          </w:p>
          <w:p w14:paraId="189ED58B" w14:textId="77777777" w:rsidR="005E7BE6" w:rsidRPr="00247F47" w:rsidRDefault="005E7BE6">
            <w:pPr>
              <w:keepLines/>
              <w:rPr>
                <w:rFonts w:ascii="Arial Narrow" w:eastAsia="Calibri" w:hAnsi="Arial Narrow"/>
                <w:iCs/>
                <w:sz w:val="20"/>
                <w:szCs w:val="20"/>
              </w:rPr>
            </w:pPr>
            <w:r w:rsidRPr="00247F47">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247F47">
              <w:rPr>
                <w:rFonts w:ascii="Arial Narrow" w:eastAsia="Calibri" w:hAnsi="Arial Narrow"/>
                <w:iCs/>
                <w:color w:val="000000" w:themeColor="text1"/>
                <w:sz w:val="20"/>
                <w:szCs w:val="20"/>
              </w:rPr>
              <w:instrText xml:space="preserve"> FORMCHECKBOX </w:instrText>
            </w:r>
            <w:r w:rsidRPr="00247F47">
              <w:rPr>
                <w:rFonts w:ascii="Arial Narrow" w:eastAsia="Calibri" w:hAnsi="Arial Narrow"/>
                <w:iCs/>
                <w:color w:val="000000" w:themeColor="text1"/>
                <w:sz w:val="20"/>
                <w:szCs w:val="20"/>
              </w:rPr>
            </w:r>
            <w:r w:rsidRPr="00247F47">
              <w:rPr>
                <w:rFonts w:ascii="Arial Narrow" w:eastAsia="Calibri" w:hAnsi="Arial Narrow"/>
                <w:iCs/>
                <w:color w:val="000000" w:themeColor="text1"/>
                <w:sz w:val="20"/>
                <w:szCs w:val="20"/>
              </w:rPr>
              <w:fldChar w:fldCharType="separate"/>
            </w:r>
            <w:r w:rsidRPr="00247F47">
              <w:rPr>
                <w:rFonts w:ascii="Arial Narrow" w:eastAsia="Calibri" w:hAnsi="Arial Narrow"/>
                <w:iCs/>
                <w:color w:val="000000" w:themeColor="text1"/>
                <w:sz w:val="20"/>
                <w:szCs w:val="20"/>
              </w:rPr>
              <w:fldChar w:fldCharType="end"/>
            </w:r>
            <w:r w:rsidRPr="00247F47">
              <w:rPr>
                <w:rFonts w:ascii="Arial Narrow" w:eastAsia="Calibri" w:hAnsi="Arial Narrow"/>
                <w:iCs/>
                <w:color w:val="000000" w:themeColor="text1"/>
                <w:sz w:val="20"/>
                <w:szCs w:val="20"/>
              </w:rPr>
              <w:t>Authority Required</w:t>
            </w:r>
            <w:r w:rsidRPr="003F7823">
              <w:rPr>
                <w:rFonts w:ascii="Arial Narrow" w:eastAsia="Calibri" w:hAnsi="Arial Narrow"/>
                <w:iCs/>
                <w:color w:val="000000" w:themeColor="text1"/>
                <w:sz w:val="20"/>
                <w:szCs w:val="20"/>
              </w:rPr>
              <w:t xml:space="preserve"> – </w:t>
            </w:r>
            <w:r w:rsidRPr="003F7823">
              <w:rPr>
                <w:rFonts w:ascii="Arial Narrow" w:eastAsia="Calibri" w:hAnsi="Arial Narrow"/>
                <w:color w:val="000000" w:themeColor="text1"/>
                <w:sz w:val="20"/>
              </w:rPr>
              <w:t xml:space="preserve">immediate assessment </w:t>
            </w:r>
            <w:r w:rsidRPr="003F7823">
              <w:rPr>
                <w:rFonts w:ascii="Arial Narrow" w:eastAsia="Calibri" w:hAnsi="Arial Narrow"/>
                <w:strike/>
                <w:color w:val="000000" w:themeColor="text1"/>
                <w:sz w:val="20"/>
              </w:rPr>
              <w:t>/real time assessment by Services Australia (telephone/online application avenues)</w:t>
            </w:r>
            <w:r w:rsidRPr="00247F47">
              <w:rPr>
                <w:rFonts w:ascii="Arial Narrow" w:eastAsia="Calibri" w:hAnsi="Arial Narrow"/>
                <w:iCs/>
                <w:color w:val="000000" w:themeColor="text1"/>
                <w:sz w:val="20"/>
                <w:szCs w:val="20"/>
              </w:rPr>
              <w:t xml:space="preserve"> </w:t>
            </w:r>
          </w:p>
        </w:tc>
      </w:tr>
      <w:tr w:rsidR="005E7BE6" w:rsidRPr="00247F47" w14:paraId="567D234F" w14:textId="77777777">
        <w:tblPrEx>
          <w:tblCellMar>
            <w:top w:w="15" w:type="dxa"/>
            <w:bottom w:w="15" w:type="dxa"/>
          </w:tblCellMar>
        </w:tblPrEx>
        <w:trPr>
          <w:trHeight w:val="20"/>
        </w:trPr>
        <w:tc>
          <w:tcPr>
            <w:tcW w:w="488" w:type="dxa"/>
            <w:vMerge w:val="restart"/>
            <w:tcBorders>
              <w:left w:val="single" w:sz="4" w:space="0" w:color="auto"/>
              <w:right w:val="single" w:sz="4" w:space="0" w:color="auto"/>
            </w:tcBorders>
            <w:textDirection w:val="btLr"/>
            <w:vAlign w:val="center"/>
          </w:tcPr>
          <w:p w14:paraId="7496DC29" w14:textId="77777777" w:rsidR="005E7BE6" w:rsidRPr="00247F47" w:rsidRDefault="005E7BE6">
            <w:pPr>
              <w:jc w:val="center"/>
              <w:rPr>
                <w:rFonts w:ascii="Arial Narrow" w:hAnsi="Arial Narrow"/>
                <w:iCs/>
                <w:sz w:val="20"/>
                <w:szCs w:val="20"/>
              </w:rPr>
            </w:pPr>
            <w:r w:rsidRPr="00247F47">
              <w:rPr>
                <w:rFonts w:ascii="Arial Narrow" w:hAnsi="Arial Narrow"/>
                <w:iCs/>
                <w:sz w:val="20"/>
                <w:szCs w:val="20"/>
              </w:rPr>
              <w:t>Prescribing rule level</w:t>
            </w:r>
          </w:p>
        </w:tc>
        <w:tc>
          <w:tcPr>
            <w:tcW w:w="785" w:type="dxa"/>
            <w:vAlign w:val="center"/>
          </w:tcPr>
          <w:p w14:paraId="5A88F991" w14:textId="658541FE" w:rsidR="005E7BE6" w:rsidRPr="00540AF0" w:rsidRDefault="005E7BE6">
            <w:pPr>
              <w:jc w:val="center"/>
              <w:rPr>
                <w:rFonts w:ascii="Arial Narrow" w:hAnsi="Arial Narrow"/>
                <w:i/>
                <w:sz w:val="20"/>
                <w:szCs w:val="20"/>
              </w:rPr>
            </w:pPr>
          </w:p>
        </w:tc>
        <w:tc>
          <w:tcPr>
            <w:tcW w:w="7748" w:type="dxa"/>
            <w:gridSpan w:val="6"/>
            <w:vAlign w:val="center"/>
          </w:tcPr>
          <w:p w14:paraId="53DB2670" w14:textId="77777777" w:rsidR="005E7BE6" w:rsidRPr="00540AF0" w:rsidRDefault="005E7BE6">
            <w:pPr>
              <w:rPr>
                <w:rFonts w:ascii="Arial Narrow" w:hAnsi="Arial Narrow"/>
                <w:i/>
                <w:sz w:val="20"/>
                <w:szCs w:val="20"/>
              </w:rPr>
            </w:pPr>
            <w:r w:rsidRPr="00540AF0">
              <w:rPr>
                <w:rFonts w:ascii="Arial Narrow" w:hAnsi="Arial Narrow"/>
                <w:b/>
                <w:bCs/>
                <w:i/>
                <w:sz w:val="20"/>
                <w:szCs w:val="20"/>
              </w:rPr>
              <w:t>Administrative Advice:</w:t>
            </w:r>
          </w:p>
          <w:p w14:paraId="195E6CB5" w14:textId="77777777" w:rsidR="005E7BE6" w:rsidRPr="00540AF0" w:rsidRDefault="005E7BE6">
            <w:pPr>
              <w:rPr>
                <w:rFonts w:ascii="Arial Narrow" w:hAnsi="Arial Narrow"/>
                <w:i/>
                <w:sz w:val="20"/>
                <w:szCs w:val="20"/>
              </w:rPr>
            </w:pPr>
            <w:r w:rsidRPr="00540AF0">
              <w:rPr>
                <w:rFonts w:ascii="Arial Narrow" w:hAnsi="Arial Narrow"/>
                <w:i/>
                <w:sz w:val="20"/>
                <w:szCs w:val="20"/>
              </w:rPr>
              <w:t>No increase in the maximum quantity or number of units may be authorised.</w:t>
            </w:r>
          </w:p>
        </w:tc>
      </w:tr>
      <w:tr w:rsidR="005E7BE6" w:rsidRPr="00247F47" w14:paraId="667A6D8D" w14:textId="77777777">
        <w:tblPrEx>
          <w:tblCellMar>
            <w:top w:w="15" w:type="dxa"/>
            <w:bottom w:w="15" w:type="dxa"/>
          </w:tblCellMar>
        </w:tblPrEx>
        <w:trPr>
          <w:trHeight w:val="20"/>
        </w:trPr>
        <w:tc>
          <w:tcPr>
            <w:tcW w:w="488" w:type="dxa"/>
            <w:vMerge/>
          </w:tcPr>
          <w:p w14:paraId="19C07973" w14:textId="77777777" w:rsidR="005E7BE6" w:rsidRPr="00247F47" w:rsidRDefault="005E7BE6">
            <w:pPr>
              <w:rPr>
                <w:rFonts w:ascii="Arial Narrow" w:hAnsi="Arial Narrow"/>
                <w:iCs/>
                <w:sz w:val="20"/>
                <w:szCs w:val="20"/>
              </w:rPr>
            </w:pPr>
          </w:p>
        </w:tc>
        <w:tc>
          <w:tcPr>
            <w:tcW w:w="785" w:type="dxa"/>
            <w:vAlign w:val="center"/>
          </w:tcPr>
          <w:p w14:paraId="07FFEBE6" w14:textId="4441ACA7" w:rsidR="005E7BE6" w:rsidRPr="00540AF0" w:rsidRDefault="005E7BE6">
            <w:pPr>
              <w:jc w:val="center"/>
              <w:rPr>
                <w:rFonts w:ascii="Arial Narrow" w:hAnsi="Arial Narrow"/>
                <w:i/>
                <w:sz w:val="20"/>
                <w:szCs w:val="20"/>
              </w:rPr>
            </w:pPr>
          </w:p>
        </w:tc>
        <w:tc>
          <w:tcPr>
            <w:tcW w:w="7748" w:type="dxa"/>
            <w:gridSpan w:val="6"/>
            <w:vAlign w:val="center"/>
          </w:tcPr>
          <w:p w14:paraId="00099619" w14:textId="77777777" w:rsidR="005E7BE6" w:rsidRPr="00540AF0" w:rsidRDefault="005E7BE6">
            <w:pPr>
              <w:rPr>
                <w:rFonts w:ascii="Arial Narrow" w:hAnsi="Arial Narrow"/>
                <w:b/>
                <w:bCs/>
                <w:i/>
                <w:sz w:val="20"/>
                <w:szCs w:val="20"/>
              </w:rPr>
            </w:pPr>
            <w:r w:rsidRPr="00540AF0">
              <w:rPr>
                <w:rFonts w:ascii="Arial Narrow" w:hAnsi="Arial Narrow"/>
                <w:b/>
                <w:bCs/>
                <w:i/>
                <w:sz w:val="20"/>
                <w:szCs w:val="20"/>
              </w:rPr>
              <w:t>Administrative Advice:</w:t>
            </w:r>
          </w:p>
          <w:p w14:paraId="0ACFF1C3" w14:textId="77777777" w:rsidR="005E7BE6" w:rsidRPr="00540AF0" w:rsidRDefault="005E7BE6">
            <w:pPr>
              <w:rPr>
                <w:rFonts w:ascii="Arial Narrow" w:hAnsi="Arial Narrow"/>
                <w:b/>
                <w:bCs/>
                <w:i/>
                <w:sz w:val="20"/>
                <w:szCs w:val="20"/>
              </w:rPr>
            </w:pPr>
            <w:r w:rsidRPr="00540AF0">
              <w:rPr>
                <w:rFonts w:ascii="Arial Narrow" w:hAnsi="Arial Narrow"/>
                <w:i/>
                <w:sz w:val="20"/>
                <w:szCs w:val="20"/>
              </w:rPr>
              <w:t>No increase in the maximum number of repeats may be authorised.</w:t>
            </w:r>
          </w:p>
        </w:tc>
      </w:tr>
      <w:tr w:rsidR="005E7BE6" w:rsidRPr="00247F47" w14:paraId="27CD6FEE" w14:textId="77777777">
        <w:tblPrEx>
          <w:tblCellMar>
            <w:top w:w="15" w:type="dxa"/>
            <w:bottom w:w="15" w:type="dxa"/>
          </w:tblCellMar>
        </w:tblPrEx>
        <w:trPr>
          <w:trHeight w:val="20"/>
        </w:trPr>
        <w:tc>
          <w:tcPr>
            <w:tcW w:w="488" w:type="dxa"/>
            <w:vMerge/>
          </w:tcPr>
          <w:p w14:paraId="01C9AC10" w14:textId="77777777" w:rsidR="005E7BE6" w:rsidRPr="00247F47" w:rsidRDefault="005E7BE6">
            <w:pPr>
              <w:rPr>
                <w:rFonts w:ascii="Arial Narrow" w:hAnsi="Arial Narrow"/>
                <w:iCs/>
                <w:sz w:val="20"/>
                <w:szCs w:val="20"/>
              </w:rPr>
            </w:pPr>
          </w:p>
        </w:tc>
        <w:tc>
          <w:tcPr>
            <w:tcW w:w="785" w:type="dxa"/>
            <w:vAlign w:val="center"/>
          </w:tcPr>
          <w:p w14:paraId="30DA8A0D" w14:textId="2689546B" w:rsidR="005E7BE6" w:rsidRPr="00247F47" w:rsidRDefault="005E7BE6">
            <w:pPr>
              <w:jc w:val="center"/>
              <w:rPr>
                <w:rFonts w:ascii="Arial Narrow" w:hAnsi="Arial Narrow"/>
                <w:iCs/>
                <w:sz w:val="20"/>
                <w:szCs w:val="20"/>
              </w:rPr>
            </w:pPr>
          </w:p>
        </w:tc>
        <w:tc>
          <w:tcPr>
            <w:tcW w:w="7748" w:type="dxa"/>
            <w:gridSpan w:val="6"/>
            <w:vAlign w:val="center"/>
          </w:tcPr>
          <w:p w14:paraId="4AEEDCF5"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Administrative Advice:</w:t>
            </w:r>
          </w:p>
          <w:p w14:paraId="489F7161" w14:textId="77777777" w:rsidR="005E7BE6" w:rsidRPr="00247F47" w:rsidRDefault="005E7BE6">
            <w:pPr>
              <w:rPr>
                <w:rFonts w:ascii="Arial Narrow" w:hAnsi="Arial Narrow"/>
                <w:b/>
                <w:bCs/>
                <w:iCs/>
                <w:sz w:val="20"/>
                <w:szCs w:val="20"/>
              </w:rPr>
            </w:pPr>
            <w:r w:rsidRPr="00247F47">
              <w:rPr>
                <w:rFonts w:ascii="Arial Narrow" w:hAnsi="Arial Narrow"/>
                <w:iCs/>
                <w:sz w:val="20"/>
                <w:szCs w:val="20"/>
              </w:rPr>
              <w:t>Special Pricing Arrangements apply.</w:t>
            </w:r>
          </w:p>
        </w:tc>
      </w:tr>
      <w:tr w:rsidR="005E7BE6" w:rsidRPr="00247F47" w14:paraId="45A6E1B5" w14:textId="77777777">
        <w:tblPrEx>
          <w:tblCellMar>
            <w:top w:w="15" w:type="dxa"/>
            <w:bottom w:w="15" w:type="dxa"/>
          </w:tblCellMar>
        </w:tblPrEx>
        <w:trPr>
          <w:trHeight w:val="20"/>
        </w:trPr>
        <w:tc>
          <w:tcPr>
            <w:tcW w:w="488" w:type="dxa"/>
            <w:vMerge/>
          </w:tcPr>
          <w:p w14:paraId="0F4BC133" w14:textId="77777777" w:rsidR="005E7BE6" w:rsidRPr="00247F47" w:rsidRDefault="005E7BE6">
            <w:pPr>
              <w:rPr>
                <w:rFonts w:ascii="Arial Narrow" w:hAnsi="Arial Narrow"/>
                <w:iCs/>
                <w:sz w:val="20"/>
                <w:szCs w:val="20"/>
              </w:rPr>
            </w:pPr>
          </w:p>
        </w:tc>
        <w:tc>
          <w:tcPr>
            <w:tcW w:w="785" w:type="dxa"/>
            <w:vAlign w:val="center"/>
          </w:tcPr>
          <w:p w14:paraId="683F7CCB" w14:textId="7D7846DD" w:rsidR="005E7BE6" w:rsidRPr="00247F47" w:rsidRDefault="005E7BE6">
            <w:pPr>
              <w:jc w:val="center"/>
              <w:rPr>
                <w:rFonts w:ascii="Arial Narrow" w:hAnsi="Arial Narrow"/>
                <w:iCs/>
                <w:sz w:val="20"/>
                <w:szCs w:val="20"/>
              </w:rPr>
            </w:pPr>
          </w:p>
        </w:tc>
        <w:tc>
          <w:tcPr>
            <w:tcW w:w="7748" w:type="dxa"/>
            <w:gridSpan w:val="6"/>
            <w:vAlign w:val="center"/>
          </w:tcPr>
          <w:p w14:paraId="66A36B95" w14:textId="77777777" w:rsidR="005E7BE6" w:rsidRPr="00247F47" w:rsidRDefault="005E7BE6">
            <w:pPr>
              <w:rPr>
                <w:rFonts w:ascii="Arial Narrow" w:hAnsi="Arial Narrow"/>
                <w:bCs/>
                <w:iCs/>
                <w:sz w:val="20"/>
                <w:szCs w:val="20"/>
              </w:rPr>
            </w:pPr>
            <w:r w:rsidRPr="00247F47">
              <w:rPr>
                <w:rFonts w:ascii="Arial Narrow" w:hAnsi="Arial Narrow"/>
                <w:b/>
                <w:bCs/>
                <w:iCs/>
                <w:sz w:val="20"/>
                <w:szCs w:val="20"/>
              </w:rPr>
              <w:t xml:space="preserve">Administrative Advice: </w:t>
            </w:r>
          </w:p>
          <w:p w14:paraId="26632C4A" w14:textId="77777777" w:rsidR="005E7BE6" w:rsidRPr="00247F47" w:rsidRDefault="005E7BE6">
            <w:pPr>
              <w:rPr>
                <w:rFonts w:ascii="Arial Narrow" w:hAnsi="Arial Narrow"/>
                <w:b/>
                <w:bCs/>
                <w:iCs/>
                <w:sz w:val="20"/>
                <w:szCs w:val="20"/>
              </w:rPr>
            </w:pPr>
            <w:r w:rsidRPr="00247F47">
              <w:rPr>
                <w:rFonts w:ascii="Arial Narrow" w:hAnsi="Arial Narrow"/>
                <w:iCs/>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sz w:val="20"/>
                <w:szCs w:val="20"/>
              </w:rPr>
              <w:t>aaDIPSS</w:t>
            </w:r>
            <w:proofErr w:type="spellEnd"/>
            <w:r w:rsidRPr="00247F47">
              <w:rPr>
                <w:rFonts w:ascii="Arial Narrow" w:hAnsi="Arial Narrow"/>
                <w:iCs/>
                <w:sz w:val="20"/>
                <w:szCs w:val="20"/>
              </w:rPr>
              <w:t>).</w:t>
            </w:r>
          </w:p>
        </w:tc>
      </w:tr>
      <w:tr w:rsidR="005E7BE6" w:rsidRPr="00247F47" w14:paraId="3AC28D07" w14:textId="77777777">
        <w:tblPrEx>
          <w:tblCellMar>
            <w:top w:w="15" w:type="dxa"/>
            <w:bottom w:w="15" w:type="dxa"/>
          </w:tblCellMar>
        </w:tblPrEx>
        <w:trPr>
          <w:trHeight w:val="20"/>
        </w:trPr>
        <w:tc>
          <w:tcPr>
            <w:tcW w:w="488" w:type="dxa"/>
            <w:vMerge/>
          </w:tcPr>
          <w:p w14:paraId="2E2DB9E4" w14:textId="77777777" w:rsidR="005E7BE6" w:rsidRPr="00247F47" w:rsidRDefault="005E7BE6">
            <w:pPr>
              <w:rPr>
                <w:rFonts w:ascii="Arial Narrow" w:hAnsi="Arial Narrow"/>
                <w:iCs/>
                <w:sz w:val="20"/>
                <w:szCs w:val="20"/>
              </w:rPr>
            </w:pPr>
          </w:p>
        </w:tc>
        <w:tc>
          <w:tcPr>
            <w:tcW w:w="785" w:type="dxa"/>
            <w:vAlign w:val="center"/>
          </w:tcPr>
          <w:p w14:paraId="2B413134" w14:textId="0A437CC2" w:rsidR="005E7BE6" w:rsidRPr="00247F47" w:rsidRDefault="005E7BE6">
            <w:pPr>
              <w:jc w:val="center"/>
              <w:rPr>
                <w:rFonts w:ascii="Arial Narrow" w:hAnsi="Arial Narrow"/>
                <w:iCs/>
                <w:sz w:val="20"/>
                <w:szCs w:val="20"/>
              </w:rPr>
            </w:pPr>
          </w:p>
        </w:tc>
        <w:tc>
          <w:tcPr>
            <w:tcW w:w="7748" w:type="dxa"/>
            <w:gridSpan w:val="6"/>
            <w:vAlign w:val="center"/>
          </w:tcPr>
          <w:p w14:paraId="7F095567" w14:textId="77777777" w:rsidR="005E7BE6" w:rsidRPr="006B2F99" w:rsidRDefault="005E7BE6">
            <w:pPr>
              <w:rPr>
                <w:rFonts w:ascii="Arial Narrow" w:hAnsi="Arial Narrow"/>
                <w:b/>
                <w:bCs/>
                <w:iCs/>
                <w:sz w:val="20"/>
                <w:szCs w:val="20"/>
              </w:rPr>
            </w:pPr>
            <w:r w:rsidRPr="006B2F99">
              <w:rPr>
                <w:rFonts w:ascii="Arial Narrow" w:hAnsi="Arial Narrow"/>
                <w:b/>
                <w:bCs/>
                <w:iCs/>
                <w:sz w:val="20"/>
                <w:szCs w:val="20"/>
              </w:rPr>
              <w:t>Administrative advice:</w:t>
            </w:r>
          </w:p>
          <w:p w14:paraId="241E557E" w14:textId="77777777" w:rsidR="005E7BE6" w:rsidRPr="00634F5D" w:rsidRDefault="005E7BE6">
            <w:pPr>
              <w:rPr>
                <w:rFonts w:ascii="Arial Narrow" w:hAnsi="Arial Narrow"/>
                <w:iCs/>
                <w:sz w:val="20"/>
                <w:szCs w:val="20"/>
              </w:rPr>
            </w:pPr>
            <w:r w:rsidRPr="00634F5D">
              <w:rPr>
                <w:rFonts w:ascii="Arial Narrow" w:hAnsi="Arial Narrow"/>
                <w:iCs/>
                <w:sz w:val="20"/>
                <w:szCs w:val="20"/>
              </w:rPr>
              <w:t>A patient may only qualify for PBS-subsidised treatment under this restriction twice in a lifetime. Patients reinitiating PBS-subsidised treatment following pregnancy are exempt from this rule. </w:t>
            </w:r>
          </w:p>
        </w:tc>
      </w:tr>
      <w:tr w:rsidR="005E7BE6" w:rsidRPr="00247F47" w14:paraId="00C8C374" w14:textId="77777777">
        <w:tblPrEx>
          <w:tblCellMar>
            <w:top w:w="15" w:type="dxa"/>
            <w:bottom w:w="15" w:type="dxa"/>
          </w:tblCellMar>
        </w:tblPrEx>
        <w:trPr>
          <w:trHeight w:val="20"/>
        </w:trPr>
        <w:tc>
          <w:tcPr>
            <w:tcW w:w="488" w:type="dxa"/>
            <w:vMerge/>
          </w:tcPr>
          <w:p w14:paraId="54A91F9B" w14:textId="77777777" w:rsidR="005E7BE6" w:rsidRPr="00247F47" w:rsidRDefault="005E7BE6">
            <w:pPr>
              <w:rPr>
                <w:rFonts w:ascii="Arial Narrow" w:hAnsi="Arial Narrow"/>
                <w:iCs/>
                <w:sz w:val="20"/>
                <w:szCs w:val="20"/>
              </w:rPr>
            </w:pPr>
          </w:p>
        </w:tc>
        <w:tc>
          <w:tcPr>
            <w:tcW w:w="785" w:type="dxa"/>
            <w:vAlign w:val="center"/>
          </w:tcPr>
          <w:p w14:paraId="772E63E2" w14:textId="5A15C450" w:rsidR="005E7BE6" w:rsidRPr="00634F5D" w:rsidRDefault="005E7BE6">
            <w:pPr>
              <w:jc w:val="center"/>
              <w:rPr>
                <w:rFonts w:ascii="Arial Narrow" w:hAnsi="Arial Narrow"/>
                <w:i/>
                <w:sz w:val="20"/>
                <w:szCs w:val="20"/>
              </w:rPr>
            </w:pPr>
          </w:p>
        </w:tc>
        <w:tc>
          <w:tcPr>
            <w:tcW w:w="7748" w:type="dxa"/>
            <w:gridSpan w:val="6"/>
            <w:vAlign w:val="center"/>
          </w:tcPr>
          <w:p w14:paraId="49BAC87E"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 xml:space="preserve">Administrative Advice: </w:t>
            </w:r>
          </w:p>
          <w:p w14:paraId="1DAA5920" w14:textId="77777777" w:rsidR="005E7BE6" w:rsidRDefault="005E7BE6">
            <w:pPr>
              <w:rPr>
                <w:rFonts w:ascii="Arial Narrow" w:hAnsi="Arial Narrow"/>
                <w:bCs/>
                <w:iCs/>
                <w:color w:val="000000" w:themeColor="text1"/>
                <w:sz w:val="20"/>
                <w:szCs w:val="20"/>
              </w:rPr>
            </w:pPr>
            <w:r w:rsidRPr="00634F5D">
              <w:rPr>
                <w:rFonts w:ascii="Arial Narrow" w:hAnsi="Arial Narrow"/>
                <w:bCs/>
                <w:iCs/>
                <w:strike/>
                <w:color w:val="000000" w:themeColor="text1"/>
                <w:sz w:val="20"/>
                <w:szCs w:val="20"/>
              </w:rPr>
              <w:t>Applications for authorisation under this restriction may be made in real time using the Online PBS Authorities system (see www.servicesaustralia.gov.au/HPOS) or by telephone by contacting Services Australia on 1800 700 270</w:t>
            </w:r>
            <w:r w:rsidRPr="00634F5D">
              <w:rPr>
                <w:rFonts w:ascii="Arial Narrow" w:hAnsi="Arial Narrow"/>
                <w:bCs/>
                <w:iCs/>
                <w:color w:val="000000" w:themeColor="text1"/>
                <w:sz w:val="20"/>
                <w:szCs w:val="20"/>
              </w:rPr>
              <w:t>.</w:t>
            </w:r>
          </w:p>
          <w:p w14:paraId="2B29E1D0" w14:textId="77777777" w:rsidR="005E7BE6" w:rsidRPr="00634F5D" w:rsidRDefault="005E7BE6">
            <w:pPr>
              <w:rPr>
                <w:rFonts w:ascii="Arial Narrow" w:hAnsi="Arial Narrow"/>
                <w:i/>
                <w:sz w:val="20"/>
                <w:szCs w:val="20"/>
              </w:rPr>
            </w:pPr>
            <w:r w:rsidRPr="00634F5D">
              <w:rPr>
                <w:rFonts w:ascii="Arial Narrow" w:hAnsi="Arial Narrow"/>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5E7BE6" w:rsidRPr="00247F47" w14:paraId="6F0AEDF3" w14:textId="77777777">
        <w:tblPrEx>
          <w:tblCellMar>
            <w:top w:w="15" w:type="dxa"/>
            <w:bottom w:w="15" w:type="dxa"/>
          </w:tblCellMar>
        </w:tblPrEx>
        <w:trPr>
          <w:cantSplit/>
          <w:trHeight w:val="20"/>
        </w:trPr>
        <w:tc>
          <w:tcPr>
            <w:tcW w:w="1273" w:type="dxa"/>
            <w:gridSpan w:val="2"/>
            <w:vAlign w:val="center"/>
            <w:hideMark/>
          </w:tcPr>
          <w:p w14:paraId="30FEF948" w14:textId="101926DA" w:rsidR="005E7BE6" w:rsidRPr="00247F47" w:rsidRDefault="005E7BE6">
            <w:pPr>
              <w:keepLines/>
              <w:jc w:val="center"/>
              <w:rPr>
                <w:rFonts w:ascii="Arial Narrow" w:hAnsi="Arial Narrow"/>
                <w:iCs/>
                <w:sz w:val="20"/>
                <w:szCs w:val="20"/>
              </w:rPr>
            </w:pPr>
          </w:p>
        </w:tc>
        <w:tc>
          <w:tcPr>
            <w:tcW w:w="7748" w:type="dxa"/>
            <w:gridSpan w:val="6"/>
            <w:vAlign w:val="center"/>
            <w:hideMark/>
          </w:tcPr>
          <w:p w14:paraId="40AE0537" w14:textId="77777777" w:rsidR="005E7BE6" w:rsidRPr="00247F47" w:rsidRDefault="005E7BE6">
            <w:pPr>
              <w:keepLines/>
              <w:rPr>
                <w:rFonts w:ascii="Arial Narrow" w:hAnsi="Arial Narrow"/>
                <w:iCs/>
                <w:sz w:val="20"/>
                <w:szCs w:val="20"/>
              </w:rPr>
            </w:pPr>
            <w:r w:rsidRPr="00247F47">
              <w:rPr>
                <w:rFonts w:ascii="Arial Narrow" w:hAnsi="Arial Narrow"/>
                <w:b/>
                <w:bCs/>
                <w:iCs/>
                <w:sz w:val="20"/>
                <w:szCs w:val="20"/>
              </w:rPr>
              <w:t>Indication:</w:t>
            </w:r>
            <w:r w:rsidRPr="00247F47">
              <w:rPr>
                <w:rFonts w:ascii="Arial Narrow" w:hAnsi="Arial Narrow"/>
                <w:iCs/>
                <w:sz w:val="20"/>
                <w:szCs w:val="20"/>
              </w:rPr>
              <w:t xml:space="preserve"> </w:t>
            </w:r>
            <w:r w:rsidRPr="00247F47">
              <w:rPr>
                <w:rFonts w:ascii="Arial Narrow" w:hAnsi="Arial Narrow"/>
                <w:iCs/>
                <w:sz w:val="20"/>
              </w:rPr>
              <w:t>High-risk and intermediate-2 risk myelofibrosis</w:t>
            </w:r>
          </w:p>
        </w:tc>
      </w:tr>
      <w:tr w:rsidR="005E7BE6" w:rsidRPr="00247F47" w14:paraId="2F2618A6" w14:textId="77777777">
        <w:tblPrEx>
          <w:tblCellMar>
            <w:top w:w="15" w:type="dxa"/>
            <w:bottom w:w="15" w:type="dxa"/>
          </w:tblCellMar>
        </w:tblPrEx>
        <w:trPr>
          <w:cantSplit/>
          <w:trHeight w:val="20"/>
        </w:trPr>
        <w:tc>
          <w:tcPr>
            <w:tcW w:w="1273" w:type="dxa"/>
            <w:gridSpan w:val="2"/>
            <w:vAlign w:val="center"/>
          </w:tcPr>
          <w:p w14:paraId="11577911" w14:textId="77777777" w:rsidR="005E7BE6" w:rsidRPr="00247F47" w:rsidRDefault="005E7BE6">
            <w:pPr>
              <w:keepLines/>
              <w:jc w:val="center"/>
              <w:rPr>
                <w:rFonts w:ascii="Arial Narrow" w:hAnsi="Arial Narrow"/>
                <w:iCs/>
                <w:sz w:val="20"/>
                <w:szCs w:val="20"/>
              </w:rPr>
            </w:pPr>
          </w:p>
        </w:tc>
        <w:tc>
          <w:tcPr>
            <w:tcW w:w="7748" w:type="dxa"/>
            <w:gridSpan w:val="6"/>
            <w:vAlign w:val="center"/>
          </w:tcPr>
          <w:p w14:paraId="63CC4954" w14:textId="77777777" w:rsidR="005E7BE6" w:rsidRPr="00247F47" w:rsidRDefault="005E7BE6">
            <w:pPr>
              <w:keepLines/>
              <w:rPr>
                <w:rFonts w:ascii="Arial Narrow" w:hAnsi="Arial Narrow"/>
                <w:b/>
                <w:bCs/>
                <w:iCs/>
                <w:sz w:val="20"/>
                <w:szCs w:val="20"/>
              </w:rPr>
            </w:pPr>
            <w:r>
              <w:rPr>
                <w:rFonts w:ascii="Arial Narrow" w:hAnsi="Arial Narrow"/>
                <w:b/>
                <w:bCs/>
                <w:iCs/>
                <w:sz w:val="20"/>
                <w:szCs w:val="20"/>
              </w:rPr>
              <w:t xml:space="preserve">Treatment Phase: </w:t>
            </w:r>
            <w:r w:rsidRPr="00021104">
              <w:rPr>
                <w:rFonts w:ascii="Arial Narrow" w:hAnsi="Arial Narrow"/>
                <w:iCs/>
                <w:sz w:val="20"/>
                <w:szCs w:val="20"/>
              </w:rPr>
              <w:t>Initial treatment</w:t>
            </w:r>
          </w:p>
        </w:tc>
      </w:tr>
      <w:tr w:rsidR="005E7BE6" w:rsidRPr="00247F47" w14:paraId="76D579C9" w14:textId="77777777">
        <w:tblPrEx>
          <w:tblCellMar>
            <w:top w:w="15" w:type="dxa"/>
            <w:bottom w:w="15" w:type="dxa"/>
          </w:tblCellMar>
        </w:tblPrEx>
        <w:trPr>
          <w:cantSplit/>
          <w:trHeight w:val="20"/>
        </w:trPr>
        <w:tc>
          <w:tcPr>
            <w:tcW w:w="1273" w:type="dxa"/>
            <w:gridSpan w:val="2"/>
            <w:vAlign w:val="center"/>
            <w:hideMark/>
          </w:tcPr>
          <w:p w14:paraId="638C58D1" w14:textId="2FF4415A" w:rsidR="005E7BE6" w:rsidRPr="00247F47" w:rsidRDefault="005E7BE6">
            <w:pPr>
              <w:jc w:val="center"/>
              <w:rPr>
                <w:rFonts w:ascii="Arial Narrow" w:hAnsi="Arial Narrow"/>
                <w:iCs/>
                <w:sz w:val="20"/>
                <w:szCs w:val="20"/>
              </w:rPr>
            </w:pPr>
          </w:p>
          <w:p w14:paraId="1A3832D4" w14:textId="77777777" w:rsidR="005E7BE6" w:rsidRPr="00247F47" w:rsidRDefault="005E7BE6">
            <w:pPr>
              <w:jc w:val="center"/>
              <w:rPr>
                <w:rFonts w:ascii="Arial Narrow" w:hAnsi="Arial Narrow"/>
                <w:iCs/>
                <w:sz w:val="20"/>
                <w:szCs w:val="20"/>
              </w:rPr>
            </w:pPr>
          </w:p>
        </w:tc>
        <w:tc>
          <w:tcPr>
            <w:tcW w:w="7748" w:type="dxa"/>
            <w:gridSpan w:val="6"/>
            <w:vAlign w:val="center"/>
            <w:hideMark/>
          </w:tcPr>
          <w:p w14:paraId="7902ADE1"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 xml:space="preserve">Clinical criteria: </w:t>
            </w:r>
          </w:p>
        </w:tc>
      </w:tr>
      <w:tr w:rsidR="005E7BE6" w:rsidRPr="00247F47" w14:paraId="25AB3D62" w14:textId="77777777">
        <w:tblPrEx>
          <w:tblCellMar>
            <w:top w:w="15" w:type="dxa"/>
            <w:bottom w:w="15" w:type="dxa"/>
          </w:tblCellMar>
        </w:tblPrEx>
        <w:trPr>
          <w:cantSplit/>
          <w:trHeight w:val="20"/>
        </w:trPr>
        <w:tc>
          <w:tcPr>
            <w:tcW w:w="1273" w:type="dxa"/>
            <w:gridSpan w:val="2"/>
            <w:vAlign w:val="center"/>
            <w:hideMark/>
          </w:tcPr>
          <w:p w14:paraId="76AE0755" w14:textId="487BF076" w:rsidR="005E7BE6" w:rsidRPr="00247F47" w:rsidRDefault="005E7BE6">
            <w:pPr>
              <w:jc w:val="center"/>
              <w:rPr>
                <w:rFonts w:ascii="Arial Narrow" w:hAnsi="Arial Narrow"/>
                <w:iCs/>
                <w:sz w:val="20"/>
                <w:szCs w:val="20"/>
              </w:rPr>
            </w:pPr>
          </w:p>
        </w:tc>
        <w:tc>
          <w:tcPr>
            <w:tcW w:w="7748" w:type="dxa"/>
            <w:gridSpan w:val="6"/>
            <w:vAlign w:val="center"/>
            <w:hideMark/>
          </w:tcPr>
          <w:p w14:paraId="0D5C36B4" w14:textId="77777777" w:rsidR="005E7BE6" w:rsidRPr="00247F47" w:rsidRDefault="005E7BE6">
            <w:pPr>
              <w:rPr>
                <w:rFonts w:ascii="Arial Narrow" w:hAnsi="Arial Narrow"/>
                <w:iCs/>
                <w:sz w:val="20"/>
                <w:szCs w:val="20"/>
              </w:rPr>
            </w:pPr>
            <w:r w:rsidRPr="00247F47">
              <w:rPr>
                <w:rFonts w:ascii="Arial Narrow" w:hAnsi="Arial Narrow"/>
                <w:bCs/>
                <w:iCs/>
                <w:sz w:val="20"/>
              </w:rPr>
              <w:t>The condition must be either: (i) primary myelofibrosis, (ii) post-polycythaemia vera myelofibrosis, (iii) post-essential thrombocythaemia myelofibrosis, confirmed through a bone marrow biopsy report</w:t>
            </w:r>
          </w:p>
        </w:tc>
      </w:tr>
      <w:tr w:rsidR="005E7BE6" w:rsidRPr="00247F47" w14:paraId="3054BD70" w14:textId="77777777">
        <w:tblPrEx>
          <w:tblCellMar>
            <w:top w:w="15" w:type="dxa"/>
            <w:bottom w:w="15" w:type="dxa"/>
          </w:tblCellMar>
        </w:tblPrEx>
        <w:trPr>
          <w:cantSplit/>
          <w:trHeight w:val="20"/>
        </w:trPr>
        <w:tc>
          <w:tcPr>
            <w:tcW w:w="1273" w:type="dxa"/>
            <w:gridSpan w:val="2"/>
            <w:vAlign w:val="center"/>
            <w:hideMark/>
          </w:tcPr>
          <w:p w14:paraId="355E8F9A" w14:textId="77777777" w:rsidR="005E7BE6" w:rsidRPr="00247F47" w:rsidRDefault="005E7BE6">
            <w:pPr>
              <w:jc w:val="center"/>
              <w:rPr>
                <w:rFonts w:ascii="Arial Narrow" w:hAnsi="Arial Narrow"/>
                <w:iCs/>
                <w:sz w:val="20"/>
                <w:szCs w:val="20"/>
              </w:rPr>
            </w:pPr>
          </w:p>
        </w:tc>
        <w:tc>
          <w:tcPr>
            <w:tcW w:w="7748" w:type="dxa"/>
            <w:gridSpan w:val="6"/>
            <w:vAlign w:val="center"/>
            <w:hideMark/>
          </w:tcPr>
          <w:p w14:paraId="07B7C6DD"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AND</w:t>
            </w:r>
          </w:p>
        </w:tc>
      </w:tr>
      <w:tr w:rsidR="005E7BE6" w:rsidRPr="00247F47" w14:paraId="49209C1F" w14:textId="77777777">
        <w:tblPrEx>
          <w:tblCellMar>
            <w:top w:w="15" w:type="dxa"/>
            <w:bottom w:w="15" w:type="dxa"/>
          </w:tblCellMar>
        </w:tblPrEx>
        <w:trPr>
          <w:cantSplit/>
          <w:trHeight w:val="20"/>
        </w:trPr>
        <w:tc>
          <w:tcPr>
            <w:tcW w:w="1273" w:type="dxa"/>
            <w:gridSpan w:val="2"/>
            <w:vAlign w:val="center"/>
          </w:tcPr>
          <w:p w14:paraId="3DF45185" w14:textId="55C4C5BE" w:rsidR="005E7BE6" w:rsidRPr="00247F47" w:rsidRDefault="005E7BE6">
            <w:pPr>
              <w:jc w:val="center"/>
              <w:rPr>
                <w:rFonts w:ascii="Arial Narrow" w:hAnsi="Arial Narrow"/>
                <w:iCs/>
                <w:sz w:val="20"/>
                <w:szCs w:val="20"/>
              </w:rPr>
            </w:pPr>
          </w:p>
        </w:tc>
        <w:tc>
          <w:tcPr>
            <w:tcW w:w="7748" w:type="dxa"/>
            <w:gridSpan w:val="6"/>
            <w:vAlign w:val="center"/>
          </w:tcPr>
          <w:p w14:paraId="60E8415E" w14:textId="77777777" w:rsidR="005E7BE6" w:rsidRPr="00247F47" w:rsidRDefault="005E7BE6">
            <w:pPr>
              <w:rPr>
                <w:rFonts w:ascii="Arial Narrow" w:hAnsi="Arial Narrow"/>
                <w:b/>
                <w:bCs/>
                <w:iCs/>
                <w:sz w:val="20"/>
              </w:rPr>
            </w:pPr>
            <w:r w:rsidRPr="00247F47">
              <w:rPr>
                <w:rFonts w:ascii="Arial Narrow" w:hAnsi="Arial Narrow"/>
                <w:b/>
                <w:bCs/>
                <w:iCs/>
                <w:sz w:val="20"/>
              </w:rPr>
              <w:t>Clinical criteria:</w:t>
            </w:r>
          </w:p>
        </w:tc>
      </w:tr>
      <w:tr w:rsidR="005E7BE6" w:rsidRPr="00247F47" w14:paraId="5CB3ED80" w14:textId="77777777">
        <w:tblPrEx>
          <w:tblCellMar>
            <w:top w:w="15" w:type="dxa"/>
            <w:bottom w:w="15" w:type="dxa"/>
          </w:tblCellMar>
        </w:tblPrEx>
        <w:trPr>
          <w:cantSplit/>
          <w:trHeight w:val="20"/>
        </w:trPr>
        <w:tc>
          <w:tcPr>
            <w:tcW w:w="1273" w:type="dxa"/>
            <w:gridSpan w:val="2"/>
            <w:vAlign w:val="center"/>
          </w:tcPr>
          <w:p w14:paraId="03123D76" w14:textId="78E2F2EB" w:rsidR="005E7BE6" w:rsidRPr="00247F47" w:rsidRDefault="005E7BE6">
            <w:pPr>
              <w:jc w:val="center"/>
              <w:rPr>
                <w:rFonts w:ascii="Arial Narrow" w:hAnsi="Arial Narrow"/>
                <w:iCs/>
                <w:sz w:val="20"/>
                <w:szCs w:val="20"/>
              </w:rPr>
            </w:pPr>
          </w:p>
        </w:tc>
        <w:tc>
          <w:tcPr>
            <w:tcW w:w="7748" w:type="dxa"/>
            <w:gridSpan w:val="6"/>
            <w:vAlign w:val="center"/>
          </w:tcPr>
          <w:p w14:paraId="6DCC966E" w14:textId="77777777" w:rsidR="005E7BE6" w:rsidRPr="00247F47" w:rsidRDefault="005E7BE6">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r w:rsidR="005E7BE6" w:rsidRPr="00247F47" w14:paraId="6916627A" w14:textId="77777777">
        <w:tblPrEx>
          <w:tblCellMar>
            <w:top w:w="15" w:type="dxa"/>
            <w:bottom w:w="15" w:type="dxa"/>
          </w:tblCellMar>
        </w:tblPrEx>
        <w:trPr>
          <w:cantSplit/>
          <w:trHeight w:val="20"/>
        </w:trPr>
        <w:tc>
          <w:tcPr>
            <w:tcW w:w="1273" w:type="dxa"/>
            <w:gridSpan w:val="2"/>
            <w:vAlign w:val="center"/>
          </w:tcPr>
          <w:p w14:paraId="7DAB3BDC" w14:textId="358E2CF7" w:rsidR="005E7BE6" w:rsidRPr="00247F47" w:rsidRDefault="005E7BE6">
            <w:pPr>
              <w:jc w:val="center"/>
              <w:rPr>
                <w:rFonts w:ascii="Arial Narrow" w:hAnsi="Arial Narrow"/>
                <w:iCs/>
                <w:sz w:val="20"/>
                <w:szCs w:val="20"/>
              </w:rPr>
            </w:pPr>
          </w:p>
        </w:tc>
        <w:tc>
          <w:tcPr>
            <w:tcW w:w="7748" w:type="dxa"/>
            <w:gridSpan w:val="6"/>
            <w:vAlign w:val="center"/>
            <w:hideMark/>
          </w:tcPr>
          <w:p w14:paraId="2D246A7F"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Population criteria:</w:t>
            </w:r>
          </w:p>
        </w:tc>
      </w:tr>
      <w:tr w:rsidR="005E7BE6" w:rsidRPr="00247F47" w14:paraId="3ED03B6E" w14:textId="77777777">
        <w:tblPrEx>
          <w:tblCellMar>
            <w:top w:w="15" w:type="dxa"/>
            <w:bottom w:w="15" w:type="dxa"/>
          </w:tblCellMar>
        </w:tblPrEx>
        <w:trPr>
          <w:cantSplit/>
          <w:trHeight w:val="20"/>
        </w:trPr>
        <w:tc>
          <w:tcPr>
            <w:tcW w:w="1273" w:type="dxa"/>
            <w:gridSpan w:val="2"/>
            <w:vAlign w:val="center"/>
            <w:hideMark/>
          </w:tcPr>
          <w:p w14:paraId="1ACCC215" w14:textId="2A5FC27E" w:rsidR="005E7BE6" w:rsidRPr="00247F47" w:rsidRDefault="005E7BE6">
            <w:pPr>
              <w:jc w:val="center"/>
              <w:rPr>
                <w:rFonts w:ascii="Arial Narrow" w:hAnsi="Arial Narrow"/>
                <w:iCs/>
                <w:sz w:val="20"/>
                <w:szCs w:val="20"/>
              </w:rPr>
            </w:pPr>
          </w:p>
        </w:tc>
        <w:tc>
          <w:tcPr>
            <w:tcW w:w="7748" w:type="dxa"/>
            <w:gridSpan w:val="6"/>
            <w:vAlign w:val="center"/>
            <w:hideMark/>
          </w:tcPr>
          <w:p w14:paraId="3C3E585A" w14:textId="77777777" w:rsidR="005E7BE6" w:rsidRPr="00247F47" w:rsidRDefault="005E7BE6">
            <w:pPr>
              <w:rPr>
                <w:rFonts w:ascii="Arial Narrow" w:hAnsi="Arial Narrow"/>
                <w:iCs/>
                <w:sz w:val="20"/>
                <w:szCs w:val="20"/>
              </w:rPr>
            </w:pPr>
            <w:r w:rsidRPr="00247F47">
              <w:rPr>
                <w:rFonts w:ascii="Arial Narrow" w:hAnsi="Arial Narrow"/>
                <w:iCs/>
                <w:sz w:val="20"/>
              </w:rPr>
              <w:t>Patient must be at least 18 years of age.</w:t>
            </w:r>
          </w:p>
        </w:tc>
      </w:tr>
      <w:tr w:rsidR="005E7BE6" w:rsidRPr="00247F47" w14:paraId="6D7B9C3C" w14:textId="77777777">
        <w:tblPrEx>
          <w:tblCellMar>
            <w:top w:w="15" w:type="dxa"/>
            <w:bottom w:w="15" w:type="dxa"/>
          </w:tblCellMar>
        </w:tblPrEx>
        <w:trPr>
          <w:cantSplit/>
          <w:trHeight w:val="20"/>
        </w:trPr>
        <w:tc>
          <w:tcPr>
            <w:tcW w:w="1273" w:type="dxa"/>
            <w:gridSpan w:val="2"/>
            <w:vAlign w:val="center"/>
          </w:tcPr>
          <w:p w14:paraId="5584B06B" w14:textId="36B52F8B" w:rsidR="005E7BE6" w:rsidRPr="00247F47" w:rsidRDefault="005E7BE6">
            <w:pPr>
              <w:jc w:val="center"/>
              <w:rPr>
                <w:rFonts w:ascii="Arial Narrow" w:hAnsi="Arial Narrow"/>
                <w:iCs/>
                <w:sz w:val="20"/>
                <w:szCs w:val="20"/>
              </w:rPr>
            </w:pPr>
          </w:p>
        </w:tc>
        <w:tc>
          <w:tcPr>
            <w:tcW w:w="7748" w:type="dxa"/>
            <w:gridSpan w:val="6"/>
            <w:vAlign w:val="center"/>
          </w:tcPr>
          <w:p w14:paraId="5E70E152"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 xml:space="preserve">Prescribing Instructions: </w:t>
            </w:r>
          </w:p>
          <w:p w14:paraId="2B80E892" w14:textId="77777777" w:rsidR="005E7BE6" w:rsidRPr="00247F47" w:rsidRDefault="005E7BE6">
            <w:pPr>
              <w:rPr>
                <w:rFonts w:ascii="Arial Narrow" w:hAnsi="Arial Narrow"/>
                <w:iCs/>
                <w:sz w:val="20"/>
                <w:szCs w:val="20"/>
              </w:rPr>
            </w:pPr>
            <w:r w:rsidRPr="00247F47">
              <w:rPr>
                <w:rFonts w:ascii="Arial Narrow" w:hAnsi="Arial Narrow"/>
                <w:iCs/>
                <w:sz w:val="20"/>
                <w:szCs w:val="20"/>
              </w:rPr>
              <w:t xml:space="preserve">Details of the following must be documented in the patient’s medical records: </w:t>
            </w:r>
          </w:p>
          <w:p w14:paraId="0B670475" w14:textId="77777777" w:rsidR="005E7BE6" w:rsidRPr="00247F47" w:rsidRDefault="005E7BE6" w:rsidP="005E7BE6">
            <w:pPr>
              <w:numPr>
                <w:ilvl w:val="0"/>
                <w:numId w:val="14"/>
              </w:numPr>
              <w:contextualSpacing/>
              <w:rPr>
                <w:rFonts w:ascii="Arial Narrow" w:hAnsi="Arial Narrow"/>
                <w:iCs/>
                <w:sz w:val="20"/>
                <w:szCs w:val="20"/>
              </w:rPr>
            </w:pPr>
            <w:r w:rsidRPr="00247F47">
              <w:rPr>
                <w:rFonts w:ascii="Arial Narrow" w:hAnsi="Arial Narrow"/>
                <w:iCs/>
                <w:sz w:val="20"/>
                <w:szCs w:val="20"/>
              </w:rPr>
              <w:t xml:space="preserve">the bone marrow biopsy report confirming diagnosis of myelofibrosis (date, unique identifying number/code or provider number); and </w:t>
            </w:r>
          </w:p>
          <w:p w14:paraId="0A22A0B3" w14:textId="77777777" w:rsidR="005E7BE6" w:rsidRPr="00247F47" w:rsidRDefault="005E7BE6" w:rsidP="005E7BE6">
            <w:pPr>
              <w:numPr>
                <w:ilvl w:val="0"/>
                <w:numId w:val="14"/>
              </w:numPr>
              <w:contextualSpacing/>
              <w:rPr>
                <w:rFonts w:ascii="Arial Narrow" w:hAnsi="Arial Narrow"/>
                <w:iCs/>
                <w:sz w:val="20"/>
                <w:szCs w:val="20"/>
              </w:rPr>
            </w:pPr>
            <w:r w:rsidRPr="00247F47">
              <w:rPr>
                <w:rFonts w:ascii="Arial Narrow" w:hAnsi="Arial Narrow"/>
                <w:iCs/>
                <w:sz w:val="20"/>
                <w:szCs w:val="20"/>
              </w:rPr>
              <w:t>a classification of risk of myelofibrosis according to either the IPSS, DIPSS, or the Age-Adjusted DIPSS</w:t>
            </w:r>
          </w:p>
        </w:tc>
      </w:tr>
      <w:tr w:rsidR="005E7BE6" w:rsidRPr="00247F47" w14:paraId="4D184D5A" w14:textId="77777777">
        <w:tblPrEx>
          <w:tblCellMar>
            <w:top w:w="15" w:type="dxa"/>
            <w:bottom w:w="15" w:type="dxa"/>
          </w:tblCellMar>
        </w:tblPrEx>
        <w:trPr>
          <w:cantSplit/>
          <w:trHeight w:val="20"/>
        </w:trPr>
        <w:tc>
          <w:tcPr>
            <w:tcW w:w="1273" w:type="dxa"/>
            <w:gridSpan w:val="2"/>
            <w:vAlign w:val="center"/>
          </w:tcPr>
          <w:p w14:paraId="3A25A641" w14:textId="5FEDC42E" w:rsidR="005E7BE6" w:rsidRPr="00247F47" w:rsidRDefault="005E7BE6">
            <w:pPr>
              <w:jc w:val="center"/>
              <w:rPr>
                <w:rFonts w:ascii="Arial Narrow" w:hAnsi="Arial Narrow"/>
                <w:iCs/>
                <w:sz w:val="20"/>
                <w:szCs w:val="20"/>
              </w:rPr>
            </w:pPr>
          </w:p>
        </w:tc>
        <w:tc>
          <w:tcPr>
            <w:tcW w:w="7748" w:type="dxa"/>
            <w:gridSpan w:val="6"/>
            <w:vAlign w:val="center"/>
          </w:tcPr>
          <w:p w14:paraId="5167DA36"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 xml:space="preserve">Caution: </w:t>
            </w:r>
          </w:p>
          <w:p w14:paraId="182B3837" w14:textId="77777777" w:rsidR="005E7BE6" w:rsidRPr="00247F47" w:rsidRDefault="005E7BE6">
            <w:pPr>
              <w:rPr>
                <w:rFonts w:ascii="Arial Narrow" w:hAnsi="Arial Narrow"/>
                <w:iCs/>
                <w:sz w:val="20"/>
                <w:szCs w:val="20"/>
              </w:rPr>
            </w:pPr>
            <w:r w:rsidRPr="00247F47">
              <w:rPr>
                <w:rFonts w:ascii="Arial Narrow" w:hAnsi="Arial Narrow"/>
                <w:iCs/>
                <w:sz w:val="20"/>
                <w:szCs w:val="20"/>
              </w:rPr>
              <w:t xml:space="preserve">Thiamine levels should be assessed as per the approved Therapeutic Goods Administration (TGA) Product Information (PI) prior to receiving treatment and should be closely monitored throughout the treatment period. </w:t>
            </w:r>
          </w:p>
        </w:tc>
      </w:tr>
      <w:tr w:rsidR="005E7BE6" w:rsidRPr="00247F47" w14:paraId="54043386" w14:textId="77777777">
        <w:trPr>
          <w:cantSplit/>
          <w:trHeight w:val="20"/>
        </w:trPr>
        <w:tc>
          <w:tcPr>
            <w:tcW w:w="2579" w:type="dxa"/>
            <w:gridSpan w:val="3"/>
            <w:tcBorders>
              <w:top w:val="single" w:sz="4" w:space="0" w:color="auto"/>
              <w:left w:val="single" w:sz="4" w:space="0" w:color="auto"/>
              <w:bottom w:val="single" w:sz="4" w:space="0" w:color="auto"/>
              <w:right w:val="single" w:sz="4" w:space="0" w:color="auto"/>
            </w:tcBorders>
            <w:vAlign w:val="center"/>
            <w:hideMark/>
          </w:tcPr>
          <w:p w14:paraId="385C5874"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w:t>
            </w:r>
          </w:p>
          <w:p w14:paraId="49BA1D0D"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3F95D6F" w14:textId="77777777" w:rsidR="005E7BE6" w:rsidRPr="00247F47" w:rsidRDefault="005E7BE6">
            <w:pPr>
              <w:keepNext/>
              <w:jc w:val="center"/>
              <w:rPr>
                <w:rFonts w:ascii="Arial Narrow" w:eastAsia="MS Gothic" w:hAnsi="Arial Narrow"/>
                <w:b/>
                <w:iCs/>
                <w:sz w:val="20"/>
              </w:rPr>
            </w:pPr>
            <w:r w:rsidRPr="00247F47">
              <w:rPr>
                <w:rFonts w:ascii="Arial Narrow" w:eastAsia="MS Gothic" w:hAnsi="Arial Narrow"/>
                <w:b/>
                <w:iCs/>
                <w:sz w:val="20"/>
              </w:rPr>
              <w:t>Dispensed Price for Max. Qty</w:t>
            </w:r>
          </w:p>
        </w:tc>
        <w:tc>
          <w:tcPr>
            <w:tcW w:w="739" w:type="dxa"/>
            <w:tcBorders>
              <w:top w:val="single" w:sz="4" w:space="0" w:color="auto"/>
              <w:left w:val="single" w:sz="4" w:space="0" w:color="auto"/>
              <w:bottom w:val="single" w:sz="4" w:space="0" w:color="auto"/>
              <w:right w:val="single" w:sz="4" w:space="0" w:color="auto"/>
            </w:tcBorders>
            <w:vAlign w:val="center"/>
            <w:hideMark/>
          </w:tcPr>
          <w:p w14:paraId="10821969"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6A157974"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54E14CB4"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62486F01"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FD75C7F"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5E7BE6" w:rsidRPr="00247F47" w14:paraId="7B3554C1" w14:textId="77777777">
        <w:trPr>
          <w:cantSplit/>
          <w:trHeight w:val="20"/>
        </w:trPr>
        <w:tc>
          <w:tcPr>
            <w:tcW w:w="9021" w:type="dxa"/>
            <w:gridSpan w:val="8"/>
            <w:tcBorders>
              <w:top w:val="single" w:sz="4" w:space="0" w:color="auto"/>
              <w:left w:val="single" w:sz="4" w:space="0" w:color="auto"/>
              <w:bottom w:val="single" w:sz="4" w:space="0" w:color="auto"/>
              <w:right w:val="single" w:sz="4" w:space="0" w:color="auto"/>
            </w:tcBorders>
            <w:vAlign w:val="center"/>
            <w:hideMark/>
          </w:tcPr>
          <w:p w14:paraId="40398F25" w14:textId="77777777" w:rsidR="005E7BE6" w:rsidRPr="00247F47" w:rsidRDefault="005E7BE6">
            <w:pPr>
              <w:keepNext/>
              <w:rPr>
                <w:rFonts w:ascii="Arial Narrow" w:eastAsia="MS Gothic" w:hAnsi="Arial Narrow"/>
                <w:b/>
                <w:iCs/>
                <w:sz w:val="20"/>
                <w:szCs w:val="20"/>
              </w:rPr>
            </w:pPr>
            <w:r w:rsidRPr="00247F47">
              <w:rPr>
                <w:rFonts w:ascii="Arial Narrow" w:eastAsia="MS Gothic" w:hAnsi="Arial Narrow"/>
                <w:b/>
                <w:iCs/>
                <w:sz w:val="20"/>
              </w:rPr>
              <w:t>FEDRATINIB</w:t>
            </w:r>
          </w:p>
        </w:tc>
      </w:tr>
      <w:tr w:rsidR="005E7BE6" w:rsidRPr="00247F47" w14:paraId="68B0984D" w14:textId="77777777">
        <w:trPr>
          <w:cantSplit/>
          <w:trHeight w:val="20"/>
        </w:trPr>
        <w:tc>
          <w:tcPr>
            <w:tcW w:w="2579" w:type="dxa"/>
            <w:gridSpan w:val="3"/>
            <w:tcBorders>
              <w:top w:val="single" w:sz="4" w:space="0" w:color="auto"/>
              <w:left w:val="single" w:sz="4" w:space="0" w:color="auto"/>
              <w:bottom w:val="single" w:sz="4" w:space="0" w:color="auto"/>
              <w:right w:val="single" w:sz="4" w:space="0" w:color="auto"/>
            </w:tcBorders>
            <w:vAlign w:val="center"/>
            <w:hideMark/>
          </w:tcPr>
          <w:p w14:paraId="480179E8" w14:textId="77777777" w:rsidR="005E7BE6" w:rsidRPr="00247F47" w:rsidRDefault="005E7BE6">
            <w:pPr>
              <w:keepNext/>
              <w:rPr>
                <w:rFonts w:ascii="Arial Narrow" w:eastAsia="MS Gothic" w:hAnsi="Arial Narrow"/>
                <w:bCs/>
                <w:iCs/>
                <w:color w:val="0066FF"/>
                <w:sz w:val="20"/>
                <w:szCs w:val="20"/>
              </w:rPr>
            </w:pPr>
            <w:r w:rsidRPr="00247F47">
              <w:rPr>
                <w:rFonts w:ascii="Arial Narrow" w:eastAsia="MS Gothic" w:hAnsi="Arial Narrow"/>
                <w:bCs/>
                <w:iCs/>
                <w:sz w:val="20"/>
              </w:rPr>
              <w:t>Fedratinib 100 mg capsule, 120</w:t>
            </w:r>
          </w:p>
        </w:tc>
        <w:tc>
          <w:tcPr>
            <w:tcW w:w="2240" w:type="dxa"/>
            <w:tcBorders>
              <w:top w:val="single" w:sz="4" w:space="0" w:color="auto"/>
              <w:left w:val="single" w:sz="4" w:space="0" w:color="auto"/>
              <w:bottom w:val="single" w:sz="4" w:space="0" w:color="auto"/>
              <w:right w:val="single" w:sz="4" w:space="0" w:color="auto"/>
            </w:tcBorders>
            <w:hideMark/>
          </w:tcPr>
          <w:p w14:paraId="7BAE949E" w14:textId="77777777" w:rsidR="005E7BE6" w:rsidRPr="00201B4C" w:rsidRDefault="005E7BE6">
            <w:pPr>
              <w:keepNext/>
              <w:rPr>
                <w:rFonts w:ascii="Arial Narrow" w:eastAsia="MS Gothic" w:hAnsi="Arial Narrow"/>
                <w:bCs/>
                <w:iCs/>
                <w:sz w:val="20"/>
              </w:rPr>
            </w:pPr>
            <w:r w:rsidRPr="00247F47">
              <w:rPr>
                <w:rFonts w:ascii="Arial Narrow" w:eastAsia="MS Gothic" w:hAnsi="Arial Narrow"/>
                <w:bCs/>
                <w:iCs/>
                <w:sz w:val="20"/>
              </w:rPr>
              <w:t>$</w:t>
            </w:r>
            <w:r w:rsidRPr="00201B4C">
              <w:rPr>
                <w:rFonts w:ascii="Arial Narrow" w:eastAsia="MS Gothic" w:hAnsi="Arial Narrow"/>
                <w:bCs/>
                <w:iCs/>
                <w:sz w:val="20"/>
              </w:rPr>
              <w:t>10,515.60 (published)</w:t>
            </w:r>
          </w:p>
          <w:p w14:paraId="73885B58" w14:textId="00EB5DCB" w:rsidR="005E7BE6" w:rsidRPr="00247F47" w:rsidRDefault="005E7BE6">
            <w:pPr>
              <w:keepNext/>
              <w:rPr>
                <w:rFonts w:ascii="Arial Narrow" w:eastAsia="MS Gothic" w:hAnsi="Arial Narrow"/>
                <w:bCs/>
                <w:iCs/>
                <w:sz w:val="20"/>
                <w:szCs w:val="20"/>
              </w:rPr>
            </w:pPr>
            <w:r w:rsidRPr="00201B4C">
              <w:rPr>
                <w:rFonts w:ascii="Arial Narrow" w:eastAsia="MS Gothic" w:hAnsi="Arial Narrow"/>
                <w:bCs/>
                <w:iCs/>
                <w:sz w:val="20"/>
              </w:rPr>
              <w:t>$</w:t>
            </w:r>
            <w:r w:rsidR="00783DC2" w:rsidRPr="00783DC2">
              <w:rPr>
                <w:rFonts w:ascii="Arial Narrow" w:eastAsia="MS Gothic" w:hAnsi="Arial Narrow"/>
                <w:bCs/>
                <w:iCs/>
                <w:sz w:val="20"/>
                <w:highlight w:val="black"/>
              </w:rPr>
              <w:t>&amp;&amp;&amp;&amp;</w:t>
            </w:r>
            <w:r w:rsidR="00B44A35" w:rsidRPr="00B44A35">
              <w:rPr>
                <w:rFonts w:ascii="Arial Narrow" w:eastAsia="MS Gothic" w:hAnsi="Arial Narrow"/>
                <w:bCs/>
                <w:iCs/>
                <w:sz w:val="20"/>
              </w:rPr>
              <w:t xml:space="preserve"> </w:t>
            </w:r>
            <w:r w:rsidRPr="00201B4C">
              <w:rPr>
                <w:rFonts w:ascii="Arial Narrow" w:eastAsia="MS Gothic" w:hAnsi="Arial Narrow"/>
                <w:bCs/>
                <w:iCs/>
                <w:sz w:val="20"/>
              </w:rPr>
              <w:t>(effective)</w:t>
            </w:r>
          </w:p>
        </w:tc>
        <w:tc>
          <w:tcPr>
            <w:tcW w:w="739" w:type="dxa"/>
            <w:tcBorders>
              <w:top w:val="single" w:sz="4" w:space="0" w:color="auto"/>
              <w:left w:val="single" w:sz="4" w:space="0" w:color="auto"/>
              <w:bottom w:val="single" w:sz="4" w:space="0" w:color="auto"/>
              <w:right w:val="single" w:sz="4" w:space="0" w:color="auto"/>
            </w:tcBorders>
            <w:vAlign w:val="center"/>
            <w:hideMark/>
          </w:tcPr>
          <w:p w14:paraId="5125392D"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0F5714"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138C6B0B"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CF33122" w14:textId="77777777" w:rsidR="005E7BE6" w:rsidRPr="00247F47" w:rsidRDefault="005E7BE6">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005E7BE6" w:rsidRPr="00247F47" w14:paraId="0F902A18" w14:textId="77777777">
        <w:tblPrEx>
          <w:tblCellMar>
            <w:top w:w="15" w:type="dxa"/>
            <w:bottom w:w="15" w:type="dxa"/>
          </w:tblCellMar>
        </w:tblPrEx>
        <w:trPr>
          <w:trHeight w:val="20"/>
        </w:trPr>
        <w:tc>
          <w:tcPr>
            <w:tcW w:w="9021" w:type="dxa"/>
            <w:gridSpan w:val="8"/>
            <w:tcBorders>
              <w:top w:val="single" w:sz="4" w:space="0" w:color="auto"/>
              <w:left w:val="single" w:sz="4" w:space="0" w:color="auto"/>
              <w:right w:val="single" w:sz="4" w:space="0" w:color="auto"/>
            </w:tcBorders>
            <w:vAlign w:val="center"/>
          </w:tcPr>
          <w:p w14:paraId="59CFAF97"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Restriction Summary [new</w:t>
            </w:r>
            <w:r>
              <w:rPr>
                <w:rFonts w:ascii="Arial Narrow" w:hAnsi="Arial Narrow"/>
                <w:b/>
                <w:iCs/>
                <w:sz w:val="20"/>
                <w:szCs w:val="20"/>
              </w:rPr>
              <w:t>2</w:t>
            </w:r>
            <w:r w:rsidRPr="00247F47">
              <w:rPr>
                <w:rFonts w:ascii="Arial Narrow" w:hAnsi="Arial Narrow"/>
                <w:b/>
                <w:iCs/>
                <w:sz w:val="20"/>
                <w:szCs w:val="20"/>
              </w:rPr>
              <w:t>] / Treatment of Concept: [new</w:t>
            </w:r>
            <w:r>
              <w:rPr>
                <w:rFonts w:ascii="Arial Narrow" w:hAnsi="Arial Narrow"/>
                <w:b/>
                <w:iCs/>
                <w:sz w:val="20"/>
                <w:szCs w:val="20"/>
              </w:rPr>
              <w:t>2</w:t>
            </w:r>
            <w:r w:rsidRPr="00247F47">
              <w:rPr>
                <w:rFonts w:ascii="Arial Narrow" w:hAnsi="Arial Narrow"/>
                <w:b/>
                <w:iCs/>
                <w:sz w:val="20"/>
                <w:szCs w:val="20"/>
              </w:rPr>
              <w:t>A]</w:t>
            </w:r>
          </w:p>
        </w:tc>
      </w:tr>
      <w:tr w:rsidR="005E7BE6" w:rsidRPr="00247F47" w14:paraId="59D0F3DE" w14:textId="77777777">
        <w:tblPrEx>
          <w:tblCellMar>
            <w:top w:w="15" w:type="dxa"/>
            <w:bottom w:w="15" w:type="dxa"/>
          </w:tblCellMar>
        </w:tblPrEx>
        <w:trPr>
          <w:trHeight w:val="20"/>
        </w:trPr>
        <w:tc>
          <w:tcPr>
            <w:tcW w:w="1273" w:type="dxa"/>
            <w:gridSpan w:val="2"/>
            <w:vMerge w:val="restart"/>
            <w:tcBorders>
              <w:top w:val="single" w:sz="4" w:space="0" w:color="auto"/>
              <w:left w:val="single" w:sz="4" w:space="0" w:color="auto"/>
              <w:right w:val="single" w:sz="4" w:space="0" w:color="auto"/>
            </w:tcBorders>
          </w:tcPr>
          <w:p w14:paraId="28ABA653" w14:textId="77777777" w:rsidR="005E7BE6" w:rsidRPr="00247F47" w:rsidRDefault="005E7BE6">
            <w:pPr>
              <w:jc w:val="center"/>
              <w:rPr>
                <w:rFonts w:ascii="Arial Narrow" w:hAnsi="Arial Narrow"/>
                <w:b/>
                <w:iCs/>
                <w:sz w:val="20"/>
                <w:szCs w:val="20"/>
              </w:rPr>
            </w:pPr>
            <w:r w:rsidRPr="00247F47">
              <w:rPr>
                <w:rFonts w:ascii="Arial Narrow" w:hAnsi="Arial Narrow"/>
                <w:b/>
                <w:iCs/>
                <w:sz w:val="20"/>
                <w:szCs w:val="20"/>
              </w:rPr>
              <w:t xml:space="preserve">Concept ID </w:t>
            </w:r>
            <w:r w:rsidRPr="00247F47">
              <w:rPr>
                <w:rFonts w:ascii="Arial Narrow" w:hAnsi="Arial Narrow"/>
                <w:iCs/>
                <w:sz w:val="20"/>
                <w:szCs w:val="20"/>
              </w:rPr>
              <w:t>(for internal Dept. use)</w:t>
            </w: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5C187C31" w14:textId="77777777" w:rsidR="005E7BE6" w:rsidRPr="00247F47" w:rsidRDefault="005E7BE6">
            <w:pPr>
              <w:keepLines/>
              <w:rPr>
                <w:rFonts w:ascii="Arial Narrow"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p>
          <w:p w14:paraId="32614CED" w14:textId="69B18BD1" w:rsidR="005E7BE6" w:rsidRPr="00247F47" w:rsidRDefault="005E7BE6">
            <w:pPr>
              <w:keepLines/>
              <w:rPr>
                <w:rFonts w:ascii="Arial Narrow" w:hAnsi="Arial Narrow"/>
                <w:iCs/>
                <w:sz w:val="20"/>
                <w:szCs w:val="20"/>
              </w:rPr>
            </w:pPr>
            <w:r w:rsidRPr="00247F47">
              <w:rPr>
                <w:rFonts w:ascii="Arial Narrow" w:eastAsia="Calibri" w:hAnsi="Arial Narrow"/>
                <w:iCs/>
                <w:sz w:val="20"/>
                <w:szCs w:val="20"/>
              </w:rPr>
              <w:fldChar w:fldCharType="begin">
                <w:ffData>
                  <w:name w:val="Check1"/>
                  <w:enabled/>
                  <w:calcOnExit w:val="0"/>
                  <w:checkBox>
                    <w:sizeAuto/>
                    <w:default w:val="1"/>
                  </w:checkBox>
                </w:ffData>
              </w:fldChar>
            </w:r>
            <w:r w:rsidRPr="00247F47">
              <w:rPr>
                <w:rFonts w:ascii="Arial Narrow" w:eastAsia="Calibri" w:hAnsi="Arial Narrow"/>
                <w:iCs/>
                <w:sz w:val="20"/>
                <w:szCs w:val="20"/>
              </w:rPr>
              <w:instrText xml:space="preserve"> FORMCHECKBOX </w:instrText>
            </w:r>
            <w:r w:rsidRPr="00247F47">
              <w:rPr>
                <w:rFonts w:ascii="Arial Narrow" w:eastAsia="Calibri" w:hAnsi="Arial Narrow"/>
                <w:iCs/>
                <w:sz w:val="20"/>
                <w:szCs w:val="20"/>
              </w:rPr>
            </w:r>
            <w:r w:rsidRPr="00247F47">
              <w:rPr>
                <w:rFonts w:ascii="Arial Narrow" w:eastAsia="Calibri" w:hAnsi="Arial Narrow"/>
                <w:iCs/>
                <w:sz w:val="20"/>
                <w:szCs w:val="20"/>
              </w:rPr>
              <w:fldChar w:fldCharType="separate"/>
            </w:r>
            <w:r w:rsidRPr="00247F47">
              <w:rPr>
                <w:rFonts w:ascii="Arial Narrow" w:eastAsia="Calibri" w:hAnsi="Arial Narrow"/>
                <w:iCs/>
                <w:sz w:val="20"/>
                <w:szCs w:val="20"/>
              </w:rPr>
              <w:fldChar w:fldCharType="end"/>
            </w:r>
            <w:r w:rsidRPr="00247F47">
              <w:rPr>
                <w:rFonts w:ascii="Arial Narrow" w:eastAsia="Calibri" w:hAnsi="Arial Narrow"/>
                <w:iCs/>
                <w:sz w:val="20"/>
                <w:szCs w:val="20"/>
              </w:rPr>
              <w:t xml:space="preserve">GENERAL </w:t>
            </w:r>
            <w:r>
              <w:rPr>
                <w:rFonts w:ascii="Arial Narrow" w:eastAsia="Calibri" w:hAnsi="Arial Narrow"/>
                <w:iCs/>
                <w:sz w:val="20"/>
                <w:szCs w:val="20"/>
              </w:rPr>
              <w:t>–</w:t>
            </w:r>
            <w:r w:rsidRPr="00247F47">
              <w:rPr>
                <w:rFonts w:ascii="Arial Narrow" w:eastAsia="Calibri" w:hAnsi="Arial Narrow"/>
                <w:iCs/>
                <w:sz w:val="20"/>
                <w:szCs w:val="20"/>
              </w:rPr>
              <w:t xml:space="preserve"> General Schedule (Code GE) </w:t>
            </w:r>
          </w:p>
        </w:tc>
      </w:tr>
      <w:tr w:rsidR="005E7BE6" w:rsidRPr="00247F47" w14:paraId="259BC6C0" w14:textId="77777777">
        <w:tblPrEx>
          <w:tblCellMar>
            <w:top w:w="15" w:type="dxa"/>
            <w:bottom w:w="15" w:type="dxa"/>
          </w:tblCellMar>
        </w:tblPrEx>
        <w:trPr>
          <w:trHeight w:val="20"/>
        </w:trPr>
        <w:tc>
          <w:tcPr>
            <w:tcW w:w="1273" w:type="dxa"/>
            <w:gridSpan w:val="2"/>
            <w:vMerge/>
          </w:tcPr>
          <w:p w14:paraId="40286856"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6937792A"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 xml:space="preserve">Prescriber type: </w:t>
            </w:r>
          </w:p>
          <w:p w14:paraId="10303CDE" w14:textId="77777777" w:rsidR="005E7BE6" w:rsidRPr="00247F47" w:rsidRDefault="005E7BE6">
            <w:pPr>
              <w:keepLines/>
              <w:rPr>
                <w:rFonts w:ascii="Arial Narrow" w:hAnsi="Arial Narrow"/>
                <w:b/>
                <w:iCs/>
                <w:sz w:val="20"/>
                <w:szCs w:val="20"/>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Medical Practitioners </w:t>
            </w:r>
          </w:p>
        </w:tc>
      </w:tr>
      <w:tr w:rsidR="005E7BE6" w:rsidRPr="00247F47" w14:paraId="7C65BEBC" w14:textId="77777777">
        <w:tblPrEx>
          <w:tblCellMar>
            <w:top w:w="15" w:type="dxa"/>
            <w:bottom w:w="15" w:type="dxa"/>
          </w:tblCellMar>
        </w:tblPrEx>
        <w:trPr>
          <w:trHeight w:val="20"/>
        </w:trPr>
        <w:tc>
          <w:tcPr>
            <w:tcW w:w="1273" w:type="dxa"/>
            <w:gridSpan w:val="2"/>
            <w:vMerge/>
          </w:tcPr>
          <w:p w14:paraId="64246CC5"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646DA42C" w14:textId="77777777" w:rsidR="005E7BE6" w:rsidRPr="00247F47" w:rsidRDefault="005E7BE6">
            <w:pPr>
              <w:keepLines/>
              <w:rPr>
                <w:rFonts w:ascii="Arial Narrow" w:hAnsi="Arial Narrow"/>
                <w:b/>
                <w:iCs/>
                <w:color w:val="000000" w:themeColor="text1"/>
                <w:sz w:val="20"/>
                <w:szCs w:val="20"/>
              </w:rPr>
            </w:pPr>
            <w:r w:rsidRPr="00247F47">
              <w:rPr>
                <w:rFonts w:ascii="Arial Narrow" w:hAnsi="Arial Narrow"/>
                <w:b/>
                <w:iCs/>
                <w:color w:val="000000" w:themeColor="text1"/>
                <w:sz w:val="20"/>
                <w:szCs w:val="20"/>
              </w:rPr>
              <w:t xml:space="preserve">Restriction type: </w:t>
            </w:r>
          </w:p>
          <w:p w14:paraId="5D400752" w14:textId="77777777" w:rsidR="005E7BE6" w:rsidRPr="00247F47" w:rsidRDefault="005E7BE6">
            <w:pPr>
              <w:keepLines/>
              <w:rPr>
                <w:rFonts w:ascii="Arial Narrow" w:eastAsia="Calibri" w:hAnsi="Arial Narrow"/>
                <w:iCs/>
                <w:color w:val="000000" w:themeColor="text1"/>
                <w:sz w:val="20"/>
                <w:szCs w:val="20"/>
              </w:rPr>
            </w:pPr>
            <w:r w:rsidRPr="00247F47">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247F47">
              <w:rPr>
                <w:rFonts w:ascii="Arial Narrow" w:eastAsia="Calibri" w:hAnsi="Arial Narrow"/>
                <w:iCs/>
                <w:color w:val="000000" w:themeColor="text1"/>
                <w:sz w:val="20"/>
                <w:szCs w:val="20"/>
              </w:rPr>
              <w:instrText xml:space="preserve"> FORMCHECKBOX </w:instrText>
            </w:r>
            <w:r w:rsidRPr="00247F47">
              <w:rPr>
                <w:rFonts w:ascii="Arial Narrow" w:eastAsia="Calibri" w:hAnsi="Arial Narrow"/>
                <w:iCs/>
                <w:color w:val="000000" w:themeColor="text1"/>
                <w:sz w:val="20"/>
                <w:szCs w:val="20"/>
              </w:rPr>
            </w:r>
            <w:r w:rsidRPr="00247F47">
              <w:rPr>
                <w:rFonts w:ascii="Arial Narrow" w:eastAsia="Calibri" w:hAnsi="Arial Narrow"/>
                <w:iCs/>
                <w:color w:val="000000" w:themeColor="text1"/>
                <w:sz w:val="20"/>
                <w:szCs w:val="20"/>
              </w:rPr>
              <w:fldChar w:fldCharType="separate"/>
            </w:r>
            <w:r w:rsidRPr="00247F47">
              <w:rPr>
                <w:rFonts w:ascii="Arial Narrow" w:eastAsia="Calibri" w:hAnsi="Arial Narrow"/>
                <w:iCs/>
                <w:color w:val="000000" w:themeColor="text1"/>
                <w:sz w:val="20"/>
                <w:szCs w:val="20"/>
              </w:rPr>
              <w:fldChar w:fldCharType="end"/>
            </w:r>
            <w:r w:rsidRPr="00247F47">
              <w:rPr>
                <w:rFonts w:ascii="Arial Narrow" w:eastAsia="Calibri" w:hAnsi="Arial Narrow"/>
                <w:iCs/>
                <w:color w:val="000000" w:themeColor="text1"/>
                <w:sz w:val="20"/>
                <w:szCs w:val="20"/>
              </w:rPr>
              <w:t>Authority Required</w:t>
            </w:r>
            <w:r w:rsidRPr="003F7823">
              <w:rPr>
                <w:rFonts w:ascii="Arial Narrow" w:eastAsia="Calibri" w:hAnsi="Arial Narrow"/>
                <w:iCs/>
                <w:color w:val="000000" w:themeColor="text1"/>
                <w:sz w:val="20"/>
                <w:szCs w:val="20"/>
              </w:rPr>
              <w:t xml:space="preserve"> – </w:t>
            </w:r>
            <w:r w:rsidRPr="003F7823">
              <w:rPr>
                <w:rFonts w:ascii="Arial Narrow" w:eastAsia="Calibri" w:hAnsi="Arial Narrow"/>
                <w:color w:val="000000" w:themeColor="text1"/>
                <w:sz w:val="20"/>
              </w:rPr>
              <w:t>streamlined [new code]</w:t>
            </w:r>
          </w:p>
        </w:tc>
      </w:tr>
      <w:tr w:rsidR="005E7BE6" w:rsidRPr="00247F47" w14:paraId="17595D38" w14:textId="77777777">
        <w:tblPrEx>
          <w:tblCellMar>
            <w:top w:w="15" w:type="dxa"/>
            <w:bottom w:w="15" w:type="dxa"/>
          </w:tblCellMar>
        </w:tblPrEx>
        <w:trPr>
          <w:trHeight w:val="20"/>
        </w:trPr>
        <w:tc>
          <w:tcPr>
            <w:tcW w:w="488" w:type="dxa"/>
            <w:vMerge w:val="restart"/>
            <w:tcBorders>
              <w:left w:val="single" w:sz="4" w:space="0" w:color="auto"/>
              <w:right w:val="single" w:sz="4" w:space="0" w:color="auto"/>
            </w:tcBorders>
            <w:textDirection w:val="btLr"/>
            <w:vAlign w:val="center"/>
          </w:tcPr>
          <w:p w14:paraId="66532C5A" w14:textId="77777777" w:rsidR="005E7BE6" w:rsidRPr="00247F47" w:rsidRDefault="005E7BE6">
            <w:pPr>
              <w:jc w:val="center"/>
              <w:rPr>
                <w:rFonts w:ascii="Arial Narrow" w:hAnsi="Arial Narrow"/>
                <w:iCs/>
                <w:sz w:val="20"/>
                <w:szCs w:val="20"/>
              </w:rPr>
            </w:pPr>
            <w:r w:rsidRPr="00247F47">
              <w:rPr>
                <w:rFonts w:ascii="Arial Narrow" w:hAnsi="Arial Narrow"/>
                <w:iCs/>
                <w:sz w:val="20"/>
                <w:szCs w:val="20"/>
              </w:rPr>
              <w:t>Prescribing rule level</w:t>
            </w:r>
          </w:p>
        </w:tc>
        <w:tc>
          <w:tcPr>
            <w:tcW w:w="785" w:type="dxa"/>
            <w:vAlign w:val="center"/>
          </w:tcPr>
          <w:p w14:paraId="1FD974DB" w14:textId="3F8C0D00" w:rsidR="005E7BE6" w:rsidRPr="00540AF0" w:rsidRDefault="005E7BE6">
            <w:pPr>
              <w:jc w:val="center"/>
              <w:rPr>
                <w:rFonts w:ascii="Arial Narrow" w:hAnsi="Arial Narrow"/>
                <w:i/>
                <w:sz w:val="20"/>
                <w:szCs w:val="20"/>
              </w:rPr>
            </w:pPr>
          </w:p>
        </w:tc>
        <w:tc>
          <w:tcPr>
            <w:tcW w:w="7748" w:type="dxa"/>
            <w:gridSpan w:val="6"/>
            <w:vAlign w:val="center"/>
          </w:tcPr>
          <w:p w14:paraId="7464A835" w14:textId="77777777" w:rsidR="005E7BE6" w:rsidRPr="00540AF0" w:rsidRDefault="005E7BE6">
            <w:pPr>
              <w:rPr>
                <w:rFonts w:ascii="Arial Narrow" w:hAnsi="Arial Narrow"/>
                <w:i/>
                <w:color w:val="000000" w:themeColor="text1"/>
                <w:sz w:val="20"/>
                <w:szCs w:val="20"/>
              </w:rPr>
            </w:pPr>
            <w:r w:rsidRPr="00540AF0">
              <w:rPr>
                <w:rFonts w:ascii="Arial Narrow" w:hAnsi="Arial Narrow"/>
                <w:b/>
                <w:bCs/>
                <w:i/>
                <w:color w:val="000000" w:themeColor="text1"/>
                <w:sz w:val="20"/>
                <w:szCs w:val="20"/>
              </w:rPr>
              <w:t>Administrative Advice:</w:t>
            </w:r>
          </w:p>
          <w:p w14:paraId="5495F15D" w14:textId="77777777" w:rsidR="005E7BE6" w:rsidRPr="00247F47" w:rsidRDefault="005E7BE6">
            <w:pPr>
              <w:rPr>
                <w:rFonts w:ascii="Arial Narrow" w:hAnsi="Arial Narrow"/>
                <w:i/>
                <w:color w:val="000000" w:themeColor="text1"/>
                <w:sz w:val="20"/>
                <w:szCs w:val="20"/>
              </w:rPr>
            </w:pPr>
            <w:r w:rsidRPr="00540AF0">
              <w:rPr>
                <w:rFonts w:ascii="Arial Narrow" w:hAnsi="Arial Narrow"/>
                <w:i/>
                <w:color w:val="000000" w:themeColor="text1"/>
                <w:sz w:val="20"/>
                <w:szCs w:val="20"/>
              </w:rPr>
              <w:t>No increase in the maximum quantity or number of units may be authorised.</w:t>
            </w:r>
          </w:p>
        </w:tc>
      </w:tr>
      <w:tr w:rsidR="005E7BE6" w:rsidRPr="00247F47" w14:paraId="7A95A6E5" w14:textId="77777777">
        <w:tblPrEx>
          <w:tblCellMar>
            <w:top w:w="15" w:type="dxa"/>
            <w:bottom w:w="15" w:type="dxa"/>
          </w:tblCellMar>
        </w:tblPrEx>
        <w:trPr>
          <w:trHeight w:val="20"/>
        </w:trPr>
        <w:tc>
          <w:tcPr>
            <w:tcW w:w="488" w:type="dxa"/>
            <w:vMerge/>
          </w:tcPr>
          <w:p w14:paraId="5A59FE6A" w14:textId="77777777" w:rsidR="005E7BE6" w:rsidRPr="00247F47" w:rsidRDefault="005E7BE6">
            <w:pPr>
              <w:rPr>
                <w:rFonts w:ascii="Arial Narrow" w:hAnsi="Arial Narrow"/>
                <w:iCs/>
                <w:sz w:val="20"/>
                <w:szCs w:val="20"/>
              </w:rPr>
            </w:pPr>
          </w:p>
        </w:tc>
        <w:tc>
          <w:tcPr>
            <w:tcW w:w="785" w:type="dxa"/>
            <w:vAlign w:val="center"/>
          </w:tcPr>
          <w:p w14:paraId="498216E0" w14:textId="7ADB8F3D" w:rsidR="005E7BE6" w:rsidRPr="00540AF0" w:rsidRDefault="005E7BE6">
            <w:pPr>
              <w:jc w:val="center"/>
              <w:rPr>
                <w:rFonts w:ascii="Arial Narrow" w:hAnsi="Arial Narrow"/>
                <w:i/>
                <w:sz w:val="20"/>
                <w:szCs w:val="20"/>
              </w:rPr>
            </w:pPr>
          </w:p>
        </w:tc>
        <w:tc>
          <w:tcPr>
            <w:tcW w:w="7748" w:type="dxa"/>
            <w:gridSpan w:val="6"/>
            <w:vAlign w:val="center"/>
          </w:tcPr>
          <w:p w14:paraId="1EB47E92" w14:textId="77777777" w:rsidR="005E7BE6" w:rsidRPr="00540AF0" w:rsidRDefault="005E7BE6">
            <w:pPr>
              <w:rPr>
                <w:rFonts w:ascii="Arial Narrow" w:hAnsi="Arial Narrow"/>
                <w:b/>
                <w:bCs/>
                <w:i/>
                <w:color w:val="000000" w:themeColor="text1"/>
                <w:sz w:val="20"/>
                <w:szCs w:val="20"/>
              </w:rPr>
            </w:pPr>
            <w:r w:rsidRPr="00540AF0">
              <w:rPr>
                <w:rFonts w:ascii="Arial Narrow" w:hAnsi="Arial Narrow"/>
                <w:b/>
                <w:bCs/>
                <w:i/>
                <w:color w:val="000000" w:themeColor="text1"/>
                <w:sz w:val="20"/>
                <w:szCs w:val="20"/>
              </w:rPr>
              <w:t>Administrative Advice:</w:t>
            </w:r>
          </w:p>
          <w:p w14:paraId="0D686FCC" w14:textId="77777777" w:rsidR="005E7BE6" w:rsidRPr="00247F47" w:rsidRDefault="005E7BE6">
            <w:pPr>
              <w:rPr>
                <w:rFonts w:ascii="Arial Narrow" w:hAnsi="Arial Narrow"/>
                <w:b/>
                <w:bCs/>
                <w:i/>
                <w:color w:val="000000" w:themeColor="text1"/>
                <w:sz w:val="20"/>
                <w:szCs w:val="20"/>
              </w:rPr>
            </w:pPr>
            <w:r w:rsidRPr="00540AF0">
              <w:rPr>
                <w:rFonts w:ascii="Arial Narrow" w:hAnsi="Arial Narrow"/>
                <w:i/>
                <w:color w:val="000000" w:themeColor="text1"/>
                <w:sz w:val="20"/>
                <w:szCs w:val="20"/>
              </w:rPr>
              <w:t>No increase in the maximum number of repeats may be authorised.</w:t>
            </w:r>
          </w:p>
        </w:tc>
      </w:tr>
      <w:tr w:rsidR="005E7BE6" w:rsidRPr="00247F47" w14:paraId="09749B35" w14:textId="77777777">
        <w:tblPrEx>
          <w:tblCellMar>
            <w:top w:w="15" w:type="dxa"/>
            <w:bottom w:w="15" w:type="dxa"/>
          </w:tblCellMar>
        </w:tblPrEx>
        <w:trPr>
          <w:trHeight w:val="20"/>
        </w:trPr>
        <w:tc>
          <w:tcPr>
            <w:tcW w:w="488" w:type="dxa"/>
            <w:vMerge/>
          </w:tcPr>
          <w:p w14:paraId="5A308B76" w14:textId="77777777" w:rsidR="005E7BE6" w:rsidRPr="00247F47" w:rsidRDefault="005E7BE6">
            <w:pPr>
              <w:rPr>
                <w:rFonts w:ascii="Arial Narrow" w:hAnsi="Arial Narrow"/>
                <w:iCs/>
                <w:sz w:val="20"/>
                <w:szCs w:val="20"/>
              </w:rPr>
            </w:pPr>
          </w:p>
        </w:tc>
        <w:tc>
          <w:tcPr>
            <w:tcW w:w="785" w:type="dxa"/>
            <w:vAlign w:val="center"/>
          </w:tcPr>
          <w:p w14:paraId="136319D8" w14:textId="541319FC" w:rsidR="005E7BE6" w:rsidRPr="00247F47" w:rsidRDefault="005E7BE6">
            <w:pPr>
              <w:jc w:val="center"/>
              <w:rPr>
                <w:rFonts w:ascii="Arial Narrow" w:hAnsi="Arial Narrow"/>
                <w:iCs/>
                <w:sz w:val="20"/>
                <w:szCs w:val="20"/>
              </w:rPr>
            </w:pPr>
          </w:p>
        </w:tc>
        <w:tc>
          <w:tcPr>
            <w:tcW w:w="7748" w:type="dxa"/>
            <w:gridSpan w:val="6"/>
            <w:vAlign w:val="center"/>
          </w:tcPr>
          <w:p w14:paraId="5BE31D21" w14:textId="77777777" w:rsidR="005E7BE6" w:rsidRPr="00247F47" w:rsidRDefault="005E7BE6">
            <w:pPr>
              <w:rPr>
                <w:rFonts w:ascii="Arial Narrow" w:hAnsi="Arial Narrow"/>
                <w:b/>
                <w:bCs/>
                <w:iCs/>
                <w:color w:val="000000" w:themeColor="text1"/>
                <w:sz w:val="20"/>
                <w:szCs w:val="20"/>
              </w:rPr>
            </w:pPr>
            <w:r w:rsidRPr="00247F47">
              <w:rPr>
                <w:rFonts w:ascii="Arial Narrow" w:hAnsi="Arial Narrow"/>
                <w:b/>
                <w:bCs/>
                <w:iCs/>
                <w:color w:val="000000" w:themeColor="text1"/>
                <w:sz w:val="20"/>
                <w:szCs w:val="20"/>
              </w:rPr>
              <w:t>Administrative Advice:</w:t>
            </w:r>
          </w:p>
          <w:p w14:paraId="32E15487" w14:textId="77777777" w:rsidR="005E7BE6" w:rsidRPr="00247F47" w:rsidRDefault="005E7BE6">
            <w:pPr>
              <w:rPr>
                <w:rFonts w:ascii="Arial Narrow" w:hAnsi="Arial Narrow"/>
                <w:b/>
                <w:bCs/>
                <w:iCs/>
                <w:color w:val="000000" w:themeColor="text1"/>
                <w:sz w:val="20"/>
                <w:szCs w:val="20"/>
              </w:rPr>
            </w:pPr>
            <w:r w:rsidRPr="00247F47">
              <w:rPr>
                <w:rFonts w:ascii="Arial Narrow" w:hAnsi="Arial Narrow"/>
                <w:iCs/>
                <w:color w:val="000000" w:themeColor="text1"/>
                <w:sz w:val="20"/>
                <w:szCs w:val="20"/>
              </w:rPr>
              <w:t>Special Pricing Arrangements apply.</w:t>
            </w:r>
          </w:p>
        </w:tc>
      </w:tr>
      <w:tr w:rsidR="005E7BE6" w:rsidRPr="00247F47" w14:paraId="4E919055" w14:textId="77777777">
        <w:tblPrEx>
          <w:tblCellMar>
            <w:top w:w="15" w:type="dxa"/>
            <w:bottom w:w="15" w:type="dxa"/>
          </w:tblCellMar>
        </w:tblPrEx>
        <w:trPr>
          <w:trHeight w:val="20"/>
        </w:trPr>
        <w:tc>
          <w:tcPr>
            <w:tcW w:w="488" w:type="dxa"/>
            <w:vMerge/>
          </w:tcPr>
          <w:p w14:paraId="597303C3" w14:textId="77777777" w:rsidR="005E7BE6" w:rsidRPr="00247F47" w:rsidRDefault="005E7BE6">
            <w:pPr>
              <w:rPr>
                <w:rFonts w:ascii="Arial Narrow" w:hAnsi="Arial Narrow"/>
                <w:iCs/>
                <w:sz w:val="20"/>
                <w:szCs w:val="20"/>
              </w:rPr>
            </w:pPr>
          </w:p>
        </w:tc>
        <w:tc>
          <w:tcPr>
            <w:tcW w:w="785" w:type="dxa"/>
            <w:vAlign w:val="center"/>
          </w:tcPr>
          <w:p w14:paraId="2C6442EE" w14:textId="7BD8B814" w:rsidR="005E7BE6" w:rsidRPr="00247F47" w:rsidRDefault="005E7BE6">
            <w:pPr>
              <w:jc w:val="center"/>
              <w:rPr>
                <w:rFonts w:ascii="Arial Narrow" w:hAnsi="Arial Narrow"/>
                <w:iCs/>
                <w:sz w:val="20"/>
                <w:szCs w:val="20"/>
              </w:rPr>
            </w:pPr>
          </w:p>
        </w:tc>
        <w:tc>
          <w:tcPr>
            <w:tcW w:w="7748" w:type="dxa"/>
            <w:gridSpan w:val="6"/>
            <w:vAlign w:val="center"/>
          </w:tcPr>
          <w:p w14:paraId="1D687E4D" w14:textId="77777777" w:rsidR="005E7BE6" w:rsidRPr="00247F47" w:rsidRDefault="005E7BE6">
            <w:pPr>
              <w:rPr>
                <w:rFonts w:ascii="Arial Narrow" w:hAnsi="Arial Narrow"/>
                <w:bCs/>
                <w:iCs/>
                <w:color w:val="000000" w:themeColor="text1"/>
                <w:sz w:val="20"/>
                <w:szCs w:val="20"/>
              </w:rPr>
            </w:pPr>
            <w:r w:rsidRPr="00247F47">
              <w:rPr>
                <w:rFonts w:ascii="Arial Narrow" w:hAnsi="Arial Narrow"/>
                <w:b/>
                <w:bCs/>
                <w:iCs/>
                <w:color w:val="000000" w:themeColor="text1"/>
                <w:sz w:val="20"/>
                <w:szCs w:val="20"/>
              </w:rPr>
              <w:t xml:space="preserve">Administrative Advice: </w:t>
            </w:r>
          </w:p>
          <w:p w14:paraId="4CC221A5" w14:textId="77777777" w:rsidR="005E7BE6" w:rsidRPr="00247F47" w:rsidRDefault="005E7BE6">
            <w:pPr>
              <w:rPr>
                <w:rFonts w:ascii="Arial Narrow" w:hAnsi="Arial Narrow"/>
                <w:b/>
                <w:bCs/>
                <w:iCs/>
                <w:color w:val="000000" w:themeColor="text1"/>
                <w:sz w:val="20"/>
                <w:szCs w:val="20"/>
              </w:rPr>
            </w:pPr>
            <w:r w:rsidRPr="00247F47">
              <w:rPr>
                <w:rFonts w:ascii="Arial Narrow" w:hAnsi="Arial Narrow"/>
                <w:iCs/>
                <w:color w:val="000000" w:themeColor="text1"/>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color w:val="000000" w:themeColor="text1"/>
                <w:sz w:val="20"/>
                <w:szCs w:val="20"/>
              </w:rPr>
              <w:t>aaDIPSS</w:t>
            </w:r>
            <w:proofErr w:type="spellEnd"/>
            <w:r w:rsidRPr="00247F47">
              <w:rPr>
                <w:rFonts w:ascii="Arial Narrow" w:hAnsi="Arial Narrow"/>
                <w:iCs/>
                <w:color w:val="000000" w:themeColor="text1"/>
                <w:sz w:val="20"/>
                <w:szCs w:val="20"/>
              </w:rPr>
              <w:t>).</w:t>
            </w:r>
          </w:p>
        </w:tc>
      </w:tr>
      <w:tr w:rsidR="005E7BE6" w:rsidRPr="00247F47" w14:paraId="7DFC4CB8" w14:textId="77777777">
        <w:tblPrEx>
          <w:tblCellMar>
            <w:top w:w="15" w:type="dxa"/>
            <w:bottom w:w="15" w:type="dxa"/>
          </w:tblCellMar>
        </w:tblPrEx>
        <w:trPr>
          <w:trHeight w:val="20"/>
        </w:trPr>
        <w:tc>
          <w:tcPr>
            <w:tcW w:w="488" w:type="dxa"/>
            <w:vMerge/>
          </w:tcPr>
          <w:p w14:paraId="415ADB1B" w14:textId="77777777" w:rsidR="005E7BE6" w:rsidRPr="00247F47" w:rsidRDefault="005E7BE6">
            <w:pPr>
              <w:rPr>
                <w:rFonts w:ascii="Arial Narrow" w:hAnsi="Arial Narrow"/>
                <w:iCs/>
                <w:sz w:val="20"/>
                <w:szCs w:val="20"/>
              </w:rPr>
            </w:pPr>
          </w:p>
        </w:tc>
        <w:tc>
          <w:tcPr>
            <w:tcW w:w="785" w:type="dxa"/>
            <w:vAlign w:val="center"/>
          </w:tcPr>
          <w:p w14:paraId="5594668F" w14:textId="77777777" w:rsidR="005E7BE6" w:rsidRPr="00247F47" w:rsidRDefault="005E7BE6">
            <w:pPr>
              <w:jc w:val="center"/>
              <w:rPr>
                <w:rFonts w:ascii="Arial Narrow" w:hAnsi="Arial Narrow"/>
                <w:iCs/>
                <w:sz w:val="20"/>
                <w:szCs w:val="20"/>
              </w:rPr>
            </w:pPr>
          </w:p>
        </w:tc>
        <w:tc>
          <w:tcPr>
            <w:tcW w:w="7748" w:type="dxa"/>
            <w:gridSpan w:val="6"/>
            <w:vAlign w:val="center"/>
          </w:tcPr>
          <w:p w14:paraId="392F6E4A" w14:textId="77777777" w:rsidR="005E7BE6" w:rsidRPr="00247F47" w:rsidRDefault="005E7BE6">
            <w:pPr>
              <w:rPr>
                <w:rFonts w:ascii="Arial Narrow" w:hAnsi="Arial Narrow"/>
                <w:b/>
                <w:bCs/>
                <w:iCs/>
                <w:strike/>
                <w:color w:val="000000" w:themeColor="text1"/>
                <w:sz w:val="20"/>
                <w:szCs w:val="20"/>
              </w:rPr>
            </w:pPr>
            <w:r w:rsidRPr="00247F47">
              <w:rPr>
                <w:rFonts w:ascii="Arial Narrow" w:hAnsi="Arial Narrow"/>
                <w:b/>
                <w:bCs/>
                <w:iCs/>
                <w:strike/>
                <w:color w:val="000000" w:themeColor="text1"/>
                <w:sz w:val="20"/>
                <w:szCs w:val="20"/>
              </w:rPr>
              <w:t xml:space="preserve">Administrative Advice: </w:t>
            </w:r>
          </w:p>
          <w:p w14:paraId="6BA6EDC3" w14:textId="77777777" w:rsidR="005E7BE6" w:rsidRPr="00247F47" w:rsidRDefault="005E7BE6">
            <w:pPr>
              <w:rPr>
                <w:rFonts w:ascii="Arial Narrow" w:hAnsi="Arial Narrow"/>
                <w:bCs/>
                <w:iCs/>
                <w:strike/>
                <w:color w:val="000000" w:themeColor="text1"/>
                <w:sz w:val="20"/>
                <w:szCs w:val="20"/>
              </w:rPr>
            </w:pPr>
            <w:r w:rsidRPr="003F7823">
              <w:rPr>
                <w:rFonts w:ascii="Arial Narrow" w:hAnsi="Arial Narrow"/>
                <w:bCs/>
                <w:iCs/>
                <w:strike/>
                <w:color w:val="000000" w:themeColor="text1"/>
                <w:sz w:val="20"/>
                <w:szCs w:val="20"/>
              </w:rPr>
              <w:t xml:space="preserve">Applications for authorisation under this restriction may be made in real time using the Online PBS Authorities system (see </w:t>
            </w:r>
            <w:hyperlink r:id="rId11" w:history="1">
              <w:r w:rsidRPr="003F7823">
                <w:rPr>
                  <w:rStyle w:val="Hyperlink"/>
                  <w:rFonts w:ascii="Arial Narrow" w:hAnsi="Arial Narrow"/>
                  <w:bCs/>
                  <w:iCs/>
                  <w:strike/>
                  <w:color w:val="000000" w:themeColor="text1"/>
                  <w:sz w:val="20"/>
                  <w:szCs w:val="20"/>
                </w:rPr>
                <w:t>www.servicesaustralia</w:t>
              </w:r>
            </w:hyperlink>
            <w:r w:rsidRPr="003F7823">
              <w:rPr>
                <w:rFonts w:ascii="Arial Narrow" w:hAnsi="Arial Narrow"/>
                <w:bCs/>
                <w:iCs/>
                <w:strike/>
                <w:color w:val="000000" w:themeColor="text1"/>
                <w:sz w:val="20"/>
                <w:szCs w:val="20"/>
              </w:rPr>
              <w:t>.gov.au/HPOS) or by telephone by contacting Services Australia on 1800 700 270.</w:t>
            </w:r>
          </w:p>
        </w:tc>
      </w:tr>
      <w:tr w:rsidR="005E7BE6" w:rsidRPr="00247F47" w14:paraId="251D0F4B" w14:textId="77777777">
        <w:tblPrEx>
          <w:tblCellMar>
            <w:top w:w="15" w:type="dxa"/>
            <w:bottom w:w="15" w:type="dxa"/>
          </w:tblCellMar>
        </w:tblPrEx>
        <w:trPr>
          <w:cantSplit/>
          <w:trHeight w:val="20"/>
        </w:trPr>
        <w:tc>
          <w:tcPr>
            <w:tcW w:w="1273" w:type="dxa"/>
            <w:gridSpan w:val="2"/>
            <w:vAlign w:val="center"/>
            <w:hideMark/>
          </w:tcPr>
          <w:p w14:paraId="53182AD9" w14:textId="441AC7CF" w:rsidR="005E7BE6" w:rsidRPr="00247F47" w:rsidRDefault="005E7BE6">
            <w:pPr>
              <w:keepLines/>
              <w:jc w:val="center"/>
              <w:rPr>
                <w:rFonts w:ascii="Arial Narrow" w:hAnsi="Arial Narrow"/>
                <w:iCs/>
                <w:sz w:val="20"/>
                <w:szCs w:val="20"/>
              </w:rPr>
            </w:pPr>
          </w:p>
        </w:tc>
        <w:tc>
          <w:tcPr>
            <w:tcW w:w="7748" w:type="dxa"/>
            <w:gridSpan w:val="6"/>
            <w:vAlign w:val="center"/>
            <w:hideMark/>
          </w:tcPr>
          <w:p w14:paraId="6130B859" w14:textId="77777777" w:rsidR="005E7BE6" w:rsidRPr="00247F47" w:rsidRDefault="005E7BE6">
            <w:pPr>
              <w:keepLines/>
              <w:rPr>
                <w:rFonts w:ascii="Arial Narrow" w:hAnsi="Arial Narrow"/>
                <w:iCs/>
                <w:sz w:val="20"/>
                <w:szCs w:val="20"/>
              </w:rPr>
            </w:pPr>
            <w:r w:rsidRPr="00247F47">
              <w:rPr>
                <w:rFonts w:ascii="Arial Narrow" w:hAnsi="Arial Narrow"/>
                <w:b/>
                <w:bCs/>
                <w:iCs/>
                <w:sz w:val="20"/>
                <w:szCs w:val="20"/>
              </w:rPr>
              <w:t>Indication:</w:t>
            </w:r>
            <w:r w:rsidRPr="00247F47">
              <w:rPr>
                <w:rFonts w:ascii="Arial Narrow" w:hAnsi="Arial Narrow"/>
                <w:iCs/>
                <w:sz w:val="20"/>
                <w:szCs w:val="20"/>
              </w:rPr>
              <w:t xml:space="preserve"> </w:t>
            </w:r>
            <w:r w:rsidRPr="00247F47">
              <w:rPr>
                <w:rFonts w:ascii="Arial Narrow" w:hAnsi="Arial Narrow"/>
                <w:iCs/>
                <w:sz w:val="20"/>
              </w:rPr>
              <w:t>High-risk and intermediate-2 risk myelofibrosis</w:t>
            </w:r>
          </w:p>
        </w:tc>
      </w:tr>
      <w:tr w:rsidR="005E7BE6" w:rsidRPr="00247F47" w14:paraId="43B687B9" w14:textId="77777777">
        <w:tblPrEx>
          <w:tblCellMar>
            <w:top w:w="15" w:type="dxa"/>
            <w:bottom w:w="15" w:type="dxa"/>
          </w:tblCellMar>
        </w:tblPrEx>
        <w:trPr>
          <w:cantSplit/>
          <w:trHeight w:val="20"/>
        </w:trPr>
        <w:tc>
          <w:tcPr>
            <w:tcW w:w="1273" w:type="dxa"/>
            <w:gridSpan w:val="2"/>
            <w:vAlign w:val="center"/>
          </w:tcPr>
          <w:p w14:paraId="66E0655E" w14:textId="77777777" w:rsidR="005E7BE6" w:rsidRPr="00247F47" w:rsidRDefault="005E7BE6">
            <w:pPr>
              <w:keepLines/>
              <w:jc w:val="center"/>
              <w:rPr>
                <w:rFonts w:ascii="Arial Narrow" w:hAnsi="Arial Narrow"/>
                <w:iCs/>
                <w:sz w:val="20"/>
                <w:szCs w:val="20"/>
              </w:rPr>
            </w:pPr>
          </w:p>
        </w:tc>
        <w:tc>
          <w:tcPr>
            <w:tcW w:w="7748" w:type="dxa"/>
            <w:gridSpan w:val="6"/>
            <w:vAlign w:val="center"/>
          </w:tcPr>
          <w:p w14:paraId="499DBF09" w14:textId="77777777" w:rsidR="005E7BE6" w:rsidRPr="00247F47" w:rsidRDefault="005E7BE6">
            <w:pPr>
              <w:keepLines/>
              <w:rPr>
                <w:rFonts w:ascii="Arial Narrow" w:hAnsi="Arial Narrow"/>
                <w:b/>
                <w:bCs/>
                <w:iCs/>
                <w:sz w:val="20"/>
                <w:szCs w:val="20"/>
              </w:rPr>
            </w:pPr>
            <w:r>
              <w:rPr>
                <w:rFonts w:ascii="Arial Narrow" w:hAnsi="Arial Narrow"/>
                <w:b/>
                <w:bCs/>
                <w:iCs/>
                <w:sz w:val="20"/>
                <w:szCs w:val="20"/>
              </w:rPr>
              <w:t>Treatment Phase:</w:t>
            </w:r>
            <w:r>
              <w:rPr>
                <w:rFonts w:ascii="Arial Narrow" w:hAnsi="Arial Narrow"/>
                <w:iCs/>
                <w:sz w:val="20"/>
                <w:szCs w:val="20"/>
              </w:rPr>
              <w:t xml:space="preserve"> Continuing</w:t>
            </w:r>
            <w:r w:rsidRPr="00021104">
              <w:rPr>
                <w:rFonts w:ascii="Arial Narrow" w:hAnsi="Arial Narrow"/>
                <w:iCs/>
                <w:sz w:val="20"/>
                <w:szCs w:val="20"/>
              </w:rPr>
              <w:t xml:space="preserve"> treatment</w:t>
            </w:r>
          </w:p>
        </w:tc>
      </w:tr>
      <w:tr w:rsidR="005E7BE6" w:rsidRPr="00247F47" w14:paraId="5DDBE337" w14:textId="77777777">
        <w:tblPrEx>
          <w:tblCellMar>
            <w:top w:w="15" w:type="dxa"/>
            <w:bottom w:w="15" w:type="dxa"/>
          </w:tblCellMar>
        </w:tblPrEx>
        <w:trPr>
          <w:cantSplit/>
          <w:trHeight w:val="20"/>
        </w:trPr>
        <w:tc>
          <w:tcPr>
            <w:tcW w:w="1273" w:type="dxa"/>
            <w:gridSpan w:val="2"/>
            <w:vAlign w:val="center"/>
          </w:tcPr>
          <w:p w14:paraId="4C819AAD" w14:textId="52702372" w:rsidR="005E7BE6" w:rsidRPr="00247F47" w:rsidRDefault="005E7BE6">
            <w:pPr>
              <w:jc w:val="center"/>
              <w:rPr>
                <w:rFonts w:ascii="Arial Narrow" w:hAnsi="Arial Narrow"/>
                <w:iCs/>
                <w:sz w:val="20"/>
                <w:szCs w:val="20"/>
              </w:rPr>
            </w:pPr>
          </w:p>
        </w:tc>
        <w:tc>
          <w:tcPr>
            <w:tcW w:w="7748" w:type="dxa"/>
            <w:gridSpan w:val="6"/>
            <w:vAlign w:val="center"/>
            <w:hideMark/>
          </w:tcPr>
          <w:p w14:paraId="2317A9DA"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 xml:space="preserve">Clinical criteria: </w:t>
            </w:r>
          </w:p>
        </w:tc>
      </w:tr>
      <w:tr w:rsidR="005E7BE6" w:rsidRPr="00247F47" w14:paraId="1F9A5354" w14:textId="77777777">
        <w:tblPrEx>
          <w:tblCellMar>
            <w:top w:w="15" w:type="dxa"/>
            <w:bottom w:w="15" w:type="dxa"/>
          </w:tblCellMar>
        </w:tblPrEx>
        <w:trPr>
          <w:cantSplit/>
          <w:trHeight w:val="20"/>
        </w:trPr>
        <w:tc>
          <w:tcPr>
            <w:tcW w:w="1273" w:type="dxa"/>
            <w:gridSpan w:val="2"/>
            <w:vAlign w:val="center"/>
          </w:tcPr>
          <w:p w14:paraId="57A898B5" w14:textId="330C9EB0" w:rsidR="005E7BE6" w:rsidRPr="00247F47" w:rsidRDefault="005E7BE6">
            <w:pPr>
              <w:jc w:val="center"/>
              <w:rPr>
                <w:rFonts w:ascii="Arial Narrow" w:hAnsi="Arial Narrow"/>
                <w:iCs/>
                <w:sz w:val="20"/>
                <w:szCs w:val="20"/>
              </w:rPr>
            </w:pPr>
          </w:p>
        </w:tc>
        <w:tc>
          <w:tcPr>
            <w:tcW w:w="7748" w:type="dxa"/>
            <w:gridSpan w:val="6"/>
            <w:vAlign w:val="center"/>
            <w:hideMark/>
          </w:tcPr>
          <w:p w14:paraId="79F74EE3" w14:textId="77777777" w:rsidR="005E7BE6" w:rsidRPr="00247F47" w:rsidRDefault="005E7BE6">
            <w:pPr>
              <w:rPr>
                <w:rFonts w:ascii="Arial Narrow" w:hAnsi="Arial Narrow"/>
                <w:iCs/>
                <w:sz w:val="20"/>
                <w:szCs w:val="20"/>
              </w:rPr>
            </w:pPr>
            <w:r w:rsidRPr="006901DA">
              <w:rPr>
                <w:rFonts w:ascii="Arial Narrow" w:hAnsi="Arial Narrow"/>
                <w:bCs/>
                <w:iCs/>
                <w:sz w:val="20"/>
              </w:rPr>
              <w:t>Patient must have previously received PBS-subsidised treatment with this drug for this condition, </w:t>
            </w:r>
          </w:p>
        </w:tc>
      </w:tr>
      <w:tr w:rsidR="005E7BE6" w:rsidRPr="00247F47" w14:paraId="75074EF5" w14:textId="77777777">
        <w:tblPrEx>
          <w:tblCellMar>
            <w:top w:w="15" w:type="dxa"/>
            <w:bottom w:w="15" w:type="dxa"/>
          </w:tblCellMar>
        </w:tblPrEx>
        <w:trPr>
          <w:cantSplit/>
          <w:trHeight w:val="20"/>
        </w:trPr>
        <w:tc>
          <w:tcPr>
            <w:tcW w:w="1273" w:type="dxa"/>
            <w:gridSpan w:val="2"/>
            <w:vAlign w:val="center"/>
          </w:tcPr>
          <w:p w14:paraId="7E7B708A" w14:textId="77777777" w:rsidR="005E7BE6" w:rsidRPr="00247F47" w:rsidRDefault="005E7BE6">
            <w:pPr>
              <w:jc w:val="center"/>
              <w:rPr>
                <w:rFonts w:ascii="Arial Narrow" w:hAnsi="Arial Narrow"/>
                <w:b/>
                <w:bCs/>
                <w:iCs/>
                <w:sz w:val="20"/>
                <w:szCs w:val="20"/>
              </w:rPr>
            </w:pPr>
          </w:p>
        </w:tc>
        <w:tc>
          <w:tcPr>
            <w:tcW w:w="7748" w:type="dxa"/>
            <w:gridSpan w:val="6"/>
            <w:vAlign w:val="center"/>
          </w:tcPr>
          <w:p w14:paraId="609952B8" w14:textId="77777777" w:rsidR="005E7BE6" w:rsidRPr="00247F47" w:rsidRDefault="005E7BE6">
            <w:pPr>
              <w:rPr>
                <w:rFonts w:ascii="Arial Narrow" w:hAnsi="Arial Narrow"/>
                <w:b/>
                <w:bCs/>
                <w:iCs/>
                <w:sz w:val="20"/>
              </w:rPr>
            </w:pPr>
            <w:r w:rsidRPr="00247F47">
              <w:rPr>
                <w:rFonts w:ascii="Arial Narrow" w:hAnsi="Arial Narrow"/>
                <w:b/>
                <w:bCs/>
                <w:iCs/>
                <w:sz w:val="20"/>
                <w:szCs w:val="20"/>
              </w:rPr>
              <w:t>AND</w:t>
            </w:r>
          </w:p>
        </w:tc>
      </w:tr>
      <w:tr w:rsidR="005E7BE6" w:rsidRPr="00247F47" w14:paraId="34E24675" w14:textId="77777777">
        <w:tblPrEx>
          <w:tblCellMar>
            <w:top w:w="15" w:type="dxa"/>
            <w:bottom w:w="15" w:type="dxa"/>
          </w:tblCellMar>
        </w:tblPrEx>
        <w:trPr>
          <w:cantSplit/>
          <w:trHeight w:val="20"/>
        </w:trPr>
        <w:tc>
          <w:tcPr>
            <w:tcW w:w="1273" w:type="dxa"/>
            <w:gridSpan w:val="2"/>
            <w:vAlign w:val="center"/>
          </w:tcPr>
          <w:p w14:paraId="346CFF58" w14:textId="06308A5A" w:rsidR="005E7BE6" w:rsidRPr="00247F47" w:rsidRDefault="005E7BE6">
            <w:pPr>
              <w:jc w:val="center"/>
              <w:rPr>
                <w:rFonts w:ascii="Arial Narrow" w:hAnsi="Arial Narrow"/>
                <w:b/>
                <w:bCs/>
                <w:iCs/>
                <w:sz w:val="20"/>
                <w:szCs w:val="20"/>
              </w:rPr>
            </w:pPr>
          </w:p>
        </w:tc>
        <w:tc>
          <w:tcPr>
            <w:tcW w:w="7748" w:type="dxa"/>
            <w:gridSpan w:val="6"/>
            <w:vAlign w:val="center"/>
          </w:tcPr>
          <w:p w14:paraId="548CB400" w14:textId="77777777" w:rsidR="005E7BE6" w:rsidRPr="00247F47" w:rsidRDefault="005E7BE6">
            <w:pPr>
              <w:rPr>
                <w:rFonts w:ascii="Arial Narrow" w:hAnsi="Arial Narrow"/>
                <w:b/>
                <w:bCs/>
                <w:iCs/>
                <w:sz w:val="20"/>
              </w:rPr>
            </w:pPr>
            <w:r w:rsidRPr="00247F47">
              <w:rPr>
                <w:rFonts w:ascii="Arial Narrow" w:hAnsi="Arial Narrow"/>
                <w:b/>
                <w:bCs/>
                <w:iCs/>
                <w:sz w:val="20"/>
              </w:rPr>
              <w:t>Clinical criteria:</w:t>
            </w:r>
          </w:p>
        </w:tc>
      </w:tr>
      <w:tr w:rsidR="005E7BE6" w:rsidRPr="00247F47" w14:paraId="2665701F" w14:textId="77777777">
        <w:tblPrEx>
          <w:tblCellMar>
            <w:top w:w="15" w:type="dxa"/>
            <w:bottom w:w="15" w:type="dxa"/>
          </w:tblCellMar>
        </w:tblPrEx>
        <w:trPr>
          <w:cantSplit/>
          <w:trHeight w:val="20"/>
        </w:trPr>
        <w:tc>
          <w:tcPr>
            <w:tcW w:w="1273" w:type="dxa"/>
            <w:gridSpan w:val="2"/>
            <w:vAlign w:val="center"/>
          </w:tcPr>
          <w:p w14:paraId="67B5C3E7" w14:textId="0F384BF5" w:rsidR="005E7BE6" w:rsidRPr="00247F47" w:rsidRDefault="005E7BE6">
            <w:pPr>
              <w:jc w:val="center"/>
              <w:rPr>
                <w:rFonts w:ascii="Arial Narrow" w:hAnsi="Arial Narrow"/>
                <w:iCs/>
                <w:sz w:val="20"/>
                <w:szCs w:val="20"/>
              </w:rPr>
            </w:pPr>
          </w:p>
        </w:tc>
        <w:tc>
          <w:tcPr>
            <w:tcW w:w="7748" w:type="dxa"/>
            <w:gridSpan w:val="6"/>
            <w:vAlign w:val="center"/>
          </w:tcPr>
          <w:p w14:paraId="4329671C" w14:textId="77777777" w:rsidR="005E7BE6" w:rsidRPr="00247F47" w:rsidRDefault="005E7BE6">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bl>
    <w:p w14:paraId="1C8B0BAA" w14:textId="77777777" w:rsidR="005E7BE6" w:rsidRDefault="005E7BE6" w:rsidP="005E7BE6">
      <w:pPr>
        <w:spacing w:after="120"/>
        <w:rPr>
          <w:rFonts w:asciiTheme="minorHAnsi" w:hAnsiTheme="minorHAnsi" w:cstheme="minorHAnsi"/>
        </w:rPr>
      </w:pPr>
    </w:p>
    <w:p w14:paraId="43F3D4A7" w14:textId="77777777" w:rsidR="00A8140F" w:rsidRDefault="00A8140F">
      <w:pPr>
        <w:jc w:val="left"/>
        <w:rPr>
          <w:rFonts w:ascii="Arial Narrow" w:hAnsi="Arial Narrow"/>
          <w:color w:val="333333"/>
          <w:lang w:eastAsia="en-GB"/>
        </w:rPr>
      </w:pPr>
      <w:r>
        <w:rPr>
          <w:rFonts w:ascii="Arial Narrow" w:hAnsi="Arial Narrow"/>
          <w:color w:val="333333"/>
          <w:lang w:eastAsia="en-GB"/>
        </w:rPr>
        <w:br w:type="page"/>
      </w:r>
    </w:p>
    <w:p w14:paraId="1D4B274A" w14:textId="03FAB4B9" w:rsidR="005E7BE6" w:rsidRPr="003F7823" w:rsidRDefault="005E7BE6" w:rsidP="008E372A">
      <w:pPr>
        <w:rPr>
          <w:rFonts w:ascii="Arial Narrow" w:hAnsi="Arial Narrow"/>
          <w:color w:val="333333"/>
          <w:lang w:eastAsia="en-GB"/>
        </w:rPr>
      </w:pPr>
      <w:r w:rsidRPr="003F7823">
        <w:rPr>
          <w:rFonts w:ascii="Arial Narrow" w:hAnsi="Arial Narrow"/>
          <w:color w:val="333333"/>
          <w:lang w:eastAsia="en-GB"/>
        </w:rPr>
        <w:t>Intermediate-1 risk myelofibrosis </w:t>
      </w:r>
    </w:p>
    <w:p w14:paraId="672F1401" w14:textId="77777777" w:rsidR="005E7BE6" w:rsidRPr="003F7823" w:rsidRDefault="005E7BE6" w:rsidP="008E372A">
      <w:pPr>
        <w:rPr>
          <w:rFonts w:ascii="Arial Narrow" w:hAnsi="Arial Narrow"/>
          <w:color w:val="333333"/>
          <w:lang w:eastAsia="en-GB"/>
        </w:rPr>
      </w:pPr>
      <w:r w:rsidRPr="003F7823">
        <w:rPr>
          <w:rFonts w:ascii="Arial Narrow" w:hAnsi="Arial Narrow"/>
          <w:color w:val="333333"/>
          <w:lang w:eastAsia="en-GB"/>
        </w:rPr>
        <w:t>Initial/continuing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
      </w:tblPr>
      <w:tblGrid>
        <w:gridCol w:w="489"/>
        <w:gridCol w:w="785"/>
        <w:gridCol w:w="1306"/>
        <w:gridCol w:w="2240"/>
        <w:gridCol w:w="739"/>
        <w:gridCol w:w="814"/>
        <w:gridCol w:w="817"/>
        <w:gridCol w:w="1832"/>
      </w:tblGrid>
      <w:tr w:rsidR="005E7BE6" w:rsidRPr="00247F47" w14:paraId="47D8710A" w14:textId="77777777" w:rsidTr="005E7BE6">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141F4734"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w:t>
            </w:r>
          </w:p>
          <w:p w14:paraId="0EFB4B65"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9880954" w14:textId="77777777" w:rsidR="005E7BE6" w:rsidRPr="00247F47" w:rsidRDefault="005E7BE6">
            <w:pPr>
              <w:keepNext/>
              <w:jc w:val="center"/>
              <w:rPr>
                <w:rFonts w:ascii="Arial Narrow" w:eastAsia="MS Gothic" w:hAnsi="Arial Narrow"/>
                <w:b/>
                <w:iCs/>
                <w:sz w:val="20"/>
              </w:rPr>
            </w:pPr>
            <w:r w:rsidRPr="00247F47">
              <w:rPr>
                <w:rFonts w:ascii="Arial Narrow" w:eastAsia="MS Gothic" w:hAnsi="Arial Narrow"/>
                <w:b/>
                <w:iCs/>
                <w:sz w:val="20"/>
              </w:rPr>
              <w:t>Dispensed Price for Max. Qty</w:t>
            </w:r>
          </w:p>
        </w:tc>
        <w:tc>
          <w:tcPr>
            <w:tcW w:w="739" w:type="dxa"/>
            <w:tcBorders>
              <w:top w:val="single" w:sz="4" w:space="0" w:color="auto"/>
              <w:left w:val="single" w:sz="4" w:space="0" w:color="auto"/>
              <w:bottom w:val="single" w:sz="4" w:space="0" w:color="auto"/>
              <w:right w:val="single" w:sz="4" w:space="0" w:color="auto"/>
            </w:tcBorders>
            <w:vAlign w:val="center"/>
            <w:hideMark/>
          </w:tcPr>
          <w:p w14:paraId="52DAB8BA"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ED8FEA"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B6BD67"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248CF781"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EFFD698"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5E7BE6" w:rsidRPr="00247F47" w14:paraId="1619886A" w14:textId="77777777" w:rsidTr="005E7BE6">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55757515" w14:textId="77777777" w:rsidR="005E7BE6" w:rsidRPr="00247F47" w:rsidRDefault="005E7BE6">
            <w:pPr>
              <w:keepNext/>
              <w:rPr>
                <w:rFonts w:ascii="Arial Narrow" w:eastAsia="MS Gothic" w:hAnsi="Arial Narrow"/>
                <w:b/>
                <w:iCs/>
                <w:sz w:val="20"/>
                <w:szCs w:val="20"/>
              </w:rPr>
            </w:pPr>
            <w:r w:rsidRPr="00247F47">
              <w:rPr>
                <w:rFonts w:ascii="Arial Narrow" w:eastAsia="MS Gothic" w:hAnsi="Arial Narrow"/>
                <w:b/>
                <w:iCs/>
                <w:sz w:val="20"/>
              </w:rPr>
              <w:t>FEDRATINIB</w:t>
            </w:r>
          </w:p>
        </w:tc>
      </w:tr>
      <w:tr w:rsidR="005E7BE6" w:rsidRPr="00247F47" w14:paraId="690F395E" w14:textId="77777777" w:rsidTr="005E7BE6">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6C92FF8E" w14:textId="77777777" w:rsidR="005E7BE6" w:rsidRPr="00201B4C" w:rsidRDefault="005E7BE6">
            <w:pPr>
              <w:keepNext/>
              <w:rPr>
                <w:rFonts w:ascii="Arial Narrow" w:eastAsia="MS Gothic" w:hAnsi="Arial Narrow"/>
                <w:bCs/>
                <w:iCs/>
                <w:color w:val="0066FF"/>
                <w:sz w:val="20"/>
                <w:szCs w:val="20"/>
              </w:rPr>
            </w:pPr>
            <w:r w:rsidRPr="00201B4C">
              <w:rPr>
                <w:rFonts w:ascii="Arial Narrow" w:eastAsia="MS Gothic" w:hAnsi="Arial Narrow"/>
                <w:bCs/>
                <w:iCs/>
                <w:sz w:val="20"/>
              </w:rPr>
              <w:t>Fedratinib 100 mg capsule, 120</w:t>
            </w:r>
          </w:p>
        </w:tc>
        <w:tc>
          <w:tcPr>
            <w:tcW w:w="2240" w:type="dxa"/>
            <w:tcBorders>
              <w:top w:val="single" w:sz="4" w:space="0" w:color="auto"/>
              <w:left w:val="single" w:sz="4" w:space="0" w:color="auto"/>
              <w:bottom w:val="single" w:sz="4" w:space="0" w:color="auto"/>
              <w:right w:val="single" w:sz="4" w:space="0" w:color="auto"/>
            </w:tcBorders>
            <w:hideMark/>
          </w:tcPr>
          <w:p w14:paraId="5E62DB80" w14:textId="77777777" w:rsidR="005E7BE6" w:rsidRPr="00201B4C" w:rsidRDefault="005E7BE6">
            <w:pPr>
              <w:keepNext/>
              <w:rPr>
                <w:rFonts w:ascii="Arial Narrow" w:eastAsia="MS Gothic" w:hAnsi="Arial Narrow"/>
                <w:bCs/>
                <w:iCs/>
                <w:sz w:val="20"/>
              </w:rPr>
            </w:pPr>
            <w:r w:rsidRPr="00201B4C">
              <w:rPr>
                <w:rFonts w:ascii="Arial Narrow" w:eastAsia="MS Gothic" w:hAnsi="Arial Narrow"/>
                <w:bCs/>
                <w:iCs/>
                <w:sz w:val="20"/>
              </w:rPr>
              <w:t>$10,515.60 (published)</w:t>
            </w:r>
          </w:p>
          <w:p w14:paraId="118BB384" w14:textId="3E6FF429" w:rsidR="005E7BE6" w:rsidRPr="00201B4C" w:rsidRDefault="005E7BE6">
            <w:pPr>
              <w:keepNext/>
              <w:rPr>
                <w:rFonts w:ascii="Arial Narrow" w:eastAsia="MS Gothic" w:hAnsi="Arial Narrow"/>
                <w:bCs/>
                <w:iCs/>
                <w:sz w:val="20"/>
                <w:szCs w:val="20"/>
              </w:rPr>
            </w:pPr>
            <w:r w:rsidRPr="00201B4C">
              <w:rPr>
                <w:rFonts w:ascii="Arial Narrow" w:eastAsia="MS Gothic" w:hAnsi="Arial Narrow"/>
                <w:bCs/>
                <w:iCs/>
                <w:sz w:val="20"/>
              </w:rPr>
              <w:t>$</w:t>
            </w:r>
            <w:r w:rsidR="00783DC2" w:rsidRPr="00783DC2">
              <w:rPr>
                <w:rFonts w:ascii="Arial Narrow" w:eastAsia="MS Gothic" w:hAnsi="Arial Narrow"/>
                <w:bCs/>
                <w:iCs/>
                <w:sz w:val="20"/>
                <w:highlight w:val="black"/>
              </w:rPr>
              <w:t>&amp;&amp;&amp;&amp;</w:t>
            </w:r>
            <w:r w:rsidR="00B44A35" w:rsidRPr="00B44A35">
              <w:rPr>
                <w:rFonts w:ascii="Arial Narrow" w:eastAsia="MS Gothic" w:hAnsi="Arial Narrow"/>
                <w:bCs/>
                <w:iCs/>
                <w:sz w:val="20"/>
              </w:rPr>
              <w:t xml:space="preserve"> </w:t>
            </w:r>
            <w:r w:rsidRPr="00201B4C">
              <w:rPr>
                <w:rFonts w:ascii="Arial Narrow" w:eastAsia="MS Gothic" w:hAnsi="Arial Narrow"/>
                <w:bCs/>
                <w:iCs/>
                <w:sz w:val="20"/>
              </w:rPr>
              <w:t>(effective)</w:t>
            </w:r>
          </w:p>
        </w:tc>
        <w:tc>
          <w:tcPr>
            <w:tcW w:w="739" w:type="dxa"/>
            <w:tcBorders>
              <w:top w:val="single" w:sz="4" w:space="0" w:color="auto"/>
              <w:left w:val="single" w:sz="4" w:space="0" w:color="auto"/>
              <w:bottom w:val="single" w:sz="4" w:space="0" w:color="auto"/>
              <w:right w:val="single" w:sz="4" w:space="0" w:color="auto"/>
            </w:tcBorders>
            <w:vAlign w:val="center"/>
            <w:hideMark/>
          </w:tcPr>
          <w:p w14:paraId="377285A7"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3F7E2212"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64EDF48A"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7CB3078" w14:textId="77777777" w:rsidR="005E7BE6" w:rsidRPr="00247F47" w:rsidRDefault="005E7BE6">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005E7BE6" w:rsidRPr="00247F47" w14:paraId="379D6BA1" w14:textId="77777777" w:rsidTr="005E7BE6">
        <w:tblPrEx>
          <w:tblCellMar>
            <w:top w:w="15" w:type="dxa"/>
            <w:bottom w:w="15" w:type="dxa"/>
          </w:tblCellMar>
        </w:tblPrEx>
        <w:trPr>
          <w:trHeight w:val="20"/>
        </w:trPr>
        <w:tc>
          <w:tcPr>
            <w:tcW w:w="9022" w:type="dxa"/>
            <w:gridSpan w:val="8"/>
            <w:tcBorders>
              <w:top w:val="single" w:sz="4" w:space="0" w:color="auto"/>
              <w:left w:val="single" w:sz="4" w:space="0" w:color="auto"/>
              <w:right w:val="single" w:sz="4" w:space="0" w:color="auto"/>
            </w:tcBorders>
            <w:vAlign w:val="center"/>
          </w:tcPr>
          <w:p w14:paraId="0818B9D2"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Restriction Summary [new</w:t>
            </w:r>
            <w:r>
              <w:rPr>
                <w:rFonts w:ascii="Arial Narrow" w:hAnsi="Arial Narrow"/>
                <w:b/>
                <w:iCs/>
                <w:sz w:val="20"/>
                <w:szCs w:val="20"/>
              </w:rPr>
              <w:t>3</w:t>
            </w:r>
            <w:r w:rsidRPr="00247F47">
              <w:rPr>
                <w:rFonts w:ascii="Arial Narrow" w:hAnsi="Arial Narrow"/>
                <w:b/>
                <w:iCs/>
                <w:sz w:val="20"/>
                <w:szCs w:val="20"/>
              </w:rPr>
              <w:t>] / Treatment of Concept: [new</w:t>
            </w:r>
            <w:r>
              <w:rPr>
                <w:rFonts w:ascii="Arial Narrow" w:hAnsi="Arial Narrow"/>
                <w:b/>
                <w:iCs/>
                <w:sz w:val="20"/>
                <w:szCs w:val="20"/>
              </w:rPr>
              <w:t>3</w:t>
            </w:r>
            <w:r w:rsidRPr="00247F47">
              <w:rPr>
                <w:rFonts w:ascii="Arial Narrow" w:hAnsi="Arial Narrow"/>
                <w:b/>
                <w:iCs/>
                <w:sz w:val="20"/>
                <w:szCs w:val="20"/>
              </w:rPr>
              <w:t>A]</w:t>
            </w:r>
          </w:p>
        </w:tc>
      </w:tr>
      <w:tr w:rsidR="005E7BE6" w:rsidRPr="00247F47" w14:paraId="75592737" w14:textId="77777777" w:rsidTr="005E7BE6">
        <w:tblPrEx>
          <w:tblCellMar>
            <w:top w:w="15" w:type="dxa"/>
            <w:bottom w:w="15" w:type="dxa"/>
          </w:tblCellMar>
        </w:tblPrEx>
        <w:trPr>
          <w:trHeight w:val="20"/>
        </w:trPr>
        <w:tc>
          <w:tcPr>
            <w:tcW w:w="1274" w:type="dxa"/>
            <w:gridSpan w:val="2"/>
            <w:vMerge w:val="restart"/>
            <w:tcBorders>
              <w:top w:val="single" w:sz="4" w:space="0" w:color="auto"/>
              <w:left w:val="single" w:sz="4" w:space="0" w:color="auto"/>
              <w:right w:val="single" w:sz="4" w:space="0" w:color="auto"/>
            </w:tcBorders>
          </w:tcPr>
          <w:p w14:paraId="2D36DE20" w14:textId="77777777" w:rsidR="005E7BE6" w:rsidRPr="00247F47" w:rsidRDefault="005E7BE6">
            <w:pPr>
              <w:jc w:val="center"/>
              <w:rPr>
                <w:rFonts w:ascii="Arial Narrow" w:hAnsi="Arial Narrow"/>
                <w:b/>
                <w:iCs/>
                <w:sz w:val="20"/>
                <w:szCs w:val="20"/>
              </w:rPr>
            </w:pPr>
            <w:r w:rsidRPr="00247F47">
              <w:rPr>
                <w:rFonts w:ascii="Arial Narrow" w:hAnsi="Arial Narrow"/>
                <w:b/>
                <w:iCs/>
                <w:sz w:val="20"/>
                <w:szCs w:val="20"/>
              </w:rPr>
              <w:t xml:space="preserve">Concept ID </w:t>
            </w:r>
            <w:r w:rsidRPr="00247F47">
              <w:rPr>
                <w:rFonts w:ascii="Arial Narrow" w:hAnsi="Arial Narrow"/>
                <w:iCs/>
                <w:sz w:val="20"/>
                <w:szCs w:val="20"/>
              </w:rPr>
              <w:t>(for internal Dept. use)</w:t>
            </w: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2CF434E9" w14:textId="77777777" w:rsidR="005E7BE6" w:rsidRPr="00247F47" w:rsidRDefault="005E7BE6">
            <w:pPr>
              <w:keepLines/>
              <w:rPr>
                <w:rFonts w:ascii="Arial Narrow"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p>
          <w:p w14:paraId="2F9EACD5" w14:textId="77777777" w:rsidR="005E7BE6" w:rsidRPr="00247F47" w:rsidRDefault="005E7BE6">
            <w:pPr>
              <w:keepLines/>
              <w:rPr>
                <w:rFonts w:ascii="Arial Narrow" w:hAnsi="Arial Narrow"/>
                <w:iCs/>
                <w:sz w:val="20"/>
                <w:szCs w:val="20"/>
              </w:rPr>
            </w:pPr>
            <w:r w:rsidRPr="00247F47">
              <w:rPr>
                <w:rFonts w:ascii="Arial Narrow" w:eastAsia="Calibri" w:hAnsi="Arial Narrow"/>
                <w:iCs/>
                <w:sz w:val="20"/>
                <w:szCs w:val="20"/>
              </w:rPr>
              <w:fldChar w:fldCharType="begin">
                <w:ffData>
                  <w:name w:val="Check1"/>
                  <w:enabled/>
                  <w:calcOnExit w:val="0"/>
                  <w:checkBox>
                    <w:sizeAuto/>
                    <w:default w:val="1"/>
                  </w:checkBox>
                </w:ffData>
              </w:fldChar>
            </w:r>
            <w:r w:rsidRPr="00247F47">
              <w:rPr>
                <w:rFonts w:ascii="Arial Narrow" w:eastAsia="Calibri" w:hAnsi="Arial Narrow"/>
                <w:iCs/>
                <w:sz w:val="20"/>
                <w:szCs w:val="20"/>
              </w:rPr>
              <w:instrText xml:space="preserve"> FORMCHECKBOX </w:instrText>
            </w:r>
            <w:r w:rsidRPr="00247F47">
              <w:rPr>
                <w:rFonts w:ascii="Arial Narrow" w:eastAsia="Calibri" w:hAnsi="Arial Narrow"/>
                <w:iCs/>
                <w:sz w:val="20"/>
                <w:szCs w:val="20"/>
              </w:rPr>
            </w:r>
            <w:r w:rsidRPr="00247F47">
              <w:rPr>
                <w:rFonts w:ascii="Arial Narrow" w:eastAsia="Calibri" w:hAnsi="Arial Narrow"/>
                <w:iCs/>
                <w:sz w:val="20"/>
                <w:szCs w:val="20"/>
              </w:rPr>
              <w:fldChar w:fldCharType="separate"/>
            </w:r>
            <w:r w:rsidRPr="00247F47">
              <w:rPr>
                <w:rFonts w:ascii="Arial Narrow" w:eastAsia="Calibri" w:hAnsi="Arial Narrow"/>
                <w:iCs/>
                <w:sz w:val="20"/>
                <w:szCs w:val="20"/>
              </w:rPr>
              <w:fldChar w:fldCharType="end"/>
            </w:r>
            <w:r w:rsidRPr="00247F47">
              <w:rPr>
                <w:rFonts w:ascii="Arial Narrow" w:eastAsia="Calibri" w:hAnsi="Arial Narrow"/>
                <w:iCs/>
                <w:sz w:val="20"/>
                <w:szCs w:val="20"/>
              </w:rPr>
              <w:t xml:space="preserve"> GENERAL </w:t>
            </w:r>
            <w:r>
              <w:rPr>
                <w:rFonts w:ascii="Arial Narrow" w:eastAsia="Calibri" w:hAnsi="Arial Narrow"/>
                <w:iCs/>
                <w:sz w:val="20"/>
                <w:szCs w:val="20"/>
              </w:rPr>
              <w:t>–</w:t>
            </w:r>
            <w:r w:rsidRPr="00247F47">
              <w:rPr>
                <w:rFonts w:ascii="Arial Narrow" w:eastAsia="Calibri" w:hAnsi="Arial Narrow"/>
                <w:iCs/>
                <w:sz w:val="20"/>
                <w:szCs w:val="20"/>
              </w:rPr>
              <w:t xml:space="preserve"> General Schedule (Code GE) </w:t>
            </w:r>
          </w:p>
        </w:tc>
      </w:tr>
      <w:tr w:rsidR="005E7BE6" w:rsidRPr="00247F47" w14:paraId="4CB57223" w14:textId="77777777" w:rsidTr="005E7BE6">
        <w:tblPrEx>
          <w:tblCellMar>
            <w:top w:w="15" w:type="dxa"/>
            <w:bottom w:w="15" w:type="dxa"/>
          </w:tblCellMar>
        </w:tblPrEx>
        <w:trPr>
          <w:trHeight w:val="20"/>
        </w:trPr>
        <w:tc>
          <w:tcPr>
            <w:tcW w:w="1274" w:type="dxa"/>
            <w:gridSpan w:val="2"/>
            <w:vMerge/>
          </w:tcPr>
          <w:p w14:paraId="78425FE3"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256591DC"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 xml:space="preserve">Prescriber type: </w:t>
            </w:r>
          </w:p>
          <w:p w14:paraId="44996B48" w14:textId="77777777" w:rsidR="005E7BE6" w:rsidRPr="00247F47" w:rsidRDefault="005E7BE6">
            <w:pPr>
              <w:keepLines/>
              <w:rPr>
                <w:rFonts w:ascii="Arial Narrow" w:hAnsi="Arial Narrow"/>
                <w:b/>
                <w:iCs/>
                <w:sz w:val="20"/>
                <w:szCs w:val="20"/>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Medical Practitioners </w:t>
            </w:r>
          </w:p>
        </w:tc>
      </w:tr>
      <w:tr w:rsidR="005E7BE6" w:rsidRPr="00247F47" w14:paraId="3C3B8FDC" w14:textId="77777777" w:rsidTr="005E7BE6">
        <w:tblPrEx>
          <w:tblCellMar>
            <w:top w:w="15" w:type="dxa"/>
            <w:bottom w:w="15" w:type="dxa"/>
          </w:tblCellMar>
        </w:tblPrEx>
        <w:trPr>
          <w:trHeight w:val="20"/>
        </w:trPr>
        <w:tc>
          <w:tcPr>
            <w:tcW w:w="1274" w:type="dxa"/>
            <w:gridSpan w:val="2"/>
            <w:vMerge/>
          </w:tcPr>
          <w:p w14:paraId="67E87F68"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5D6C98B0" w14:textId="77777777" w:rsidR="005E7BE6" w:rsidRPr="00247F47" w:rsidRDefault="005E7BE6">
            <w:pPr>
              <w:keepLines/>
              <w:rPr>
                <w:rFonts w:ascii="Arial Narrow" w:hAnsi="Arial Narrow"/>
                <w:b/>
                <w:iCs/>
                <w:color w:val="000000" w:themeColor="text1"/>
                <w:sz w:val="20"/>
                <w:szCs w:val="20"/>
              </w:rPr>
            </w:pPr>
            <w:r w:rsidRPr="00247F47">
              <w:rPr>
                <w:rFonts w:ascii="Arial Narrow" w:hAnsi="Arial Narrow"/>
                <w:b/>
                <w:iCs/>
                <w:sz w:val="20"/>
                <w:szCs w:val="20"/>
              </w:rPr>
              <w:t xml:space="preserve">Restriction type: </w:t>
            </w:r>
          </w:p>
          <w:p w14:paraId="2A2A84F6" w14:textId="77777777" w:rsidR="005E7BE6" w:rsidRPr="00247F47" w:rsidRDefault="005E7BE6">
            <w:pPr>
              <w:keepLines/>
              <w:rPr>
                <w:rFonts w:ascii="Arial Narrow" w:eastAsia="Calibri" w:hAnsi="Arial Narrow"/>
                <w:iCs/>
                <w:sz w:val="20"/>
                <w:szCs w:val="20"/>
              </w:rPr>
            </w:pPr>
            <w:r w:rsidRPr="00247F47">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247F47">
              <w:rPr>
                <w:rFonts w:ascii="Arial Narrow" w:eastAsia="Calibri" w:hAnsi="Arial Narrow"/>
                <w:iCs/>
                <w:color w:val="000000" w:themeColor="text1"/>
                <w:sz w:val="20"/>
                <w:szCs w:val="20"/>
              </w:rPr>
              <w:instrText xml:space="preserve"> FORMCHECKBOX </w:instrText>
            </w:r>
            <w:r w:rsidRPr="00247F47">
              <w:rPr>
                <w:rFonts w:ascii="Arial Narrow" w:eastAsia="Calibri" w:hAnsi="Arial Narrow"/>
                <w:iCs/>
                <w:color w:val="000000" w:themeColor="text1"/>
                <w:sz w:val="20"/>
                <w:szCs w:val="20"/>
              </w:rPr>
            </w:r>
            <w:r w:rsidRPr="00247F47">
              <w:rPr>
                <w:rFonts w:ascii="Arial Narrow" w:eastAsia="Calibri" w:hAnsi="Arial Narrow"/>
                <w:iCs/>
                <w:color w:val="000000" w:themeColor="text1"/>
                <w:sz w:val="20"/>
                <w:szCs w:val="20"/>
              </w:rPr>
              <w:fldChar w:fldCharType="separate"/>
            </w:r>
            <w:r w:rsidRPr="00247F47">
              <w:rPr>
                <w:rFonts w:ascii="Arial Narrow" w:eastAsia="Calibri" w:hAnsi="Arial Narrow"/>
                <w:iCs/>
                <w:color w:val="000000" w:themeColor="text1"/>
                <w:sz w:val="20"/>
                <w:szCs w:val="20"/>
              </w:rPr>
              <w:fldChar w:fldCharType="end"/>
            </w:r>
            <w:r w:rsidRPr="00247F47">
              <w:rPr>
                <w:rFonts w:ascii="Arial Narrow" w:eastAsia="Calibri" w:hAnsi="Arial Narrow"/>
                <w:iCs/>
                <w:color w:val="000000" w:themeColor="text1"/>
                <w:sz w:val="20"/>
                <w:szCs w:val="20"/>
              </w:rPr>
              <w:t>Authority Required</w:t>
            </w:r>
            <w:r w:rsidRPr="003F7823">
              <w:rPr>
                <w:rFonts w:ascii="Arial Narrow" w:eastAsia="Calibri" w:hAnsi="Arial Narrow"/>
                <w:iCs/>
                <w:color w:val="000000" w:themeColor="text1"/>
                <w:sz w:val="20"/>
                <w:szCs w:val="20"/>
              </w:rPr>
              <w:t xml:space="preserve"> – </w:t>
            </w:r>
            <w:r w:rsidRPr="003F7823">
              <w:rPr>
                <w:rFonts w:ascii="Arial Narrow" w:eastAsia="Calibri" w:hAnsi="Arial Narrow"/>
                <w:color w:val="000000" w:themeColor="text1"/>
                <w:sz w:val="20"/>
              </w:rPr>
              <w:t xml:space="preserve">immediate assessment </w:t>
            </w:r>
            <w:r w:rsidRPr="003F7823">
              <w:rPr>
                <w:rFonts w:ascii="Arial Narrow" w:eastAsia="Calibri" w:hAnsi="Arial Narrow"/>
                <w:strike/>
                <w:color w:val="000000" w:themeColor="text1"/>
                <w:sz w:val="20"/>
              </w:rPr>
              <w:t>/real time assessment by Services Australia (telephone/online application avenues)</w:t>
            </w:r>
            <w:r w:rsidRPr="00247F47">
              <w:rPr>
                <w:rFonts w:ascii="Arial Narrow" w:eastAsia="Calibri" w:hAnsi="Arial Narrow"/>
                <w:iCs/>
                <w:color w:val="000000" w:themeColor="text1"/>
                <w:sz w:val="20"/>
                <w:szCs w:val="20"/>
              </w:rPr>
              <w:t xml:space="preserve"> </w:t>
            </w:r>
          </w:p>
        </w:tc>
      </w:tr>
      <w:tr w:rsidR="005E7BE6" w:rsidRPr="00247F47" w14:paraId="0B8CFC39" w14:textId="77777777" w:rsidTr="005E7BE6">
        <w:tblPrEx>
          <w:tblCellMar>
            <w:top w:w="15" w:type="dxa"/>
            <w:bottom w:w="15" w:type="dxa"/>
          </w:tblCellMar>
        </w:tblPrEx>
        <w:trPr>
          <w:trHeight w:val="20"/>
        </w:trPr>
        <w:tc>
          <w:tcPr>
            <w:tcW w:w="489" w:type="dxa"/>
            <w:vMerge w:val="restart"/>
            <w:tcBorders>
              <w:left w:val="single" w:sz="4" w:space="0" w:color="auto"/>
              <w:right w:val="single" w:sz="4" w:space="0" w:color="auto"/>
            </w:tcBorders>
            <w:textDirection w:val="btLr"/>
            <w:vAlign w:val="center"/>
          </w:tcPr>
          <w:p w14:paraId="540AB121" w14:textId="77777777" w:rsidR="005E7BE6" w:rsidRPr="00247F47" w:rsidRDefault="005E7BE6">
            <w:pPr>
              <w:jc w:val="center"/>
              <w:rPr>
                <w:rFonts w:ascii="Arial Narrow" w:hAnsi="Arial Narrow"/>
                <w:iCs/>
                <w:sz w:val="20"/>
                <w:szCs w:val="20"/>
              </w:rPr>
            </w:pPr>
            <w:r w:rsidRPr="00247F47">
              <w:rPr>
                <w:rFonts w:ascii="Arial Narrow" w:hAnsi="Arial Narrow"/>
                <w:iCs/>
                <w:sz w:val="20"/>
                <w:szCs w:val="20"/>
              </w:rPr>
              <w:t>Prescribing rule level</w:t>
            </w:r>
          </w:p>
        </w:tc>
        <w:tc>
          <w:tcPr>
            <w:tcW w:w="785" w:type="dxa"/>
            <w:vAlign w:val="center"/>
          </w:tcPr>
          <w:p w14:paraId="393A2065" w14:textId="7DC69E63" w:rsidR="005E7BE6" w:rsidRPr="00540AF0" w:rsidRDefault="005E7BE6">
            <w:pPr>
              <w:jc w:val="center"/>
              <w:rPr>
                <w:rFonts w:ascii="Arial Narrow" w:hAnsi="Arial Narrow"/>
                <w:i/>
                <w:sz w:val="20"/>
                <w:szCs w:val="20"/>
              </w:rPr>
            </w:pPr>
          </w:p>
        </w:tc>
        <w:tc>
          <w:tcPr>
            <w:tcW w:w="7748" w:type="dxa"/>
            <w:gridSpan w:val="6"/>
            <w:vAlign w:val="center"/>
          </w:tcPr>
          <w:p w14:paraId="05F9A1A1" w14:textId="77777777" w:rsidR="005E7BE6" w:rsidRPr="00540AF0" w:rsidRDefault="005E7BE6">
            <w:pPr>
              <w:rPr>
                <w:rFonts w:ascii="Arial Narrow" w:hAnsi="Arial Narrow"/>
                <w:i/>
                <w:sz w:val="20"/>
                <w:szCs w:val="20"/>
              </w:rPr>
            </w:pPr>
            <w:r w:rsidRPr="00540AF0">
              <w:rPr>
                <w:rFonts w:ascii="Arial Narrow" w:hAnsi="Arial Narrow"/>
                <w:b/>
                <w:bCs/>
                <w:i/>
                <w:sz w:val="20"/>
                <w:szCs w:val="20"/>
              </w:rPr>
              <w:t>Administrative Advice:</w:t>
            </w:r>
          </w:p>
          <w:p w14:paraId="54BA5648" w14:textId="77777777" w:rsidR="005E7BE6" w:rsidRPr="00247F47" w:rsidRDefault="005E7BE6">
            <w:pPr>
              <w:rPr>
                <w:rFonts w:ascii="Arial Narrow" w:hAnsi="Arial Narrow"/>
                <w:i/>
                <w:sz w:val="20"/>
                <w:szCs w:val="20"/>
              </w:rPr>
            </w:pPr>
            <w:r w:rsidRPr="00540AF0">
              <w:rPr>
                <w:rFonts w:ascii="Arial Narrow" w:hAnsi="Arial Narrow"/>
                <w:i/>
                <w:sz w:val="20"/>
                <w:szCs w:val="20"/>
              </w:rPr>
              <w:t>No increase in the maximum quantity or number of units may be authorised.</w:t>
            </w:r>
          </w:p>
        </w:tc>
      </w:tr>
      <w:tr w:rsidR="005E7BE6" w:rsidRPr="00247F47" w14:paraId="5AE1EB55" w14:textId="77777777" w:rsidTr="005E7BE6">
        <w:tblPrEx>
          <w:tblCellMar>
            <w:top w:w="15" w:type="dxa"/>
            <w:bottom w:w="15" w:type="dxa"/>
          </w:tblCellMar>
        </w:tblPrEx>
        <w:trPr>
          <w:trHeight w:val="20"/>
        </w:trPr>
        <w:tc>
          <w:tcPr>
            <w:tcW w:w="489" w:type="dxa"/>
            <w:vMerge/>
          </w:tcPr>
          <w:p w14:paraId="3AB4D80C" w14:textId="77777777" w:rsidR="005E7BE6" w:rsidRPr="00247F47" w:rsidRDefault="005E7BE6">
            <w:pPr>
              <w:rPr>
                <w:rFonts w:ascii="Arial Narrow" w:hAnsi="Arial Narrow"/>
                <w:iCs/>
                <w:sz w:val="20"/>
                <w:szCs w:val="20"/>
              </w:rPr>
            </w:pPr>
          </w:p>
        </w:tc>
        <w:tc>
          <w:tcPr>
            <w:tcW w:w="785" w:type="dxa"/>
            <w:vAlign w:val="center"/>
          </w:tcPr>
          <w:p w14:paraId="46D106D2" w14:textId="47B7387F" w:rsidR="005E7BE6" w:rsidRPr="00540AF0" w:rsidRDefault="005E7BE6">
            <w:pPr>
              <w:jc w:val="center"/>
              <w:rPr>
                <w:rFonts w:ascii="Arial Narrow" w:hAnsi="Arial Narrow"/>
                <w:i/>
                <w:sz w:val="20"/>
                <w:szCs w:val="20"/>
              </w:rPr>
            </w:pPr>
          </w:p>
        </w:tc>
        <w:tc>
          <w:tcPr>
            <w:tcW w:w="7748" w:type="dxa"/>
            <w:gridSpan w:val="6"/>
            <w:vAlign w:val="center"/>
          </w:tcPr>
          <w:p w14:paraId="5BFF848C" w14:textId="77777777" w:rsidR="005E7BE6" w:rsidRPr="00540AF0" w:rsidRDefault="005E7BE6">
            <w:pPr>
              <w:rPr>
                <w:rFonts w:ascii="Arial Narrow" w:hAnsi="Arial Narrow"/>
                <w:b/>
                <w:bCs/>
                <w:i/>
                <w:sz w:val="20"/>
                <w:szCs w:val="20"/>
              </w:rPr>
            </w:pPr>
            <w:r w:rsidRPr="00540AF0">
              <w:rPr>
                <w:rFonts w:ascii="Arial Narrow" w:hAnsi="Arial Narrow"/>
                <w:b/>
                <w:bCs/>
                <w:i/>
                <w:sz w:val="20"/>
                <w:szCs w:val="20"/>
              </w:rPr>
              <w:t>Administrative Advice:</w:t>
            </w:r>
          </w:p>
          <w:p w14:paraId="748CDC07" w14:textId="77777777" w:rsidR="005E7BE6" w:rsidRPr="00247F47" w:rsidRDefault="005E7BE6">
            <w:pPr>
              <w:rPr>
                <w:rFonts w:ascii="Arial Narrow" w:hAnsi="Arial Narrow"/>
                <w:b/>
                <w:bCs/>
                <w:i/>
                <w:sz w:val="20"/>
                <w:szCs w:val="20"/>
              </w:rPr>
            </w:pPr>
            <w:r w:rsidRPr="00540AF0">
              <w:rPr>
                <w:rFonts w:ascii="Arial Narrow" w:hAnsi="Arial Narrow"/>
                <w:i/>
                <w:sz w:val="20"/>
                <w:szCs w:val="20"/>
              </w:rPr>
              <w:t>No increase in the maximum number of repeats may be authorised.</w:t>
            </w:r>
          </w:p>
        </w:tc>
      </w:tr>
      <w:tr w:rsidR="005E7BE6" w:rsidRPr="00247F47" w14:paraId="648CB993" w14:textId="77777777" w:rsidTr="005E7BE6">
        <w:tblPrEx>
          <w:tblCellMar>
            <w:top w:w="15" w:type="dxa"/>
            <w:bottom w:w="15" w:type="dxa"/>
          </w:tblCellMar>
        </w:tblPrEx>
        <w:trPr>
          <w:trHeight w:val="20"/>
        </w:trPr>
        <w:tc>
          <w:tcPr>
            <w:tcW w:w="489" w:type="dxa"/>
            <w:vMerge/>
          </w:tcPr>
          <w:p w14:paraId="280E0036" w14:textId="77777777" w:rsidR="005E7BE6" w:rsidRPr="00247F47" w:rsidRDefault="005E7BE6">
            <w:pPr>
              <w:rPr>
                <w:rFonts w:ascii="Arial Narrow" w:hAnsi="Arial Narrow"/>
                <w:iCs/>
                <w:sz w:val="20"/>
                <w:szCs w:val="20"/>
              </w:rPr>
            </w:pPr>
          </w:p>
        </w:tc>
        <w:tc>
          <w:tcPr>
            <w:tcW w:w="785" w:type="dxa"/>
            <w:vAlign w:val="center"/>
          </w:tcPr>
          <w:p w14:paraId="3C2AD369" w14:textId="5AFF35C7" w:rsidR="005E7BE6" w:rsidRPr="00247F47" w:rsidRDefault="005E7BE6">
            <w:pPr>
              <w:jc w:val="center"/>
              <w:rPr>
                <w:rFonts w:ascii="Arial Narrow" w:hAnsi="Arial Narrow"/>
                <w:iCs/>
                <w:sz w:val="20"/>
                <w:szCs w:val="20"/>
              </w:rPr>
            </w:pPr>
          </w:p>
        </w:tc>
        <w:tc>
          <w:tcPr>
            <w:tcW w:w="7748" w:type="dxa"/>
            <w:gridSpan w:val="6"/>
            <w:vAlign w:val="center"/>
          </w:tcPr>
          <w:p w14:paraId="51FD3B09"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Administrative Advice:</w:t>
            </w:r>
          </w:p>
          <w:p w14:paraId="7ACEA494" w14:textId="77777777" w:rsidR="005E7BE6" w:rsidRPr="00247F47" w:rsidRDefault="005E7BE6">
            <w:pPr>
              <w:rPr>
                <w:rFonts w:ascii="Arial Narrow" w:hAnsi="Arial Narrow"/>
                <w:b/>
                <w:bCs/>
                <w:iCs/>
                <w:sz w:val="20"/>
                <w:szCs w:val="20"/>
              </w:rPr>
            </w:pPr>
            <w:r w:rsidRPr="00247F47">
              <w:rPr>
                <w:rFonts w:ascii="Arial Narrow" w:hAnsi="Arial Narrow"/>
                <w:iCs/>
                <w:sz w:val="20"/>
                <w:szCs w:val="20"/>
              </w:rPr>
              <w:t>Special Pricing Arrangements apply.</w:t>
            </w:r>
          </w:p>
        </w:tc>
      </w:tr>
      <w:tr w:rsidR="005E7BE6" w:rsidRPr="00247F47" w14:paraId="7A913971" w14:textId="77777777" w:rsidTr="005E7BE6">
        <w:tblPrEx>
          <w:tblCellMar>
            <w:top w:w="15" w:type="dxa"/>
            <w:bottom w:w="15" w:type="dxa"/>
          </w:tblCellMar>
        </w:tblPrEx>
        <w:trPr>
          <w:trHeight w:val="20"/>
        </w:trPr>
        <w:tc>
          <w:tcPr>
            <w:tcW w:w="489" w:type="dxa"/>
            <w:vMerge/>
          </w:tcPr>
          <w:p w14:paraId="05B82754" w14:textId="77777777" w:rsidR="005E7BE6" w:rsidRPr="00247F47" w:rsidRDefault="005E7BE6">
            <w:pPr>
              <w:rPr>
                <w:rFonts w:ascii="Arial Narrow" w:hAnsi="Arial Narrow"/>
                <w:iCs/>
                <w:sz w:val="20"/>
                <w:szCs w:val="20"/>
              </w:rPr>
            </w:pPr>
          </w:p>
        </w:tc>
        <w:tc>
          <w:tcPr>
            <w:tcW w:w="785" w:type="dxa"/>
            <w:vAlign w:val="center"/>
          </w:tcPr>
          <w:p w14:paraId="04C97CB7" w14:textId="0BBF04BD" w:rsidR="005E7BE6" w:rsidRPr="00247F47" w:rsidRDefault="005E7BE6">
            <w:pPr>
              <w:jc w:val="center"/>
              <w:rPr>
                <w:rFonts w:ascii="Arial Narrow" w:hAnsi="Arial Narrow"/>
                <w:iCs/>
                <w:sz w:val="20"/>
                <w:szCs w:val="20"/>
              </w:rPr>
            </w:pPr>
          </w:p>
        </w:tc>
        <w:tc>
          <w:tcPr>
            <w:tcW w:w="7748" w:type="dxa"/>
            <w:gridSpan w:val="6"/>
            <w:vAlign w:val="center"/>
          </w:tcPr>
          <w:p w14:paraId="40C218A0" w14:textId="77777777" w:rsidR="005E7BE6" w:rsidRPr="006B2F99" w:rsidRDefault="005E7BE6">
            <w:pPr>
              <w:rPr>
                <w:rFonts w:ascii="Arial Narrow" w:hAnsi="Arial Narrow"/>
                <w:b/>
                <w:bCs/>
                <w:iCs/>
                <w:sz w:val="20"/>
                <w:szCs w:val="20"/>
              </w:rPr>
            </w:pPr>
            <w:r w:rsidRPr="006B2F99">
              <w:rPr>
                <w:rFonts w:ascii="Arial Narrow" w:hAnsi="Arial Narrow"/>
                <w:b/>
                <w:bCs/>
                <w:iCs/>
                <w:sz w:val="20"/>
                <w:szCs w:val="20"/>
              </w:rPr>
              <w:t>Administrative advice:</w:t>
            </w:r>
          </w:p>
          <w:p w14:paraId="7137890A" w14:textId="77777777" w:rsidR="005E7BE6" w:rsidRPr="00247F47" w:rsidRDefault="005E7BE6">
            <w:pPr>
              <w:rPr>
                <w:rFonts w:ascii="Arial Narrow" w:hAnsi="Arial Narrow"/>
                <w:b/>
                <w:bCs/>
                <w:iCs/>
                <w:sz w:val="20"/>
                <w:szCs w:val="20"/>
              </w:rPr>
            </w:pPr>
            <w:r w:rsidRPr="002F6241">
              <w:rPr>
                <w:rFonts w:ascii="Arial Narrow" w:hAnsi="Arial Narrow"/>
                <w:iCs/>
                <w:sz w:val="20"/>
                <w:szCs w:val="20"/>
              </w:rPr>
              <w:t>A patient may only qualify for PBS-subsidised treatment under this restriction twice in a lifetime. Patients reinitiating PBS-subsidised treatment following pregnancy are exempt from this rule. </w:t>
            </w:r>
          </w:p>
        </w:tc>
      </w:tr>
      <w:tr w:rsidR="005E7BE6" w:rsidRPr="00247F47" w14:paraId="310F44FE" w14:textId="77777777" w:rsidTr="005E7BE6">
        <w:tblPrEx>
          <w:tblCellMar>
            <w:top w:w="15" w:type="dxa"/>
            <w:bottom w:w="15" w:type="dxa"/>
          </w:tblCellMar>
        </w:tblPrEx>
        <w:trPr>
          <w:trHeight w:val="20"/>
        </w:trPr>
        <w:tc>
          <w:tcPr>
            <w:tcW w:w="489" w:type="dxa"/>
            <w:vMerge/>
          </w:tcPr>
          <w:p w14:paraId="3055AB26" w14:textId="77777777" w:rsidR="005E7BE6" w:rsidRPr="00247F47" w:rsidRDefault="005E7BE6">
            <w:pPr>
              <w:rPr>
                <w:rFonts w:ascii="Arial Narrow" w:hAnsi="Arial Narrow"/>
                <w:iCs/>
                <w:sz w:val="20"/>
                <w:szCs w:val="20"/>
              </w:rPr>
            </w:pPr>
          </w:p>
        </w:tc>
        <w:tc>
          <w:tcPr>
            <w:tcW w:w="785" w:type="dxa"/>
            <w:vAlign w:val="center"/>
          </w:tcPr>
          <w:p w14:paraId="61939776" w14:textId="3A257A49" w:rsidR="005E7BE6" w:rsidRPr="00247F47" w:rsidRDefault="005E7BE6">
            <w:pPr>
              <w:jc w:val="center"/>
              <w:rPr>
                <w:rFonts w:ascii="Arial Narrow" w:hAnsi="Arial Narrow"/>
                <w:iCs/>
                <w:sz w:val="20"/>
                <w:szCs w:val="20"/>
              </w:rPr>
            </w:pPr>
          </w:p>
        </w:tc>
        <w:tc>
          <w:tcPr>
            <w:tcW w:w="7748" w:type="dxa"/>
            <w:gridSpan w:val="6"/>
            <w:vAlign w:val="center"/>
          </w:tcPr>
          <w:p w14:paraId="76266EB8" w14:textId="77777777" w:rsidR="005E7BE6" w:rsidRPr="00247F47" w:rsidRDefault="005E7BE6">
            <w:pPr>
              <w:rPr>
                <w:rFonts w:ascii="Arial Narrow" w:hAnsi="Arial Narrow"/>
                <w:bCs/>
                <w:iCs/>
                <w:color w:val="000000" w:themeColor="text1"/>
                <w:sz w:val="20"/>
                <w:szCs w:val="20"/>
              </w:rPr>
            </w:pPr>
            <w:r w:rsidRPr="00247F47">
              <w:rPr>
                <w:rFonts w:ascii="Arial Narrow" w:hAnsi="Arial Narrow"/>
                <w:b/>
                <w:bCs/>
                <w:iCs/>
                <w:color w:val="000000" w:themeColor="text1"/>
                <w:sz w:val="20"/>
                <w:szCs w:val="20"/>
              </w:rPr>
              <w:t xml:space="preserve">Administrative Advice: </w:t>
            </w:r>
          </w:p>
          <w:p w14:paraId="3B72756A" w14:textId="77777777" w:rsidR="005E7BE6" w:rsidRPr="00247F47" w:rsidRDefault="005E7BE6">
            <w:pPr>
              <w:rPr>
                <w:rFonts w:ascii="Arial Narrow" w:hAnsi="Arial Narrow"/>
                <w:b/>
                <w:bCs/>
                <w:iCs/>
                <w:color w:val="000000" w:themeColor="text1"/>
                <w:sz w:val="20"/>
                <w:szCs w:val="20"/>
              </w:rPr>
            </w:pPr>
            <w:r w:rsidRPr="00247F47">
              <w:rPr>
                <w:rFonts w:ascii="Arial Narrow" w:hAnsi="Arial Narrow"/>
                <w:iCs/>
                <w:color w:val="000000" w:themeColor="text1"/>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color w:val="000000" w:themeColor="text1"/>
                <w:sz w:val="20"/>
                <w:szCs w:val="20"/>
              </w:rPr>
              <w:t>aaDIPSS</w:t>
            </w:r>
            <w:proofErr w:type="spellEnd"/>
            <w:r w:rsidRPr="00247F47">
              <w:rPr>
                <w:rFonts w:ascii="Arial Narrow" w:hAnsi="Arial Narrow"/>
                <w:iCs/>
                <w:color w:val="000000" w:themeColor="text1"/>
                <w:sz w:val="20"/>
                <w:szCs w:val="20"/>
              </w:rPr>
              <w:t>).</w:t>
            </w:r>
          </w:p>
        </w:tc>
      </w:tr>
      <w:tr w:rsidR="005E7BE6" w:rsidRPr="00247F47" w14:paraId="2DA9E5B1" w14:textId="77777777" w:rsidTr="005E7BE6">
        <w:tblPrEx>
          <w:tblCellMar>
            <w:top w:w="15" w:type="dxa"/>
            <w:bottom w:w="15" w:type="dxa"/>
          </w:tblCellMar>
        </w:tblPrEx>
        <w:trPr>
          <w:trHeight w:val="20"/>
        </w:trPr>
        <w:tc>
          <w:tcPr>
            <w:tcW w:w="489" w:type="dxa"/>
            <w:vMerge/>
          </w:tcPr>
          <w:p w14:paraId="31D683D0" w14:textId="77777777" w:rsidR="005E7BE6" w:rsidRPr="00247F47" w:rsidRDefault="005E7BE6">
            <w:pPr>
              <w:rPr>
                <w:rFonts w:ascii="Arial Narrow" w:hAnsi="Arial Narrow"/>
                <w:iCs/>
                <w:sz w:val="20"/>
                <w:szCs w:val="20"/>
              </w:rPr>
            </w:pPr>
          </w:p>
        </w:tc>
        <w:tc>
          <w:tcPr>
            <w:tcW w:w="785" w:type="dxa"/>
            <w:vAlign w:val="center"/>
          </w:tcPr>
          <w:p w14:paraId="0D8B9D9B" w14:textId="4AD12221" w:rsidR="005E7BE6" w:rsidRPr="00247F47" w:rsidRDefault="005E7BE6">
            <w:pPr>
              <w:jc w:val="center"/>
              <w:rPr>
                <w:rFonts w:ascii="Arial Narrow" w:hAnsi="Arial Narrow"/>
                <w:iCs/>
                <w:sz w:val="20"/>
                <w:szCs w:val="20"/>
              </w:rPr>
            </w:pPr>
          </w:p>
        </w:tc>
        <w:tc>
          <w:tcPr>
            <w:tcW w:w="7748" w:type="dxa"/>
            <w:gridSpan w:val="6"/>
            <w:vAlign w:val="center"/>
          </w:tcPr>
          <w:p w14:paraId="4029EB05" w14:textId="77777777" w:rsidR="005E7BE6" w:rsidRPr="00247F47" w:rsidRDefault="005E7BE6">
            <w:pPr>
              <w:rPr>
                <w:rFonts w:ascii="Arial Narrow" w:hAnsi="Arial Narrow"/>
                <w:b/>
                <w:bCs/>
                <w:iCs/>
                <w:color w:val="000000" w:themeColor="text1"/>
                <w:sz w:val="20"/>
                <w:szCs w:val="20"/>
              </w:rPr>
            </w:pPr>
            <w:r w:rsidRPr="00247F47">
              <w:rPr>
                <w:rFonts w:ascii="Arial Narrow" w:hAnsi="Arial Narrow"/>
                <w:b/>
                <w:bCs/>
                <w:iCs/>
                <w:color w:val="000000" w:themeColor="text1"/>
                <w:sz w:val="20"/>
                <w:szCs w:val="20"/>
              </w:rPr>
              <w:t xml:space="preserve">Administrative Advice: </w:t>
            </w:r>
          </w:p>
          <w:p w14:paraId="232A02FF" w14:textId="77777777" w:rsidR="005E7BE6" w:rsidRPr="003F7823" w:rsidRDefault="005E7BE6">
            <w:pPr>
              <w:rPr>
                <w:rFonts w:ascii="Arial Narrow" w:hAnsi="Arial Narrow"/>
                <w:bCs/>
                <w:iCs/>
                <w:strike/>
                <w:color w:val="000000" w:themeColor="text1"/>
                <w:sz w:val="20"/>
                <w:szCs w:val="20"/>
              </w:rPr>
            </w:pPr>
            <w:r w:rsidRPr="003F7823">
              <w:rPr>
                <w:rFonts w:ascii="Arial Narrow" w:hAnsi="Arial Narrow"/>
                <w:bCs/>
                <w:iCs/>
                <w:strike/>
                <w:color w:val="000000" w:themeColor="text1"/>
                <w:sz w:val="20"/>
                <w:szCs w:val="20"/>
              </w:rPr>
              <w:t xml:space="preserve">Applications for authorisation under this restriction may be made in real time using the Online PBS Authorities system (see </w:t>
            </w:r>
            <w:hyperlink r:id="rId12" w:history="1">
              <w:r w:rsidRPr="003F7823">
                <w:rPr>
                  <w:rStyle w:val="Hyperlink"/>
                  <w:rFonts w:ascii="Arial Narrow" w:hAnsi="Arial Narrow"/>
                  <w:bCs/>
                  <w:iCs/>
                  <w:strike/>
                  <w:color w:val="000000" w:themeColor="text1"/>
                  <w:sz w:val="20"/>
                  <w:szCs w:val="20"/>
                </w:rPr>
                <w:t>www.servicesaustralia</w:t>
              </w:r>
            </w:hyperlink>
            <w:r w:rsidRPr="003F7823">
              <w:rPr>
                <w:rFonts w:ascii="Arial Narrow" w:hAnsi="Arial Narrow"/>
                <w:bCs/>
                <w:iCs/>
                <w:strike/>
                <w:color w:val="000000" w:themeColor="text1"/>
                <w:sz w:val="20"/>
                <w:szCs w:val="20"/>
              </w:rPr>
              <w:t>.gov.au/HPOS) or by telephone by contacting Services Australia on 1800 700 270.</w:t>
            </w:r>
          </w:p>
          <w:p w14:paraId="1DC1C4DC" w14:textId="77777777" w:rsidR="005E7BE6" w:rsidRPr="003F7823" w:rsidRDefault="005E7BE6">
            <w:pPr>
              <w:rPr>
                <w:rFonts w:ascii="Arial Narrow" w:hAnsi="Arial Narrow"/>
                <w:i/>
                <w:color w:val="000000" w:themeColor="text1"/>
                <w:sz w:val="20"/>
                <w:szCs w:val="20"/>
              </w:rPr>
            </w:pPr>
            <w:r w:rsidRPr="003F7823">
              <w:rPr>
                <w:rFonts w:ascii="Arial Narrow" w:hAnsi="Arial Narrow"/>
                <w:i/>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5E7BE6" w:rsidRPr="00247F47" w14:paraId="6F22999F" w14:textId="77777777" w:rsidTr="005E7BE6">
        <w:tblPrEx>
          <w:tblCellMar>
            <w:top w:w="15" w:type="dxa"/>
            <w:bottom w:w="15" w:type="dxa"/>
          </w:tblCellMar>
        </w:tblPrEx>
        <w:trPr>
          <w:cantSplit/>
          <w:trHeight w:val="20"/>
        </w:trPr>
        <w:tc>
          <w:tcPr>
            <w:tcW w:w="1274" w:type="dxa"/>
            <w:gridSpan w:val="2"/>
            <w:vAlign w:val="center"/>
            <w:hideMark/>
          </w:tcPr>
          <w:p w14:paraId="69DD92DC" w14:textId="54171D22" w:rsidR="005E7BE6" w:rsidRPr="00247F47" w:rsidRDefault="005E7BE6">
            <w:pPr>
              <w:keepLines/>
              <w:jc w:val="center"/>
              <w:rPr>
                <w:rFonts w:ascii="Arial Narrow" w:hAnsi="Arial Narrow"/>
                <w:iCs/>
                <w:sz w:val="20"/>
                <w:szCs w:val="20"/>
              </w:rPr>
            </w:pPr>
          </w:p>
        </w:tc>
        <w:tc>
          <w:tcPr>
            <w:tcW w:w="7748" w:type="dxa"/>
            <w:gridSpan w:val="6"/>
            <w:vAlign w:val="center"/>
            <w:hideMark/>
          </w:tcPr>
          <w:p w14:paraId="745800C6" w14:textId="77777777" w:rsidR="005E7BE6" w:rsidRPr="00247F47" w:rsidRDefault="005E7BE6">
            <w:pPr>
              <w:keepLines/>
              <w:rPr>
                <w:rFonts w:ascii="Arial Narrow" w:hAnsi="Arial Narrow"/>
                <w:iCs/>
                <w:sz w:val="20"/>
                <w:szCs w:val="20"/>
              </w:rPr>
            </w:pPr>
            <w:r w:rsidRPr="00247F47">
              <w:rPr>
                <w:rFonts w:ascii="Arial Narrow" w:hAnsi="Arial Narrow"/>
                <w:b/>
                <w:bCs/>
                <w:iCs/>
                <w:sz w:val="20"/>
                <w:szCs w:val="20"/>
              </w:rPr>
              <w:t>Indication:</w:t>
            </w:r>
            <w:r w:rsidRPr="00247F47">
              <w:rPr>
                <w:rFonts w:ascii="Arial Narrow" w:hAnsi="Arial Narrow"/>
                <w:iCs/>
                <w:sz w:val="20"/>
                <w:szCs w:val="20"/>
              </w:rPr>
              <w:t xml:space="preserve"> </w:t>
            </w:r>
            <w:r w:rsidRPr="00247F47">
              <w:rPr>
                <w:rFonts w:ascii="Arial Narrow" w:hAnsi="Arial Narrow"/>
                <w:iCs/>
                <w:sz w:val="20"/>
              </w:rPr>
              <w:t>intermediate-</w:t>
            </w:r>
            <w:r>
              <w:rPr>
                <w:rFonts w:ascii="Arial Narrow" w:hAnsi="Arial Narrow"/>
                <w:iCs/>
                <w:sz w:val="20"/>
              </w:rPr>
              <w:t>1</w:t>
            </w:r>
            <w:r w:rsidRPr="00247F47">
              <w:rPr>
                <w:rFonts w:ascii="Arial Narrow" w:hAnsi="Arial Narrow"/>
                <w:iCs/>
                <w:sz w:val="20"/>
              </w:rPr>
              <w:t xml:space="preserve"> risk myelofibrosis</w:t>
            </w:r>
          </w:p>
        </w:tc>
      </w:tr>
      <w:tr w:rsidR="005E7BE6" w:rsidRPr="00247F47" w14:paraId="61BCA60D" w14:textId="77777777" w:rsidTr="005E7BE6">
        <w:tblPrEx>
          <w:tblCellMar>
            <w:top w:w="15" w:type="dxa"/>
            <w:bottom w:w="15" w:type="dxa"/>
          </w:tblCellMar>
        </w:tblPrEx>
        <w:trPr>
          <w:cantSplit/>
          <w:trHeight w:val="20"/>
        </w:trPr>
        <w:tc>
          <w:tcPr>
            <w:tcW w:w="1274" w:type="dxa"/>
            <w:gridSpan w:val="2"/>
            <w:vAlign w:val="center"/>
          </w:tcPr>
          <w:p w14:paraId="1D6C65F8" w14:textId="77777777" w:rsidR="005E7BE6" w:rsidRPr="00247F47" w:rsidRDefault="005E7BE6">
            <w:pPr>
              <w:keepLines/>
              <w:jc w:val="center"/>
              <w:rPr>
                <w:rFonts w:ascii="Arial Narrow" w:hAnsi="Arial Narrow"/>
                <w:iCs/>
                <w:sz w:val="20"/>
                <w:szCs w:val="20"/>
              </w:rPr>
            </w:pPr>
          </w:p>
        </w:tc>
        <w:tc>
          <w:tcPr>
            <w:tcW w:w="7748" w:type="dxa"/>
            <w:gridSpan w:val="6"/>
            <w:vAlign w:val="center"/>
          </w:tcPr>
          <w:p w14:paraId="6290A2A6" w14:textId="77777777" w:rsidR="005E7BE6" w:rsidRPr="00247F47" w:rsidRDefault="005E7BE6">
            <w:pPr>
              <w:keepLines/>
              <w:rPr>
                <w:rFonts w:ascii="Arial Narrow" w:hAnsi="Arial Narrow"/>
                <w:b/>
                <w:bCs/>
                <w:iCs/>
                <w:sz w:val="20"/>
                <w:szCs w:val="20"/>
              </w:rPr>
            </w:pPr>
            <w:r>
              <w:rPr>
                <w:rFonts w:ascii="Arial Narrow" w:hAnsi="Arial Narrow"/>
                <w:b/>
                <w:bCs/>
                <w:iCs/>
                <w:sz w:val="20"/>
                <w:szCs w:val="20"/>
              </w:rPr>
              <w:t xml:space="preserve">Treatment Phase: </w:t>
            </w:r>
            <w:r w:rsidRPr="00021104">
              <w:rPr>
                <w:rFonts w:ascii="Arial Narrow" w:hAnsi="Arial Narrow"/>
                <w:iCs/>
                <w:sz w:val="20"/>
                <w:szCs w:val="20"/>
              </w:rPr>
              <w:t>Initial treatment</w:t>
            </w:r>
          </w:p>
        </w:tc>
      </w:tr>
      <w:tr w:rsidR="005E7BE6" w:rsidRPr="00247F47" w14:paraId="0A2D3519" w14:textId="77777777" w:rsidTr="005E7BE6">
        <w:tblPrEx>
          <w:tblCellMar>
            <w:top w:w="15" w:type="dxa"/>
            <w:bottom w:w="15" w:type="dxa"/>
          </w:tblCellMar>
        </w:tblPrEx>
        <w:trPr>
          <w:cantSplit/>
          <w:trHeight w:val="20"/>
        </w:trPr>
        <w:tc>
          <w:tcPr>
            <w:tcW w:w="1274" w:type="dxa"/>
            <w:gridSpan w:val="2"/>
            <w:vAlign w:val="center"/>
            <w:hideMark/>
          </w:tcPr>
          <w:p w14:paraId="1D3B2235" w14:textId="15C596B1" w:rsidR="005E7BE6" w:rsidRPr="00247F47" w:rsidRDefault="005E7BE6">
            <w:pPr>
              <w:jc w:val="center"/>
              <w:rPr>
                <w:rFonts w:ascii="Arial Narrow" w:hAnsi="Arial Narrow"/>
                <w:iCs/>
                <w:sz w:val="20"/>
                <w:szCs w:val="20"/>
              </w:rPr>
            </w:pPr>
          </w:p>
          <w:p w14:paraId="009C0ACC" w14:textId="77777777" w:rsidR="005E7BE6" w:rsidRPr="00247F47" w:rsidRDefault="005E7BE6">
            <w:pPr>
              <w:jc w:val="center"/>
              <w:rPr>
                <w:rFonts w:ascii="Arial Narrow" w:hAnsi="Arial Narrow"/>
                <w:iCs/>
                <w:sz w:val="20"/>
                <w:szCs w:val="20"/>
              </w:rPr>
            </w:pPr>
          </w:p>
        </w:tc>
        <w:tc>
          <w:tcPr>
            <w:tcW w:w="7748" w:type="dxa"/>
            <w:gridSpan w:val="6"/>
            <w:vAlign w:val="center"/>
            <w:hideMark/>
          </w:tcPr>
          <w:p w14:paraId="7D56E8C8"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 xml:space="preserve">Clinical criteria: </w:t>
            </w:r>
          </w:p>
        </w:tc>
      </w:tr>
      <w:tr w:rsidR="005E7BE6" w:rsidRPr="00247F47" w14:paraId="799DE339" w14:textId="77777777" w:rsidTr="005E7BE6">
        <w:tblPrEx>
          <w:tblCellMar>
            <w:top w:w="15" w:type="dxa"/>
            <w:bottom w:w="15" w:type="dxa"/>
          </w:tblCellMar>
        </w:tblPrEx>
        <w:trPr>
          <w:cantSplit/>
          <w:trHeight w:val="20"/>
        </w:trPr>
        <w:tc>
          <w:tcPr>
            <w:tcW w:w="1274" w:type="dxa"/>
            <w:gridSpan w:val="2"/>
            <w:vAlign w:val="center"/>
            <w:hideMark/>
          </w:tcPr>
          <w:p w14:paraId="035AC971" w14:textId="5832C902" w:rsidR="005E7BE6" w:rsidRPr="00247F47" w:rsidRDefault="005E7BE6">
            <w:pPr>
              <w:jc w:val="center"/>
              <w:rPr>
                <w:rFonts w:ascii="Arial Narrow" w:hAnsi="Arial Narrow"/>
                <w:iCs/>
                <w:sz w:val="20"/>
                <w:szCs w:val="20"/>
              </w:rPr>
            </w:pPr>
          </w:p>
        </w:tc>
        <w:tc>
          <w:tcPr>
            <w:tcW w:w="7748" w:type="dxa"/>
            <w:gridSpan w:val="6"/>
            <w:vAlign w:val="center"/>
            <w:hideMark/>
          </w:tcPr>
          <w:p w14:paraId="4CEEA0DC" w14:textId="77777777" w:rsidR="005E7BE6" w:rsidRPr="00247F47" w:rsidRDefault="005E7BE6">
            <w:pPr>
              <w:rPr>
                <w:rFonts w:ascii="Arial Narrow" w:hAnsi="Arial Narrow"/>
                <w:iCs/>
                <w:sz w:val="20"/>
                <w:szCs w:val="20"/>
              </w:rPr>
            </w:pPr>
            <w:r w:rsidRPr="00247F47">
              <w:rPr>
                <w:rFonts w:ascii="Arial Narrow" w:hAnsi="Arial Narrow"/>
                <w:bCs/>
                <w:iCs/>
                <w:sz w:val="20"/>
              </w:rPr>
              <w:t>The condition must be either: (i) primary myelofibrosis, (ii) post-polycythaemia vera myelofibrosis, (iii) post-essential thrombocythaemia myelofibrosis, confirmed through a bone marrow biopsy report</w:t>
            </w:r>
          </w:p>
        </w:tc>
      </w:tr>
      <w:tr w:rsidR="005E7BE6" w:rsidRPr="00247F47" w14:paraId="03078513" w14:textId="77777777" w:rsidTr="005E7BE6">
        <w:tblPrEx>
          <w:tblCellMar>
            <w:top w:w="15" w:type="dxa"/>
            <w:bottom w:w="15" w:type="dxa"/>
          </w:tblCellMar>
        </w:tblPrEx>
        <w:trPr>
          <w:cantSplit/>
          <w:trHeight w:val="20"/>
        </w:trPr>
        <w:tc>
          <w:tcPr>
            <w:tcW w:w="1274" w:type="dxa"/>
            <w:gridSpan w:val="2"/>
            <w:vAlign w:val="center"/>
            <w:hideMark/>
          </w:tcPr>
          <w:p w14:paraId="3922F09A" w14:textId="77777777" w:rsidR="005E7BE6" w:rsidRPr="00247F47" w:rsidRDefault="005E7BE6">
            <w:pPr>
              <w:jc w:val="center"/>
              <w:rPr>
                <w:rFonts w:ascii="Arial Narrow" w:hAnsi="Arial Narrow"/>
                <w:iCs/>
                <w:sz w:val="20"/>
                <w:szCs w:val="20"/>
              </w:rPr>
            </w:pPr>
          </w:p>
        </w:tc>
        <w:tc>
          <w:tcPr>
            <w:tcW w:w="7748" w:type="dxa"/>
            <w:gridSpan w:val="6"/>
            <w:vAlign w:val="center"/>
            <w:hideMark/>
          </w:tcPr>
          <w:p w14:paraId="0C751732"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AND</w:t>
            </w:r>
          </w:p>
        </w:tc>
      </w:tr>
      <w:tr w:rsidR="005E7BE6" w:rsidRPr="00247F47" w14:paraId="19438D54" w14:textId="77777777" w:rsidTr="005E7BE6">
        <w:tblPrEx>
          <w:tblCellMar>
            <w:top w:w="15" w:type="dxa"/>
            <w:bottom w:w="15" w:type="dxa"/>
          </w:tblCellMar>
        </w:tblPrEx>
        <w:trPr>
          <w:cantSplit/>
          <w:trHeight w:val="20"/>
        </w:trPr>
        <w:tc>
          <w:tcPr>
            <w:tcW w:w="1274" w:type="dxa"/>
            <w:gridSpan w:val="2"/>
            <w:vAlign w:val="center"/>
          </w:tcPr>
          <w:p w14:paraId="5288EE50" w14:textId="2F564139" w:rsidR="005E7BE6" w:rsidRPr="00247F47" w:rsidRDefault="005E7BE6">
            <w:pPr>
              <w:jc w:val="center"/>
              <w:rPr>
                <w:rFonts w:ascii="Arial Narrow" w:hAnsi="Arial Narrow"/>
                <w:iCs/>
                <w:sz w:val="20"/>
                <w:szCs w:val="20"/>
              </w:rPr>
            </w:pPr>
          </w:p>
        </w:tc>
        <w:tc>
          <w:tcPr>
            <w:tcW w:w="7748" w:type="dxa"/>
            <w:gridSpan w:val="6"/>
            <w:vAlign w:val="center"/>
          </w:tcPr>
          <w:p w14:paraId="6A2B46AF" w14:textId="77777777" w:rsidR="005E7BE6" w:rsidRPr="00247F47" w:rsidRDefault="005E7BE6">
            <w:pPr>
              <w:rPr>
                <w:rFonts w:ascii="Arial Narrow" w:hAnsi="Arial Narrow"/>
                <w:b/>
                <w:bCs/>
                <w:iCs/>
                <w:sz w:val="20"/>
              </w:rPr>
            </w:pPr>
            <w:r w:rsidRPr="00247F47">
              <w:rPr>
                <w:rFonts w:ascii="Arial Narrow" w:hAnsi="Arial Narrow"/>
                <w:b/>
                <w:bCs/>
                <w:iCs/>
                <w:sz w:val="20"/>
              </w:rPr>
              <w:t>Clinical criteria:</w:t>
            </w:r>
          </w:p>
        </w:tc>
      </w:tr>
      <w:tr w:rsidR="005E7BE6" w:rsidRPr="00247F47" w14:paraId="405D62E9" w14:textId="77777777" w:rsidTr="005E7BE6">
        <w:tblPrEx>
          <w:tblCellMar>
            <w:top w:w="15" w:type="dxa"/>
            <w:bottom w:w="15" w:type="dxa"/>
          </w:tblCellMar>
        </w:tblPrEx>
        <w:trPr>
          <w:cantSplit/>
          <w:trHeight w:val="20"/>
        </w:trPr>
        <w:tc>
          <w:tcPr>
            <w:tcW w:w="1274" w:type="dxa"/>
            <w:gridSpan w:val="2"/>
            <w:vAlign w:val="center"/>
          </w:tcPr>
          <w:p w14:paraId="4F919C9E" w14:textId="1B10E5FA" w:rsidR="005E7BE6" w:rsidRPr="00E11D6D" w:rsidRDefault="005E7BE6">
            <w:pPr>
              <w:jc w:val="center"/>
              <w:rPr>
                <w:rFonts w:ascii="Arial Narrow" w:hAnsi="Arial Narrow"/>
                <w:iCs/>
                <w:sz w:val="20"/>
                <w:szCs w:val="20"/>
              </w:rPr>
            </w:pPr>
          </w:p>
        </w:tc>
        <w:tc>
          <w:tcPr>
            <w:tcW w:w="7748" w:type="dxa"/>
            <w:gridSpan w:val="6"/>
            <w:vAlign w:val="center"/>
          </w:tcPr>
          <w:p w14:paraId="20322FB8" w14:textId="77777777" w:rsidR="005E7BE6" w:rsidRPr="00247F47" w:rsidRDefault="005E7BE6">
            <w:pPr>
              <w:rPr>
                <w:rFonts w:ascii="Arial Narrow" w:hAnsi="Arial Narrow"/>
                <w:b/>
                <w:bCs/>
                <w:iCs/>
                <w:sz w:val="20"/>
              </w:rPr>
            </w:pPr>
            <w:r w:rsidRPr="00E93A0E">
              <w:rPr>
                <w:rFonts w:ascii="Arial Narrow" w:hAnsi="Arial Narrow"/>
                <w:color w:val="333333"/>
                <w:sz w:val="20"/>
                <w:szCs w:val="20"/>
                <w:lang w:eastAsia="en-GB"/>
              </w:rPr>
              <w:t>Patient must have severe disease-related symptoms that are resistant, refractory or intolerant to available therapy;</w:t>
            </w:r>
          </w:p>
        </w:tc>
      </w:tr>
      <w:tr w:rsidR="005E7BE6" w:rsidRPr="00247F47" w14:paraId="22862428" w14:textId="77777777" w:rsidTr="005E7BE6">
        <w:tblPrEx>
          <w:tblCellMar>
            <w:top w:w="15" w:type="dxa"/>
            <w:bottom w:w="15" w:type="dxa"/>
          </w:tblCellMar>
        </w:tblPrEx>
        <w:trPr>
          <w:cantSplit/>
          <w:trHeight w:val="20"/>
        </w:trPr>
        <w:tc>
          <w:tcPr>
            <w:tcW w:w="1274" w:type="dxa"/>
            <w:gridSpan w:val="2"/>
            <w:vAlign w:val="center"/>
          </w:tcPr>
          <w:p w14:paraId="59A85FE8" w14:textId="77777777" w:rsidR="005E7BE6" w:rsidRPr="00E11D6D" w:rsidRDefault="005E7BE6">
            <w:pPr>
              <w:jc w:val="center"/>
              <w:rPr>
                <w:rFonts w:ascii="Arial Narrow" w:hAnsi="Arial Narrow"/>
                <w:iCs/>
                <w:sz w:val="20"/>
                <w:szCs w:val="20"/>
              </w:rPr>
            </w:pPr>
          </w:p>
        </w:tc>
        <w:tc>
          <w:tcPr>
            <w:tcW w:w="7748" w:type="dxa"/>
            <w:gridSpan w:val="6"/>
            <w:vAlign w:val="center"/>
          </w:tcPr>
          <w:p w14:paraId="2B742A43" w14:textId="77777777" w:rsidR="005E7BE6" w:rsidRPr="00247F47" w:rsidRDefault="005E7BE6">
            <w:pPr>
              <w:rPr>
                <w:rFonts w:ascii="Arial Narrow" w:hAnsi="Arial Narrow"/>
                <w:b/>
                <w:bCs/>
                <w:iCs/>
                <w:sz w:val="20"/>
              </w:rPr>
            </w:pPr>
            <w:r>
              <w:rPr>
                <w:rFonts w:ascii="Arial Narrow" w:hAnsi="Arial Narrow"/>
                <w:b/>
                <w:bCs/>
                <w:iCs/>
                <w:sz w:val="20"/>
              </w:rPr>
              <w:t>OR</w:t>
            </w:r>
          </w:p>
        </w:tc>
      </w:tr>
      <w:tr w:rsidR="005E7BE6" w:rsidRPr="00247F47" w14:paraId="177D7507" w14:textId="77777777" w:rsidTr="005E7BE6">
        <w:tblPrEx>
          <w:tblCellMar>
            <w:top w:w="15" w:type="dxa"/>
            <w:bottom w:w="15" w:type="dxa"/>
          </w:tblCellMar>
        </w:tblPrEx>
        <w:trPr>
          <w:cantSplit/>
          <w:trHeight w:val="20"/>
        </w:trPr>
        <w:tc>
          <w:tcPr>
            <w:tcW w:w="1274" w:type="dxa"/>
            <w:gridSpan w:val="2"/>
            <w:vAlign w:val="center"/>
          </w:tcPr>
          <w:p w14:paraId="0F25E7E1" w14:textId="7253591F" w:rsidR="005E7BE6" w:rsidRPr="00E11D6D" w:rsidRDefault="005E7BE6">
            <w:pPr>
              <w:jc w:val="center"/>
              <w:rPr>
                <w:rFonts w:ascii="Arial Narrow" w:hAnsi="Arial Narrow"/>
                <w:iCs/>
                <w:sz w:val="20"/>
                <w:szCs w:val="20"/>
              </w:rPr>
            </w:pPr>
          </w:p>
        </w:tc>
        <w:tc>
          <w:tcPr>
            <w:tcW w:w="7748" w:type="dxa"/>
            <w:gridSpan w:val="6"/>
            <w:vAlign w:val="center"/>
          </w:tcPr>
          <w:p w14:paraId="3C3D51F2" w14:textId="77777777" w:rsidR="005E7BE6" w:rsidRPr="00634F5D" w:rsidRDefault="005E7BE6">
            <w:pPr>
              <w:rPr>
                <w:rFonts w:ascii="Arial Narrow" w:hAnsi="Arial Narrow"/>
                <w:iCs/>
                <w:sz w:val="20"/>
              </w:rPr>
            </w:pPr>
            <w:r w:rsidRPr="00634F5D">
              <w:rPr>
                <w:rFonts w:ascii="Arial Narrow" w:hAnsi="Arial Narrow"/>
                <w:iCs/>
                <w:sz w:val="20"/>
              </w:rPr>
              <w:t>Patient must have intolerance to prior treatment with a JAK inhibitor for this condition</w:t>
            </w:r>
          </w:p>
        </w:tc>
      </w:tr>
      <w:tr w:rsidR="005E7BE6" w:rsidRPr="00247F47" w14:paraId="0CA7DE92" w14:textId="77777777" w:rsidTr="005E7BE6">
        <w:tblPrEx>
          <w:tblCellMar>
            <w:top w:w="15" w:type="dxa"/>
            <w:bottom w:w="15" w:type="dxa"/>
          </w:tblCellMar>
        </w:tblPrEx>
        <w:trPr>
          <w:cantSplit/>
          <w:trHeight w:val="20"/>
        </w:trPr>
        <w:tc>
          <w:tcPr>
            <w:tcW w:w="1274" w:type="dxa"/>
            <w:gridSpan w:val="2"/>
            <w:vAlign w:val="center"/>
          </w:tcPr>
          <w:p w14:paraId="42FF454A" w14:textId="77777777" w:rsidR="005E7BE6" w:rsidRPr="00E11D6D" w:rsidRDefault="005E7BE6">
            <w:pPr>
              <w:jc w:val="center"/>
              <w:rPr>
                <w:rFonts w:ascii="Arial Narrow" w:hAnsi="Arial Narrow"/>
                <w:iCs/>
                <w:sz w:val="20"/>
                <w:szCs w:val="20"/>
              </w:rPr>
            </w:pPr>
          </w:p>
        </w:tc>
        <w:tc>
          <w:tcPr>
            <w:tcW w:w="7748" w:type="dxa"/>
            <w:gridSpan w:val="6"/>
            <w:vAlign w:val="center"/>
          </w:tcPr>
          <w:p w14:paraId="5612071E" w14:textId="77777777" w:rsidR="005E7BE6" w:rsidRPr="00247F47" w:rsidRDefault="005E7BE6">
            <w:pPr>
              <w:rPr>
                <w:rFonts w:ascii="Arial Narrow" w:hAnsi="Arial Narrow"/>
                <w:b/>
                <w:bCs/>
                <w:iCs/>
                <w:sz w:val="20"/>
              </w:rPr>
            </w:pPr>
            <w:r w:rsidRPr="00247F47">
              <w:rPr>
                <w:rFonts w:ascii="Arial Narrow" w:hAnsi="Arial Narrow"/>
                <w:b/>
                <w:bCs/>
                <w:iCs/>
                <w:sz w:val="20"/>
                <w:szCs w:val="20"/>
              </w:rPr>
              <w:t>AND</w:t>
            </w:r>
          </w:p>
        </w:tc>
      </w:tr>
      <w:tr w:rsidR="005E7BE6" w:rsidRPr="00247F47" w14:paraId="6C95B84C" w14:textId="77777777" w:rsidTr="005E7BE6">
        <w:tblPrEx>
          <w:tblCellMar>
            <w:top w:w="15" w:type="dxa"/>
            <w:bottom w:w="15" w:type="dxa"/>
          </w:tblCellMar>
        </w:tblPrEx>
        <w:trPr>
          <w:cantSplit/>
          <w:trHeight w:val="20"/>
        </w:trPr>
        <w:tc>
          <w:tcPr>
            <w:tcW w:w="1274" w:type="dxa"/>
            <w:gridSpan w:val="2"/>
            <w:vAlign w:val="center"/>
          </w:tcPr>
          <w:p w14:paraId="1F124442" w14:textId="028EE809" w:rsidR="005E7BE6" w:rsidRPr="00E11D6D" w:rsidRDefault="005E7BE6">
            <w:pPr>
              <w:jc w:val="center"/>
              <w:rPr>
                <w:rFonts w:ascii="Arial Narrow" w:hAnsi="Arial Narrow"/>
                <w:iCs/>
                <w:sz w:val="20"/>
                <w:szCs w:val="20"/>
              </w:rPr>
            </w:pPr>
          </w:p>
        </w:tc>
        <w:tc>
          <w:tcPr>
            <w:tcW w:w="7748" w:type="dxa"/>
            <w:gridSpan w:val="6"/>
            <w:vAlign w:val="center"/>
          </w:tcPr>
          <w:p w14:paraId="1AD15AD1" w14:textId="77777777" w:rsidR="005E7BE6" w:rsidRPr="00247F47" w:rsidRDefault="005E7BE6">
            <w:pPr>
              <w:rPr>
                <w:rFonts w:ascii="Arial Narrow" w:hAnsi="Arial Narrow"/>
                <w:b/>
                <w:bCs/>
                <w:iCs/>
                <w:sz w:val="20"/>
              </w:rPr>
            </w:pPr>
            <w:r w:rsidRPr="00247F47">
              <w:rPr>
                <w:rFonts w:ascii="Arial Narrow" w:hAnsi="Arial Narrow"/>
                <w:b/>
                <w:bCs/>
                <w:iCs/>
                <w:sz w:val="20"/>
              </w:rPr>
              <w:t>Clinical criteria:</w:t>
            </w:r>
          </w:p>
        </w:tc>
      </w:tr>
      <w:tr w:rsidR="005E7BE6" w:rsidRPr="00247F47" w14:paraId="11E0CACA" w14:textId="77777777" w:rsidTr="005E7BE6">
        <w:tblPrEx>
          <w:tblCellMar>
            <w:top w:w="15" w:type="dxa"/>
            <w:bottom w:w="15" w:type="dxa"/>
          </w:tblCellMar>
        </w:tblPrEx>
        <w:trPr>
          <w:cantSplit/>
          <w:trHeight w:val="20"/>
        </w:trPr>
        <w:tc>
          <w:tcPr>
            <w:tcW w:w="1274" w:type="dxa"/>
            <w:gridSpan w:val="2"/>
            <w:vAlign w:val="center"/>
          </w:tcPr>
          <w:p w14:paraId="46CC3A8A" w14:textId="3F6858CB" w:rsidR="005E7BE6" w:rsidRPr="00247F47" w:rsidRDefault="005E7BE6">
            <w:pPr>
              <w:jc w:val="center"/>
              <w:rPr>
                <w:rFonts w:ascii="Arial Narrow" w:hAnsi="Arial Narrow"/>
                <w:iCs/>
                <w:sz w:val="20"/>
                <w:szCs w:val="20"/>
              </w:rPr>
            </w:pPr>
          </w:p>
        </w:tc>
        <w:tc>
          <w:tcPr>
            <w:tcW w:w="7748" w:type="dxa"/>
            <w:gridSpan w:val="6"/>
            <w:vAlign w:val="center"/>
          </w:tcPr>
          <w:p w14:paraId="23EE8E96" w14:textId="77777777" w:rsidR="005E7BE6" w:rsidRPr="00247F47" w:rsidRDefault="005E7BE6">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r w:rsidR="005E7BE6" w:rsidRPr="00247F47" w14:paraId="1A3351E6" w14:textId="77777777" w:rsidTr="005E7BE6">
        <w:tblPrEx>
          <w:tblCellMar>
            <w:top w:w="15" w:type="dxa"/>
            <w:bottom w:w="15" w:type="dxa"/>
          </w:tblCellMar>
        </w:tblPrEx>
        <w:trPr>
          <w:cantSplit/>
          <w:trHeight w:val="20"/>
        </w:trPr>
        <w:tc>
          <w:tcPr>
            <w:tcW w:w="1274" w:type="dxa"/>
            <w:gridSpan w:val="2"/>
            <w:vAlign w:val="center"/>
          </w:tcPr>
          <w:p w14:paraId="77D066FE" w14:textId="21232E14" w:rsidR="005E7BE6" w:rsidRPr="00247F47" w:rsidRDefault="005E7BE6">
            <w:pPr>
              <w:jc w:val="center"/>
              <w:rPr>
                <w:rFonts w:ascii="Arial Narrow" w:hAnsi="Arial Narrow"/>
                <w:iCs/>
                <w:sz w:val="20"/>
                <w:szCs w:val="20"/>
              </w:rPr>
            </w:pPr>
          </w:p>
        </w:tc>
        <w:tc>
          <w:tcPr>
            <w:tcW w:w="7748" w:type="dxa"/>
            <w:gridSpan w:val="6"/>
            <w:vAlign w:val="center"/>
            <w:hideMark/>
          </w:tcPr>
          <w:p w14:paraId="110C26A5"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Population criteria:</w:t>
            </w:r>
          </w:p>
        </w:tc>
      </w:tr>
      <w:tr w:rsidR="005E7BE6" w:rsidRPr="00247F47" w14:paraId="3A37F985" w14:textId="77777777" w:rsidTr="005E7BE6">
        <w:tblPrEx>
          <w:tblCellMar>
            <w:top w:w="15" w:type="dxa"/>
            <w:bottom w:w="15" w:type="dxa"/>
          </w:tblCellMar>
        </w:tblPrEx>
        <w:trPr>
          <w:cantSplit/>
          <w:trHeight w:val="20"/>
        </w:trPr>
        <w:tc>
          <w:tcPr>
            <w:tcW w:w="1274" w:type="dxa"/>
            <w:gridSpan w:val="2"/>
            <w:vAlign w:val="center"/>
            <w:hideMark/>
          </w:tcPr>
          <w:p w14:paraId="3DD9A2BF" w14:textId="5DAB86F0" w:rsidR="005E7BE6" w:rsidRPr="00247F47" w:rsidRDefault="005E7BE6">
            <w:pPr>
              <w:jc w:val="center"/>
              <w:rPr>
                <w:rFonts w:ascii="Arial Narrow" w:hAnsi="Arial Narrow"/>
                <w:iCs/>
                <w:sz w:val="20"/>
                <w:szCs w:val="20"/>
              </w:rPr>
            </w:pPr>
          </w:p>
        </w:tc>
        <w:tc>
          <w:tcPr>
            <w:tcW w:w="7748" w:type="dxa"/>
            <w:gridSpan w:val="6"/>
            <w:vAlign w:val="center"/>
            <w:hideMark/>
          </w:tcPr>
          <w:p w14:paraId="61454A15" w14:textId="77777777" w:rsidR="005E7BE6" w:rsidRPr="00247F47" w:rsidRDefault="005E7BE6">
            <w:pPr>
              <w:rPr>
                <w:rFonts w:ascii="Arial Narrow" w:hAnsi="Arial Narrow"/>
                <w:iCs/>
                <w:sz w:val="20"/>
                <w:szCs w:val="20"/>
              </w:rPr>
            </w:pPr>
            <w:r w:rsidRPr="00247F47">
              <w:rPr>
                <w:rFonts w:ascii="Arial Narrow" w:hAnsi="Arial Narrow"/>
                <w:iCs/>
                <w:sz w:val="20"/>
              </w:rPr>
              <w:t>Patient must be at least 18 years of age.</w:t>
            </w:r>
          </w:p>
        </w:tc>
      </w:tr>
      <w:tr w:rsidR="005E7BE6" w:rsidRPr="00247F47" w14:paraId="5AD67E8B" w14:textId="77777777" w:rsidTr="005E7BE6">
        <w:tblPrEx>
          <w:tblCellMar>
            <w:top w:w="15" w:type="dxa"/>
            <w:bottom w:w="15" w:type="dxa"/>
          </w:tblCellMar>
        </w:tblPrEx>
        <w:trPr>
          <w:cantSplit/>
          <w:trHeight w:val="20"/>
        </w:trPr>
        <w:tc>
          <w:tcPr>
            <w:tcW w:w="1274" w:type="dxa"/>
            <w:gridSpan w:val="2"/>
            <w:vAlign w:val="center"/>
          </w:tcPr>
          <w:p w14:paraId="106C40C1" w14:textId="18647E94" w:rsidR="005E7BE6" w:rsidRPr="00247F47" w:rsidRDefault="005E7BE6">
            <w:pPr>
              <w:jc w:val="center"/>
              <w:rPr>
                <w:rFonts w:ascii="Arial Narrow" w:hAnsi="Arial Narrow"/>
                <w:iCs/>
                <w:sz w:val="20"/>
                <w:szCs w:val="20"/>
              </w:rPr>
            </w:pPr>
          </w:p>
        </w:tc>
        <w:tc>
          <w:tcPr>
            <w:tcW w:w="7748" w:type="dxa"/>
            <w:gridSpan w:val="6"/>
            <w:vAlign w:val="center"/>
          </w:tcPr>
          <w:p w14:paraId="23FCF2FF"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 xml:space="preserve">Prescribing Instructions: </w:t>
            </w:r>
          </w:p>
          <w:p w14:paraId="3A02F408" w14:textId="77777777" w:rsidR="005E7BE6" w:rsidRPr="00247F47" w:rsidRDefault="005E7BE6">
            <w:pPr>
              <w:rPr>
                <w:rFonts w:ascii="Arial Narrow" w:hAnsi="Arial Narrow"/>
                <w:iCs/>
                <w:sz w:val="20"/>
                <w:szCs w:val="20"/>
              </w:rPr>
            </w:pPr>
            <w:r w:rsidRPr="00247F47">
              <w:rPr>
                <w:rFonts w:ascii="Arial Narrow" w:hAnsi="Arial Narrow"/>
                <w:iCs/>
                <w:sz w:val="20"/>
                <w:szCs w:val="20"/>
              </w:rPr>
              <w:t xml:space="preserve">Details of the following must be documented in the patient’s medical records: </w:t>
            </w:r>
          </w:p>
          <w:p w14:paraId="1E58B71E" w14:textId="77777777" w:rsidR="005E7BE6" w:rsidRPr="00247F47" w:rsidRDefault="005E7BE6" w:rsidP="005E7BE6">
            <w:pPr>
              <w:numPr>
                <w:ilvl w:val="0"/>
                <w:numId w:val="15"/>
              </w:numPr>
              <w:contextualSpacing/>
              <w:rPr>
                <w:rFonts w:ascii="Arial Narrow" w:hAnsi="Arial Narrow"/>
                <w:iCs/>
                <w:sz w:val="20"/>
                <w:szCs w:val="20"/>
              </w:rPr>
            </w:pPr>
            <w:r w:rsidRPr="00247F47">
              <w:rPr>
                <w:rFonts w:ascii="Arial Narrow" w:hAnsi="Arial Narrow"/>
                <w:iCs/>
                <w:sz w:val="20"/>
                <w:szCs w:val="20"/>
              </w:rPr>
              <w:t xml:space="preserve">the bone marrow biopsy report confirming diagnosis of myelofibrosis (date, unique identifying number/code or provider number); and </w:t>
            </w:r>
          </w:p>
          <w:p w14:paraId="4C75B611" w14:textId="77777777" w:rsidR="005E7BE6" w:rsidRPr="00247F47" w:rsidRDefault="005E7BE6" w:rsidP="005E7BE6">
            <w:pPr>
              <w:numPr>
                <w:ilvl w:val="0"/>
                <w:numId w:val="15"/>
              </w:numPr>
              <w:contextualSpacing/>
              <w:rPr>
                <w:rFonts w:ascii="Arial Narrow" w:hAnsi="Arial Narrow"/>
                <w:iCs/>
                <w:sz w:val="20"/>
                <w:szCs w:val="20"/>
              </w:rPr>
            </w:pPr>
            <w:r w:rsidRPr="00247F47">
              <w:rPr>
                <w:rFonts w:ascii="Arial Narrow" w:hAnsi="Arial Narrow"/>
                <w:iCs/>
                <w:sz w:val="20"/>
                <w:szCs w:val="20"/>
              </w:rPr>
              <w:t>a classification of risk of myelofibrosis according to either the IPSS, DIPSS, or the Age-Adjusted DIPSS</w:t>
            </w:r>
          </w:p>
        </w:tc>
      </w:tr>
      <w:tr w:rsidR="005E7BE6" w:rsidRPr="00247F47" w14:paraId="17364808" w14:textId="77777777" w:rsidTr="005E7BE6">
        <w:tblPrEx>
          <w:tblCellMar>
            <w:top w:w="15" w:type="dxa"/>
            <w:bottom w:w="15" w:type="dxa"/>
          </w:tblCellMar>
        </w:tblPrEx>
        <w:trPr>
          <w:cantSplit/>
          <w:trHeight w:val="20"/>
        </w:trPr>
        <w:tc>
          <w:tcPr>
            <w:tcW w:w="1274" w:type="dxa"/>
            <w:gridSpan w:val="2"/>
            <w:vAlign w:val="center"/>
          </w:tcPr>
          <w:p w14:paraId="71C18890" w14:textId="6258C1FD" w:rsidR="005E7BE6" w:rsidRPr="00247F47" w:rsidRDefault="005E7BE6">
            <w:pPr>
              <w:jc w:val="center"/>
              <w:rPr>
                <w:rFonts w:ascii="Arial Narrow" w:hAnsi="Arial Narrow"/>
                <w:iCs/>
                <w:sz w:val="20"/>
                <w:szCs w:val="20"/>
              </w:rPr>
            </w:pPr>
          </w:p>
        </w:tc>
        <w:tc>
          <w:tcPr>
            <w:tcW w:w="7748" w:type="dxa"/>
            <w:gridSpan w:val="6"/>
            <w:vAlign w:val="center"/>
          </w:tcPr>
          <w:p w14:paraId="28A0F5FF"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 xml:space="preserve">Caution: </w:t>
            </w:r>
          </w:p>
          <w:p w14:paraId="420A10E0" w14:textId="77777777" w:rsidR="005E7BE6" w:rsidRPr="00247F47" w:rsidRDefault="005E7BE6">
            <w:pPr>
              <w:rPr>
                <w:rFonts w:ascii="Arial Narrow" w:hAnsi="Arial Narrow"/>
                <w:iCs/>
                <w:sz w:val="20"/>
                <w:szCs w:val="20"/>
              </w:rPr>
            </w:pPr>
            <w:r w:rsidRPr="00247F47">
              <w:rPr>
                <w:rFonts w:ascii="Arial Narrow" w:hAnsi="Arial Narrow"/>
                <w:iCs/>
                <w:sz w:val="20"/>
                <w:szCs w:val="20"/>
              </w:rPr>
              <w:t xml:space="preserve">Thiamine levels should be assessed as per the approved Therapeutic Goods Administration (TGA) Product Information (PI) prior to receiving treatment and should be closely monitored throughout the treatment period. </w:t>
            </w:r>
          </w:p>
        </w:tc>
      </w:tr>
      <w:tr w:rsidR="005E7BE6" w:rsidRPr="00247F47" w14:paraId="5112C21B" w14:textId="77777777" w:rsidTr="005E7BE6">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1876088A"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w:t>
            </w:r>
          </w:p>
          <w:p w14:paraId="0332615D" w14:textId="77777777" w:rsidR="005E7BE6" w:rsidRPr="00247F47" w:rsidRDefault="005E7BE6">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2240" w:type="dxa"/>
            <w:tcBorders>
              <w:top w:val="single" w:sz="4" w:space="0" w:color="auto"/>
              <w:left w:val="single" w:sz="4" w:space="0" w:color="auto"/>
              <w:bottom w:val="single" w:sz="4" w:space="0" w:color="auto"/>
              <w:right w:val="single" w:sz="4" w:space="0" w:color="auto"/>
            </w:tcBorders>
            <w:vAlign w:val="center"/>
            <w:hideMark/>
          </w:tcPr>
          <w:p w14:paraId="3ECDEE59" w14:textId="77777777" w:rsidR="005E7BE6" w:rsidRPr="00247F47" w:rsidRDefault="005E7BE6">
            <w:pPr>
              <w:keepNext/>
              <w:jc w:val="center"/>
              <w:rPr>
                <w:rFonts w:ascii="Arial Narrow" w:eastAsia="MS Gothic" w:hAnsi="Arial Narrow"/>
                <w:b/>
                <w:iCs/>
                <w:sz w:val="20"/>
              </w:rPr>
            </w:pPr>
            <w:r w:rsidRPr="00247F47">
              <w:rPr>
                <w:rFonts w:ascii="Arial Narrow" w:eastAsia="MS Gothic" w:hAnsi="Arial Narrow"/>
                <w:b/>
                <w:iCs/>
                <w:sz w:val="20"/>
              </w:rPr>
              <w:t>Dispensed Price for Max. Qty</w:t>
            </w:r>
          </w:p>
        </w:tc>
        <w:tc>
          <w:tcPr>
            <w:tcW w:w="739" w:type="dxa"/>
            <w:tcBorders>
              <w:top w:val="single" w:sz="4" w:space="0" w:color="auto"/>
              <w:left w:val="single" w:sz="4" w:space="0" w:color="auto"/>
              <w:bottom w:val="single" w:sz="4" w:space="0" w:color="auto"/>
              <w:right w:val="single" w:sz="4" w:space="0" w:color="auto"/>
            </w:tcBorders>
            <w:vAlign w:val="center"/>
            <w:hideMark/>
          </w:tcPr>
          <w:p w14:paraId="7D3DA3B3"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40BDF2ED"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521D5353"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4A128034"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2CD17B1" w14:textId="77777777" w:rsidR="005E7BE6" w:rsidRPr="00247F47" w:rsidRDefault="005E7BE6">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5E7BE6" w:rsidRPr="00247F47" w14:paraId="352387F9" w14:textId="77777777" w:rsidTr="005E7BE6">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57AD79B9" w14:textId="77777777" w:rsidR="005E7BE6" w:rsidRPr="00247F47" w:rsidRDefault="005E7BE6">
            <w:pPr>
              <w:keepNext/>
              <w:rPr>
                <w:rFonts w:ascii="Arial Narrow" w:eastAsia="MS Gothic" w:hAnsi="Arial Narrow"/>
                <w:b/>
                <w:iCs/>
                <w:sz w:val="20"/>
                <w:szCs w:val="20"/>
              </w:rPr>
            </w:pPr>
            <w:r w:rsidRPr="00247F47">
              <w:rPr>
                <w:rFonts w:ascii="Arial Narrow" w:eastAsia="MS Gothic" w:hAnsi="Arial Narrow"/>
                <w:b/>
                <w:iCs/>
                <w:sz w:val="20"/>
              </w:rPr>
              <w:t>FEDRATINIB</w:t>
            </w:r>
          </w:p>
        </w:tc>
      </w:tr>
      <w:tr w:rsidR="005E7BE6" w:rsidRPr="00247F47" w14:paraId="6A42F810" w14:textId="77777777" w:rsidTr="005E7BE6">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2F242629" w14:textId="77777777" w:rsidR="005E7BE6" w:rsidRPr="00247F47" w:rsidRDefault="005E7BE6">
            <w:pPr>
              <w:keepNext/>
              <w:rPr>
                <w:rFonts w:ascii="Arial Narrow" w:eastAsia="MS Gothic" w:hAnsi="Arial Narrow"/>
                <w:bCs/>
                <w:iCs/>
                <w:color w:val="0066FF"/>
                <w:sz w:val="20"/>
                <w:szCs w:val="20"/>
              </w:rPr>
            </w:pPr>
            <w:r w:rsidRPr="00247F47">
              <w:rPr>
                <w:rFonts w:ascii="Arial Narrow" w:eastAsia="MS Gothic" w:hAnsi="Arial Narrow"/>
                <w:bCs/>
                <w:iCs/>
                <w:sz w:val="20"/>
              </w:rPr>
              <w:t>Fedratinib 100 mg capsule, 120</w:t>
            </w:r>
          </w:p>
        </w:tc>
        <w:tc>
          <w:tcPr>
            <w:tcW w:w="2240" w:type="dxa"/>
            <w:tcBorders>
              <w:top w:val="single" w:sz="4" w:space="0" w:color="auto"/>
              <w:left w:val="single" w:sz="4" w:space="0" w:color="auto"/>
              <w:bottom w:val="single" w:sz="4" w:space="0" w:color="auto"/>
              <w:right w:val="single" w:sz="4" w:space="0" w:color="auto"/>
            </w:tcBorders>
            <w:hideMark/>
          </w:tcPr>
          <w:p w14:paraId="18D8D068" w14:textId="77777777" w:rsidR="005E7BE6" w:rsidRPr="00247F47" w:rsidRDefault="005E7BE6">
            <w:pPr>
              <w:keepNext/>
              <w:rPr>
                <w:rFonts w:ascii="Arial Narrow" w:eastAsia="MS Gothic" w:hAnsi="Arial Narrow"/>
                <w:bCs/>
                <w:iCs/>
                <w:sz w:val="20"/>
              </w:rPr>
            </w:pPr>
            <w:r w:rsidRPr="00247F47">
              <w:rPr>
                <w:rFonts w:ascii="Arial Narrow" w:eastAsia="MS Gothic" w:hAnsi="Arial Narrow"/>
                <w:bCs/>
                <w:iCs/>
                <w:sz w:val="20"/>
              </w:rPr>
              <w:t>$10,515.60 (published)</w:t>
            </w:r>
          </w:p>
          <w:p w14:paraId="50BFF3A2" w14:textId="784FE030" w:rsidR="005E7BE6" w:rsidRPr="00247F47" w:rsidRDefault="005E7BE6">
            <w:pPr>
              <w:keepNext/>
              <w:rPr>
                <w:rFonts w:ascii="Arial Narrow" w:eastAsia="MS Gothic" w:hAnsi="Arial Narrow"/>
                <w:bCs/>
                <w:iCs/>
                <w:sz w:val="20"/>
                <w:szCs w:val="20"/>
              </w:rPr>
            </w:pPr>
            <w:r w:rsidRPr="00247F47">
              <w:rPr>
                <w:rFonts w:ascii="Arial Narrow" w:eastAsia="MS Gothic" w:hAnsi="Arial Narrow"/>
                <w:bCs/>
                <w:iCs/>
                <w:sz w:val="20"/>
              </w:rPr>
              <w:t>$</w:t>
            </w:r>
            <w:r w:rsidR="00783DC2" w:rsidRPr="00783DC2">
              <w:rPr>
                <w:rFonts w:ascii="Arial Narrow" w:eastAsia="MS Gothic" w:hAnsi="Arial Narrow"/>
                <w:bCs/>
                <w:iCs/>
                <w:sz w:val="20"/>
                <w:highlight w:val="black"/>
              </w:rPr>
              <w:t>&amp;&amp;&amp;&amp;</w:t>
            </w:r>
            <w:r w:rsidR="00B44A35" w:rsidRPr="00B44A35">
              <w:rPr>
                <w:rFonts w:ascii="Arial Narrow" w:eastAsia="MS Gothic" w:hAnsi="Arial Narrow"/>
                <w:bCs/>
                <w:iCs/>
                <w:sz w:val="20"/>
              </w:rPr>
              <w:t xml:space="preserve"> </w:t>
            </w:r>
            <w:r w:rsidRPr="00247F47">
              <w:rPr>
                <w:rFonts w:ascii="Arial Narrow" w:eastAsia="MS Gothic" w:hAnsi="Arial Narrow"/>
                <w:bCs/>
                <w:iCs/>
                <w:sz w:val="20"/>
              </w:rPr>
              <w:t>(effective)</w:t>
            </w:r>
          </w:p>
        </w:tc>
        <w:tc>
          <w:tcPr>
            <w:tcW w:w="739" w:type="dxa"/>
            <w:tcBorders>
              <w:top w:val="single" w:sz="4" w:space="0" w:color="auto"/>
              <w:left w:val="single" w:sz="4" w:space="0" w:color="auto"/>
              <w:bottom w:val="single" w:sz="4" w:space="0" w:color="auto"/>
              <w:right w:val="single" w:sz="4" w:space="0" w:color="auto"/>
            </w:tcBorders>
            <w:vAlign w:val="center"/>
            <w:hideMark/>
          </w:tcPr>
          <w:p w14:paraId="6EF25D20"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2EB7535"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7DFC5156" w14:textId="77777777" w:rsidR="005E7BE6" w:rsidRPr="00247F47" w:rsidRDefault="005E7BE6">
            <w:pPr>
              <w:keepNext/>
              <w:keepLines/>
              <w:jc w:val="center"/>
              <w:rPr>
                <w:rFonts w:ascii="Arial Narrow" w:hAnsi="Arial Narrow"/>
                <w:iCs/>
                <w:sz w:val="20"/>
                <w:szCs w:val="20"/>
              </w:rPr>
            </w:pPr>
            <w:r w:rsidRPr="00247F47">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53C93D56" w14:textId="77777777" w:rsidR="005E7BE6" w:rsidRPr="00247F47" w:rsidRDefault="005E7BE6">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005E7BE6" w:rsidRPr="00247F47" w14:paraId="1CE6FA20" w14:textId="77777777" w:rsidTr="005E7BE6">
        <w:tblPrEx>
          <w:tblCellMar>
            <w:top w:w="15" w:type="dxa"/>
            <w:bottom w:w="15" w:type="dxa"/>
          </w:tblCellMar>
        </w:tblPrEx>
        <w:trPr>
          <w:trHeight w:val="20"/>
        </w:trPr>
        <w:tc>
          <w:tcPr>
            <w:tcW w:w="9022" w:type="dxa"/>
            <w:gridSpan w:val="8"/>
            <w:tcBorders>
              <w:top w:val="single" w:sz="4" w:space="0" w:color="auto"/>
              <w:left w:val="single" w:sz="4" w:space="0" w:color="auto"/>
              <w:right w:val="single" w:sz="4" w:space="0" w:color="auto"/>
            </w:tcBorders>
            <w:vAlign w:val="center"/>
          </w:tcPr>
          <w:p w14:paraId="26336644"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Restriction Summary [new1] / Treatment of Concept: [new1A]</w:t>
            </w:r>
          </w:p>
        </w:tc>
      </w:tr>
      <w:tr w:rsidR="005E7BE6" w:rsidRPr="00247F47" w14:paraId="0FA9B55F" w14:textId="77777777" w:rsidTr="005E7BE6">
        <w:tblPrEx>
          <w:tblCellMar>
            <w:top w:w="15" w:type="dxa"/>
            <w:bottom w:w="15" w:type="dxa"/>
          </w:tblCellMar>
        </w:tblPrEx>
        <w:trPr>
          <w:trHeight w:val="20"/>
        </w:trPr>
        <w:tc>
          <w:tcPr>
            <w:tcW w:w="1274" w:type="dxa"/>
            <w:gridSpan w:val="2"/>
            <w:vMerge w:val="restart"/>
            <w:tcBorders>
              <w:top w:val="single" w:sz="4" w:space="0" w:color="auto"/>
              <w:left w:val="single" w:sz="4" w:space="0" w:color="auto"/>
              <w:right w:val="single" w:sz="4" w:space="0" w:color="auto"/>
            </w:tcBorders>
          </w:tcPr>
          <w:p w14:paraId="641652AC" w14:textId="77777777" w:rsidR="005E7BE6" w:rsidRPr="00247F47" w:rsidRDefault="005E7BE6">
            <w:pPr>
              <w:jc w:val="center"/>
              <w:rPr>
                <w:rFonts w:ascii="Arial Narrow" w:hAnsi="Arial Narrow"/>
                <w:b/>
                <w:iCs/>
                <w:sz w:val="20"/>
                <w:szCs w:val="20"/>
              </w:rPr>
            </w:pPr>
            <w:r w:rsidRPr="00247F47">
              <w:rPr>
                <w:rFonts w:ascii="Arial Narrow" w:hAnsi="Arial Narrow"/>
                <w:b/>
                <w:iCs/>
                <w:sz w:val="20"/>
                <w:szCs w:val="20"/>
              </w:rPr>
              <w:t xml:space="preserve">Concept ID </w:t>
            </w:r>
            <w:r w:rsidRPr="00247F47">
              <w:rPr>
                <w:rFonts w:ascii="Arial Narrow" w:hAnsi="Arial Narrow"/>
                <w:iCs/>
                <w:sz w:val="20"/>
                <w:szCs w:val="20"/>
              </w:rPr>
              <w:t>(for internal Dept. use)</w:t>
            </w: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476E8167" w14:textId="77777777" w:rsidR="005E7BE6" w:rsidRPr="00247F47" w:rsidRDefault="005E7BE6">
            <w:pPr>
              <w:keepLines/>
              <w:rPr>
                <w:rFonts w:ascii="Arial Narrow"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p>
          <w:p w14:paraId="75671BFD" w14:textId="77777777" w:rsidR="005E7BE6" w:rsidRPr="00247F47" w:rsidRDefault="005E7BE6">
            <w:pPr>
              <w:keepLines/>
              <w:rPr>
                <w:rFonts w:ascii="Arial Narrow" w:hAnsi="Arial Narrow"/>
                <w:iCs/>
                <w:sz w:val="20"/>
                <w:szCs w:val="20"/>
              </w:rPr>
            </w:pPr>
            <w:r w:rsidRPr="00247F47">
              <w:rPr>
                <w:rFonts w:ascii="Arial Narrow" w:eastAsia="Calibri" w:hAnsi="Arial Narrow"/>
                <w:iCs/>
                <w:sz w:val="20"/>
                <w:szCs w:val="20"/>
              </w:rPr>
              <w:fldChar w:fldCharType="begin">
                <w:ffData>
                  <w:name w:val="Check1"/>
                  <w:enabled/>
                  <w:calcOnExit w:val="0"/>
                  <w:checkBox>
                    <w:sizeAuto/>
                    <w:default w:val="1"/>
                  </w:checkBox>
                </w:ffData>
              </w:fldChar>
            </w:r>
            <w:r w:rsidRPr="00247F47">
              <w:rPr>
                <w:rFonts w:ascii="Arial Narrow" w:eastAsia="Calibri" w:hAnsi="Arial Narrow"/>
                <w:iCs/>
                <w:sz w:val="20"/>
                <w:szCs w:val="20"/>
              </w:rPr>
              <w:instrText xml:space="preserve"> FORMCHECKBOX </w:instrText>
            </w:r>
            <w:r w:rsidRPr="00247F47">
              <w:rPr>
                <w:rFonts w:ascii="Arial Narrow" w:eastAsia="Calibri" w:hAnsi="Arial Narrow"/>
                <w:iCs/>
                <w:sz w:val="20"/>
                <w:szCs w:val="20"/>
              </w:rPr>
            </w:r>
            <w:r w:rsidRPr="00247F47">
              <w:rPr>
                <w:rFonts w:ascii="Arial Narrow" w:eastAsia="Calibri" w:hAnsi="Arial Narrow"/>
                <w:iCs/>
                <w:sz w:val="20"/>
                <w:szCs w:val="20"/>
              </w:rPr>
              <w:fldChar w:fldCharType="separate"/>
            </w:r>
            <w:r w:rsidRPr="00247F47">
              <w:rPr>
                <w:rFonts w:ascii="Arial Narrow" w:eastAsia="Calibri" w:hAnsi="Arial Narrow"/>
                <w:iCs/>
                <w:sz w:val="20"/>
                <w:szCs w:val="20"/>
              </w:rPr>
              <w:fldChar w:fldCharType="end"/>
            </w:r>
            <w:r w:rsidRPr="00247F47">
              <w:rPr>
                <w:rFonts w:ascii="Arial Narrow" w:eastAsia="Calibri" w:hAnsi="Arial Narrow"/>
                <w:iCs/>
                <w:sz w:val="20"/>
                <w:szCs w:val="20"/>
              </w:rPr>
              <w:t xml:space="preserve"> GENERAL - General Schedule (Code GE) </w:t>
            </w:r>
          </w:p>
        </w:tc>
      </w:tr>
      <w:tr w:rsidR="005E7BE6" w:rsidRPr="00247F47" w14:paraId="55615A20" w14:textId="77777777" w:rsidTr="005E7BE6">
        <w:tblPrEx>
          <w:tblCellMar>
            <w:top w:w="15" w:type="dxa"/>
            <w:bottom w:w="15" w:type="dxa"/>
          </w:tblCellMar>
        </w:tblPrEx>
        <w:trPr>
          <w:trHeight w:val="20"/>
        </w:trPr>
        <w:tc>
          <w:tcPr>
            <w:tcW w:w="1274" w:type="dxa"/>
            <w:gridSpan w:val="2"/>
            <w:vMerge/>
          </w:tcPr>
          <w:p w14:paraId="7C9FA5BF"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13A67EFC"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 xml:space="preserve">Prescriber type: </w:t>
            </w:r>
          </w:p>
          <w:p w14:paraId="756240EA" w14:textId="77777777" w:rsidR="005E7BE6" w:rsidRPr="00247F47" w:rsidRDefault="005E7BE6">
            <w:pPr>
              <w:keepLines/>
              <w:rPr>
                <w:rFonts w:ascii="Arial Narrow" w:hAnsi="Arial Narrow"/>
                <w:b/>
                <w:iCs/>
                <w:sz w:val="20"/>
                <w:szCs w:val="20"/>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Medical Practitioners </w:t>
            </w:r>
          </w:p>
        </w:tc>
      </w:tr>
      <w:tr w:rsidR="005E7BE6" w:rsidRPr="00247F47" w14:paraId="69911319" w14:textId="77777777" w:rsidTr="005E7BE6">
        <w:tblPrEx>
          <w:tblCellMar>
            <w:top w:w="15" w:type="dxa"/>
            <w:bottom w:w="15" w:type="dxa"/>
          </w:tblCellMar>
        </w:tblPrEx>
        <w:trPr>
          <w:trHeight w:val="20"/>
        </w:trPr>
        <w:tc>
          <w:tcPr>
            <w:tcW w:w="1274" w:type="dxa"/>
            <w:gridSpan w:val="2"/>
            <w:vMerge/>
          </w:tcPr>
          <w:p w14:paraId="12CB670D" w14:textId="77777777" w:rsidR="005E7BE6" w:rsidRPr="00247F47" w:rsidRDefault="005E7BE6">
            <w:pP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203D2701" w14:textId="77777777" w:rsidR="005E7BE6" w:rsidRPr="00247F47" w:rsidRDefault="005E7BE6">
            <w:pPr>
              <w:keepLines/>
              <w:rPr>
                <w:rFonts w:ascii="Arial Narrow" w:hAnsi="Arial Narrow"/>
                <w:b/>
                <w:iCs/>
                <w:sz w:val="20"/>
                <w:szCs w:val="20"/>
              </w:rPr>
            </w:pPr>
            <w:r w:rsidRPr="00247F47">
              <w:rPr>
                <w:rFonts w:ascii="Arial Narrow" w:hAnsi="Arial Narrow"/>
                <w:b/>
                <w:iCs/>
                <w:sz w:val="20"/>
                <w:szCs w:val="20"/>
              </w:rPr>
              <w:t xml:space="preserve">Restriction type: </w:t>
            </w:r>
          </w:p>
          <w:p w14:paraId="650E1D90" w14:textId="77777777" w:rsidR="005E7BE6" w:rsidRPr="00247F47" w:rsidRDefault="005E7BE6">
            <w:pPr>
              <w:keepLines/>
              <w:rPr>
                <w:rFonts w:ascii="Arial Narrow" w:eastAsia="Calibri" w:hAnsi="Arial Narrow"/>
                <w:iCs/>
                <w:sz w:val="20"/>
                <w:szCs w:val="20"/>
              </w:rPr>
            </w:pPr>
            <w:r w:rsidRPr="00247F47">
              <w:rPr>
                <w:rFonts w:ascii="Arial Narrow" w:eastAsia="Calibri" w:hAnsi="Arial Narrow"/>
                <w:iCs/>
                <w:sz w:val="20"/>
                <w:szCs w:val="20"/>
              </w:rPr>
              <w:fldChar w:fldCharType="begin">
                <w:ffData>
                  <w:name w:val="Check3"/>
                  <w:enabled/>
                  <w:calcOnExit w:val="0"/>
                  <w:checkBox>
                    <w:sizeAuto/>
                    <w:default w:val="1"/>
                  </w:checkBox>
                </w:ffData>
              </w:fldChar>
            </w:r>
            <w:r w:rsidRPr="00247F47">
              <w:rPr>
                <w:rFonts w:ascii="Arial Narrow" w:eastAsia="Calibri" w:hAnsi="Arial Narrow"/>
                <w:iCs/>
                <w:sz w:val="20"/>
                <w:szCs w:val="20"/>
              </w:rPr>
              <w:instrText xml:space="preserve"> FORMCHECKBOX </w:instrText>
            </w:r>
            <w:r w:rsidRPr="00247F47">
              <w:rPr>
                <w:rFonts w:ascii="Arial Narrow" w:eastAsia="Calibri" w:hAnsi="Arial Narrow"/>
                <w:iCs/>
                <w:sz w:val="20"/>
                <w:szCs w:val="20"/>
              </w:rPr>
            </w:r>
            <w:r w:rsidRPr="00247F47">
              <w:rPr>
                <w:rFonts w:ascii="Arial Narrow" w:eastAsia="Calibri" w:hAnsi="Arial Narrow"/>
                <w:iCs/>
                <w:sz w:val="20"/>
                <w:szCs w:val="20"/>
              </w:rPr>
              <w:fldChar w:fldCharType="separate"/>
            </w:r>
            <w:r w:rsidRPr="00247F47">
              <w:rPr>
                <w:rFonts w:ascii="Arial Narrow" w:eastAsia="Calibri" w:hAnsi="Arial Narrow"/>
                <w:iCs/>
                <w:sz w:val="20"/>
                <w:szCs w:val="20"/>
              </w:rPr>
              <w:fldChar w:fldCharType="end"/>
            </w:r>
            <w:r w:rsidRPr="00247F47">
              <w:rPr>
                <w:rFonts w:ascii="Arial Narrow" w:eastAsia="Calibri" w:hAnsi="Arial Narrow"/>
                <w:iCs/>
                <w:sz w:val="20"/>
                <w:szCs w:val="20"/>
              </w:rPr>
              <w:t>Authority Required</w:t>
            </w:r>
            <w:r>
              <w:rPr>
                <w:rFonts w:ascii="Arial Narrow" w:eastAsia="Calibri" w:hAnsi="Arial Narrow"/>
                <w:iCs/>
                <w:sz w:val="20"/>
                <w:szCs w:val="20"/>
              </w:rPr>
              <w:t xml:space="preserve"> – </w:t>
            </w:r>
            <w:r w:rsidRPr="003F7823">
              <w:rPr>
                <w:rFonts w:ascii="Arial Narrow" w:eastAsia="Calibri" w:hAnsi="Arial Narrow"/>
                <w:color w:val="000000" w:themeColor="text1"/>
                <w:sz w:val="20"/>
              </w:rPr>
              <w:t>streamlined [new code]</w:t>
            </w:r>
          </w:p>
        </w:tc>
      </w:tr>
      <w:tr w:rsidR="005E7BE6" w:rsidRPr="00247F47" w14:paraId="4B1FB825" w14:textId="77777777" w:rsidTr="005E7BE6">
        <w:tblPrEx>
          <w:tblCellMar>
            <w:top w:w="15" w:type="dxa"/>
            <w:bottom w:w="15" w:type="dxa"/>
          </w:tblCellMar>
        </w:tblPrEx>
        <w:trPr>
          <w:trHeight w:val="20"/>
        </w:trPr>
        <w:tc>
          <w:tcPr>
            <w:tcW w:w="489" w:type="dxa"/>
            <w:vMerge w:val="restart"/>
            <w:tcBorders>
              <w:left w:val="single" w:sz="4" w:space="0" w:color="auto"/>
              <w:right w:val="single" w:sz="4" w:space="0" w:color="auto"/>
            </w:tcBorders>
            <w:textDirection w:val="btLr"/>
            <w:vAlign w:val="center"/>
          </w:tcPr>
          <w:p w14:paraId="7D969499" w14:textId="77777777" w:rsidR="005E7BE6" w:rsidRPr="00247F47" w:rsidRDefault="005E7BE6">
            <w:pPr>
              <w:jc w:val="center"/>
              <w:rPr>
                <w:rFonts w:ascii="Arial Narrow" w:hAnsi="Arial Narrow"/>
                <w:iCs/>
                <w:sz w:val="20"/>
                <w:szCs w:val="20"/>
              </w:rPr>
            </w:pPr>
            <w:r w:rsidRPr="00247F47">
              <w:rPr>
                <w:rFonts w:ascii="Arial Narrow" w:hAnsi="Arial Narrow"/>
                <w:iCs/>
                <w:sz w:val="20"/>
                <w:szCs w:val="20"/>
              </w:rPr>
              <w:t>Prescribing rule level</w:t>
            </w:r>
          </w:p>
        </w:tc>
        <w:tc>
          <w:tcPr>
            <w:tcW w:w="785" w:type="dxa"/>
            <w:vAlign w:val="center"/>
          </w:tcPr>
          <w:p w14:paraId="14CFAEB7" w14:textId="0216F908" w:rsidR="005E7BE6" w:rsidRPr="00540AF0" w:rsidRDefault="005E7BE6">
            <w:pPr>
              <w:jc w:val="center"/>
              <w:rPr>
                <w:rFonts w:ascii="Arial Narrow" w:hAnsi="Arial Narrow"/>
                <w:i/>
                <w:sz w:val="20"/>
                <w:szCs w:val="20"/>
              </w:rPr>
            </w:pPr>
          </w:p>
        </w:tc>
        <w:tc>
          <w:tcPr>
            <w:tcW w:w="7748" w:type="dxa"/>
            <w:gridSpan w:val="6"/>
            <w:vAlign w:val="center"/>
          </w:tcPr>
          <w:p w14:paraId="7E6E6324" w14:textId="77777777" w:rsidR="005E7BE6" w:rsidRPr="00540AF0" w:rsidRDefault="005E7BE6">
            <w:pPr>
              <w:rPr>
                <w:rFonts w:ascii="Arial Narrow" w:hAnsi="Arial Narrow"/>
                <w:i/>
                <w:sz w:val="20"/>
                <w:szCs w:val="20"/>
              </w:rPr>
            </w:pPr>
            <w:r w:rsidRPr="00540AF0">
              <w:rPr>
                <w:rFonts w:ascii="Arial Narrow" w:hAnsi="Arial Narrow"/>
                <w:b/>
                <w:bCs/>
                <w:i/>
                <w:sz w:val="20"/>
                <w:szCs w:val="20"/>
              </w:rPr>
              <w:t>Administrative Advice:</w:t>
            </w:r>
          </w:p>
          <w:p w14:paraId="6BDE52E9" w14:textId="77777777" w:rsidR="005E7BE6" w:rsidRPr="00247F47" w:rsidRDefault="005E7BE6">
            <w:pPr>
              <w:rPr>
                <w:rFonts w:ascii="Arial Narrow" w:hAnsi="Arial Narrow"/>
                <w:i/>
                <w:sz w:val="20"/>
                <w:szCs w:val="20"/>
              </w:rPr>
            </w:pPr>
            <w:r w:rsidRPr="00540AF0">
              <w:rPr>
                <w:rFonts w:ascii="Arial Narrow" w:hAnsi="Arial Narrow"/>
                <w:i/>
                <w:sz w:val="20"/>
                <w:szCs w:val="20"/>
              </w:rPr>
              <w:t>No increase in the maximum quantity or number of units may be authorised.</w:t>
            </w:r>
          </w:p>
        </w:tc>
      </w:tr>
      <w:tr w:rsidR="005E7BE6" w:rsidRPr="00247F47" w14:paraId="2F381527" w14:textId="77777777" w:rsidTr="005E7BE6">
        <w:tblPrEx>
          <w:tblCellMar>
            <w:top w:w="15" w:type="dxa"/>
            <w:bottom w:w="15" w:type="dxa"/>
          </w:tblCellMar>
        </w:tblPrEx>
        <w:trPr>
          <w:trHeight w:val="20"/>
        </w:trPr>
        <w:tc>
          <w:tcPr>
            <w:tcW w:w="489" w:type="dxa"/>
            <w:vMerge/>
          </w:tcPr>
          <w:p w14:paraId="1AE834E4" w14:textId="77777777" w:rsidR="005E7BE6" w:rsidRPr="00247F47" w:rsidRDefault="005E7BE6">
            <w:pPr>
              <w:rPr>
                <w:rFonts w:ascii="Arial Narrow" w:hAnsi="Arial Narrow"/>
                <w:iCs/>
                <w:sz w:val="20"/>
                <w:szCs w:val="20"/>
              </w:rPr>
            </w:pPr>
          </w:p>
        </w:tc>
        <w:tc>
          <w:tcPr>
            <w:tcW w:w="785" w:type="dxa"/>
            <w:vAlign w:val="center"/>
          </w:tcPr>
          <w:p w14:paraId="5941D350" w14:textId="465C4D85" w:rsidR="005E7BE6" w:rsidRPr="00540AF0" w:rsidRDefault="005E7BE6">
            <w:pPr>
              <w:jc w:val="center"/>
              <w:rPr>
                <w:rFonts w:ascii="Arial Narrow" w:hAnsi="Arial Narrow"/>
                <w:i/>
                <w:sz w:val="20"/>
                <w:szCs w:val="20"/>
              </w:rPr>
            </w:pPr>
          </w:p>
        </w:tc>
        <w:tc>
          <w:tcPr>
            <w:tcW w:w="7748" w:type="dxa"/>
            <w:gridSpan w:val="6"/>
            <w:vAlign w:val="center"/>
          </w:tcPr>
          <w:p w14:paraId="4D547EA6" w14:textId="77777777" w:rsidR="005E7BE6" w:rsidRPr="00540AF0" w:rsidRDefault="005E7BE6">
            <w:pPr>
              <w:rPr>
                <w:rFonts w:ascii="Arial Narrow" w:hAnsi="Arial Narrow"/>
                <w:b/>
                <w:bCs/>
                <w:i/>
                <w:sz w:val="20"/>
                <w:szCs w:val="20"/>
              </w:rPr>
            </w:pPr>
            <w:r w:rsidRPr="00540AF0">
              <w:rPr>
                <w:rFonts w:ascii="Arial Narrow" w:hAnsi="Arial Narrow"/>
                <w:b/>
                <w:bCs/>
                <w:i/>
                <w:sz w:val="20"/>
                <w:szCs w:val="20"/>
              </w:rPr>
              <w:t>Administrative Advice:</w:t>
            </w:r>
          </w:p>
          <w:p w14:paraId="3D8B974C" w14:textId="77777777" w:rsidR="005E7BE6" w:rsidRPr="00247F47" w:rsidRDefault="005E7BE6">
            <w:pPr>
              <w:rPr>
                <w:rFonts w:ascii="Arial Narrow" w:hAnsi="Arial Narrow"/>
                <w:b/>
                <w:bCs/>
                <w:i/>
                <w:sz w:val="20"/>
                <w:szCs w:val="20"/>
              </w:rPr>
            </w:pPr>
            <w:r w:rsidRPr="00540AF0">
              <w:rPr>
                <w:rFonts w:ascii="Arial Narrow" w:hAnsi="Arial Narrow"/>
                <w:i/>
                <w:sz w:val="20"/>
                <w:szCs w:val="20"/>
              </w:rPr>
              <w:t>No increase in the maximum number of repeats may be authorised.</w:t>
            </w:r>
          </w:p>
        </w:tc>
      </w:tr>
      <w:tr w:rsidR="005E7BE6" w:rsidRPr="00247F47" w14:paraId="25D58B97" w14:textId="77777777" w:rsidTr="005E7BE6">
        <w:tblPrEx>
          <w:tblCellMar>
            <w:top w:w="15" w:type="dxa"/>
            <w:bottom w:w="15" w:type="dxa"/>
          </w:tblCellMar>
        </w:tblPrEx>
        <w:trPr>
          <w:trHeight w:val="20"/>
        </w:trPr>
        <w:tc>
          <w:tcPr>
            <w:tcW w:w="489" w:type="dxa"/>
            <w:vMerge/>
          </w:tcPr>
          <w:p w14:paraId="15904B24" w14:textId="77777777" w:rsidR="005E7BE6" w:rsidRPr="00247F47" w:rsidRDefault="005E7BE6">
            <w:pPr>
              <w:rPr>
                <w:rFonts w:ascii="Arial Narrow" w:hAnsi="Arial Narrow"/>
                <w:iCs/>
                <w:sz w:val="20"/>
                <w:szCs w:val="20"/>
              </w:rPr>
            </w:pPr>
          </w:p>
        </w:tc>
        <w:tc>
          <w:tcPr>
            <w:tcW w:w="785" w:type="dxa"/>
            <w:vAlign w:val="center"/>
          </w:tcPr>
          <w:p w14:paraId="5B9F72FA" w14:textId="5E16C833" w:rsidR="005E7BE6" w:rsidRPr="00247F47" w:rsidRDefault="005E7BE6">
            <w:pPr>
              <w:jc w:val="center"/>
              <w:rPr>
                <w:rFonts w:ascii="Arial Narrow" w:hAnsi="Arial Narrow"/>
                <w:iCs/>
                <w:sz w:val="20"/>
                <w:szCs w:val="20"/>
              </w:rPr>
            </w:pPr>
          </w:p>
        </w:tc>
        <w:tc>
          <w:tcPr>
            <w:tcW w:w="7748" w:type="dxa"/>
            <w:gridSpan w:val="6"/>
            <w:vAlign w:val="center"/>
          </w:tcPr>
          <w:p w14:paraId="0F0AC4EE" w14:textId="77777777" w:rsidR="005E7BE6" w:rsidRPr="00247F47" w:rsidRDefault="005E7BE6">
            <w:pPr>
              <w:rPr>
                <w:rFonts w:ascii="Arial Narrow" w:hAnsi="Arial Narrow"/>
                <w:b/>
                <w:bCs/>
                <w:iCs/>
                <w:sz w:val="20"/>
                <w:szCs w:val="20"/>
              </w:rPr>
            </w:pPr>
            <w:r w:rsidRPr="00247F47">
              <w:rPr>
                <w:rFonts w:ascii="Arial Narrow" w:hAnsi="Arial Narrow"/>
                <w:b/>
                <w:bCs/>
                <w:iCs/>
                <w:sz w:val="20"/>
                <w:szCs w:val="20"/>
              </w:rPr>
              <w:t>Administrative Advice:</w:t>
            </w:r>
          </w:p>
          <w:p w14:paraId="2B31855A" w14:textId="77777777" w:rsidR="005E7BE6" w:rsidRPr="00247F47" w:rsidRDefault="005E7BE6">
            <w:pPr>
              <w:rPr>
                <w:rFonts w:ascii="Arial Narrow" w:hAnsi="Arial Narrow"/>
                <w:b/>
                <w:bCs/>
                <w:iCs/>
                <w:sz w:val="20"/>
                <w:szCs w:val="20"/>
              </w:rPr>
            </w:pPr>
            <w:r w:rsidRPr="00247F47">
              <w:rPr>
                <w:rFonts w:ascii="Arial Narrow" w:hAnsi="Arial Narrow"/>
                <w:iCs/>
                <w:sz w:val="20"/>
                <w:szCs w:val="20"/>
              </w:rPr>
              <w:t>Special Pricing Arrangements apply.</w:t>
            </w:r>
          </w:p>
        </w:tc>
      </w:tr>
      <w:tr w:rsidR="005E7BE6" w:rsidRPr="00247F47" w14:paraId="764F2EBB" w14:textId="77777777" w:rsidTr="005E7BE6">
        <w:tblPrEx>
          <w:tblCellMar>
            <w:top w:w="15" w:type="dxa"/>
            <w:bottom w:w="15" w:type="dxa"/>
          </w:tblCellMar>
        </w:tblPrEx>
        <w:trPr>
          <w:trHeight w:val="20"/>
        </w:trPr>
        <w:tc>
          <w:tcPr>
            <w:tcW w:w="489" w:type="dxa"/>
            <w:vMerge/>
          </w:tcPr>
          <w:p w14:paraId="0C58D4AF" w14:textId="77777777" w:rsidR="005E7BE6" w:rsidRPr="00247F47" w:rsidRDefault="005E7BE6">
            <w:pPr>
              <w:rPr>
                <w:rFonts w:ascii="Arial Narrow" w:hAnsi="Arial Narrow"/>
                <w:iCs/>
                <w:sz w:val="20"/>
                <w:szCs w:val="20"/>
              </w:rPr>
            </w:pPr>
          </w:p>
        </w:tc>
        <w:tc>
          <w:tcPr>
            <w:tcW w:w="785" w:type="dxa"/>
            <w:vAlign w:val="center"/>
          </w:tcPr>
          <w:p w14:paraId="46E3F339" w14:textId="2B0B380D" w:rsidR="005E7BE6" w:rsidRPr="00247F47" w:rsidRDefault="005E7BE6">
            <w:pPr>
              <w:jc w:val="center"/>
              <w:rPr>
                <w:rFonts w:ascii="Arial Narrow" w:hAnsi="Arial Narrow"/>
                <w:iCs/>
                <w:sz w:val="20"/>
                <w:szCs w:val="20"/>
              </w:rPr>
            </w:pPr>
          </w:p>
        </w:tc>
        <w:tc>
          <w:tcPr>
            <w:tcW w:w="7748" w:type="dxa"/>
            <w:gridSpan w:val="6"/>
            <w:vAlign w:val="center"/>
          </w:tcPr>
          <w:p w14:paraId="31F6ADA5" w14:textId="77777777" w:rsidR="005E7BE6" w:rsidRPr="00247F47" w:rsidRDefault="005E7BE6">
            <w:pPr>
              <w:rPr>
                <w:rFonts w:ascii="Arial Narrow" w:hAnsi="Arial Narrow"/>
                <w:bCs/>
                <w:iCs/>
                <w:sz w:val="20"/>
                <w:szCs w:val="20"/>
              </w:rPr>
            </w:pPr>
            <w:r w:rsidRPr="00247F47">
              <w:rPr>
                <w:rFonts w:ascii="Arial Narrow" w:hAnsi="Arial Narrow"/>
                <w:b/>
                <w:bCs/>
                <w:iCs/>
                <w:sz w:val="20"/>
                <w:szCs w:val="20"/>
              </w:rPr>
              <w:t xml:space="preserve">Administrative Advice: </w:t>
            </w:r>
          </w:p>
          <w:p w14:paraId="5F7067E9" w14:textId="77777777" w:rsidR="005E7BE6" w:rsidRPr="00247F47" w:rsidRDefault="005E7BE6">
            <w:pPr>
              <w:rPr>
                <w:rFonts w:ascii="Arial Narrow" w:hAnsi="Arial Narrow"/>
                <w:b/>
                <w:bCs/>
                <w:iCs/>
                <w:sz w:val="20"/>
                <w:szCs w:val="20"/>
              </w:rPr>
            </w:pPr>
            <w:r w:rsidRPr="00247F47">
              <w:rPr>
                <w:rFonts w:ascii="Arial Narrow" w:hAnsi="Arial Narrow"/>
                <w:iCs/>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sz w:val="20"/>
                <w:szCs w:val="20"/>
              </w:rPr>
              <w:t>aaDIPSS</w:t>
            </w:r>
            <w:proofErr w:type="spellEnd"/>
            <w:r w:rsidRPr="00247F47">
              <w:rPr>
                <w:rFonts w:ascii="Arial Narrow" w:hAnsi="Arial Narrow"/>
                <w:iCs/>
                <w:sz w:val="20"/>
                <w:szCs w:val="20"/>
              </w:rPr>
              <w:t>).</w:t>
            </w:r>
          </w:p>
        </w:tc>
      </w:tr>
      <w:tr w:rsidR="005E7BE6" w:rsidRPr="00247F47" w14:paraId="79D35DBC" w14:textId="77777777" w:rsidTr="005E7BE6">
        <w:tblPrEx>
          <w:tblCellMar>
            <w:top w:w="15" w:type="dxa"/>
            <w:bottom w:w="15" w:type="dxa"/>
          </w:tblCellMar>
        </w:tblPrEx>
        <w:trPr>
          <w:trHeight w:val="20"/>
        </w:trPr>
        <w:tc>
          <w:tcPr>
            <w:tcW w:w="489" w:type="dxa"/>
            <w:vMerge/>
          </w:tcPr>
          <w:p w14:paraId="56C0BB03" w14:textId="77777777" w:rsidR="005E7BE6" w:rsidRPr="00247F47" w:rsidRDefault="005E7BE6">
            <w:pPr>
              <w:rPr>
                <w:rFonts w:ascii="Arial Narrow" w:hAnsi="Arial Narrow"/>
                <w:iCs/>
                <w:sz w:val="20"/>
                <w:szCs w:val="20"/>
              </w:rPr>
            </w:pPr>
          </w:p>
        </w:tc>
        <w:tc>
          <w:tcPr>
            <w:tcW w:w="785" w:type="dxa"/>
            <w:vAlign w:val="center"/>
          </w:tcPr>
          <w:p w14:paraId="3AD33E54" w14:textId="77777777" w:rsidR="005E7BE6" w:rsidRPr="003F7823" w:rsidRDefault="005E7BE6">
            <w:pPr>
              <w:jc w:val="center"/>
              <w:rPr>
                <w:rFonts w:ascii="Arial Narrow" w:hAnsi="Arial Narrow"/>
                <w:iCs/>
                <w:strike/>
                <w:color w:val="000000" w:themeColor="text1"/>
                <w:sz w:val="20"/>
                <w:szCs w:val="20"/>
              </w:rPr>
            </w:pPr>
          </w:p>
        </w:tc>
        <w:tc>
          <w:tcPr>
            <w:tcW w:w="7748" w:type="dxa"/>
            <w:gridSpan w:val="6"/>
            <w:vAlign w:val="center"/>
          </w:tcPr>
          <w:p w14:paraId="550AE6FE" w14:textId="77777777" w:rsidR="005E7BE6" w:rsidRPr="00247F47" w:rsidRDefault="005E7BE6">
            <w:pPr>
              <w:rPr>
                <w:rFonts w:ascii="Arial Narrow" w:hAnsi="Arial Narrow"/>
                <w:b/>
                <w:bCs/>
                <w:iCs/>
                <w:strike/>
                <w:color w:val="000000" w:themeColor="text1"/>
                <w:sz w:val="20"/>
                <w:szCs w:val="20"/>
              </w:rPr>
            </w:pPr>
            <w:r w:rsidRPr="00247F47">
              <w:rPr>
                <w:rFonts w:ascii="Arial Narrow" w:hAnsi="Arial Narrow"/>
                <w:b/>
                <w:bCs/>
                <w:iCs/>
                <w:strike/>
                <w:color w:val="000000" w:themeColor="text1"/>
                <w:sz w:val="20"/>
                <w:szCs w:val="20"/>
              </w:rPr>
              <w:t xml:space="preserve">Administrative Advice: </w:t>
            </w:r>
          </w:p>
          <w:p w14:paraId="1E4C8D3F" w14:textId="77777777" w:rsidR="005E7BE6" w:rsidRPr="00E47A3A" w:rsidRDefault="005E7BE6">
            <w:pPr>
              <w:rPr>
                <w:rFonts w:ascii="Arial Narrow" w:hAnsi="Arial Narrow"/>
                <w:bCs/>
                <w:iCs/>
                <w:strike/>
                <w:color w:val="000000" w:themeColor="text1"/>
                <w:sz w:val="20"/>
                <w:szCs w:val="20"/>
              </w:rPr>
            </w:pPr>
            <w:r w:rsidRPr="003F7823">
              <w:rPr>
                <w:rFonts w:ascii="Arial Narrow" w:hAnsi="Arial Narrow"/>
                <w:bCs/>
                <w:iCs/>
                <w:strike/>
                <w:color w:val="000000" w:themeColor="text1"/>
                <w:sz w:val="20"/>
                <w:szCs w:val="20"/>
              </w:rPr>
              <w:t xml:space="preserve">Applications for authorisation under this restriction may be made in real time using the Online PBS Authorities system (see </w:t>
            </w:r>
            <w:hyperlink r:id="rId13" w:history="1">
              <w:r w:rsidRPr="003F7823">
                <w:rPr>
                  <w:rStyle w:val="Hyperlink"/>
                  <w:rFonts w:ascii="Arial Narrow" w:hAnsi="Arial Narrow"/>
                  <w:bCs/>
                  <w:iCs/>
                  <w:strike/>
                  <w:color w:val="000000" w:themeColor="text1"/>
                  <w:sz w:val="20"/>
                  <w:szCs w:val="20"/>
                </w:rPr>
                <w:t>www.servicesaustralia</w:t>
              </w:r>
            </w:hyperlink>
            <w:r w:rsidRPr="003F7823">
              <w:rPr>
                <w:rFonts w:ascii="Arial Narrow" w:hAnsi="Arial Narrow"/>
                <w:bCs/>
                <w:iCs/>
                <w:strike/>
                <w:color w:val="000000" w:themeColor="text1"/>
                <w:sz w:val="20"/>
                <w:szCs w:val="20"/>
              </w:rPr>
              <w:t>.gov.au/HPOS) or by telephone by contacting Services Australia on 1800 700 270.</w:t>
            </w:r>
          </w:p>
        </w:tc>
      </w:tr>
      <w:tr w:rsidR="005E7BE6" w:rsidRPr="00247F47" w14:paraId="3866274D" w14:textId="77777777" w:rsidTr="005E7BE6">
        <w:tblPrEx>
          <w:tblCellMar>
            <w:top w:w="15" w:type="dxa"/>
            <w:bottom w:w="15" w:type="dxa"/>
          </w:tblCellMar>
        </w:tblPrEx>
        <w:trPr>
          <w:cantSplit/>
          <w:trHeight w:val="20"/>
        </w:trPr>
        <w:tc>
          <w:tcPr>
            <w:tcW w:w="1274" w:type="dxa"/>
            <w:gridSpan w:val="2"/>
            <w:vAlign w:val="center"/>
            <w:hideMark/>
          </w:tcPr>
          <w:p w14:paraId="3CBFE9D0" w14:textId="6872174C" w:rsidR="005E7BE6" w:rsidRPr="00247F47" w:rsidRDefault="005E7BE6">
            <w:pPr>
              <w:keepLines/>
              <w:jc w:val="center"/>
              <w:rPr>
                <w:rFonts w:ascii="Arial Narrow" w:hAnsi="Arial Narrow"/>
                <w:iCs/>
                <w:sz w:val="20"/>
                <w:szCs w:val="20"/>
              </w:rPr>
            </w:pPr>
          </w:p>
        </w:tc>
        <w:tc>
          <w:tcPr>
            <w:tcW w:w="7748" w:type="dxa"/>
            <w:gridSpan w:val="6"/>
            <w:vAlign w:val="center"/>
            <w:hideMark/>
          </w:tcPr>
          <w:p w14:paraId="2979956C" w14:textId="77777777" w:rsidR="005E7BE6" w:rsidRPr="00247F47" w:rsidRDefault="005E7BE6">
            <w:pPr>
              <w:keepLines/>
              <w:rPr>
                <w:rFonts w:ascii="Arial Narrow" w:hAnsi="Arial Narrow"/>
                <w:iCs/>
                <w:sz w:val="20"/>
                <w:szCs w:val="20"/>
              </w:rPr>
            </w:pPr>
            <w:r w:rsidRPr="00247F47">
              <w:rPr>
                <w:rFonts w:ascii="Arial Narrow" w:hAnsi="Arial Narrow"/>
                <w:b/>
                <w:bCs/>
                <w:iCs/>
                <w:sz w:val="20"/>
                <w:szCs w:val="20"/>
              </w:rPr>
              <w:t>Indication:</w:t>
            </w:r>
            <w:r w:rsidRPr="00247F47">
              <w:rPr>
                <w:rFonts w:ascii="Arial Narrow" w:hAnsi="Arial Narrow"/>
                <w:iCs/>
                <w:sz w:val="20"/>
                <w:szCs w:val="20"/>
              </w:rPr>
              <w:t xml:space="preserve"> </w:t>
            </w:r>
            <w:r>
              <w:rPr>
                <w:rFonts w:ascii="Arial Narrow" w:hAnsi="Arial Narrow"/>
                <w:iCs/>
                <w:sz w:val="20"/>
              </w:rPr>
              <w:t>I</w:t>
            </w:r>
            <w:r w:rsidRPr="00247F47">
              <w:rPr>
                <w:rFonts w:ascii="Arial Narrow" w:hAnsi="Arial Narrow"/>
                <w:iCs/>
                <w:sz w:val="20"/>
              </w:rPr>
              <w:t>ntermediate-</w:t>
            </w:r>
            <w:r>
              <w:rPr>
                <w:rFonts w:ascii="Arial Narrow" w:hAnsi="Arial Narrow"/>
                <w:iCs/>
                <w:sz w:val="20"/>
              </w:rPr>
              <w:t>1</w:t>
            </w:r>
            <w:r w:rsidRPr="00247F47">
              <w:rPr>
                <w:rFonts w:ascii="Arial Narrow" w:hAnsi="Arial Narrow"/>
                <w:iCs/>
                <w:sz w:val="20"/>
              </w:rPr>
              <w:t xml:space="preserve"> risk myelofibrosis</w:t>
            </w:r>
          </w:p>
        </w:tc>
      </w:tr>
      <w:tr w:rsidR="005E7BE6" w:rsidRPr="00247F47" w14:paraId="58AC4E78" w14:textId="77777777" w:rsidTr="005E7BE6">
        <w:tblPrEx>
          <w:tblCellMar>
            <w:top w:w="15" w:type="dxa"/>
            <w:bottom w:w="15" w:type="dxa"/>
          </w:tblCellMar>
        </w:tblPrEx>
        <w:trPr>
          <w:cantSplit/>
          <w:trHeight w:val="20"/>
        </w:trPr>
        <w:tc>
          <w:tcPr>
            <w:tcW w:w="1274" w:type="dxa"/>
            <w:gridSpan w:val="2"/>
            <w:vAlign w:val="center"/>
          </w:tcPr>
          <w:p w14:paraId="41FE915C" w14:textId="77777777" w:rsidR="005E7BE6" w:rsidRPr="00247F47" w:rsidRDefault="005E7BE6">
            <w:pPr>
              <w:keepLines/>
              <w:jc w:val="center"/>
              <w:rPr>
                <w:rFonts w:ascii="Arial Narrow" w:hAnsi="Arial Narrow"/>
                <w:iCs/>
                <w:sz w:val="20"/>
                <w:szCs w:val="20"/>
              </w:rPr>
            </w:pPr>
          </w:p>
        </w:tc>
        <w:tc>
          <w:tcPr>
            <w:tcW w:w="7748" w:type="dxa"/>
            <w:gridSpan w:val="6"/>
            <w:vAlign w:val="center"/>
          </w:tcPr>
          <w:p w14:paraId="5E1B4ED6" w14:textId="77777777" w:rsidR="005E7BE6" w:rsidRPr="00247F47" w:rsidRDefault="005E7BE6">
            <w:pPr>
              <w:keepLines/>
              <w:rPr>
                <w:rFonts w:ascii="Arial Narrow" w:hAnsi="Arial Narrow"/>
                <w:b/>
                <w:bCs/>
                <w:iCs/>
                <w:sz w:val="20"/>
                <w:szCs w:val="20"/>
              </w:rPr>
            </w:pPr>
            <w:r>
              <w:rPr>
                <w:rFonts w:ascii="Arial Narrow" w:hAnsi="Arial Narrow"/>
                <w:b/>
                <w:bCs/>
                <w:iCs/>
                <w:sz w:val="20"/>
                <w:szCs w:val="20"/>
              </w:rPr>
              <w:t>Treatment Phase:</w:t>
            </w:r>
            <w:r>
              <w:rPr>
                <w:rFonts w:ascii="Arial Narrow" w:hAnsi="Arial Narrow"/>
                <w:iCs/>
                <w:sz w:val="20"/>
                <w:szCs w:val="20"/>
              </w:rPr>
              <w:t xml:space="preserve"> Continuing</w:t>
            </w:r>
            <w:r w:rsidRPr="00021104">
              <w:rPr>
                <w:rFonts w:ascii="Arial Narrow" w:hAnsi="Arial Narrow"/>
                <w:iCs/>
                <w:sz w:val="20"/>
                <w:szCs w:val="20"/>
              </w:rPr>
              <w:t xml:space="preserve"> treatment</w:t>
            </w:r>
          </w:p>
        </w:tc>
      </w:tr>
      <w:tr w:rsidR="005E7BE6" w:rsidRPr="00247F47" w14:paraId="65DBCE62" w14:textId="77777777" w:rsidTr="005E7BE6">
        <w:tblPrEx>
          <w:tblCellMar>
            <w:top w:w="15" w:type="dxa"/>
            <w:bottom w:w="15" w:type="dxa"/>
          </w:tblCellMar>
        </w:tblPrEx>
        <w:trPr>
          <w:cantSplit/>
          <w:trHeight w:val="20"/>
        </w:trPr>
        <w:tc>
          <w:tcPr>
            <w:tcW w:w="1274" w:type="dxa"/>
            <w:gridSpan w:val="2"/>
            <w:vAlign w:val="center"/>
          </w:tcPr>
          <w:p w14:paraId="654B2C8E" w14:textId="7BF4B0DF" w:rsidR="005E7BE6" w:rsidRPr="00247F47" w:rsidRDefault="005E7BE6">
            <w:pPr>
              <w:jc w:val="center"/>
              <w:rPr>
                <w:rFonts w:ascii="Arial Narrow" w:hAnsi="Arial Narrow"/>
                <w:iCs/>
                <w:sz w:val="20"/>
                <w:szCs w:val="20"/>
              </w:rPr>
            </w:pPr>
          </w:p>
        </w:tc>
        <w:tc>
          <w:tcPr>
            <w:tcW w:w="7748" w:type="dxa"/>
            <w:gridSpan w:val="6"/>
            <w:vAlign w:val="center"/>
            <w:hideMark/>
          </w:tcPr>
          <w:p w14:paraId="0FF9310F" w14:textId="77777777" w:rsidR="005E7BE6" w:rsidRPr="00247F47" w:rsidRDefault="005E7BE6">
            <w:pPr>
              <w:rPr>
                <w:rFonts w:ascii="Arial Narrow" w:hAnsi="Arial Narrow"/>
                <w:iCs/>
                <w:sz w:val="20"/>
                <w:szCs w:val="20"/>
              </w:rPr>
            </w:pPr>
            <w:r w:rsidRPr="00247F47">
              <w:rPr>
                <w:rFonts w:ascii="Arial Narrow" w:hAnsi="Arial Narrow"/>
                <w:b/>
                <w:bCs/>
                <w:iCs/>
                <w:sz w:val="20"/>
                <w:szCs w:val="20"/>
              </w:rPr>
              <w:t xml:space="preserve">Clinical criteria: </w:t>
            </w:r>
          </w:p>
        </w:tc>
      </w:tr>
      <w:tr w:rsidR="005E7BE6" w:rsidRPr="00247F47" w14:paraId="4A489A5D" w14:textId="77777777" w:rsidTr="005E7BE6">
        <w:tblPrEx>
          <w:tblCellMar>
            <w:top w:w="15" w:type="dxa"/>
            <w:bottom w:w="15" w:type="dxa"/>
          </w:tblCellMar>
        </w:tblPrEx>
        <w:trPr>
          <w:cantSplit/>
          <w:trHeight w:val="20"/>
        </w:trPr>
        <w:tc>
          <w:tcPr>
            <w:tcW w:w="1274" w:type="dxa"/>
            <w:gridSpan w:val="2"/>
            <w:vAlign w:val="center"/>
          </w:tcPr>
          <w:p w14:paraId="3C897FCF" w14:textId="75325B49" w:rsidR="005E7BE6" w:rsidRPr="00247F47" w:rsidRDefault="005E7BE6">
            <w:pPr>
              <w:jc w:val="center"/>
              <w:rPr>
                <w:rFonts w:ascii="Arial Narrow" w:hAnsi="Arial Narrow"/>
                <w:iCs/>
                <w:sz w:val="20"/>
                <w:szCs w:val="20"/>
              </w:rPr>
            </w:pPr>
          </w:p>
        </w:tc>
        <w:tc>
          <w:tcPr>
            <w:tcW w:w="7748" w:type="dxa"/>
            <w:gridSpan w:val="6"/>
            <w:vAlign w:val="center"/>
            <w:hideMark/>
          </w:tcPr>
          <w:p w14:paraId="01F90BDC" w14:textId="77777777" w:rsidR="005E7BE6" w:rsidRPr="00247F47" w:rsidRDefault="005E7BE6">
            <w:pPr>
              <w:rPr>
                <w:rFonts w:ascii="Arial Narrow" w:hAnsi="Arial Narrow"/>
                <w:iCs/>
                <w:sz w:val="20"/>
                <w:szCs w:val="20"/>
              </w:rPr>
            </w:pPr>
            <w:r w:rsidRPr="006901DA">
              <w:rPr>
                <w:rFonts w:ascii="Arial Narrow" w:hAnsi="Arial Narrow"/>
                <w:bCs/>
                <w:iCs/>
                <w:sz w:val="20"/>
              </w:rPr>
              <w:t>Patient must have previously received PBS-subsidised treatment with this drug for this condition, </w:t>
            </w:r>
          </w:p>
        </w:tc>
      </w:tr>
      <w:tr w:rsidR="005E7BE6" w:rsidRPr="00247F47" w14:paraId="0A71AC80" w14:textId="77777777" w:rsidTr="005E7BE6">
        <w:tblPrEx>
          <w:tblCellMar>
            <w:top w:w="15" w:type="dxa"/>
            <w:bottom w:w="15" w:type="dxa"/>
          </w:tblCellMar>
        </w:tblPrEx>
        <w:trPr>
          <w:cantSplit/>
          <w:trHeight w:val="20"/>
        </w:trPr>
        <w:tc>
          <w:tcPr>
            <w:tcW w:w="1274" w:type="dxa"/>
            <w:gridSpan w:val="2"/>
            <w:vAlign w:val="center"/>
          </w:tcPr>
          <w:p w14:paraId="5E56B867" w14:textId="77777777" w:rsidR="005E7BE6" w:rsidRPr="00247F47" w:rsidRDefault="005E7BE6">
            <w:pPr>
              <w:jc w:val="center"/>
              <w:rPr>
                <w:rFonts w:ascii="Arial Narrow" w:hAnsi="Arial Narrow"/>
                <w:b/>
                <w:bCs/>
                <w:iCs/>
                <w:sz w:val="20"/>
                <w:szCs w:val="20"/>
              </w:rPr>
            </w:pPr>
          </w:p>
        </w:tc>
        <w:tc>
          <w:tcPr>
            <w:tcW w:w="7748" w:type="dxa"/>
            <w:gridSpan w:val="6"/>
            <w:vAlign w:val="center"/>
          </w:tcPr>
          <w:p w14:paraId="3FED375C" w14:textId="77777777" w:rsidR="005E7BE6" w:rsidRPr="00247F47" w:rsidRDefault="005E7BE6">
            <w:pPr>
              <w:rPr>
                <w:rFonts w:ascii="Arial Narrow" w:hAnsi="Arial Narrow"/>
                <w:b/>
                <w:bCs/>
                <w:iCs/>
                <w:sz w:val="20"/>
              </w:rPr>
            </w:pPr>
            <w:r w:rsidRPr="00247F47">
              <w:rPr>
                <w:rFonts w:ascii="Arial Narrow" w:hAnsi="Arial Narrow"/>
                <w:b/>
                <w:bCs/>
                <w:iCs/>
                <w:sz w:val="20"/>
                <w:szCs w:val="20"/>
              </w:rPr>
              <w:t>AND</w:t>
            </w:r>
          </w:p>
        </w:tc>
      </w:tr>
      <w:tr w:rsidR="005E7BE6" w:rsidRPr="00247F47" w14:paraId="55E6316F" w14:textId="77777777" w:rsidTr="005E7BE6">
        <w:tblPrEx>
          <w:tblCellMar>
            <w:top w:w="15" w:type="dxa"/>
            <w:bottom w:w="15" w:type="dxa"/>
          </w:tblCellMar>
        </w:tblPrEx>
        <w:trPr>
          <w:cantSplit/>
          <w:trHeight w:val="20"/>
        </w:trPr>
        <w:tc>
          <w:tcPr>
            <w:tcW w:w="1274" w:type="dxa"/>
            <w:gridSpan w:val="2"/>
            <w:vAlign w:val="center"/>
          </w:tcPr>
          <w:p w14:paraId="45F36971" w14:textId="27E4FE86" w:rsidR="005E7BE6" w:rsidRPr="00247F47" w:rsidRDefault="005E7BE6">
            <w:pPr>
              <w:jc w:val="center"/>
              <w:rPr>
                <w:rFonts w:ascii="Arial Narrow" w:hAnsi="Arial Narrow"/>
                <w:b/>
                <w:bCs/>
                <w:iCs/>
                <w:sz w:val="20"/>
                <w:szCs w:val="20"/>
              </w:rPr>
            </w:pPr>
          </w:p>
        </w:tc>
        <w:tc>
          <w:tcPr>
            <w:tcW w:w="7748" w:type="dxa"/>
            <w:gridSpan w:val="6"/>
            <w:vAlign w:val="center"/>
          </w:tcPr>
          <w:p w14:paraId="2620DDB5" w14:textId="77777777" w:rsidR="005E7BE6" w:rsidRPr="00247F47" w:rsidRDefault="005E7BE6">
            <w:pPr>
              <w:rPr>
                <w:rFonts w:ascii="Arial Narrow" w:hAnsi="Arial Narrow"/>
                <w:b/>
                <w:bCs/>
                <w:iCs/>
                <w:sz w:val="20"/>
              </w:rPr>
            </w:pPr>
            <w:r w:rsidRPr="00247F47">
              <w:rPr>
                <w:rFonts w:ascii="Arial Narrow" w:hAnsi="Arial Narrow"/>
                <w:b/>
                <w:bCs/>
                <w:iCs/>
                <w:sz w:val="20"/>
              </w:rPr>
              <w:t>Clinical criteria:</w:t>
            </w:r>
          </w:p>
        </w:tc>
      </w:tr>
      <w:tr w:rsidR="005E7BE6" w:rsidRPr="00247F47" w14:paraId="77B78A22" w14:textId="77777777" w:rsidTr="005E7BE6">
        <w:tblPrEx>
          <w:tblCellMar>
            <w:top w:w="15" w:type="dxa"/>
            <w:bottom w:w="15" w:type="dxa"/>
          </w:tblCellMar>
        </w:tblPrEx>
        <w:trPr>
          <w:cantSplit/>
          <w:trHeight w:val="20"/>
        </w:trPr>
        <w:tc>
          <w:tcPr>
            <w:tcW w:w="1274" w:type="dxa"/>
            <w:gridSpan w:val="2"/>
            <w:vAlign w:val="center"/>
          </w:tcPr>
          <w:p w14:paraId="7B035081" w14:textId="17053007" w:rsidR="005E7BE6" w:rsidRPr="00247F47" w:rsidRDefault="005E7BE6">
            <w:pPr>
              <w:jc w:val="center"/>
              <w:rPr>
                <w:rFonts w:ascii="Arial Narrow" w:hAnsi="Arial Narrow"/>
                <w:iCs/>
                <w:sz w:val="20"/>
                <w:szCs w:val="20"/>
              </w:rPr>
            </w:pPr>
          </w:p>
        </w:tc>
        <w:tc>
          <w:tcPr>
            <w:tcW w:w="7748" w:type="dxa"/>
            <w:gridSpan w:val="6"/>
            <w:vAlign w:val="center"/>
          </w:tcPr>
          <w:p w14:paraId="49345541" w14:textId="77777777" w:rsidR="005E7BE6" w:rsidRPr="00247F47" w:rsidRDefault="005E7BE6">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r w:rsidR="005E7BE6" w:rsidRPr="00247F47" w14:paraId="4FE7B044" w14:textId="77777777" w:rsidTr="005E7BE6">
        <w:tblPrEx>
          <w:tblCellMar>
            <w:top w:w="15" w:type="dxa"/>
            <w:bottom w:w="15" w:type="dxa"/>
          </w:tblCellMar>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573B2D4A" w14:textId="77777777" w:rsidR="005E7BE6" w:rsidRPr="00247F47" w:rsidRDefault="005E7BE6">
            <w:pPr>
              <w:jc w:val="cente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1445624D" w14:textId="77777777" w:rsidR="005E7BE6" w:rsidRPr="00953E9D" w:rsidRDefault="005E7BE6">
            <w:pPr>
              <w:rPr>
                <w:rFonts w:ascii="Arial Narrow" w:hAnsi="Arial Narrow"/>
                <w:b/>
                <w:bCs/>
                <w:iCs/>
                <w:strike/>
                <w:sz w:val="20"/>
              </w:rPr>
            </w:pPr>
            <w:r w:rsidRPr="00953E9D">
              <w:rPr>
                <w:rFonts w:ascii="Arial Narrow" w:hAnsi="Arial Narrow"/>
                <w:b/>
                <w:bCs/>
                <w:iCs/>
                <w:strike/>
                <w:sz w:val="20"/>
              </w:rPr>
              <w:t>Administrative advice:</w:t>
            </w:r>
          </w:p>
          <w:p w14:paraId="44D8E576" w14:textId="77777777" w:rsidR="005E7BE6" w:rsidRPr="0044503E" w:rsidRDefault="005E7BE6">
            <w:pPr>
              <w:rPr>
                <w:rFonts w:ascii="Arial Narrow" w:hAnsi="Arial Narrow"/>
                <w:iCs/>
                <w:sz w:val="20"/>
              </w:rPr>
            </w:pPr>
            <w:r w:rsidRPr="00634F5D">
              <w:rPr>
                <w:rFonts w:ascii="Arial Narrow" w:hAnsi="Arial Narrow"/>
                <w:iCs/>
                <w:strike/>
                <w:sz w:val="20"/>
              </w:rPr>
              <w:t>A patient may only qualify for PBS-subsidised treatment under this restriction twice in a lifetime. Patients reinitiating PBS-subsidised treatment following pregnancy are exempt from this rule.</w:t>
            </w:r>
            <w:r w:rsidRPr="0044503E">
              <w:rPr>
                <w:rFonts w:ascii="Arial Narrow" w:hAnsi="Arial Narrow"/>
                <w:iCs/>
                <w:sz w:val="20"/>
              </w:rPr>
              <w:t> </w:t>
            </w:r>
          </w:p>
        </w:tc>
      </w:tr>
      <w:tr w:rsidR="005E7BE6" w:rsidRPr="00247F47" w14:paraId="5E30BE1F" w14:textId="77777777" w:rsidTr="005E7BE6">
        <w:tblPrEx>
          <w:tblCellMar>
            <w:top w:w="15" w:type="dxa"/>
            <w:bottom w:w="15" w:type="dxa"/>
          </w:tblCellMar>
        </w:tblPrEx>
        <w:trPr>
          <w:cantSplit/>
          <w:trHeight w:val="20"/>
        </w:trPr>
        <w:tc>
          <w:tcPr>
            <w:tcW w:w="1274" w:type="dxa"/>
            <w:gridSpan w:val="2"/>
            <w:tcBorders>
              <w:top w:val="single" w:sz="4" w:space="0" w:color="auto"/>
              <w:left w:val="single" w:sz="4" w:space="0" w:color="auto"/>
              <w:bottom w:val="single" w:sz="4" w:space="0" w:color="auto"/>
              <w:right w:val="single" w:sz="4" w:space="0" w:color="auto"/>
            </w:tcBorders>
            <w:vAlign w:val="center"/>
          </w:tcPr>
          <w:p w14:paraId="0661F6BA" w14:textId="3D102BC0" w:rsidR="005E7BE6" w:rsidRPr="003F7823" w:rsidRDefault="005E7BE6">
            <w:pPr>
              <w:jc w:val="center"/>
              <w:rPr>
                <w:rFonts w:ascii="Arial Narrow" w:hAnsi="Arial Narrow"/>
                <w:iCs/>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7742DEC3" w14:textId="77777777" w:rsidR="005E7BE6" w:rsidRPr="003F7823" w:rsidRDefault="005E7BE6">
            <w:pPr>
              <w:rPr>
                <w:rFonts w:ascii="Arial Narrow" w:hAnsi="Arial Narrow"/>
                <w:b/>
                <w:bCs/>
                <w:iCs/>
                <w:sz w:val="20"/>
              </w:rPr>
            </w:pPr>
            <w:r w:rsidRPr="003F7823">
              <w:rPr>
                <w:rFonts w:ascii="Arial Narrow" w:hAnsi="Arial Narrow"/>
                <w:b/>
                <w:bCs/>
                <w:iCs/>
                <w:sz w:val="20"/>
              </w:rPr>
              <w:t xml:space="preserve">Caution: </w:t>
            </w:r>
          </w:p>
          <w:p w14:paraId="5B68CA96" w14:textId="77777777" w:rsidR="005E7BE6" w:rsidRPr="003F7823" w:rsidRDefault="005E7BE6">
            <w:pPr>
              <w:rPr>
                <w:rFonts w:ascii="Arial Narrow" w:hAnsi="Arial Narrow"/>
                <w:iCs/>
                <w:sz w:val="20"/>
              </w:rPr>
            </w:pPr>
            <w:r w:rsidRPr="003F7823">
              <w:rPr>
                <w:rFonts w:ascii="Arial Narrow" w:hAnsi="Arial Narrow"/>
                <w:iCs/>
                <w:sz w:val="20"/>
              </w:rPr>
              <w:t xml:space="preserve">Thiamine levels should be assessed as per the approved Therapeutic Goods Administration (TGA) Product Information (PI) prior to receiving treatment and should be closely monitored throughout the treatment period. </w:t>
            </w:r>
          </w:p>
        </w:tc>
      </w:tr>
    </w:tbl>
    <w:p w14:paraId="3D7F5E0A" w14:textId="7C5FDA5C" w:rsidR="00660066" w:rsidRDefault="00660066" w:rsidP="00660066">
      <w:pPr>
        <w:pStyle w:val="COMESnumberedpara"/>
      </w:pPr>
      <w:r w:rsidRPr="00AB4970">
        <w:t xml:space="preserve">The submission proposed a special pricing arrangement with a published </w:t>
      </w:r>
      <w:r w:rsidR="00571F75">
        <w:t xml:space="preserve">DPMQ </w:t>
      </w:r>
      <w:r w:rsidRPr="00AB4970">
        <w:t xml:space="preserve">of $10,515.93 and an effective </w:t>
      </w:r>
      <w:r w:rsidR="00571F75">
        <w:t xml:space="preserve">DPMQ </w:t>
      </w:r>
      <w:r w:rsidRPr="00AB4970">
        <w:t>of $</w:t>
      </w:r>
      <w:r w:rsidR="00783DC2" w:rsidRPr="00783DC2">
        <w:rPr>
          <w:highlight w:val="black"/>
        </w:rPr>
        <w:t>&amp;&amp;&amp;&amp;</w:t>
      </w:r>
      <w:r w:rsidRPr="00AB4970">
        <w:t xml:space="preserve"> per pack of 120 capsules. </w:t>
      </w:r>
    </w:p>
    <w:p w14:paraId="44C0188C" w14:textId="733113E4" w:rsidR="00B83BD8" w:rsidRPr="00CB1EA6" w:rsidRDefault="00660066">
      <w:pPr>
        <w:pStyle w:val="COMESnumberedpara"/>
      </w:pPr>
      <w:r w:rsidRPr="00CB1EA6">
        <w:t xml:space="preserve">The proposed PBS restriction is broader than the TGA indication for the treatment of disease-related splenomegaly or symptoms in adult patients with primary myelofibrosis, post polycythaemia vera myelofibrosis or post essential thrombocythaemia myelofibrosis who are Janus </w:t>
      </w:r>
      <w:r w:rsidR="00A8498D" w:rsidRPr="00CB1EA6">
        <w:t>ki</w:t>
      </w:r>
      <w:r w:rsidRPr="00CB1EA6">
        <w:t>nase (JAK) inhibitor naïve or have been treated with ruxolitinib. The proposed restriction would allow use of fedratinib in patients</w:t>
      </w:r>
      <w:r w:rsidR="00445F9D" w:rsidRPr="00CB1EA6">
        <w:t xml:space="preserve"> who</w:t>
      </w:r>
      <w:r w:rsidRPr="00CB1EA6">
        <w:t xml:space="preserve"> are </w:t>
      </w:r>
      <w:r w:rsidR="002C48B4" w:rsidRPr="00CB1EA6">
        <w:t>neither</w:t>
      </w:r>
      <w:r w:rsidRPr="00CB1EA6">
        <w:t xml:space="preserve"> JAK inhibitor naïve</w:t>
      </w:r>
      <w:r w:rsidR="00A529C6" w:rsidRPr="00CB1EA6">
        <w:t xml:space="preserve"> </w:t>
      </w:r>
      <w:r w:rsidR="002C48B4" w:rsidRPr="00CB1EA6">
        <w:t>no</w:t>
      </w:r>
      <w:r w:rsidR="00FD0800" w:rsidRPr="00CB1EA6">
        <w:t>r</w:t>
      </w:r>
      <w:r w:rsidR="002C48B4" w:rsidRPr="00CB1EA6">
        <w:t xml:space="preserve"> previously treated with ruxolitinib (</w:t>
      </w:r>
      <w:r w:rsidR="00A529C6" w:rsidRPr="00CB1EA6">
        <w:t>i.e. patients</w:t>
      </w:r>
      <w:r w:rsidR="00FD0800" w:rsidRPr="00CB1EA6">
        <w:t xml:space="preserve"> who</w:t>
      </w:r>
      <w:r w:rsidR="00A529C6" w:rsidRPr="00CB1EA6">
        <w:t xml:space="preserve"> </w:t>
      </w:r>
      <w:r w:rsidRPr="00CB1EA6">
        <w:t xml:space="preserve">have been treated with </w:t>
      </w:r>
      <w:proofErr w:type="spellStart"/>
      <w:r w:rsidRPr="00CB1EA6">
        <w:t>momelotinib</w:t>
      </w:r>
      <w:proofErr w:type="spellEnd"/>
      <w:r w:rsidR="002C48B4" w:rsidRPr="00CB1EA6">
        <w:t>)</w:t>
      </w:r>
      <w:r w:rsidRPr="00CB1EA6">
        <w:t>.</w:t>
      </w:r>
      <w:r w:rsidR="00BF79C3" w:rsidRPr="00CB1EA6">
        <w:t xml:space="preserve"> The proposed restriction does not limit use to adults, while the TGA indication</w:t>
      </w:r>
      <w:r w:rsidR="00D012DA" w:rsidRPr="00CB1EA6">
        <w:t xml:space="preserve"> is for adult patients only.</w:t>
      </w:r>
    </w:p>
    <w:p w14:paraId="1D561A13" w14:textId="77777777" w:rsidR="00DC2C1A" w:rsidRDefault="006F304A">
      <w:pPr>
        <w:pStyle w:val="COMESnumberedpara"/>
      </w:pPr>
      <w:r w:rsidRPr="00CB1EA6">
        <w:t xml:space="preserve">The proposed restriction is consistent with the PBS restrictions for ruxolitinib and </w:t>
      </w:r>
      <w:proofErr w:type="spellStart"/>
      <w:r w:rsidRPr="00CB1EA6">
        <w:t>momelotinib</w:t>
      </w:r>
      <w:proofErr w:type="spellEnd"/>
      <w:r w:rsidRPr="00CB1EA6">
        <w:t xml:space="preserve"> for myelofibrosis (except for the anaemia requirements for </w:t>
      </w:r>
      <w:proofErr w:type="spellStart"/>
      <w:r w:rsidRPr="00CB1EA6">
        <w:t>momelotinib</w:t>
      </w:r>
      <w:proofErr w:type="spellEnd"/>
      <w:r w:rsidRPr="00CB1EA6">
        <w:t>).</w:t>
      </w:r>
      <w:r w:rsidR="008F4284">
        <w:t xml:space="preserve"> </w:t>
      </w:r>
      <w:r w:rsidR="008F4284" w:rsidRPr="00B44CE3">
        <w:t xml:space="preserve">The ESC considered the line agnostic listing aligned with PBS restrictions for ruxolitinib and </w:t>
      </w:r>
      <w:proofErr w:type="spellStart"/>
      <w:r w:rsidR="008F4284" w:rsidRPr="00B44CE3">
        <w:t>momelotinib</w:t>
      </w:r>
      <w:proofErr w:type="spellEnd"/>
      <w:r w:rsidR="008F4284" w:rsidRPr="00B44CE3">
        <w:t xml:space="preserve"> was appropriate.</w:t>
      </w:r>
    </w:p>
    <w:p w14:paraId="44918390" w14:textId="4982DE76" w:rsidR="67EDFCAD" w:rsidRDefault="68AB4065" w:rsidP="67EDFCAD">
      <w:pPr>
        <w:pStyle w:val="COMESnumberedpara"/>
      </w:pPr>
      <w:r>
        <w:t xml:space="preserve">The submission did not </w:t>
      </w:r>
      <w:r w:rsidR="00DA403C">
        <w:t>request for</w:t>
      </w:r>
      <w:r w:rsidR="005D1A2D">
        <w:t xml:space="preserve"> </w:t>
      </w:r>
      <w:r>
        <w:t xml:space="preserve">nurse practitioners </w:t>
      </w:r>
      <w:r w:rsidR="005D1A2D">
        <w:t xml:space="preserve">to </w:t>
      </w:r>
      <w:r>
        <w:t xml:space="preserve">be eligible PBS prescribers of fedratinib. </w:t>
      </w:r>
      <w:r w:rsidR="33ED1A6C">
        <w:t xml:space="preserve">As part of the nurse practitioner/endorsed midwife prescribing review, the PBAC considered </w:t>
      </w:r>
      <w:r w:rsidR="00AD6A57">
        <w:t xml:space="preserve">a list of oncology and haematology medicines listed on the </w:t>
      </w:r>
      <w:r w:rsidR="00EE3C08">
        <w:t xml:space="preserve">General Schedule, and medicines listed on the </w:t>
      </w:r>
      <w:r w:rsidR="009A6024">
        <w:t xml:space="preserve">Section 100 </w:t>
      </w:r>
      <w:r w:rsidR="00444F77">
        <w:t xml:space="preserve">program that had been identified by stakeholders as being suitable for prescribing by nurse practitioners. </w:t>
      </w:r>
      <w:r w:rsidR="008F03E8">
        <w:t>The PBAC noted t</w:t>
      </w:r>
      <w:r w:rsidR="00C173A3">
        <w:t xml:space="preserve">he stakeholder feedback </w:t>
      </w:r>
      <w:r w:rsidR="005B0232">
        <w:t xml:space="preserve">did </w:t>
      </w:r>
      <w:r w:rsidR="0EE6BC92">
        <w:t xml:space="preserve">not </w:t>
      </w:r>
      <w:r w:rsidR="00FB6F91">
        <w:t xml:space="preserve">include </w:t>
      </w:r>
      <w:r w:rsidR="0EE6BC92">
        <w:t>the comparator medicines</w:t>
      </w:r>
      <w:r w:rsidR="00FB6F91">
        <w:t>,</w:t>
      </w:r>
      <w:r w:rsidR="6EA30672">
        <w:t xml:space="preserve"> ruxolitinib nor </w:t>
      </w:r>
      <w:proofErr w:type="spellStart"/>
      <w:r w:rsidR="6EA30672">
        <w:t>momelotinib</w:t>
      </w:r>
      <w:proofErr w:type="spellEnd"/>
      <w:r w:rsidR="00684715">
        <w:t xml:space="preserve">. Therefore, </w:t>
      </w:r>
      <w:r w:rsidR="7A9B6BA6">
        <w:t xml:space="preserve">the PBAC did not review the </w:t>
      </w:r>
      <w:r w:rsidR="5DDCD3F8">
        <w:t>suitability of nurse practitioner</w:t>
      </w:r>
      <w:r w:rsidR="7A9B6BA6">
        <w:t xml:space="preserve"> </w:t>
      </w:r>
      <w:r w:rsidR="5DDCD3F8">
        <w:t>prescribing</w:t>
      </w:r>
      <w:r w:rsidR="7A9B6BA6">
        <w:t xml:space="preserve"> of </w:t>
      </w:r>
      <w:r w:rsidR="000223C7">
        <w:t>these medicines</w:t>
      </w:r>
      <w:r w:rsidR="7A9B6BA6">
        <w:t xml:space="preserve">. </w:t>
      </w:r>
      <w:r w:rsidR="00CC6A4C">
        <w:t xml:space="preserve">Ruxolitinib and </w:t>
      </w:r>
      <w:proofErr w:type="spellStart"/>
      <w:r w:rsidR="00CC6A4C">
        <w:t>momelotinib</w:t>
      </w:r>
      <w:proofErr w:type="spellEnd"/>
      <w:r w:rsidR="00CC6A4C">
        <w:t xml:space="preserve"> </w:t>
      </w:r>
      <w:r w:rsidR="7A9B6BA6">
        <w:t>are</w:t>
      </w:r>
      <w:r w:rsidR="0EFD78EF">
        <w:t xml:space="preserve"> </w:t>
      </w:r>
      <w:r w:rsidR="740A0B28">
        <w:t>currently limited to prescribing by medical practitioners.</w:t>
      </w:r>
    </w:p>
    <w:p w14:paraId="74A8F8E9" w14:textId="7EA863E2" w:rsidR="00834AEA" w:rsidRPr="00CB1EA6" w:rsidRDefault="00834AEA" w:rsidP="00834AEA">
      <w:pPr>
        <w:pStyle w:val="COMESnumberedpara"/>
        <w:numPr>
          <w:ilvl w:val="0"/>
          <w:numId w:val="0"/>
        </w:numPr>
        <w:ind w:left="720"/>
      </w:pPr>
      <w:r w:rsidRPr="00C33D30">
        <w:rPr>
          <w:i/>
        </w:rPr>
        <w:t>For more detail on PBAC’s view, see section 7 PBAC outcome.</w:t>
      </w:r>
    </w:p>
    <w:p w14:paraId="7075B85C" w14:textId="62A47B7B" w:rsidR="00B50DB8" w:rsidRPr="0098262F" w:rsidDel="00195452" w:rsidRDefault="00203181" w:rsidP="004E18E9">
      <w:pPr>
        <w:pStyle w:val="COMESH2"/>
      </w:pPr>
      <w:bookmarkStart w:id="12" w:name="_Toc209002712"/>
      <w:r w:rsidRPr="0098262F" w:rsidDel="00195452">
        <w:t xml:space="preserve">Population and </w:t>
      </w:r>
      <w:r w:rsidR="008E0D3C" w:rsidRPr="0098262F" w:rsidDel="00195452">
        <w:t>d</w:t>
      </w:r>
      <w:r w:rsidRPr="0098262F" w:rsidDel="00195452">
        <w:t>isease</w:t>
      </w:r>
      <w:bookmarkEnd w:id="12"/>
    </w:p>
    <w:p w14:paraId="7F8FACF4" w14:textId="058BFF89" w:rsidR="00980BF2" w:rsidRPr="004F789C" w:rsidRDefault="00980BF2" w:rsidP="00980BF2">
      <w:pPr>
        <w:pStyle w:val="COMESnumberedpara"/>
      </w:pPr>
      <w:r w:rsidRPr="004F789C">
        <w:t xml:space="preserve">Myelofibrosis is a type of Philadelphia chromosome-negative neoplasm affecting myeloid stem cells. Abnormal clonal proliferation of stem cells and an associated release of pro-inflammatory cytokines results in progressive bone marrow fibrosis, which may lead to the development of </w:t>
      </w:r>
      <w:proofErr w:type="spellStart"/>
      <w:r w:rsidRPr="004F789C">
        <w:t>cytop</w:t>
      </w:r>
      <w:r w:rsidR="00D012DA">
        <w:t>a</w:t>
      </w:r>
      <w:r w:rsidRPr="004F789C">
        <w:t>enias</w:t>
      </w:r>
      <w:proofErr w:type="spellEnd"/>
      <w:r w:rsidRPr="004F789C">
        <w:t xml:space="preserve"> (i.e., anaemia, thrombocytopenia, and leukopenia) due to impairment of normal haematopoiesis. Compensatory production of blood cells in other organs (extramedullary haematopoiesis) leads to enlargement of the spleen and liver. Symptoms of myelofibrosis include fatigue, shortness of breath, pain associated with splenomegaly, bruising/bleeding, low grade fever, night sweats, bone pain, and weight loss. Some patients may be asymptomatic.</w:t>
      </w:r>
    </w:p>
    <w:p w14:paraId="5F77EE10" w14:textId="0D579E07" w:rsidR="00980BF2" w:rsidRDefault="00980BF2" w:rsidP="00980BF2">
      <w:pPr>
        <w:pStyle w:val="COMESnumberedpara"/>
      </w:pPr>
      <w:r w:rsidRPr="004F789C">
        <w:t xml:space="preserve">The </w:t>
      </w:r>
      <w:r w:rsidR="00BA51D1">
        <w:t>re</w:t>
      </w:r>
      <w:r w:rsidRPr="004F789C">
        <w:t xml:space="preserve">submission positioned </w:t>
      </w:r>
      <w:r w:rsidRPr="00F5320F">
        <w:t xml:space="preserve">fedratinib as an alternative treatment option to ruxolitinib and </w:t>
      </w:r>
      <w:proofErr w:type="spellStart"/>
      <w:r w:rsidRPr="00F5320F">
        <w:t>momelotinib</w:t>
      </w:r>
      <w:proofErr w:type="spellEnd"/>
      <w:r w:rsidRPr="00F5320F">
        <w:t xml:space="preserve"> in JAK-inhibitor naïve patients unsuitable for allogeneic HSCT</w:t>
      </w:r>
      <w:r w:rsidR="00BF18CA">
        <w:t>,</w:t>
      </w:r>
      <w:r w:rsidRPr="00F5320F">
        <w:t xml:space="preserve"> with either: </w:t>
      </w:r>
      <w:r w:rsidRPr="006A0F89">
        <w:t xml:space="preserve">intermediate-2/high-risk </w:t>
      </w:r>
      <w:r w:rsidR="00CE6482">
        <w:t>m</w:t>
      </w:r>
      <w:r>
        <w:t>yelofibrosis</w:t>
      </w:r>
      <w:r w:rsidRPr="006A0F89">
        <w:t xml:space="preserve">, </w:t>
      </w:r>
      <w:r w:rsidR="009D0B0A">
        <w:t>or</w:t>
      </w:r>
      <w:r w:rsidRPr="006A0F89">
        <w:t xml:space="preserve"> intermediate-1 risk </w:t>
      </w:r>
      <w:r w:rsidR="00CE6482">
        <w:t>m</w:t>
      </w:r>
      <w:r w:rsidRPr="00134F2D">
        <w:t>yelofibrosis</w:t>
      </w:r>
      <w:r w:rsidRPr="006A0F89">
        <w:t xml:space="preserve"> </w:t>
      </w:r>
      <w:r w:rsidR="00BF18CA">
        <w:t>with</w:t>
      </w:r>
      <w:r w:rsidRPr="006A0F89">
        <w:t xml:space="preserve"> severe disease-related symptoms that are resistant, refractory or intolerant to available therapy.  </w:t>
      </w:r>
      <w:r>
        <w:t xml:space="preserve"> </w:t>
      </w:r>
    </w:p>
    <w:p w14:paraId="16F4D0EE" w14:textId="11793E01" w:rsidR="00980BF2" w:rsidRDefault="00980BF2" w:rsidP="00980BF2">
      <w:pPr>
        <w:pStyle w:val="COMESnumberedpara"/>
      </w:pPr>
      <w:r w:rsidRPr="00F5320F">
        <w:t xml:space="preserve">Fedratinib was also positioned as an alternative to available therapies (ruxolitinib with or without other therapies, </w:t>
      </w:r>
      <w:proofErr w:type="spellStart"/>
      <w:r w:rsidRPr="00F5320F">
        <w:t>momelotinib</w:t>
      </w:r>
      <w:proofErr w:type="spellEnd"/>
      <w:r w:rsidRPr="00F5320F">
        <w:t>, hydroxyurea, peginterferon alfa-2a, busulfan, prednisone) in patients with intermediate/high-risk myelofibrosis who experience persistent symptoms despite prior treatment with a JAK-inhibitor.</w:t>
      </w:r>
    </w:p>
    <w:p w14:paraId="48FFEA44" w14:textId="682E2F68" w:rsidR="00980BF2" w:rsidRPr="004F789C" w:rsidRDefault="00980BF2" w:rsidP="00980BF2">
      <w:pPr>
        <w:pStyle w:val="COMESnumberedpara"/>
      </w:pPr>
      <w:r w:rsidRPr="00A74E4F">
        <w:t>The recommended dose of fedratinib for patients with a baseline platelet count ≥50 × 10</w:t>
      </w:r>
      <w:r w:rsidRPr="00D23601">
        <w:rPr>
          <w:vertAlign w:val="superscript"/>
        </w:rPr>
        <w:t>9</w:t>
      </w:r>
      <w:r w:rsidRPr="00A74E4F">
        <w:t>/L is 400 mg administered orally once a day. The product information states that fedratinib has not been studied in patients with a baseline platelet count &lt;50 × 10</w:t>
      </w:r>
      <w:r w:rsidRPr="00D23601">
        <w:rPr>
          <w:vertAlign w:val="superscript"/>
        </w:rPr>
        <w:t>9</w:t>
      </w:r>
      <w:r w:rsidRPr="00A74E4F">
        <w:t>/L. Dose modification is required for patients with severe renal impairment (creatinine clearance of 15 to 29 mL/min), patients using strong CYP3A4 inhibitors, and patients with specified Grade ≥3 haematologic/non-haematologic toxicities</w:t>
      </w:r>
    </w:p>
    <w:p w14:paraId="70450759" w14:textId="0DEC812B" w:rsidR="00980BF2" w:rsidRDefault="00FD2119" w:rsidP="00FD2119">
      <w:pPr>
        <w:pStyle w:val="COMESnumberedpara"/>
      </w:pPr>
      <w:r w:rsidRPr="004F789C">
        <w:t>Due to the association of fedratinib with the development of Wernicke’s encephalopathy, assessment of thiamine levels and correction of thiamine deficiency (if detected) should be undertaken prior to fedratinib initiation. Additionally, patients should receive prophylaxis with oral thiamine 100 mg daily and have thiamine levels assessed periodically (as clinically indicated) while on treatment with fedratinib. Fedratinib should be immediately discontinued if Wernicke’s encephalopathy is suspected.</w:t>
      </w:r>
      <w:r w:rsidR="00834AEA">
        <w:t xml:space="preserve"> </w:t>
      </w:r>
    </w:p>
    <w:p w14:paraId="22EA4465" w14:textId="5C5100A3" w:rsidR="00834AEA" w:rsidRPr="0098262F" w:rsidDel="00195452" w:rsidRDefault="00834AEA" w:rsidP="00834AEA">
      <w:pPr>
        <w:pStyle w:val="COMESnumberedpara"/>
        <w:numPr>
          <w:ilvl w:val="0"/>
          <w:numId w:val="0"/>
        </w:numPr>
        <w:ind w:left="720"/>
      </w:pPr>
      <w:r w:rsidRPr="00C33D30">
        <w:rPr>
          <w:i/>
        </w:rPr>
        <w:t>For more detail on PBAC’s view, see section 7 PBAC outcome.</w:t>
      </w:r>
    </w:p>
    <w:p w14:paraId="51E5AE96" w14:textId="136A63B1" w:rsidR="00B50DB8" w:rsidRPr="0098262F" w:rsidRDefault="00B50DB8" w:rsidP="004E18E9">
      <w:pPr>
        <w:pStyle w:val="COMESH2"/>
      </w:pPr>
      <w:bookmarkStart w:id="13" w:name="_Toc209002713"/>
      <w:r w:rsidRPr="0098262F">
        <w:t>Comparator</w:t>
      </w:r>
      <w:bookmarkEnd w:id="13"/>
    </w:p>
    <w:p w14:paraId="3AE8ADE3" w14:textId="329893C1" w:rsidR="005A7BF9" w:rsidRPr="00CB1EA6" w:rsidRDefault="005A7BF9" w:rsidP="005A7BF9">
      <w:pPr>
        <w:pStyle w:val="COMESnumberedpara"/>
      </w:pPr>
      <w:bookmarkStart w:id="14" w:name="_Toc22897640"/>
      <w:r w:rsidRPr="00CB1EA6">
        <w:t xml:space="preserve">The resubmission nominated best available therapy (BAT) as the comparator for the population previously treated with ruxolitinib. </w:t>
      </w:r>
      <w:r w:rsidR="00786EA7" w:rsidRPr="00CB1EA6">
        <w:t xml:space="preserve">The PBAC previously considered that BAT was an appropriate comparator for patients who have had prior ruxolitinib treatment (para 7.7, </w:t>
      </w:r>
      <w:r w:rsidR="008E2990" w:rsidRPr="00CB1EA6">
        <w:t xml:space="preserve">fedratinib PBAC minutes, </w:t>
      </w:r>
      <w:r w:rsidR="00786EA7" w:rsidRPr="00CB1EA6">
        <w:t>May 2025 PBAC meeting).</w:t>
      </w:r>
    </w:p>
    <w:p w14:paraId="0B63AB2B" w14:textId="167D5146" w:rsidR="005A7BF9" w:rsidRPr="00CB1EA6" w:rsidRDefault="005A7BF9" w:rsidP="005A7BF9">
      <w:pPr>
        <w:pStyle w:val="COMESnumberedpara"/>
      </w:pPr>
      <w:r w:rsidRPr="00CB1EA6">
        <w:t xml:space="preserve">The resubmission nominated ruxolitinib as the comparator for the population that is JAK inhibitor naïve. </w:t>
      </w:r>
      <w:r w:rsidR="00E16F92" w:rsidRPr="00CB1EA6">
        <w:t>Ruxolitinib is an appropriate comparator for JAK inhibitor naïve patients.</w:t>
      </w:r>
    </w:p>
    <w:p w14:paraId="6513FE8D" w14:textId="3DE76655" w:rsidR="00FF2B28" w:rsidRPr="00FF2B28" w:rsidRDefault="005A7BF9">
      <w:pPr>
        <w:pStyle w:val="COMESnumberedpara"/>
        <w:rPr>
          <w:i/>
          <w:iCs/>
        </w:rPr>
      </w:pPr>
      <w:r w:rsidRPr="00CB1EA6">
        <w:t>The resubmission noted</w:t>
      </w:r>
      <w:r w:rsidR="00E014E9" w:rsidRPr="00CB1EA6">
        <w:t xml:space="preserve"> the</w:t>
      </w:r>
      <w:r w:rsidR="00786EA7" w:rsidRPr="00CB1EA6">
        <w:t xml:space="preserve"> recent</w:t>
      </w:r>
      <w:r w:rsidRPr="00CB1EA6">
        <w:t xml:space="preserve"> PBS listing of </w:t>
      </w:r>
      <w:proofErr w:type="spellStart"/>
      <w:r w:rsidRPr="00CB1EA6">
        <w:t>momelotinib</w:t>
      </w:r>
      <w:proofErr w:type="spellEnd"/>
      <w:r w:rsidR="00786EA7" w:rsidRPr="00CB1EA6">
        <w:t>,</w:t>
      </w:r>
      <w:r w:rsidRPr="00CB1EA6">
        <w:t xml:space="preserve"> a selective JAK1/JAK2 inhibitor that also inhibits activin A receptor type 1 (ACVR1), however, maintained that the patient groups treated with </w:t>
      </w:r>
      <w:proofErr w:type="spellStart"/>
      <w:r w:rsidRPr="00CB1EA6">
        <w:t>fedratinib</w:t>
      </w:r>
      <w:proofErr w:type="spellEnd"/>
      <w:r w:rsidRPr="00CB1EA6">
        <w:t xml:space="preserve"> and </w:t>
      </w:r>
      <w:proofErr w:type="spellStart"/>
      <w:r w:rsidRPr="00CB1EA6">
        <w:t>momelotinib</w:t>
      </w:r>
      <w:proofErr w:type="spellEnd"/>
      <w:r w:rsidRPr="00CB1EA6">
        <w:t xml:space="preserve"> are mutually exclusive for </w:t>
      </w:r>
      <w:proofErr w:type="gramStart"/>
      <w:r w:rsidRPr="00CB1EA6">
        <w:t>the majority of</w:t>
      </w:r>
      <w:proofErr w:type="gramEnd"/>
      <w:r w:rsidRPr="00CB1EA6">
        <w:t xml:space="preserve"> patients (para 5.4, fedratinib PBAC minutes, May 2025 PBAC meeting). </w:t>
      </w:r>
      <w:r w:rsidR="007051B6" w:rsidRPr="009840B4">
        <w:t xml:space="preserve">The ESC considered there was likely to be limited overlap in the </w:t>
      </w:r>
      <w:r w:rsidR="00BF1DD1" w:rsidRPr="009840B4">
        <w:t xml:space="preserve">populations who would be considered for </w:t>
      </w:r>
      <w:proofErr w:type="spellStart"/>
      <w:r w:rsidR="00BF1DD1" w:rsidRPr="009840B4">
        <w:t>fedratinib</w:t>
      </w:r>
      <w:proofErr w:type="spellEnd"/>
      <w:r w:rsidR="00BF1DD1" w:rsidRPr="009840B4">
        <w:t xml:space="preserve"> and </w:t>
      </w:r>
      <w:proofErr w:type="spellStart"/>
      <w:r w:rsidR="00BF1DD1" w:rsidRPr="009840B4">
        <w:t>momelotinib</w:t>
      </w:r>
      <w:proofErr w:type="spellEnd"/>
      <w:r w:rsidR="00BF1DD1" w:rsidRPr="009840B4">
        <w:t xml:space="preserve">, as </w:t>
      </w:r>
      <w:proofErr w:type="spellStart"/>
      <w:r w:rsidR="00BF1DD1" w:rsidRPr="009840B4">
        <w:t>momelotinib</w:t>
      </w:r>
      <w:proofErr w:type="spellEnd"/>
      <w:r w:rsidR="00BF1DD1" w:rsidRPr="009840B4">
        <w:t xml:space="preserve"> is restricted to patients with baseline </w:t>
      </w:r>
      <w:r w:rsidR="00AB5413" w:rsidRPr="009840B4">
        <w:t xml:space="preserve">haemoglobin of less than 100 g per litre </w:t>
      </w:r>
      <w:r w:rsidR="003B3836" w:rsidRPr="009840B4">
        <w:t>and has demonstrated benefits in terms of reducing anaemia and would</w:t>
      </w:r>
      <w:r w:rsidR="00802B49" w:rsidRPr="009840B4">
        <w:t xml:space="preserve"> generally be</w:t>
      </w:r>
      <w:r w:rsidR="003B3836" w:rsidRPr="009840B4">
        <w:t xml:space="preserve"> a preferred treatment in th</w:t>
      </w:r>
      <w:r w:rsidR="00802B49" w:rsidRPr="009840B4">
        <w:t>ose patients</w:t>
      </w:r>
      <w:r w:rsidR="003B3836" w:rsidRPr="009840B4">
        <w:t xml:space="preserve">. </w:t>
      </w:r>
      <w:r w:rsidR="00C87F72" w:rsidRPr="009840B4">
        <w:t>T</w:t>
      </w:r>
      <w:r w:rsidR="00FF2B28" w:rsidRPr="009840B4">
        <w:t xml:space="preserve">his was </w:t>
      </w:r>
      <w:r w:rsidR="00C87F72" w:rsidRPr="009840B4">
        <w:t xml:space="preserve">also </w:t>
      </w:r>
      <w:r w:rsidR="00FF2B28" w:rsidRPr="009840B4">
        <w:t>consistent with recently updated treatment guidelines</w:t>
      </w:r>
      <w:r w:rsidR="00C87F72" w:rsidRPr="009840B4">
        <w:t xml:space="preserve"> and as such the ESC considered ruxolitinib to be the appropriate main comparator for JAK inhibitor naïve patients.</w:t>
      </w:r>
    </w:p>
    <w:p w14:paraId="4846CB18" w14:textId="5EEA34DA" w:rsidR="00834AEA" w:rsidRPr="00CB1EA6" w:rsidRDefault="00834AEA" w:rsidP="001D3CDA">
      <w:pPr>
        <w:pStyle w:val="COMESnumberedpara"/>
        <w:numPr>
          <w:ilvl w:val="0"/>
          <w:numId w:val="0"/>
        </w:numPr>
        <w:ind w:left="720"/>
      </w:pPr>
      <w:r w:rsidRPr="00C33D30">
        <w:rPr>
          <w:i/>
        </w:rPr>
        <w:t>For more detail on PBAC’s view, see section 7 PBAC outcome.</w:t>
      </w:r>
    </w:p>
    <w:p w14:paraId="7F9C27C8" w14:textId="77777777" w:rsidR="00223D5A" w:rsidRPr="0098262F" w:rsidRDefault="00223D5A" w:rsidP="00223D5A">
      <w:pPr>
        <w:pStyle w:val="COMESH2"/>
        <w:numPr>
          <w:ilvl w:val="0"/>
          <w:numId w:val="1"/>
        </w:numPr>
      </w:pPr>
      <w:bookmarkStart w:id="15" w:name="_Toc209002714"/>
      <w:r w:rsidRPr="0098262F">
        <w:t>Consideration of the evidence</w:t>
      </w:r>
      <w:bookmarkEnd w:id="15"/>
    </w:p>
    <w:p w14:paraId="147FBC62" w14:textId="77777777" w:rsidR="0002378C" w:rsidRPr="006E1229" w:rsidRDefault="0002378C" w:rsidP="002D4284">
      <w:pPr>
        <w:pStyle w:val="COMESSubsectionheading"/>
      </w:pPr>
      <w:bookmarkStart w:id="16" w:name="_Hlk76375935"/>
      <w:bookmarkStart w:id="17" w:name="_Toc209002715"/>
      <w:r w:rsidRPr="006E1229">
        <w:t>Sponsor hearing</w:t>
      </w:r>
    </w:p>
    <w:p w14:paraId="70C48807" w14:textId="18F0AD27" w:rsidR="0002378C" w:rsidRPr="00D130C3" w:rsidRDefault="0002378C" w:rsidP="00D130C3">
      <w:pPr>
        <w:widowControl w:val="0"/>
        <w:numPr>
          <w:ilvl w:val="1"/>
          <w:numId w:val="1"/>
        </w:numPr>
        <w:spacing w:after="120"/>
        <w:rPr>
          <w:rFonts w:cs="Calibri"/>
          <w:bCs/>
          <w:snapToGrid w:val="0"/>
        </w:rPr>
      </w:pPr>
      <w:r w:rsidRPr="00D130C3">
        <w:rPr>
          <w:rFonts w:cs="Calibri"/>
          <w:bCs/>
          <w:snapToGrid w:val="0"/>
        </w:rPr>
        <w:t>There was no hearing for this item.</w:t>
      </w:r>
    </w:p>
    <w:p w14:paraId="3EA35BB8" w14:textId="77777777" w:rsidR="0002378C" w:rsidRPr="006E1229" w:rsidRDefault="0002378C" w:rsidP="002D4284">
      <w:pPr>
        <w:pStyle w:val="COMESSubsectionheading"/>
      </w:pPr>
      <w:r w:rsidRPr="006E1229">
        <w:t xml:space="preserve">Consumer </w:t>
      </w:r>
      <w:r>
        <w:t>input</w:t>
      </w:r>
      <w:r w:rsidRPr="006E1229">
        <w:t>s</w:t>
      </w:r>
    </w:p>
    <w:p w14:paraId="1C028055" w14:textId="10E51D08" w:rsidR="007E5F57" w:rsidRPr="00836F75" w:rsidRDefault="0002378C" w:rsidP="007E5F57">
      <w:pPr>
        <w:widowControl w:val="0"/>
        <w:numPr>
          <w:ilvl w:val="1"/>
          <w:numId w:val="1"/>
        </w:numPr>
        <w:spacing w:after="120"/>
        <w:rPr>
          <w:rFonts w:asciiTheme="minorHAnsi" w:hAnsiTheme="minorHAnsi"/>
          <w:bCs/>
          <w:snapToGrid w:val="0"/>
        </w:rPr>
      </w:pPr>
      <w:bookmarkStart w:id="18" w:name="_Hlk76382618"/>
      <w:r w:rsidRPr="00836F75">
        <w:rPr>
          <w:rFonts w:asciiTheme="minorHAnsi" w:hAnsiTheme="minorHAnsi"/>
          <w:bCs/>
          <w:snapToGrid w:val="0"/>
        </w:rPr>
        <w:t>The PBAC noted and welcomed the input from individuals (</w:t>
      </w:r>
      <w:r w:rsidR="005054AF">
        <w:rPr>
          <w:rFonts w:asciiTheme="minorHAnsi" w:hAnsiTheme="minorHAnsi"/>
          <w:bCs/>
          <w:snapToGrid w:val="0"/>
        </w:rPr>
        <w:t>1</w:t>
      </w:r>
      <w:r w:rsidRPr="00836F75">
        <w:rPr>
          <w:rFonts w:asciiTheme="minorHAnsi" w:hAnsiTheme="minorHAnsi"/>
          <w:bCs/>
          <w:snapToGrid w:val="0"/>
        </w:rPr>
        <w:t>)</w:t>
      </w:r>
      <w:r w:rsidR="005054AF">
        <w:rPr>
          <w:rFonts w:asciiTheme="minorHAnsi" w:hAnsiTheme="minorHAnsi"/>
          <w:bCs/>
          <w:snapToGrid w:val="0"/>
        </w:rPr>
        <w:t xml:space="preserve"> and </w:t>
      </w:r>
      <w:r w:rsidRPr="00836F75">
        <w:rPr>
          <w:rFonts w:asciiTheme="minorHAnsi" w:hAnsiTheme="minorHAnsi"/>
          <w:bCs/>
          <w:snapToGrid w:val="0"/>
        </w:rPr>
        <w:t>organisations (</w:t>
      </w:r>
      <w:r w:rsidR="005054AF">
        <w:rPr>
          <w:rFonts w:asciiTheme="minorHAnsi" w:hAnsiTheme="minorHAnsi"/>
          <w:bCs/>
          <w:snapToGrid w:val="0"/>
        </w:rPr>
        <w:t>2</w:t>
      </w:r>
      <w:r w:rsidRPr="00836F75">
        <w:rPr>
          <w:rFonts w:asciiTheme="minorHAnsi" w:hAnsiTheme="minorHAnsi"/>
          <w:bCs/>
          <w:snapToGrid w:val="0"/>
        </w:rPr>
        <w:t xml:space="preserve">) via the </w:t>
      </w:r>
      <w:r w:rsidRPr="00A46D6F">
        <w:rPr>
          <w:rFonts w:asciiTheme="minorHAnsi" w:hAnsiTheme="minorHAnsi"/>
          <w:bCs/>
          <w:snapToGrid w:val="0"/>
        </w:rPr>
        <w:t>Office of Health Technology Assessment Consultation Hub</w:t>
      </w:r>
      <w:r w:rsidRPr="00836F75">
        <w:rPr>
          <w:rFonts w:asciiTheme="minorHAnsi" w:hAnsiTheme="minorHAnsi"/>
          <w:bCs/>
          <w:snapToGrid w:val="0"/>
        </w:rPr>
        <w:t xml:space="preserve">. </w:t>
      </w:r>
      <w:r w:rsidR="00CD0999">
        <w:rPr>
          <w:rFonts w:asciiTheme="minorHAnsi" w:hAnsiTheme="minorHAnsi"/>
          <w:bCs/>
          <w:snapToGrid w:val="0"/>
        </w:rPr>
        <w:t xml:space="preserve">The individual input </w:t>
      </w:r>
      <w:r w:rsidR="00A96E81">
        <w:rPr>
          <w:rFonts w:asciiTheme="minorHAnsi" w:hAnsiTheme="minorHAnsi"/>
          <w:bCs/>
          <w:snapToGrid w:val="0"/>
        </w:rPr>
        <w:t xml:space="preserve">was provided by someone </w:t>
      </w:r>
      <w:r w:rsidR="00CD0999" w:rsidRPr="00CD0999">
        <w:rPr>
          <w:rFonts w:asciiTheme="minorHAnsi" w:hAnsiTheme="minorHAnsi"/>
          <w:bCs/>
          <w:snapToGrid w:val="0"/>
        </w:rPr>
        <w:t xml:space="preserve">who would like to access </w:t>
      </w:r>
      <w:r w:rsidR="00A96E81">
        <w:rPr>
          <w:rFonts w:asciiTheme="minorHAnsi" w:hAnsiTheme="minorHAnsi"/>
          <w:bCs/>
          <w:snapToGrid w:val="0"/>
        </w:rPr>
        <w:t xml:space="preserve">fedratinib </w:t>
      </w:r>
      <w:r w:rsidR="00CD0999" w:rsidRPr="00CD0999">
        <w:rPr>
          <w:rFonts w:asciiTheme="minorHAnsi" w:hAnsiTheme="minorHAnsi"/>
          <w:bCs/>
          <w:snapToGrid w:val="0"/>
        </w:rPr>
        <w:t xml:space="preserve">to treat own health condition, but has never used </w:t>
      </w:r>
      <w:r w:rsidR="00A96E81">
        <w:rPr>
          <w:rFonts w:asciiTheme="minorHAnsi" w:hAnsiTheme="minorHAnsi"/>
          <w:bCs/>
          <w:snapToGrid w:val="0"/>
        </w:rPr>
        <w:t>fedratinib.</w:t>
      </w:r>
      <w:r w:rsidR="00CD0999" w:rsidRPr="00CD0999">
        <w:rPr>
          <w:rFonts w:asciiTheme="minorHAnsi" w:hAnsiTheme="minorHAnsi"/>
          <w:bCs/>
          <w:snapToGrid w:val="0"/>
        </w:rPr>
        <w:t xml:space="preserve"> </w:t>
      </w:r>
      <w:r w:rsidRPr="00836F75">
        <w:rPr>
          <w:rFonts w:asciiTheme="minorHAnsi" w:hAnsiTheme="minorHAnsi"/>
          <w:bCs/>
          <w:snapToGrid w:val="0"/>
        </w:rPr>
        <w:t xml:space="preserve">The </w:t>
      </w:r>
      <w:r w:rsidR="00B84F54">
        <w:rPr>
          <w:rFonts w:asciiTheme="minorHAnsi" w:hAnsiTheme="minorHAnsi"/>
          <w:bCs/>
          <w:snapToGrid w:val="0"/>
        </w:rPr>
        <w:t xml:space="preserve">sole contributor </w:t>
      </w:r>
      <w:r w:rsidRPr="00836F75">
        <w:rPr>
          <w:rFonts w:asciiTheme="minorHAnsi" w:hAnsiTheme="minorHAnsi"/>
          <w:bCs/>
          <w:snapToGrid w:val="0"/>
        </w:rPr>
        <w:t xml:space="preserve">described </w:t>
      </w:r>
      <w:r w:rsidR="005265A5">
        <w:rPr>
          <w:rFonts w:asciiTheme="minorHAnsi" w:hAnsiTheme="minorHAnsi"/>
          <w:bCs/>
          <w:snapToGrid w:val="0"/>
        </w:rPr>
        <w:t xml:space="preserve">being </w:t>
      </w:r>
      <w:r w:rsidR="00B84F54" w:rsidRPr="00B84F54">
        <w:rPr>
          <w:rFonts w:asciiTheme="minorHAnsi" w:hAnsiTheme="minorHAnsi"/>
          <w:bCs/>
          <w:snapToGrid w:val="0"/>
        </w:rPr>
        <w:t>continuously sick with no relief from the symptoms of myelofibrosis. Despite trying four different medications, including injections, the contributor state</w:t>
      </w:r>
      <w:r w:rsidR="00A92FA6">
        <w:rPr>
          <w:rFonts w:asciiTheme="minorHAnsi" w:hAnsiTheme="minorHAnsi"/>
          <w:bCs/>
          <w:snapToGrid w:val="0"/>
        </w:rPr>
        <w:t>d</w:t>
      </w:r>
      <w:r w:rsidR="00B84F54" w:rsidRPr="00B84F54">
        <w:rPr>
          <w:rFonts w:asciiTheme="minorHAnsi" w:hAnsiTheme="minorHAnsi"/>
          <w:bCs/>
          <w:snapToGrid w:val="0"/>
        </w:rPr>
        <w:t xml:space="preserve"> they all appear to work temporarily, but then cease being effective.</w:t>
      </w:r>
      <w:r w:rsidR="005265A5">
        <w:rPr>
          <w:rFonts w:asciiTheme="minorHAnsi" w:hAnsiTheme="minorHAnsi"/>
          <w:bCs/>
          <w:snapToGrid w:val="0"/>
        </w:rPr>
        <w:t xml:space="preserve"> </w:t>
      </w:r>
      <w:r w:rsidR="00385E93">
        <w:rPr>
          <w:rFonts w:asciiTheme="minorHAnsi" w:hAnsiTheme="minorHAnsi"/>
          <w:bCs/>
          <w:snapToGrid w:val="0"/>
        </w:rPr>
        <w:t>T</w:t>
      </w:r>
      <w:r w:rsidR="00F40E7C">
        <w:rPr>
          <w:rFonts w:asciiTheme="minorHAnsi" w:hAnsiTheme="minorHAnsi"/>
          <w:bCs/>
          <w:snapToGrid w:val="0"/>
        </w:rPr>
        <w:t xml:space="preserve">he </w:t>
      </w:r>
      <w:r w:rsidR="007517DB">
        <w:rPr>
          <w:rFonts w:asciiTheme="minorHAnsi" w:hAnsiTheme="minorHAnsi"/>
          <w:bCs/>
          <w:snapToGrid w:val="0"/>
        </w:rPr>
        <w:t xml:space="preserve">input </w:t>
      </w:r>
      <w:r w:rsidR="00DB69CE">
        <w:rPr>
          <w:rFonts w:asciiTheme="minorHAnsi" w:hAnsiTheme="minorHAnsi"/>
          <w:bCs/>
          <w:snapToGrid w:val="0"/>
        </w:rPr>
        <w:t xml:space="preserve">stated that </w:t>
      </w:r>
      <w:r w:rsidR="00DB69CE" w:rsidRPr="00DB69CE">
        <w:rPr>
          <w:rFonts w:asciiTheme="minorHAnsi" w:hAnsiTheme="minorHAnsi"/>
          <w:bCs/>
          <w:snapToGrid w:val="0"/>
        </w:rPr>
        <w:t>fedratinib is important as it provides another option for a disease with limited medications and could possibly slow down the progression of the disease, or at least provide some relief from its side-effects</w:t>
      </w:r>
      <w:r w:rsidR="00A44CE3">
        <w:rPr>
          <w:rFonts w:asciiTheme="minorHAnsi" w:hAnsiTheme="minorHAnsi"/>
          <w:bCs/>
          <w:snapToGrid w:val="0"/>
        </w:rPr>
        <w:t xml:space="preserve">. </w:t>
      </w:r>
    </w:p>
    <w:p w14:paraId="205EB8B1" w14:textId="26A1F839" w:rsidR="004C396C" w:rsidRDefault="0002378C">
      <w:pPr>
        <w:pStyle w:val="COMESnumberedpara"/>
        <w:rPr>
          <w:rFonts w:eastAsia="Times New Roman" w:cs="Arial"/>
          <w:bCs/>
          <w:snapToGrid w:val="0"/>
          <w:szCs w:val="24"/>
        </w:rPr>
      </w:pPr>
      <w:r w:rsidRPr="004C396C">
        <w:rPr>
          <w:snapToGrid w:val="0"/>
        </w:rPr>
        <w:t xml:space="preserve">The PBAC noted the advice received from </w:t>
      </w:r>
      <w:r w:rsidR="007E5F57" w:rsidRPr="004C396C">
        <w:rPr>
          <w:snapToGrid w:val="0"/>
        </w:rPr>
        <w:t xml:space="preserve">the </w:t>
      </w:r>
      <w:r w:rsidR="00B623F3" w:rsidRPr="00B623F3">
        <w:rPr>
          <w:snapToGrid w:val="0"/>
        </w:rPr>
        <w:t>Myeloproliferative Neoplasms (MPN) Alliance Australia</w:t>
      </w:r>
      <w:r w:rsidR="00B623F3">
        <w:rPr>
          <w:snapToGrid w:val="0"/>
        </w:rPr>
        <w:t xml:space="preserve"> </w:t>
      </w:r>
      <w:r w:rsidR="007E5F57" w:rsidRPr="004C396C">
        <w:rPr>
          <w:snapToGrid w:val="0"/>
        </w:rPr>
        <w:t xml:space="preserve">and </w:t>
      </w:r>
      <w:r w:rsidR="004C396C" w:rsidRPr="004C396C">
        <w:rPr>
          <w:rFonts w:eastAsia="Times New Roman" w:cs="Arial"/>
          <w:bCs/>
          <w:snapToGrid w:val="0"/>
          <w:szCs w:val="24"/>
        </w:rPr>
        <w:t>Rare Cancers Australia</w:t>
      </w:r>
      <w:r w:rsidR="004C396C">
        <w:rPr>
          <w:rFonts w:eastAsia="Times New Roman" w:cs="Arial"/>
          <w:bCs/>
          <w:snapToGrid w:val="0"/>
          <w:szCs w:val="24"/>
        </w:rPr>
        <w:t>.</w:t>
      </w:r>
      <w:r w:rsidR="0091680F">
        <w:rPr>
          <w:rFonts w:eastAsia="Times New Roman" w:cs="Arial"/>
          <w:bCs/>
          <w:snapToGrid w:val="0"/>
          <w:szCs w:val="24"/>
        </w:rPr>
        <w:t xml:space="preserve"> </w:t>
      </w:r>
      <w:r w:rsidR="00734A28">
        <w:rPr>
          <w:rFonts w:eastAsia="Times New Roman" w:cs="Arial"/>
          <w:bCs/>
          <w:snapToGrid w:val="0"/>
          <w:szCs w:val="24"/>
        </w:rPr>
        <w:t xml:space="preserve">MPN Alliance </w:t>
      </w:r>
      <w:r w:rsidR="00B1586C">
        <w:rPr>
          <w:rFonts w:eastAsia="Times New Roman" w:cs="Arial"/>
          <w:bCs/>
          <w:snapToGrid w:val="0"/>
          <w:szCs w:val="24"/>
        </w:rPr>
        <w:t>Australia</w:t>
      </w:r>
      <w:r w:rsidR="00734A28">
        <w:rPr>
          <w:rFonts w:eastAsia="Times New Roman" w:cs="Arial"/>
          <w:bCs/>
          <w:snapToGrid w:val="0"/>
          <w:szCs w:val="24"/>
        </w:rPr>
        <w:t xml:space="preserve"> noted that m</w:t>
      </w:r>
      <w:r w:rsidR="00734A28" w:rsidRPr="00734A28">
        <w:rPr>
          <w:rFonts w:eastAsia="Times New Roman" w:cs="Arial"/>
          <w:bCs/>
          <w:snapToGrid w:val="0"/>
          <w:szCs w:val="24"/>
        </w:rPr>
        <w:t xml:space="preserve">yelofibrosis patients have the shortest life expectancy of MPN patients (other than those who progress to acute myeloid leukaemia). </w:t>
      </w:r>
      <w:r w:rsidR="00F37014">
        <w:rPr>
          <w:rFonts w:eastAsia="Times New Roman" w:cs="Arial"/>
          <w:bCs/>
          <w:snapToGrid w:val="0"/>
          <w:szCs w:val="24"/>
        </w:rPr>
        <w:t xml:space="preserve">Therefore, </w:t>
      </w:r>
      <w:r w:rsidR="00734A28" w:rsidRPr="00734A28">
        <w:rPr>
          <w:rFonts w:eastAsia="Times New Roman" w:cs="Arial"/>
          <w:bCs/>
          <w:snapToGrid w:val="0"/>
          <w:szCs w:val="24"/>
        </w:rPr>
        <w:t xml:space="preserve">being able to access the most appropriate </w:t>
      </w:r>
      <w:r w:rsidR="00F37014">
        <w:rPr>
          <w:rFonts w:eastAsia="Times New Roman" w:cs="Arial"/>
          <w:bCs/>
          <w:snapToGrid w:val="0"/>
          <w:szCs w:val="24"/>
        </w:rPr>
        <w:t xml:space="preserve">JAK </w:t>
      </w:r>
      <w:r w:rsidR="00734A28" w:rsidRPr="00734A28">
        <w:rPr>
          <w:rFonts w:eastAsia="Times New Roman" w:cs="Arial"/>
          <w:bCs/>
          <w:snapToGrid w:val="0"/>
          <w:szCs w:val="24"/>
        </w:rPr>
        <w:t>inhibitor when it</w:t>
      </w:r>
      <w:r w:rsidR="00F37014">
        <w:rPr>
          <w:rFonts w:eastAsia="Times New Roman" w:cs="Arial"/>
          <w:bCs/>
          <w:snapToGrid w:val="0"/>
          <w:szCs w:val="24"/>
        </w:rPr>
        <w:t xml:space="preserve"> i</w:t>
      </w:r>
      <w:r w:rsidR="00734A28" w:rsidRPr="00734A28">
        <w:rPr>
          <w:rFonts w:eastAsia="Times New Roman" w:cs="Arial"/>
          <w:bCs/>
          <w:snapToGrid w:val="0"/>
          <w:szCs w:val="24"/>
        </w:rPr>
        <w:t>s clinically needed</w:t>
      </w:r>
      <w:r w:rsidR="00F37014">
        <w:rPr>
          <w:rFonts w:eastAsia="Times New Roman" w:cs="Arial"/>
          <w:bCs/>
          <w:snapToGrid w:val="0"/>
          <w:szCs w:val="24"/>
        </w:rPr>
        <w:t>,</w:t>
      </w:r>
      <w:r w:rsidR="00734A28" w:rsidRPr="00734A28">
        <w:rPr>
          <w:rFonts w:eastAsia="Times New Roman" w:cs="Arial"/>
          <w:bCs/>
          <w:snapToGrid w:val="0"/>
          <w:szCs w:val="24"/>
        </w:rPr>
        <w:t xml:space="preserve"> rather than having to fail ruxolitinib first</w:t>
      </w:r>
      <w:r w:rsidR="00F37014">
        <w:rPr>
          <w:rFonts w:eastAsia="Times New Roman" w:cs="Arial"/>
          <w:bCs/>
          <w:snapToGrid w:val="0"/>
          <w:szCs w:val="24"/>
        </w:rPr>
        <w:t>,</w:t>
      </w:r>
      <w:r w:rsidR="00734A28" w:rsidRPr="00734A28">
        <w:rPr>
          <w:rFonts w:eastAsia="Times New Roman" w:cs="Arial"/>
          <w:bCs/>
          <w:snapToGrid w:val="0"/>
          <w:szCs w:val="24"/>
        </w:rPr>
        <w:t xml:space="preserve"> will allow clinicians to tailor the best treatment option for that patient in as timely a manner as possible.</w:t>
      </w:r>
      <w:r w:rsidR="00632118">
        <w:rPr>
          <w:rFonts w:eastAsia="Times New Roman" w:cs="Arial"/>
          <w:bCs/>
          <w:snapToGrid w:val="0"/>
          <w:szCs w:val="24"/>
        </w:rPr>
        <w:t xml:space="preserve"> </w:t>
      </w:r>
      <w:r w:rsidR="00632118" w:rsidRPr="00632118">
        <w:rPr>
          <w:rFonts w:eastAsia="Times New Roman" w:cs="Arial"/>
          <w:bCs/>
          <w:snapToGrid w:val="0"/>
          <w:szCs w:val="24"/>
        </w:rPr>
        <w:t xml:space="preserve">Having equal first-line access to </w:t>
      </w:r>
      <w:proofErr w:type="spellStart"/>
      <w:r w:rsidR="00632118" w:rsidRPr="00632118">
        <w:rPr>
          <w:rFonts w:eastAsia="Times New Roman" w:cs="Arial"/>
          <w:bCs/>
          <w:snapToGrid w:val="0"/>
          <w:szCs w:val="24"/>
        </w:rPr>
        <w:t>fedratinib</w:t>
      </w:r>
      <w:proofErr w:type="spellEnd"/>
      <w:r w:rsidR="00632118" w:rsidRPr="00632118">
        <w:rPr>
          <w:rFonts w:eastAsia="Times New Roman" w:cs="Arial"/>
          <w:bCs/>
          <w:snapToGrid w:val="0"/>
          <w:szCs w:val="24"/>
        </w:rPr>
        <w:t xml:space="preserve"> along with </w:t>
      </w:r>
      <w:proofErr w:type="spellStart"/>
      <w:r w:rsidR="00632118" w:rsidRPr="00632118">
        <w:rPr>
          <w:rFonts w:eastAsia="Times New Roman" w:cs="Arial"/>
          <w:bCs/>
          <w:snapToGrid w:val="0"/>
          <w:szCs w:val="24"/>
        </w:rPr>
        <w:t>momelotinib</w:t>
      </w:r>
      <w:proofErr w:type="spellEnd"/>
      <w:r w:rsidR="00632118" w:rsidRPr="00632118">
        <w:rPr>
          <w:rFonts w:eastAsia="Times New Roman" w:cs="Arial"/>
          <w:bCs/>
          <w:snapToGrid w:val="0"/>
          <w:szCs w:val="24"/>
        </w:rPr>
        <w:t xml:space="preserve"> will hopefully help avoid any additional adverse impacts that may arise from any initial ruxolitinib treatment.</w:t>
      </w:r>
      <w:r w:rsidR="00EA1F8A">
        <w:rPr>
          <w:rFonts w:eastAsia="Times New Roman" w:cs="Arial"/>
          <w:bCs/>
          <w:snapToGrid w:val="0"/>
          <w:szCs w:val="24"/>
        </w:rPr>
        <w:t xml:space="preserve"> </w:t>
      </w:r>
      <w:r w:rsidR="00C21807">
        <w:rPr>
          <w:rFonts w:eastAsia="Times New Roman" w:cs="Arial"/>
          <w:bCs/>
          <w:snapToGrid w:val="0"/>
          <w:szCs w:val="24"/>
        </w:rPr>
        <w:t xml:space="preserve">The input also </w:t>
      </w:r>
      <w:r w:rsidR="007A1B10" w:rsidRPr="007A1B10">
        <w:rPr>
          <w:rFonts w:eastAsia="Times New Roman" w:cs="Arial"/>
          <w:bCs/>
          <w:snapToGrid w:val="0"/>
          <w:szCs w:val="24"/>
        </w:rPr>
        <w:t>welcome</w:t>
      </w:r>
      <w:r w:rsidR="00C21807">
        <w:rPr>
          <w:rFonts w:eastAsia="Times New Roman" w:cs="Arial"/>
          <w:bCs/>
          <w:snapToGrid w:val="0"/>
          <w:szCs w:val="24"/>
        </w:rPr>
        <w:t>d</w:t>
      </w:r>
      <w:r w:rsidR="007A1B10" w:rsidRPr="007A1B10">
        <w:rPr>
          <w:rFonts w:eastAsia="Times New Roman" w:cs="Arial"/>
          <w:bCs/>
          <w:snapToGrid w:val="0"/>
          <w:szCs w:val="24"/>
        </w:rPr>
        <w:t xml:space="preserve"> the proposal to make fedratinib available to all intermediate myelofibrosis patients, and not limited to intermediate-2+ and high-risk patients as in the original submission.</w:t>
      </w:r>
    </w:p>
    <w:p w14:paraId="30303A5E" w14:textId="1803EAC0" w:rsidR="002448C2" w:rsidRPr="003F4434" w:rsidRDefault="001E78EE" w:rsidP="002448C2">
      <w:pPr>
        <w:pStyle w:val="COMESnumberedpara"/>
        <w:rPr>
          <w:snapToGrid w:val="0"/>
        </w:rPr>
      </w:pPr>
      <w:r w:rsidRPr="003F4434">
        <w:rPr>
          <w:snapToGrid w:val="0"/>
        </w:rPr>
        <w:t>Rare Cancers Australia stated there is much uncertainty for patients with this diagnosis as many of them are required to 'watch and wait' for bone marrow transplant options. Many, who are transfusion dependent, report the negative effects on their quality of life living this way, such as being fatigued, short of breath and pale due to</w:t>
      </w:r>
      <w:r w:rsidR="007409CE" w:rsidRPr="003F4434">
        <w:rPr>
          <w:snapToGrid w:val="0"/>
        </w:rPr>
        <w:t xml:space="preserve"> </w:t>
      </w:r>
      <w:r w:rsidRPr="003F4434">
        <w:rPr>
          <w:snapToGrid w:val="0"/>
        </w:rPr>
        <w:t>being anaemic.</w:t>
      </w:r>
      <w:r w:rsidR="002E62E7" w:rsidRPr="003F4434">
        <w:rPr>
          <w:snapToGrid w:val="0"/>
        </w:rPr>
        <w:t xml:space="preserve"> Current </w:t>
      </w:r>
      <w:r w:rsidR="002E62E7" w:rsidRPr="003F4434">
        <w:rPr>
          <w:rFonts w:eastAsia="Times New Roman" w:cs="Arial"/>
          <w:bCs/>
          <w:snapToGrid w:val="0"/>
          <w:szCs w:val="24"/>
        </w:rPr>
        <w:t>treatments can come with significant side effects and may not be suitable for all patients. Patients often find themselves anaemic</w:t>
      </w:r>
      <w:r w:rsidR="00A178A1">
        <w:rPr>
          <w:rFonts w:eastAsia="Times New Roman" w:cs="Arial"/>
          <w:bCs/>
          <w:snapToGrid w:val="0"/>
          <w:szCs w:val="24"/>
        </w:rPr>
        <w:t>,</w:t>
      </w:r>
      <w:r w:rsidR="002E62E7" w:rsidRPr="003F4434">
        <w:rPr>
          <w:rFonts w:eastAsia="Times New Roman" w:cs="Arial"/>
          <w:bCs/>
          <w:snapToGrid w:val="0"/>
          <w:szCs w:val="24"/>
        </w:rPr>
        <w:t xml:space="preserve"> requiring intermittent infusions. </w:t>
      </w:r>
      <w:r w:rsidR="00A178A1">
        <w:rPr>
          <w:rFonts w:eastAsia="Times New Roman" w:cs="Arial"/>
          <w:bCs/>
          <w:snapToGrid w:val="0"/>
          <w:szCs w:val="24"/>
        </w:rPr>
        <w:t xml:space="preserve">The input described </w:t>
      </w:r>
      <w:r w:rsidR="00BF1C44" w:rsidRPr="003F4434">
        <w:rPr>
          <w:rFonts w:eastAsia="Times New Roman" w:cs="Arial"/>
          <w:bCs/>
          <w:snapToGrid w:val="0"/>
          <w:szCs w:val="24"/>
        </w:rPr>
        <w:t xml:space="preserve">that patients </w:t>
      </w:r>
      <w:r w:rsidR="00BC6F2F">
        <w:rPr>
          <w:rFonts w:eastAsia="Times New Roman" w:cs="Arial"/>
          <w:bCs/>
          <w:snapToGrid w:val="0"/>
          <w:szCs w:val="24"/>
        </w:rPr>
        <w:t xml:space="preserve">find the reported advantages of fedratinib </w:t>
      </w:r>
      <w:r w:rsidR="00BF1C44" w:rsidRPr="003F4434">
        <w:rPr>
          <w:rFonts w:eastAsia="Times New Roman" w:cs="Arial"/>
          <w:bCs/>
          <w:snapToGrid w:val="0"/>
          <w:szCs w:val="24"/>
        </w:rPr>
        <w:t>appealing</w:t>
      </w:r>
      <w:r w:rsidR="00594694">
        <w:rPr>
          <w:rFonts w:eastAsia="Times New Roman" w:cs="Arial"/>
          <w:bCs/>
          <w:snapToGrid w:val="0"/>
          <w:szCs w:val="24"/>
        </w:rPr>
        <w:t xml:space="preserve"> such as an </w:t>
      </w:r>
      <w:r w:rsidR="00594694" w:rsidRPr="003F4434">
        <w:rPr>
          <w:rFonts w:eastAsia="Times New Roman" w:cs="Arial"/>
          <w:bCs/>
          <w:snapToGrid w:val="0"/>
          <w:szCs w:val="24"/>
        </w:rPr>
        <w:t>overall improvement in the total symptom score, reducing symptoms such as fatigue, discomfort and bone pain</w:t>
      </w:r>
      <w:r w:rsidR="00836573">
        <w:rPr>
          <w:rFonts w:eastAsia="Times New Roman" w:cs="Arial"/>
          <w:bCs/>
          <w:snapToGrid w:val="0"/>
          <w:szCs w:val="24"/>
        </w:rPr>
        <w:t xml:space="preserve"> and potentially achieve transfusion independency</w:t>
      </w:r>
      <w:r w:rsidR="00594694" w:rsidRPr="003F4434">
        <w:rPr>
          <w:rFonts w:eastAsia="Times New Roman" w:cs="Arial"/>
          <w:bCs/>
          <w:snapToGrid w:val="0"/>
          <w:szCs w:val="24"/>
        </w:rPr>
        <w:t>. Patients are hopeful that this treatment could significantly improve their quality of life, at any line of treatment.</w:t>
      </w:r>
      <w:r w:rsidR="00594694">
        <w:rPr>
          <w:rFonts w:eastAsia="Times New Roman" w:cs="Arial"/>
          <w:bCs/>
          <w:snapToGrid w:val="0"/>
          <w:szCs w:val="24"/>
        </w:rPr>
        <w:t xml:space="preserve"> </w:t>
      </w:r>
      <w:r w:rsidR="00836573">
        <w:rPr>
          <w:rFonts w:eastAsia="Times New Roman" w:cs="Arial"/>
          <w:bCs/>
          <w:snapToGrid w:val="0"/>
          <w:szCs w:val="24"/>
        </w:rPr>
        <w:t xml:space="preserve">The input noted that patients </w:t>
      </w:r>
      <w:r w:rsidR="0004070A" w:rsidRPr="003F4434">
        <w:rPr>
          <w:rFonts w:eastAsia="Times New Roman" w:cs="Arial"/>
          <w:bCs/>
          <w:snapToGrid w:val="0"/>
          <w:szCs w:val="24"/>
        </w:rPr>
        <w:t>should be aware of possible side effects which can include</w:t>
      </w:r>
      <w:r w:rsidR="00F174CB">
        <w:rPr>
          <w:rFonts w:eastAsia="Times New Roman" w:cs="Arial"/>
          <w:bCs/>
          <w:snapToGrid w:val="0"/>
          <w:szCs w:val="24"/>
        </w:rPr>
        <w:t xml:space="preserve">, </w:t>
      </w:r>
      <w:r w:rsidR="0004070A" w:rsidRPr="003F4434">
        <w:rPr>
          <w:rFonts w:eastAsia="Times New Roman" w:cs="Arial"/>
          <w:bCs/>
          <w:snapToGrid w:val="0"/>
          <w:szCs w:val="24"/>
        </w:rPr>
        <w:t>but are not limited to</w:t>
      </w:r>
      <w:r w:rsidR="00F174CB">
        <w:rPr>
          <w:rFonts w:eastAsia="Times New Roman" w:cs="Arial"/>
          <w:bCs/>
          <w:snapToGrid w:val="0"/>
          <w:szCs w:val="24"/>
        </w:rPr>
        <w:t>,</w:t>
      </w:r>
      <w:r w:rsidR="003F4434">
        <w:rPr>
          <w:rFonts w:eastAsia="Times New Roman" w:cs="Arial"/>
          <w:bCs/>
          <w:snapToGrid w:val="0"/>
          <w:szCs w:val="24"/>
        </w:rPr>
        <w:t xml:space="preserve"> </w:t>
      </w:r>
      <w:r w:rsidR="0004070A" w:rsidRPr="003F4434">
        <w:rPr>
          <w:rFonts w:eastAsia="Times New Roman" w:cs="Arial"/>
          <w:bCs/>
          <w:snapToGrid w:val="0"/>
          <w:szCs w:val="24"/>
        </w:rPr>
        <w:t>bleeding gums, chills, cough and nausea.</w:t>
      </w:r>
      <w:r w:rsidR="001A5881" w:rsidRPr="003F4434">
        <w:rPr>
          <w:rFonts w:eastAsia="Times New Roman" w:cs="Arial"/>
          <w:bCs/>
          <w:snapToGrid w:val="0"/>
          <w:szCs w:val="24"/>
        </w:rPr>
        <w:t xml:space="preserve"> </w:t>
      </w:r>
      <w:r w:rsidR="002F4F03">
        <w:rPr>
          <w:rFonts w:eastAsia="Times New Roman" w:cs="Arial"/>
          <w:bCs/>
          <w:snapToGrid w:val="0"/>
          <w:szCs w:val="24"/>
        </w:rPr>
        <w:t xml:space="preserve">Rare Cancers Australia noted that their </w:t>
      </w:r>
      <w:r w:rsidR="0004070A" w:rsidRPr="003F4434">
        <w:rPr>
          <w:rFonts w:eastAsia="Times New Roman" w:cs="Arial"/>
          <w:bCs/>
          <w:snapToGrid w:val="0"/>
          <w:szCs w:val="24"/>
        </w:rPr>
        <w:t>patients emphasise</w:t>
      </w:r>
      <w:r w:rsidR="002F4F03">
        <w:rPr>
          <w:rFonts w:eastAsia="Times New Roman" w:cs="Arial"/>
          <w:bCs/>
          <w:snapToGrid w:val="0"/>
          <w:szCs w:val="24"/>
        </w:rPr>
        <w:t>d</w:t>
      </w:r>
      <w:r w:rsidR="0004070A" w:rsidRPr="003F4434">
        <w:rPr>
          <w:rFonts w:eastAsia="Times New Roman" w:cs="Arial"/>
          <w:bCs/>
          <w:snapToGrid w:val="0"/>
          <w:szCs w:val="24"/>
        </w:rPr>
        <w:t xml:space="preserve"> the importance of discussing these potential side effects with their healthcare providers to determine if they are manageable in</w:t>
      </w:r>
      <w:r w:rsidR="001A5881" w:rsidRPr="003F4434">
        <w:rPr>
          <w:rFonts w:eastAsia="Times New Roman" w:cs="Arial"/>
          <w:bCs/>
          <w:snapToGrid w:val="0"/>
          <w:szCs w:val="24"/>
        </w:rPr>
        <w:t xml:space="preserve"> </w:t>
      </w:r>
      <w:r w:rsidR="0004070A" w:rsidRPr="003F4434">
        <w:rPr>
          <w:rFonts w:eastAsia="Times New Roman" w:cs="Arial"/>
          <w:bCs/>
          <w:snapToGrid w:val="0"/>
          <w:szCs w:val="24"/>
        </w:rPr>
        <w:t>their individual cases.</w:t>
      </w:r>
      <w:r w:rsidR="00EB26C3">
        <w:rPr>
          <w:rFonts w:eastAsia="Times New Roman" w:cs="Arial"/>
          <w:bCs/>
          <w:snapToGrid w:val="0"/>
          <w:szCs w:val="24"/>
        </w:rPr>
        <w:t xml:space="preserve"> </w:t>
      </w:r>
      <w:r w:rsidR="002448C2">
        <w:rPr>
          <w:rFonts w:eastAsia="Times New Roman" w:cs="Arial"/>
          <w:bCs/>
          <w:snapToGrid w:val="0"/>
          <w:szCs w:val="24"/>
        </w:rPr>
        <w:t xml:space="preserve">The input included a patient experience with this condition </w:t>
      </w:r>
      <w:r w:rsidR="00F344F8">
        <w:rPr>
          <w:rFonts w:eastAsia="Times New Roman" w:cs="Arial"/>
          <w:bCs/>
          <w:snapToGrid w:val="0"/>
          <w:szCs w:val="24"/>
        </w:rPr>
        <w:t xml:space="preserve">which described the </w:t>
      </w:r>
      <w:r w:rsidR="007303DF">
        <w:rPr>
          <w:rFonts w:eastAsia="Times New Roman" w:cs="Arial"/>
          <w:bCs/>
          <w:snapToGrid w:val="0"/>
          <w:szCs w:val="24"/>
        </w:rPr>
        <w:t xml:space="preserve">health and financial </w:t>
      </w:r>
      <w:r w:rsidR="007E2B35">
        <w:rPr>
          <w:rFonts w:eastAsia="Times New Roman" w:cs="Arial"/>
          <w:bCs/>
          <w:snapToGrid w:val="0"/>
          <w:szCs w:val="24"/>
        </w:rPr>
        <w:t xml:space="preserve">challenges </w:t>
      </w:r>
      <w:r w:rsidR="007303DF">
        <w:rPr>
          <w:rFonts w:eastAsia="Times New Roman" w:cs="Arial"/>
          <w:bCs/>
          <w:snapToGrid w:val="0"/>
          <w:szCs w:val="24"/>
        </w:rPr>
        <w:t>they have faced to manage this condition</w:t>
      </w:r>
      <w:r w:rsidR="007E2B35">
        <w:rPr>
          <w:rFonts w:eastAsia="Times New Roman" w:cs="Arial"/>
          <w:bCs/>
          <w:snapToGrid w:val="0"/>
          <w:szCs w:val="24"/>
        </w:rPr>
        <w:t>.</w:t>
      </w:r>
    </w:p>
    <w:bookmarkEnd w:id="16"/>
    <w:bookmarkEnd w:id="18"/>
    <w:p w14:paraId="609C0765" w14:textId="5FAD2506" w:rsidR="00B60939" w:rsidRPr="0098262F" w:rsidRDefault="00B60939" w:rsidP="002E4F02">
      <w:pPr>
        <w:pStyle w:val="COMESSubsectionheading"/>
      </w:pPr>
      <w:r w:rsidRPr="0098262F">
        <w:t>Clinical trials</w:t>
      </w:r>
      <w:bookmarkEnd w:id="14"/>
      <w:bookmarkEnd w:id="17"/>
    </w:p>
    <w:p w14:paraId="17DE34DC" w14:textId="378CEF6F" w:rsidR="007F1017" w:rsidRDefault="005B6AC3" w:rsidP="002E4F02">
      <w:pPr>
        <w:pStyle w:val="COMESnumberedpara"/>
        <w:rPr>
          <w:color w:val="0066FF"/>
        </w:rPr>
      </w:pPr>
      <w:r w:rsidRPr="0027599A">
        <w:t xml:space="preserve">No head-to-head trials of fedratinib and ruxolitinib </w:t>
      </w:r>
      <w:r w:rsidR="00183036">
        <w:t>in the first</w:t>
      </w:r>
      <w:r w:rsidR="008A21A8">
        <w:t xml:space="preserve"> </w:t>
      </w:r>
      <w:r w:rsidR="00183036">
        <w:t xml:space="preserve">line (JAK inhibitor naïve) setting </w:t>
      </w:r>
      <w:r w:rsidRPr="0027599A">
        <w:t xml:space="preserve">were available. The resubmission was based on an indirect comparison of one </w:t>
      </w:r>
      <w:r w:rsidR="00AE1B75">
        <w:t xml:space="preserve">placebo-controlled </w:t>
      </w:r>
      <w:r w:rsidRPr="0027599A">
        <w:t>fedratinib trial (JAKARTA) and two ruxolitinib trials</w:t>
      </w:r>
      <w:r w:rsidR="0078029D">
        <w:t xml:space="preserve"> (</w:t>
      </w:r>
      <w:r w:rsidR="00E91E60">
        <w:t>one</w:t>
      </w:r>
      <w:r w:rsidR="00BB709E">
        <w:t xml:space="preserve"> placebo-controlled </w:t>
      </w:r>
      <w:r w:rsidR="00E91E60">
        <w:t>trial (</w:t>
      </w:r>
      <w:r w:rsidRPr="0027599A">
        <w:t>COMFORT-I</w:t>
      </w:r>
      <w:r w:rsidR="00E91E60">
        <w:t xml:space="preserve">) </w:t>
      </w:r>
      <w:r w:rsidRPr="0027599A">
        <w:t>and</w:t>
      </w:r>
      <w:r w:rsidR="00E91E60">
        <w:t xml:space="preserve"> one</w:t>
      </w:r>
      <w:r w:rsidRPr="0027599A">
        <w:t xml:space="preserve"> </w:t>
      </w:r>
      <w:r w:rsidR="00BB709E">
        <w:t xml:space="preserve">BAT-controlled </w:t>
      </w:r>
      <w:r w:rsidR="00E91E60">
        <w:t>trial (</w:t>
      </w:r>
      <w:r w:rsidRPr="0027599A">
        <w:t>COMFORT-II</w:t>
      </w:r>
      <w:r w:rsidR="00E91E60">
        <w:t>)</w:t>
      </w:r>
      <w:r w:rsidR="0078029D">
        <w:t>)</w:t>
      </w:r>
      <w:r w:rsidR="005A52C5">
        <w:t xml:space="preserve"> </w:t>
      </w:r>
      <w:r w:rsidRPr="0027599A">
        <w:t xml:space="preserve">in adults with </w:t>
      </w:r>
      <w:r>
        <w:t>i</w:t>
      </w:r>
      <w:r w:rsidRPr="0027599A">
        <w:t xml:space="preserve">ntermediate-2 or </w:t>
      </w:r>
      <w:r>
        <w:t>h</w:t>
      </w:r>
      <w:r w:rsidRPr="0027599A">
        <w:t>igh risk myelofibrosis who had not received prior treatment with a JAK inhibitor.</w:t>
      </w:r>
      <w:r w:rsidR="002F1148">
        <w:t xml:space="preserve"> Supportive data </w:t>
      </w:r>
      <w:r w:rsidR="00F37C13">
        <w:t xml:space="preserve">was provided from </w:t>
      </w:r>
      <w:r w:rsidR="0053765E">
        <w:t xml:space="preserve">single-arm studies </w:t>
      </w:r>
      <w:r w:rsidR="000C7974">
        <w:t xml:space="preserve">inclusive of patients with intermediate-1 risk myelofibrosis </w:t>
      </w:r>
      <w:r w:rsidR="0053765E">
        <w:t>(</w:t>
      </w:r>
      <w:r w:rsidR="00BE5744">
        <w:t xml:space="preserve">fedratinib: </w:t>
      </w:r>
      <w:r w:rsidR="0053765E">
        <w:t>JAKARTA 2, FREEDOM</w:t>
      </w:r>
      <w:r w:rsidR="00BE5744">
        <w:t xml:space="preserve">; ruxolitinib: </w:t>
      </w:r>
      <w:r w:rsidR="0053765E">
        <w:t xml:space="preserve">JUMP, ROBUST, </w:t>
      </w:r>
      <w:proofErr w:type="spellStart"/>
      <w:r w:rsidR="0053765E">
        <w:t>Barosi</w:t>
      </w:r>
      <w:proofErr w:type="spellEnd"/>
      <w:r w:rsidR="0053765E">
        <w:t xml:space="preserve"> 2012</w:t>
      </w:r>
      <w:r w:rsidR="00F37C13">
        <w:t>).</w:t>
      </w:r>
      <w:r w:rsidR="00BC591F" w:rsidRPr="0098262F">
        <w:rPr>
          <w:color w:val="0066FF"/>
        </w:rPr>
        <w:t xml:space="preserve"> </w:t>
      </w:r>
    </w:p>
    <w:p w14:paraId="0DBC4AA1" w14:textId="7435C5ED" w:rsidR="00183036" w:rsidRPr="00CB1EA6" w:rsidRDefault="00183036" w:rsidP="00183036">
      <w:pPr>
        <w:pStyle w:val="COMESnumberedpara"/>
      </w:pPr>
      <w:r w:rsidRPr="00CB1EA6">
        <w:t>The resubmission argued that the claim of superiority of fedratinib over BAT in the second line (ruxolitinib-experienced) setting was accepted by the PBAC in the May 2025 consideration of fedratinib. At the May 2025 meeting, the PBAC did not recommend the PBS listing of fedratinib for the treatment of patients with intermediate-2 and high-risk myelofibrosis, post-</w:t>
      </w:r>
      <w:r w:rsidR="00237EAF" w:rsidRPr="00CB1EA6">
        <w:t>polycythaemia vera</w:t>
      </w:r>
      <w:r w:rsidRPr="00CB1EA6">
        <w:t xml:space="preserve"> myelofibrosis or post-</w:t>
      </w:r>
      <w:r w:rsidR="0091070A" w:rsidRPr="00CB1EA6">
        <w:t>essential thrombocythaemia</w:t>
      </w:r>
      <w:r w:rsidRPr="00CB1EA6">
        <w:t xml:space="preserve"> myelofibrosis who have had prior ruxolitinib treatment. The primary reason for this outcome was due to the economic analysis provided in the submission (paras 7.1 and 7.2, fedratinib PBAC minutes, May 2025 PBAC meeting). The PBAC considered overall the evidence supports a conclusion that fedratinib is effective in myelofibrosis in the requested population. However</w:t>
      </w:r>
      <w:r w:rsidR="00B10964" w:rsidRPr="00CB1EA6">
        <w:t>,</w:t>
      </w:r>
      <w:r w:rsidRPr="00CB1EA6">
        <w:t xml:space="preserve"> the PBAC considered there is a lack of long-term comparative efficacy and safety data for fedratinib in this setting (para 7.8, fedratinib PBAC minutes, May 2025 PBAC meeting).  As no new publications or updated data </w:t>
      </w:r>
      <w:proofErr w:type="gramStart"/>
      <w:r w:rsidRPr="00CB1EA6">
        <w:t>were located in</w:t>
      </w:r>
      <w:proofErr w:type="gramEnd"/>
      <w:r w:rsidRPr="00CB1EA6">
        <w:t xml:space="preserve"> the resubmission’s literature search, no further details on this population were provided in the resubmission. Details of the FREEDOM-2 trial, considered previously by the PBAC at the May 2025 PBAC meeting, have been included in the current commentary</w:t>
      </w:r>
      <w:r w:rsidR="002C20A5" w:rsidRPr="00CB1EA6">
        <w:t>.</w:t>
      </w:r>
    </w:p>
    <w:p w14:paraId="7667AD24" w14:textId="54E26D44" w:rsidR="00D8229B" w:rsidRPr="00CB1EA6" w:rsidRDefault="0097109C" w:rsidP="00D8229B">
      <w:pPr>
        <w:pStyle w:val="COMESnumberedpara"/>
      </w:pPr>
      <w:r w:rsidRPr="00CB1EA6">
        <w:t>Efficacy and safety data from t</w:t>
      </w:r>
      <w:r w:rsidR="00D8229B" w:rsidRPr="00CB1EA6">
        <w:t xml:space="preserve">he </w:t>
      </w:r>
      <w:r w:rsidR="008B0C06" w:rsidRPr="00CB1EA6">
        <w:t>FREEDOM-2 trial</w:t>
      </w:r>
      <w:r w:rsidR="00A20E55" w:rsidRPr="00CB1EA6">
        <w:t xml:space="preserve"> </w:t>
      </w:r>
      <w:r w:rsidR="008B0C06" w:rsidRPr="00CB1EA6">
        <w:t>and safety data from the</w:t>
      </w:r>
      <w:r w:rsidR="00A20E55" w:rsidRPr="00CB1EA6">
        <w:t xml:space="preserve"> JAKARTA trial and</w:t>
      </w:r>
      <w:r w:rsidR="008B0C06" w:rsidRPr="00CB1EA6">
        <w:t xml:space="preserve"> </w:t>
      </w:r>
      <w:r w:rsidR="00D65BA1" w:rsidRPr="00CB1EA6">
        <w:t>single-arm fedratinib studies (FREEDOM, JAKARTA 2)</w:t>
      </w:r>
      <w:r w:rsidR="00D8229B" w:rsidRPr="00CB1EA6">
        <w:t xml:space="preserve"> were previously considered by the PBAC</w:t>
      </w:r>
      <w:r w:rsidR="00A20E55" w:rsidRPr="00CB1EA6">
        <w:t xml:space="preserve"> in the May 2025 fedratinib submission</w:t>
      </w:r>
      <w:r w:rsidR="00D8229B" w:rsidRPr="00CB1EA6">
        <w:t>.</w:t>
      </w:r>
      <w:r w:rsidR="00A20E55" w:rsidRPr="00CB1EA6">
        <w:t xml:space="preserve"> The </w:t>
      </w:r>
      <w:r w:rsidRPr="00CB1EA6">
        <w:t>ruxolitinib trials</w:t>
      </w:r>
      <w:r w:rsidR="00FB063F" w:rsidRPr="00CB1EA6">
        <w:t xml:space="preserve"> (COMFORT-I and COMFORT-II) and single arm studies (JUMP, ROBUST, </w:t>
      </w:r>
      <w:proofErr w:type="spellStart"/>
      <w:r w:rsidR="00FB063F" w:rsidRPr="00CB1EA6">
        <w:t>Barosi</w:t>
      </w:r>
      <w:proofErr w:type="spellEnd"/>
      <w:r w:rsidR="00FB063F" w:rsidRPr="00CB1EA6">
        <w:t xml:space="preserve"> 2012) </w:t>
      </w:r>
      <w:r w:rsidRPr="00CB1EA6">
        <w:t xml:space="preserve">were previously considered by the PBAC in </w:t>
      </w:r>
      <w:r w:rsidR="00921E5A" w:rsidRPr="00CB1EA6">
        <w:t>ruxolitinib submissions from July 2013</w:t>
      </w:r>
      <w:r w:rsidR="002723E7" w:rsidRPr="00CB1EA6">
        <w:t>,</w:t>
      </w:r>
      <w:r w:rsidR="00921E5A" w:rsidRPr="00CB1EA6">
        <w:t xml:space="preserve"> July</w:t>
      </w:r>
      <w:r w:rsidR="00AE7A6C">
        <w:t> </w:t>
      </w:r>
      <w:r w:rsidR="00921E5A" w:rsidRPr="00CB1EA6">
        <w:t>2014</w:t>
      </w:r>
      <w:r w:rsidR="002723E7" w:rsidRPr="00CB1EA6">
        <w:t xml:space="preserve"> and March 2015</w:t>
      </w:r>
      <w:r w:rsidR="00921E5A" w:rsidRPr="00CB1EA6">
        <w:t>.</w:t>
      </w:r>
      <w:r w:rsidR="002723E7" w:rsidRPr="00CB1EA6">
        <w:t xml:space="preserve"> The efficacy data from the JAKARTA, FREEDOM and JAKARTA 2 studies </w:t>
      </w:r>
      <w:r w:rsidR="00D8229B" w:rsidRPr="00CB1EA6">
        <w:t>have not been previously considered by the PBAC.</w:t>
      </w:r>
    </w:p>
    <w:p w14:paraId="2B59ABAC" w14:textId="182F404B" w:rsidR="00862502" w:rsidRPr="00CB1EA6" w:rsidRDefault="00A73134" w:rsidP="002E4F02">
      <w:pPr>
        <w:pStyle w:val="COMESnumberedpara"/>
      </w:pPr>
      <w:r w:rsidRPr="00CB1EA6">
        <w:t xml:space="preserve">Details of the trials presented in the </w:t>
      </w:r>
      <w:r w:rsidR="00D977EB" w:rsidRPr="00CB1EA6">
        <w:t>re</w:t>
      </w:r>
      <w:r w:rsidRPr="00CB1EA6">
        <w:t xml:space="preserve">submission are provided in </w:t>
      </w:r>
      <w:r w:rsidR="00696EF9" w:rsidRPr="00CB1EA6">
        <w:fldChar w:fldCharType="begin"/>
      </w:r>
      <w:r w:rsidR="00696EF9" w:rsidRPr="00CB1EA6">
        <w:instrText xml:space="preserve"> REF _Ref104803956 \h </w:instrText>
      </w:r>
      <w:r w:rsidR="00CB1EA6" w:rsidRPr="00CB1EA6">
        <w:instrText xml:space="preserve"> \* MERGEFORMAT </w:instrText>
      </w:r>
      <w:r w:rsidR="00696EF9" w:rsidRPr="00CB1EA6">
        <w:fldChar w:fldCharType="separate"/>
      </w:r>
      <w:r w:rsidR="000F0515" w:rsidRPr="0098262F">
        <w:t xml:space="preserve">Table </w:t>
      </w:r>
      <w:r w:rsidR="000F0515">
        <w:t>3</w:t>
      </w:r>
      <w:r w:rsidR="00696EF9" w:rsidRPr="00CB1EA6">
        <w:fldChar w:fldCharType="end"/>
      </w:r>
      <w:r w:rsidRPr="00CB1EA6">
        <w:t>.</w:t>
      </w:r>
    </w:p>
    <w:p w14:paraId="7DE3A286" w14:textId="3078A466" w:rsidR="008E0D3C" w:rsidRPr="0098262F" w:rsidRDefault="00696EF9" w:rsidP="002E4F02">
      <w:pPr>
        <w:pStyle w:val="COMTableFigurecaption"/>
        <w:rPr>
          <w:b w:val="0"/>
        </w:rPr>
      </w:pPr>
      <w:bookmarkStart w:id="19" w:name="_Ref104803956"/>
      <w:r w:rsidRPr="0098262F">
        <w:t xml:space="preserve">Table </w:t>
      </w:r>
      <w:r w:rsidR="0003298B">
        <w:fldChar w:fldCharType="begin"/>
      </w:r>
      <w:r w:rsidR="0003298B">
        <w:instrText xml:space="preserve"> SEQ Table \* ARABIC </w:instrText>
      </w:r>
      <w:r w:rsidR="0003298B">
        <w:fldChar w:fldCharType="separate"/>
      </w:r>
      <w:r w:rsidR="000F0515">
        <w:rPr>
          <w:noProof/>
        </w:rPr>
        <w:t>3</w:t>
      </w:r>
      <w:r w:rsidR="0003298B">
        <w:rPr>
          <w:noProof/>
        </w:rPr>
        <w:fldChar w:fldCharType="end"/>
      </w:r>
      <w:bookmarkEnd w:id="19"/>
      <w:r w:rsidRPr="0098262F">
        <w:t>:</w:t>
      </w:r>
      <w:r w:rsidR="00BC591F" w:rsidRPr="0098262F">
        <w:t xml:space="preserve"> </w:t>
      </w:r>
      <w:r w:rsidR="008E0D3C" w:rsidRPr="0098262F">
        <w:t xml:space="preserve">Trials and associated reports presented in the </w:t>
      </w:r>
      <w:r w:rsidR="00D977EB">
        <w:t>re</w:t>
      </w:r>
      <w:r w:rsidR="008E0D3C" w:rsidRPr="0098262F">
        <w:t>submission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269"/>
        <w:gridCol w:w="5624"/>
        <w:gridCol w:w="2122"/>
      </w:tblGrid>
      <w:tr w:rsidR="00D977EB" w:rsidRPr="0098262F" w14:paraId="17DC2710" w14:textId="77777777">
        <w:trPr>
          <w:tblHeader/>
        </w:trPr>
        <w:tc>
          <w:tcPr>
            <w:tcW w:w="704" w:type="pct"/>
            <w:vAlign w:val="center"/>
          </w:tcPr>
          <w:p w14:paraId="1DB2D12C" w14:textId="77777777" w:rsidR="00D977EB" w:rsidRPr="0098262F" w:rsidRDefault="00D977EB">
            <w:pPr>
              <w:pStyle w:val="COMTableheadingrow"/>
            </w:pPr>
            <w:r w:rsidRPr="0098262F">
              <w:t>Trial ID</w:t>
            </w:r>
          </w:p>
        </w:tc>
        <w:tc>
          <w:tcPr>
            <w:tcW w:w="3119" w:type="pct"/>
            <w:vAlign w:val="center"/>
          </w:tcPr>
          <w:p w14:paraId="700F4100" w14:textId="77777777" w:rsidR="00D977EB" w:rsidRPr="0098262F" w:rsidRDefault="00D977EB">
            <w:pPr>
              <w:pStyle w:val="COMTableheadingrow"/>
            </w:pPr>
            <w:r w:rsidRPr="0098262F">
              <w:t>Protocol title/ Publication title</w:t>
            </w:r>
          </w:p>
        </w:tc>
        <w:tc>
          <w:tcPr>
            <w:tcW w:w="1177" w:type="pct"/>
            <w:vAlign w:val="center"/>
          </w:tcPr>
          <w:p w14:paraId="143D89CD" w14:textId="77777777" w:rsidR="00D977EB" w:rsidRPr="0098262F" w:rsidRDefault="00D977EB">
            <w:pPr>
              <w:pStyle w:val="COMTableheadingrow"/>
            </w:pPr>
            <w:r w:rsidRPr="0098262F">
              <w:t>Publication citation</w:t>
            </w:r>
          </w:p>
        </w:tc>
      </w:tr>
      <w:tr w:rsidR="00D977EB" w:rsidRPr="0098262F" w14:paraId="09D8C91A" w14:textId="77777777">
        <w:tc>
          <w:tcPr>
            <w:tcW w:w="5000" w:type="pct"/>
            <w:gridSpan w:val="3"/>
            <w:vAlign w:val="center"/>
          </w:tcPr>
          <w:p w14:paraId="73D33D04" w14:textId="77777777" w:rsidR="00D977EB" w:rsidRPr="0098262F" w:rsidRDefault="00D977EB">
            <w:pPr>
              <w:pStyle w:val="COMTableheadingrow"/>
            </w:pPr>
            <w:r>
              <w:t>Fedratinib trials</w:t>
            </w:r>
          </w:p>
        </w:tc>
      </w:tr>
      <w:tr w:rsidR="00D977EB" w:rsidRPr="004F789C" w14:paraId="06F17BCB" w14:textId="77777777" w:rsidTr="00AE73ED">
        <w:tc>
          <w:tcPr>
            <w:tcW w:w="704" w:type="pct"/>
            <w:vMerge w:val="restart"/>
            <w:shd w:val="clear" w:color="auto" w:fill="B8CCE4" w:themeFill="accent1" w:themeFillTint="66"/>
            <w:vAlign w:val="center"/>
          </w:tcPr>
          <w:p w14:paraId="5CA7ADA8" w14:textId="77777777" w:rsidR="00D977EB" w:rsidRPr="00AE73ED" w:rsidRDefault="00D977EB">
            <w:pPr>
              <w:pStyle w:val="COMTabletext"/>
            </w:pPr>
            <w:r w:rsidRPr="00AE73ED">
              <w:t>FREEDOM-2</w:t>
            </w:r>
          </w:p>
        </w:tc>
        <w:tc>
          <w:tcPr>
            <w:tcW w:w="3119" w:type="pct"/>
            <w:tcBorders>
              <w:bottom w:val="nil"/>
            </w:tcBorders>
            <w:shd w:val="clear" w:color="auto" w:fill="B8CCE4" w:themeFill="accent1" w:themeFillTint="66"/>
          </w:tcPr>
          <w:p w14:paraId="27BDDD40" w14:textId="77777777" w:rsidR="00D977EB" w:rsidRPr="00AE73ED" w:rsidRDefault="00D977EB">
            <w:pPr>
              <w:pStyle w:val="COMTabletext"/>
            </w:pPr>
            <w:r w:rsidRPr="00AE73ED">
              <w:t>A Phase 3, multicenter, open-label, randomized study to evaluate the efficacy and safety of fedratinib compared to best available therapy in subjects with DIPSS-Intermediate or high-risk primary myelofibrosis, post-polycythemia vera myelofibrosis, or post-essential thrombocythemia myelofibrosis and previously treated with ruxolitinib: The “FREEDOM-2” trial.</w:t>
            </w:r>
          </w:p>
        </w:tc>
        <w:tc>
          <w:tcPr>
            <w:tcW w:w="1177" w:type="pct"/>
            <w:tcBorders>
              <w:bottom w:val="nil"/>
            </w:tcBorders>
            <w:shd w:val="clear" w:color="auto" w:fill="B8CCE4" w:themeFill="accent1" w:themeFillTint="66"/>
          </w:tcPr>
          <w:p w14:paraId="39DDA436" w14:textId="77777777" w:rsidR="00D977EB" w:rsidRPr="00AE73ED" w:rsidRDefault="00D977EB">
            <w:pPr>
              <w:pStyle w:val="COMTabletext"/>
            </w:pPr>
            <w:r w:rsidRPr="00AE73ED">
              <w:t>Clinical Study Report, August 2023</w:t>
            </w:r>
          </w:p>
        </w:tc>
      </w:tr>
      <w:tr w:rsidR="00D977EB" w:rsidRPr="004F789C" w14:paraId="0247CF9F" w14:textId="77777777" w:rsidTr="00AE73ED">
        <w:trPr>
          <w:trHeight w:val="698"/>
        </w:trPr>
        <w:tc>
          <w:tcPr>
            <w:tcW w:w="704" w:type="pct"/>
            <w:vMerge/>
            <w:shd w:val="clear" w:color="auto" w:fill="B8CCE4" w:themeFill="accent1" w:themeFillTint="66"/>
            <w:vAlign w:val="center"/>
          </w:tcPr>
          <w:p w14:paraId="7926DBDB" w14:textId="77777777" w:rsidR="00D977EB" w:rsidRPr="00AE73ED" w:rsidRDefault="00D977EB">
            <w:pPr>
              <w:pStyle w:val="COMTabletext"/>
            </w:pPr>
          </w:p>
        </w:tc>
        <w:tc>
          <w:tcPr>
            <w:tcW w:w="3119" w:type="pct"/>
            <w:tcBorders>
              <w:top w:val="nil"/>
            </w:tcBorders>
            <w:shd w:val="clear" w:color="auto" w:fill="B8CCE4" w:themeFill="accent1" w:themeFillTint="66"/>
          </w:tcPr>
          <w:p w14:paraId="62CD5AD7" w14:textId="77777777" w:rsidR="00D977EB" w:rsidRPr="00AE73ED" w:rsidRDefault="00D977EB">
            <w:pPr>
              <w:pStyle w:val="COMTabletext"/>
            </w:pPr>
            <w:r w:rsidRPr="00AE73ED">
              <w:t xml:space="preserve">Harrison CN, Mesa R, </w:t>
            </w:r>
            <w:proofErr w:type="spellStart"/>
            <w:r w:rsidRPr="00AE73ED">
              <w:t>Talpaz</w:t>
            </w:r>
            <w:proofErr w:type="spellEnd"/>
            <w:r w:rsidRPr="00AE73ED">
              <w:t xml:space="preserve"> M, </w:t>
            </w:r>
            <w:r w:rsidRPr="00AE73ED">
              <w:rPr>
                <w:i/>
                <w:iCs/>
              </w:rPr>
              <w:t>et al</w:t>
            </w:r>
            <w:r w:rsidRPr="00AE73ED">
              <w:t>. Efficacy and safety of fedratinib in patients with myelofibrosis previously treated with ruxolitinib (FREEDOM2): Results from a multicentre, open-label, randomised, controlled phase 3 trial.</w:t>
            </w:r>
          </w:p>
        </w:tc>
        <w:tc>
          <w:tcPr>
            <w:tcW w:w="1177" w:type="pct"/>
            <w:tcBorders>
              <w:top w:val="nil"/>
            </w:tcBorders>
            <w:shd w:val="clear" w:color="auto" w:fill="B8CCE4" w:themeFill="accent1" w:themeFillTint="66"/>
          </w:tcPr>
          <w:p w14:paraId="7B22D4BA" w14:textId="77777777" w:rsidR="00D977EB" w:rsidRPr="00AE73ED" w:rsidRDefault="00D977EB">
            <w:pPr>
              <w:pStyle w:val="COMTabletext"/>
            </w:pPr>
            <w:r w:rsidRPr="00AE73ED">
              <w:rPr>
                <w:i/>
                <w:iCs/>
              </w:rPr>
              <w:t>Lancet Haematology</w:t>
            </w:r>
            <w:r w:rsidRPr="00AE73ED">
              <w:t xml:space="preserve"> 2024; 11(10):e729-e740</w:t>
            </w:r>
          </w:p>
        </w:tc>
      </w:tr>
      <w:tr w:rsidR="00D977EB" w:rsidRPr="0098262F" w14:paraId="6872B7C9" w14:textId="77777777">
        <w:tc>
          <w:tcPr>
            <w:tcW w:w="704" w:type="pct"/>
            <w:vMerge w:val="restart"/>
            <w:vAlign w:val="center"/>
          </w:tcPr>
          <w:p w14:paraId="17F4B78B" w14:textId="77777777" w:rsidR="00D977EB" w:rsidRPr="0098262F" w:rsidRDefault="00D977EB">
            <w:pPr>
              <w:pStyle w:val="COMTabletext"/>
              <w:keepNext w:val="0"/>
            </w:pPr>
            <w:r>
              <w:t>JAKARTA</w:t>
            </w:r>
          </w:p>
        </w:tc>
        <w:tc>
          <w:tcPr>
            <w:tcW w:w="3119" w:type="pct"/>
            <w:tcBorders>
              <w:bottom w:val="nil"/>
            </w:tcBorders>
            <w:vAlign w:val="center"/>
          </w:tcPr>
          <w:p w14:paraId="22320C7E" w14:textId="77777777" w:rsidR="00D977EB" w:rsidRPr="0098262F" w:rsidRDefault="00D977EB">
            <w:pPr>
              <w:pStyle w:val="COMTabletext"/>
              <w:keepNext w:val="0"/>
            </w:pPr>
            <w:r>
              <w:t>A phase 3, multicenter, randomized, double-blind, placebo-controlled, 3-arm study of SAR302503 in patients with intermediate-2 or high-risk primary myelofibrosis, post-polycythemia vera myelofibrosis, or post-essential thrombocythemia myelofibrosis with splenomegaly.</w:t>
            </w:r>
          </w:p>
        </w:tc>
        <w:tc>
          <w:tcPr>
            <w:tcW w:w="1177" w:type="pct"/>
            <w:tcBorders>
              <w:bottom w:val="nil"/>
            </w:tcBorders>
          </w:tcPr>
          <w:p w14:paraId="751602B4" w14:textId="77777777" w:rsidR="00D977EB" w:rsidRPr="0098262F" w:rsidRDefault="00D977EB">
            <w:pPr>
              <w:pStyle w:val="COMTabletext"/>
              <w:keepNext w:val="0"/>
            </w:pPr>
            <w:r w:rsidRPr="004F789C">
              <w:t>Clinical Study Report, December 2018</w:t>
            </w:r>
          </w:p>
        </w:tc>
      </w:tr>
      <w:tr w:rsidR="00D977EB" w:rsidRPr="0098262F" w14:paraId="01B682AA" w14:textId="77777777">
        <w:tc>
          <w:tcPr>
            <w:tcW w:w="704" w:type="pct"/>
            <w:vMerge/>
            <w:vAlign w:val="center"/>
          </w:tcPr>
          <w:p w14:paraId="140198BA" w14:textId="77777777" w:rsidR="00D977EB" w:rsidRPr="0098262F" w:rsidRDefault="00D977EB">
            <w:pPr>
              <w:pStyle w:val="COMTabletext"/>
              <w:keepNext w:val="0"/>
            </w:pPr>
          </w:p>
        </w:tc>
        <w:tc>
          <w:tcPr>
            <w:tcW w:w="3119" w:type="pct"/>
            <w:tcBorders>
              <w:top w:val="nil"/>
              <w:bottom w:val="nil"/>
            </w:tcBorders>
            <w:vAlign w:val="center"/>
          </w:tcPr>
          <w:p w14:paraId="1C4CD0F8" w14:textId="77777777" w:rsidR="00D977EB" w:rsidRPr="0098262F" w:rsidRDefault="00D977EB">
            <w:pPr>
              <w:pStyle w:val="COMTabletext"/>
              <w:keepNext w:val="0"/>
            </w:pPr>
            <w:proofErr w:type="spellStart"/>
            <w:r w:rsidRPr="00233DFD">
              <w:t>Pardanani</w:t>
            </w:r>
            <w:proofErr w:type="spellEnd"/>
            <w:r w:rsidRPr="00233DFD">
              <w:t xml:space="preserve"> A</w:t>
            </w:r>
            <w:r>
              <w:t>, Harrison C, Cortes JE</w:t>
            </w:r>
            <w:r w:rsidRPr="00233DFD">
              <w:t xml:space="preserve">, et al. Safety and efficacy of fedratinib in patients with primary or secondary myelofibrosis: a randomized clinical trial. </w:t>
            </w:r>
          </w:p>
        </w:tc>
        <w:tc>
          <w:tcPr>
            <w:tcW w:w="1177" w:type="pct"/>
            <w:tcBorders>
              <w:top w:val="nil"/>
              <w:bottom w:val="nil"/>
            </w:tcBorders>
          </w:tcPr>
          <w:p w14:paraId="49F972D0" w14:textId="77777777" w:rsidR="00D977EB" w:rsidRPr="0098262F" w:rsidRDefault="00D977EB">
            <w:pPr>
              <w:pStyle w:val="COMTabletext"/>
              <w:keepNext w:val="0"/>
            </w:pPr>
            <w:r w:rsidRPr="0005535A">
              <w:rPr>
                <w:i/>
                <w:iCs/>
              </w:rPr>
              <w:t>JAMA Oncology</w:t>
            </w:r>
            <w:r w:rsidRPr="00233DFD">
              <w:t xml:space="preserve"> </w:t>
            </w:r>
            <w:r>
              <w:t xml:space="preserve">2015; </w:t>
            </w:r>
            <w:r w:rsidRPr="00233DFD">
              <w:t>1</w:t>
            </w:r>
            <w:r>
              <w:t>(</w:t>
            </w:r>
            <w:r w:rsidRPr="00233DFD">
              <w:t>5</w:t>
            </w:r>
            <w:r>
              <w:t>):</w:t>
            </w:r>
            <w:r w:rsidRPr="00233DFD">
              <w:t xml:space="preserve"> 643-651.</w:t>
            </w:r>
          </w:p>
        </w:tc>
      </w:tr>
      <w:tr w:rsidR="00D977EB" w:rsidRPr="0098262F" w14:paraId="606260EA" w14:textId="77777777">
        <w:tc>
          <w:tcPr>
            <w:tcW w:w="704" w:type="pct"/>
            <w:vMerge/>
            <w:vAlign w:val="center"/>
          </w:tcPr>
          <w:p w14:paraId="51BF52DA" w14:textId="77777777" w:rsidR="00D977EB" w:rsidRPr="0098262F" w:rsidRDefault="00D977EB">
            <w:pPr>
              <w:pStyle w:val="COMTabletext"/>
              <w:keepNext w:val="0"/>
            </w:pPr>
          </w:p>
        </w:tc>
        <w:tc>
          <w:tcPr>
            <w:tcW w:w="3119" w:type="pct"/>
            <w:tcBorders>
              <w:top w:val="nil"/>
              <w:bottom w:val="nil"/>
            </w:tcBorders>
            <w:vAlign w:val="center"/>
          </w:tcPr>
          <w:p w14:paraId="33DA5DA6" w14:textId="77777777" w:rsidR="00D977EB" w:rsidRPr="0098262F" w:rsidRDefault="00D977EB">
            <w:pPr>
              <w:pStyle w:val="COMTabletext"/>
              <w:keepNext w:val="0"/>
            </w:pPr>
            <w:proofErr w:type="spellStart"/>
            <w:r w:rsidRPr="00FB2386">
              <w:t>Pardanani</w:t>
            </w:r>
            <w:proofErr w:type="spellEnd"/>
            <w:r w:rsidRPr="00FB2386">
              <w:t xml:space="preserve"> A,</w:t>
            </w:r>
            <w:r>
              <w:t xml:space="preserve"> </w:t>
            </w:r>
            <w:proofErr w:type="spellStart"/>
            <w:r>
              <w:t>Tefferi</w:t>
            </w:r>
            <w:proofErr w:type="spellEnd"/>
            <w:r>
              <w:t xml:space="preserve"> A, </w:t>
            </w:r>
            <w:proofErr w:type="spellStart"/>
            <w:r>
              <w:t>Masszi</w:t>
            </w:r>
            <w:proofErr w:type="spellEnd"/>
            <w:r>
              <w:t xml:space="preserve"> T,</w:t>
            </w:r>
            <w:r w:rsidRPr="00FB2386">
              <w:t xml:space="preserve"> et al. Updated results of the placebo</w:t>
            </w:r>
            <w:r w:rsidRPr="00FB2386">
              <w:rPr>
                <w:rFonts w:ascii="Cambria Math" w:hAnsi="Cambria Math" w:cs="Cambria Math"/>
              </w:rPr>
              <w:t>‐</w:t>
            </w:r>
            <w:r w:rsidRPr="00FB2386">
              <w:t>controlled, phase III JAKARTA trial of fedratinib in patients with intermediate</w:t>
            </w:r>
            <w:r w:rsidRPr="00FB2386">
              <w:rPr>
                <w:rFonts w:ascii="Cambria Math" w:hAnsi="Cambria Math" w:cs="Cambria Math"/>
              </w:rPr>
              <w:t>‐</w:t>
            </w:r>
            <w:r w:rsidRPr="00FB2386">
              <w:t>2 or high</w:t>
            </w:r>
            <w:r w:rsidRPr="00FB2386">
              <w:rPr>
                <w:rFonts w:ascii="Cambria Math" w:hAnsi="Cambria Math" w:cs="Cambria Math"/>
              </w:rPr>
              <w:t>‐</w:t>
            </w:r>
            <w:r w:rsidRPr="00FB2386">
              <w:t xml:space="preserve">risk myelofibrosis. </w:t>
            </w:r>
          </w:p>
        </w:tc>
        <w:tc>
          <w:tcPr>
            <w:tcW w:w="1177" w:type="pct"/>
            <w:tcBorders>
              <w:top w:val="nil"/>
              <w:bottom w:val="nil"/>
            </w:tcBorders>
          </w:tcPr>
          <w:p w14:paraId="5B477BB9" w14:textId="77777777" w:rsidR="00D977EB" w:rsidRPr="0098262F" w:rsidRDefault="00D977EB">
            <w:pPr>
              <w:pStyle w:val="COMTabletext"/>
              <w:keepNext w:val="0"/>
              <w:rPr>
                <w:i/>
              </w:rPr>
            </w:pPr>
            <w:r w:rsidRPr="00546394">
              <w:rPr>
                <w:i/>
                <w:iCs/>
              </w:rPr>
              <w:t>British J Haematology</w:t>
            </w:r>
            <w:r>
              <w:t xml:space="preserve"> 2021;</w:t>
            </w:r>
            <w:r w:rsidRPr="00FB2386">
              <w:t xml:space="preserve"> 195</w:t>
            </w:r>
            <w:r>
              <w:t xml:space="preserve"> (</w:t>
            </w:r>
            <w:r w:rsidRPr="00FB2386">
              <w:t>2</w:t>
            </w:r>
            <w:r>
              <w:t>)</w:t>
            </w:r>
            <w:r w:rsidRPr="00FB2386">
              <w:t>: 244-248</w:t>
            </w:r>
            <w:r>
              <w:t>.</w:t>
            </w:r>
          </w:p>
        </w:tc>
      </w:tr>
      <w:tr w:rsidR="00D977EB" w:rsidRPr="0098262F" w14:paraId="6B79AA85" w14:textId="77777777">
        <w:tc>
          <w:tcPr>
            <w:tcW w:w="704" w:type="pct"/>
            <w:vMerge/>
            <w:tcBorders>
              <w:bottom w:val="nil"/>
            </w:tcBorders>
            <w:vAlign w:val="center"/>
          </w:tcPr>
          <w:p w14:paraId="392CE2C0" w14:textId="77777777" w:rsidR="00D977EB" w:rsidRPr="0098262F" w:rsidRDefault="00D977EB">
            <w:pPr>
              <w:pStyle w:val="COMTabletext"/>
              <w:keepNext w:val="0"/>
            </w:pPr>
          </w:p>
        </w:tc>
        <w:tc>
          <w:tcPr>
            <w:tcW w:w="3119" w:type="pct"/>
            <w:tcBorders>
              <w:top w:val="nil"/>
              <w:bottom w:val="nil"/>
            </w:tcBorders>
            <w:vAlign w:val="center"/>
          </w:tcPr>
          <w:p w14:paraId="0A03AF41" w14:textId="77777777" w:rsidR="00D977EB" w:rsidRPr="0098262F" w:rsidRDefault="00D977EB">
            <w:pPr>
              <w:pStyle w:val="COMTabletext"/>
              <w:keepNext w:val="0"/>
            </w:pPr>
            <w:r w:rsidRPr="00885319">
              <w:t>Mesa RA,</w:t>
            </w:r>
            <w:r>
              <w:t xml:space="preserve"> Schaap N, </w:t>
            </w:r>
            <w:proofErr w:type="spellStart"/>
            <w:r>
              <w:t>Vannucchi</w:t>
            </w:r>
            <w:proofErr w:type="spellEnd"/>
            <w:r>
              <w:t xml:space="preserve"> AM,</w:t>
            </w:r>
            <w:r w:rsidRPr="00885319">
              <w:t xml:space="preserve"> et al. Patient-reported effects of fedratinib, an oral, selective inhibitor of Janus kinase 2, on myelofibrosis-related symptoms and health-related quality of life in the randomized, placebo-controlled, phase III JAKARTA trial. </w:t>
            </w:r>
          </w:p>
        </w:tc>
        <w:tc>
          <w:tcPr>
            <w:tcW w:w="1177" w:type="pct"/>
            <w:tcBorders>
              <w:top w:val="nil"/>
              <w:bottom w:val="nil"/>
            </w:tcBorders>
          </w:tcPr>
          <w:p w14:paraId="4A66F960" w14:textId="77777777" w:rsidR="00D977EB" w:rsidRPr="0098262F" w:rsidRDefault="00D977EB">
            <w:pPr>
              <w:pStyle w:val="COMTabletext"/>
              <w:keepNext w:val="0"/>
            </w:pPr>
            <w:proofErr w:type="spellStart"/>
            <w:r w:rsidRPr="00EF0158">
              <w:rPr>
                <w:i/>
                <w:iCs/>
              </w:rPr>
              <w:t>Hemasphere</w:t>
            </w:r>
            <w:proofErr w:type="spellEnd"/>
            <w:r w:rsidRPr="00885319">
              <w:t xml:space="preserve"> </w:t>
            </w:r>
            <w:r>
              <w:t xml:space="preserve">2021; </w:t>
            </w:r>
            <w:r w:rsidRPr="00885319">
              <w:t>5</w:t>
            </w:r>
            <w:r>
              <w:t>(</w:t>
            </w:r>
            <w:r w:rsidRPr="00885319">
              <w:t>5</w:t>
            </w:r>
            <w:r>
              <w:t>):</w:t>
            </w:r>
            <w:r w:rsidRPr="00885319">
              <w:t>e553</w:t>
            </w:r>
          </w:p>
        </w:tc>
      </w:tr>
      <w:tr w:rsidR="00D977EB" w:rsidRPr="0098262F" w14:paraId="5D2968CF" w14:textId="77777777">
        <w:tc>
          <w:tcPr>
            <w:tcW w:w="704" w:type="pct"/>
            <w:vMerge w:val="restart"/>
            <w:vAlign w:val="center"/>
          </w:tcPr>
          <w:p w14:paraId="358F9792" w14:textId="77777777" w:rsidR="00D977EB" w:rsidRPr="0098262F" w:rsidRDefault="00D977EB">
            <w:pPr>
              <w:pStyle w:val="COMTabletext"/>
              <w:keepNext w:val="0"/>
            </w:pPr>
            <w:r>
              <w:t>JAKARTA 2</w:t>
            </w:r>
          </w:p>
        </w:tc>
        <w:tc>
          <w:tcPr>
            <w:tcW w:w="3119" w:type="pct"/>
            <w:tcBorders>
              <w:bottom w:val="nil"/>
            </w:tcBorders>
          </w:tcPr>
          <w:p w14:paraId="60B67B34" w14:textId="77777777" w:rsidR="00D977EB" w:rsidRPr="0098262F" w:rsidRDefault="00D977EB">
            <w:pPr>
              <w:pStyle w:val="COMTabletext"/>
              <w:keepNext w:val="0"/>
            </w:pPr>
            <w:r w:rsidRPr="004F789C">
              <w:t>A Phase II, multicenter, open-label, single-arm study of SAR302503 in subjects previously treated with ruxolitinib and with a current diagnosis of intermediate or high-risk primary myelofibrosis, post-polycythemia vera myelofibrosis, or post-essential thrombocythemia myelofibrosis.</w:t>
            </w:r>
          </w:p>
        </w:tc>
        <w:tc>
          <w:tcPr>
            <w:tcW w:w="1177" w:type="pct"/>
            <w:tcBorders>
              <w:bottom w:val="nil"/>
            </w:tcBorders>
          </w:tcPr>
          <w:p w14:paraId="53A15873" w14:textId="77777777" w:rsidR="00D977EB" w:rsidRDefault="00D977EB">
            <w:pPr>
              <w:pStyle w:val="COMTabletext"/>
              <w:keepNext w:val="0"/>
            </w:pPr>
            <w:r w:rsidRPr="004F789C">
              <w:t>Clinical Study Report, December 2018</w:t>
            </w:r>
          </w:p>
          <w:p w14:paraId="6FCB1675" w14:textId="77777777" w:rsidR="00D977EB" w:rsidRPr="0098262F" w:rsidRDefault="00D977EB">
            <w:pPr>
              <w:pStyle w:val="COMTabletext"/>
              <w:keepNext w:val="0"/>
            </w:pPr>
            <w:r>
              <w:t>Clinical Study Report Addendum, December 2018</w:t>
            </w:r>
          </w:p>
        </w:tc>
      </w:tr>
      <w:tr w:rsidR="00D977EB" w:rsidRPr="0098262F" w14:paraId="38DE6F3D" w14:textId="77777777">
        <w:tc>
          <w:tcPr>
            <w:tcW w:w="704" w:type="pct"/>
            <w:vMerge/>
            <w:vAlign w:val="center"/>
          </w:tcPr>
          <w:p w14:paraId="18A6B308" w14:textId="77777777" w:rsidR="00D977EB" w:rsidRPr="0098262F" w:rsidRDefault="00D977EB">
            <w:pPr>
              <w:pStyle w:val="COMTabletext"/>
              <w:keepNext w:val="0"/>
            </w:pPr>
          </w:p>
        </w:tc>
        <w:tc>
          <w:tcPr>
            <w:tcW w:w="3119" w:type="pct"/>
            <w:tcBorders>
              <w:top w:val="nil"/>
              <w:bottom w:val="nil"/>
            </w:tcBorders>
            <w:vAlign w:val="center"/>
          </w:tcPr>
          <w:p w14:paraId="4E2EE79D" w14:textId="77777777" w:rsidR="00D977EB" w:rsidRPr="0098262F" w:rsidRDefault="00D977EB">
            <w:pPr>
              <w:pStyle w:val="COMTabletext"/>
              <w:keepNext w:val="0"/>
            </w:pPr>
            <w:r>
              <w:t xml:space="preserve">Harrison CN, Schaap N, </w:t>
            </w:r>
            <w:proofErr w:type="spellStart"/>
            <w:r>
              <w:t>Vannucchi</w:t>
            </w:r>
            <w:proofErr w:type="spellEnd"/>
            <w:r>
              <w:t xml:space="preserve"> AM, et al. </w:t>
            </w:r>
            <w:r w:rsidRPr="00C70F88">
              <w:t>Janus kinase-2 inhibitor fedratinib in patients with myelofibrosis previously treated with ruxolitinib (</w:t>
            </w:r>
            <w:r>
              <w:t>JAKARTA 2</w:t>
            </w:r>
            <w:r w:rsidRPr="00C70F88">
              <w:t>): a single-arm, open-label, non-randomised, phase 2, multicentre study.</w:t>
            </w:r>
          </w:p>
        </w:tc>
        <w:tc>
          <w:tcPr>
            <w:tcW w:w="1177" w:type="pct"/>
            <w:tcBorders>
              <w:top w:val="nil"/>
              <w:bottom w:val="nil"/>
            </w:tcBorders>
          </w:tcPr>
          <w:p w14:paraId="7878443A" w14:textId="77777777" w:rsidR="00D977EB" w:rsidRPr="00130060" w:rsidRDefault="00D977EB">
            <w:pPr>
              <w:pStyle w:val="COMTabletext"/>
              <w:keepNext w:val="0"/>
            </w:pPr>
            <w:r>
              <w:rPr>
                <w:i/>
              </w:rPr>
              <w:t xml:space="preserve">Lancet Haematology </w:t>
            </w:r>
            <w:r>
              <w:t>2017; 4(7): e317-e324</w:t>
            </w:r>
          </w:p>
        </w:tc>
      </w:tr>
      <w:tr w:rsidR="00D977EB" w:rsidRPr="0098262F" w14:paraId="55F40AEC" w14:textId="77777777">
        <w:tc>
          <w:tcPr>
            <w:tcW w:w="704" w:type="pct"/>
            <w:vMerge/>
            <w:tcBorders>
              <w:bottom w:val="nil"/>
            </w:tcBorders>
            <w:vAlign w:val="center"/>
          </w:tcPr>
          <w:p w14:paraId="485E4EE7" w14:textId="77777777" w:rsidR="00D977EB" w:rsidRPr="0098262F" w:rsidRDefault="00D977EB">
            <w:pPr>
              <w:pStyle w:val="COMTabletext"/>
              <w:keepNext w:val="0"/>
            </w:pPr>
          </w:p>
        </w:tc>
        <w:tc>
          <w:tcPr>
            <w:tcW w:w="3119" w:type="pct"/>
            <w:tcBorders>
              <w:top w:val="nil"/>
              <w:bottom w:val="nil"/>
            </w:tcBorders>
            <w:vAlign w:val="center"/>
          </w:tcPr>
          <w:p w14:paraId="6505C24B" w14:textId="77777777" w:rsidR="00D977EB" w:rsidRPr="0098262F" w:rsidRDefault="00D977EB">
            <w:pPr>
              <w:pStyle w:val="COMTabletext"/>
              <w:keepNext w:val="0"/>
            </w:pPr>
            <w:r>
              <w:t xml:space="preserve">Harrison CN, Schaap N, </w:t>
            </w:r>
            <w:proofErr w:type="spellStart"/>
            <w:r>
              <w:t>Vannucchi</w:t>
            </w:r>
            <w:proofErr w:type="spellEnd"/>
            <w:r>
              <w:t xml:space="preserve"> AM, et al. </w:t>
            </w:r>
            <w:r w:rsidRPr="005D2267">
              <w:t>Fedratinib improves myelofibrosis-related symptoms and health-related quality of life in patients with myelofibrosis previously treated with ruxolitinib: patient-reported outcomes from the phase II JAKARTA2 trial</w:t>
            </w:r>
            <w:r>
              <w:t>.</w:t>
            </w:r>
          </w:p>
        </w:tc>
        <w:tc>
          <w:tcPr>
            <w:tcW w:w="1177" w:type="pct"/>
            <w:tcBorders>
              <w:top w:val="nil"/>
              <w:bottom w:val="nil"/>
            </w:tcBorders>
          </w:tcPr>
          <w:p w14:paraId="28FB90F0" w14:textId="77777777" w:rsidR="00D977EB" w:rsidRPr="005D2267" w:rsidRDefault="00D977EB">
            <w:pPr>
              <w:pStyle w:val="COMTabletext"/>
              <w:keepNext w:val="0"/>
            </w:pPr>
            <w:proofErr w:type="spellStart"/>
            <w:r>
              <w:rPr>
                <w:i/>
                <w:iCs/>
              </w:rPr>
              <w:t>Hemasphere</w:t>
            </w:r>
            <w:proofErr w:type="spellEnd"/>
            <w:r>
              <w:rPr>
                <w:i/>
                <w:iCs/>
              </w:rPr>
              <w:t xml:space="preserve"> </w:t>
            </w:r>
            <w:r>
              <w:t>2021; 5(5): e562.</w:t>
            </w:r>
          </w:p>
        </w:tc>
      </w:tr>
      <w:tr w:rsidR="00D977EB" w:rsidRPr="0098262F" w14:paraId="2EF4E88F" w14:textId="77777777">
        <w:tc>
          <w:tcPr>
            <w:tcW w:w="704" w:type="pct"/>
            <w:vMerge w:val="restart"/>
            <w:vAlign w:val="center"/>
          </w:tcPr>
          <w:p w14:paraId="0E53E15F" w14:textId="77777777" w:rsidR="00D977EB" w:rsidRPr="0098262F" w:rsidRDefault="00D977EB">
            <w:pPr>
              <w:pStyle w:val="COMTabletext"/>
              <w:keepNext w:val="0"/>
            </w:pPr>
            <w:r>
              <w:t>FREEDOM</w:t>
            </w:r>
          </w:p>
        </w:tc>
        <w:tc>
          <w:tcPr>
            <w:tcW w:w="3119" w:type="pct"/>
            <w:tcBorders>
              <w:bottom w:val="nil"/>
            </w:tcBorders>
            <w:vAlign w:val="center"/>
          </w:tcPr>
          <w:p w14:paraId="42F9A0A0" w14:textId="77777777" w:rsidR="00D977EB" w:rsidRPr="0098262F" w:rsidRDefault="00D977EB">
            <w:pPr>
              <w:pStyle w:val="COMTabletext"/>
              <w:keepNext w:val="0"/>
            </w:pPr>
            <w:r>
              <w:t>A Phase 3B, multicenter, single-arm, open-label efficacy and safety study of fedratinib in subjects with DIPSS-Intermediate or High Risk primary myelofibrosis, post-polycythemia vera myelofibrosis, or post-essential thrombocythemia myelofibrosis and previously treated with ruxolitinib: The FREEDOM trial.</w:t>
            </w:r>
          </w:p>
        </w:tc>
        <w:tc>
          <w:tcPr>
            <w:tcW w:w="1177" w:type="pct"/>
            <w:tcBorders>
              <w:bottom w:val="nil"/>
            </w:tcBorders>
          </w:tcPr>
          <w:p w14:paraId="7D93ECEB" w14:textId="02D50ACF" w:rsidR="00D977EB" w:rsidRPr="0098262F" w:rsidRDefault="00D977EB">
            <w:pPr>
              <w:pStyle w:val="COMTabletext"/>
              <w:keepNext w:val="0"/>
            </w:pPr>
            <w:r>
              <w:t>Clinical Study Report, July</w:t>
            </w:r>
            <w:r w:rsidR="00AE7A6C">
              <w:t> </w:t>
            </w:r>
            <w:r>
              <w:t>2022</w:t>
            </w:r>
          </w:p>
        </w:tc>
      </w:tr>
      <w:tr w:rsidR="00D977EB" w:rsidRPr="0098262F" w14:paraId="39D3A378" w14:textId="77777777">
        <w:tc>
          <w:tcPr>
            <w:tcW w:w="704" w:type="pct"/>
            <w:vMerge/>
            <w:tcBorders>
              <w:bottom w:val="single" w:sz="4" w:space="0" w:color="auto"/>
            </w:tcBorders>
            <w:vAlign w:val="center"/>
          </w:tcPr>
          <w:p w14:paraId="048A9317" w14:textId="77777777" w:rsidR="00D977EB" w:rsidRPr="0098262F" w:rsidRDefault="00D977EB">
            <w:pPr>
              <w:pStyle w:val="COMTabletext"/>
              <w:keepNext w:val="0"/>
            </w:pPr>
          </w:p>
        </w:tc>
        <w:tc>
          <w:tcPr>
            <w:tcW w:w="3119" w:type="pct"/>
            <w:tcBorders>
              <w:top w:val="nil"/>
              <w:bottom w:val="single" w:sz="4" w:space="0" w:color="auto"/>
            </w:tcBorders>
            <w:vAlign w:val="center"/>
          </w:tcPr>
          <w:p w14:paraId="5339845D" w14:textId="77777777" w:rsidR="00D977EB" w:rsidRPr="0098262F" w:rsidRDefault="00D977EB">
            <w:pPr>
              <w:pStyle w:val="COMTabletext"/>
              <w:keepNext w:val="0"/>
            </w:pPr>
            <w:r>
              <w:t>Gupta V, Yacoub A, Mesa RA, et al. Safety and efficacy of fedratinib in patients with myelofibrosis previously treated with ruxolitinib: Primary analysis of FREEDOM trial.</w:t>
            </w:r>
          </w:p>
        </w:tc>
        <w:tc>
          <w:tcPr>
            <w:tcW w:w="1177" w:type="pct"/>
            <w:tcBorders>
              <w:top w:val="nil"/>
              <w:bottom w:val="single" w:sz="4" w:space="0" w:color="auto"/>
            </w:tcBorders>
          </w:tcPr>
          <w:p w14:paraId="6097C7AA" w14:textId="77777777" w:rsidR="00D977EB" w:rsidRPr="0098262F" w:rsidRDefault="00D977EB">
            <w:pPr>
              <w:pStyle w:val="COMTabletext"/>
              <w:keepNext w:val="0"/>
            </w:pPr>
            <w:r w:rsidRPr="00123DA7">
              <w:rPr>
                <w:i/>
                <w:iCs/>
              </w:rPr>
              <w:t>Leukemia &amp; Lymphoma</w:t>
            </w:r>
            <w:r>
              <w:t xml:space="preserve"> 2024; 65(9): 1314-1324</w:t>
            </w:r>
          </w:p>
        </w:tc>
      </w:tr>
      <w:tr w:rsidR="00D977EB" w:rsidRPr="0098262F" w14:paraId="4A1AEAE5" w14:textId="77777777">
        <w:tc>
          <w:tcPr>
            <w:tcW w:w="5000" w:type="pct"/>
            <w:gridSpan w:val="3"/>
            <w:tcBorders>
              <w:top w:val="nil"/>
              <w:bottom w:val="single" w:sz="4" w:space="0" w:color="auto"/>
            </w:tcBorders>
            <w:vAlign w:val="center"/>
          </w:tcPr>
          <w:p w14:paraId="0732FCDA" w14:textId="77777777" w:rsidR="00D977EB" w:rsidRPr="00F61595" w:rsidRDefault="00D977EB">
            <w:pPr>
              <w:pStyle w:val="COMTabletext"/>
              <w:keepNext w:val="0"/>
              <w:rPr>
                <w:b/>
                <w:bCs w:val="0"/>
              </w:rPr>
            </w:pPr>
            <w:r w:rsidRPr="00F61595">
              <w:rPr>
                <w:b/>
                <w:bCs w:val="0"/>
              </w:rPr>
              <w:t>Ruxolitinib trials</w:t>
            </w:r>
          </w:p>
        </w:tc>
      </w:tr>
      <w:tr w:rsidR="00D977EB" w:rsidRPr="0098262F" w14:paraId="541B9F3A" w14:textId="77777777">
        <w:tc>
          <w:tcPr>
            <w:tcW w:w="704" w:type="pct"/>
            <w:vMerge w:val="restart"/>
            <w:tcBorders>
              <w:top w:val="nil"/>
            </w:tcBorders>
            <w:vAlign w:val="center"/>
          </w:tcPr>
          <w:p w14:paraId="05B239C6" w14:textId="77777777" w:rsidR="00D977EB" w:rsidRPr="0098262F" w:rsidRDefault="00D977EB">
            <w:pPr>
              <w:pStyle w:val="COMTabletext"/>
              <w:keepNext w:val="0"/>
            </w:pPr>
            <w:r>
              <w:t>COMFORT-I</w:t>
            </w:r>
          </w:p>
        </w:tc>
        <w:tc>
          <w:tcPr>
            <w:tcW w:w="3119" w:type="pct"/>
            <w:tcBorders>
              <w:top w:val="nil"/>
              <w:bottom w:val="nil"/>
            </w:tcBorders>
            <w:vAlign w:val="center"/>
          </w:tcPr>
          <w:p w14:paraId="215F0798" w14:textId="77777777" w:rsidR="00D977EB" w:rsidRPr="0098262F" w:rsidRDefault="00D977EB">
            <w:pPr>
              <w:pStyle w:val="COMTabletext"/>
              <w:keepNext w:val="0"/>
            </w:pPr>
            <w:proofErr w:type="spellStart"/>
            <w:r w:rsidRPr="00E91AA6">
              <w:t>Verstovsek</w:t>
            </w:r>
            <w:proofErr w:type="spellEnd"/>
            <w:r w:rsidRPr="00E91AA6">
              <w:t xml:space="preserve"> S,</w:t>
            </w:r>
            <w:r>
              <w:t xml:space="preserve"> Mesa RA, Gotlib J,</w:t>
            </w:r>
            <w:r w:rsidRPr="00E91AA6">
              <w:t xml:space="preserve"> et al. A double-blind, placebo-controlled trial of ruxolitinib for myelofibrosis.</w:t>
            </w:r>
          </w:p>
        </w:tc>
        <w:tc>
          <w:tcPr>
            <w:tcW w:w="1177" w:type="pct"/>
            <w:tcBorders>
              <w:top w:val="nil"/>
              <w:bottom w:val="nil"/>
            </w:tcBorders>
          </w:tcPr>
          <w:p w14:paraId="55B32191" w14:textId="77777777" w:rsidR="00D977EB" w:rsidRPr="0098262F" w:rsidRDefault="00D977EB">
            <w:pPr>
              <w:pStyle w:val="COMTabletext"/>
              <w:keepNext w:val="0"/>
            </w:pPr>
            <w:r w:rsidRPr="0023441B">
              <w:rPr>
                <w:i/>
                <w:iCs/>
              </w:rPr>
              <w:t>N Engl J Med</w:t>
            </w:r>
            <w:r>
              <w:t xml:space="preserve"> 2012; </w:t>
            </w:r>
            <w:r w:rsidRPr="00E91AA6">
              <w:t>366</w:t>
            </w:r>
            <w:r>
              <w:t>(</w:t>
            </w:r>
            <w:r w:rsidRPr="00E91AA6">
              <w:t>9</w:t>
            </w:r>
            <w:r>
              <w:t>)</w:t>
            </w:r>
            <w:r w:rsidRPr="00E91AA6">
              <w:t>: 799-807.</w:t>
            </w:r>
          </w:p>
        </w:tc>
      </w:tr>
      <w:tr w:rsidR="00D977EB" w:rsidRPr="0098262F" w14:paraId="71DC2BFD" w14:textId="77777777">
        <w:tc>
          <w:tcPr>
            <w:tcW w:w="704" w:type="pct"/>
            <w:vMerge/>
            <w:vAlign w:val="center"/>
          </w:tcPr>
          <w:p w14:paraId="42B84EF5" w14:textId="77777777" w:rsidR="00D977EB" w:rsidRDefault="00D977EB">
            <w:pPr>
              <w:pStyle w:val="COMTabletext"/>
              <w:keepNext w:val="0"/>
            </w:pPr>
          </w:p>
        </w:tc>
        <w:tc>
          <w:tcPr>
            <w:tcW w:w="3119" w:type="pct"/>
            <w:tcBorders>
              <w:top w:val="nil"/>
              <w:bottom w:val="nil"/>
            </w:tcBorders>
            <w:vAlign w:val="center"/>
          </w:tcPr>
          <w:p w14:paraId="33B9F382" w14:textId="77777777" w:rsidR="00D977EB" w:rsidRPr="0098262F" w:rsidRDefault="00D977EB">
            <w:pPr>
              <w:pStyle w:val="COMTabletext"/>
              <w:keepNext w:val="0"/>
            </w:pPr>
            <w:proofErr w:type="spellStart"/>
            <w:r w:rsidRPr="002863D3">
              <w:t>Verstovsek</w:t>
            </w:r>
            <w:proofErr w:type="spellEnd"/>
            <w:r w:rsidRPr="002863D3">
              <w:t xml:space="preserve"> </w:t>
            </w:r>
            <w:r>
              <w:t>S</w:t>
            </w:r>
            <w:r w:rsidRPr="002863D3">
              <w:t>,</w:t>
            </w:r>
            <w:r>
              <w:t xml:space="preserve"> Mesa RA, Gotlib J,</w:t>
            </w:r>
            <w:r w:rsidRPr="002863D3">
              <w:t xml:space="preserve"> et al. Efficacy, safety and survival with ruxolitinib in patients with myelofibrosis: results of a median 2-year follow-up of COMFORT-I. </w:t>
            </w:r>
          </w:p>
        </w:tc>
        <w:tc>
          <w:tcPr>
            <w:tcW w:w="1177" w:type="pct"/>
            <w:tcBorders>
              <w:top w:val="nil"/>
              <w:bottom w:val="nil"/>
            </w:tcBorders>
          </w:tcPr>
          <w:p w14:paraId="7FBF8848" w14:textId="77777777" w:rsidR="00D977EB" w:rsidRPr="0098262F" w:rsidRDefault="00D977EB">
            <w:pPr>
              <w:pStyle w:val="COMTabletext"/>
              <w:keepNext w:val="0"/>
            </w:pPr>
            <w:r w:rsidRPr="002006CB">
              <w:rPr>
                <w:i/>
                <w:iCs/>
              </w:rPr>
              <w:t>Haematologica</w:t>
            </w:r>
            <w:r w:rsidRPr="002863D3">
              <w:t xml:space="preserve"> </w:t>
            </w:r>
            <w:r>
              <w:t xml:space="preserve">2013 </w:t>
            </w:r>
            <w:r w:rsidRPr="002863D3">
              <w:t>98</w:t>
            </w:r>
            <w:r>
              <w:t>(</w:t>
            </w:r>
            <w:r w:rsidRPr="002863D3">
              <w:t>12</w:t>
            </w:r>
            <w:r>
              <w:t>)</w:t>
            </w:r>
            <w:r w:rsidRPr="002863D3">
              <w:t>:1865</w:t>
            </w:r>
            <w:r>
              <w:t>-1871</w:t>
            </w:r>
            <w:r w:rsidRPr="002863D3">
              <w:t>.</w:t>
            </w:r>
          </w:p>
        </w:tc>
      </w:tr>
      <w:tr w:rsidR="00D977EB" w:rsidRPr="0098262F" w14:paraId="0853F7BE" w14:textId="77777777">
        <w:tc>
          <w:tcPr>
            <w:tcW w:w="704" w:type="pct"/>
            <w:vMerge/>
            <w:vAlign w:val="center"/>
          </w:tcPr>
          <w:p w14:paraId="2690703D" w14:textId="77777777" w:rsidR="00D977EB" w:rsidRDefault="00D977EB">
            <w:pPr>
              <w:pStyle w:val="COMTabletext"/>
              <w:keepNext w:val="0"/>
            </w:pPr>
          </w:p>
        </w:tc>
        <w:tc>
          <w:tcPr>
            <w:tcW w:w="3119" w:type="pct"/>
            <w:tcBorders>
              <w:top w:val="nil"/>
              <w:bottom w:val="nil"/>
            </w:tcBorders>
            <w:vAlign w:val="center"/>
          </w:tcPr>
          <w:p w14:paraId="0E2E9A39" w14:textId="77777777" w:rsidR="00D977EB" w:rsidRPr="0098262F" w:rsidRDefault="00D977EB">
            <w:pPr>
              <w:pStyle w:val="COMTabletext"/>
              <w:keepNext w:val="0"/>
            </w:pPr>
            <w:r w:rsidRPr="00B068EE">
              <w:t>Mesa RA</w:t>
            </w:r>
            <w:r>
              <w:t xml:space="preserve"> Gotlib J, Gupta V,</w:t>
            </w:r>
            <w:r w:rsidRPr="00B068EE">
              <w:t xml:space="preserve"> et al. Effect of ruxolitinib therapy on myelofibrosis-related symptoms and other patient-reported outcomes in COMFORT-I: a randomized, double-blind, placebo-controlled trial.</w:t>
            </w:r>
          </w:p>
        </w:tc>
        <w:tc>
          <w:tcPr>
            <w:tcW w:w="1177" w:type="pct"/>
            <w:tcBorders>
              <w:top w:val="nil"/>
              <w:bottom w:val="nil"/>
            </w:tcBorders>
          </w:tcPr>
          <w:p w14:paraId="2CDF29D1" w14:textId="77777777" w:rsidR="00D977EB" w:rsidRPr="0098262F" w:rsidRDefault="00D977EB">
            <w:pPr>
              <w:pStyle w:val="COMTabletext"/>
              <w:keepNext w:val="0"/>
            </w:pPr>
            <w:r w:rsidRPr="00F27190">
              <w:rPr>
                <w:i/>
                <w:iCs/>
              </w:rPr>
              <w:t>J Clin Oncol</w:t>
            </w:r>
            <w:r>
              <w:t xml:space="preserve"> 2013; </w:t>
            </w:r>
            <w:r w:rsidRPr="00B068EE">
              <w:t>31</w:t>
            </w:r>
            <w:r>
              <w:t>(</w:t>
            </w:r>
            <w:r w:rsidRPr="00B068EE">
              <w:t>10</w:t>
            </w:r>
            <w:r>
              <w:t>)</w:t>
            </w:r>
            <w:r w:rsidRPr="00B068EE">
              <w:t>: 1285-1292.</w:t>
            </w:r>
          </w:p>
        </w:tc>
      </w:tr>
      <w:tr w:rsidR="00D977EB" w:rsidRPr="0098262F" w14:paraId="745BDD77" w14:textId="77777777">
        <w:tc>
          <w:tcPr>
            <w:tcW w:w="704" w:type="pct"/>
            <w:vMerge/>
            <w:vAlign w:val="center"/>
          </w:tcPr>
          <w:p w14:paraId="1853EC13" w14:textId="77777777" w:rsidR="00D977EB" w:rsidRDefault="00D977EB">
            <w:pPr>
              <w:pStyle w:val="COMTabletext"/>
              <w:keepNext w:val="0"/>
            </w:pPr>
          </w:p>
        </w:tc>
        <w:tc>
          <w:tcPr>
            <w:tcW w:w="3119" w:type="pct"/>
            <w:tcBorders>
              <w:top w:val="nil"/>
              <w:bottom w:val="nil"/>
            </w:tcBorders>
            <w:vAlign w:val="center"/>
          </w:tcPr>
          <w:p w14:paraId="66944348" w14:textId="77777777" w:rsidR="00D977EB" w:rsidRPr="0098262F" w:rsidRDefault="00D977EB">
            <w:pPr>
              <w:pStyle w:val="COMTabletext"/>
              <w:keepNext w:val="0"/>
            </w:pPr>
            <w:proofErr w:type="spellStart"/>
            <w:r w:rsidRPr="00EB0924">
              <w:t>Verstovsek</w:t>
            </w:r>
            <w:proofErr w:type="spellEnd"/>
            <w:r w:rsidRPr="00EB0924">
              <w:t xml:space="preserve"> S,</w:t>
            </w:r>
            <w:r>
              <w:t xml:space="preserve"> Mesa RA, Gotlib J,</w:t>
            </w:r>
            <w:r w:rsidRPr="00EB0924">
              <w:t xml:space="preserve"> et al. Efficacy, safety, and survival with ruxolitinib in patients with myelofibrosis: results of a median 3-year follow-up of COMFORT-I.</w:t>
            </w:r>
          </w:p>
        </w:tc>
        <w:tc>
          <w:tcPr>
            <w:tcW w:w="1177" w:type="pct"/>
            <w:tcBorders>
              <w:top w:val="nil"/>
              <w:bottom w:val="nil"/>
            </w:tcBorders>
          </w:tcPr>
          <w:p w14:paraId="60E60BB4" w14:textId="77777777" w:rsidR="00D977EB" w:rsidRPr="0098262F" w:rsidRDefault="00D977EB">
            <w:pPr>
              <w:pStyle w:val="COMTabletext"/>
              <w:keepNext w:val="0"/>
            </w:pPr>
            <w:r w:rsidRPr="00552292">
              <w:rPr>
                <w:i/>
                <w:iCs/>
              </w:rPr>
              <w:t>Haematologica</w:t>
            </w:r>
            <w:r w:rsidRPr="00EB0924">
              <w:t xml:space="preserve"> </w:t>
            </w:r>
            <w:r>
              <w:t xml:space="preserve">2015; </w:t>
            </w:r>
            <w:r w:rsidRPr="00EB0924">
              <w:t>100</w:t>
            </w:r>
            <w:r>
              <w:t>(</w:t>
            </w:r>
            <w:r w:rsidRPr="00EB0924">
              <w:t>4</w:t>
            </w:r>
            <w:r>
              <w:t>)</w:t>
            </w:r>
            <w:r w:rsidRPr="00EB0924">
              <w:t>: 479</w:t>
            </w:r>
            <w:r>
              <w:t>-488</w:t>
            </w:r>
            <w:r w:rsidRPr="00EB0924">
              <w:t>.</w:t>
            </w:r>
          </w:p>
        </w:tc>
      </w:tr>
      <w:tr w:rsidR="00D977EB" w:rsidRPr="0098262F" w14:paraId="5FFEF637" w14:textId="77777777">
        <w:tc>
          <w:tcPr>
            <w:tcW w:w="704" w:type="pct"/>
            <w:vMerge/>
            <w:vAlign w:val="center"/>
          </w:tcPr>
          <w:p w14:paraId="034C1FB6" w14:textId="77777777" w:rsidR="00D977EB" w:rsidRDefault="00D977EB">
            <w:pPr>
              <w:pStyle w:val="COMTabletext"/>
              <w:keepNext w:val="0"/>
            </w:pPr>
          </w:p>
        </w:tc>
        <w:tc>
          <w:tcPr>
            <w:tcW w:w="3119" w:type="pct"/>
            <w:tcBorders>
              <w:top w:val="nil"/>
              <w:bottom w:val="nil"/>
            </w:tcBorders>
            <w:vAlign w:val="center"/>
          </w:tcPr>
          <w:p w14:paraId="1A6937CD" w14:textId="77777777" w:rsidR="00D977EB" w:rsidRPr="0098262F" w:rsidRDefault="00D977EB">
            <w:pPr>
              <w:pStyle w:val="COMTabletext"/>
              <w:keepNext w:val="0"/>
            </w:pPr>
            <w:proofErr w:type="spellStart"/>
            <w:r w:rsidRPr="00BA645F">
              <w:t>Vannucchi</w:t>
            </w:r>
            <w:proofErr w:type="spellEnd"/>
            <w:r w:rsidRPr="00BA645F">
              <w:t xml:space="preserve"> </w:t>
            </w:r>
            <w:r>
              <w:t>A</w:t>
            </w:r>
            <w:r w:rsidRPr="00BA645F">
              <w:t>M,</w:t>
            </w:r>
            <w:r>
              <w:t xml:space="preserve"> Kantarjian HM, </w:t>
            </w:r>
            <w:proofErr w:type="spellStart"/>
            <w:r>
              <w:t>Kiladjian</w:t>
            </w:r>
            <w:proofErr w:type="spellEnd"/>
            <w:r w:rsidRPr="00BA645F">
              <w:t xml:space="preserve"> </w:t>
            </w:r>
            <w:r>
              <w:t xml:space="preserve">J-J, </w:t>
            </w:r>
            <w:r w:rsidRPr="00BA645F">
              <w:t>et al. A pooled analysis of overall survival in COMFORT-I and COMFORT-II, 2 randomized phase III trials of ruxolitinib for the treatment of myelofibrosis.</w:t>
            </w:r>
          </w:p>
        </w:tc>
        <w:tc>
          <w:tcPr>
            <w:tcW w:w="1177" w:type="pct"/>
            <w:tcBorders>
              <w:top w:val="nil"/>
              <w:bottom w:val="nil"/>
            </w:tcBorders>
          </w:tcPr>
          <w:p w14:paraId="518E6D2B" w14:textId="77777777" w:rsidR="00D977EB" w:rsidRPr="0098262F" w:rsidRDefault="00D977EB">
            <w:pPr>
              <w:pStyle w:val="COMTabletext"/>
              <w:keepNext w:val="0"/>
            </w:pPr>
            <w:r w:rsidRPr="00496DFD">
              <w:rPr>
                <w:i/>
                <w:iCs/>
              </w:rPr>
              <w:t>Haematologica</w:t>
            </w:r>
            <w:r>
              <w:rPr>
                <w:i/>
                <w:iCs/>
              </w:rPr>
              <w:t xml:space="preserve"> </w:t>
            </w:r>
            <w:r>
              <w:t>2015;</w:t>
            </w:r>
            <w:r w:rsidRPr="00BA645F">
              <w:t xml:space="preserve"> 100</w:t>
            </w:r>
            <w:r>
              <w:t>(</w:t>
            </w:r>
            <w:r w:rsidRPr="00BA645F">
              <w:t>9</w:t>
            </w:r>
            <w:r>
              <w:t>)</w:t>
            </w:r>
            <w:r w:rsidRPr="00BA645F">
              <w:t>: 1139</w:t>
            </w:r>
            <w:r>
              <w:t>-1145</w:t>
            </w:r>
            <w:r w:rsidRPr="00BA645F">
              <w:t>.</w:t>
            </w:r>
          </w:p>
        </w:tc>
      </w:tr>
      <w:tr w:rsidR="00D977EB" w:rsidRPr="0098262F" w14:paraId="09FFAF7D" w14:textId="77777777">
        <w:tc>
          <w:tcPr>
            <w:tcW w:w="704" w:type="pct"/>
            <w:vMerge/>
            <w:vAlign w:val="center"/>
          </w:tcPr>
          <w:p w14:paraId="533895E3" w14:textId="77777777" w:rsidR="00D977EB" w:rsidRDefault="00D977EB">
            <w:pPr>
              <w:pStyle w:val="COMTabletext"/>
              <w:keepNext w:val="0"/>
            </w:pPr>
          </w:p>
        </w:tc>
        <w:tc>
          <w:tcPr>
            <w:tcW w:w="3119" w:type="pct"/>
            <w:tcBorders>
              <w:top w:val="nil"/>
              <w:bottom w:val="nil"/>
            </w:tcBorders>
            <w:vAlign w:val="center"/>
          </w:tcPr>
          <w:p w14:paraId="3CDB139C" w14:textId="77777777" w:rsidR="00D977EB" w:rsidRPr="0098262F" w:rsidRDefault="00D977EB">
            <w:pPr>
              <w:pStyle w:val="COMTabletext"/>
              <w:keepNext w:val="0"/>
            </w:pPr>
            <w:proofErr w:type="spellStart"/>
            <w:r w:rsidRPr="008B1025">
              <w:t>Verstovsek</w:t>
            </w:r>
            <w:proofErr w:type="spellEnd"/>
            <w:r w:rsidRPr="008B1025">
              <w:t xml:space="preserve"> S,</w:t>
            </w:r>
            <w:r>
              <w:t xml:space="preserve"> Mesa RA, Gotlib J,</w:t>
            </w:r>
            <w:r w:rsidRPr="008B1025">
              <w:t xml:space="preserve"> et al. Long-term treatment with ruxolitinib for patients with myelofibrosis: 5-year update from the randomized, double-blind, placebo-controlled, phase 3 COMFORT-I trial.</w:t>
            </w:r>
          </w:p>
        </w:tc>
        <w:tc>
          <w:tcPr>
            <w:tcW w:w="1177" w:type="pct"/>
            <w:tcBorders>
              <w:top w:val="nil"/>
              <w:bottom w:val="nil"/>
            </w:tcBorders>
          </w:tcPr>
          <w:p w14:paraId="3B8C21F6" w14:textId="77777777" w:rsidR="00D977EB" w:rsidRPr="0098262F" w:rsidRDefault="00D977EB">
            <w:pPr>
              <w:pStyle w:val="COMTabletext"/>
              <w:keepNext w:val="0"/>
            </w:pPr>
            <w:r w:rsidRPr="000C4137">
              <w:t xml:space="preserve">J </w:t>
            </w:r>
            <w:proofErr w:type="spellStart"/>
            <w:r w:rsidRPr="000C4137">
              <w:t>Hematol</w:t>
            </w:r>
            <w:proofErr w:type="spellEnd"/>
            <w:r w:rsidRPr="000C4137">
              <w:t xml:space="preserve"> Oncol</w:t>
            </w:r>
            <w:r>
              <w:t xml:space="preserve"> </w:t>
            </w:r>
            <w:r w:rsidRPr="008B1025">
              <w:t>2017:</w:t>
            </w:r>
            <w:r>
              <w:t xml:space="preserve"> 10:55</w:t>
            </w:r>
            <w:r w:rsidRPr="008B1025">
              <w:t>.</w:t>
            </w:r>
          </w:p>
        </w:tc>
      </w:tr>
      <w:tr w:rsidR="00D977EB" w:rsidRPr="0098262F" w14:paraId="2322C0B9" w14:textId="77777777">
        <w:tc>
          <w:tcPr>
            <w:tcW w:w="704" w:type="pct"/>
            <w:vMerge/>
            <w:tcBorders>
              <w:bottom w:val="single" w:sz="4" w:space="0" w:color="auto"/>
            </w:tcBorders>
            <w:vAlign w:val="center"/>
          </w:tcPr>
          <w:p w14:paraId="30FC0F13" w14:textId="77777777" w:rsidR="00D977EB" w:rsidRPr="0098262F" w:rsidRDefault="00D977EB">
            <w:pPr>
              <w:pStyle w:val="COMTabletext"/>
              <w:keepNext w:val="0"/>
            </w:pPr>
          </w:p>
        </w:tc>
        <w:tc>
          <w:tcPr>
            <w:tcW w:w="3119" w:type="pct"/>
            <w:tcBorders>
              <w:top w:val="nil"/>
              <w:bottom w:val="single" w:sz="4" w:space="0" w:color="auto"/>
            </w:tcBorders>
            <w:vAlign w:val="center"/>
          </w:tcPr>
          <w:p w14:paraId="50DB1C60" w14:textId="77777777" w:rsidR="00D977EB" w:rsidRPr="0098262F" w:rsidRDefault="00D977EB">
            <w:pPr>
              <w:pStyle w:val="COMTabletext"/>
              <w:keepNext w:val="0"/>
            </w:pPr>
            <w:proofErr w:type="spellStart"/>
            <w:r w:rsidRPr="00BA645F">
              <w:t>Verstovsek</w:t>
            </w:r>
            <w:proofErr w:type="spellEnd"/>
            <w:r>
              <w:t xml:space="preserve"> S, Gotlib J, Mesa RA</w:t>
            </w:r>
            <w:r w:rsidRPr="00BA645F">
              <w:t xml:space="preserve">, et al. Long-term survival in patients treated with ruxolitinib for myelofibrosis: COMFORT-I and-II pooled analyses. </w:t>
            </w:r>
          </w:p>
        </w:tc>
        <w:tc>
          <w:tcPr>
            <w:tcW w:w="1177" w:type="pct"/>
            <w:tcBorders>
              <w:top w:val="nil"/>
              <w:bottom w:val="single" w:sz="4" w:space="0" w:color="auto"/>
            </w:tcBorders>
          </w:tcPr>
          <w:p w14:paraId="00DC6BDD" w14:textId="77777777" w:rsidR="00D977EB" w:rsidRPr="0098262F" w:rsidRDefault="00D977EB">
            <w:pPr>
              <w:pStyle w:val="COMTabletext"/>
              <w:keepNext w:val="0"/>
            </w:pPr>
            <w:r w:rsidRPr="000C4137">
              <w:rPr>
                <w:i/>
                <w:iCs/>
              </w:rPr>
              <w:t xml:space="preserve">J </w:t>
            </w:r>
            <w:proofErr w:type="spellStart"/>
            <w:r w:rsidRPr="000C4137">
              <w:rPr>
                <w:i/>
                <w:iCs/>
              </w:rPr>
              <w:t>Hematol</w:t>
            </w:r>
            <w:proofErr w:type="spellEnd"/>
            <w:r w:rsidRPr="000C4137">
              <w:rPr>
                <w:i/>
                <w:iCs/>
              </w:rPr>
              <w:t xml:space="preserve"> Oncol</w:t>
            </w:r>
            <w:r>
              <w:t xml:space="preserve"> 2017; </w:t>
            </w:r>
            <w:r w:rsidRPr="00BA645F">
              <w:t>10:</w:t>
            </w:r>
            <w:r>
              <w:t xml:space="preserve"> 15</w:t>
            </w:r>
            <w:r w:rsidRPr="00BA645F">
              <w:t>6.</w:t>
            </w:r>
          </w:p>
        </w:tc>
      </w:tr>
      <w:tr w:rsidR="00D977EB" w:rsidRPr="0098262F" w14:paraId="29B0C2D3" w14:textId="77777777">
        <w:tc>
          <w:tcPr>
            <w:tcW w:w="704" w:type="pct"/>
            <w:vMerge w:val="restart"/>
            <w:tcBorders>
              <w:top w:val="nil"/>
            </w:tcBorders>
            <w:vAlign w:val="center"/>
          </w:tcPr>
          <w:p w14:paraId="07483EF8" w14:textId="77777777" w:rsidR="00D977EB" w:rsidRPr="0098262F" w:rsidRDefault="00D977EB">
            <w:pPr>
              <w:pStyle w:val="COMTabletext"/>
              <w:keepNext w:val="0"/>
            </w:pPr>
            <w:r w:rsidRPr="00CD1B02">
              <w:t>COMFORT-I</w:t>
            </w:r>
            <w:r>
              <w:t>I</w:t>
            </w:r>
          </w:p>
        </w:tc>
        <w:tc>
          <w:tcPr>
            <w:tcW w:w="3119" w:type="pct"/>
            <w:tcBorders>
              <w:top w:val="nil"/>
              <w:bottom w:val="nil"/>
            </w:tcBorders>
            <w:vAlign w:val="center"/>
          </w:tcPr>
          <w:p w14:paraId="79A47330" w14:textId="77777777" w:rsidR="00D977EB" w:rsidRPr="0098262F" w:rsidRDefault="00D977EB">
            <w:pPr>
              <w:pStyle w:val="COMTabletext"/>
              <w:keepNext w:val="0"/>
            </w:pPr>
            <w:r w:rsidRPr="00BA645F">
              <w:t>Harrison C</w:t>
            </w:r>
            <w:r>
              <w:t xml:space="preserve">, </w:t>
            </w:r>
            <w:proofErr w:type="spellStart"/>
            <w:r>
              <w:t>Kiladjian</w:t>
            </w:r>
            <w:proofErr w:type="spellEnd"/>
            <w:r>
              <w:t xml:space="preserve"> J-J, Al-Ali HK</w:t>
            </w:r>
            <w:r w:rsidRPr="00BA645F">
              <w:t xml:space="preserve">, et al. JAK inhibition with ruxolitinib versus best available therapy for myelofibrosis. </w:t>
            </w:r>
          </w:p>
        </w:tc>
        <w:tc>
          <w:tcPr>
            <w:tcW w:w="1177" w:type="pct"/>
            <w:tcBorders>
              <w:top w:val="nil"/>
              <w:bottom w:val="nil"/>
            </w:tcBorders>
          </w:tcPr>
          <w:p w14:paraId="34E3FEBF" w14:textId="77777777" w:rsidR="00D977EB" w:rsidRPr="0098262F" w:rsidRDefault="00D977EB">
            <w:pPr>
              <w:pStyle w:val="COMTabletext"/>
              <w:keepNext w:val="0"/>
            </w:pPr>
            <w:r w:rsidRPr="0023441B">
              <w:rPr>
                <w:i/>
                <w:iCs/>
              </w:rPr>
              <w:t>N Engl J Med</w:t>
            </w:r>
            <w:r>
              <w:t xml:space="preserve"> 2012;</w:t>
            </w:r>
            <w:r w:rsidRPr="00BA645F">
              <w:t xml:space="preserve"> 366</w:t>
            </w:r>
            <w:r>
              <w:t>(</w:t>
            </w:r>
            <w:r w:rsidRPr="00BA645F">
              <w:t>9</w:t>
            </w:r>
            <w:r>
              <w:t>)</w:t>
            </w:r>
            <w:r w:rsidRPr="00BA645F">
              <w:t>: 787-798.</w:t>
            </w:r>
            <w:r w:rsidRPr="00BA645F">
              <w:tab/>
            </w:r>
          </w:p>
        </w:tc>
      </w:tr>
      <w:tr w:rsidR="00D977EB" w:rsidRPr="0098262F" w14:paraId="78FC04A1" w14:textId="77777777">
        <w:tc>
          <w:tcPr>
            <w:tcW w:w="704" w:type="pct"/>
            <w:vMerge/>
            <w:vAlign w:val="center"/>
          </w:tcPr>
          <w:p w14:paraId="7D2EDF88" w14:textId="77777777" w:rsidR="00D977EB" w:rsidRPr="0098262F" w:rsidRDefault="00D977EB">
            <w:pPr>
              <w:pStyle w:val="COMTabletext"/>
              <w:keepNext w:val="0"/>
            </w:pPr>
          </w:p>
        </w:tc>
        <w:tc>
          <w:tcPr>
            <w:tcW w:w="3119" w:type="pct"/>
            <w:tcBorders>
              <w:top w:val="nil"/>
              <w:bottom w:val="nil"/>
            </w:tcBorders>
            <w:vAlign w:val="center"/>
          </w:tcPr>
          <w:p w14:paraId="0A425E2B" w14:textId="77777777" w:rsidR="00D977EB" w:rsidRPr="0098262F" w:rsidRDefault="00D977EB">
            <w:pPr>
              <w:pStyle w:val="COMTabletext"/>
              <w:keepNext w:val="0"/>
            </w:pPr>
            <w:r w:rsidRPr="00BA645F">
              <w:t>Harrison CN,</w:t>
            </w:r>
            <w:r>
              <w:t xml:space="preserve"> Mesa RA, </w:t>
            </w:r>
            <w:proofErr w:type="spellStart"/>
            <w:r>
              <w:t>Kiladjian</w:t>
            </w:r>
            <w:proofErr w:type="spellEnd"/>
            <w:r>
              <w:t xml:space="preserve"> J-J,</w:t>
            </w:r>
            <w:r w:rsidRPr="00BA645F">
              <w:t xml:space="preserve"> et al. Health</w:t>
            </w:r>
            <w:r w:rsidRPr="00BA645F">
              <w:rPr>
                <w:rFonts w:ascii="Cambria Math" w:hAnsi="Cambria Math" w:cs="Cambria Math"/>
              </w:rPr>
              <w:t>‐</w:t>
            </w:r>
            <w:r w:rsidRPr="00BA645F">
              <w:t>related quality of life and symptoms in patients with myelofibrosis treated with ruxolitinib versus best available therapy.</w:t>
            </w:r>
          </w:p>
        </w:tc>
        <w:tc>
          <w:tcPr>
            <w:tcW w:w="1177" w:type="pct"/>
            <w:tcBorders>
              <w:top w:val="nil"/>
              <w:bottom w:val="nil"/>
            </w:tcBorders>
          </w:tcPr>
          <w:p w14:paraId="2F23518B" w14:textId="77777777" w:rsidR="00D977EB" w:rsidRPr="0098262F" w:rsidRDefault="00D977EB">
            <w:pPr>
              <w:pStyle w:val="COMTabletext"/>
              <w:keepNext w:val="0"/>
            </w:pPr>
            <w:r w:rsidRPr="00546394">
              <w:rPr>
                <w:i/>
                <w:iCs/>
              </w:rPr>
              <w:t>British J Haematology</w:t>
            </w:r>
            <w:r w:rsidRPr="00BA645F">
              <w:t xml:space="preserve"> </w:t>
            </w:r>
            <w:r>
              <w:t xml:space="preserve">2013; </w:t>
            </w:r>
            <w:r w:rsidRPr="00BA645F">
              <w:t>162</w:t>
            </w:r>
            <w:r>
              <w:t>(</w:t>
            </w:r>
            <w:r w:rsidRPr="00BA645F">
              <w:t>2</w:t>
            </w:r>
            <w:r>
              <w:t>)</w:t>
            </w:r>
            <w:r w:rsidRPr="00BA645F">
              <w:t>: 229-239.</w:t>
            </w:r>
          </w:p>
        </w:tc>
      </w:tr>
      <w:tr w:rsidR="00D977EB" w:rsidRPr="0098262F" w14:paraId="10D09ADF" w14:textId="77777777">
        <w:tc>
          <w:tcPr>
            <w:tcW w:w="704" w:type="pct"/>
            <w:vMerge/>
            <w:vAlign w:val="center"/>
          </w:tcPr>
          <w:p w14:paraId="774A8B19" w14:textId="77777777" w:rsidR="00D977EB" w:rsidRPr="0098262F" w:rsidRDefault="00D977EB">
            <w:pPr>
              <w:pStyle w:val="COMTabletext"/>
              <w:keepNext w:val="0"/>
            </w:pPr>
          </w:p>
        </w:tc>
        <w:tc>
          <w:tcPr>
            <w:tcW w:w="3119" w:type="pct"/>
            <w:tcBorders>
              <w:top w:val="nil"/>
              <w:bottom w:val="nil"/>
            </w:tcBorders>
            <w:vAlign w:val="center"/>
          </w:tcPr>
          <w:p w14:paraId="01C72C9B" w14:textId="77777777" w:rsidR="00D977EB" w:rsidRPr="0098262F" w:rsidRDefault="00D977EB">
            <w:pPr>
              <w:pStyle w:val="COMTabletext"/>
              <w:keepNext w:val="0"/>
            </w:pPr>
            <w:r w:rsidRPr="00BA645F">
              <w:t>Cervantes F,</w:t>
            </w:r>
            <w:r>
              <w:t xml:space="preserve"> </w:t>
            </w:r>
            <w:proofErr w:type="spellStart"/>
            <w:r>
              <w:t>Vannucchi</w:t>
            </w:r>
            <w:proofErr w:type="spellEnd"/>
            <w:r>
              <w:t xml:space="preserve"> AM, </w:t>
            </w:r>
            <w:proofErr w:type="spellStart"/>
            <w:r>
              <w:t>Kiladjian</w:t>
            </w:r>
            <w:proofErr w:type="spellEnd"/>
            <w:r>
              <w:t xml:space="preserve"> J-J,</w:t>
            </w:r>
            <w:r w:rsidRPr="00BA645F">
              <w:t xml:space="preserve"> et al. Three-year efficacy, safety, and survival findings from COMFORT-II, a phase 3 study comparing ruxolitinib with best available therapy for myelofibrosis.</w:t>
            </w:r>
          </w:p>
        </w:tc>
        <w:tc>
          <w:tcPr>
            <w:tcW w:w="1177" w:type="pct"/>
            <w:tcBorders>
              <w:top w:val="nil"/>
              <w:bottom w:val="nil"/>
            </w:tcBorders>
          </w:tcPr>
          <w:p w14:paraId="5106E6C9" w14:textId="77777777" w:rsidR="00D977EB" w:rsidRPr="0098262F" w:rsidRDefault="00D977EB">
            <w:pPr>
              <w:pStyle w:val="COMTabletext"/>
              <w:keepNext w:val="0"/>
            </w:pPr>
            <w:r w:rsidRPr="00E80083">
              <w:rPr>
                <w:i/>
                <w:iCs/>
              </w:rPr>
              <w:t>Blood</w:t>
            </w:r>
            <w:r>
              <w:t xml:space="preserve"> 2013; </w:t>
            </w:r>
            <w:r w:rsidRPr="00BA645F">
              <w:t>122</w:t>
            </w:r>
            <w:r>
              <w:t>(</w:t>
            </w:r>
            <w:r w:rsidRPr="00BA645F">
              <w:t>25</w:t>
            </w:r>
            <w:r>
              <w:t>)</w:t>
            </w:r>
            <w:r w:rsidRPr="00BA645F">
              <w:t>: 4047-4053.</w:t>
            </w:r>
          </w:p>
        </w:tc>
      </w:tr>
      <w:tr w:rsidR="00D977EB" w:rsidRPr="0098262F" w14:paraId="0899BA3B" w14:textId="77777777">
        <w:tc>
          <w:tcPr>
            <w:tcW w:w="704" w:type="pct"/>
            <w:vMerge/>
            <w:vAlign w:val="center"/>
          </w:tcPr>
          <w:p w14:paraId="2DD20C11" w14:textId="77777777" w:rsidR="00D977EB" w:rsidRPr="0098262F" w:rsidRDefault="00D977EB">
            <w:pPr>
              <w:pStyle w:val="COMTabletext"/>
              <w:keepNext w:val="0"/>
            </w:pPr>
          </w:p>
        </w:tc>
        <w:tc>
          <w:tcPr>
            <w:tcW w:w="3119" w:type="pct"/>
            <w:tcBorders>
              <w:top w:val="nil"/>
              <w:bottom w:val="nil"/>
            </w:tcBorders>
            <w:vAlign w:val="center"/>
          </w:tcPr>
          <w:p w14:paraId="6E25C4B6" w14:textId="77777777" w:rsidR="00D977EB" w:rsidRPr="0098262F" w:rsidRDefault="00D977EB">
            <w:pPr>
              <w:pStyle w:val="COMTabletext"/>
              <w:keepNext w:val="0"/>
            </w:pPr>
            <w:proofErr w:type="spellStart"/>
            <w:r w:rsidRPr="00BA645F">
              <w:t>Vannucchi</w:t>
            </w:r>
            <w:proofErr w:type="spellEnd"/>
            <w:r w:rsidRPr="00BA645F">
              <w:t xml:space="preserve"> </w:t>
            </w:r>
            <w:r>
              <w:t>A</w:t>
            </w:r>
            <w:r w:rsidRPr="00BA645F">
              <w:t>M,</w:t>
            </w:r>
            <w:r>
              <w:t xml:space="preserve"> Kantarjian HM, </w:t>
            </w:r>
            <w:proofErr w:type="spellStart"/>
            <w:r>
              <w:t>Kiladjian</w:t>
            </w:r>
            <w:proofErr w:type="spellEnd"/>
            <w:r w:rsidRPr="00BA645F">
              <w:t xml:space="preserve"> </w:t>
            </w:r>
            <w:r>
              <w:t xml:space="preserve">J-J, </w:t>
            </w:r>
            <w:r w:rsidRPr="00BA645F">
              <w:t>et al. A pooled analysis of overall survival in COMFORT-I and COMFORT-II, 2 randomized phase III trials of ruxolitinib for the treatment of myelofibrosis.</w:t>
            </w:r>
          </w:p>
        </w:tc>
        <w:tc>
          <w:tcPr>
            <w:tcW w:w="1177" w:type="pct"/>
            <w:tcBorders>
              <w:top w:val="nil"/>
              <w:bottom w:val="nil"/>
            </w:tcBorders>
          </w:tcPr>
          <w:p w14:paraId="39F86078" w14:textId="77777777" w:rsidR="00D977EB" w:rsidRPr="0098262F" w:rsidRDefault="00D977EB">
            <w:pPr>
              <w:pStyle w:val="COMTabletext"/>
              <w:keepNext w:val="0"/>
            </w:pPr>
            <w:r w:rsidRPr="00496DFD">
              <w:rPr>
                <w:i/>
                <w:iCs/>
              </w:rPr>
              <w:t>Haematologica</w:t>
            </w:r>
            <w:r>
              <w:rPr>
                <w:i/>
                <w:iCs/>
              </w:rPr>
              <w:t xml:space="preserve"> </w:t>
            </w:r>
            <w:r>
              <w:t>2015;</w:t>
            </w:r>
            <w:r w:rsidRPr="00BA645F">
              <w:t xml:space="preserve"> 100</w:t>
            </w:r>
            <w:r>
              <w:t>(</w:t>
            </w:r>
            <w:r w:rsidRPr="00BA645F">
              <w:t>9</w:t>
            </w:r>
            <w:r>
              <w:t>)</w:t>
            </w:r>
            <w:r w:rsidRPr="00BA645F">
              <w:t>: 1139</w:t>
            </w:r>
            <w:r>
              <w:t>-1145</w:t>
            </w:r>
            <w:r w:rsidRPr="00BA645F">
              <w:t>.</w:t>
            </w:r>
          </w:p>
        </w:tc>
      </w:tr>
      <w:tr w:rsidR="00D977EB" w:rsidRPr="0098262F" w14:paraId="7366EEEF" w14:textId="77777777">
        <w:tc>
          <w:tcPr>
            <w:tcW w:w="704" w:type="pct"/>
            <w:vMerge/>
            <w:vAlign w:val="center"/>
          </w:tcPr>
          <w:p w14:paraId="0C8A2CB9" w14:textId="77777777" w:rsidR="00D977EB" w:rsidRPr="0098262F" w:rsidRDefault="00D977EB">
            <w:pPr>
              <w:pStyle w:val="COMTabletext"/>
              <w:keepNext w:val="0"/>
            </w:pPr>
          </w:p>
        </w:tc>
        <w:tc>
          <w:tcPr>
            <w:tcW w:w="3119" w:type="pct"/>
            <w:tcBorders>
              <w:top w:val="nil"/>
              <w:bottom w:val="nil"/>
            </w:tcBorders>
            <w:vAlign w:val="center"/>
          </w:tcPr>
          <w:p w14:paraId="2BE26D08" w14:textId="77777777" w:rsidR="00D977EB" w:rsidRPr="0098262F" w:rsidRDefault="00D977EB">
            <w:pPr>
              <w:pStyle w:val="COMTabletext"/>
              <w:keepNext w:val="0"/>
            </w:pPr>
            <w:r w:rsidRPr="00BA645F">
              <w:t>Harrison CN,</w:t>
            </w:r>
            <w:r>
              <w:t xml:space="preserve"> </w:t>
            </w:r>
            <w:proofErr w:type="spellStart"/>
            <w:r>
              <w:t>Vannucchi</w:t>
            </w:r>
            <w:proofErr w:type="spellEnd"/>
            <w:r>
              <w:t xml:space="preserve"> AM, </w:t>
            </w:r>
            <w:proofErr w:type="spellStart"/>
            <w:r>
              <w:t>Kiladjian</w:t>
            </w:r>
            <w:proofErr w:type="spellEnd"/>
            <w:r>
              <w:t xml:space="preserve"> J-J,</w:t>
            </w:r>
            <w:r w:rsidRPr="00BA645F">
              <w:t xml:space="preserve"> et al. Long-term findings from COMFORT-II, a phase 3 study of ruxolitinib vs best available therapy for myelofibrosis.</w:t>
            </w:r>
          </w:p>
        </w:tc>
        <w:tc>
          <w:tcPr>
            <w:tcW w:w="1177" w:type="pct"/>
            <w:tcBorders>
              <w:top w:val="nil"/>
              <w:bottom w:val="nil"/>
            </w:tcBorders>
          </w:tcPr>
          <w:p w14:paraId="287D8BBF" w14:textId="77777777" w:rsidR="00D977EB" w:rsidRPr="0098262F" w:rsidRDefault="00D977EB">
            <w:pPr>
              <w:pStyle w:val="COMTabletext"/>
              <w:keepNext w:val="0"/>
            </w:pPr>
            <w:r w:rsidRPr="001F32C1">
              <w:rPr>
                <w:i/>
                <w:iCs/>
              </w:rPr>
              <w:t xml:space="preserve">Leukemia </w:t>
            </w:r>
            <w:r>
              <w:t xml:space="preserve">2016; </w:t>
            </w:r>
            <w:r w:rsidRPr="00BA645F">
              <w:t>30</w:t>
            </w:r>
            <w:r>
              <w:t>(</w:t>
            </w:r>
            <w:r w:rsidRPr="00BA645F">
              <w:t>8</w:t>
            </w:r>
            <w:r>
              <w:t>):</w:t>
            </w:r>
            <w:r w:rsidRPr="00BA645F">
              <w:t xml:space="preserve"> 1701-1707.</w:t>
            </w:r>
          </w:p>
        </w:tc>
      </w:tr>
      <w:tr w:rsidR="00D977EB" w:rsidRPr="0098262F" w14:paraId="0028CE14" w14:textId="77777777">
        <w:tc>
          <w:tcPr>
            <w:tcW w:w="704" w:type="pct"/>
            <w:vMerge/>
            <w:tcBorders>
              <w:bottom w:val="single" w:sz="4" w:space="0" w:color="auto"/>
            </w:tcBorders>
            <w:vAlign w:val="center"/>
          </w:tcPr>
          <w:p w14:paraId="4EE92AC7" w14:textId="77777777" w:rsidR="00D977EB" w:rsidRPr="0098262F" w:rsidRDefault="00D977EB">
            <w:pPr>
              <w:pStyle w:val="COMTabletext"/>
              <w:keepNext w:val="0"/>
            </w:pPr>
          </w:p>
        </w:tc>
        <w:tc>
          <w:tcPr>
            <w:tcW w:w="3119" w:type="pct"/>
            <w:tcBorders>
              <w:top w:val="nil"/>
              <w:bottom w:val="single" w:sz="4" w:space="0" w:color="auto"/>
            </w:tcBorders>
            <w:vAlign w:val="center"/>
          </w:tcPr>
          <w:p w14:paraId="621AFA1E" w14:textId="77777777" w:rsidR="00D977EB" w:rsidRPr="0098262F" w:rsidRDefault="00D977EB">
            <w:pPr>
              <w:pStyle w:val="COMTabletext"/>
              <w:keepNext w:val="0"/>
            </w:pPr>
            <w:proofErr w:type="spellStart"/>
            <w:r w:rsidRPr="00BA645F">
              <w:t>Verstovsek</w:t>
            </w:r>
            <w:proofErr w:type="spellEnd"/>
            <w:r>
              <w:t xml:space="preserve"> S, Gotlib J, Mesa RA</w:t>
            </w:r>
            <w:r w:rsidRPr="00BA645F">
              <w:t xml:space="preserve">, et al. Long-term survival in patients treated with ruxolitinib for myelofibrosis: COMFORT-I and-II pooled analyses. </w:t>
            </w:r>
          </w:p>
        </w:tc>
        <w:tc>
          <w:tcPr>
            <w:tcW w:w="1177" w:type="pct"/>
            <w:tcBorders>
              <w:top w:val="nil"/>
              <w:bottom w:val="single" w:sz="4" w:space="0" w:color="auto"/>
            </w:tcBorders>
          </w:tcPr>
          <w:p w14:paraId="3FFA4B55" w14:textId="77777777" w:rsidR="00D977EB" w:rsidRPr="0098262F" w:rsidRDefault="00D977EB">
            <w:pPr>
              <w:pStyle w:val="COMTabletext"/>
              <w:keepNext w:val="0"/>
            </w:pPr>
            <w:r w:rsidRPr="000C4137">
              <w:rPr>
                <w:i/>
                <w:iCs/>
              </w:rPr>
              <w:t xml:space="preserve">J </w:t>
            </w:r>
            <w:proofErr w:type="spellStart"/>
            <w:r w:rsidRPr="000C4137">
              <w:rPr>
                <w:i/>
                <w:iCs/>
              </w:rPr>
              <w:t>Hematol</w:t>
            </w:r>
            <w:proofErr w:type="spellEnd"/>
            <w:r w:rsidRPr="000C4137">
              <w:rPr>
                <w:i/>
                <w:iCs/>
              </w:rPr>
              <w:t xml:space="preserve"> Oncol</w:t>
            </w:r>
            <w:r>
              <w:t xml:space="preserve"> 2017; </w:t>
            </w:r>
            <w:r w:rsidRPr="00BA645F">
              <w:t>10:</w:t>
            </w:r>
            <w:r>
              <w:t xml:space="preserve"> 15</w:t>
            </w:r>
            <w:r w:rsidRPr="00BA645F">
              <w:t>6.</w:t>
            </w:r>
          </w:p>
        </w:tc>
      </w:tr>
      <w:tr w:rsidR="00D977EB" w:rsidRPr="0098262F" w14:paraId="60B9E972" w14:textId="77777777">
        <w:tc>
          <w:tcPr>
            <w:tcW w:w="704" w:type="pct"/>
            <w:vMerge w:val="restart"/>
            <w:tcBorders>
              <w:top w:val="single" w:sz="4" w:space="0" w:color="auto"/>
            </w:tcBorders>
            <w:vAlign w:val="center"/>
          </w:tcPr>
          <w:p w14:paraId="387692B5" w14:textId="77777777" w:rsidR="00D977EB" w:rsidRPr="0098262F" w:rsidRDefault="00D977EB">
            <w:pPr>
              <w:pStyle w:val="COMTabletext"/>
              <w:keepNext w:val="0"/>
            </w:pPr>
            <w:r>
              <w:t>JUMP</w:t>
            </w:r>
          </w:p>
        </w:tc>
        <w:tc>
          <w:tcPr>
            <w:tcW w:w="3119" w:type="pct"/>
            <w:tcBorders>
              <w:top w:val="single" w:sz="4" w:space="0" w:color="auto"/>
              <w:bottom w:val="nil"/>
            </w:tcBorders>
            <w:vAlign w:val="center"/>
          </w:tcPr>
          <w:p w14:paraId="37E7017F" w14:textId="77777777" w:rsidR="00D977EB" w:rsidRPr="0098262F" w:rsidRDefault="00D977EB">
            <w:pPr>
              <w:pStyle w:val="COMTabletext"/>
              <w:keepNext w:val="0"/>
            </w:pPr>
            <w:r w:rsidRPr="00E444EB">
              <w:t>Al-Ali HK,</w:t>
            </w:r>
            <w:r>
              <w:t xml:space="preserve"> </w:t>
            </w:r>
            <w:proofErr w:type="spellStart"/>
            <w:r>
              <w:t>Griesshammer</w:t>
            </w:r>
            <w:proofErr w:type="spellEnd"/>
            <w:r>
              <w:t xml:space="preserve"> M, le Coutre P,</w:t>
            </w:r>
            <w:r w:rsidRPr="00E444EB">
              <w:t xml:space="preserve"> et al. Safety and efficacy of ruxolitinib in an open-label, multicenter, single-arm phase 3b expanded-access study in patients with myelofibrosis: a snapshot of 1144 patients in the JUMP trial.</w:t>
            </w:r>
          </w:p>
        </w:tc>
        <w:tc>
          <w:tcPr>
            <w:tcW w:w="1177" w:type="pct"/>
            <w:tcBorders>
              <w:top w:val="single" w:sz="4" w:space="0" w:color="auto"/>
              <w:bottom w:val="nil"/>
            </w:tcBorders>
          </w:tcPr>
          <w:p w14:paraId="343141E6" w14:textId="77777777" w:rsidR="00D977EB" w:rsidRPr="0098262F" w:rsidRDefault="00D977EB">
            <w:pPr>
              <w:pStyle w:val="COMTabletext"/>
              <w:keepNext w:val="0"/>
            </w:pPr>
            <w:r w:rsidRPr="00496DFD">
              <w:rPr>
                <w:i/>
                <w:iCs/>
              </w:rPr>
              <w:t>Haematologica</w:t>
            </w:r>
            <w:r w:rsidRPr="00E444EB">
              <w:t xml:space="preserve"> </w:t>
            </w:r>
            <w:r>
              <w:t xml:space="preserve">2016; </w:t>
            </w:r>
            <w:r w:rsidRPr="00E444EB">
              <w:t>101</w:t>
            </w:r>
            <w:r>
              <w:t>(</w:t>
            </w:r>
            <w:r w:rsidRPr="00E444EB">
              <w:t>9</w:t>
            </w:r>
            <w:r>
              <w:t>)</w:t>
            </w:r>
            <w:r w:rsidRPr="00E444EB">
              <w:t>: 1065.</w:t>
            </w:r>
          </w:p>
        </w:tc>
      </w:tr>
      <w:tr w:rsidR="00D977EB" w:rsidRPr="0098262F" w14:paraId="28B30BF4" w14:textId="77777777" w:rsidTr="00FB063F">
        <w:tc>
          <w:tcPr>
            <w:tcW w:w="704" w:type="pct"/>
            <w:vMerge/>
            <w:tcBorders>
              <w:bottom w:val="single" w:sz="4" w:space="0" w:color="auto"/>
            </w:tcBorders>
            <w:vAlign w:val="center"/>
          </w:tcPr>
          <w:p w14:paraId="573DB2E6" w14:textId="77777777" w:rsidR="00D977EB" w:rsidRDefault="00D977EB">
            <w:pPr>
              <w:pStyle w:val="COMTabletext"/>
              <w:keepNext w:val="0"/>
            </w:pPr>
          </w:p>
        </w:tc>
        <w:tc>
          <w:tcPr>
            <w:tcW w:w="3119" w:type="pct"/>
            <w:tcBorders>
              <w:top w:val="nil"/>
              <w:bottom w:val="single" w:sz="4" w:space="0" w:color="auto"/>
            </w:tcBorders>
            <w:vAlign w:val="center"/>
          </w:tcPr>
          <w:p w14:paraId="7504FE63" w14:textId="77777777" w:rsidR="00D977EB" w:rsidRPr="0098262F" w:rsidRDefault="00D977EB">
            <w:pPr>
              <w:pStyle w:val="COMTabletext"/>
              <w:keepNext w:val="0"/>
            </w:pPr>
            <w:r w:rsidRPr="00E444EB">
              <w:t>Al</w:t>
            </w:r>
            <w:r w:rsidRPr="00E444EB">
              <w:rPr>
                <w:rFonts w:ascii="Cambria Math" w:hAnsi="Cambria Math" w:cs="Cambria Math"/>
              </w:rPr>
              <w:t>‐</w:t>
            </w:r>
            <w:r w:rsidRPr="00E444EB">
              <w:t>Ali HK,</w:t>
            </w:r>
            <w:r>
              <w:t xml:space="preserve"> </w:t>
            </w:r>
            <w:proofErr w:type="spellStart"/>
            <w:r>
              <w:t>Griesshammer</w:t>
            </w:r>
            <w:proofErr w:type="spellEnd"/>
            <w:r>
              <w:t xml:space="preserve"> M, Foltz L,</w:t>
            </w:r>
            <w:r w:rsidRPr="00E444EB">
              <w:t xml:space="preserve"> et al. Primary analysis of JUMP, a phase 3b, expanded</w:t>
            </w:r>
            <w:r w:rsidRPr="00E444EB">
              <w:rPr>
                <w:rFonts w:ascii="Cambria Math" w:hAnsi="Cambria Math" w:cs="Cambria Math"/>
              </w:rPr>
              <w:t>‐</w:t>
            </w:r>
            <w:r w:rsidRPr="00E444EB">
              <w:t xml:space="preserve">access study evaluating the safety and efficacy of ruxolitinib in patients with myelofibrosis, including those with low platelet counts. </w:t>
            </w:r>
          </w:p>
        </w:tc>
        <w:tc>
          <w:tcPr>
            <w:tcW w:w="1177" w:type="pct"/>
            <w:tcBorders>
              <w:top w:val="nil"/>
              <w:bottom w:val="single" w:sz="4" w:space="0" w:color="auto"/>
            </w:tcBorders>
          </w:tcPr>
          <w:p w14:paraId="5BA01E30" w14:textId="77777777" w:rsidR="00D977EB" w:rsidRPr="0098262F" w:rsidRDefault="00D977EB">
            <w:pPr>
              <w:pStyle w:val="COMTabletext"/>
              <w:keepNext w:val="0"/>
            </w:pPr>
            <w:r w:rsidRPr="00546394">
              <w:rPr>
                <w:i/>
                <w:iCs/>
              </w:rPr>
              <w:t>British J Haematology</w:t>
            </w:r>
            <w:r w:rsidRPr="00E444EB">
              <w:t xml:space="preserve"> </w:t>
            </w:r>
            <w:r>
              <w:t xml:space="preserve">2020; </w:t>
            </w:r>
            <w:r w:rsidRPr="00E444EB">
              <w:t>189</w:t>
            </w:r>
            <w:r>
              <w:t>(</w:t>
            </w:r>
            <w:r w:rsidRPr="00E444EB">
              <w:t>5): 888-903.</w:t>
            </w:r>
          </w:p>
        </w:tc>
      </w:tr>
      <w:tr w:rsidR="00D977EB" w:rsidRPr="0098262F" w14:paraId="058D39E6" w14:textId="77777777" w:rsidTr="00841D52">
        <w:tc>
          <w:tcPr>
            <w:tcW w:w="704" w:type="pct"/>
            <w:tcBorders>
              <w:top w:val="single" w:sz="4" w:space="0" w:color="auto"/>
              <w:bottom w:val="single" w:sz="4" w:space="0" w:color="auto"/>
            </w:tcBorders>
            <w:vAlign w:val="center"/>
          </w:tcPr>
          <w:p w14:paraId="77DE546C" w14:textId="77777777" w:rsidR="00D977EB" w:rsidRPr="0098262F" w:rsidRDefault="00D977EB">
            <w:pPr>
              <w:pStyle w:val="COMTabletext"/>
              <w:keepNext w:val="0"/>
            </w:pPr>
            <w:r>
              <w:t>ROBUST</w:t>
            </w:r>
          </w:p>
        </w:tc>
        <w:tc>
          <w:tcPr>
            <w:tcW w:w="3119" w:type="pct"/>
            <w:tcBorders>
              <w:top w:val="single" w:sz="4" w:space="0" w:color="auto"/>
              <w:bottom w:val="single" w:sz="4" w:space="0" w:color="auto"/>
            </w:tcBorders>
            <w:vAlign w:val="center"/>
          </w:tcPr>
          <w:p w14:paraId="2759A9B3" w14:textId="77777777" w:rsidR="00D977EB" w:rsidRPr="0098262F" w:rsidRDefault="00D977EB">
            <w:pPr>
              <w:pStyle w:val="COMTabletext"/>
              <w:keepNext w:val="0"/>
            </w:pPr>
            <w:r w:rsidRPr="00760A95">
              <w:t>Mead A</w:t>
            </w:r>
            <w:r>
              <w:t xml:space="preserve">J, </w:t>
            </w:r>
            <w:proofErr w:type="spellStart"/>
            <w:r>
              <w:t>Milojkovic</w:t>
            </w:r>
            <w:proofErr w:type="spellEnd"/>
            <w:r>
              <w:t xml:space="preserve"> D, Knapper S</w:t>
            </w:r>
            <w:r w:rsidRPr="00760A95">
              <w:t>, et al. Response to ruxolitinib in patients with intermediate</w:t>
            </w:r>
            <w:r w:rsidRPr="00760A95">
              <w:rPr>
                <w:rFonts w:ascii="Cambria Math" w:hAnsi="Cambria Math" w:cs="Cambria Math"/>
              </w:rPr>
              <w:t>‐</w:t>
            </w:r>
            <w:r w:rsidRPr="00760A95">
              <w:t>1</w:t>
            </w:r>
            <w:r w:rsidRPr="00760A95">
              <w:rPr>
                <w:rFonts w:cs="Arial Narrow"/>
              </w:rPr>
              <w:t>–</w:t>
            </w:r>
            <w:r w:rsidRPr="00760A95">
              <w:t>, intermediate</w:t>
            </w:r>
            <w:r w:rsidRPr="00760A95">
              <w:rPr>
                <w:rFonts w:ascii="Cambria Math" w:hAnsi="Cambria Math" w:cs="Cambria Math"/>
              </w:rPr>
              <w:t>‐</w:t>
            </w:r>
            <w:r w:rsidRPr="00760A95">
              <w:t>2</w:t>
            </w:r>
            <w:r w:rsidRPr="00760A95">
              <w:rPr>
                <w:rFonts w:cs="Arial Narrow"/>
              </w:rPr>
              <w:t>–</w:t>
            </w:r>
            <w:r w:rsidRPr="00760A95">
              <w:t>, and high</w:t>
            </w:r>
            <w:r w:rsidRPr="00760A95">
              <w:rPr>
                <w:rFonts w:ascii="Cambria Math" w:hAnsi="Cambria Math" w:cs="Cambria Math"/>
              </w:rPr>
              <w:t>‐</w:t>
            </w:r>
            <w:r w:rsidRPr="00760A95">
              <w:t>risk myelofibrosis: results of the UK ROBUST Trial.</w:t>
            </w:r>
          </w:p>
        </w:tc>
        <w:tc>
          <w:tcPr>
            <w:tcW w:w="1177" w:type="pct"/>
            <w:tcBorders>
              <w:top w:val="single" w:sz="4" w:space="0" w:color="auto"/>
              <w:bottom w:val="single" w:sz="4" w:space="0" w:color="auto"/>
            </w:tcBorders>
          </w:tcPr>
          <w:p w14:paraId="35CFF23F" w14:textId="77777777" w:rsidR="00D977EB" w:rsidRPr="0098262F" w:rsidRDefault="00D977EB">
            <w:pPr>
              <w:pStyle w:val="COMTabletext"/>
              <w:keepNext w:val="0"/>
            </w:pPr>
            <w:r w:rsidRPr="00546394">
              <w:rPr>
                <w:i/>
                <w:iCs/>
              </w:rPr>
              <w:t>British J Haematology</w:t>
            </w:r>
            <w:r>
              <w:t xml:space="preserve"> 2015; </w:t>
            </w:r>
            <w:r w:rsidRPr="00760A95">
              <w:t>170</w:t>
            </w:r>
            <w:r>
              <w:t>(</w:t>
            </w:r>
            <w:r w:rsidRPr="00760A95">
              <w:t>1</w:t>
            </w:r>
            <w:r>
              <w:t>):</w:t>
            </w:r>
            <w:r w:rsidRPr="00760A95">
              <w:t xml:space="preserve"> 29-39.</w:t>
            </w:r>
          </w:p>
        </w:tc>
      </w:tr>
      <w:tr w:rsidR="00FB063F" w:rsidRPr="0098262F" w14:paraId="265D4249" w14:textId="77777777" w:rsidTr="00841D52">
        <w:tc>
          <w:tcPr>
            <w:tcW w:w="704" w:type="pct"/>
            <w:tcBorders>
              <w:top w:val="single" w:sz="4" w:space="0" w:color="auto"/>
              <w:bottom w:val="single" w:sz="4" w:space="0" w:color="auto"/>
            </w:tcBorders>
            <w:vAlign w:val="center"/>
          </w:tcPr>
          <w:p w14:paraId="62BB53A5" w14:textId="39EEDCC1" w:rsidR="00FB063F" w:rsidRDefault="00FB063F">
            <w:pPr>
              <w:pStyle w:val="COMTabletext"/>
              <w:keepNext w:val="0"/>
            </w:pPr>
            <w:proofErr w:type="spellStart"/>
            <w:r>
              <w:t>Barosi</w:t>
            </w:r>
            <w:proofErr w:type="spellEnd"/>
            <w:r>
              <w:t xml:space="preserve"> 2012</w:t>
            </w:r>
          </w:p>
        </w:tc>
        <w:tc>
          <w:tcPr>
            <w:tcW w:w="3119" w:type="pct"/>
            <w:tcBorders>
              <w:top w:val="single" w:sz="4" w:space="0" w:color="auto"/>
              <w:bottom w:val="single" w:sz="4" w:space="0" w:color="auto"/>
            </w:tcBorders>
            <w:vAlign w:val="center"/>
          </w:tcPr>
          <w:p w14:paraId="4784C160" w14:textId="26798067" w:rsidR="00FB063F" w:rsidRPr="00760A95" w:rsidRDefault="00FC3C8D">
            <w:pPr>
              <w:pStyle w:val="COMTabletext"/>
              <w:keepNext w:val="0"/>
            </w:pPr>
            <w:proofErr w:type="spellStart"/>
            <w:r>
              <w:t>Barosi</w:t>
            </w:r>
            <w:proofErr w:type="spellEnd"/>
            <w:r>
              <w:t xml:space="preserve"> G, Agarwal M, Zweegman S, et al. An individual patient supply program for ruxolitinib for the treatment of patients with primary myelofibrosis (PMD), post-polycythemia vera myelofibrosis (P</w:t>
            </w:r>
            <w:r w:rsidR="003D7E40">
              <w:t>P</w:t>
            </w:r>
            <w:r w:rsidR="002131ED">
              <w:t>V-MF</w:t>
            </w:r>
            <w:r>
              <w:t>), or post-essential thrombocythemia myelofibrosis (PET-MF).</w:t>
            </w:r>
          </w:p>
        </w:tc>
        <w:tc>
          <w:tcPr>
            <w:tcW w:w="1177" w:type="pct"/>
            <w:tcBorders>
              <w:top w:val="single" w:sz="4" w:space="0" w:color="auto"/>
              <w:bottom w:val="single" w:sz="4" w:space="0" w:color="auto"/>
            </w:tcBorders>
          </w:tcPr>
          <w:p w14:paraId="4AFB50F2" w14:textId="44E7D486" w:rsidR="00FB063F" w:rsidRPr="00FC3C8D" w:rsidRDefault="00FC3C8D">
            <w:pPr>
              <w:pStyle w:val="COMTabletext"/>
              <w:keepNext w:val="0"/>
            </w:pPr>
            <w:r>
              <w:rPr>
                <w:i/>
                <w:iCs/>
              </w:rPr>
              <w:t>Blood</w:t>
            </w:r>
            <w:r>
              <w:t xml:space="preserve"> 2012; </w:t>
            </w:r>
            <w:r w:rsidR="00454710">
              <w:t>21:2844</w:t>
            </w:r>
          </w:p>
        </w:tc>
      </w:tr>
    </w:tbl>
    <w:p w14:paraId="15F2EC52" w14:textId="77777777" w:rsidR="00D977EB" w:rsidRDefault="00D977EB" w:rsidP="00D977EB">
      <w:pPr>
        <w:pStyle w:val="COMTablefooter"/>
      </w:pPr>
      <w:r w:rsidRPr="0098262F">
        <w:t>Source: Table</w:t>
      </w:r>
      <w:r>
        <w:t xml:space="preserve"> 10</w:t>
      </w:r>
      <w:r w:rsidRPr="0098262F">
        <w:t>, pp</w:t>
      </w:r>
      <w:r>
        <w:t>32-33; Table 11, p33</w:t>
      </w:r>
      <w:r w:rsidRPr="0098262F">
        <w:t xml:space="preserve"> of the </w:t>
      </w:r>
      <w:r>
        <w:t>re</w:t>
      </w:r>
      <w:r w:rsidRPr="0098262F">
        <w:t>submission.</w:t>
      </w:r>
    </w:p>
    <w:p w14:paraId="2360CF5F" w14:textId="55A67818" w:rsidR="00D977EB" w:rsidRPr="0098262F" w:rsidRDefault="00D977EB" w:rsidP="00D977EB">
      <w:pPr>
        <w:pStyle w:val="COMTablefooter"/>
        <w:rPr>
          <w:sz w:val="20"/>
        </w:rPr>
      </w:pPr>
      <w:r>
        <w:t xml:space="preserve">Note: Trials seen previously by the PBAC in the May 2025 consideration for fedratinib </w:t>
      </w:r>
      <w:r w:rsidRPr="00AE73ED">
        <w:t xml:space="preserve">are </w:t>
      </w:r>
      <w:r w:rsidR="00AE73ED" w:rsidRPr="00AE73ED">
        <w:t>shaded</w:t>
      </w:r>
      <w:r w:rsidR="00D673A9" w:rsidRPr="00AE73ED">
        <w:t xml:space="preserve"> in blue</w:t>
      </w:r>
      <w:r w:rsidRPr="00AE73ED">
        <w:t>.</w:t>
      </w:r>
    </w:p>
    <w:p w14:paraId="1DD06D7D" w14:textId="59C8577F" w:rsidR="007F1017" w:rsidRPr="0098262F" w:rsidRDefault="008F120A" w:rsidP="00EC5836">
      <w:pPr>
        <w:pStyle w:val="COMESnumberedpara"/>
        <w:rPr>
          <w:color w:val="0066FF"/>
        </w:rPr>
      </w:pPr>
      <w:r w:rsidRPr="0098262F">
        <w:t>The key features of the randomised trial</w:t>
      </w:r>
      <w:r w:rsidR="004016C6">
        <w:t>s</w:t>
      </w:r>
      <w:r w:rsidRPr="0098262F">
        <w:t xml:space="preserve">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0F0515" w:rsidRPr="0098262F">
        <w:t xml:space="preserve">Table </w:t>
      </w:r>
      <w:r w:rsidR="000F0515">
        <w:t>4</w:t>
      </w:r>
      <w:r w:rsidR="00D6076E" w:rsidRPr="0098262F">
        <w:fldChar w:fldCharType="end"/>
      </w:r>
      <w:r w:rsidRPr="0098262F">
        <w:t>.</w:t>
      </w:r>
    </w:p>
    <w:p w14:paraId="355E2F15" w14:textId="4103DC6B" w:rsidR="007F1017" w:rsidRPr="0098262F" w:rsidRDefault="00696EF9" w:rsidP="0066497C">
      <w:pPr>
        <w:pStyle w:val="COMTableFigurecaption"/>
      </w:pPr>
      <w:bookmarkStart w:id="20" w:name="_Ref104804098"/>
      <w:r w:rsidRPr="0098262F">
        <w:t xml:space="preserve">Table </w:t>
      </w:r>
      <w:r w:rsidR="0003298B">
        <w:fldChar w:fldCharType="begin"/>
      </w:r>
      <w:r w:rsidR="0003298B">
        <w:instrText xml:space="preserve"> SEQ Table \* ARABIC </w:instrText>
      </w:r>
      <w:r w:rsidR="0003298B">
        <w:fldChar w:fldCharType="separate"/>
      </w:r>
      <w:r w:rsidR="000F0515">
        <w:rPr>
          <w:noProof/>
        </w:rPr>
        <w:t>4</w:t>
      </w:r>
      <w:r w:rsidR="0003298B">
        <w:rPr>
          <w:noProof/>
        </w:rPr>
        <w:fldChar w:fldCharType="end"/>
      </w:r>
      <w:bookmarkEnd w:id="20"/>
      <w:r w:rsidR="00D6076E" w:rsidRPr="0098262F">
        <w:t xml:space="preserve">: </w:t>
      </w:r>
      <w:r w:rsidR="007F1017" w:rsidRPr="0098262F">
        <w:t>Key features of the included evidence</w:t>
      </w:r>
      <w:r w:rsidR="00B54184">
        <w:t xml:space="preserv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 indirect comparison"/>
      </w:tblPr>
      <w:tblGrid>
        <w:gridCol w:w="1286"/>
        <w:gridCol w:w="694"/>
        <w:gridCol w:w="2126"/>
        <w:gridCol w:w="851"/>
        <w:gridCol w:w="1984"/>
        <w:gridCol w:w="2076"/>
      </w:tblGrid>
      <w:tr w:rsidR="0064785F" w:rsidRPr="0098262F" w14:paraId="53DD7CC6" w14:textId="77777777" w:rsidTr="003B56C5">
        <w:trPr>
          <w:cantSplit/>
          <w:tblHeader/>
        </w:trPr>
        <w:tc>
          <w:tcPr>
            <w:tcW w:w="713" w:type="pct"/>
            <w:vAlign w:val="center"/>
          </w:tcPr>
          <w:p w14:paraId="794116BC" w14:textId="77777777" w:rsidR="0064785F" w:rsidRPr="0098262F" w:rsidRDefault="0064785F" w:rsidP="0066497C">
            <w:pPr>
              <w:pStyle w:val="COMTableheadingrow"/>
            </w:pPr>
            <w:r w:rsidRPr="0098262F">
              <w:t>Trial</w:t>
            </w:r>
          </w:p>
        </w:tc>
        <w:tc>
          <w:tcPr>
            <w:tcW w:w="385" w:type="pct"/>
            <w:vAlign w:val="center"/>
          </w:tcPr>
          <w:p w14:paraId="51122FE5" w14:textId="77777777" w:rsidR="0064785F" w:rsidRPr="0098262F" w:rsidRDefault="0064785F" w:rsidP="0066497C">
            <w:pPr>
              <w:pStyle w:val="COMTableheadingrow"/>
              <w:jc w:val="center"/>
            </w:pPr>
            <w:r w:rsidRPr="0098262F">
              <w:t>N</w:t>
            </w:r>
          </w:p>
        </w:tc>
        <w:tc>
          <w:tcPr>
            <w:tcW w:w="1179" w:type="pct"/>
            <w:vAlign w:val="center"/>
          </w:tcPr>
          <w:p w14:paraId="41C438EF" w14:textId="77777777" w:rsidR="0064785F" w:rsidRPr="0098262F" w:rsidRDefault="0064785F" w:rsidP="0066497C">
            <w:pPr>
              <w:pStyle w:val="COMTableheadingrow"/>
              <w:jc w:val="center"/>
            </w:pPr>
            <w:r w:rsidRPr="0098262F">
              <w:t>Design/ duration</w:t>
            </w:r>
          </w:p>
        </w:tc>
        <w:tc>
          <w:tcPr>
            <w:tcW w:w="472" w:type="pct"/>
            <w:vAlign w:val="center"/>
          </w:tcPr>
          <w:p w14:paraId="1FC91360" w14:textId="77777777" w:rsidR="0064785F" w:rsidRPr="0098262F" w:rsidRDefault="0064785F" w:rsidP="0066497C">
            <w:pPr>
              <w:pStyle w:val="COMTableheadingrow"/>
              <w:jc w:val="center"/>
            </w:pPr>
            <w:r w:rsidRPr="0098262F">
              <w:t>Risk of bias</w:t>
            </w:r>
          </w:p>
        </w:tc>
        <w:tc>
          <w:tcPr>
            <w:tcW w:w="1100" w:type="pct"/>
            <w:vAlign w:val="center"/>
          </w:tcPr>
          <w:p w14:paraId="7FF90896" w14:textId="77777777" w:rsidR="0064785F" w:rsidRPr="0098262F" w:rsidRDefault="0064785F" w:rsidP="0066497C">
            <w:pPr>
              <w:pStyle w:val="COMTableheadingrow"/>
              <w:jc w:val="center"/>
            </w:pPr>
            <w:r w:rsidRPr="0098262F">
              <w:t>Patient population</w:t>
            </w:r>
          </w:p>
        </w:tc>
        <w:tc>
          <w:tcPr>
            <w:tcW w:w="1151" w:type="pct"/>
            <w:vAlign w:val="center"/>
          </w:tcPr>
          <w:p w14:paraId="08C6F624" w14:textId="44F54F6B" w:rsidR="0064785F" w:rsidRPr="0098262F" w:rsidRDefault="00C33240" w:rsidP="00C33240">
            <w:pPr>
              <w:pStyle w:val="COMTableheadingrow"/>
              <w:jc w:val="center"/>
            </w:pPr>
            <w:r>
              <w:t>Key o</w:t>
            </w:r>
            <w:r w:rsidR="0064785F" w:rsidRPr="0098262F">
              <w:t>utcomes</w:t>
            </w:r>
          </w:p>
        </w:tc>
      </w:tr>
      <w:tr w:rsidR="007F1017" w:rsidRPr="0098262F" w14:paraId="2A03CD4B" w14:textId="77777777" w:rsidTr="00682BA6">
        <w:trPr>
          <w:cantSplit/>
        </w:trPr>
        <w:tc>
          <w:tcPr>
            <w:tcW w:w="5000" w:type="pct"/>
            <w:gridSpan w:val="6"/>
            <w:vAlign w:val="center"/>
          </w:tcPr>
          <w:p w14:paraId="73088C85" w14:textId="32394A8A" w:rsidR="007F1017" w:rsidRPr="0098262F" w:rsidRDefault="00583BC1" w:rsidP="00AA7BC2">
            <w:pPr>
              <w:pStyle w:val="COMTableheadingrow"/>
            </w:pPr>
            <w:r>
              <w:t xml:space="preserve">Fedratinib </w:t>
            </w:r>
            <w:r w:rsidR="00B54184">
              <w:t>vs. placebo</w:t>
            </w:r>
          </w:p>
        </w:tc>
      </w:tr>
      <w:tr w:rsidR="0064785F" w:rsidRPr="0098262F" w14:paraId="4EE88DCB" w14:textId="77777777" w:rsidTr="00AE73ED">
        <w:trPr>
          <w:cantSplit/>
        </w:trPr>
        <w:tc>
          <w:tcPr>
            <w:tcW w:w="713" w:type="pct"/>
            <w:shd w:val="clear" w:color="auto" w:fill="B8CCE4" w:themeFill="accent1" w:themeFillTint="66"/>
            <w:vAlign w:val="center"/>
          </w:tcPr>
          <w:p w14:paraId="6EE77D33" w14:textId="3355DF42" w:rsidR="0064785F" w:rsidRPr="00AE73ED" w:rsidRDefault="0064785F" w:rsidP="0064785F">
            <w:pPr>
              <w:pStyle w:val="COMTabletext"/>
            </w:pPr>
            <w:r w:rsidRPr="00AE73ED">
              <w:t>FREEDOM-2</w:t>
            </w:r>
          </w:p>
        </w:tc>
        <w:tc>
          <w:tcPr>
            <w:tcW w:w="385" w:type="pct"/>
            <w:shd w:val="clear" w:color="auto" w:fill="B8CCE4" w:themeFill="accent1" w:themeFillTint="66"/>
            <w:vAlign w:val="center"/>
          </w:tcPr>
          <w:p w14:paraId="41BB0E41" w14:textId="0062ADF0" w:rsidR="0064785F" w:rsidRPr="00AE73ED" w:rsidRDefault="0064785F" w:rsidP="0064785F">
            <w:pPr>
              <w:pStyle w:val="COMTabletext"/>
              <w:jc w:val="center"/>
            </w:pPr>
            <w:r w:rsidRPr="00AE73ED">
              <w:t>201</w:t>
            </w:r>
          </w:p>
        </w:tc>
        <w:tc>
          <w:tcPr>
            <w:tcW w:w="1179" w:type="pct"/>
            <w:shd w:val="clear" w:color="auto" w:fill="B8CCE4" w:themeFill="accent1" w:themeFillTint="66"/>
            <w:vAlign w:val="center"/>
          </w:tcPr>
          <w:p w14:paraId="744D08AC" w14:textId="12397620" w:rsidR="0064785F" w:rsidRPr="00AE73ED" w:rsidRDefault="0064785F" w:rsidP="003B56C5">
            <w:pPr>
              <w:pStyle w:val="COMTabletext"/>
            </w:pPr>
            <w:r w:rsidRPr="00AE73ED">
              <w:t xml:space="preserve">Phase 3, multicentre, randomised, open label trial; </w:t>
            </w:r>
            <w:r w:rsidR="00F93300" w:rsidRPr="00AE73ED">
              <w:t>24-week</w:t>
            </w:r>
            <w:r w:rsidRPr="00AE73ED">
              <w:t xml:space="preserve"> randomised period with ongoing follow-up</w:t>
            </w:r>
          </w:p>
        </w:tc>
        <w:tc>
          <w:tcPr>
            <w:tcW w:w="472" w:type="pct"/>
            <w:shd w:val="clear" w:color="auto" w:fill="B8CCE4" w:themeFill="accent1" w:themeFillTint="66"/>
            <w:vAlign w:val="center"/>
          </w:tcPr>
          <w:p w14:paraId="4A529D74" w14:textId="6F570186" w:rsidR="0064785F" w:rsidRPr="00AE73ED" w:rsidRDefault="0064785F" w:rsidP="0064785F">
            <w:pPr>
              <w:pStyle w:val="COMTabletext"/>
              <w:jc w:val="center"/>
            </w:pPr>
            <w:r w:rsidRPr="00AE73ED">
              <w:rPr>
                <w:i/>
                <w:iCs/>
              </w:rPr>
              <w:t>High</w:t>
            </w:r>
          </w:p>
        </w:tc>
        <w:tc>
          <w:tcPr>
            <w:tcW w:w="1100" w:type="pct"/>
            <w:shd w:val="clear" w:color="auto" w:fill="B8CCE4" w:themeFill="accent1" w:themeFillTint="66"/>
            <w:vAlign w:val="center"/>
          </w:tcPr>
          <w:p w14:paraId="5E6F456D" w14:textId="62CF900C" w:rsidR="0064785F" w:rsidRPr="00AE73ED" w:rsidRDefault="0064785F" w:rsidP="00210352">
            <w:pPr>
              <w:pStyle w:val="COMTabletext"/>
            </w:pPr>
            <w:r w:rsidRPr="00AE73ED">
              <w:t>Adults with high or intermediate-2 risk primary, post-</w:t>
            </w:r>
            <w:r w:rsidR="0091070A" w:rsidRPr="00AE73ED">
              <w:t>PV</w:t>
            </w:r>
            <w:r w:rsidRPr="00AE73ED">
              <w:t xml:space="preserve"> or post</w:t>
            </w:r>
            <w:r w:rsidR="00E61FCB" w:rsidRPr="00AE73ED">
              <w:t>-</w:t>
            </w:r>
            <w:r w:rsidR="0091070A" w:rsidRPr="00AE73ED">
              <w:t>ET</w:t>
            </w:r>
            <w:r w:rsidRPr="00AE73ED">
              <w:t xml:space="preserve"> myelofibrosis who were relapsed/refractory or intolerant to ruxolitinib.</w:t>
            </w:r>
          </w:p>
        </w:tc>
        <w:tc>
          <w:tcPr>
            <w:tcW w:w="1151" w:type="pct"/>
            <w:shd w:val="clear" w:color="auto" w:fill="B8CCE4" w:themeFill="accent1" w:themeFillTint="66"/>
            <w:vAlign w:val="center"/>
          </w:tcPr>
          <w:p w14:paraId="150A804C" w14:textId="0E30EA49" w:rsidR="0064785F" w:rsidRPr="00AE73ED" w:rsidRDefault="0064785F" w:rsidP="00210352">
            <w:pPr>
              <w:pStyle w:val="COMTabletext"/>
            </w:pPr>
            <w:r w:rsidRPr="00AE73ED">
              <w:t>Spleen volume response rate, MFSAF TSS response rate, quality of life, overall survival, safety</w:t>
            </w:r>
          </w:p>
        </w:tc>
      </w:tr>
      <w:tr w:rsidR="0064785F" w:rsidRPr="0098262F" w14:paraId="13A6895C" w14:textId="77777777" w:rsidTr="003B56C5">
        <w:trPr>
          <w:cantSplit/>
        </w:trPr>
        <w:tc>
          <w:tcPr>
            <w:tcW w:w="713" w:type="pct"/>
            <w:vAlign w:val="center"/>
          </w:tcPr>
          <w:p w14:paraId="4A9488B3" w14:textId="17FE19CC" w:rsidR="0064785F" w:rsidRPr="0098262F" w:rsidRDefault="0064785F" w:rsidP="00A0627C">
            <w:pPr>
              <w:pStyle w:val="COMTabletext"/>
            </w:pPr>
            <w:r>
              <w:t>JAKARTA</w:t>
            </w:r>
          </w:p>
        </w:tc>
        <w:tc>
          <w:tcPr>
            <w:tcW w:w="385" w:type="pct"/>
            <w:vAlign w:val="center"/>
          </w:tcPr>
          <w:p w14:paraId="3F4D20B5" w14:textId="72FC3001" w:rsidR="0064785F" w:rsidRPr="0098262F" w:rsidRDefault="00243480" w:rsidP="00243480">
            <w:pPr>
              <w:pStyle w:val="COMTabletext"/>
              <w:jc w:val="center"/>
            </w:pPr>
            <w:r>
              <w:t>289</w:t>
            </w:r>
          </w:p>
        </w:tc>
        <w:tc>
          <w:tcPr>
            <w:tcW w:w="1179" w:type="pct"/>
            <w:vAlign w:val="center"/>
          </w:tcPr>
          <w:p w14:paraId="68D92FE7" w14:textId="2EFAA2EC" w:rsidR="0064785F" w:rsidRPr="0098262F" w:rsidRDefault="005B11B3" w:rsidP="00A0627C">
            <w:pPr>
              <w:pStyle w:val="COMTabletext"/>
            </w:pPr>
            <w:r>
              <w:t>Phase 3, multicentre, double blind, 3 arm</w:t>
            </w:r>
            <w:r w:rsidR="00D7717D">
              <w:t>, placebo controlled</w:t>
            </w:r>
            <w:r>
              <w:t xml:space="preserve"> RCT; </w:t>
            </w:r>
            <w:r w:rsidR="00D7717D">
              <w:t>24 week randomised period with ongoing follow-up</w:t>
            </w:r>
          </w:p>
        </w:tc>
        <w:tc>
          <w:tcPr>
            <w:tcW w:w="472" w:type="pct"/>
            <w:vAlign w:val="center"/>
          </w:tcPr>
          <w:p w14:paraId="6F0F93F8" w14:textId="693244EA" w:rsidR="0064785F" w:rsidRPr="00F65D85" w:rsidRDefault="00F65D85" w:rsidP="00F65D85">
            <w:pPr>
              <w:pStyle w:val="COMTabletext"/>
              <w:jc w:val="center"/>
              <w:rPr>
                <w:i/>
                <w:iCs/>
              </w:rPr>
            </w:pPr>
            <w:r>
              <w:rPr>
                <w:i/>
                <w:iCs/>
              </w:rPr>
              <w:t>Unclear</w:t>
            </w:r>
          </w:p>
        </w:tc>
        <w:tc>
          <w:tcPr>
            <w:tcW w:w="1100" w:type="pct"/>
            <w:vAlign w:val="center"/>
          </w:tcPr>
          <w:p w14:paraId="43AC963E" w14:textId="4DC43851" w:rsidR="0064785F" w:rsidRPr="0098262F" w:rsidRDefault="00210352" w:rsidP="00A0627C">
            <w:pPr>
              <w:pStyle w:val="COMTabletext"/>
            </w:pPr>
            <w:r w:rsidRPr="00210352">
              <w:t>Adults with high or intermediate-2 risk primary, post-</w:t>
            </w:r>
            <w:r w:rsidR="0091070A">
              <w:t>PV</w:t>
            </w:r>
            <w:r w:rsidRPr="00210352">
              <w:t xml:space="preserve"> or post</w:t>
            </w:r>
            <w:r w:rsidR="00E61FCB">
              <w:t>-</w:t>
            </w:r>
            <w:r w:rsidR="0091070A">
              <w:t>ET</w:t>
            </w:r>
            <w:r w:rsidRPr="00210352">
              <w:t xml:space="preserve"> myelofibrosis who </w:t>
            </w:r>
            <w:r w:rsidR="00AE29A7">
              <w:t>had no prior JAK inhibitor treatment</w:t>
            </w:r>
          </w:p>
        </w:tc>
        <w:tc>
          <w:tcPr>
            <w:tcW w:w="1151" w:type="pct"/>
            <w:vAlign w:val="center"/>
          </w:tcPr>
          <w:p w14:paraId="3175EA34" w14:textId="7180FCC3" w:rsidR="0064785F" w:rsidRPr="0098262F" w:rsidRDefault="00210352" w:rsidP="00A0627C">
            <w:pPr>
              <w:pStyle w:val="COMTabletext"/>
            </w:pPr>
            <w:r w:rsidRPr="00210352">
              <w:t>Spleen volume response rate, MFSAF TSS response rate, quality of life, safety</w:t>
            </w:r>
          </w:p>
        </w:tc>
      </w:tr>
      <w:tr w:rsidR="0064785F" w:rsidRPr="0098262F" w14:paraId="66209DFB" w14:textId="77777777" w:rsidTr="0064785F">
        <w:trPr>
          <w:cantSplit/>
        </w:trPr>
        <w:tc>
          <w:tcPr>
            <w:tcW w:w="5000" w:type="pct"/>
            <w:gridSpan w:val="6"/>
            <w:vAlign w:val="center"/>
          </w:tcPr>
          <w:p w14:paraId="49CA04A2" w14:textId="16D2DCF0" w:rsidR="0064785F" w:rsidRPr="0098262F" w:rsidRDefault="0064785F" w:rsidP="0064785F">
            <w:pPr>
              <w:pStyle w:val="COMTableheadingrow"/>
            </w:pPr>
            <w:r>
              <w:t xml:space="preserve">Ruxolitinib </w:t>
            </w:r>
            <w:r w:rsidR="00B54184">
              <w:t>vs. placebo or best available therapy</w:t>
            </w:r>
          </w:p>
        </w:tc>
      </w:tr>
      <w:tr w:rsidR="0064785F" w:rsidRPr="0098262F" w14:paraId="6DAFAEAF" w14:textId="77777777" w:rsidTr="003B56C5">
        <w:trPr>
          <w:cantSplit/>
        </w:trPr>
        <w:tc>
          <w:tcPr>
            <w:tcW w:w="713" w:type="pct"/>
            <w:vAlign w:val="center"/>
          </w:tcPr>
          <w:p w14:paraId="76F0584C" w14:textId="04A3BB71" w:rsidR="0064785F" w:rsidRPr="0098262F" w:rsidRDefault="0064785F" w:rsidP="00A0627C">
            <w:pPr>
              <w:pStyle w:val="COMTabletext"/>
            </w:pPr>
            <w:r>
              <w:t>COMFORT-I</w:t>
            </w:r>
          </w:p>
        </w:tc>
        <w:tc>
          <w:tcPr>
            <w:tcW w:w="385" w:type="pct"/>
            <w:vAlign w:val="center"/>
          </w:tcPr>
          <w:p w14:paraId="7D785F8E" w14:textId="12E5A150" w:rsidR="0064785F" w:rsidRPr="0098262F" w:rsidRDefault="00243480" w:rsidP="00243480">
            <w:pPr>
              <w:pStyle w:val="COMTabletext"/>
              <w:jc w:val="center"/>
            </w:pPr>
            <w:r>
              <w:t>309</w:t>
            </w:r>
          </w:p>
        </w:tc>
        <w:tc>
          <w:tcPr>
            <w:tcW w:w="1179" w:type="pct"/>
            <w:vAlign w:val="center"/>
          </w:tcPr>
          <w:p w14:paraId="4F10C1AA" w14:textId="03777F16" w:rsidR="0064785F" w:rsidRPr="0098262F" w:rsidRDefault="00D7717D" w:rsidP="00A0627C">
            <w:pPr>
              <w:pStyle w:val="COMTabletext"/>
            </w:pPr>
            <w:r>
              <w:t xml:space="preserve">Phase 3, </w:t>
            </w:r>
            <w:r w:rsidR="00AE04C6">
              <w:t xml:space="preserve">multicentre, </w:t>
            </w:r>
            <w:r>
              <w:t>double-blind, placebo-controlled</w:t>
            </w:r>
            <w:r w:rsidR="00AE04C6">
              <w:t xml:space="preserve"> RCT; 24 week randomised period with ongoing follow-up</w:t>
            </w:r>
          </w:p>
        </w:tc>
        <w:tc>
          <w:tcPr>
            <w:tcW w:w="472" w:type="pct"/>
            <w:vAlign w:val="center"/>
          </w:tcPr>
          <w:p w14:paraId="50E27A90" w14:textId="1FCC3698" w:rsidR="0064785F" w:rsidRPr="00F65D85" w:rsidRDefault="00F65D85" w:rsidP="00F65D85">
            <w:pPr>
              <w:pStyle w:val="COMTabletext"/>
              <w:jc w:val="center"/>
              <w:rPr>
                <w:i/>
                <w:iCs/>
              </w:rPr>
            </w:pPr>
            <w:r>
              <w:rPr>
                <w:i/>
                <w:iCs/>
              </w:rPr>
              <w:t>Low</w:t>
            </w:r>
          </w:p>
        </w:tc>
        <w:tc>
          <w:tcPr>
            <w:tcW w:w="1100" w:type="pct"/>
            <w:vAlign w:val="center"/>
          </w:tcPr>
          <w:p w14:paraId="1B84BE0E" w14:textId="582FACFC" w:rsidR="0064785F" w:rsidRPr="0098262F" w:rsidRDefault="009C6778" w:rsidP="009C6778">
            <w:pPr>
              <w:pStyle w:val="COMTabletext"/>
            </w:pPr>
            <w:r>
              <w:t>Adults with intermediate-2 or high risk primary myelofibrosis, post-</w:t>
            </w:r>
            <w:r w:rsidR="0091070A">
              <w:t>ET</w:t>
            </w:r>
            <w:r>
              <w:t xml:space="preserve"> or post-</w:t>
            </w:r>
            <w:r w:rsidR="0091070A">
              <w:t>PV</w:t>
            </w:r>
            <w:r>
              <w:t xml:space="preserve"> myelofibrosis who had no prior therapy with JAK inhibitors and were r</w:t>
            </w:r>
            <w:r w:rsidRPr="009C6778">
              <w:t>efractory</w:t>
            </w:r>
            <w:r w:rsidR="000F0375">
              <w:t xml:space="preserve">/intolerant </w:t>
            </w:r>
            <w:r w:rsidRPr="009C6778">
              <w:t>to available therapie</w:t>
            </w:r>
            <w:r w:rsidR="000F0375">
              <w:t>s</w:t>
            </w:r>
          </w:p>
        </w:tc>
        <w:tc>
          <w:tcPr>
            <w:tcW w:w="1151" w:type="pct"/>
            <w:vAlign w:val="center"/>
          </w:tcPr>
          <w:p w14:paraId="0351A18F" w14:textId="06479335" w:rsidR="0064785F" w:rsidRPr="0098262F" w:rsidRDefault="00762D89" w:rsidP="00A0627C">
            <w:pPr>
              <w:pStyle w:val="COMTabletext"/>
            </w:pPr>
            <w:r>
              <w:t xml:space="preserve">Spleen volume response rate, MFSAF TSS response rate, </w:t>
            </w:r>
            <w:r w:rsidR="00CB54B2">
              <w:t>quality of life, overall survival, safety</w:t>
            </w:r>
          </w:p>
        </w:tc>
      </w:tr>
      <w:tr w:rsidR="0064785F" w:rsidRPr="0098262F" w14:paraId="579B8DC2" w14:textId="77777777" w:rsidTr="003B56C5">
        <w:trPr>
          <w:cantSplit/>
        </w:trPr>
        <w:tc>
          <w:tcPr>
            <w:tcW w:w="713" w:type="pct"/>
            <w:vAlign w:val="center"/>
          </w:tcPr>
          <w:p w14:paraId="75FAAAFF" w14:textId="6065B9D8" w:rsidR="0064785F" w:rsidRPr="0098262F" w:rsidRDefault="0064785F" w:rsidP="00A0627C">
            <w:pPr>
              <w:pStyle w:val="COMTabletext"/>
            </w:pPr>
            <w:r>
              <w:t>COMFORT-II</w:t>
            </w:r>
          </w:p>
        </w:tc>
        <w:tc>
          <w:tcPr>
            <w:tcW w:w="385" w:type="pct"/>
            <w:vAlign w:val="center"/>
          </w:tcPr>
          <w:p w14:paraId="2C7EFBB0" w14:textId="7744903E" w:rsidR="0064785F" w:rsidRPr="0098262F" w:rsidRDefault="00912AAA" w:rsidP="00912AAA">
            <w:pPr>
              <w:pStyle w:val="COMTabletext"/>
              <w:jc w:val="center"/>
            </w:pPr>
            <w:r>
              <w:t xml:space="preserve">219 </w:t>
            </w:r>
          </w:p>
        </w:tc>
        <w:tc>
          <w:tcPr>
            <w:tcW w:w="1179" w:type="pct"/>
            <w:vAlign w:val="center"/>
          </w:tcPr>
          <w:p w14:paraId="1E8A5CF1" w14:textId="4A958AF5" w:rsidR="0064785F" w:rsidRPr="0098262F" w:rsidRDefault="00AE04C6" w:rsidP="00A0627C">
            <w:pPr>
              <w:pStyle w:val="COMTabletext"/>
            </w:pPr>
            <w:r>
              <w:t>Phase 3, multicentre,</w:t>
            </w:r>
            <w:r w:rsidR="00C92CAE">
              <w:t xml:space="preserve"> randomised,</w:t>
            </w:r>
            <w:r>
              <w:t xml:space="preserve"> </w:t>
            </w:r>
            <w:r w:rsidR="00C92CAE">
              <w:t>open-label trial; 48 week randomised period with ongoing follow-up</w:t>
            </w:r>
          </w:p>
        </w:tc>
        <w:tc>
          <w:tcPr>
            <w:tcW w:w="472" w:type="pct"/>
            <w:vAlign w:val="center"/>
          </w:tcPr>
          <w:p w14:paraId="3D1C4066" w14:textId="22F370C6" w:rsidR="0064785F" w:rsidRPr="00F65D85" w:rsidRDefault="00F65D85" w:rsidP="00F65D85">
            <w:pPr>
              <w:pStyle w:val="COMTabletext"/>
              <w:jc w:val="center"/>
              <w:rPr>
                <w:i/>
                <w:iCs/>
              </w:rPr>
            </w:pPr>
            <w:r>
              <w:rPr>
                <w:i/>
                <w:iCs/>
              </w:rPr>
              <w:t>High</w:t>
            </w:r>
          </w:p>
        </w:tc>
        <w:tc>
          <w:tcPr>
            <w:tcW w:w="1100" w:type="pct"/>
            <w:vAlign w:val="center"/>
          </w:tcPr>
          <w:p w14:paraId="7FDF6164" w14:textId="725DCC85" w:rsidR="0064785F" w:rsidRPr="0098262F" w:rsidRDefault="000F0375" w:rsidP="00A0627C">
            <w:pPr>
              <w:pStyle w:val="COMTabletext"/>
            </w:pPr>
            <w:r>
              <w:t>Adults with intermediate-2 or high risk primary myelofibrosis, post-E</w:t>
            </w:r>
            <w:r w:rsidR="0091070A">
              <w:t>T</w:t>
            </w:r>
            <w:r>
              <w:t xml:space="preserve"> or post-</w:t>
            </w:r>
            <w:r w:rsidR="0091070A">
              <w:t>PV</w:t>
            </w:r>
            <w:r>
              <w:t xml:space="preserve"> myelofibrosis who had no prior therapy with JAK inhibitors</w:t>
            </w:r>
          </w:p>
        </w:tc>
        <w:tc>
          <w:tcPr>
            <w:tcW w:w="1151" w:type="pct"/>
            <w:vAlign w:val="center"/>
          </w:tcPr>
          <w:p w14:paraId="4C96FE03" w14:textId="12574F90" w:rsidR="0064785F" w:rsidRPr="0098262F" w:rsidRDefault="00CB54B2" w:rsidP="00A0627C">
            <w:pPr>
              <w:pStyle w:val="COMTabletext"/>
            </w:pPr>
            <w:r>
              <w:t>Spleen volume response rate, progression</w:t>
            </w:r>
            <w:r w:rsidR="00C33240">
              <w:t xml:space="preserve"> or </w:t>
            </w:r>
            <w:r>
              <w:t xml:space="preserve">leukaemia free survival, overall survival, </w:t>
            </w:r>
            <w:r w:rsidR="00C33240">
              <w:t>safety</w:t>
            </w:r>
          </w:p>
        </w:tc>
      </w:tr>
    </w:tbl>
    <w:p w14:paraId="560080D2" w14:textId="289BDF89" w:rsidR="00045017" w:rsidRPr="0098262F" w:rsidRDefault="00045017" w:rsidP="00EC5836">
      <w:pPr>
        <w:pStyle w:val="COMTablefooter"/>
      </w:pPr>
      <w:r w:rsidRPr="00774014">
        <w:t>Source: Table</w:t>
      </w:r>
      <w:r w:rsidR="005B11B3" w:rsidRPr="00774014">
        <w:t xml:space="preserve"> 12, p37</w:t>
      </w:r>
      <w:r w:rsidR="00C33240" w:rsidRPr="00774014">
        <w:t>; Table 13, pp39-41</w:t>
      </w:r>
      <w:r w:rsidR="00AC283F" w:rsidRPr="00774014">
        <w:t xml:space="preserve">; </w:t>
      </w:r>
      <w:r w:rsidR="00227304" w:rsidRPr="00774014">
        <w:t xml:space="preserve">Table 15, pp43-44; </w:t>
      </w:r>
      <w:r w:rsidR="00AC283F" w:rsidRPr="00774014">
        <w:t>Table 22, p53</w:t>
      </w:r>
      <w:r w:rsidR="005B11B3" w:rsidRPr="00774014">
        <w:t xml:space="preserve"> of the resubmission; </w:t>
      </w:r>
      <w:r w:rsidR="00774014" w:rsidRPr="00774014">
        <w:t>Table 3, p8 of the May 2025 fedratinib commentary</w:t>
      </w:r>
      <w:r w:rsidRPr="00774014">
        <w:t>.</w:t>
      </w:r>
    </w:p>
    <w:p w14:paraId="36D156A0" w14:textId="463C21D4" w:rsidR="00A0543B" w:rsidRDefault="00210352" w:rsidP="00210352">
      <w:pPr>
        <w:pStyle w:val="COMTablefooter"/>
      </w:pPr>
      <w:r w:rsidRPr="00210352">
        <w:t xml:space="preserve">Abbreviations: ET, essential thrombocythaemia; </w:t>
      </w:r>
      <w:r w:rsidR="00AE29A7">
        <w:t xml:space="preserve">JAK, Janus kinase; </w:t>
      </w:r>
      <w:r w:rsidRPr="00210352">
        <w:t xml:space="preserve">MFSAF, Myelofibrosis Symptom Assessment Form; </w:t>
      </w:r>
      <w:r w:rsidR="00211E21">
        <w:t>PV</w:t>
      </w:r>
      <w:r w:rsidRPr="00210352">
        <w:t xml:space="preserve">, polycythaemia vera; </w:t>
      </w:r>
      <w:r w:rsidR="005B11B3">
        <w:t xml:space="preserve">RCT, randomised controlled trial; </w:t>
      </w:r>
      <w:r w:rsidRPr="00210352">
        <w:t>TSS, total symptom score.</w:t>
      </w:r>
    </w:p>
    <w:p w14:paraId="21A23B01" w14:textId="3227F0B6" w:rsidR="00210352" w:rsidRPr="00210352" w:rsidRDefault="00A0543B" w:rsidP="00210352">
      <w:pPr>
        <w:pStyle w:val="COMTablefooter"/>
        <w:rPr>
          <w:rFonts w:asciiTheme="minorHAnsi" w:eastAsiaTheme="minorHAnsi" w:hAnsiTheme="minorHAnsi" w:cstheme="minorBidi"/>
          <w:snapToGrid/>
          <w:color w:val="0066FF"/>
          <w:sz w:val="24"/>
        </w:rPr>
      </w:pPr>
      <w:r>
        <w:t xml:space="preserve">Note: Trials seen previously by the PBAC in the May 2025 consideration for fedratinib </w:t>
      </w:r>
      <w:r w:rsidRPr="00AE73ED">
        <w:t xml:space="preserve">are </w:t>
      </w:r>
      <w:r w:rsidR="00AE73ED">
        <w:t>shad</w:t>
      </w:r>
      <w:r w:rsidRPr="00AE73ED">
        <w:t>ed in blue.</w:t>
      </w:r>
    </w:p>
    <w:p w14:paraId="0D72E23A" w14:textId="3DD1C88C" w:rsidR="00762D89" w:rsidRPr="00CB1EA6" w:rsidRDefault="00263EA5" w:rsidP="00723B29">
      <w:pPr>
        <w:pStyle w:val="COMESnumberedpara"/>
        <w:rPr>
          <w:color w:val="808080" w:themeColor="background1" w:themeShade="80"/>
        </w:rPr>
      </w:pPr>
      <w:r w:rsidRPr="00CB1EA6">
        <w:t xml:space="preserve">The </w:t>
      </w:r>
      <w:r w:rsidR="006577A6" w:rsidRPr="00CB1EA6">
        <w:t xml:space="preserve">open label </w:t>
      </w:r>
      <w:r w:rsidRPr="00CB1EA6">
        <w:t xml:space="preserve">FREEDOM-2 </w:t>
      </w:r>
      <w:r w:rsidR="006C7997" w:rsidRPr="00CB1EA6">
        <w:t xml:space="preserve">trial </w:t>
      </w:r>
      <w:r w:rsidR="006577A6" w:rsidRPr="00CB1EA6">
        <w:t xml:space="preserve">randomised patients to treatment with either fedratinib 400 mg once daily or </w:t>
      </w:r>
      <w:r w:rsidR="00842A11" w:rsidRPr="00CB1EA6">
        <w:t>best available therapy</w:t>
      </w:r>
      <w:r w:rsidR="004D6283" w:rsidRPr="00CB1EA6">
        <w:t xml:space="preserve"> for 24 weeks.</w:t>
      </w:r>
      <w:r w:rsidR="00D673A9" w:rsidRPr="00CB1EA6">
        <w:t xml:space="preserve"> </w:t>
      </w:r>
      <w:r w:rsidR="00EA7A1C" w:rsidRPr="00CB1EA6">
        <w:t>In the best available therapy arm, 77.6% of patients were treated with ruxolitinib.</w:t>
      </w:r>
      <w:r w:rsidR="004D6283" w:rsidRPr="00CB1EA6">
        <w:t xml:space="preserve"> </w:t>
      </w:r>
      <w:r w:rsidR="004B43F2" w:rsidRPr="00CB1EA6">
        <w:t>Patients in the best available therapy arm could switch from best available therapy to fedratinib treatment at any time before the Cycle 6 response assessment in the event of a confirmed progression of splenomegaly (by MRI/CT scan) or after the Cycle 6 response assessment.</w:t>
      </w:r>
      <w:r w:rsidR="00094A79" w:rsidRPr="00CB1EA6">
        <w:t xml:space="preserve"> Subjects were allowed to continue study treatment beyond the initial 24 week period until the occurrence of unacceptable toxicity, lack of therapeutic effect, progression of disease or withdrawal of consent.</w:t>
      </w:r>
      <w:r w:rsidR="0005366B" w:rsidRPr="00CB1EA6">
        <w:t xml:space="preserve"> Further details </w:t>
      </w:r>
      <w:r w:rsidR="008321E5" w:rsidRPr="00CB1EA6">
        <w:t>of the FREEDOM-2 trial design and patient characteristics are in Sections 2.3 and 2.4 of the commentary.</w:t>
      </w:r>
    </w:p>
    <w:p w14:paraId="6100D268" w14:textId="346F46C4" w:rsidR="00F65D85" w:rsidRPr="00CB1EA6" w:rsidRDefault="00F65D85" w:rsidP="00EC5836">
      <w:pPr>
        <w:pStyle w:val="COMESnumberedpara"/>
      </w:pPr>
      <w:bookmarkStart w:id="21" w:name="_Ref214619458"/>
      <w:r w:rsidRPr="00CB1EA6">
        <w:t xml:space="preserve">The JAKARTA trial was a three-arm placebo-controlled trial, with the two active treatment arms consisting of fedratinib 400 mg or fedratinib 500 mg daily. The resubmission noted that the 500 mg daily dose is not used in clinical practice nor is it TGA approved, and results from this arm of the trial were not presented in the resubmission. This was appropriate. </w:t>
      </w:r>
      <w:r w:rsidR="00955C59" w:rsidRPr="00CB1EA6">
        <w:t xml:space="preserve">The overall </w:t>
      </w:r>
      <w:r w:rsidRPr="00CB1EA6">
        <w:t>risk of bias for the JAKARTA trial was unclear, due to the sponsor of the trial changing multiple times throughout the clinical development program, and the full clinical hold imposed by the FDA across the fedratinib clinical development program which meant that all patients permanently discontinued fedratinib treatment early</w:t>
      </w:r>
      <w:r w:rsidR="00B904F0" w:rsidRPr="00CB1EA6">
        <w:t xml:space="preserve"> (see </w:t>
      </w:r>
      <w:r w:rsidR="00ED6886" w:rsidRPr="00CB1EA6">
        <w:t xml:space="preserve">paragraph </w:t>
      </w:r>
      <w:r w:rsidR="00ED6886" w:rsidRPr="00CB1EA6">
        <w:fldChar w:fldCharType="begin"/>
      </w:r>
      <w:r w:rsidR="00ED6886" w:rsidRPr="00CB1EA6">
        <w:instrText xml:space="preserve"> REF _Ref208159337 \r \h </w:instrText>
      </w:r>
      <w:r w:rsidR="00CB1EA6" w:rsidRPr="00CB1EA6">
        <w:instrText xml:space="preserve"> \* MERGEFORMAT </w:instrText>
      </w:r>
      <w:r w:rsidR="00ED6886" w:rsidRPr="00CB1EA6">
        <w:fldChar w:fldCharType="separate"/>
      </w:r>
      <w:r w:rsidR="000F0515">
        <w:t>6.13</w:t>
      </w:r>
      <w:r w:rsidR="00ED6886" w:rsidRPr="00CB1EA6">
        <w:fldChar w:fldCharType="end"/>
      </w:r>
      <w:r w:rsidR="00B904F0" w:rsidRPr="00CB1EA6">
        <w:t xml:space="preserve"> below)</w:t>
      </w:r>
      <w:r w:rsidR="00C25887" w:rsidRPr="00CB1EA6">
        <w:t>.</w:t>
      </w:r>
      <w:r w:rsidRPr="00CB1EA6">
        <w:t xml:space="preserve"> </w:t>
      </w:r>
      <w:r w:rsidR="0079380C" w:rsidRPr="00CB1EA6">
        <w:t xml:space="preserve">In addition, the JAKARTA trial was </w:t>
      </w:r>
      <w:r w:rsidR="00432E01" w:rsidRPr="00CB1EA6">
        <w:t>limited to patients with intermediate-2 or high risk myelofibrosis only. The</w:t>
      </w:r>
      <w:r w:rsidR="00731765" w:rsidRPr="00CB1EA6">
        <w:t>re was no randomised controlled trial evidence for the intermediate-1 population, which was limited to single-arm data.</w:t>
      </w:r>
      <w:bookmarkEnd w:id="21"/>
      <w:r w:rsidR="00731765" w:rsidRPr="00CB1EA6">
        <w:t xml:space="preserve"> </w:t>
      </w:r>
    </w:p>
    <w:p w14:paraId="194DD9E5" w14:textId="0A182CB0" w:rsidR="00B904F0" w:rsidRPr="00CB1EA6" w:rsidRDefault="00814631" w:rsidP="00B904F0">
      <w:pPr>
        <w:pStyle w:val="COMESnumberedpara"/>
        <w:rPr>
          <w:rFonts w:cs="Calibri"/>
        </w:rPr>
      </w:pPr>
      <w:r w:rsidRPr="00CB1EA6">
        <w:t>Patients</w:t>
      </w:r>
      <w:r w:rsidR="00B904F0" w:rsidRPr="00CB1EA6">
        <w:t xml:space="preserve"> in the JAKARTA trial</w:t>
      </w:r>
      <w:r w:rsidR="006826ED" w:rsidRPr="00CB1EA6">
        <w:t xml:space="preserve"> were randomised to treatment with fedratinib or placebo for 24 weeks (divided into </w:t>
      </w:r>
      <w:r w:rsidR="008139D9" w:rsidRPr="00CB1EA6">
        <w:t>6 × 28 day cycles), but continued to</w:t>
      </w:r>
      <w:r w:rsidR="00B904F0" w:rsidRPr="00CB1EA6">
        <w:t xml:space="preserve"> receive their assigned study treatment as long as they were benefitting (defined as complete or partial remission, clinical improvement, or stable disease, and no disease progression or relapse, or unacceptable toxicity requiring treatment discontinuation). Patients in the placebo arm could switch to fedratinib treatment after disease progression, defined as an increase in spleen volume of </w:t>
      </w:r>
      <w:r w:rsidR="00B904F0" w:rsidRPr="00CB1EA6">
        <w:rPr>
          <w:rFonts w:cs="Calibri"/>
        </w:rPr>
        <w:t xml:space="preserve">≥25% from baseline, </w:t>
      </w:r>
      <w:proofErr w:type="spellStart"/>
      <w:r w:rsidR="00B904F0" w:rsidRPr="00CB1EA6">
        <w:rPr>
          <w:rFonts w:cs="Calibri"/>
        </w:rPr>
        <w:t>leukaemic</w:t>
      </w:r>
      <w:proofErr w:type="spellEnd"/>
      <w:r w:rsidR="00B904F0" w:rsidRPr="00CB1EA6">
        <w:rPr>
          <w:rFonts w:cs="Calibri"/>
        </w:rPr>
        <w:t xml:space="preserve"> transformation, or an increase in peripheral blood blast percentage of ≥20%. There were 71 patients from the placebo arm who crossed over to one of the two fedratinib arms (10 of whom crossed over prior to the end of Cycle 6). Patients who crossed over after disease progression </w:t>
      </w:r>
      <w:proofErr w:type="gramStart"/>
      <w:r w:rsidR="00B904F0" w:rsidRPr="00CB1EA6">
        <w:rPr>
          <w:rFonts w:cs="Calibri"/>
        </w:rPr>
        <w:t>were considered to be</w:t>
      </w:r>
      <w:proofErr w:type="gramEnd"/>
      <w:r w:rsidR="00B904F0" w:rsidRPr="00CB1EA6">
        <w:rPr>
          <w:rFonts w:cs="Calibri"/>
        </w:rPr>
        <w:t xml:space="preserve"> non-responders.</w:t>
      </w:r>
    </w:p>
    <w:p w14:paraId="466CDE41" w14:textId="63D28128" w:rsidR="00B904F0" w:rsidRPr="00CB1EA6" w:rsidRDefault="00B904F0" w:rsidP="00B904F0">
      <w:pPr>
        <w:pStyle w:val="COMESnumberedpara"/>
      </w:pPr>
      <w:bookmarkStart w:id="22" w:name="_Ref208159337"/>
      <w:r w:rsidRPr="00CB1EA6">
        <w:t>Following notification of cases consistent with events of Wernicke’s encephalopathy in subjects treated with fedratinib, the fedratinib clinical development program was terminated in November 2013, at which time all subjects worldwide were permanently discontinued from fedratinib treatment, given the option to receive thiamine supplementation for at least 90 days and followed during this period. At the time of study termination, 144 patients in the JAKARTA trial were still receiving fedratinib (including 51 of 96 patients in the 400 mg fedratinib arm, and 26 of 35 placebo patients who crossed over to the 400 mg fedratinib arm</w:t>
      </w:r>
      <w:r w:rsidR="00332DD8" w:rsidRPr="00CB1EA6">
        <w:t>)</w:t>
      </w:r>
      <w:r w:rsidRPr="00CB1EA6">
        <w:t>. The clinical hold for fedratinib was lifted in August 2017, with provisions for the need for risk-mitigation strategies for Wernicke’s encephalopathy.</w:t>
      </w:r>
      <w:bookmarkEnd w:id="22"/>
    </w:p>
    <w:p w14:paraId="017BE840" w14:textId="7CFEDD5A" w:rsidR="0040167D" w:rsidRPr="00CB1EA6" w:rsidRDefault="00F2697F" w:rsidP="0040167D">
      <w:pPr>
        <w:pStyle w:val="COMESnumberedpara"/>
      </w:pPr>
      <w:r w:rsidRPr="00CB1EA6">
        <w:t>The COMFORT-I trial</w:t>
      </w:r>
      <w:r w:rsidR="000C6444" w:rsidRPr="00CB1EA6">
        <w:t xml:space="preserve"> was a </w:t>
      </w:r>
      <w:r w:rsidR="004E1E95" w:rsidRPr="00CB1EA6">
        <w:t xml:space="preserve">double-blind, </w:t>
      </w:r>
      <w:r w:rsidR="000C6444" w:rsidRPr="00CB1EA6">
        <w:t xml:space="preserve">placebo-controlled </w:t>
      </w:r>
      <w:r w:rsidR="00AF65D0" w:rsidRPr="00CB1EA6">
        <w:t xml:space="preserve">randomised </w:t>
      </w:r>
      <w:r w:rsidR="000C6444" w:rsidRPr="00CB1EA6">
        <w:t>trial comparing ruxolitinib at a starting dose of 15 mg or 20 mg twice daily (</w:t>
      </w:r>
      <w:r w:rsidR="0040167D" w:rsidRPr="00CB1EA6">
        <w:t xml:space="preserve">determined by baseline platelet count: 15 mg for </w:t>
      </w:r>
      <w:r w:rsidR="0040167D" w:rsidRPr="00CB1EA6">
        <w:rPr>
          <w:rFonts w:cstheme="minorHAnsi"/>
        </w:rPr>
        <w:t>≥</w:t>
      </w:r>
      <w:r w:rsidR="0040167D" w:rsidRPr="00CB1EA6">
        <w:t xml:space="preserve">100 to 200 </w:t>
      </w:r>
      <w:r w:rsidR="004452C3" w:rsidRPr="00CB1EA6">
        <w:t xml:space="preserve">× </w:t>
      </w:r>
      <w:r w:rsidR="0040167D" w:rsidRPr="00CB1EA6">
        <w:t>10</w:t>
      </w:r>
      <w:r w:rsidR="0040167D" w:rsidRPr="00CB1EA6">
        <w:rPr>
          <w:vertAlign w:val="superscript"/>
        </w:rPr>
        <w:t>9</w:t>
      </w:r>
      <w:r w:rsidR="0040167D" w:rsidRPr="00CB1EA6">
        <w:t xml:space="preserve">/L, and 20 mg for &gt;200 </w:t>
      </w:r>
      <w:r w:rsidR="004452C3" w:rsidRPr="00CB1EA6">
        <w:t xml:space="preserve">× </w:t>
      </w:r>
      <w:r w:rsidR="0040167D" w:rsidRPr="00CB1EA6">
        <w:t>10</w:t>
      </w:r>
      <w:r w:rsidR="0040167D" w:rsidRPr="00CB1EA6">
        <w:rPr>
          <w:vertAlign w:val="superscript"/>
        </w:rPr>
        <w:t>9</w:t>
      </w:r>
      <w:r w:rsidR="0040167D" w:rsidRPr="00CB1EA6">
        <w:t>/L)</w:t>
      </w:r>
      <w:r w:rsidR="00E56A0E" w:rsidRPr="00CB1EA6">
        <w:t xml:space="preserve"> </w:t>
      </w:r>
      <w:r w:rsidR="00AF65D0" w:rsidRPr="00CB1EA6">
        <w:t>to</w:t>
      </w:r>
      <w:r w:rsidR="00E56A0E" w:rsidRPr="00CB1EA6">
        <w:t xml:space="preserve"> placebo</w:t>
      </w:r>
      <w:r w:rsidR="0040167D" w:rsidRPr="00CB1EA6">
        <w:t>.</w:t>
      </w:r>
      <w:r w:rsidR="00E56A0E" w:rsidRPr="00CB1EA6">
        <w:t xml:space="preserve"> </w:t>
      </w:r>
      <w:r w:rsidR="006D1010" w:rsidRPr="00CB1EA6">
        <w:t xml:space="preserve">The COMFORT-II trial </w:t>
      </w:r>
      <w:r w:rsidR="00324B4D" w:rsidRPr="00CB1EA6">
        <w:t xml:space="preserve">was an open label trial, with </w:t>
      </w:r>
      <w:r w:rsidR="00937F6E" w:rsidRPr="00CB1EA6">
        <w:t>patients</w:t>
      </w:r>
      <w:r w:rsidR="00324B4D" w:rsidRPr="00CB1EA6">
        <w:t xml:space="preserve"> randomised</w:t>
      </w:r>
      <w:r w:rsidR="00937F6E" w:rsidRPr="00CB1EA6">
        <w:t xml:space="preserve"> in a 2:1 ratio to ruxolitinib 15 mg or 20 mg </w:t>
      </w:r>
      <w:r w:rsidR="00EB4383" w:rsidRPr="00CB1EA6">
        <w:t xml:space="preserve">twice daily </w:t>
      </w:r>
      <w:r w:rsidR="00937F6E" w:rsidRPr="00CB1EA6">
        <w:t>(</w:t>
      </w:r>
      <w:r w:rsidR="00AA7E2C" w:rsidRPr="00CB1EA6">
        <w:t xml:space="preserve">determined by baseline platelet count as above) or best available therapy, </w:t>
      </w:r>
      <w:r w:rsidR="006C3772" w:rsidRPr="00CB1EA6">
        <w:t>which included any commercially available agents as monotherapy or in combination, or no therapy at all.</w:t>
      </w:r>
      <w:r w:rsidR="00135F72" w:rsidRPr="00CB1EA6">
        <w:t xml:space="preserve"> In both ruxolitinib trials, the ruxolitinib dose could be increased up to 25 mg twice daily, or </w:t>
      </w:r>
      <w:r w:rsidR="006E2225" w:rsidRPr="00CB1EA6">
        <w:t xml:space="preserve">decreased </w:t>
      </w:r>
      <w:r w:rsidR="00287806" w:rsidRPr="00CB1EA6">
        <w:t xml:space="preserve">in response to adverse events, with treatment continuing </w:t>
      </w:r>
      <w:r w:rsidR="004E1E95" w:rsidRPr="00CB1EA6">
        <w:t>while the patient continued to derive a clinical benefit. P</w:t>
      </w:r>
      <w:r w:rsidR="003077DB" w:rsidRPr="00CB1EA6">
        <w:t xml:space="preserve">atients in the placebo </w:t>
      </w:r>
      <w:r w:rsidR="00E331B9" w:rsidRPr="00CB1EA6">
        <w:t xml:space="preserve">arm of the COMFORT-I trial </w:t>
      </w:r>
      <w:r w:rsidR="003077DB" w:rsidRPr="00CB1EA6">
        <w:t>or best available therapy arm</w:t>
      </w:r>
      <w:r w:rsidR="00E331B9" w:rsidRPr="00CB1EA6">
        <w:t xml:space="preserve"> of the COMFORT-II trial</w:t>
      </w:r>
      <w:r w:rsidR="003077DB" w:rsidRPr="00CB1EA6">
        <w:t xml:space="preserve"> could cross over to active treatment with ruxolitinib on disease progression.</w:t>
      </w:r>
    </w:p>
    <w:p w14:paraId="4A4FE085" w14:textId="1C5613CC" w:rsidR="00B60939" w:rsidRPr="0098262F" w:rsidRDefault="00B60939" w:rsidP="00EC5836">
      <w:pPr>
        <w:pStyle w:val="COMESSubsectionheading"/>
      </w:pPr>
      <w:bookmarkStart w:id="23" w:name="_Toc22897641"/>
      <w:bookmarkStart w:id="24" w:name="_Toc209002716"/>
      <w:r w:rsidRPr="0098262F">
        <w:t>Comparative effectiveness</w:t>
      </w:r>
      <w:bookmarkEnd w:id="23"/>
      <w:bookmarkEnd w:id="24"/>
    </w:p>
    <w:p w14:paraId="6660AB78" w14:textId="22DC3155" w:rsidR="00C7037B" w:rsidRPr="000646DE" w:rsidRDefault="00C7037B" w:rsidP="00654B24">
      <w:pPr>
        <w:pStyle w:val="COMBodyH4"/>
        <w:rPr>
          <w:i w:val="0"/>
          <w:iCs/>
        </w:rPr>
      </w:pPr>
      <w:r w:rsidRPr="000646DE">
        <w:rPr>
          <w:i w:val="0"/>
          <w:iCs/>
        </w:rPr>
        <w:t>Fedratinib trials</w:t>
      </w:r>
    </w:p>
    <w:p w14:paraId="236242CB" w14:textId="7D3AF694" w:rsidR="000F539B" w:rsidRDefault="00EF40C7" w:rsidP="00EC5836">
      <w:pPr>
        <w:pStyle w:val="COMESnumberedpara"/>
      </w:pPr>
      <w:r w:rsidRPr="00AA4D4A">
        <w:t xml:space="preserve">Results </w:t>
      </w:r>
      <w:r w:rsidR="00373D2B">
        <w:t>from the FREEDOM-2 trial comparing</w:t>
      </w:r>
      <w:r w:rsidRPr="00AA4D4A">
        <w:t xml:space="preserve"> fedratinib and best available therapy in </w:t>
      </w:r>
      <w:r w:rsidR="00A92EB8">
        <w:t>patients</w:t>
      </w:r>
      <w:r w:rsidR="009B08B8">
        <w:t xml:space="preserve"> with intermediate-2 or high risk myelofibrosi</w:t>
      </w:r>
      <w:r w:rsidR="00A92EB8">
        <w:t xml:space="preserve">s who had received previous treatment with </w:t>
      </w:r>
      <w:r w:rsidR="00F50928">
        <w:t>ruxolitinib</w:t>
      </w:r>
      <w:r w:rsidRPr="00AA4D4A">
        <w:t xml:space="preserve"> were</w:t>
      </w:r>
      <w:r w:rsidR="006E6E84">
        <w:t xml:space="preserve"> not presented in the resubmission</w:t>
      </w:r>
      <w:r w:rsidRPr="00AA4D4A">
        <w:t xml:space="preserve">. </w:t>
      </w:r>
      <w:r w:rsidR="00B3593A">
        <w:t xml:space="preserve">Results </w:t>
      </w:r>
      <w:r w:rsidR="00A40898">
        <w:t xml:space="preserve">from the May 2025 submission </w:t>
      </w:r>
      <w:r w:rsidR="00B3593A">
        <w:t xml:space="preserve">for the primary endpoint and key secondary outcomes at Week 24 from FREEDOM-2 are briefly summarised in </w:t>
      </w:r>
      <w:r w:rsidR="00F40539">
        <w:fldChar w:fldCharType="begin"/>
      </w:r>
      <w:r w:rsidR="00F40539">
        <w:instrText xml:space="preserve"> REF _Ref191893413 \h </w:instrText>
      </w:r>
      <w:r w:rsidR="00F40539">
        <w:fldChar w:fldCharType="separate"/>
      </w:r>
      <w:r w:rsidR="000F0515" w:rsidRPr="004F789C">
        <w:t xml:space="preserve">Table </w:t>
      </w:r>
      <w:r w:rsidR="000F0515">
        <w:rPr>
          <w:noProof/>
        </w:rPr>
        <w:t>5</w:t>
      </w:r>
      <w:r w:rsidR="00F40539">
        <w:fldChar w:fldCharType="end"/>
      </w:r>
      <w:r w:rsidR="00B3593A">
        <w:t>.</w:t>
      </w:r>
    </w:p>
    <w:p w14:paraId="142C81F0" w14:textId="1F2157A1" w:rsidR="00F40539" w:rsidRPr="004F789C" w:rsidRDefault="00F40539" w:rsidP="00F40539">
      <w:pPr>
        <w:pStyle w:val="COMtablefigcaption"/>
        <w:rPr>
          <w:color w:val="0066FF"/>
        </w:rPr>
      </w:pPr>
      <w:bookmarkStart w:id="25" w:name="_Ref191893413"/>
      <w:r w:rsidRPr="004F789C">
        <w:t xml:space="preserve">Table </w:t>
      </w:r>
      <w:r w:rsidR="0003298B">
        <w:fldChar w:fldCharType="begin"/>
      </w:r>
      <w:r w:rsidR="0003298B">
        <w:instrText xml:space="preserve"> SEQ Table \* ARABIC </w:instrText>
      </w:r>
      <w:r w:rsidR="0003298B">
        <w:fldChar w:fldCharType="separate"/>
      </w:r>
      <w:r w:rsidR="000F0515">
        <w:rPr>
          <w:noProof/>
        </w:rPr>
        <w:t>5</w:t>
      </w:r>
      <w:r w:rsidR="0003298B">
        <w:rPr>
          <w:noProof/>
        </w:rPr>
        <w:fldChar w:fldCharType="end"/>
      </w:r>
      <w:bookmarkEnd w:id="25"/>
      <w:r w:rsidRPr="004F789C">
        <w:t>: Results of primary and key secondary outcomes from FREEDOM-2,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primary and key secondary outcomes from FREEDOM-2, ITT population"/>
      </w:tblPr>
      <w:tblGrid>
        <w:gridCol w:w="3538"/>
        <w:gridCol w:w="1847"/>
        <w:gridCol w:w="1702"/>
        <w:gridCol w:w="1930"/>
      </w:tblGrid>
      <w:tr w:rsidR="008F2EF9" w:rsidRPr="00AE73ED" w14:paraId="5E9093EC" w14:textId="77777777" w:rsidTr="00DD735A">
        <w:trPr>
          <w:tblHeader/>
        </w:trPr>
        <w:tc>
          <w:tcPr>
            <w:tcW w:w="1962" w:type="pct"/>
            <w:vAlign w:val="center"/>
          </w:tcPr>
          <w:p w14:paraId="0A817E00" w14:textId="77777777" w:rsidR="00F40539" w:rsidRPr="00AE73ED" w:rsidRDefault="00F40539">
            <w:pPr>
              <w:pStyle w:val="COMTableheadingrow"/>
            </w:pPr>
            <w:r w:rsidRPr="00AE73ED">
              <w:t>Outcome at week 24</w:t>
            </w:r>
          </w:p>
        </w:tc>
        <w:tc>
          <w:tcPr>
            <w:tcW w:w="1024" w:type="pct"/>
            <w:vAlign w:val="center"/>
          </w:tcPr>
          <w:p w14:paraId="24CB871D" w14:textId="77777777" w:rsidR="00F40539" w:rsidRPr="00AE73ED" w:rsidRDefault="00F40539">
            <w:pPr>
              <w:pStyle w:val="COMTableheadingrow"/>
              <w:jc w:val="center"/>
            </w:pPr>
            <w:r w:rsidRPr="00AE73ED">
              <w:t>Fedratinib</w:t>
            </w:r>
          </w:p>
          <w:p w14:paraId="2F0B3775" w14:textId="77777777" w:rsidR="00F40539" w:rsidRPr="00AE73ED" w:rsidRDefault="00F40539">
            <w:pPr>
              <w:pStyle w:val="COMTableheadingrow"/>
              <w:jc w:val="center"/>
            </w:pPr>
            <w:r w:rsidRPr="00AE73ED">
              <w:t>N = 134</w:t>
            </w:r>
          </w:p>
        </w:tc>
        <w:tc>
          <w:tcPr>
            <w:tcW w:w="944" w:type="pct"/>
            <w:vAlign w:val="center"/>
          </w:tcPr>
          <w:p w14:paraId="5C5B47C3" w14:textId="77777777" w:rsidR="00F40539" w:rsidRPr="00AE73ED" w:rsidRDefault="00F40539">
            <w:pPr>
              <w:pStyle w:val="COMTableheadingrow"/>
              <w:jc w:val="center"/>
            </w:pPr>
            <w:r w:rsidRPr="00AE73ED">
              <w:t>BAT</w:t>
            </w:r>
          </w:p>
          <w:p w14:paraId="34DCEFE3" w14:textId="77777777" w:rsidR="00F40539" w:rsidRPr="00AE73ED" w:rsidRDefault="00F40539">
            <w:pPr>
              <w:pStyle w:val="COMTableheadingrow"/>
              <w:jc w:val="center"/>
            </w:pPr>
            <w:r w:rsidRPr="00AE73ED">
              <w:t>N = 67</w:t>
            </w:r>
          </w:p>
        </w:tc>
        <w:tc>
          <w:tcPr>
            <w:tcW w:w="1070" w:type="pct"/>
            <w:vAlign w:val="center"/>
          </w:tcPr>
          <w:p w14:paraId="1AEBAE76" w14:textId="77777777" w:rsidR="00F40539" w:rsidRPr="00AE73ED" w:rsidRDefault="00F40539">
            <w:pPr>
              <w:pStyle w:val="COMTableheadingrow"/>
              <w:jc w:val="center"/>
            </w:pPr>
            <w:r w:rsidRPr="00AE73ED">
              <w:t>Difference in proportion (95% CI)</w:t>
            </w:r>
          </w:p>
        </w:tc>
      </w:tr>
      <w:tr w:rsidR="008F2EF9" w:rsidRPr="00AE73ED" w14:paraId="29E506C7" w14:textId="77777777" w:rsidTr="00DD735A">
        <w:tc>
          <w:tcPr>
            <w:tcW w:w="1962" w:type="pct"/>
            <w:vAlign w:val="center"/>
          </w:tcPr>
          <w:p w14:paraId="6B87A145" w14:textId="77777777" w:rsidR="00F40539" w:rsidRPr="00AE73ED" w:rsidRDefault="00F40539">
            <w:pPr>
              <w:pStyle w:val="COMTabletext"/>
            </w:pPr>
            <w:r w:rsidRPr="00AE73ED">
              <w:t>≥35% spleen volume reduction, n (%)</w:t>
            </w:r>
          </w:p>
        </w:tc>
        <w:tc>
          <w:tcPr>
            <w:tcW w:w="1024" w:type="pct"/>
            <w:vAlign w:val="center"/>
          </w:tcPr>
          <w:p w14:paraId="4D42BA6B" w14:textId="77777777" w:rsidR="00F40539" w:rsidRPr="00AE73ED" w:rsidRDefault="00F40539">
            <w:pPr>
              <w:pStyle w:val="COMTabletext"/>
              <w:jc w:val="center"/>
            </w:pPr>
            <w:r w:rsidRPr="00AE73ED">
              <w:t>48 (35.8%)</w:t>
            </w:r>
          </w:p>
        </w:tc>
        <w:tc>
          <w:tcPr>
            <w:tcW w:w="944" w:type="pct"/>
            <w:vAlign w:val="center"/>
          </w:tcPr>
          <w:p w14:paraId="13F67982" w14:textId="77777777" w:rsidR="00F40539" w:rsidRPr="00AE73ED" w:rsidRDefault="00F40539">
            <w:pPr>
              <w:pStyle w:val="COMTabletext"/>
              <w:jc w:val="center"/>
            </w:pPr>
            <w:r w:rsidRPr="00AE73ED">
              <w:t>4 (6.0%)</w:t>
            </w:r>
          </w:p>
        </w:tc>
        <w:tc>
          <w:tcPr>
            <w:tcW w:w="1070" w:type="pct"/>
            <w:vAlign w:val="center"/>
          </w:tcPr>
          <w:p w14:paraId="71A03382" w14:textId="77777777" w:rsidR="00F40539" w:rsidRPr="00AE73ED" w:rsidRDefault="00F40539">
            <w:pPr>
              <w:pStyle w:val="COMTabletext"/>
              <w:jc w:val="center"/>
              <w:rPr>
                <w:b/>
                <w:bCs w:val="0"/>
              </w:rPr>
            </w:pPr>
            <w:r w:rsidRPr="00AE73ED">
              <w:rPr>
                <w:b/>
                <w:bCs w:val="0"/>
              </w:rPr>
              <w:t>29.6 (19.9, 39.4)</w:t>
            </w:r>
          </w:p>
        </w:tc>
      </w:tr>
      <w:tr w:rsidR="008F2EF9" w:rsidRPr="00AE73ED" w14:paraId="56B7FCC8" w14:textId="77777777" w:rsidTr="00DD735A">
        <w:tc>
          <w:tcPr>
            <w:tcW w:w="1962" w:type="pct"/>
            <w:vAlign w:val="center"/>
          </w:tcPr>
          <w:p w14:paraId="5241C035" w14:textId="77777777" w:rsidR="00F40539" w:rsidRPr="00AE73ED" w:rsidRDefault="00F40539">
            <w:pPr>
              <w:pStyle w:val="COMTabletext"/>
            </w:pPr>
            <w:r w:rsidRPr="00AE73ED">
              <w:t>≥25% spleen volume reduction, n (%)</w:t>
            </w:r>
          </w:p>
        </w:tc>
        <w:tc>
          <w:tcPr>
            <w:tcW w:w="1024" w:type="pct"/>
            <w:vAlign w:val="center"/>
          </w:tcPr>
          <w:p w14:paraId="3F7788C5" w14:textId="77777777" w:rsidR="00F40539" w:rsidRPr="00AE73ED" w:rsidRDefault="00F40539">
            <w:pPr>
              <w:pStyle w:val="COMTabletext"/>
              <w:jc w:val="center"/>
            </w:pPr>
            <w:r w:rsidRPr="00AE73ED">
              <w:t>63 (47.0%)</w:t>
            </w:r>
          </w:p>
        </w:tc>
        <w:tc>
          <w:tcPr>
            <w:tcW w:w="944" w:type="pct"/>
            <w:vAlign w:val="center"/>
          </w:tcPr>
          <w:p w14:paraId="67C6CD66" w14:textId="77777777" w:rsidR="00F40539" w:rsidRPr="00AE73ED" w:rsidRDefault="00F40539">
            <w:pPr>
              <w:pStyle w:val="COMTabletext"/>
              <w:jc w:val="center"/>
            </w:pPr>
            <w:r w:rsidRPr="00AE73ED">
              <w:t>9 (13.4%)</w:t>
            </w:r>
          </w:p>
        </w:tc>
        <w:tc>
          <w:tcPr>
            <w:tcW w:w="1070" w:type="pct"/>
            <w:vAlign w:val="center"/>
          </w:tcPr>
          <w:p w14:paraId="50C2A81B" w14:textId="77777777" w:rsidR="00F40539" w:rsidRPr="00AE73ED" w:rsidRDefault="00F40539">
            <w:pPr>
              <w:pStyle w:val="COMTabletext"/>
              <w:jc w:val="center"/>
              <w:rPr>
                <w:b/>
                <w:bCs w:val="0"/>
              </w:rPr>
            </w:pPr>
            <w:r w:rsidRPr="00AE73ED">
              <w:rPr>
                <w:b/>
                <w:bCs w:val="0"/>
              </w:rPr>
              <w:t>33.5 (21.9, 45.1)</w:t>
            </w:r>
          </w:p>
        </w:tc>
      </w:tr>
      <w:tr w:rsidR="008F2EF9" w:rsidRPr="00AE73ED" w14:paraId="73F414D3" w14:textId="77777777" w:rsidTr="00DD735A">
        <w:tc>
          <w:tcPr>
            <w:tcW w:w="1962" w:type="pct"/>
            <w:vAlign w:val="center"/>
          </w:tcPr>
          <w:p w14:paraId="6B6970DA" w14:textId="77777777" w:rsidR="00F40539" w:rsidRPr="00AE73ED" w:rsidRDefault="00F40539">
            <w:pPr>
              <w:pStyle w:val="COMTabletext"/>
            </w:pPr>
            <w:r w:rsidRPr="00AE73ED">
              <w:t>Spleen response by palpation, n (%)</w:t>
            </w:r>
          </w:p>
        </w:tc>
        <w:tc>
          <w:tcPr>
            <w:tcW w:w="1024" w:type="pct"/>
            <w:vAlign w:val="center"/>
          </w:tcPr>
          <w:p w14:paraId="471B4020" w14:textId="77777777" w:rsidR="00F40539" w:rsidRPr="00AE73ED" w:rsidRDefault="00F40539">
            <w:pPr>
              <w:pStyle w:val="COMTabletext"/>
              <w:jc w:val="center"/>
            </w:pPr>
            <w:r w:rsidRPr="00AE73ED">
              <w:t>38 (28.4%)</w:t>
            </w:r>
          </w:p>
        </w:tc>
        <w:tc>
          <w:tcPr>
            <w:tcW w:w="944" w:type="pct"/>
            <w:vAlign w:val="center"/>
          </w:tcPr>
          <w:p w14:paraId="7B77D8DF" w14:textId="77777777" w:rsidR="00F40539" w:rsidRPr="00AE73ED" w:rsidRDefault="00F40539">
            <w:pPr>
              <w:pStyle w:val="COMTabletext"/>
              <w:jc w:val="center"/>
            </w:pPr>
            <w:r w:rsidRPr="00AE73ED">
              <w:t>5 (7.7%)</w:t>
            </w:r>
          </w:p>
        </w:tc>
        <w:tc>
          <w:tcPr>
            <w:tcW w:w="1070" w:type="pct"/>
            <w:vAlign w:val="center"/>
          </w:tcPr>
          <w:p w14:paraId="3FC7EDA1" w14:textId="77777777" w:rsidR="00F40539" w:rsidRPr="00AE73ED" w:rsidRDefault="00F40539">
            <w:pPr>
              <w:pStyle w:val="COMTabletext"/>
              <w:jc w:val="center"/>
              <w:rPr>
                <w:b/>
                <w:bCs w:val="0"/>
              </w:rPr>
            </w:pPr>
            <w:r w:rsidRPr="00AE73ED">
              <w:rPr>
                <w:b/>
                <w:bCs w:val="0"/>
              </w:rPr>
              <w:t>19.9 (10.0, 29.7)</w:t>
            </w:r>
          </w:p>
        </w:tc>
      </w:tr>
      <w:tr w:rsidR="008F2EF9" w:rsidRPr="00AE73ED" w14:paraId="58221CAA" w14:textId="77777777" w:rsidTr="00DD735A">
        <w:tc>
          <w:tcPr>
            <w:tcW w:w="1962" w:type="pct"/>
            <w:vAlign w:val="center"/>
          </w:tcPr>
          <w:p w14:paraId="7D0F25DE" w14:textId="2CFABA43" w:rsidR="00EF10F1" w:rsidRPr="00AE73ED" w:rsidRDefault="00EF10F1" w:rsidP="00EF10F1">
            <w:pPr>
              <w:pStyle w:val="COMTabletext"/>
            </w:pPr>
            <w:r w:rsidRPr="00AE73ED">
              <w:t xml:space="preserve">≥50% reduction in </w:t>
            </w:r>
            <w:r w:rsidR="00571CAE">
              <w:t xml:space="preserve">MFSAF </w:t>
            </w:r>
            <w:r w:rsidRPr="00AE73ED">
              <w:t>TSS, n (%)</w:t>
            </w:r>
          </w:p>
        </w:tc>
        <w:tc>
          <w:tcPr>
            <w:tcW w:w="1024" w:type="pct"/>
            <w:vAlign w:val="center"/>
          </w:tcPr>
          <w:p w14:paraId="492CB39A" w14:textId="2252B2D1" w:rsidR="00EF10F1" w:rsidRPr="00AE73ED" w:rsidRDefault="00EF10F1" w:rsidP="00EF10F1">
            <w:pPr>
              <w:pStyle w:val="COMTabletext"/>
              <w:jc w:val="center"/>
            </w:pPr>
            <w:r w:rsidRPr="00AE73ED">
              <w:t>43 (34.1%)</w:t>
            </w:r>
          </w:p>
        </w:tc>
        <w:tc>
          <w:tcPr>
            <w:tcW w:w="944" w:type="pct"/>
            <w:vAlign w:val="center"/>
          </w:tcPr>
          <w:p w14:paraId="52F301D2" w14:textId="59A2D11E" w:rsidR="00EF10F1" w:rsidRPr="00AE73ED" w:rsidRDefault="00EF10F1" w:rsidP="00EF10F1">
            <w:pPr>
              <w:pStyle w:val="COMTabletext"/>
              <w:jc w:val="center"/>
            </w:pPr>
            <w:r w:rsidRPr="00AE73ED">
              <w:t>11 (16.9%)</w:t>
            </w:r>
          </w:p>
        </w:tc>
        <w:tc>
          <w:tcPr>
            <w:tcW w:w="1070" w:type="pct"/>
            <w:vAlign w:val="center"/>
          </w:tcPr>
          <w:p w14:paraId="4F99BE30" w14:textId="563D59E4" w:rsidR="00EF10F1" w:rsidRPr="00AE73ED" w:rsidRDefault="00EF10F1" w:rsidP="00EF10F1">
            <w:pPr>
              <w:pStyle w:val="COMTabletext"/>
              <w:jc w:val="center"/>
              <w:rPr>
                <w:b/>
                <w:bCs w:val="0"/>
              </w:rPr>
            </w:pPr>
            <w:r w:rsidRPr="00AE73ED">
              <w:rPr>
                <w:b/>
                <w:bCs w:val="0"/>
              </w:rPr>
              <w:t>17.1 (4.8, 29.4)</w:t>
            </w:r>
          </w:p>
        </w:tc>
      </w:tr>
    </w:tbl>
    <w:p w14:paraId="75CFCC99" w14:textId="61F09FD8" w:rsidR="00F40539" w:rsidRPr="008F2EF9" w:rsidRDefault="00F40539" w:rsidP="00F40539">
      <w:pPr>
        <w:pStyle w:val="COMTablefooter"/>
      </w:pPr>
      <w:r w:rsidRPr="008F2EF9">
        <w:t xml:space="preserve">Source: Table </w:t>
      </w:r>
      <w:r w:rsidR="006E6E84" w:rsidRPr="008F2EF9">
        <w:t>4, p10, Table 5, p11 of the May 2025 fedratinib commentary</w:t>
      </w:r>
      <w:r w:rsidRPr="008F2EF9">
        <w:t>.</w:t>
      </w:r>
    </w:p>
    <w:p w14:paraId="3FE903CA" w14:textId="5A6276D5" w:rsidR="00F40539" w:rsidRPr="008F2EF9" w:rsidRDefault="00F40539" w:rsidP="00F40539">
      <w:pPr>
        <w:pStyle w:val="COMTablefooter"/>
        <w:rPr>
          <w:rFonts w:eastAsia="Calibri"/>
        </w:rPr>
      </w:pPr>
      <w:r w:rsidRPr="008F2EF9">
        <w:rPr>
          <w:rFonts w:eastAsia="Calibri"/>
        </w:rPr>
        <w:t>Abbreviations: BAT, best available therapy; CI, confidence interval; ITT, intent-to-treat</w:t>
      </w:r>
      <w:r w:rsidR="00EF10F1" w:rsidRPr="008F2EF9">
        <w:rPr>
          <w:rFonts w:eastAsia="Calibri"/>
        </w:rPr>
        <w:t xml:space="preserve">; </w:t>
      </w:r>
      <w:r w:rsidR="00571CAE">
        <w:rPr>
          <w:rFonts w:eastAsia="Calibri"/>
        </w:rPr>
        <w:t xml:space="preserve">MFSAF, myelofibrosis </w:t>
      </w:r>
      <w:r w:rsidR="00566114">
        <w:rPr>
          <w:rFonts w:eastAsia="Calibri"/>
        </w:rPr>
        <w:t xml:space="preserve">symptom assessment form; </w:t>
      </w:r>
      <w:r w:rsidR="00EF10F1" w:rsidRPr="008F2EF9">
        <w:rPr>
          <w:rFonts w:eastAsia="Calibri"/>
        </w:rPr>
        <w:t>TSS, total symptom score</w:t>
      </w:r>
      <w:r w:rsidRPr="008F2EF9">
        <w:rPr>
          <w:rFonts w:eastAsia="Calibri"/>
        </w:rPr>
        <w:t>.</w:t>
      </w:r>
    </w:p>
    <w:p w14:paraId="447DBFE8" w14:textId="53FF694F" w:rsidR="00B3593A" w:rsidRPr="008F2EF9" w:rsidRDefault="00F40539" w:rsidP="00F40539">
      <w:pPr>
        <w:pStyle w:val="COMTablefooter"/>
      </w:pPr>
      <w:r w:rsidRPr="008F2EF9">
        <w:rPr>
          <w:rFonts w:eastAsia="Calibri"/>
          <w:b/>
          <w:bCs/>
        </w:rPr>
        <w:t>Bold</w:t>
      </w:r>
      <w:r w:rsidRPr="008F2EF9">
        <w:rPr>
          <w:rFonts w:eastAsia="Calibri"/>
        </w:rPr>
        <w:t xml:space="preserve"> indicates statistically significant results.</w:t>
      </w:r>
    </w:p>
    <w:p w14:paraId="4856DF87" w14:textId="77777777" w:rsidR="0079333F" w:rsidRDefault="00551DD9">
      <w:pPr>
        <w:pStyle w:val="COMESnumberedpara"/>
      </w:pPr>
      <w:r w:rsidRPr="00F606A8">
        <w:t>In the FREEDOM-2 trial, a</w:t>
      </w:r>
      <w:r w:rsidR="00C73431" w:rsidRPr="00F606A8">
        <w:t xml:space="preserve"> statistically significantly greater proportion of patients treated with fedratinib achieved at least a 35% spleen volume reduction and at least 50% reduction in MFSAF total symptom scores from baseline compared to patients in the best available therapy arm. </w:t>
      </w:r>
      <w:r w:rsidR="007D5287">
        <w:t xml:space="preserve"> </w:t>
      </w:r>
    </w:p>
    <w:p w14:paraId="7B513493" w14:textId="77777777" w:rsidR="00870474" w:rsidRPr="00CB1EA6" w:rsidRDefault="005C02F2">
      <w:pPr>
        <w:pStyle w:val="COMESnumberedpara"/>
      </w:pPr>
      <w:r w:rsidRPr="00CB1EA6">
        <w:t>Quality of life</w:t>
      </w:r>
      <w:r w:rsidR="0079333F" w:rsidRPr="00CB1EA6">
        <w:t xml:space="preserve"> in the FREEDOM-2 trial was </w:t>
      </w:r>
      <w:r w:rsidRPr="00CB1EA6">
        <w:t>measured by the European Organisation for Research and Treatment of Cancer Quality of Life Questionnaire Core 30 (EORTC QLQ-C30) and EQ-5D-5L visual analogue scale and utility score (using the US value set). For the EORTC QLQ-C30, low questionnaire completion rates and clinically important baseline score differences between treatment arms, favouring fedratinib, limit the usefulness of results.</w:t>
      </w:r>
      <w:r w:rsidR="007D5287" w:rsidRPr="00CB1EA6">
        <w:t xml:space="preserve"> </w:t>
      </w:r>
      <w:r w:rsidRPr="00CB1EA6">
        <w:t>Although questionnaire completion rates were similarly low for the EQ-5D-5L, there were no notable differences in baseline scores. Both treatment groups had increased mean EQ-5D-5L VAS and utility scores (indicating improvement) from baseline during the treatment period through to the end of Cycle 6. Mean change from baseline in the VAS score was greater in the fedratinib arm than the best available therapy arm, while change in utility scores was similar across treatments. Differences between treatment arms were not assessed statistically.</w:t>
      </w:r>
    </w:p>
    <w:p w14:paraId="2D20B078" w14:textId="3BCAC2A8" w:rsidR="00B308CA" w:rsidRPr="00CB1EA6" w:rsidRDefault="00B308CA" w:rsidP="00556E14">
      <w:pPr>
        <w:pStyle w:val="COMESnumberedpara"/>
      </w:pPr>
      <w:r w:rsidRPr="00CB1EA6">
        <w:t xml:space="preserve">Results </w:t>
      </w:r>
      <w:r w:rsidR="0054368C" w:rsidRPr="00CB1EA6">
        <w:t>of the primary and key secondary spleen response outcomes from the JAKARTA trial</w:t>
      </w:r>
      <w:r w:rsidR="008F2EF9" w:rsidRPr="00CB1EA6">
        <w:t xml:space="preserve"> in patients </w:t>
      </w:r>
      <w:r w:rsidR="009B08B8" w:rsidRPr="00CB1EA6">
        <w:t xml:space="preserve">with intermediate-2 or </w:t>
      </w:r>
      <w:proofErr w:type="gramStart"/>
      <w:r w:rsidR="009B08B8" w:rsidRPr="00CB1EA6">
        <w:t>high risk</w:t>
      </w:r>
      <w:proofErr w:type="gramEnd"/>
      <w:r w:rsidR="009B08B8" w:rsidRPr="00CB1EA6">
        <w:t xml:space="preserve"> myelofibrosis with no prior treatment</w:t>
      </w:r>
      <w:r w:rsidR="008F2EF9" w:rsidRPr="00CB1EA6">
        <w:t xml:space="preserve"> with a JAK inhibitor</w:t>
      </w:r>
      <w:r w:rsidR="0054368C" w:rsidRPr="00CB1EA6">
        <w:t xml:space="preserve"> are summarised in </w:t>
      </w:r>
      <w:r w:rsidR="00556E14" w:rsidRPr="00CB1EA6">
        <w:fldChar w:fldCharType="begin"/>
      </w:r>
      <w:r w:rsidR="00556E14" w:rsidRPr="00CB1EA6">
        <w:instrText xml:space="preserve"> REF _Ref207973212 \h </w:instrText>
      </w:r>
      <w:r w:rsidR="00CB1EA6" w:rsidRPr="00CB1EA6">
        <w:instrText xml:space="preserve"> \* MERGEFORMAT </w:instrText>
      </w:r>
      <w:r w:rsidR="00556E14" w:rsidRPr="00CB1EA6">
        <w:fldChar w:fldCharType="separate"/>
      </w:r>
      <w:r w:rsidR="000F0515" w:rsidRPr="004F789C">
        <w:t xml:space="preserve">Table </w:t>
      </w:r>
      <w:r w:rsidR="000F0515">
        <w:rPr>
          <w:noProof/>
        </w:rPr>
        <w:t>6</w:t>
      </w:r>
      <w:r w:rsidR="00556E14" w:rsidRPr="00CB1EA6">
        <w:fldChar w:fldCharType="end"/>
      </w:r>
      <w:r w:rsidR="0054368C" w:rsidRPr="00CB1EA6">
        <w:t>.</w:t>
      </w:r>
    </w:p>
    <w:p w14:paraId="62B768A8" w14:textId="314856F7" w:rsidR="0054368C" w:rsidRPr="004F789C" w:rsidRDefault="0054368C" w:rsidP="0054368C">
      <w:pPr>
        <w:pStyle w:val="COMtablefigcaption"/>
        <w:rPr>
          <w:color w:val="0066FF"/>
        </w:rPr>
      </w:pPr>
      <w:bookmarkStart w:id="26" w:name="_Ref207973212"/>
      <w:r w:rsidRPr="004F789C">
        <w:t xml:space="preserve">Table </w:t>
      </w:r>
      <w:r w:rsidR="0003298B">
        <w:fldChar w:fldCharType="begin"/>
      </w:r>
      <w:r w:rsidR="0003298B">
        <w:instrText xml:space="preserve"> SEQ Table \* ARABIC </w:instrText>
      </w:r>
      <w:r w:rsidR="0003298B">
        <w:fldChar w:fldCharType="separate"/>
      </w:r>
      <w:r w:rsidR="000F0515">
        <w:rPr>
          <w:noProof/>
        </w:rPr>
        <w:t>6</w:t>
      </w:r>
      <w:r w:rsidR="0003298B">
        <w:rPr>
          <w:noProof/>
        </w:rPr>
        <w:fldChar w:fldCharType="end"/>
      </w:r>
      <w:bookmarkEnd w:id="26"/>
      <w:r w:rsidRPr="004F789C">
        <w:t xml:space="preserve">: Results of primary and key secondary </w:t>
      </w:r>
      <w:r>
        <w:t xml:space="preserve">spleen response </w:t>
      </w:r>
      <w:r w:rsidRPr="004F789C">
        <w:t xml:space="preserve">outcomes from </w:t>
      </w:r>
      <w:r>
        <w:t>JAKARTA</w:t>
      </w:r>
      <w:r w:rsidRPr="004F789C">
        <w:t>,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primary and key secondary spleen response outcomes from JAKARTA, ITT population"/>
      </w:tblPr>
      <w:tblGrid>
        <w:gridCol w:w="4106"/>
        <w:gridCol w:w="1701"/>
        <w:gridCol w:w="1417"/>
        <w:gridCol w:w="1793"/>
      </w:tblGrid>
      <w:tr w:rsidR="0054368C" w:rsidRPr="007836B7" w14:paraId="0C9BEE2F" w14:textId="77777777">
        <w:trPr>
          <w:tblHeader/>
        </w:trPr>
        <w:tc>
          <w:tcPr>
            <w:tcW w:w="2277" w:type="pct"/>
            <w:vAlign w:val="center"/>
          </w:tcPr>
          <w:p w14:paraId="0098ED2B" w14:textId="77777777" w:rsidR="0054368C" w:rsidRPr="007836B7" w:rsidRDefault="0054368C">
            <w:pPr>
              <w:pStyle w:val="COMTableheadingrow"/>
            </w:pPr>
            <w:r w:rsidRPr="007836B7">
              <w:t>Outcome at week 24</w:t>
            </w:r>
          </w:p>
        </w:tc>
        <w:tc>
          <w:tcPr>
            <w:tcW w:w="943" w:type="pct"/>
            <w:vAlign w:val="center"/>
          </w:tcPr>
          <w:p w14:paraId="05CF3D5A" w14:textId="77777777" w:rsidR="0054368C" w:rsidRPr="007836B7" w:rsidRDefault="0054368C">
            <w:pPr>
              <w:pStyle w:val="COMTableheadingrow"/>
              <w:jc w:val="center"/>
            </w:pPr>
            <w:r w:rsidRPr="007836B7">
              <w:t>Fedratinib</w:t>
            </w:r>
            <w:r>
              <w:t xml:space="preserve"> 400 mg</w:t>
            </w:r>
          </w:p>
          <w:p w14:paraId="7A71580C" w14:textId="77777777" w:rsidR="0054368C" w:rsidRPr="007836B7" w:rsidRDefault="0054368C">
            <w:pPr>
              <w:pStyle w:val="COMTableheadingrow"/>
              <w:jc w:val="center"/>
            </w:pPr>
            <w:r w:rsidRPr="007836B7">
              <w:t xml:space="preserve">N = </w:t>
            </w:r>
            <w:r>
              <w:t>96</w:t>
            </w:r>
          </w:p>
        </w:tc>
        <w:tc>
          <w:tcPr>
            <w:tcW w:w="786" w:type="pct"/>
            <w:vAlign w:val="center"/>
          </w:tcPr>
          <w:p w14:paraId="694BAC17" w14:textId="77777777" w:rsidR="0054368C" w:rsidRPr="007836B7" w:rsidRDefault="0054368C">
            <w:pPr>
              <w:pStyle w:val="COMTableheadingrow"/>
              <w:jc w:val="center"/>
            </w:pPr>
            <w:r>
              <w:t>Placebo</w:t>
            </w:r>
          </w:p>
          <w:p w14:paraId="1715E652" w14:textId="77777777" w:rsidR="0054368C" w:rsidRPr="007836B7" w:rsidRDefault="0054368C">
            <w:pPr>
              <w:pStyle w:val="COMTableheadingrow"/>
              <w:jc w:val="center"/>
            </w:pPr>
            <w:r w:rsidRPr="007836B7">
              <w:t xml:space="preserve">N = </w:t>
            </w:r>
            <w:r>
              <w:t>96</w:t>
            </w:r>
          </w:p>
        </w:tc>
        <w:tc>
          <w:tcPr>
            <w:tcW w:w="994" w:type="pct"/>
            <w:vAlign w:val="center"/>
          </w:tcPr>
          <w:p w14:paraId="3E3183D9" w14:textId="77777777" w:rsidR="0054368C" w:rsidRPr="007836B7" w:rsidRDefault="0054368C">
            <w:pPr>
              <w:pStyle w:val="COMTableheadingrow"/>
              <w:jc w:val="center"/>
            </w:pPr>
            <w:r w:rsidRPr="007836B7">
              <w:t>Difference in proportion (95% CI)</w:t>
            </w:r>
          </w:p>
        </w:tc>
      </w:tr>
      <w:tr w:rsidR="0054368C" w:rsidRPr="007836B7" w14:paraId="747B0FDA" w14:textId="77777777">
        <w:trPr>
          <w:tblHeader/>
        </w:trPr>
        <w:tc>
          <w:tcPr>
            <w:tcW w:w="5000" w:type="pct"/>
            <w:gridSpan w:val="4"/>
            <w:vAlign w:val="center"/>
          </w:tcPr>
          <w:p w14:paraId="550D2616" w14:textId="77777777" w:rsidR="0054368C" w:rsidRPr="003B2537" w:rsidRDefault="0054368C">
            <w:pPr>
              <w:pStyle w:val="COMTableheadingrow"/>
            </w:pPr>
            <w:r>
              <w:t>S</w:t>
            </w:r>
            <w:r w:rsidRPr="007836B7">
              <w:t>pleen volume reduction</w:t>
            </w:r>
            <w:r>
              <w:t xml:space="preserve"> outcomes at Week 24 (end of Cycle 6)</w:t>
            </w:r>
          </w:p>
        </w:tc>
      </w:tr>
      <w:tr w:rsidR="0054368C" w:rsidRPr="007836B7" w14:paraId="136BDC48" w14:textId="77777777">
        <w:tc>
          <w:tcPr>
            <w:tcW w:w="2277" w:type="pct"/>
            <w:vAlign w:val="center"/>
          </w:tcPr>
          <w:p w14:paraId="301C13AF" w14:textId="77777777" w:rsidR="0054368C" w:rsidRPr="007836B7" w:rsidRDefault="0054368C">
            <w:pPr>
              <w:pStyle w:val="COMTabletext"/>
            </w:pPr>
            <w:r>
              <w:t xml:space="preserve">Primary outcome: Patients with </w:t>
            </w:r>
            <w:r w:rsidRPr="0023675B">
              <w:t xml:space="preserve">≥35% </w:t>
            </w:r>
            <w:r>
              <w:t>SVR with MRI/CT confirmation 4 weeks later,</w:t>
            </w:r>
            <w:r w:rsidRPr="007836B7">
              <w:t xml:space="preserve"> n (%)</w:t>
            </w:r>
          </w:p>
        </w:tc>
        <w:tc>
          <w:tcPr>
            <w:tcW w:w="943" w:type="pct"/>
            <w:vAlign w:val="center"/>
          </w:tcPr>
          <w:p w14:paraId="402BF338" w14:textId="77777777" w:rsidR="0054368C" w:rsidRPr="007836B7" w:rsidRDefault="0054368C">
            <w:pPr>
              <w:pStyle w:val="COMTabletext"/>
              <w:jc w:val="center"/>
            </w:pPr>
            <w:r>
              <w:t>35 (36.5)</w:t>
            </w:r>
          </w:p>
        </w:tc>
        <w:tc>
          <w:tcPr>
            <w:tcW w:w="786" w:type="pct"/>
            <w:vAlign w:val="center"/>
          </w:tcPr>
          <w:p w14:paraId="711E9298" w14:textId="77777777" w:rsidR="0054368C" w:rsidRPr="007836B7" w:rsidRDefault="0054368C">
            <w:pPr>
              <w:pStyle w:val="COMTabletext"/>
              <w:jc w:val="center"/>
            </w:pPr>
            <w:r>
              <w:t>1 (1.0)</w:t>
            </w:r>
          </w:p>
        </w:tc>
        <w:tc>
          <w:tcPr>
            <w:tcW w:w="994" w:type="pct"/>
            <w:vAlign w:val="center"/>
          </w:tcPr>
          <w:p w14:paraId="3CEAB699" w14:textId="77777777" w:rsidR="0054368C" w:rsidRPr="007836B7" w:rsidRDefault="0054368C">
            <w:pPr>
              <w:pStyle w:val="COMTabletext"/>
              <w:jc w:val="center"/>
              <w:rPr>
                <w:b/>
                <w:bCs w:val="0"/>
              </w:rPr>
            </w:pPr>
            <w:r>
              <w:rPr>
                <w:b/>
                <w:bCs w:val="0"/>
              </w:rPr>
              <w:t>35.42 (24.2, 46.7)</w:t>
            </w:r>
          </w:p>
        </w:tc>
      </w:tr>
      <w:tr w:rsidR="0054368C" w:rsidRPr="007836B7" w14:paraId="6F6C8724" w14:textId="77777777">
        <w:tc>
          <w:tcPr>
            <w:tcW w:w="2277" w:type="pct"/>
            <w:vAlign w:val="center"/>
          </w:tcPr>
          <w:p w14:paraId="2BEE81AF" w14:textId="77777777" w:rsidR="0054368C" w:rsidRPr="007836B7" w:rsidRDefault="0054368C">
            <w:pPr>
              <w:pStyle w:val="COMTabletext"/>
            </w:pPr>
            <w:r>
              <w:t xml:space="preserve">Patients with </w:t>
            </w:r>
            <w:r w:rsidRPr="007836B7">
              <w:t xml:space="preserve">≥35% </w:t>
            </w:r>
            <w:r>
              <w:t xml:space="preserve">SVR with no confirmation, </w:t>
            </w:r>
            <w:r w:rsidRPr="007836B7">
              <w:t>n (%)</w:t>
            </w:r>
          </w:p>
        </w:tc>
        <w:tc>
          <w:tcPr>
            <w:tcW w:w="943" w:type="pct"/>
            <w:vAlign w:val="center"/>
          </w:tcPr>
          <w:p w14:paraId="77F1F402" w14:textId="77777777" w:rsidR="0054368C" w:rsidRPr="007836B7" w:rsidRDefault="0054368C">
            <w:pPr>
              <w:pStyle w:val="COMTabletext"/>
              <w:jc w:val="center"/>
            </w:pPr>
            <w:r>
              <w:t>45 (46.9)</w:t>
            </w:r>
          </w:p>
        </w:tc>
        <w:tc>
          <w:tcPr>
            <w:tcW w:w="786" w:type="pct"/>
            <w:vAlign w:val="center"/>
          </w:tcPr>
          <w:p w14:paraId="182ADDFA" w14:textId="77777777" w:rsidR="0054368C" w:rsidRPr="007836B7" w:rsidRDefault="0054368C">
            <w:pPr>
              <w:pStyle w:val="COMTabletext"/>
              <w:jc w:val="center"/>
            </w:pPr>
            <w:r>
              <w:t>1 (1.0)</w:t>
            </w:r>
          </w:p>
        </w:tc>
        <w:tc>
          <w:tcPr>
            <w:tcW w:w="994" w:type="pct"/>
            <w:vAlign w:val="center"/>
          </w:tcPr>
          <w:p w14:paraId="3F926D01" w14:textId="77777777" w:rsidR="0054368C" w:rsidRPr="007836B7" w:rsidRDefault="0054368C">
            <w:pPr>
              <w:pStyle w:val="COMTabletext"/>
              <w:jc w:val="center"/>
              <w:rPr>
                <w:b/>
                <w:bCs w:val="0"/>
              </w:rPr>
            </w:pPr>
            <w:r>
              <w:rPr>
                <w:b/>
                <w:bCs w:val="0"/>
              </w:rPr>
              <w:t>45.83 (34.2, 57.5)</w:t>
            </w:r>
          </w:p>
        </w:tc>
      </w:tr>
      <w:tr w:rsidR="0054368C" w:rsidRPr="007836B7" w14:paraId="75C75982" w14:textId="77777777">
        <w:tc>
          <w:tcPr>
            <w:tcW w:w="2277" w:type="pct"/>
            <w:vAlign w:val="center"/>
          </w:tcPr>
          <w:p w14:paraId="318970BB" w14:textId="77777777" w:rsidR="0054368C" w:rsidRPr="007836B7" w:rsidRDefault="0054368C">
            <w:pPr>
              <w:pStyle w:val="COMTabletext"/>
            </w:pPr>
            <w:r>
              <w:t xml:space="preserve">Patients with </w:t>
            </w:r>
            <w:r w:rsidRPr="007836B7">
              <w:t>≥25% spleen volume reduction</w:t>
            </w:r>
            <w:r>
              <w:t xml:space="preserve"> with MRI/CT confirmation 4 weeks later</w:t>
            </w:r>
            <w:r w:rsidRPr="007836B7">
              <w:t>, n (%)</w:t>
            </w:r>
          </w:p>
        </w:tc>
        <w:tc>
          <w:tcPr>
            <w:tcW w:w="943" w:type="pct"/>
            <w:vAlign w:val="center"/>
          </w:tcPr>
          <w:p w14:paraId="00B68B22" w14:textId="77777777" w:rsidR="0054368C" w:rsidRPr="007836B7" w:rsidRDefault="0054368C">
            <w:pPr>
              <w:pStyle w:val="COMTabletext"/>
              <w:jc w:val="center"/>
            </w:pPr>
            <w:r>
              <w:t>47 (49.0)</w:t>
            </w:r>
          </w:p>
        </w:tc>
        <w:tc>
          <w:tcPr>
            <w:tcW w:w="786" w:type="pct"/>
            <w:vAlign w:val="center"/>
          </w:tcPr>
          <w:p w14:paraId="7604389E" w14:textId="77777777" w:rsidR="0054368C" w:rsidRPr="007836B7" w:rsidRDefault="0054368C">
            <w:pPr>
              <w:pStyle w:val="COMTabletext"/>
              <w:jc w:val="center"/>
            </w:pPr>
            <w:r>
              <w:t>2 (2.1)</w:t>
            </w:r>
          </w:p>
        </w:tc>
        <w:tc>
          <w:tcPr>
            <w:tcW w:w="994" w:type="pct"/>
            <w:vAlign w:val="center"/>
          </w:tcPr>
          <w:p w14:paraId="1AFCF81E" w14:textId="77777777" w:rsidR="0054368C" w:rsidRPr="007836B7" w:rsidRDefault="0054368C">
            <w:pPr>
              <w:pStyle w:val="COMTabletext"/>
              <w:jc w:val="center"/>
              <w:rPr>
                <w:b/>
                <w:bCs w:val="0"/>
              </w:rPr>
            </w:pPr>
            <w:r>
              <w:rPr>
                <w:b/>
                <w:bCs w:val="0"/>
              </w:rPr>
              <w:t>46.88 (35.0, 58.8)</w:t>
            </w:r>
          </w:p>
        </w:tc>
      </w:tr>
    </w:tbl>
    <w:p w14:paraId="7BC1BC6B" w14:textId="77777777" w:rsidR="0054368C" w:rsidRPr="007836B7" w:rsidRDefault="0054368C" w:rsidP="0054368C">
      <w:pPr>
        <w:pStyle w:val="COMTablefooter"/>
      </w:pPr>
      <w:r w:rsidRPr="007836B7">
        <w:t xml:space="preserve">Source: Table </w:t>
      </w:r>
      <w:r>
        <w:t>23, p57 of the resubmission; JAKARTA clinical study report</w:t>
      </w:r>
    </w:p>
    <w:p w14:paraId="52666029" w14:textId="77777777" w:rsidR="0054368C" w:rsidRPr="007836B7" w:rsidRDefault="0054368C" w:rsidP="0054368C">
      <w:pPr>
        <w:pStyle w:val="COMTablefooter"/>
        <w:rPr>
          <w:rFonts w:eastAsia="Calibri"/>
        </w:rPr>
      </w:pPr>
      <w:r w:rsidRPr="007836B7">
        <w:rPr>
          <w:rFonts w:eastAsia="Calibri"/>
        </w:rPr>
        <w:t xml:space="preserve">Abbreviations: CI, confidence interval; </w:t>
      </w:r>
      <w:r>
        <w:rPr>
          <w:rFonts w:eastAsia="Calibri"/>
        </w:rPr>
        <w:t xml:space="preserve">CT, computed tomography; </w:t>
      </w:r>
      <w:r w:rsidRPr="007836B7">
        <w:rPr>
          <w:rFonts w:eastAsia="Calibri"/>
        </w:rPr>
        <w:t>ITT, intent-to-treat</w:t>
      </w:r>
      <w:r>
        <w:rPr>
          <w:rFonts w:eastAsia="Calibri"/>
        </w:rPr>
        <w:t>; MRI, magnetic resonance imaging; SVR, spleen volume reduction</w:t>
      </w:r>
      <w:r w:rsidRPr="007836B7">
        <w:rPr>
          <w:rFonts w:eastAsia="Calibri"/>
        </w:rPr>
        <w:t>.</w:t>
      </w:r>
    </w:p>
    <w:p w14:paraId="3C83F882" w14:textId="77777777" w:rsidR="0054368C" w:rsidRPr="007836B7" w:rsidRDefault="0054368C" w:rsidP="0054368C">
      <w:pPr>
        <w:pStyle w:val="COMTablefooter"/>
        <w:rPr>
          <w:rFonts w:eastAsia="Calibri"/>
        </w:rPr>
      </w:pPr>
      <w:r w:rsidRPr="007836B7">
        <w:rPr>
          <w:rFonts w:eastAsia="Calibri"/>
        </w:rPr>
        <w:t xml:space="preserve">Note: </w:t>
      </w:r>
      <w:r w:rsidRPr="00E142E5">
        <w:rPr>
          <w:rFonts w:eastAsia="Calibri"/>
        </w:rPr>
        <w:t>The JAKARTA clinical study report noted that 10 patients in the fedratinib 400</w:t>
      </w:r>
      <w:r>
        <w:rPr>
          <w:rFonts w:eastAsia="Calibri"/>
        </w:rPr>
        <w:t> mg</w:t>
      </w:r>
      <w:r w:rsidRPr="00E142E5">
        <w:rPr>
          <w:rFonts w:eastAsia="Calibri"/>
        </w:rPr>
        <w:t xml:space="preserve"> arm did not have confirmation of ≥35% spleen volume reduction 4 weeks after the end of Cycle 6, with 6 patients having a spleen volume reduction of less than 35% (ranging from 13% to 34% spleen volume reduction) and the remainder </w:t>
      </w:r>
      <w:r>
        <w:rPr>
          <w:rFonts w:eastAsia="Calibri"/>
        </w:rPr>
        <w:t>with no</w:t>
      </w:r>
      <w:r w:rsidRPr="00E142E5">
        <w:rPr>
          <w:rFonts w:eastAsia="Calibri"/>
        </w:rPr>
        <w:t xml:space="preserve"> scans performed or </w:t>
      </w:r>
      <w:r>
        <w:rPr>
          <w:rFonts w:eastAsia="Calibri"/>
        </w:rPr>
        <w:t>scans o</w:t>
      </w:r>
      <w:r w:rsidRPr="00E142E5">
        <w:rPr>
          <w:rFonts w:eastAsia="Calibri"/>
        </w:rPr>
        <w:t xml:space="preserve">utside of the required time window for confirmation. One patient with spleen volume reduction of 13% at the time of the confirmatory scan had permanently discontinued treatment after the end of </w:t>
      </w:r>
      <w:r>
        <w:rPr>
          <w:rFonts w:eastAsia="Calibri"/>
        </w:rPr>
        <w:t>Cycle 6</w:t>
      </w:r>
      <w:r w:rsidRPr="00E142E5">
        <w:rPr>
          <w:rFonts w:eastAsia="Calibri"/>
        </w:rPr>
        <w:t xml:space="preserve"> assessment.</w:t>
      </w:r>
    </w:p>
    <w:p w14:paraId="011A3BDB" w14:textId="4440DC71" w:rsidR="0054368C" w:rsidRDefault="0054368C" w:rsidP="001E1A03">
      <w:pPr>
        <w:pStyle w:val="COMTablefooter"/>
        <w:rPr>
          <w:color w:val="0066FF"/>
        </w:rPr>
      </w:pPr>
      <w:r w:rsidRPr="007836B7">
        <w:rPr>
          <w:rFonts w:eastAsia="Calibri"/>
          <w:b/>
          <w:bCs/>
        </w:rPr>
        <w:t>Bold</w:t>
      </w:r>
      <w:r w:rsidRPr="007836B7">
        <w:rPr>
          <w:rFonts w:eastAsia="Calibri"/>
        </w:rPr>
        <w:t xml:space="preserve"> indicates statistically significant results.</w:t>
      </w:r>
    </w:p>
    <w:p w14:paraId="320C67AD" w14:textId="7EBA2D10" w:rsidR="00027AD6" w:rsidRPr="00027AD6" w:rsidRDefault="00B15A5E">
      <w:pPr>
        <w:pStyle w:val="COMESnumberedpara"/>
        <w:rPr>
          <w:color w:val="0066FF"/>
        </w:rPr>
      </w:pPr>
      <w:r>
        <w:t>In the JAKARTA trial, f</w:t>
      </w:r>
      <w:r w:rsidR="00FA7CF9" w:rsidRPr="00A8063A">
        <w:t>edratinib 400</w:t>
      </w:r>
      <w:r w:rsidR="00FA7CF9">
        <w:t> mg</w:t>
      </w:r>
      <w:r w:rsidR="00FA7CF9" w:rsidRPr="00A8063A">
        <w:t xml:space="preserve"> was associated with a statistically significantly greater proportion of responders compared to </w:t>
      </w:r>
      <w:r w:rsidR="00FA7CF9">
        <w:t>placebo</w:t>
      </w:r>
      <w:r w:rsidR="00FA7CF9" w:rsidRPr="00A8063A">
        <w:t xml:space="preserve"> for the primary and key secondary spleen response outcomes.</w:t>
      </w:r>
      <w:r w:rsidR="00FA7CF9">
        <w:t xml:space="preserve"> For the secondary outcome of duration of spleen response, follow-up was subject to extensive censoring due to the early termination of the study, and ranged from 0 to 18.2 months for the 400 mg fedratinib arm. Median duration of spleen response in the fedratinib 400 mg arm was 18.2</w:t>
      </w:r>
      <w:r w:rsidR="00DD735A">
        <w:t> </w:t>
      </w:r>
      <w:r w:rsidR="00FA7CF9">
        <w:t>months. Six patients experienced disease progression or death during the trial. One patient in the placebo arm demonstrated a spleen response during the first 6 treatment cycles, then crossed over to receive fedratinib 500 mg, and continued to demonstrate a response until the end of the study.</w:t>
      </w:r>
    </w:p>
    <w:p w14:paraId="0360E188" w14:textId="2D20A1AE" w:rsidR="00027AD6" w:rsidRPr="004D35DF" w:rsidRDefault="004D35DF">
      <w:pPr>
        <w:pStyle w:val="COMESnumberedpara"/>
      </w:pPr>
      <w:r w:rsidRPr="004D35DF">
        <w:t xml:space="preserve">Results of the key secondary outcome from JAKARTA, proportion of patients with at least a 50% reduction in MFSAF </w:t>
      </w:r>
      <w:r w:rsidR="009B14CE">
        <w:t xml:space="preserve">total </w:t>
      </w:r>
      <w:r w:rsidRPr="004D35DF">
        <w:t xml:space="preserve">symptom scores from baseline to the end of Cycle 6 </w:t>
      </w:r>
      <w:r>
        <w:t xml:space="preserve">(in patients with a non-missing baseline total symptom score) </w:t>
      </w:r>
      <w:r w:rsidRPr="004D35DF">
        <w:t xml:space="preserve">are summarised in </w:t>
      </w:r>
      <w:r>
        <w:fldChar w:fldCharType="begin"/>
      </w:r>
      <w:r>
        <w:instrText xml:space="preserve"> REF _Ref207961615 \h </w:instrText>
      </w:r>
      <w:r>
        <w:fldChar w:fldCharType="separate"/>
      </w:r>
      <w:r w:rsidR="000F0515" w:rsidRPr="00817510">
        <w:t>Table</w:t>
      </w:r>
      <w:r w:rsidR="000F0515">
        <w:t xml:space="preserve"> </w:t>
      </w:r>
      <w:r w:rsidR="000F0515">
        <w:rPr>
          <w:noProof/>
        </w:rPr>
        <w:t>7</w:t>
      </w:r>
      <w:r>
        <w:fldChar w:fldCharType="end"/>
      </w:r>
      <w:r w:rsidRPr="004D35DF">
        <w:t>.</w:t>
      </w:r>
    </w:p>
    <w:p w14:paraId="2815C8BB" w14:textId="2A040FE0" w:rsidR="004D35DF" w:rsidRPr="000F0DFF" w:rsidRDefault="004D35DF" w:rsidP="004D35DF">
      <w:pPr>
        <w:pStyle w:val="COMtablefigcaption"/>
      </w:pPr>
      <w:bookmarkStart w:id="27" w:name="_Ref207961615"/>
      <w:r w:rsidRPr="00817510">
        <w:t>Table</w:t>
      </w:r>
      <w:r>
        <w:t xml:space="preserve"> </w:t>
      </w:r>
      <w:r w:rsidR="0003298B">
        <w:fldChar w:fldCharType="begin"/>
      </w:r>
      <w:r w:rsidR="0003298B">
        <w:instrText xml:space="preserve"> SEQ Table \* ARABIC </w:instrText>
      </w:r>
      <w:r w:rsidR="0003298B">
        <w:fldChar w:fldCharType="separate"/>
      </w:r>
      <w:r w:rsidR="000F0515">
        <w:rPr>
          <w:noProof/>
        </w:rPr>
        <w:t>7</w:t>
      </w:r>
      <w:r w:rsidR="0003298B">
        <w:rPr>
          <w:noProof/>
        </w:rPr>
        <w:fldChar w:fldCharType="end"/>
      </w:r>
      <w:bookmarkEnd w:id="27"/>
      <w:r w:rsidRPr="00817510">
        <w:t xml:space="preserve">: Proportion of </w:t>
      </w:r>
      <w:r w:rsidRPr="000F0DFF">
        <w:t>patients with at least 50% reduction in MFSAF total symptom scores from baseline to end of Cycle 6, JAKARTA, ITT population with non-</w:t>
      </w:r>
      <w:r>
        <w:t>missing</w:t>
      </w:r>
      <w:r w:rsidRPr="000F0DFF">
        <w:t xml:space="preserve"> baseline total symptom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Proportion of patients with at least 50% reduction in MFSAF total symptom scores from baseline to end of Cycle 6, JAKARTA, ITT population with non-missing baseline total symptom score"/>
      </w:tblPr>
      <w:tblGrid>
        <w:gridCol w:w="3538"/>
        <w:gridCol w:w="1847"/>
        <w:gridCol w:w="1702"/>
        <w:gridCol w:w="1930"/>
      </w:tblGrid>
      <w:tr w:rsidR="004D35DF" w:rsidRPr="000F0DFF" w14:paraId="7FD2F2F9" w14:textId="77777777">
        <w:trPr>
          <w:tblHeader/>
        </w:trPr>
        <w:tc>
          <w:tcPr>
            <w:tcW w:w="1962" w:type="pct"/>
            <w:vAlign w:val="center"/>
          </w:tcPr>
          <w:p w14:paraId="66C26CCC" w14:textId="77777777" w:rsidR="004D35DF" w:rsidRPr="000F0DFF" w:rsidRDefault="004D35DF">
            <w:pPr>
              <w:pStyle w:val="COMTableheadingrow"/>
            </w:pPr>
            <w:r w:rsidRPr="000F0DFF">
              <w:t>Outcome at week 24</w:t>
            </w:r>
          </w:p>
        </w:tc>
        <w:tc>
          <w:tcPr>
            <w:tcW w:w="1024" w:type="pct"/>
            <w:vAlign w:val="center"/>
          </w:tcPr>
          <w:p w14:paraId="4BD4B729" w14:textId="77777777" w:rsidR="004D35DF" w:rsidRPr="000F0DFF" w:rsidRDefault="004D35DF">
            <w:pPr>
              <w:pStyle w:val="COMTableheadingrow"/>
              <w:jc w:val="center"/>
            </w:pPr>
            <w:r w:rsidRPr="000F0DFF">
              <w:t>Fedratinib</w:t>
            </w:r>
            <w:r>
              <w:t xml:space="preserve"> 400 mg</w:t>
            </w:r>
          </w:p>
          <w:p w14:paraId="3A836CB2" w14:textId="77777777" w:rsidR="004D35DF" w:rsidRPr="000F0DFF" w:rsidRDefault="004D35DF">
            <w:pPr>
              <w:pStyle w:val="COMTableheadingrow"/>
              <w:jc w:val="center"/>
            </w:pPr>
            <w:r w:rsidRPr="000F0DFF">
              <w:t xml:space="preserve">N = </w:t>
            </w:r>
            <w:r>
              <w:t>91</w:t>
            </w:r>
          </w:p>
        </w:tc>
        <w:tc>
          <w:tcPr>
            <w:tcW w:w="944" w:type="pct"/>
            <w:vAlign w:val="center"/>
          </w:tcPr>
          <w:p w14:paraId="5EEDC978" w14:textId="77777777" w:rsidR="004D35DF" w:rsidRPr="000F0DFF" w:rsidRDefault="004D35DF">
            <w:pPr>
              <w:pStyle w:val="COMTableheadingrow"/>
              <w:jc w:val="center"/>
            </w:pPr>
            <w:r>
              <w:t>Placebo</w:t>
            </w:r>
          </w:p>
          <w:p w14:paraId="6356F482" w14:textId="77777777" w:rsidR="004D35DF" w:rsidRPr="000F0DFF" w:rsidRDefault="004D35DF">
            <w:pPr>
              <w:pStyle w:val="COMTableheadingrow"/>
              <w:jc w:val="center"/>
            </w:pPr>
            <w:r w:rsidRPr="000F0DFF">
              <w:t xml:space="preserve">N = </w:t>
            </w:r>
            <w:r>
              <w:t>8</w:t>
            </w:r>
            <w:r w:rsidRPr="000F0DFF">
              <w:t>5</w:t>
            </w:r>
          </w:p>
        </w:tc>
        <w:tc>
          <w:tcPr>
            <w:tcW w:w="1070" w:type="pct"/>
            <w:vAlign w:val="center"/>
          </w:tcPr>
          <w:p w14:paraId="19EEF8FE" w14:textId="77777777" w:rsidR="004D35DF" w:rsidRPr="000F0DFF" w:rsidRDefault="004D35DF">
            <w:pPr>
              <w:pStyle w:val="COMTableheadingrow"/>
              <w:jc w:val="center"/>
            </w:pPr>
            <w:r w:rsidRPr="000F0DFF">
              <w:t>Difference in proportion (95% CI)</w:t>
            </w:r>
          </w:p>
        </w:tc>
      </w:tr>
      <w:tr w:rsidR="004D35DF" w:rsidRPr="000F0DFF" w14:paraId="55476AC0" w14:textId="77777777">
        <w:tc>
          <w:tcPr>
            <w:tcW w:w="1962" w:type="pct"/>
            <w:vAlign w:val="center"/>
          </w:tcPr>
          <w:p w14:paraId="5AC03E54" w14:textId="77777777" w:rsidR="004D35DF" w:rsidRPr="000F0DFF" w:rsidRDefault="004D35DF">
            <w:pPr>
              <w:pStyle w:val="COMTabletext"/>
            </w:pPr>
            <w:r w:rsidRPr="000F0DFF">
              <w:t>≥50% reduction in TSS, n (%)</w:t>
            </w:r>
          </w:p>
        </w:tc>
        <w:tc>
          <w:tcPr>
            <w:tcW w:w="1024" w:type="pct"/>
            <w:vAlign w:val="center"/>
          </w:tcPr>
          <w:p w14:paraId="1C2410BB" w14:textId="77777777" w:rsidR="004D35DF" w:rsidRPr="000F0DFF" w:rsidRDefault="004D35DF">
            <w:pPr>
              <w:pStyle w:val="COMTabletext"/>
              <w:jc w:val="center"/>
            </w:pPr>
            <w:r>
              <w:t>36 (39.6)</w:t>
            </w:r>
          </w:p>
        </w:tc>
        <w:tc>
          <w:tcPr>
            <w:tcW w:w="944" w:type="pct"/>
            <w:vAlign w:val="center"/>
          </w:tcPr>
          <w:p w14:paraId="2EA2A536" w14:textId="77777777" w:rsidR="004D35DF" w:rsidRPr="000F0DFF" w:rsidRDefault="004D35DF">
            <w:pPr>
              <w:pStyle w:val="COMTabletext"/>
              <w:jc w:val="center"/>
            </w:pPr>
            <w:r>
              <w:t>7 (8.2)</w:t>
            </w:r>
          </w:p>
        </w:tc>
        <w:tc>
          <w:tcPr>
            <w:tcW w:w="1070" w:type="pct"/>
            <w:vAlign w:val="center"/>
          </w:tcPr>
          <w:p w14:paraId="30A8C2D6" w14:textId="77777777" w:rsidR="004D35DF" w:rsidRPr="000F0DFF" w:rsidRDefault="004D35DF">
            <w:pPr>
              <w:pStyle w:val="COMTabletext"/>
              <w:jc w:val="center"/>
              <w:rPr>
                <w:b/>
                <w:bCs w:val="0"/>
              </w:rPr>
            </w:pPr>
            <w:r>
              <w:rPr>
                <w:b/>
                <w:bCs w:val="0"/>
              </w:rPr>
              <w:t>31.33 (18.0, 44.6)</w:t>
            </w:r>
          </w:p>
        </w:tc>
      </w:tr>
    </w:tbl>
    <w:p w14:paraId="2FD72DE1" w14:textId="77777777" w:rsidR="004D35DF" w:rsidRPr="00AC686E" w:rsidRDefault="004D35DF" w:rsidP="004D35DF">
      <w:pPr>
        <w:pStyle w:val="COMTablefooter"/>
      </w:pPr>
      <w:r w:rsidRPr="00AC686E">
        <w:t>Source: Table 24, p57 of the resubmission</w:t>
      </w:r>
    </w:p>
    <w:p w14:paraId="6D07DA51" w14:textId="77777777" w:rsidR="004D35DF" w:rsidRPr="00AC686E" w:rsidRDefault="004D35DF" w:rsidP="004D35DF">
      <w:pPr>
        <w:pStyle w:val="COMTablefooter"/>
        <w:rPr>
          <w:rFonts w:eastAsia="Calibri"/>
        </w:rPr>
      </w:pPr>
      <w:r w:rsidRPr="00AC686E">
        <w:rPr>
          <w:rFonts w:eastAsia="Calibri"/>
        </w:rPr>
        <w:t xml:space="preserve">Abbreviations: ITT, intent-to-treat; </w:t>
      </w:r>
      <w:r w:rsidRPr="00AC686E">
        <w:t xml:space="preserve">MFSAF, Myelofibrosis Symptom Assessment Form; </w:t>
      </w:r>
      <w:r w:rsidRPr="00AC686E">
        <w:rPr>
          <w:rFonts w:eastAsia="Calibri"/>
        </w:rPr>
        <w:t>TSS, total symptom score.</w:t>
      </w:r>
    </w:p>
    <w:p w14:paraId="614F3D80" w14:textId="46815B48" w:rsidR="004D35DF" w:rsidRPr="002528FF" w:rsidRDefault="004D35DF" w:rsidP="004D35DF">
      <w:pPr>
        <w:pStyle w:val="COMTablefooter"/>
      </w:pPr>
      <w:r w:rsidRPr="002528FF">
        <w:t xml:space="preserve">Note: The MFSAF asks patients to report myelofibrosis associated symptoms experienced within the prior 7 days, including night sweats, pruritus, abdominal discomfort, early satiety, pain under ribs on the left side, </w:t>
      </w:r>
      <w:r>
        <w:t xml:space="preserve">and </w:t>
      </w:r>
      <w:r w:rsidRPr="002528FF">
        <w:t>bone or muscle pain. Each symptom is scored from 0 to 10, with the total symptom score (0 to 60) the sum of the scores for the 6 symptoms, and higher scores corresponding to more severe symptoms.</w:t>
      </w:r>
      <w:r>
        <w:t xml:space="preserve"> </w:t>
      </w:r>
      <w:r w:rsidR="00FB1C7A">
        <w:t>Two (2.1%) fedratinib 400 mg treated subjects and 4 (4.2%) placebo-treated subjects had a baseline TSS of zero (no symptoms).</w:t>
      </w:r>
    </w:p>
    <w:p w14:paraId="37F73CE1" w14:textId="77777777" w:rsidR="004D35DF" w:rsidRPr="00351304" w:rsidRDefault="004D35DF" w:rsidP="004D35DF">
      <w:pPr>
        <w:pStyle w:val="COMTablefooter"/>
        <w:rPr>
          <w:rFonts w:eastAsia="Calibri"/>
        </w:rPr>
      </w:pPr>
      <w:r w:rsidRPr="00351304">
        <w:rPr>
          <w:rFonts w:eastAsia="Calibri"/>
          <w:b/>
          <w:bCs/>
        </w:rPr>
        <w:t>Bold</w:t>
      </w:r>
      <w:r w:rsidRPr="00351304">
        <w:rPr>
          <w:rFonts w:eastAsia="Calibri"/>
        </w:rPr>
        <w:t xml:space="preserve"> indicates statistically significant results.</w:t>
      </w:r>
    </w:p>
    <w:p w14:paraId="7BB229A8" w14:textId="41AA714D" w:rsidR="000E605A" w:rsidRDefault="000E605A">
      <w:pPr>
        <w:pStyle w:val="COMESnumberedpara"/>
        <w:rPr>
          <w:color w:val="0066FF"/>
        </w:rPr>
      </w:pPr>
      <w:r w:rsidRPr="00351304">
        <w:t xml:space="preserve">A statistically significantly greater proportion of patients treated with fedratinib </w:t>
      </w:r>
      <w:r>
        <w:t xml:space="preserve">400 mg </w:t>
      </w:r>
      <w:r w:rsidRPr="00351304">
        <w:t xml:space="preserve">achieved at least a 50% reduction in MFSAF total symptom scores compared to patients in the </w:t>
      </w:r>
      <w:r>
        <w:t>placebo arm</w:t>
      </w:r>
      <w:r w:rsidRPr="00351304">
        <w:t>.</w:t>
      </w:r>
      <w:r>
        <w:t xml:space="preserve"> Results in the symptom analysis population (fedratinib 400 mg</w:t>
      </w:r>
      <w:r w:rsidRPr="003C435C">
        <w:t xml:space="preserve"> </w:t>
      </w:r>
      <w:r>
        <w:t>n = 89, placebo</w:t>
      </w:r>
      <w:r w:rsidRPr="003C435C">
        <w:t xml:space="preserve"> </w:t>
      </w:r>
      <w:r>
        <w:t xml:space="preserve">n = 81) that </w:t>
      </w:r>
      <w:r w:rsidR="00FB1C7A">
        <w:t xml:space="preserve">additionally </w:t>
      </w:r>
      <w:r>
        <w:t>excluded patients with a baseline TSS of zero, were consistent with the ITT population results.</w:t>
      </w:r>
    </w:p>
    <w:p w14:paraId="1D1E9EA0" w14:textId="4742596B" w:rsidR="00485CFB" w:rsidRPr="00E20B17" w:rsidRDefault="00485CFB">
      <w:pPr>
        <w:pStyle w:val="COMESnumberedpara"/>
      </w:pPr>
      <w:r w:rsidRPr="00526335">
        <w:t xml:space="preserve">Quality of life in the JAKARTA trial was an exploratory outcome measured by the </w:t>
      </w:r>
      <w:r w:rsidR="00D81B3A" w:rsidRPr="00526335">
        <w:t>E</w:t>
      </w:r>
      <w:r w:rsidRPr="00526335">
        <w:t>Q-5D-5L utility score (value set not specified) and visual analogue scale</w:t>
      </w:r>
      <w:r w:rsidR="00D81B3A" w:rsidRPr="00526335">
        <w:t xml:space="preserve"> (VAS</w:t>
      </w:r>
      <w:r w:rsidR="00C03D6F">
        <w:t xml:space="preserve">). </w:t>
      </w:r>
      <w:r w:rsidR="00D81B3A" w:rsidRPr="00526335">
        <w:t xml:space="preserve">Patients in the fedratinib 400 mg arm had increased mean </w:t>
      </w:r>
      <w:r w:rsidR="00526335" w:rsidRPr="00526335">
        <w:t xml:space="preserve">EQ-5D-5L VAS and utility scores (indicating improvement) from baseline to the end of Cycle 6, while a slight decrease in scores </w:t>
      </w:r>
      <w:r w:rsidR="00941D12" w:rsidRPr="00526335">
        <w:t>w</w:t>
      </w:r>
      <w:r w:rsidR="00941D12">
        <w:t>as</w:t>
      </w:r>
      <w:r w:rsidR="00941D12" w:rsidRPr="00526335">
        <w:t xml:space="preserve"> </w:t>
      </w:r>
      <w:r w:rsidR="00526335" w:rsidRPr="00526335">
        <w:t>noted in the placebo arm</w:t>
      </w:r>
      <w:r w:rsidR="00526335" w:rsidRPr="00E20B17">
        <w:t>. Differences between treatment arms were not assessed statistically.</w:t>
      </w:r>
    </w:p>
    <w:p w14:paraId="6529ABF5" w14:textId="6582EB5A" w:rsidR="00DF6341" w:rsidRPr="00526335" w:rsidRDefault="00BC0C9F">
      <w:pPr>
        <w:pStyle w:val="COMESnumberedpara"/>
      </w:pPr>
      <w:r w:rsidRPr="00526335">
        <w:t>Analys</w:t>
      </w:r>
      <w:r>
        <w:t>e</w:t>
      </w:r>
      <w:r w:rsidRPr="00526335">
        <w:t xml:space="preserve">s </w:t>
      </w:r>
      <w:r w:rsidR="00526335" w:rsidRPr="00526335">
        <w:t>of survival outcomes were not performed as planned in the JAKARTA trial due to the early termination of the study</w:t>
      </w:r>
      <w:r w:rsidR="00DF6341" w:rsidRPr="00526335">
        <w:t>.</w:t>
      </w:r>
    </w:p>
    <w:p w14:paraId="1E1D5E29" w14:textId="3EBC795F" w:rsidR="004D0628" w:rsidRDefault="004D0628" w:rsidP="00654B24">
      <w:pPr>
        <w:pStyle w:val="COMBodyH4"/>
      </w:pPr>
      <w:r>
        <w:t>Indirect comparison with ruxolitinib</w:t>
      </w:r>
    </w:p>
    <w:p w14:paraId="06CD0198" w14:textId="77777777" w:rsidR="00171E6D" w:rsidRDefault="00964BAA">
      <w:pPr>
        <w:pStyle w:val="COMESnumberedpara"/>
      </w:pPr>
      <w:r w:rsidRPr="00303186">
        <w:t>The resubmission presented</w:t>
      </w:r>
      <w:r w:rsidR="00303186">
        <w:t xml:space="preserve"> the results of</w:t>
      </w:r>
      <w:r w:rsidRPr="00303186">
        <w:t xml:space="preserve"> an indirect treatment comparison of one fedratinib trial (JAKARTA), and two ruxolitinib trials (COMFORT-I and COMFORT-II)</w:t>
      </w:r>
      <w:r w:rsidR="00303186" w:rsidRPr="00303186">
        <w:t xml:space="preserve"> of patients with intermediate-2 or high risk myelofibrosis who had not received previous treatment with a JAK inhibitor.</w:t>
      </w:r>
      <w:r w:rsidRPr="00303186">
        <w:t xml:space="preserve"> </w:t>
      </w:r>
      <w:r w:rsidR="008A0BA0" w:rsidRPr="008A0BA0">
        <w:t xml:space="preserve">The resubmission argued that despite the differences in study design, inclusion and exclusion criteria, endpoint definitions and baseline characteristics, the JAKARTA, COMFORT-I and COMFORT-II trials were considered sufficiently homogenous and similar to perform standard indirect treatment comparisons. </w:t>
      </w:r>
    </w:p>
    <w:p w14:paraId="214F2065" w14:textId="519F7D44" w:rsidR="00964BAA" w:rsidRPr="008A0BA0" w:rsidRDefault="008A0BA0">
      <w:pPr>
        <w:pStyle w:val="COMESnumberedpara"/>
      </w:pPr>
      <w:r w:rsidRPr="008A0BA0">
        <w:t>Noting that treatment-effect modifiers may potentially confound results in an anchored ITC, the resubmission conducted a match</w:t>
      </w:r>
      <w:r w:rsidR="00386C6C">
        <w:t>ing</w:t>
      </w:r>
      <w:r w:rsidRPr="008A0BA0">
        <w:t xml:space="preserve"> adjusted indirect comparison</w:t>
      </w:r>
      <w:r w:rsidR="00D87A0D">
        <w:t xml:space="preserve"> (MAIC)</w:t>
      </w:r>
      <w:r w:rsidRPr="008A0BA0">
        <w:t xml:space="preserve"> to explore the potential impact of treatment effect modifiers on the results. However, </w:t>
      </w:r>
      <w:r w:rsidR="00611E17">
        <w:t xml:space="preserve">data for </w:t>
      </w:r>
      <w:r w:rsidRPr="008A0BA0">
        <w:t xml:space="preserve">only one </w:t>
      </w:r>
      <w:r w:rsidR="001C31ED">
        <w:t xml:space="preserve">of two identified </w:t>
      </w:r>
      <w:r w:rsidRPr="008A0BA0">
        <w:t>potential treatment effect modifier</w:t>
      </w:r>
      <w:r w:rsidR="001C31ED">
        <w:t>s</w:t>
      </w:r>
      <w:r w:rsidRPr="008A0BA0">
        <w:t>, JAK2 mutation status, was available across all trials. There were no adjusted analyses conducted for the outcome of total symptom score response as no potential treatment effect modifiers were identified for this endpoint.</w:t>
      </w:r>
      <w:r w:rsidR="00740662">
        <w:t xml:space="preserve"> Given differences in trial eligibility criteria for baseline platelet counts (</w:t>
      </w:r>
      <w:r w:rsidR="00740662" w:rsidRPr="000F7878">
        <w:t xml:space="preserve">≥50 </w:t>
      </w:r>
      <w:r w:rsidR="00C97AA9">
        <w:t>×</w:t>
      </w:r>
      <w:r w:rsidR="00C97AA9" w:rsidRPr="000F7878">
        <w:t xml:space="preserve"> </w:t>
      </w:r>
      <w:r w:rsidR="00740662" w:rsidRPr="000F7878">
        <w:t>10</w:t>
      </w:r>
      <w:r w:rsidR="00740662" w:rsidRPr="00740662">
        <w:rPr>
          <w:vertAlign w:val="superscript"/>
        </w:rPr>
        <w:t>9</w:t>
      </w:r>
      <w:r w:rsidR="00740662" w:rsidRPr="000F7878">
        <w:t xml:space="preserve">/L in the JAKARTA trial compared to ≥100 </w:t>
      </w:r>
      <w:r w:rsidR="00C97AA9">
        <w:t>×</w:t>
      </w:r>
      <w:r w:rsidR="00C97AA9" w:rsidRPr="000F7878">
        <w:t xml:space="preserve"> </w:t>
      </w:r>
      <w:r w:rsidR="00740662" w:rsidRPr="000F7878">
        <w:t>10</w:t>
      </w:r>
      <w:r w:rsidR="00740662" w:rsidRPr="00740662">
        <w:rPr>
          <w:vertAlign w:val="superscript"/>
        </w:rPr>
        <w:t>9</w:t>
      </w:r>
      <w:r w:rsidR="00740662" w:rsidRPr="000F7878">
        <w:t>/L in the COMFORT trials</w:t>
      </w:r>
      <w:r w:rsidR="00740662">
        <w:t xml:space="preserve">), the resubmission also </w:t>
      </w:r>
      <w:r w:rsidR="00327F7F">
        <w:t xml:space="preserve">conducted indirect treatment comparisons of the subgroup of JAKARTA patients with baseline platelet counts </w:t>
      </w:r>
      <w:r w:rsidR="00327F7F" w:rsidRPr="000F7878">
        <w:t xml:space="preserve">≥100 </w:t>
      </w:r>
      <w:r w:rsidR="00C97AA9">
        <w:t>×</w:t>
      </w:r>
      <w:r w:rsidR="00C97AA9" w:rsidRPr="000F7878">
        <w:t xml:space="preserve"> </w:t>
      </w:r>
      <w:r w:rsidR="00327F7F" w:rsidRPr="000F7878">
        <w:t>10</w:t>
      </w:r>
      <w:r w:rsidR="00327F7F" w:rsidRPr="00740662">
        <w:rPr>
          <w:vertAlign w:val="superscript"/>
        </w:rPr>
        <w:t>9</w:t>
      </w:r>
      <w:r w:rsidR="00327F7F" w:rsidRPr="000F7878">
        <w:t>/L</w:t>
      </w:r>
      <w:r w:rsidR="00724692">
        <w:t>, consistent with the eligibility requirements of</w:t>
      </w:r>
      <w:r w:rsidR="001F757E">
        <w:t xml:space="preserve"> the COMFORT-I and COMFORT-II trial populations.</w:t>
      </w:r>
    </w:p>
    <w:p w14:paraId="473F095E" w14:textId="7441883A" w:rsidR="00773530" w:rsidRPr="00CB1EA6" w:rsidRDefault="00773530" w:rsidP="00EC5836">
      <w:pPr>
        <w:pStyle w:val="COMESnumberedpara"/>
        <w:rPr>
          <w:color w:val="0066FF"/>
        </w:rPr>
      </w:pPr>
      <w:r w:rsidRPr="00CB1EA6">
        <w:t xml:space="preserve">The resubmission assumed that the </w:t>
      </w:r>
      <w:r w:rsidR="004C3F3B" w:rsidRPr="00CB1EA6">
        <w:t>best available therapy</w:t>
      </w:r>
      <w:r w:rsidRPr="00CB1EA6">
        <w:t xml:space="preserve"> arm of </w:t>
      </w:r>
      <w:r w:rsidR="004C3F3B" w:rsidRPr="00CB1EA6">
        <w:t xml:space="preserve">the </w:t>
      </w:r>
      <w:r w:rsidRPr="00CB1EA6">
        <w:t xml:space="preserve">COMFORT-II </w:t>
      </w:r>
      <w:r w:rsidR="004C3F3B" w:rsidRPr="00CB1EA6">
        <w:t>trial was</w:t>
      </w:r>
      <w:r w:rsidRPr="00CB1EA6">
        <w:t xml:space="preserve"> a common comparator to placebo, based on a post hoc comparison of baseline characteristics, spleen volume and spleen length response, patient-reported outcomes and adverse events of the COMFORT-I (n = 154) and COMFORT-II (n = 73) control arms (Mesa 2014). The resubmission argued that the study concluded that BAT provides little improvement in splenomegaly, symptoms or quality of life compared with placebo. The BAT arm of the COMFORT-II trial included 49 patients (67%) who received any active therapy (the </w:t>
      </w:r>
      <w:proofErr w:type="gramStart"/>
      <w:r w:rsidRPr="00CB1EA6">
        <w:t>most commonly used</w:t>
      </w:r>
      <w:proofErr w:type="gramEnd"/>
      <w:r w:rsidRPr="00CB1EA6">
        <w:t xml:space="preserve"> agents were hydroxyurea and glucocorticoids) and 24 patients (33%) who received no therapy during the randomised treatment phase. </w:t>
      </w:r>
      <w:r w:rsidR="00A77118" w:rsidRPr="00CB1EA6">
        <w:t>W</w:t>
      </w:r>
      <w:r w:rsidRPr="00CB1EA6">
        <w:t>hen the BAT arm of COMFORT-II was separated into active versus no treatments, a clinically significant mean change from baseline in global health status was noted in the BAT active treatment group, and a comparison of palpable spleen length over time showed a decrease in spleen length at Week 24 in the BAT active treatment group compared to no change in the overall BAT arm and an increase in spleen length in the placebo arm. The study authors noted that the comparison between control arms was limited by differences in patient populations and eligibility and inclusion criteria of the two trials. It is unclear if the assumption of comparable control arms for the purposes of an anchored indirect comparison was reasonable.</w:t>
      </w:r>
    </w:p>
    <w:p w14:paraId="24A63FA0" w14:textId="6FCDCDE1" w:rsidR="000F7878" w:rsidRDefault="000F7878" w:rsidP="000F7878">
      <w:pPr>
        <w:pStyle w:val="COMESnumberedpara"/>
      </w:pPr>
      <w:r w:rsidRPr="00E37EE4">
        <w:t xml:space="preserve">The results of the indirect comparisons for the proportion of subjects achieving </w:t>
      </w:r>
      <w:r w:rsidRPr="00E37EE4">
        <w:rPr>
          <w:rFonts w:cs="Calibri"/>
        </w:rPr>
        <w:t>≥</w:t>
      </w:r>
      <w:r w:rsidRPr="00E37EE4">
        <w:t xml:space="preserve">35% spleen volume reduction from baseline to Week 24, including an analysis using the subgroup of JAKARTA trial patients with platelets </w:t>
      </w:r>
      <w:r w:rsidRPr="00E37EE4">
        <w:rPr>
          <w:rFonts w:cs="Calibri"/>
        </w:rPr>
        <w:t>≥</w:t>
      </w:r>
      <w:r w:rsidRPr="00E37EE4">
        <w:t xml:space="preserve">100 </w:t>
      </w:r>
      <w:r w:rsidRPr="00E37EE4">
        <w:rPr>
          <w:rFonts w:cs="Calibri"/>
        </w:rPr>
        <w:t>×</w:t>
      </w:r>
      <w:r w:rsidRPr="00E37EE4">
        <w:t xml:space="preserve"> 10</w:t>
      </w:r>
      <w:r w:rsidRPr="00E37EE4">
        <w:rPr>
          <w:vertAlign w:val="superscript"/>
        </w:rPr>
        <w:t>9</w:t>
      </w:r>
      <w:r w:rsidRPr="00E37EE4">
        <w:t xml:space="preserve">/L, are presented in </w:t>
      </w:r>
      <w:r>
        <w:fldChar w:fldCharType="begin"/>
      </w:r>
      <w:r>
        <w:instrText xml:space="preserve"> REF _Ref207981858 \h  \* MERGEFORMAT </w:instrText>
      </w:r>
      <w:r>
        <w:fldChar w:fldCharType="separate"/>
      </w:r>
      <w:r w:rsidR="000F0515" w:rsidRPr="0098262F">
        <w:t xml:space="preserve">Table </w:t>
      </w:r>
      <w:r w:rsidR="000F0515">
        <w:rPr>
          <w:noProof/>
        </w:rPr>
        <w:t>8</w:t>
      </w:r>
      <w:r>
        <w:fldChar w:fldCharType="end"/>
      </w:r>
      <w:r w:rsidRPr="00E37EE4">
        <w:t>.</w:t>
      </w:r>
    </w:p>
    <w:p w14:paraId="18E3A1FD" w14:textId="3049EE84" w:rsidR="000F7878" w:rsidRPr="0098262F" w:rsidRDefault="000F7878" w:rsidP="000F7878">
      <w:pPr>
        <w:pStyle w:val="COMtablefigcaption"/>
      </w:pPr>
      <w:bookmarkStart w:id="28" w:name="_Ref207981858"/>
      <w:r w:rsidRPr="0098262F">
        <w:t xml:space="preserve">Table </w:t>
      </w:r>
      <w:r w:rsidR="0003298B">
        <w:fldChar w:fldCharType="begin"/>
      </w:r>
      <w:r w:rsidR="0003298B">
        <w:instrText xml:space="preserve"> SEQ Table \* ARABIC </w:instrText>
      </w:r>
      <w:r w:rsidR="0003298B">
        <w:fldChar w:fldCharType="separate"/>
      </w:r>
      <w:r w:rsidR="000F0515">
        <w:rPr>
          <w:noProof/>
        </w:rPr>
        <w:t>8</w:t>
      </w:r>
      <w:r w:rsidR="0003298B">
        <w:rPr>
          <w:noProof/>
        </w:rPr>
        <w:fldChar w:fldCharType="end"/>
      </w:r>
      <w:bookmarkEnd w:id="28"/>
      <w:r w:rsidRPr="0098262F">
        <w:t xml:space="preserve">: Summary of results of the indirect comparison for </w:t>
      </w:r>
      <w:r w:rsidRPr="00E37EE4">
        <w:rPr>
          <w:rFonts w:cs="Calibri"/>
        </w:rPr>
        <w:t>≥</w:t>
      </w:r>
      <w:r w:rsidRPr="00E37EE4">
        <w:t>35% spleen volume reduction</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results of the indirect comparison for ≥35% spleen volume reduction"/>
      </w:tblPr>
      <w:tblGrid>
        <w:gridCol w:w="1972"/>
        <w:gridCol w:w="1175"/>
        <w:gridCol w:w="1175"/>
        <w:gridCol w:w="1175"/>
        <w:gridCol w:w="1175"/>
        <w:gridCol w:w="1175"/>
        <w:gridCol w:w="1175"/>
      </w:tblGrid>
      <w:tr w:rsidR="00D5584A" w:rsidRPr="00D5584A" w14:paraId="73D8F7C2" w14:textId="77777777">
        <w:trPr>
          <w:tblHeader/>
        </w:trPr>
        <w:tc>
          <w:tcPr>
            <w:tcW w:w="1967" w:type="dxa"/>
            <w:vMerge w:val="restart"/>
            <w:vAlign w:val="center"/>
          </w:tcPr>
          <w:p w14:paraId="6FCA179C" w14:textId="77777777" w:rsidR="000F7878" w:rsidRPr="00D5584A" w:rsidRDefault="000F7878">
            <w:pPr>
              <w:pStyle w:val="COMTableheadingrow"/>
            </w:pPr>
            <w:r w:rsidRPr="00D5584A">
              <w:t>Analysis performed</w:t>
            </w:r>
          </w:p>
        </w:tc>
        <w:tc>
          <w:tcPr>
            <w:tcW w:w="2350" w:type="dxa"/>
            <w:gridSpan w:val="2"/>
            <w:vAlign w:val="center"/>
          </w:tcPr>
          <w:p w14:paraId="36F8BE6C" w14:textId="77777777" w:rsidR="000F7878" w:rsidRPr="00D5584A" w:rsidRDefault="000F7878">
            <w:pPr>
              <w:pStyle w:val="COMTableheadingrow"/>
              <w:jc w:val="center"/>
            </w:pPr>
            <w:r w:rsidRPr="00D5584A">
              <w:t>JAKARTA</w:t>
            </w:r>
          </w:p>
        </w:tc>
        <w:tc>
          <w:tcPr>
            <w:tcW w:w="2350" w:type="dxa"/>
            <w:gridSpan w:val="2"/>
            <w:vAlign w:val="center"/>
          </w:tcPr>
          <w:p w14:paraId="7FAE0DB9" w14:textId="77777777" w:rsidR="000F7878" w:rsidRPr="00D5584A" w:rsidRDefault="000F7878">
            <w:pPr>
              <w:pStyle w:val="COMTableheadingrow"/>
              <w:jc w:val="center"/>
            </w:pPr>
            <w:r w:rsidRPr="00D5584A">
              <w:t>COMFORT-I</w:t>
            </w:r>
          </w:p>
        </w:tc>
        <w:tc>
          <w:tcPr>
            <w:tcW w:w="2350" w:type="dxa"/>
            <w:gridSpan w:val="2"/>
            <w:vAlign w:val="center"/>
          </w:tcPr>
          <w:p w14:paraId="53515FE7" w14:textId="77777777" w:rsidR="000F7878" w:rsidRPr="00D5584A" w:rsidRDefault="000F7878">
            <w:pPr>
              <w:pStyle w:val="COMTableheadingrow"/>
              <w:jc w:val="center"/>
            </w:pPr>
            <w:r w:rsidRPr="00D5584A">
              <w:t>COMFORT-II</w:t>
            </w:r>
          </w:p>
        </w:tc>
      </w:tr>
      <w:tr w:rsidR="00D5584A" w:rsidRPr="00D5584A" w14:paraId="302BC0FB" w14:textId="77777777">
        <w:trPr>
          <w:tblHeader/>
        </w:trPr>
        <w:tc>
          <w:tcPr>
            <w:tcW w:w="1967" w:type="dxa"/>
            <w:vMerge/>
            <w:vAlign w:val="center"/>
          </w:tcPr>
          <w:p w14:paraId="65A5BB52" w14:textId="77777777" w:rsidR="000F7878" w:rsidRPr="00D5584A" w:rsidRDefault="000F7878">
            <w:pPr>
              <w:pStyle w:val="COMTableheadingrow"/>
            </w:pPr>
          </w:p>
        </w:tc>
        <w:tc>
          <w:tcPr>
            <w:tcW w:w="1175" w:type="dxa"/>
            <w:vAlign w:val="center"/>
          </w:tcPr>
          <w:p w14:paraId="22101DB8" w14:textId="77777777" w:rsidR="000F7878" w:rsidRPr="00D5584A" w:rsidRDefault="000F7878">
            <w:pPr>
              <w:pStyle w:val="COMTableheadingrow"/>
              <w:jc w:val="center"/>
            </w:pPr>
            <w:r w:rsidRPr="00D5584A">
              <w:t>FED 400 mg</w:t>
            </w:r>
          </w:p>
        </w:tc>
        <w:tc>
          <w:tcPr>
            <w:tcW w:w="1175" w:type="dxa"/>
            <w:vAlign w:val="center"/>
          </w:tcPr>
          <w:p w14:paraId="5F50E905" w14:textId="77777777" w:rsidR="000F7878" w:rsidRPr="00D5584A" w:rsidRDefault="000F7878">
            <w:pPr>
              <w:pStyle w:val="COMTableheadingrow"/>
              <w:jc w:val="center"/>
            </w:pPr>
            <w:r w:rsidRPr="00D5584A">
              <w:t>PBO</w:t>
            </w:r>
          </w:p>
        </w:tc>
        <w:tc>
          <w:tcPr>
            <w:tcW w:w="1175" w:type="dxa"/>
            <w:vAlign w:val="center"/>
          </w:tcPr>
          <w:p w14:paraId="3E08421A" w14:textId="77777777" w:rsidR="000F7878" w:rsidRPr="00D5584A" w:rsidRDefault="000F7878">
            <w:pPr>
              <w:pStyle w:val="COMTableheadingrow"/>
              <w:jc w:val="center"/>
            </w:pPr>
            <w:r w:rsidRPr="00D5584A">
              <w:t>RUX</w:t>
            </w:r>
          </w:p>
        </w:tc>
        <w:tc>
          <w:tcPr>
            <w:tcW w:w="1175" w:type="dxa"/>
            <w:vAlign w:val="center"/>
          </w:tcPr>
          <w:p w14:paraId="5DDCBEC1" w14:textId="77777777" w:rsidR="000F7878" w:rsidRPr="00D5584A" w:rsidRDefault="000F7878">
            <w:pPr>
              <w:pStyle w:val="COMTableheadingrow"/>
              <w:jc w:val="center"/>
            </w:pPr>
            <w:r w:rsidRPr="00D5584A">
              <w:t>PBO</w:t>
            </w:r>
          </w:p>
        </w:tc>
        <w:tc>
          <w:tcPr>
            <w:tcW w:w="1175" w:type="dxa"/>
            <w:vAlign w:val="center"/>
          </w:tcPr>
          <w:p w14:paraId="788ECDBF" w14:textId="77777777" w:rsidR="000F7878" w:rsidRPr="00D5584A" w:rsidRDefault="000F7878">
            <w:pPr>
              <w:pStyle w:val="COMTableheadingrow"/>
              <w:jc w:val="center"/>
            </w:pPr>
            <w:r w:rsidRPr="00D5584A">
              <w:t>RUX</w:t>
            </w:r>
          </w:p>
        </w:tc>
        <w:tc>
          <w:tcPr>
            <w:tcW w:w="1175" w:type="dxa"/>
            <w:vAlign w:val="center"/>
          </w:tcPr>
          <w:p w14:paraId="19781E36" w14:textId="77777777" w:rsidR="000F7878" w:rsidRPr="00D5584A" w:rsidRDefault="000F7878">
            <w:pPr>
              <w:pStyle w:val="COMTableheadingrow"/>
              <w:jc w:val="center"/>
            </w:pPr>
            <w:r w:rsidRPr="00D5584A">
              <w:t>BAT</w:t>
            </w:r>
          </w:p>
        </w:tc>
      </w:tr>
      <w:tr w:rsidR="00D5584A" w:rsidRPr="00D5584A" w14:paraId="5519018A" w14:textId="77777777">
        <w:trPr>
          <w:tblHeader/>
        </w:trPr>
        <w:tc>
          <w:tcPr>
            <w:tcW w:w="9017" w:type="dxa"/>
            <w:gridSpan w:val="7"/>
            <w:vAlign w:val="center"/>
          </w:tcPr>
          <w:p w14:paraId="19971BFA" w14:textId="77777777" w:rsidR="000F7878" w:rsidRPr="00D5584A" w:rsidRDefault="000F7878">
            <w:pPr>
              <w:pStyle w:val="COMTableheadingrow"/>
              <w:rPr>
                <w:rFonts w:cs="Calibri"/>
              </w:rPr>
            </w:pPr>
            <w:r w:rsidRPr="00D5584A">
              <w:rPr>
                <w:rFonts w:cs="Calibri"/>
              </w:rPr>
              <w:t>≥</w:t>
            </w:r>
            <w:r w:rsidRPr="00D5584A">
              <w:t>35% spleen volume reduction from baseline to Week 24 (using JAKARTA ITT population)</w:t>
            </w:r>
          </w:p>
        </w:tc>
      </w:tr>
      <w:tr w:rsidR="00D5584A" w:rsidRPr="00D5584A" w14:paraId="5B42D3D0" w14:textId="77777777">
        <w:trPr>
          <w:trHeight w:val="251"/>
        </w:trPr>
        <w:tc>
          <w:tcPr>
            <w:tcW w:w="1967" w:type="dxa"/>
            <w:vAlign w:val="center"/>
          </w:tcPr>
          <w:p w14:paraId="3B5CDC0E" w14:textId="77777777" w:rsidR="000F7878" w:rsidRPr="00D5584A" w:rsidRDefault="000F7878">
            <w:pPr>
              <w:pStyle w:val="COMTabletext"/>
            </w:pPr>
            <w:r w:rsidRPr="00D5584A">
              <w:t>Absolute responses, n/N (%)</w:t>
            </w:r>
          </w:p>
        </w:tc>
        <w:tc>
          <w:tcPr>
            <w:tcW w:w="1175" w:type="dxa"/>
            <w:tcMar>
              <w:left w:w="28" w:type="dxa"/>
              <w:right w:w="28" w:type="dxa"/>
            </w:tcMar>
            <w:vAlign w:val="center"/>
          </w:tcPr>
          <w:p w14:paraId="7472E584" w14:textId="77777777" w:rsidR="000F7878" w:rsidRPr="00D5584A" w:rsidRDefault="000F7878">
            <w:pPr>
              <w:pStyle w:val="COMTabletext"/>
              <w:jc w:val="center"/>
            </w:pPr>
            <w:r w:rsidRPr="00D5584A">
              <w:t>45/96 (46.9)</w:t>
            </w:r>
          </w:p>
        </w:tc>
        <w:tc>
          <w:tcPr>
            <w:tcW w:w="1175" w:type="dxa"/>
            <w:tcMar>
              <w:left w:w="28" w:type="dxa"/>
              <w:right w:w="28" w:type="dxa"/>
            </w:tcMar>
            <w:vAlign w:val="center"/>
          </w:tcPr>
          <w:p w14:paraId="76DBF063" w14:textId="77777777" w:rsidR="000F7878" w:rsidRPr="00D5584A" w:rsidRDefault="000F7878">
            <w:pPr>
              <w:pStyle w:val="COMTabletext"/>
              <w:jc w:val="center"/>
            </w:pPr>
            <w:r w:rsidRPr="00D5584A">
              <w:t>1/95 (1.0)</w:t>
            </w:r>
          </w:p>
        </w:tc>
        <w:tc>
          <w:tcPr>
            <w:tcW w:w="1175" w:type="dxa"/>
            <w:tcMar>
              <w:left w:w="28" w:type="dxa"/>
              <w:right w:w="28" w:type="dxa"/>
            </w:tcMar>
            <w:vAlign w:val="center"/>
          </w:tcPr>
          <w:p w14:paraId="6EA1F47B" w14:textId="77777777" w:rsidR="000F7878" w:rsidRPr="00D5584A" w:rsidRDefault="000F7878">
            <w:pPr>
              <w:pStyle w:val="COMTabletext"/>
              <w:jc w:val="center"/>
            </w:pPr>
            <w:r w:rsidRPr="00D5584A">
              <w:t>65/155 (41.9)</w:t>
            </w:r>
          </w:p>
        </w:tc>
        <w:tc>
          <w:tcPr>
            <w:tcW w:w="1175" w:type="dxa"/>
            <w:tcMar>
              <w:left w:w="28" w:type="dxa"/>
              <w:right w:w="28" w:type="dxa"/>
            </w:tcMar>
            <w:vAlign w:val="center"/>
          </w:tcPr>
          <w:p w14:paraId="562D0FE3" w14:textId="77777777" w:rsidR="000F7878" w:rsidRPr="00D5584A" w:rsidRDefault="000F7878">
            <w:pPr>
              <w:pStyle w:val="COMTabletext"/>
              <w:jc w:val="center"/>
            </w:pPr>
            <w:r w:rsidRPr="00D5584A">
              <w:t>1/153 (0.7)</w:t>
            </w:r>
          </w:p>
        </w:tc>
        <w:tc>
          <w:tcPr>
            <w:tcW w:w="1175" w:type="dxa"/>
            <w:tcMar>
              <w:left w:w="28" w:type="dxa"/>
              <w:right w:w="28" w:type="dxa"/>
            </w:tcMar>
            <w:vAlign w:val="center"/>
          </w:tcPr>
          <w:p w14:paraId="19C76563" w14:textId="77777777" w:rsidR="000F7878" w:rsidRPr="00D5584A" w:rsidRDefault="000F7878">
            <w:pPr>
              <w:pStyle w:val="COMTabletext"/>
              <w:jc w:val="center"/>
            </w:pPr>
            <w:r w:rsidRPr="00D5584A">
              <w:t>46/144 (31.9)</w:t>
            </w:r>
          </w:p>
        </w:tc>
        <w:tc>
          <w:tcPr>
            <w:tcW w:w="1175" w:type="dxa"/>
            <w:tcMar>
              <w:left w:w="28" w:type="dxa"/>
              <w:right w:w="28" w:type="dxa"/>
            </w:tcMar>
            <w:vAlign w:val="center"/>
          </w:tcPr>
          <w:p w14:paraId="11894C5A" w14:textId="77777777" w:rsidR="000F7878" w:rsidRPr="00D5584A" w:rsidRDefault="000F7878">
            <w:pPr>
              <w:pStyle w:val="COMTabletext"/>
              <w:jc w:val="center"/>
            </w:pPr>
            <w:r w:rsidRPr="00D5584A">
              <w:t>0/72 (0)</w:t>
            </w:r>
          </w:p>
        </w:tc>
      </w:tr>
      <w:tr w:rsidR="00D5584A" w:rsidRPr="00D5584A" w14:paraId="61988268" w14:textId="77777777">
        <w:tc>
          <w:tcPr>
            <w:tcW w:w="4317" w:type="dxa"/>
            <w:gridSpan w:val="3"/>
            <w:vAlign w:val="center"/>
          </w:tcPr>
          <w:p w14:paraId="2DC4B877" w14:textId="77777777" w:rsidR="000F7878" w:rsidRPr="00D5584A" w:rsidRDefault="000F7878">
            <w:pPr>
              <w:pStyle w:val="COMTabletext"/>
              <w:jc w:val="right"/>
            </w:pPr>
            <w:r w:rsidRPr="00D5584A">
              <w:t>Bucher ITC, Risk Difference (95% CI)</w:t>
            </w:r>
          </w:p>
        </w:tc>
        <w:tc>
          <w:tcPr>
            <w:tcW w:w="2350" w:type="dxa"/>
            <w:gridSpan w:val="2"/>
            <w:tcMar>
              <w:left w:w="28" w:type="dxa"/>
              <w:right w:w="28" w:type="dxa"/>
            </w:tcMar>
            <w:vAlign w:val="center"/>
          </w:tcPr>
          <w:p w14:paraId="6EE58844" w14:textId="77777777" w:rsidR="000F7878" w:rsidRPr="00D5584A" w:rsidRDefault="000F7878">
            <w:pPr>
              <w:pStyle w:val="COMTabletext"/>
              <w:jc w:val="center"/>
            </w:pPr>
            <w:r w:rsidRPr="00D5584A">
              <w:t>4.6% (-8.3, 17.4)</w:t>
            </w:r>
          </w:p>
        </w:tc>
        <w:tc>
          <w:tcPr>
            <w:tcW w:w="2350" w:type="dxa"/>
            <w:gridSpan w:val="2"/>
            <w:tcMar>
              <w:left w:w="28" w:type="dxa"/>
              <w:right w:w="28" w:type="dxa"/>
            </w:tcMar>
            <w:vAlign w:val="center"/>
          </w:tcPr>
          <w:p w14:paraId="76A98D24" w14:textId="77777777" w:rsidR="000F7878" w:rsidRPr="00D5584A" w:rsidRDefault="000F7878">
            <w:pPr>
              <w:pStyle w:val="COMTabletext"/>
              <w:jc w:val="center"/>
            </w:pPr>
            <w:r w:rsidRPr="00D5584A">
              <w:t>13.9% (1.2, 26.6)</w:t>
            </w:r>
          </w:p>
        </w:tc>
      </w:tr>
      <w:tr w:rsidR="00D5584A" w:rsidRPr="00D5584A" w14:paraId="442FDA6A" w14:textId="77777777">
        <w:tc>
          <w:tcPr>
            <w:tcW w:w="4317" w:type="dxa"/>
            <w:gridSpan w:val="3"/>
            <w:vAlign w:val="center"/>
          </w:tcPr>
          <w:p w14:paraId="32CFB203" w14:textId="77777777" w:rsidR="000F7878" w:rsidRPr="00D5584A" w:rsidRDefault="000F7878">
            <w:pPr>
              <w:pStyle w:val="COMTabletext"/>
              <w:jc w:val="right"/>
            </w:pPr>
            <w:r w:rsidRPr="00D5584A">
              <w:t xml:space="preserve">MAIC (Bucher), Risk Difference (95% CI) </w:t>
            </w:r>
            <w:r w:rsidRPr="00D5584A">
              <w:rPr>
                <w:vertAlign w:val="superscript"/>
              </w:rPr>
              <w:t>a</w:t>
            </w:r>
          </w:p>
        </w:tc>
        <w:tc>
          <w:tcPr>
            <w:tcW w:w="2350" w:type="dxa"/>
            <w:gridSpan w:val="2"/>
            <w:tcMar>
              <w:left w:w="28" w:type="dxa"/>
              <w:right w:w="28" w:type="dxa"/>
            </w:tcMar>
            <w:vAlign w:val="center"/>
          </w:tcPr>
          <w:p w14:paraId="64ECFBF2" w14:textId="77777777" w:rsidR="000F7878" w:rsidRPr="00D5584A" w:rsidRDefault="000F7878">
            <w:pPr>
              <w:pStyle w:val="COMTabletext"/>
              <w:jc w:val="center"/>
            </w:pPr>
            <w:r w:rsidRPr="00D5584A">
              <w:t>7.9% (-5.2, 20.9)</w:t>
            </w:r>
          </w:p>
        </w:tc>
        <w:tc>
          <w:tcPr>
            <w:tcW w:w="2350" w:type="dxa"/>
            <w:gridSpan w:val="2"/>
            <w:tcMar>
              <w:left w:w="28" w:type="dxa"/>
              <w:right w:w="28" w:type="dxa"/>
            </w:tcMar>
            <w:vAlign w:val="center"/>
          </w:tcPr>
          <w:p w14:paraId="728A7177" w14:textId="77777777" w:rsidR="000F7878" w:rsidRPr="00D5584A" w:rsidRDefault="000F7878">
            <w:pPr>
              <w:pStyle w:val="COMTabletext"/>
              <w:jc w:val="center"/>
            </w:pPr>
            <w:r w:rsidRPr="00D5584A">
              <w:t>16.3% (3.5, 29.0)</w:t>
            </w:r>
          </w:p>
        </w:tc>
      </w:tr>
      <w:tr w:rsidR="00D5584A" w:rsidRPr="00D5584A" w14:paraId="089ADA3A" w14:textId="77777777">
        <w:tc>
          <w:tcPr>
            <w:tcW w:w="4317" w:type="dxa"/>
            <w:gridSpan w:val="3"/>
            <w:vAlign w:val="center"/>
          </w:tcPr>
          <w:p w14:paraId="7ADAFBD5" w14:textId="77777777" w:rsidR="000F7878" w:rsidRPr="00D5584A" w:rsidRDefault="000F7878">
            <w:pPr>
              <w:pStyle w:val="COMTabletext"/>
              <w:jc w:val="right"/>
            </w:pPr>
            <w:r w:rsidRPr="00D5584A">
              <w:t>Frequentist NMA, Risk Difference (95% CI)</w:t>
            </w:r>
          </w:p>
        </w:tc>
        <w:tc>
          <w:tcPr>
            <w:tcW w:w="4700" w:type="dxa"/>
            <w:gridSpan w:val="4"/>
            <w:tcMar>
              <w:left w:w="28" w:type="dxa"/>
              <w:right w:w="28" w:type="dxa"/>
            </w:tcMar>
            <w:vAlign w:val="center"/>
          </w:tcPr>
          <w:p w14:paraId="3DFC06BA" w14:textId="77777777" w:rsidR="000F7878" w:rsidRPr="00D5584A" w:rsidRDefault="000F7878">
            <w:pPr>
              <w:pStyle w:val="COMTabletext"/>
              <w:jc w:val="center"/>
            </w:pPr>
            <w:r w:rsidRPr="00D5584A">
              <w:t>9.4% (-2.2, 20.9)</w:t>
            </w:r>
          </w:p>
        </w:tc>
      </w:tr>
      <w:tr w:rsidR="00D5584A" w:rsidRPr="00D5584A" w14:paraId="6911A4F6" w14:textId="77777777">
        <w:tc>
          <w:tcPr>
            <w:tcW w:w="4317" w:type="dxa"/>
            <w:gridSpan w:val="3"/>
            <w:vAlign w:val="center"/>
          </w:tcPr>
          <w:p w14:paraId="37B28F94" w14:textId="77777777" w:rsidR="000F7878" w:rsidRPr="00D5584A" w:rsidRDefault="000F7878">
            <w:pPr>
              <w:pStyle w:val="COMTabletext"/>
              <w:jc w:val="right"/>
            </w:pPr>
            <w:r w:rsidRPr="00D5584A">
              <w:t xml:space="preserve">MAIC (frequentist NMA), Risk Difference (95% CI) </w:t>
            </w:r>
            <w:r w:rsidRPr="00D5584A">
              <w:rPr>
                <w:vertAlign w:val="superscript"/>
              </w:rPr>
              <w:t>a</w:t>
            </w:r>
            <w:r w:rsidRPr="00D5584A">
              <w:t xml:space="preserve"> </w:t>
            </w:r>
          </w:p>
        </w:tc>
        <w:tc>
          <w:tcPr>
            <w:tcW w:w="4700" w:type="dxa"/>
            <w:gridSpan w:val="4"/>
            <w:tcMar>
              <w:left w:w="28" w:type="dxa"/>
              <w:right w:w="28" w:type="dxa"/>
            </w:tcMar>
            <w:vAlign w:val="center"/>
          </w:tcPr>
          <w:p w14:paraId="583AF68F" w14:textId="77777777" w:rsidR="000F7878" w:rsidRPr="00D5584A" w:rsidRDefault="000F7878">
            <w:pPr>
              <w:pStyle w:val="COMTabletext"/>
              <w:jc w:val="center"/>
            </w:pPr>
            <w:r w:rsidRPr="00D5584A">
              <w:t>12.3% (0.6, 24.0)</w:t>
            </w:r>
          </w:p>
        </w:tc>
      </w:tr>
      <w:tr w:rsidR="00D5584A" w:rsidRPr="00D5584A" w14:paraId="42C54DAE" w14:textId="77777777">
        <w:trPr>
          <w:tblHeader/>
        </w:trPr>
        <w:tc>
          <w:tcPr>
            <w:tcW w:w="9017" w:type="dxa"/>
            <w:gridSpan w:val="7"/>
            <w:vAlign w:val="center"/>
          </w:tcPr>
          <w:p w14:paraId="64F2697A" w14:textId="77777777" w:rsidR="000F7878" w:rsidRPr="00D5584A" w:rsidRDefault="000F7878">
            <w:pPr>
              <w:pStyle w:val="COMTableheadingrow"/>
              <w:rPr>
                <w:rFonts w:cs="Calibri"/>
              </w:rPr>
            </w:pPr>
            <w:r w:rsidRPr="00D5584A">
              <w:rPr>
                <w:rFonts w:cs="Calibri"/>
              </w:rPr>
              <w:t>≥</w:t>
            </w:r>
            <w:r w:rsidRPr="00D5584A">
              <w:t>35% spleen volume reduction from baseline to Week 24 (using JAKARTA subgroup with platelets ≥100 × 10</w:t>
            </w:r>
            <w:r w:rsidRPr="00D5584A">
              <w:rPr>
                <w:vertAlign w:val="superscript"/>
              </w:rPr>
              <w:t>9</w:t>
            </w:r>
            <w:r w:rsidRPr="00D5584A">
              <w:t>/L)</w:t>
            </w:r>
          </w:p>
        </w:tc>
      </w:tr>
      <w:tr w:rsidR="00D5584A" w:rsidRPr="00D5584A" w14:paraId="629895D7" w14:textId="77777777">
        <w:trPr>
          <w:trHeight w:val="251"/>
        </w:trPr>
        <w:tc>
          <w:tcPr>
            <w:tcW w:w="1973" w:type="dxa"/>
            <w:vAlign w:val="center"/>
          </w:tcPr>
          <w:p w14:paraId="2641D651" w14:textId="77777777" w:rsidR="000F7878" w:rsidRPr="00D5584A" w:rsidRDefault="000F7878">
            <w:pPr>
              <w:pStyle w:val="COMTabletext"/>
            </w:pPr>
            <w:r w:rsidRPr="00D5584A">
              <w:t>Absolute responses, n/N (%)</w:t>
            </w:r>
          </w:p>
        </w:tc>
        <w:tc>
          <w:tcPr>
            <w:tcW w:w="1175" w:type="dxa"/>
            <w:tcMar>
              <w:left w:w="28" w:type="dxa"/>
              <w:right w:w="28" w:type="dxa"/>
            </w:tcMar>
            <w:vAlign w:val="center"/>
          </w:tcPr>
          <w:p w14:paraId="46C7AD8E" w14:textId="77777777" w:rsidR="000F7878" w:rsidRPr="00D5584A" w:rsidRDefault="000F7878">
            <w:pPr>
              <w:pStyle w:val="COMTabletext"/>
              <w:jc w:val="center"/>
            </w:pPr>
            <w:r w:rsidRPr="00D5584A">
              <w:t>40/82 (48.8)</w:t>
            </w:r>
          </w:p>
        </w:tc>
        <w:tc>
          <w:tcPr>
            <w:tcW w:w="1175" w:type="dxa"/>
            <w:tcMar>
              <w:left w:w="28" w:type="dxa"/>
              <w:right w:w="28" w:type="dxa"/>
            </w:tcMar>
            <w:vAlign w:val="center"/>
          </w:tcPr>
          <w:p w14:paraId="7559E90A" w14:textId="77777777" w:rsidR="000F7878" w:rsidRPr="00D5584A" w:rsidRDefault="000F7878">
            <w:pPr>
              <w:pStyle w:val="COMTabletext"/>
              <w:jc w:val="center"/>
            </w:pPr>
            <w:r w:rsidRPr="00D5584A">
              <w:t>1/77 (1.3)</w:t>
            </w:r>
          </w:p>
        </w:tc>
        <w:tc>
          <w:tcPr>
            <w:tcW w:w="1175" w:type="dxa"/>
            <w:tcMar>
              <w:left w:w="28" w:type="dxa"/>
              <w:right w:w="28" w:type="dxa"/>
            </w:tcMar>
            <w:vAlign w:val="center"/>
          </w:tcPr>
          <w:p w14:paraId="154E1747" w14:textId="77777777" w:rsidR="000F7878" w:rsidRPr="00D5584A" w:rsidRDefault="000F7878">
            <w:pPr>
              <w:pStyle w:val="COMTabletext"/>
              <w:jc w:val="center"/>
            </w:pPr>
            <w:r w:rsidRPr="00D5584A">
              <w:t>65/155 (41.9)</w:t>
            </w:r>
          </w:p>
        </w:tc>
        <w:tc>
          <w:tcPr>
            <w:tcW w:w="1175" w:type="dxa"/>
            <w:tcMar>
              <w:left w:w="28" w:type="dxa"/>
              <w:right w:w="28" w:type="dxa"/>
            </w:tcMar>
            <w:vAlign w:val="center"/>
          </w:tcPr>
          <w:p w14:paraId="6FDFAEF8" w14:textId="77777777" w:rsidR="000F7878" w:rsidRPr="00D5584A" w:rsidRDefault="000F7878">
            <w:pPr>
              <w:pStyle w:val="COMTabletext"/>
              <w:jc w:val="center"/>
            </w:pPr>
            <w:r w:rsidRPr="00D5584A">
              <w:t>1/153 (0.7)</w:t>
            </w:r>
          </w:p>
        </w:tc>
        <w:tc>
          <w:tcPr>
            <w:tcW w:w="1175" w:type="dxa"/>
            <w:tcMar>
              <w:left w:w="28" w:type="dxa"/>
              <w:right w:w="28" w:type="dxa"/>
            </w:tcMar>
            <w:vAlign w:val="center"/>
          </w:tcPr>
          <w:p w14:paraId="7348586D" w14:textId="77777777" w:rsidR="000F7878" w:rsidRPr="00D5584A" w:rsidRDefault="000F7878">
            <w:pPr>
              <w:pStyle w:val="COMTabletext"/>
              <w:jc w:val="center"/>
            </w:pPr>
            <w:r w:rsidRPr="00D5584A">
              <w:t>46/144 (31.9)</w:t>
            </w:r>
          </w:p>
        </w:tc>
        <w:tc>
          <w:tcPr>
            <w:tcW w:w="1175" w:type="dxa"/>
            <w:tcMar>
              <w:left w:w="28" w:type="dxa"/>
              <w:right w:w="28" w:type="dxa"/>
            </w:tcMar>
            <w:vAlign w:val="center"/>
          </w:tcPr>
          <w:p w14:paraId="39754303" w14:textId="77777777" w:rsidR="000F7878" w:rsidRPr="00D5584A" w:rsidRDefault="000F7878">
            <w:pPr>
              <w:pStyle w:val="COMTabletext"/>
              <w:jc w:val="center"/>
            </w:pPr>
            <w:r w:rsidRPr="00D5584A">
              <w:t>0/72 (0)</w:t>
            </w:r>
          </w:p>
        </w:tc>
      </w:tr>
      <w:tr w:rsidR="00D5584A" w:rsidRPr="00D5584A" w14:paraId="6F88BCA1" w14:textId="77777777">
        <w:tc>
          <w:tcPr>
            <w:tcW w:w="4323" w:type="dxa"/>
            <w:gridSpan w:val="3"/>
            <w:vAlign w:val="center"/>
          </w:tcPr>
          <w:p w14:paraId="12B94B73" w14:textId="77777777" w:rsidR="000F7878" w:rsidRPr="00D5584A" w:rsidRDefault="000F7878">
            <w:pPr>
              <w:pStyle w:val="COMTabletext"/>
              <w:jc w:val="right"/>
            </w:pPr>
            <w:r w:rsidRPr="00D5584A">
              <w:t>Bucher ITC, Risk Difference (95% CI)</w:t>
            </w:r>
          </w:p>
        </w:tc>
        <w:tc>
          <w:tcPr>
            <w:tcW w:w="2350" w:type="dxa"/>
            <w:gridSpan w:val="2"/>
            <w:tcMar>
              <w:left w:w="28" w:type="dxa"/>
              <w:right w:w="28" w:type="dxa"/>
            </w:tcMar>
            <w:vAlign w:val="center"/>
          </w:tcPr>
          <w:p w14:paraId="6990354B" w14:textId="77777777" w:rsidR="000F7878" w:rsidRPr="00D5584A" w:rsidRDefault="000F7878">
            <w:pPr>
              <w:pStyle w:val="COMTabletext"/>
              <w:jc w:val="center"/>
            </w:pPr>
            <w:r w:rsidRPr="00D5584A">
              <w:t>6.2% (-7.4, 19.8)</w:t>
            </w:r>
          </w:p>
        </w:tc>
        <w:tc>
          <w:tcPr>
            <w:tcW w:w="2350" w:type="dxa"/>
            <w:gridSpan w:val="2"/>
            <w:tcMar>
              <w:left w:w="28" w:type="dxa"/>
              <w:right w:w="28" w:type="dxa"/>
            </w:tcMar>
            <w:vAlign w:val="center"/>
          </w:tcPr>
          <w:p w14:paraId="5C597921" w14:textId="77777777" w:rsidR="000F7878" w:rsidRPr="00D5584A" w:rsidRDefault="000F7878">
            <w:pPr>
              <w:pStyle w:val="COMTabletext"/>
              <w:jc w:val="center"/>
            </w:pPr>
            <w:r w:rsidRPr="00D5584A">
              <w:t>15.5% (2.1, 29.0)</w:t>
            </w:r>
          </w:p>
        </w:tc>
      </w:tr>
      <w:tr w:rsidR="00D5584A" w:rsidRPr="00D5584A" w14:paraId="026F9EC5" w14:textId="77777777">
        <w:tc>
          <w:tcPr>
            <w:tcW w:w="4323" w:type="dxa"/>
            <w:gridSpan w:val="3"/>
            <w:vAlign w:val="center"/>
          </w:tcPr>
          <w:p w14:paraId="6BB95DED" w14:textId="77777777" w:rsidR="000F7878" w:rsidRPr="00D5584A" w:rsidRDefault="000F7878">
            <w:pPr>
              <w:pStyle w:val="COMTabletext"/>
              <w:jc w:val="right"/>
            </w:pPr>
            <w:r w:rsidRPr="00D5584A">
              <w:t xml:space="preserve">MAIC (Bucher), Risk Difference (95% CI) </w:t>
            </w:r>
            <w:r w:rsidRPr="00D5584A">
              <w:rPr>
                <w:vertAlign w:val="superscript"/>
              </w:rPr>
              <w:t>a</w:t>
            </w:r>
          </w:p>
        </w:tc>
        <w:tc>
          <w:tcPr>
            <w:tcW w:w="2350" w:type="dxa"/>
            <w:gridSpan w:val="2"/>
            <w:tcMar>
              <w:left w:w="28" w:type="dxa"/>
              <w:right w:w="28" w:type="dxa"/>
            </w:tcMar>
            <w:vAlign w:val="center"/>
          </w:tcPr>
          <w:p w14:paraId="41554D9A" w14:textId="77777777" w:rsidR="000F7878" w:rsidRPr="00D5584A" w:rsidRDefault="000F7878">
            <w:pPr>
              <w:pStyle w:val="COMTabletext"/>
              <w:jc w:val="center"/>
            </w:pPr>
            <w:r w:rsidRPr="00D5584A">
              <w:t>10.4% (-3.2, 24.1)</w:t>
            </w:r>
          </w:p>
        </w:tc>
        <w:tc>
          <w:tcPr>
            <w:tcW w:w="2350" w:type="dxa"/>
            <w:gridSpan w:val="2"/>
            <w:tcMar>
              <w:left w:w="28" w:type="dxa"/>
              <w:right w:w="28" w:type="dxa"/>
            </w:tcMar>
            <w:vAlign w:val="center"/>
          </w:tcPr>
          <w:p w14:paraId="008ED435" w14:textId="77777777" w:rsidR="000F7878" w:rsidRPr="00D5584A" w:rsidRDefault="000F7878">
            <w:pPr>
              <w:pStyle w:val="COMTabletext"/>
              <w:jc w:val="center"/>
            </w:pPr>
            <w:r w:rsidRPr="00D5584A">
              <w:t>18.5% (5.1, 31.9)</w:t>
            </w:r>
          </w:p>
        </w:tc>
      </w:tr>
      <w:tr w:rsidR="00D5584A" w:rsidRPr="00D5584A" w14:paraId="3F62196E" w14:textId="77777777">
        <w:tc>
          <w:tcPr>
            <w:tcW w:w="4323" w:type="dxa"/>
            <w:gridSpan w:val="3"/>
            <w:vAlign w:val="center"/>
          </w:tcPr>
          <w:p w14:paraId="0F2A90CF" w14:textId="77777777" w:rsidR="000F7878" w:rsidRPr="00D5584A" w:rsidRDefault="000F7878">
            <w:pPr>
              <w:pStyle w:val="COMTabletext"/>
              <w:jc w:val="right"/>
            </w:pPr>
            <w:r w:rsidRPr="00D5584A">
              <w:t>Frequentist NMA, Risk Difference (95% CI)</w:t>
            </w:r>
          </w:p>
        </w:tc>
        <w:tc>
          <w:tcPr>
            <w:tcW w:w="4700" w:type="dxa"/>
            <w:gridSpan w:val="4"/>
            <w:tcMar>
              <w:left w:w="28" w:type="dxa"/>
              <w:right w:w="28" w:type="dxa"/>
            </w:tcMar>
            <w:vAlign w:val="center"/>
          </w:tcPr>
          <w:p w14:paraId="6F021EBD" w14:textId="77777777" w:rsidR="000F7878" w:rsidRPr="00D5584A" w:rsidRDefault="000F7878">
            <w:pPr>
              <w:pStyle w:val="COMTabletext"/>
              <w:jc w:val="center"/>
            </w:pPr>
            <w:r w:rsidRPr="00D5584A">
              <w:t>11.0% (-1.4, 23.4)</w:t>
            </w:r>
          </w:p>
        </w:tc>
      </w:tr>
      <w:tr w:rsidR="00D5584A" w:rsidRPr="00D5584A" w14:paraId="1941C7CE" w14:textId="77777777">
        <w:tc>
          <w:tcPr>
            <w:tcW w:w="4323" w:type="dxa"/>
            <w:gridSpan w:val="3"/>
            <w:vAlign w:val="center"/>
          </w:tcPr>
          <w:p w14:paraId="31766E3F" w14:textId="77777777" w:rsidR="000F7878" w:rsidRPr="00D5584A" w:rsidRDefault="000F7878">
            <w:pPr>
              <w:pStyle w:val="COMTabletext"/>
              <w:jc w:val="right"/>
            </w:pPr>
            <w:r w:rsidRPr="00D5584A">
              <w:t xml:space="preserve">MAIC (frequentist NMA), Risk Difference (95% CI) </w:t>
            </w:r>
            <w:r w:rsidRPr="00D5584A">
              <w:rPr>
                <w:vertAlign w:val="superscript"/>
              </w:rPr>
              <w:t>a</w:t>
            </w:r>
            <w:r w:rsidRPr="00D5584A">
              <w:t xml:space="preserve"> </w:t>
            </w:r>
          </w:p>
        </w:tc>
        <w:tc>
          <w:tcPr>
            <w:tcW w:w="4700" w:type="dxa"/>
            <w:gridSpan w:val="4"/>
            <w:tcMar>
              <w:left w:w="28" w:type="dxa"/>
              <w:right w:w="28" w:type="dxa"/>
            </w:tcMar>
            <w:vAlign w:val="center"/>
          </w:tcPr>
          <w:p w14:paraId="27704633" w14:textId="77777777" w:rsidR="000F7878" w:rsidRPr="00D5584A" w:rsidRDefault="000F7878">
            <w:pPr>
              <w:pStyle w:val="COMTabletext"/>
              <w:jc w:val="center"/>
            </w:pPr>
            <w:r w:rsidRPr="00D5584A">
              <w:t>14.7% (2.4, 27.1)</w:t>
            </w:r>
          </w:p>
        </w:tc>
      </w:tr>
    </w:tbl>
    <w:p w14:paraId="0B9AE2EF" w14:textId="77777777" w:rsidR="000F7878" w:rsidRDefault="000F7878" w:rsidP="000F7878">
      <w:pPr>
        <w:pStyle w:val="COMTablefooter"/>
      </w:pPr>
      <w:r w:rsidRPr="0098262F">
        <w:t>Source: Table</w:t>
      </w:r>
      <w:r>
        <w:t xml:space="preserve"> 26, p67 of the resubmission; Table 11, Attachment 12 of the resubmission</w:t>
      </w:r>
      <w:r w:rsidRPr="0098262F">
        <w:t>.</w:t>
      </w:r>
    </w:p>
    <w:p w14:paraId="5000AE09" w14:textId="77777777" w:rsidR="000F7878" w:rsidRDefault="000F7878" w:rsidP="000F7878">
      <w:pPr>
        <w:pStyle w:val="COMTablefooter"/>
      </w:pPr>
      <w:r>
        <w:t>Abbreviations: BAT, best available therapy; FED, fedratinib; ITC, indirect treatment comparison; MAIC, matched adjusted indirect comparison; NMA, network meta-analysis; PBO, placebo; RUX, ruxolitinib</w:t>
      </w:r>
    </w:p>
    <w:p w14:paraId="4521667C" w14:textId="77777777" w:rsidR="000F7878" w:rsidRDefault="000F7878" w:rsidP="000F7878">
      <w:pPr>
        <w:pStyle w:val="COMTablefooter"/>
      </w:pPr>
      <w:proofErr w:type="spellStart"/>
      <w:r>
        <w:rPr>
          <w:vertAlign w:val="superscript"/>
        </w:rPr>
        <w:t>a</w:t>
      </w:r>
      <w:proofErr w:type="spellEnd"/>
      <w:r>
        <w:t> The MAIC included an adjustment for JAK2 status at baseline (mutant or wildtype).</w:t>
      </w:r>
    </w:p>
    <w:p w14:paraId="2D658D5F" w14:textId="44F34A17" w:rsidR="000F7878" w:rsidRPr="00154C54" w:rsidRDefault="000F7878" w:rsidP="000F7878">
      <w:pPr>
        <w:pStyle w:val="COMESnumberedpara"/>
      </w:pPr>
      <w:r w:rsidRPr="00154C54">
        <w:t>The network meta-analysis including both COMFORT trials demonstrated comparable spleen volume reduction rates in patients treated with fedratinib 400</w:t>
      </w:r>
      <w:r>
        <w:t> mg</w:t>
      </w:r>
      <w:r w:rsidRPr="00154C54">
        <w:t xml:space="preserve"> compared to ruxolitinib while the MAIC analysis, adjusted for the imbalance in JAK2 mutation status, resulted in greater proportions of fedratinib-treated patients with ≥35% spleen volume reduction compared to ruxolitinib</w:t>
      </w:r>
      <w:r w:rsidR="002B4D2D">
        <w:t>.</w:t>
      </w:r>
      <w:r w:rsidRPr="00154C54">
        <w:t xml:space="preserve"> Indirect comparisons of the JAKARTA trial with the COMFORT-I trial, regardless of approach (Bucher ITC or MAIC), demonstrated comparable proportions of patients with spleen volume response, while the comparison with the COMFORT-II trial resulted in higher proportions of fedratinib treated patients with spleen volume response compared to ruxolitinib.</w:t>
      </w:r>
      <w:r>
        <w:t xml:space="preserve"> Results of the comparisons using the subgroup of JAKARTA patients with platelets </w:t>
      </w:r>
      <w:r w:rsidRPr="00EB1FDD">
        <w:t>≥100 × 10</w:t>
      </w:r>
      <w:r w:rsidRPr="00EB1FDD">
        <w:rPr>
          <w:vertAlign w:val="superscript"/>
        </w:rPr>
        <w:t>9</w:t>
      </w:r>
      <w:r w:rsidRPr="00EB1FDD">
        <w:t>/L</w:t>
      </w:r>
      <w:r>
        <w:t xml:space="preserve"> were consistent with the ITT population comparison. </w:t>
      </w:r>
    </w:p>
    <w:p w14:paraId="26257EB4" w14:textId="1791C7E8" w:rsidR="000F7878" w:rsidRDefault="005F1AFF" w:rsidP="00333BF8">
      <w:pPr>
        <w:pStyle w:val="COMESnumberedpara"/>
      </w:pPr>
      <w:r w:rsidRPr="00CB1EA6">
        <w:t xml:space="preserve">The results of the indirect comparisons should be interpreted with caution due to differences in common reference arms, </w:t>
      </w:r>
      <w:r w:rsidR="002769A4" w:rsidRPr="00CB1EA6">
        <w:t>eligibility</w:t>
      </w:r>
      <w:r w:rsidRPr="00CB1EA6">
        <w:t xml:space="preserve"> criteria, and outcome definitions between the trials. Additionally, overall survival and progression-free survival comparisons could not be conducted due to early termination of the JAKARTA trial, and only one ruxolitinib trial was suitable for inclusion in the total symptom score comparison. While the results of the MAIC analyses were generally consistent with the unadjusted results, only one of the two identified treatment effect modifiers were included for matching in the spleen size comparison. It is unclear whether all relevant treatment effect modifier variables were identified, as the resubmission did not present the results of any literature searches for additional treatment effect modifiers that were not identified in the post hoc analyses of the JAKARTA trial. </w:t>
      </w:r>
      <w:r w:rsidR="00333BF8" w:rsidRPr="00CB1EA6">
        <w:t>The resubmission also noted that the indirect comparisons were post hoc analyses and were not powered a priori to show a statistically significant result.</w:t>
      </w:r>
    </w:p>
    <w:p w14:paraId="3BD0C755" w14:textId="306B28DC" w:rsidR="00343027" w:rsidRPr="000A6B64" w:rsidRDefault="00343027" w:rsidP="00333BF8">
      <w:pPr>
        <w:pStyle w:val="COMESnumberedpara"/>
      </w:pPr>
      <w:r w:rsidRPr="000A6B64">
        <w:t xml:space="preserve">The Pre-Sub-Committee Response (PSCR) </w:t>
      </w:r>
      <w:r w:rsidR="001303FA" w:rsidRPr="000A6B64">
        <w:t xml:space="preserve">acknowledged early termination of the fedratinib clinical development program </w:t>
      </w:r>
      <w:r w:rsidR="00EB0FD6" w:rsidRPr="000A6B64">
        <w:t>meant no overall survival or progression-free survival analyses could be conducted</w:t>
      </w:r>
      <w:r w:rsidR="00DC1B97" w:rsidRPr="000A6B64">
        <w:t>.</w:t>
      </w:r>
      <w:r w:rsidR="00EB0FD6" w:rsidRPr="000A6B64">
        <w:t xml:space="preserve"> </w:t>
      </w:r>
      <w:r w:rsidR="00DC1B97" w:rsidRPr="000A6B64">
        <w:t>H</w:t>
      </w:r>
      <w:r w:rsidR="00EB0FD6" w:rsidRPr="000A6B64">
        <w:t>owever</w:t>
      </w:r>
      <w:r w:rsidR="00DC1B97" w:rsidRPr="000A6B64">
        <w:t>, the PSCR</w:t>
      </w:r>
      <w:r w:rsidR="00EB0FD6" w:rsidRPr="000A6B64">
        <w:t xml:space="preserve"> </w:t>
      </w:r>
      <w:r w:rsidR="009038A0" w:rsidRPr="000A6B64">
        <w:t xml:space="preserve">presented a descriptive comparison of </w:t>
      </w:r>
      <w:r w:rsidR="00176B78" w:rsidRPr="000A6B64">
        <w:t>the common reference arms, inclusion criteria and outcome definitions, and argued it was reasonable to conclude the noted differences w</w:t>
      </w:r>
      <w:r w:rsidR="00C6510C" w:rsidRPr="000A6B64">
        <w:t xml:space="preserve">ere likely to have a negligible impact on the overall conclusion of non-inferior comparative effectiveness. In addition, the PSCR </w:t>
      </w:r>
      <w:r w:rsidR="00050594" w:rsidRPr="000A6B64">
        <w:t xml:space="preserve">argued that </w:t>
      </w:r>
      <w:r w:rsidR="00882F08" w:rsidRPr="000A6B64">
        <w:t xml:space="preserve">for the MAIC approach, matching was not undertaken for the outcome of total symptom score because no treatment effect modifiers were identified for that outcome. </w:t>
      </w:r>
    </w:p>
    <w:p w14:paraId="745F5DE5" w14:textId="4C9BD676" w:rsidR="006B420D" w:rsidRDefault="00F1713E" w:rsidP="006B420D">
      <w:pPr>
        <w:pStyle w:val="COMBodyH4"/>
      </w:pPr>
      <w:bookmarkStart w:id="29" w:name="_Toc22897642"/>
      <w:r>
        <w:t>Single arm studies</w:t>
      </w:r>
    </w:p>
    <w:p w14:paraId="66C2E78F" w14:textId="0CA7D023" w:rsidR="007421F5" w:rsidRDefault="007421F5" w:rsidP="00F1713E">
      <w:pPr>
        <w:pStyle w:val="COMESnumberedpara"/>
      </w:pPr>
      <w:r w:rsidRPr="00DF152F">
        <w:t>The resubmission included supportive clinical data</w:t>
      </w:r>
      <w:r w:rsidR="00340394">
        <w:t xml:space="preserve"> inclusive of intermediate-1 risk patients</w:t>
      </w:r>
      <w:r w:rsidRPr="00DF152F">
        <w:t xml:space="preserve"> from single arm studies of fedratinib (</w:t>
      </w:r>
      <w:r>
        <w:t>JAKARTA 2</w:t>
      </w:r>
      <w:r w:rsidRPr="00DF152F">
        <w:t xml:space="preserve"> and FREEDOM) and ruxolitinib (ROBUST, JUMP, </w:t>
      </w:r>
      <w:proofErr w:type="spellStart"/>
      <w:r w:rsidRPr="00DF152F">
        <w:t>Barosi</w:t>
      </w:r>
      <w:proofErr w:type="spellEnd"/>
      <w:r w:rsidRPr="00DF152F">
        <w:t xml:space="preserve"> 2012)</w:t>
      </w:r>
      <w:r>
        <w:t xml:space="preserve"> in Appendix 1 of the resubmission</w:t>
      </w:r>
      <w:r w:rsidRPr="00DF152F">
        <w:t xml:space="preserve">. </w:t>
      </w:r>
      <w:r w:rsidR="00340394">
        <w:t xml:space="preserve">The resubmission acknowledged the limited data for fedratinib in the intermediate-1 risk subgroup, but noted that this was also the case for ruxolitinib. </w:t>
      </w:r>
      <w:r w:rsidRPr="00DF152F">
        <w:t xml:space="preserve">The resubmission noted that </w:t>
      </w:r>
      <w:proofErr w:type="gramStart"/>
      <w:r w:rsidRPr="00DF152F">
        <w:t>a brief summary</w:t>
      </w:r>
      <w:proofErr w:type="gramEnd"/>
      <w:r w:rsidRPr="00DF152F">
        <w:t xml:space="preserve"> of results from the </w:t>
      </w:r>
      <w:r>
        <w:t>JAKARTA 2</w:t>
      </w:r>
      <w:r w:rsidRPr="00DF152F">
        <w:t xml:space="preserve"> and FREEDOM studies was included in the May 2025 fedratinib submission, and that the PBAC has previously considered the ruxolitinib studies </w:t>
      </w:r>
      <w:r>
        <w:t>as part of</w:t>
      </w:r>
      <w:r w:rsidRPr="00DF152F">
        <w:t xml:space="preserve"> the March 2015 ruxolitinib submission. Data from these studies were summarised in the resubmission with a focus on data pertaining to patients with intermediate-1 risk myelofibrosis.</w:t>
      </w:r>
    </w:p>
    <w:p w14:paraId="5DDEE8EC" w14:textId="5F83684C" w:rsidR="003D4AEF" w:rsidRDefault="003D4AEF" w:rsidP="00F1713E">
      <w:pPr>
        <w:pStyle w:val="COMESnumberedpara"/>
      </w:pPr>
      <w:r w:rsidRPr="003D4AEF">
        <w:t>The JAKARTA 2 and FREEDOM fedratinib studies both presented results for ≥35% SVR response rate in the ITT population and the subgroup of patients with intermediate-1 disease. In the JAKARTA 2 study, 40/83 (48.2%) patients in the ITT population and 8/13 (61.5%) patients in the intermediate-1 subgroup achieved spleen response at the end of week 24. In the JAKARTA 2 ‘stringent cohort’ which used stricter definitions for patients who were refractory, intolerant or resistant to treatment with ruxolitinib, 24/79 (30.4%) patients in the ITT population and 2/11 (18.2%) patients in the intermediate-1 subgroup achieved spleen response. In the FREEDOM study 9/35 (25.7%) patients in the ITT population and 4/13 (30.8%) patients in the intermediate-1 risk subgroup achieved spleen response at week 24.</w:t>
      </w:r>
    </w:p>
    <w:p w14:paraId="24874499" w14:textId="4D648AE1" w:rsidR="006B420D" w:rsidRPr="00CB1EA6" w:rsidRDefault="000260C3" w:rsidP="00F1713E">
      <w:pPr>
        <w:pStyle w:val="COMESnumberedpara"/>
      </w:pPr>
      <w:r w:rsidRPr="00CB1EA6">
        <w:t>There were limited data available to compare fedratinib to ruxolitinib in the intermediate-1 risk subgroup</w:t>
      </w:r>
      <w:r w:rsidR="00307574" w:rsidRPr="00CB1EA6">
        <w:t>s</w:t>
      </w:r>
      <w:r w:rsidR="00882F08">
        <w:t>.</w:t>
      </w:r>
    </w:p>
    <w:p w14:paraId="1452C351" w14:textId="55226B9D" w:rsidR="00B60939" w:rsidRPr="0098262F" w:rsidRDefault="00B60939" w:rsidP="00D86231">
      <w:pPr>
        <w:pStyle w:val="COMESSubsectionheading"/>
      </w:pPr>
      <w:bookmarkStart w:id="30" w:name="_Toc209002717"/>
      <w:r w:rsidRPr="0098262F">
        <w:t>Comparative harms</w:t>
      </w:r>
      <w:bookmarkEnd w:id="29"/>
      <w:bookmarkEnd w:id="30"/>
    </w:p>
    <w:p w14:paraId="4BB212EC" w14:textId="4160CF45" w:rsidR="006B0817" w:rsidRPr="004F789C" w:rsidRDefault="006B0817" w:rsidP="00846C8E">
      <w:pPr>
        <w:pStyle w:val="COMexecsummnumbered"/>
        <w:numPr>
          <w:ilvl w:val="1"/>
          <w:numId w:val="6"/>
        </w:numPr>
        <w:rPr>
          <w:color w:val="0066FF"/>
        </w:rPr>
      </w:pPr>
      <w:r w:rsidRPr="004F789C">
        <w:t xml:space="preserve">Adverse events during the randomised phase of the FREEDOM-2 trial are summarised in </w:t>
      </w:r>
      <w:r w:rsidRPr="004F789C">
        <w:fldChar w:fldCharType="begin"/>
      </w:r>
      <w:r w:rsidRPr="004F789C">
        <w:instrText xml:space="preserve"> REF _Ref191895403 \h </w:instrText>
      </w:r>
      <w:r w:rsidRPr="004F789C">
        <w:fldChar w:fldCharType="separate"/>
      </w:r>
      <w:r w:rsidR="000F0515" w:rsidRPr="007F3EE4">
        <w:t xml:space="preserve">Table </w:t>
      </w:r>
      <w:r w:rsidR="000F0515">
        <w:rPr>
          <w:noProof/>
        </w:rPr>
        <w:t>9</w:t>
      </w:r>
      <w:r w:rsidRPr="004F789C">
        <w:fldChar w:fldCharType="end"/>
      </w:r>
      <w:r w:rsidRPr="004F789C">
        <w:t>.</w:t>
      </w:r>
    </w:p>
    <w:p w14:paraId="4AD4BA4B" w14:textId="2669655F" w:rsidR="00346C87" w:rsidRPr="007F3EE4" w:rsidRDefault="00346C87" w:rsidP="00497AB2">
      <w:pPr>
        <w:pStyle w:val="COMtablefigcaption"/>
      </w:pPr>
      <w:bookmarkStart w:id="31" w:name="_Ref191895403"/>
      <w:r w:rsidRPr="007F3EE4">
        <w:t xml:space="preserve">Table </w:t>
      </w:r>
      <w:r w:rsidR="0003298B">
        <w:fldChar w:fldCharType="begin"/>
      </w:r>
      <w:r w:rsidR="0003298B">
        <w:instrText xml:space="preserve"> SEQ Table \* ARABIC </w:instrText>
      </w:r>
      <w:r w:rsidR="0003298B">
        <w:fldChar w:fldCharType="separate"/>
      </w:r>
      <w:r w:rsidR="000F0515">
        <w:rPr>
          <w:noProof/>
        </w:rPr>
        <w:t>9</w:t>
      </w:r>
      <w:r w:rsidR="0003298B">
        <w:rPr>
          <w:noProof/>
        </w:rPr>
        <w:fldChar w:fldCharType="end"/>
      </w:r>
      <w:bookmarkEnd w:id="31"/>
      <w:r w:rsidRPr="007F3EE4">
        <w:t>: Summary of key adverse events in the FREEDOM-2 trial safety population, randomised treatment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Summary of key adverse events in the FREEDOM-2 trial safety population, randomised treatment phase"/>
      </w:tblPr>
      <w:tblGrid>
        <w:gridCol w:w="4390"/>
        <w:gridCol w:w="2313"/>
        <w:gridCol w:w="2314"/>
      </w:tblGrid>
      <w:tr w:rsidR="007F3EE4" w:rsidRPr="007F3EE4" w14:paraId="64215539" w14:textId="77777777" w:rsidTr="00B94392">
        <w:trPr>
          <w:tblHeader/>
        </w:trPr>
        <w:tc>
          <w:tcPr>
            <w:tcW w:w="4390" w:type="dxa"/>
            <w:shd w:val="clear" w:color="auto" w:fill="B8CCE4" w:themeFill="accent1" w:themeFillTint="66"/>
            <w:vAlign w:val="center"/>
          </w:tcPr>
          <w:p w14:paraId="5DFBA064" w14:textId="77777777" w:rsidR="00346C87" w:rsidRPr="00AE73ED" w:rsidRDefault="00346C87">
            <w:pPr>
              <w:pStyle w:val="COMTableheadingrow"/>
            </w:pPr>
            <w:r w:rsidRPr="00AE73ED">
              <w:t>Adverse events during the randomised treatment phase (24 weeks), n (%)</w:t>
            </w:r>
          </w:p>
        </w:tc>
        <w:tc>
          <w:tcPr>
            <w:tcW w:w="2313" w:type="dxa"/>
            <w:shd w:val="clear" w:color="auto" w:fill="B8CCE4" w:themeFill="accent1" w:themeFillTint="66"/>
            <w:vAlign w:val="center"/>
          </w:tcPr>
          <w:p w14:paraId="194511AB" w14:textId="77777777" w:rsidR="00346C87" w:rsidRPr="00AE73ED" w:rsidRDefault="00346C87">
            <w:pPr>
              <w:pStyle w:val="COMTableheadingrow"/>
              <w:jc w:val="center"/>
            </w:pPr>
            <w:r w:rsidRPr="00AE73ED">
              <w:t>Fedratinib</w:t>
            </w:r>
          </w:p>
          <w:p w14:paraId="09C391D5" w14:textId="77777777" w:rsidR="00346C87" w:rsidRPr="00AE73ED" w:rsidRDefault="00346C87">
            <w:pPr>
              <w:pStyle w:val="COMTableheadingrow"/>
              <w:jc w:val="center"/>
            </w:pPr>
            <w:r w:rsidRPr="00AE73ED">
              <w:t>N = 134</w:t>
            </w:r>
          </w:p>
        </w:tc>
        <w:tc>
          <w:tcPr>
            <w:tcW w:w="2314" w:type="dxa"/>
            <w:shd w:val="clear" w:color="auto" w:fill="B8CCE4" w:themeFill="accent1" w:themeFillTint="66"/>
            <w:vAlign w:val="center"/>
          </w:tcPr>
          <w:p w14:paraId="2EBE6183" w14:textId="77777777" w:rsidR="00346C87" w:rsidRPr="00AE73ED" w:rsidRDefault="00346C87">
            <w:pPr>
              <w:pStyle w:val="COMTableheadingrow"/>
              <w:jc w:val="center"/>
            </w:pPr>
            <w:r w:rsidRPr="00AE73ED">
              <w:t>BAT</w:t>
            </w:r>
          </w:p>
          <w:p w14:paraId="58AF9CDB" w14:textId="77777777" w:rsidR="00346C87" w:rsidRPr="00AE73ED" w:rsidRDefault="00346C87">
            <w:pPr>
              <w:pStyle w:val="COMTableheadingrow"/>
              <w:jc w:val="center"/>
            </w:pPr>
            <w:r w:rsidRPr="00AE73ED">
              <w:t>N = 67</w:t>
            </w:r>
          </w:p>
        </w:tc>
      </w:tr>
      <w:tr w:rsidR="007F3EE4" w:rsidRPr="007F3EE4" w14:paraId="393E4D45" w14:textId="77777777" w:rsidTr="00B94392">
        <w:tc>
          <w:tcPr>
            <w:tcW w:w="4390" w:type="dxa"/>
            <w:shd w:val="clear" w:color="auto" w:fill="B8CCE4" w:themeFill="accent1" w:themeFillTint="66"/>
            <w:vAlign w:val="center"/>
          </w:tcPr>
          <w:p w14:paraId="6DCF5979" w14:textId="77777777" w:rsidR="00346C87" w:rsidRPr="00AE73ED" w:rsidRDefault="00346C87">
            <w:pPr>
              <w:pStyle w:val="COMTabletext"/>
            </w:pPr>
            <w:r w:rsidRPr="00AE73ED">
              <w:t>Any TEAE</w:t>
            </w:r>
          </w:p>
        </w:tc>
        <w:tc>
          <w:tcPr>
            <w:tcW w:w="2313" w:type="dxa"/>
            <w:shd w:val="clear" w:color="auto" w:fill="B8CCE4" w:themeFill="accent1" w:themeFillTint="66"/>
            <w:vAlign w:val="center"/>
          </w:tcPr>
          <w:p w14:paraId="46A87B21" w14:textId="77777777" w:rsidR="00346C87" w:rsidRPr="00AE73ED" w:rsidRDefault="00346C87">
            <w:pPr>
              <w:pStyle w:val="COMTabletext"/>
              <w:jc w:val="center"/>
            </w:pPr>
            <w:r w:rsidRPr="00AE73ED">
              <w:t>132 (98.5)</w:t>
            </w:r>
          </w:p>
        </w:tc>
        <w:tc>
          <w:tcPr>
            <w:tcW w:w="2314" w:type="dxa"/>
            <w:shd w:val="clear" w:color="auto" w:fill="B8CCE4" w:themeFill="accent1" w:themeFillTint="66"/>
            <w:vAlign w:val="center"/>
          </w:tcPr>
          <w:p w14:paraId="48888AB6" w14:textId="77777777" w:rsidR="00346C87" w:rsidRPr="00AE73ED" w:rsidRDefault="00346C87">
            <w:pPr>
              <w:pStyle w:val="COMTabletext"/>
              <w:jc w:val="center"/>
            </w:pPr>
            <w:r w:rsidRPr="00AE73ED">
              <w:t>65 (97.0)</w:t>
            </w:r>
          </w:p>
        </w:tc>
      </w:tr>
      <w:tr w:rsidR="007F3EE4" w:rsidRPr="007F3EE4" w14:paraId="02B0C371" w14:textId="77777777" w:rsidTr="00B94392">
        <w:tc>
          <w:tcPr>
            <w:tcW w:w="4390" w:type="dxa"/>
            <w:shd w:val="clear" w:color="auto" w:fill="B8CCE4" w:themeFill="accent1" w:themeFillTint="66"/>
            <w:vAlign w:val="center"/>
          </w:tcPr>
          <w:p w14:paraId="26273226" w14:textId="77777777" w:rsidR="00346C87" w:rsidRPr="00AE73ED" w:rsidRDefault="00346C87">
            <w:pPr>
              <w:pStyle w:val="COMTabletext"/>
            </w:pPr>
            <w:r w:rsidRPr="00AE73ED">
              <w:t>Treatment-related TEAE</w:t>
            </w:r>
          </w:p>
        </w:tc>
        <w:tc>
          <w:tcPr>
            <w:tcW w:w="2313" w:type="dxa"/>
            <w:shd w:val="clear" w:color="auto" w:fill="B8CCE4" w:themeFill="accent1" w:themeFillTint="66"/>
            <w:vAlign w:val="center"/>
          </w:tcPr>
          <w:p w14:paraId="48BBACBA" w14:textId="77777777" w:rsidR="00346C87" w:rsidRPr="00AE73ED" w:rsidRDefault="00346C87">
            <w:pPr>
              <w:pStyle w:val="COMTabletext"/>
              <w:jc w:val="center"/>
            </w:pPr>
            <w:r w:rsidRPr="00AE73ED">
              <w:t>109 (81.3)</w:t>
            </w:r>
          </w:p>
        </w:tc>
        <w:tc>
          <w:tcPr>
            <w:tcW w:w="2314" w:type="dxa"/>
            <w:shd w:val="clear" w:color="auto" w:fill="B8CCE4" w:themeFill="accent1" w:themeFillTint="66"/>
            <w:vAlign w:val="center"/>
          </w:tcPr>
          <w:p w14:paraId="62DE3C00" w14:textId="77777777" w:rsidR="00346C87" w:rsidRPr="00AE73ED" w:rsidRDefault="00346C87">
            <w:pPr>
              <w:pStyle w:val="COMTabletext"/>
              <w:jc w:val="center"/>
            </w:pPr>
            <w:r w:rsidRPr="00AE73ED">
              <w:t>23 (34.3)</w:t>
            </w:r>
          </w:p>
        </w:tc>
      </w:tr>
      <w:tr w:rsidR="007F3EE4" w:rsidRPr="007F3EE4" w14:paraId="7143FB6C" w14:textId="77777777" w:rsidTr="00B94392">
        <w:tc>
          <w:tcPr>
            <w:tcW w:w="4390" w:type="dxa"/>
            <w:shd w:val="clear" w:color="auto" w:fill="B8CCE4" w:themeFill="accent1" w:themeFillTint="66"/>
            <w:vAlign w:val="center"/>
          </w:tcPr>
          <w:p w14:paraId="524667B1" w14:textId="77777777" w:rsidR="00346C87" w:rsidRPr="00AE73ED" w:rsidRDefault="00346C87">
            <w:pPr>
              <w:pStyle w:val="COMTabletext"/>
            </w:pPr>
            <w:r w:rsidRPr="00AE73ED">
              <w:t>Serious TEAE</w:t>
            </w:r>
          </w:p>
        </w:tc>
        <w:tc>
          <w:tcPr>
            <w:tcW w:w="2313" w:type="dxa"/>
            <w:shd w:val="clear" w:color="auto" w:fill="B8CCE4" w:themeFill="accent1" w:themeFillTint="66"/>
            <w:vAlign w:val="center"/>
          </w:tcPr>
          <w:p w14:paraId="7204E07E" w14:textId="77777777" w:rsidR="00346C87" w:rsidRPr="00AE73ED" w:rsidRDefault="00346C87">
            <w:pPr>
              <w:pStyle w:val="COMTabletext"/>
              <w:jc w:val="center"/>
            </w:pPr>
            <w:r w:rsidRPr="00AE73ED">
              <w:t>44 (32.8)</w:t>
            </w:r>
          </w:p>
        </w:tc>
        <w:tc>
          <w:tcPr>
            <w:tcW w:w="2314" w:type="dxa"/>
            <w:shd w:val="clear" w:color="auto" w:fill="B8CCE4" w:themeFill="accent1" w:themeFillTint="66"/>
            <w:vAlign w:val="center"/>
          </w:tcPr>
          <w:p w14:paraId="402547E5" w14:textId="77777777" w:rsidR="00346C87" w:rsidRPr="00AE73ED" w:rsidRDefault="00346C87">
            <w:pPr>
              <w:pStyle w:val="COMTabletext"/>
              <w:jc w:val="center"/>
            </w:pPr>
            <w:r w:rsidRPr="00AE73ED">
              <w:t>16 (23.9)</w:t>
            </w:r>
          </w:p>
        </w:tc>
      </w:tr>
      <w:tr w:rsidR="007F3EE4" w:rsidRPr="007F3EE4" w14:paraId="2F96C994" w14:textId="77777777" w:rsidTr="00B94392">
        <w:tc>
          <w:tcPr>
            <w:tcW w:w="4390" w:type="dxa"/>
            <w:shd w:val="clear" w:color="auto" w:fill="B8CCE4" w:themeFill="accent1" w:themeFillTint="66"/>
            <w:vAlign w:val="center"/>
          </w:tcPr>
          <w:p w14:paraId="58115944" w14:textId="77777777" w:rsidR="00346C87" w:rsidRPr="00AE73ED" w:rsidRDefault="00346C87">
            <w:pPr>
              <w:pStyle w:val="COMTabletext"/>
            </w:pPr>
            <w:r w:rsidRPr="00AE73ED">
              <w:t>Serious treatment-related TEAE</w:t>
            </w:r>
          </w:p>
        </w:tc>
        <w:tc>
          <w:tcPr>
            <w:tcW w:w="2313" w:type="dxa"/>
            <w:shd w:val="clear" w:color="auto" w:fill="B8CCE4" w:themeFill="accent1" w:themeFillTint="66"/>
            <w:vAlign w:val="center"/>
          </w:tcPr>
          <w:p w14:paraId="2C9A696F" w14:textId="77777777" w:rsidR="00346C87" w:rsidRPr="00AE73ED" w:rsidRDefault="00346C87">
            <w:pPr>
              <w:pStyle w:val="COMTabletext"/>
              <w:jc w:val="center"/>
            </w:pPr>
            <w:r w:rsidRPr="00AE73ED">
              <w:t>20 (14.9)</w:t>
            </w:r>
          </w:p>
        </w:tc>
        <w:tc>
          <w:tcPr>
            <w:tcW w:w="2314" w:type="dxa"/>
            <w:shd w:val="clear" w:color="auto" w:fill="B8CCE4" w:themeFill="accent1" w:themeFillTint="66"/>
            <w:vAlign w:val="center"/>
          </w:tcPr>
          <w:p w14:paraId="3ACB9819" w14:textId="77777777" w:rsidR="00346C87" w:rsidRPr="00AE73ED" w:rsidRDefault="00346C87">
            <w:pPr>
              <w:pStyle w:val="COMTabletext"/>
              <w:jc w:val="center"/>
            </w:pPr>
            <w:r w:rsidRPr="00AE73ED">
              <w:t>2 (3.0)</w:t>
            </w:r>
          </w:p>
        </w:tc>
      </w:tr>
      <w:tr w:rsidR="007F3EE4" w:rsidRPr="007F3EE4" w14:paraId="52716135" w14:textId="77777777" w:rsidTr="00B94392">
        <w:tc>
          <w:tcPr>
            <w:tcW w:w="4390" w:type="dxa"/>
            <w:shd w:val="clear" w:color="auto" w:fill="B8CCE4" w:themeFill="accent1" w:themeFillTint="66"/>
            <w:vAlign w:val="center"/>
          </w:tcPr>
          <w:p w14:paraId="46C00C14" w14:textId="77777777" w:rsidR="00346C87" w:rsidRPr="00AE73ED" w:rsidRDefault="00346C87">
            <w:pPr>
              <w:pStyle w:val="COMTabletext"/>
            </w:pPr>
            <w:r w:rsidRPr="00AE73ED">
              <w:t>Grade ≥3 TEAE</w:t>
            </w:r>
          </w:p>
        </w:tc>
        <w:tc>
          <w:tcPr>
            <w:tcW w:w="2313" w:type="dxa"/>
            <w:shd w:val="clear" w:color="auto" w:fill="B8CCE4" w:themeFill="accent1" w:themeFillTint="66"/>
          </w:tcPr>
          <w:p w14:paraId="509C48E3" w14:textId="77777777" w:rsidR="00346C87" w:rsidRPr="00AE73ED" w:rsidRDefault="00346C87">
            <w:pPr>
              <w:pStyle w:val="COMTabletext"/>
              <w:jc w:val="center"/>
            </w:pPr>
            <w:r w:rsidRPr="00AE73ED">
              <w:t>88 (65.7)</w:t>
            </w:r>
          </w:p>
        </w:tc>
        <w:tc>
          <w:tcPr>
            <w:tcW w:w="2314" w:type="dxa"/>
            <w:shd w:val="clear" w:color="auto" w:fill="B8CCE4" w:themeFill="accent1" w:themeFillTint="66"/>
          </w:tcPr>
          <w:p w14:paraId="16A4FC57" w14:textId="77777777" w:rsidR="00346C87" w:rsidRPr="00AE73ED" w:rsidRDefault="00346C87">
            <w:pPr>
              <w:pStyle w:val="COMTabletext"/>
              <w:jc w:val="center"/>
            </w:pPr>
            <w:r w:rsidRPr="00AE73ED">
              <w:t>29 (43.3)</w:t>
            </w:r>
          </w:p>
        </w:tc>
      </w:tr>
      <w:tr w:rsidR="007F3EE4" w:rsidRPr="007F3EE4" w14:paraId="7EA750A8" w14:textId="77777777" w:rsidTr="00B94392">
        <w:tc>
          <w:tcPr>
            <w:tcW w:w="4390" w:type="dxa"/>
            <w:shd w:val="clear" w:color="auto" w:fill="B8CCE4" w:themeFill="accent1" w:themeFillTint="66"/>
            <w:vAlign w:val="center"/>
          </w:tcPr>
          <w:p w14:paraId="62AB12A8" w14:textId="77777777" w:rsidR="00346C87" w:rsidRPr="00AE73ED" w:rsidRDefault="00346C87">
            <w:pPr>
              <w:pStyle w:val="COMTabletext"/>
            </w:pPr>
            <w:r w:rsidRPr="00AE73ED">
              <w:t>Grade ≥3 treatment-related TEAE</w:t>
            </w:r>
          </w:p>
        </w:tc>
        <w:tc>
          <w:tcPr>
            <w:tcW w:w="2313" w:type="dxa"/>
            <w:shd w:val="clear" w:color="auto" w:fill="B8CCE4" w:themeFill="accent1" w:themeFillTint="66"/>
            <w:vAlign w:val="center"/>
          </w:tcPr>
          <w:p w14:paraId="57F7A028" w14:textId="77777777" w:rsidR="00346C87" w:rsidRPr="00AE73ED" w:rsidRDefault="00346C87">
            <w:pPr>
              <w:pStyle w:val="COMTabletext"/>
              <w:jc w:val="center"/>
            </w:pPr>
            <w:r w:rsidRPr="00AE73ED">
              <w:t>52 (38.8)</w:t>
            </w:r>
          </w:p>
        </w:tc>
        <w:tc>
          <w:tcPr>
            <w:tcW w:w="2314" w:type="dxa"/>
            <w:shd w:val="clear" w:color="auto" w:fill="B8CCE4" w:themeFill="accent1" w:themeFillTint="66"/>
            <w:vAlign w:val="center"/>
          </w:tcPr>
          <w:p w14:paraId="51C7F24D" w14:textId="77777777" w:rsidR="00346C87" w:rsidRPr="00AE73ED" w:rsidRDefault="00346C87">
            <w:pPr>
              <w:pStyle w:val="COMTabletext"/>
              <w:jc w:val="center"/>
            </w:pPr>
            <w:r w:rsidRPr="00AE73ED">
              <w:t>8 (11.9)</w:t>
            </w:r>
          </w:p>
        </w:tc>
      </w:tr>
      <w:tr w:rsidR="007F3EE4" w:rsidRPr="007F3EE4" w14:paraId="751C5D66" w14:textId="77777777" w:rsidTr="00B94392">
        <w:tc>
          <w:tcPr>
            <w:tcW w:w="4390" w:type="dxa"/>
            <w:shd w:val="clear" w:color="auto" w:fill="B8CCE4" w:themeFill="accent1" w:themeFillTint="66"/>
            <w:vAlign w:val="center"/>
          </w:tcPr>
          <w:p w14:paraId="73CE3151" w14:textId="77777777" w:rsidR="00346C87" w:rsidRPr="00AE73ED" w:rsidRDefault="00346C87">
            <w:pPr>
              <w:pStyle w:val="COMTabletext"/>
            </w:pPr>
            <w:r w:rsidRPr="00AE73ED">
              <w:t>TEAE leading to death</w:t>
            </w:r>
          </w:p>
        </w:tc>
        <w:tc>
          <w:tcPr>
            <w:tcW w:w="2313" w:type="dxa"/>
            <w:shd w:val="clear" w:color="auto" w:fill="B8CCE4" w:themeFill="accent1" w:themeFillTint="66"/>
            <w:vAlign w:val="center"/>
          </w:tcPr>
          <w:p w14:paraId="4846ED08" w14:textId="77777777" w:rsidR="00346C87" w:rsidRPr="00AE73ED" w:rsidRDefault="00346C87">
            <w:pPr>
              <w:pStyle w:val="COMTabletext"/>
              <w:jc w:val="center"/>
            </w:pPr>
            <w:r w:rsidRPr="00AE73ED">
              <w:t>7 (5.2)</w:t>
            </w:r>
          </w:p>
        </w:tc>
        <w:tc>
          <w:tcPr>
            <w:tcW w:w="2314" w:type="dxa"/>
            <w:shd w:val="clear" w:color="auto" w:fill="B8CCE4" w:themeFill="accent1" w:themeFillTint="66"/>
            <w:vAlign w:val="center"/>
          </w:tcPr>
          <w:p w14:paraId="64002871" w14:textId="77777777" w:rsidR="00346C87" w:rsidRPr="00AE73ED" w:rsidRDefault="00346C87">
            <w:pPr>
              <w:pStyle w:val="COMTabletext"/>
              <w:jc w:val="center"/>
            </w:pPr>
            <w:r w:rsidRPr="00AE73ED">
              <w:t>1 (1.5)</w:t>
            </w:r>
          </w:p>
        </w:tc>
      </w:tr>
      <w:tr w:rsidR="007F3EE4" w:rsidRPr="007F3EE4" w14:paraId="50B0FD5A" w14:textId="77777777" w:rsidTr="00B94392">
        <w:tc>
          <w:tcPr>
            <w:tcW w:w="4390" w:type="dxa"/>
            <w:shd w:val="clear" w:color="auto" w:fill="B8CCE4" w:themeFill="accent1" w:themeFillTint="66"/>
            <w:vAlign w:val="center"/>
          </w:tcPr>
          <w:p w14:paraId="5C3816E7" w14:textId="77777777" w:rsidR="00346C87" w:rsidRPr="00AE73ED" w:rsidRDefault="00346C87">
            <w:pPr>
              <w:pStyle w:val="COMTabletext"/>
            </w:pPr>
            <w:r w:rsidRPr="00AE73ED">
              <w:t>Treatment related TEAE leading to death</w:t>
            </w:r>
          </w:p>
        </w:tc>
        <w:tc>
          <w:tcPr>
            <w:tcW w:w="2313" w:type="dxa"/>
            <w:shd w:val="clear" w:color="auto" w:fill="B8CCE4" w:themeFill="accent1" w:themeFillTint="66"/>
            <w:vAlign w:val="center"/>
          </w:tcPr>
          <w:p w14:paraId="6ED377B4" w14:textId="77777777" w:rsidR="00346C87" w:rsidRPr="00AE73ED" w:rsidRDefault="00346C87">
            <w:pPr>
              <w:pStyle w:val="COMTabletext"/>
              <w:jc w:val="center"/>
            </w:pPr>
            <w:r w:rsidRPr="00AE73ED">
              <w:t>1 (0.7)</w:t>
            </w:r>
          </w:p>
        </w:tc>
        <w:tc>
          <w:tcPr>
            <w:tcW w:w="2314" w:type="dxa"/>
            <w:shd w:val="clear" w:color="auto" w:fill="B8CCE4" w:themeFill="accent1" w:themeFillTint="66"/>
            <w:vAlign w:val="center"/>
          </w:tcPr>
          <w:p w14:paraId="41A421C9" w14:textId="77777777" w:rsidR="00346C87" w:rsidRPr="00AE73ED" w:rsidRDefault="00346C87">
            <w:pPr>
              <w:pStyle w:val="COMTabletext"/>
              <w:jc w:val="center"/>
            </w:pPr>
            <w:r w:rsidRPr="00AE73ED">
              <w:t>0 (0)</w:t>
            </w:r>
          </w:p>
        </w:tc>
      </w:tr>
      <w:tr w:rsidR="007F3EE4" w:rsidRPr="007F3EE4" w14:paraId="140CAC36" w14:textId="77777777" w:rsidTr="00B94392">
        <w:tc>
          <w:tcPr>
            <w:tcW w:w="4390" w:type="dxa"/>
            <w:shd w:val="clear" w:color="auto" w:fill="B8CCE4" w:themeFill="accent1" w:themeFillTint="66"/>
            <w:vAlign w:val="center"/>
          </w:tcPr>
          <w:p w14:paraId="30F43DAA" w14:textId="77777777" w:rsidR="00346C87" w:rsidRPr="00AE73ED" w:rsidRDefault="00346C87">
            <w:pPr>
              <w:pStyle w:val="COMTabletext"/>
            </w:pPr>
            <w:r w:rsidRPr="00AE73ED">
              <w:t>TEAE leading to dose reduction</w:t>
            </w:r>
          </w:p>
        </w:tc>
        <w:tc>
          <w:tcPr>
            <w:tcW w:w="2313" w:type="dxa"/>
            <w:shd w:val="clear" w:color="auto" w:fill="B8CCE4" w:themeFill="accent1" w:themeFillTint="66"/>
            <w:vAlign w:val="center"/>
          </w:tcPr>
          <w:p w14:paraId="24EE5FAD" w14:textId="77777777" w:rsidR="00346C87" w:rsidRPr="00AE73ED" w:rsidRDefault="00346C87">
            <w:pPr>
              <w:pStyle w:val="COMTabletext"/>
              <w:jc w:val="center"/>
            </w:pPr>
            <w:r w:rsidRPr="00AE73ED">
              <w:t>41 (30.6)</w:t>
            </w:r>
          </w:p>
        </w:tc>
        <w:tc>
          <w:tcPr>
            <w:tcW w:w="2314" w:type="dxa"/>
            <w:shd w:val="clear" w:color="auto" w:fill="B8CCE4" w:themeFill="accent1" w:themeFillTint="66"/>
            <w:vAlign w:val="center"/>
          </w:tcPr>
          <w:p w14:paraId="67D93D2C" w14:textId="77777777" w:rsidR="00346C87" w:rsidRPr="00AE73ED" w:rsidRDefault="00346C87">
            <w:pPr>
              <w:pStyle w:val="COMTabletext"/>
              <w:jc w:val="center"/>
            </w:pPr>
            <w:r w:rsidRPr="00AE73ED">
              <w:t xml:space="preserve">7 (10.4) </w:t>
            </w:r>
          </w:p>
        </w:tc>
      </w:tr>
      <w:tr w:rsidR="007F3EE4" w:rsidRPr="007F3EE4" w14:paraId="1E8CC792" w14:textId="77777777" w:rsidTr="00B94392">
        <w:tc>
          <w:tcPr>
            <w:tcW w:w="4390" w:type="dxa"/>
            <w:shd w:val="clear" w:color="auto" w:fill="B8CCE4" w:themeFill="accent1" w:themeFillTint="66"/>
            <w:vAlign w:val="center"/>
          </w:tcPr>
          <w:p w14:paraId="45374452" w14:textId="77777777" w:rsidR="00346C87" w:rsidRPr="00AE73ED" w:rsidRDefault="00346C87">
            <w:pPr>
              <w:pStyle w:val="COMTabletext"/>
            </w:pPr>
            <w:r w:rsidRPr="00AE73ED">
              <w:t>TEAE leading to dose interruption</w:t>
            </w:r>
          </w:p>
        </w:tc>
        <w:tc>
          <w:tcPr>
            <w:tcW w:w="2313" w:type="dxa"/>
            <w:shd w:val="clear" w:color="auto" w:fill="B8CCE4" w:themeFill="accent1" w:themeFillTint="66"/>
            <w:vAlign w:val="center"/>
          </w:tcPr>
          <w:p w14:paraId="7444DA2C" w14:textId="77777777" w:rsidR="00346C87" w:rsidRPr="00AE73ED" w:rsidRDefault="00346C87">
            <w:pPr>
              <w:pStyle w:val="COMTabletext"/>
              <w:jc w:val="center"/>
            </w:pPr>
            <w:r w:rsidRPr="00AE73ED">
              <w:t>42 (31.3)</w:t>
            </w:r>
          </w:p>
        </w:tc>
        <w:tc>
          <w:tcPr>
            <w:tcW w:w="2314" w:type="dxa"/>
            <w:shd w:val="clear" w:color="auto" w:fill="B8CCE4" w:themeFill="accent1" w:themeFillTint="66"/>
            <w:vAlign w:val="center"/>
          </w:tcPr>
          <w:p w14:paraId="1072C8C4" w14:textId="77777777" w:rsidR="00346C87" w:rsidRPr="00AE73ED" w:rsidRDefault="00346C87">
            <w:pPr>
              <w:pStyle w:val="COMTabletext"/>
              <w:jc w:val="center"/>
            </w:pPr>
            <w:r w:rsidRPr="00AE73ED">
              <w:t>4 (6.0)</w:t>
            </w:r>
          </w:p>
        </w:tc>
      </w:tr>
      <w:tr w:rsidR="007F3EE4" w:rsidRPr="007F3EE4" w14:paraId="21256C39" w14:textId="77777777" w:rsidTr="00B94392">
        <w:tc>
          <w:tcPr>
            <w:tcW w:w="4390" w:type="dxa"/>
            <w:shd w:val="clear" w:color="auto" w:fill="B8CCE4" w:themeFill="accent1" w:themeFillTint="66"/>
            <w:vAlign w:val="center"/>
          </w:tcPr>
          <w:p w14:paraId="19D0E0A4" w14:textId="77777777" w:rsidR="00346C87" w:rsidRPr="00AE73ED" w:rsidRDefault="00346C87">
            <w:pPr>
              <w:pStyle w:val="COMTabletext"/>
            </w:pPr>
            <w:r w:rsidRPr="00AE73ED">
              <w:t>TEAE leading to permanent treatment discontinuation</w:t>
            </w:r>
          </w:p>
        </w:tc>
        <w:tc>
          <w:tcPr>
            <w:tcW w:w="2313" w:type="dxa"/>
            <w:shd w:val="clear" w:color="auto" w:fill="B8CCE4" w:themeFill="accent1" w:themeFillTint="66"/>
            <w:vAlign w:val="center"/>
          </w:tcPr>
          <w:p w14:paraId="7D46BAAF" w14:textId="77777777" w:rsidR="00346C87" w:rsidRPr="00AE73ED" w:rsidRDefault="00346C87">
            <w:pPr>
              <w:pStyle w:val="COMTabletext"/>
              <w:jc w:val="center"/>
            </w:pPr>
            <w:r w:rsidRPr="00AE73ED">
              <w:t>13 (9.7)</w:t>
            </w:r>
          </w:p>
        </w:tc>
        <w:tc>
          <w:tcPr>
            <w:tcW w:w="2314" w:type="dxa"/>
            <w:shd w:val="clear" w:color="auto" w:fill="B8CCE4" w:themeFill="accent1" w:themeFillTint="66"/>
            <w:vAlign w:val="center"/>
          </w:tcPr>
          <w:p w14:paraId="1D74B3E0" w14:textId="77777777" w:rsidR="00346C87" w:rsidRPr="00AE73ED" w:rsidRDefault="00346C87">
            <w:pPr>
              <w:pStyle w:val="COMTabletext"/>
              <w:jc w:val="center"/>
            </w:pPr>
            <w:r w:rsidRPr="00AE73ED">
              <w:t>4 (6.0)</w:t>
            </w:r>
          </w:p>
        </w:tc>
      </w:tr>
      <w:tr w:rsidR="007F3EE4" w:rsidRPr="007F3EE4" w14:paraId="38F76115" w14:textId="77777777" w:rsidTr="00B94392">
        <w:tc>
          <w:tcPr>
            <w:tcW w:w="4390" w:type="dxa"/>
            <w:shd w:val="clear" w:color="auto" w:fill="B8CCE4" w:themeFill="accent1" w:themeFillTint="66"/>
            <w:vAlign w:val="center"/>
          </w:tcPr>
          <w:p w14:paraId="33B58400" w14:textId="77777777" w:rsidR="00346C87" w:rsidRPr="00AE73ED" w:rsidRDefault="00346C87">
            <w:pPr>
              <w:pStyle w:val="COMTabletext"/>
            </w:pPr>
            <w:r w:rsidRPr="00AE73ED">
              <w:t>AE of special interest</w:t>
            </w:r>
          </w:p>
        </w:tc>
        <w:tc>
          <w:tcPr>
            <w:tcW w:w="2313" w:type="dxa"/>
            <w:shd w:val="clear" w:color="auto" w:fill="B8CCE4" w:themeFill="accent1" w:themeFillTint="66"/>
            <w:vAlign w:val="center"/>
          </w:tcPr>
          <w:p w14:paraId="5595BDCE" w14:textId="77777777" w:rsidR="00346C87" w:rsidRPr="00AE73ED" w:rsidRDefault="00346C87">
            <w:pPr>
              <w:pStyle w:val="COMTabletext"/>
              <w:jc w:val="center"/>
            </w:pPr>
            <w:r w:rsidRPr="00AE73ED">
              <w:t>88 (67.5)</w:t>
            </w:r>
          </w:p>
        </w:tc>
        <w:tc>
          <w:tcPr>
            <w:tcW w:w="2314" w:type="dxa"/>
            <w:shd w:val="clear" w:color="auto" w:fill="B8CCE4" w:themeFill="accent1" w:themeFillTint="66"/>
            <w:vAlign w:val="center"/>
          </w:tcPr>
          <w:p w14:paraId="6C9F5E73" w14:textId="77777777" w:rsidR="00346C87" w:rsidRPr="00AE73ED" w:rsidRDefault="00346C87">
            <w:pPr>
              <w:pStyle w:val="COMTabletext"/>
              <w:jc w:val="center"/>
            </w:pPr>
            <w:r w:rsidRPr="00AE73ED">
              <w:t>27 (40.3)</w:t>
            </w:r>
          </w:p>
        </w:tc>
      </w:tr>
      <w:tr w:rsidR="007F3EE4" w:rsidRPr="007F3EE4" w14:paraId="23598165" w14:textId="77777777" w:rsidTr="00B94392">
        <w:tc>
          <w:tcPr>
            <w:tcW w:w="4390" w:type="dxa"/>
            <w:shd w:val="clear" w:color="auto" w:fill="B8CCE4" w:themeFill="accent1" w:themeFillTint="66"/>
            <w:vAlign w:val="center"/>
          </w:tcPr>
          <w:p w14:paraId="05542D7C" w14:textId="77777777" w:rsidR="00346C87" w:rsidRPr="00AE73ED" w:rsidRDefault="00346C87">
            <w:pPr>
              <w:pStyle w:val="COMTabletext"/>
            </w:pPr>
            <w:r w:rsidRPr="00AE73ED">
              <w:t>Treatment-related AE of special interest</w:t>
            </w:r>
          </w:p>
        </w:tc>
        <w:tc>
          <w:tcPr>
            <w:tcW w:w="2313" w:type="dxa"/>
            <w:shd w:val="clear" w:color="auto" w:fill="B8CCE4" w:themeFill="accent1" w:themeFillTint="66"/>
            <w:vAlign w:val="center"/>
          </w:tcPr>
          <w:p w14:paraId="0961B322" w14:textId="77777777" w:rsidR="00346C87" w:rsidRPr="00AE73ED" w:rsidRDefault="00346C87">
            <w:pPr>
              <w:pStyle w:val="COMTabletext"/>
              <w:jc w:val="center"/>
            </w:pPr>
            <w:r w:rsidRPr="00AE73ED">
              <w:t>42 (31.3)</w:t>
            </w:r>
          </w:p>
        </w:tc>
        <w:tc>
          <w:tcPr>
            <w:tcW w:w="2314" w:type="dxa"/>
            <w:shd w:val="clear" w:color="auto" w:fill="B8CCE4" w:themeFill="accent1" w:themeFillTint="66"/>
            <w:vAlign w:val="center"/>
          </w:tcPr>
          <w:p w14:paraId="0421E4F7" w14:textId="77777777" w:rsidR="00346C87" w:rsidRPr="00AE73ED" w:rsidRDefault="00346C87">
            <w:pPr>
              <w:pStyle w:val="COMTabletext"/>
              <w:jc w:val="center"/>
            </w:pPr>
            <w:r w:rsidRPr="00AE73ED">
              <w:t>8 (11.9)</w:t>
            </w:r>
          </w:p>
        </w:tc>
      </w:tr>
      <w:tr w:rsidR="007F3EE4" w:rsidRPr="007F3EE4" w14:paraId="2A6BCAD0" w14:textId="77777777" w:rsidTr="00B94392">
        <w:tc>
          <w:tcPr>
            <w:tcW w:w="9017" w:type="dxa"/>
            <w:gridSpan w:val="3"/>
            <w:shd w:val="clear" w:color="auto" w:fill="B8CCE4" w:themeFill="accent1" w:themeFillTint="66"/>
            <w:vAlign w:val="center"/>
          </w:tcPr>
          <w:p w14:paraId="3BC5B2DE" w14:textId="77777777" w:rsidR="00346C87" w:rsidRPr="00AE73ED" w:rsidRDefault="00346C87">
            <w:pPr>
              <w:pStyle w:val="COMTabletext"/>
              <w:rPr>
                <w:b/>
                <w:bCs w:val="0"/>
              </w:rPr>
            </w:pPr>
            <w:r w:rsidRPr="00AE73ED">
              <w:rPr>
                <w:b/>
                <w:bCs w:val="0"/>
              </w:rPr>
              <w:t>Commonly reported adverse events</w:t>
            </w:r>
          </w:p>
        </w:tc>
      </w:tr>
      <w:tr w:rsidR="007F3EE4" w:rsidRPr="007F3EE4" w14:paraId="73975C2F" w14:textId="77777777" w:rsidTr="00B94392">
        <w:tc>
          <w:tcPr>
            <w:tcW w:w="4390" w:type="dxa"/>
            <w:shd w:val="clear" w:color="auto" w:fill="B8CCE4" w:themeFill="accent1" w:themeFillTint="66"/>
          </w:tcPr>
          <w:p w14:paraId="04505114" w14:textId="77777777" w:rsidR="00346C87" w:rsidRPr="00AE73ED" w:rsidRDefault="00346C87">
            <w:pPr>
              <w:pStyle w:val="COMTabletext"/>
            </w:pPr>
            <w:r w:rsidRPr="00AE73ED">
              <w:t>Diarrhoea</w:t>
            </w:r>
          </w:p>
        </w:tc>
        <w:tc>
          <w:tcPr>
            <w:tcW w:w="2313" w:type="dxa"/>
            <w:shd w:val="clear" w:color="auto" w:fill="B8CCE4" w:themeFill="accent1" w:themeFillTint="66"/>
          </w:tcPr>
          <w:p w14:paraId="184312A2" w14:textId="77777777" w:rsidR="00346C87" w:rsidRPr="00AE73ED" w:rsidRDefault="00346C87">
            <w:pPr>
              <w:pStyle w:val="COMTabletext"/>
              <w:jc w:val="center"/>
            </w:pPr>
            <w:r w:rsidRPr="00AE73ED">
              <w:t>56 (41.8)</w:t>
            </w:r>
          </w:p>
        </w:tc>
        <w:tc>
          <w:tcPr>
            <w:tcW w:w="2314" w:type="dxa"/>
            <w:shd w:val="clear" w:color="auto" w:fill="B8CCE4" w:themeFill="accent1" w:themeFillTint="66"/>
          </w:tcPr>
          <w:p w14:paraId="602E8453" w14:textId="77777777" w:rsidR="00346C87" w:rsidRPr="00AE73ED" w:rsidRDefault="00346C87">
            <w:pPr>
              <w:pStyle w:val="COMTabletext"/>
              <w:jc w:val="center"/>
            </w:pPr>
            <w:r w:rsidRPr="00AE73ED">
              <w:t xml:space="preserve">2 (3.0) </w:t>
            </w:r>
          </w:p>
        </w:tc>
      </w:tr>
      <w:tr w:rsidR="007F3EE4" w:rsidRPr="007F3EE4" w14:paraId="44F890A9" w14:textId="77777777" w:rsidTr="00B94392">
        <w:tc>
          <w:tcPr>
            <w:tcW w:w="4390" w:type="dxa"/>
            <w:shd w:val="clear" w:color="auto" w:fill="B8CCE4" w:themeFill="accent1" w:themeFillTint="66"/>
          </w:tcPr>
          <w:p w14:paraId="10B876D5" w14:textId="77777777" w:rsidR="00346C87" w:rsidRPr="00AE73ED" w:rsidRDefault="00346C87">
            <w:pPr>
              <w:pStyle w:val="COMTabletext"/>
            </w:pPr>
            <w:r w:rsidRPr="00AE73ED">
              <w:t>Nausea</w:t>
            </w:r>
          </w:p>
        </w:tc>
        <w:tc>
          <w:tcPr>
            <w:tcW w:w="2313" w:type="dxa"/>
            <w:shd w:val="clear" w:color="auto" w:fill="B8CCE4" w:themeFill="accent1" w:themeFillTint="66"/>
          </w:tcPr>
          <w:p w14:paraId="0FB37152" w14:textId="77777777" w:rsidR="00346C87" w:rsidRPr="00AE73ED" w:rsidRDefault="00346C87">
            <w:pPr>
              <w:pStyle w:val="COMTabletext"/>
              <w:jc w:val="center"/>
            </w:pPr>
            <w:r w:rsidRPr="00AE73ED">
              <w:t>49 (36.6)</w:t>
            </w:r>
          </w:p>
        </w:tc>
        <w:tc>
          <w:tcPr>
            <w:tcW w:w="2314" w:type="dxa"/>
            <w:shd w:val="clear" w:color="auto" w:fill="B8CCE4" w:themeFill="accent1" w:themeFillTint="66"/>
          </w:tcPr>
          <w:p w14:paraId="720F0325" w14:textId="77777777" w:rsidR="00346C87" w:rsidRPr="00AE73ED" w:rsidRDefault="00346C87">
            <w:pPr>
              <w:pStyle w:val="COMTabletext"/>
              <w:jc w:val="center"/>
            </w:pPr>
            <w:r w:rsidRPr="00AE73ED">
              <w:t xml:space="preserve">10 (14.9) </w:t>
            </w:r>
          </w:p>
        </w:tc>
      </w:tr>
      <w:tr w:rsidR="007F3EE4" w:rsidRPr="007F3EE4" w14:paraId="6463E20C" w14:textId="77777777" w:rsidTr="00B94392">
        <w:tc>
          <w:tcPr>
            <w:tcW w:w="4390" w:type="dxa"/>
            <w:shd w:val="clear" w:color="auto" w:fill="B8CCE4" w:themeFill="accent1" w:themeFillTint="66"/>
          </w:tcPr>
          <w:p w14:paraId="0ED284BB" w14:textId="77777777" w:rsidR="00346C87" w:rsidRPr="00AE73ED" w:rsidRDefault="00346C87">
            <w:pPr>
              <w:pStyle w:val="COMTabletext"/>
            </w:pPr>
            <w:r w:rsidRPr="00AE73ED">
              <w:t>Constipation</w:t>
            </w:r>
          </w:p>
        </w:tc>
        <w:tc>
          <w:tcPr>
            <w:tcW w:w="2313" w:type="dxa"/>
            <w:shd w:val="clear" w:color="auto" w:fill="B8CCE4" w:themeFill="accent1" w:themeFillTint="66"/>
          </w:tcPr>
          <w:p w14:paraId="3D3AAB89" w14:textId="77777777" w:rsidR="00346C87" w:rsidRPr="00AE73ED" w:rsidRDefault="00346C87">
            <w:pPr>
              <w:pStyle w:val="COMTabletext"/>
              <w:jc w:val="center"/>
            </w:pPr>
            <w:r w:rsidRPr="00AE73ED">
              <w:t>28 (20.9)</w:t>
            </w:r>
          </w:p>
        </w:tc>
        <w:tc>
          <w:tcPr>
            <w:tcW w:w="2314" w:type="dxa"/>
            <w:shd w:val="clear" w:color="auto" w:fill="B8CCE4" w:themeFill="accent1" w:themeFillTint="66"/>
          </w:tcPr>
          <w:p w14:paraId="0ED38A0E" w14:textId="77777777" w:rsidR="00346C87" w:rsidRPr="00AE73ED" w:rsidRDefault="00346C87">
            <w:pPr>
              <w:pStyle w:val="COMTabletext"/>
              <w:jc w:val="center"/>
            </w:pPr>
            <w:r w:rsidRPr="00AE73ED">
              <w:t xml:space="preserve">6 (9.0) </w:t>
            </w:r>
          </w:p>
        </w:tc>
      </w:tr>
      <w:tr w:rsidR="007F3EE4" w:rsidRPr="007F3EE4" w14:paraId="11F983A4" w14:textId="77777777" w:rsidTr="00B94392">
        <w:tc>
          <w:tcPr>
            <w:tcW w:w="4390" w:type="dxa"/>
            <w:shd w:val="clear" w:color="auto" w:fill="B8CCE4" w:themeFill="accent1" w:themeFillTint="66"/>
          </w:tcPr>
          <w:p w14:paraId="66E3D194" w14:textId="77777777" w:rsidR="00346C87" w:rsidRPr="00AE73ED" w:rsidRDefault="00346C87">
            <w:pPr>
              <w:pStyle w:val="COMTabletext"/>
            </w:pPr>
            <w:r w:rsidRPr="00AE73ED">
              <w:t>Vomiting</w:t>
            </w:r>
          </w:p>
        </w:tc>
        <w:tc>
          <w:tcPr>
            <w:tcW w:w="2313" w:type="dxa"/>
            <w:shd w:val="clear" w:color="auto" w:fill="B8CCE4" w:themeFill="accent1" w:themeFillTint="66"/>
          </w:tcPr>
          <w:p w14:paraId="4CEC1832" w14:textId="77777777" w:rsidR="00346C87" w:rsidRPr="00AE73ED" w:rsidRDefault="00346C87">
            <w:pPr>
              <w:pStyle w:val="COMTabletext"/>
              <w:jc w:val="center"/>
            </w:pPr>
            <w:r w:rsidRPr="00AE73ED">
              <w:t>21 (15.7)</w:t>
            </w:r>
          </w:p>
        </w:tc>
        <w:tc>
          <w:tcPr>
            <w:tcW w:w="2314" w:type="dxa"/>
            <w:shd w:val="clear" w:color="auto" w:fill="B8CCE4" w:themeFill="accent1" w:themeFillTint="66"/>
          </w:tcPr>
          <w:p w14:paraId="1869128E" w14:textId="77777777" w:rsidR="00346C87" w:rsidRPr="00AE73ED" w:rsidRDefault="00346C87">
            <w:pPr>
              <w:pStyle w:val="COMTabletext"/>
              <w:jc w:val="center"/>
            </w:pPr>
            <w:r w:rsidRPr="00AE73ED">
              <w:t xml:space="preserve">3 (4.5) </w:t>
            </w:r>
          </w:p>
        </w:tc>
      </w:tr>
      <w:tr w:rsidR="007F3EE4" w:rsidRPr="007F3EE4" w14:paraId="5DA364BF" w14:textId="77777777" w:rsidTr="00B94392">
        <w:trPr>
          <w:trHeight w:val="59"/>
        </w:trPr>
        <w:tc>
          <w:tcPr>
            <w:tcW w:w="4390" w:type="dxa"/>
            <w:shd w:val="clear" w:color="auto" w:fill="B8CCE4" w:themeFill="accent1" w:themeFillTint="66"/>
          </w:tcPr>
          <w:p w14:paraId="2C3BEAF1" w14:textId="77777777" w:rsidR="00346C87" w:rsidRPr="00AE73ED" w:rsidRDefault="00346C87">
            <w:pPr>
              <w:pStyle w:val="COMTabletext"/>
            </w:pPr>
            <w:r w:rsidRPr="00AE73ED">
              <w:t>Abdominal pain</w:t>
            </w:r>
          </w:p>
        </w:tc>
        <w:tc>
          <w:tcPr>
            <w:tcW w:w="2313" w:type="dxa"/>
            <w:shd w:val="clear" w:color="auto" w:fill="B8CCE4" w:themeFill="accent1" w:themeFillTint="66"/>
          </w:tcPr>
          <w:p w14:paraId="11B0FA84" w14:textId="77777777" w:rsidR="00346C87" w:rsidRPr="00AE73ED" w:rsidRDefault="00346C87">
            <w:pPr>
              <w:pStyle w:val="COMTabletext"/>
              <w:jc w:val="center"/>
            </w:pPr>
            <w:r w:rsidRPr="00AE73ED">
              <w:t xml:space="preserve">12 (9.0) </w:t>
            </w:r>
          </w:p>
        </w:tc>
        <w:tc>
          <w:tcPr>
            <w:tcW w:w="2314" w:type="dxa"/>
            <w:shd w:val="clear" w:color="auto" w:fill="B8CCE4" w:themeFill="accent1" w:themeFillTint="66"/>
          </w:tcPr>
          <w:p w14:paraId="4D87610F" w14:textId="77777777" w:rsidR="00346C87" w:rsidRPr="00AE73ED" w:rsidRDefault="00346C87">
            <w:pPr>
              <w:pStyle w:val="COMTabletext"/>
              <w:jc w:val="center"/>
            </w:pPr>
            <w:r w:rsidRPr="00AE73ED">
              <w:t xml:space="preserve">9 (13.4) </w:t>
            </w:r>
          </w:p>
        </w:tc>
      </w:tr>
      <w:tr w:rsidR="007F3EE4" w:rsidRPr="007F3EE4" w14:paraId="27E7E554" w14:textId="77777777" w:rsidTr="00B94392">
        <w:tc>
          <w:tcPr>
            <w:tcW w:w="4390" w:type="dxa"/>
            <w:shd w:val="clear" w:color="auto" w:fill="B8CCE4" w:themeFill="accent1" w:themeFillTint="66"/>
          </w:tcPr>
          <w:p w14:paraId="605CED98" w14:textId="77777777" w:rsidR="00346C87" w:rsidRPr="00AE73ED" w:rsidRDefault="00346C87">
            <w:pPr>
              <w:pStyle w:val="COMTabletext"/>
            </w:pPr>
            <w:r w:rsidRPr="00AE73ED">
              <w:t>Anaemia</w:t>
            </w:r>
          </w:p>
        </w:tc>
        <w:tc>
          <w:tcPr>
            <w:tcW w:w="2313" w:type="dxa"/>
            <w:shd w:val="clear" w:color="auto" w:fill="B8CCE4" w:themeFill="accent1" w:themeFillTint="66"/>
          </w:tcPr>
          <w:p w14:paraId="6813C3DF" w14:textId="77777777" w:rsidR="00346C87" w:rsidRPr="00AE73ED" w:rsidRDefault="00346C87">
            <w:pPr>
              <w:pStyle w:val="COMTabletext"/>
              <w:jc w:val="center"/>
            </w:pPr>
            <w:r w:rsidRPr="00AE73ED">
              <w:t>52 (38.8)</w:t>
            </w:r>
          </w:p>
        </w:tc>
        <w:tc>
          <w:tcPr>
            <w:tcW w:w="2314" w:type="dxa"/>
            <w:shd w:val="clear" w:color="auto" w:fill="B8CCE4" w:themeFill="accent1" w:themeFillTint="66"/>
          </w:tcPr>
          <w:p w14:paraId="594E322E" w14:textId="77777777" w:rsidR="00346C87" w:rsidRPr="00AE73ED" w:rsidRDefault="00346C87">
            <w:pPr>
              <w:pStyle w:val="COMTabletext"/>
              <w:jc w:val="center"/>
            </w:pPr>
            <w:r w:rsidRPr="00AE73ED">
              <w:t>23 (34.3)</w:t>
            </w:r>
          </w:p>
        </w:tc>
      </w:tr>
      <w:tr w:rsidR="007F3EE4" w:rsidRPr="007F3EE4" w14:paraId="7655B7F1" w14:textId="77777777" w:rsidTr="00B94392">
        <w:tc>
          <w:tcPr>
            <w:tcW w:w="4390" w:type="dxa"/>
            <w:shd w:val="clear" w:color="auto" w:fill="B8CCE4" w:themeFill="accent1" w:themeFillTint="66"/>
          </w:tcPr>
          <w:p w14:paraId="0655A076" w14:textId="77777777" w:rsidR="00346C87" w:rsidRPr="00AE73ED" w:rsidRDefault="00346C87">
            <w:pPr>
              <w:pStyle w:val="COMTabletext"/>
            </w:pPr>
            <w:r w:rsidRPr="00AE73ED">
              <w:t>Thrombocytopenia</w:t>
            </w:r>
          </w:p>
        </w:tc>
        <w:tc>
          <w:tcPr>
            <w:tcW w:w="2313" w:type="dxa"/>
            <w:shd w:val="clear" w:color="auto" w:fill="B8CCE4" w:themeFill="accent1" w:themeFillTint="66"/>
          </w:tcPr>
          <w:p w14:paraId="1DF97349" w14:textId="77777777" w:rsidR="00346C87" w:rsidRPr="00AE73ED" w:rsidRDefault="00346C87">
            <w:pPr>
              <w:pStyle w:val="COMTabletext"/>
              <w:jc w:val="center"/>
            </w:pPr>
            <w:r w:rsidRPr="00AE73ED">
              <w:t>36 (26.9)</w:t>
            </w:r>
          </w:p>
        </w:tc>
        <w:tc>
          <w:tcPr>
            <w:tcW w:w="2314" w:type="dxa"/>
            <w:shd w:val="clear" w:color="auto" w:fill="B8CCE4" w:themeFill="accent1" w:themeFillTint="66"/>
          </w:tcPr>
          <w:p w14:paraId="05C875A4" w14:textId="77777777" w:rsidR="00346C87" w:rsidRPr="00AE73ED" w:rsidRDefault="00346C87">
            <w:pPr>
              <w:pStyle w:val="COMTabletext"/>
              <w:jc w:val="center"/>
            </w:pPr>
            <w:r w:rsidRPr="00AE73ED">
              <w:t>11 (16.4)</w:t>
            </w:r>
          </w:p>
        </w:tc>
      </w:tr>
      <w:tr w:rsidR="007F3EE4" w:rsidRPr="007F3EE4" w14:paraId="75CBCDD5" w14:textId="77777777" w:rsidTr="00B94392">
        <w:tc>
          <w:tcPr>
            <w:tcW w:w="4390" w:type="dxa"/>
            <w:shd w:val="clear" w:color="auto" w:fill="B8CCE4" w:themeFill="accent1" w:themeFillTint="66"/>
          </w:tcPr>
          <w:p w14:paraId="517E8E90" w14:textId="77777777" w:rsidR="00346C87" w:rsidRPr="00AE73ED" w:rsidRDefault="00346C87">
            <w:pPr>
              <w:pStyle w:val="COMTabletext"/>
            </w:pPr>
            <w:r w:rsidRPr="00AE73ED">
              <w:t>Encephalopathy</w:t>
            </w:r>
          </w:p>
        </w:tc>
        <w:tc>
          <w:tcPr>
            <w:tcW w:w="2313" w:type="dxa"/>
            <w:shd w:val="clear" w:color="auto" w:fill="B8CCE4" w:themeFill="accent1" w:themeFillTint="66"/>
          </w:tcPr>
          <w:p w14:paraId="7F300772" w14:textId="77777777" w:rsidR="00346C87" w:rsidRPr="00AE73ED" w:rsidRDefault="00346C87">
            <w:pPr>
              <w:pStyle w:val="COMTabletext"/>
              <w:jc w:val="center"/>
            </w:pPr>
            <w:r w:rsidRPr="00AE73ED">
              <w:t>18 (13.4)</w:t>
            </w:r>
          </w:p>
        </w:tc>
        <w:tc>
          <w:tcPr>
            <w:tcW w:w="2314" w:type="dxa"/>
            <w:shd w:val="clear" w:color="auto" w:fill="B8CCE4" w:themeFill="accent1" w:themeFillTint="66"/>
          </w:tcPr>
          <w:p w14:paraId="709A9826" w14:textId="77777777" w:rsidR="00346C87" w:rsidRPr="00AE73ED" w:rsidRDefault="00346C87">
            <w:pPr>
              <w:pStyle w:val="COMTabletext"/>
              <w:jc w:val="center"/>
            </w:pPr>
            <w:r w:rsidRPr="00AE73ED">
              <w:t>2 (3.0)</w:t>
            </w:r>
          </w:p>
        </w:tc>
      </w:tr>
      <w:tr w:rsidR="007F3EE4" w:rsidRPr="007F3EE4" w14:paraId="7D8B8FAE" w14:textId="77777777" w:rsidTr="00B94392">
        <w:tc>
          <w:tcPr>
            <w:tcW w:w="4390" w:type="dxa"/>
            <w:shd w:val="clear" w:color="auto" w:fill="B8CCE4" w:themeFill="accent1" w:themeFillTint="66"/>
            <w:vAlign w:val="center"/>
          </w:tcPr>
          <w:p w14:paraId="26A4511A" w14:textId="77777777" w:rsidR="00346C87" w:rsidRPr="00AE73ED" w:rsidRDefault="00346C87">
            <w:pPr>
              <w:pStyle w:val="COMTabletext"/>
            </w:pPr>
            <w:r w:rsidRPr="00AE73ED">
              <w:t>Wernicke’s encephalopathy</w:t>
            </w:r>
          </w:p>
        </w:tc>
        <w:tc>
          <w:tcPr>
            <w:tcW w:w="2313" w:type="dxa"/>
            <w:shd w:val="clear" w:color="auto" w:fill="B8CCE4" w:themeFill="accent1" w:themeFillTint="66"/>
            <w:vAlign w:val="center"/>
          </w:tcPr>
          <w:p w14:paraId="08C81B81" w14:textId="77777777" w:rsidR="00346C87" w:rsidRPr="00AE73ED" w:rsidRDefault="00346C87">
            <w:pPr>
              <w:pStyle w:val="COMTabletext"/>
              <w:jc w:val="center"/>
            </w:pPr>
            <w:r w:rsidRPr="00AE73ED">
              <w:t>1 (0.7)</w:t>
            </w:r>
          </w:p>
        </w:tc>
        <w:tc>
          <w:tcPr>
            <w:tcW w:w="2314" w:type="dxa"/>
            <w:shd w:val="clear" w:color="auto" w:fill="B8CCE4" w:themeFill="accent1" w:themeFillTint="66"/>
            <w:vAlign w:val="center"/>
          </w:tcPr>
          <w:p w14:paraId="7FD3DB28" w14:textId="77777777" w:rsidR="00346C87" w:rsidRPr="00AE73ED" w:rsidRDefault="00346C87">
            <w:pPr>
              <w:pStyle w:val="COMTabletext"/>
              <w:jc w:val="center"/>
            </w:pPr>
            <w:r w:rsidRPr="00AE73ED">
              <w:t>0 (0)</w:t>
            </w:r>
          </w:p>
        </w:tc>
      </w:tr>
    </w:tbl>
    <w:p w14:paraId="6E13F3AE" w14:textId="77777777" w:rsidR="00346C87" w:rsidRPr="007F3EE4" w:rsidRDefault="00346C87" w:rsidP="00346C87">
      <w:pPr>
        <w:pStyle w:val="COMTablefooter"/>
      </w:pPr>
      <w:r w:rsidRPr="007F3EE4">
        <w:t>Source: Table 47, pp77-80 of the submission.</w:t>
      </w:r>
    </w:p>
    <w:p w14:paraId="0E784297" w14:textId="77777777" w:rsidR="00346C87" w:rsidRPr="007F3EE4" w:rsidRDefault="00346C87" w:rsidP="00346C87">
      <w:pPr>
        <w:pStyle w:val="COMTablefooter"/>
      </w:pPr>
      <w:r w:rsidRPr="007F3EE4">
        <w:t>Abbreviations: AE, adverse event; TEAE, treatment emergent adverse event.</w:t>
      </w:r>
    </w:p>
    <w:p w14:paraId="369F4F62" w14:textId="77777777" w:rsidR="00346C87" w:rsidRDefault="00346C87" w:rsidP="00346C87">
      <w:pPr>
        <w:pStyle w:val="COMTablefooter"/>
      </w:pPr>
      <w:r w:rsidRPr="007F3EE4">
        <w:t xml:space="preserve">Note: Adverse events of special interest included: encephalopathy including confirmed and suspected cases of Wernicke’s encephalopathy,  thiamine levels below normal range with or without signs or symptoms of Wernicke’s encephalopathy, new malignancy after start of study treatment, progression of myelofibrosis to acute myeloid leukaemia, cardiac failure or cardiomyopathy, Grade 3 or 4 </w:t>
      </w:r>
      <w:proofErr w:type="spellStart"/>
      <w:r w:rsidRPr="007F3EE4">
        <w:t>hyperlipasemia</w:t>
      </w:r>
      <w:proofErr w:type="spellEnd"/>
      <w:r w:rsidRPr="007F3EE4">
        <w:t xml:space="preserve"> or hyperamylasemia or events of pancreatitis, Grade 3 or 4 ALT or AST or total bilirubin elevation or events of hepatotoxicity, Grade 3 or 4 anaemia, Grade 3 or 4 thrombocytopenia, pregnancy, overdose.</w:t>
      </w:r>
    </w:p>
    <w:p w14:paraId="5FA25E84" w14:textId="4C242E81" w:rsidR="00103491" w:rsidRPr="0098262F" w:rsidRDefault="00103491" w:rsidP="00103491">
      <w:pPr>
        <w:pStyle w:val="COMTablefooter"/>
        <w:rPr>
          <w:sz w:val="20"/>
        </w:rPr>
      </w:pPr>
      <w:r>
        <w:t xml:space="preserve">Note: Data seen previously by the PBAC in the May 2025 consideration for </w:t>
      </w:r>
      <w:r w:rsidRPr="00AE73ED">
        <w:t xml:space="preserve">fedratinib are </w:t>
      </w:r>
      <w:r w:rsidR="00AE73ED" w:rsidRPr="00AE73ED">
        <w:t>shaded</w:t>
      </w:r>
      <w:r w:rsidRPr="00AE73ED">
        <w:t xml:space="preserve"> in blue.</w:t>
      </w:r>
    </w:p>
    <w:p w14:paraId="12DE0EE0" w14:textId="3D1EEC83" w:rsidR="00BF35C8" w:rsidRPr="007F3EE4" w:rsidRDefault="007F3EE4" w:rsidP="00846C8E">
      <w:pPr>
        <w:pStyle w:val="COMexecsummnumbered"/>
        <w:numPr>
          <w:ilvl w:val="1"/>
          <w:numId w:val="6"/>
        </w:numPr>
      </w:pPr>
      <w:r>
        <w:t>In the FREEDOM-2 trial, a</w:t>
      </w:r>
      <w:r w:rsidR="00497AB2" w:rsidRPr="007F3EE4">
        <w:t>lmost all patients in both treatment arms reported a treatment emergent adverse event during the first 6 cycles (24 weeks) of treatment, however a greater proportion of patients in the fedratinib arm reported adverse events of all types (treatment-related, serious, grade ≥3), and adverse events leading to death, dose reduction, dose interruption or treatment discontinuation, compared to patients in the best available therapy arm. The most frequently reported adverse events in the fedratinib arm were gastrointestinal events (diarrhoea, nausea</w:t>
      </w:r>
      <w:r>
        <w:t>,</w:t>
      </w:r>
      <w:r w:rsidR="00497AB2" w:rsidRPr="007F3EE4">
        <w:t xml:space="preserve"> constipation</w:t>
      </w:r>
      <w:r>
        <w:t>,</w:t>
      </w:r>
      <w:r w:rsidR="00497AB2" w:rsidRPr="007F3EE4">
        <w:t xml:space="preserve"> </w:t>
      </w:r>
      <w:r>
        <w:t xml:space="preserve">or </w:t>
      </w:r>
      <w:r w:rsidR="00497AB2" w:rsidRPr="007F3EE4">
        <w:t xml:space="preserve">vomiting), anaemia and thrombocytopenia. </w:t>
      </w:r>
      <w:r w:rsidR="00F97FF5" w:rsidRPr="007F3EE4">
        <w:t xml:space="preserve">The overall incidence of Grade 3 or 4 thrombocytopenia was higher in the fedratinib arm than the best available therapy arm, as was the incidence of Grade 3 or 4 anaemia. The incidence of Grade 3 or 4 gastrointestinal disorders (including upper abdominal pain, diarrhoea and gastrointestinal haemorrhage reported for more than 1 patient in the fedratinib arm) was also higher in the fedratinib arm compared to the best available therapy arm. </w:t>
      </w:r>
      <w:r w:rsidR="00497AB2" w:rsidRPr="007F3EE4">
        <w:t>The</w:t>
      </w:r>
      <w:r w:rsidR="00F97FF5" w:rsidRPr="007F3EE4">
        <w:t xml:space="preserve"> May 2025 </w:t>
      </w:r>
      <w:r w:rsidR="00497AB2" w:rsidRPr="007F3EE4">
        <w:t>submission noted that these adverse events are consistent with all prior studies of fedratinib in myelofibrosis, and argued that the lower incidence of treatment emergent adverse events in the best available therapy arm were due to the majority of patients continuing treatment with previously-received ruxolitinib, rather than receiving a new treatment for which they had no prior exposure. In the best available therapy arm, the most frequently reported adverse events were anaemia, asthenia, thrombocytopenia, nausea and fatigue.</w:t>
      </w:r>
    </w:p>
    <w:p w14:paraId="62EE520F" w14:textId="49ACABDF" w:rsidR="00280EA8" w:rsidRPr="00CB1EA6" w:rsidRDefault="00280EA8" w:rsidP="00846C8E">
      <w:pPr>
        <w:pStyle w:val="COMexecsummnumbered"/>
        <w:numPr>
          <w:ilvl w:val="1"/>
          <w:numId w:val="6"/>
        </w:numPr>
      </w:pPr>
      <w:r w:rsidRPr="00CB1EA6">
        <w:t xml:space="preserve">Encephalopathy-related events were reported </w:t>
      </w:r>
      <w:r w:rsidR="00B420EA" w:rsidRPr="00CB1EA6">
        <w:t xml:space="preserve">in the FREEDOM-2 trial </w:t>
      </w:r>
      <w:r w:rsidRPr="00CB1EA6">
        <w:t>for 13.4% of patients in the fedratinib arm (3.0% in the best available therapy arm), including one case of Wernicke’s encephalopathy (grade 1, non-serious, with symptoms resolved within 24 hours with thiamine supplementation). Thiamine levels below normal range were reported for 16.4% of fedratinib-treated patients compared to 3.0% in the best available therapy arm. It is unclear whether the incidence of encephalopathy events during the trial would be representative of clinical practice, given the product information states that all patients should receive prophylaxis with oral thiamine whilst on treatment with fedratinib, while in the trial only 64.5% of patients in the fedratinib arm received thiamine supplementation.</w:t>
      </w:r>
    </w:p>
    <w:p w14:paraId="0F231833" w14:textId="03AEC27F" w:rsidR="00F1713E" w:rsidRDefault="00F1713E" w:rsidP="00F1713E">
      <w:pPr>
        <w:pStyle w:val="COMESnumberedpara"/>
      </w:pPr>
      <w:r>
        <w:t xml:space="preserve">A naïve comparison of adverse events reported in the JAKARTA, COMFORT-I and COMFORT-II trials are presented in </w:t>
      </w:r>
      <w:r w:rsidR="003E335F">
        <w:fldChar w:fldCharType="begin"/>
      </w:r>
      <w:r w:rsidR="003E335F">
        <w:instrText xml:space="preserve"> REF _Ref207962566 \h </w:instrText>
      </w:r>
      <w:r w:rsidR="003E335F">
        <w:fldChar w:fldCharType="separate"/>
      </w:r>
      <w:r w:rsidR="000F0515" w:rsidRPr="0098262F">
        <w:t>Table</w:t>
      </w:r>
      <w:r w:rsidR="000F0515">
        <w:t xml:space="preserve"> </w:t>
      </w:r>
      <w:r w:rsidR="000F0515">
        <w:rPr>
          <w:noProof/>
        </w:rPr>
        <w:t>10</w:t>
      </w:r>
      <w:r w:rsidR="003E335F">
        <w:fldChar w:fldCharType="end"/>
      </w:r>
      <w:r>
        <w:t>. Adverse events for the JAKARTA and COMFORT-I trials were reported up to Week 24, while the COMFORT-II trial reported adverse events to Week 48.</w:t>
      </w:r>
    </w:p>
    <w:p w14:paraId="7DEBF57E" w14:textId="1AA19C78" w:rsidR="00F1713E" w:rsidRPr="0098262F" w:rsidRDefault="00F1713E" w:rsidP="003E335F">
      <w:pPr>
        <w:pStyle w:val="COMtablefigcaption"/>
      </w:pPr>
      <w:bookmarkStart w:id="32" w:name="_Ref207962566"/>
      <w:r w:rsidRPr="0098262F">
        <w:t>Table</w:t>
      </w:r>
      <w:r w:rsidR="003E335F">
        <w:t xml:space="preserve"> </w:t>
      </w:r>
      <w:r w:rsidR="0003298B">
        <w:fldChar w:fldCharType="begin"/>
      </w:r>
      <w:r w:rsidR="0003298B">
        <w:instrText xml:space="preserve"> SEQ Table \* ARABIC </w:instrText>
      </w:r>
      <w:r w:rsidR="0003298B">
        <w:fldChar w:fldCharType="separate"/>
      </w:r>
      <w:r w:rsidR="000F0515">
        <w:rPr>
          <w:noProof/>
        </w:rPr>
        <w:t>10</w:t>
      </w:r>
      <w:r w:rsidR="0003298B">
        <w:rPr>
          <w:noProof/>
        </w:rPr>
        <w:fldChar w:fldCharType="end"/>
      </w:r>
      <w:bookmarkEnd w:id="32"/>
      <w:r w:rsidRPr="0098262F">
        <w:t xml:space="preserve">: </w:t>
      </w:r>
      <w:r>
        <w:t xml:space="preserve">Adverse events reported in the </w:t>
      </w:r>
      <w:r w:rsidR="00103491">
        <w:t>JAKARTA, COMFORT-I and COMFORT-II</w:t>
      </w:r>
      <w:r>
        <w:t xml:space="preserve"> trials (to Week 24/48)</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Adverse events reported in the JAKARTA, COMFORT-I and COMFORT-II trials (to Week 24/48)"/>
      </w:tblPr>
      <w:tblGrid>
        <w:gridCol w:w="2127"/>
        <w:gridCol w:w="1275"/>
        <w:gridCol w:w="916"/>
        <w:gridCol w:w="1176"/>
        <w:gridCol w:w="1176"/>
        <w:gridCol w:w="1176"/>
        <w:gridCol w:w="1176"/>
      </w:tblGrid>
      <w:tr w:rsidR="00F1713E" w:rsidRPr="0098262F" w14:paraId="4841FD24" w14:textId="77777777" w:rsidTr="0094795E">
        <w:trPr>
          <w:tblHeader/>
        </w:trPr>
        <w:tc>
          <w:tcPr>
            <w:tcW w:w="2127" w:type="dxa"/>
            <w:vMerge w:val="restart"/>
            <w:vAlign w:val="center"/>
          </w:tcPr>
          <w:p w14:paraId="6035DA22" w14:textId="77777777" w:rsidR="00F1713E" w:rsidRPr="0098262F" w:rsidRDefault="00F1713E">
            <w:pPr>
              <w:pStyle w:val="COMTableheadingrow"/>
            </w:pPr>
            <w:r>
              <w:t>% patients</w:t>
            </w:r>
          </w:p>
        </w:tc>
        <w:tc>
          <w:tcPr>
            <w:tcW w:w="2191" w:type="dxa"/>
            <w:gridSpan w:val="2"/>
            <w:vAlign w:val="center"/>
          </w:tcPr>
          <w:p w14:paraId="0CFE31D5" w14:textId="77777777" w:rsidR="00F1713E" w:rsidRDefault="00F1713E">
            <w:pPr>
              <w:pStyle w:val="COMTableheadingrow"/>
              <w:jc w:val="center"/>
            </w:pPr>
            <w:r>
              <w:t>JAKARTA</w:t>
            </w:r>
          </w:p>
          <w:p w14:paraId="0ECA65F0" w14:textId="77777777" w:rsidR="00F1713E" w:rsidRPr="006F6570" w:rsidRDefault="00F1713E">
            <w:pPr>
              <w:pStyle w:val="COMTabletext"/>
              <w:jc w:val="center"/>
              <w:rPr>
                <w:b/>
                <w:bCs w:val="0"/>
                <w:lang w:eastAsia="en-AU"/>
              </w:rPr>
            </w:pPr>
            <w:r w:rsidRPr="006F6570">
              <w:rPr>
                <w:b/>
                <w:bCs w:val="0"/>
                <w:lang w:eastAsia="en-AU"/>
              </w:rPr>
              <w:t>(24 Weeks)</w:t>
            </w:r>
          </w:p>
        </w:tc>
        <w:tc>
          <w:tcPr>
            <w:tcW w:w="2352" w:type="dxa"/>
            <w:gridSpan w:val="2"/>
            <w:vAlign w:val="center"/>
          </w:tcPr>
          <w:p w14:paraId="05B56C73" w14:textId="77777777" w:rsidR="00F1713E" w:rsidRDefault="00F1713E">
            <w:pPr>
              <w:pStyle w:val="COMTableheadingrow"/>
              <w:jc w:val="center"/>
            </w:pPr>
            <w:r>
              <w:t>COMFORT-I</w:t>
            </w:r>
          </w:p>
          <w:p w14:paraId="1C0E3D77" w14:textId="77777777" w:rsidR="00F1713E" w:rsidRPr="006F6570" w:rsidRDefault="00F1713E">
            <w:pPr>
              <w:pStyle w:val="COMTabletext"/>
              <w:jc w:val="center"/>
              <w:rPr>
                <w:lang w:eastAsia="en-AU"/>
              </w:rPr>
            </w:pPr>
            <w:r w:rsidRPr="006F6570">
              <w:rPr>
                <w:b/>
                <w:bCs w:val="0"/>
                <w:lang w:eastAsia="en-AU"/>
              </w:rPr>
              <w:t>(24 Weeks)</w:t>
            </w:r>
          </w:p>
        </w:tc>
        <w:tc>
          <w:tcPr>
            <w:tcW w:w="2352" w:type="dxa"/>
            <w:gridSpan w:val="2"/>
            <w:vAlign w:val="center"/>
          </w:tcPr>
          <w:p w14:paraId="6958AEDB" w14:textId="77777777" w:rsidR="00F1713E" w:rsidRPr="006F6570" w:rsidRDefault="00F1713E">
            <w:pPr>
              <w:pStyle w:val="COMTableheadingrow"/>
              <w:jc w:val="center"/>
            </w:pPr>
            <w:r w:rsidRPr="006F6570">
              <w:t>COMFORT-II</w:t>
            </w:r>
          </w:p>
          <w:p w14:paraId="0A390358" w14:textId="77777777" w:rsidR="00F1713E" w:rsidRPr="006F6570" w:rsidRDefault="00F1713E">
            <w:pPr>
              <w:pStyle w:val="COMTabletext"/>
              <w:jc w:val="center"/>
              <w:rPr>
                <w:b/>
                <w:lang w:eastAsia="en-AU"/>
              </w:rPr>
            </w:pPr>
            <w:r w:rsidRPr="006F6570">
              <w:rPr>
                <w:b/>
                <w:lang w:eastAsia="en-AU"/>
              </w:rPr>
              <w:t>(48 Weeks)</w:t>
            </w:r>
          </w:p>
        </w:tc>
      </w:tr>
      <w:tr w:rsidR="00F1713E" w:rsidRPr="0098262F" w14:paraId="578BC6D7" w14:textId="77777777" w:rsidTr="0094795E">
        <w:trPr>
          <w:tblHeader/>
        </w:trPr>
        <w:tc>
          <w:tcPr>
            <w:tcW w:w="2127" w:type="dxa"/>
            <w:vMerge/>
            <w:vAlign w:val="center"/>
          </w:tcPr>
          <w:p w14:paraId="2699346F" w14:textId="77777777" w:rsidR="00F1713E" w:rsidRDefault="00F1713E">
            <w:pPr>
              <w:pStyle w:val="COMTableheadingrow"/>
            </w:pPr>
          </w:p>
        </w:tc>
        <w:tc>
          <w:tcPr>
            <w:tcW w:w="1275" w:type="dxa"/>
            <w:vAlign w:val="center"/>
          </w:tcPr>
          <w:p w14:paraId="5E7D3E72" w14:textId="77777777" w:rsidR="00F1713E" w:rsidRDefault="00F1713E">
            <w:pPr>
              <w:pStyle w:val="COMTableheadingrow"/>
              <w:jc w:val="center"/>
            </w:pPr>
            <w:r>
              <w:t>FED 400 mg</w:t>
            </w:r>
          </w:p>
        </w:tc>
        <w:tc>
          <w:tcPr>
            <w:tcW w:w="916" w:type="dxa"/>
            <w:vAlign w:val="center"/>
          </w:tcPr>
          <w:p w14:paraId="05D17721" w14:textId="77777777" w:rsidR="00F1713E" w:rsidRPr="0098262F" w:rsidRDefault="00F1713E">
            <w:pPr>
              <w:pStyle w:val="COMTableheadingrow"/>
              <w:jc w:val="center"/>
            </w:pPr>
            <w:r>
              <w:t>PBO</w:t>
            </w:r>
          </w:p>
        </w:tc>
        <w:tc>
          <w:tcPr>
            <w:tcW w:w="1176" w:type="dxa"/>
            <w:vAlign w:val="center"/>
          </w:tcPr>
          <w:p w14:paraId="4FD3ED0D" w14:textId="77777777" w:rsidR="00F1713E" w:rsidRDefault="00F1713E">
            <w:pPr>
              <w:pStyle w:val="COMTableheadingrow"/>
              <w:jc w:val="center"/>
            </w:pPr>
            <w:r>
              <w:t>RUX</w:t>
            </w:r>
          </w:p>
        </w:tc>
        <w:tc>
          <w:tcPr>
            <w:tcW w:w="1176" w:type="dxa"/>
            <w:vAlign w:val="center"/>
          </w:tcPr>
          <w:p w14:paraId="1039F12E" w14:textId="77777777" w:rsidR="00F1713E" w:rsidRPr="0098262F" w:rsidRDefault="00F1713E">
            <w:pPr>
              <w:pStyle w:val="COMTableheadingrow"/>
              <w:jc w:val="center"/>
            </w:pPr>
            <w:r>
              <w:t>PBO</w:t>
            </w:r>
          </w:p>
        </w:tc>
        <w:tc>
          <w:tcPr>
            <w:tcW w:w="1176" w:type="dxa"/>
            <w:vAlign w:val="center"/>
          </w:tcPr>
          <w:p w14:paraId="19E622F1" w14:textId="77777777" w:rsidR="00F1713E" w:rsidRDefault="00F1713E">
            <w:pPr>
              <w:pStyle w:val="COMTableheadingrow"/>
              <w:jc w:val="center"/>
            </w:pPr>
            <w:r>
              <w:t>RUX</w:t>
            </w:r>
          </w:p>
        </w:tc>
        <w:tc>
          <w:tcPr>
            <w:tcW w:w="1176" w:type="dxa"/>
            <w:vAlign w:val="center"/>
          </w:tcPr>
          <w:p w14:paraId="2CD737FE" w14:textId="77777777" w:rsidR="00F1713E" w:rsidRDefault="00F1713E">
            <w:pPr>
              <w:pStyle w:val="COMTableheadingrow"/>
              <w:jc w:val="center"/>
            </w:pPr>
            <w:r>
              <w:t>BAT</w:t>
            </w:r>
          </w:p>
        </w:tc>
      </w:tr>
      <w:tr w:rsidR="00F1713E" w:rsidRPr="0098262F" w14:paraId="3DD38D36" w14:textId="77777777" w:rsidTr="0094795E">
        <w:tc>
          <w:tcPr>
            <w:tcW w:w="2127" w:type="dxa"/>
            <w:vAlign w:val="center"/>
          </w:tcPr>
          <w:p w14:paraId="28580F75" w14:textId="77777777" w:rsidR="00F1713E" w:rsidRPr="0098262F" w:rsidRDefault="00F1713E">
            <w:pPr>
              <w:pStyle w:val="COMTabletext"/>
            </w:pPr>
            <w:r>
              <w:t>Any AE</w:t>
            </w:r>
          </w:p>
        </w:tc>
        <w:tc>
          <w:tcPr>
            <w:tcW w:w="1275" w:type="dxa"/>
            <w:tcMar>
              <w:left w:w="28" w:type="dxa"/>
              <w:right w:w="28" w:type="dxa"/>
            </w:tcMar>
            <w:vAlign w:val="center"/>
          </w:tcPr>
          <w:p w14:paraId="5555BDD1" w14:textId="77777777" w:rsidR="00F1713E" w:rsidRPr="0098262F" w:rsidRDefault="00F1713E">
            <w:pPr>
              <w:pStyle w:val="COMTabletext"/>
              <w:jc w:val="center"/>
            </w:pPr>
            <w:r>
              <w:t>99.0</w:t>
            </w:r>
          </w:p>
        </w:tc>
        <w:tc>
          <w:tcPr>
            <w:tcW w:w="916" w:type="dxa"/>
            <w:tcMar>
              <w:left w:w="28" w:type="dxa"/>
              <w:right w:w="28" w:type="dxa"/>
            </w:tcMar>
            <w:vAlign w:val="center"/>
          </w:tcPr>
          <w:p w14:paraId="555FCB3F" w14:textId="77777777" w:rsidR="00F1713E" w:rsidRPr="0098262F" w:rsidRDefault="00F1713E">
            <w:pPr>
              <w:pStyle w:val="COMTabletext"/>
              <w:jc w:val="center"/>
            </w:pPr>
            <w:r>
              <w:t>93.7</w:t>
            </w:r>
          </w:p>
        </w:tc>
        <w:tc>
          <w:tcPr>
            <w:tcW w:w="1176" w:type="dxa"/>
            <w:tcMar>
              <w:left w:w="28" w:type="dxa"/>
              <w:right w:w="28" w:type="dxa"/>
            </w:tcMar>
            <w:vAlign w:val="center"/>
          </w:tcPr>
          <w:p w14:paraId="5705254C" w14:textId="77777777" w:rsidR="00F1713E" w:rsidRPr="0098262F" w:rsidRDefault="00F1713E">
            <w:pPr>
              <w:pStyle w:val="COMTabletext"/>
              <w:jc w:val="center"/>
            </w:pPr>
            <w:r>
              <w:t>97.4</w:t>
            </w:r>
          </w:p>
        </w:tc>
        <w:tc>
          <w:tcPr>
            <w:tcW w:w="1176" w:type="dxa"/>
            <w:tcMar>
              <w:left w:w="28" w:type="dxa"/>
              <w:right w:w="28" w:type="dxa"/>
            </w:tcMar>
            <w:vAlign w:val="center"/>
          </w:tcPr>
          <w:p w14:paraId="7B74C6A6" w14:textId="77777777" w:rsidR="00F1713E" w:rsidRPr="0098262F" w:rsidRDefault="00F1713E">
            <w:pPr>
              <w:pStyle w:val="COMTabletext"/>
              <w:jc w:val="center"/>
            </w:pPr>
            <w:r>
              <w:t>98.0</w:t>
            </w:r>
          </w:p>
        </w:tc>
        <w:tc>
          <w:tcPr>
            <w:tcW w:w="1176" w:type="dxa"/>
            <w:tcMar>
              <w:left w:w="28" w:type="dxa"/>
              <w:right w:w="28" w:type="dxa"/>
            </w:tcMar>
            <w:vAlign w:val="center"/>
          </w:tcPr>
          <w:p w14:paraId="49F5B9AD" w14:textId="77777777" w:rsidR="00F1713E" w:rsidRPr="0098262F" w:rsidRDefault="00F1713E">
            <w:pPr>
              <w:pStyle w:val="COMTabletext"/>
              <w:jc w:val="center"/>
            </w:pPr>
            <w:r>
              <w:t>99.3</w:t>
            </w:r>
          </w:p>
        </w:tc>
        <w:tc>
          <w:tcPr>
            <w:tcW w:w="1176" w:type="dxa"/>
            <w:tcMar>
              <w:left w:w="28" w:type="dxa"/>
              <w:right w:w="28" w:type="dxa"/>
            </w:tcMar>
            <w:vAlign w:val="center"/>
          </w:tcPr>
          <w:p w14:paraId="72E106EC" w14:textId="77777777" w:rsidR="00F1713E" w:rsidRPr="0098262F" w:rsidRDefault="00F1713E">
            <w:pPr>
              <w:pStyle w:val="COMTabletext"/>
              <w:jc w:val="center"/>
            </w:pPr>
            <w:r>
              <w:t>90.4</w:t>
            </w:r>
          </w:p>
        </w:tc>
      </w:tr>
      <w:tr w:rsidR="00F1713E" w:rsidRPr="0098262F" w14:paraId="3A30E61C" w14:textId="77777777" w:rsidTr="0094795E">
        <w:tc>
          <w:tcPr>
            <w:tcW w:w="2127" w:type="dxa"/>
            <w:vAlign w:val="center"/>
          </w:tcPr>
          <w:p w14:paraId="77DD25A8" w14:textId="77777777" w:rsidR="00F1713E" w:rsidRPr="0098262F" w:rsidRDefault="00F1713E">
            <w:pPr>
              <w:pStyle w:val="COMTabletext"/>
            </w:pPr>
            <w:r>
              <w:t>Serious AE</w:t>
            </w:r>
          </w:p>
        </w:tc>
        <w:tc>
          <w:tcPr>
            <w:tcW w:w="1275" w:type="dxa"/>
            <w:tcMar>
              <w:left w:w="28" w:type="dxa"/>
              <w:right w:w="28" w:type="dxa"/>
            </w:tcMar>
            <w:vAlign w:val="center"/>
          </w:tcPr>
          <w:p w14:paraId="79FAA473" w14:textId="77777777" w:rsidR="00F1713E" w:rsidRPr="0098262F" w:rsidRDefault="00F1713E">
            <w:pPr>
              <w:pStyle w:val="COMTabletext"/>
              <w:jc w:val="center"/>
            </w:pPr>
            <w:r>
              <w:t>20.8</w:t>
            </w:r>
          </w:p>
        </w:tc>
        <w:tc>
          <w:tcPr>
            <w:tcW w:w="916" w:type="dxa"/>
            <w:tcMar>
              <w:left w:w="28" w:type="dxa"/>
              <w:right w:w="28" w:type="dxa"/>
            </w:tcMar>
            <w:vAlign w:val="center"/>
          </w:tcPr>
          <w:p w14:paraId="1F83CAE3" w14:textId="77777777" w:rsidR="00F1713E" w:rsidRPr="0098262F" w:rsidRDefault="00F1713E">
            <w:pPr>
              <w:pStyle w:val="COMTabletext"/>
              <w:jc w:val="center"/>
            </w:pPr>
            <w:r>
              <w:t>23.2</w:t>
            </w:r>
          </w:p>
        </w:tc>
        <w:tc>
          <w:tcPr>
            <w:tcW w:w="1176" w:type="dxa"/>
            <w:tcMar>
              <w:left w:w="28" w:type="dxa"/>
              <w:right w:w="28" w:type="dxa"/>
            </w:tcMar>
            <w:vAlign w:val="center"/>
          </w:tcPr>
          <w:p w14:paraId="1E0B2ABA" w14:textId="77777777" w:rsidR="00F1713E" w:rsidRPr="0098262F" w:rsidRDefault="00F1713E">
            <w:pPr>
              <w:pStyle w:val="COMTabletext"/>
              <w:jc w:val="center"/>
            </w:pPr>
            <w:r>
              <w:t>27.7</w:t>
            </w:r>
          </w:p>
        </w:tc>
        <w:tc>
          <w:tcPr>
            <w:tcW w:w="1176" w:type="dxa"/>
            <w:tcMar>
              <w:left w:w="28" w:type="dxa"/>
              <w:right w:w="28" w:type="dxa"/>
            </w:tcMar>
            <w:vAlign w:val="center"/>
          </w:tcPr>
          <w:p w14:paraId="2D72E741" w14:textId="77777777" w:rsidR="00F1713E" w:rsidRPr="0098262F" w:rsidRDefault="00F1713E">
            <w:pPr>
              <w:pStyle w:val="COMTabletext"/>
              <w:jc w:val="center"/>
            </w:pPr>
            <w:r>
              <w:t>35.1</w:t>
            </w:r>
          </w:p>
        </w:tc>
        <w:tc>
          <w:tcPr>
            <w:tcW w:w="1176" w:type="dxa"/>
            <w:tcMar>
              <w:left w:w="28" w:type="dxa"/>
              <w:right w:w="28" w:type="dxa"/>
            </w:tcMar>
            <w:vAlign w:val="center"/>
          </w:tcPr>
          <w:p w14:paraId="2C1E7F9B" w14:textId="77777777" w:rsidR="00F1713E" w:rsidRPr="0098262F" w:rsidRDefault="00F1713E">
            <w:pPr>
              <w:pStyle w:val="COMTabletext"/>
              <w:jc w:val="center"/>
            </w:pPr>
            <w:r>
              <w:t>30.1</w:t>
            </w:r>
          </w:p>
        </w:tc>
        <w:tc>
          <w:tcPr>
            <w:tcW w:w="1176" w:type="dxa"/>
            <w:tcMar>
              <w:left w:w="28" w:type="dxa"/>
              <w:right w:w="28" w:type="dxa"/>
            </w:tcMar>
            <w:vAlign w:val="center"/>
          </w:tcPr>
          <w:p w14:paraId="291232BB" w14:textId="77777777" w:rsidR="00F1713E" w:rsidRPr="0098262F" w:rsidRDefault="00F1713E">
            <w:pPr>
              <w:pStyle w:val="COMTabletext"/>
              <w:jc w:val="center"/>
            </w:pPr>
            <w:r>
              <w:t>28.8</w:t>
            </w:r>
          </w:p>
        </w:tc>
      </w:tr>
      <w:tr w:rsidR="00F1713E" w:rsidRPr="0098262F" w14:paraId="705C69A3" w14:textId="77777777" w:rsidTr="0094795E">
        <w:tc>
          <w:tcPr>
            <w:tcW w:w="2127" w:type="dxa"/>
            <w:vAlign w:val="center"/>
          </w:tcPr>
          <w:p w14:paraId="00F8802A" w14:textId="77777777" w:rsidR="00F1713E" w:rsidRPr="0098262F" w:rsidRDefault="00F1713E">
            <w:pPr>
              <w:pStyle w:val="COMTabletext"/>
            </w:pPr>
            <w:r>
              <w:t>Grade 3 or 4 AE</w:t>
            </w:r>
          </w:p>
        </w:tc>
        <w:tc>
          <w:tcPr>
            <w:tcW w:w="1275" w:type="dxa"/>
            <w:tcMar>
              <w:left w:w="28" w:type="dxa"/>
              <w:right w:w="28" w:type="dxa"/>
            </w:tcMar>
            <w:vAlign w:val="center"/>
          </w:tcPr>
          <w:p w14:paraId="58598361" w14:textId="77777777" w:rsidR="00F1713E" w:rsidRPr="0098262F" w:rsidRDefault="00F1713E">
            <w:pPr>
              <w:pStyle w:val="COMTabletext"/>
              <w:jc w:val="center"/>
            </w:pPr>
            <w:r>
              <w:t>52.1</w:t>
            </w:r>
          </w:p>
        </w:tc>
        <w:tc>
          <w:tcPr>
            <w:tcW w:w="916" w:type="dxa"/>
            <w:tcMar>
              <w:left w:w="28" w:type="dxa"/>
              <w:right w:w="28" w:type="dxa"/>
            </w:tcMar>
            <w:vAlign w:val="center"/>
          </w:tcPr>
          <w:p w14:paraId="7D11FBF3" w14:textId="77777777" w:rsidR="00F1713E" w:rsidRPr="0098262F" w:rsidRDefault="00F1713E">
            <w:pPr>
              <w:pStyle w:val="COMTabletext"/>
              <w:jc w:val="center"/>
            </w:pPr>
            <w:r>
              <w:t>30.5</w:t>
            </w:r>
          </w:p>
        </w:tc>
        <w:tc>
          <w:tcPr>
            <w:tcW w:w="1176" w:type="dxa"/>
            <w:tcMar>
              <w:left w:w="28" w:type="dxa"/>
              <w:right w:w="28" w:type="dxa"/>
            </w:tcMar>
            <w:vAlign w:val="center"/>
          </w:tcPr>
          <w:p w14:paraId="35FB8B2B" w14:textId="77777777" w:rsidR="00F1713E" w:rsidRPr="0098262F" w:rsidRDefault="00F1713E">
            <w:pPr>
              <w:pStyle w:val="COMTabletext"/>
              <w:jc w:val="center"/>
            </w:pPr>
            <w:r>
              <w:t>47.1</w:t>
            </w:r>
          </w:p>
        </w:tc>
        <w:tc>
          <w:tcPr>
            <w:tcW w:w="1176" w:type="dxa"/>
            <w:tcMar>
              <w:left w:w="28" w:type="dxa"/>
              <w:right w:w="28" w:type="dxa"/>
            </w:tcMar>
            <w:vAlign w:val="center"/>
          </w:tcPr>
          <w:p w14:paraId="0E16CE0F" w14:textId="77777777" w:rsidR="00F1713E" w:rsidRPr="0098262F" w:rsidRDefault="00F1713E">
            <w:pPr>
              <w:pStyle w:val="COMTabletext"/>
              <w:jc w:val="center"/>
            </w:pPr>
            <w:r>
              <w:t>44.4</w:t>
            </w:r>
          </w:p>
        </w:tc>
        <w:tc>
          <w:tcPr>
            <w:tcW w:w="1176" w:type="dxa"/>
            <w:tcMar>
              <w:left w:w="28" w:type="dxa"/>
              <w:right w:w="28" w:type="dxa"/>
            </w:tcMar>
            <w:vAlign w:val="center"/>
          </w:tcPr>
          <w:p w14:paraId="1BEBDC55" w14:textId="77777777" w:rsidR="00F1713E" w:rsidRPr="0098262F" w:rsidRDefault="00F1713E">
            <w:pPr>
              <w:pStyle w:val="COMTabletext"/>
              <w:jc w:val="center"/>
            </w:pPr>
            <w:r>
              <w:t>41.8</w:t>
            </w:r>
          </w:p>
        </w:tc>
        <w:tc>
          <w:tcPr>
            <w:tcW w:w="1176" w:type="dxa"/>
            <w:tcMar>
              <w:left w:w="28" w:type="dxa"/>
              <w:right w:w="28" w:type="dxa"/>
            </w:tcMar>
            <w:vAlign w:val="center"/>
          </w:tcPr>
          <w:p w14:paraId="42707C46" w14:textId="77777777" w:rsidR="00F1713E" w:rsidRPr="0098262F" w:rsidRDefault="00F1713E">
            <w:pPr>
              <w:pStyle w:val="COMTabletext"/>
              <w:jc w:val="center"/>
            </w:pPr>
            <w:r>
              <w:t>24.7</w:t>
            </w:r>
          </w:p>
        </w:tc>
      </w:tr>
      <w:tr w:rsidR="00F1713E" w:rsidRPr="0098262F" w14:paraId="7BD177C9" w14:textId="77777777" w:rsidTr="0094795E">
        <w:tc>
          <w:tcPr>
            <w:tcW w:w="2127" w:type="dxa"/>
            <w:vAlign w:val="center"/>
          </w:tcPr>
          <w:p w14:paraId="244D74BF" w14:textId="77777777" w:rsidR="00F1713E" w:rsidRPr="0098262F" w:rsidRDefault="00F1713E">
            <w:pPr>
              <w:pStyle w:val="COMTabletext"/>
            </w:pPr>
            <w:r>
              <w:t>Discontinuation due to AE</w:t>
            </w:r>
          </w:p>
        </w:tc>
        <w:tc>
          <w:tcPr>
            <w:tcW w:w="1275" w:type="dxa"/>
            <w:tcMar>
              <w:left w:w="28" w:type="dxa"/>
              <w:right w:w="28" w:type="dxa"/>
            </w:tcMar>
            <w:vAlign w:val="center"/>
          </w:tcPr>
          <w:p w14:paraId="4A8497D5" w14:textId="77777777" w:rsidR="00F1713E" w:rsidRPr="0098262F" w:rsidRDefault="00F1713E">
            <w:pPr>
              <w:pStyle w:val="COMTabletext"/>
              <w:jc w:val="center"/>
            </w:pPr>
            <w:r>
              <w:t>13.5</w:t>
            </w:r>
          </w:p>
        </w:tc>
        <w:tc>
          <w:tcPr>
            <w:tcW w:w="916" w:type="dxa"/>
            <w:tcMar>
              <w:left w:w="28" w:type="dxa"/>
              <w:right w:w="28" w:type="dxa"/>
            </w:tcMar>
            <w:vAlign w:val="center"/>
          </w:tcPr>
          <w:p w14:paraId="5BC1950D" w14:textId="77777777" w:rsidR="00F1713E" w:rsidRPr="0098262F" w:rsidRDefault="00F1713E">
            <w:pPr>
              <w:pStyle w:val="COMTabletext"/>
              <w:jc w:val="center"/>
            </w:pPr>
            <w:r>
              <w:t>8.4</w:t>
            </w:r>
          </w:p>
        </w:tc>
        <w:tc>
          <w:tcPr>
            <w:tcW w:w="1176" w:type="dxa"/>
            <w:tcMar>
              <w:left w:w="28" w:type="dxa"/>
              <w:right w:w="28" w:type="dxa"/>
            </w:tcMar>
            <w:vAlign w:val="center"/>
          </w:tcPr>
          <w:p w14:paraId="2C800949" w14:textId="77777777" w:rsidR="00F1713E" w:rsidRPr="0098262F" w:rsidRDefault="00F1713E">
            <w:pPr>
              <w:pStyle w:val="COMTabletext"/>
              <w:jc w:val="center"/>
            </w:pPr>
            <w:r>
              <w:t>11.0</w:t>
            </w:r>
          </w:p>
        </w:tc>
        <w:tc>
          <w:tcPr>
            <w:tcW w:w="1176" w:type="dxa"/>
            <w:tcMar>
              <w:left w:w="28" w:type="dxa"/>
              <w:right w:w="28" w:type="dxa"/>
            </w:tcMar>
            <w:vAlign w:val="center"/>
          </w:tcPr>
          <w:p w14:paraId="46F10F22" w14:textId="77777777" w:rsidR="00F1713E" w:rsidRPr="0098262F" w:rsidRDefault="00F1713E">
            <w:pPr>
              <w:pStyle w:val="COMTabletext"/>
              <w:jc w:val="center"/>
            </w:pPr>
            <w:r>
              <w:t>10.6</w:t>
            </w:r>
          </w:p>
        </w:tc>
        <w:tc>
          <w:tcPr>
            <w:tcW w:w="1176" w:type="dxa"/>
            <w:tcMar>
              <w:left w:w="28" w:type="dxa"/>
              <w:right w:w="28" w:type="dxa"/>
            </w:tcMar>
            <w:vAlign w:val="center"/>
          </w:tcPr>
          <w:p w14:paraId="28DE6E7C" w14:textId="77777777" w:rsidR="00F1713E" w:rsidRPr="0098262F" w:rsidRDefault="00F1713E">
            <w:pPr>
              <w:pStyle w:val="COMTabletext"/>
              <w:jc w:val="center"/>
            </w:pPr>
            <w:r>
              <w:t>8.2</w:t>
            </w:r>
          </w:p>
        </w:tc>
        <w:tc>
          <w:tcPr>
            <w:tcW w:w="1176" w:type="dxa"/>
            <w:tcMar>
              <w:left w:w="28" w:type="dxa"/>
              <w:right w:w="28" w:type="dxa"/>
            </w:tcMar>
            <w:vAlign w:val="center"/>
          </w:tcPr>
          <w:p w14:paraId="78414A6F" w14:textId="77777777" w:rsidR="00F1713E" w:rsidRPr="0098262F" w:rsidRDefault="00F1713E">
            <w:pPr>
              <w:pStyle w:val="COMTabletext"/>
              <w:jc w:val="center"/>
            </w:pPr>
            <w:r>
              <w:t>5.5</w:t>
            </w:r>
          </w:p>
        </w:tc>
      </w:tr>
      <w:tr w:rsidR="00F1713E" w:rsidRPr="0098262F" w14:paraId="1903D8C7" w14:textId="77777777" w:rsidTr="0094795E">
        <w:tc>
          <w:tcPr>
            <w:tcW w:w="2127" w:type="dxa"/>
            <w:vAlign w:val="center"/>
          </w:tcPr>
          <w:p w14:paraId="2DED56C7" w14:textId="77777777" w:rsidR="00F1713E" w:rsidRPr="0098262F" w:rsidRDefault="00F1713E">
            <w:pPr>
              <w:pStyle w:val="COMTabletext"/>
            </w:pPr>
            <w:r>
              <w:t>Death due to AE</w:t>
            </w:r>
          </w:p>
        </w:tc>
        <w:tc>
          <w:tcPr>
            <w:tcW w:w="1275" w:type="dxa"/>
            <w:tcMar>
              <w:left w:w="28" w:type="dxa"/>
              <w:right w:w="28" w:type="dxa"/>
            </w:tcMar>
            <w:vAlign w:val="center"/>
          </w:tcPr>
          <w:p w14:paraId="0526D468" w14:textId="77777777" w:rsidR="00F1713E" w:rsidRPr="0098262F" w:rsidRDefault="00F1713E">
            <w:pPr>
              <w:pStyle w:val="COMTabletext"/>
              <w:jc w:val="center"/>
            </w:pPr>
            <w:r>
              <w:t>1.0</w:t>
            </w:r>
          </w:p>
        </w:tc>
        <w:tc>
          <w:tcPr>
            <w:tcW w:w="916" w:type="dxa"/>
            <w:tcMar>
              <w:left w:w="28" w:type="dxa"/>
              <w:right w:w="28" w:type="dxa"/>
            </w:tcMar>
            <w:vAlign w:val="center"/>
          </w:tcPr>
          <w:p w14:paraId="3DAF5187" w14:textId="77777777" w:rsidR="00F1713E" w:rsidRPr="0098262F" w:rsidRDefault="00F1713E">
            <w:pPr>
              <w:pStyle w:val="COMTabletext"/>
              <w:jc w:val="center"/>
            </w:pPr>
            <w:r>
              <w:t>6.3</w:t>
            </w:r>
          </w:p>
        </w:tc>
        <w:tc>
          <w:tcPr>
            <w:tcW w:w="1176" w:type="dxa"/>
            <w:tcMar>
              <w:left w:w="28" w:type="dxa"/>
              <w:right w:w="28" w:type="dxa"/>
            </w:tcMar>
            <w:vAlign w:val="center"/>
          </w:tcPr>
          <w:p w14:paraId="09D78748" w14:textId="77777777" w:rsidR="00F1713E" w:rsidRPr="0098262F" w:rsidRDefault="00F1713E">
            <w:pPr>
              <w:pStyle w:val="COMTabletext"/>
              <w:jc w:val="center"/>
            </w:pPr>
            <w:r>
              <w:t>5.8</w:t>
            </w:r>
          </w:p>
        </w:tc>
        <w:tc>
          <w:tcPr>
            <w:tcW w:w="1176" w:type="dxa"/>
            <w:tcMar>
              <w:left w:w="28" w:type="dxa"/>
              <w:right w:w="28" w:type="dxa"/>
            </w:tcMar>
            <w:vAlign w:val="center"/>
          </w:tcPr>
          <w:p w14:paraId="2C6D8377" w14:textId="77777777" w:rsidR="00F1713E" w:rsidRPr="0098262F" w:rsidRDefault="00F1713E">
            <w:pPr>
              <w:pStyle w:val="COMTabletext"/>
              <w:jc w:val="center"/>
            </w:pPr>
            <w:r>
              <w:t>7.3</w:t>
            </w:r>
          </w:p>
        </w:tc>
        <w:tc>
          <w:tcPr>
            <w:tcW w:w="1176" w:type="dxa"/>
            <w:tcMar>
              <w:left w:w="28" w:type="dxa"/>
              <w:right w:w="28" w:type="dxa"/>
            </w:tcMar>
            <w:vAlign w:val="center"/>
          </w:tcPr>
          <w:p w14:paraId="00592973" w14:textId="77777777" w:rsidR="00F1713E" w:rsidRPr="0098262F" w:rsidRDefault="00F1713E">
            <w:pPr>
              <w:pStyle w:val="COMTabletext"/>
              <w:jc w:val="center"/>
            </w:pPr>
            <w:r>
              <w:t>4.1</w:t>
            </w:r>
          </w:p>
        </w:tc>
        <w:tc>
          <w:tcPr>
            <w:tcW w:w="1176" w:type="dxa"/>
            <w:tcMar>
              <w:left w:w="28" w:type="dxa"/>
              <w:right w:w="28" w:type="dxa"/>
            </w:tcMar>
            <w:vAlign w:val="center"/>
          </w:tcPr>
          <w:p w14:paraId="7797E39C" w14:textId="77777777" w:rsidR="00F1713E" w:rsidRPr="0098262F" w:rsidRDefault="00F1713E">
            <w:pPr>
              <w:pStyle w:val="COMTabletext"/>
              <w:jc w:val="center"/>
            </w:pPr>
            <w:r>
              <w:t>5.5</w:t>
            </w:r>
          </w:p>
        </w:tc>
      </w:tr>
      <w:tr w:rsidR="00F1713E" w:rsidRPr="0098262F" w14:paraId="6DD12979" w14:textId="77777777" w:rsidTr="0094795E">
        <w:tc>
          <w:tcPr>
            <w:tcW w:w="9022" w:type="dxa"/>
            <w:gridSpan w:val="7"/>
            <w:vAlign w:val="center"/>
          </w:tcPr>
          <w:p w14:paraId="43A00AF5" w14:textId="77777777" w:rsidR="00F1713E" w:rsidRPr="0098262F" w:rsidRDefault="00F1713E">
            <w:pPr>
              <w:pStyle w:val="COMTableheadingrow"/>
            </w:pPr>
            <w:r>
              <w:t>Haematological AE (Grade 3 or 4)</w:t>
            </w:r>
          </w:p>
        </w:tc>
      </w:tr>
      <w:tr w:rsidR="00F1713E" w:rsidRPr="0098262F" w14:paraId="6C5289B1" w14:textId="77777777" w:rsidTr="0094795E">
        <w:tc>
          <w:tcPr>
            <w:tcW w:w="2127" w:type="dxa"/>
            <w:vAlign w:val="center"/>
          </w:tcPr>
          <w:p w14:paraId="0C310A4F" w14:textId="77777777" w:rsidR="00F1713E" w:rsidRDefault="00F1713E">
            <w:pPr>
              <w:pStyle w:val="COMTabletext"/>
            </w:pPr>
            <w:r>
              <w:t>Anaemia</w:t>
            </w:r>
          </w:p>
        </w:tc>
        <w:tc>
          <w:tcPr>
            <w:tcW w:w="1275" w:type="dxa"/>
            <w:tcMar>
              <w:left w:w="28" w:type="dxa"/>
              <w:right w:w="28" w:type="dxa"/>
            </w:tcMar>
            <w:vAlign w:val="center"/>
          </w:tcPr>
          <w:p w14:paraId="50653C35" w14:textId="77777777" w:rsidR="00F1713E" w:rsidRPr="00B873A1" w:rsidRDefault="00F1713E">
            <w:pPr>
              <w:pStyle w:val="COMTabletext"/>
              <w:jc w:val="center"/>
              <w:rPr>
                <w:vertAlign w:val="superscript"/>
              </w:rPr>
            </w:pPr>
            <w:r>
              <w:t xml:space="preserve">41.7 </w:t>
            </w:r>
            <w:r>
              <w:rPr>
                <w:vertAlign w:val="superscript"/>
              </w:rPr>
              <w:t>a</w:t>
            </w:r>
          </w:p>
        </w:tc>
        <w:tc>
          <w:tcPr>
            <w:tcW w:w="916" w:type="dxa"/>
            <w:tcMar>
              <w:left w:w="28" w:type="dxa"/>
              <w:right w:w="28" w:type="dxa"/>
            </w:tcMar>
            <w:vAlign w:val="center"/>
          </w:tcPr>
          <w:p w14:paraId="56C3B058" w14:textId="77777777" w:rsidR="00F1713E" w:rsidRPr="0098262F" w:rsidRDefault="00F1713E">
            <w:pPr>
              <w:pStyle w:val="COMTabletext"/>
              <w:jc w:val="center"/>
            </w:pPr>
            <w:r>
              <w:t xml:space="preserve">24.2 </w:t>
            </w:r>
            <w:r>
              <w:rPr>
                <w:vertAlign w:val="superscript"/>
              </w:rPr>
              <w:t>a</w:t>
            </w:r>
          </w:p>
        </w:tc>
        <w:tc>
          <w:tcPr>
            <w:tcW w:w="1176" w:type="dxa"/>
            <w:tcMar>
              <w:left w:w="28" w:type="dxa"/>
              <w:right w:w="28" w:type="dxa"/>
            </w:tcMar>
            <w:vAlign w:val="center"/>
          </w:tcPr>
          <w:p w14:paraId="2C50F9CF" w14:textId="77777777" w:rsidR="00F1713E" w:rsidRPr="0098262F" w:rsidRDefault="00F1713E">
            <w:pPr>
              <w:pStyle w:val="COMTabletext"/>
              <w:jc w:val="center"/>
            </w:pPr>
            <w:r>
              <w:t xml:space="preserve">45.2 </w:t>
            </w:r>
            <w:r>
              <w:rPr>
                <w:vertAlign w:val="superscript"/>
              </w:rPr>
              <w:t>a</w:t>
            </w:r>
          </w:p>
        </w:tc>
        <w:tc>
          <w:tcPr>
            <w:tcW w:w="1176" w:type="dxa"/>
            <w:tcMar>
              <w:left w:w="28" w:type="dxa"/>
              <w:right w:w="28" w:type="dxa"/>
            </w:tcMar>
            <w:vAlign w:val="center"/>
          </w:tcPr>
          <w:p w14:paraId="398C4BDF" w14:textId="77777777" w:rsidR="00F1713E" w:rsidRPr="0098262F" w:rsidRDefault="00F1713E">
            <w:pPr>
              <w:pStyle w:val="COMTabletext"/>
              <w:jc w:val="center"/>
            </w:pPr>
            <w:r>
              <w:t xml:space="preserve">19.2 </w:t>
            </w:r>
            <w:r>
              <w:rPr>
                <w:vertAlign w:val="superscript"/>
              </w:rPr>
              <w:t>a</w:t>
            </w:r>
          </w:p>
        </w:tc>
        <w:tc>
          <w:tcPr>
            <w:tcW w:w="1176" w:type="dxa"/>
            <w:tcMar>
              <w:left w:w="28" w:type="dxa"/>
              <w:right w:w="28" w:type="dxa"/>
            </w:tcMar>
            <w:vAlign w:val="center"/>
          </w:tcPr>
          <w:p w14:paraId="56478366" w14:textId="77777777" w:rsidR="00F1713E" w:rsidRPr="0098262F" w:rsidRDefault="00F1713E">
            <w:pPr>
              <w:pStyle w:val="COMTabletext"/>
              <w:jc w:val="center"/>
            </w:pPr>
            <w:r>
              <w:t>42</w:t>
            </w:r>
          </w:p>
        </w:tc>
        <w:tc>
          <w:tcPr>
            <w:tcW w:w="1176" w:type="dxa"/>
            <w:tcMar>
              <w:left w:w="28" w:type="dxa"/>
              <w:right w:w="28" w:type="dxa"/>
            </w:tcMar>
            <w:vAlign w:val="center"/>
          </w:tcPr>
          <w:p w14:paraId="1088D4A5" w14:textId="77777777" w:rsidR="00F1713E" w:rsidRPr="0098262F" w:rsidRDefault="00F1713E">
            <w:pPr>
              <w:pStyle w:val="COMTabletext"/>
              <w:jc w:val="center"/>
            </w:pPr>
            <w:r>
              <w:t>31</w:t>
            </w:r>
          </w:p>
        </w:tc>
      </w:tr>
      <w:tr w:rsidR="00F1713E" w:rsidRPr="0098262F" w14:paraId="4C85B786" w14:textId="77777777" w:rsidTr="0094795E">
        <w:tc>
          <w:tcPr>
            <w:tcW w:w="2127" w:type="dxa"/>
            <w:vAlign w:val="center"/>
          </w:tcPr>
          <w:p w14:paraId="35793DA4" w14:textId="77777777" w:rsidR="00F1713E" w:rsidRDefault="00F1713E">
            <w:pPr>
              <w:pStyle w:val="COMTabletext"/>
            </w:pPr>
            <w:r>
              <w:t>Thrombocytopaenia</w:t>
            </w:r>
          </w:p>
        </w:tc>
        <w:tc>
          <w:tcPr>
            <w:tcW w:w="1275" w:type="dxa"/>
            <w:tcMar>
              <w:left w:w="28" w:type="dxa"/>
              <w:right w:w="28" w:type="dxa"/>
            </w:tcMar>
            <w:vAlign w:val="center"/>
          </w:tcPr>
          <w:p w14:paraId="073E9D9D" w14:textId="77777777" w:rsidR="00F1713E" w:rsidRPr="0098262F" w:rsidRDefault="00F1713E">
            <w:pPr>
              <w:pStyle w:val="COMTabletext"/>
              <w:jc w:val="center"/>
            </w:pPr>
            <w:r>
              <w:t xml:space="preserve">11.4 </w:t>
            </w:r>
            <w:r>
              <w:rPr>
                <w:vertAlign w:val="superscript"/>
              </w:rPr>
              <w:t>a</w:t>
            </w:r>
          </w:p>
        </w:tc>
        <w:tc>
          <w:tcPr>
            <w:tcW w:w="916" w:type="dxa"/>
            <w:tcMar>
              <w:left w:w="28" w:type="dxa"/>
              <w:right w:w="28" w:type="dxa"/>
            </w:tcMar>
            <w:vAlign w:val="center"/>
          </w:tcPr>
          <w:p w14:paraId="08314C22" w14:textId="77777777" w:rsidR="00F1713E" w:rsidRPr="0098262F" w:rsidRDefault="00F1713E">
            <w:pPr>
              <w:pStyle w:val="COMTabletext"/>
              <w:jc w:val="center"/>
            </w:pPr>
            <w:r>
              <w:t xml:space="preserve">9.5 </w:t>
            </w:r>
            <w:r>
              <w:rPr>
                <w:vertAlign w:val="superscript"/>
              </w:rPr>
              <w:t>a</w:t>
            </w:r>
          </w:p>
        </w:tc>
        <w:tc>
          <w:tcPr>
            <w:tcW w:w="1176" w:type="dxa"/>
            <w:tcMar>
              <w:left w:w="28" w:type="dxa"/>
              <w:right w:w="28" w:type="dxa"/>
            </w:tcMar>
            <w:vAlign w:val="center"/>
          </w:tcPr>
          <w:p w14:paraId="66425B63" w14:textId="77777777" w:rsidR="00F1713E" w:rsidRPr="0098262F" w:rsidRDefault="00F1713E">
            <w:pPr>
              <w:pStyle w:val="COMTabletext"/>
              <w:jc w:val="center"/>
            </w:pPr>
            <w:r>
              <w:t xml:space="preserve">12.9 </w:t>
            </w:r>
            <w:r>
              <w:rPr>
                <w:vertAlign w:val="superscript"/>
              </w:rPr>
              <w:t>a</w:t>
            </w:r>
          </w:p>
        </w:tc>
        <w:tc>
          <w:tcPr>
            <w:tcW w:w="1176" w:type="dxa"/>
            <w:tcMar>
              <w:left w:w="28" w:type="dxa"/>
              <w:right w:w="28" w:type="dxa"/>
            </w:tcMar>
            <w:vAlign w:val="center"/>
          </w:tcPr>
          <w:p w14:paraId="1AB8D728" w14:textId="77777777" w:rsidR="00F1713E" w:rsidRPr="0098262F" w:rsidRDefault="00F1713E">
            <w:pPr>
              <w:pStyle w:val="COMTabletext"/>
              <w:jc w:val="center"/>
            </w:pPr>
            <w:r>
              <w:t xml:space="preserve">1.3 </w:t>
            </w:r>
            <w:r>
              <w:rPr>
                <w:vertAlign w:val="superscript"/>
              </w:rPr>
              <w:t>a</w:t>
            </w:r>
          </w:p>
        </w:tc>
        <w:tc>
          <w:tcPr>
            <w:tcW w:w="1176" w:type="dxa"/>
            <w:tcMar>
              <w:left w:w="28" w:type="dxa"/>
              <w:right w:w="28" w:type="dxa"/>
            </w:tcMar>
            <w:vAlign w:val="center"/>
          </w:tcPr>
          <w:p w14:paraId="4022EC7A" w14:textId="77777777" w:rsidR="00F1713E" w:rsidRPr="0098262F" w:rsidRDefault="00F1713E">
            <w:pPr>
              <w:pStyle w:val="COMTabletext"/>
              <w:jc w:val="center"/>
            </w:pPr>
            <w:r>
              <w:t>8</w:t>
            </w:r>
          </w:p>
        </w:tc>
        <w:tc>
          <w:tcPr>
            <w:tcW w:w="1176" w:type="dxa"/>
            <w:tcMar>
              <w:left w:w="28" w:type="dxa"/>
              <w:right w:w="28" w:type="dxa"/>
            </w:tcMar>
            <w:vAlign w:val="center"/>
          </w:tcPr>
          <w:p w14:paraId="16D6E116" w14:textId="77777777" w:rsidR="00F1713E" w:rsidRPr="0098262F" w:rsidRDefault="00F1713E">
            <w:pPr>
              <w:pStyle w:val="COMTabletext"/>
              <w:jc w:val="center"/>
            </w:pPr>
            <w:r>
              <w:t>7</w:t>
            </w:r>
          </w:p>
        </w:tc>
      </w:tr>
      <w:tr w:rsidR="00F1713E" w:rsidRPr="0098262F" w14:paraId="2E5AD24F" w14:textId="77777777" w:rsidTr="0094795E">
        <w:tc>
          <w:tcPr>
            <w:tcW w:w="9022" w:type="dxa"/>
            <w:gridSpan w:val="7"/>
            <w:vAlign w:val="center"/>
          </w:tcPr>
          <w:p w14:paraId="40DE61CD" w14:textId="77777777" w:rsidR="00F1713E" w:rsidRPr="0098262F" w:rsidRDefault="00F1713E">
            <w:pPr>
              <w:pStyle w:val="COMTableheadingrow"/>
            </w:pPr>
            <w:r>
              <w:t>Non-haematological AEs</w:t>
            </w:r>
          </w:p>
        </w:tc>
      </w:tr>
      <w:tr w:rsidR="00F1713E" w:rsidRPr="0098262F" w14:paraId="0DD2904D" w14:textId="77777777" w:rsidTr="0094795E">
        <w:tc>
          <w:tcPr>
            <w:tcW w:w="2127" w:type="dxa"/>
            <w:vAlign w:val="center"/>
          </w:tcPr>
          <w:p w14:paraId="6D42FC8F" w14:textId="77777777" w:rsidR="00F1713E" w:rsidRPr="0098262F" w:rsidRDefault="00F1713E">
            <w:pPr>
              <w:pStyle w:val="COMTabletext"/>
            </w:pPr>
            <w:r>
              <w:t>Diarrhoea (any grade)</w:t>
            </w:r>
          </w:p>
        </w:tc>
        <w:tc>
          <w:tcPr>
            <w:tcW w:w="1275" w:type="dxa"/>
            <w:tcMar>
              <w:left w:w="28" w:type="dxa"/>
              <w:right w:w="28" w:type="dxa"/>
            </w:tcMar>
            <w:vAlign w:val="center"/>
          </w:tcPr>
          <w:p w14:paraId="3DDFEE50" w14:textId="77777777" w:rsidR="00F1713E" w:rsidRPr="0098262F" w:rsidRDefault="00F1713E">
            <w:pPr>
              <w:pStyle w:val="COMTabletext"/>
              <w:jc w:val="center"/>
            </w:pPr>
            <w:r>
              <w:t>65.6</w:t>
            </w:r>
          </w:p>
        </w:tc>
        <w:tc>
          <w:tcPr>
            <w:tcW w:w="916" w:type="dxa"/>
            <w:tcMar>
              <w:left w:w="28" w:type="dxa"/>
              <w:right w:w="28" w:type="dxa"/>
            </w:tcMar>
            <w:vAlign w:val="center"/>
          </w:tcPr>
          <w:p w14:paraId="52C65059" w14:textId="77777777" w:rsidR="00F1713E" w:rsidRPr="0098262F" w:rsidRDefault="00F1713E">
            <w:pPr>
              <w:pStyle w:val="COMTabletext"/>
              <w:jc w:val="center"/>
            </w:pPr>
            <w:r>
              <w:t>15.8</w:t>
            </w:r>
          </w:p>
        </w:tc>
        <w:tc>
          <w:tcPr>
            <w:tcW w:w="1176" w:type="dxa"/>
            <w:tcMar>
              <w:left w:w="28" w:type="dxa"/>
              <w:right w:w="28" w:type="dxa"/>
            </w:tcMar>
            <w:vAlign w:val="center"/>
          </w:tcPr>
          <w:p w14:paraId="1D0545A5" w14:textId="77777777" w:rsidR="00F1713E" w:rsidRPr="0098262F" w:rsidRDefault="00F1713E">
            <w:pPr>
              <w:pStyle w:val="COMTabletext"/>
              <w:jc w:val="center"/>
            </w:pPr>
            <w:r>
              <w:t>23.2</w:t>
            </w:r>
          </w:p>
        </w:tc>
        <w:tc>
          <w:tcPr>
            <w:tcW w:w="1176" w:type="dxa"/>
            <w:tcMar>
              <w:left w:w="28" w:type="dxa"/>
              <w:right w:w="28" w:type="dxa"/>
            </w:tcMar>
            <w:vAlign w:val="center"/>
          </w:tcPr>
          <w:p w14:paraId="6E4D8037" w14:textId="77777777" w:rsidR="00F1713E" w:rsidRPr="0098262F" w:rsidRDefault="00F1713E">
            <w:pPr>
              <w:pStyle w:val="COMTabletext"/>
              <w:jc w:val="center"/>
            </w:pPr>
            <w:r>
              <w:t>21.2</w:t>
            </w:r>
          </w:p>
        </w:tc>
        <w:tc>
          <w:tcPr>
            <w:tcW w:w="1176" w:type="dxa"/>
            <w:tcMar>
              <w:left w:w="28" w:type="dxa"/>
              <w:right w:w="28" w:type="dxa"/>
            </w:tcMar>
            <w:vAlign w:val="center"/>
          </w:tcPr>
          <w:p w14:paraId="2E3C9D71" w14:textId="77777777" w:rsidR="00F1713E" w:rsidRPr="0098262F" w:rsidRDefault="00F1713E">
            <w:pPr>
              <w:pStyle w:val="COMTabletext"/>
              <w:jc w:val="center"/>
            </w:pPr>
            <w:r>
              <w:t>23</w:t>
            </w:r>
          </w:p>
        </w:tc>
        <w:tc>
          <w:tcPr>
            <w:tcW w:w="1176" w:type="dxa"/>
            <w:tcMar>
              <w:left w:w="28" w:type="dxa"/>
              <w:right w:w="28" w:type="dxa"/>
            </w:tcMar>
            <w:vAlign w:val="center"/>
          </w:tcPr>
          <w:p w14:paraId="6670BB69" w14:textId="77777777" w:rsidR="00F1713E" w:rsidRPr="0098262F" w:rsidRDefault="00F1713E">
            <w:pPr>
              <w:pStyle w:val="COMTabletext"/>
              <w:jc w:val="center"/>
            </w:pPr>
            <w:r>
              <w:t>12</w:t>
            </w:r>
          </w:p>
        </w:tc>
      </w:tr>
      <w:tr w:rsidR="00F1713E" w:rsidRPr="0098262F" w14:paraId="64A532C9" w14:textId="77777777" w:rsidTr="0094795E">
        <w:tc>
          <w:tcPr>
            <w:tcW w:w="2127" w:type="dxa"/>
            <w:vAlign w:val="center"/>
          </w:tcPr>
          <w:p w14:paraId="61F695B0" w14:textId="77777777" w:rsidR="00F1713E" w:rsidRDefault="00F1713E">
            <w:pPr>
              <w:pStyle w:val="COMTabletext"/>
            </w:pPr>
            <w:r>
              <w:t>Diarrhoea (Grade 3 or 4)</w:t>
            </w:r>
          </w:p>
        </w:tc>
        <w:tc>
          <w:tcPr>
            <w:tcW w:w="1275" w:type="dxa"/>
            <w:tcMar>
              <w:left w:w="28" w:type="dxa"/>
              <w:right w:w="28" w:type="dxa"/>
            </w:tcMar>
            <w:vAlign w:val="center"/>
          </w:tcPr>
          <w:p w14:paraId="4BD97839" w14:textId="77777777" w:rsidR="00F1713E" w:rsidRDefault="00F1713E">
            <w:pPr>
              <w:pStyle w:val="COMTabletext"/>
              <w:jc w:val="center"/>
            </w:pPr>
            <w:r>
              <w:t>5.2</w:t>
            </w:r>
          </w:p>
        </w:tc>
        <w:tc>
          <w:tcPr>
            <w:tcW w:w="916" w:type="dxa"/>
            <w:tcMar>
              <w:left w:w="28" w:type="dxa"/>
              <w:right w:w="28" w:type="dxa"/>
            </w:tcMar>
            <w:vAlign w:val="center"/>
          </w:tcPr>
          <w:p w14:paraId="70E60323" w14:textId="77777777" w:rsidR="00F1713E" w:rsidRDefault="00F1713E">
            <w:pPr>
              <w:pStyle w:val="COMTabletext"/>
              <w:jc w:val="center"/>
            </w:pPr>
            <w:r>
              <w:t>0</w:t>
            </w:r>
          </w:p>
        </w:tc>
        <w:tc>
          <w:tcPr>
            <w:tcW w:w="1176" w:type="dxa"/>
            <w:tcMar>
              <w:left w:w="28" w:type="dxa"/>
              <w:right w:w="28" w:type="dxa"/>
            </w:tcMar>
            <w:vAlign w:val="center"/>
          </w:tcPr>
          <w:p w14:paraId="43134D27" w14:textId="77777777" w:rsidR="00F1713E" w:rsidRPr="0098262F" w:rsidRDefault="00F1713E">
            <w:pPr>
              <w:pStyle w:val="COMTabletext"/>
              <w:jc w:val="center"/>
            </w:pPr>
            <w:r>
              <w:t>1.9</w:t>
            </w:r>
          </w:p>
        </w:tc>
        <w:tc>
          <w:tcPr>
            <w:tcW w:w="1176" w:type="dxa"/>
            <w:tcMar>
              <w:left w:w="28" w:type="dxa"/>
              <w:right w:w="28" w:type="dxa"/>
            </w:tcMar>
            <w:vAlign w:val="center"/>
          </w:tcPr>
          <w:p w14:paraId="56839953" w14:textId="77777777" w:rsidR="00F1713E" w:rsidRPr="0098262F" w:rsidRDefault="00F1713E">
            <w:pPr>
              <w:pStyle w:val="COMTabletext"/>
              <w:jc w:val="center"/>
            </w:pPr>
            <w:r>
              <w:t>0</w:t>
            </w:r>
          </w:p>
        </w:tc>
        <w:tc>
          <w:tcPr>
            <w:tcW w:w="1176" w:type="dxa"/>
            <w:tcMar>
              <w:left w:w="28" w:type="dxa"/>
              <w:right w:w="28" w:type="dxa"/>
            </w:tcMar>
            <w:vAlign w:val="center"/>
          </w:tcPr>
          <w:p w14:paraId="119DDBEC" w14:textId="77777777" w:rsidR="00F1713E" w:rsidRPr="0098262F" w:rsidRDefault="00F1713E">
            <w:pPr>
              <w:pStyle w:val="COMTabletext"/>
              <w:jc w:val="center"/>
            </w:pPr>
            <w:r>
              <w:t>1</w:t>
            </w:r>
          </w:p>
        </w:tc>
        <w:tc>
          <w:tcPr>
            <w:tcW w:w="1176" w:type="dxa"/>
            <w:tcMar>
              <w:left w:w="28" w:type="dxa"/>
              <w:right w:w="28" w:type="dxa"/>
            </w:tcMar>
            <w:vAlign w:val="center"/>
          </w:tcPr>
          <w:p w14:paraId="700AAD3F" w14:textId="77777777" w:rsidR="00F1713E" w:rsidRPr="0098262F" w:rsidRDefault="00F1713E">
            <w:pPr>
              <w:pStyle w:val="COMTabletext"/>
              <w:jc w:val="center"/>
            </w:pPr>
            <w:r>
              <w:t>0</w:t>
            </w:r>
          </w:p>
        </w:tc>
      </w:tr>
      <w:tr w:rsidR="00F1713E" w:rsidRPr="0098262F" w14:paraId="22A599C4" w14:textId="77777777" w:rsidTr="0094795E">
        <w:tc>
          <w:tcPr>
            <w:tcW w:w="2127" w:type="dxa"/>
            <w:vAlign w:val="center"/>
          </w:tcPr>
          <w:p w14:paraId="309A2E40" w14:textId="77777777" w:rsidR="00F1713E" w:rsidRPr="0098262F" w:rsidRDefault="00F1713E">
            <w:pPr>
              <w:pStyle w:val="COMTabletext"/>
            </w:pPr>
            <w:r>
              <w:t>Nausea (any grade)</w:t>
            </w:r>
          </w:p>
        </w:tc>
        <w:tc>
          <w:tcPr>
            <w:tcW w:w="1275" w:type="dxa"/>
            <w:tcMar>
              <w:left w:w="28" w:type="dxa"/>
              <w:right w:w="28" w:type="dxa"/>
            </w:tcMar>
            <w:vAlign w:val="center"/>
          </w:tcPr>
          <w:p w14:paraId="25ED0FF0" w14:textId="77777777" w:rsidR="00F1713E" w:rsidRPr="0098262F" w:rsidRDefault="00F1713E">
            <w:pPr>
              <w:pStyle w:val="COMTabletext"/>
              <w:jc w:val="center"/>
            </w:pPr>
            <w:r>
              <w:t>61.5</w:t>
            </w:r>
          </w:p>
        </w:tc>
        <w:tc>
          <w:tcPr>
            <w:tcW w:w="916" w:type="dxa"/>
            <w:tcMar>
              <w:left w:w="28" w:type="dxa"/>
              <w:right w:w="28" w:type="dxa"/>
            </w:tcMar>
            <w:vAlign w:val="center"/>
          </w:tcPr>
          <w:p w14:paraId="128936FE" w14:textId="77777777" w:rsidR="00F1713E" w:rsidRPr="0098262F" w:rsidRDefault="00F1713E">
            <w:pPr>
              <w:pStyle w:val="COMTabletext"/>
              <w:jc w:val="center"/>
            </w:pPr>
            <w:r>
              <w:t>14.7</w:t>
            </w:r>
          </w:p>
        </w:tc>
        <w:tc>
          <w:tcPr>
            <w:tcW w:w="1176" w:type="dxa"/>
            <w:tcMar>
              <w:left w:w="28" w:type="dxa"/>
              <w:right w:w="28" w:type="dxa"/>
            </w:tcMar>
            <w:vAlign w:val="center"/>
          </w:tcPr>
          <w:p w14:paraId="350F68B8" w14:textId="77777777" w:rsidR="00F1713E" w:rsidRPr="0098262F" w:rsidRDefault="00F1713E">
            <w:pPr>
              <w:pStyle w:val="COMTabletext"/>
              <w:jc w:val="center"/>
            </w:pPr>
            <w:r>
              <w:t>14.8</w:t>
            </w:r>
          </w:p>
        </w:tc>
        <w:tc>
          <w:tcPr>
            <w:tcW w:w="1176" w:type="dxa"/>
            <w:tcMar>
              <w:left w:w="28" w:type="dxa"/>
              <w:right w:w="28" w:type="dxa"/>
            </w:tcMar>
            <w:vAlign w:val="center"/>
          </w:tcPr>
          <w:p w14:paraId="2B312865" w14:textId="77777777" w:rsidR="00F1713E" w:rsidRPr="0098262F" w:rsidRDefault="00F1713E">
            <w:pPr>
              <w:pStyle w:val="COMTabletext"/>
              <w:jc w:val="center"/>
            </w:pPr>
            <w:r>
              <w:t>19.2</w:t>
            </w:r>
          </w:p>
        </w:tc>
        <w:tc>
          <w:tcPr>
            <w:tcW w:w="1176" w:type="dxa"/>
            <w:tcMar>
              <w:left w:w="28" w:type="dxa"/>
              <w:right w:w="28" w:type="dxa"/>
            </w:tcMar>
            <w:vAlign w:val="center"/>
          </w:tcPr>
          <w:p w14:paraId="17E78475" w14:textId="77777777" w:rsidR="00F1713E" w:rsidRPr="0098262F" w:rsidRDefault="00F1713E">
            <w:pPr>
              <w:pStyle w:val="COMTabletext"/>
              <w:jc w:val="center"/>
            </w:pPr>
            <w:r>
              <w:t>13</w:t>
            </w:r>
          </w:p>
        </w:tc>
        <w:tc>
          <w:tcPr>
            <w:tcW w:w="1176" w:type="dxa"/>
            <w:tcMar>
              <w:left w:w="28" w:type="dxa"/>
              <w:right w:w="28" w:type="dxa"/>
            </w:tcMar>
            <w:vAlign w:val="center"/>
          </w:tcPr>
          <w:p w14:paraId="27D14736" w14:textId="77777777" w:rsidR="00F1713E" w:rsidRPr="0098262F" w:rsidRDefault="00F1713E">
            <w:pPr>
              <w:pStyle w:val="COMTabletext"/>
              <w:jc w:val="center"/>
            </w:pPr>
            <w:r>
              <w:t>7</w:t>
            </w:r>
          </w:p>
        </w:tc>
      </w:tr>
      <w:tr w:rsidR="00F1713E" w:rsidRPr="0098262F" w14:paraId="2EF27C9E" w14:textId="77777777" w:rsidTr="0094795E">
        <w:tc>
          <w:tcPr>
            <w:tcW w:w="2127" w:type="dxa"/>
            <w:vAlign w:val="center"/>
          </w:tcPr>
          <w:p w14:paraId="4608C20E" w14:textId="77777777" w:rsidR="00F1713E" w:rsidRDefault="00F1713E">
            <w:pPr>
              <w:pStyle w:val="COMTabletext"/>
            </w:pPr>
            <w:r>
              <w:t>Nausea (Grade 3 or 4)</w:t>
            </w:r>
          </w:p>
        </w:tc>
        <w:tc>
          <w:tcPr>
            <w:tcW w:w="1275" w:type="dxa"/>
            <w:tcMar>
              <w:left w:w="28" w:type="dxa"/>
              <w:right w:w="28" w:type="dxa"/>
            </w:tcMar>
            <w:vAlign w:val="center"/>
          </w:tcPr>
          <w:p w14:paraId="5909625C" w14:textId="77777777" w:rsidR="00F1713E" w:rsidRPr="0098262F" w:rsidRDefault="00F1713E">
            <w:pPr>
              <w:pStyle w:val="COMTabletext"/>
              <w:jc w:val="center"/>
            </w:pPr>
            <w:r>
              <w:t>0</w:t>
            </w:r>
          </w:p>
        </w:tc>
        <w:tc>
          <w:tcPr>
            <w:tcW w:w="916" w:type="dxa"/>
            <w:tcMar>
              <w:left w:w="28" w:type="dxa"/>
              <w:right w:w="28" w:type="dxa"/>
            </w:tcMar>
            <w:vAlign w:val="center"/>
          </w:tcPr>
          <w:p w14:paraId="580F4401" w14:textId="77777777" w:rsidR="00F1713E" w:rsidRPr="0098262F" w:rsidRDefault="00F1713E">
            <w:pPr>
              <w:pStyle w:val="COMTabletext"/>
              <w:jc w:val="center"/>
            </w:pPr>
            <w:r>
              <w:t>0</w:t>
            </w:r>
          </w:p>
        </w:tc>
        <w:tc>
          <w:tcPr>
            <w:tcW w:w="1176" w:type="dxa"/>
            <w:tcMar>
              <w:left w:w="28" w:type="dxa"/>
              <w:right w:w="28" w:type="dxa"/>
            </w:tcMar>
            <w:vAlign w:val="center"/>
          </w:tcPr>
          <w:p w14:paraId="5CB0B95F" w14:textId="77777777" w:rsidR="00F1713E" w:rsidRPr="0098262F" w:rsidRDefault="00F1713E">
            <w:pPr>
              <w:pStyle w:val="COMTabletext"/>
              <w:jc w:val="center"/>
            </w:pPr>
            <w:r>
              <w:t>0</w:t>
            </w:r>
          </w:p>
        </w:tc>
        <w:tc>
          <w:tcPr>
            <w:tcW w:w="1176" w:type="dxa"/>
            <w:tcMar>
              <w:left w:w="28" w:type="dxa"/>
              <w:right w:w="28" w:type="dxa"/>
            </w:tcMar>
            <w:vAlign w:val="center"/>
          </w:tcPr>
          <w:p w14:paraId="02C457A5" w14:textId="77777777" w:rsidR="00F1713E" w:rsidRPr="0098262F" w:rsidRDefault="00F1713E">
            <w:pPr>
              <w:pStyle w:val="COMTabletext"/>
              <w:jc w:val="center"/>
            </w:pPr>
            <w:r>
              <w:t>0.7</w:t>
            </w:r>
          </w:p>
        </w:tc>
        <w:tc>
          <w:tcPr>
            <w:tcW w:w="1176" w:type="dxa"/>
            <w:tcMar>
              <w:left w:w="28" w:type="dxa"/>
              <w:right w:w="28" w:type="dxa"/>
            </w:tcMar>
            <w:vAlign w:val="center"/>
          </w:tcPr>
          <w:p w14:paraId="4162F828" w14:textId="77777777" w:rsidR="00F1713E" w:rsidRPr="0098262F" w:rsidRDefault="00F1713E">
            <w:pPr>
              <w:pStyle w:val="COMTabletext"/>
              <w:jc w:val="center"/>
            </w:pPr>
            <w:r>
              <w:t>1</w:t>
            </w:r>
          </w:p>
        </w:tc>
        <w:tc>
          <w:tcPr>
            <w:tcW w:w="1176" w:type="dxa"/>
            <w:tcMar>
              <w:left w:w="28" w:type="dxa"/>
              <w:right w:w="28" w:type="dxa"/>
            </w:tcMar>
            <w:vAlign w:val="center"/>
          </w:tcPr>
          <w:p w14:paraId="0CD6FE9D" w14:textId="77777777" w:rsidR="00F1713E" w:rsidRPr="0098262F" w:rsidRDefault="00F1713E">
            <w:pPr>
              <w:pStyle w:val="COMTabletext"/>
              <w:jc w:val="center"/>
            </w:pPr>
            <w:r>
              <w:t>0</w:t>
            </w:r>
          </w:p>
        </w:tc>
      </w:tr>
      <w:tr w:rsidR="00F1713E" w:rsidRPr="0098262F" w14:paraId="28A87153" w14:textId="77777777" w:rsidTr="0094795E">
        <w:tc>
          <w:tcPr>
            <w:tcW w:w="2127" w:type="dxa"/>
            <w:vAlign w:val="center"/>
          </w:tcPr>
          <w:p w14:paraId="27A379FD" w14:textId="77777777" w:rsidR="00F1713E" w:rsidRPr="0098262F" w:rsidRDefault="00F1713E">
            <w:pPr>
              <w:pStyle w:val="COMTabletext"/>
            </w:pPr>
            <w:r>
              <w:t>Vomiting (any grade)</w:t>
            </w:r>
          </w:p>
        </w:tc>
        <w:tc>
          <w:tcPr>
            <w:tcW w:w="1275" w:type="dxa"/>
            <w:tcMar>
              <w:left w:w="28" w:type="dxa"/>
              <w:right w:w="28" w:type="dxa"/>
            </w:tcMar>
            <w:vAlign w:val="center"/>
          </w:tcPr>
          <w:p w14:paraId="458BA86A" w14:textId="77777777" w:rsidR="00F1713E" w:rsidRPr="0098262F" w:rsidRDefault="00F1713E">
            <w:pPr>
              <w:pStyle w:val="COMTabletext"/>
              <w:jc w:val="center"/>
            </w:pPr>
            <w:r>
              <w:t>38.5</w:t>
            </w:r>
          </w:p>
        </w:tc>
        <w:tc>
          <w:tcPr>
            <w:tcW w:w="916" w:type="dxa"/>
            <w:tcMar>
              <w:left w:w="28" w:type="dxa"/>
              <w:right w:w="28" w:type="dxa"/>
            </w:tcMar>
            <w:vAlign w:val="center"/>
          </w:tcPr>
          <w:p w14:paraId="19C8CB9E" w14:textId="77777777" w:rsidR="00F1713E" w:rsidRPr="0098262F" w:rsidRDefault="00F1713E">
            <w:pPr>
              <w:pStyle w:val="COMTabletext"/>
              <w:jc w:val="center"/>
            </w:pPr>
            <w:r>
              <w:t>5.3</w:t>
            </w:r>
          </w:p>
        </w:tc>
        <w:tc>
          <w:tcPr>
            <w:tcW w:w="1176" w:type="dxa"/>
            <w:tcMar>
              <w:left w:w="28" w:type="dxa"/>
              <w:right w:w="28" w:type="dxa"/>
            </w:tcMar>
            <w:vAlign w:val="center"/>
          </w:tcPr>
          <w:p w14:paraId="47382F76" w14:textId="77777777" w:rsidR="00F1713E" w:rsidRPr="0098262F" w:rsidRDefault="00F1713E">
            <w:pPr>
              <w:pStyle w:val="COMTabletext"/>
              <w:jc w:val="center"/>
            </w:pPr>
            <w:r>
              <w:t>12.3</w:t>
            </w:r>
          </w:p>
        </w:tc>
        <w:tc>
          <w:tcPr>
            <w:tcW w:w="1176" w:type="dxa"/>
            <w:tcMar>
              <w:left w:w="28" w:type="dxa"/>
              <w:right w:w="28" w:type="dxa"/>
            </w:tcMar>
            <w:vAlign w:val="center"/>
          </w:tcPr>
          <w:p w14:paraId="51818B25" w14:textId="77777777" w:rsidR="00F1713E" w:rsidRPr="0098262F" w:rsidRDefault="00F1713E">
            <w:pPr>
              <w:pStyle w:val="COMTabletext"/>
              <w:jc w:val="center"/>
            </w:pPr>
            <w:r>
              <w:t>9.9</w:t>
            </w:r>
          </w:p>
        </w:tc>
        <w:tc>
          <w:tcPr>
            <w:tcW w:w="1176" w:type="dxa"/>
            <w:tcMar>
              <w:left w:w="28" w:type="dxa"/>
              <w:right w:w="28" w:type="dxa"/>
            </w:tcMar>
            <w:vAlign w:val="center"/>
          </w:tcPr>
          <w:p w14:paraId="71C3FD01" w14:textId="77777777" w:rsidR="00F1713E" w:rsidRPr="0098262F" w:rsidRDefault="00F1713E">
            <w:pPr>
              <w:pStyle w:val="COMTabletext"/>
              <w:jc w:val="center"/>
            </w:pPr>
            <w:r>
              <w:t>NR</w:t>
            </w:r>
          </w:p>
        </w:tc>
        <w:tc>
          <w:tcPr>
            <w:tcW w:w="1176" w:type="dxa"/>
            <w:tcMar>
              <w:left w:w="28" w:type="dxa"/>
              <w:right w:w="28" w:type="dxa"/>
            </w:tcMar>
            <w:vAlign w:val="center"/>
          </w:tcPr>
          <w:p w14:paraId="06CE0528" w14:textId="77777777" w:rsidR="00F1713E" w:rsidRPr="0098262F" w:rsidRDefault="00F1713E">
            <w:pPr>
              <w:pStyle w:val="COMTabletext"/>
              <w:jc w:val="center"/>
            </w:pPr>
            <w:r>
              <w:t>NR</w:t>
            </w:r>
          </w:p>
        </w:tc>
      </w:tr>
      <w:tr w:rsidR="00F1713E" w:rsidRPr="0098262F" w14:paraId="029D0066" w14:textId="77777777" w:rsidTr="0094795E">
        <w:tc>
          <w:tcPr>
            <w:tcW w:w="2127" w:type="dxa"/>
            <w:vAlign w:val="center"/>
          </w:tcPr>
          <w:p w14:paraId="611053EB" w14:textId="77777777" w:rsidR="00F1713E" w:rsidRDefault="00F1713E">
            <w:pPr>
              <w:pStyle w:val="COMTabletext"/>
            </w:pPr>
            <w:r>
              <w:t>Vomiting (Grade 3 or 4)</w:t>
            </w:r>
          </w:p>
        </w:tc>
        <w:tc>
          <w:tcPr>
            <w:tcW w:w="1275" w:type="dxa"/>
            <w:tcMar>
              <w:left w:w="28" w:type="dxa"/>
              <w:right w:w="28" w:type="dxa"/>
            </w:tcMar>
            <w:vAlign w:val="center"/>
          </w:tcPr>
          <w:p w14:paraId="4A70453F" w14:textId="77777777" w:rsidR="00F1713E" w:rsidRPr="0098262F" w:rsidRDefault="00F1713E">
            <w:pPr>
              <w:pStyle w:val="COMTabletext"/>
              <w:jc w:val="center"/>
            </w:pPr>
            <w:r>
              <w:t>3.1</w:t>
            </w:r>
          </w:p>
        </w:tc>
        <w:tc>
          <w:tcPr>
            <w:tcW w:w="916" w:type="dxa"/>
            <w:tcMar>
              <w:left w:w="28" w:type="dxa"/>
              <w:right w:w="28" w:type="dxa"/>
            </w:tcMar>
            <w:vAlign w:val="center"/>
          </w:tcPr>
          <w:p w14:paraId="501D6AC9" w14:textId="77777777" w:rsidR="00F1713E" w:rsidRPr="0098262F" w:rsidRDefault="00F1713E">
            <w:pPr>
              <w:pStyle w:val="COMTabletext"/>
              <w:jc w:val="center"/>
            </w:pPr>
            <w:r>
              <w:t>0</w:t>
            </w:r>
          </w:p>
        </w:tc>
        <w:tc>
          <w:tcPr>
            <w:tcW w:w="1176" w:type="dxa"/>
            <w:tcMar>
              <w:left w:w="28" w:type="dxa"/>
              <w:right w:w="28" w:type="dxa"/>
            </w:tcMar>
            <w:vAlign w:val="center"/>
          </w:tcPr>
          <w:p w14:paraId="13968640" w14:textId="77777777" w:rsidR="00F1713E" w:rsidRPr="0098262F" w:rsidRDefault="00F1713E">
            <w:pPr>
              <w:pStyle w:val="COMTabletext"/>
              <w:jc w:val="center"/>
            </w:pPr>
            <w:r>
              <w:t>0.6</w:t>
            </w:r>
          </w:p>
        </w:tc>
        <w:tc>
          <w:tcPr>
            <w:tcW w:w="1176" w:type="dxa"/>
            <w:tcMar>
              <w:left w:w="28" w:type="dxa"/>
              <w:right w:w="28" w:type="dxa"/>
            </w:tcMar>
            <w:vAlign w:val="center"/>
          </w:tcPr>
          <w:p w14:paraId="10A907F0" w14:textId="77777777" w:rsidR="00F1713E" w:rsidRPr="0098262F" w:rsidRDefault="00F1713E">
            <w:pPr>
              <w:pStyle w:val="COMTabletext"/>
              <w:jc w:val="center"/>
            </w:pPr>
            <w:r>
              <w:t>0.7</w:t>
            </w:r>
          </w:p>
        </w:tc>
        <w:tc>
          <w:tcPr>
            <w:tcW w:w="1176" w:type="dxa"/>
            <w:tcMar>
              <w:left w:w="28" w:type="dxa"/>
              <w:right w:w="28" w:type="dxa"/>
            </w:tcMar>
            <w:vAlign w:val="center"/>
          </w:tcPr>
          <w:p w14:paraId="3FA24EFD" w14:textId="77777777" w:rsidR="00F1713E" w:rsidRPr="0098262F" w:rsidRDefault="00F1713E">
            <w:pPr>
              <w:pStyle w:val="COMTabletext"/>
              <w:jc w:val="center"/>
            </w:pPr>
            <w:r>
              <w:t>NR</w:t>
            </w:r>
          </w:p>
        </w:tc>
        <w:tc>
          <w:tcPr>
            <w:tcW w:w="1176" w:type="dxa"/>
            <w:tcMar>
              <w:left w:w="28" w:type="dxa"/>
              <w:right w:w="28" w:type="dxa"/>
            </w:tcMar>
            <w:vAlign w:val="center"/>
          </w:tcPr>
          <w:p w14:paraId="50BD20B8" w14:textId="77777777" w:rsidR="00F1713E" w:rsidRPr="0098262F" w:rsidRDefault="00F1713E">
            <w:pPr>
              <w:pStyle w:val="COMTabletext"/>
              <w:jc w:val="center"/>
            </w:pPr>
            <w:r>
              <w:t>NR</w:t>
            </w:r>
          </w:p>
        </w:tc>
      </w:tr>
    </w:tbl>
    <w:p w14:paraId="5C24FC74" w14:textId="77777777" w:rsidR="00F1713E" w:rsidRDefault="00F1713E" w:rsidP="00F1713E">
      <w:pPr>
        <w:pStyle w:val="COMTablefooter"/>
      </w:pPr>
      <w:r>
        <w:t>Source: Table 13, Attachment 12 of the resubmission</w:t>
      </w:r>
    </w:p>
    <w:p w14:paraId="11F5DF37" w14:textId="77777777" w:rsidR="00F1713E" w:rsidRDefault="00F1713E" w:rsidP="00F1713E">
      <w:pPr>
        <w:pStyle w:val="COMTablefooter"/>
      </w:pPr>
      <w:r>
        <w:t>Abbreviations: AE, adverse event; BAT, best available therapy; FED, fedratinib; NR, not reported; PBO, placebo; RUX, ruxolitinib</w:t>
      </w:r>
    </w:p>
    <w:p w14:paraId="78D7F01A" w14:textId="456B359A" w:rsidR="00F1713E" w:rsidRDefault="00F1713E" w:rsidP="00F1713E">
      <w:pPr>
        <w:pStyle w:val="COMTablefooter"/>
        <w:rPr>
          <w:color w:val="0066FF"/>
        </w:rPr>
      </w:pPr>
      <w:proofErr w:type="spellStart"/>
      <w:r>
        <w:rPr>
          <w:vertAlign w:val="superscript"/>
        </w:rPr>
        <w:t>a</w:t>
      </w:r>
      <w:proofErr w:type="spellEnd"/>
      <w:r>
        <w:t> The ITC report (Attachment 12 of the resubmission) noted that proportions of patients experiencing Grade 3 or 4 anaemia or thrombocytopaenia adverse events in JAKARTA and COMFORT-I were derived based on laboratory values. The JAKARTA clinical study report had smaller proportions of patients with Grade 3 or 4 treatment emergent adverse events of anaemia (fedratinib 400 mg, 30.2%; placebo 7.4%) and thrombocytopaenia (fedratinib 400 mg, 5.2%; placebo 6.3%).</w:t>
      </w:r>
    </w:p>
    <w:p w14:paraId="741ED3C5" w14:textId="1047FF1A" w:rsidR="00F1713E" w:rsidRDefault="00F1713E" w:rsidP="00F1713E">
      <w:pPr>
        <w:pStyle w:val="COMESnumberedpara"/>
      </w:pPr>
      <w:r>
        <w:t>Almost all patients across all treatment and control arms reported at least one adverse event. The incidence of discontinuation due to an adverse event, and Grade 3 or 4 adverse events was</w:t>
      </w:r>
      <w:r w:rsidR="00A90352">
        <w:t xml:space="preserve"> numerically</w:t>
      </w:r>
      <w:r>
        <w:t xml:space="preserve"> higher for fedratinib treated patients compared to those treated with ruxolitinib, while greater proportions of ruxolitinib treated patients experienced serious adverse events and deaths due to adverse events. The incidence of Grade 3 or 4 anaemia and thrombocytopaenia (derived from laboratory values) were similar in the fedratinib and ruxolitinib treatment arms. </w:t>
      </w:r>
    </w:p>
    <w:p w14:paraId="3778674B" w14:textId="6E3A35E1" w:rsidR="005D435A" w:rsidRPr="005D435A" w:rsidRDefault="00F1713E" w:rsidP="00F1713E">
      <w:pPr>
        <w:pStyle w:val="COMESnumberedpara"/>
        <w:rPr>
          <w:i/>
          <w:iCs/>
        </w:rPr>
      </w:pPr>
      <w:r>
        <w:t>There was a larger proportion of fedratinib-treated patients who experienced diarrhoea, nausea or vomiting of any grade compared to patients treated with ruxolitinib. The resubmission noted that at the time of the JAKARTA study, anti</w:t>
      </w:r>
      <w:r w:rsidR="007F06BB">
        <w:t>-</w:t>
      </w:r>
      <w:r>
        <w:t>emetic prophylaxis was not provided to subjects which could explain the increased incidence of nausea and vomiting.</w:t>
      </w:r>
    </w:p>
    <w:p w14:paraId="214D363C" w14:textId="19214721" w:rsidR="00F1713E" w:rsidRPr="00CB1EA6" w:rsidRDefault="00B420EA" w:rsidP="00F1713E">
      <w:pPr>
        <w:pStyle w:val="COMESnumberedpara"/>
      </w:pPr>
      <w:r w:rsidRPr="00CB1EA6">
        <w:t>The assessment of the relative safety of fedratinib and ruxolitinib in the first-line setting was limited by the naïve comparison, and differences in populations and treatment durations between trials.</w:t>
      </w:r>
      <w:r w:rsidR="00F1713E" w:rsidRPr="00CB1EA6">
        <w:t xml:space="preserve"> </w:t>
      </w:r>
    </w:p>
    <w:p w14:paraId="114972C3" w14:textId="61961ECA" w:rsidR="00F97FF5" w:rsidRPr="006E337C" w:rsidRDefault="006E337C" w:rsidP="00F1713E">
      <w:pPr>
        <w:pStyle w:val="COMESnumberedpara"/>
      </w:pPr>
      <w:r w:rsidRPr="006E337C">
        <w:t xml:space="preserve">The resubmission noted that there were 4 potential cases of Wernicke’s encephalopathy </w:t>
      </w:r>
      <w:r>
        <w:t xml:space="preserve">(including one confirmed case) </w:t>
      </w:r>
      <w:r w:rsidRPr="006E337C">
        <w:t>reported in the JAKARTA trial, all of which were reported in the fedratinib 500 mg arm in patients who had predisposing factors known to increase the risk of Wernicke’s encephalopathy in any population. The resubmission stated that this risk is now managed by thiamine level testing and ongoing thiamine supplementation, as recommended in the fedratinib Product Information</w:t>
      </w:r>
      <w:r>
        <w:t>.</w:t>
      </w:r>
    </w:p>
    <w:p w14:paraId="04908C7F" w14:textId="415B9B7D" w:rsidR="007F1017" w:rsidRPr="0098262F" w:rsidRDefault="007F1017" w:rsidP="00D86231">
      <w:pPr>
        <w:pStyle w:val="COMESSubsectionheading"/>
      </w:pPr>
      <w:bookmarkStart w:id="33" w:name="_Toc22897643"/>
      <w:bookmarkStart w:id="34" w:name="_Toc209002718"/>
      <w:r w:rsidRPr="0098262F">
        <w:t>Benefits/harms</w:t>
      </w:r>
      <w:bookmarkEnd w:id="33"/>
      <w:bookmarkEnd w:id="34"/>
    </w:p>
    <w:p w14:paraId="3B653B96" w14:textId="67DECB9C" w:rsidR="00FC1884" w:rsidRPr="0098262F" w:rsidRDefault="00311D9B" w:rsidP="0067185D">
      <w:pPr>
        <w:pStyle w:val="COMESnumberedpara"/>
      </w:pPr>
      <w:r w:rsidRPr="0098262F">
        <w:t>A benefits and harms table is not presented as the submission made a claim of non-inferiority.</w:t>
      </w:r>
      <w:r w:rsidR="00E926A5" w:rsidRPr="0098262F">
        <w:t xml:space="preserve"> </w:t>
      </w:r>
      <w:r w:rsidR="003270E4" w:rsidRPr="0067185D">
        <w:t> </w:t>
      </w:r>
    </w:p>
    <w:p w14:paraId="7A1772B6" w14:textId="23BB3145" w:rsidR="00B60939" w:rsidRPr="0098262F" w:rsidRDefault="00B60939" w:rsidP="00E9094A">
      <w:pPr>
        <w:pStyle w:val="COMESSubsectionheading"/>
      </w:pPr>
      <w:bookmarkStart w:id="35" w:name="_Toc22897644"/>
      <w:bookmarkStart w:id="36" w:name="_Toc209002719"/>
      <w:r w:rsidRPr="0098262F">
        <w:t>Clinical claim</w:t>
      </w:r>
      <w:bookmarkEnd w:id="35"/>
      <w:bookmarkEnd w:id="36"/>
    </w:p>
    <w:p w14:paraId="02D3D809" w14:textId="77777777" w:rsidR="00744D7C" w:rsidRDefault="00744D7C" w:rsidP="00744D7C">
      <w:pPr>
        <w:pStyle w:val="COMESnumberedpara"/>
      </w:pPr>
      <w:r>
        <w:t xml:space="preserve">In consideration of the totality of evidence presented for fedratinib in the May 2025 submission and the current resubmission, the resubmission described fedratinib as non-inferior in terms of efficacy and safety compared to ruxolitinib. </w:t>
      </w:r>
    </w:p>
    <w:p w14:paraId="061418A0" w14:textId="77777777" w:rsidR="00C23F59" w:rsidRPr="00CB1EA6" w:rsidRDefault="00C23F59" w:rsidP="00841D52">
      <w:pPr>
        <w:pStyle w:val="COMESnumberedpara"/>
        <w:spacing w:after="0"/>
      </w:pPr>
      <w:r w:rsidRPr="00CB1EA6">
        <w:t>The claim of non-inferior efficacy presented in the submission was adequately supported by the evidence presented in the resubmission. However, the following issues should be considered:</w:t>
      </w:r>
    </w:p>
    <w:p w14:paraId="6C58D9FA" w14:textId="77777777" w:rsidR="00C23F59" w:rsidRPr="00CB1EA6" w:rsidRDefault="00C23F59" w:rsidP="00841D52">
      <w:pPr>
        <w:pStyle w:val="COMESbulletlist"/>
        <w:spacing w:after="0"/>
        <w:jc w:val="both"/>
      </w:pPr>
      <w:r w:rsidRPr="00CB1EA6">
        <w:t>The early termination of the JAKARTA trial meant that planned survival outcomes could not be assessed, and available data for long term safety of fedratinib for first line treatment of myelofibrosis was limited.</w:t>
      </w:r>
    </w:p>
    <w:p w14:paraId="27AF43A2" w14:textId="003962C2" w:rsidR="00C23F59" w:rsidRPr="00CB1EA6" w:rsidRDefault="00C23F59" w:rsidP="00841D52">
      <w:pPr>
        <w:pStyle w:val="COMESbulletlist"/>
        <w:spacing w:after="0"/>
        <w:jc w:val="both"/>
      </w:pPr>
      <w:r w:rsidRPr="00CB1EA6">
        <w:t xml:space="preserve">Interpretation of the results of the indirect comparison of fedratinib and ruxolitinib </w:t>
      </w:r>
      <w:r w:rsidR="00D4024A" w:rsidRPr="00CB1EA6">
        <w:t xml:space="preserve">in the first line setting </w:t>
      </w:r>
      <w:r w:rsidRPr="00CB1EA6">
        <w:t xml:space="preserve">was limited by differences in trial eligibility criteria and different outcomes across the included trials, and limited available information from the ruxolitinib trials to allow adjustment for potential treatment effect modifiers in the matched adjusted indirect comparison. </w:t>
      </w:r>
    </w:p>
    <w:p w14:paraId="014637B5" w14:textId="507172F4" w:rsidR="00C23F59" w:rsidRPr="00CB1EA6" w:rsidRDefault="00C23F59" w:rsidP="00841D52">
      <w:pPr>
        <w:pStyle w:val="COMESbulletlist"/>
        <w:spacing w:after="0"/>
        <w:jc w:val="both"/>
      </w:pPr>
      <w:r w:rsidRPr="00CB1EA6">
        <w:t>At the May 2025 meeting, the PBAC considered that the claim of superior comparative effectiveness compared to best available therapy</w:t>
      </w:r>
      <w:r w:rsidR="00D4024A" w:rsidRPr="00CB1EA6">
        <w:t xml:space="preserve"> [in the second line setting]</w:t>
      </w:r>
      <w:r w:rsidRPr="00CB1EA6">
        <w:t xml:space="preserve"> was reasonable (para 6.38, fedratinib PBAC minutes, May 2025 PBAC meeting). </w:t>
      </w:r>
      <w:r w:rsidR="00ED5267" w:rsidRPr="00CB1EA6">
        <w:t>However,</w:t>
      </w:r>
      <w:r w:rsidRPr="00CB1EA6">
        <w:t xml:space="preserve"> the PBAC considered there is a lack of long-term comparative efficacy and safety data for fedratinib in this setting (para 7.8, fedratinib PBAC minutes, May 2025 PBAC meeting).</w:t>
      </w:r>
    </w:p>
    <w:p w14:paraId="3EB5E079" w14:textId="142AA0B5" w:rsidR="00C23F59" w:rsidRPr="00CB1EA6" w:rsidRDefault="00C23F59" w:rsidP="00A34200">
      <w:pPr>
        <w:pStyle w:val="COMESbulletlist"/>
        <w:jc w:val="both"/>
      </w:pPr>
      <w:r w:rsidRPr="00CB1EA6">
        <w:t>There were limited data available to compare fedratinib to ruxolitinib in the subgroup of patients with intermediate-1 risk myelofibrosis.</w:t>
      </w:r>
    </w:p>
    <w:p w14:paraId="63B9F482" w14:textId="2B2AEF05" w:rsidR="003B1CCD" w:rsidRPr="0061449C" w:rsidRDefault="00E6100D" w:rsidP="00C23F59">
      <w:pPr>
        <w:pStyle w:val="COMESnumberedpara"/>
      </w:pPr>
      <w:r w:rsidRPr="0061449C">
        <w:t xml:space="preserve">The ESC considered that whilst </w:t>
      </w:r>
      <w:r w:rsidR="005052D3" w:rsidRPr="0061449C">
        <w:t xml:space="preserve">there were some uncertainties with the data arising from both the </w:t>
      </w:r>
      <w:r w:rsidR="00B2733A" w:rsidRPr="0061449C">
        <w:t xml:space="preserve">early termination of the JAKARTA trial and </w:t>
      </w:r>
      <w:r w:rsidR="007572BF" w:rsidRPr="0061449C">
        <w:t xml:space="preserve">differences between the fedratinib and ruxolitinib trials, the clinical claim of non-inferior comparative effectiveness was overall reasonable. </w:t>
      </w:r>
    </w:p>
    <w:p w14:paraId="31E13286" w14:textId="1C898B83" w:rsidR="00C23F59" w:rsidRPr="00CB1EA6" w:rsidRDefault="00C23F59" w:rsidP="00C23F59">
      <w:pPr>
        <w:pStyle w:val="COMESnumberedpara"/>
      </w:pPr>
      <w:r w:rsidRPr="00CB1EA6">
        <w:t xml:space="preserve">The claim of non-inferior safety was not adequately supported by the evidence presented in Section 2 of the resubmission. </w:t>
      </w:r>
    </w:p>
    <w:p w14:paraId="275C0FD4" w14:textId="2B9DA660" w:rsidR="00C23F59" w:rsidRPr="00CB1EA6" w:rsidRDefault="00C23F59" w:rsidP="00841D52">
      <w:pPr>
        <w:pStyle w:val="COMESbulletlist"/>
        <w:spacing w:after="0"/>
        <w:jc w:val="both"/>
      </w:pPr>
      <w:r w:rsidRPr="00CB1EA6">
        <w:t xml:space="preserve">The comparison of adverse events for fedratinib and ruxolitinib in </w:t>
      </w:r>
      <w:r w:rsidR="00A34200" w:rsidRPr="00CB1EA6">
        <w:t>the first line setting</w:t>
      </w:r>
      <w:r w:rsidRPr="00CB1EA6">
        <w:t xml:space="preserve"> was limited to a descriptive analysis only, however the naïve comparison of adverse events suggested that there was a higher incidence of Grade 3 or 4 adverse events, and gastrointestinal adverse events of any grade reported in the fedratinib treatment arms compared to the ruxolitinib treatment arms.</w:t>
      </w:r>
    </w:p>
    <w:p w14:paraId="11D806FE" w14:textId="77777777" w:rsidR="00C23F59" w:rsidRDefault="00C23F59" w:rsidP="00A34200">
      <w:pPr>
        <w:pStyle w:val="COMESbulletlist"/>
        <w:jc w:val="both"/>
      </w:pPr>
      <w:r w:rsidRPr="00CB1EA6">
        <w:t xml:space="preserve">At the May 2025 meeting, for treatment of patients with intermediate-2 and high-risk myelofibrosis, post-polycythaemia vera myelofibrosis or post-essential thrombocythaemia myelofibrosis who have had prior ruxolitinib treatment, the PBAC considered that the claim of </w:t>
      </w:r>
      <w:r w:rsidRPr="00CB1EA6">
        <w:rPr>
          <w:u w:val="single"/>
        </w:rPr>
        <w:t>inferior</w:t>
      </w:r>
      <w:r w:rsidRPr="00CB1EA6">
        <w:t xml:space="preserve"> comparative safety of fedratinib compared to best available therapy [predominantly ruxolitinib] was reasonable (para 6.39, fedratinib PBAC minutes, May 2025 PBAC meeting). The PBAC considered the safety profile of fedratinib raised concerns, particularly given the observed rate of encephalopathy, including Wernicke’s (or suspected cases associated with thiamine levels below normal range). The Committee noted the TGA registration includes a box warning and states that all patients should receive prophylaxis with oral thiamine whilst on treatment with fedratinib (para 7.9, fedratinib PBAC minutes, May 2025 PBAC meeting).</w:t>
      </w:r>
    </w:p>
    <w:p w14:paraId="69ED754E" w14:textId="41233824" w:rsidR="006F4198" w:rsidRPr="0061449C" w:rsidRDefault="006F4198" w:rsidP="00D0564D">
      <w:pPr>
        <w:pStyle w:val="COMESnumberedpara"/>
      </w:pPr>
      <w:r w:rsidRPr="0061449C">
        <w:t xml:space="preserve">The PSCR </w:t>
      </w:r>
      <w:r w:rsidR="00F10146">
        <w:t xml:space="preserve">and pre-PBAC response </w:t>
      </w:r>
      <w:r w:rsidR="00467886" w:rsidRPr="0061449C">
        <w:t xml:space="preserve">acknowledged Grade 3 or 4 adverse events and gastrointestinal events of any grade were reported in more patients treated with fedratinib compared to ruxolitinib, </w:t>
      </w:r>
      <w:r w:rsidR="00537311" w:rsidRPr="0061449C">
        <w:t xml:space="preserve">but that these events </w:t>
      </w:r>
      <w:r w:rsidR="0044799B" w:rsidRPr="0061449C">
        <w:t>could be</w:t>
      </w:r>
      <w:r w:rsidR="00537311" w:rsidRPr="0061449C">
        <w:t xml:space="preserve"> readily mitigated </w:t>
      </w:r>
      <w:proofErr w:type="gramStart"/>
      <w:r w:rsidR="00537311" w:rsidRPr="0061449C">
        <w:t>through the use of</w:t>
      </w:r>
      <w:proofErr w:type="gramEnd"/>
      <w:r w:rsidR="00537311" w:rsidRPr="0061449C">
        <w:t xml:space="preserve"> anti-emetic treatments and the cost minimisation approach (presented in the following section) includes offsets for these medicines. </w:t>
      </w:r>
      <w:r w:rsidR="003D719E" w:rsidRPr="0061449C">
        <w:t xml:space="preserve">With respect to Wernicke’s encephalopathy, the PSCR </w:t>
      </w:r>
      <w:r w:rsidR="00113066" w:rsidRPr="0061449C">
        <w:t>stated an extensive review</w:t>
      </w:r>
      <w:r w:rsidR="001D3890" w:rsidRPr="0061449C">
        <w:t xml:space="preserve"> </w:t>
      </w:r>
      <w:r w:rsidR="00D56711" w:rsidRPr="0061449C">
        <w:t xml:space="preserve">suggested the events were most likely a consequence of poor control of the </w:t>
      </w:r>
      <w:proofErr w:type="gramStart"/>
      <w:r w:rsidR="00D56711" w:rsidRPr="0061449C">
        <w:t xml:space="preserve">aforementioned </w:t>
      </w:r>
      <w:r w:rsidR="00BE398E" w:rsidRPr="0061449C">
        <w:t>gastrointestinal</w:t>
      </w:r>
      <w:proofErr w:type="gramEnd"/>
      <w:r w:rsidR="00BE398E" w:rsidRPr="0061449C">
        <w:t xml:space="preserve"> adverse events in undernourished patients, </w:t>
      </w:r>
      <w:r w:rsidR="00D0564D" w:rsidRPr="0061449C">
        <w:t xml:space="preserve">and noted provisions for the need for risk mitigation strategies are outlined in the Product Information for fedratinib. </w:t>
      </w:r>
    </w:p>
    <w:p w14:paraId="5ABC955F" w14:textId="5F8DEF14" w:rsidR="00BC4A90" w:rsidRPr="0037130C" w:rsidRDefault="00D0564D" w:rsidP="00BC4A90">
      <w:pPr>
        <w:pStyle w:val="COMESnumberedpara"/>
      </w:pPr>
      <w:r w:rsidRPr="0061449C">
        <w:t xml:space="preserve">The ESC considered the claim of non-inferior comparative safety was not supported, given the </w:t>
      </w:r>
      <w:r w:rsidR="007E1235" w:rsidRPr="0061449C">
        <w:t>types and severity of adverse events observed for fedratinib relative to ruxolitinib, as well as the identified risk of Wernicke’s encephalopathy. The ESC considered a claim of inferior comparative safety to ruxolitinib was more appropriate</w:t>
      </w:r>
      <w:r w:rsidR="00DC1B97" w:rsidRPr="0061449C">
        <w:t>.</w:t>
      </w:r>
      <w:r w:rsidR="007E1235" w:rsidRPr="0061449C">
        <w:t xml:space="preserve"> </w:t>
      </w:r>
      <w:r w:rsidR="00DC1B97" w:rsidRPr="0061449C">
        <w:t xml:space="preserve">The ESC </w:t>
      </w:r>
      <w:r w:rsidR="007E1235" w:rsidRPr="0061449C">
        <w:t>acknowledged risk mitigation strategies for Wercnicke’s encephalopathy, such as thiamine monitoring and supplementation, are outlined in the approved Product Information and proposed for inclusion in the PBS listing.</w:t>
      </w:r>
      <w:r w:rsidR="00BC4A90">
        <w:t xml:space="preserve"> </w:t>
      </w:r>
      <w:r w:rsidR="00EF7040">
        <w:t>The pre-PBAC response accepted the clinical claim of inferior sa</w:t>
      </w:r>
      <w:r w:rsidR="00EF7040" w:rsidRPr="0037130C">
        <w:t xml:space="preserve">fety based on </w:t>
      </w:r>
      <w:r w:rsidR="007C2392">
        <w:t xml:space="preserve">the </w:t>
      </w:r>
      <w:r w:rsidR="00EF7040" w:rsidRPr="0037130C">
        <w:t xml:space="preserve">ESC’s concerns.  </w:t>
      </w:r>
    </w:p>
    <w:p w14:paraId="1FC0E171" w14:textId="4E4C1503" w:rsidR="00BC4A90" w:rsidRPr="0037130C" w:rsidRDefault="00BC4A90" w:rsidP="00BC4A90">
      <w:pPr>
        <w:widowControl w:val="0"/>
        <w:numPr>
          <w:ilvl w:val="1"/>
          <w:numId w:val="1"/>
        </w:numPr>
        <w:spacing w:after="120"/>
        <w:rPr>
          <w:rFonts w:asciiTheme="minorHAnsi" w:hAnsiTheme="minorHAnsi"/>
          <w:snapToGrid w:val="0"/>
          <w:szCs w:val="20"/>
        </w:rPr>
      </w:pPr>
      <w:bookmarkStart w:id="37" w:name="_Hlk76376200"/>
      <w:r w:rsidRPr="0037130C">
        <w:rPr>
          <w:rFonts w:asciiTheme="minorHAnsi" w:hAnsiTheme="minorHAnsi"/>
          <w:iCs/>
          <w:snapToGrid w:val="0"/>
        </w:rPr>
        <w:t>The</w:t>
      </w:r>
      <w:r w:rsidRPr="0037130C">
        <w:rPr>
          <w:rFonts w:asciiTheme="minorHAnsi" w:hAnsiTheme="minorHAnsi"/>
          <w:snapToGrid w:val="0"/>
          <w:szCs w:val="20"/>
        </w:rPr>
        <w:t xml:space="preserve"> PBAC considered that the claim of non-inferior comparative effectiveness was reasonable.</w:t>
      </w:r>
    </w:p>
    <w:p w14:paraId="1F4F6674" w14:textId="3585BF00" w:rsidR="00BC4A90" w:rsidRPr="00D04A6B" w:rsidRDefault="008A40AC" w:rsidP="00D04A6B">
      <w:pPr>
        <w:widowControl w:val="0"/>
        <w:numPr>
          <w:ilvl w:val="1"/>
          <w:numId w:val="1"/>
        </w:numPr>
        <w:spacing w:after="120"/>
        <w:rPr>
          <w:rFonts w:asciiTheme="minorHAnsi" w:hAnsiTheme="minorHAnsi"/>
          <w:snapToGrid w:val="0"/>
          <w:szCs w:val="20"/>
        </w:rPr>
      </w:pPr>
      <w:r w:rsidRPr="008A40AC">
        <w:rPr>
          <w:rFonts w:asciiTheme="minorHAnsi" w:hAnsiTheme="minorHAnsi"/>
          <w:snapToGrid w:val="0"/>
          <w:szCs w:val="20"/>
        </w:rPr>
        <w:t>The PBAC considered that the claim of non-inferior comparative safety was not adequately supported by the data.</w:t>
      </w:r>
      <w:r>
        <w:rPr>
          <w:rFonts w:asciiTheme="minorHAnsi" w:hAnsiTheme="minorHAnsi"/>
          <w:snapToGrid w:val="0"/>
          <w:szCs w:val="20"/>
        </w:rPr>
        <w:t xml:space="preserve"> However,</w:t>
      </w:r>
      <w:r w:rsidRPr="008A40AC">
        <w:rPr>
          <w:rFonts w:asciiTheme="minorHAnsi" w:hAnsiTheme="minorHAnsi"/>
          <w:snapToGrid w:val="0"/>
          <w:szCs w:val="20"/>
        </w:rPr>
        <w:t xml:space="preserve"> </w:t>
      </w:r>
      <w:r>
        <w:rPr>
          <w:rFonts w:asciiTheme="minorHAnsi" w:hAnsiTheme="minorHAnsi"/>
          <w:snapToGrid w:val="0"/>
          <w:szCs w:val="20"/>
        </w:rPr>
        <w:t>t</w:t>
      </w:r>
      <w:r w:rsidR="00BC4A90" w:rsidRPr="0037130C">
        <w:rPr>
          <w:rFonts w:asciiTheme="minorHAnsi" w:hAnsiTheme="minorHAnsi"/>
          <w:snapToGrid w:val="0"/>
          <w:szCs w:val="20"/>
        </w:rPr>
        <w:t xml:space="preserve">he PBAC considered that the claim of inferior comparative safety </w:t>
      </w:r>
      <w:r w:rsidR="00C06EA3" w:rsidRPr="0037130C">
        <w:rPr>
          <w:rFonts w:asciiTheme="minorHAnsi" w:hAnsiTheme="minorHAnsi"/>
          <w:snapToGrid w:val="0"/>
          <w:szCs w:val="20"/>
        </w:rPr>
        <w:t xml:space="preserve">in the </w:t>
      </w:r>
      <w:r w:rsidR="0037130C" w:rsidRPr="0037130C">
        <w:rPr>
          <w:rFonts w:asciiTheme="minorHAnsi" w:hAnsiTheme="minorHAnsi"/>
          <w:snapToGrid w:val="0"/>
          <w:szCs w:val="20"/>
        </w:rPr>
        <w:t xml:space="preserve">pre-PBAC response </w:t>
      </w:r>
      <w:r w:rsidR="00BC4A90" w:rsidRPr="0037130C">
        <w:rPr>
          <w:rFonts w:asciiTheme="minorHAnsi" w:hAnsiTheme="minorHAnsi"/>
          <w:snapToGrid w:val="0"/>
          <w:szCs w:val="20"/>
        </w:rPr>
        <w:t xml:space="preserve">was </w:t>
      </w:r>
      <w:r w:rsidR="005D4465">
        <w:rPr>
          <w:rFonts w:asciiTheme="minorHAnsi" w:hAnsiTheme="minorHAnsi"/>
          <w:snapToGrid w:val="0"/>
          <w:szCs w:val="20"/>
        </w:rPr>
        <w:t xml:space="preserve">reasonable and </w:t>
      </w:r>
      <w:r w:rsidR="00BC4A90" w:rsidRPr="0037130C">
        <w:rPr>
          <w:rFonts w:asciiTheme="minorHAnsi" w:hAnsiTheme="minorHAnsi"/>
          <w:snapToGrid w:val="0"/>
          <w:szCs w:val="20"/>
        </w:rPr>
        <w:t>adequately supported by the data.</w:t>
      </w:r>
      <w:bookmarkEnd w:id="37"/>
    </w:p>
    <w:p w14:paraId="74A1172E" w14:textId="128C170E" w:rsidR="00B60939" w:rsidRPr="0098262F" w:rsidRDefault="00B60939" w:rsidP="00E9094A">
      <w:pPr>
        <w:pStyle w:val="COMESSubsectionheading"/>
      </w:pPr>
      <w:bookmarkStart w:id="38" w:name="_Toc22897645"/>
      <w:bookmarkStart w:id="39" w:name="_Toc209002720"/>
      <w:r w:rsidRPr="0098262F">
        <w:t>Economic analysis</w:t>
      </w:r>
      <w:bookmarkEnd w:id="38"/>
      <w:bookmarkEnd w:id="39"/>
      <w:r w:rsidR="00491B3A" w:rsidRPr="0098262F">
        <w:t xml:space="preserve"> </w:t>
      </w:r>
    </w:p>
    <w:p w14:paraId="5BF1291E" w14:textId="1BEA49E5" w:rsidR="00A11A29" w:rsidRPr="0041236F" w:rsidRDefault="001F5BA8" w:rsidP="00641FB3">
      <w:pPr>
        <w:pStyle w:val="COMESnumberedpara"/>
        <w:rPr>
          <w:b/>
          <w:bCs/>
        </w:rPr>
      </w:pPr>
      <w:r>
        <w:t>T</w:t>
      </w:r>
      <w:r w:rsidR="00A11A29" w:rsidRPr="00A11A29">
        <w:t xml:space="preserve">he resubmission </w:t>
      </w:r>
      <w:r w:rsidR="0041236F">
        <w:t>applied</w:t>
      </w:r>
      <w:r w:rsidR="00A11A29" w:rsidRPr="00A11A29">
        <w:t xml:space="preserve"> a cost-minimisation approach</w:t>
      </w:r>
      <w:r w:rsidR="00334480">
        <w:t xml:space="preserve"> (CMA)</w:t>
      </w:r>
      <w:r w:rsidR="00A11A29" w:rsidRPr="00A11A29">
        <w:t xml:space="preserve"> to calculating the proposed effective price for fedratinib compared to ruxolitinib for patients with intermediate-1, intermediate-2 or </w:t>
      </w:r>
      <w:proofErr w:type="gramStart"/>
      <w:r w:rsidR="00A11A29" w:rsidRPr="00A11A29">
        <w:t>high risk</w:t>
      </w:r>
      <w:proofErr w:type="gramEnd"/>
      <w:r w:rsidR="00A11A29" w:rsidRPr="00A11A29">
        <w:t xml:space="preserve"> myelofibrosis across all lines of therapy</w:t>
      </w:r>
      <w:r w:rsidR="0041236F">
        <w:t xml:space="preserve"> (see </w:t>
      </w:r>
      <w:r w:rsidR="0041236F">
        <w:fldChar w:fldCharType="begin"/>
      </w:r>
      <w:r w:rsidR="0041236F">
        <w:instrText xml:space="preserve"> REF _Ref208216834 \h </w:instrText>
      </w:r>
      <w:r w:rsidR="0041236F">
        <w:fldChar w:fldCharType="separate"/>
      </w:r>
      <w:r w:rsidR="000F0515" w:rsidRPr="0098262F">
        <w:t>Table</w:t>
      </w:r>
      <w:r w:rsidR="000F0515">
        <w:t xml:space="preserve"> </w:t>
      </w:r>
      <w:r w:rsidR="000F0515">
        <w:rPr>
          <w:noProof/>
        </w:rPr>
        <w:t>11</w:t>
      </w:r>
      <w:r w:rsidR="0041236F">
        <w:fldChar w:fldCharType="end"/>
      </w:r>
      <w:r w:rsidR="0041236F">
        <w:t>)</w:t>
      </w:r>
      <w:r w:rsidR="00A11A29" w:rsidRPr="00A11A29">
        <w:t xml:space="preserve">. </w:t>
      </w:r>
    </w:p>
    <w:p w14:paraId="2FBB7482" w14:textId="54E2D554" w:rsidR="0041236F" w:rsidRPr="0098262F" w:rsidRDefault="0041236F" w:rsidP="0041236F">
      <w:pPr>
        <w:pStyle w:val="COMtablefigcaption"/>
      </w:pPr>
      <w:bookmarkStart w:id="40" w:name="_Ref208216834"/>
      <w:r w:rsidRPr="0098262F">
        <w:t>Table</w:t>
      </w:r>
      <w:r>
        <w:t xml:space="preserve"> </w:t>
      </w:r>
      <w:r w:rsidR="00E4609D">
        <w:fldChar w:fldCharType="begin"/>
      </w:r>
      <w:r w:rsidR="00E4609D">
        <w:instrText xml:space="preserve"> SEQ Table \* ARABIC </w:instrText>
      </w:r>
      <w:r w:rsidR="00E4609D">
        <w:fldChar w:fldCharType="separate"/>
      </w:r>
      <w:r w:rsidR="000F0515">
        <w:rPr>
          <w:noProof/>
        </w:rPr>
        <w:t>11</w:t>
      </w:r>
      <w:r w:rsidR="00E4609D">
        <w:rPr>
          <w:noProof/>
        </w:rPr>
        <w:fldChar w:fldCharType="end"/>
      </w:r>
      <w:bookmarkEnd w:id="40"/>
      <w:r w:rsidRPr="0098262F">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Key components and assumptions of the cost-minimisation approach"/>
      </w:tblPr>
      <w:tblGrid>
        <w:gridCol w:w="2660"/>
        <w:gridCol w:w="6520"/>
      </w:tblGrid>
      <w:tr w:rsidR="0041236F" w:rsidRPr="0098262F" w14:paraId="29AF1A48" w14:textId="77777777">
        <w:tc>
          <w:tcPr>
            <w:tcW w:w="2660" w:type="dxa"/>
            <w:vAlign w:val="center"/>
          </w:tcPr>
          <w:p w14:paraId="4571722C" w14:textId="77777777" w:rsidR="0041236F" w:rsidRPr="0098262F" w:rsidRDefault="0041236F">
            <w:pPr>
              <w:pStyle w:val="COMTableheadingrow"/>
            </w:pPr>
            <w:r w:rsidRPr="0098262F">
              <w:t>Component</w:t>
            </w:r>
          </w:p>
        </w:tc>
        <w:tc>
          <w:tcPr>
            <w:tcW w:w="6520" w:type="dxa"/>
            <w:vAlign w:val="center"/>
          </w:tcPr>
          <w:p w14:paraId="2C35DEBF" w14:textId="77777777" w:rsidR="0041236F" w:rsidRPr="0098262F" w:rsidRDefault="0041236F">
            <w:pPr>
              <w:pStyle w:val="COMTableheadingrow"/>
            </w:pPr>
            <w:r w:rsidRPr="0098262F">
              <w:t>Claim or assumption</w:t>
            </w:r>
          </w:p>
        </w:tc>
      </w:tr>
      <w:tr w:rsidR="0041236F" w:rsidRPr="0098262F" w14:paraId="121F7A5A" w14:textId="77777777">
        <w:tc>
          <w:tcPr>
            <w:tcW w:w="2660" w:type="dxa"/>
            <w:vAlign w:val="center"/>
          </w:tcPr>
          <w:p w14:paraId="3D900E47" w14:textId="77777777" w:rsidR="0041236F" w:rsidRPr="0098262F" w:rsidRDefault="0041236F">
            <w:pPr>
              <w:pStyle w:val="COMTabletext"/>
            </w:pPr>
            <w:r w:rsidRPr="0098262F">
              <w:t>Therapeutic claim: effectiveness</w:t>
            </w:r>
          </w:p>
        </w:tc>
        <w:tc>
          <w:tcPr>
            <w:tcW w:w="6520" w:type="dxa"/>
            <w:vAlign w:val="center"/>
          </w:tcPr>
          <w:p w14:paraId="5A8096A1" w14:textId="77777777" w:rsidR="0041236F" w:rsidRPr="0098262F" w:rsidRDefault="0041236F">
            <w:pPr>
              <w:pStyle w:val="COMTabletext"/>
            </w:pPr>
            <w:r>
              <w:t>Based on evidence presented in Section 2, efficacy is assumed to be at least non-inferior</w:t>
            </w:r>
          </w:p>
        </w:tc>
      </w:tr>
      <w:tr w:rsidR="0041236F" w:rsidRPr="0098262F" w14:paraId="3D14AAB7" w14:textId="77777777">
        <w:tc>
          <w:tcPr>
            <w:tcW w:w="2660" w:type="dxa"/>
            <w:vAlign w:val="center"/>
          </w:tcPr>
          <w:p w14:paraId="5CA59CB2" w14:textId="77777777" w:rsidR="0041236F" w:rsidRPr="0098262F" w:rsidRDefault="0041236F">
            <w:pPr>
              <w:pStyle w:val="COMTabletext"/>
            </w:pPr>
            <w:r w:rsidRPr="0098262F">
              <w:t>Therapeutic claim: safety</w:t>
            </w:r>
          </w:p>
        </w:tc>
        <w:tc>
          <w:tcPr>
            <w:tcW w:w="6520" w:type="dxa"/>
            <w:vAlign w:val="center"/>
          </w:tcPr>
          <w:p w14:paraId="587935E0" w14:textId="77777777" w:rsidR="0041236F" w:rsidRPr="0098262F" w:rsidRDefault="0041236F">
            <w:pPr>
              <w:pStyle w:val="COMTabletext"/>
            </w:pPr>
            <w:r w:rsidRPr="0098262F">
              <w:t xml:space="preserve">Based on evidence presented in Section 2, safety is assumed to be </w:t>
            </w:r>
            <w:r>
              <w:t>non-inferior</w:t>
            </w:r>
          </w:p>
        </w:tc>
      </w:tr>
      <w:tr w:rsidR="0041236F" w:rsidRPr="0098262F" w14:paraId="717E4C9E" w14:textId="77777777">
        <w:tc>
          <w:tcPr>
            <w:tcW w:w="2660" w:type="dxa"/>
            <w:vAlign w:val="center"/>
          </w:tcPr>
          <w:p w14:paraId="5CE60E3D" w14:textId="77777777" w:rsidR="0041236F" w:rsidRPr="0098262F" w:rsidRDefault="0041236F">
            <w:pPr>
              <w:pStyle w:val="COMTabletext"/>
            </w:pPr>
            <w:r w:rsidRPr="0098262F">
              <w:t>Evidence base</w:t>
            </w:r>
          </w:p>
        </w:tc>
        <w:tc>
          <w:tcPr>
            <w:tcW w:w="6520" w:type="dxa"/>
            <w:vAlign w:val="center"/>
          </w:tcPr>
          <w:p w14:paraId="00BD1940" w14:textId="77777777" w:rsidR="0041236F" w:rsidRPr="0098262F" w:rsidRDefault="0041236F">
            <w:pPr>
              <w:pStyle w:val="COMTabletext"/>
            </w:pPr>
            <w:r>
              <w:t>Indirect treatment comparison of fedratinib and ruxolitinib in the first line treatment setting (intermediate-2 and high risk patients; JAKARTA, COMFORT-I, COMFORT-II trials); direct comparison of fedratinib and BAT (predominantly ruxolitinib) in the second line treatment setting (intermediate-2 and high risk patients; FREEDOM-2 trial); naïve comparison of fedratinib and ruxolitinib in intermediate-1 risk patients (single arm studies).</w:t>
            </w:r>
          </w:p>
        </w:tc>
      </w:tr>
      <w:tr w:rsidR="0041236F" w:rsidRPr="0098262F" w14:paraId="1F76127C" w14:textId="77777777">
        <w:tc>
          <w:tcPr>
            <w:tcW w:w="2660" w:type="dxa"/>
            <w:vAlign w:val="center"/>
          </w:tcPr>
          <w:p w14:paraId="154E3539" w14:textId="77777777" w:rsidR="0041236F" w:rsidRPr="0098262F" w:rsidRDefault="0041236F">
            <w:pPr>
              <w:pStyle w:val="COMTabletext"/>
            </w:pPr>
            <w:r w:rsidRPr="0098262F">
              <w:t>Equi-effective doses</w:t>
            </w:r>
          </w:p>
        </w:tc>
        <w:tc>
          <w:tcPr>
            <w:tcW w:w="6520" w:type="dxa"/>
            <w:vAlign w:val="center"/>
          </w:tcPr>
          <w:p w14:paraId="745C9968" w14:textId="4303D182" w:rsidR="0041236F" w:rsidRPr="008F0486" w:rsidRDefault="0041236F">
            <w:pPr>
              <w:pStyle w:val="COMTabletext"/>
              <w:rPr>
                <w:vertAlign w:val="superscript"/>
              </w:rPr>
            </w:pPr>
            <w:r>
              <w:t xml:space="preserve">Fedratinib 349.96 mg/day is equivalent to ruxolitinib 27.1 mg/day </w:t>
            </w:r>
            <w:r w:rsidR="008F0486">
              <w:rPr>
                <w:vertAlign w:val="superscript"/>
              </w:rPr>
              <w:t>a</w:t>
            </w:r>
          </w:p>
        </w:tc>
      </w:tr>
      <w:tr w:rsidR="0041236F" w:rsidRPr="0098262F" w14:paraId="4C4A8038" w14:textId="77777777">
        <w:tc>
          <w:tcPr>
            <w:tcW w:w="2660" w:type="dxa"/>
            <w:vAlign w:val="center"/>
          </w:tcPr>
          <w:p w14:paraId="0FAFE183" w14:textId="77777777" w:rsidR="0041236F" w:rsidRPr="0098262F" w:rsidRDefault="0041236F">
            <w:pPr>
              <w:pStyle w:val="COMTabletext"/>
            </w:pPr>
            <w:r w:rsidRPr="0098262F">
              <w:t>Direct medicine costs</w:t>
            </w:r>
          </w:p>
        </w:tc>
        <w:tc>
          <w:tcPr>
            <w:tcW w:w="6520" w:type="dxa"/>
            <w:vAlign w:val="center"/>
          </w:tcPr>
          <w:p w14:paraId="696B167C" w14:textId="3126FA6A" w:rsidR="0041236F" w:rsidRPr="0098262F" w:rsidRDefault="0041236F">
            <w:pPr>
              <w:pStyle w:val="COMTabletext"/>
            </w:pPr>
            <w:r>
              <w:t xml:space="preserve">Fedratinib </w:t>
            </w:r>
            <w:r w:rsidRPr="00157A69">
              <w:t>= $</w:t>
            </w:r>
            <w:r w:rsidR="00783DC2" w:rsidRPr="00783DC2">
              <w:rPr>
                <w:highlight w:val="black"/>
              </w:rPr>
              <w:t>&amp;&amp;&amp;&amp;</w:t>
            </w:r>
            <w:r w:rsidRPr="00157A69">
              <w:t xml:space="preserve"> per day</w:t>
            </w:r>
            <w:r>
              <w:t>; ruxolitinib = $</w:t>
            </w:r>
            <w:r w:rsidR="00783DC2" w:rsidRPr="00783DC2">
              <w:rPr>
                <w:highlight w:val="black"/>
              </w:rPr>
              <w:t>&amp;&amp;&amp;&amp;</w:t>
            </w:r>
            <w:r>
              <w:t xml:space="preserve"> per day (at assumed effective AEMP)</w:t>
            </w:r>
          </w:p>
        </w:tc>
      </w:tr>
      <w:tr w:rsidR="0041236F" w:rsidRPr="0098262F" w14:paraId="2EB48859" w14:textId="77777777">
        <w:tc>
          <w:tcPr>
            <w:tcW w:w="2660" w:type="dxa"/>
            <w:vAlign w:val="center"/>
          </w:tcPr>
          <w:p w14:paraId="6125B0C5" w14:textId="77777777" w:rsidR="0041236F" w:rsidRPr="0098262F" w:rsidRDefault="0041236F">
            <w:pPr>
              <w:pStyle w:val="COMTabletext"/>
            </w:pPr>
            <w:r w:rsidRPr="0098262F">
              <w:t>Other costs or cost offsets</w:t>
            </w:r>
          </w:p>
        </w:tc>
        <w:tc>
          <w:tcPr>
            <w:tcW w:w="6520" w:type="dxa"/>
            <w:vAlign w:val="center"/>
          </w:tcPr>
          <w:p w14:paraId="7DFB59E4" w14:textId="381C5D67" w:rsidR="0041236F" w:rsidRPr="0098262F" w:rsidRDefault="0041236F">
            <w:pPr>
              <w:pStyle w:val="COMTabletext"/>
            </w:pPr>
            <w:r>
              <w:t>Adverse event treatment at $0.44 per day for fedratinib only (treatment of diarrhoea $0.23 per day; thiamine monitoring $0.17 per day; thiamine supplementation $0.04 per day)</w:t>
            </w:r>
            <w:r w:rsidR="001130C0">
              <w:t xml:space="preserve">. </w:t>
            </w:r>
            <w:r w:rsidR="001130C0" w:rsidRPr="001130C0">
              <w:t>The resubmission noted that the Product Information for fedratinib also recommends prophylactic anti-emetic therapy (e.g. 5-HT3 receptor antagonists), however costs for these were not included in the cost-minimisation approach</w:t>
            </w:r>
            <w:r w:rsidR="001130C0">
              <w:t>.</w:t>
            </w:r>
          </w:p>
        </w:tc>
      </w:tr>
    </w:tbl>
    <w:p w14:paraId="5EDF965F" w14:textId="77777777" w:rsidR="0041236F" w:rsidRDefault="0041236F" w:rsidP="0041236F">
      <w:pPr>
        <w:pStyle w:val="COMTablefooter"/>
      </w:pPr>
      <w:r w:rsidRPr="0098262F">
        <w:t>Source: Table</w:t>
      </w:r>
      <w:r>
        <w:t xml:space="preserve"> 30</w:t>
      </w:r>
      <w:r w:rsidRPr="0098262F">
        <w:t>, p</w:t>
      </w:r>
      <w:r>
        <w:t>79</w:t>
      </w:r>
      <w:r w:rsidRPr="0098262F">
        <w:t xml:space="preserve"> of the </w:t>
      </w:r>
      <w:r>
        <w:t>re</w:t>
      </w:r>
      <w:r w:rsidRPr="0098262F">
        <w:t>submission.</w:t>
      </w:r>
    </w:p>
    <w:p w14:paraId="4298A4C3" w14:textId="77777777" w:rsidR="0041236F" w:rsidRDefault="0041236F" w:rsidP="0041236F">
      <w:pPr>
        <w:pStyle w:val="COMTablefooter"/>
      </w:pPr>
      <w:r>
        <w:t>Abbreviations: AEMP, approved ex-manufacturer price; BAT, best available therapy.</w:t>
      </w:r>
    </w:p>
    <w:p w14:paraId="22844328" w14:textId="2FE49ABD" w:rsidR="008F0486" w:rsidRPr="008F0486" w:rsidRDefault="008F0486" w:rsidP="0041236F">
      <w:pPr>
        <w:pStyle w:val="COMTablefooter"/>
      </w:pPr>
      <w:proofErr w:type="spellStart"/>
      <w:r>
        <w:rPr>
          <w:vertAlign w:val="superscript"/>
        </w:rPr>
        <w:t>a</w:t>
      </w:r>
      <w:proofErr w:type="spellEnd"/>
      <w:r>
        <w:t xml:space="preserve"> </w:t>
      </w:r>
      <w:r w:rsidR="007B0B74" w:rsidRPr="007B0B74">
        <w:t xml:space="preserve">The </w:t>
      </w:r>
      <w:proofErr w:type="spellStart"/>
      <w:r w:rsidR="007B0B74" w:rsidRPr="007B0B74">
        <w:t>fedratinib</w:t>
      </w:r>
      <w:proofErr w:type="spellEnd"/>
      <w:r w:rsidR="007B0B74" w:rsidRPr="007B0B74">
        <w:t xml:space="preserve"> dose was based on the recommended 400 mg daily dose, multiplied by the trial-based mean relative dose intensity during the total treatment period in the first line setting (JAKARTA trial; 92.8%, equivalent to 371.2 mg/day), and the second line setting (FREEDOM-2 trial; 86.9%, equivalent to 347.6 mg/day), weighted by an assumed 10%/90% utilisation in first and second line, respectively. No mean dose or relative dose intensities were reported in the ruxolitinib trial publications, so the resubmission used the average daily dose of 27.1</w:t>
      </w:r>
      <w:r w:rsidR="00652B33">
        <w:t> </w:t>
      </w:r>
      <w:r w:rsidR="007B0B74" w:rsidRPr="007B0B74">
        <w:t xml:space="preserve">mg/day sourced from a DUSC utilisation report for ruxolitinib (2018). </w:t>
      </w:r>
    </w:p>
    <w:p w14:paraId="5BC4DFAC" w14:textId="6736AE5C" w:rsidR="00361866" w:rsidRDefault="00A86E8B" w:rsidP="003010DF">
      <w:pPr>
        <w:pStyle w:val="COMESnumberedpara"/>
      </w:pPr>
      <w:r w:rsidRPr="00CB1EA6">
        <w:t xml:space="preserve">The equi-effective doses </w:t>
      </w:r>
      <w:r w:rsidR="00F61C18" w:rsidRPr="00CB1EA6">
        <w:t>we</w:t>
      </w:r>
      <w:r w:rsidRPr="00CB1EA6">
        <w:t xml:space="preserve">re estimated as </w:t>
      </w:r>
      <w:r w:rsidR="00BC7D3D" w:rsidRPr="00CB1EA6">
        <w:t xml:space="preserve">fedratinib 349.96 </w:t>
      </w:r>
      <w:r w:rsidR="00D27CC2" w:rsidRPr="00CB1EA6">
        <w:t>mg</w:t>
      </w:r>
      <w:r w:rsidRPr="00CB1EA6">
        <w:t xml:space="preserve"> </w:t>
      </w:r>
      <w:r w:rsidR="00BC7D3D" w:rsidRPr="00CB1EA6">
        <w:t>per day</w:t>
      </w:r>
      <w:r w:rsidRPr="00CB1EA6">
        <w:t xml:space="preserve"> and </w:t>
      </w:r>
      <w:r w:rsidR="00BC7D3D" w:rsidRPr="00CB1EA6">
        <w:t xml:space="preserve">ruxolitinib </w:t>
      </w:r>
      <w:r w:rsidR="000D5629" w:rsidRPr="00CB1EA6">
        <w:t>27.1 mg per day</w:t>
      </w:r>
      <w:r w:rsidRPr="00CB1EA6">
        <w:t>.</w:t>
      </w:r>
      <w:r w:rsidR="00C557CF" w:rsidRPr="00CB1EA6">
        <w:t xml:space="preserve"> </w:t>
      </w:r>
      <w:r w:rsidR="003010DF" w:rsidRPr="00CB1EA6">
        <w:t xml:space="preserve">The resubmission stated that the PBAC has previously accepted a steady state ruxolitinib dose of 26.2 mg/day when determining the cost-minimisation analysis for </w:t>
      </w:r>
      <w:proofErr w:type="spellStart"/>
      <w:r w:rsidR="003010DF" w:rsidRPr="00CB1EA6">
        <w:t>momelotinib</w:t>
      </w:r>
      <w:proofErr w:type="spellEnd"/>
      <w:r w:rsidR="003010DF" w:rsidRPr="00CB1EA6">
        <w:t xml:space="preserve">. The </w:t>
      </w:r>
      <w:proofErr w:type="spellStart"/>
      <w:r w:rsidR="003010DF" w:rsidRPr="00CB1EA6">
        <w:t>momelotinib</w:t>
      </w:r>
      <w:proofErr w:type="spellEnd"/>
      <w:r w:rsidR="003010DF" w:rsidRPr="00CB1EA6">
        <w:t xml:space="preserve"> submission </w:t>
      </w:r>
      <w:r w:rsidR="001A37D6" w:rsidRPr="00CB1EA6">
        <w:t xml:space="preserve">calculated </w:t>
      </w:r>
      <w:proofErr w:type="spellStart"/>
      <w:r w:rsidR="001A37D6" w:rsidRPr="00CB1EA6">
        <w:t>equi</w:t>
      </w:r>
      <w:proofErr w:type="spellEnd"/>
      <w:r w:rsidR="001A37D6" w:rsidRPr="00CB1EA6">
        <w:t xml:space="preserve">-effective doses </w:t>
      </w:r>
      <w:r w:rsidR="0062607C" w:rsidRPr="00CB1EA6">
        <w:t>using ruxolitinib dose distributions and mean duration of exposure from a head to head trial</w:t>
      </w:r>
      <w:r w:rsidR="00A94439" w:rsidRPr="00CB1EA6">
        <w:t xml:space="preserve"> of </w:t>
      </w:r>
      <w:proofErr w:type="spellStart"/>
      <w:r w:rsidR="00A94439" w:rsidRPr="00CB1EA6">
        <w:t>momelotinib</w:t>
      </w:r>
      <w:proofErr w:type="spellEnd"/>
      <w:r w:rsidR="00A94439" w:rsidRPr="00CB1EA6">
        <w:t xml:space="preserve"> and ruxolitinib.</w:t>
      </w:r>
      <w:r w:rsidR="003010DF" w:rsidRPr="00CB1EA6">
        <w:t xml:space="preserve"> The resubmission also noted that the mean maximum daily ruxolitinib dose in the FREEDOM-2 trial (as part of the BAT arm) was 27 mg/day</w:t>
      </w:r>
      <w:r w:rsidR="00EC7EFE" w:rsidRPr="00CB1EA6">
        <w:t xml:space="preserve">. There </w:t>
      </w:r>
      <w:r w:rsidR="00640065">
        <w:t>wa</w:t>
      </w:r>
      <w:r w:rsidR="00EC7EFE" w:rsidRPr="00CB1EA6">
        <w:t xml:space="preserve">s no evidence to support the equi-effectiveness of the mean daily fedratinib dose from the JAKARTA </w:t>
      </w:r>
      <w:r w:rsidR="00187570" w:rsidRPr="00CB1EA6">
        <w:t xml:space="preserve">and FREEDOM-2 </w:t>
      </w:r>
      <w:r w:rsidR="00EC7EFE" w:rsidRPr="00CB1EA6">
        <w:t>trial</w:t>
      </w:r>
      <w:r w:rsidR="00187570" w:rsidRPr="00CB1EA6">
        <w:t>s</w:t>
      </w:r>
      <w:r w:rsidR="00EC7EFE" w:rsidRPr="00CB1EA6">
        <w:t xml:space="preserve"> with the mean daily ruxolitinib dose </w:t>
      </w:r>
      <w:r w:rsidR="007B01BE" w:rsidRPr="00CB1EA6">
        <w:t xml:space="preserve">based on utilisation in clinical practice </w:t>
      </w:r>
      <w:r w:rsidR="00EC7EFE" w:rsidRPr="00CB1EA6">
        <w:t>from the 2018 DUSC report.</w:t>
      </w:r>
      <w:r w:rsidR="00B572BD" w:rsidRPr="00CB1EA6">
        <w:t xml:space="preserve"> </w:t>
      </w:r>
      <w:r w:rsidR="003010DF" w:rsidRPr="00CB1EA6">
        <w:t xml:space="preserve"> </w:t>
      </w:r>
    </w:p>
    <w:p w14:paraId="75B93E7E" w14:textId="123D2FF8" w:rsidR="003010DF" w:rsidRPr="007943DB" w:rsidRDefault="006774ED" w:rsidP="003010DF">
      <w:pPr>
        <w:pStyle w:val="COMESnumberedpara"/>
      </w:pPr>
      <w:r w:rsidRPr="007943DB">
        <w:t>The PSCR argued the</w:t>
      </w:r>
      <w:r w:rsidR="00334480" w:rsidRPr="007943DB">
        <w:t xml:space="preserve"> CMA</w:t>
      </w:r>
      <w:r w:rsidR="00C94F83" w:rsidRPr="007943DB">
        <w:t xml:space="preserve"> inputs were reasonable, as the</w:t>
      </w:r>
      <w:r w:rsidRPr="007943DB">
        <w:t xml:space="preserve"> fedratinib steady-state dosing was derived from the Phase 3 clinical trials and </w:t>
      </w:r>
      <w:r w:rsidR="00F35D11" w:rsidRPr="007943DB">
        <w:t xml:space="preserve">the inputs for ruxolitinib were derived from a DUSC analysis from 2018, with that analysis concluding </w:t>
      </w:r>
      <w:r w:rsidR="009A096C" w:rsidRPr="007943DB">
        <w:t xml:space="preserve">the average dose used in practice was similar to that predicted from the clinical trial setting </w:t>
      </w:r>
      <w:r w:rsidR="00B20A60" w:rsidRPr="007943DB">
        <w:t>(</w:t>
      </w:r>
      <w:proofErr w:type="spellStart"/>
      <w:r w:rsidR="00B20A60" w:rsidRPr="007943DB">
        <w:t>pg</w:t>
      </w:r>
      <w:proofErr w:type="spellEnd"/>
      <w:r w:rsidR="00B20A60" w:rsidRPr="007943DB">
        <w:t xml:space="preserve"> 2, Ruxolitini</w:t>
      </w:r>
      <w:r w:rsidR="00894EF6" w:rsidRPr="007943DB">
        <w:t>b</w:t>
      </w:r>
      <w:r w:rsidR="00B20A60" w:rsidRPr="007943DB">
        <w:t xml:space="preserve"> DUSC</w:t>
      </w:r>
      <w:r w:rsidR="00894EF6" w:rsidRPr="007943DB">
        <w:t xml:space="preserve"> </w:t>
      </w:r>
      <w:r w:rsidR="00B20A60" w:rsidRPr="007943DB">
        <w:t xml:space="preserve">Public Release Document, September 2018 DUSC meeting). </w:t>
      </w:r>
      <w:r w:rsidR="00182F1D" w:rsidRPr="007943DB">
        <w:t>However, the PSCR</w:t>
      </w:r>
      <w:r w:rsidR="00DB43F5" w:rsidRPr="007943DB">
        <w:t xml:space="preserve"> also</w:t>
      </w:r>
      <w:r w:rsidR="00182F1D" w:rsidRPr="007943DB">
        <w:t xml:space="preserve"> stated the Sponsor </w:t>
      </w:r>
      <w:r w:rsidR="000963D2" w:rsidRPr="007943DB">
        <w:t>was</w:t>
      </w:r>
      <w:r w:rsidR="00182F1D" w:rsidRPr="007943DB">
        <w:t xml:space="preserve"> amenable to using </w:t>
      </w:r>
      <w:r w:rsidR="00DB43F5" w:rsidRPr="007943DB">
        <w:t xml:space="preserve">ruxolitinib dose distribution and equi-effective dose inputs based on the </w:t>
      </w:r>
      <w:proofErr w:type="spellStart"/>
      <w:r w:rsidR="00DB43F5" w:rsidRPr="007943DB">
        <w:t>momelotinib</w:t>
      </w:r>
      <w:proofErr w:type="spellEnd"/>
      <w:r w:rsidR="00DB43F5" w:rsidRPr="007943DB">
        <w:t xml:space="preserve"> submission</w:t>
      </w:r>
      <w:r w:rsidR="000963D2" w:rsidRPr="007943DB">
        <w:t xml:space="preserve">, given the </w:t>
      </w:r>
      <w:r w:rsidR="00222F4F" w:rsidRPr="007943DB">
        <w:t>view expressed by the DUSC in November 2024 that th</w:t>
      </w:r>
      <w:r w:rsidR="00361866" w:rsidRPr="007943DB">
        <w:t xml:space="preserve">e data in the 2018 review was too old (paragraph 6.80, </w:t>
      </w:r>
      <w:proofErr w:type="spellStart"/>
      <w:r w:rsidR="00361866" w:rsidRPr="007943DB">
        <w:t>momelotinib</w:t>
      </w:r>
      <w:proofErr w:type="spellEnd"/>
      <w:r w:rsidR="00361866" w:rsidRPr="007943DB">
        <w:t xml:space="preserve"> </w:t>
      </w:r>
      <w:r w:rsidR="00D92FC7">
        <w:t>Public Summary Document [</w:t>
      </w:r>
      <w:r w:rsidR="00361866" w:rsidRPr="007943DB">
        <w:t>PSD</w:t>
      </w:r>
      <w:r w:rsidR="00D92FC7">
        <w:t>]</w:t>
      </w:r>
      <w:r w:rsidR="00361866" w:rsidRPr="007943DB">
        <w:t xml:space="preserve">, November 2024 PBAC meeting). </w:t>
      </w:r>
    </w:p>
    <w:p w14:paraId="64DDB780" w14:textId="5C26A90A" w:rsidR="00361866" w:rsidRPr="007943DB" w:rsidRDefault="00361866" w:rsidP="003010DF">
      <w:pPr>
        <w:pStyle w:val="COMESnumberedpara"/>
      </w:pPr>
      <w:bookmarkStart w:id="41" w:name="_Ref214546225"/>
      <w:r w:rsidRPr="007943DB">
        <w:t>The</w:t>
      </w:r>
      <w:r w:rsidR="008A13E1" w:rsidRPr="007943DB">
        <w:t xml:space="preserve"> ESC</w:t>
      </w:r>
      <w:r w:rsidRPr="007943DB">
        <w:t xml:space="preserve"> </w:t>
      </w:r>
      <w:r w:rsidR="0069657D" w:rsidRPr="007943DB">
        <w:t xml:space="preserve">considered using ruxolitinib dose distribution and </w:t>
      </w:r>
      <w:r w:rsidR="002E79AB" w:rsidRPr="007943DB">
        <w:t xml:space="preserve">equi-effective dose inputs from </w:t>
      </w:r>
      <w:r w:rsidR="00334480" w:rsidRPr="007943DB">
        <w:t xml:space="preserve">the </w:t>
      </w:r>
      <w:proofErr w:type="spellStart"/>
      <w:r w:rsidR="00334480" w:rsidRPr="007943DB">
        <w:t>momelotinib</w:t>
      </w:r>
      <w:proofErr w:type="spellEnd"/>
      <w:r w:rsidR="00334480" w:rsidRPr="007943DB">
        <w:t xml:space="preserve"> submission</w:t>
      </w:r>
      <w:r w:rsidR="002E79AB" w:rsidRPr="007943DB">
        <w:t xml:space="preserve"> (based on the SIMPLIFY-1 trial)</w:t>
      </w:r>
      <w:r w:rsidR="001D3D85" w:rsidRPr="007943DB">
        <w:t xml:space="preserve"> was reasonable,</w:t>
      </w:r>
      <w:r w:rsidR="002E79AB" w:rsidRPr="007943DB">
        <w:t xml:space="preserve"> </w:t>
      </w:r>
      <w:r w:rsidR="001D3D85" w:rsidRPr="007943DB">
        <w:t>as this was the most recent source of inputs for determining relativities in myelofibrosis on the PBS</w:t>
      </w:r>
      <w:r w:rsidR="00DC1B97" w:rsidRPr="007943DB">
        <w:t>,</w:t>
      </w:r>
      <w:r w:rsidR="008A13E1" w:rsidRPr="007943DB">
        <w:t xml:space="preserve"> and recognising </w:t>
      </w:r>
      <w:r w:rsidR="00572560" w:rsidRPr="007943DB">
        <w:t>views expressed by the DUSC regarding the age of the previous ruxolitinib review.</w:t>
      </w:r>
      <w:r w:rsidR="000327ED" w:rsidRPr="007943DB">
        <w:t xml:space="preserve"> Dose distributions </w:t>
      </w:r>
      <w:r w:rsidR="00170A13">
        <w:t xml:space="preserve">for ruxolitinib </w:t>
      </w:r>
      <w:r w:rsidR="000327ED" w:rsidRPr="007943DB">
        <w:t xml:space="preserve">in the </w:t>
      </w:r>
      <w:proofErr w:type="spellStart"/>
      <w:r w:rsidR="000327ED" w:rsidRPr="007943DB">
        <w:t>momelotinib</w:t>
      </w:r>
      <w:proofErr w:type="spellEnd"/>
      <w:r w:rsidR="000327ED" w:rsidRPr="007943DB">
        <w:t xml:space="preserve"> submission were 5 mg 23.6%; 10 mg 17.43%; 15 mg 19.32%; 20 mg 35.51%; and 25</w:t>
      </w:r>
      <w:r w:rsidR="00EB09CC">
        <w:t> </w:t>
      </w:r>
      <w:r w:rsidR="000327ED" w:rsidRPr="007943DB">
        <w:t>mg</w:t>
      </w:r>
      <w:r w:rsidR="00EB09CC">
        <w:t> </w:t>
      </w:r>
      <w:r w:rsidR="000327ED" w:rsidRPr="007943DB">
        <w:t>3.38%.</w:t>
      </w:r>
      <w:bookmarkEnd w:id="41"/>
    </w:p>
    <w:p w14:paraId="6107A2AA" w14:textId="79EDE7C2" w:rsidR="00402812" w:rsidRPr="00CB1EA6" w:rsidRDefault="00C80DDD" w:rsidP="00BB732D">
      <w:pPr>
        <w:pStyle w:val="COMESnumberedpara"/>
      </w:pPr>
      <w:r w:rsidRPr="00CB1EA6">
        <w:t>T</w:t>
      </w:r>
      <w:r w:rsidR="00F025A9" w:rsidRPr="00CB1EA6">
        <w:t xml:space="preserve">he </w:t>
      </w:r>
      <w:r w:rsidR="00611FB4" w:rsidRPr="00CB1EA6">
        <w:t>cost-minimisation</w:t>
      </w:r>
      <w:r w:rsidR="00F025A9" w:rsidRPr="00CB1EA6">
        <w:t xml:space="preserve"> approach incorporated adverse event costs for fedratinib only</w:t>
      </w:r>
      <w:r w:rsidR="006E23AD" w:rsidRPr="00CB1EA6">
        <w:t xml:space="preserve">. </w:t>
      </w:r>
      <w:r w:rsidR="001130C0" w:rsidRPr="00CB1EA6">
        <w:t>C</w:t>
      </w:r>
      <w:r w:rsidR="00CD70D8" w:rsidRPr="00CB1EA6">
        <w:t xml:space="preserve">osts for </w:t>
      </w:r>
      <w:r w:rsidR="001130C0" w:rsidRPr="00CB1EA6">
        <w:t xml:space="preserve">prophylactic anti-emetic therapy </w:t>
      </w:r>
      <w:r w:rsidR="00CD70D8" w:rsidRPr="00CB1EA6">
        <w:t xml:space="preserve">were not included in the cost-minimisation approach as 5-HT3 receptor antagonists (such as ondansetron) are not PBS-listed for this indication and would not generally incur a public cost. The </w:t>
      </w:r>
      <w:r w:rsidR="00174B0D">
        <w:t xml:space="preserve">evaluation suggested </w:t>
      </w:r>
      <w:r w:rsidR="00CD70D8" w:rsidRPr="00CB1EA6">
        <w:t>costs for prophylactic anti-emetic therapy should have been included in the estimation of adverse event costs.</w:t>
      </w:r>
    </w:p>
    <w:p w14:paraId="2DF238A0" w14:textId="286BF557" w:rsidR="00E42B44" w:rsidRPr="00201B4C" w:rsidRDefault="00E42B44" w:rsidP="00E42B44">
      <w:pPr>
        <w:pStyle w:val="COMESnumberedpara"/>
      </w:pPr>
      <w:r w:rsidRPr="00CB1EA6">
        <w:t xml:space="preserve">The cost per day for </w:t>
      </w:r>
      <w:r w:rsidR="00F63D3B" w:rsidRPr="00CB1EA6">
        <w:t xml:space="preserve">the average </w:t>
      </w:r>
      <w:r w:rsidRPr="00CB1EA6">
        <w:t>ruxolitinib</w:t>
      </w:r>
      <w:r w:rsidR="00F63D3B" w:rsidRPr="00CB1EA6">
        <w:t xml:space="preserve"> dose of 27.1 mg</w:t>
      </w:r>
      <w:r w:rsidRPr="00CB1EA6">
        <w:t xml:space="preserve"> was estimated in the resubmission by using the cost per mg for each pack size of ruxolitinib to calculate a weighted price by ruxolitinib PBS prescribing by dose (</w:t>
      </w:r>
      <w:r w:rsidR="001C09A6" w:rsidRPr="00CB1EA6">
        <w:fldChar w:fldCharType="begin"/>
      </w:r>
      <w:r w:rsidR="001C09A6" w:rsidRPr="00CB1EA6">
        <w:instrText xml:space="preserve"> REF _Ref207889276 \h </w:instrText>
      </w:r>
      <w:r w:rsidR="00CB1EA6" w:rsidRPr="00CB1EA6">
        <w:instrText xml:space="preserve"> \* MERGEFORMAT </w:instrText>
      </w:r>
      <w:r w:rsidR="001C09A6" w:rsidRPr="00CB1EA6">
        <w:fldChar w:fldCharType="separate"/>
      </w:r>
      <w:r w:rsidR="000F0515" w:rsidRPr="00201B4C">
        <w:t xml:space="preserve">Table </w:t>
      </w:r>
      <w:r w:rsidR="000F0515">
        <w:rPr>
          <w:noProof/>
        </w:rPr>
        <w:t>12</w:t>
      </w:r>
      <w:r w:rsidR="001C09A6" w:rsidRPr="00CB1EA6">
        <w:fldChar w:fldCharType="end"/>
      </w:r>
      <w:r w:rsidRPr="00CB1EA6">
        <w:t xml:space="preserve">). </w:t>
      </w:r>
      <w:r w:rsidR="001F6C92" w:rsidRPr="00CB1EA6">
        <w:t xml:space="preserve">The resubmission applied </w:t>
      </w:r>
      <w:r w:rsidR="001F6C92" w:rsidRPr="008B6423">
        <w:t xml:space="preserve">a </w:t>
      </w:r>
      <w:r w:rsidR="00783DC2" w:rsidRPr="00783DC2">
        <w:rPr>
          <w:highlight w:val="black"/>
        </w:rPr>
        <w:t>&amp;&amp;&amp;&amp;</w:t>
      </w:r>
      <w:r w:rsidR="001F6C92" w:rsidRPr="008B6423">
        <w:t>% rebate</w:t>
      </w:r>
      <w:r w:rsidR="001F6C92" w:rsidRPr="00201B4C">
        <w:t xml:space="preserve"> to the published AEMP </w:t>
      </w:r>
      <w:r w:rsidR="00580493" w:rsidRPr="00201B4C">
        <w:t xml:space="preserve">of </w:t>
      </w:r>
      <w:r w:rsidR="001F6C92" w:rsidRPr="00201B4C">
        <w:t>ruxolitinib to approximate the effective AEMP</w:t>
      </w:r>
      <w:r w:rsidR="00580493" w:rsidRPr="00201B4C">
        <w:t xml:space="preserve">, noting that this will be amended to the correct value once the true effective price for ruxolitinib is known. </w:t>
      </w:r>
    </w:p>
    <w:p w14:paraId="1B11AF6F" w14:textId="38B86A9D" w:rsidR="00E42B44" w:rsidRPr="00201B4C" w:rsidRDefault="00E42B44" w:rsidP="00E42B44">
      <w:pPr>
        <w:pStyle w:val="COMtablefigcaption"/>
      </w:pPr>
      <w:bookmarkStart w:id="42" w:name="_Ref207889276"/>
      <w:r w:rsidRPr="00201B4C">
        <w:t xml:space="preserve">Table </w:t>
      </w:r>
      <w:r w:rsidR="0003298B">
        <w:fldChar w:fldCharType="begin"/>
      </w:r>
      <w:r w:rsidR="0003298B">
        <w:instrText xml:space="preserve"> SEQ Table \* ARABIC </w:instrText>
      </w:r>
      <w:r w:rsidR="0003298B">
        <w:fldChar w:fldCharType="separate"/>
      </w:r>
      <w:r w:rsidR="000F0515">
        <w:rPr>
          <w:noProof/>
        </w:rPr>
        <w:t>12</w:t>
      </w:r>
      <w:r w:rsidR="0003298B">
        <w:rPr>
          <w:noProof/>
        </w:rPr>
        <w:fldChar w:fldCharType="end"/>
      </w:r>
      <w:bookmarkEnd w:id="42"/>
      <w:r w:rsidRPr="00201B4C">
        <w:t>: Approach to calculating cost of daily ruxolitinib dose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Approach to calculating cost of daily ruxolitinib dose in the resubmission"/>
      </w:tblPr>
      <w:tblGrid>
        <w:gridCol w:w="1555"/>
        <w:gridCol w:w="1315"/>
        <w:gridCol w:w="1292"/>
        <w:gridCol w:w="1334"/>
        <w:gridCol w:w="1273"/>
        <w:gridCol w:w="1124"/>
        <w:gridCol w:w="1124"/>
      </w:tblGrid>
      <w:tr w:rsidR="00E42B44" w:rsidRPr="00201B4C" w14:paraId="495DDDAD" w14:textId="77777777">
        <w:tc>
          <w:tcPr>
            <w:tcW w:w="1555" w:type="dxa"/>
            <w:vAlign w:val="center"/>
          </w:tcPr>
          <w:p w14:paraId="1083F9A9" w14:textId="77777777" w:rsidR="00E42B44" w:rsidRPr="00201B4C" w:rsidRDefault="00E42B44">
            <w:pPr>
              <w:pStyle w:val="COMTableheadingrow"/>
            </w:pPr>
            <w:r w:rsidRPr="00201B4C">
              <w:t>Ruxolitinib dose</w:t>
            </w:r>
          </w:p>
        </w:tc>
        <w:tc>
          <w:tcPr>
            <w:tcW w:w="1315" w:type="dxa"/>
            <w:vAlign w:val="center"/>
          </w:tcPr>
          <w:p w14:paraId="320D950C" w14:textId="77777777" w:rsidR="00E42B44" w:rsidRPr="00201B4C" w:rsidRDefault="00E42B44">
            <w:pPr>
              <w:pStyle w:val="COMTableheadingrow"/>
              <w:jc w:val="center"/>
            </w:pPr>
            <w:r w:rsidRPr="00201B4C">
              <w:t>Published AEMP</w:t>
            </w:r>
          </w:p>
        </w:tc>
        <w:tc>
          <w:tcPr>
            <w:tcW w:w="1292" w:type="dxa"/>
            <w:vAlign w:val="center"/>
          </w:tcPr>
          <w:p w14:paraId="4E1BC03B" w14:textId="77777777" w:rsidR="00E42B44" w:rsidRPr="00201B4C" w:rsidRDefault="00E42B44">
            <w:pPr>
              <w:pStyle w:val="COMTableheadingrow"/>
              <w:jc w:val="center"/>
            </w:pPr>
            <w:r w:rsidRPr="00201B4C">
              <w:t>Total mg/pack</w:t>
            </w:r>
          </w:p>
        </w:tc>
        <w:tc>
          <w:tcPr>
            <w:tcW w:w="1334" w:type="dxa"/>
            <w:vAlign w:val="center"/>
          </w:tcPr>
          <w:p w14:paraId="19AA6D3B" w14:textId="77777777" w:rsidR="00E42B44" w:rsidRPr="00201B4C" w:rsidRDefault="00E42B44">
            <w:pPr>
              <w:pStyle w:val="COMTableheadingrow"/>
              <w:jc w:val="center"/>
            </w:pPr>
            <w:r w:rsidRPr="00201B4C">
              <w:t>Cost per mg</w:t>
            </w:r>
          </w:p>
        </w:tc>
        <w:tc>
          <w:tcPr>
            <w:tcW w:w="1273" w:type="dxa"/>
            <w:vAlign w:val="center"/>
          </w:tcPr>
          <w:p w14:paraId="3A2D2316" w14:textId="77777777" w:rsidR="00E42B44" w:rsidRPr="00201B4C" w:rsidRDefault="00E42B44">
            <w:pPr>
              <w:pStyle w:val="COMTableheadingrow"/>
              <w:jc w:val="center"/>
            </w:pPr>
            <w:r w:rsidRPr="00201B4C">
              <w:t>Cost / day</w:t>
            </w:r>
          </w:p>
          <w:p w14:paraId="70A7D4BC" w14:textId="77777777" w:rsidR="00E42B44" w:rsidRPr="00201B4C" w:rsidRDefault="00E42B44">
            <w:pPr>
              <w:pStyle w:val="COMTabletext"/>
              <w:jc w:val="center"/>
              <w:rPr>
                <w:b/>
                <w:lang w:eastAsia="en-AU"/>
              </w:rPr>
            </w:pPr>
            <w:r w:rsidRPr="00201B4C">
              <w:rPr>
                <w:b/>
                <w:lang w:eastAsia="en-AU"/>
              </w:rPr>
              <w:t>(Published AEMP)</w:t>
            </w:r>
          </w:p>
        </w:tc>
        <w:tc>
          <w:tcPr>
            <w:tcW w:w="1124" w:type="dxa"/>
            <w:vAlign w:val="center"/>
          </w:tcPr>
          <w:p w14:paraId="71993704" w14:textId="77777777" w:rsidR="00E42B44" w:rsidRPr="00201B4C" w:rsidRDefault="00E42B44">
            <w:pPr>
              <w:pStyle w:val="COMTableheadingrow"/>
              <w:jc w:val="center"/>
            </w:pPr>
            <w:r w:rsidRPr="00201B4C">
              <w:t>PBS utilisation by dose</w:t>
            </w:r>
          </w:p>
        </w:tc>
        <w:tc>
          <w:tcPr>
            <w:tcW w:w="1124" w:type="dxa"/>
            <w:vAlign w:val="center"/>
          </w:tcPr>
          <w:p w14:paraId="1DE08513" w14:textId="77777777" w:rsidR="00E42B44" w:rsidRPr="00201B4C" w:rsidRDefault="00E42B44">
            <w:pPr>
              <w:pStyle w:val="COMTableheadingrow"/>
              <w:jc w:val="center"/>
              <w:rPr>
                <w:vertAlign w:val="superscript"/>
              </w:rPr>
            </w:pPr>
            <w:r w:rsidRPr="00201B4C">
              <w:t xml:space="preserve">Cost / day (Effective AEMP) </w:t>
            </w:r>
            <w:r w:rsidRPr="00201B4C">
              <w:rPr>
                <w:vertAlign w:val="superscript"/>
              </w:rPr>
              <w:t>a</w:t>
            </w:r>
          </w:p>
        </w:tc>
      </w:tr>
      <w:tr w:rsidR="00E42B44" w:rsidRPr="00201B4C" w14:paraId="5C0C4D7D" w14:textId="77777777">
        <w:tc>
          <w:tcPr>
            <w:tcW w:w="1555" w:type="dxa"/>
          </w:tcPr>
          <w:p w14:paraId="310E2365" w14:textId="77777777" w:rsidR="00E42B44" w:rsidRPr="00201B4C" w:rsidRDefault="00E42B44">
            <w:pPr>
              <w:pStyle w:val="COMTabletext"/>
            </w:pPr>
            <w:r w:rsidRPr="00201B4C">
              <w:t>5 mg (112 tablets)</w:t>
            </w:r>
          </w:p>
        </w:tc>
        <w:tc>
          <w:tcPr>
            <w:tcW w:w="1315" w:type="dxa"/>
            <w:vAlign w:val="center"/>
          </w:tcPr>
          <w:p w14:paraId="0670A29A" w14:textId="77777777" w:rsidR="00E42B44" w:rsidRPr="000A0AF4" w:rsidRDefault="00E42B44">
            <w:pPr>
              <w:pStyle w:val="COMTabletext"/>
              <w:jc w:val="center"/>
            </w:pPr>
            <w:r w:rsidRPr="000A0AF4">
              <w:t>$4,750.00</w:t>
            </w:r>
          </w:p>
        </w:tc>
        <w:tc>
          <w:tcPr>
            <w:tcW w:w="1292" w:type="dxa"/>
          </w:tcPr>
          <w:p w14:paraId="2A1A974F" w14:textId="0DB39551" w:rsidR="00E42B44" w:rsidRPr="000A0AF4" w:rsidRDefault="00E42B44">
            <w:pPr>
              <w:pStyle w:val="COMTabletext"/>
              <w:jc w:val="center"/>
            </w:pPr>
            <w:r w:rsidRPr="000A0AF4">
              <w:t>560 mg</w:t>
            </w:r>
          </w:p>
        </w:tc>
        <w:tc>
          <w:tcPr>
            <w:tcW w:w="1334" w:type="dxa"/>
          </w:tcPr>
          <w:p w14:paraId="592B6F5D" w14:textId="77777777" w:rsidR="00E42B44" w:rsidRPr="000A0AF4" w:rsidRDefault="00E42B44">
            <w:pPr>
              <w:pStyle w:val="COMTabletext"/>
              <w:jc w:val="center"/>
            </w:pPr>
            <w:r w:rsidRPr="000A0AF4">
              <w:t>$8.48</w:t>
            </w:r>
          </w:p>
        </w:tc>
        <w:tc>
          <w:tcPr>
            <w:tcW w:w="1273" w:type="dxa"/>
          </w:tcPr>
          <w:p w14:paraId="725C2F6E" w14:textId="77777777" w:rsidR="00E42B44" w:rsidRPr="000A0AF4" w:rsidRDefault="00E42B44">
            <w:pPr>
              <w:pStyle w:val="COMTabletext"/>
              <w:jc w:val="center"/>
            </w:pPr>
            <w:r w:rsidRPr="000A0AF4">
              <w:t>$229.87</w:t>
            </w:r>
          </w:p>
        </w:tc>
        <w:tc>
          <w:tcPr>
            <w:tcW w:w="1124" w:type="dxa"/>
          </w:tcPr>
          <w:p w14:paraId="55947756" w14:textId="77777777" w:rsidR="00E42B44" w:rsidRPr="000A0AF4" w:rsidRDefault="00E42B44">
            <w:pPr>
              <w:pStyle w:val="COMTabletext"/>
              <w:jc w:val="center"/>
            </w:pPr>
            <w:r w:rsidRPr="000A0AF4">
              <w:t>12.43%</w:t>
            </w:r>
          </w:p>
        </w:tc>
        <w:tc>
          <w:tcPr>
            <w:tcW w:w="1124" w:type="dxa"/>
          </w:tcPr>
          <w:p w14:paraId="3BB2F921" w14:textId="5BB9FD7E" w:rsidR="00E42B44" w:rsidRPr="008B7403" w:rsidRDefault="00E42B44">
            <w:pPr>
              <w:pStyle w:val="COMTabletext"/>
              <w:jc w:val="center"/>
            </w:pPr>
            <w:r w:rsidRPr="008B7403">
              <w:t>$</w:t>
            </w:r>
            <w:r w:rsidR="00783DC2" w:rsidRPr="00783DC2">
              <w:rPr>
                <w:highlight w:val="black"/>
              </w:rPr>
              <w:t>&amp;&amp;&amp;&amp;</w:t>
            </w:r>
          </w:p>
        </w:tc>
      </w:tr>
      <w:tr w:rsidR="00E42B44" w:rsidRPr="00201B4C" w14:paraId="7A1AF51A" w14:textId="77777777">
        <w:tc>
          <w:tcPr>
            <w:tcW w:w="1555" w:type="dxa"/>
          </w:tcPr>
          <w:p w14:paraId="5F05A0D4" w14:textId="77777777" w:rsidR="00E42B44" w:rsidRPr="00201B4C" w:rsidRDefault="00E42B44">
            <w:pPr>
              <w:pStyle w:val="COMTabletext"/>
            </w:pPr>
            <w:r w:rsidRPr="00201B4C">
              <w:t>10 mg (56 tablets)</w:t>
            </w:r>
          </w:p>
        </w:tc>
        <w:tc>
          <w:tcPr>
            <w:tcW w:w="1315" w:type="dxa"/>
          </w:tcPr>
          <w:p w14:paraId="75F7DED9" w14:textId="77777777" w:rsidR="00E42B44" w:rsidRPr="000A0AF4" w:rsidRDefault="00E42B44">
            <w:pPr>
              <w:pStyle w:val="COMTabletext"/>
              <w:jc w:val="center"/>
            </w:pPr>
            <w:r w:rsidRPr="000A0AF4">
              <w:t>$4,750.00</w:t>
            </w:r>
          </w:p>
        </w:tc>
        <w:tc>
          <w:tcPr>
            <w:tcW w:w="1292" w:type="dxa"/>
          </w:tcPr>
          <w:p w14:paraId="412D1202" w14:textId="513D7535" w:rsidR="00E42B44" w:rsidRPr="000A0AF4" w:rsidRDefault="00E42B44">
            <w:pPr>
              <w:pStyle w:val="COMTabletext"/>
              <w:jc w:val="center"/>
            </w:pPr>
            <w:r w:rsidRPr="000A0AF4">
              <w:t>560 mg</w:t>
            </w:r>
          </w:p>
        </w:tc>
        <w:tc>
          <w:tcPr>
            <w:tcW w:w="1334" w:type="dxa"/>
          </w:tcPr>
          <w:p w14:paraId="7918B535" w14:textId="77777777" w:rsidR="00E42B44" w:rsidRPr="000A0AF4" w:rsidRDefault="00E42B44">
            <w:pPr>
              <w:pStyle w:val="COMTabletext"/>
              <w:jc w:val="center"/>
            </w:pPr>
            <w:r w:rsidRPr="000A0AF4">
              <w:t>$8.48</w:t>
            </w:r>
          </w:p>
        </w:tc>
        <w:tc>
          <w:tcPr>
            <w:tcW w:w="1273" w:type="dxa"/>
          </w:tcPr>
          <w:p w14:paraId="43ECB454" w14:textId="77777777" w:rsidR="00E42B44" w:rsidRPr="000A0AF4" w:rsidRDefault="00E42B44">
            <w:pPr>
              <w:pStyle w:val="COMTabletext"/>
              <w:jc w:val="center"/>
            </w:pPr>
            <w:r w:rsidRPr="000A0AF4">
              <w:t>$229.87</w:t>
            </w:r>
          </w:p>
        </w:tc>
        <w:tc>
          <w:tcPr>
            <w:tcW w:w="1124" w:type="dxa"/>
          </w:tcPr>
          <w:p w14:paraId="6ACEE0F1" w14:textId="77777777" w:rsidR="00E42B44" w:rsidRPr="000A0AF4" w:rsidRDefault="00E42B44">
            <w:pPr>
              <w:pStyle w:val="COMTabletext"/>
              <w:jc w:val="center"/>
            </w:pPr>
            <w:r w:rsidRPr="000A0AF4">
              <w:t>26.75%</w:t>
            </w:r>
          </w:p>
        </w:tc>
        <w:tc>
          <w:tcPr>
            <w:tcW w:w="1124" w:type="dxa"/>
          </w:tcPr>
          <w:p w14:paraId="1D986302" w14:textId="46DE62EF" w:rsidR="00E42B44" w:rsidRPr="008B7403" w:rsidRDefault="00E42B44">
            <w:pPr>
              <w:pStyle w:val="COMTabletext"/>
              <w:jc w:val="center"/>
            </w:pPr>
            <w:r w:rsidRPr="008B7403">
              <w:t>$</w:t>
            </w:r>
            <w:r w:rsidR="00783DC2" w:rsidRPr="00783DC2">
              <w:rPr>
                <w:highlight w:val="black"/>
              </w:rPr>
              <w:t>&amp;&amp;&amp;&amp;</w:t>
            </w:r>
          </w:p>
        </w:tc>
      </w:tr>
      <w:tr w:rsidR="00E42B44" w:rsidRPr="00201B4C" w14:paraId="05524424" w14:textId="77777777">
        <w:tc>
          <w:tcPr>
            <w:tcW w:w="1555" w:type="dxa"/>
          </w:tcPr>
          <w:p w14:paraId="7739DB2E" w14:textId="77777777" w:rsidR="00E42B44" w:rsidRPr="00201B4C" w:rsidRDefault="00E42B44">
            <w:pPr>
              <w:pStyle w:val="COMTabletext"/>
            </w:pPr>
            <w:r w:rsidRPr="00201B4C">
              <w:t>15 mg (56 tablets)</w:t>
            </w:r>
          </w:p>
        </w:tc>
        <w:tc>
          <w:tcPr>
            <w:tcW w:w="1315" w:type="dxa"/>
          </w:tcPr>
          <w:p w14:paraId="019A73EB" w14:textId="77777777" w:rsidR="00E42B44" w:rsidRPr="000A0AF4" w:rsidRDefault="00E42B44">
            <w:pPr>
              <w:pStyle w:val="COMTabletext"/>
              <w:jc w:val="center"/>
            </w:pPr>
            <w:r w:rsidRPr="000A0AF4">
              <w:t>$4,750.00</w:t>
            </w:r>
          </w:p>
        </w:tc>
        <w:tc>
          <w:tcPr>
            <w:tcW w:w="1292" w:type="dxa"/>
          </w:tcPr>
          <w:p w14:paraId="1D5DA9C2" w14:textId="5541F36F" w:rsidR="00E42B44" w:rsidRPr="000A0AF4" w:rsidRDefault="00E42B44">
            <w:pPr>
              <w:pStyle w:val="COMTabletext"/>
              <w:jc w:val="center"/>
            </w:pPr>
            <w:r w:rsidRPr="000A0AF4">
              <w:t>840 mg</w:t>
            </w:r>
          </w:p>
        </w:tc>
        <w:tc>
          <w:tcPr>
            <w:tcW w:w="1334" w:type="dxa"/>
          </w:tcPr>
          <w:p w14:paraId="2D463179" w14:textId="77777777" w:rsidR="00E42B44" w:rsidRPr="000A0AF4" w:rsidRDefault="00E42B44">
            <w:pPr>
              <w:pStyle w:val="COMTabletext"/>
              <w:jc w:val="center"/>
            </w:pPr>
            <w:r w:rsidRPr="000A0AF4">
              <w:t>$5.65</w:t>
            </w:r>
          </w:p>
        </w:tc>
        <w:tc>
          <w:tcPr>
            <w:tcW w:w="1273" w:type="dxa"/>
          </w:tcPr>
          <w:p w14:paraId="78E4C48F" w14:textId="77777777" w:rsidR="00E42B44" w:rsidRPr="000A0AF4" w:rsidRDefault="00E42B44">
            <w:pPr>
              <w:pStyle w:val="COMTabletext"/>
              <w:jc w:val="center"/>
            </w:pPr>
            <w:r w:rsidRPr="000A0AF4">
              <w:t>$153.24</w:t>
            </w:r>
          </w:p>
        </w:tc>
        <w:tc>
          <w:tcPr>
            <w:tcW w:w="1124" w:type="dxa"/>
          </w:tcPr>
          <w:p w14:paraId="7B55A316" w14:textId="77777777" w:rsidR="00E42B44" w:rsidRPr="000A0AF4" w:rsidRDefault="00E42B44">
            <w:pPr>
              <w:pStyle w:val="COMTabletext"/>
              <w:jc w:val="center"/>
            </w:pPr>
            <w:r w:rsidRPr="000A0AF4">
              <w:t>23.51%</w:t>
            </w:r>
          </w:p>
        </w:tc>
        <w:tc>
          <w:tcPr>
            <w:tcW w:w="1124" w:type="dxa"/>
          </w:tcPr>
          <w:p w14:paraId="1F5E7243" w14:textId="27B14C29" w:rsidR="00E42B44" w:rsidRPr="008B7403" w:rsidRDefault="00E42B44">
            <w:pPr>
              <w:pStyle w:val="COMTabletext"/>
              <w:jc w:val="center"/>
            </w:pPr>
            <w:r w:rsidRPr="008B7403">
              <w:t>$</w:t>
            </w:r>
            <w:r w:rsidR="00783DC2" w:rsidRPr="00783DC2">
              <w:rPr>
                <w:highlight w:val="black"/>
              </w:rPr>
              <w:t>&amp;&amp;&amp;&amp;</w:t>
            </w:r>
          </w:p>
        </w:tc>
      </w:tr>
      <w:tr w:rsidR="00E42B44" w:rsidRPr="00201B4C" w14:paraId="38227672" w14:textId="77777777">
        <w:tc>
          <w:tcPr>
            <w:tcW w:w="1555" w:type="dxa"/>
          </w:tcPr>
          <w:p w14:paraId="400CDDB6" w14:textId="77777777" w:rsidR="00E42B44" w:rsidRPr="00201B4C" w:rsidRDefault="00E42B44">
            <w:pPr>
              <w:pStyle w:val="COMTabletext"/>
            </w:pPr>
            <w:r w:rsidRPr="00201B4C">
              <w:t>20 mg (56 tablets)</w:t>
            </w:r>
          </w:p>
        </w:tc>
        <w:tc>
          <w:tcPr>
            <w:tcW w:w="1315" w:type="dxa"/>
          </w:tcPr>
          <w:p w14:paraId="48A277A4" w14:textId="77777777" w:rsidR="00E42B44" w:rsidRPr="000A0AF4" w:rsidRDefault="00E42B44">
            <w:pPr>
              <w:pStyle w:val="COMTabletext"/>
              <w:jc w:val="center"/>
            </w:pPr>
            <w:r w:rsidRPr="000A0AF4">
              <w:t>$4,750.00</w:t>
            </w:r>
          </w:p>
        </w:tc>
        <w:tc>
          <w:tcPr>
            <w:tcW w:w="1292" w:type="dxa"/>
          </w:tcPr>
          <w:p w14:paraId="1BD4B755" w14:textId="4ED38E4B" w:rsidR="00E42B44" w:rsidRPr="000A0AF4" w:rsidRDefault="00E42B44">
            <w:pPr>
              <w:pStyle w:val="COMTabletext"/>
              <w:jc w:val="center"/>
            </w:pPr>
            <w:r w:rsidRPr="000A0AF4">
              <w:t>1,120 mg</w:t>
            </w:r>
          </w:p>
        </w:tc>
        <w:tc>
          <w:tcPr>
            <w:tcW w:w="1334" w:type="dxa"/>
          </w:tcPr>
          <w:p w14:paraId="4A89E8CF" w14:textId="77777777" w:rsidR="00E42B44" w:rsidRPr="000A0AF4" w:rsidRDefault="00E42B44">
            <w:pPr>
              <w:pStyle w:val="COMTabletext"/>
              <w:jc w:val="center"/>
            </w:pPr>
            <w:r w:rsidRPr="000A0AF4">
              <w:t>$4.24</w:t>
            </w:r>
          </w:p>
        </w:tc>
        <w:tc>
          <w:tcPr>
            <w:tcW w:w="1273" w:type="dxa"/>
          </w:tcPr>
          <w:p w14:paraId="27B51821" w14:textId="77777777" w:rsidR="00E42B44" w:rsidRPr="000A0AF4" w:rsidRDefault="00E42B44">
            <w:pPr>
              <w:pStyle w:val="COMTabletext"/>
              <w:jc w:val="center"/>
            </w:pPr>
            <w:r w:rsidRPr="000A0AF4">
              <w:t>$114.93</w:t>
            </w:r>
          </w:p>
        </w:tc>
        <w:tc>
          <w:tcPr>
            <w:tcW w:w="1124" w:type="dxa"/>
          </w:tcPr>
          <w:p w14:paraId="696B760A" w14:textId="77777777" w:rsidR="00E42B44" w:rsidRPr="000A0AF4" w:rsidRDefault="00E42B44">
            <w:pPr>
              <w:pStyle w:val="COMTabletext"/>
              <w:jc w:val="center"/>
            </w:pPr>
            <w:r w:rsidRPr="000A0AF4">
              <w:t>37.31%</w:t>
            </w:r>
          </w:p>
        </w:tc>
        <w:tc>
          <w:tcPr>
            <w:tcW w:w="1124" w:type="dxa"/>
          </w:tcPr>
          <w:p w14:paraId="5A9C457B" w14:textId="05FA1123" w:rsidR="00E42B44" w:rsidRPr="008B7403" w:rsidRDefault="00E42B44">
            <w:pPr>
              <w:pStyle w:val="COMTabletext"/>
              <w:jc w:val="center"/>
            </w:pPr>
            <w:r w:rsidRPr="008B7403">
              <w:t>$</w:t>
            </w:r>
            <w:r w:rsidR="00783DC2" w:rsidRPr="00783DC2">
              <w:rPr>
                <w:highlight w:val="black"/>
              </w:rPr>
              <w:t>&amp;&amp;&amp;&amp;</w:t>
            </w:r>
          </w:p>
        </w:tc>
      </w:tr>
      <w:tr w:rsidR="00E42B44" w:rsidRPr="00201B4C" w14:paraId="48A90BAE" w14:textId="77777777">
        <w:tc>
          <w:tcPr>
            <w:tcW w:w="5496" w:type="dxa"/>
            <w:gridSpan w:val="4"/>
          </w:tcPr>
          <w:p w14:paraId="1D26C96F" w14:textId="77777777" w:rsidR="00E42B44" w:rsidRPr="000A0AF4" w:rsidRDefault="00E42B44">
            <w:pPr>
              <w:pStyle w:val="COMTabletext"/>
              <w:jc w:val="right"/>
              <w:rPr>
                <w:b/>
                <w:bCs w:val="0"/>
              </w:rPr>
            </w:pPr>
            <w:r w:rsidRPr="000A0AF4">
              <w:rPr>
                <w:b/>
                <w:bCs w:val="0"/>
              </w:rPr>
              <w:t>Price per day for ruxolitinib</w:t>
            </w:r>
          </w:p>
        </w:tc>
        <w:tc>
          <w:tcPr>
            <w:tcW w:w="2397" w:type="dxa"/>
            <w:gridSpan w:val="2"/>
            <w:vAlign w:val="center"/>
          </w:tcPr>
          <w:p w14:paraId="740A6EE1" w14:textId="77777777" w:rsidR="00E42B44" w:rsidRPr="000A0AF4" w:rsidRDefault="00E42B44">
            <w:pPr>
              <w:pStyle w:val="COMTabletext"/>
              <w:jc w:val="center"/>
              <w:rPr>
                <w:b/>
                <w:bCs w:val="0"/>
              </w:rPr>
            </w:pPr>
            <w:r w:rsidRPr="000A0AF4">
              <w:rPr>
                <w:b/>
                <w:bCs w:val="0"/>
              </w:rPr>
              <w:t>$168.97</w:t>
            </w:r>
          </w:p>
        </w:tc>
        <w:tc>
          <w:tcPr>
            <w:tcW w:w="1124" w:type="dxa"/>
            <w:vAlign w:val="center"/>
          </w:tcPr>
          <w:p w14:paraId="4F4C997C" w14:textId="19274F73" w:rsidR="00E42B44" w:rsidRPr="008B7403" w:rsidRDefault="00E42B44">
            <w:pPr>
              <w:pStyle w:val="COMTabletext"/>
              <w:jc w:val="center"/>
              <w:rPr>
                <w:b/>
                <w:bCs w:val="0"/>
              </w:rPr>
            </w:pPr>
            <w:r w:rsidRPr="008B7403">
              <w:rPr>
                <w:b/>
                <w:bCs w:val="0"/>
              </w:rPr>
              <w:t>$</w:t>
            </w:r>
            <w:r w:rsidR="00783DC2" w:rsidRPr="00783DC2">
              <w:rPr>
                <w:b/>
                <w:bCs w:val="0"/>
                <w:highlight w:val="black"/>
              </w:rPr>
              <w:t>&amp;&amp;&amp;&amp;</w:t>
            </w:r>
          </w:p>
        </w:tc>
      </w:tr>
    </w:tbl>
    <w:p w14:paraId="1831DFB1" w14:textId="77777777" w:rsidR="00E42B44" w:rsidRPr="00201B4C" w:rsidRDefault="00E42B44" w:rsidP="00E42B44">
      <w:pPr>
        <w:pStyle w:val="COMTablefooter"/>
      </w:pPr>
      <w:r w:rsidRPr="00201B4C">
        <w:t>Source: Table 33, p82 of the resubmission</w:t>
      </w:r>
    </w:p>
    <w:p w14:paraId="4C5F35BC" w14:textId="77777777" w:rsidR="00E42B44" w:rsidRDefault="00E42B44" w:rsidP="00E42B44">
      <w:pPr>
        <w:pStyle w:val="COMTablefooter"/>
      </w:pPr>
      <w:r w:rsidRPr="00201B4C">
        <w:t>Abbreviations: AEMP, approved ex-manufacturer price</w:t>
      </w:r>
    </w:p>
    <w:p w14:paraId="7B9D3C1E" w14:textId="1F43EAE5" w:rsidR="00E42B44" w:rsidRPr="00D619DA" w:rsidRDefault="00E42B44" w:rsidP="00E42B44">
      <w:pPr>
        <w:pStyle w:val="COMTablefooter"/>
      </w:pPr>
      <w:proofErr w:type="spellStart"/>
      <w:r>
        <w:rPr>
          <w:vertAlign w:val="superscript"/>
        </w:rPr>
        <w:t>a</w:t>
      </w:r>
      <w:proofErr w:type="spellEnd"/>
      <w:r>
        <w:t xml:space="preserve"> The resubmission estimated effective AEMP for ruxolitinib by </w:t>
      </w:r>
      <w:r w:rsidRPr="003B1180">
        <w:t>applying a</w:t>
      </w:r>
      <w:r w:rsidR="003609FC" w:rsidRPr="003B1180">
        <w:t>n assumed</w:t>
      </w:r>
      <w:r w:rsidRPr="003B1180">
        <w:t xml:space="preserve"> </w:t>
      </w:r>
      <w:r w:rsidR="00783DC2" w:rsidRPr="00783DC2">
        <w:rPr>
          <w:highlight w:val="black"/>
        </w:rPr>
        <w:t>&amp;&amp;&amp;&amp;</w:t>
      </w:r>
      <w:r w:rsidRPr="003B1180">
        <w:t>% rebate to the published</w:t>
      </w:r>
      <w:r>
        <w:t xml:space="preserve"> AEMP.</w:t>
      </w:r>
    </w:p>
    <w:p w14:paraId="0F43F1FE" w14:textId="50660001" w:rsidR="00FC3C86" w:rsidRPr="00CB1EA6" w:rsidRDefault="008C17B7" w:rsidP="00BB732D">
      <w:pPr>
        <w:pStyle w:val="COMESnumberedpara"/>
        <w:rPr>
          <w:color w:val="0066FF"/>
        </w:rPr>
      </w:pPr>
      <w:bookmarkStart w:id="43" w:name="_Ref214546061"/>
      <w:r w:rsidRPr="00CB1EA6">
        <w:t xml:space="preserve">The </w:t>
      </w:r>
      <w:r w:rsidR="005369F0">
        <w:t xml:space="preserve">evaluation noted the </w:t>
      </w:r>
      <w:r w:rsidRPr="00CB1EA6">
        <w:t xml:space="preserve">resubmission’s approach calculates daily costs by dose that would not be realised in practice (e.g. a 5 mg ruxolitinib dose with a higher cost per mg would not be used in a patient receiving 27.1 mg per day). Calculating weighted costs per day based on the dose distribution from PBS/RPBS script data was not appropriate as it does not account for the 25 mg twice daily dose, or for treatment adherence, which were included in the DUSC analysis used to derive the average daily dose (based on the total amount of drug supplied divided by the number of days of treatment). A preferred approach would be to calculate a weighted average cost by the distribution of actual daily doses (such as from the 2018 DUSC utilisation report). </w:t>
      </w:r>
      <w:r w:rsidR="00EF2191" w:rsidRPr="007943DB">
        <w:t xml:space="preserve">The PSCR argued dose modification of ruxolitinib </w:t>
      </w:r>
      <w:r w:rsidR="00455623" w:rsidRPr="007943DB">
        <w:t xml:space="preserve">information in the TGA Product Information allows for dose increases in increments of 5 mg </w:t>
      </w:r>
      <w:r w:rsidR="00DC3A16" w:rsidRPr="007943DB">
        <w:t xml:space="preserve">(twice daily) up to the maximum 25 mg twice daily dose, </w:t>
      </w:r>
      <w:r w:rsidR="0098082E" w:rsidRPr="007943DB">
        <w:t>and therefore it was reasonable to consider use of the 5 mg form in the CMA. The ESC agreed with the evaluation and considered the approach</w:t>
      </w:r>
      <w:r w:rsidR="00A23012" w:rsidRPr="007943DB">
        <w:t xml:space="preserve"> undertaken in the commentary, based on a weighted average cost by the distribution of actual daily doses</w:t>
      </w:r>
      <w:r w:rsidR="00115E7B" w:rsidRPr="007943DB">
        <w:t>,</w:t>
      </w:r>
      <w:r w:rsidR="00A23012" w:rsidRPr="007943DB">
        <w:t xml:space="preserve"> was more appropriate.</w:t>
      </w:r>
      <w:bookmarkEnd w:id="43"/>
      <w:r w:rsidR="00A23012" w:rsidRPr="007943DB">
        <w:t xml:space="preserve"> </w:t>
      </w:r>
    </w:p>
    <w:p w14:paraId="712488F3" w14:textId="13C14DB9" w:rsidR="009048B2" w:rsidRDefault="009048B2" w:rsidP="00BB732D">
      <w:pPr>
        <w:pStyle w:val="COMESnumberedpara"/>
        <w:rPr>
          <w:color w:val="0066FF"/>
        </w:rPr>
      </w:pPr>
      <w:r w:rsidRPr="009048B2">
        <w:t xml:space="preserve">Results of the resubmission’s </w:t>
      </w:r>
      <w:r w:rsidR="00611FB4">
        <w:t>cost-minimisation</w:t>
      </w:r>
      <w:r w:rsidRPr="009048B2">
        <w:t xml:space="preserve"> approach are presented in </w:t>
      </w:r>
      <w:r w:rsidRPr="009048B2">
        <w:fldChar w:fldCharType="begin"/>
      </w:r>
      <w:r w:rsidRPr="009048B2">
        <w:instrText xml:space="preserve"> REF _Ref207888587 \h </w:instrText>
      </w:r>
      <w:r w:rsidRPr="009048B2">
        <w:fldChar w:fldCharType="separate"/>
      </w:r>
      <w:r w:rsidR="000F0515">
        <w:t xml:space="preserve">Table </w:t>
      </w:r>
      <w:r w:rsidR="000F0515">
        <w:rPr>
          <w:noProof/>
        </w:rPr>
        <w:t>13</w:t>
      </w:r>
      <w:r w:rsidRPr="009048B2">
        <w:fldChar w:fldCharType="end"/>
      </w:r>
      <w:r>
        <w:rPr>
          <w:color w:val="0066FF"/>
        </w:rPr>
        <w:t xml:space="preserve">. </w:t>
      </w:r>
    </w:p>
    <w:p w14:paraId="2238D468" w14:textId="55947B51" w:rsidR="009048B2" w:rsidRDefault="009048B2" w:rsidP="009048B2">
      <w:pPr>
        <w:pStyle w:val="COMtablefigcaption"/>
      </w:pPr>
      <w:bookmarkStart w:id="44" w:name="_Ref207888587"/>
      <w:r>
        <w:t xml:space="preserve">Table </w:t>
      </w:r>
      <w:r w:rsidR="0003298B">
        <w:fldChar w:fldCharType="begin"/>
      </w:r>
      <w:r w:rsidR="0003298B">
        <w:instrText xml:space="preserve"> SEQ Table \* ARABIC </w:instrText>
      </w:r>
      <w:r w:rsidR="0003298B">
        <w:fldChar w:fldCharType="separate"/>
      </w:r>
      <w:r w:rsidR="000F0515">
        <w:rPr>
          <w:noProof/>
        </w:rPr>
        <w:t>13</w:t>
      </w:r>
      <w:r w:rsidR="0003298B">
        <w:rPr>
          <w:noProof/>
        </w:rPr>
        <w:fldChar w:fldCharType="end"/>
      </w:r>
      <w:bookmarkEnd w:id="44"/>
      <w:r>
        <w:t xml:space="preserve">: Results of the </w:t>
      </w:r>
      <w:r w:rsidR="00611FB4">
        <w:t>cost-minimisation</w:t>
      </w:r>
      <w:r>
        <w:t xml:space="preserv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Results of the cost-minimisation approach"/>
      </w:tblPr>
      <w:tblGrid>
        <w:gridCol w:w="6941"/>
        <w:gridCol w:w="2076"/>
      </w:tblGrid>
      <w:tr w:rsidR="009048B2" w:rsidRPr="00F46BEB" w14:paraId="194D4247" w14:textId="77777777">
        <w:tc>
          <w:tcPr>
            <w:tcW w:w="6941" w:type="dxa"/>
          </w:tcPr>
          <w:p w14:paraId="77A4E1FE" w14:textId="77777777" w:rsidR="009048B2" w:rsidRPr="00F46BEB" w:rsidRDefault="009048B2" w:rsidP="009048B2">
            <w:pPr>
              <w:pStyle w:val="COMTableheadingrow"/>
            </w:pPr>
            <w:r>
              <w:t>Description</w:t>
            </w:r>
          </w:p>
        </w:tc>
        <w:tc>
          <w:tcPr>
            <w:tcW w:w="2076" w:type="dxa"/>
          </w:tcPr>
          <w:p w14:paraId="0B7EC4B6" w14:textId="77777777" w:rsidR="009048B2" w:rsidRPr="00F46BEB" w:rsidRDefault="009048B2" w:rsidP="00D65307">
            <w:pPr>
              <w:pStyle w:val="COMTableheadingrow"/>
              <w:jc w:val="center"/>
            </w:pPr>
            <w:r>
              <w:t>Amount</w:t>
            </w:r>
          </w:p>
        </w:tc>
      </w:tr>
      <w:tr w:rsidR="009048B2" w:rsidRPr="0098262F" w14:paraId="0E68BB0B" w14:textId="77777777">
        <w:tc>
          <w:tcPr>
            <w:tcW w:w="9017" w:type="dxa"/>
            <w:gridSpan w:val="2"/>
          </w:tcPr>
          <w:p w14:paraId="43F44E32" w14:textId="77777777" w:rsidR="009048B2" w:rsidRPr="0098262F" w:rsidRDefault="009048B2">
            <w:pPr>
              <w:pStyle w:val="COMTabletext"/>
            </w:pPr>
            <w:r>
              <w:rPr>
                <w:b/>
                <w:bCs w:val="0"/>
              </w:rPr>
              <w:t>Ruxolitinib</w:t>
            </w:r>
          </w:p>
        </w:tc>
      </w:tr>
      <w:tr w:rsidR="009048B2" w:rsidRPr="0098262F" w14:paraId="1ADAECE7" w14:textId="77777777">
        <w:tc>
          <w:tcPr>
            <w:tcW w:w="6941" w:type="dxa"/>
          </w:tcPr>
          <w:p w14:paraId="62DC5788" w14:textId="77777777" w:rsidR="009048B2" w:rsidRDefault="009048B2">
            <w:pPr>
              <w:pStyle w:val="COMTabletext"/>
            </w:pPr>
            <w:r>
              <w:t>Daily dose of ruxolitinib (DUSC 2018 utilisation report – average daily dose)</w:t>
            </w:r>
          </w:p>
        </w:tc>
        <w:tc>
          <w:tcPr>
            <w:tcW w:w="2076" w:type="dxa"/>
            <w:vAlign w:val="center"/>
          </w:tcPr>
          <w:p w14:paraId="3A16E1A3" w14:textId="77777777" w:rsidR="009048B2" w:rsidRDefault="009048B2">
            <w:pPr>
              <w:pStyle w:val="COMTabletext"/>
              <w:jc w:val="center"/>
            </w:pPr>
            <w:r>
              <w:t>27.1 mg</w:t>
            </w:r>
          </w:p>
        </w:tc>
      </w:tr>
      <w:tr w:rsidR="009048B2" w:rsidRPr="0098262F" w14:paraId="7C0C7137" w14:textId="77777777">
        <w:tc>
          <w:tcPr>
            <w:tcW w:w="6941" w:type="dxa"/>
          </w:tcPr>
          <w:p w14:paraId="5BBF26B8" w14:textId="3FE1F757" w:rsidR="009048B2" w:rsidRPr="0098262F" w:rsidRDefault="00C92D99">
            <w:pPr>
              <w:pStyle w:val="COMTabletext"/>
            </w:pPr>
            <w:r>
              <w:t>Cost</w:t>
            </w:r>
            <w:r w:rsidR="009048B2">
              <w:t xml:space="preserve"> per day (based on published AEMP of $4,750.00 and average dose of 27.1 mg/day, cost weighted by PBS/RPBS utilisation statistics by dose from June 2024 – May 2025)</w:t>
            </w:r>
          </w:p>
        </w:tc>
        <w:tc>
          <w:tcPr>
            <w:tcW w:w="2076" w:type="dxa"/>
            <w:vAlign w:val="center"/>
          </w:tcPr>
          <w:p w14:paraId="4F3D41A7" w14:textId="77777777" w:rsidR="009048B2" w:rsidRPr="0098262F" w:rsidRDefault="009048B2">
            <w:pPr>
              <w:pStyle w:val="COMTabletext"/>
              <w:jc w:val="center"/>
            </w:pPr>
            <w:r>
              <w:t>$168.97</w:t>
            </w:r>
          </w:p>
        </w:tc>
      </w:tr>
      <w:tr w:rsidR="009048B2" w:rsidRPr="0098262F" w14:paraId="71C19DA0" w14:textId="77777777">
        <w:tc>
          <w:tcPr>
            <w:tcW w:w="6941" w:type="dxa"/>
          </w:tcPr>
          <w:p w14:paraId="04604B1D" w14:textId="78DA5231" w:rsidR="009048B2" w:rsidRPr="003B1180" w:rsidRDefault="009569F5">
            <w:pPr>
              <w:pStyle w:val="COMTabletext"/>
            </w:pPr>
            <w:r w:rsidRPr="003B1180">
              <w:t xml:space="preserve">Cost </w:t>
            </w:r>
            <w:r w:rsidR="009048B2" w:rsidRPr="003B1180">
              <w:t xml:space="preserve">per day with </w:t>
            </w:r>
            <w:r w:rsidR="00783DC2" w:rsidRPr="00783DC2">
              <w:rPr>
                <w:highlight w:val="black"/>
              </w:rPr>
              <w:t>&amp;&amp;&amp;&amp;</w:t>
            </w:r>
            <w:r w:rsidR="009048B2" w:rsidRPr="003B1180">
              <w:t>% rebate (equates to assumed effective AEMP of $</w:t>
            </w:r>
            <w:r w:rsidR="00783DC2" w:rsidRPr="00783DC2">
              <w:rPr>
                <w:highlight w:val="black"/>
              </w:rPr>
              <w:t>&amp;&amp;&amp;&amp;</w:t>
            </w:r>
            <w:r w:rsidR="009048B2" w:rsidRPr="003B1180">
              <w:t>)</w:t>
            </w:r>
          </w:p>
        </w:tc>
        <w:tc>
          <w:tcPr>
            <w:tcW w:w="2076" w:type="dxa"/>
            <w:vAlign w:val="center"/>
          </w:tcPr>
          <w:p w14:paraId="7D2E3C06" w14:textId="347E48AB" w:rsidR="009048B2" w:rsidRPr="003B1180" w:rsidRDefault="009048B2">
            <w:pPr>
              <w:pStyle w:val="COMTabletext"/>
              <w:jc w:val="center"/>
            </w:pPr>
            <w:r w:rsidRPr="003B1180">
              <w:t>$</w:t>
            </w:r>
            <w:r w:rsidR="00783DC2" w:rsidRPr="00783DC2">
              <w:rPr>
                <w:highlight w:val="black"/>
              </w:rPr>
              <w:t>&amp;&amp;&amp;&amp;</w:t>
            </w:r>
          </w:p>
        </w:tc>
      </w:tr>
      <w:tr w:rsidR="009048B2" w:rsidRPr="0098262F" w14:paraId="568F21EC" w14:textId="77777777">
        <w:tc>
          <w:tcPr>
            <w:tcW w:w="9017" w:type="dxa"/>
            <w:gridSpan w:val="2"/>
          </w:tcPr>
          <w:p w14:paraId="2BC8EF40" w14:textId="77777777" w:rsidR="009048B2" w:rsidRDefault="009048B2">
            <w:pPr>
              <w:pStyle w:val="COMTableheadingrow"/>
            </w:pPr>
            <w:r>
              <w:t>Fedratinib</w:t>
            </w:r>
          </w:p>
        </w:tc>
      </w:tr>
      <w:tr w:rsidR="009048B2" w:rsidRPr="0098262F" w14:paraId="4731AB96" w14:textId="77777777">
        <w:tc>
          <w:tcPr>
            <w:tcW w:w="6941" w:type="dxa"/>
          </w:tcPr>
          <w:p w14:paraId="4C153300" w14:textId="0D018A1C" w:rsidR="009048B2" w:rsidRDefault="009569F5">
            <w:pPr>
              <w:pStyle w:val="COMTabletext"/>
            </w:pPr>
            <w:r>
              <w:t xml:space="preserve">Cost </w:t>
            </w:r>
            <w:r w:rsidR="009048B2">
              <w:t>per day of fedratinib (equates to price per day of ruxolitinib)</w:t>
            </w:r>
          </w:p>
        </w:tc>
        <w:tc>
          <w:tcPr>
            <w:tcW w:w="2076" w:type="dxa"/>
            <w:vAlign w:val="center"/>
          </w:tcPr>
          <w:p w14:paraId="64525FCA" w14:textId="5736DA22" w:rsidR="009048B2" w:rsidRDefault="009048B2">
            <w:pPr>
              <w:pStyle w:val="COMTabletext"/>
              <w:jc w:val="center"/>
            </w:pPr>
            <w:r>
              <w:t>$</w:t>
            </w:r>
            <w:r w:rsidR="00783DC2" w:rsidRPr="00783DC2">
              <w:rPr>
                <w:highlight w:val="black"/>
              </w:rPr>
              <w:t>&amp;&amp;&amp;&amp;</w:t>
            </w:r>
          </w:p>
        </w:tc>
      </w:tr>
      <w:tr w:rsidR="009048B2" w:rsidRPr="0098262F" w14:paraId="7E20180E" w14:textId="77777777">
        <w:tc>
          <w:tcPr>
            <w:tcW w:w="6941" w:type="dxa"/>
          </w:tcPr>
          <w:p w14:paraId="57908636" w14:textId="0F1BFFEF" w:rsidR="009048B2" w:rsidRDefault="009048B2">
            <w:pPr>
              <w:pStyle w:val="COMTabletext"/>
            </w:pPr>
            <w:r>
              <w:t xml:space="preserve">Less </w:t>
            </w:r>
            <w:r w:rsidR="009569F5">
              <w:t xml:space="preserve">cost </w:t>
            </w:r>
            <w:r>
              <w:t>per day for adverse event treatments ($0.44 /day)</w:t>
            </w:r>
          </w:p>
        </w:tc>
        <w:tc>
          <w:tcPr>
            <w:tcW w:w="2076" w:type="dxa"/>
            <w:vAlign w:val="center"/>
          </w:tcPr>
          <w:p w14:paraId="5E79B4F6" w14:textId="3D8D4F2D" w:rsidR="009048B2" w:rsidRDefault="009048B2">
            <w:pPr>
              <w:pStyle w:val="COMTabletext"/>
              <w:jc w:val="center"/>
            </w:pPr>
            <w:r>
              <w:t>$</w:t>
            </w:r>
            <w:r w:rsidR="00783DC2" w:rsidRPr="00783DC2">
              <w:rPr>
                <w:highlight w:val="black"/>
              </w:rPr>
              <w:t>&amp;&amp;&amp;&amp;</w:t>
            </w:r>
          </w:p>
        </w:tc>
      </w:tr>
      <w:tr w:rsidR="009048B2" w:rsidRPr="0098262F" w14:paraId="4039031F" w14:textId="77777777">
        <w:tc>
          <w:tcPr>
            <w:tcW w:w="6941" w:type="dxa"/>
          </w:tcPr>
          <w:p w14:paraId="3047D75C" w14:textId="77777777" w:rsidR="009048B2" w:rsidRDefault="009048B2">
            <w:pPr>
              <w:pStyle w:val="COMTabletext"/>
            </w:pPr>
            <w:r>
              <w:t>Daily dose of fedratinib (PI recommended dose of 400 mg/day adjusted with trial-based relative dose intensities in first and second line and assumed 10%/90% utilisation split across first and second line, respectively)</w:t>
            </w:r>
          </w:p>
        </w:tc>
        <w:tc>
          <w:tcPr>
            <w:tcW w:w="2076" w:type="dxa"/>
            <w:vAlign w:val="center"/>
          </w:tcPr>
          <w:p w14:paraId="4F1DAB14" w14:textId="77777777" w:rsidR="009048B2" w:rsidRDefault="009048B2">
            <w:pPr>
              <w:pStyle w:val="COMTabletext"/>
              <w:jc w:val="center"/>
            </w:pPr>
            <w:r>
              <w:t>349.96 mg</w:t>
            </w:r>
          </w:p>
        </w:tc>
      </w:tr>
      <w:tr w:rsidR="009048B2" w:rsidRPr="0098262F" w14:paraId="403239EF" w14:textId="77777777">
        <w:tc>
          <w:tcPr>
            <w:tcW w:w="6941" w:type="dxa"/>
          </w:tcPr>
          <w:p w14:paraId="66398278" w14:textId="40362A4C" w:rsidR="009048B2" w:rsidRPr="0098262F" w:rsidRDefault="009569F5">
            <w:pPr>
              <w:pStyle w:val="COMTabletext"/>
            </w:pPr>
            <w:r>
              <w:t xml:space="preserve">Cost </w:t>
            </w:r>
            <w:r w:rsidR="009048B2">
              <w:t>per mg for fedratinib</w:t>
            </w:r>
          </w:p>
        </w:tc>
        <w:tc>
          <w:tcPr>
            <w:tcW w:w="2076" w:type="dxa"/>
            <w:vAlign w:val="center"/>
          </w:tcPr>
          <w:p w14:paraId="474F1700" w14:textId="6F566125" w:rsidR="009048B2" w:rsidRPr="0098262F" w:rsidRDefault="009048B2">
            <w:pPr>
              <w:pStyle w:val="COMTabletext"/>
              <w:jc w:val="center"/>
            </w:pPr>
            <w:r>
              <w:t>$</w:t>
            </w:r>
            <w:r w:rsidR="00783DC2" w:rsidRPr="00783DC2">
              <w:rPr>
                <w:highlight w:val="black"/>
              </w:rPr>
              <w:t>&amp;&amp;&amp;&amp;</w:t>
            </w:r>
          </w:p>
        </w:tc>
      </w:tr>
      <w:tr w:rsidR="009048B2" w:rsidRPr="0098262F" w14:paraId="51EA8996" w14:textId="77777777">
        <w:tc>
          <w:tcPr>
            <w:tcW w:w="6941" w:type="dxa"/>
          </w:tcPr>
          <w:p w14:paraId="61E564FB" w14:textId="79018178" w:rsidR="009048B2" w:rsidRPr="0098262F" w:rsidRDefault="009569F5">
            <w:pPr>
              <w:pStyle w:val="COMTabletext"/>
            </w:pPr>
            <w:r>
              <w:t xml:space="preserve">Cost </w:t>
            </w:r>
            <w:r w:rsidR="009048B2">
              <w:t>per 100 mg fedratinib capsule</w:t>
            </w:r>
          </w:p>
        </w:tc>
        <w:tc>
          <w:tcPr>
            <w:tcW w:w="2076" w:type="dxa"/>
            <w:vAlign w:val="center"/>
          </w:tcPr>
          <w:p w14:paraId="385FE540" w14:textId="3FA5C2B1" w:rsidR="009048B2" w:rsidRPr="0098262F" w:rsidRDefault="009048B2">
            <w:pPr>
              <w:pStyle w:val="COMTabletext"/>
              <w:jc w:val="center"/>
            </w:pPr>
            <w:r>
              <w:t>$</w:t>
            </w:r>
            <w:r w:rsidR="00783DC2" w:rsidRPr="00783DC2">
              <w:rPr>
                <w:highlight w:val="black"/>
              </w:rPr>
              <w:t>&amp;&amp;&amp;&amp;</w:t>
            </w:r>
          </w:p>
        </w:tc>
      </w:tr>
      <w:tr w:rsidR="009048B2" w:rsidRPr="0098262F" w14:paraId="34DEEBBF" w14:textId="77777777">
        <w:tc>
          <w:tcPr>
            <w:tcW w:w="6941" w:type="dxa"/>
          </w:tcPr>
          <w:p w14:paraId="2DAD2851" w14:textId="49D0CCF5" w:rsidR="009048B2" w:rsidRPr="00602D8F" w:rsidRDefault="009048B2">
            <w:pPr>
              <w:pStyle w:val="COMTabletext"/>
              <w:rPr>
                <w:b/>
                <w:bCs w:val="0"/>
              </w:rPr>
            </w:pPr>
            <w:r>
              <w:rPr>
                <w:b/>
                <w:bCs w:val="0"/>
              </w:rPr>
              <w:t xml:space="preserve">AEMP </w:t>
            </w:r>
            <w:r w:rsidRPr="00602D8F">
              <w:rPr>
                <w:b/>
                <w:bCs w:val="0"/>
              </w:rPr>
              <w:t xml:space="preserve">per pack fedratinib (120 </w:t>
            </w:r>
            <w:r w:rsidR="00B25327">
              <w:rPr>
                <w:b/>
                <w:bCs w:val="0"/>
              </w:rPr>
              <w:t>×</w:t>
            </w:r>
            <w:r w:rsidR="00B25327" w:rsidRPr="00602D8F">
              <w:rPr>
                <w:b/>
                <w:bCs w:val="0"/>
              </w:rPr>
              <w:t xml:space="preserve"> </w:t>
            </w:r>
            <w:r w:rsidRPr="00602D8F">
              <w:rPr>
                <w:b/>
                <w:bCs w:val="0"/>
              </w:rPr>
              <w:t>100</w:t>
            </w:r>
            <w:r>
              <w:rPr>
                <w:b/>
                <w:bCs w:val="0"/>
              </w:rPr>
              <w:t> mg capsules</w:t>
            </w:r>
            <w:r w:rsidRPr="00602D8F">
              <w:rPr>
                <w:b/>
                <w:bCs w:val="0"/>
              </w:rPr>
              <w:t>)</w:t>
            </w:r>
          </w:p>
        </w:tc>
        <w:tc>
          <w:tcPr>
            <w:tcW w:w="2076" w:type="dxa"/>
            <w:vAlign w:val="center"/>
          </w:tcPr>
          <w:p w14:paraId="66F089AF" w14:textId="65E02131" w:rsidR="009048B2" w:rsidRPr="00602D8F" w:rsidRDefault="009048B2">
            <w:pPr>
              <w:pStyle w:val="COMTabletext"/>
              <w:jc w:val="center"/>
              <w:rPr>
                <w:b/>
                <w:bCs w:val="0"/>
              </w:rPr>
            </w:pPr>
            <w:r w:rsidRPr="003B1180">
              <w:rPr>
                <w:b/>
                <w:bCs w:val="0"/>
              </w:rPr>
              <w:t>$</w:t>
            </w:r>
            <w:r w:rsidR="00783DC2" w:rsidRPr="00783DC2">
              <w:rPr>
                <w:b/>
                <w:bCs w:val="0"/>
                <w:highlight w:val="black"/>
              </w:rPr>
              <w:t>&amp;&amp;&amp;&amp;</w:t>
            </w:r>
          </w:p>
        </w:tc>
      </w:tr>
    </w:tbl>
    <w:p w14:paraId="6706CAD0" w14:textId="77777777" w:rsidR="009048B2" w:rsidRDefault="009048B2" w:rsidP="009048B2">
      <w:pPr>
        <w:pStyle w:val="COMTablefooter"/>
      </w:pPr>
      <w:r w:rsidRPr="0098262F">
        <w:t>Source: Table</w:t>
      </w:r>
      <w:r>
        <w:t xml:space="preserve"> 34, p83 </w:t>
      </w:r>
      <w:r w:rsidRPr="0098262F">
        <w:t xml:space="preserve">of the </w:t>
      </w:r>
      <w:r>
        <w:t>re</w:t>
      </w:r>
      <w:r w:rsidRPr="0098262F">
        <w:t>submission.</w:t>
      </w:r>
    </w:p>
    <w:p w14:paraId="0A9F71E5" w14:textId="1463D051" w:rsidR="009048B2" w:rsidRDefault="009048B2" w:rsidP="009048B2">
      <w:pPr>
        <w:pStyle w:val="COMTablefooter"/>
        <w:rPr>
          <w:color w:val="3366FF"/>
        </w:rPr>
      </w:pPr>
      <w:r>
        <w:t>Abbreviations: AEMP, approved ex-manufacturer price; DUSC, Drug Utilisation Sub</w:t>
      </w:r>
      <w:r w:rsidR="004F649D">
        <w:t xml:space="preserve"> Committee</w:t>
      </w:r>
      <w:r>
        <w:t>; PI, Product Information</w:t>
      </w:r>
    </w:p>
    <w:p w14:paraId="7CC624FD" w14:textId="06C467FC" w:rsidR="008C17B7" w:rsidRPr="00D277DF" w:rsidRDefault="008C17B7" w:rsidP="008C17B7">
      <w:pPr>
        <w:pStyle w:val="COMESnumberedpara"/>
        <w:rPr>
          <w:i/>
          <w:iCs/>
        </w:rPr>
      </w:pPr>
      <w:r>
        <w:t xml:space="preserve">The resubmission’s approach resulted in an effective AEMP per pack of 120 tablets of </w:t>
      </w:r>
      <w:r w:rsidRPr="002447DA">
        <w:t>$</w:t>
      </w:r>
      <w:r w:rsidR="00783DC2" w:rsidRPr="00783DC2">
        <w:rPr>
          <w:highlight w:val="black"/>
        </w:rPr>
        <w:t>&amp;&amp;&amp;&amp;</w:t>
      </w:r>
      <w:r w:rsidRPr="002447DA">
        <w:t>.</w:t>
      </w:r>
      <w:r>
        <w:t xml:space="preserve"> </w:t>
      </w:r>
    </w:p>
    <w:p w14:paraId="23D1F9FB" w14:textId="324B47F1" w:rsidR="008C17B7" w:rsidRPr="00CB1EA6" w:rsidRDefault="009569F5" w:rsidP="009569F5">
      <w:pPr>
        <w:pStyle w:val="COMESnumberedpara"/>
      </w:pPr>
      <w:bookmarkStart w:id="45" w:name="_Ref208248502"/>
      <w:r w:rsidRPr="00CB1EA6">
        <w:t xml:space="preserve">Given the lack of evidence to support the equi-effective doses, the approach to calculating the average daily cost of ruxolitinib based on costs that would not be realised in practice, and the inability to incorporate a measure of treatment adherence for ruxolitinib, sensitivity analyses were conducted during the evaluation to incorporate alternative sources of ruxolitinib utilisation by dose, and omitting the relative dose distribution for fedratinib. The results of sensitivity analyses conducted during the evaluation are presented in </w:t>
      </w:r>
      <w:r w:rsidR="001D1727" w:rsidRPr="00CB1EA6">
        <w:fldChar w:fldCharType="begin"/>
      </w:r>
      <w:r w:rsidR="001D1727" w:rsidRPr="00CB1EA6">
        <w:instrText xml:space="preserve"> REF _Ref208229050 \h </w:instrText>
      </w:r>
      <w:r w:rsidR="00CB1EA6">
        <w:instrText xml:space="preserve"> \* MERGEFORMAT </w:instrText>
      </w:r>
      <w:r w:rsidR="001D1727" w:rsidRPr="00CB1EA6">
        <w:fldChar w:fldCharType="separate"/>
      </w:r>
      <w:r w:rsidR="000F0515">
        <w:t xml:space="preserve">Table </w:t>
      </w:r>
      <w:r w:rsidR="000F0515">
        <w:rPr>
          <w:noProof/>
        </w:rPr>
        <w:t>14</w:t>
      </w:r>
      <w:r w:rsidR="001D1727" w:rsidRPr="00CB1EA6">
        <w:fldChar w:fldCharType="end"/>
      </w:r>
      <w:r w:rsidRPr="00CB1EA6">
        <w:t>.</w:t>
      </w:r>
      <w:bookmarkEnd w:id="45"/>
    </w:p>
    <w:p w14:paraId="7EE4303B" w14:textId="7D6527EC" w:rsidR="009569F5" w:rsidRPr="00CB1EA6" w:rsidRDefault="009569F5" w:rsidP="009569F5">
      <w:pPr>
        <w:pStyle w:val="COMtablefigcaption"/>
      </w:pPr>
      <w:bookmarkStart w:id="46" w:name="_Ref208229050"/>
      <w:r>
        <w:t xml:space="preserve">Table </w:t>
      </w:r>
      <w:r w:rsidR="001D1727">
        <w:fldChar w:fldCharType="begin"/>
      </w:r>
      <w:r w:rsidR="001D1727">
        <w:instrText xml:space="preserve"> SEQ Table \* ARABIC </w:instrText>
      </w:r>
      <w:r w:rsidR="001D1727">
        <w:fldChar w:fldCharType="separate"/>
      </w:r>
      <w:r w:rsidR="000F0515">
        <w:rPr>
          <w:noProof/>
        </w:rPr>
        <w:t>14</w:t>
      </w:r>
      <w:r w:rsidR="001D1727">
        <w:rPr>
          <w:noProof/>
        </w:rPr>
        <w:fldChar w:fldCharType="end"/>
      </w:r>
      <w:bookmarkEnd w:id="46"/>
      <w:r>
        <w:t xml:space="preserve">: </w:t>
      </w:r>
      <w:r w:rsidRPr="00CB1EA6">
        <w:t xml:space="preserve">Sensitivity analyses (based on published AEMP for ruxolitinib with </w:t>
      </w:r>
      <w:r w:rsidRPr="002447DA">
        <w:t xml:space="preserve">assumed </w:t>
      </w:r>
      <w:r w:rsidR="00783DC2" w:rsidRPr="00783DC2">
        <w:rPr>
          <w:highlight w:val="black"/>
        </w:rPr>
        <w:t>&amp;&amp;&amp;&amp;</w:t>
      </w:r>
      <w:r w:rsidRPr="002447DA">
        <w:t>% rebate</w:t>
      </w:r>
      <w:r w:rsidRPr="00CB1EA6">
        <w:t>)</w:t>
      </w:r>
    </w:p>
    <w:tbl>
      <w:tblPr>
        <w:tblStyle w:val="TableGrid"/>
        <w:tblW w:w="0" w:type="auto"/>
        <w:tblCellMar>
          <w:left w:w="28" w:type="dxa"/>
          <w:right w:w="28" w:type="dxa"/>
        </w:tblCellMar>
        <w:tblLook w:val="04A0" w:firstRow="1" w:lastRow="0" w:firstColumn="1" w:lastColumn="0" w:noHBand="0" w:noVBand="1"/>
        <w:tblCaption w:val="Table 14: Sensitivity analyses (based on published AEMP for ruxolitinib with assumed &amp;&amp;&amp;&amp;% rebate)"/>
      </w:tblPr>
      <w:tblGrid>
        <w:gridCol w:w="7225"/>
        <w:gridCol w:w="1791"/>
      </w:tblGrid>
      <w:tr w:rsidR="00A759F5" w:rsidRPr="007943DB" w14:paraId="4691D0D1" w14:textId="77777777" w:rsidTr="00A759F5">
        <w:tc>
          <w:tcPr>
            <w:tcW w:w="7225" w:type="dxa"/>
            <w:vAlign w:val="center"/>
          </w:tcPr>
          <w:p w14:paraId="14742B1D" w14:textId="6F464705" w:rsidR="00A759F5" w:rsidRPr="007943DB" w:rsidRDefault="00A759F5">
            <w:pPr>
              <w:keepNext/>
              <w:keepLines/>
              <w:jc w:val="left"/>
              <w:rPr>
                <w:rFonts w:ascii="Arial Narrow" w:hAnsi="Arial Narrow" w:cs="Calibri"/>
                <w:b/>
                <w:bCs/>
                <w:sz w:val="20"/>
                <w:szCs w:val="20"/>
              </w:rPr>
            </w:pPr>
            <w:r w:rsidRPr="007943DB">
              <w:rPr>
                <w:rFonts w:ascii="Arial Narrow" w:hAnsi="Arial Narrow" w:cs="Calibri"/>
                <w:b/>
                <w:bCs/>
                <w:sz w:val="20"/>
                <w:szCs w:val="20"/>
              </w:rPr>
              <w:t>Approach</w:t>
            </w:r>
          </w:p>
        </w:tc>
        <w:tc>
          <w:tcPr>
            <w:tcW w:w="1791" w:type="dxa"/>
            <w:vAlign w:val="center"/>
          </w:tcPr>
          <w:p w14:paraId="5F471F8A" w14:textId="63F332A7" w:rsidR="00A759F5" w:rsidRPr="007943DB" w:rsidRDefault="00A759F5" w:rsidP="00A759F5">
            <w:pPr>
              <w:keepNext/>
              <w:keepLines/>
              <w:jc w:val="center"/>
              <w:rPr>
                <w:rFonts w:ascii="Arial Narrow" w:hAnsi="Arial Narrow" w:cs="Calibri"/>
                <w:b/>
                <w:bCs/>
                <w:sz w:val="20"/>
                <w:szCs w:val="20"/>
              </w:rPr>
            </w:pPr>
            <w:r w:rsidRPr="007943DB">
              <w:rPr>
                <w:rFonts w:ascii="Arial Narrow" w:hAnsi="Arial Narrow" w:cs="Calibri"/>
                <w:b/>
                <w:bCs/>
                <w:sz w:val="20"/>
                <w:szCs w:val="20"/>
              </w:rPr>
              <w:t>Amount</w:t>
            </w:r>
          </w:p>
        </w:tc>
      </w:tr>
      <w:tr w:rsidR="008C17B7" w:rsidRPr="007943DB" w14:paraId="58A5B9F4" w14:textId="77777777">
        <w:tc>
          <w:tcPr>
            <w:tcW w:w="9016" w:type="dxa"/>
            <w:gridSpan w:val="2"/>
            <w:vAlign w:val="center"/>
          </w:tcPr>
          <w:p w14:paraId="48ED74C6" w14:textId="77777777" w:rsidR="008C17B7" w:rsidRPr="007943DB" w:rsidRDefault="008C17B7">
            <w:pPr>
              <w:keepNext/>
              <w:keepLines/>
              <w:jc w:val="left"/>
              <w:rPr>
                <w:rFonts w:ascii="Arial Narrow" w:hAnsi="Arial Narrow" w:cs="Calibri"/>
                <w:b/>
                <w:bCs/>
                <w:sz w:val="20"/>
                <w:szCs w:val="20"/>
              </w:rPr>
            </w:pPr>
            <w:r w:rsidRPr="007943DB">
              <w:rPr>
                <w:rFonts w:ascii="Arial Narrow" w:hAnsi="Arial Narrow" w:cs="Calibri"/>
                <w:b/>
                <w:bCs/>
                <w:sz w:val="20"/>
                <w:szCs w:val="20"/>
              </w:rPr>
              <w:t>Resubmission’s approach without fedratinib RDI adjustment</w:t>
            </w:r>
          </w:p>
        </w:tc>
      </w:tr>
      <w:tr w:rsidR="008E09C0" w:rsidRPr="007943DB" w14:paraId="51B7E33B" w14:textId="77777777" w:rsidTr="00A759F5">
        <w:tc>
          <w:tcPr>
            <w:tcW w:w="7225" w:type="dxa"/>
            <w:vAlign w:val="center"/>
          </w:tcPr>
          <w:p w14:paraId="68DBA04D" w14:textId="73CDD8FB" w:rsidR="008E09C0" w:rsidRPr="007943DB" w:rsidRDefault="008E09C0">
            <w:pPr>
              <w:keepNext/>
              <w:keepLines/>
              <w:jc w:val="left"/>
              <w:rPr>
                <w:rFonts w:ascii="Arial Narrow" w:hAnsi="Arial Narrow" w:cs="Calibri"/>
                <w:sz w:val="20"/>
                <w:szCs w:val="20"/>
                <w:vertAlign w:val="superscript"/>
              </w:rPr>
            </w:pPr>
            <w:r w:rsidRPr="007943DB">
              <w:rPr>
                <w:rFonts w:ascii="Arial Narrow" w:hAnsi="Arial Narrow" w:cs="Calibri"/>
                <w:sz w:val="20"/>
                <w:szCs w:val="20"/>
              </w:rPr>
              <w:t xml:space="preserve">Cost per day of fedratinib based on cost per day of ruxolitinib </w:t>
            </w:r>
          </w:p>
        </w:tc>
        <w:tc>
          <w:tcPr>
            <w:tcW w:w="1791" w:type="dxa"/>
            <w:vAlign w:val="center"/>
          </w:tcPr>
          <w:p w14:paraId="6FCE203E" w14:textId="7B3283E4" w:rsidR="008E09C0" w:rsidRPr="000805E1" w:rsidRDefault="008E09C0" w:rsidP="00A759F5">
            <w:pPr>
              <w:keepNext/>
              <w:keepLines/>
              <w:jc w:val="center"/>
              <w:rPr>
                <w:rFonts w:ascii="Arial Narrow" w:hAnsi="Arial Narrow" w:cs="Calibri"/>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8E09C0" w:rsidRPr="007943DB" w14:paraId="67A3F5ED" w14:textId="77777777" w:rsidTr="00A759F5">
        <w:tc>
          <w:tcPr>
            <w:tcW w:w="7225" w:type="dxa"/>
            <w:vAlign w:val="center"/>
          </w:tcPr>
          <w:p w14:paraId="16954041" w14:textId="4B46C5DF" w:rsidR="008E09C0" w:rsidRPr="007943DB" w:rsidRDefault="008E09C0">
            <w:pPr>
              <w:keepNext/>
              <w:keepLines/>
              <w:jc w:val="left"/>
              <w:rPr>
                <w:rFonts w:ascii="Arial Narrow" w:hAnsi="Arial Narrow" w:cs="Calibri"/>
                <w:sz w:val="20"/>
                <w:szCs w:val="20"/>
                <w:vertAlign w:val="superscript"/>
              </w:rPr>
            </w:pPr>
            <w:r w:rsidRPr="007943DB">
              <w:rPr>
                <w:rFonts w:ascii="Arial Narrow" w:hAnsi="Arial Narrow" w:cs="Calibri"/>
                <w:sz w:val="20"/>
                <w:szCs w:val="20"/>
              </w:rPr>
              <w:t>Less cost for adverse event treatments (</w:t>
            </w:r>
            <w:r w:rsidR="001F3008" w:rsidRPr="007943DB">
              <w:rPr>
                <w:rFonts w:ascii="Arial Narrow" w:hAnsi="Arial Narrow" w:cs="Calibri"/>
                <w:sz w:val="20"/>
                <w:szCs w:val="20"/>
              </w:rPr>
              <w:t>$0.44</w:t>
            </w:r>
            <w:r w:rsidR="007128F8" w:rsidRPr="007943DB">
              <w:rPr>
                <w:rFonts w:ascii="Arial Narrow" w:hAnsi="Arial Narrow" w:cs="Calibri"/>
                <w:sz w:val="20"/>
                <w:szCs w:val="20"/>
              </w:rPr>
              <w:t>)</w:t>
            </w:r>
          </w:p>
        </w:tc>
        <w:tc>
          <w:tcPr>
            <w:tcW w:w="1791" w:type="dxa"/>
            <w:vAlign w:val="center"/>
          </w:tcPr>
          <w:p w14:paraId="71EB36D8" w14:textId="3AD92259" w:rsidR="008E09C0" w:rsidRPr="000805E1" w:rsidRDefault="008E09C0" w:rsidP="00A759F5">
            <w:pPr>
              <w:keepNext/>
              <w:keepLines/>
              <w:jc w:val="center"/>
              <w:rPr>
                <w:rFonts w:ascii="Arial Narrow" w:hAnsi="Arial Narrow" w:cs="Calibri"/>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8E09C0" w:rsidRPr="007943DB" w14:paraId="721F641C" w14:textId="77777777" w:rsidTr="00A759F5">
        <w:tc>
          <w:tcPr>
            <w:tcW w:w="7225" w:type="dxa"/>
            <w:tcBorders>
              <w:bottom w:val="double" w:sz="4" w:space="0" w:color="auto"/>
            </w:tcBorders>
            <w:vAlign w:val="center"/>
          </w:tcPr>
          <w:p w14:paraId="181E6FE0" w14:textId="7D24DD4B" w:rsidR="008E09C0" w:rsidRPr="007943DB" w:rsidRDefault="008E09C0">
            <w:pPr>
              <w:keepNext/>
              <w:keepLines/>
              <w:jc w:val="left"/>
              <w:rPr>
                <w:rFonts w:ascii="Arial Narrow" w:hAnsi="Arial Narrow" w:cs="Calibri"/>
                <w:b/>
                <w:bCs/>
                <w:sz w:val="20"/>
                <w:szCs w:val="20"/>
              </w:rPr>
            </w:pPr>
            <w:r w:rsidRPr="007943DB">
              <w:rPr>
                <w:rFonts w:ascii="Arial Narrow" w:hAnsi="Arial Narrow" w:cs="Calibri"/>
                <w:b/>
                <w:bCs/>
                <w:sz w:val="20"/>
                <w:szCs w:val="20"/>
              </w:rPr>
              <w:t xml:space="preserve">Fedratinib AEMP per pack (120×100 mg), 30 </w:t>
            </w:r>
            <w:proofErr w:type="spellStart"/>
            <w:r w:rsidRPr="007943DB">
              <w:rPr>
                <w:rFonts w:ascii="Arial Narrow" w:hAnsi="Arial Narrow" w:cs="Calibri"/>
                <w:b/>
                <w:bCs/>
                <w:sz w:val="20"/>
                <w:szCs w:val="20"/>
              </w:rPr>
              <w:t>days</w:t>
            </w:r>
            <w:proofErr w:type="spellEnd"/>
            <w:r w:rsidRPr="007943DB">
              <w:rPr>
                <w:rFonts w:ascii="Arial Narrow" w:hAnsi="Arial Narrow" w:cs="Calibri"/>
                <w:b/>
                <w:bCs/>
                <w:sz w:val="20"/>
                <w:szCs w:val="20"/>
              </w:rPr>
              <w:t xml:space="preserve"> supply</w:t>
            </w:r>
          </w:p>
        </w:tc>
        <w:tc>
          <w:tcPr>
            <w:tcW w:w="1791" w:type="dxa"/>
            <w:tcBorders>
              <w:bottom w:val="double" w:sz="4" w:space="0" w:color="auto"/>
            </w:tcBorders>
            <w:vAlign w:val="center"/>
          </w:tcPr>
          <w:p w14:paraId="10FDC29B" w14:textId="364137AF" w:rsidR="008E09C0" w:rsidRPr="000805E1" w:rsidRDefault="008E09C0" w:rsidP="00A759F5">
            <w:pPr>
              <w:keepNext/>
              <w:keepLines/>
              <w:jc w:val="center"/>
              <w:rPr>
                <w:rFonts w:ascii="Arial Narrow" w:hAnsi="Arial Narrow" w:cs="Calibri"/>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r w:rsidR="008C17B7" w:rsidRPr="007943DB" w14:paraId="60992A1F" w14:textId="77777777">
        <w:tc>
          <w:tcPr>
            <w:tcW w:w="9016" w:type="dxa"/>
            <w:gridSpan w:val="2"/>
          </w:tcPr>
          <w:p w14:paraId="39508207" w14:textId="77777777" w:rsidR="008C17B7" w:rsidRPr="000805E1" w:rsidRDefault="008C17B7">
            <w:pPr>
              <w:keepNext/>
              <w:keepLines/>
              <w:rPr>
                <w:rFonts w:ascii="Arial Narrow" w:hAnsi="Arial Narrow" w:cs="Calibri"/>
                <w:sz w:val="20"/>
                <w:szCs w:val="20"/>
              </w:rPr>
            </w:pPr>
            <w:r w:rsidRPr="000805E1">
              <w:rPr>
                <w:rFonts w:ascii="Arial Narrow" w:hAnsi="Arial Narrow" w:cs="Calibri"/>
                <w:b/>
                <w:bCs/>
                <w:sz w:val="20"/>
                <w:szCs w:val="20"/>
              </w:rPr>
              <w:t>Ruxolitinib dose distribution in the September 2018 DUSC ruxolitinib review without RDI adjustment</w:t>
            </w:r>
          </w:p>
        </w:tc>
      </w:tr>
      <w:tr w:rsidR="00661EBA" w:rsidRPr="007943DB" w14:paraId="644F6A8B" w14:textId="77777777" w:rsidTr="00A759F5">
        <w:tc>
          <w:tcPr>
            <w:tcW w:w="7225" w:type="dxa"/>
            <w:vAlign w:val="center"/>
          </w:tcPr>
          <w:p w14:paraId="6EF1D075" w14:textId="23FAD167" w:rsidR="00661EBA" w:rsidRPr="007943DB" w:rsidRDefault="00661EBA">
            <w:pPr>
              <w:keepNext/>
              <w:keepLines/>
              <w:jc w:val="left"/>
              <w:rPr>
                <w:rFonts w:ascii="Arial Narrow" w:hAnsi="Arial Narrow" w:cs="Calibri"/>
                <w:caps/>
                <w:sz w:val="20"/>
                <w:szCs w:val="20"/>
                <w:vertAlign w:val="superscript"/>
              </w:rPr>
            </w:pPr>
            <w:r w:rsidRPr="007943DB">
              <w:rPr>
                <w:rFonts w:ascii="Arial Narrow" w:hAnsi="Arial Narrow" w:cs="Calibri"/>
                <w:sz w:val="20"/>
                <w:szCs w:val="20"/>
              </w:rPr>
              <w:t xml:space="preserve">Cost per day of fedratinib based on cost per day of ruxolitinib (based on the dose distribution from the DUSC 2018 ruxolitinib report) </w:t>
            </w:r>
            <w:r w:rsidRPr="007943DB">
              <w:rPr>
                <w:rFonts w:ascii="Arial Narrow" w:hAnsi="Arial Narrow" w:cs="Calibri"/>
                <w:sz w:val="20"/>
                <w:szCs w:val="20"/>
                <w:vertAlign w:val="superscript"/>
              </w:rPr>
              <w:t>a</w:t>
            </w:r>
          </w:p>
        </w:tc>
        <w:tc>
          <w:tcPr>
            <w:tcW w:w="1791" w:type="dxa"/>
            <w:vAlign w:val="center"/>
          </w:tcPr>
          <w:p w14:paraId="4FFE27F3" w14:textId="0CD02B9B" w:rsidR="00661EBA" w:rsidRPr="000805E1" w:rsidRDefault="00661EBA" w:rsidP="00A759F5">
            <w:pPr>
              <w:keepNext/>
              <w:keepLines/>
              <w:jc w:val="center"/>
              <w:rPr>
                <w:rFonts w:ascii="Arial Narrow" w:hAnsi="Arial Narrow" w:cs="Calibri"/>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1F3008" w:rsidRPr="007943DB" w14:paraId="294FC6C2" w14:textId="77777777" w:rsidTr="00A759F5">
        <w:tc>
          <w:tcPr>
            <w:tcW w:w="7225" w:type="dxa"/>
            <w:vAlign w:val="center"/>
          </w:tcPr>
          <w:p w14:paraId="55B74B75" w14:textId="2BACFE52" w:rsidR="001F3008" w:rsidRPr="007943DB" w:rsidRDefault="001F3008">
            <w:pPr>
              <w:keepNext/>
              <w:keepLines/>
              <w:jc w:val="left"/>
              <w:rPr>
                <w:rFonts w:ascii="Arial Narrow" w:hAnsi="Arial Narrow" w:cs="Calibri"/>
                <w:sz w:val="20"/>
                <w:szCs w:val="20"/>
              </w:rPr>
            </w:pPr>
            <w:r w:rsidRPr="007943DB">
              <w:rPr>
                <w:rFonts w:ascii="Arial Narrow" w:hAnsi="Arial Narrow" w:cs="Calibri"/>
                <w:sz w:val="20"/>
                <w:szCs w:val="20"/>
              </w:rPr>
              <w:t>Less cost for adverse event treatments ($0.44</w:t>
            </w:r>
            <w:r w:rsidR="007128F8" w:rsidRPr="007943DB">
              <w:rPr>
                <w:rFonts w:ascii="Arial Narrow" w:hAnsi="Arial Narrow" w:cs="Calibri"/>
                <w:sz w:val="20"/>
                <w:szCs w:val="20"/>
              </w:rPr>
              <w:t>)</w:t>
            </w:r>
          </w:p>
        </w:tc>
        <w:tc>
          <w:tcPr>
            <w:tcW w:w="1791" w:type="dxa"/>
            <w:vAlign w:val="center"/>
          </w:tcPr>
          <w:p w14:paraId="0F14BAD2" w14:textId="2193C150" w:rsidR="001F3008" w:rsidRPr="000805E1" w:rsidRDefault="001F3008" w:rsidP="00A759F5">
            <w:pPr>
              <w:keepNext/>
              <w:keepLines/>
              <w:jc w:val="center"/>
              <w:rPr>
                <w:rFonts w:ascii="Arial Narrow" w:hAnsi="Arial Narrow"/>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1F3008" w:rsidRPr="007943DB" w14:paraId="05AFEBDE" w14:textId="77777777" w:rsidTr="00A759F5">
        <w:tc>
          <w:tcPr>
            <w:tcW w:w="7225" w:type="dxa"/>
            <w:tcBorders>
              <w:bottom w:val="double" w:sz="4" w:space="0" w:color="auto"/>
            </w:tcBorders>
            <w:vAlign w:val="center"/>
          </w:tcPr>
          <w:p w14:paraId="7488CA5A" w14:textId="0AB6E517" w:rsidR="001F3008" w:rsidRPr="007943DB" w:rsidRDefault="001F3008">
            <w:pPr>
              <w:keepNext/>
              <w:keepLines/>
              <w:jc w:val="left"/>
              <w:rPr>
                <w:rFonts w:ascii="Arial Narrow" w:hAnsi="Arial Narrow" w:cs="Calibri"/>
                <w:sz w:val="20"/>
                <w:szCs w:val="20"/>
              </w:rPr>
            </w:pPr>
            <w:r w:rsidRPr="007943DB">
              <w:rPr>
                <w:rFonts w:ascii="Arial Narrow" w:hAnsi="Arial Narrow" w:cs="Calibri"/>
                <w:b/>
                <w:bCs/>
                <w:sz w:val="20"/>
                <w:szCs w:val="20"/>
              </w:rPr>
              <w:t>Fedratinib AEMP per pack (120×100 mg)</w:t>
            </w:r>
            <w:r w:rsidR="00A759F5" w:rsidRPr="007943DB">
              <w:rPr>
                <w:rFonts w:ascii="Arial Narrow" w:hAnsi="Arial Narrow" w:cs="Calibri"/>
                <w:sz w:val="20"/>
                <w:szCs w:val="20"/>
              </w:rPr>
              <w:t xml:space="preserve">, 30 </w:t>
            </w:r>
            <w:proofErr w:type="spellStart"/>
            <w:r w:rsidR="00A759F5" w:rsidRPr="007943DB">
              <w:rPr>
                <w:rFonts w:ascii="Arial Narrow" w:hAnsi="Arial Narrow" w:cs="Calibri"/>
                <w:sz w:val="20"/>
                <w:szCs w:val="20"/>
              </w:rPr>
              <w:t>days</w:t>
            </w:r>
            <w:proofErr w:type="spellEnd"/>
            <w:r w:rsidR="00A759F5" w:rsidRPr="007943DB">
              <w:rPr>
                <w:rFonts w:ascii="Arial Narrow" w:hAnsi="Arial Narrow" w:cs="Calibri"/>
                <w:sz w:val="20"/>
                <w:szCs w:val="20"/>
              </w:rPr>
              <w:t xml:space="preserve"> supply</w:t>
            </w:r>
          </w:p>
        </w:tc>
        <w:tc>
          <w:tcPr>
            <w:tcW w:w="1791" w:type="dxa"/>
            <w:tcBorders>
              <w:bottom w:val="double" w:sz="4" w:space="0" w:color="auto"/>
            </w:tcBorders>
            <w:vAlign w:val="center"/>
          </w:tcPr>
          <w:p w14:paraId="154EA8D7" w14:textId="11CC955F" w:rsidR="001F3008" w:rsidRPr="000805E1" w:rsidRDefault="001F3008" w:rsidP="00A759F5">
            <w:pPr>
              <w:keepNext/>
              <w:keepLines/>
              <w:jc w:val="center"/>
              <w:rPr>
                <w:rFonts w:ascii="Arial Narrow" w:hAnsi="Arial Narrow"/>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r w:rsidR="008C17B7" w:rsidRPr="007943DB" w14:paraId="7AA6331F" w14:textId="77777777">
        <w:tc>
          <w:tcPr>
            <w:tcW w:w="9016" w:type="dxa"/>
            <w:gridSpan w:val="2"/>
          </w:tcPr>
          <w:p w14:paraId="48F85A1F" w14:textId="77777777" w:rsidR="008C17B7" w:rsidRPr="000805E1" w:rsidRDefault="008C17B7">
            <w:pPr>
              <w:keepNext/>
              <w:keepLines/>
              <w:rPr>
                <w:rFonts w:ascii="Arial Narrow" w:hAnsi="Arial Narrow" w:cs="Calibri"/>
                <w:sz w:val="20"/>
                <w:szCs w:val="20"/>
              </w:rPr>
            </w:pPr>
            <w:r w:rsidRPr="000805E1">
              <w:rPr>
                <w:rFonts w:ascii="Arial Narrow" w:hAnsi="Arial Narrow" w:cs="Calibri"/>
                <w:b/>
                <w:bCs/>
                <w:sz w:val="20"/>
                <w:szCs w:val="20"/>
              </w:rPr>
              <w:t xml:space="preserve">Ruxolitinib dose distribution in the November 2024 </w:t>
            </w:r>
            <w:proofErr w:type="spellStart"/>
            <w:r w:rsidRPr="000805E1">
              <w:rPr>
                <w:rFonts w:ascii="Arial Narrow" w:hAnsi="Arial Narrow" w:cs="Calibri"/>
                <w:b/>
                <w:bCs/>
                <w:sz w:val="20"/>
                <w:szCs w:val="20"/>
              </w:rPr>
              <w:t>momelotinib</w:t>
            </w:r>
            <w:proofErr w:type="spellEnd"/>
            <w:r w:rsidRPr="000805E1">
              <w:rPr>
                <w:rFonts w:ascii="Arial Narrow" w:hAnsi="Arial Narrow" w:cs="Calibri"/>
                <w:b/>
                <w:bCs/>
                <w:sz w:val="20"/>
                <w:szCs w:val="20"/>
              </w:rPr>
              <w:t xml:space="preserve"> submission without RDI adjustment</w:t>
            </w:r>
          </w:p>
        </w:tc>
      </w:tr>
      <w:tr w:rsidR="00A759F5" w:rsidRPr="007943DB" w14:paraId="6140FBC7" w14:textId="77777777" w:rsidTr="00A759F5">
        <w:tc>
          <w:tcPr>
            <w:tcW w:w="7225" w:type="dxa"/>
            <w:vAlign w:val="center"/>
          </w:tcPr>
          <w:p w14:paraId="550420A0" w14:textId="2E1838CE" w:rsidR="00A759F5" w:rsidRPr="007943DB" w:rsidRDefault="00A759F5">
            <w:pPr>
              <w:keepNext/>
              <w:keepLines/>
              <w:jc w:val="left"/>
              <w:rPr>
                <w:rFonts w:ascii="Arial Narrow" w:hAnsi="Arial Narrow" w:cs="Calibri"/>
                <w:sz w:val="20"/>
                <w:szCs w:val="20"/>
                <w:vertAlign w:val="superscript"/>
              </w:rPr>
            </w:pPr>
            <w:r w:rsidRPr="007943DB">
              <w:rPr>
                <w:rFonts w:ascii="Arial Narrow" w:hAnsi="Arial Narrow" w:cs="Calibri"/>
                <w:sz w:val="20"/>
                <w:szCs w:val="20"/>
              </w:rPr>
              <w:t xml:space="preserve">Cost per day of fedratinib based on cost per day of ruxolitinib (based on the dose distribution from the November 2024 </w:t>
            </w:r>
            <w:proofErr w:type="spellStart"/>
            <w:r w:rsidRPr="007943DB">
              <w:rPr>
                <w:rFonts w:ascii="Arial Narrow" w:hAnsi="Arial Narrow" w:cs="Calibri"/>
                <w:sz w:val="20"/>
                <w:szCs w:val="20"/>
              </w:rPr>
              <w:t>momelotinib</w:t>
            </w:r>
            <w:proofErr w:type="spellEnd"/>
            <w:r w:rsidRPr="007943DB">
              <w:rPr>
                <w:rFonts w:ascii="Arial Narrow" w:hAnsi="Arial Narrow" w:cs="Calibri"/>
                <w:sz w:val="20"/>
                <w:szCs w:val="20"/>
              </w:rPr>
              <w:t xml:space="preserve"> PSD</w:t>
            </w:r>
            <w:r w:rsidR="006B2CEB" w:rsidRPr="007943DB">
              <w:rPr>
                <w:rFonts w:ascii="Arial Narrow" w:hAnsi="Arial Narrow" w:cs="Calibri"/>
                <w:sz w:val="20"/>
                <w:szCs w:val="20"/>
                <w:vertAlign w:val="superscript"/>
              </w:rPr>
              <w:t xml:space="preserve"> b</w:t>
            </w:r>
            <w:r w:rsidRPr="007943DB">
              <w:rPr>
                <w:rFonts w:ascii="Arial Narrow" w:hAnsi="Arial Narrow" w:cs="Calibri"/>
                <w:sz w:val="20"/>
                <w:szCs w:val="20"/>
              </w:rPr>
              <w:t>)</w:t>
            </w:r>
            <w:r w:rsidR="0049601C" w:rsidRPr="007943DB">
              <w:rPr>
                <w:rFonts w:ascii="Arial Narrow" w:hAnsi="Arial Narrow" w:cs="Calibri"/>
                <w:sz w:val="20"/>
                <w:szCs w:val="20"/>
              </w:rPr>
              <w:t xml:space="preserve"> (</w:t>
            </w:r>
            <w:proofErr w:type="spellStart"/>
            <w:r w:rsidR="0049601C" w:rsidRPr="007943DB">
              <w:rPr>
                <w:rFonts w:ascii="Arial Narrow" w:hAnsi="Arial Narrow" w:cs="Calibri"/>
                <w:sz w:val="20"/>
                <w:szCs w:val="20"/>
              </w:rPr>
              <w:t>fedratinib</w:t>
            </w:r>
            <w:proofErr w:type="spellEnd"/>
            <w:r w:rsidR="0049601C" w:rsidRPr="007943DB">
              <w:rPr>
                <w:rFonts w:ascii="Arial Narrow" w:hAnsi="Arial Narrow" w:cs="Calibri"/>
                <w:sz w:val="20"/>
                <w:szCs w:val="20"/>
              </w:rPr>
              <w:t xml:space="preserve"> dose 400 mg)</w:t>
            </w:r>
            <w:r w:rsidRPr="007943DB">
              <w:rPr>
                <w:rFonts w:ascii="Arial Narrow" w:hAnsi="Arial Narrow" w:cs="Calibri"/>
                <w:sz w:val="20"/>
                <w:szCs w:val="20"/>
              </w:rPr>
              <w:t xml:space="preserve"> </w:t>
            </w:r>
          </w:p>
        </w:tc>
        <w:tc>
          <w:tcPr>
            <w:tcW w:w="1791" w:type="dxa"/>
            <w:vAlign w:val="center"/>
          </w:tcPr>
          <w:p w14:paraId="1B45D675" w14:textId="2547E6DB" w:rsidR="00A759F5" w:rsidRPr="000805E1" w:rsidRDefault="00A759F5" w:rsidP="00A759F5">
            <w:pPr>
              <w:keepNext/>
              <w:keepLines/>
              <w:jc w:val="center"/>
              <w:rPr>
                <w:rFonts w:ascii="Arial Narrow" w:hAnsi="Arial Narrow" w:cs="Calibri"/>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A759F5" w:rsidRPr="007943DB" w14:paraId="0EE8927A" w14:textId="77777777" w:rsidTr="00A759F5">
        <w:tc>
          <w:tcPr>
            <w:tcW w:w="7225" w:type="dxa"/>
            <w:vAlign w:val="center"/>
          </w:tcPr>
          <w:p w14:paraId="1507E0C1" w14:textId="430E4876" w:rsidR="00A759F5" w:rsidRPr="007943DB" w:rsidRDefault="00A759F5">
            <w:pPr>
              <w:keepNext/>
              <w:keepLines/>
              <w:jc w:val="left"/>
              <w:rPr>
                <w:rFonts w:ascii="Arial Narrow" w:hAnsi="Arial Narrow" w:cs="Calibri"/>
                <w:sz w:val="20"/>
                <w:szCs w:val="20"/>
              </w:rPr>
            </w:pPr>
            <w:r w:rsidRPr="007943DB">
              <w:rPr>
                <w:rFonts w:ascii="Arial Narrow" w:hAnsi="Arial Narrow" w:cs="Calibri"/>
                <w:sz w:val="20"/>
                <w:szCs w:val="20"/>
              </w:rPr>
              <w:t>Less cost for adverse event treatments ($0.44</w:t>
            </w:r>
            <w:r w:rsidR="007128F8" w:rsidRPr="007943DB">
              <w:rPr>
                <w:rFonts w:ascii="Arial Narrow" w:hAnsi="Arial Narrow" w:cs="Calibri"/>
                <w:sz w:val="20"/>
                <w:szCs w:val="20"/>
              </w:rPr>
              <w:t>)</w:t>
            </w:r>
          </w:p>
        </w:tc>
        <w:tc>
          <w:tcPr>
            <w:tcW w:w="1791" w:type="dxa"/>
            <w:vAlign w:val="center"/>
          </w:tcPr>
          <w:p w14:paraId="1CC6BA5F" w14:textId="335FF1DF" w:rsidR="00A759F5" w:rsidRPr="000805E1" w:rsidRDefault="00A759F5" w:rsidP="00A759F5">
            <w:pPr>
              <w:keepNext/>
              <w:keepLines/>
              <w:jc w:val="center"/>
              <w:rPr>
                <w:rFonts w:ascii="Arial Narrow" w:hAnsi="Arial Narrow" w:cs="Calibri"/>
                <w:sz w:val="20"/>
                <w:szCs w:val="20"/>
              </w:rPr>
            </w:pPr>
            <w:r w:rsidRPr="000805E1">
              <w:rPr>
                <w:rFonts w:ascii="Arial Narrow" w:hAnsi="Arial Narrow" w:cs="Calibri"/>
                <w:sz w:val="20"/>
                <w:szCs w:val="20"/>
              </w:rPr>
              <w:t>$</w:t>
            </w:r>
            <w:r w:rsidR="00783DC2" w:rsidRPr="00783DC2">
              <w:rPr>
                <w:rFonts w:ascii="Arial Narrow" w:hAnsi="Arial Narrow" w:cs="Calibri"/>
                <w:sz w:val="20"/>
                <w:szCs w:val="20"/>
                <w:highlight w:val="black"/>
              </w:rPr>
              <w:t>&amp;&amp;&amp;&amp;</w:t>
            </w:r>
          </w:p>
        </w:tc>
      </w:tr>
      <w:tr w:rsidR="00A759F5" w:rsidRPr="007943DB" w14:paraId="00CC4E6F" w14:textId="77777777" w:rsidTr="00A759F5">
        <w:tc>
          <w:tcPr>
            <w:tcW w:w="7225" w:type="dxa"/>
            <w:vAlign w:val="center"/>
          </w:tcPr>
          <w:p w14:paraId="0B47FC22" w14:textId="52984870" w:rsidR="00A759F5" w:rsidRPr="007943DB" w:rsidRDefault="00A759F5">
            <w:pPr>
              <w:keepNext/>
              <w:keepLines/>
              <w:jc w:val="left"/>
              <w:rPr>
                <w:rFonts w:ascii="Arial Narrow" w:hAnsi="Arial Narrow" w:cs="Calibri"/>
                <w:sz w:val="20"/>
                <w:szCs w:val="20"/>
              </w:rPr>
            </w:pPr>
            <w:r w:rsidRPr="007943DB">
              <w:rPr>
                <w:rFonts w:ascii="Arial Narrow" w:hAnsi="Arial Narrow" w:cs="Calibri"/>
                <w:b/>
                <w:bCs/>
                <w:sz w:val="20"/>
                <w:szCs w:val="20"/>
              </w:rPr>
              <w:t xml:space="preserve">Fedratinib AEMP per pack (120×100 mg), 30 </w:t>
            </w:r>
            <w:proofErr w:type="spellStart"/>
            <w:r w:rsidRPr="007943DB">
              <w:rPr>
                <w:rFonts w:ascii="Arial Narrow" w:hAnsi="Arial Narrow" w:cs="Calibri"/>
                <w:b/>
                <w:bCs/>
                <w:sz w:val="20"/>
                <w:szCs w:val="20"/>
              </w:rPr>
              <w:t>days</w:t>
            </w:r>
            <w:proofErr w:type="spellEnd"/>
            <w:r w:rsidRPr="007943DB">
              <w:rPr>
                <w:rFonts w:ascii="Arial Narrow" w:hAnsi="Arial Narrow" w:cs="Calibri"/>
                <w:b/>
                <w:bCs/>
                <w:sz w:val="20"/>
                <w:szCs w:val="20"/>
              </w:rPr>
              <w:t xml:space="preserve"> supply</w:t>
            </w:r>
          </w:p>
        </w:tc>
        <w:tc>
          <w:tcPr>
            <w:tcW w:w="1791" w:type="dxa"/>
            <w:vAlign w:val="center"/>
          </w:tcPr>
          <w:p w14:paraId="1B615A27" w14:textId="4F955510" w:rsidR="00A759F5" w:rsidRPr="000805E1" w:rsidRDefault="00A759F5" w:rsidP="00A759F5">
            <w:pPr>
              <w:keepNext/>
              <w:keepLines/>
              <w:jc w:val="center"/>
              <w:rPr>
                <w:rFonts w:ascii="Arial Narrow" w:hAnsi="Arial Narrow" w:cs="Calibri"/>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r w:rsidR="00891AC4" w:rsidRPr="007943DB" w14:paraId="2B3FFAE2" w14:textId="77777777" w:rsidTr="00891AC4">
        <w:tc>
          <w:tcPr>
            <w:tcW w:w="9016" w:type="dxa"/>
            <w:gridSpan w:val="2"/>
            <w:vAlign w:val="center"/>
          </w:tcPr>
          <w:p w14:paraId="0C260FFC" w14:textId="4E55014A" w:rsidR="00891AC4" w:rsidRPr="000805E1" w:rsidRDefault="00891AC4" w:rsidP="00891AC4">
            <w:pPr>
              <w:keepNext/>
              <w:keepLines/>
              <w:jc w:val="left"/>
              <w:rPr>
                <w:rFonts w:ascii="Arial Narrow" w:hAnsi="Arial Narrow" w:cs="Calibri"/>
                <w:b/>
                <w:bCs/>
                <w:sz w:val="20"/>
                <w:szCs w:val="20"/>
              </w:rPr>
            </w:pPr>
            <w:r w:rsidRPr="000805E1">
              <w:rPr>
                <w:rFonts w:ascii="Arial Narrow" w:hAnsi="Arial Narrow" w:cs="Calibri"/>
                <w:b/>
                <w:bCs/>
                <w:sz w:val="20"/>
                <w:szCs w:val="20"/>
              </w:rPr>
              <w:t xml:space="preserve">Ruxolitinib dose distribution in the November 2024 </w:t>
            </w:r>
            <w:proofErr w:type="spellStart"/>
            <w:r w:rsidRPr="000805E1">
              <w:rPr>
                <w:rFonts w:ascii="Arial Narrow" w:hAnsi="Arial Narrow" w:cs="Calibri"/>
                <w:b/>
                <w:bCs/>
                <w:sz w:val="20"/>
                <w:szCs w:val="20"/>
              </w:rPr>
              <w:t>momelotinib</w:t>
            </w:r>
            <w:proofErr w:type="spellEnd"/>
            <w:r w:rsidRPr="000805E1">
              <w:rPr>
                <w:rFonts w:ascii="Arial Narrow" w:hAnsi="Arial Narrow" w:cs="Calibri"/>
                <w:b/>
                <w:bCs/>
                <w:sz w:val="20"/>
                <w:szCs w:val="20"/>
              </w:rPr>
              <w:t xml:space="preserve"> submission with RDI adjustment</w:t>
            </w:r>
          </w:p>
        </w:tc>
      </w:tr>
      <w:tr w:rsidR="002F16BC" w:rsidRPr="007943DB" w14:paraId="5412AE6B" w14:textId="77777777" w:rsidTr="00A759F5">
        <w:tc>
          <w:tcPr>
            <w:tcW w:w="7225" w:type="dxa"/>
            <w:vAlign w:val="center"/>
          </w:tcPr>
          <w:p w14:paraId="76AF33AD" w14:textId="2261E4B6" w:rsidR="002F16BC" w:rsidRPr="007943DB" w:rsidRDefault="002F16BC" w:rsidP="002F16BC">
            <w:pPr>
              <w:keepNext/>
              <w:keepLines/>
              <w:jc w:val="left"/>
              <w:rPr>
                <w:rFonts w:ascii="Arial Narrow" w:hAnsi="Arial Narrow" w:cs="Calibri"/>
                <w:b/>
                <w:bCs/>
                <w:sz w:val="20"/>
                <w:szCs w:val="20"/>
              </w:rPr>
            </w:pPr>
            <w:r w:rsidRPr="007943DB">
              <w:rPr>
                <w:rFonts w:ascii="Arial Narrow" w:hAnsi="Arial Narrow" w:cs="Calibri"/>
                <w:sz w:val="20"/>
                <w:szCs w:val="20"/>
              </w:rPr>
              <w:t xml:space="preserve">Cost per day of fedratinib based on cost per day of ruxolitinib (based on the dose distribution from the November 2024 </w:t>
            </w:r>
            <w:proofErr w:type="spellStart"/>
            <w:r w:rsidRPr="007943DB">
              <w:rPr>
                <w:rFonts w:ascii="Arial Narrow" w:hAnsi="Arial Narrow" w:cs="Calibri"/>
                <w:sz w:val="20"/>
                <w:szCs w:val="20"/>
              </w:rPr>
              <w:t>momelotinib</w:t>
            </w:r>
            <w:proofErr w:type="spellEnd"/>
            <w:r w:rsidRPr="007943DB">
              <w:rPr>
                <w:rFonts w:ascii="Arial Narrow" w:hAnsi="Arial Narrow" w:cs="Calibri"/>
                <w:sz w:val="20"/>
                <w:szCs w:val="20"/>
              </w:rPr>
              <w:t xml:space="preserve"> PSD</w:t>
            </w:r>
            <w:r w:rsidR="006B2CEB" w:rsidRPr="007943DB">
              <w:rPr>
                <w:rFonts w:ascii="Arial Narrow" w:hAnsi="Arial Narrow" w:cs="Calibri"/>
                <w:sz w:val="20"/>
                <w:szCs w:val="20"/>
                <w:vertAlign w:val="superscript"/>
              </w:rPr>
              <w:t xml:space="preserve"> b</w:t>
            </w:r>
            <w:r w:rsidRPr="007943DB">
              <w:rPr>
                <w:rFonts w:ascii="Arial Narrow" w:hAnsi="Arial Narrow" w:cs="Calibri"/>
                <w:sz w:val="20"/>
                <w:szCs w:val="20"/>
              </w:rPr>
              <w:t>)</w:t>
            </w:r>
            <w:r w:rsidR="003B46CF" w:rsidRPr="007943DB">
              <w:rPr>
                <w:rFonts w:ascii="Arial Narrow" w:hAnsi="Arial Narrow" w:cs="Calibri"/>
                <w:sz w:val="20"/>
                <w:szCs w:val="20"/>
              </w:rPr>
              <w:t xml:space="preserve"> with RDI </w:t>
            </w:r>
            <w:r w:rsidR="00987F80" w:rsidRPr="007943DB">
              <w:rPr>
                <w:rFonts w:ascii="Arial Narrow" w:hAnsi="Arial Narrow" w:cs="Calibri"/>
                <w:sz w:val="20"/>
                <w:szCs w:val="20"/>
              </w:rPr>
              <w:t>adjustment</w:t>
            </w:r>
            <w:r w:rsidR="003B46CF" w:rsidRPr="007943DB">
              <w:rPr>
                <w:rFonts w:ascii="Arial Narrow" w:hAnsi="Arial Narrow" w:cs="Calibri"/>
                <w:sz w:val="20"/>
                <w:szCs w:val="20"/>
              </w:rPr>
              <w:t xml:space="preserve"> (</w:t>
            </w:r>
            <w:r w:rsidR="00B86CC2" w:rsidRPr="007943DB">
              <w:rPr>
                <w:rFonts w:ascii="Arial Narrow" w:hAnsi="Arial Narrow" w:cs="Calibri"/>
                <w:sz w:val="20"/>
                <w:szCs w:val="20"/>
              </w:rPr>
              <w:t xml:space="preserve">fedratinib dose </w:t>
            </w:r>
            <w:r w:rsidR="003B46CF" w:rsidRPr="007943DB">
              <w:rPr>
                <w:rFonts w:ascii="Arial Narrow" w:hAnsi="Arial Narrow" w:cs="Calibri"/>
                <w:sz w:val="20"/>
                <w:szCs w:val="20"/>
              </w:rPr>
              <w:t>349.96 mg)</w:t>
            </w:r>
            <w:r w:rsidRPr="007943DB">
              <w:rPr>
                <w:rFonts w:ascii="Arial Narrow" w:hAnsi="Arial Narrow" w:cs="Calibri"/>
                <w:sz w:val="20"/>
                <w:szCs w:val="20"/>
              </w:rPr>
              <w:t xml:space="preserve"> </w:t>
            </w:r>
          </w:p>
        </w:tc>
        <w:tc>
          <w:tcPr>
            <w:tcW w:w="1791" w:type="dxa"/>
            <w:vAlign w:val="center"/>
          </w:tcPr>
          <w:p w14:paraId="3A5E709B" w14:textId="59471823" w:rsidR="002F16BC" w:rsidRPr="000805E1" w:rsidRDefault="00871E57" w:rsidP="002F16BC">
            <w:pPr>
              <w:keepNext/>
              <w:keepLines/>
              <w:jc w:val="center"/>
              <w:rPr>
                <w:rFonts w:ascii="Arial Narrow" w:hAnsi="Arial Narrow" w:cs="Calibri"/>
                <w:b/>
                <w:bCs/>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r w:rsidR="002F16BC" w:rsidRPr="007943DB" w14:paraId="2A82EAF4" w14:textId="77777777" w:rsidTr="00A759F5">
        <w:tc>
          <w:tcPr>
            <w:tcW w:w="7225" w:type="dxa"/>
            <w:vAlign w:val="center"/>
          </w:tcPr>
          <w:p w14:paraId="46C959FE" w14:textId="5FDB1B33" w:rsidR="002F16BC" w:rsidRPr="007943DB" w:rsidRDefault="002F16BC" w:rsidP="002F16BC">
            <w:pPr>
              <w:keepNext/>
              <w:keepLines/>
              <w:jc w:val="left"/>
              <w:rPr>
                <w:rFonts w:ascii="Arial Narrow" w:hAnsi="Arial Narrow" w:cs="Calibri"/>
                <w:b/>
                <w:bCs/>
                <w:sz w:val="20"/>
                <w:szCs w:val="20"/>
              </w:rPr>
            </w:pPr>
            <w:r w:rsidRPr="007943DB">
              <w:rPr>
                <w:rFonts w:ascii="Arial Narrow" w:hAnsi="Arial Narrow" w:cs="Calibri"/>
                <w:sz w:val="20"/>
                <w:szCs w:val="20"/>
              </w:rPr>
              <w:t>Less cost for adverse event treatments ($0.44)</w:t>
            </w:r>
          </w:p>
        </w:tc>
        <w:tc>
          <w:tcPr>
            <w:tcW w:w="1791" w:type="dxa"/>
            <w:vAlign w:val="center"/>
          </w:tcPr>
          <w:p w14:paraId="358E2DE1" w14:textId="1E220582" w:rsidR="002F16BC" w:rsidRPr="000805E1" w:rsidRDefault="00871E57" w:rsidP="002F16BC">
            <w:pPr>
              <w:keepNext/>
              <w:keepLines/>
              <w:jc w:val="center"/>
              <w:rPr>
                <w:rFonts w:ascii="Arial Narrow" w:hAnsi="Arial Narrow" w:cs="Calibri"/>
                <w:b/>
                <w:bCs/>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r w:rsidR="002F16BC" w:rsidRPr="007943DB" w14:paraId="17A2F6A9" w14:textId="77777777" w:rsidTr="00A759F5">
        <w:tc>
          <w:tcPr>
            <w:tcW w:w="7225" w:type="dxa"/>
            <w:vAlign w:val="center"/>
          </w:tcPr>
          <w:p w14:paraId="6D1D359A" w14:textId="73AF63FE" w:rsidR="002F16BC" w:rsidRPr="007943DB" w:rsidRDefault="002F16BC" w:rsidP="002F16BC">
            <w:pPr>
              <w:keepNext/>
              <w:keepLines/>
              <w:jc w:val="left"/>
              <w:rPr>
                <w:rFonts w:ascii="Arial Narrow" w:hAnsi="Arial Narrow" w:cs="Calibri"/>
                <w:b/>
                <w:bCs/>
                <w:sz w:val="20"/>
                <w:szCs w:val="20"/>
              </w:rPr>
            </w:pPr>
            <w:r w:rsidRPr="007943DB">
              <w:rPr>
                <w:rFonts w:ascii="Arial Narrow" w:hAnsi="Arial Narrow" w:cs="Calibri"/>
                <w:b/>
                <w:bCs/>
                <w:sz w:val="20"/>
                <w:szCs w:val="20"/>
              </w:rPr>
              <w:t xml:space="preserve">Fedratinib AEMP per pack (120×100 mg), 30 </w:t>
            </w:r>
            <w:proofErr w:type="spellStart"/>
            <w:r w:rsidRPr="007943DB">
              <w:rPr>
                <w:rFonts w:ascii="Arial Narrow" w:hAnsi="Arial Narrow" w:cs="Calibri"/>
                <w:b/>
                <w:bCs/>
                <w:sz w:val="20"/>
                <w:szCs w:val="20"/>
              </w:rPr>
              <w:t>days</w:t>
            </w:r>
            <w:proofErr w:type="spellEnd"/>
            <w:r w:rsidRPr="007943DB">
              <w:rPr>
                <w:rFonts w:ascii="Arial Narrow" w:hAnsi="Arial Narrow" w:cs="Calibri"/>
                <w:b/>
                <w:bCs/>
                <w:sz w:val="20"/>
                <w:szCs w:val="20"/>
              </w:rPr>
              <w:t xml:space="preserve"> supply</w:t>
            </w:r>
          </w:p>
        </w:tc>
        <w:tc>
          <w:tcPr>
            <w:tcW w:w="1791" w:type="dxa"/>
            <w:vAlign w:val="center"/>
          </w:tcPr>
          <w:p w14:paraId="149E4AA9" w14:textId="43185441" w:rsidR="002F16BC" w:rsidRPr="000805E1" w:rsidRDefault="0081689F" w:rsidP="002F16BC">
            <w:pPr>
              <w:keepNext/>
              <w:keepLines/>
              <w:jc w:val="center"/>
              <w:rPr>
                <w:rFonts w:ascii="Arial Narrow" w:hAnsi="Arial Narrow" w:cs="Calibri"/>
                <w:b/>
                <w:bCs/>
                <w:sz w:val="20"/>
                <w:szCs w:val="20"/>
              </w:rPr>
            </w:pPr>
            <w:r w:rsidRPr="000805E1">
              <w:rPr>
                <w:rFonts w:ascii="Arial Narrow" w:hAnsi="Arial Narrow" w:cs="Calibri"/>
                <w:b/>
                <w:bCs/>
                <w:sz w:val="20"/>
                <w:szCs w:val="20"/>
              </w:rPr>
              <w:t>$</w:t>
            </w:r>
            <w:r w:rsidR="00783DC2" w:rsidRPr="00783DC2">
              <w:rPr>
                <w:rFonts w:ascii="Arial Narrow" w:hAnsi="Arial Narrow" w:cs="Calibri"/>
                <w:b/>
                <w:bCs/>
                <w:sz w:val="20"/>
                <w:szCs w:val="20"/>
                <w:highlight w:val="black"/>
              </w:rPr>
              <w:t>&amp;&amp;&amp;&amp;</w:t>
            </w:r>
          </w:p>
        </w:tc>
      </w:tr>
    </w:tbl>
    <w:p w14:paraId="38E997A5" w14:textId="77777777" w:rsidR="008C17B7" w:rsidRPr="00B4064B" w:rsidRDefault="008C17B7" w:rsidP="008C17B7">
      <w:pPr>
        <w:pStyle w:val="COMTablefooter"/>
      </w:pPr>
      <w:r w:rsidRPr="00B4064B">
        <w:t xml:space="preserve">Source: Constructed during the evaluation based on the ‘Attachment 14 – Fedratinib Cost-Minimisation Analysis’ spreadsheet provided with the </w:t>
      </w:r>
      <w:r>
        <w:t>re</w:t>
      </w:r>
      <w:r w:rsidRPr="00B4064B">
        <w:t>submission.</w:t>
      </w:r>
    </w:p>
    <w:p w14:paraId="746B6BEE" w14:textId="77777777" w:rsidR="008C17B7" w:rsidRDefault="008C17B7" w:rsidP="008C17B7">
      <w:pPr>
        <w:pStyle w:val="COMTablefooter"/>
      </w:pPr>
      <w:r w:rsidRPr="007F1683">
        <w:t>Abbreviations: AEMP, approved ex-manufacturer price; DUSC, Drug Utilisation Sub</w:t>
      </w:r>
      <w:r>
        <w:t xml:space="preserve"> C</w:t>
      </w:r>
      <w:r w:rsidRPr="007F1683">
        <w:t>ommittee;</w:t>
      </w:r>
      <w:r w:rsidRPr="00B4064B">
        <w:t xml:space="preserve"> RDI, relative dose intensity.</w:t>
      </w:r>
    </w:p>
    <w:p w14:paraId="34F71855" w14:textId="24F9A3CD" w:rsidR="00994318" w:rsidRDefault="00994318" w:rsidP="008C17B7">
      <w:pPr>
        <w:pStyle w:val="COMTablefooter"/>
      </w:pPr>
      <w:r>
        <w:t xml:space="preserve">Note: </w:t>
      </w:r>
      <w:r w:rsidRPr="00994318">
        <w:t xml:space="preserve">Based on the published AEMPs for ruxolitinib </w:t>
      </w:r>
      <w:r w:rsidRPr="007A747F">
        <w:t xml:space="preserve">with assumed </w:t>
      </w:r>
      <w:r w:rsidR="00783DC2" w:rsidRPr="00783DC2">
        <w:rPr>
          <w:highlight w:val="black"/>
        </w:rPr>
        <w:t>&amp;&amp;&amp;&amp;</w:t>
      </w:r>
      <w:r w:rsidRPr="007A747F">
        <w:t>% rebate ($</w:t>
      </w:r>
      <w:r w:rsidR="00783DC2" w:rsidRPr="00783DC2">
        <w:rPr>
          <w:highlight w:val="black"/>
        </w:rPr>
        <w:t>&amp;&amp;&amp;&amp;</w:t>
      </w:r>
      <w:r w:rsidRPr="007A747F">
        <w:t xml:space="preserve"> for 56 × 5 mg tablets; $</w:t>
      </w:r>
      <w:r w:rsidR="00783DC2" w:rsidRPr="00783DC2">
        <w:rPr>
          <w:highlight w:val="black"/>
        </w:rPr>
        <w:t>&amp;&amp;&amp;&amp;</w:t>
      </w:r>
      <w:r w:rsidRPr="007A747F">
        <w:t xml:space="preserve"> for 56 × 10 mg</w:t>
      </w:r>
      <w:r w:rsidRPr="00994318">
        <w:t>, 15 mg and 20 mg tablets)</w:t>
      </w:r>
    </w:p>
    <w:p w14:paraId="557EF750" w14:textId="72AF5079" w:rsidR="00661EBA" w:rsidRDefault="00661EBA" w:rsidP="008C17B7">
      <w:pPr>
        <w:pStyle w:val="COMTablefooter"/>
      </w:pPr>
      <w:r>
        <w:rPr>
          <w:vertAlign w:val="superscript"/>
        </w:rPr>
        <w:t>a</w:t>
      </w:r>
      <w:r>
        <w:t xml:space="preserve"> Table 6, September 2018 DUSC analysis of ruxolitinib </w:t>
      </w:r>
      <w:r w:rsidRPr="00661EBA">
        <w:t>(5 mg 15%; 10 mg 27%; 15 mg 29%; 20 mg 25%; 25 mg 4%), divided by 28 days per pack of ruxolitinib).</w:t>
      </w:r>
    </w:p>
    <w:p w14:paraId="1781BF1E" w14:textId="699CF9AD" w:rsidR="001F3008" w:rsidRPr="001F3008" w:rsidRDefault="001F3008" w:rsidP="008C17B7">
      <w:pPr>
        <w:pStyle w:val="COMTablefooter"/>
      </w:pPr>
      <w:r>
        <w:rPr>
          <w:vertAlign w:val="superscript"/>
        </w:rPr>
        <w:t>b</w:t>
      </w:r>
      <w:r>
        <w:t xml:space="preserve"> </w:t>
      </w:r>
      <w:r w:rsidR="00DE2E0D">
        <w:t xml:space="preserve">Ruxolitinib </w:t>
      </w:r>
      <w:r w:rsidR="006B2CEB">
        <w:t xml:space="preserve">dose distributions from </w:t>
      </w:r>
      <w:r w:rsidR="00994318">
        <w:t xml:space="preserve">Table 12, </w:t>
      </w:r>
      <w:proofErr w:type="spellStart"/>
      <w:r w:rsidR="00A759F5">
        <w:t>momelotinib</w:t>
      </w:r>
      <w:proofErr w:type="spellEnd"/>
      <w:r w:rsidR="00A759F5">
        <w:t xml:space="preserve"> PSD, November 2024 PBAC meeting (</w:t>
      </w:r>
      <w:r w:rsidR="00A759F5" w:rsidRPr="00A759F5">
        <w:t>5 mg 23.6%; 10 mg 17.43%; 15 mg 19.32%; 20 mg 35.51%; 25 mg 3.38%).</w:t>
      </w:r>
    </w:p>
    <w:p w14:paraId="57BF8CBD" w14:textId="7833FC99" w:rsidR="00DE4273" w:rsidRPr="00CB1EA6" w:rsidRDefault="008C17B7">
      <w:pPr>
        <w:pStyle w:val="COMESnumberedpara"/>
      </w:pPr>
      <w:r w:rsidRPr="00CB1EA6">
        <w:t>The sensitivity analyses indicated that the price of fedratinib was sensitive to the inclusion of the relative dose intensity adjustment for fedratinib, as well as alternative approaches to costing ruxolitinib that did not include costs that that would not be realised in practice.</w:t>
      </w:r>
    </w:p>
    <w:p w14:paraId="472842D7" w14:textId="19FFC935" w:rsidR="00C25D9C" w:rsidRPr="0098262F" w:rsidRDefault="00D9000B" w:rsidP="00BB732D">
      <w:pPr>
        <w:pStyle w:val="COMESSubsectionheading"/>
      </w:pPr>
      <w:bookmarkStart w:id="47" w:name="_Toc22897646"/>
      <w:bookmarkStart w:id="48" w:name="_Toc209002721"/>
      <w:r>
        <w:t>Drug</w:t>
      </w:r>
      <w:r w:rsidR="00C25D9C" w:rsidRPr="0098262F">
        <w:t xml:space="preserve"> cost/patient/year</w:t>
      </w:r>
      <w:bookmarkEnd w:id="47"/>
      <w:bookmarkEnd w:id="48"/>
    </w:p>
    <w:bookmarkStart w:id="49" w:name="_Ref104805102"/>
    <w:p w14:paraId="31E08F6B" w14:textId="256421C6" w:rsidR="0025719D" w:rsidRPr="0025719D" w:rsidRDefault="00EB69F9" w:rsidP="0025719D">
      <w:pPr>
        <w:pStyle w:val="COMESnumberedpara"/>
      </w:pPr>
      <w:r>
        <w:fldChar w:fldCharType="begin"/>
      </w:r>
      <w:r>
        <w:instrText xml:space="preserve"> REF _Ref208047036 \h </w:instrText>
      </w:r>
      <w:r>
        <w:fldChar w:fldCharType="separate"/>
      </w:r>
      <w:r w:rsidR="000F0515" w:rsidRPr="0098262F">
        <w:t xml:space="preserve">Table </w:t>
      </w:r>
      <w:r w:rsidR="000F0515">
        <w:rPr>
          <w:noProof/>
        </w:rPr>
        <w:t>15</w:t>
      </w:r>
      <w:r>
        <w:fldChar w:fldCharType="end"/>
      </w:r>
      <w:r>
        <w:t xml:space="preserve"> </w:t>
      </w:r>
      <w:r w:rsidR="0025719D" w:rsidRPr="0025719D">
        <w:t>presents a comparison of drug costs</w:t>
      </w:r>
      <w:r w:rsidR="00B220AD">
        <w:t xml:space="preserve"> per patient per year</w:t>
      </w:r>
      <w:r w:rsidR="0025719D" w:rsidRPr="0025719D">
        <w:t xml:space="preserve"> for fedratinib and ruxolitinib included in the </w:t>
      </w:r>
      <w:r w:rsidR="00611FB4">
        <w:t>cost-minimisation</w:t>
      </w:r>
      <w:r w:rsidR="0025719D" w:rsidRPr="0025719D">
        <w:t xml:space="preserve"> approach and the financial estimates</w:t>
      </w:r>
      <w:r w:rsidR="00D236FC">
        <w:t xml:space="preserve">. The </w:t>
      </w:r>
      <w:r w:rsidR="00B92FDF">
        <w:t>estimates</w:t>
      </w:r>
      <w:r w:rsidR="00D236FC">
        <w:t xml:space="preserve"> presented in the resubmission were based on the assumed effective prices of </w:t>
      </w:r>
      <w:r w:rsidR="00D236FC" w:rsidRPr="00AC3FFC">
        <w:t>ruxolitinib (</w:t>
      </w:r>
      <w:r w:rsidR="00783DC2" w:rsidRPr="00783DC2">
        <w:rPr>
          <w:highlight w:val="black"/>
        </w:rPr>
        <w:t>&amp;&amp;&amp;&amp;</w:t>
      </w:r>
      <w:r w:rsidR="00D236FC" w:rsidRPr="00AC3FFC">
        <w:t>% rebate</w:t>
      </w:r>
      <w:r w:rsidR="00D236FC">
        <w:t xml:space="preserve"> </w:t>
      </w:r>
      <w:r w:rsidR="00B92FDF">
        <w:t>on</w:t>
      </w:r>
      <w:r w:rsidR="000D6764">
        <w:t xml:space="preserve"> the published </w:t>
      </w:r>
      <w:r w:rsidR="00B92FDF">
        <w:t>AEMP</w:t>
      </w:r>
      <w:r w:rsidR="000D6764">
        <w:t>)</w:t>
      </w:r>
      <w:r w:rsidR="0025719D" w:rsidRPr="0025719D">
        <w:t>.</w:t>
      </w:r>
    </w:p>
    <w:p w14:paraId="51691BD3" w14:textId="21B136D2" w:rsidR="00494207" w:rsidRPr="00701517" w:rsidRDefault="00E16AD8" w:rsidP="002031BF">
      <w:pPr>
        <w:pStyle w:val="COMTableFigurecaption"/>
      </w:pPr>
      <w:bookmarkStart w:id="50" w:name="_Ref208047036"/>
      <w:r w:rsidRPr="0098262F">
        <w:t xml:space="preserve">Table </w:t>
      </w:r>
      <w:r w:rsidR="0003298B" w:rsidRPr="00701517">
        <w:fldChar w:fldCharType="begin"/>
      </w:r>
      <w:r w:rsidR="0003298B" w:rsidRPr="00701517">
        <w:instrText xml:space="preserve"> SEQ Table \* ARABIC </w:instrText>
      </w:r>
      <w:r w:rsidR="0003298B" w:rsidRPr="00701517">
        <w:fldChar w:fldCharType="separate"/>
      </w:r>
      <w:r w:rsidR="000F0515">
        <w:rPr>
          <w:noProof/>
        </w:rPr>
        <w:t>15</w:t>
      </w:r>
      <w:r w:rsidR="0003298B" w:rsidRPr="00701517">
        <w:rPr>
          <w:noProof/>
        </w:rPr>
        <w:fldChar w:fldCharType="end"/>
      </w:r>
      <w:bookmarkEnd w:id="49"/>
      <w:bookmarkEnd w:id="50"/>
      <w:r w:rsidRPr="00701517">
        <w:t>:</w:t>
      </w:r>
      <w:r w:rsidR="00494207" w:rsidRPr="00701517">
        <w:t xml:space="preserve"> Drug cost per patient for </w:t>
      </w:r>
      <w:r w:rsidR="0025719D" w:rsidRPr="00701517">
        <w:t>fedratinib and ruxolitinib</w:t>
      </w:r>
      <w:r w:rsidR="00B92FDF" w:rsidRPr="00701517">
        <w:t xml:space="preserve"> (based on published AEMP for ruxolitinib with assumed </w:t>
      </w:r>
      <w:r w:rsidR="00124598" w:rsidRPr="00124598">
        <w:rPr>
          <w:highlight w:val="black"/>
        </w:rPr>
        <w:t>&amp;&amp;&amp;&amp;</w:t>
      </w:r>
      <w:r w:rsidR="00B92FDF" w:rsidRPr="00701517">
        <w:t>% rebate)</w:t>
      </w:r>
    </w:p>
    <w:tbl>
      <w:tblPr>
        <w:tblW w:w="4993"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Drug cost per patient for fedratinib and ruxolitinib (based on published AEMP for ruxolitinib with assumed % rebate)"/>
      </w:tblPr>
      <w:tblGrid>
        <w:gridCol w:w="2566"/>
        <w:gridCol w:w="3868"/>
        <w:gridCol w:w="2570"/>
      </w:tblGrid>
      <w:tr w:rsidR="00A76560" w:rsidRPr="00701517" w14:paraId="7DA43C18"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59259D83" w14:textId="77777777" w:rsidR="00A76560" w:rsidRPr="00701517" w:rsidRDefault="00A76560">
            <w:pPr>
              <w:keepNext/>
              <w:keepLines/>
              <w:jc w:val="left"/>
              <w:rPr>
                <w:rFonts w:ascii="Arial Narrow" w:hAnsi="Arial Narrow"/>
                <w:sz w:val="20"/>
                <w:szCs w:val="20"/>
              </w:rPr>
            </w:pPr>
          </w:p>
        </w:tc>
        <w:tc>
          <w:tcPr>
            <w:tcW w:w="2148" w:type="pct"/>
            <w:tcBorders>
              <w:top w:val="single" w:sz="4" w:space="0" w:color="auto"/>
              <w:left w:val="single" w:sz="4" w:space="0" w:color="auto"/>
              <w:bottom w:val="single" w:sz="4" w:space="0" w:color="auto"/>
              <w:right w:val="single" w:sz="4" w:space="0" w:color="auto"/>
            </w:tcBorders>
            <w:vAlign w:val="center"/>
            <w:hideMark/>
          </w:tcPr>
          <w:p w14:paraId="13187E5D" w14:textId="6BDC530A" w:rsidR="00A76560" w:rsidRPr="00701517" w:rsidRDefault="00611FB4">
            <w:pPr>
              <w:pStyle w:val="TableText"/>
              <w:jc w:val="center"/>
              <w:rPr>
                <w:b/>
                <w:bCs w:val="0"/>
                <w:szCs w:val="20"/>
              </w:rPr>
            </w:pPr>
            <w:r w:rsidRPr="00701517">
              <w:rPr>
                <w:b/>
                <w:bCs w:val="0"/>
                <w:szCs w:val="20"/>
              </w:rPr>
              <w:t>Cost-minimisation</w:t>
            </w:r>
            <w:r w:rsidR="00A76560" w:rsidRPr="00701517">
              <w:rPr>
                <w:b/>
                <w:bCs w:val="0"/>
                <w:szCs w:val="20"/>
              </w:rPr>
              <w:t xml:space="preserve"> approach</w:t>
            </w:r>
          </w:p>
        </w:tc>
        <w:tc>
          <w:tcPr>
            <w:tcW w:w="1427" w:type="pct"/>
            <w:tcBorders>
              <w:top w:val="single" w:sz="4" w:space="0" w:color="auto"/>
              <w:left w:val="single" w:sz="4" w:space="0" w:color="auto"/>
              <w:bottom w:val="single" w:sz="4" w:space="0" w:color="auto"/>
              <w:right w:val="single" w:sz="4" w:space="0" w:color="auto"/>
            </w:tcBorders>
            <w:hideMark/>
          </w:tcPr>
          <w:p w14:paraId="2DB46C1C" w14:textId="77777777" w:rsidR="00A76560" w:rsidRPr="00701517" w:rsidRDefault="00A76560">
            <w:pPr>
              <w:pStyle w:val="TableText"/>
              <w:jc w:val="center"/>
              <w:rPr>
                <w:b/>
                <w:bCs w:val="0"/>
                <w:szCs w:val="20"/>
              </w:rPr>
            </w:pPr>
            <w:r w:rsidRPr="00701517">
              <w:rPr>
                <w:b/>
                <w:bCs w:val="0"/>
                <w:szCs w:val="20"/>
              </w:rPr>
              <w:t>Financial estimates</w:t>
            </w:r>
          </w:p>
        </w:tc>
      </w:tr>
      <w:tr w:rsidR="00A76560" w:rsidRPr="00701517" w14:paraId="66ACF45E" w14:textId="77777777">
        <w:tc>
          <w:tcPr>
            <w:tcW w:w="1425" w:type="pct"/>
            <w:tcBorders>
              <w:top w:val="single" w:sz="4" w:space="0" w:color="auto"/>
              <w:left w:val="single" w:sz="4" w:space="0" w:color="auto"/>
              <w:bottom w:val="single" w:sz="4" w:space="0" w:color="auto"/>
              <w:right w:val="single" w:sz="4" w:space="0" w:color="auto"/>
            </w:tcBorders>
            <w:hideMark/>
          </w:tcPr>
          <w:p w14:paraId="20A26154" w14:textId="77777777" w:rsidR="00A76560" w:rsidRPr="00701517" w:rsidRDefault="00A76560">
            <w:pPr>
              <w:pStyle w:val="TableText"/>
            </w:pPr>
            <w:r w:rsidRPr="00701517">
              <w:t>Fedratinib 100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107C89B1" w14:textId="32908F05"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a</w:t>
            </w:r>
          </w:p>
        </w:tc>
        <w:tc>
          <w:tcPr>
            <w:tcW w:w="1427" w:type="pct"/>
            <w:tcBorders>
              <w:top w:val="single" w:sz="4" w:space="0" w:color="auto"/>
              <w:left w:val="single" w:sz="4" w:space="0" w:color="auto"/>
              <w:bottom w:val="single" w:sz="4" w:space="0" w:color="auto"/>
              <w:right w:val="single" w:sz="4" w:space="0" w:color="auto"/>
            </w:tcBorders>
            <w:vAlign w:val="center"/>
            <w:hideMark/>
          </w:tcPr>
          <w:p w14:paraId="14BB0B4B" w14:textId="108CA9F7"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d</w:t>
            </w:r>
          </w:p>
        </w:tc>
      </w:tr>
      <w:tr w:rsidR="00A76560" w:rsidRPr="00701517" w14:paraId="4E8B9C9C" w14:textId="77777777">
        <w:tc>
          <w:tcPr>
            <w:tcW w:w="1425" w:type="pct"/>
            <w:tcBorders>
              <w:top w:val="single" w:sz="4" w:space="0" w:color="auto"/>
              <w:left w:val="single" w:sz="4" w:space="0" w:color="auto"/>
              <w:bottom w:val="single" w:sz="4" w:space="0" w:color="auto"/>
              <w:right w:val="single" w:sz="4" w:space="0" w:color="auto"/>
            </w:tcBorders>
            <w:hideMark/>
          </w:tcPr>
          <w:p w14:paraId="142795DD" w14:textId="77777777" w:rsidR="00A76560" w:rsidRPr="00701517" w:rsidRDefault="00A76560">
            <w:pPr>
              <w:pStyle w:val="TableText"/>
            </w:pPr>
            <w:r w:rsidRPr="00701517">
              <w:t>Ruxolitinib 5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4DACFF59" w14:textId="4F5542F4"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b</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0CCDECA" w14:textId="4E2B7551"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d</w:t>
            </w:r>
          </w:p>
        </w:tc>
      </w:tr>
      <w:tr w:rsidR="00A76560" w:rsidRPr="00701517" w14:paraId="77F79095" w14:textId="77777777">
        <w:tc>
          <w:tcPr>
            <w:tcW w:w="1425" w:type="pct"/>
            <w:tcBorders>
              <w:top w:val="single" w:sz="4" w:space="0" w:color="auto"/>
              <w:left w:val="single" w:sz="4" w:space="0" w:color="auto"/>
              <w:bottom w:val="single" w:sz="4" w:space="0" w:color="auto"/>
              <w:right w:val="single" w:sz="4" w:space="0" w:color="auto"/>
            </w:tcBorders>
            <w:hideMark/>
          </w:tcPr>
          <w:p w14:paraId="5D03F379" w14:textId="77777777" w:rsidR="00A76560" w:rsidRPr="00701517" w:rsidRDefault="00A76560">
            <w:pPr>
              <w:pStyle w:val="TableText"/>
            </w:pPr>
            <w:r w:rsidRPr="00701517">
              <w:t>Ruxolitinib 10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7BA05659" w14:textId="6A697AAA"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b</w:t>
            </w:r>
          </w:p>
        </w:tc>
        <w:tc>
          <w:tcPr>
            <w:tcW w:w="1427" w:type="pct"/>
            <w:tcBorders>
              <w:top w:val="single" w:sz="4" w:space="0" w:color="auto"/>
              <w:left w:val="single" w:sz="4" w:space="0" w:color="auto"/>
              <w:bottom w:val="single" w:sz="4" w:space="0" w:color="auto"/>
              <w:right w:val="single" w:sz="4" w:space="0" w:color="auto"/>
            </w:tcBorders>
            <w:vAlign w:val="bottom"/>
            <w:hideMark/>
          </w:tcPr>
          <w:p w14:paraId="511D9C07" w14:textId="1DBA086D"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d</w:t>
            </w:r>
          </w:p>
        </w:tc>
      </w:tr>
      <w:tr w:rsidR="00A76560" w:rsidRPr="00701517" w14:paraId="1813C181" w14:textId="77777777">
        <w:tc>
          <w:tcPr>
            <w:tcW w:w="1425" w:type="pct"/>
            <w:tcBorders>
              <w:top w:val="single" w:sz="4" w:space="0" w:color="auto"/>
              <w:left w:val="single" w:sz="4" w:space="0" w:color="auto"/>
              <w:bottom w:val="single" w:sz="4" w:space="0" w:color="auto"/>
              <w:right w:val="single" w:sz="4" w:space="0" w:color="auto"/>
            </w:tcBorders>
            <w:hideMark/>
          </w:tcPr>
          <w:p w14:paraId="6F728E60" w14:textId="77777777" w:rsidR="00A76560" w:rsidRPr="00701517" w:rsidRDefault="00A76560">
            <w:pPr>
              <w:pStyle w:val="TableText"/>
            </w:pPr>
            <w:r w:rsidRPr="00701517">
              <w:t>Ruxolitinib 15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18CCE899" w14:textId="6A603DC8"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b</w:t>
            </w:r>
          </w:p>
        </w:tc>
        <w:tc>
          <w:tcPr>
            <w:tcW w:w="1427" w:type="pct"/>
            <w:tcBorders>
              <w:top w:val="single" w:sz="4" w:space="0" w:color="auto"/>
              <w:left w:val="single" w:sz="4" w:space="0" w:color="auto"/>
              <w:bottom w:val="single" w:sz="4" w:space="0" w:color="auto"/>
              <w:right w:val="single" w:sz="4" w:space="0" w:color="auto"/>
            </w:tcBorders>
            <w:hideMark/>
          </w:tcPr>
          <w:p w14:paraId="0803E278" w14:textId="6B47BF3C"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d</w:t>
            </w:r>
          </w:p>
        </w:tc>
      </w:tr>
      <w:tr w:rsidR="00A76560" w:rsidRPr="00701517" w14:paraId="7C2CBC1F" w14:textId="77777777">
        <w:tc>
          <w:tcPr>
            <w:tcW w:w="1425" w:type="pct"/>
            <w:tcBorders>
              <w:top w:val="single" w:sz="4" w:space="0" w:color="auto"/>
              <w:left w:val="single" w:sz="4" w:space="0" w:color="auto"/>
              <w:bottom w:val="single" w:sz="4" w:space="0" w:color="auto"/>
              <w:right w:val="single" w:sz="4" w:space="0" w:color="auto"/>
            </w:tcBorders>
            <w:hideMark/>
          </w:tcPr>
          <w:p w14:paraId="48F33646" w14:textId="77777777" w:rsidR="00A76560" w:rsidRPr="00701517" w:rsidRDefault="00A76560">
            <w:pPr>
              <w:pStyle w:val="TableText"/>
            </w:pPr>
            <w:r w:rsidRPr="00701517">
              <w:t>Ruxolitinib 20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3575EF0D" w14:textId="6A4F8C28"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b</w:t>
            </w:r>
          </w:p>
        </w:tc>
        <w:tc>
          <w:tcPr>
            <w:tcW w:w="1427" w:type="pct"/>
            <w:tcBorders>
              <w:top w:val="single" w:sz="4" w:space="0" w:color="auto"/>
              <w:left w:val="single" w:sz="4" w:space="0" w:color="auto"/>
              <w:bottom w:val="single" w:sz="4" w:space="0" w:color="auto"/>
              <w:right w:val="single" w:sz="4" w:space="0" w:color="auto"/>
            </w:tcBorders>
            <w:hideMark/>
          </w:tcPr>
          <w:p w14:paraId="0860947A" w14:textId="69B3CE8B" w:rsidR="00A76560" w:rsidRPr="00701517" w:rsidRDefault="00A76560">
            <w:pPr>
              <w:pStyle w:val="TableText"/>
              <w:jc w:val="center"/>
              <w:rPr>
                <w:vertAlign w:val="superscript"/>
              </w:rPr>
            </w:pPr>
            <w:r w:rsidRPr="00701517">
              <w:t>$</w:t>
            </w:r>
            <w:r w:rsidR="00783DC2" w:rsidRPr="00783DC2">
              <w:rPr>
                <w:highlight w:val="black"/>
              </w:rPr>
              <w:t>&amp;&amp;&amp;&amp;</w:t>
            </w:r>
            <w:r w:rsidRPr="00701517">
              <w:rPr>
                <w:vertAlign w:val="superscript"/>
              </w:rPr>
              <w:t xml:space="preserve"> d</w:t>
            </w:r>
          </w:p>
        </w:tc>
      </w:tr>
      <w:tr w:rsidR="00A76560" w:rsidRPr="00701517" w14:paraId="2B05290E" w14:textId="77777777">
        <w:tc>
          <w:tcPr>
            <w:tcW w:w="1425" w:type="pct"/>
            <w:tcBorders>
              <w:top w:val="single" w:sz="4" w:space="0" w:color="auto"/>
              <w:left w:val="single" w:sz="4" w:space="0" w:color="auto"/>
              <w:bottom w:val="single" w:sz="4" w:space="0" w:color="auto"/>
              <w:right w:val="single" w:sz="4" w:space="0" w:color="auto"/>
            </w:tcBorders>
          </w:tcPr>
          <w:p w14:paraId="5B39ED1E" w14:textId="77777777" w:rsidR="00A76560" w:rsidRPr="00701517" w:rsidRDefault="00A76560">
            <w:pPr>
              <w:pStyle w:val="TableText"/>
            </w:pPr>
            <w:r w:rsidRPr="00701517">
              <w:t>Ruxolitinib 25 mg dose strength</w:t>
            </w:r>
          </w:p>
        </w:tc>
        <w:tc>
          <w:tcPr>
            <w:tcW w:w="2148" w:type="pct"/>
            <w:tcBorders>
              <w:top w:val="single" w:sz="4" w:space="0" w:color="auto"/>
              <w:left w:val="single" w:sz="4" w:space="0" w:color="auto"/>
              <w:bottom w:val="single" w:sz="4" w:space="0" w:color="auto"/>
              <w:right w:val="single" w:sz="4" w:space="0" w:color="auto"/>
            </w:tcBorders>
            <w:vAlign w:val="bottom"/>
          </w:tcPr>
          <w:p w14:paraId="584A7B7A" w14:textId="77777777" w:rsidR="00A76560" w:rsidRPr="00701517" w:rsidRDefault="00A76560">
            <w:pPr>
              <w:pStyle w:val="TableText"/>
              <w:jc w:val="center"/>
            </w:pPr>
            <w:r w:rsidRPr="00701517">
              <w:t>-</w:t>
            </w:r>
          </w:p>
        </w:tc>
        <w:tc>
          <w:tcPr>
            <w:tcW w:w="1427" w:type="pct"/>
            <w:tcBorders>
              <w:top w:val="single" w:sz="4" w:space="0" w:color="auto"/>
              <w:left w:val="single" w:sz="4" w:space="0" w:color="auto"/>
              <w:bottom w:val="single" w:sz="4" w:space="0" w:color="auto"/>
              <w:right w:val="single" w:sz="4" w:space="0" w:color="auto"/>
            </w:tcBorders>
            <w:vAlign w:val="bottom"/>
          </w:tcPr>
          <w:p w14:paraId="3C6FE085" w14:textId="6A0FD380" w:rsidR="00A76560" w:rsidRPr="00701517" w:rsidRDefault="00A76560">
            <w:pPr>
              <w:pStyle w:val="TableText"/>
              <w:jc w:val="center"/>
            </w:pPr>
            <w:r w:rsidRPr="00701517">
              <w:t>$</w:t>
            </w:r>
            <w:r w:rsidR="00783DC2" w:rsidRPr="00783DC2">
              <w:rPr>
                <w:highlight w:val="black"/>
              </w:rPr>
              <w:t>&amp;&amp;&amp;&amp;</w:t>
            </w:r>
            <w:r w:rsidRPr="00701517">
              <w:rPr>
                <w:vertAlign w:val="superscript"/>
              </w:rPr>
              <w:t xml:space="preserve"> d</w:t>
            </w:r>
          </w:p>
        </w:tc>
      </w:tr>
      <w:tr w:rsidR="00A76560" w:rsidRPr="004F789C" w14:paraId="7B3C55A4" w14:textId="77777777">
        <w:tc>
          <w:tcPr>
            <w:tcW w:w="1425" w:type="pct"/>
            <w:tcBorders>
              <w:top w:val="single" w:sz="4" w:space="0" w:color="auto"/>
              <w:left w:val="single" w:sz="4" w:space="0" w:color="auto"/>
              <w:bottom w:val="single" w:sz="4" w:space="0" w:color="auto"/>
              <w:right w:val="single" w:sz="4" w:space="0" w:color="auto"/>
            </w:tcBorders>
          </w:tcPr>
          <w:p w14:paraId="0004D6A8" w14:textId="77777777" w:rsidR="00A76560" w:rsidRPr="00701517" w:rsidRDefault="00A76560">
            <w:pPr>
              <w:pStyle w:val="TableText"/>
            </w:pPr>
            <w:r w:rsidRPr="00701517">
              <w:t>Weighted average ruxolitinib</w:t>
            </w:r>
          </w:p>
        </w:tc>
        <w:tc>
          <w:tcPr>
            <w:tcW w:w="2148" w:type="pct"/>
            <w:tcBorders>
              <w:top w:val="single" w:sz="4" w:space="0" w:color="auto"/>
              <w:left w:val="single" w:sz="4" w:space="0" w:color="auto"/>
              <w:bottom w:val="single" w:sz="4" w:space="0" w:color="auto"/>
              <w:right w:val="single" w:sz="4" w:space="0" w:color="auto"/>
            </w:tcBorders>
            <w:vAlign w:val="bottom"/>
          </w:tcPr>
          <w:p w14:paraId="54AB92F8" w14:textId="1CB56506" w:rsidR="00A76560" w:rsidRPr="00701517" w:rsidRDefault="00A76560">
            <w:pPr>
              <w:pStyle w:val="TableText"/>
              <w:jc w:val="center"/>
            </w:pPr>
            <w:r w:rsidRPr="00701517">
              <w:t>$</w:t>
            </w:r>
            <w:r w:rsidR="00783DC2" w:rsidRPr="00783DC2">
              <w:rPr>
                <w:highlight w:val="black"/>
              </w:rPr>
              <w:t>&amp;&amp;&amp;&amp;</w:t>
            </w:r>
            <w:r w:rsidRPr="00701517">
              <w:rPr>
                <w:vertAlign w:val="superscript"/>
              </w:rPr>
              <w:t xml:space="preserve"> c</w:t>
            </w:r>
          </w:p>
        </w:tc>
        <w:tc>
          <w:tcPr>
            <w:tcW w:w="1427" w:type="pct"/>
            <w:tcBorders>
              <w:top w:val="single" w:sz="4" w:space="0" w:color="auto"/>
              <w:left w:val="single" w:sz="4" w:space="0" w:color="auto"/>
              <w:bottom w:val="single" w:sz="4" w:space="0" w:color="auto"/>
              <w:right w:val="single" w:sz="4" w:space="0" w:color="auto"/>
            </w:tcBorders>
            <w:vAlign w:val="bottom"/>
          </w:tcPr>
          <w:p w14:paraId="553206D1" w14:textId="77777777" w:rsidR="00A76560" w:rsidRPr="00701517" w:rsidRDefault="00A76560">
            <w:pPr>
              <w:pStyle w:val="TableText"/>
              <w:jc w:val="center"/>
            </w:pPr>
            <w:r w:rsidRPr="00701517">
              <w:t>-</w:t>
            </w:r>
          </w:p>
        </w:tc>
      </w:tr>
    </w:tbl>
    <w:p w14:paraId="6D0501A4" w14:textId="77777777" w:rsidR="00E4179C" w:rsidRDefault="00E4179C" w:rsidP="00E4179C">
      <w:pPr>
        <w:pStyle w:val="COMTablefooter"/>
      </w:pPr>
      <w:r w:rsidRPr="004F789C">
        <w:t>Source: Constructed during the evaluation</w:t>
      </w:r>
      <w:r>
        <w:t xml:space="preserve"> based on ‘Attachment 14 - Fedratinib Cost-Minimisation Analysis’ and ‘</w:t>
      </w:r>
      <w:r w:rsidRPr="00707C19">
        <w:t xml:space="preserve">Attachment 15 - </w:t>
      </w:r>
      <w:proofErr w:type="spellStart"/>
      <w:r w:rsidRPr="00707C19">
        <w:t>Fedratinib</w:t>
      </w:r>
      <w:proofErr w:type="spellEnd"/>
      <w:r w:rsidRPr="00707C19">
        <w:t xml:space="preserve">_ </w:t>
      </w:r>
      <w:proofErr w:type="spellStart"/>
      <w:r w:rsidRPr="00707C19">
        <w:t>MF_Utilisation</w:t>
      </w:r>
      <w:proofErr w:type="spellEnd"/>
      <w:r w:rsidRPr="00707C19">
        <w:t xml:space="preserve"> and Cost Model</w:t>
      </w:r>
      <w:r>
        <w:t>’ spreadsheets provided with the submission</w:t>
      </w:r>
      <w:r w:rsidRPr="004F789C">
        <w:t>.</w:t>
      </w:r>
    </w:p>
    <w:p w14:paraId="741CDEDF" w14:textId="77777777" w:rsidR="00E4179C" w:rsidRPr="004F789C" w:rsidRDefault="00E4179C" w:rsidP="00E4179C">
      <w:pPr>
        <w:pStyle w:val="COMTablefooter"/>
      </w:pPr>
      <w:r>
        <w:t>Abbreviations: AEMP, approved ex-manufacture price; DPMQ, dispensed price for maximum quantity.</w:t>
      </w:r>
    </w:p>
    <w:p w14:paraId="129EF93D" w14:textId="52FADBE7" w:rsidR="00E4179C" w:rsidRPr="00474642" w:rsidRDefault="00E4179C" w:rsidP="00E4179C">
      <w:pPr>
        <w:pStyle w:val="COMTablefooter"/>
      </w:pPr>
      <w:r w:rsidRPr="004F789C">
        <w:rPr>
          <w:vertAlign w:val="superscript"/>
        </w:rPr>
        <w:t>a</w:t>
      </w:r>
      <w:r w:rsidRPr="004F789C">
        <w:t xml:space="preserve"> </w:t>
      </w:r>
      <w:r>
        <w:t>Derived based on the weighted average cost per day calculated for ruxolitinib (AEMP $</w:t>
      </w:r>
      <w:r w:rsidR="00783DC2" w:rsidRPr="00783DC2">
        <w:rPr>
          <w:highlight w:val="black"/>
        </w:rPr>
        <w:t>&amp;&amp;&amp;&amp;</w:t>
      </w:r>
      <w:r>
        <w:t xml:space="preserve">) minus the costs associated with thiamine testing and supplementation and the costs of an </w:t>
      </w:r>
      <w:proofErr w:type="spellStart"/>
      <w:r>
        <w:t>antidiarrhoeal</w:t>
      </w:r>
      <w:proofErr w:type="spellEnd"/>
      <w:r>
        <w:t xml:space="preserve"> ($0</w:t>
      </w:r>
      <w:r w:rsidRPr="000D6764">
        <w:t xml:space="preserve">.44); adjusted for the weighted average relative dose intensity for fedratinib from the JAKARTA and </w:t>
      </w:r>
      <w:r w:rsidR="00C97DCC" w:rsidRPr="000D6764">
        <w:t>FREEDOM</w:t>
      </w:r>
      <w:r w:rsidR="00C97DCC">
        <w:t>-</w:t>
      </w:r>
      <w:r w:rsidRPr="000D6764">
        <w:t>2 trials (87.49%)</w:t>
      </w:r>
      <w:r w:rsidR="00707FD5" w:rsidRPr="000D6764">
        <w:t>, with the resulting cost per mg used</w:t>
      </w:r>
      <w:r w:rsidRPr="000D6764">
        <w:t xml:space="preserve"> to derive a price per pack of fedratinib 120×100 mg (DPMQ $</w:t>
      </w:r>
      <w:r w:rsidR="00783DC2" w:rsidRPr="00783DC2">
        <w:rPr>
          <w:highlight w:val="black"/>
        </w:rPr>
        <w:t>&amp;&amp;&amp;&amp;</w:t>
      </w:r>
      <w:r w:rsidRPr="000D6764">
        <w:t>). The DPMQ was multiplied by the relative dose in intensity (87.49%), divided by 30 days of treatment and multiplied by the 365.25 days to derive the cost per year.</w:t>
      </w:r>
    </w:p>
    <w:p w14:paraId="77CC661C" w14:textId="407BEECA" w:rsidR="00E4179C" w:rsidRDefault="00E4179C" w:rsidP="00E4179C">
      <w:pPr>
        <w:pStyle w:val="COMTablefooter"/>
      </w:pPr>
      <w:r w:rsidRPr="0014597B">
        <w:rPr>
          <w:vertAlign w:val="superscript"/>
        </w:rPr>
        <w:t xml:space="preserve">b </w:t>
      </w:r>
      <w:r>
        <w:t>The published AEMPs for ruxolitinib ($2,375.00 per pack of ruxolitinib 56×5 mg; $4,750 per pack of 56×10/15/20 mg) were used to derive an average cost per mg (5 mg $8.48; 10 mg $8.48; 15 mg $5.65; 20 mg $4.24); multiplied by the average daily dose of ruxolitinib from the 2018</w:t>
      </w:r>
      <w:r w:rsidRPr="00842184">
        <w:t xml:space="preserve"> DUSC utilisation report for ruxolitinib</w:t>
      </w:r>
      <w:r>
        <w:t xml:space="preserve"> (27.1 mg); and adjusted for an </w:t>
      </w:r>
      <w:r w:rsidRPr="00370431">
        <w:t xml:space="preserve">assumed </w:t>
      </w:r>
      <w:r w:rsidR="00783DC2" w:rsidRPr="00783DC2">
        <w:rPr>
          <w:highlight w:val="black"/>
        </w:rPr>
        <w:t>&amp;&amp;&amp;&amp;</w:t>
      </w:r>
      <w:r w:rsidRPr="00370431">
        <w:t>% special</w:t>
      </w:r>
      <w:r>
        <w:t xml:space="preserve"> pricing arrangement rebate. Including fees and mark-ups, the average cost per day (5 mg $</w:t>
      </w:r>
      <w:r w:rsidR="00783DC2" w:rsidRPr="00783DC2">
        <w:rPr>
          <w:highlight w:val="black"/>
        </w:rPr>
        <w:t>&amp;&amp;&amp;&amp;</w:t>
      </w:r>
      <w:r>
        <w:t>; 10 mg $</w:t>
      </w:r>
      <w:r w:rsidR="00783DC2" w:rsidRPr="00783DC2">
        <w:rPr>
          <w:highlight w:val="black"/>
        </w:rPr>
        <w:t>&amp;&amp;&amp;&amp;</w:t>
      </w:r>
      <w:r>
        <w:t>; 15 mg $</w:t>
      </w:r>
      <w:r w:rsidR="00783DC2" w:rsidRPr="00783DC2">
        <w:rPr>
          <w:highlight w:val="black"/>
        </w:rPr>
        <w:t>&amp;&amp;&amp;&amp;</w:t>
      </w:r>
      <w:r>
        <w:t>; 20 mg $</w:t>
      </w:r>
      <w:r w:rsidR="00783DC2" w:rsidRPr="00783DC2">
        <w:rPr>
          <w:highlight w:val="black"/>
        </w:rPr>
        <w:t>&amp;&amp;&amp;&amp;</w:t>
      </w:r>
      <w:r>
        <w:t>) was multiplied by 365.25 days to derive the cost per year.</w:t>
      </w:r>
    </w:p>
    <w:p w14:paraId="77762EEA" w14:textId="1365F17C" w:rsidR="00E4179C" w:rsidRDefault="00E4179C" w:rsidP="00E4179C">
      <w:pPr>
        <w:pStyle w:val="COMTablefooter"/>
      </w:pPr>
      <w:r>
        <w:rPr>
          <w:vertAlign w:val="superscript"/>
        </w:rPr>
        <w:t>c</w:t>
      </w:r>
      <w:r w:rsidRPr="00842184">
        <w:rPr>
          <w:vertAlign w:val="superscript"/>
        </w:rPr>
        <w:t xml:space="preserve"> </w:t>
      </w:r>
      <w:r>
        <w:t>The weighted average cost per day of ruxolitinib was derived by multiplying the average cost per day for each dose strength by the distribution of use based on</w:t>
      </w:r>
      <w:r w:rsidRPr="00707C19">
        <w:t xml:space="preserve"> PBS/RPBS utilisation statistics from June 2024 – May 2025</w:t>
      </w:r>
      <w:r>
        <w:t xml:space="preserve">. </w:t>
      </w:r>
      <w:bookmarkStart w:id="51" w:name="_Hlk208048737"/>
      <w:r>
        <w:t>The weighted average cost per day ($</w:t>
      </w:r>
      <w:r w:rsidR="00783DC2" w:rsidRPr="00783DC2">
        <w:rPr>
          <w:highlight w:val="black"/>
        </w:rPr>
        <w:t>&amp;&amp;&amp;&amp;</w:t>
      </w:r>
      <w:r w:rsidR="004F73BA">
        <w:t>, inclusive of fees and markups</w:t>
      </w:r>
      <w:r>
        <w:t>) was multiplied by 365.25 days to derive the cost per year.</w:t>
      </w:r>
    </w:p>
    <w:bookmarkEnd w:id="51"/>
    <w:p w14:paraId="16FEEEB7" w14:textId="68F197A4" w:rsidR="00A73EC9" w:rsidRPr="0098262F" w:rsidRDefault="00E4179C" w:rsidP="00C94053">
      <w:pPr>
        <w:pStyle w:val="COMTablefooter"/>
      </w:pPr>
      <w:r w:rsidRPr="00213F30">
        <w:rPr>
          <w:vertAlign w:val="superscript"/>
        </w:rPr>
        <w:t xml:space="preserve">d </w:t>
      </w:r>
      <w:r>
        <w:t>Based on assumed script equivalence of 6.52 scripts of ruxolitinib 112×5 mg tablets (assuming 2 packs per script); 13.04 scripts of ruxolitinib 56×10/15/20 mg tablets; and for ruxolitinib 25 mg twice daily – 13.04 scripts of ruxolitinib 56×5 mg tablets (assuming 1 pack per script) and 13.04 scripts of ruxolitinib 56×20 mg tablets; is equivalent to 10.65 scripts of fedratinib 120×100 mg capsules (400 mg daily×87.49% relative dose intensity×12.175 scripts). Ruxolitinib DPMQs were adjusted for an assu</w:t>
      </w:r>
      <w:r w:rsidRPr="006B7329">
        <w:t xml:space="preserve">med </w:t>
      </w:r>
      <w:r w:rsidR="00783DC2" w:rsidRPr="00783DC2">
        <w:rPr>
          <w:highlight w:val="black"/>
        </w:rPr>
        <w:t>&amp;&amp;&amp;&amp;</w:t>
      </w:r>
      <w:r w:rsidRPr="006B7329">
        <w:t>% special pricing</w:t>
      </w:r>
      <w:r>
        <w:t xml:space="preserve"> arrangement rebate (112×5 mg tablets $</w:t>
      </w:r>
      <w:r w:rsidR="00783DC2" w:rsidRPr="00783DC2">
        <w:rPr>
          <w:highlight w:val="black"/>
        </w:rPr>
        <w:t>&amp;&amp;&amp;&amp;</w:t>
      </w:r>
      <w:r>
        <w:t>; 56×5 mg tablets $</w:t>
      </w:r>
      <w:r w:rsidR="00783DC2" w:rsidRPr="00783DC2">
        <w:rPr>
          <w:highlight w:val="black"/>
        </w:rPr>
        <w:t>&amp;&amp;&amp;&amp;</w:t>
      </w:r>
      <w:r>
        <w:t>; 56×10/15/20 mg tablets $</w:t>
      </w:r>
      <w:r w:rsidR="00783DC2" w:rsidRPr="00783DC2">
        <w:rPr>
          <w:highlight w:val="black"/>
        </w:rPr>
        <w:t>&amp;&amp;&amp;&amp;</w:t>
      </w:r>
      <w:r>
        <w:t>). The DPMQ for fedratinib 120×100 mg capsules ($</w:t>
      </w:r>
      <w:r w:rsidR="00783DC2" w:rsidRPr="00783DC2">
        <w:rPr>
          <w:highlight w:val="black"/>
        </w:rPr>
        <w:t>&amp;&amp;&amp;&amp;</w:t>
      </w:r>
      <w:r>
        <w:t xml:space="preserve">) was derived from the submission’s </w:t>
      </w:r>
      <w:r w:rsidR="00611FB4">
        <w:t>cost-minimisation</w:t>
      </w:r>
      <w:r>
        <w:t xml:space="preserve"> approach.</w:t>
      </w:r>
    </w:p>
    <w:p w14:paraId="268768EF" w14:textId="3626F292" w:rsidR="00B60939" w:rsidRPr="0098262F" w:rsidRDefault="00B60939" w:rsidP="002B05A1">
      <w:pPr>
        <w:pStyle w:val="COMESSubsectionheading"/>
      </w:pPr>
      <w:bookmarkStart w:id="52" w:name="_Toc22897647"/>
      <w:bookmarkStart w:id="53" w:name="_Toc209002722"/>
      <w:r w:rsidRPr="0098262F">
        <w:t>Estimated PBS usage &amp; financial implications</w:t>
      </w:r>
      <w:bookmarkEnd w:id="52"/>
      <w:bookmarkEnd w:id="53"/>
    </w:p>
    <w:p w14:paraId="31BBE23C" w14:textId="77742C52" w:rsidR="00866658" w:rsidRPr="00866658" w:rsidRDefault="00C25D9C" w:rsidP="00A60EB4">
      <w:pPr>
        <w:pStyle w:val="COMESnumberedpara"/>
        <w:numPr>
          <w:ilvl w:val="1"/>
          <w:numId w:val="9"/>
        </w:numPr>
      </w:pPr>
      <w:r w:rsidRPr="0098262F">
        <w:t xml:space="preserve">This submission </w:t>
      </w:r>
      <w:r w:rsidR="00FF42BF">
        <w:t xml:space="preserve">was </w:t>
      </w:r>
      <w:r w:rsidRPr="0098262F">
        <w:t>not</w:t>
      </w:r>
      <w:r w:rsidR="00DA045C">
        <w:rPr>
          <w:color w:val="0066FF"/>
        </w:rPr>
        <w:t xml:space="preserve"> </w:t>
      </w:r>
      <w:r w:rsidRPr="0098262F">
        <w:t>considered by DUSC</w:t>
      </w:r>
      <w:r w:rsidRPr="00DA045C">
        <w:rPr>
          <w:color w:val="0070C0"/>
        </w:rPr>
        <w:t>.</w:t>
      </w:r>
    </w:p>
    <w:p w14:paraId="03BE5627" w14:textId="343027B8" w:rsidR="00EE591B" w:rsidRDefault="00EE591B" w:rsidP="00A60EB4">
      <w:pPr>
        <w:pStyle w:val="COMESnumberedpara"/>
        <w:numPr>
          <w:ilvl w:val="1"/>
          <w:numId w:val="9"/>
        </w:numPr>
      </w:pPr>
      <w:r w:rsidRPr="00A20777">
        <w:t xml:space="preserve">The </w:t>
      </w:r>
      <w:r w:rsidRPr="00536E67">
        <w:t>resubmission use</w:t>
      </w:r>
      <w:r>
        <w:t>d</w:t>
      </w:r>
      <w:r w:rsidRPr="00536E67">
        <w:t xml:space="preserve"> a market share approach </w:t>
      </w:r>
      <w:r>
        <w:t>t</w:t>
      </w:r>
      <w:r w:rsidRPr="003A2607">
        <w:t xml:space="preserve">o estimate the utilisation and financial implications of </w:t>
      </w:r>
      <w:r w:rsidR="00F018E9">
        <w:t xml:space="preserve">a line agnostic PBS/RPBS </w:t>
      </w:r>
      <w:r w:rsidRPr="003A2607">
        <w:t>listing</w:t>
      </w:r>
      <w:r w:rsidR="00F018E9">
        <w:t xml:space="preserve"> for</w:t>
      </w:r>
      <w:r w:rsidRPr="005F5E2D">
        <w:t xml:space="preserve"> fedratinib</w:t>
      </w:r>
      <w:r w:rsidRPr="00536E67">
        <w:t xml:space="preserve"> </w:t>
      </w:r>
      <w:r>
        <w:t>for</w:t>
      </w:r>
      <w:r w:rsidRPr="002E3C29">
        <w:t xml:space="preserve"> the treatment of patients with intermediate/high-risk primary myelofibrosis, post-</w:t>
      </w:r>
      <w:r w:rsidR="00237EAF">
        <w:t>polycythaemia vera</w:t>
      </w:r>
      <w:r w:rsidRPr="002E3C29">
        <w:t xml:space="preserve"> myelofibrosis, or post</w:t>
      </w:r>
      <w:r w:rsidR="00E61FCB">
        <w:t>-essential thrombocythaemia</w:t>
      </w:r>
      <w:r w:rsidRPr="002E3C29">
        <w:t xml:space="preserve"> myelofibrosis. </w:t>
      </w:r>
    </w:p>
    <w:p w14:paraId="49638791" w14:textId="4811CAE7" w:rsidR="0081549E" w:rsidRPr="00A20777" w:rsidRDefault="008A3A5A" w:rsidP="00A60EB4">
      <w:pPr>
        <w:pStyle w:val="COMESnumberedpara"/>
        <w:numPr>
          <w:ilvl w:val="1"/>
          <w:numId w:val="9"/>
        </w:numPr>
      </w:pPr>
      <w:r>
        <w:fldChar w:fldCharType="begin"/>
      </w:r>
      <w:r>
        <w:instrText xml:space="preserve"> REF _Ref104805262 \h </w:instrText>
      </w:r>
      <w:r>
        <w:fldChar w:fldCharType="separate"/>
      </w:r>
      <w:r w:rsidR="000F0515" w:rsidRPr="0098262F">
        <w:t xml:space="preserve">Table </w:t>
      </w:r>
      <w:r w:rsidR="000F0515">
        <w:rPr>
          <w:noProof/>
        </w:rPr>
        <w:t>16</w:t>
      </w:r>
      <w:r>
        <w:fldChar w:fldCharType="end"/>
      </w:r>
      <w:r>
        <w:t xml:space="preserve"> </w:t>
      </w:r>
      <w:r w:rsidR="0081549E">
        <w:t>presents the key inputs used to derive the financial estimates</w:t>
      </w:r>
      <w:r w:rsidR="00F65CC3">
        <w:t>.</w:t>
      </w:r>
      <w:r w:rsidR="0081549E" w:rsidRPr="002E3C29">
        <w:t xml:space="preserve"> </w:t>
      </w:r>
    </w:p>
    <w:p w14:paraId="3393BCE7" w14:textId="4C5044EE" w:rsidR="00E42F73" w:rsidRPr="0098262F" w:rsidRDefault="00E16AD8" w:rsidP="002031BF">
      <w:pPr>
        <w:pStyle w:val="COMTableFigurecaption"/>
      </w:pPr>
      <w:bookmarkStart w:id="54" w:name="_Ref104805262"/>
      <w:r w:rsidRPr="0098262F">
        <w:t xml:space="preserve">Table </w:t>
      </w:r>
      <w:r w:rsidR="0003298B">
        <w:fldChar w:fldCharType="begin"/>
      </w:r>
      <w:r w:rsidR="0003298B">
        <w:instrText xml:space="preserve"> SEQ Table \* ARABIC </w:instrText>
      </w:r>
      <w:r w:rsidR="0003298B">
        <w:fldChar w:fldCharType="separate"/>
      </w:r>
      <w:r w:rsidR="000F0515">
        <w:rPr>
          <w:noProof/>
        </w:rPr>
        <w:t>16</w:t>
      </w:r>
      <w:r w:rsidR="0003298B">
        <w:rPr>
          <w:noProof/>
        </w:rPr>
        <w:fldChar w:fldCharType="end"/>
      </w:r>
      <w:bookmarkEnd w:id="54"/>
      <w:r w:rsidRPr="0098262F">
        <w:t>:</w:t>
      </w:r>
      <w:r w:rsidR="00E42F73" w:rsidRPr="0098262F">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Key inputs for financial estimates"/>
      </w:tblPr>
      <w:tblGrid>
        <w:gridCol w:w="1555"/>
        <w:gridCol w:w="3685"/>
        <w:gridCol w:w="3940"/>
      </w:tblGrid>
      <w:tr w:rsidR="00DB62D6" w:rsidRPr="00BE0BCF" w14:paraId="3F5AED1C" w14:textId="77777777" w:rsidTr="007B652C">
        <w:trPr>
          <w:tblHeader/>
        </w:trPr>
        <w:tc>
          <w:tcPr>
            <w:tcW w:w="1555" w:type="dxa"/>
            <w:vAlign w:val="center"/>
          </w:tcPr>
          <w:p w14:paraId="3BA5A251" w14:textId="77777777" w:rsidR="00DB62D6" w:rsidRPr="00BE0BCF" w:rsidRDefault="00DB62D6">
            <w:pPr>
              <w:pStyle w:val="COMTableheadingrow"/>
            </w:pPr>
            <w:r w:rsidRPr="00BE0BCF">
              <w:t>Data</w:t>
            </w:r>
          </w:p>
        </w:tc>
        <w:tc>
          <w:tcPr>
            <w:tcW w:w="3685" w:type="dxa"/>
            <w:vAlign w:val="center"/>
          </w:tcPr>
          <w:p w14:paraId="2519F4F9" w14:textId="77F61B01" w:rsidR="00DB62D6" w:rsidRPr="00BE0BCF" w:rsidRDefault="00DB62D6" w:rsidP="00DB62D6">
            <w:pPr>
              <w:pStyle w:val="COMTableheadingrow"/>
              <w:jc w:val="center"/>
            </w:pPr>
            <w:r>
              <w:t>Value applied and s</w:t>
            </w:r>
            <w:r w:rsidRPr="00BE0BCF">
              <w:t>ource</w:t>
            </w:r>
          </w:p>
        </w:tc>
        <w:tc>
          <w:tcPr>
            <w:tcW w:w="3940" w:type="dxa"/>
            <w:vAlign w:val="center"/>
          </w:tcPr>
          <w:p w14:paraId="6FD7A828" w14:textId="77777777" w:rsidR="00DB62D6" w:rsidRPr="00BE0BCF" w:rsidRDefault="00DB62D6">
            <w:pPr>
              <w:pStyle w:val="COMTableheadingrow"/>
              <w:jc w:val="center"/>
            </w:pPr>
            <w:r w:rsidRPr="00BE0BCF">
              <w:t>Comment</w:t>
            </w:r>
          </w:p>
        </w:tc>
      </w:tr>
      <w:tr w:rsidR="00270633" w:rsidRPr="00BE0BCF" w14:paraId="287B0BC0" w14:textId="77777777">
        <w:tc>
          <w:tcPr>
            <w:tcW w:w="9180" w:type="dxa"/>
            <w:gridSpan w:val="3"/>
            <w:vAlign w:val="center"/>
          </w:tcPr>
          <w:p w14:paraId="1E471847" w14:textId="77777777" w:rsidR="00270633" w:rsidRPr="0064445B" w:rsidRDefault="00270633">
            <w:pPr>
              <w:pStyle w:val="COMTabletext"/>
              <w:keepNext w:val="0"/>
              <w:keepLines w:val="0"/>
              <w:widowControl w:val="0"/>
              <w:rPr>
                <w:b/>
              </w:rPr>
            </w:pPr>
            <w:r w:rsidRPr="0064445B">
              <w:rPr>
                <w:b/>
              </w:rPr>
              <w:t>Eligible population</w:t>
            </w:r>
          </w:p>
        </w:tc>
      </w:tr>
      <w:tr w:rsidR="00DB62D6" w:rsidRPr="00BE0BCF" w14:paraId="4ED6E32C" w14:textId="77777777" w:rsidTr="007B652C">
        <w:tc>
          <w:tcPr>
            <w:tcW w:w="1555" w:type="dxa"/>
            <w:vAlign w:val="center"/>
          </w:tcPr>
          <w:p w14:paraId="137E81D2" w14:textId="22445EED" w:rsidR="00DB62D6" w:rsidRPr="00BE0BCF" w:rsidRDefault="00DB62D6">
            <w:pPr>
              <w:pStyle w:val="COMTabletext"/>
              <w:keepNext w:val="0"/>
              <w:keepLines w:val="0"/>
              <w:widowControl w:val="0"/>
            </w:pPr>
            <w:r w:rsidRPr="00BE0BCF">
              <w:t>Ruxolitinib scripts</w:t>
            </w:r>
          </w:p>
        </w:tc>
        <w:tc>
          <w:tcPr>
            <w:tcW w:w="3685" w:type="dxa"/>
            <w:vAlign w:val="center"/>
          </w:tcPr>
          <w:p w14:paraId="22FD7E93" w14:textId="03326E64" w:rsidR="00DB62D6" w:rsidRPr="00BE0BCF" w:rsidRDefault="00DB62D6">
            <w:pPr>
              <w:pStyle w:val="COMTabletext"/>
              <w:keepNext w:val="0"/>
              <w:keepLines w:val="0"/>
              <w:widowControl w:val="0"/>
            </w:pPr>
          </w:p>
          <w:p w14:paraId="4F79330B" w14:textId="776EC16E" w:rsidR="00DB62D6" w:rsidRPr="00BE0BCF" w:rsidRDefault="00DB62D6" w:rsidP="00DE20A7">
            <w:pPr>
              <w:pStyle w:val="COMTabletext"/>
              <w:keepNext w:val="0"/>
              <w:keepLines w:val="0"/>
              <w:widowControl w:val="0"/>
            </w:pPr>
            <w:r w:rsidRPr="00BE0BCF">
              <w:t xml:space="preserve">Ruxolitinib PBS initial and continuing </w:t>
            </w:r>
            <w:r>
              <w:t xml:space="preserve">treatment scripts for intermediate-1, intermediate-2 and high risk myelofibrosis, dispensed from June 2024 to May 2025, with an estimated annual growth rate of 6.37% based on ruxolitinib scripts between 2020 and 2024, extrapolated </w:t>
            </w:r>
            <w:r w:rsidR="00602941">
              <w:t>over initial 6 years of fedratinib listing (</w:t>
            </w:r>
            <w:r w:rsidR="003C6F02">
              <w:t xml:space="preserve">June 2026 </w:t>
            </w:r>
            <w:r w:rsidR="00602941">
              <w:t xml:space="preserve">to </w:t>
            </w:r>
            <w:r w:rsidR="003C6F02">
              <w:t xml:space="preserve">May </w:t>
            </w:r>
            <w:r w:rsidR="00602941">
              <w:t>203</w:t>
            </w:r>
            <w:r w:rsidR="003C6F02">
              <w:t>1</w:t>
            </w:r>
            <w:r w:rsidR="00602941">
              <w:t>)</w:t>
            </w:r>
            <w:r>
              <w:t xml:space="preserve">.  </w:t>
            </w:r>
            <w:r w:rsidRPr="00BE0BCF" w:rsidDel="00C826D5">
              <w:t xml:space="preserve"> </w:t>
            </w:r>
          </w:p>
          <w:p w14:paraId="77A80136" w14:textId="77777777" w:rsidR="00DB62D6" w:rsidRPr="00BE0BCF" w:rsidRDefault="00DB62D6">
            <w:pPr>
              <w:pStyle w:val="COMTabletext"/>
              <w:keepNext w:val="0"/>
              <w:keepLines w:val="0"/>
              <w:widowControl w:val="0"/>
            </w:pPr>
          </w:p>
        </w:tc>
        <w:tc>
          <w:tcPr>
            <w:tcW w:w="3940" w:type="dxa"/>
            <w:vAlign w:val="center"/>
          </w:tcPr>
          <w:p w14:paraId="79278D0C" w14:textId="77777777" w:rsidR="00295A9C" w:rsidRPr="00CB1EA6" w:rsidRDefault="003C6F02" w:rsidP="003C6F02">
            <w:pPr>
              <w:pStyle w:val="COMTabletext"/>
              <w:keepNext w:val="0"/>
              <w:keepLines w:val="0"/>
              <w:widowControl w:val="0"/>
              <w:spacing w:after="60"/>
            </w:pPr>
            <w:r w:rsidRPr="00CB1EA6">
              <w:t>This appeared reasonable, although the Utilisation and Cost Model Workbook template specifies that service volumes should be based on the last full calendar year.</w:t>
            </w:r>
          </w:p>
          <w:p w14:paraId="7FA8AAC3" w14:textId="1E032177" w:rsidR="003C6F02" w:rsidRPr="00CB1EA6" w:rsidRDefault="003C6F02" w:rsidP="003C6F02">
            <w:pPr>
              <w:pStyle w:val="COMTabletext"/>
              <w:keepNext w:val="0"/>
              <w:keepLines w:val="0"/>
              <w:widowControl w:val="0"/>
              <w:spacing w:after="60"/>
            </w:pPr>
            <w:r w:rsidRPr="00CB1EA6">
              <w:t>The market share approach will not account for eligible patients who have discontinued ruxolitinib treatment.</w:t>
            </w:r>
          </w:p>
          <w:p w14:paraId="03437B1E" w14:textId="43EFAD52" w:rsidR="00DB62D6" w:rsidRPr="00CB1EA6" w:rsidRDefault="00602941" w:rsidP="00295A9C">
            <w:pPr>
              <w:pStyle w:val="COMTabletext"/>
              <w:keepNext w:val="0"/>
              <w:keepLines w:val="0"/>
              <w:widowControl w:val="0"/>
            </w:pPr>
            <w:r w:rsidRPr="00CB1EA6">
              <w:t xml:space="preserve">The projected growth rate for ruxolitinib may be an underestimate. DUSC previously considered an average annual growth rate of 9.1%, applied in the November 2024 </w:t>
            </w:r>
            <w:proofErr w:type="spellStart"/>
            <w:r w:rsidRPr="00CB1EA6">
              <w:t>momelotinib</w:t>
            </w:r>
            <w:proofErr w:type="spellEnd"/>
            <w:r w:rsidRPr="00CB1EA6">
              <w:t xml:space="preserve"> submission, to be an underestimate (Table 13, </w:t>
            </w:r>
            <w:proofErr w:type="spellStart"/>
            <w:r w:rsidRPr="00CB1EA6">
              <w:t>momelotinib</w:t>
            </w:r>
            <w:proofErr w:type="spellEnd"/>
            <w:r w:rsidRPr="00CB1EA6">
              <w:t xml:space="preserve"> PSD, November 2024 PBAC meeting).</w:t>
            </w:r>
          </w:p>
        </w:tc>
      </w:tr>
      <w:tr w:rsidR="00270633" w:rsidRPr="00BE0BCF" w14:paraId="2E4F7C5E" w14:textId="77777777">
        <w:tc>
          <w:tcPr>
            <w:tcW w:w="9180" w:type="dxa"/>
            <w:gridSpan w:val="3"/>
            <w:vAlign w:val="center"/>
          </w:tcPr>
          <w:p w14:paraId="0D37BCB7" w14:textId="77777777" w:rsidR="00270633" w:rsidRPr="0064445B" w:rsidRDefault="00270633">
            <w:pPr>
              <w:pStyle w:val="COMTabletext"/>
              <w:keepNext w:val="0"/>
              <w:keepLines w:val="0"/>
              <w:widowControl w:val="0"/>
              <w:rPr>
                <w:b/>
              </w:rPr>
            </w:pPr>
            <w:r w:rsidRPr="0064445B">
              <w:rPr>
                <w:b/>
              </w:rPr>
              <w:t>Treatment utilisation</w:t>
            </w:r>
          </w:p>
        </w:tc>
      </w:tr>
      <w:tr w:rsidR="00803E51" w:rsidRPr="00BE0BCF" w14:paraId="61FAAF38" w14:textId="77777777" w:rsidTr="007B652C">
        <w:tc>
          <w:tcPr>
            <w:tcW w:w="1555" w:type="dxa"/>
            <w:vAlign w:val="center"/>
          </w:tcPr>
          <w:p w14:paraId="3A62EB5B" w14:textId="77777777" w:rsidR="00803E51" w:rsidRPr="00BE0BCF" w:rsidRDefault="00803E51">
            <w:pPr>
              <w:pStyle w:val="COMTabletext"/>
              <w:keepNext w:val="0"/>
              <w:keepLines w:val="0"/>
              <w:widowControl w:val="0"/>
            </w:pPr>
            <w:r w:rsidRPr="00BE0BCF">
              <w:t xml:space="preserve">Uptake rate </w:t>
            </w:r>
            <w:r>
              <w:t>for</w:t>
            </w:r>
            <w:r w:rsidRPr="00BE0BCF">
              <w:t xml:space="preserve"> fedratinib</w:t>
            </w:r>
          </w:p>
        </w:tc>
        <w:tc>
          <w:tcPr>
            <w:tcW w:w="3685" w:type="dxa"/>
            <w:vAlign w:val="center"/>
          </w:tcPr>
          <w:p w14:paraId="56C9AABD" w14:textId="49F316F5" w:rsidR="00803E51" w:rsidRPr="00BE0BCF" w:rsidRDefault="00803E51">
            <w:pPr>
              <w:pStyle w:val="COMTabletext"/>
              <w:keepNext w:val="0"/>
              <w:keepLines w:val="0"/>
              <w:widowControl w:val="0"/>
            </w:pPr>
          </w:p>
          <w:p w14:paraId="13495BCB" w14:textId="75832F33" w:rsidR="00803E51" w:rsidRPr="00BE0BCF" w:rsidRDefault="00803E51">
            <w:pPr>
              <w:pStyle w:val="COMTabletext"/>
              <w:keepNext w:val="0"/>
              <w:keepLines w:val="0"/>
              <w:widowControl w:val="0"/>
            </w:pPr>
            <w:r>
              <w:t>A</w:t>
            </w:r>
            <w:r w:rsidRPr="00BE0BCF">
              <w:t>ssum</w:t>
            </w:r>
            <w:r>
              <w:t xml:space="preserve">ed </w:t>
            </w:r>
            <w:r w:rsidR="00783DC2" w:rsidRPr="00783DC2">
              <w:rPr>
                <w:highlight w:val="black"/>
              </w:rPr>
              <w:t>&amp;&amp;&amp;&amp;</w:t>
            </w:r>
            <w:r>
              <w:t>% uptake across all lines of therapy</w:t>
            </w:r>
            <w:r w:rsidRPr="00BE0BCF">
              <w:t>, informed by clinician input</w:t>
            </w:r>
            <w:r>
              <w:t xml:space="preserve">. The resubmission noted that the PBAC previously considered it appropriate to match </w:t>
            </w:r>
            <w:proofErr w:type="spellStart"/>
            <w:r>
              <w:t>momelotinib</w:t>
            </w:r>
            <w:proofErr w:type="spellEnd"/>
            <w:r>
              <w:t xml:space="preserve"> uptake rates in the treatment experienced population with the naïve population (para 7.20, </w:t>
            </w:r>
            <w:proofErr w:type="spellStart"/>
            <w:r>
              <w:t>momelotinib</w:t>
            </w:r>
            <w:proofErr w:type="spellEnd"/>
            <w:r>
              <w:t xml:space="preserve"> PSD, November 2024 PBAC meeting). </w:t>
            </w:r>
          </w:p>
        </w:tc>
        <w:tc>
          <w:tcPr>
            <w:tcW w:w="3940" w:type="dxa"/>
            <w:vAlign w:val="center"/>
          </w:tcPr>
          <w:p w14:paraId="0053429B" w14:textId="7B8279FB" w:rsidR="00803E51" w:rsidRPr="00CB1EA6" w:rsidRDefault="00803E51">
            <w:pPr>
              <w:pStyle w:val="COMTabletext"/>
              <w:keepNext w:val="0"/>
              <w:keepLines w:val="0"/>
              <w:widowControl w:val="0"/>
            </w:pPr>
            <w:r w:rsidRPr="00CB1EA6">
              <w:t>The clinician input informing this assumption was not provided in the resubmission. A clinician survey of 11 haematologists included with the resubmission (also provided in the previous submission) only asked clinicians about potential uptake of fedratinib as a second-line treatment after ruxolitinib</w:t>
            </w:r>
            <w:r w:rsidR="001F4AE0" w:rsidRPr="00CB1EA6">
              <w:t xml:space="preserve">. </w:t>
            </w:r>
            <w:r w:rsidRPr="00CB1EA6">
              <w:t xml:space="preserve">While the representativeness of the sample is unclear, </w:t>
            </w:r>
            <w:proofErr w:type="gramStart"/>
            <w:r w:rsidRPr="00CB1EA6">
              <w:t>the majority of</w:t>
            </w:r>
            <w:proofErr w:type="gramEnd"/>
            <w:r w:rsidRPr="00CB1EA6">
              <w:t xml:space="preserve"> clinicians expected relatively high uptake of fedratinib, and the resubmission’s estimates may underestimate fedratinib uptake.</w:t>
            </w:r>
            <w:r w:rsidR="00A13016" w:rsidRPr="00CB1EA6">
              <w:t xml:space="preserve"> The assumption of constant uptake over the initial 6 years of listing may not be reasonable.</w:t>
            </w:r>
          </w:p>
          <w:p w14:paraId="152EEF35" w14:textId="77777777" w:rsidR="00803E51" w:rsidRPr="00CB1EA6" w:rsidRDefault="00803E51">
            <w:pPr>
              <w:pStyle w:val="COMTabletext"/>
              <w:keepNext w:val="0"/>
              <w:keepLines w:val="0"/>
              <w:widowControl w:val="0"/>
            </w:pPr>
          </w:p>
          <w:p w14:paraId="7324B32D" w14:textId="6D240D4A" w:rsidR="00803E51" w:rsidRPr="00CB1EA6" w:rsidRDefault="00F246D1">
            <w:pPr>
              <w:pStyle w:val="COMTabletext"/>
              <w:keepNext w:val="0"/>
              <w:keepLines w:val="0"/>
              <w:widowControl w:val="0"/>
            </w:pPr>
            <w:r w:rsidRPr="00CB1EA6">
              <w:t>T</w:t>
            </w:r>
            <w:r w:rsidR="00803E51" w:rsidRPr="00CB1EA6">
              <w:t xml:space="preserve">he impact of the recent listing of </w:t>
            </w:r>
            <w:proofErr w:type="spellStart"/>
            <w:r w:rsidR="00803E51" w:rsidRPr="00CB1EA6">
              <w:t>momelotinib</w:t>
            </w:r>
            <w:proofErr w:type="spellEnd"/>
            <w:r w:rsidR="00803E51" w:rsidRPr="00CB1EA6">
              <w:t xml:space="preserve"> on the uptake of fedratinib is unclear</w:t>
            </w:r>
            <w:r w:rsidR="00A13016" w:rsidRPr="00CB1EA6">
              <w:t>.</w:t>
            </w:r>
          </w:p>
        </w:tc>
      </w:tr>
      <w:tr w:rsidR="00DA7BAA" w:rsidRPr="00BE0BCF" w14:paraId="3CD139EA" w14:textId="77777777" w:rsidTr="007B652C">
        <w:tc>
          <w:tcPr>
            <w:tcW w:w="1555" w:type="dxa"/>
            <w:vAlign w:val="center"/>
          </w:tcPr>
          <w:p w14:paraId="6920EA82" w14:textId="77777777" w:rsidR="00DA7BAA" w:rsidRPr="00BE0BCF" w:rsidRDefault="00DA7BAA">
            <w:pPr>
              <w:pStyle w:val="COMTabletext"/>
              <w:keepNext w:val="0"/>
              <w:keepLines w:val="0"/>
              <w:widowControl w:val="0"/>
            </w:pPr>
            <w:r w:rsidRPr="00BE0BCF">
              <w:t xml:space="preserve">Fedratinib </w:t>
            </w:r>
            <w:r>
              <w:t>r</w:t>
            </w:r>
            <w:r w:rsidRPr="00BE0BCF">
              <w:t xml:space="preserve">elative dose </w:t>
            </w:r>
            <w:r>
              <w:t>i</w:t>
            </w:r>
            <w:r w:rsidRPr="00BE0BCF">
              <w:t>ntensity</w:t>
            </w:r>
          </w:p>
        </w:tc>
        <w:tc>
          <w:tcPr>
            <w:tcW w:w="3685" w:type="dxa"/>
            <w:vAlign w:val="center"/>
          </w:tcPr>
          <w:p w14:paraId="0E0559CB" w14:textId="05BD1237" w:rsidR="00DA7BAA" w:rsidRPr="00BE0BCF" w:rsidRDefault="00DA7BAA">
            <w:pPr>
              <w:pStyle w:val="COMTabletext"/>
              <w:keepNext w:val="0"/>
              <w:keepLines w:val="0"/>
              <w:widowControl w:val="0"/>
            </w:pPr>
            <w:r>
              <w:t>87.49%</w:t>
            </w:r>
            <w:r w:rsidR="007525CF">
              <w:t>;</w:t>
            </w:r>
            <w:r>
              <w:t xml:space="preserve"> weighted average relative dose intensity across first and second line use based on mean RDI from JAKARTA (92.8%) and FREEDOM-2 (86.9%), weighted by assumed 10%/90% split of first/second line use.</w:t>
            </w:r>
          </w:p>
        </w:tc>
        <w:tc>
          <w:tcPr>
            <w:tcW w:w="3940" w:type="dxa"/>
            <w:tcBorders>
              <w:bottom w:val="single" w:sz="4" w:space="0" w:color="auto"/>
            </w:tcBorders>
            <w:vAlign w:val="center"/>
          </w:tcPr>
          <w:p w14:paraId="7E5277F7" w14:textId="72DC6A50" w:rsidR="00DA7BAA" w:rsidRPr="00CB1EA6" w:rsidRDefault="0051064B">
            <w:pPr>
              <w:pStyle w:val="COMTabletext"/>
              <w:keepNext w:val="0"/>
              <w:keepLines w:val="0"/>
              <w:widowControl w:val="0"/>
            </w:pPr>
            <w:r w:rsidRPr="00CB1EA6">
              <w:t>The mean relative dose intensity reported for fedratinib in the FREEDOM-2 and JAKARTA trials, and the relative treatment adherence for ruxolitinib and fedratinib implied by the market share approach may not reflect the relative treatment adherence for ruxolitinib and fedratinib in clinical practice.</w:t>
            </w:r>
          </w:p>
        </w:tc>
      </w:tr>
      <w:tr w:rsidR="00D714C1" w:rsidRPr="00BE0BCF" w14:paraId="1ACA462C" w14:textId="77777777" w:rsidTr="007B652C">
        <w:tc>
          <w:tcPr>
            <w:tcW w:w="1555" w:type="dxa"/>
            <w:vAlign w:val="center"/>
          </w:tcPr>
          <w:p w14:paraId="41A79129" w14:textId="77777777" w:rsidR="00D714C1" w:rsidRPr="00BE0BCF" w:rsidRDefault="00D714C1">
            <w:pPr>
              <w:pStyle w:val="COMTabletext"/>
              <w:keepNext w:val="0"/>
              <w:keepLines w:val="0"/>
              <w:widowControl w:val="0"/>
            </w:pPr>
            <w:r w:rsidRPr="00BE0BCF">
              <w:t>Fedratinib script</w:t>
            </w:r>
            <w:r>
              <w:t>s/year equivalence</w:t>
            </w:r>
            <w:r w:rsidRPr="00BE0BCF">
              <w:t xml:space="preserve"> - ruxolitinib 5 mg</w:t>
            </w:r>
          </w:p>
        </w:tc>
        <w:tc>
          <w:tcPr>
            <w:tcW w:w="3685" w:type="dxa"/>
            <w:tcBorders>
              <w:right w:val="single" w:sz="4" w:space="0" w:color="auto"/>
            </w:tcBorders>
            <w:vAlign w:val="center"/>
          </w:tcPr>
          <w:p w14:paraId="357230AF" w14:textId="359BD86A" w:rsidR="00D714C1" w:rsidRPr="00BE0BCF" w:rsidRDefault="00AC195F" w:rsidP="007B0D52">
            <w:pPr>
              <w:pStyle w:val="COMTabletext"/>
              <w:keepNext w:val="0"/>
              <w:keepLines w:val="0"/>
              <w:widowControl w:val="0"/>
            </w:pPr>
            <w:r>
              <w:t>1.63</w:t>
            </w:r>
            <w:r w:rsidR="007525CF">
              <w:t>;</w:t>
            </w:r>
            <w:r w:rsidR="00D714C1">
              <w:t xml:space="preserve"> </w:t>
            </w:r>
            <w:r w:rsidR="00E72696">
              <w:t>R</w:t>
            </w:r>
            <w:r w:rsidR="00D714C1">
              <w:t>uxolitinib 5 mg ×</w:t>
            </w:r>
            <w:r w:rsidR="00D714C1" w:rsidRPr="00BE0BCF">
              <w:t xml:space="preserve"> 112 tablets</w:t>
            </w:r>
            <w:r w:rsidR="00D714C1">
              <w:t>/twice daily dosing</w:t>
            </w:r>
            <w:r w:rsidR="00D714C1" w:rsidRPr="00BE0BCF">
              <w:t xml:space="preserve"> = 56 days of treatment</w:t>
            </w:r>
            <w:r w:rsidR="00D714C1">
              <w:t xml:space="preserve"> (6.52 scripts/year); while fedratinib 100 mg × 120 capsules/4 tablets once daily and relative dose intensity of 0.8749 provides 34.3 days of treatment (10.65 scripts/year).</w:t>
            </w:r>
          </w:p>
        </w:tc>
        <w:tc>
          <w:tcPr>
            <w:tcW w:w="3940" w:type="dxa"/>
            <w:vMerge w:val="restart"/>
            <w:tcBorders>
              <w:top w:val="single" w:sz="4" w:space="0" w:color="auto"/>
              <w:left w:val="single" w:sz="4" w:space="0" w:color="auto"/>
              <w:right w:val="single" w:sz="4" w:space="0" w:color="auto"/>
            </w:tcBorders>
            <w:vAlign w:val="center"/>
          </w:tcPr>
          <w:p w14:paraId="42A7321A" w14:textId="77777777" w:rsidR="00AC195F" w:rsidRPr="00CB1EA6" w:rsidRDefault="00AC195F" w:rsidP="00AC195F">
            <w:pPr>
              <w:pStyle w:val="COMTabletext"/>
              <w:keepNext w:val="0"/>
              <w:spacing w:after="60"/>
            </w:pPr>
            <w:r w:rsidRPr="00CB1EA6">
              <w:t xml:space="preserve">The script equivalence for ruxolitinib 5 mg </w:t>
            </w:r>
            <w:proofErr w:type="gramStart"/>
            <w:r w:rsidRPr="00CB1EA6">
              <w:t>was based on the assumption</w:t>
            </w:r>
            <w:proofErr w:type="gramEnd"/>
            <w:r w:rsidRPr="00CB1EA6">
              <w:t xml:space="preserve"> that all patients receiving the 5 mg twice daily dose would receive the maximum quantity of 2 packs per dispensing, and all patients receiving the 25 mg twice daily dose would receive 1 pack per dispensing. The proportions of patients receiving 1 or 2 packs per dispensing in clinical practice is unclear.</w:t>
            </w:r>
          </w:p>
          <w:p w14:paraId="02EEB60A" w14:textId="2339D8BA" w:rsidR="00D714C1" w:rsidRPr="00CB1EA6" w:rsidRDefault="00AC195F" w:rsidP="00AC195F">
            <w:pPr>
              <w:pStyle w:val="COMTabletext"/>
              <w:widowControl w:val="0"/>
              <w:rPr>
                <w:highlight w:val="yellow"/>
              </w:rPr>
            </w:pPr>
            <w:r w:rsidRPr="00CB1EA6">
              <w:t xml:space="preserve">The resubmission’s calculations of script equivalence effectively assume that ruxolitinib is utilised at full adherence. It was not reasonable to apply a relative dose intensity to fedratinib and not ruxolitinib. </w:t>
            </w:r>
          </w:p>
        </w:tc>
      </w:tr>
      <w:tr w:rsidR="00D714C1" w:rsidRPr="00BE0BCF" w14:paraId="2573A1D6" w14:textId="77777777" w:rsidTr="007B652C">
        <w:tc>
          <w:tcPr>
            <w:tcW w:w="1555" w:type="dxa"/>
            <w:vAlign w:val="center"/>
          </w:tcPr>
          <w:p w14:paraId="5CF2C3BA" w14:textId="77777777" w:rsidR="00D714C1" w:rsidRPr="00BE0BCF" w:rsidRDefault="00D714C1">
            <w:pPr>
              <w:pStyle w:val="COMTabletext"/>
              <w:keepNext w:val="0"/>
              <w:keepLines w:val="0"/>
              <w:widowControl w:val="0"/>
              <w:rPr>
                <w:highlight w:val="yellow"/>
              </w:rPr>
            </w:pPr>
            <w:r w:rsidRPr="00BE0BCF">
              <w:t>Fedratinib script</w:t>
            </w:r>
            <w:r>
              <w:t xml:space="preserve">s/year </w:t>
            </w:r>
            <w:r w:rsidRPr="00BE0BCF">
              <w:t>equivalence - ruxolitinib 10 mg, 15 mg and 20 mg scripts</w:t>
            </w:r>
          </w:p>
        </w:tc>
        <w:tc>
          <w:tcPr>
            <w:tcW w:w="3685" w:type="dxa"/>
            <w:tcBorders>
              <w:right w:val="single" w:sz="4" w:space="0" w:color="auto"/>
            </w:tcBorders>
            <w:vAlign w:val="center"/>
          </w:tcPr>
          <w:p w14:paraId="377F6BD7" w14:textId="07F078A6" w:rsidR="00D714C1" w:rsidRPr="00BE0BCF" w:rsidRDefault="00AC195F" w:rsidP="00CB4EE1">
            <w:pPr>
              <w:pStyle w:val="COMTabletext"/>
              <w:keepNext w:val="0"/>
              <w:keepLines w:val="0"/>
              <w:widowControl w:val="0"/>
            </w:pPr>
            <w:r>
              <w:t>0.82</w:t>
            </w:r>
            <w:r w:rsidR="007525CF">
              <w:t>;</w:t>
            </w:r>
            <w:r w:rsidR="00D714C1">
              <w:t xml:space="preserve"> </w:t>
            </w:r>
            <w:r w:rsidR="007525CF">
              <w:t>R</w:t>
            </w:r>
            <w:r w:rsidR="00D714C1" w:rsidRPr="00BE0BCF">
              <w:t xml:space="preserve">uxolitinib 10 mg, 15 mg and 20 mg </w:t>
            </w:r>
            <w:r w:rsidR="00D714C1">
              <w:t xml:space="preserve">scripts × 56 </w:t>
            </w:r>
            <w:r w:rsidR="00D714C1" w:rsidRPr="00BE0BCF">
              <w:t>tablets</w:t>
            </w:r>
            <w:r w:rsidR="00D714C1">
              <w:t>/twice daily dosing =</w:t>
            </w:r>
            <w:r w:rsidR="00D714C1" w:rsidRPr="00BE0BCF">
              <w:t xml:space="preserve"> 28 days of treatment</w:t>
            </w:r>
            <w:r w:rsidR="00D714C1">
              <w:t xml:space="preserve"> (13.04 scripts/year);</w:t>
            </w:r>
            <w:r w:rsidR="00D714C1" w:rsidRPr="00BE0BCF">
              <w:t xml:space="preserve"> </w:t>
            </w:r>
            <w:r w:rsidR="00D714C1">
              <w:t>while fedratinib 100 mg scripts × 120 capsules/4 tablets once daily and relative dose intensity of 0.8749 provides 34.3 days of treatment (10.65 scripts/year).</w:t>
            </w:r>
          </w:p>
        </w:tc>
        <w:tc>
          <w:tcPr>
            <w:tcW w:w="3940" w:type="dxa"/>
            <w:vMerge/>
            <w:tcBorders>
              <w:left w:val="single" w:sz="4" w:space="0" w:color="auto"/>
              <w:right w:val="single" w:sz="4" w:space="0" w:color="auto"/>
            </w:tcBorders>
            <w:vAlign w:val="center"/>
          </w:tcPr>
          <w:p w14:paraId="2E58F31E" w14:textId="77777777" w:rsidR="00D714C1" w:rsidRPr="00E56460" w:rsidRDefault="00D714C1">
            <w:pPr>
              <w:pStyle w:val="COMTabletext"/>
              <w:widowControl w:val="0"/>
              <w:rPr>
                <w:i/>
                <w:iCs/>
                <w:highlight w:val="yellow"/>
              </w:rPr>
            </w:pPr>
          </w:p>
        </w:tc>
      </w:tr>
      <w:tr w:rsidR="00D714C1" w:rsidRPr="00BE0BCF" w14:paraId="0B3BC03A" w14:textId="77777777" w:rsidTr="007B652C">
        <w:tc>
          <w:tcPr>
            <w:tcW w:w="1555" w:type="dxa"/>
            <w:vAlign w:val="center"/>
          </w:tcPr>
          <w:p w14:paraId="077F15D4" w14:textId="77777777" w:rsidR="00D714C1" w:rsidRPr="00BE0BCF" w:rsidRDefault="00D714C1">
            <w:pPr>
              <w:pStyle w:val="COMTabletext"/>
              <w:keepNext w:val="0"/>
              <w:keepLines w:val="0"/>
              <w:widowControl w:val="0"/>
            </w:pPr>
            <w:r w:rsidRPr="00BE0BCF">
              <w:t>Fedratinib script</w:t>
            </w:r>
            <w:r>
              <w:t>s/year</w:t>
            </w:r>
            <w:r w:rsidRPr="00BE0BCF">
              <w:t xml:space="preserve"> equivalence - ruxolitinib 25 mg scripts</w:t>
            </w:r>
          </w:p>
        </w:tc>
        <w:tc>
          <w:tcPr>
            <w:tcW w:w="3685" w:type="dxa"/>
            <w:tcBorders>
              <w:bottom w:val="single" w:sz="4" w:space="0" w:color="auto"/>
              <w:right w:val="single" w:sz="4" w:space="0" w:color="auto"/>
            </w:tcBorders>
            <w:vAlign w:val="center"/>
          </w:tcPr>
          <w:p w14:paraId="758ABAFE" w14:textId="76D3B3EC" w:rsidR="00D714C1" w:rsidRPr="00BE0BCF" w:rsidRDefault="00AC195F" w:rsidP="00D714C1">
            <w:pPr>
              <w:pStyle w:val="COMTabletext"/>
              <w:keepNext w:val="0"/>
              <w:keepLines w:val="0"/>
              <w:widowControl w:val="0"/>
            </w:pPr>
            <w:r>
              <w:t xml:space="preserve">0.41 </w:t>
            </w:r>
            <w:r w:rsidR="00B55EFB">
              <w:t>for each 20 mg and 5 mg script</w:t>
            </w:r>
            <w:r w:rsidR="00657DE4">
              <w:t>; R</w:t>
            </w:r>
            <w:r w:rsidR="00D714C1">
              <w:t>uxolitinib 20 mg and 5 mg scripts (assumed 1 pack) × 56 tablets/twice daily dosing = 28 days of treatment (13.04 scripts/year); while fedratinib 100 mg scripts × 120 capsules/4 tablets once daily and relative dose intensity of 0.8749 provides 34.3 days of treatment (10.65 scripts/year), divided by 2 to represent the single fedratinib script replacing 2 ruxolitinib scripts (5.33 scripts/year).</w:t>
            </w:r>
          </w:p>
        </w:tc>
        <w:tc>
          <w:tcPr>
            <w:tcW w:w="3940" w:type="dxa"/>
            <w:vMerge/>
            <w:tcBorders>
              <w:left w:val="single" w:sz="4" w:space="0" w:color="auto"/>
              <w:bottom w:val="single" w:sz="4" w:space="0" w:color="auto"/>
              <w:right w:val="single" w:sz="4" w:space="0" w:color="auto"/>
            </w:tcBorders>
            <w:vAlign w:val="center"/>
          </w:tcPr>
          <w:p w14:paraId="66349B6E" w14:textId="77777777" w:rsidR="00D714C1" w:rsidRPr="00E56460" w:rsidRDefault="00D714C1">
            <w:pPr>
              <w:pStyle w:val="COMTabletext"/>
              <w:keepNext w:val="0"/>
              <w:keepLines w:val="0"/>
              <w:widowControl w:val="0"/>
              <w:rPr>
                <w:i/>
                <w:iCs/>
              </w:rPr>
            </w:pPr>
          </w:p>
        </w:tc>
      </w:tr>
      <w:tr w:rsidR="002D72B7" w:rsidRPr="00BE0BCF" w14:paraId="555D3607" w14:textId="77777777" w:rsidTr="007B652C">
        <w:tc>
          <w:tcPr>
            <w:tcW w:w="1555" w:type="dxa"/>
            <w:vAlign w:val="center"/>
          </w:tcPr>
          <w:p w14:paraId="601463B6" w14:textId="77777777" w:rsidR="002D72B7" w:rsidRPr="00BE0BCF" w:rsidRDefault="002D72B7">
            <w:pPr>
              <w:pStyle w:val="COMTabletext"/>
              <w:keepNext w:val="0"/>
              <w:keepLines w:val="0"/>
              <w:widowControl w:val="0"/>
            </w:pPr>
            <w:r>
              <w:t>Proportion of ruxolitinib 5 mg and 20 mg dose strengths used as 25 mg twice daily</w:t>
            </w:r>
          </w:p>
        </w:tc>
        <w:tc>
          <w:tcPr>
            <w:tcW w:w="3685" w:type="dxa"/>
            <w:tcBorders>
              <w:bottom w:val="single" w:sz="4" w:space="0" w:color="auto"/>
              <w:right w:val="single" w:sz="4" w:space="0" w:color="auto"/>
            </w:tcBorders>
            <w:vAlign w:val="center"/>
          </w:tcPr>
          <w:p w14:paraId="00B65156" w14:textId="56770A05" w:rsidR="002D72B7" w:rsidRPr="00BE0BCF" w:rsidDel="00B46BFF" w:rsidRDefault="002D72B7" w:rsidP="002D72B7">
            <w:pPr>
              <w:pStyle w:val="COMTabletext"/>
            </w:pPr>
            <w:r>
              <w:t>5 mg: 21.1%; 20 mg</w:t>
            </w:r>
            <w:r w:rsidR="003D3FAA">
              <w:t>:</w:t>
            </w:r>
            <w:r>
              <w:t xml:space="preserve"> 13.8%</w:t>
            </w:r>
            <w:r w:rsidR="003D3FAA">
              <w:t>;</w:t>
            </w:r>
            <w:r>
              <w:t xml:space="preserve"> based on utilisation in DUSC 2018 ruxolitinib report. All remaining 5 mg scripts used as 10 mg daily dose; all remaining 20 mg scripts used as 40 mg daily dose with script equivalence calculated as above.</w:t>
            </w:r>
          </w:p>
        </w:tc>
        <w:tc>
          <w:tcPr>
            <w:tcW w:w="3940" w:type="dxa"/>
            <w:tcBorders>
              <w:top w:val="single" w:sz="4" w:space="0" w:color="auto"/>
              <w:left w:val="single" w:sz="4" w:space="0" w:color="auto"/>
              <w:bottom w:val="single" w:sz="4" w:space="0" w:color="auto"/>
              <w:right w:val="single" w:sz="4" w:space="0" w:color="auto"/>
            </w:tcBorders>
            <w:vAlign w:val="center"/>
          </w:tcPr>
          <w:p w14:paraId="6D5AF45B" w14:textId="03A2CF42" w:rsidR="002D72B7" w:rsidRPr="00CB1EA6" w:rsidRDefault="002D72B7">
            <w:pPr>
              <w:pStyle w:val="COMTabletext"/>
              <w:widowControl w:val="0"/>
              <w:rPr>
                <w:highlight w:val="yellow"/>
              </w:rPr>
            </w:pPr>
            <w:r w:rsidRPr="00CB1EA6">
              <w:t xml:space="preserve">The approach taken to estimate equivalent fedratinib scripts to the 25 mg twice daily ruxolitinib dose was reasonable. However, it is unclear whether DUSC utilisation data by dose from 2018 is representative of current utilisation of ruxolitinib. </w:t>
            </w:r>
          </w:p>
        </w:tc>
      </w:tr>
    </w:tbl>
    <w:p w14:paraId="6F162BAA" w14:textId="77777777" w:rsidR="00270633" w:rsidRDefault="00270633" w:rsidP="00270633">
      <w:pPr>
        <w:pStyle w:val="COMTablefooter"/>
      </w:pPr>
      <w:r w:rsidRPr="0098262F">
        <w:t xml:space="preserve">Source: </w:t>
      </w:r>
      <w:r>
        <w:t>Section 4, pp86-88 of the resubmission; Section 4 financial implications Excel workbook</w:t>
      </w:r>
    </w:p>
    <w:p w14:paraId="4095FC6A" w14:textId="3B5A890F" w:rsidR="00270633" w:rsidRPr="0098262F" w:rsidRDefault="00270633" w:rsidP="00270633">
      <w:pPr>
        <w:pStyle w:val="COMTablefooter"/>
      </w:pPr>
      <w:r>
        <w:t>Abbreviations: DUSC, Drug Utilisation Sub Committee; JAK, Janus kinase; PBAC, Pharmaceutical Benefits Advisory Committee; PBS, Pharmaceutical Benefits Scheme; RDI, relative dose intensity.</w:t>
      </w:r>
    </w:p>
    <w:p w14:paraId="158638FD" w14:textId="6289F73E" w:rsidR="00420280" w:rsidRPr="00420280" w:rsidRDefault="00C62630" w:rsidP="00A60EB4">
      <w:pPr>
        <w:pStyle w:val="COMESnumberedpara"/>
        <w:numPr>
          <w:ilvl w:val="1"/>
          <w:numId w:val="9"/>
        </w:numPr>
      </w:pPr>
      <w:r>
        <w:fldChar w:fldCharType="begin"/>
      </w:r>
      <w:r>
        <w:instrText xml:space="preserve"> REF _Ref208241729 \h </w:instrText>
      </w:r>
      <w:r>
        <w:fldChar w:fldCharType="separate"/>
      </w:r>
      <w:r w:rsidR="000F0515" w:rsidRPr="0098262F">
        <w:t xml:space="preserve">Table </w:t>
      </w:r>
      <w:r w:rsidR="000F0515">
        <w:rPr>
          <w:noProof/>
        </w:rPr>
        <w:t>17</w:t>
      </w:r>
      <w:r>
        <w:fldChar w:fldCharType="end"/>
      </w:r>
      <w:r>
        <w:t xml:space="preserve"> </w:t>
      </w:r>
      <w:r w:rsidR="00420280" w:rsidRPr="00420280">
        <w:t xml:space="preserve">presents the estimated use and financial implications of listing fedratinib on the PBS. </w:t>
      </w:r>
    </w:p>
    <w:p w14:paraId="4BAD2BA1" w14:textId="28826950" w:rsidR="007925DF" w:rsidRPr="0098262F" w:rsidRDefault="00E16AD8" w:rsidP="002031BF">
      <w:pPr>
        <w:pStyle w:val="COMTableFigurecaption"/>
      </w:pPr>
      <w:bookmarkStart w:id="55" w:name="_Ref208241729"/>
      <w:r w:rsidRPr="0098262F">
        <w:t xml:space="preserve">Table </w:t>
      </w:r>
      <w:r w:rsidR="0003298B">
        <w:fldChar w:fldCharType="begin"/>
      </w:r>
      <w:r w:rsidR="0003298B">
        <w:instrText xml:space="preserve"> SEQ Table \* ARABIC </w:instrText>
      </w:r>
      <w:r w:rsidR="0003298B">
        <w:fldChar w:fldCharType="separate"/>
      </w:r>
      <w:r w:rsidR="000F0515">
        <w:rPr>
          <w:noProof/>
        </w:rPr>
        <w:t>17</w:t>
      </w:r>
      <w:r w:rsidR="0003298B">
        <w:rPr>
          <w:noProof/>
        </w:rPr>
        <w:fldChar w:fldCharType="end"/>
      </w:r>
      <w:bookmarkEnd w:id="55"/>
      <w:r w:rsidRPr="0098262F">
        <w:t>:</w:t>
      </w:r>
      <w:r w:rsidR="007925DF" w:rsidRPr="0098262F">
        <w:t xml:space="preserve"> Estimation of number of treated patients and prescriptions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Estimation of number of treated patients and prescriptions "/>
      </w:tblPr>
      <w:tblGrid>
        <w:gridCol w:w="2405"/>
        <w:gridCol w:w="1102"/>
        <w:gridCol w:w="1102"/>
        <w:gridCol w:w="1102"/>
        <w:gridCol w:w="1102"/>
        <w:gridCol w:w="1102"/>
        <w:gridCol w:w="1102"/>
      </w:tblGrid>
      <w:tr w:rsidR="00271879" w:rsidRPr="0098262F" w14:paraId="7C83BC65" w14:textId="77777777">
        <w:trPr>
          <w:tblHeader/>
        </w:trPr>
        <w:tc>
          <w:tcPr>
            <w:tcW w:w="1334" w:type="pct"/>
            <w:vAlign w:val="center"/>
          </w:tcPr>
          <w:p w14:paraId="7FC87ECA" w14:textId="77777777" w:rsidR="00271879" w:rsidRPr="0098262F" w:rsidRDefault="00271879">
            <w:pPr>
              <w:pStyle w:val="COMTableheadingrow"/>
            </w:pPr>
          </w:p>
        </w:tc>
        <w:tc>
          <w:tcPr>
            <w:tcW w:w="611" w:type="pct"/>
            <w:vAlign w:val="center"/>
          </w:tcPr>
          <w:p w14:paraId="49B50238" w14:textId="77777777" w:rsidR="00271879" w:rsidRPr="0098262F" w:rsidRDefault="00271879">
            <w:pPr>
              <w:pStyle w:val="COMTableheadingrow"/>
              <w:jc w:val="center"/>
            </w:pPr>
            <w:r w:rsidRPr="0098262F">
              <w:t>Year 1</w:t>
            </w:r>
          </w:p>
        </w:tc>
        <w:tc>
          <w:tcPr>
            <w:tcW w:w="611" w:type="pct"/>
            <w:vAlign w:val="center"/>
          </w:tcPr>
          <w:p w14:paraId="4022FB7B" w14:textId="77777777" w:rsidR="00271879" w:rsidRPr="0098262F" w:rsidRDefault="00271879">
            <w:pPr>
              <w:pStyle w:val="COMTableheadingrow"/>
              <w:jc w:val="center"/>
            </w:pPr>
            <w:r w:rsidRPr="0098262F">
              <w:t>Year 2</w:t>
            </w:r>
          </w:p>
        </w:tc>
        <w:tc>
          <w:tcPr>
            <w:tcW w:w="611" w:type="pct"/>
            <w:vAlign w:val="center"/>
          </w:tcPr>
          <w:p w14:paraId="19166F0F" w14:textId="77777777" w:rsidR="00271879" w:rsidRPr="0098262F" w:rsidRDefault="00271879">
            <w:pPr>
              <w:pStyle w:val="COMTableheadingrow"/>
              <w:jc w:val="center"/>
            </w:pPr>
            <w:r w:rsidRPr="0098262F">
              <w:t>Year 3</w:t>
            </w:r>
          </w:p>
        </w:tc>
        <w:tc>
          <w:tcPr>
            <w:tcW w:w="611" w:type="pct"/>
            <w:vAlign w:val="center"/>
          </w:tcPr>
          <w:p w14:paraId="0CAF4FF8" w14:textId="77777777" w:rsidR="00271879" w:rsidRPr="0098262F" w:rsidRDefault="00271879">
            <w:pPr>
              <w:pStyle w:val="COMTableheadingrow"/>
              <w:jc w:val="center"/>
            </w:pPr>
            <w:r w:rsidRPr="0098262F">
              <w:t>Year 4</w:t>
            </w:r>
          </w:p>
        </w:tc>
        <w:tc>
          <w:tcPr>
            <w:tcW w:w="611" w:type="pct"/>
            <w:vAlign w:val="center"/>
          </w:tcPr>
          <w:p w14:paraId="3C9B9571" w14:textId="77777777" w:rsidR="00271879" w:rsidRPr="0098262F" w:rsidRDefault="00271879">
            <w:pPr>
              <w:pStyle w:val="COMTableheadingrow"/>
              <w:jc w:val="center"/>
            </w:pPr>
            <w:r w:rsidRPr="0098262F">
              <w:t>Year 5</w:t>
            </w:r>
          </w:p>
        </w:tc>
        <w:tc>
          <w:tcPr>
            <w:tcW w:w="611" w:type="pct"/>
          </w:tcPr>
          <w:p w14:paraId="37C0DA4E" w14:textId="77777777" w:rsidR="00271879" w:rsidRPr="0098262F" w:rsidRDefault="00271879">
            <w:pPr>
              <w:pStyle w:val="COMTableheadingrow"/>
              <w:jc w:val="center"/>
            </w:pPr>
            <w:r w:rsidRPr="0098262F">
              <w:t>Year 6</w:t>
            </w:r>
          </w:p>
        </w:tc>
      </w:tr>
      <w:tr w:rsidR="00271879" w:rsidRPr="0098262F" w14:paraId="6C96C2F3" w14:textId="77777777">
        <w:tc>
          <w:tcPr>
            <w:tcW w:w="5000" w:type="pct"/>
            <w:gridSpan w:val="7"/>
            <w:vAlign w:val="center"/>
          </w:tcPr>
          <w:p w14:paraId="64DF7BA1" w14:textId="77777777" w:rsidR="00271879" w:rsidRPr="0098262F" w:rsidRDefault="00271879">
            <w:pPr>
              <w:pStyle w:val="COMTableheadingrow"/>
            </w:pPr>
            <w:r w:rsidRPr="0098262F">
              <w:t>Estimated extent of use</w:t>
            </w:r>
          </w:p>
        </w:tc>
      </w:tr>
      <w:tr w:rsidR="00271879" w:rsidRPr="0098262F" w14:paraId="24A5CDE9" w14:textId="77777777">
        <w:tc>
          <w:tcPr>
            <w:tcW w:w="1334" w:type="pct"/>
            <w:vAlign w:val="center"/>
          </w:tcPr>
          <w:p w14:paraId="6EC1E0F5" w14:textId="77777777" w:rsidR="00271879" w:rsidRPr="0098262F" w:rsidRDefault="00271879">
            <w:pPr>
              <w:pStyle w:val="COMTabletext"/>
              <w:rPr>
                <w:rFonts w:ascii="Times" w:hAnsi="Times"/>
              </w:rPr>
            </w:pPr>
            <w:r w:rsidRPr="00EA779B">
              <w:t>Fedratinib scripts dispensed</w:t>
            </w:r>
          </w:p>
        </w:tc>
        <w:tc>
          <w:tcPr>
            <w:tcW w:w="611" w:type="pct"/>
          </w:tcPr>
          <w:p w14:paraId="1EDFFA70" w14:textId="2CEA9E57"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c>
          <w:tcPr>
            <w:tcW w:w="611" w:type="pct"/>
          </w:tcPr>
          <w:p w14:paraId="11974FAA" w14:textId="258129B4"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c>
          <w:tcPr>
            <w:tcW w:w="611" w:type="pct"/>
          </w:tcPr>
          <w:p w14:paraId="74D7F057" w14:textId="442EFC65"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c>
          <w:tcPr>
            <w:tcW w:w="611" w:type="pct"/>
          </w:tcPr>
          <w:p w14:paraId="1B2C33AB" w14:textId="56A6D1F8"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c>
          <w:tcPr>
            <w:tcW w:w="611" w:type="pct"/>
          </w:tcPr>
          <w:p w14:paraId="09C6D68E" w14:textId="0917B25F"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c>
          <w:tcPr>
            <w:tcW w:w="611" w:type="pct"/>
          </w:tcPr>
          <w:p w14:paraId="2C21B83D" w14:textId="62CAF878" w:rsidR="00271879" w:rsidRPr="00EF0AEA" w:rsidRDefault="00783DC2">
            <w:pPr>
              <w:pStyle w:val="COMTabletext"/>
              <w:jc w:val="center"/>
              <w:rPr>
                <w:color w:val="000000"/>
                <w:vertAlign w:val="superscript"/>
              </w:rPr>
            </w:pPr>
            <w:r w:rsidRPr="00783DC2">
              <w:rPr>
                <w:highlight w:val="black"/>
              </w:rPr>
              <w:t>&amp;&amp;&amp;&amp;</w:t>
            </w:r>
            <w:r w:rsidR="00EF0AEA">
              <w:rPr>
                <w:vertAlign w:val="superscript"/>
              </w:rPr>
              <w:t>1</w:t>
            </w:r>
          </w:p>
        </w:tc>
      </w:tr>
      <w:tr w:rsidR="00271879" w:rsidRPr="0098262F" w14:paraId="2F52E6AF" w14:textId="77777777">
        <w:tc>
          <w:tcPr>
            <w:tcW w:w="5000" w:type="pct"/>
            <w:gridSpan w:val="7"/>
            <w:vAlign w:val="center"/>
          </w:tcPr>
          <w:p w14:paraId="07D91DA5" w14:textId="77777777" w:rsidR="00271879" w:rsidRPr="0098262F" w:rsidRDefault="00271879">
            <w:pPr>
              <w:pStyle w:val="COMTableheadingrow"/>
            </w:pPr>
            <w:r w:rsidRPr="009D7538">
              <w:t>Estimated financial implications of fedratinib</w:t>
            </w:r>
          </w:p>
        </w:tc>
      </w:tr>
      <w:tr w:rsidR="00271879" w:rsidRPr="0098262F" w14:paraId="586CD460" w14:textId="77777777">
        <w:tc>
          <w:tcPr>
            <w:tcW w:w="1334" w:type="pct"/>
            <w:vAlign w:val="center"/>
          </w:tcPr>
          <w:p w14:paraId="1A6893B4" w14:textId="77777777" w:rsidR="00271879" w:rsidRPr="0098262F" w:rsidRDefault="00271879">
            <w:pPr>
              <w:pStyle w:val="COMTabletext"/>
              <w:rPr>
                <w:sz w:val="19"/>
                <w:szCs w:val="19"/>
              </w:rPr>
            </w:pPr>
            <w:r w:rsidRPr="0098262F">
              <w:rPr>
                <w:sz w:val="19"/>
                <w:szCs w:val="19"/>
              </w:rPr>
              <w:t>Cost to PBS/RPBS less copayments</w:t>
            </w:r>
          </w:p>
        </w:tc>
        <w:tc>
          <w:tcPr>
            <w:tcW w:w="611" w:type="pct"/>
            <w:vAlign w:val="center"/>
          </w:tcPr>
          <w:p w14:paraId="38F728D9" w14:textId="7E82A90A"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c>
          <w:tcPr>
            <w:tcW w:w="611" w:type="pct"/>
            <w:vAlign w:val="center"/>
          </w:tcPr>
          <w:p w14:paraId="7CE6D91B" w14:textId="795EAF35"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c>
          <w:tcPr>
            <w:tcW w:w="611" w:type="pct"/>
            <w:vAlign w:val="center"/>
          </w:tcPr>
          <w:p w14:paraId="3F23DD91" w14:textId="52BF3A98"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c>
          <w:tcPr>
            <w:tcW w:w="611" w:type="pct"/>
            <w:vAlign w:val="center"/>
          </w:tcPr>
          <w:p w14:paraId="5DF7C7C9" w14:textId="2BF44299"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c>
          <w:tcPr>
            <w:tcW w:w="611" w:type="pct"/>
            <w:vAlign w:val="center"/>
          </w:tcPr>
          <w:p w14:paraId="05B84822" w14:textId="5A5F1278"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c>
          <w:tcPr>
            <w:tcW w:w="611" w:type="pct"/>
            <w:vAlign w:val="center"/>
          </w:tcPr>
          <w:p w14:paraId="09B3F93A" w14:textId="1C429279" w:rsidR="00271879" w:rsidRPr="00196F89" w:rsidRDefault="00271879">
            <w:pPr>
              <w:pStyle w:val="COMTabletext"/>
              <w:jc w:val="center"/>
              <w:rPr>
                <w:vertAlign w:val="superscript"/>
              </w:rPr>
            </w:pPr>
            <w:r w:rsidRPr="00565340">
              <w:t>$</w:t>
            </w:r>
            <w:r w:rsidR="00783DC2" w:rsidRPr="00783DC2">
              <w:rPr>
                <w:highlight w:val="black"/>
              </w:rPr>
              <w:t>&amp;&amp;&amp;&amp;</w:t>
            </w:r>
            <w:r w:rsidR="00196F89">
              <w:rPr>
                <w:vertAlign w:val="superscript"/>
              </w:rPr>
              <w:t>2</w:t>
            </w:r>
          </w:p>
        </w:tc>
      </w:tr>
      <w:tr w:rsidR="00271879" w:rsidRPr="00CF41E0" w14:paraId="72612D56" w14:textId="77777777">
        <w:tc>
          <w:tcPr>
            <w:tcW w:w="5000" w:type="pct"/>
            <w:gridSpan w:val="7"/>
            <w:vAlign w:val="center"/>
          </w:tcPr>
          <w:p w14:paraId="621C4A74" w14:textId="0709D8A2" w:rsidR="00271879" w:rsidRPr="00CF41E0" w:rsidRDefault="00271879">
            <w:pPr>
              <w:pStyle w:val="COMTabletext"/>
              <w:rPr>
                <w:b/>
                <w:bCs w:val="0"/>
              </w:rPr>
            </w:pPr>
            <w:r w:rsidRPr="00CF41E0">
              <w:rPr>
                <w:b/>
                <w:bCs w:val="0"/>
              </w:rPr>
              <w:t>Estimated financial implications for ruxolitinib</w:t>
            </w:r>
          </w:p>
        </w:tc>
      </w:tr>
      <w:tr w:rsidR="00343D4D" w:rsidRPr="0098262F" w14:paraId="2A67DABB" w14:textId="77777777" w:rsidTr="00343D4D">
        <w:tc>
          <w:tcPr>
            <w:tcW w:w="1334" w:type="pct"/>
            <w:vAlign w:val="center"/>
          </w:tcPr>
          <w:p w14:paraId="15153D59" w14:textId="77777777" w:rsidR="00343D4D" w:rsidRPr="0098262F" w:rsidRDefault="00343D4D" w:rsidP="00343D4D">
            <w:pPr>
              <w:pStyle w:val="COMTabletext"/>
              <w:rPr>
                <w:sz w:val="19"/>
                <w:szCs w:val="19"/>
              </w:rPr>
            </w:pPr>
            <w:r w:rsidRPr="0098262F">
              <w:rPr>
                <w:sz w:val="19"/>
                <w:szCs w:val="19"/>
              </w:rPr>
              <w:t>Cost to PBS/RPBS less copayments</w:t>
            </w:r>
          </w:p>
        </w:tc>
        <w:tc>
          <w:tcPr>
            <w:tcW w:w="611" w:type="pct"/>
            <w:vAlign w:val="center"/>
          </w:tcPr>
          <w:p w14:paraId="6ADF319B" w14:textId="4E4DC7DD"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c>
          <w:tcPr>
            <w:tcW w:w="611" w:type="pct"/>
            <w:vAlign w:val="center"/>
          </w:tcPr>
          <w:p w14:paraId="0F7F02F2" w14:textId="2FFAF87E"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c>
          <w:tcPr>
            <w:tcW w:w="611" w:type="pct"/>
            <w:vAlign w:val="center"/>
          </w:tcPr>
          <w:p w14:paraId="16A0A64E" w14:textId="27F3E6D2"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c>
          <w:tcPr>
            <w:tcW w:w="611" w:type="pct"/>
            <w:vAlign w:val="center"/>
          </w:tcPr>
          <w:p w14:paraId="2C18AE24" w14:textId="170CCA84"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c>
          <w:tcPr>
            <w:tcW w:w="611" w:type="pct"/>
            <w:vAlign w:val="center"/>
          </w:tcPr>
          <w:p w14:paraId="49DD7092" w14:textId="0C43C980"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c>
          <w:tcPr>
            <w:tcW w:w="611" w:type="pct"/>
            <w:vAlign w:val="center"/>
          </w:tcPr>
          <w:p w14:paraId="4F34748B" w14:textId="57A7D583" w:rsidR="00343D4D" w:rsidRPr="00196F89" w:rsidRDefault="00343D4D" w:rsidP="00343D4D">
            <w:pPr>
              <w:pStyle w:val="COMTabletext"/>
              <w:jc w:val="center"/>
              <w:rPr>
                <w:vertAlign w:val="superscript"/>
              </w:rPr>
            </w:pPr>
            <w:r>
              <w:t>-</w:t>
            </w:r>
            <w:r w:rsidRPr="00A95425">
              <w:t>$</w:t>
            </w:r>
            <w:r w:rsidR="00783DC2" w:rsidRPr="00783DC2">
              <w:rPr>
                <w:highlight w:val="black"/>
              </w:rPr>
              <w:t>&amp;&amp;&amp;&amp;</w:t>
            </w:r>
            <w:r w:rsidR="00196F89">
              <w:rPr>
                <w:vertAlign w:val="superscript"/>
              </w:rPr>
              <w:t>2</w:t>
            </w:r>
          </w:p>
        </w:tc>
      </w:tr>
      <w:tr w:rsidR="00271879" w:rsidRPr="0098262F" w14:paraId="229A8427" w14:textId="77777777">
        <w:tc>
          <w:tcPr>
            <w:tcW w:w="5000" w:type="pct"/>
            <w:gridSpan w:val="7"/>
            <w:vAlign w:val="center"/>
          </w:tcPr>
          <w:p w14:paraId="6D3EF06D" w14:textId="77777777" w:rsidR="00271879" w:rsidRPr="0098262F" w:rsidRDefault="00271879">
            <w:pPr>
              <w:pStyle w:val="COMTableheadingrow"/>
            </w:pPr>
            <w:r w:rsidRPr="0098262F">
              <w:t>Net financial implications</w:t>
            </w:r>
            <w:r w:rsidRPr="0098262F">
              <w:rPr>
                <w:color w:val="4BACC6" w:themeColor="accent5"/>
              </w:rPr>
              <w:t xml:space="preserve"> </w:t>
            </w:r>
          </w:p>
        </w:tc>
      </w:tr>
      <w:tr w:rsidR="00C45CF8" w:rsidRPr="0098262F" w14:paraId="2317A718" w14:textId="77777777">
        <w:tc>
          <w:tcPr>
            <w:tcW w:w="1334" w:type="pct"/>
            <w:vAlign w:val="center"/>
          </w:tcPr>
          <w:p w14:paraId="1CCC9E11" w14:textId="77777777" w:rsidR="00C45CF8" w:rsidRPr="006741B9" w:rsidRDefault="00C45CF8" w:rsidP="00C45CF8">
            <w:pPr>
              <w:pStyle w:val="COMTabletext"/>
              <w:rPr>
                <w:b/>
                <w:bCs w:val="0"/>
                <w:sz w:val="19"/>
                <w:szCs w:val="19"/>
              </w:rPr>
            </w:pPr>
            <w:r w:rsidRPr="006741B9">
              <w:rPr>
                <w:b/>
                <w:bCs w:val="0"/>
                <w:sz w:val="19"/>
                <w:szCs w:val="19"/>
              </w:rPr>
              <w:t>Net cost to PBS/RPBS</w:t>
            </w:r>
          </w:p>
        </w:tc>
        <w:tc>
          <w:tcPr>
            <w:tcW w:w="611" w:type="pct"/>
          </w:tcPr>
          <w:p w14:paraId="70D8BA1B" w14:textId="719FF230"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c>
          <w:tcPr>
            <w:tcW w:w="611" w:type="pct"/>
          </w:tcPr>
          <w:p w14:paraId="45688609" w14:textId="468B07BE"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c>
          <w:tcPr>
            <w:tcW w:w="611" w:type="pct"/>
          </w:tcPr>
          <w:p w14:paraId="55EAD438" w14:textId="5BAD5916"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c>
          <w:tcPr>
            <w:tcW w:w="611" w:type="pct"/>
          </w:tcPr>
          <w:p w14:paraId="2CDC5717" w14:textId="32E4E8B7"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c>
          <w:tcPr>
            <w:tcW w:w="611" w:type="pct"/>
          </w:tcPr>
          <w:p w14:paraId="1C05D2AB" w14:textId="7E8B63B1"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c>
          <w:tcPr>
            <w:tcW w:w="611" w:type="pct"/>
          </w:tcPr>
          <w:p w14:paraId="266F9E46" w14:textId="77ADE69C" w:rsidR="00C45CF8" w:rsidRPr="00474B42" w:rsidRDefault="00C45CF8" w:rsidP="00C45CF8">
            <w:pPr>
              <w:pStyle w:val="COMTabletext"/>
              <w:jc w:val="center"/>
              <w:rPr>
                <w:vertAlign w:val="superscript"/>
              </w:rPr>
            </w:pPr>
            <w:r w:rsidRPr="006741B9">
              <w:rPr>
                <w:b/>
                <w:bCs w:val="0"/>
              </w:rPr>
              <w:t>$</w:t>
            </w:r>
            <w:r w:rsidR="00783DC2" w:rsidRPr="00783DC2">
              <w:rPr>
                <w:b/>
                <w:bCs w:val="0"/>
                <w:highlight w:val="black"/>
              </w:rPr>
              <w:t>&amp;&amp;&amp;&amp;</w:t>
            </w:r>
            <w:r w:rsidR="00474B42">
              <w:rPr>
                <w:vertAlign w:val="superscript"/>
              </w:rPr>
              <w:t>3</w:t>
            </w:r>
          </w:p>
        </w:tc>
      </w:tr>
      <w:tr w:rsidR="00271879" w:rsidRPr="0098262F" w14:paraId="75D10AC1" w14:textId="77777777">
        <w:tc>
          <w:tcPr>
            <w:tcW w:w="1334" w:type="pct"/>
            <w:vAlign w:val="center"/>
          </w:tcPr>
          <w:p w14:paraId="5D71F804" w14:textId="77777777" w:rsidR="00271879" w:rsidRPr="0098262F" w:rsidRDefault="00271879">
            <w:pPr>
              <w:pStyle w:val="COMTabletext"/>
              <w:rPr>
                <w:rFonts w:ascii="Times" w:hAnsi="Times"/>
              </w:rPr>
            </w:pPr>
            <w:r w:rsidRPr="004F789C">
              <w:t xml:space="preserve">Net cost to </w:t>
            </w:r>
            <w:proofErr w:type="spellStart"/>
            <w:r w:rsidRPr="004F789C">
              <w:t>MBS</w:t>
            </w:r>
            <w:r w:rsidRPr="004F789C">
              <w:rPr>
                <w:vertAlign w:val="superscript"/>
              </w:rPr>
              <w:t>a</w:t>
            </w:r>
            <w:proofErr w:type="spellEnd"/>
          </w:p>
        </w:tc>
        <w:tc>
          <w:tcPr>
            <w:tcW w:w="611" w:type="pct"/>
          </w:tcPr>
          <w:p w14:paraId="7844A969" w14:textId="4F8D1543"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c>
          <w:tcPr>
            <w:tcW w:w="611" w:type="pct"/>
          </w:tcPr>
          <w:p w14:paraId="7D2419ED" w14:textId="1F91BDC2"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c>
          <w:tcPr>
            <w:tcW w:w="611" w:type="pct"/>
          </w:tcPr>
          <w:p w14:paraId="6D0391CE" w14:textId="14DF724B"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c>
          <w:tcPr>
            <w:tcW w:w="611" w:type="pct"/>
          </w:tcPr>
          <w:p w14:paraId="3CFD7DA7" w14:textId="6B6B21FA"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c>
          <w:tcPr>
            <w:tcW w:w="611" w:type="pct"/>
          </w:tcPr>
          <w:p w14:paraId="63CA4635" w14:textId="057BB378"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c>
          <w:tcPr>
            <w:tcW w:w="611" w:type="pct"/>
          </w:tcPr>
          <w:p w14:paraId="61F45796" w14:textId="2FDA94B5" w:rsidR="00271879" w:rsidRPr="00474B42" w:rsidRDefault="00271879">
            <w:pPr>
              <w:pStyle w:val="COMTabletext"/>
              <w:jc w:val="center"/>
              <w:rPr>
                <w:vertAlign w:val="superscript"/>
              </w:rPr>
            </w:pPr>
            <w:r w:rsidRPr="003D0B34">
              <w:t>$</w:t>
            </w:r>
            <w:r w:rsidR="00783DC2" w:rsidRPr="00783DC2">
              <w:rPr>
                <w:highlight w:val="black"/>
              </w:rPr>
              <w:t>&amp;&amp;&amp;&amp;</w:t>
            </w:r>
            <w:r w:rsidR="00474B42">
              <w:rPr>
                <w:vertAlign w:val="superscript"/>
              </w:rPr>
              <w:t>3</w:t>
            </w:r>
          </w:p>
        </w:tc>
      </w:tr>
      <w:tr w:rsidR="00C45CF8" w:rsidRPr="0098262F" w14:paraId="73C5A529" w14:textId="77777777">
        <w:tc>
          <w:tcPr>
            <w:tcW w:w="1334" w:type="pct"/>
            <w:vAlign w:val="center"/>
          </w:tcPr>
          <w:p w14:paraId="6F967237" w14:textId="77777777" w:rsidR="00C45CF8" w:rsidRPr="0098262F" w:rsidRDefault="00C45CF8" w:rsidP="00C45CF8">
            <w:pPr>
              <w:pStyle w:val="COMTabletext"/>
              <w:rPr>
                <w:sz w:val="19"/>
                <w:szCs w:val="19"/>
              </w:rPr>
            </w:pPr>
            <w:r w:rsidRPr="004F789C">
              <w:rPr>
                <w:b/>
                <w:bCs w:val="0"/>
              </w:rPr>
              <w:t>Net cost to PBS/RPBS/MBS</w:t>
            </w:r>
          </w:p>
        </w:tc>
        <w:tc>
          <w:tcPr>
            <w:tcW w:w="611" w:type="pct"/>
          </w:tcPr>
          <w:p w14:paraId="79A89B97" w14:textId="41C6ECD4"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c>
          <w:tcPr>
            <w:tcW w:w="611" w:type="pct"/>
          </w:tcPr>
          <w:p w14:paraId="5465FA8C" w14:textId="2D486BFE"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c>
          <w:tcPr>
            <w:tcW w:w="611" w:type="pct"/>
          </w:tcPr>
          <w:p w14:paraId="6749AF17" w14:textId="648BF630"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c>
          <w:tcPr>
            <w:tcW w:w="611" w:type="pct"/>
          </w:tcPr>
          <w:p w14:paraId="10CEE438" w14:textId="400CE638"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c>
          <w:tcPr>
            <w:tcW w:w="611" w:type="pct"/>
          </w:tcPr>
          <w:p w14:paraId="6C15EA2B" w14:textId="009253E9"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c>
          <w:tcPr>
            <w:tcW w:w="611" w:type="pct"/>
          </w:tcPr>
          <w:p w14:paraId="1FC56BCF" w14:textId="716125F0" w:rsidR="00C45CF8" w:rsidRPr="00474B42" w:rsidRDefault="00C45CF8" w:rsidP="00C45CF8">
            <w:pPr>
              <w:pStyle w:val="COMTabletext"/>
              <w:jc w:val="center"/>
              <w:rPr>
                <w:vertAlign w:val="superscript"/>
              </w:rPr>
            </w:pPr>
            <w:r w:rsidRPr="00C45CF8">
              <w:rPr>
                <w:b/>
                <w:bCs w:val="0"/>
              </w:rPr>
              <w:t>$</w:t>
            </w:r>
            <w:r w:rsidR="00783DC2" w:rsidRPr="00783DC2">
              <w:rPr>
                <w:b/>
                <w:bCs w:val="0"/>
                <w:highlight w:val="black"/>
              </w:rPr>
              <w:t>&amp;&amp;&amp;&amp;</w:t>
            </w:r>
            <w:r w:rsidR="00474B42">
              <w:rPr>
                <w:vertAlign w:val="superscript"/>
              </w:rPr>
              <w:t>3</w:t>
            </w:r>
          </w:p>
        </w:tc>
      </w:tr>
      <w:tr w:rsidR="00271879" w:rsidRPr="0098262F" w14:paraId="3188D12D" w14:textId="77777777" w:rsidTr="005C65F8">
        <w:tc>
          <w:tcPr>
            <w:tcW w:w="5000" w:type="pct"/>
            <w:gridSpan w:val="7"/>
            <w:vAlign w:val="center"/>
          </w:tcPr>
          <w:p w14:paraId="005E023F" w14:textId="30DBC3C0" w:rsidR="00271879" w:rsidRPr="0098262F" w:rsidRDefault="00271879">
            <w:pPr>
              <w:pStyle w:val="COMTableheadingrow"/>
            </w:pPr>
            <w:r w:rsidRPr="0098262F">
              <w:t xml:space="preserve">Previous submission </w:t>
            </w:r>
            <w:r w:rsidR="00CF41E0">
              <w:t>(</w:t>
            </w:r>
            <w:r w:rsidRPr="0098262F">
              <w:t>M</w:t>
            </w:r>
            <w:r>
              <w:t>ay</w:t>
            </w:r>
            <w:r w:rsidRPr="0098262F">
              <w:t xml:space="preserve"> </w:t>
            </w:r>
            <w:r>
              <w:t>2025</w:t>
            </w:r>
            <w:r w:rsidR="00CF41E0">
              <w:t>)</w:t>
            </w:r>
          </w:p>
        </w:tc>
      </w:tr>
      <w:tr w:rsidR="00271879" w:rsidRPr="0098262F" w14:paraId="0E5109EF" w14:textId="77777777" w:rsidTr="005C65F8">
        <w:tc>
          <w:tcPr>
            <w:tcW w:w="1334" w:type="pct"/>
            <w:vAlign w:val="center"/>
          </w:tcPr>
          <w:p w14:paraId="68CD7E38" w14:textId="77777777" w:rsidR="00271879" w:rsidRPr="0098262F" w:rsidRDefault="00271879">
            <w:pPr>
              <w:pStyle w:val="COMTabletext"/>
              <w:rPr>
                <w:sz w:val="19"/>
                <w:szCs w:val="19"/>
              </w:rPr>
            </w:pPr>
            <w:r w:rsidRPr="0098262F">
              <w:rPr>
                <w:sz w:val="19"/>
                <w:szCs w:val="19"/>
              </w:rPr>
              <w:t>Net cost to PBS/RPBS</w:t>
            </w:r>
          </w:p>
        </w:tc>
        <w:tc>
          <w:tcPr>
            <w:tcW w:w="611" w:type="pct"/>
          </w:tcPr>
          <w:p w14:paraId="2E700E86" w14:textId="149BDA6D"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c>
          <w:tcPr>
            <w:tcW w:w="611" w:type="pct"/>
          </w:tcPr>
          <w:p w14:paraId="1BE9FEE7" w14:textId="2C5B4A5F"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c>
          <w:tcPr>
            <w:tcW w:w="611" w:type="pct"/>
          </w:tcPr>
          <w:p w14:paraId="7AE49DAF" w14:textId="673F94FB"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c>
          <w:tcPr>
            <w:tcW w:w="611" w:type="pct"/>
          </w:tcPr>
          <w:p w14:paraId="2F824480" w14:textId="67F6FE71"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c>
          <w:tcPr>
            <w:tcW w:w="611" w:type="pct"/>
          </w:tcPr>
          <w:p w14:paraId="338ABB24" w14:textId="62EC6FE5"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c>
          <w:tcPr>
            <w:tcW w:w="611" w:type="pct"/>
          </w:tcPr>
          <w:p w14:paraId="6C3A2958" w14:textId="09FCFE7B" w:rsidR="00271879" w:rsidRPr="00474B42" w:rsidRDefault="00271879">
            <w:pPr>
              <w:pStyle w:val="COMTabletext"/>
              <w:jc w:val="center"/>
              <w:rPr>
                <w:vertAlign w:val="superscript"/>
              </w:rPr>
            </w:pPr>
            <w:r w:rsidRPr="001A1F78">
              <w:t>$</w:t>
            </w:r>
            <w:r w:rsidR="00783DC2" w:rsidRPr="00783DC2">
              <w:rPr>
                <w:highlight w:val="black"/>
              </w:rPr>
              <w:t>&amp;&amp;&amp;&amp;</w:t>
            </w:r>
            <w:r w:rsidR="00474B42">
              <w:rPr>
                <w:vertAlign w:val="superscript"/>
              </w:rPr>
              <w:t>3</w:t>
            </w:r>
          </w:p>
        </w:tc>
      </w:tr>
    </w:tbl>
    <w:p w14:paraId="55F6DE21" w14:textId="77777777" w:rsidR="00271879" w:rsidRDefault="00271879" w:rsidP="00271879">
      <w:pPr>
        <w:pStyle w:val="COMTablefooter"/>
      </w:pPr>
      <w:r>
        <w:t>Source: Section 4 financial implications Excel workbook, Attachment 12 of the submission.</w:t>
      </w:r>
    </w:p>
    <w:p w14:paraId="7AB47CB0" w14:textId="77777777" w:rsidR="00271879" w:rsidRDefault="00271879" w:rsidP="00271879">
      <w:pPr>
        <w:pStyle w:val="COMTablefooter"/>
        <w:rPr>
          <w:vertAlign w:val="superscript"/>
        </w:rPr>
      </w:pPr>
      <w:r>
        <w:t>Abbreviations: MBS, Medicare Benefits Schedule</w:t>
      </w:r>
      <w:r w:rsidRPr="0098262F">
        <w:rPr>
          <w:vertAlign w:val="superscript"/>
        </w:rPr>
        <w:t xml:space="preserve"> </w:t>
      </w:r>
    </w:p>
    <w:p w14:paraId="0063CC00" w14:textId="77777777" w:rsidR="00D53F71" w:rsidRDefault="00271879" w:rsidP="00D53F71">
      <w:pPr>
        <w:pStyle w:val="COMTablefooter"/>
        <w:rPr>
          <w:i/>
          <w:szCs w:val="18"/>
        </w:rPr>
      </w:pPr>
      <w:proofErr w:type="spellStart"/>
      <w:r w:rsidRPr="0098262F">
        <w:rPr>
          <w:vertAlign w:val="superscript"/>
        </w:rPr>
        <w:t>a</w:t>
      </w:r>
      <w:proofErr w:type="spellEnd"/>
      <w:r w:rsidRPr="0098262F">
        <w:t xml:space="preserve"> </w:t>
      </w:r>
      <w:r w:rsidRPr="009C7CFB">
        <w:t xml:space="preserve">The submission assumed </w:t>
      </w:r>
      <w:r>
        <w:t>2</w:t>
      </w:r>
      <w:r w:rsidRPr="009C7CFB">
        <w:t xml:space="preserve"> thiamine level test (MBS item 66605, quantitation of vitamins; 80% of the Schedule fee; $24.48) per patient per </w:t>
      </w:r>
      <w:r w:rsidR="00A45AE9">
        <w:t>year, applied to one in every 6 scripts of fedratinib</w:t>
      </w:r>
      <w:r>
        <w:t>.</w:t>
      </w:r>
      <w:r w:rsidR="00D53F71" w:rsidRPr="00D53F71">
        <w:rPr>
          <w:i/>
          <w:szCs w:val="18"/>
        </w:rPr>
        <w:t xml:space="preserve"> </w:t>
      </w:r>
    </w:p>
    <w:p w14:paraId="6CB7566D" w14:textId="6951C0F1" w:rsidR="00D53F71" w:rsidRPr="00D53F71" w:rsidRDefault="00D53F71" w:rsidP="00D53F71">
      <w:pPr>
        <w:pStyle w:val="COMTablefooter"/>
        <w:rPr>
          <w:i/>
        </w:rPr>
      </w:pPr>
      <w:r w:rsidRPr="00D53F71">
        <w:rPr>
          <w:i/>
        </w:rPr>
        <w:t xml:space="preserve">The redacted values correspond to the following ranges: </w:t>
      </w:r>
    </w:p>
    <w:p w14:paraId="507B94EC" w14:textId="3DF1CE45" w:rsidR="00D53F71" w:rsidRPr="00D53F71" w:rsidRDefault="00D53F71" w:rsidP="00D53F71">
      <w:pPr>
        <w:pStyle w:val="COMTablefooter"/>
        <w:rPr>
          <w:i/>
        </w:rPr>
      </w:pPr>
      <w:r w:rsidRPr="00D53F71">
        <w:rPr>
          <w:i/>
          <w:vertAlign w:val="superscript"/>
        </w:rPr>
        <w:t>1</w:t>
      </w:r>
      <w:r w:rsidRPr="00D53F71">
        <w:rPr>
          <w:i/>
        </w:rPr>
        <w:t xml:space="preserve"> </w:t>
      </w:r>
      <w:r w:rsidR="00EF0AEA" w:rsidRPr="00EF0AEA">
        <w:rPr>
          <w:i/>
        </w:rPr>
        <w:t>5,000 to &lt; 10,000</w:t>
      </w:r>
    </w:p>
    <w:p w14:paraId="300D0F5B" w14:textId="017E4529" w:rsidR="00D53F71" w:rsidRPr="00D53F71" w:rsidRDefault="00D53F71" w:rsidP="00D53F71">
      <w:pPr>
        <w:pStyle w:val="COMTablefooter"/>
        <w:rPr>
          <w:i/>
        </w:rPr>
      </w:pPr>
      <w:r w:rsidRPr="00D53F71">
        <w:rPr>
          <w:i/>
          <w:vertAlign w:val="superscript"/>
        </w:rPr>
        <w:t>2</w:t>
      </w:r>
      <w:r w:rsidRPr="00D53F71">
        <w:rPr>
          <w:i/>
        </w:rPr>
        <w:t xml:space="preserve"> </w:t>
      </w:r>
      <w:r w:rsidR="00C37F5D" w:rsidRPr="00C37F5D">
        <w:rPr>
          <w:i/>
        </w:rPr>
        <w:t>$20 million to &lt; $30 million</w:t>
      </w:r>
    </w:p>
    <w:p w14:paraId="0012E5F0" w14:textId="58496BBB" w:rsidR="00D53F71" w:rsidRPr="00D53F71" w:rsidRDefault="00D53F71" w:rsidP="00D53F71">
      <w:pPr>
        <w:pStyle w:val="COMTablefooter"/>
        <w:rPr>
          <w:i/>
        </w:rPr>
      </w:pPr>
      <w:r w:rsidRPr="00D53F71">
        <w:rPr>
          <w:i/>
          <w:vertAlign w:val="superscript"/>
        </w:rPr>
        <w:t>3</w:t>
      </w:r>
      <w:r w:rsidRPr="00D53F71">
        <w:rPr>
          <w:i/>
        </w:rPr>
        <w:t xml:space="preserve"> </w:t>
      </w:r>
      <w:r w:rsidR="00474B42" w:rsidRPr="00474B42">
        <w:rPr>
          <w:i/>
        </w:rPr>
        <w:t>$0 to &lt; $10 million</w:t>
      </w:r>
    </w:p>
    <w:p w14:paraId="792070EF" w14:textId="5E90B799" w:rsidR="00271879" w:rsidRDefault="00271879" w:rsidP="00271879">
      <w:pPr>
        <w:pStyle w:val="COMTablefooter"/>
      </w:pPr>
    </w:p>
    <w:p w14:paraId="0B4BCAE2" w14:textId="35DF7E10" w:rsidR="00A75210" w:rsidRPr="00CB1EA6" w:rsidRDefault="00073CE3" w:rsidP="00727345">
      <w:pPr>
        <w:pStyle w:val="COMESnumberedpara"/>
      </w:pPr>
      <w:r w:rsidRPr="00CB1EA6">
        <w:t xml:space="preserve">The estimated net cost to the PBS/RPBS was </w:t>
      </w:r>
      <w:r w:rsidR="001143ED" w:rsidRPr="001143ED">
        <w:t>$0 to &lt; $10 million</w:t>
      </w:r>
      <w:r w:rsidRPr="00CB1EA6">
        <w:t xml:space="preserve"> in Year 1, increasing to </w:t>
      </w:r>
      <w:r w:rsidR="001143ED" w:rsidRPr="001143ED">
        <w:t>$0 to &lt; $10 million</w:t>
      </w:r>
      <w:r w:rsidRPr="00CB1EA6">
        <w:t xml:space="preserve"> in Year 6, a total cost of </w:t>
      </w:r>
      <w:r w:rsidR="001143ED" w:rsidRPr="001143ED">
        <w:t>$0 to &lt; $10 million</w:t>
      </w:r>
      <w:r w:rsidRPr="00CB1EA6">
        <w:t xml:space="preserve"> over the first 6 years of listing. </w:t>
      </w:r>
    </w:p>
    <w:p w14:paraId="6A3E5748" w14:textId="3BDA49CE" w:rsidR="00107670" w:rsidRPr="00CB1EA6" w:rsidRDefault="00A26C78" w:rsidP="00841D52">
      <w:pPr>
        <w:pStyle w:val="COMESnumberedpara"/>
        <w:spacing w:after="0"/>
      </w:pPr>
      <w:bookmarkStart w:id="56" w:name="_Hlk208243341"/>
      <w:r w:rsidRPr="00CB1EA6">
        <w:t xml:space="preserve">The key drivers of the </w:t>
      </w:r>
      <w:r w:rsidR="001B6FDC" w:rsidRPr="00CB1EA6">
        <w:t>lower</w:t>
      </w:r>
      <w:r w:rsidRPr="00CB1EA6">
        <w:t xml:space="preserve"> financial impact for fedratinib </w:t>
      </w:r>
      <w:r w:rsidR="003F3FA0" w:rsidRPr="00CB1EA6">
        <w:t xml:space="preserve">compared to the May 2025 </w:t>
      </w:r>
      <w:r w:rsidRPr="00CB1EA6">
        <w:t xml:space="preserve">submission </w:t>
      </w:r>
      <w:r w:rsidR="001B6FDC" w:rsidRPr="00CB1EA6">
        <w:t>were</w:t>
      </w:r>
      <w:r w:rsidR="00107670" w:rsidRPr="00CB1EA6">
        <w:t>:</w:t>
      </w:r>
    </w:p>
    <w:p w14:paraId="2A9CD676" w14:textId="37A5C6E7" w:rsidR="00107670" w:rsidRPr="00CB1EA6" w:rsidRDefault="009E42EA" w:rsidP="00841D52">
      <w:pPr>
        <w:pStyle w:val="COMESbulletlist"/>
        <w:spacing w:after="0"/>
        <w:jc w:val="both"/>
      </w:pPr>
      <w:r w:rsidRPr="00CB1EA6">
        <w:t xml:space="preserve">The </w:t>
      </w:r>
      <w:r w:rsidR="00ED287D" w:rsidRPr="00CB1EA6">
        <w:t>reduced</w:t>
      </w:r>
      <w:r w:rsidR="004930B8" w:rsidRPr="00CB1EA6">
        <w:t xml:space="preserve"> size of the </w:t>
      </w:r>
      <w:r w:rsidR="009022D0" w:rsidRPr="00CB1EA6">
        <w:t xml:space="preserve">fedratinib </w:t>
      </w:r>
      <w:r w:rsidR="004930B8" w:rsidRPr="00CB1EA6">
        <w:t>market</w:t>
      </w:r>
      <w:r w:rsidR="00ED23AF" w:rsidRPr="00CB1EA6">
        <w:t xml:space="preserve"> shar</w:t>
      </w:r>
      <w:r w:rsidR="009022D0" w:rsidRPr="00CB1EA6">
        <w:t xml:space="preserve">e </w:t>
      </w:r>
      <w:r w:rsidR="004930B8" w:rsidRPr="00CB1EA6">
        <w:t xml:space="preserve">though </w:t>
      </w:r>
      <w:r w:rsidR="004436F4" w:rsidRPr="00CB1EA6">
        <w:t>reduced</w:t>
      </w:r>
      <w:r w:rsidR="00B02055" w:rsidRPr="00CB1EA6">
        <w:t xml:space="preserve"> annual</w:t>
      </w:r>
      <w:r w:rsidR="004436F4" w:rsidRPr="00CB1EA6">
        <w:t xml:space="preserve"> market growth (</w:t>
      </w:r>
      <w:r w:rsidR="00B02055" w:rsidRPr="00CB1EA6">
        <w:t xml:space="preserve">6.37% compared to </w:t>
      </w:r>
      <w:r w:rsidR="00DB6F6E" w:rsidRPr="00CB1EA6">
        <w:t xml:space="preserve">7.24% in the May 2025 submission), </w:t>
      </w:r>
      <w:r w:rsidR="004436F4" w:rsidRPr="00CB1EA6">
        <w:t xml:space="preserve">a broader population with a </w:t>
      </w:r>
      <w:r w:rsidR="00867424" w:rsidRPr="00CB1EA6">
        <w:t xml:space="preserve">lower uptake rate </w:t>
      </w:r>
      <w:r w:rsidR="00CD2D66" w:rsidRPr="00CB1EA6">
        <w:t>(</w:t>
      </w:r>
      <w:r w:rsidR="00783DC2" w:rsidRPr="00783DC2">
        <w:rPr>
          <w:highlight w:val="black"/>
        </w:rPr>
        <w:t>&amp;&amp;&amp;&amp;</w:t>
      </w:r>
      <w:r w:rsidR="00CD2D66" w:rsidRPr="00CB1EA6">
        <w:t>% across all lines of therapy</w:t>
      </w:r>
      <w:r w:rsidR="001008A9" w:rsidRPr="00CB1EA6">
        <w:t xml:space="preserve"> </w:t>
      </w:r>
      <w:r w:rsidR="00390A92" w:rsidRPr="00CB1EA6">
        <w:t>in intermediate-1, intermediate-2 or high risk population</w:t>
      </w:r>
      <w:r w:rsidR="00ED23AF" w:rsidRPr="00CB1EA6">
        <w:t>s</w:t>
      </w:r>
      <w:r w:rsidR="00CD2D66" w:rsidRPr="00CB1EA6">
        <w:t xml:space="preserve">, compared to 72.23% in second-line </w:t>
      </w:r>
      <w:r w:rsidR="001008A9" w:rsidRPr="00CB1EA6">
        <w:t xml:space="preserve">intermediate-2 or high risk </w:t>
      </w:r>
      <w:r w:rsidR="00CD2D66" w:rsidRPr="00CB1EA6">
        <w:t>population</w:t>
      </w:r>
      <w:r w:rsidR="00ED23AF" w:rsidRPr="00CB1EA6">
        <w:t>s</w:t>
      </w:r>
      <w:r w:rsidR="005F1FD2" w:rsidRPr="00CB1EA6">
        <w:t xml:space="preserve"> in the May 2025 submission</w:t>
      </w:r>
      <w:r w:rsidR="00CD2D66" w:rsidRPr="00CB1EA6">
        <w:t>)</w:t>
      </w:r>
      <w:r w:rsidR="00ED23AF" w:rsidRPr="00CB1EA6">
        <w:t>.</w:t>
      </w:r>
    </w:p>
    <w:p w14:paraId="1D0DC2E7" w14:textId="608550C8" w:rsidR="0029024F" w:rsidRPr="00CB1EA6" w:rsidRDefault="00ED23AF" w:rsidP="00334269">
      <w:pPr>
        <w:pStyle w:val="COMESbulletlist"/>
        <w:jc w:val="both"/>
      </w:pPr>
      <w:r w:rsidRPr="00CB1EA6">
        <w:t>C</w:t>
      </w:r>
      <w:r w:rsidR="00107670" w:rsidRPr="00CB1EA6">
        <w:t xml:space="preserve">hanges to script substitution rates through </w:t>
      </w:r>
      <w:r w:rsidR="0029024F" w:rsidRPr="00CB1EA6">
        <w:t>lower estimates of fedratinib dose intensity (87.49% compared to 96.7% in the May 2025 submission, with full adherence assumed for ruxolitinib</w:t>
      </w:r>
      <w:r w:rsidR="00234F58" w:rsidRPr="00CB1EA6">
        <w:t xml:space="preserve"> in both cases</w:t>
      </w:r>
      <w:r w:rsidR="0029024F" w:rsidRPr="00CB1EA6">
        <w:t>) and substitution of 2</w:t>
      </w:r>
      <w:r w:rsidR="00B81652">
        <w:t> </w:t>
      </w:r>
      <w:r w:rsidR="0029024F" w:rsidRPr="00CB1EA6">
        <w:t>ruxolitinib scripts for 1 fedratinib script for the ruxolitinib 25 mg twice daily dose (</w:t>
      </w:r>
      <w:r w:rsidR="00234F58" w:rsidRPr="00CB1EA6">
        <w:t>compared to 1 for 1 script substitution in the May 2025 submission)</w:t>
      </w:r>
      <w:r w:rsidR="0029024F" w:rsidRPr="00CB1EA6">
        <w:t>, which resulted in increased numbers of offset scripts and associated cost</w:t>
      </w:r>
      <w:r w:rsidR="005656FF" w:rsidRPr="00CB1EA6">
        <w:t xml:space="preserve"> offsets</w:t>
      </w:r>
      <w:r w:rsidR="0029024F" w:rsidRPr="00CB1EA6">
        <w:t xml:space="preserve"> for ruxolitinib.</w:t>
      </w:r>
    </w:p>
    <w:bookmarkEnd w:id="56"/>
    <w:p w14:paraId="186D39C5" w14:textId="77777777" w:rsidR="00D044B0" w:rsidRPr="00CB1EA6" w:rsidRDefault="00D044B0" w:rsidP="00841D52">
      <w:pPr>
        <w:pStyle w:val="COMESnumberedpara"/>
        <w:spacing w:after="0"/>
      </w:pPr>
      <w:r w:rsidRPr="00CB1EA6">
        <w:t>The financial estimates for fedratinib were considered uncertain for the following reasons:</w:t>
      </w:r>
    </w:p>
    <w:p w14:paraId="314E0C50" w14:textId="59F3F145" w:rsidR="00D044B0" w:rsidRPr="007943DB" w:rsidRDefault="00D044B0" w:rsidP="00841D52">
      <w:pPr>
        <w:pStyle w:val="COMESbulletlist"/>
        <w:spacing w:after="0"/>
        <w:jc w:val="both"/>
      </w:pPr>
      <w:r w:rsidRPr="00CB1EA6">
        <w:t>The mean relative dose intensity reported for fedratinib in the FREEDOM-2 (86.9%) and JAKARTA trials (92.8%), and the relative treatment adherence for ruxolitinib and fedratinib implied by the market share approach (100% for ruxolitinib/87.49% for fedratinib) may not reflect the relative treatment a</w:t>
      </w:r>
      <w:r w:rsidRPr="007943DB">
        <w:t>dherence for ruxolitinib and fedratinib in clinical practice.</w:t>
      </w:r>
      <w:r w:rsidR="00A779A8" w:rsidRPr="007943DB">
        <w:t xml:space="preserve"> The </w:t>
      </w:r>
      <w:r w:rsidR="0070712A" w:rsidRPr="007943DB">
        <w:t xml:space="preserve">PSCR  </w:t>
      </w:r>
      <w:r w:rsidR="00127C33" w:rsidRPr="007943DB">
        <w:t xml:space="preserve">acknowledged that while no adjustment was applied for ruxolitinib in the financial estimates, </w:t>
      </w:r>
      <w:r w:rsidR="00704656" w:rsidRPr="007943DB">
        <w:t>t</w:t>
      </w:r>
      <w:r w:rsidR="0058418A" w:rsidRPr="007943DB">
        <w:t xml:space="preserve">his was accounted for in the economic analysis and resultant cost minimised price of </w:t>
      </w:r>
      <w:r w:rsidR="00AD3283" w:rsidRPr="007943DB">
        <w:t>fedratinib.</w:t>
      </w:r>
    </w:p>
    <w:p w14:paraId="1A3B396C" w14:textId="14F1EB81" w:rsidR="00D044B0" w:rsidRPr="007943DB" w:rsidRDefault="00D044B0" w:rsidP="00841D52">
      <w:pPr>
        <w:pStyle w:val="COMESbulletlist"/>
        <w:spacing w:after="0"/>
        <w:jc w:val="both"/>
      </w:pPr>
      <w:r w:rsidRPr="007943DB">
        <w:t xml:space="preserve">The annual market growth rate </w:t>
      </w:r>
      <w:r w:rsidR="00DC37F3" w:rsidRPr="007943DB">
        <w:t xml:space="preserve">(6.37%) </w:t>
      </w:r>
      <w:r w:rsidRPr="007943DB">
        <w:t>may be underestimate</w:t>
      </w:r>
      <w:r w:rsidR="0080671D" w:rsidRPr="007943DB">
        <w:t>d</w:t>
      </w:r>
      <w:r w:rsidR="00DC37F3" w:rsidRPr="007943DB">
        <w:t>.</w:t>
      </w:r>
      <w:r w:rsidRPr="007943DB">
        <w:t xml:space="preserve"> DUSC previously considered an average annual growth rate of 9.1%, applied in the November 2024 </w:t>
      </w:r>
      <w:proofErr w:type="spellStart"/>
      <w:r w:rsidRPr="007943DB">
        <w:t>momelotinib</w:t>
      </w:r>
      <w:proofErr w:type="spellEnd"/>
      <w:r w:rsidRPr="007943DB">
        <w:t xml:space="preserve"> submission, to be an underestimate (Table 13, </w:t>
      </w:r>
      <w:proofErr w:type="spellStart"/>
      <w:r w:rsidRPr="007943DB">
        <w:t>momelotinib</w:t>
      </w:r>
      <w:proofErr w:type="spellEnd"/>
      <w:r w:rsidRPr="007943DB">
        <w:t xml:space="preserve"> PSD, November 2024 PBAC meeting).</w:t>
      </w:r>
    </w:p>
    <w:p w14:paraId="6D16AE56" w14:textId="49BDEA42" w:rsidR="00D044B0" w:rsidRPr="007943DB" w:rsidRDefault="00D044B0" w:rsidP="001D1ED5">
      <w:pPr>
        <w:pStyle w:val="COMESbulletlist"/>
      </w:pPr>
      <w:r w:rsidRPr="007943DB">
        <w:t xml:space="preserve">Uncertainty </w:t>
      </w:r>
      <w:r w:rsidRPr="003B4DF6">
        <w:t xml:space="preserve">around the </w:t>
      </w:r>
      <w:r w:rsidR="00783DC2" w:rsidRPr="00783DC2">
        <w:rPr>
          <w:highlight w:val="black"/>
        </w:rPr>
        <w:t>&amp;&amp;&amp;&amp;</w:t>
      </w:r>
      <w:r w:rsidRPr="003B4DF6">
        <w:t>% uptake</w:t>
      </w:r>
      <w:r w:rsidRPr="007943DB">
        <w:t xml:space="preserve"> rate for fedratinib which was based on clinical input that was not provided. Further, the assumption of constant uptake over the initial 6 years of listing may not be reasonable.</w:t>
      </w:r>
      <w:r w:rsidR="002D2C16" w:rsidRPr="007943DB">
        <w:t xml:space="preserve"> The PSCR  acknowledged the uptake of fedratinib in practice was uncertain</w:t>
      </w:r>
      <w:r w:rsidR="001D1ED5" w:rsidRPr="007943DB">
        <w:t xml:space="preserve">. The ESC also considered the uptake assumption to be uncertain, but noted </w:t>
      </w:r>
      <w:r w:rsidR="00625A4A" w:rsidRPr="007943DB">
        <w:t xml:space="preserve">that in the absence of alternative sources to inform the likely uptake of fedratinib in practice, </w:t>
      </w:r>
      <w:r w:rsidR="00783DC2" w:rsidRPr="00783DC2">
        <w:rPr>
          <w:highlight w:val="black"/>
        </w:rPr>
        <w:t>&amp;&amp;&amp;&amp;</w:t>
      </w:r>
      <w:r w:rsidR="00625A4A" w:rsidRPr="007943DB">
        <w:t xml:space="preserve">% was </w:t>
      </w:r>
      <w:r w:rsidR="001E049F" w:rsidRPr="007943DB">
        <w:t xml:space="preserve">likely </w:t>
      </w:r>
      <w:r w:rsidR="00625A4A" w:rsidRPr="007943DB">
        <w:t>reasonable</w:t>
      </w:r>
      <w:r w:rsidR="00704656" w:rsidRPr="007943DB">
        <w:t>.</w:t>
      </w:r>
    </w:p>
    <w:p w14:paraId="125330B5" w14:textId="7529CB3C" w:rsidR="00EC4D52" w:rsidRPr="00CB1EA6" w:rsidRDefault="00EC4D52" w:rsidP="00334269">
      <w:pPr>
        <w:pStyle w:val="COMESbulletlist"/>
        <w:jc w:val="both"/>
      </w:pPr>
      <w:r w:rsidRPr="00CB1EA6">
        <w:t>There may be additional costs to the PBS due to costs associated with the prophylaxis and treatment of gastrointestinal adverse events associated with fedratinib treatment (e.g., anti-emetics and anti-diarrhoeal medications) and thiamine supplementation for some patients, that were not included in the resubmission’s estimates.</w:t>
      </w:r>
    </w:p>
    <w:p w14:paraId="73A31403" w14:textId="4F47A87A" w:rsidR="00A77885" w:rsidRPr="00CB1EA6" w:rsidRDefault="00A77885" w:rsidP="00A77885">
      <w:pPr>
        <w:pStyle w:val="COMESnumberedpara"/>
      </w:pPr>
      <w:r w:rsidRPr="00CB1EA6">
        <w:t xml:space="preserve">The resubmission presented the results of sensitivity analyses varying the annual </w:t>
      </w:r>
      <w:r w:rsidR="00124C0A" w:rsidRPr="00CB1EA6">
        <w:t xml:space="preserve">market </w:t>
      </w:r>
      <w:r w:rsidRPr="00CB1EA6">
        <w:t xml:space="preserve">growth rate and </w:t>
      </w:r>
      <w:r w:rsidR="00124C0A" w:rsidRPr="00CB1EA6">
        <w:t xml:space="preserve">assumed </w:t>
      </w:r>
      <w:r w:rsidRPr="00CB1EA6">
        <w:t>fedratinib uptake</w:t>
      </w:r>
      <w:r w:rsidR="00D1685A" w:rsidRPr="00CB1EA6">
        <w:t>.</w:t>
      </w:r>
      <w:r w:rsidRPr="00CB1EA6">
        <w:t xml:space="preserve"> </w:t>
      </w:r>
      <w:r w:rsidR="00AE3452" w:rsidRPr="00CB1EA6">
        <w:t>Additional sensitivity analyses were conducted during the evaluation, g</w:t>
      </w:r>
      <w:r w:rsidRPr="00CB1EA6">
        <w:t xml:space="preserve">iven uncertainties associated with the derivation of the cost-minimised price of fedratinib noted in </w:t>
      </w:r>
      <w:r w:rsidR="00630DAC" w:rsidRPr="00CB1EA6">
        <w:t xml:space="preserve">paragraph </w:t>
      </w:r>
      <w:r w:rsidR="00630DAC" w:rsidRPr="00CB1EA6">
        <w:fldChar w:fldCharType="begin"/>
      </w:r>
      <w:r w:rsidR="00630DAC" w:rsidRPr="00CB1EA6">
        <w:instrText xml:space="preserve"> REF _Ref208248502 \r \h </w:instrText>
      </w:r>
      <w:r w:rsidR="00CB1EA6" w:rsidRPr="00CB1EA6">
        <w:instrText xml:space="preserve"> \* MERGEFORMAT </w:instrText>
      </w:r>
      <w:r w:rsidR="00630DAC" w:rsidRPr="00CB1EA6">
        <w:fldChar w:fldCharType="separate"/>
      </w:r>
      <w:r w:rsidR="000F0515">
        <w:t>6.60</w:t>
      </w:r>
      <w:r w:rsidR="00630DAC" w:rsidRPr="00CB1EA6">
        <w:fldChar w:fldCharType="end"/>
      </w:r>
      <w:r w:rsidR="00630DAC" w:rsidRPr="00CB1EA6">
        <w:t xml:space="preserve"> above</w:t>
      </w:r>
      <w:r w:rsidRPr="00CB1EA6">
        <w:t>, and the lack of evidence to support the implied relative treatment adherence for ruxolitinib and fedratinib based on the market share approach (100%</w:t>
      </w:r>
      <w:r w:rsidR="003E013E">
        <w:t> </w:t>
      </w:r>
      <w:r w:rsidRPr="00CB1EA6">
        <w:t>for</w:t>
      </w:r>
      <w:r w:rsidR="003E013E">
        <w:t> </w:t>
      </w:r>
      <w:r w:rsidRPr="00CB1EA6">
        <w:t>ruxolitinib/87.49% for fedratinib)</w:t>
      </w:r>
      <w:r w:rsidR="0070712A">
        <w:t>.</w:t>
      </w:r>
      <w:r w:rsidR="00D1685A" w:rsidRPr="00CB1EA6">
        <w:t xml:space="preserve"> </w:t>
      </w:r>
      <w:r w:rsidR="003B3B90" w:rsidRPr="00CB1EA6">
        <w:t>The financial estimates were sensitive to changes in the estimated uptake of fedratinib, as well as alternative approaches to deriving the cost-minimised price of fedratinib, assuming no difference in adherence between fedratinib and ruxolitinib.</w:t>
      </w:r>
    </w:p>
    <w:p w14:paraId="2238DEE9" w14:textId="3E6A228B" w:rsidR="00576972" w:rsidRPr="0098262F" w:rsidRDefault="00576972" w:rsidP="00606FBA">
      <w:pPr>
        <w:pStyle w:val="COMESSubsectionheading"/>
      </w:pPr>
      <w:bookmarkStart w:id="57" w:name="_Toc22897648"/>
      <w:bookmarkStart w:id="58" w:name="_Toc209002723"/>
      <w:r w:rsidRPr="0098262F">
        <w:t>Quality Use of Medicines</w:t>
      </w:r>
      <w:bookmarkEnd w:id="57"/>
      <w:bookmarkEnd w:id="58"/>
    </w:p>
    <w:p w14:paraId="0E6FEEC0" w14:textId="6C9556B4" w:rsidR="00F27BB2" w:rsidRDefault="00F27BB2" w:rsidP="00A60EB4">
      <w:pPr>
        <w:pStyle w:val="COMESnumberedpara"/>
        <w:numPr>
          <w:ilvl w:val="1"/>
          <w:numId w:val="9"/>
        </w:numPr>
      </w:pPr>
      <w:bookmarkStart w:id="59" w:name="_Toc22897649"/>
      <w:r w:rsidRPr="00C552EF">
        <w:t xml:space="preserve">No additional activities to support the quality use of medicines were proposed in the </w:t>
      </w:r>
      <w:r w:rsidR="0082205E">
        <w:t>re</w:t>
      </w:r>
      <w:r w:rsidRPr="00C552EF">
        <w:t xml:space="preserve">submission. </w:t>
      </w:r>
      <w:r w:rsidR="0082205E" w:rsidRPr="006B1232">
        <w:t xml:space="preserve">The </w:t>
      </w:r>
      <w:r w:rsidR="0082205E">
        <w:t xml:space="preserve">original </w:t>
      </w:r>
      <w:r w:rsidR="0082205E" w:rsidRPr="006B1232">
        <w:t xml:space="preserve">submission noted that the current Risk Management Plan for fedratinib contains five important identified risks (anaemia; thrombocytopenia/bleeding; encephalopathy, including Wernicke’s encephalopathy; gastrointestinal toxicities; and low thiamine levels). The submission argued that the routine risk minimisation measures </w:t>
      </w:r>
      <w:r w:rsidR="0082205E" w:rsidRPr="00C552EF">
        <w:t>included in the Product Information and Consumer Medicines Information are sufficient to minimise the potential risks associated with fedratinib.</w:t>
      </w:r>
    </w:p>
    <w:p w14:paraId="4AE320FE" w14:textId="7EA36296" w:rsidR="00834AEA" w:rsidRPr="00C552EF" w:rsidRDefault="00834AEA" w:rsidP="00834AEA">
      <w:pPr>
        <w:pStyle w:val="COMESnumberedpara"/>
        <w:numPr>
          <w:ilvl w:val="0"/>
          <w:numId w:val="0"/>
        </w:numPr>
        <w:ind w:left="720"/>
      </w:pPr>
      <w:r w:rsidRPr="00C33D30">
        <w:rPr>
          <w:i/>
        </w:rPr>
        <w:t>For more detail on PBAC’s view, see section 7 PBAC outcome.</w:t>
      </w:r>
    </w:p>
    <w:p w14:paraId="10890E57" w14:textId="77777777" w:rsidR="00963CF7" w:rsidRPr="0090150D" w:rsidRDefault="00963CF7" w:rsidP="00963CF7">
      <w:pPr>
        <w:pStyle w:val="2-SectionHeading"/>
        <w:numPr>
          <w:ilvl w:val="0"/>
          <w:numId w:val="1"/>
        </w:numPr>
        <w:outlineLvl w:val="0"/>
      </w:pPr>
      <w:bookmarkStart w:id="60" w:name="_Hlk76381249"/>
      <w:bookmarkStart w:id="61" w:name="_Hlk76377955"/>
      <w:bookmarkEnd w:id="59"/>
      <w:r w:rsidRPr="0090150D">
        <w:t>PBAC Outcome</w:t>
      </w:r>
    </w:p>
    <w:p w14:paraId="2708EF67" w14:textId="69615EDF" w:rsidR="00B33FFF" w:rsidRPr="006264D4" w:rsidRDefault="00A413C3">
      <w:pPr>
        <w:pStyle w:val="COMESnumberedpara"/>
        <w:rPr>
          <w:snapToGrid w:val="0"/>
          <w:lang w:val="en-GB"/>
        </w:rPr>
      </w:pPr>
      <w:bookmarkStart w:id="62" w:name="_Hlk111543188"/>
      <w:r w:rsidRPr="006264D4">
        <w:rPr>
          <w:snapToGrid w:val="0"/>
          <w:lang w:val="en-GB"/>
        </w:rPr>
        <w:t xml:space="preserve">The PBAC recommended the </w:t>
      </w:r>
      <w:r w:rsidR="00B33FFF" w:rsidRPr="006264D4">
        <w:rPr>
          <w:snapToGrid w:val="0"/>
          <w:lang w:val="en-GB"/>
        </w:rPr>
        <w:t xml:space="preserve">PBS listing of fedratinib for the treatment of patients with </w:t>
      </w:r>
      <w:r w:rsidR="00747187" w:rsidRPr="00235026">
        <w:rPr>
          <w:snapToGrid w:val="0"/>
        </w:rPr>
        <w:t>intermediate-2</w:t>
      </w:r>
      <w:r w:rsidR="00AC0C15">
        <w:rPr>
          <w:snapToGrid w:val="0"/>
        </w:rPr>
        <w:t xml:space="preserve"> or </w:t>
      </w:r>
      <w:r w:rsidR="00C36C24">
        <w:rPr>
          <w:snapToGrid w:val="0"/>
        </w:rPr>
        <w:t>high</w:t>
      </w:r>
      <w:r w:rsidR="00E8690C">
        <w:rPr>
          <w:snapToGrid w:val="0"/>
        </w:rPr>
        <w:t>-</w:t>
      </w:r>
      <w:r w:rsidR="00C36C24">
        <w:rPr>
          <w:snapToGrid w:val="0"/>
        </w:rPr>
        <w:t>risk</w:t>
      </w:r>
      <w:r w:rsidR="00747187" w:rsidRPr="00235026">
        <w:rPr>
          <w:snapToGrid w:val="0"/>
        </w:rPr>
        <w:t xml:space="preserve"> primary myelofibrosis</w:t>
      </w:r>
      <w:r w:rsidR="00B33FFF" w:rsidRPr="006264D4">
        <w:rPr>
          <w:snapToGrid w:val="0"/>
          <w:lang w:val="en-GB"/>
        </w:rPr>
        <w:t xml:space="preserve">, post-polycythaemia vera myelofibrosis, or post-essential thrombocythaemia myelofibrosis who </w:t>
      </w:r>
      <w:r w:rsidR="00727907" w:rsidRPr="00235026">
        <w:rPr>
          <w:snapToGrid w:val="0"/>
        </w:rPr>
        <w:t>are JAK inhibitor naïve or post ruxolitinib or another JAK inhibitor</w:t>
      </w:r>
      <w:r w:rsidR="00AC0C15">
        <w:rPr>
          <w:snapToGrid w:val="0"/>
        </w:rPr>
        <w:t>; and</w:t>
      </w:r>
      <w:r w:rsidR="00AC0C15" w:rsidRPr="00AC0C15">
        <w:rPr>
          <w:snapToGrid w:val="0"/>
        </w:rPr>
        <w:t xml:space="preserve"> intermediate-1 risk myelofibrosis patients with severe disease-related symptoms that are resistant, refractory or intolerant to available therapy (second line treatment)</w:t>
      </w:r>
      <w:r w:rsidR="00B33FFF" w:rsidRPr="006264D4">
        <w:rPr>
          <w:snapToGrid w:val="0"/>
          <w:lang w:val="en-GB"/>
        </w:rPr>
        <w:t>.</w:t>
      </w:r>
      <w:r w:rsidR="006264D4" w:rsidRPr="006264D4">
        <w:t xml:space="preserve"> </w:t>
      </w:r>
      <w:r w:rsidR="006264D4" w:rsidRPr="006264D4">
        <w:rPr>
          <w:rFonts w:eastAsia="Times New Roman" w:cs="Arial"/>
          <w:snapToGrid w:val="0"/>
          <w:szCs w:val="24"/>
          <w:lang w:val="en-GB"/>
        </w:rPr>
        <w:t xml:space="preserve">The PBAC’s recommendation for listing was based on, among other matters, its assessment that </w:t>
      </w:r>
      <w:r w:rsidR="00643C26">
        <w:rPr>
          <w:rFonts w:eastAsia="Times New Roman" w:cs="Arial"/>
          <w:snapToGrid w:val="0"/>
          <w:szCs w:val="24"/>
          <w:lang w:val="en-GB"/>
        </w:rPr>
        <w:t xml:space="preserve">fedratinib </w:t>
      </w:r>
      <w:r w:rsidR="006264D4" w:rsidRPr="006264D4">
        <w:rPr>
          <w:rFonts w:eastAsia="Times New Roman" w:cs="Arial"/>
          <w:snapToGrid w:val="0"/>
          <w:szCs w:val="24"/>
          <w:lang w:val="en-GB"/>
        </w:rPr>
        <w:t xml:space="preserve">would be cost-effective if it cost no more than </w:t>
      </w:r>
      <w:r w:rsidR="00643C26">
        <w:rPr>
          <w:rFonts w:eastAsia="Times New Roman" w:cs="Arial"/>
          <w:snapToGrid w:val="0"/>
          <w:szCs w:val="24"/>
          <w:lang w:val="en-GB"/>
        </w:rPr>
        <w:t>ruxolitinib</w:t>
      </w:r>
      <w:r w:rsidR="00B3782B">
        <w:rPr>
          <w:rFonts w:eastAsia="Times New Roman" w:cs="Arial"/>
          <w:snapToGrid w:val="0"/>
          <w:szCs w:val="24"/>
          <w:lang w:val="en-GB"/>
        </w:rPr>
        <w:t>.</w:t>
      </w:r>
      <w:r w:rsidR="00643C26">
        <w:rPr>
          <w:rFonts w:eastAsia="Times New Roman" w:cs="Arial"/>
          <w:snapToGrid w:val="0"/>
          <w:szCs w:val="24"/>
          <w:lang w:val="en-GB"/>
        </w:rPr>
        <w:t xml:space="preserve"> </w:t>
      </w:r>
    </w:p>
    <w:p w14:paraId="72DDA343" w14:textId="1C6B1ABF" w:rsidR="00190842" w:rsidRPr="00A15282" w:rsidRDefault="00190842">
      <w:pPr>
        <w:pStyle w:val="COMESnumberedpara"/>
        <w:rPr>
          <w:snapToGrid w:val="0"/>
          <w:lang w:val="en-GB"/>
        </w:rPr>
      </w:pPr>
      <w:r w:rsidRPr="00D3240C">
        <w:rPr>
          <w:snapToGrid w:val="0"/>
          <w:lang w:val="en-GB"/>
        </w:rPr>
        <w:t xml:space="preserve">The PBAC </w:t>
      </w:r>
      <w:r w:rsidR="007D2898">
        <w:rPr>
          <w:snapToGrid w:val="0"/>
          <w:lang w:val="en-GB"/>
        </w:rPr>
        <w:t xml:space="preserve">maintained its view that </w:t>
      </w:r>
      <w:r w:rsidR="00D3240C" w:rsidRPr="00D3240C">
        <w:rPr>
          <w:snapToGrid w:val="0"/>
          <w:lang w:val="en-GB"/>
        </w:rPr>
        <w:t xml:space="preserve">there </w:t>
      </w:r>
      <w:r w:rsidR="007D2898">
        <w:rPr>
          <w:snapToGrid w:val="0"/>
          <w:lang w:val="en-GB"/>
        </w:rPr>
        <w:t xml:space="preserve">is </w:t>
      </w:r>
      <w:r w:rsidR="00D3240C" w:rsidRPr="00D3240C">
        <w:rPr>
          <w:snapToGrid w:val="0"/>
          <w:lang w:val="en-GB"/>
        </w:rPr>
        <w:t xml:space="preserve">a clinical place for fedratinib as an alternative or additional treatment option to or after ruxolitinib (and to a lesser extent </w:t>
      </w:r>
      <w:proofErr w:type="spellStart"/>
      <w:r w:rsidR="00D3240C" w:rsidRPr="00D3240C">
        <w:rPr>
          <w:snapToGrid w:val="0"/>
          <w:lang w:val="en-GB"/>
        </w:rPr>
        <w:t>momelotinib</w:t>
      </w:r>
      <w:proofErr w:type="spellEnd"/>
      <w:r w:rsidR="00D3240C" w:rsidRPr="00D3240C">
        <w:rPr>
          <w:snapToGrid w:val="0"/>
          <w:lang w:val="en-GB"/>
        </w:rPr>
        <w:t>)</w:t>
      </w:r>
      <w:r w:rsidR="00D3240C">
        <w:rPr>
          <w:snapToGrid w:val="0"/>
          <w:lang w:val="en-GB"/>
        </w:rPr>
        <w:t xml:space="preserve">. </w:t>
      </w:r>
      <w:r w:rsidR="00B322B2" w:rsidRPr="00B322B2">
        <w:rPr>
          <w:snapToGrid w:val="0"/>
        </w:rPr>
        <w:t xml:space="preserve">The PBAC </w:t>
      </w:r>
      <w:r w:rsidR="00554D45">
        <w:rPr>
          <w:snapToGrid w:val="0"/>
        </w:rPr>
        <w:t xml:space="preserve">reiterated its view that </w:t>
      </w:r>
      <w:r w:rsidR="00B322B2" w:rsidRPr="00B322B2">
        <w:rPr>
          <w:snapToGrid w:val="0"/>
        </w:rPr>
        <w:t>there was a moderate need for a new JAK inhibitor in this disease area and noted the evidence suggested fedratinib could be effective in patients who had lost response to ruxolitinib over time.</w:t>
      </w:r>
      <w:r w:rsidR="00FB75E4" w:rsidRPr="00FB75E4">
        <w:rPr>
          <w:rFonts w:ascii="Calibri" w:eastAsia="Times New Roman" w:hAnsi="Calibri" w:cs="Arial"/>
          <w:szCs w:val="24"/>
        </w:rPr>
        <w:t xml:space="preserve"> </w:t>
      </w:r>
      <w:r w:rsidR="00FB75E4" w:rsidRPr="00FB75E4">
        <w:rPr>
          <w:snapToGrid w:val="0"/>
        </w:rPr>
        <w:t>The PBAC noted the consumer support for an additional treatment option</w:t>
      </w:r>
      <w:r w:rsidR="00A757CE">
        <w:rPr>
          <w:snapToGrid w:val="0"/>
        </w:rPr>
        <w:t xml:space="preserve"> </w:t>
      </w:r>
      <w:r w:rsidR="00793675">
        <w:rPr>
          <w:snapToGrid w:val="0"/>
        </w:rPr>
        <w:t xml:space="preserve">and reiterated </w:t>
      </w:r>
      <w:r w:rsidR="00FB75E4" w:rsidRPr="00FB75E4">
        <w:rPr>
          <w:snapToGrid w:val="0"/>
        </w:rPr>
        <w:t xml:space="preserve">the impact of the disease on individual quality of life, limited treatment options available to treat myelofibrosis and the need for additional options when current options stop being effective after prolonged use. </w:t>
      </w:r>
      <w:r w:rsidR="00124B81">
        <w:rPr>
          <w:snapToGrid w:val="0"/>
        </w:rPr>
        <w:t xml:space="preserve">The </w:t>
      </w:r>
      <w:r w:rsidR="00FB75E4" w:rsidRPr="00FB75E4">
        <w:rPr>
          <w:snapToGrid w:val="0"/>
        </w:rPr>
        <w:t xml:space="preserve">PBAC noted the input from the MPN Alliance </w:t>
      </w:r>
      <w:r w:rsidR="00124B81">
        <w:rPr>
          <w:snapToGrid w:val="0"/>
        </w:rPr>
        <w:t xml:space="preserve">and Rare Cancers Australia </w:t>
      </w:r>
      <w:r w:rsidR="00FB75E4" w:rsidRPr="00FB75E4">
        <w:rPr>
          <w:snapToGrid w:val="0"/>
        </w:rPr>
        <w:t xml:space="preserve">included patient stories </w:t>
      </w:r>
      <w:r w:rsidR="00FD4742">
        <w:rPr>
          <w:snapToGrid w:val="0"/>
        </w:rPr>
        <w:t>which described the lived experience with myelofibrosis and the potential benefits of having fedratinib available for this condition on the PBS</w:t>
      </w:r>
      <w:r w:rsidR="00FB75E4" w:rsidRPr="00FB75E4">
        <w:rPr>
          <w:snapToGrid w:val="0"/>
        </w:rPr>
        <w:t>.</w:t>
      </w:r>
      <w:r w:rsidR="002719C5">
        <w:rPr>
          <w:snapToGrid w:val="0"/>
        </w:rPr>
        <w:t xml:space="preserve"> </w:t>
      </w:r>
    </w:p>
    <w:p w14:paraId="46000F19" w14:textId="35B2BEF7" w:rsidR="00481C43" w:rsidRPr="007575A3" w:rsidRDefault="00481C43">
      <w:pPr>
        <w:pStyle w:val="COMESnumberedpara"/>
        <w:rPr>
          <w:snapToGrid w:val="0"/>
          <w:lang w:val="en-GB"/>
        </w:rPr>
      </w:pPr>
      <w:r w:rsidRPr="00481C43">
        <w:rPr>
          <w:snapToGrid w:val="0"/>
        </w:rPr>
        <w:t xml:space="preserve">The PBAC </w:t>
      </w:r>
      <w:r>
        <w:rPr>
          <w:snapToGrid w:val="0"/>
        </w:rPr>
        <w:t xml:space="preserve">recalled from its previous consideration of fedratinib that it </w:t>
      </w:r>
      <w:r w:rsidRPr="00481C43">
        <w:rPr>
          <w:snapToGrid w:val="0"/>
        </w:rPr>
        <w:t>noted the National Comprehensive Cancer Network (NCCN guidelines (Version 1.2025; February</w:t>
      </w:r>
      <w:r w:rsidR="00F55AEB">
        <w:rPr>
          <w:snapToGrid w:val="0"/>
        </w:rPr>
        <w:t> </w:t>
      </w:r>
      <w:r w:rsidRPr="00481C43">
        <w:rPr>
          <w:snapToGrid w:val="0"/>
        </w:rPr>
        <w:t xml:space="preserve">2025) recommend the use of ruxolitinib, </w:t>
      </w:r>
      <w:proofErr w:type="spellStart"/>
      <w:r w:rsidRPr="00481C43">
        <w:rPr>
          <w:snapToGrid w:val="0"/>
        </w:rPr>
        <w:t>momelotinib</w:t>
      </w:r>
      <w:proofErr w:type="spellEnd"/>
      <w:r w:rsidRPr="00481C43">
        <w:rPr>
          <w:snapToGrid w:val="0"/>
        </w:rPr>
        <w:t xml:space="preserve"> and </w:t>
      </w:r>
      <w:proofErr w:type="spellStart"/>
      <w:r w:rsidRPr="00481C43">
        <w:rPr>
          <w:snapToGrid w:val="0"/>
        </w:rPr>
        <w:t>fedratinib</w:t>
      </w:r>
      <w:proofErr w:type="spellEnd"/>
      <w:r w:rsidRPr="00481C43">
        <w:rPr>
          <w:snapToGrid w:val="0"/>
        </w:rPr>
        <w:t xml:space="preserve"> as first-line treatment options in myelofibrosis. The Committee further noted the guidelines made no specific recommendations for subsequent-line treatment setting, recommending the use of a JAK inhibitor that has not previously been used.</w:t>
      </w:r>
      <w:r w:rsidR="005B50BC">
        <w:rPr>
          <w:snapToGrid w:val="0"/>
        </w:rPr>
        <w:t xml:space="preserve"> (paragraph 7.5, fedratinib PSD, May 2025 PBAC meeting).</w:t>
      </w:r>
    </w:p>
    <w:p w14:paraId="58DD160C" w14:textId="152386E7" w:rsidR="00A15282" w:rsidRPr="00882168" w:rsidRDefault="0001176F">
      <w:pPr>
        <w:pStyle w:val="COMESnumberedpara"/>
        <w:rPr>
          <w:snapToGrid w:val="0"/>
          <w:lang w:val="en-GB"/>
        </w:rPr>
      </w:pPr>
      <w:r w:rsidRPr="00CB1EA6">
        <w:t xml:space="preserve">The </w:t>
      </w:r>
      <w:r w:rsidR="008C6A1B">
        <w:t xml:space="preserve">PBAC accepted the </w:t>
      </w:r>
      <w:r w:rsidRPr="00CB1EA6">
        <w:t>resubmission</w:t>
      </w:r>
      <w:r w:rsidR="008C6A1B">
        <w:t>’s</w:t>
      </w:r>
      <w:r w:rsidRPr="00CB1EA6">
        <w:t xml:space="preserve"> nominat</w:t>
      </w:r>
      <w:r w:rsidR="008C6A1B">
        <w:t xml:space="preserve">ion of </w:t>
      </w:r>
      <w:r w:rsidRPr="00CB1EA6">
        <w:t xml:space="preserve">ruxolitinib as the </w:t>
      </w:r>
      <w:r w:rsidR="008C241B">
        <w:t xml:space="preserve">main </w:t>
      </w:r>
      <w:r w:rsidRPr="00CB1EA6">
        <w:t>comparator for JAK inhibitor naïve patients.</w:t>
      </w:r>
      <w:r w:rsidR="002B09F1">
        <w:t xml:space="preserve"> </w:t>
      </w:r>
      <w:r w:rsidR="00FF15FE">
        <w:t xml:space="preserve">The PBAC </w:t>
      </w:r>
      <w:r w:rsidRPr="009840B4">
        <w:t xml:space="preserve">considered there was likely to be limited overlap in the populations who would be considered for </w:t>
      </w:r>
      <w:proofErr w:type="spellStart"/>
      <w:r w:rsidRPr="009840B4">
        <w:t>fedratinib</w:t>
      </w:r>
      <w:proofErr w:type="spellEnd"/>
      <w:r w:rsidRPr="009840B4">
        <w:t xml:space="preserve"> and </w:t>
      </w:r>
      <w:proofErr w:type="spellStart"/>
      <w:r w:rsidRPr="009840B4">
        <w:t>momelotinib</w:t>
      </w:r>
      <w:proofErr w:type="spellEnd"/>
      <w:r w:rsidRPr="009840B4">
        <w:t xml:space="preserve">, as </w:t>
      </w:r>
      <w:proofErr w:type="spellStart"/>
      <w:r w:rsidRPr="009840B4">
        <w:t>momelotinib</w:t>
      </w:r>
      <w:proofErr w:type="spellEnd"/>
      <w:r w:rsidRPr="009840B4">
        <w:t xml:space="preserve"> is restricted to patients with baseline haemoglobin of less than 100 g per litre and has demonstrated benefits in terms of reducing anaemia and </w:t>
      </w:r>
      <w:r w:rsidR="00DF13C9">
        <w:t xml:space="preserve">as such </w:t>
      </w:r>
      <w:r w:rsidRPr="009840B4">
        <w:t xml:space="preserve">would generally be a preferred treatment in those patients. This was also consistent with recently updated treatment guidelines and as such the </w:t>
      </w:r>
      <w:r w:rsidR="009B2B1B">
        <w:t xml:space="preserve">PBAC </w:t>
      </w:r>
      <w:r w:rsidRPr="009840B4">
        <w:t>considered ruxolitinib to be the appropriate main comparator for JAK inhibitor naïve patients.</w:t>
      </w:r>
      <w:r w:rsidR="00882168">
        <w:t xml:space="preserve"> </w:t>
      </w:r>
      <w:r w:rsidR="00A15282" w:rsidRPr="00882168">
        <w:rPr>
          <w:snapToGrid w:val="0"/>
        </w:rPr>
        <w:t xml:space="preserve">The PBAC </w:t>
      </w:r>
      <w:r w:rsidR="002241C3" w:rsidRPr="00882168">
        <w:rPr>
          <w:snapToGrid w:val="0"/>
        </w:rPr>
        <w:t xml:space="preserve">maintained its view </w:t>
      </w:r>
      <w:r w:rsidR="00A15282" w:rsidRPr="00882168">
        <w:rPr>
          <w:snapToGrid w:val="0"/>
        </w:rPr>
        <w:t xml:space="preserve">that the submission’s nomination of best available therapy (BAT) was appropriate for the requested listing for </w:t>
      </w:r>
      <w:r w:rsidR="00A15282" w:rsidRPr="00CE4377">
        <w:rPr>
          <w:snapToGrid w:val="0"/>
        </w:rPr>
        <w:t>patients with intermediate-2 and high</w:t>
      </w:r>
      <w:r w:rsidR="00DF2C8F" w:rsidRPr="00CE4377">
        <w:rPr>
          <w:snapToGrid w:val="0"/>
        </w:rPr>
        <w:t xml:space="preserve"> </w:t>
      </w:r>
      <w:r w:rsidR="00A15282" w:rsidRPr="00CE4377">
        <w:rPr>
          <w:snapToGrid w:val="0"/>
        </w:rPr>
        <w:t>risk myelofibrosis who have had prior ruxolitinib treatment.</w:t>
      </w:r>
    </w:p>
    <w:p w14:paraId="01668136" w14:textId="77777777" w:rsidR="00D9343F" w:rsidRPr="00D9343F" w:rsidRDefault="00E27E22">
      <w:pPr>
        <w:pStyle w:val="COMESnumberedpara"/>
        <w:rPr>
          <w:snapToGrid w:val="0"/>
          <w:lang w:val="en-GB"/>
        </w:rPr>
      </w:pPr>
      <w:r>
        <w:t>The PBAC noted t</w:t>
      </w:r>
      <w:r w:rsidRPr="0027599A">
        <w:t xml:space="preserve">he resubmission was based on an indirect </w:t>
      </w:r>
      <w:r w:rsidR="007B71B3">
        <w:t xml:space="preserve">treatment </w:t>
      </w:r>
      <w:r w:rsidRPr="0027599A">
        <w:t>comparison</w:t>
      </w:r>
      <w:r w:rsidR="007B71B3">
        <w:t xml:space="preserve"> (ITC)</w:t>
      </w:r>
      <w:r w:rsidRPr="0027599A">
        <w:t xml:space="preserve"> of one </w:t>
      </w:r>
      <w:r>
        <w:t xml:space="preserve">placebo-controlled </w:t>
      </w:r>
      <w:r w:rsidRPr="0027599A">
        <w:t>fedratinib trial (JAKARTA) and two ruxolitinib trials</w:t>
      </w:r>
      <w:r>
        <w:t xml:space="preserve"> (one placebo-controlled trial (</w:t>
      </w:r>
      <w:r w:rsidRPr="0027599A">
        <w:t>COMFORT-I</w:t>
      </w:r>
      <w:r>
        <w:t xml:space="preserve">) </w:t>
      </w:r>
      <w:r w:rsidRPr="0027599A">
        <w:t>and</w:t>
      </w:r>
      <w:r>
        <w:t xml:space="preserve"> one</w:t>
      </w:r>
      <w:r w:rsidRPr="0027599A">
        <w:t xml:space="preserve"> </w:t>
      </w:r>
      <w:r>
        <w:t>BAT-controlled trial (</w:t>
      </w:r>
      <w:r w:rsidRPr="0027599A">
        <w:t>COMFORT-II</w:t>
      </w:r>
      <w:r>
        <w:t xml:space="preserve">)) </w:t>
      </w:r>
      <w:r w:rsidRPr="0027599A">
        <w:t xml:space="preserve">in adults with </w:t>
      </w:r>
      <w:r>
        <w:t>i</w:t>
      </w:r>
      <w:r w:rsidRPr="0027599A">
        <w:t xml:space="preserve">ntermediate-2 or </w:t>
      </w:r>
      <w:r>
        <w:t>h</w:t>
      </w:r>
      <w:r w:rsidRPr="0027599A">
        <w:t>igh risk myelofibrosis who had not received prior treatment with a JAK inhibitor.</w:t>
      </w:r>
      <w:r>
        <w:t xml:space="preserve"> </w:t>
      </w:r>
      <w:r w:rsidR="000F13A9" w:rsidRPr="00CB1EA6">
        <w:t>The</w:t>
      </w:r>
      <w:r w:rsidR="000F13A9">
        <w:t xml:space="preserve"> PBAC noted there</w:t>
      </w:r>
      <w:r w:rsidR="000F13A9" w:rsidRPr="00CB1EA6">
        <w:t xml:space="preserve"> was no randomised controlled trial evidence for the intermediate-1 population, which was limited to single-arm data</w:t>
      </w:r>
      <w:r w:rsidR="000F13A9">
        <w:t xml:space="preserve"> </w:t>
      </w:r>
      <w:r>
        <w:t xml:space="preserve">(fedratinib: JAKARTA 2, FREEDOM; ruxolitinib: JUMP, ROBUST, </w:t>
      </w:r>
      <w:proofErr w:type="spellStart"/>
      <w:r>
        <w:t>Barosi</w:t>
      </w:r>
      <w:proofErr w:type="spellEnd"/>
      <w:r>
        <w:t xml:space="preserve"> 2012).</w:t>
      </w:r>
      <w:r w:rsidRPr="0098262F">
        <w:rPr>
          <w:color w:val="0066FF"/>
        </w:rPr>
        <w:t xml:space="preserve"> </w:t>
      </w:r>
    </w:p>
    <w:p w14:paraId="4181EB18" w14:textId="4EE10311" w:rsidR="00191399" w:rsidRPr="00A644E6" w:rsidRDefault="00C43B82">
      <w:pPr>
        <w:pStyle w:val="COMESnumberedpara"/>
        <w:rPr>
          <w:snapToGrid w:val="0"/>
          <w:lang w:val="en-GB"/>
        </w:rPr>
      </w:pPr>
      <w:r>
        <w:t>The PBAC noted the JAKARTA trial was difficult to analys</w:t>
      </w:r>
      <w:r w:rsidR="0029791E">
        <w:t>e</w:t>
      </w:r>
      <w:r>
        <w:t xml:space="preserve"> given </w:t>
      </w:r>
      <w:r w:rsidRPr="00672C81">
        <w:t xml:space="preserve">sponsor and protocol changes </w:t>
      </w:r>
      <w:r>
        <w:t xml:space="preserve">and </w:t>
      </w:r>
      <w:r w:rsidR="005373BE">
        <w:t xml:space="preserve">the </w:t>
      </w:r>
      <w:r w:rsidRPr="00672C81">
        <w:t>lack of long-term data</w:t>
      </w:r>
      <w:r>
        <w:t>, with no overall survival or progression free survival comparisons available given early termination of the trial</w:t>
      </w:r>
      <w:r w:rsidR="005373BE">
        <w:t xml:space="preserve"> (see paragraphs</w:t>
      </w:r>
      <w:r w:rsidR="007112B6">
        <w:t xml:space="preserve"> </w:t>
      </w:r>
      <w:r w:rsidR="007112B6">
        <w:fldChar w:fldCharType="begin"/>
      </w:r>
      <w:r w:rsidR="007112B6">
        <w:instrText xml:space="preserve"> REF _Ref214619458 \r \h </w:instrText>
      </w:r>
      <w:r w:rsidR="007112B6">
        <w:fldChar w:fldCharType="separate"/>
      </w:r>
      <w:r w:rsidR="000F0515">
        <w:t>6.11</w:t>
      </w:r>
      <w:r w:rsidR="007112B6">
        <w:fldChar w:fldCharType="end"/>
      </w:r>
      <w:r w:rsidR="007112B6">
        <w:t xml:space="preserve"> and </w:t>
      </w:r>
      <w:r w:rsidR="0029791E">
        <w:fldChar w:fldCharType="begin"/>
      </w:r>
      <w:r w:rsidR="0029791E">
        <w:instrText xml:space="preserve"> REF _Ref208159337 \r \h </w:instrText>
      </w:r>
      <w:r w:rsidR="0029791E">
        <w:fldChar w:fldCharType="separate"/>
      </w:r>
      <w:r w:rsidR="000F0515">
        <w:t>6.13</w:t>
      </w:r>
      <w:r w:rsidR="0029791E">
        <w:fldChar w:fldCharType="end"/>
      </w:r>
      <w:r w:rsidR="0029791E">
        <w:t>)</w:t>
      </w:r>
      <w:r>
        <w:t xml:space="preserve">. </w:t>
      </w:r>
      <w:r w:rsidR="007667DC" w:rsidRPr="007667DC">
        <w:t xml:space="preserve">The </w:t>
      </w:r>
      <w:r w:rsidR="007667DC">
        <w:t xml:space="preserve">PBAC </w:t>
      </w:r>
      <w:r w:rsidR="00355054">
        <w:t xml:space="preserve">noted </w:t>
      </w:r>
      <w:r w:rsidR="00B92015">
        <w:t xml:space="preserve">the </w:t>
      </w:r>
      <w:r w:rsidR="007103BE">
        <w:t xml:space="preserve">consistent results across the </w:t>
      </w:r>
      <w:r w:rsidR="00FD72AD">
        <w:t>ITCs</w:t>
      </w:r>
      <w:r w:rsidR="00E03621">
        <w:t xml:space="preserve"> </w:t>
      </w:r>
      <w:r w:rsidR="00DD08B9">
        <w:t xml:space="preserve">comparing JAKARTA with </w:t>
      </w:r>
      <w:r w:rsidR="0051256B">
        <w:t xml:space="preserve">the </w:t>
      </w:r>
      <w:r w:rsidR="00DD08B9">
        <w:t xml:space="preserve">COMFORT 1 and COMFORT-II trials </w:t>
      </w:r>
      <w:r w:rsidR="002A1D73">
        <w:t>(</w:t>
      </w:r>
      <w:r w:rsidR="007E4486">
        <w:t>t</w:t>
      </w:r>
      <w:r w:rsidR="00BF27F1">
        <w:t>h</w:t>
      </w:r>
      <w:r w:rsidR="007E4486">
        <w:t>e Bucher ITC</w:t>
      </w:r>
      <w:r w:rsidR="00BD485D">
        <w:t>s</w:t>
      </w:r>
      <w:r w:rsidR="007E4486">
        <w:t xml:space="preserve"> and the MAIC</w:t>
      </w:r>
      <w:r w:rsidR="00BD485D">
        <w:t>s</w:t>
      </w:r>
      <w:r w:rsidR="00BF27F1">
        <w:t xml:space="preserve">) </w:t>
      </w:r>
      <w:r w:rsidR="00D40366">
        <w:t xml:space="preserve">for both the ITT population and the </w:t>
      </w:r>
      <w:r w:rsidR="00D40366" w:rsidRPr="00D5584A">
        <w:t xml:space="preserve">subgroup </w:t>
      </w:r>
      <w:r w:rsidR="00A47D11">
        <w:t>of pati</w:t>
      </w:r>
      <w:r w:rsidR="003F2202">
        <w:t>e</w:t>
      </w:r>
      <w:r w:rsidR="00A47D11">
        <w:t xml:space="preserve">nts </w:t>
      </w:r>
      <w:r w:rsidR="00D40366" w:rsidRPr="00D5584A">
        <w:t>with platelets ≥100 × 10</w:t>
      </w:r>
      <w:r w:rsidR="00D40366" w:rsidRPr="00D5584A">
        <w:rPr>
          <w:vertAlign w:val="superscript"/>
        </w:rPr>
        <w:t>9</w:t>
      </w:r>
      <w:r w:rsidR="00D40366" w:rsidRPr="00D5584A">
        <w:t>/L</w:t>
      </w:r>
      <w:r w:rsidR="00D40366">
        <w:t xml:space="preserve">, </w:t>
      </w:r>
      <w:r w:rsidR="003F2202">
        <w:t>and</w:t>
      </w:r>
      <w:r w:rsidR="00BF27F1">
        <w:t xml:space="preserve"> </w:t>
      </w:r>
      <w:r w:rsidR="00DD08B9">
        <w:t xml:space="preserve">that </w:t>
      </w:r>
      <w:r w:rsidR="00BF27F1">
        <w:t>in the CO</w:t>
      </w:r>
      <w:r w:rsidR="00DD08B9">
        <w:t>M</w:t>
      </w:r>
      <w:r w:rsidR="00BF27F1">
        <w:t>FORT-II comparisons, the</w:t>
      </w:r>
      <w:r w:rsidR="006C13BE">
        <w:t>re were</w:t>
      </w:r>
      <w:r w:rsidR="00BF27F1">
        <w:t xml:space="preserve"> </w:t>
      </w:r>
      <w:r w:rsidR="00BF27F1" w:rsidRPr="00154C54">
        <w:t>higher proportions of fedratinib treated patients with spleen volume response compared to ruxolitinib</w:t>
      </w:r>
      <w:r w:rsidR="00BF27F1">
        <w:t xml:space="preserve"> (see </w:t>
      </w:r>
      <w:r w:rsidR="00BF27F1">
        <w:fldChar w:fldCharType="begin"/>
      </w:r>
      <w:r w:rsidR="00BF27F1">
        <w:instrText xml:space="preserve"> REF _Ref207981858 \h </w:instrText>
      </w:r>
      <w:r w:rsidR="00BF27F1">
        <w:fldChar w:fldCharType="separate"/>
      </w:r>
      <w:r w:rsidR="000F0515" w:rsidRPr="0098262F">
        <w:t xml:space="preserve">Table </w:t>
      </w:r>
      <w:r w:rsidR="000F0515">
        <w:rPr>
          <w:noProof/>
        </w:rPr>
        <w:t>8</w:t>
      </w:r>
      <w:r w:rsidR="00BF27F1">
        <w:fldChar w:fldCharType="end"/>
      </w:r>
      <w:r w:rsidR="00BF27F1">
        <w:t xml:space="preserve">). </w:t>
      </w:r>
      <w:r w:rsidR="007B71B3">
        <w:t>The PBAC noted the</w:t>
      </w:r>
      <w:r w:rsidR="00AE3F92">
        <w:t xml:space="preserve"> </w:t>
      </w:r>
      <w:r w:rsidR="000866D9">
        <w:t>evaluation and E</w:t>
      </w:r>
      <w:r w:rsidR="00A51069">
        <w:t>SC</w:t>
      </w:r>
      <w:r w:rsidR="000866D9">
        <w:t xml:space="preserve"> concerns regarding the</w:t>
      </w:r>
      <w:r w:rsidR="007667DC" w:rsidRPr="007667DC">
        <w:t xml:space="preserve"> differences in common reference arms, inclusion criteria, and outcome definitions between the trials</w:t>
      </w:r>
      <w:r w:rsidR="00A51069">
        <w:t>, however, the committee was satisfied that</w:t>
      </w:r>
      <w:r w:rsidR="00ED1222">
        <w:t xml:space="preserve"> </w:t>
      </w:r>
      <w:r w:rsidR="00B0062D">
        <w:t>non-inferiority</w:t>
      </w:r>
      <w:r w:rsidR="00084919">
        <w:t xml:space="preserve"> of fedratinib compared to ruxoli</w:t>
      </w:r>
      <w:r w:rsidR="007A5ABF">
        <w:t>ti</w:t>
      </w:r>
      <w:r w:rsidR="00084919">
        <w:t xml:space="preserve">nib was reasonable based on the </w:t>
      </w:r>
      <w:r w:rsidR="00ED1222">
        <w:t>MAIC</w:t>
      </w:r>
      <w:r w:rsidR="00BD485D">
        <w:t>s</w:t>
      </w:r>
      <w:r w:rsidR="00ED1222">
        <w:t xml:space="preserve"> </w:t>
      </w:r>
      <w:r w:rsidR="00E26255" w:rsidRPr="00E26255">
        <w:t xml:space="preserve">as measured by </w:t>
      </w:r>
      <w:r w:rsidR="00D9343F">
        <w:t xml:space="preserve">a </w:t>
      </w:r>
      <w:r w:rsidR="00E26255" w:rsidRPr="00E26255">
        <w:t>reduction in spleen volume</w:t>
      </w:r>
      <w:r w:rsidR="007667DC" w:rsidRPr="007667DC">
        <w:t>.</w:t>
      </w:r>
      <w:r w:rsidR="00C530A8">
        <w:t xml:space="preserve"> </w:t>
      </w:r>
      <w:r w:rsidR="002B10A5">
        <w:t>The PBAC noted t</w:t>
      </w:r>
      <w:r w:rsidR="002B10A5" w:rsidRPr="00CB1EA6">
        <w:t>here were limited data available to compare fedratinib to ruxolitinib in the intermediate-1 risk subgroups</w:t>
      </w:r>
      <w:r w:rsidR="002B10A5">
        <w:t>.</w:t>
      </w:r>
      <w:r w:rsidR="00A644E6">
        <w:t xml:space="preserve"> </w:t>
      </w:r>
      <w:r w:rsidR="006C13BE">
        <w:t>However, t</w:t>
      </w:r>
      <w:r w:rsidR="00C6275E">
        <w:t>ogether with the evidence considered at the May 2025 PBAC meeting</w:t>
      </w:r>
      <w:r w:rsidR="009A41C8">
        <w:t xml:space="preserve"> </w:t>
      </w:r>
      <w:r w:rsidR="00246AEF" w:rsidRPr="00A644E6">
        <w:rPr>
          <w:snapToGrid w:val="0"/>
        </w:rPr>
        <w:t xml:space="preserve">(paragraph 7.8, fedratinib PSD, May 2025 PBAC meeting) </w:t>
      </w:r>
      <w:r w:rsidR="009A41C8">
        <w:t xml:space="preserve">and noting that </w:t>
      </w:r>
      <w:r w:rsidR="009A41C8" w:rsidRPr="00A644E6">
        <w:rPr>
          <w:snapToGrid w:val="0"/>
        </w:rPr>
        <w:t>there is a lack of long-term comparative efficacy data for fedratinib in this setting</w:t>
      </w:r>
      <w:r w:rsidR="00C6275E">
        <w:t xml:space="preserve">, </w:t>
      </w:r>
      <w:r w:rsidR="00C530A8">
        <w:t>t</w:t>
      </w:r>
      <w:r w:rsidR="007649A7" w:rsidRPr="0061449C">
        <w:t xml:space="preserve">he </w:t>
      </w:r>
      <w:r w:rsidR="007649A7">
        <w:t xml:space="preserve">PBAC </w:t>
      </w:r>
      <w:r w:rsidR="007649A7" w:rsidRPr="0061449C">
        <w:t>considered</w:t>
      </w:r>
      <w:r w:rsidR="00C6275E">
        <w:t xml:space="preserve"> that on balance </w:t>
      </w:r>
      <w:r w:rsidR="007649A7" w:rsidRPr="0061449C">
        <w:t>the clinical claim of non-inferior comparative effectiveness was reasonable.</w:t>
      </w:r>
    </w:p>
    <w:p w14:paraId="2C3A49E1" w14:textId="3F46283E" w:rsidR="00191399" w:rsidRPr="00C34FA8" w:rsidRDefault="00191399">
      <w:pPr>
        <w:pStyle w:val="COMESnumberedpara"/>
        <w:rPr>
          <w:snapToGrid w:val="0"/>
          <w:lang w:val="en-GB"/>
        </w:rPr>
      </w:pPr>
      <w:r w:rsidRPr="00191399">
        <w:rPr>
          <w:snapToGrid w:val="0"/>
        </w:rPr>
        <w:t xml:space="preserve">The PBAC </w:t>
      </w:r>
      <w:r w:rsidR="004A4929">
        <w:rPr>
          <w:snapToGrid w:val="0"/>
        </w:rPr>
        <w:t xml:space="preserve">recalled it had </w:t>
      </w:r>
      <w:r w:rsidRPr="00191399">
        <w:rPr>
          <w:snapToGrid w:val="0"/>
        </w:rPr>
        <w:t xml:space="preserve">considered the safety profile of fedratinib raised concerns, particularly given the observed rate of encephalopathy, including Wernicke’s (or suspected cases associated with thiamine levels below normal range). The Committee noted the TGA registration includes a box warning and states that all patients should receive prophylaxis with oral thiamine whilst on treatment with fedratinib, and reiterated this should </w:t>
      </w:r>
      <w:r w:rsidRPr="00313EA0">
        <w:rPr>
          <w:snapToGrid w:val="0"/>
        </w:rPr>
        <w:t>be reflected in the PBS listing (</w:t>
      </w:r>
      <w:r w:rsidR="00F005FF" w:rsidRPr="00313EA0">
        <w:rPr>
          <w:snapToGrid w:val="0"/>
        </w:rPr>
        <w:t xml:space="preserve">refer to </w:t>
      </w:r>
      <w:r w:rsidRPr="00313EA0">
        <w:rPr>
          <w:snapToGrid w:val="0"/>
        </w:rPr>
        <w:t>paragraph 7.6</w:t>
      </w:r>
      <w:r w:rsidR="00E62FB0" w:rsidRPr="00313EA0">
        <w:rPr>
          <w:snapToGrid w:val="0"/>
        </w:rPr>
        <w:t>, fedratinib PSD, May 2025 PBAC meeting</w:t>
      </w:r>
      <w:r w:rsidRPr="00313EA0">
        <w:rPr>
          <w:snapToGrid w:val="0"/>
        </w:rPr>
        <w:t xml:space="preserve">). </w:t>
      </w:r>
      <w:r w:rsidR="003634A3">
        <w:rPr>
          <w:snapToGrid w:val="0"/>
        </w:rPr>
        <w:t>It was noted t</w:t>
      </w:r>
      <w:r w:rsidRPr="00313EA0">
        <w:rPr>
          <w:snapToGrid w:val="0"/>
        </w:rPr>
        <w:t xml:space="preserve">he </w:t>
      </w:r>
      <w:r w:rsidR="00A90644" w:rsidRPr="00313EA0">
        <w:rPr>
          <w:snapToGrid w:val="0"/>
        </w:rPr>
        <w:t xml:space="preserve">pre-PBAC response </w:t>
      </w:r>
      <w:r w:rsidR="00702F65">
        <w:rPr>
          <w:snapToGrid w:val="0"/>
        </w:rPr>
        <w:t>acknowledged</w:t>
      </w:r>
      <w:r w:rsidR="007532ED">
        <w:rPr>
          <w:snapToGrid w:val="0"/>
        </w:rPr>
        <w:t xml:space="preserve"> the </w:t>
      </w:r>
      <w:r w:rsidR="005C3337">
        <w:rPr>
          <w:snapToGrid w:val="0"/>
        </w:rPr>
        <w:t>ESC’s concerns regarding the non-inferior safety cla</w:t>
      </w:r>
      <w:r w:rsidR="00E04102">
        <w:rPr>
          <w:snapToGrid w:val="0"/>
        </w:rPr>
        <w:t>i</w:t>
      </w:r>
      <w:r w:rsidR="005C3337">
        <w:rPr>
          <w:snapToGrid w:val="0"/>
        </w:rPr>
        <w:t>m</w:t>
      </w:r>
      <w:r w:rsidR="00E04102">
        <w:rPr>
          <w:snapToGrid w:val="0"/>
        </w:rPr>
        <w:t xml:space="preserve"> in the resubmission and</w:t>
      </w:r>
      <w:r w:rsidRPr="00313EA0">
        <w:rPr>
          <w:snapToGrid w:val="0"/>
        </w:rPr>
        <w:t xml:space="preserve"> </w:t>
      </w:r>
      <w:r w:rsidR="00A90644" w:rsidRPr="00313EA0">
        <w:rPr>
          <w:snapToGrid w:val="0"/>
        </w:rPr>
        <w:t xml:space="preserve">accepted </w:t>
      </w:r>
      <w:r w:rsidRPr="00313EA0">
        <w:rPr>
          <w:snapToGrid w:val="0"/>
        </w:rPr>
        <w:t>a claim of inferior comparative safety</w:t>
      </w:r>
      <w:r w:rsidR="00E15576">
        <w:rPr>
          <w:snapToGrid w:val="0"/>
        </w:rPr>
        <w:t xml:space="preserve">. </w:t>
      </w:r>
      <w:r w:rsidR="000627BA">
        <w:rPr>
          <w:snapToGrid w:val="0"/>
        </w:rPr>
        <w:t>T</w:t>
      </w:r>
      <w:r w:rsidR="00791863">
        <w:rPr>
          <w:snapToGrid w:val="0"/>
        </w:rPr>
        <w:t>he</w:t>
      </w:r>
      <w:r w:rsidR="00E15576">
        <w:rPr>
          <w:snapToGrid w:val="0"/>
        </w:rPr>
        <w:t xml:space="preserve"> PBAC </w:t>
      </w:r>
      <w:r w:rsidR="00E04102">
        <w:rPr>
          <w:snapToGrid w:val="0"/>
        </w:rPr>
        <w:t>agree</w:t>
      </w:r>
      <w:r w:rsidR="0072275B">
        <w:rPr>
          <w:snapToGrid w:val="0"/>
        </w:rPr>
        <w:t xml:space="preserve">d with the revised </w:t>
      </w:r>
      <w:r w:rsidR="00E15576" w:rsidRPr="00313EA0">
        <w:rPr>
          <w:snapToGrid w:val="0"/>
        </w:rPr>
        <w:t>claim of inferior comparative safety</w:t>
      </w:r>
      <w:r w:rsidRPr="00313EA0">
        <w:rPr>
          <w:snapToGrid w:val="0"/>
        </w:rPr>
        <w:t>.</w:t>
      </w:r>
    </w:p>
    <w:p w14:paraId="62778004" w14:textId="733FE776" w:rsidR="00193940" w:rsidRDefault="001B2A18" w:rsidP="002C0216">
      <w:pPr>
        <w:pStyle w:val="COMESnumberedpara"/>
      </w:pPr>
      <w:r>
        <w:t xml:space="preserve">The PBAC noted the resubmission presented a </w:t>
      </w:r>
      <w:r w:rsidR="00C34FA8" w:rsidRPr="00A11A29">
        <w:t>cost-minimisation approach</w:t>
      </w:r>
      <w:r w:rsidR="00C34FA8">
        <w:t xml:space="preserve"> (CMA)</w:t>
      </w:r>
      <w:r w:rsidR="00C34FA8" w:rsidRPr="00A11A29">
        <w:t xml:space="preserve"> to </w:t>
      </w:r>
      <w:r>
        <w:t>ca</w:t>
      </w:r>
      <w:r w:rsidR="00E03634">
        <w:t xml:space="preserve">lculate </w:t>
      </w:r>
      <w:r w:rsidR="00C34FA8" w:rsidRPr="00A11A29">
        <w:t>the proposed effective price for fedratinib compared to ruxolitinib for patients with intermediate-1, intermediate-2 or high risk myelofibrosis across all lines of therapy</w:t>
      </w:r>
      <w:r w:rsidR="00FA034E">
        <w:t>.</w:t>
      </w:r>
      <w:r w:rsidR="00AD3F90">
        <w:t xml:space="preserve"> </w:t>
      </w:r>
      <w:r w:rsidR="00D041BD" w:rsidRPr="00CB1EA6">
        <w:t xml:space="preserve">The equi-effective doses </w:t>
      </w:r>
      <w:r w:rsidR="00E3601E">
        <w:t xml:space="preserve">in the resubmission were </w:t>
      </w:r>
      <w:r w:rsidR="00D041BD" w:rsidRPr="00CB1EA6">
        <w:t>estimated as fedratinib 349.96 mg per day and ruxolitinib 27.1 mg per day</w:t>
      </w:r>
      <w:r w:rsidR="00073D06">
        <w:t>.</w:t>
      </w:r>
      <w:r w:rsidR="00B43088">
        <w:t xml:space="preserve"> </w:t>
      </w:r>
      <w:r w:rsidR="0047166E">
        <w:t>The PBAC noted the fedratinib dose was</w:t>
      </w:r>
      <w:r w:rsidR="00AF2F07" w:rsidRPr="007B0B74">
        <w:t xml:space="preserve"> based on the recommended 400 mg daily dose, multiplied by the trial-based mean relative dose intensity </w:t>
      </w:r>
      <w:r w:rsidR="00BE0BBD">
        <w:t xml:space="preserve">(RDI) </w:t>
      </w:r>
      <w:r w:rsidR="00AF2F07" w:rsidRPr="007B0B74">
        <w:t>during the total treatment period in the first line setting (JAKARTA trial; 92.8%, equivalent to 371.2 mg/day), and the second line setting (FREEDOM-2 trial; 86.9%, equivalent to 347.6 mg/day), weighted by an assumed 10%/90% utilisation in first and second line, respectively</w:t>
      </w:r>
      <w:r w:rsidR="00AF2F07">
        <w:t xml:space="preserve">. </w:t>
      </w:r>
      <w:r w:rsidR="008159A7">
        <w:t xml:space="preserve">The PBAC noted the </w:t>
      </w:r>
      <w:r w:rsidR="00BE0BBD">
        <w:t>impact</w:t>
      </w:r>
      <w:r w:rsidR="008159A7">
        <w:t xml:space="preserve"> of the RDI on the </w:t>
      </w:r>
      <w:proofErr w:type="spellStart"/>
      <w:r w:rsidR="008159A7">
        <w:t>fedratinib</w:t>
      </w:r>
      <w:proofErr w:type="spellEnd"/>
      <w:r w:rsidR="008159A7">
        <w:t xml:space="preserve"> dose</w:t>
      </w:r>
      <w:r w:rsidR="00BE0BBD">
        <w:t xml:space="preserve"> (see </w:t>
      </w:r>
      <w:r w:rsidR="00BE0BBD">
        <w:fldChar w:fldCharType="begin"/>
      </w:r>
      <w:r w:rsidR="00BE0BBD">
        <w:instrText xml:space="preserve"> REF _Ref208229050 \h </w:instrText>
      </w:r>
      <w:r w:rsidR="00BE0BBD">
        <w:fldChar w:fldCharType="separate"/>
      </w:r>
      <w:r w:rsidR="000F0515">
        <w:t xml:space="preserve">Table </w:t>
      </w:r>
      <w:r w:rsidR="000F0515">
        <w:rPr>
          <w:noProof/>
        </w:rPr>
        <w:t>14</w:t>
      </w:r>
      <w:r w:rsidR="00BE0BBD">
        <w:fldChar w:fldCharType="end"/>
      </w:r>
      <w:r w:rsidR="00BE0BBD">
        <w:t>)</w:t>
      </w:r>
      <w:r w:rsidR="008159A7">
        <w:t xml:space="preserve">, however, </w:t>
      </w:r>
      <w:r w:rsidR="00AE4C1B">
        <w:t>it was accepted t</w:t>
      </w:r>
      <w:r w:rsidR="0024057B">
        <w:t xml:space="preserve">hat the </w:t>
      </w:r>
      <w:r w:rsidR="00766A44">
        <w:t>use of the</w:t>
      </w:r>
      <w:r w:rsidR="0025283B">
        <w:t xml:space="preserve"> mean</w:t>
      </w:r>
      <w:r w:rsidR="00766A44">
        <w:t xml:space="preserve"> trial </w:t>
      </w:r>
      <w:r w:rsidR="0025283B">
        <w:t xml:space="preserve">doses with the proposed </w:t>
      </w:r>
      <w:r w:rsidR="00404FB0">
        <w:t>first and second-line split was acceptable.</w:t>
      </w:r>
      <w:r w:rsidR="00766A44">
        <w:t xml:space="preserve"> </w:t>
      </w:r>
      <w:r w:rsidR="008159A7">
        <w:t xml:space="preserve"> </w:t>
      </w:r>
      <w:r w:rsidR="00404FB0">
        <w:t>T</w:t>
      </w:r>
      <w:r w:rsidR="00D041BD" w:rsidRPr="00CB1EA6">
        <w:t xml:space="preserve">he PBAC </w:t>
      </w:r>
      <w:r w:rsidR="00EA7811">
        <w:t>noted the</w:t>
      </w:r>
      <w:r w:rsidR="00CA066E">
        <w:t>re were</w:t>
      </w:r>
      <w:r w:rsidR="00EA7811">
        <w:t xml:space="preserve"> </w:t>
      </w:r>
      <w:r w:rsidR="00CA066E">
        <w:t>n</w:t>
      </w:r>
      <w:r w:rsidR="00CA066E" w:rsidRPr="007B0B74">
        <w:t>o mean dose</w:t>
      </w:r>
      <w:r w:rsidR="00EF70C5">
        <w:t>s</w:t>
      </w:r>
      <w:r w:rsidR="00CA066E" w:rsidRPr="007B0B74">
        <w:t xml:space="preserve"> or relative dose intensities reported in the ruxolitinib trial publications</w:t>
      </w:r>
      <w:r w:rsidR="00EF70C5">
        <w:t xml:space="preserve"> and that the resubmission relied on r</w:t>
      </w:r>
      <w:r w:rsidR="007574EC">
        <w:t>u</w:t>
      </w:r>
      <w:r w:rsidR="00EF70C5">
        <w:t xml:space="preserve">xolitinib dosing from </w:t>
      </w:r>
      <w:r w:rsidR="007574EC" w:rsidRPr="007B0B74">
        <w:t xml:space="preserve">a DUSC utilisation report </w:t>
      </w:r>
      <w:r w:rsidR="007574EC">
        <w:t>from</w:t>
      </w:r>
      <w:r w:rsidR="007574EC" w:rsidRPr="007B0B74">
        <w:t xml:space="preserve"> 2018</w:t>
      </w:r>
      <w:r w:rsidR="007574EC">
        <w:t>. The PBAC</w:t>
      </w:r>
      <w:r w:rsidR="00CA066E">
        <w:t xml:space="preserve"> </w:t>
      </w:r>
      <w:r w:rsidR="000C3ECD">
        <w:t xml:space="preserve">recalled it had </w:t>
      </w:r>
      <w:r w:rsidR="00D041BD" w:rsidRPr="00CB1EA6">
        <w:t xml:space="preserve">previously </w:t>
      </w:r>
      <w:r w:rsidR="003F65E1">
        <w:t xml:space="preserve">acknowledged the 2018 DUSC review was </w:t>
      </w:r>
      <w:r w:rsidR="00380438">
        <w:t xml:space="preserve">considered too old </w:t>
      </w:r>
      <w:r w:rsidR="00EC3B2F">
        <w:t xml:space="preserve">to be relied on </w:t>
      </w:r>
      <w:r w:rsidR="004E4B71">
        <w:t>and it had</w:t>
      </w:r>
      <w:r w:rsidR="00EC3B2F">
        <w:t xml:space="preserve"> </w:t>
      </w:r>
      <w:r w:rsidR="00D041BD" w:rsidRPr="00CB1EA6">
        <w:t xml:space="preserve">accepted a steady state ruxolitinib dose of 26.2 mg/day when determining the </w:t>
      </w:r>
      <w:r w:rsidR="00B43088">
        <w:t xml:space="preserve">CMA </w:t>
      </w:r>
      <w:r w:rsidR="00D041BD" w:rsidRPr="00CB1EA6">
        <w:t xml:space="preserve">for </w:t>
      </w:r>
      <w:proofErr w:type="spellStart"/>
      <w:r w:rsidR="00D041BD" w:rsidRPr="00C76754">
        <w:t>momelotinib</w:t>
      </w:r>
      <w:proofErr w:type="spellEnd"/>
      <w:r w:rsidR="004E4B71">
        <w:t xml:space="preserve"> (</w:t>
      </w:r>
      <w:r w:rsidR="00A91650" w:rsidRPr="007943DB">
        <w:t>paragraph</w:t>
      </w:r>
      <w:r w:rsidR="00A91650">
        <w:t xml:space="preserve">s </w:t>
      </w:r>
      <w:r w:rsidR="00A91650" w:rsidRPr="007943DB">
        <w:t>6.80</w:t>
      </w:r>
      <w:r w:rsidR="00A91650">
        <w:t xml:space="preserve"> and 7.18, </w:t>
      </w:r>
      <w:proofErr w:type="spellStart"/>
      <w:r w:rsidR="00A91650" w:rsidRPr="007943DB">
        <w:t>momelotinib</w:t>
      </w:r>
      <w:proofErr w:type="spellEnd"/>
      <w:r w:rsidR="00A91650" w:rsidRPr="007943DB">
        <w:t xml:space="preserve"> PSD, November 2024 PBAC meeting</w:t>
      </w:r>
      <w:r w:rsidR="00A91650">
        <w:t>)</w:t>
      </w:r>
      <w:r w:rsidR="00D041BD" w:rsidRPr="00C76754">
        <w:t xml:space="preserve">. </w:t>
      </w:r>
    </w:p>
    <w:p w14:paraId="3F700966" w14:textId="04C3B15A" w:rsidR="00B3782B" w:rsidRDefault="00B3782B" w:rsidP="002C0216">
      <w:pPr>
        <w:pStyle w:val="COMESnumberedpara"/>
      </w:pPr>
      <w:bookmarkStart w:id="63" w:name="_Ref214626986"/>
      <w:r w:rsidRPr="00DE458F">
        <w:rPr>
          <w:snapToGrid w:val="0"/>
        </w:rPr>
        <w:t xml:space="preserve">The PBAC </w:t>
      </w:r>
      <w:r>
        <w:rPr>
          <w:snapToGrid w:val="0"/>
        </w:rPr>
        <w:t xml:space="preserve">therefore </w:t>
      </w:r>
      <w:r w:rsidRPr="00DE458F">
        <w:rPr>
          <w:snapToGrid w:val="0"/>
        </w:rPr>
        <w:t>considered the following equi-effective doses appropriate:</w:t>
      </w:r>
      <w:r>
        <w:rPr>
          <w:snapToGrid w:val="0"/>
        </w:rPr>
        <w:t xml:space="preserve"> f</w:t>
      </w:r>
      <w:r>
        <w:t>edratinib mean daily dose of 349.96 mg/day is equivalent to ruxolitinib mean daily dose of 26.2 mg/day.</w:t>
      </w:r>
      <w:bookmarkEnd w:id="63"/>
      <w:r>
        <w:t xml:space="preserve"> </w:t>
      </w:r>
    </w:p>
    <w:p w14:paraId="6F70AFF1" w14:textId="0CA5E139" w:rsidR="008F3DE9" w:rsidRDefault="008F3DE9" w:rsidP="002C0216">
      <w:pPr>
        <w:pStyle w:val="COMESnumberedpara"/>
      </w:pPr>
      <w:bookmarkStart w:id="64" w:name="_Ref214626997"/>
      <w:r>
        <w:t>The PBA</w:t>
      </w:r>
      <w:r w:rsidR="005F38A9">
        <w:t>C</w:t>
      </w:r>
      <w:r>
        <w:t xml:space="preserve"> noted that </w:t>
      </w:r>
      <w:r w:rsidR="005F38A9">
        <w:t xml:space="preserve">the CMA proposed in the resubmission included </w:t>
      </w:r>
      <w:r w:rsidR="004B09D1">
        <w:t>additional</w:t>
      </w:r>
      <w:r w:rsidR="00286BA1">
        <w:t xml:space="preserve"> daily costs</w:t>
      </w:r>
      <w:r w:rsidR="005F38A9">
        <w:t xml:space="preserve"> for </w:t>
      </w:r>
      <w:r w:rsidR="00192A00">
        <w:t>adverse events for fedratinib treatment, including treatment of diarrhoea, thiamine monitoring</w:t>
      </w:r>
      <w:r w:rsidR="00286BA1">
        <w:t>,</w:t>
      </w:r>
      <w:r w:rsidR="00192A00">
        <w:t xml:space="preserve"> and thiamine supplementation</w:t>
      </w:r>
      <w:r w:rsidR="00286BA1">
        <w:t>. The PBAC considered this was appropriate.</w:t>
      </w:r>
      <w:bookmarkEnd w:id="64"/>
      <w:r w:rsidR="005F38A9">
        <w:t xml:space="preserve"> </w:t>
      </w:r>
      <w:r w:rsidR="000432B2">
        <w:t xml:space="preserve">The PBAC </w:t>
      </w:r>
      <w:r w:rsidR="00A72D77" w:rsidRPr="00A72D77">
        <w:t xml:space="preserve">noted </w:t>
      </w:r>
      <w:r w:rsidR="00680091">
        <w:t>pro</w:t>
      </w:r>
      <w:r w:rsidR="00B95E69">
        <w:t xml:space="preserve">phylactic anti-emetic therapy was not included. The Committee </w:t>
      </w:r>
      <w:proofErr w:type="spellStart"/>
      <w:r w:rsidR="00B95E69">
        <w:t>noted</w:t>
      </w:r>
      <w:proofErr w:type="spellEnd"/>
      <w:r w:rsidR="00B95E69">
        <w:t xml:space="preserve"> </w:t>
      </w:r>
      <w:r w:rsidR="00A72D77" w:rsidRPr="00A72D77">
        <w:t>5-HT3 receptor anti-emetic therapy (such a</w:t>
      </w:r>
      <w:r w:rsidR="00A63DA1">
        <w:t>s</w:t>
      </w:r>
      <w:r w:rsidR="00A72D77" w:rsidRPr="00A72D77">
        <w:t xml:space="preserve"> ondansetron) </w:t>
      </w:r>
      <w:r w:rsidR="00C16419">
        <w:t>is</w:t>
      </w:r>
      <w:r w:rsidR="00A72D77" w:rsidRPr="00A72D77">
        <w:t xml:space="preserve"> not PBS listed for this indication and given this would be a private cost it was appropriate to exclude </w:t>
      </w:r>
      <w:r w:rsidR="00B95E69">
        <w:t>it</w:t>
      </w:r>
      <w:r w:rsidR="00A72D77" w:rsidRPr="00A72D77">
        <w:t xml:space="preserve"> from the </w:t>
      </w:r>
      <w:r w:rsidR="00142FD4">
        <w:t>adverse event</w:t>
      </w:r>
      <w:r w:rsidR="00A72D77" w:rsidRPr="00A72D77">
        <w:t xml:space="preserve"> costs in the CMA</w:t>
      </w:r>
      <w:r w:rsidR="00BC312B">
        <w:t>.</w:t>
      </w:r>
    </w:p>
    <w:p w14:paraId="7E7088BE" w14:textId="146DBED8" w:rsidR="002C0216" w:rsidRDefault="00D54184" w:rsidP="002C0216">
      <w:pPr>
        <w:pStyle w:val="COMESnumberedpara"/>
      </w:pPr>
      <w:r>
        <w:t xml:space="preserve">The PBAC </w:t>
      </w:r>
      <w:r w:rsidR="003A68FD">
        <w:t xml:space="preserve">noted </w:t>
      </w:r>
      <w:r>
        <w:t>th</w:t>
      </w:r>
      <w:r w:rsidR="007A5432">
        <w:t>e</w:t>
      </w:r>
      <w:r>
        <w:t xml:space="preserve"> resubmission’s approach</w:t>
      </w:r>
      <w:r w:rsidR="00C41321">
        <w:t xml:space="preserve"> </w:t>
      </w:r>
      <w:r w:rsidR="003A68FD">
        <w:t>to calculating the</w:t>
      </w:r>
      <w:r w:rsidR="00C41321" w:rsidRPr="00CB1EA6">
        <w:t xml:space="preserve"> cost per day for the average ruxolitinib dose was estimated by using the cost per mg for each pack size of ruxolitinib to calculate a weighted price by ruxolitinib PBS prescribing by dose (</w:t>
      </w:r>
      <w:r w:rsidR="00C41321" w:rsidRPr="00CB1EA6">
        <w:fldChar w:fldCharType="begin"/>
      </w:r>
      <w:r w:rsidR="00C41321" w:rsidRPr="00CB1EA6">
        <w:instrText xml:space="preserve"> REF _Ref207889276 \h  \* MERGEFORMAT </w:instrText>
      </w:r>
      <w:r w:rsidR="00C41321" w:rsidRPr="00CB1EA6">
        <w:fldChar w:fldCharType="separate"/>
      </w:r>
      <w:r w:rsidR="000F0515" w:rsidRPr="00201B4C">
        <w:t xml:space="preserve">Table </w:t>
      </w:r>
      <w:r w:rsidR="000F0515">
        <w:rPr>
          <w:noProof/>
        </w:rPr>
        <w:t>12</w:t>
      </w:r>
      <w:r w:rsidR="00C41321" w:rsidRPr="00CB1EA6">
        <w:fldChar w:fldCharType="end"/>
      </w:r>
      <w:r w:rsidR="00C41321" w:rsidRPr="00CB1EA6">
        <w:t xml:space="preserve">). </w:t>
      </w:r>
      <w:r w:rsidR="00F96A28">
        <w:t xml:space="preserve">The PBAC noted alternative approaches </w:t>
      </w:r>
      <w:r w:rsidR="00A81EDD">
        <w:t xml:space="preserve">proposed in the evaluation </w:t>
      </w:r>
      <w:r w:rsidR="006D43F7">
        <w:t>resulted in</w:t>
      </w:r>
      <w:r w:rsidR="00F96A28">
        <w:t xml:space="preserve"> more conservative </w:t>
      </w:r>
      <w:r w:rsidR="006D43F7">
        <w:t>calculations (</w:t>
      </w:r>
      <w:r w:rsidR="006D43F7">
        <w:fldChar w:fldCharType="begin"/>
      </w:r>
      <w:r w:rsidR="006D43F7">
        <w:instrText xml:space="preserve"> REF _Ref208229050 \h </w:instrText>
      </w:r>
      <w:r w:rsidR="006D43F7">
        <w:fldChar w:fldCharType="separate"/>
      </w:r>
      <w:r w:rsidR="000F0515">
        <w:t xml:space="preserve">Table </w:t>
      </w:r>
      <w:r w:rsidR="000F0515">
        <w:rPr>
          <w:noProof/>
        </w:rPr>
        <w:t>14</w:t>
      </w:r>
      <w:r w:rsidR="006D43F7">
        <w:fldChar w:fldCharType="end"/>
      </w:r>
      <w:r w:rsidR="006D43F7">
        <w:t>).</w:t>
      </w:r>
      <w:r w:rsidR="00AB5319">
        <w:t xml:space="preserve"> </w:t>
      </w:r>
      <w:r w:rsidR="00814C3D">
        <w:t xml:space="preserve">Consistent with the approach taken for </w:t>
      </w:r>
      <w:proofErr w:type="spellStart"/>
      <w:r w:rsidR="00814C3D">
        <w:t>momelotinib</w:t>
      </w:r>
      <w:proofErr w:type="spellEnd"/>
      <w:r w:rsidR="00814C3D">
        <w:t>, t</w:t>
      </w:r>
      <w:r w:rsidR="00542A96">
        <w:t>he PBA</w:t>
      </w:r>
      <w:r w:rsidR="00616D0F">
        <w:t>C</w:t>
      </w:r>
      <w:r w:rsidR="00542A96">
        <w:t xml:space="preserve"> considered </w:t>
      </w:r>
      <w:r w:rsidR="00C10795" w:rsidRPr="001D1AE1">
        <w:t xml:space="preserve">the </w:t>
      </w:r>
      <w:r w:rsidR="00C10795">
        <w:t xml:space="preserve">price of fedratinib should be determined </w:t>
      </w:r>
      <w:r w:rsidR="007B19B3">
        <w:t xml:space="preserve">using </w:t>
      </w:r>
      <w:r w:rsidR="007B19B3" w:rsidRPr="0072031E">
        <w:t>a weighted average cost by the distribution of actual daily doses</w:t>
      </w:r>
      <w:r w:rsidR="007B19B3">
        <w:t xml:space="preserve"> of ruxolitinib</w:t>
      </w:r>
      <w:r w:rsidR="00BC034F">
        <w:t>,</w:t>
      </w:r>
      <w:r w:rsidR="007B19B3" w:rsidDel="006604D9">
        <w:t xml:space="preserve"> </w:t>
      </w:r>
      <w:r w:rsidR="00A77C5E">
        <w:t xml:space="preserve">using the equi-effective doses </w:t>
      </w:r>
      <w:r w:rsidR="00193940">
        <w:t xml:space="preserve">from paragraph </w:t>
      </w:r>
      <w:r w:rsidR="00193940">
        <w:fldChar w:fldCharType="begin"/>
      </w:r>
      <w:r w:rsidR="00193940">
        <w:instrText xml:space="preserve"> REF _Ref214626986 \r \h </w:instrText>
      </w:r>
      <w:r w:rsidR="00193940">
        <w:fldChar w:fldCharType="separate"/>
      </w:r>
      <w:r w:rsidR="000F0515">
        <w:t>7.9</w:t>
      </w:r>
      <w:r w:rsidR="00193940">
        <w:fldChar w:fldCharType="end"/>
      </w:r>
      <w:r w:rsidR="00193940">
        <w:t xml:space="preserve"> </w:t>
      </w:r>
      <w:r w:rsidR="00A77C5E">
        <w:t xml:space="preserve">and additional daily costs for AEs described in </w:t>
      </w:r>
      <w:r w:rsidR="00193940">
        <w:t xml:space="preserve">paragraph </w:t>
      </w:r>
      <w:r w:rsidR="00193940">
        <w:fldChar w:fldCharType="begin"/>
      </w:r>
      <w:r w:rsidR="00193940">
        <w:instrText xml:space="preserve"> REF _Ref214626997 \r \h </w:instrText>
      </w:r>
      <w:r w:rsidR="00193940">
        <w:fldChar w:fldCharType="separate"/>
      </w:r>
      <w:r w:rsidR="000F0515">
        <w:t>7.10</w:t>
      </w:r>
      <w:r w:rsidR="00193940">
        <w:fldChar w:fldCharType="end"/>
      </w:r>
      <w:r w:rsidR="00AB5319">
        <w:t>.</w:t>
      </w:r>
      <w:r w:rsidR="00193940">
        <w:t xml:space="preserve"> </w:t>
      </w:r>
    </w:p>
    <w:p w14:paraId="69D41FE4" w14:textId="0718E70C" w:rsidR="00474A87" w:rsidRDefault="00F65C46">
      <w:pPr>
        <w:pStyle w:val="COMESnumberedpara"/>
        <w:spacing w:before="0" w:after="120"/>
      </w:pPr>
      <w:r>
        <w:t xml:space="preserve">The PBAC considered the market </w:t>
      </w:r>
      <w:r w:rsidR="00A373CB">
        <w:t xml:space="preserve">share </w:t>
      </w:r>
      <w:r>
        <w:t xml:space="preserve">approach </w:t>
      </w:r>
      <w:r w:rsidR="00A373CB">
        <w:t xml:space="preserve">to be </w:t>
      </w:r>
      <w:r w:rsidR="007A7AD9">
        <w:t xml:space="preserve">an appropriate way </w:t>
      </w:r>
      <w:r w:rsidR="00737E81">
        <w:t>t</w:t>
      </w:r>
      <w:r w:rsidR="00737E81" w:rsidRPr="003A2607">
        <w:t xml:space="preserve">o estimate the utilisation and financial implications of </w:t>
      </w:r>
      <w:r w:rsidR="00737E81">
        <w:t xml:space="preserve">a line agnostic PBS/RPBS </w:t>
      </w:r>
      <w:r w:rsidR="00737E81" w:rsidRPr="003A2607">
        <w:t>listing</w:t>
      </w:r>
      <w:r w:rsidR="00737E81">
        <w:t xml:space="preserve"> for</w:t>
      </w:r>
      <w:r w:rsidR="00737E81" w:rsidRPr="005F5E2D">
        <w:t xml:space="preserve"> fedratinib</w:t>
      </w:r>
      <w:r w:rsidR="00737E81" w:rsidRPr="00536E67">
        <w:t xml:space="preserve"> </w:t>
      </w:r>
      <w:r w:rsidR="00737E81">
        <w:t>for</w:t>
      </w:r>
      <w:r w:rsidR="00737E81" w:rsidRPr="002E3C29">
        <w:t xml:space="preserve"> the treatment of patients with intermediate/high-risk primary myelofibrosis, post-</w:t>
      </w:r>
      <w:r w:rsidR="00737E81">
        <w:t>polycythaemia vera</w:t>
      </w:r>
      <w:r w:rsidR="00737E81" w:rsidRPr="002E3C29">
        <w:t xml:space="preserve"> myelofibrosis, or post</w:t>
      </w:r>
      <w:r w:rsidR="00737E81">
        <w:t>-essential thrombocythaemia</w:t>
      </w:r>
      <w:r w:rsidR="00737E81" w:rsidRPr="002E3C29">
        <w:t xml:space="preserve"> myelofibrosis. </w:t>
      </w:r>
      <w:r w:rsidR="00A4330E">
        <w:t>The PBAC</w:t>
      </w:r>
      <w:r w:rsidR="00A4330E" w:rsidDel="003F3801">
        <w:t xml:space="preserve"> </w:t>
      </w:r>
      <w:r w:rsidR="003F3801">
        <w:t xml:space="preserve">considered </w:t>
      </w:r>
      <w:r w:rsidR="00A4330E">
        <w:t>the</w:t>
      </w:r>
      <w:r w:rsidR="00313576">
        <w:t xml:space="preserve"> annual market</w:t>
      </w:r>
      <w:r w:rsidR="00A4330E">
        <w:t xml:space="preserve"> growth rate of </w:t>
      </w:r>
      <w:r w:rsidR="00916977">
        <w:t>9.1%</w:t>
      </w:r>
      <w:r w:rsidR="00DB1F5E">
        <w:t>,</w:t>
      </w:r>
      <w:r w:rsidR="001D1DF7" w:rsidDel="00573EF0">
        <w:t xml:space="preserve"> </w:t>
      </w:r>
      <w:r w:rsidR="001D1DF7">
        <w:t xml:space="preserve">consistent with </w:t>
      </w:r>
      <w:r w:rsidR="00CE78E7">
        <w:t xml:space="preserve">the </w:t>
      </w:r>
      <w:r w:rsidR="00117370">
        <w:t xml:space="preserve">approach taken </w:t>
      </w:r>
      <w:r w:rsidR="008D7068">
        <w:t xml:space="preserve">for </w:t>
      </w:r>
      <w:proofErr w:type="spellStart"/>
      <w:r w:rsidR="008D7068">
        <w:t>momelotinib</w:t>
      </w:r>
      <w:proofErr w:type="spellEnd"/>
      <w:r w:rsidR="00DB1F5E">
        <w:t>,</w:t>
      </w:r>
      <w:r w:rsidR="00573EF0">
        <w:t xml:space="preserve"> was reasonable</w:t>
      </w:r>
      <w:r w:rsidR="00863A56">
        <w:t>.</w:t>
      </w:r>
      <w:r w:rsidR="00313576">
        <w:t xml:space="preserve"> </w:t>
      </w:r>
      <w:r w:rsidR="001D7383">
        <w:t>T</w:t>
      </w:r>
      <w:r w:rsidR="008A0CB0" w:rsidRPr="008A0CB0">
        <w:t xml:space="preserve">he </w:t>
      </w:r>
      <w:r w:rsidR="008A0CB0">
        <w:t xml:space="preserve">PBAC </w:t>
      </w:r>
      <w:r w:rsidR="008A0CB0" w:rsidRPr="008A0CB0">
        <w:t xml:space="preserve">considered the uptake assumption to be uncertain, but noted that in the absence of alternative sources to inform the uptake of fedratinib in practice, </w:t>
      </w:r>
      <w:r w:rsidR="00783DC2" w:rsidRPr="00783DC2">
        <w:rPr>
          <w:highlight w:val="black"/>
        </w:rPr>
        <w:t>&amp;&amp;&amp;&amp;</w:t>
      </w:r>
      <w:r w:rsidR="008A0CB0" w:rsidRPr="008A0CB0">
        <w:t>% was likely reasonable.</w:t>
      </w:r>
      <w:r w:rsidR="00001086">
        <w:t xml:space="preserve"> </w:t>
      </w:r>
      <w:r w:rsidR="008778FC">
        <w:t xml:space="preserve">Additionally, </w:t>
      </w:r>
      <w:r w:rsidR="001B774B">
        <w:t xml:space="preserve">the PBAC noted </w:t>
      </w:r>
      <w:r w:rsidR="008778FC">
        <w:t xml:space="preserve">the </w:t>
      </w:r>
      <w:r w:rsidR="008778FC" w:rsidRPr="00CB1EA6">
        <w:t xml:space="preserve">mean </w:t>
      </w:r>
      <w:r w:rsidR="008365D3">
        <w:t>RDI</w:t>
      </w:r>
      <w:r w:rsidR="008778FC" w:rsidRPr="00CB1EA6">
        <w:t xml:space="preserve"> reported for fedratinib in the FREEDOM-2 and JAKARTA trials, and the relative treatment adherence for ruxolitinib and fedratinib implied by the market share approach may not reflect the relative treatment adherence for ruxolitinib and fedratinib in clinical practice.</w:t>
      </w:r>
      <w:r w:rsidR="008778FC">
        <w:t xml:space="preserve"> </w:t>
      </w:r>
      <w:r w:rsidR="00E92C12" w:rsidRPr="00B558CA">
        <w:t xml:space="preserve">The </w:t>
      </w:r>
      <w:r w:rsidR="00E92C12">
        <w:t>PBAC noted the ESC’s</w:t>
      </w:r>
      <w:r w:rsidR="00E92C12" w:rsidRPr="00B558CA">
        <w:t xml:space="preserve"> advi</w:t>
      </w:r>
      <w:r w:rsidR="00E92C12">
        <w:t>ce</w:t>
      </w:r>
      <w:r w:rsidR="00E92C12" w:rsidRPr="00B558CA">
        <w:t xml:space="preserve"> that RDI was implied for ruxolitinib by the dose distribution inputs to the CMA</w:t>
      </w:r>
      <w:r w:rsidR="00E92C12">
        <w:t xml:space="preserve"> and</w:t>
      </w:r>
      <w:r w:rsidR="00E92C12" w:rsidRPr="00B558CA">
        <w:t xml:space="preserve"> therefore it may be reasonable not to make further adjustment to ruxolitinib treatment adherence in the financial estimates.</w:t>
      </w:r>
      <w:r w:rsidR="00F605FA">
        <w:t xml:space="preserve"> </w:t>
      </w:r>
      <w:r w:rsidR="00B622D0">
        <w:t xml:space="preserve">The PBAC noted that the </w:t>
      </w:r>
      <w:r w:rsidR="00C76D07">
        <w:t>estimates</w:t>
      </w:r>
      <w:r w:rsidR="00113450">
        <w:t xml:space="preserve"> do </w:t>
      </w:r>
      <w:r w:rsidR="00C76D07">
        <w:t>n</w:t>
      </w:r>
      <w:r w:rsidR="00113450">
        <w:t xml:space="preserve">ot </w:t>
      </w:r>
      <w:r w:rsidR="00DC79EB">
        <w:t xml:space="preserve">account for the increased costs of managing AEs, </w:t>
      </w:r>
      <w:r w:rsidR="00AB65F1">
        <w:t>which are included in the CMA calculation that will lower the fedratinib price relative to ruxolitinib. The</w:t>
      </w:r>
      <w:r w:rsidR="00B4038D">
        <w:t xml:space="preserve"> estimates also do not</w:t>
      </w:r>
      <w:r w:rsidR="00DC79EB">
        <w:t xml:space="preserve"> </w:t>
      </w:r>
      <w:r w:rsidR="00113450">
        <w:t xml:space="preserve">include </w:t>
      </w:r>
      <w:r w:rsidR="00C76D07">
        <w:t>growth</w:t>
      </w:r>
      <w:r w:rsidR="00113450">
        <w:t xml:space="preserve"> in the market due to </w:t>
      </w:r>
      <w:r w:rsidR="007B652C" w:rsidRPr="00CB1EA6">
        <w:t>eligible patients who have discontinued ruxolitinib treatment</w:t>
      </w:r>
      <w:r w:rsidR="00A74DC5">
        <w:t>.</w:t>
      </w:r>
      <w:r w:rsidR="00C16C00">
        <w:t xml:space="preserve"> </w:t>
      </w:r>
      <w:r w:rsidR="00601707">
        <w:t>However, overall, the PB</w:t>
      </w:r>
      <w:r w:rsidR="00D30A25">
        <w:t>A</w:t>
      </w:r>
      <w:r w:rsidR="00601707">
        <w:t xml:space="preserve">C </w:t>
      </w:r>
      <w:r w:rsidR="00CF0A07">
        <w:t xml:space="preserve">considered </w:t>
      </w:r>
      <w:r w:rsidR="00601707">
        <w:t xml:space="preserve">the estimates to generally be </w:t>
      </w:r>
      <w:r w:rsidR="00CF0A07">
        <w:t xml:space="preserve">reliable, </w:t>
      </w:r>
      <w:r w:rsidR="00D30A25">
        <w:t>once</w:t>
      </w:r>
      <w:r w:rsidR="00CF0A07">
        <w:t xml:space="preserve"> update</w:t>
      </w:r>
      <w:r w:rsidR="00D30A25">
        <w:t>d</w:t>
      </w:r>
      <w:r w:rsidR="00CF0A07">
        <w:t xml:space="preserve"> to </w:t>
      </w:r>
      <w:r w:rsidR="00D30A25">
        <w:t>reflect</w:t>
      </w:r>
      <w:r w:rsidR="00CF0A07">
        <w:t xml:space="preserve"> confidential pricing</w:t>
      </w:r>
      <w:r w:rsidR="00B33B27">
        <w:t>.</w:t>
      </w:r>
      <w:r w:rsidR="00CF0A07">
        <w:t xml:space="preserve"> </w:t>
      </w:r>
    </w:p>
    <w:bookmarkEnd w:id="62"/>
    <w:p w14:paraId="12A6DC2A" w14:textId="07648EBB" w:rsidR="00F53CB5" w:rsidRPr="001C6EFE" w:rsidRDefault="00F53CB5" w:rsidP="00F53CB5">
      <w:pPr>
        <w:pStyle w:val="COMESnumberedpara"/>
        <w:rPr>
          <w:rFonts w:cstheme="minorHAnsi"/>
          <w:bCs/>
          <w:i/>
          <w:color w:val="0D0D0D" w:themeColor="text1" w:themeTint="F2"/>
        </w:rPr>
      </w:pPr>
      <w:r>
        <w:rPr>
          <w:snapToGrid w:val="0"/>
        </w:rPr>
        <w:t>The PBAC recommended the</w:t>
      </w:r>
      <w:r w:rsidRPr="00235026">
        <w:t xml:space="preserve"> </w:t>
      </w:r>
      <w:r w:rsidRPr="00235026">
        <w:rPr>
          <w:snapToGrid w:val="0"/>
        </w:rPr>
        <w:t>General Schedule</w:t>
      </w:r>
      <w:r w:rsidR="00EE22CA">
        <w:rPr>
          <w:snapToGrid w:val="0"/>
        </w:rPr>
        <w:t xml:space="preserve"> (</w:t>
      </w:r>
      <w:r w:rsidR="00457EEA">
        <w:rPr>
          <w:snapToGrid w:val="0"/>
        </w:rPr>
        <w:t>S</w:t>
      </w:r>
      <w:r w:rsidR="00EE22CA">
        <w:rPr>
          <w:snapToGrid w:val="0"/>
        </w:rPr>
        <w:t>ection 85)</w:t>
      </w:r>
      <w:r w:rsidRPr="00235026">
        <w:rPr>
          <w:snapToGrid w:val="0"/>
        </w:rPr>
        <w:t>, Authority Required (Telephone/Online) listing for initial treatment and an Authority Required (</w:t>
      </w:r>
      <w:r w:rsidR="00A9733B" w:rsidRPr="00235026">
        <w:rPr>
          <w:snapToGrid w:val="0"/>
        </w:rPr>
        <w:t>S</w:t>
      </w:r>
      <w:r w:rsidR="00A9733B">
        <w:rPr>
          <w:snapToGrid w:val="0"/>
        </w:rPr>
        <w:t>treamlined</w:t>
      </w:r>
      <w:r w:rsidRPr="00235026">
        <w:rPr>
          <w:snapToGrid w:val="0"/>
        </w:rPr>
        <w:t xml:space="preserve">) listing for continuing treatment for intermediate-1 or high-risk and intermediate-2 primary myelofibrosis, post-polycythaemia vera myelofibrosis or post-essential thrombocythaemia myelofibrosis who are JAK inhibitor naïve or post ruxolitinib or another JAK inhibitor. </w:t>
      </w:r>
      <w:r>
        <w:rPr>
          <w:snapToGrid w:val="0"/>
        </w:rPr>
        <w:t xml:space="preserve">The PBAC considered </w:t>
      </w:r>
      <w:r>
        <w:t>t</w:t>
      </w:r>
      <w:r w:rsidRPr="001C6EFE">
        <w:rPr>
          <w:rFonts w:cstheme="minorHAnsi"/>
          <w:bCs/>
          <w:iCs/>
          <w:color w:val="0D0D0D" w:themeColor="text1" w:themeTint="F2"/>
        </w:rPr>
        <w:t>he amendments to the restrictions for fedratinib in the resubmission were appropriate</w:t>
      </w:r>
      <w:r>
        <w:rPr>
          <w:rFonts w:cstheme="minorHAnsi"/>
          <w:bCs/>
          <w:iCs/>
          <w:color w:val="0D0D0D" w:themeColor="text1" w:themeTint="F2"/>
        </w:rPr>
        <w:t>.</w:t>
      </w:r>
      <w:r w:rsidRPr="00C14A5C">
        <w:rPr>
          <w:rFonts w:cstheme="minorHAnsi"/>
          <w:bCs/>
          <w:iCs/>
          <w:color w:val="0D0D0D" w:themeColor="text1" w:themeTint="F2"/>
        </w:rPr>
        <w:t xml:space="preserve"> </w:t>
      </w:r>
      <w:r w:rsidRPr="001C6EFE">
        <w:rPr>
          <w:rFonts w:cstheme="minorHAnsi"/>
          <w:bCs/>
          <w:iCs/>
          <w:color w:val="0D0D0D" w:themeColor="text1" w:themeTint="F2"/>
        </w:rPr>
        <w:t>The PBAC recommended the following</w:t>
      </w:r>
      <w:r>
        <w:rPr>
          <w:rFonts w:cstheme="minorHAnsi"/>
          <w:bCs/>
          <w:iCs/>
          <w:color w:val="0D0D0D" w:themeColor="text1" w:themeTint="F2"/>
        </w:rPr>
        <w:t xml:space="preserve"> for the listing:</w:t>
      </w:r>
    </w:p>
    <w:p w14:paraId="2658FE4B" w14:textId="77777777" w:rsidR="00F53CB5" w:rsidRPr="00832A6F" w:rsidRDefault="00F53CB5" w:rsidP="00F53CB5">
      <w:pPr>
        <w:pStyle w:val="ListParagraph"/>
        <w:numPr>
          <w:ilvl w:val="1"/>
          <w:numId w:val="12"/>
        </w:numPr>
        <w:spacing w:after="160" w:line="259" w:lineRule="auto"/>
        <w:jc w:val="both"/>
        <w:rPr>
          <w:rFonts w:cstheme="minorHAnsi"/>
          <w:bCs/>
          <w:iCs/>
          <w:color w:val="0D0D0D" w:themeColor="text1" w:themeTint="F2"/>
        </w:rPr>
      </w:pPr>
      <w:r w:rsidRPr="00832A6F">
        <w:rPr>
          <w:rFonts w:cstheme="minorHAnsi"/>
          <w:bCs/>
          <w:iCs/>
          <w:color w:val="0D0D0D" w:themeColor="text1" w:themeTint="F2"/>
        </w:rPr>
        <w:t xml:space="preserve">inclusion of both an initial and continuing treatment phase, </w:t>
      </w:r>
      <w:proofErr w:type="gramStart"/>
      <w:r w:rsidRPr="00832A6F">
        <w:rPr>
          <w:rFonts w:cstheme="minorHAnsi"/>
          <w:bCs/>
          <w:iCs/>
          <w:color w:val="0D0D0D" w:themeColor="text1" w:themeTint="F2"/>
        </w:rPr>
        <w:t>similar to</w:t>
      </w:r>
      <w:proofErr w:type="gramEnd"/>
      <w:r w:rsidRPr="00832A6F">
        <w:rPr>
          <w:rFonts w:cstheme="minorHAnsi"/>
          <w:bCs/>
          <w:iCs/>
          <w:color w:val="0D0D0D" w:themeColor="text1" w:themeTint="F2"/>
        </w:rPr>
        <w:t xml:space="preserve"> the current PBS restriction structure for ruxolitinib and </w:t>
      </w:r>
      <w:proofErr w:type="spellStart"/>
      <w:r w:rsidRPr="00832A6F">
        <w:rPr>
          <w:rFonts w:cstheme="minorHAnsi"/>
          <w:bCs/>
          <w:iCs/>
          <w:color w:val="0D0D0D" w:themeColor="text1" w:themeTint="F2"/>
        </w:rPr>
        <w:t>momelotinib</w:t>
      </w:r>
      <w:proofErr w:type="spellEnd"/>
    </w:p>
    <w:p w14:paraId="3F203E37" w14:textId="77777777" w:rsidR="00F53CB5" w:rsidRPr="00832A6F" w:rsidRDefault="00F53CB5" w:rsidP="00F53CB5">
      <w:pPr>
        <w:pStyle w:val="ListParagraph"/>
        <w:numPr>
          <w:ilvl w:val="1"/>
          <w:numId w:val="12"/>
        </w:numPr>
        <w:spacing w:after="160" w:line="259" w:lineRule="auto"/>
        <w:jc w:val="both"/>
        <w:rPr>
          <w:rFonts w:cstheme="minorHAnsi"/>
          <w:bCs/>
          <w:iCs/>
          <w:color w:val="0D0D0D" w:themeColor="text1" w:themeTint="F2"/>
        </w:rPr>
      </w:pPr>
      <w:r w:rsidRPr="00832A6F">
        <w:rPr>
          <w:rFonts w:cstheme="minorHAnsi"/>
          <w:bCs/>
          <w:iCs/>
          <w:color w:val="0D0D0D" w:themeColor="text1" w:themeTint="F2"/>
        </w:rPr>
        <w:t>inclusion of a criterion that the treatment must be sole PBS subsidised JAK inhibitor for the condition</w:t>
      </w:r>
    </w:p>
    <w:p w14:paraId="52FF9BF2" w14:textId="0E3B5FE3" w:rsidR="00F53CB5" w:rsidRPr="00832A6F" w:rsidRDefault="00F53CB5" w:rsidP="00F53CB5">
      <w:pPr>
        <w:pStyle w:val="ListParagraph"/>
        <w:numPr>
          <w:ilvl w:val="1"/>
          <w:numId w:val="12"/>
        </w:numPr>
        <w:spacing w:after="160" w:line="259" w:lineRule="auto"/>
        <w:jc w:val="both"/>
        <w:rPr>
          <w:rFonts w:cstheme="minorHAnsi"/>
          <w:bCs/>
          <w:iCs/>
          <w:color w:val="0D0D0D" w:themeColor="text1" w:themeTint="F2"/>
        </w:rPr>
      </w:pPr>
      <w:r w:rsidRPr="00832A6F">
        <w:rPr>
          <w:rFonts w:cstheme="minorHAnsi"/>
          <w:bCs/>
          <w:iCs/>
          <w:color w:val="0D0D0D" w:themeColor="text1" w:themeTint="F2"/>
        </w:rPr>
        <w:t xml:space="preserve">inclusion of prescribing instructions to document the details of the </w:t>
      </w:r>
      <w:r w:rsidR="00733CA8" w:rsidRPr="00832A6F">
        <w:rPr>
          <w:rFonts w:cstheme="minorHAnsi"/>
          <w:bCs/>
          <w:iCs/>
          <w:color w:val="0D0D0D" w:themeColor="text1" w:themeTint="F2"/>
        </w:rPr>
        <w:t>patients’</w:t>
      </w:r>
      <w:r w:rsidRPr="00832A6F">
        <w:rPr>
          <w:rFonts w:cstheme="minorHAnsi"/>
          <w:bCs/>
          <w:iCs/>
          <w:color w:val="0D0D0D" w:themeColor="text1" w:themeTint="F2"/>
        </w:rPr>
        <w:t xml:space="preserve"> medical records for the bone marrow biopsy report</w:t>
      </w:r>
      <w:r w:rsidR="00733CA8">
        <w:rPr>
          <w:rFonts w:cstheme="minorHAnsi"/>
          <w:bCs/>
          <w:iCs/>
          <w:color w:val="0D0D0D" w:themeColor="text1" w:themeTint="F2"/>
        </w:rPr>
        <w:t>,</w:t>
      </w:r>
      <w:r w:rsidRPr="00832A6F">
        <w:rPr>
          <w:rFonts w:cstheme="minorHAnsi"/>
          <w:bCs/>
          <w:iCs/>
          <w:color w:val="0D0D0D" w:themeColor="text1" w:themeTint="F2"/>
        </w:rPr>
        <w:t xml:space="preserve"> confirming diagnosis of myelofibrosis and risk classification based on IPSS, DIPSS or age-adjusted DIPSS (consistent with the listings of ruxolitinib and </w:t>
      </w:r>
      <w:proofErr w:type="spellStart"/>
      <w:r w:rsidRPr="00832A6F">
        <w:rPr>
          <w:rFonts w:cstheme="minorHAnsi"/>
          <w:bCs/>
          <w:iCs/>
          <w:color w:val="0D0D0D" w:themeColor="text1" w:themeTint="F2"/>
        </w:rPr>
        <w:t>momelotinib</w:t>
      </w:r>
      <w:proofErr w:type="spellEnd"/>
      <w:r w:rsidRPr="00832A6F">
        <w:rPr>
          <w:rFonts w:cstheme="minorHAnsi"/>
          <w:bCs/>
          <w:iCs/>
          <w:color w:val="0D0D0D" w:themeColor="text1" w:themeTint="F2"/>
        </w:rPr>
        <w:t>)</w:t>
      </w:r>
    </w:p>
    <w:p w14:paraId="330E7632" w14:textId="77777777" w:rsidR="00F53CB5" w:rsidRPr="00832A6F" w:rsidRDefault="00F53CB5" w:rsidP="00F53CB5">
      <w:pPr>
        <w:pStyle w:val="ListParagraph"/>
        <w:numPr>
          <w:ilvl w:val="1"/>
          <w:numId w:val="12"/>
        </w:numPr>
        <w:spacing w:after="160" w:line="259" w:lineRule="auto"/>
        <w:jc w:val="both"/>
        <w:rPr>
          <w:rFonts w:cstheme="minorHAnsi"/>
          <w:bCs/>
          <w:iCs/>
          <w:color w:val="0D0D0D" w:themeColor="text1" w:themeTint="F2"/>
        </w:rPr>
      </w:pPr>
      <w:r w:rsidRPr="00832A6F">
        <w:rPr>
          <w:rFonts w:cstheme="minorHAnsi"/>
          <w:bCs/>
          <w:iCs/>
          <w:color w:val="0D0D0D" w:themeColor="text1" w:themeTint="F2"/>
        </w:rPr>
        <w:t>inclusion of a caution that thiamine levels must be monitored whilst on treatment, as per the approved TGA boxed warning</w:t>
      </w:r>
      <w:r>
        <w:rPr>
          <w:rFonts w:cstheme="minorHAnsi"/>
          <w:bCs/>
          <w:iCs/>
          <w:color w:val="0D0D0D" w:themeColor="text1" w:themeTint="F2"/>
        </w:rPr>
        <w:t>, on all treatment phases</w:t>
      </w:r>
    </w:p>
    <w:p w14:paraId="281855CB" w14:textId="56C0514D" w:rsidR="00D1745C" w:rsidRDefault="00F53CB5" w:rsidP="00EA5868">
      <w:pPr>
        <w:pStyle w:val="ListParagraph"/>
        <w:numPr>
          <w:ilvl w:val="1"/>
          <w:numId w:val="12"/>
        </w:numPr>
        <w:spacing w:after="160" w:line="259" w:lineRule="auto"/>
        <w:jc w:val="both"/>
        <w:rPr>
          <w:rFonts w:cstheme="minorHAnsi"/>
          <w:bCs/>
          <w:iCs/>
          <w:color w:val="0D0D0D" w:themeColor="text1" w:themeTint="F2"/>
        </w:rPr>
      </w:pPr>
      <w:r w:rsidRPr="00832A6F">
        <w:rPr>
          <w:rFonts w:cstheme="minorHAnsi"/>
          <w:bCs/>
          <w:iCs/>
          <w:color w:val="0D0D0D" w:themeColor="text1" w:themeTint="F2"/>
        </w:rPr>
        <w:t>inclusion of an administrative note limiting use to twice in a lifetime for fedratinib in the initial treatment phase</w:t>
      </w:r>
      <w:r w:rsidR="00E204A0">
        <w:rPr>
          <w:rFonts w:cstheme="minorHAnsi"/>
          <w:bCs/>
          <w:iCs/>
          <w:color w:val="0D0D0D" w:themeColor="text1" w:themeTint="F2"/>
        </w:rPr>
        <w:t>,</w:t>
      </w:r>
      <w:r w:rsidRPr="00832A6F">
        <w:rPr>
          <w:rFonts w:cstheme="minorHAnsi"/>
          <w:bCs/>
          <w:iCs/>
          <w:color w:val="0D0D0D" w:themeColor="text1" w:themeTint="F2"/>
        </w:rPr>
        <w:t xml:space="preserve"> consistent with the listings of ruxolitinib and </w:t>
      </w:r>
      <w:proofErr w:type="spellStart"/>
      <w:r w:rsidRPr="00832A6F">
        <w:rPr>
          <w:rFonts w:cstheme="minorHAnsi"/>
          <w:bCs/>
          <w:iCs/>
          <w:color w:val="0D0D0D" w:themeColor="text1" w:themeTint="F2"/>
        </w:rPr>
        <w:t>momelotinib</w:t>
      </w:r>
      <w:proofErr w:type="spellEnd"/>
    </w:p>
    <w:p w14:paraId="11071380" w14:textId="4FC41EDB" w:rsidR="004807E7" w:rsidRPr="00EA5868" w:rsidRDefault="005376A2" w:rsidP="00EA5868">
      <w:pPr>
        <w:pStyle w:val="ListParagraph"/>
        <w:numPr>
          <w:ilvl w:val="1"/>
          <w:numId w:val="12"/>
        </w:numPr>
        <w:spacing w:after="160" w:line="259" w:lineRule="auto"/>
        <w:jc w:val="both"/>
        <w:rPr>
          <w:rFonts w:cstheme="minorHAnsi"/>
          <w:bCs/>
          <w:iCs/>
          <w:color w:val="0D0D0D" w:themeColor="text1" w:themeTint="F2"/>
        </w:rPr>
      </w:pPr>
      <w:r>
        <w:rPr>
          <w:rFonts w:cstheme="minorHAnsi"/>
          <w:bCs/>
          <w:iCs/>
          <w:color w:val="0D0D0D" w:themeColor="text1" w:themeTint="F2"/>
        </w:rPr>
        <w:t xml:space="preserve">inclusion of </w:t>
      </w:r>
      <w:r w:rsidRPr="000F62E1">
        <w:rPr>
          <w:rFonts w:cstheme="minorHAnsi"/>
          <w:bCs/>
          <w:iCs/>
          <w:color w:val="0D0D0D" w:themeColor="text1" w:themeTint="F2"/>
        </w:rPr>
        <w:t>“Patient must have severe disease-related symptoms that are resistant, refractory or intolerant to available therapy, OR Patient must have intolerance to prior treatment with a JAK inhibitor for this condition.”</w:t>
      </w:r>
      <w:r>
        <w:rPr>
          <w:rFonts w:cstheme="minorHAnsi"/>
          <w:bCs/>
          <w:iCs/>
          <w:color w:val="0D0D0D" w:themeColor="text1" w:themeTint="F2"/>
        </w:rPr>
        <w:t xml:space="preserve"> are appropriate so </w:t>
      </w:r>
      <w:r w:rsidR="00D1745C">
        <w:rPr>
          <w:rFonts w:cstheme="minorHAnsi"/>
          <w:bCs/>
          <w:iCs/>
          <w:color w:val="0D0D0D" w:themeColor="text1" w:themeTint="F2"/>
        </w:rPr>
        <w:t>t</w:t>
      </w:r>
      <w:r w:rsidR="000F62E1" w:rsidRPr="000F62E1">
        <w:rPr>
          <w:rFonts w:cstheme="minorHAnsi"/>
          <w:bCs/>
          <w:iCs/>
          <w:color w:val="0D0D0D" w:themeColor="text1" w:themeTint="F2"/>
        </w:rPr>
        <w:t>hat JAK inhibitor experienced patients have the option of switching treatment without needing to satisfy the disease-related symptoms requirement</w:t>
      </w:r>
      <w:r w:rsidR="00FD3ED7">
        <w:rPr>
          <w:rFonts w:cstheme="minorHAnsi"/>
          <w:bCs/>
          <w:iCs/>
          <w:color w:val="0D0D0D" w:themeColor="text1" w:themeTint="F2"/>
        </w:rPr>
        <w:t>,</w:t>
      </w:r>
      <w:r w:rsidR="00FD3ED7" w:rsidRPr="00832A6F">
        <w:rPr>
          <w:rFonts w:cstheme="minorHAnsi"/>
          <w:bCs/>
          <w:iCs/>
          <w:color w:val="0D0D0D" w:themeColor="text1" w:themeTint="F2"/>
        </w:rPr>
        <w:t xml:space="preserve"> consistent with the listings of ruxolitinib and </w:t>
      </w:r>
      <w:proofErr w:type="spellStart"/>
      <w:r w:rsidR="00FD3ED7" w:rsidRPr="00832A6F">
        <w:rPr>
          <w:rFonts w:cstheme="minorHAnsi"/>
          <w:bCs/>
          <w:iCs/>
          <w:color w:val="0D0D0D" w:themeColor="text1" w:themeTint="F2"/>
        </w:rPr>
        <w:t>momelotinib</w:t>
      </w:r>
      <w:proofErr w:type="spellEnd"/>
    </w:p>
    <w:p w14:paraId="42198BA2" w14:textId="77777777" w:rsidR="00F53CB5" w:rsidRPr="00F12C2D" w:rsidRDefault="00F53CB5" w:rsidP="00F53CB5">
      <w:pPr>
        <w:pStyle w:val="ListParagraph"/>
        <w:numPr>
          <w:ilvl w:val="1"/>
          <w:numId w:val="12"/>
        </w:numPr>
        <w:spacing w:after="160" w:line="259" w:lineRule="auto"/>
        <w:jc w:val="both"/>
        <w:rPr>
          <w:rFonts w:cstheme="minorHAnsi"/>
          <w:bCs/>
          <w:i/>
          <w:color w:val="0D0D0D" w:themeColor="text1" w:themeTint="F2"/>
        </w:rPr>
      </w:pPr>
      <w:r>
        <w:rPr>
          <w:lang w:val="en-GB"/>
        </w:rPr>
        <w:t xml:space="preserve">inclusion of </w:t>
      </w:r>
      <w:r w:rsidRPr="00B007D4">
        <w:rPr>
          <w:lang w:val="en-GB"/>
        </w:rPr>
        <w:t>administrative advice to both the initial and continuing treatment phases</w:t>
      </w:r>
      <w:r>
        <w:rPr>
          <w:lang w:val="en-GB"/>
        </w:rPr>
        <w:t xml:space="preserve"> to not allow an increase to the maximum quantity or number of units or the maximum number of repeats authorised.</w:t>
      </w:r>
    </w:p>
    <w:p w14:paraId="690E9CEB" w14:textId="79944A59" w:rsidR="00055DF9" w:rsidRDefault="00F53CB5" w:rsidP="00F53CB5">
      <w:pPr>
        <w:pStyle w:val="ListParagraph"/>
        <w:numPr>
          <w:ilvl w:val="1"/>
          <w:numId w:val="12"/>
        </w:numPr>
        <w:spacing w:after="160" w:line="259" w:lineRule="auto"/>
        <w:jc w:val="both"/>
        <w:rPr>
          <w:rFonts w:cstheme="minorHAnsi"/>
          <w:bCs/>
          <w:iCs/>
          <w:color w:val="0D0D0D" w:themeColor="text1" w:themeTint="F2"/>
        </w:rPr>
      </w:pPr>
      <w:r>
        <w:rPr>
          <w:rFonts w:cstheme="minorHAnsi"/>
          <w:bCs/>
          <w:iCs/>
          <w:color w:val="0D0D0D" w:themeColor="text1" w:themeTint="F2"/>
        </w:rPr>
        <w:t>l</w:t>
      </w:r>
      <w:r w:rsidRPr="00F12C2D">
        <w:rPr>
          <w:rFonts w:cstheme="minorHAnsi"/>
          <w:bCs/>
          <w:iCs/>
          <w:color w:val="0D0D0D" w:themeColor="text1" w:themeTint="F2"/>
        </w:rPr>
        <w:t xml:space="preserve">isting be age agnostic to align with the current PBS listings of ruxolitinib and </w:t>
      </w:r>
      <w:proofErr w:type="spellStart"/>
      <w:r w:rsidRPr="00F12C2D">
        <w:rPr>
          <w:rFonts w:cstheme="minorHAnsi"/>
          <w:bCs/>
          <w:iCs/>
          <w:color w:val="0D0D0D" w:themeColor="text1" w:themeTint="F2"/>
        </w:rPr>
        <w:t>momelotinib</w:t>
      </w:r>
      <w:proofErr w:type="spellEnd"/>
      <w:r w:rsidRPr="00F12C2D">
        <w:rPr>
          <w:rFonts w:cstheme="minorHAnsi"/>
          <w:bCs/>
          <w:iCs/>
          <w:color w:val="0D0D0D" w:themeColor="text1" w:themeTint="F2"/>
        </w:rPr>
        <w:t xml:space="preserve"> for this indication</w:t>
      </w:r>
    </w:p>
    <w:p w14:paraId="73815B5E" w14:textId="4EBA9EFA" w:rsidR="005236CF" w:rsidRPr="005236CF" w:rsidRDefault="00D0562F">
      <w:pPr>
        <w:widowControl w:val="0"/>
        <w:numPr>
          <w:ilvl w:val="1"/>
          <w:numId w:val="1"/>
        </w:numPr>
        <w:spacing w:after="120"/>
        <w:rPr>
          <w:rFonts w:asciiTheme="minorHAnsi" w:hAnsiTheme="minorHAnsi" w:cstheme="minorHAnsi"/>
          <w:snapToGrid w:val="0"/>
          <w:lang w:val="en-GB"/>
        </w:rPr>
      </w:pPr>
      <w:r w:rsidDel="00153603">
        <w:rPr>
          <w:lang w:val="en-GB"/>
        </w:rPr>
        <w:t xml:space="preserve">The </w:t>
      </w:r>
      <w:r w:rsidRPr="00D164CA" w:rsidDel="00153603">
        <w:rPr>
          <w:snapToGrid w:val="0"/>
          <w:lang w:val="en-GB"/>
        </w:rPr>
        <w:t>PBAC</w:t>
      </w:r>
      <w:r w:rsidR="00A637A1">
        <w:rPr>
          <w:lang w:val="en-GB"/>
        </w:rPr>
        <w:t xml:space="preserve"> recalled </w:t>
      </w:r>
      <w:r w:rsidR="006F53B5">
        <w:rPr>
          <w:lang w:val="en-GB"/>
        </w:rPr>
        <w:t xml:space="preserve">its </w:t>
      </w:r>
      <w:r w:rsidR="00D164CA" w:rsidRPr="00751E8E">
        <w:rPr>
          <w:lang w:val="en-GB"/>
        </w:rPr>
        <w:t xml:space="preserve">recommendations </w:t>
      </w:r>
      <w:r w:rsidR="00394F6F">
        <w:rPr>
          <w:lang w:val="en-GB"/>
        </w:rPr>
        <w:t xml:space="preserve">from its July 2025 meeting </w:t>
      </w:r>
      <w:r w:rsidR="00CA4EEC">
        <w:rPr>
          <w:lang w:val="en-GB"/>
        </w:rPr>
        <w:t xml:space="preserve">on </w:t>
      </w:r>
      <w:r w:rsidR="00D164CA" w:rsidRPr="00751E8E">
        <w:rPr>
          <w:lang w:val="en-GB"/>
        </w:rPr>
        <w:t>oncology</w:t>
      </w:r>
      <w:r w:rsidR="008652EE">
        <w:rPr>
          <w:lang w:val="en-GB"/>
        </w:rPr>
        <w:t xml:space="preserve"> and </w:t>
      </w:r>
      <w:r w:rsidR="00D164CA" w:rsidRPr="00751E8E">
        <w:rPr>
          <w:lang w:val="en-GB"/>
        </w:rPr>
        <w:t xml:space="preserve">haematology medicines as part of the </w:t>
      </w:r>
      <w:r w:rsidR="00693306">
        <w:rPr>
          <w:lang w:val="en-GB"/>
        </w:rPr>
        <w:t>r</w:t>
      </w:r>
      <w:r w:rsidR="00F50153" w:rsidRPr="00F50153">
        <w:rPr>
          <w:lang w:val="en-GB"/>
        </w:rPr>
        <w:t xml:space="preserve">eview of PBS items for prescribing by nurse practitioners and </w:t>
      </w:r>
      <w:r w:rsidR="00D164CA" w:rsidRPr="00751E8E">
        <w:rPr>
          <w:lang w:val="en-GB"/>
        </w:rPr>
        <w:t xml:space="preserve">endorsed </w:t>
      </w:r>
      <w:r w:rsidR="00F50153" w:rsidRPr="00F50153">
        <w:rPr>
          <w:lang w:val="en-GB"/>
        </w:rPr>
        <w:t>midwives</w:t>
      </w:r>
      <w:r w:rsidR="00D844E1">
        <w:rPr>
          <w:lang w:val="en-GB"/>
        </w:rPr>
        <w:t>. T</w:t>
      </w:r>
      <w:r w:rsidR="00D164CA" w:rsidRPr="00751E8E">
        <w:rPr>
          <w:lang w:val="en-GB"/>
        </w:rPr>
        <w:t>he PBAC</w:t>
      </w:r>
      <w:r w:rsidR="007612A9">
        <w:rPr>
          <w:lang w:val="en-GB"/>
        </w:rPr>
        <w:t xml:space="preserve"> had</w:t>
      </w:r>
      <w:r w:rsidR="00D164CA" w:rsidRPr="00751E8E">
        <w:rPr>
          <w:lang w:val="en-GB"/>
        </w:rPr>
        <w:t xml:space="preserve"> recommended </w:t>
      </w:r>
      <w:r w:rsidR="00D761F2" w:rsidRPr="00D761F2">
        <w:rPr>
          <w:lang w:val="en-GB"/>
        </w:rPr>
        <w:t>amendment of most of the identified General Schedule oncology and haematology medicines to allow nurse practitioners to continue existing therapy where patient care is being shared with a medical practitioner.</w:t>
      </w:r>
      <w:r w:rsidR="00D164CA" w:rsidRPr="00751E8E">
        <w:rPr>
          <w:lang w:val="en-GB"/>
        </w:rPr>
        <w:t xml:space="preserve"> </w:t>
      </w:r>
      <w:r w:rsidR="00BA46A1">
        <w:rPr>
          <w:lang w:val="en-GB"/>
        </w:rPr>
        <w:t xml:space="preserve">The PBAC confirmed for this fedratinib recommendation that </w:t>
      </w:r>
      <w:r w:rsidR="00BA46A1" w:rsidRPr="00F50153">
        <w:rPr>
          <w:lang w:val="en-GB"/>
        </w:rPr>
        <w:t xml:space="preserve">prescribing by nurse practitioners </w:t>
      </w:r>
      <w:r w:rsidR="00BA46A1">
        <w:rPr>
          <w:lang w:val="en-GB"/>
        </w:rPr>
        <w:t xml:space="preserve">for continuing therapy was appropriate. </w:t>
      </w:r>
      <w:r w:rsidR="00FE5678">
        <w:rPr>
          <w:lang w:val="en-GB"/>
        </w:rPr>
        <w:t>T</w:t>
      </w:r>
      <w:r w:rsidR="00FE5678" w:rsidRPr="6CC7CA74">
        <w:t xml:space="preserve">he PBAC recommended </w:t>
      </w:r>
      <w:r w:rsidR="00FE5678">
        <w:t xml:space="preserve">that </w:t>
      </w:r>
      <w:r w:rsidR="00FE5678" w:rsidRPr="6CC7CA74">
        <w:t xml:space="preserve">nurse practitioners </w:t>
      </w:r>
      <w:r w:rsidR="002237E5">
        <w:t>also</w:t>
      </w:r>
      <w:r w:rsidR="00FE5678" w:rsidRPr="6CC7CA74">
        <w:t xml:space="preserve"> be added as an eligible prescriber type for ruxolitinib and </w:t>
      </w:r>
      <w:proofErr w:type="spellStart"/>
      <w:r w:rsidR="00FE5678" w:rsidRPr="6CC7CA74">
        <w:t>momelotinib</w:t>
      </w:r>
      <w:proofErr w:type="spellEnd"/>
      <w:r w:rsidR="00FE5678" w:rsidRPr="6CC7CA74">
        <w:t xml:space="preserve"> </w:t>
      </w:r>
      <w:r w:rsidR="002237E5">
        <w:t xml:space="preserve">for continuing therapy only, </w:t>
      </w:r>
      <w:r w:rsidR="00FE5678" w:rsidRPr="6CC7CA74">
        <w:t xml:space="preserve">as </w:t>
      </w:r>
      <w:r w:rsidR="009303DA">
        <w:t>would apply to</w:t>
      </w:r>
      <w:r w:rsidR="00FE5678" w:rsidRPr="6CC7CA74">
        <w:t xml:space="preserve"> fedratinib. </w:t>
      </w:r>
      <w:r w:rsidR="00BA46A1">
        <w:rPr>
          <w:lang w:val="en-GB"/>
        </w:rPr>
        <w:t>T</w:t>
      </w:r>
      <w:r w:rsidR="00D164CA" w:rsidRPr="6CC7CA74">
        <w:t xml:space="preserve">he PBAC considered that the complexity of diagnosing myelofibrosis and forming appropriate therapeutic management strategies </w:t>
      </w:r>
      <w:r w:rsidR="00EC0423">
        <w:t>we</w:t>
      </w:r>
      <w:r w:rsidR="00D164CA" w:rsidRPr="6CC7CA74">
        <w:t xml:space="preserve">re high enough that initiating treatment and independent prescribing of fedratinib would be outside the scope of practice of nurse practitioners. </w:t>
      </w:r>
    </w:p>
    <w:p w14:paraId="5F0A3F33" w14:textId="51E90569" w:rsidR="00963CF7" w:rsidRPr="00751E8E" w:rsidRDefault="00963CF7">
      <w:pPr>
        <w:widowControl w:val="0"/>
        <w:numPr>
          <w:ilvl w:val="1"/>
          <w:numId w:val="1"/>
        </w:numPr>
        <w:spacing w:after="120"/>
        <w:rPr>
          <w:rFonts w:asciiTheme="minorHAnsi" w:hAnsiTheme="minorHAnsi" w:cstheme="minorHAnsi"/>
          <w:snapToGrid w:val="0"/>
          <w:lang w:val="en-GB"/>
        </w:rPr>
      </w:pPr>
      <w:r w:rsidRPr="00751E8E">
        <w:rPr>
          <w:rFonts w:asciiTheme="minorHAnsi" w:hAnsiTheme="minorHAnsi"/>
          <w:bCs/>
          <w:snapToGrid w:val="0"/>
          <w:lang w:val="en-GB"/>
        </w:rPr>
        <w:t xml:space="preserve">The PBAC recommended that </w:t>
      </w:r>
      <w:r w:rsidR="004B034A" w:rsidRPr="00751E8E">
        <w:rPr>
          <w:rFonts w:asciiTheme="minorHAnsi" w:hAnsiTheme="minorHAnsi"/>
          <w:bCs/>
          <w:snapToGrid w:val="0"/>
          <w:lang w:val="en-GB"/>
        </w:rPr>
        <w:t>fedratinib</w:t>
      </w:r>
      <w:r w:rsidRPr="00751E8E">
        <w:rPr>
          <w:rFonts w:asciiTheme="minorHAnsi" w:hAnsiTheme="minorHAnsi"/>
          <w:bCs/>
          <w:snapToGrid w:val="0"/>
          <w:lang w:val="en-GB"/>
        </w:rPr>
        <w:t xml:space="preserve"> should</w:t>
      </w:r>
      <w:r w:rsidR="00F20865" w:rsidRPr="00751E8E">
        <w:rPr>
          <w:rFonts w:asciiTheme="minorHAnsi" w:hAnsiTheme="minorHAnsi"/>
          <w:bCs/>
          <w:snapToGrid w:val="0"/>
          <w:lang w:val="en-GB"/>
        </w:rPr>
        <w:t xml:space="preserve"> not</w:t>
      </w:r>
      <w:r w:rsidRPr="00751E8E">
        <w:rPr>
          <w:rFonts w:asciiTheme="minorHAnsi" w:hAnsiTheme="minorHAnsi"/>
          <w:bCs/>
          <w:snapToGrid w:val="0"/>
          <w:lang w:val="en-GB"/>
        </w:rPr>
        <w:t xml:space="preserve"> be treated as interchangeable on an individual patient basis with </w:t>
      </w:r>
      <w:r w:rsidR="00530C29" w:rsidRPr="00751E8E">
        <w:rPr>
          <w:rFonts w:asciiTheme="minorHAnsi" w:hAnsiTheme="minorHAnsi"/>
          <w:bCs/>
          <w:snapToGrid w:val="0"/>
          <w:lang w:val="en-GB"/>
        </w:rPr>
        <w:t>any other drugs</w:t>
      </w:r>
      <w:r w:rsidRPr="00751E8E">
        <w:rPr>
          <w:rFonts w:asciiTheme="minorHAnsi" w:hAnsiTheme="minorHAnsi"/>
          <w:bCs/>
          <w:snapToGrid w:val="0"/>
          <w:lang w:val="en-GB"/>
        </w:rPr>
        <w:t>.</w:t>
      </w:r>
    </w:p>
    <w:p w14:paraId="44902782" w14:textId="6CDF0888" w:rsidR="007604A6" w:rsidRPr="00217365" w:rsidRDefault="007604A6" w:rsidP="00217365">
      <w:pPr>
        <w:widowControl w:val="0"/>
        <w:numPr>
          <w:ilvl w:val="1"/>
          <w:numId w:val="1"/>
        </w:numPr>
        <w:spacing w:after="120"/>
        <w:rPr>
          <w:rFonts w:asciiTheme="minorHAnsi" w:hAnsiTheme="minorHAnsi" w:cstheme="minorHAnsi"/>
          <w:snapToGrid w:val="0"/>
          <w:lang w:val="en-GB"/>
        </w:rPr>
      </w:pPr>
      <w:r>
        <w:rPr>
          <w:rFonts w:asciiTheme="minorHAnsi" w:hAnsiTheme="minorHAnsi"/>
          <w:bCs/>
          <w:snapToGrid w:val="0"/>
          <w:lang w:val="en-GB"/>
        </w:rPr>
        <w:t xml:space="preserve">The PBAC recommended the Early Supply Rule should </w:t>
      </w:r>
      <w:r w:rsidR="00DA4569">
        <w:rPr>
          <w:rFonts w:asciiTheme="minorHAnsi" w:hAnsiTheme="minorHAnsi"/>
          <w:bCs/>
          <w:snapToGrid w:val="0"/>
          <w:lang w:val="en-GB"/>
        </w:rPr>
        <w:t xml:space="preserve">not </w:t>
      </w:r>
      <w:r>
        <w:rPr>
          <w:rFonts w:asciiTheme="minorHAnsi" w:hAnsiTheme="minorHAnsi"/>
          <w:bCs/>
          <w:snapToGrid w:val="0"/>
          <w:lang w:val="en-GB"/>
        </w:rPr>
        <w:t>apply.</w:t>
      </w:r>
    </w:p>
    <w:p w14:paraId="36ED5E18" w14:textId="37FB269D" w:rsidR="00963CF7" w:rsidRPr="007C66E8" w:rsidRDefault="00963CF7" w:rsidP="0057425F">
      <w:pPr>
        <w:widowControl w:val="0"/>
        <w:numPr>
          <w:ilvl w:val="1"/>
          <w:numId w:val="1"/>
        </w:numPr>
        <w:spacing w:after="120"/>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8A0336">
        <w:rPr>
          <w:rFonts w:asciiTheme="minorHAnsi" w:hAnsiTheme="minorHAnsi" w:cstheme="minorHAnsi"/>
          <w:lang w:val="en-GB"/>
        </w:rPr>
        <w:t>fedratinib</w:t>
      </w:r>
      <w:r w:rsidRPr="00D121C5">
        <w:rPr>
          <w:rFonts w:asciiTheme="minorHAnsi" w:hAnsiTheme="minorHAnsi" w:cstheme="minorHAnsi"/>
          <w:lang w:val="en-GB"/>
        </w:rPr>
        <w:t xml:space="preserve"> is not expected to provide a 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DB5E85">
        <w:rPr>
          <w:rFonts w:asciiTheme="minorHAnsi" w:hAnsiTheme="minorHAnsi"/>
          <w:bCs/>
          <w:lang w:val="en-GB"/>
        </w:rPr>
        <w:t>ruxolitinib</w:t>
      </w:r>
      <w:r w:rsidRPr="00531A05">
        <w:rPr>
          <w:rFonts w:asciiTheme="minorHAnsi" w:hAnsiTheme="minorHAnsi"/>
          <w:bCs/>
          <w:lang w:val="en-GB"/>
        </w:rPr>
        <w:t xml:space="preserve">, or not expected to address a high and urgent unmet clinical need given the presence of an alternative therapy,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A were not met.</w:t>
      </w:r>
    </w:p>
    <w:p w14:paraId="207FEA24" w14:textId="3FDF74D0" w:rsidR="007C66E8" w:rsidRPr="0079410D" w:rsidRDefault="0079410D" w:rsidP="0079410D">
      <w:pPr>
        <w:pStyle w:val="COMESnumberedpara"/>
        <w:rPr>
          <w:rFonts w:eastAsia="Times New Roman" w:cstheme="minorHAnsi"/>
          <w:szCs w:val="24"/>
          <w:lang w:val="en-GB"/>
        </w:rPr>
      </w:pPr>
      <w:r w:rsidRPr="0079410D">
        <w:rPr>
          <w:rFonts w:eastAsia="Times New Roman" w:cstheme="minorHAnsi"/>
          <w:szCs w:val="24"/>
          <w:lang w:val="en-GB"/>
        </w:rPr>
        <w:t>The PBAC noted that this submission is not eligible for an Independent Review because it received a positive recommendation.</w:t>
      </w:r>
    </w:p>
    <w:p w14:paraId="200411A6" w14:textId="77777777" w:rsidR="00963CF7" w:rsidRPr="00525B39" w:rsidRDefault="00963CF7" w:rsidP="00963CF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8C508D6" w14:textId="3781850F" w:rsidR="00932C09" w:rsidRPr="000A5F47" w:rsidRDefault="00963CF7" w:rsidP="000A5F47">
      <w:pPr>
        <w:rPr>
          <w:rFonts w:asciiTheme="minorHAnsi" w:hAnsiTheme="minorHAnsi"/>
          <w:bCs/>
          <w:snapToGrid w:val="0"/>
          <w:lang w:val="en-GB"/>
        </w:rPr>
      </w:pPr>
      <w:r w:rsidRPr="00525B39">
        <w:rPr>
          <w:rFonts w:asciiTheme="minorHAnsi" w:hAnsiTheme="minorHAnsi"/>
          <w:bCs/>
          <w:snapToGrid w:val="0"/>
          <w:lang w:val="en-GB"/>
        </w:rPr>
        <w:t>Recommended</w:t>
      </w:r>
    </w:p>
    <w:bookmarkEnd w:id="60"/>
    <w:p w14:paraId="2CFA1203" w14:textId="5FE036EE" w:rsidR="00963CF7" w:rsidRPr="00907671" w:rsidRDefault="00963CF7" w:rsidP="00963CF7">
      <w:pPr>
        <w:pStyle w:val="2-SectionHeading"/>
        <w:numPr>
          <w:ilvl w:val="0"/>
          <w:numId w:val="1"/>
        </w:numPr>
        <w:outlineLvl w:val="0"/>
      </w:pPr>
      <w:r w:rsidRPr="00907671">
        <w:t>Recommended listing</w:t>
      </w:r>
    </w:p>
    <w:p w14:paraId="43B05400" w14:textId="77777777" w:rsidR="00963CF7" w:rsidRPr="002A188C" w:rsidRDefault="00963CF7" w:rsidP="00E22D0E">
      <w:pPr>
        <w:widowControl w:val="0"/>
        <w:numPr>
          <w:ilvl w:val="1"/>
          <w:numId w:val="1"/>
        </w:numPr>
        <w:spacing w:after="120"/>
        <w:rPr>
          <w:rFonts w:asciiTheme="minorHAnsi" w:hAnsiTheme="minorHAnsi"/>
          <w:b/>
          <w:bCs/>
          <w:snapToGrid w:val="0"/>
        </w:rPr>
      </w:pPr>
      <w:r w:rsidRPr="002A188C">
        <w:rPr>
          <w:rFonts w:asciiTheme="minorHAnsi" w:hAnsiTheme="minorHAnsi"/>
          <w:bCs/>
          <w:snapToGrid w:val="0"/>
        </w:rPr>
        <w:t>Add new item:</w:t>
      </w:r>
    </w:p>
    <w:p w14:paraId="14586A71" w14:textId="77777777" w:rsidR="002A188C" w:rsidRPr="00656B29" w:rsidRDefault="002A188C" w:rsidP="00E22D0E">
      <w:pPr>
        <w:rPr>
          <w:rFonts w:asciiTheme="minorHAnsi" w:hAnsiTheme="minorHAnsi" w:cstheme="minorBidi"/>
          <w:color w:val="000000" w:themeColor="text1"/>
          <w:u w:val="single"/>
        </w:rPr>
      </w:pPr>
      <w:bookmarkStart w:id="65" w:name="_Hlk213238006"/>
      <w:r w:rsidRPr="00656B29">
        <w:rPr>
          <w:rFonts w:asciiTheme="minorHAnsi" w:hAnsiTheme="minorHAnsi" w:cstheme="minorBidi"/>
          <w:color w:val="000000" w:themeColor="text1"/>
          <w:u w:val="single"/>
        </w:rPr>
        <w:t>High-risk and intermediate-2 risk myelofibrosis</w:t>
      </w:r>
    </w:p>
    <w:p w14:paraId="339DC2DA" w14:textId="77777777" w:rsidR="00041481" w:rsidRPr="00041481" w:rsidRDefault="00041481" w:rsidP="00E22D0E">
      <w:pPr>
        <w:rPr>
          <w:rFonts w:asciiTheme="minorHAnsi" w:hAnsiTheme="minorHAnsi" w:cstheme="minorBidi"/>
          <w:color w:val="000000" w:themeColor="text1"/>
        </w:rPr>
      </w:pPr>
    </w:p>
    <w:p w14:paraId="1EF824C1" w14:textId="7908AA88" w:rsidR="002A188C" w:rsidRPr="00041481" w:rsidRDefault="002A188C" w:rsidP="00E22D0E">
      <w:pPr>
        <w:rPr>
          <w:rFonts w:asciiTheme="minorHAnsi" w:hAnsiTheme="minorHAnsi" w:cstheme="minorBidi"/>
          <w:color w:val="000000" w:themeColor="text1"/>
        </w:rPr>
      </w:pPr>
      <w:r w:rsidRPr="00041481">
        <w:rPr>
          <w:rFonts w:asciiTheme="minorHAnsi" w:hAnsiTheme="minorHAnsi" w:cstheme="minorBidi"/>
          <w:color w:val="000000" w:themeColor="text1"/>
        </w:rPr>
        <w:t>Initial</w:t>
      </w:r>
      <w:r w:rsidR="00787B4B">
        <w:rPr>
          <w:rFonts w:asciiTheme="minorHAnsi" w:hAnsiTheme="minorHAnsi" w:cstheme="minorBidi"/>
          <w:color w:val="000000" w:themeColor="text1"/>
        </w:rPr>
        <w:t xml:space="preserve"> treatment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initial treatment"/>
      </w:tblPr>
      <w:tblGrid>
        <w:gridCol w:w="488"/>
        <w:gridCol w:w="785"/>
        <w:gridCol w:w="1844"/>
        <w:gridCol w:w="1136"/>
        <w:gridCol w:w="850"/>
        <w:gridCol w:w="1266"/>
        <w:gridCol w:w="817"/>
        <w:gridCol w:w="1831"/>
      </w:tblGrid>
      <w:tr w:rsidR="00F21ABB" w:rsidRPr="00513B3D" w14:paraId="07B33522" w14:textId="77777777" w:rsidTr="003D483B">
        <w:trPr>
          <w:cantSplit/>
          <w:trHeight w:val="20"/>
        </w:trPr>
        <w:tc>
          <w:tcPr>
            <w:tcW w:w="9017" w:type="dxa"/>
            <w:gridSpan w:val="8"/>
            <w:tcBorders>
              <w:top w:val="single" w:sz="4" w:space="0" w:color="auto"/>
              <w:left w:val="single" w:sz="4" w:space="0" w:color="auto"/>
              <w:bottom w:val="single" w:sz="4" w:space="0" w:color="auto"/>
              <w:right w:val="single" w:sz="4" w:space="0" w:color="auto"/>
            </w:tcBorders>
            <w:vAlign w:val="center"/>
          </w:tcPr>
          <w:p w14:paraId="12E90A5A" w14:textId="77777777" w:rsidR="004E2146" w:rsidRDefault="004E2146" w:rsidP="00513B3D">
            <w:pPr>
              <w:rPr>
                <w:rFonts w:ascii="Arial Narrow" w:eastAsia="Calibri" w:hAnsi="Arial Narrow"/>
                <w:sz w:val="20"/>
                <w:szCs w:val="20"/>
              </w:rPr>
            </w:pPr>
            <w:r w:rsidRPr="77C74101">
              <w:rPr>
                <w:rFonts w:ascii="Arial Narrow" w:hAnsi="Arial Narrow"/>
                <w:b/>
                <w:bCs/>
                <w:sz w:val="20"/>
                <w:szCs w:val="20"/>
              </w:rPr>
              <w:t>Category / Program:</w:t>
            </w:r>
            <w:r w:rsidRPr="77C74101">
              <w:rPr>
                <w:rFonts w:ascii="Arial Narrow" w:hAnsi="Arial Narrow"/>
                <w:sz w:val="20"/>
                <w:szCs w:val="20"/>
              </w:rPr>
              <w:t xml:space="preserve"> </w:t>
            </w:r>
            <w:r w:rsidRPr="77C74101">
              <w:rPr>
                <w:rFonts w:ascii="Arial Narrow" w:eastAsia="Calibri" w:hAnsi="Arial Narrow"/>
                <w:sz w:val="20"/>
                <w:szCs w:val="20"/>
              </w:rPr>
              <w:fldChar w:fldCharType="begin"/>
            </w:r>
            <w:r w:rsidRPr="77C74101">
              <w:rPr>
                <w:rFonts w:ascii="Arial Narrow" w:eastAsia="Calibri" w:hAnsi="Arial Narrow"/>
                <w:sz w:val="20"/>
                <w:szCs w:val="20"/>
              </w:rPr>
              <w:instrText xml:space="preserve"> FORMCHECKBOX </w:instrText>
            </w:r>
            <w:r w:rsidRPr="77C74101">
              <w:rPr>
                <w:rFonts w:ascii="Arial Narrow" w:eastAsia="Calibri" w:hAnsi="Arial Narrow"/>
                <w:sz w:val="20"/>
                <w:szCs w:val="20"/>
              </w:rPr>
              <w:fldChar w:fldCharType="separate"/>
            </w:r>
            <w:r w:rsidRPr="77C74101">
              <w:rPr>
                <w:rFonts w:ascii="Arial Narrow" w:eastAsia="Calibri" w:hAnsi="Arial Narrow"/>
                <w:sz w:val="20"/>
                <w:szCs w:val="20"/>
              </w:rPr>
              <w:fldChar w:fldCharType="end"/>
            </w:r>
            <w:r w:rsidRPr="77C74101">
              <w:rPr>
                <w:rFonts w:ascii="Arial Narrow" w:eastAsia="Calibri" w:hAnsi="Arial Narrow"/>
                <w:sz w:val="20"/>
                <w:szCs w:val="20"/>
              </w:rPr>
              <w:t xml:space="preserve"> GENERAL - General Schedule (Code GE)</w:t>
            </w:r>
          </w:p>
          <w:p w14:paraId="62984C47" w14:textId="57EF42D3" w:rsidR="00F21ABB" w:rsidRPr="00513B3D" w:rsidRDefault="00F21ABB" w:rsidP="00513B3D">
            <w:pPr>
              <w:rPr>
                <w:rFonts w:ascii="Arial Narrow" w:hAnsi="Arial Narrow" w:cstheme="minorBidi"/>
                <w:b/>
                <w:iCs/>
                <w:color w:val="000000" w:themeColor="text1"/>
                <w:sz w:val="20"/>
                <w:szCs w:val="20"/>
              </w:rPr>
            </w:pPr>
          </w:p>
        </w:tc>
      </w:tr>
      <w:tr w:rsidR="00513B3D" w:rsidRPr="00513B3D" w14:paraId="1D100D53" w14:textId="77777777" w:rsidTr="003D483B">
        <w:trPr>
          <w:cantSplit/>
          <w:trHeight w:val="20"/>
        </w:trPr>
        <w:tc>
          <w:tcPr>
            <w:tcW w:w="3117" w:type="dxa"/>
            <w:gridSpan w:val="3"/>
            <w:tcBorders>
              <w:top w:val="single" w:sz="4" w:space="0" w:color="auto"/>
              <w:left w:val="single" w:sz="4" w:space="0" w:color="auto"/>
              <w:bottom w:val="single" w:sz="4" w:space="0" w:color="auto"/>
              <w:right w:val="single" w:sz="4" w:space="0" w:color="auto"/>
            </w:tcBorders>
            <w:vAlign w:val="center"/>
            <w:hideMark/>
          </w:tcPr>
          <w:p w14:paraId="5A29E207"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MEDICINAL PRODUCT</w:t>
            </w:r>
          </w:p>
          <w:p w14:paraId="13D10422"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medicinal product pack</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4983ACE" w14:textId="3F7D5EB6" w:rsidR="00513B3D" w:rsidRPr="00513B3D" w:rsidRDefault="003D483B" w:rsidP="003D483B">
            <w:pPr>
              <w:jc w:val="center"/>
              <w:rPr>
                <w:rFonts w:ascii="Arial Narrow" w:hAnsi="Arial Narrow" w:cstheme="minorBidi"/>
                <w:b/>
                <w:color w:val="000000" w:themeColor="text1"/>
                <w:sz w:val="20"/>
                <w:szCs w:val="20"/>
              </w:rPr>
            </w:pPr>
            <w:r>
              <w:rPr>
                <w:rFonts w:ascii="Arial Narrow" w:hAnsi="Arial Narrow" w:cstheme="minorBidi"/>
                <w:b/>
                <w:iCs/>
                <w:color w:val="000000" w:themeColor="text1"/>
                <w:sz w:val="20"/>
                <w:szCs w:val="20"/>
              </w:rPr>
              <w:t>PBS item code</w:t>
            </w:r>
          </w:p>
        </w:tc>
        <w:tc>
          <w:tcPr>
            <w:tcW w:w="850" w:type="dxa"/>
            <w:tcBorders>
              <w:top w:val="single" w:sz="4" w:space="0" w:color="auto"/>
              <w:left w:val="single" w:sz="4" w:space="0" w:color="auto"/>
              <w:bottom w:val="single" w:sz="4" w:space="0" w:color="auto"/>
              <w:right w:val="single" w:sz="4" w:space="0" w:color="auto"/>
            </w:tcBorders>
            <w:vAlign w:val="center"/>
          </w:tcPr>
          <w:p w14:paraId="3A24D44A" w14:textId="7BA7587E" w:rsidR="009A2F32" w:rsidRPr="00513B3D" w:rsidRDefault="009A2F32" w:rsidP="003D483B">
            <w:pPr>
              <w:jc w:val="center"/>
              <w:rPr>
                <w:rFonts w:ascii="Arial Narrow" w:hAnsi="Arial Narrow" w:cstheme="minorBidi"/>
                <w:b/>
                <w:iCs/>
                <w:color w:val="000000" w:themeColor="text1"/>
                <w:sz w:val="20"/>
                <w:szCs w:val="20"/>
              </w:rPr>
            </w:pPr>
            <w:r w:rsidRPr="00513B3D">
              <w:rPr>
                <w:rFonts w:ascii="Arial Narrow" w:hAnsi="Arial Narrow" w:cstheme="minorBidi"/>
                <w:b/>
                <w:iCs/>
                <w:color w:val="000000" w:themeColor="text1"/>
                <w:sz w:val="20"/>
                <w:szCs w:val="20"/>
              </w:rPr>
              <w:t>Max. qty packs</w:t>
            </w:r>
          </w:p>
        </w:tc>
        <w:tc>
          <w:tcPr>
            <w:tcW w:w="1266" w:type="dxa"/>
            <w:tcBorders>
              <w:top w:val="single" w:sz="4" w:space="0" w:color="auto"/>
              <w:left w:val="single" w:sz="4" w:space="0" w:color="auto"/>
              <w:bottom w:val="single" w:sz="4" w:space="0" w:color="auto"/>
              <w:right w:val="single" w:sz="4" w:space="0" w:color="auto"/>
            </w:tcBorders>
            <w:vAlign w:val="center"/>
            <w:hideMark/>
          </w:tcPr>
          <w:p w14:paraId="6F14E25A" w14:textId="77777777" w:rsidR="00513B3D" w:rsidRPr="00513B3D" w:rsidRDefault="00513B3D" w:rsidP="003D483B">
            <w:pPr>
              <w:jc w:val="cente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0F3C77A8"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№.of</w:t>
            </w:r>
          </w:p>
          <w:p w14:paraId="1DC71D4F"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ABC18CB"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Available brands</w:t>
            </w:r>
          </w:p>
        </w:tc>
      </w:tr>
      <w:tr w:rsidR="00513B3D" w:rsidRPr="00513B3D" w14:paraId="0C4A2290" w14:textId="77777777" w:rsidTr="00F045A7">
        <w:trPr>
          <w:cantSplit/>
          <w:trHeight w:val="20"/>
        </w:trPr>
        <w:tc>
          <w:tcPr>
            <w:tcW w:w="9017" w:type="dxa"/>
            <w:gridSpan w:val="8"/>
            <w:tcBorders>
              <w:top w:val="single" w:sz="4" w:space="0" w:color="auto"/>
              <w:left w:val="single" w:sz="4" w:space="0" w:color="auto"/>
              <w:bottom w:val="single" w:sz="4" w:space="0" w:color="auto"/>
              <w:right w:val="single" w:sz="4" w:space="0" w:color="auto"/>
            </w:tcBorders>
            <w:vAlign w:val="center"/>
            <w:hideMark/>
          </w:tcPr>
          <w:p w14:paraId="097730C9" w14:textId="1CCF4564" w:rsidR="009A2F32" w:rsidRPr="00513B3D" w:rsidRDefault="009A2F32" w:rsidP="009A2F32">
            <w:pPr>
              <w:rPr>
                <w:rFonts w:ascii="Arial Narrow" w:hAnsi="Arial Narrow" w:cstheme="minorBidi"/>
                <w:b/>
                <w:iCs/>
                <w:color w:val="000000" w:themeColor="text1"/>
                <w:sz w:val="20"/>
                <w:szCs w:val="20"/>
              </w:rPr>
            </w:pPr>
            <w:r w:rsidRPr="00513B3D">
              <w:rPr>
                <w:rFonts w:ascii="Arial Narrow" w:hAnsi="Arial Narrow" w:cstheme="minorBidi"/>
                <w:b/>
                <w:iCs/>
                <w:color w:val="000000" w:themeColor="text1"/>
                <w:sz w:val="20"/>
                <w:szCs w:val="20"/>
              </w:rPr>
              <w:t>FEDRATINIB</w:t>
            </w:r>
          </w:p>
        </w:tc>
      </w:tr>
      <w:tr w:rsidR="00513B3D" w:rsidRPr="00513B3D" w14:paraId="4D79FE3A" w14:textId="77777777" w:rsidTr="00677FB0">
        <w:trPr>
          <w:cantSplit/>
          <w:trHeight w:val="20"/>
        </w:trPr>
        <w:tc>
          <w:tcPr>
            <w:tcW w:w="3117" w:type="dxa"/>
            <w:gridSpan w:val="3"/>
            <w:tcBorders>
              <w:top w:val="single" w:sz="4" w:space="0" w:color="auto"/>
              <w:left w:val="single" w:sz="4" w:space="0" w:color="auto"/>
              <w:bottom w:val="single" w:sz="4" w:space="0" w:color="auto"/>
              <w:right w:val="single" w:sz="4" w:space="0" w:color="auto"/>
            </w:tcBorders>
            <w:vAlign w:val="center"/>
            <w:hideMark/>
          </w:tcPr>
          <w:p w14:paraId="131C9401"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Fedratinib 100 mg capsule, 120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2A88BF7" w14:textId="3F617309" w:rsidR="003D483B" w:rsidRPr="001C1CED" w:rsidRDefault="003D483B" w:rsidP="003D483B">
            <w:pPr>
              <w:jc w:val="center"/>
              <w:rPr>
                <w:rFonts w:ascii="Arial Narrow" w:hAnsi="Arial Narrow"/>
                <w:sz w:val="20"/>
                <w:szCs w:val="20"/>
              </w:rPr>
            </w:pPr>
            <w:r w:rsidRPr="001C1CED">
              <w:rPr>
                <w:rFonts w:ascii="Arial Narrow" w:hAnsi="Arial Narrow"/>
                <w:sz w:val="20"/>
                <w:szCs w:val="20"/>
              </w:rPr>
              <w:t>NEW 1</w:t>
            </w:r>
          </w:p>
          <w:p w14:paraId="4A66ABDA" w14:textId="04EFF360" w:rsidR="00513B3D" w:rsidRPr="001A7A91" w:rsidRDefault="003D483B" w:rsidP="003D483B">
            <w:pPr>
              <w:jc w:val="center"/>
              <w:rPr>
                <w:rFonts w:ascii="Arial Narrow" w:hAnsi="Arial Narrow" w:cstheme="minorBidi"/>
                <w:color w:val="000000" w:themeColor="text1"/>
                <w:sz w:val="12"/>
                <w:szCs w:val="12"/>
              </w:rPr>
            </w:pPr>
            <w:r w:rsidRPr="001B6F4E">
              <w:rPr>
                <w:rFonts w:ascii="Arial Narrow" w:hAnsi="Arial Narrow"/>
                <w:sz w:val="12"/>
                <w:szCs w:val="12"/>
              </w:rPr>
              <w:t>MP</w:t>
            </w:r>
          </w:p>
        </w:tc>
        <w:tc>
          <w:tcPr>
            <w:tcW w:w="850" w:type="dxa"/>
            <w:tcBorders>
              <w:top w:val="single" w:sz="4" w:space="0" w:color="auto"/>
              <w:left w:val="single" w:sz="4" w:space="0" w:color="auto"/>
              <w:bottom w:val="single" w:sz="4" w:space="0" w:color="auto"/>
              <w:right w:val="single" w:sz="4" w:space="0" w:color="auto"/>
            </w:tcBorders>
            <w:vAlign w:val="center"/>
          </w:tcPr>
          <w:p w14:paraId="1698429F" w14:textId="0618387A" w:rsidR="009A2F32" w:rsidRDefault="009A2F32" w:rsidP="003D483B">
            <w:pPr>
              <w:jc w:val="center"/>
              <w:rPr>
                <w:rFonts w:ascii="Arial Narrow" w:hAnsi="Arial Narrow" w:cstheme="minorBidi"/>
                <w:iCs/>
                <w:color w:val="000000" w:themeColor="text1"/>
                <w:sz w:val="20"/>
                <w:szCs w:val="20"/>
              </w:rPr>
            </w:pPr>
            <w:r>
              <w:rPr>
                <w:rFonts w:ascii="Arial Narrow" w:hAnsi="Arial Narrow" w:cstheme="minorBidi"/>
                <w:iCs/>
                <w:color w:val="000000" w:themeColor="text1"/>
                <w:sz w:val="20"/>
                <w:szCs w:val="20"/>
              </w:rPr>
              <w:t>1</w:t>
            </w:r>
          </w:p>
        </w:tc>
        <w:tc>
          <w:tcPr>
            <w:tcW w:w="1266" w:type="dxa"/>
            <w:tcBorders>
              <w:top w:val="single" w:sz="4" w:space="0" w:color="auto"/>
              <w:left w:val="single" w:sz="4" w:space="0" w:color="auto"/>
              <w:bottom w:val="single" w:sz="4" w:space="0" w:color="auto"/>
              <w:right w:val="single" w:sz="4" w:space="0" w:color="auto"/>
            </w:tcBorders>
            <w:vAlign w:val="center"/>
            <w:hideMark/>
          </w:tcPr>
          <w:p w14:paraId="5FDB9A97" w14:textId="77777777" w:rsidR="00513B3D" w:rsidRPr="00513B3D" w:rsidRDefault="00513B3D" w:rsidP="003D483B">
            <w:pPr>
              <w:jc w:val="cente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06C68F3E" w14:textId="77777777" w:rsidR="00513B3D" w:rsidRPr="00513B3D" w:rsidRDefault="00513B3D" w:rsidP="00677FB0">
            <w:pPr>
              <w:jc w:val="cente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0A71DEB8" w14:textId="77777777" w:rsidR="00513B3D" w:rsidRPr="00513B3D" w:rsidRDefault="00513B3D" w:rsidP="00513B3D">
            <w:pPr>
              <w:rPr>
                <w:rFonts w:ascii="Arial Narrow" w:hAnsi="Arial Narrow" w:cstheme="minorBidi"/>
                <w:color w:val="000000" w:themeColor="text1"/>
                <w:sz w:val="20"/>
                <w:szCs w:val="20"/>
              </w:rPr>
            </w:pPr>
            <w:proofErr w:type="spellStart"/>
            <w:r w:rsidRPr="00513B3D">
              <w:rPr>
                <w:rFonts w:ascii="Arial Narrow" w:hAnsi="Arial Narrow" w:cstheme="minorBidi"/>
                <w:color w:val="000000" w:themeColor="text1"/>
                <w:sz w:val="20"/>
                <w:szCs w:val="20"/>
              </w:rPr>
              <w:t>Inrebic</w:t>
            </w:r>
            <w:proofErr w:type="spellEnd"/>
          </w:p>
        </w:tc>
      </w:tr>
      <w:tr w:rsidR="0045008E" w:rsidRPr="00513B3D" w14:paraId="2D9A55C0" w14:textId="77777777" w:rsidTr="009A2F32">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8A16D2" w14:textId="77777777" w:rsidR="0045008E" w:rsidRPr="00513B3D" w:rsidRDefault="0045008E" w:rsidP="00365A4E">
            <w:pPr>
              <w:keepLines/>
              <w:rPr>
                <w:rFonts w:ascii="Arial Narrow" w:hAnsi="Arial Narrow" w:cstheme="minorBidi"/>
                <w:b/>
                <w:iCs/>
                <w:color w:val="000000" w:themeColor="text1"/>
                <w:sz w:val="20"/>
                <w:szCs w:val="20"/>
              </w:rPr>
            </w:pPr>
          </w:p>
        </w:tc>
      </w:tr>
      <w:tr w:rsidR="00513B3D" w:rsidRPr="00513B3D" w14:paraId="0CF27F21" w14:textId="77777777" w:rsidTr="009A2F32">
        <w:trPr>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8366A6" w14:textId="77777777" w:rsidR="00513B3D" w:rsidRDefault="00513B3D" w:rsidP="00365A4E">
            <w:pPr>
              <w:keepLines/>
              <w:rPr>
                <w:rFonts w:ascii="Arial Narrow" w:hAnsi="Arial Narrow" w:cstheme="minorBidi"/>
                <w:iCs/>
                <w:color w:val="000000" w:themeColor="text1"/>
                <w:sz w:val="20"/>
                <w:szCs w:val="20"/>
              </w:rPr>
            </w:pPr>
            <w:r w:rsidRPr="00513B3D">
              <w:rPr>
                <w:rFonts w:ascii="Arial Narrow" w:hAnsi="Arial Narrow" w:cstheme="minorBidi"/>
                <w:b/>
                <w:color w:val="000000" w:themeColor="text1"/>
                <w:sz w:val="20"/>
                <w:szCs w:val="20"/>
              </w:rPr>
              <w:t>Restriction Summary [new1] / Treatment of Concept: [new1A</w:t>
            </w:r>
            <w:r w:rsidRPr="00513B3D">
              <w:rPr>
                <w:rFonts w:ascii="Arial Narrow" w:hAnsi="Arial Narrow" w:cstheme="minorBidi"/>
                <w:b/>
                <w:iCs/>
                <w:color w:val="000000" w:themeColor="text1"/>
                <w:sz w:val="20"/>
                <w:szCs w:val="20"/>
              </w:rPr>
              <w:t>]</w:t>
            </w:r>
            <w:r w:rsidR="00365A4E">
              <w:rPr>
                <w:rFonts w:ascii="Arial Narrow" w:hAnsi="Arial Narrow" w:cstheme="minorBidi"/>
                <w:b/>
                <w:iCs/>
                <w:color w:val="000000" w:themeColor="text1"/>
                <w:sz w:val="20"/>
                <w:szCs w:val="20"/>
              </w:rPr>
              <w:t xml:space="preserve">: </w:t>
            </w:r>
            <w:r w:rsidR="00365A4E" w:rsidRPr="00365A4E">
              <w:rPr>
                <w:rFonts w:ascii="Arial Narrow" w:hAnsi="Arial Narrow"/>
                <w:sz w:val="20"/>
                <w:szCs w:val="20"/>
              </w:rPr>
              <w:t>Authority Required</w:t>
            </w:r>
            <w:r w:rsidR="00365A4E">
              <w:rPr>
                <w:rFonts w:ascii="Arial Narrow" w:hAnsi="Arial Narrow"/>
                <w:b/>
                <w:bCs/>
                <w:sz w:val="20"/>
                <w:szCs w:val="20"/>
              </w:rPr>
              <w:t xml:space="preserve"> </w:t>
            </w:r>
            <w:r w:rsidR="00365A4E" w:rsidRPr="00513B3D">
              <w:rPr>
                <w:rFonts w:ascii="Arial Narrow" w:hAnsi="Arial Narrow" w:cstheme="minorBidi"/>
                <w:iCs/>
                <w:color w:val="000000" w:themeColor="text1"/>
                <w:sz w:val="20"/>
                <w:szCs w:val="20"/>
              </w:rPr>
              <w:t>(telephone/online PBS Authorities system)</w:t>
            </w:r>
          </w:p>
          <w:p w14:paraId="5C1AD88D" w14:textId="481348F1" w:rsidR="00513B3D" w:rsidRPr="00513B3D" w:rsidRDefault="00513B3D" w:rsidP="00365A4E">
            <w:pPr>
              <w:keepLines/>
              <w:rPr>
                <w:rFonts w:ascii="Arial Narrow" w:hAnsi="Arial Narrow"/>
                <w:b/>
                <w:sz w:val="20"/>
                <w:szCs w:val="20"/>
              </w:rPr>
            </w:pPr>
          </w:p>
        </w:tc>
      </w:tr>
      <w:tr w:rsidR="00513B3D" w:rsidRPr="00513B3D" w14:paraId="6004421D" w14:textId="77777777" w:rsidTr="009A2F32">
        <w:trPr>
          <w:trHeight w:val="20"/>
        </w:trPr>
        <w:tc>
          <w:tcPr>
            <w:tcW w:w="488"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3FC4E196" w14:textId="77777777" w:rsidR="00513B3D" w:rsidRPr="00513B3D" w:rsidRDefault="00513B3D" w:rsidP="001A7A91">
            <w:pPr>
              <w:jc w:val="cente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Prescribing rule level</w:t>
            </w: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0F1453" w14:textId="6451289D"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8BB662"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Administrative Advice:</w:t>
            </w:r>
          </w:p>
          <w:p w14:paraId="0AE07564"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No increase in the maximum quantity or number of units may be authorised.</w:t>
            </w:r>
          </w:p>
        </w:tc>
      </w:tr>
      <w:tr w:rsidR="00513B3D" w:rsidRPr="00513B3D" w14:paraId="5E76167E" w14:textId="77777777" w:rsidTr="009A2F32">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1E692E23" w14:textId="77777777" w:rsidR="00513B3D" w:rsidRPr="00513B3D" w:rsidRDefault="00513B3D" w:rsidP="00513B3D">
            <w:pPr>
              <w:rPr>
                <w:rFonts w:ascii="Arial Narrow" w:hAnsi="Arial Narrow" w:cstheme="minorBidi"/>
                <w:color w:val="000000" w:themeColor="text1"/>
                <w:sz w:val="20"/>
                <w:szCs w:val="20"/>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1BBD8C" w14:textId="189007D3"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436C9D"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Administrative Advice:</w:t>
            </w:r>
          </w:p>
          <w:p w14:paraId="70AAAB2F"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No increase in the maximum number of repeats may be authorised.</w:t>
            </w:r>
          </w:p>
        </w:tc>
      </w:tr>
      <w:tr w:rsidR="00513B3D" w:rsidRPr="00513B3D" w14:paraId="14CAC875" w14:textId="77777777" w:rsidTr="009A2F32">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7349D9AE" w14:textId="77777777" w:rsidR="00513B3D" w:rsidRPr="00513B3D" w:rsidRDefault="00513B3D" w:rsidP="00513B3D">
            <w:pPr>
              <w:rPr>
                <w:rFonts w:ascii="Arial Narrow" w:hAnsi="Arial Narrow" w:cstheme="minorBidi"/>
                <w:color w:val="000000" w:themeColor="text1"/>
                <w:sz w:val="20"/>
                <w:szCs w:val="20"/>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30D65A" w14:textId="6888D5A2"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9C3B80"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Administrative Advice:</w:t>
            </w:r>
          </w:p>
          <w:p w14:paraId="0BA35A45"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Special Pricing Arrangements apply.</w:t>
            </w:r>
          </w:p>
        </w:tc>
      </w:tr>
      <w:tr w:rsidR="00513B3D" w:rsidRPr="00513B3D" w14:paraId="688023CF" w14:textId="77777777" w:rsidTr="009A2F32">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4278FD9B" w14:textId="77777777" w:rsidR="00513B3D" w:rsidRPr="00513B3D" w:rsidRDefault="00513B3D" w:rsidP="00513B3D">
            <w:pPr>
              <w:rPr>
                <w:rFonts w:ascii="Arial Narrow" w:hAnsi="Arial Narrow" w:cstheme="minorBidi"/>
                <w:color w:val="000000" w:themeColor="text1"/>
                <w:sz w:val="20"/>
                <w:szCs w:val="20"/>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A5F9A0" w14:textId="64789997"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66528F"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 xml:space="preserve">Administrative Advice: </w:t>
            </w:r>
          </w:p>
          <w:p w14:paraId="2879ECDA"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Risk of myelofibrosis is defined in accordance with the Myelofibrosis International Prognostic Scoring System (OPSS) OR the Dynamic International Prognostic Scoring System (DIPSS) OR the Age-Adjusted DIPSS (</w:t>
            </w:r>
            <w:proofErr w:type="spellStart"/>
            <w:r w:rsidRPr="00513B3D">
              <w:rPr>
                <w:rFonts w:ascii="Arial Narrow" w:hAnsi="Arial Narrow" w:cstheme="minorBidi"/>
                <w:color w:val="000000" w:themeColor="text1"/>
                <w:sz w:val="20"/>
                <w:szCs w:val="20"/>
              </w:rPr>
              <w:t>aaDIPSS</w:t>
            </w:r>
            <w:proofErr w:type="spellEnd"/>
            <w:r w:rsidRPr="00513B3D">
              <w:rPr>
                <w:rFonts w:ascii="Arial Narrow" w:hAnsi="Arial Narrow" w:cstheme="minorBidi"/>
                <w:color w:val="000000" w:themeColor="text1"/>
                <w:sz w:val="20"/>
                <w:szCs w:val="20"/>
              </w:rPr>
              <w:t>).</w:t>
            </w:r>
          </w:p>
        </w:tc>
      </w:tr>
      <w:tr w:rsidR="00513B3D" w:rsidRPr="00513B3D" w14:paraId="7D2ED8D2" w14:textId="77777777" w:rsidTr="009A2F32">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16EABA62" w14:textId="77777777" w:rsidR="00513B3D" w:rsidRPr="00513B3D" w:rsidRDefault="00513B3D" w:rsidP="00513B3D">
            <w:pPr>
              <w:rPr>
                <w:rFonts w:ascii="Arial Narrow" w:hAnsi="Arial Narrow" w:cstheme="minorBidi"/>
                <w:color w:val="000000" w:themeColor="text1"/>
                <w:sz w:val="20"/>
                <w:szCs w:val="20"/>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FCF095"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33364</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A659B3"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Administrative advice:</w:t>
            </w:r>
          </w:p>
          <w:p w14:paraId="6FCBEC22"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A patient may only qualify for PBS-subsidised treatment under this restriction twice in a lifetime. Patients reinitiating PBS-subsidised treatment following pregnancy are exempt from this rule.</w:t>
            </w:r>
          </w:p>
        </w:tc>
      </w:tr>
      <w:tr w:rsidR="00513B3D" w:rsidRPr="00513B3D" w14:paraId="4E643A69" w14:textId="77777777" w:rsidTr="009A2F32">
        <w:trPr>
          <w:trHeight w:val="20"/>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0940F5E4" w14:textId="77777777" w:rsidR="00513B3D" w:rsidRPr="00513B3D" w:rsidRDefault="00513B3D" w:rsidP="00513B3D">
            <w:pPr>
              <w:rPr>
                <w:rFonts w:ascii="Arial Narrow" w:hAnsi="Arial Narrow" w:cstheme="minorBidi"/>
                <w:color w:val="000000" w:themeColor="text1"/>
                <w:sz w:val="20"/>
                <w:szCs w:val="20"/>
              </w:rPr>
            </w:pPr>
          </w:p>
        </w:tc>
        <w:tc>
          <w:tcPr>
            <w:tcW w:w="78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25DA36"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25796</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310DCD"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 xml:space="preserve">Administrative Advice: </w:t>
            </w:r>
          </w:p>
          <w:p w14:paraId="3BEB568D"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45008E" w:rsidRPr="00513B3D" w14:paraId="456398C0" w14:textId="77777777">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2AEA18" w14:textId="77777777" w:rsidR="0045008E" w:rsidRPr="00513B3D" w:rsidRDefault="0045008E" w:rsidP="00513B3D">
            <w:pPr>
              <w:rPr>
                <w:rFonts w:ascii="Arial Narrow" w:hAnsi="Arial Narrow" w:cstheme="minorBidi"/>
                <w:b/>
                <w:bCs/>
                <w:color w:val="000000" w:themeColor="text1"/>
                <w:sz w:val="20"/>
                <w:szCs w:val="20"/>
              </w:rPr>
            </w:pPr>
          </w:p>
        </w:tc>
      </w:tr>
      <w:tr w:rsidR="00513B3D" w:rsidRPr="00513B3D" w14:paraId="2E447CA4"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21AA27"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10846</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899C79"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Indication:</w:t>
            </w:r>
            <w:r w:rsidRPr="00513B3D">
              <w:rPr>
                <w:rFonts w:ascii="Arial Narrow" w:hAnsi="Arial Narrow" w:cstheme="minorBidi"/>
                <w:color w:val="000000" w:themeColor="text1"/>
                <w:sz w:val="20"/>
                <w:szCs w:val="20"/>
              </w:rPr>
              <w:t xml:space="preserve"> High-risk and intermediate-2 risk myelofibrosis</w:t>
            </w:r>
          </w:p>
        </w:tc>
      </w:tr>
      <w:tr w:rsidR="0045008E" w:rsidRPr="00513B3D" w14:paraId="318C86D2" w14:textId="77777777">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A1FDA6" w14:textId="77777777" w:rsidR="0045008E" w:rsidRPr="00513B3D" w:rsidRDefault="0045008E" w:rsidP="00513B3D">
            <w:pPr>
              <w:rPr>
                <w:rFonts w:ascii="Arial Narrow" w:hAnsi="Arial Narrow" w:cstheme="minorBidi"/>
                <w:b/>
                <w:bCs/>
                <w:iCs/>
                <w:color w:val="000000" w:themeColor="text1"/>
                <w:sz w:val="20"/>
                <w:szCs w:val="20"/>
              </w:rPr>
            </w:pPr>
          </w:p>
        </w:tc>
      </w:tr>
      <w:tr w:rsidR="00513B3D" w:rsidRPr="00513B3D" w14:paraId="520B6DCA"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6E5947" w14:textId="77777777"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63A706"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 xml:space="preserve">Treatment Phase: </w:t>
            </w:r>
            <w:r w:rsidRPr="00513B3D">
              <w:rPr>
                <w:rFonts w:ascii="Arial Narrow" w:hAnsi="Arial Narrow" w:cstheme="minorBidi"/>
                <w:color w:val="000000" w:themeColor="text1"/>
                <w:sz w:val="20"/>
                <w:szCs w:val="20"/>
              </w:rPr>
              <w:t>Initial treatment</w:t>
            </w:r>
          </w:p>
        </w:tc>
      </w:tr>
      <w:tr w:rsidR="0045008E" w:rsidRPr="00513B3D" w14:paraId="6672A561" w14:textId="77777777">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AA61B2" w14:textId="77777777" w:rsidR="0045008E" w:rsidRPr="00513B3D" w:rsidRDefault="0045008E" w:rsidP="00513B3D">
            <w:pPr>
              <w:rPr>
                <w:rFonts w:ascii="Arial Narrow" w:hAnsi="Arial Narrow" w:cstheme="minorBidi"/>
                <w:b/>
                <w:bCs/>
                <w:iCs/>
                <w:color w:val="000000" w:themeColor="text1"/>
                <w:sz w:val="20"/>
                <w:szCs w:val="20"/>
              </w:rPr>
            </w:pPr>
          </w:p>
        </w:tc>
      </w:tr>
      <w:tr w:rsidR="00513B3D" w:rsidRPr="00513B3D" w14:paraId="4728D233"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7FCBB5"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29192</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B692C2"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 xml:space="preserve">Clinical criteria: </w:t>
            </w:r>
          </w:p>
        </w:tc>
      </w:tr>
      <w:tr w:rsidR="00513B3D" w:rsidRPr="00513B3D" w14:paraId="557D5173"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14D170"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29191</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B3602C"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The condition must be either: (i) primary myelofibrosis, (ii) post-polycythaemia vera myelofibrosis, (iii) post-essential thrombocythaemia myelofibrosis, confirmed through a bone marrow biopsy report</w:t>
            </w:r>
          </w:p>
        </w:tc>
      </w:tr>
      <w:tr w:rsidR="00513B3D" w:rsidRPr="00513B3D" w14:paraId="2DF81BB5"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A7DF9" w14:textId="77777777" w:rsidR="00513B3D" w:rsidRPr="00513B3D" w:rsidRDefault="00513B3D" w:rsidP="00513B3D">
            <w:pPr>
              <w:rPr>
                <w:rFonts w:ascii="Arial Narrow" w:hAnsi="Arial Narrow" w:cstheme="minorBidi"/>
                <w:color w:val="000000" w:themeColor="text1"/>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AF8116"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AND</w:t>
            </w:r>
          </w:p>
        </w:tc>
      </w:tr>
      <w:tr w:rsidR="00513B3D" w:rsidRPr="00513B3D" w14:paraId="05091EF9"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4BCC31"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33362</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E53AAF"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Clinical criteria:</w:t>
            </w:r>
          </w:p>
        </w:tc>
      </w:tr>
      <w:tr w:rsidR="00513B3D" w:rsidRPr="00513B3D" w14:paraId="4750D53C"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F5F04D"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33361</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09C80"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The treatment must be the sole PBS-subsidised JAK inhibitor therapy for this condition</w:t>
            </w:r>
          </w:p>
        </w:tc>
      </w:tr>
      <w:tr w:rsidR="008C5678" w:rsidRPr="00513B3D" w14:paraId="4EB3D0F4" w14:textId="77777777">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91FD6A" w14:textId="77777777" w:rsidR="008C5678" w:rsidRPr="00513B3D" w:rsidRDefault="008C5678" w:rsidP="00513B3D">
            <w:pPr>
              <w:rPr>
                <w:rFonts w:ascii="Arial Narrow" w:hAnsi="Arial Narrow" w:cstheme="minorBidi"/>
                <w:b/>
                <w:bCs/>
                <w:iCs/>
                <w:color w:val="000000" w:themeColor="text1"/>
                <w:sz w:val="20"/>
                <w:szCs w:val="20"/>
              </w:rPr>
            </w:pPr>
          </w:p>
        </w:tc>
      </w:tr>
      <w:tr w:rsidR="00513B3D" w:rsidRPr="00513B3D" w14:paraId="7C34177A"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450958"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33363</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44883" w14:textId="77777777" w:rsidR="00513B3D" w:rsidRPr="00247F47" w:rsidRDefault="00513B3D" w:rsidP="00513B3D">
            <w:pPr>
              <w:rPr>
                <w:rFonts w:ascii="Arial Narrow" w:hAnsi="Arial Narrow"/>
                <w:b/>
                <w:sz w:val="20"/>
                <w:szCs w:val="20"/>
              </w:rPr>
            </w:pPr>
            <w:r w:rsidRPr="00247F47">
              <w:rPr>
                <w:rFonts w:ascii="Arial Narrow" w:hAnsi="Arial Narrow"/>
                <w:b/>
                <w:sz w:val="20"/>
                <w:szCs w:val="20"/>
              </w:rPr>
              <w:t xml:space="preserve">Prescribing Instructions: </w:t>
            </w:r>
          </w:p>
          <w:p w14:paraId="4CDEB7BC" w14:textId="77777777" w:rsidR="00513B3D" w:rsidRPr="00247F47" w:rsidRDefault="00513B3D" w:rsidP="00513B3D">
            <w:pPr>
              <w:rPr>
                <w:rFonts w:ascii="Arial Narrow" w:hAnsi="Arial Narrow"/>
                <w:sz w:val="20"/>
                <w:szCs w:val="20"/>
              </w:rPr>
            </w:pPr>
            <w:r w:rsidRPr="00247F47">
              <w:rPr>
                <w:rFonts w:ascii="Arial Narrow" w:hAnsi="Arial Narrow"/>
                <w:sz w:val="20"/>
                <w:szCs w:val="20"/>
              </w:rPr>
              <w:t xml:space="preserve">Details of the following must be documented in the patient’s medical records: </w:t>
            </w:r>
          </w:p>
          <w:p w14:paraId="173B81BD" w14:textId="77777777" w:rsidR="00513B3D" w:rsidRPr="00247F47" w:rsidRDefault="00513B3D" w:rsidP="000F728E">
            <w:pPr>
              <w:numPr>
                <w:ilvl w:val="0"/>
                <w:numId w:val="15"/>
              </w:numPr>
              <w:contextualSpacing/>
              <w:rPr>
                <w:rFonts w:ascii="Arial Narrow" w:hAnsi="Arial Narrow"/>
                <w:sz w:val="20"/>
                <w:szCs w:val="20"/>
              </w:rPr>
            </w:pPr>
            <w:r w:rsidRPr="00247F47">
              <w:rPr>
                <w:rFonts w:ascii="Arial Narrow" w:hAnsi="Arial Narrow"/>
                <w:sz w:val="20"/>
                <w:szCs w:val="20"/>
              </w:rPr>
              <w:t xml:space="preserve">the bone marrow biopsy report confirming diagnosis of myelofibrosis (date, unique identifying number/code or provider number); and </w:t>
            </w:r>
          </w:p>
          <w:p w14:paraId="60ECEC5A" w14:textId="03BA94D3" w:rsidR="00513B3D" w:rsidRPr="00513B3D" w:rsidRDefault="00513B3D" w:rsidP="00114511">
            <w:pPr>
              <w:numPr>
                <w:ilvl w:val="0"/>
                <w:numId w:val="15"/>
              </w:numPr>
              <w:rPr>
                <w:rFonts w:ascii="Arial Narrow" w:hAnsi="Arial Narrow" w:cstheme="minorBidi"/>
                <w:color w:val="000000" w:themeColor="text1"/>
                <w:sz w:val="20"/>
                <w:szCs w:val="20"/>
              </w:rPr>
            </w:pPr>
            <w:r w:rsidRPr="00247F47">
              <w:rPr>
                <w:rFonts w:ascii="Arial Narrow" w:hAnsi="Arial Narrow"/>
                <w:sz w:val="20"/>
                <w:szCs w:val="20"/>
              </w:rPr>
              <w:t>a classification of risk of myelofibrosis according to either the IPSS, DIPSS, or the Age-Adjusted DIPSS</w:t>
            </w:r>
          </w:p>
        </w:tc>
      </w:tr>
      <w:tr w:rsidR="008C5678" w:rsidRPr="00513B3D" w14:paraId="251E0CC2" w14:textId="77777777">
        <w:trPr>
          <w:cantSplit/>
          <w:trHeight w:val="20"/>
        </w:trPr>
        <w:tc>
          <w:tcPr>
            <w:tcW w:w="901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017CD1" w14:textId="77777777" w:rsidR="008C5678" w:rsidRPr="00513B3D" w:rsidRDefault="008C5678" w:rsidP="00513B3D">
            <w:pPr>
              <w:rPr>
                <w:rFonts w:ascii="Arial Narrow" w:hAnsi="Arial Narrow" w:cstheme="minorBidi"/>
                <w:b/>
                <w:bCs/>
                <w:iCs/>
                <w:color w:val="000000" w:themeColor="text1"/>
                <w:sz w:val="20"/>
                <w:szCs w:val="20"/>
              </w:rPr>
            </w:pPr>
          </w:p>
        </w:tc>
      </w:tr>
      <w:tr w:rsidR="00513B3D" w:rsidRPr="00513B3D" w14:paraId="1D66F5C6" w14:textId="77777777" w:rsidTr="009A2F32">
        <w:trPr>
          <w:cantSplit/>
          <w:trHeight w:val="20"/>
        </w:trPr>
        <w:tc>
          <w:tcPr>
            <w:tcW w:w="1273"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759AE7"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New CI1</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C48C39"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 xml:space="preserve">Caution: </w:t>
            </w:r>
          </w:p>
          <w:p w14:paraId="7E444DBB"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 xml:space="preserve">Thiamine levels should be assessed as per the approved Therapeutic Goods Administration (TGA) Product Information (PI) prior to receiving treatment and should be closely monitored throughout the treatment period. </w:t>
            </w:r>
          </w:p>
        </w:tc>
      </w:tr>
    </w:tbl>
    <w:p w14:paraId="11EF63B5" w14:textId="77777777" w:rsidR="00513B3D" w:rsidRPr="00513B3D" w:rsidRDefault="00513B3D" w:rsidP="00513B3D">
      <w:pPr>
        <w:rPr>
          <w:rFonts w:asciiTheme="minorHAnsi" w:hAnsiTheme="minorHAnsi" w:cstheme="minorBidi"/>
          <w:color w:val="000000" w:themeColor="text1"/>
        </w:rPr>
      </w:pPr>
    </w:p>
    <w:p w14:paraId="38F40816" w14:textId="77777777" w:rsidR="00A2379D" w:rsidRDefault="00A2379D">
      <w:pPr>
        <w:jc w:val="left"/>
        <w:rPr>
          <w:rFonts w:asciiTheme="minorHAnsi" w:hAnsiTheme="minorHAnsi" w:cstheme="minorBidi"/>
          <w:color w:val="000000" w:themeColor="text1"/>
        </w:rPr>
      </w:pPr>
      <w:r>
        <w:rPr>
          <w:rFonts w:asciiTheme="minorHAnsi" w:hAnsiTheme="minorHAnsi" w:cstheme="minorBidi"/>
          <w:color w:val="000000" w:themeColor="text1"/>
        </w:rPr>
        <w:br w:type="page"/>
      </w:r>
    </w:p>
    <w:p w14:paraId="27D0C1C4" w14:textId="424700BC" w:rsidR="00513B3D" w:rsidRPr="00513B3D" w:rsidRDefault="00513B3D" w:rsidP="00513B3D">
      <w:pPr>
        <w:rPr>
          <w:rFonts w:asciiTheme="minorHAnsi" w:hAnsiTheme="minorHAnsi" w:cstheme="minorBidi"/>
          <w:color w:val="000000" w:themeColor="text1"/>
        </w:rPr>
      </w:pPr>
      <w:r w:rsidRPr="00513B3D">
        <w:rPr>
          <w:rFonts w:asciiTheme="minorHAnsi" w:hAnsiTheme="minorHAnsi" w:cstheme="minorBidi"/>
          <w:color w:val="000000" w:themeColor="text1"/>
        </w:rPr>
        <w:t>Continuing</w:t>
      </w:r>
      <w:r w:rsidR="00787B4B">
        <w:rPr>
          <w:rFonts w:asciiTheme="minorHAnsi" w:hAnsiTheme="minorHAnsi" w:cstheme="minorBidi"/>
          <w:color w:val="000000" w:themeColor="text1"/>
        </w:rPr>
        <w:t xml:space="preserve"> treatment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continuing treatment "/>
      </w:tblPr>
      <w:tblGrid>
        <w:gridCol w:w="485"/>
        <w:gridCol w:w="784"/>
        <w:gridCol w:w="1841"/>
        <w:gridCol w:w="1136"/>
        <w:gridCol w:w="1133"/>
        <w:gridCol w:w="1024"/>
        <w:gridCol w:w="816"/>
        <w:gridCol w:w="1840"/>
        <w:gridCol w:w="12"/>
      </w:tblGrid>
      <w:tr w:rsidR="00A116E5" w:rsidRPr="00513B3D" w14:paraId="5B981375" w14:textId="77777777">
        <w:trPr>
          <w:gridAfter w:val="1"/>
          <w:wAfter w:w="12" w:type="dxa"/>
          <w:cantSplit/>
          <w:trHeight w:val="20"/>
        </w:trPr>
        <w:tc>
          <w:tcPr>
            <w:tcW w:w="9059" w:type="dxa"/>
            <w:gridSpan w:val="8"/>
            <w:tcBorders>
              <w:top w:val="single" w:sz="4" w:space="0" w:color="auto"/>
              <w:left w:val="single" w:sz="4" w:space="0" w:color="auto"/>
              <w:bottom w:val="single" w:sz="4" w:space="0" w:color="auto"/>
              <w:right w:val="single" w:sz="4" w:space="0" w:color="auto"/>
            </w:tcBorders>
            <w:vAlign w:val="center"/>
          </w:tcPr>
          <w:p w14:paraId="770424BA" w14:textId="77777777" w:rsidR="00A116E5" w:rsidRDefault="00A116E5" w:rsidP="00A116E5">
            <w:pPr>
              <w:keepLines/>
              <w:rPr>
                <w:rFonts w:ascii="Arial Narrow" w:hAnsi="Arial Narrow"/>
                <w:sz w:val="20"/>
                <w:szCs w:val="20"/>
              </w:rPr>
            </w:pPr>
            <w:r w:rsidRPr="77C74101">
              <w:rPr>
                <w:rFonts w:ascii="Arial Narrow" w:hAnsi="Arial Narrow"/>
                <w:b/>
                <w:bCs/>
                <w:sz w:val="20"/>
                <w:szCs w:val="20"/>
              </w:rPr>
              <w:t>Category / Program:</w:t>
            </w:r>
            <w:r w:rsidRPr="77C74101">
              <w:rPr>
                <w:rFonts w:ascii="Arial Narrow" w:hAnsi="Arial Narrow"/>
                <w:sz w:val="20"/>
                <w:szCs w:val="20"/>
              </w:rPr>
              <w:t xml:space="preserve"> </w:t>
            </w:r>
            <w:r w:rsidRPr="77C74101">
              <w:rPr>
                <w:rFonts w:ascii="Arial Narrow" w:eastAsia="Calibri" w:hAnsi="Arial Narrow"/>
                <w:sz w:val="20"/>
                <w:szCs w:val="20"/>
              </w:rPr>
              <w:fldChar w:fldCharType="begin"/>
            </w:r>
            <w:r w:rsidRPr="77C74101">
              <w:rPr>
                <w:rFonts w:ascii="Arial Narrow" w:eastAsia="Calibri" w:hAnsi="Arial Narrow"/>
                <w:sz w:val="20"/>
                <w:szCs w:val="20"/>
              </w:rPr>
              <w:instrText xml:space="preserve"> FORMCHECKBOX </w:instrText>
            </w:r>
            <w:r w:rsidRPr="77C74101">
              <w:rPr>
                <w:rFonts w:ascii="Arial Narrow" w:eastAsia="Calibri" w:hAnsi="Arial Narrow"/>
                <w:sz w:val="20"/>
                <w:szCs w:val="20"/>
              </w:rPr>
              <w:fldChar w:fldCharType="separate"/>
            </w:r>
            <w:r w:rsidRPr="77C74101">
              <w:rPr>
                <w:rFonts w:ascii="Arial Narrow" w:eastAsia="Calibri" w:hAnsi="Arial Narrow"/>
                <w:sz w:val="20"/>
                <w:szCs w:val="20"/>
              </w:rPr>
              <w:fldChar w:fldCharType="end"/>
            </w:r>
            <w:r w:rsidRPr="77C74101">
              <w:rPr>
                <w:rFonts w:ascii="Arial Narrow" w:eastAsia="Calibri" w:hAnsi="Arial Narrow"/>
                <w:sz w:val="20"/>
                <w:szCs w:val="20"/>
              </w:rPr>
              <w:t xml:space="preserve"> GENERAL - General Schedule (Code GE)</w:t>
            </w:r>
          </w:p>
          <w:p w14:paraId="49E7C5B2" w14:textId="77777777" w:rsidR="00A116E5" w:rsidRPr="00513B3D" w:rsidRDefault="00A116E5" w:rsidP="00513B3D">
            <w:pPr>
              <w:rPr>
                <w:rFonts w:ascii="Arial Narrow" w:hAnsi="Arial Narrow" w:cstheme="minorBidi"/>
                <w:b/>
                <w:iCs/>
                <w:color w:val="000000" w:themeColor="text1"/>
                <w:sz w:val="20"/>
                <w:szCs w:val="20"/>
              </w:rPr>
            </w:pPr>
          </w:p>
        </w:tc>
      </w:tr>
      <w:tr w:rsidR="00513B3D" w:rsidRPr="00513B3D" w14:paraId="557D4C73" w14:textId="77777777" w:rsidTr="007D6D70">
        <w:trPr>
          <w:cantSplit/>
          <w:trHeight w:val="20"/>
        </w:trPr>
        <w:tc>
          <w:tcPr>
            <w:tcW w:w="3110" w:type="dxa"/>
            <w:gridSpan w:val="3"/>
            <w:tcBorders>
              <w:top w:val="single" w:sz="4" w:space="0" w:color="auto"/>
              <w:left w:val="single" w:sz="4" w:space="0" w:color="auto"/>
              <w:bottom w:val="single" w:sz="4" w:space="0" w:color="auto"/>
              <w:right w:val="single" w:sz="4" w:space="0" w:color="auto"/>
            </w:tcBorders>
            <w:vAlign w:val="center"/>
            <w:hideMark/>
          </w:tcPr>
          <w:p w14:paraId="0EA639B9"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MEDICINAL PRODUCT</w:t>
            </w:r>
          </w:p>
          <w:p w14:paraId="1A01268E"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medicinal product pack</w:t>
            </w:r>
          </w:p>
        </w:tc>
        <w:tc>
          <w:tcPr>
            <w:tcW w:w="1136" w:type="dxa"/>
            <w:tcBorders>
              <w:top w:val="single" w:sz="4" w:space="0" w:color="auto"/>
              <w:left w:val="single" w:sz="4" w:space="0" w:color="auto"/>
              <w:bottom w:val="single" w:sz="4" w:space="0" w:color="auto"/>
              <w:right w:val="single" w:sz="4" w:space="0" w:color="auto"/>
            </w:tcBorders>
            <w:vAlign w:val="center"/>
            <w:hideMark/>
          </w:tcPr>
          <w:p w14:paraId="3930DFD7" w14:textId="4913B82A" w:rsidR="00513B3D" w:rsidRPr="00513B3D" w:rsidRDefault="009A2F32" w:rsidP="009A2F32">
            <w:pPr>
              <w:jc w:val="center"/>
              <w:rPr>
                <w:rFonts w:ascii="Arial Narrow" w:hAnsi="Arial Narrow" w:cstheme="minorBidi"/>
                <w:b/>
                <w:color w:val="000000" w:themeColor="text1"/>
                <w:sz w:val="20"/>
                <w:szCs w:val="20"/>
              </w:rPr>
            </w:pPr>
            <w:r>
              <w:rPr>
                <w:rFonts w:ascii="Arial Narrow" w:hAnsi="Arial Narrow" w:cstheme="minorBidi"/>
                <w:b/>
                <w:iCs/>
                <w:color w:val="000000" w:themeColor="text1"/>
                <w:sz w:val="20"/>
                <w:szCs w:val="20"/>
              </w:rPr>
              <w:t>PBS item code</w:t>
            </w:r>
          </w:p>
        </w:tc>
        <w:tc>
          <w:tcPr>
            <w:tcW w:w="1133" w:type="dxa"/>
            <w:tcBorders>
              <w:top w:val="single" w:sz="4" w:space="0" w:color="auto"/>
              <w:left w:val="single" w:sz="4" w:space="0" w:color="auto"/>
              <w:bottom w:val="single" w:sz="4" w:space="0" w:color="auto"/>
              <w:right w:val="single" w:sz="4" w:space="0" w:color="auto"/>
            </w:tcBorders>
            <w:vAlign w:val="center"/>
          </w:tcPr>
          <w:p w14:paraId="46C014A1" w14:textId="0C68978F" w:rsidR="009A2F32" w:rsidRPr="00513B3D" w:rsidRDefault="009A2F32" w:rsidP="00513B3D">
            <w:pPr>
              <w:rPr>
                <w:rFonts w:ascii="Arial Narrow" w:hAnsi="Arial Narrow" w:cstheme="minorBidi"/>
                <w:b/>
                <w:iCs/>
                <w:color w:val="000000" w:themeColor="text1"/>
                <w:sz w:val="20"/>
                <w:szCs w:val="20"/>
              </w:rPr>
            </w:pPr>
            <w:r w:rsidRPr="00513B3D">
              <w:rPr>
                <w:rFonts w:ascii="Arial Narrow" w:hAnsi="Arial Narrow" w:cstheme="minorBidi"/>
                <w:b/>
                <w:iCs/>
                <w:color w:val="000000" w:themeColor="text1"/>
                <w:sz w:val="20"/>
                <w:szCs w:val="20"/>
              </w:rPr>
              <w:t>Max. qty packs</w:t>
            </w:r>
          </w:p>
        </w:tc>
        <w:tc>
          <w:tcPr>
            <w:tcW w:w="1024" w:type="dxa"/>
            <w:tcBorders>
              <w:top w:val="single" w:sz="4" w:space="0" w:color="auto"/>
              <w:left w:val="single" w:sz="4" w:space="0" w:color="auto"/>
              <w:bottom w:val="single" w:sz="4" w:space="0" w:color="auto"/>
              <w:right w:val="single" w:sz="4" w:space="0" w:color="auto"/>
            </w:tcBorders>
            <w:vAlign w:val="center"/>
            <w:hideMark/>
          </w:tcPr>
          <w:p w14:paraId="2308152C"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Max. qty units</w:t>
            </w:r>
          </w:p>
        </w:tc>
        <w:tc>
          <w:tcPr>
            <w:tcW w:w="816" w:type="dxa"/>
            <w:tcBorders>
              <w:top w:val="single" w:sz="4" w:space="0" w:color="auto"/>
              <w:left w:val="single" w:sz="4" w:space="0" w:color="auto"/>
              <w:bottom w:val="single" w:sz="4" w:space="0" w:color="auto"/>
              <w:right w:val="single" w:sz="4" w:space="0" w:color="auto"/>
            </w:tcBorders>
            <w:vAlign w:val="center"/>
            <w:hideMark/>
          </w:tcPr>
          <w:p w14:paraId="0820F934"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№.of</w:t>
            </w:r>
          </w:p>
          <w:p w14:paraId="7404E68D"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Rpts</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14:paraId="7B0DA4EF"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Available brands</w:t>
            </w:r>
          </w:p>
        </w:tc>
      </w:tr>
      <w:tr w:rsidR="00513B3D" w:rsidRPr="00513B3D" w14:paraId="41E33E1A" w14:textId="77777777" w:rsidTr="00A116E5">
        <w:trPr>
          <w:cantSplit/>
          <w:trHeight w:val="20"/>
        </w:trPr>
        <w:tc>
          <w:tcPr>
            <w:tcW w:w="9071" w:type="dxa"/>
            <w:gridSpan w:val="9"/>
            <w:tcBorders>
              <w:top w:val="single" w:sz="4" w:space="0" w:color="auto"/>
              <w:left w:val="single" w:sz="4" w:space="0" w:color="auto"/>
              <w:bottom w:val="single" w:sz="4" w:space="0" w:color="auto"/>
              <w:right w:val="single" w:sz="4" w:space="0" w:color="auto"/>
            </w:tcBorders>
            <w:vAlign w:val="center"/>
            <w:hideMark/>
          </w:tcPr>
          <w:p w14:paraId="43AF75A8" w14:textId="6C6C5657" w:rsidR="009A2F32" w:rsidRPr="00513B3D" w:rsidRDefault="009A2F32" w:rsidP="009A2F32">
            <w:pPr>
              <w:rPr>
                <w:rFonts w:ascii="Arial Narrow" w:hAnsi="Arial Narrow" w:cstheme="minorBidi"/>
                <w:b/>
                <w:iCs/>
                <w:color w:val="000000" w:themeColor="text1"/>
                <w:sz w:val="20"/>
                <w:szCs w:val="20"/>
              </w:rPr>
            </w:pPr>
            <w:r w:rsidRPr="00513B3D">
              <w:rPr>
                <w:rFonts w:ascii="Arial Narrow" w:hAnsi="Arial Narrow" w:cstheme="minorBidi"/>
                <w:b/>
                <w:iCs/>
                <w:color w:val="000000" w:themeColor="text1"/>
                <w:sz w:val="20"/>
                <w:szCs w:val="20"/>
              </w:rPr>
              <w:t>FEDRATINIB</w:t>
            </w:r>
          </w:p>
        </w:tc>
      </w:tr>
      <w:tr w:rsidR="00513B3D" w:rsidRPr="00513B3D" w14:paraId="0B9D7511" w14:textId="77777777" w:rsidTr="007D6D70">
        <w:trPr>
          <w:cantSplit/>
          <w:trHeight w:val="20"/>
        </w:trPr>
        <w:tc>
          <w:tcPr>
            <w:tcW w:w="3110" w:type="dxa"/>
            <w:gridSpan w:val="3"/>
            <w:tcBorders>
              <w:top w:val="single" w:sz="4" w:space="0" w:color="auto"/>
              <w:left w:val="single" w:sz="4" w:space="0" w:color="auto"/>
              <w:bottom w:val="single" w:sz="4" w:space="0" w:color="auto"/>
              <w:right w:val="single" w:sz="4" w:space="0" w:color="auto"/>
            </w:tcBorders>
            <w:vAlign w:val="center"/>
            <w:hideMark/>
          </w:tcPr>
          <w:p w14:paraId="45D2541F"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Fedratinib 100 mg capsule, 120</w:t>
            </w:r>
          </w:p>
        </w:tc>
        <w:tc>
          <w:tcPr>
            <w:tcW w:w="1136" w:type="dxa"/>
            <w:tcBorders>
              <w:top w:val="single" w:sz="4" w:space="0" w:color="auto"/>
              <w:left w:val="single" w:sz="4" w:space="0" w:color="auto"/>
              <w:bottom w:val="single" w:sz="4" w:space="0" w:color="auto"/>
              <w:right w:val="single" w:sz="4" w:space="0" w:color="auto"/>
            </w:tcBorders>
            <w:vAlign w:val="center"/>
          </w:tcPr>
          <w:p w14:paraId="7B7FFA1A" w14:textId="77777777" w:rsidR="009A2F32" w:rsidRPr="001C1CED" w:rsidRDefault="009A2F32" w:rsidP="00F045A7">
            <w:pPr>
              <w:jc w:val="center"/>
              <w:rPr>
                <w:rFonts w:ascii="Arial Narrow" w:hAnsi="Arial Narrow"/>
                <w:sz w:val="20"/>
                <w:szCs w:val="20"/>
              </w:rPr>
            </w:pPr>
            <w:r w:rsidRPr="001C1CED">
              <w:rPr>
                <w:rFonts w:ascii="Arial Narrow" w:hAnsi="Arial Narrow"/>
                <w:sz w:val="20"/>
                <w:szCs w:val="20"/>
              </w:rPr>
              <w:t xml:space="preserve">NEW </w:t>
            </w:r>
            <w:r w:rsidR="00A63E94" w:rsidRPr="001C1CED">
              <w:rPr>
                <w:rFonts w:ascii="Arial Narrow" w:hAnsi="Arial Narrow"/>
                <w:sz w:val="20"/>
                <w:szCs w:val="20"/>
              </w:rPr>
              <w:t>2</w:t>
            </w:r>
          </w:p>
          <w:p w14:paraId="30F1F996" w14:textId="77AAA37D" w:rsidR="00513B3D" w:rsidRPr="00BF1EAC" w:rsidRDefault="009A2F32" w:rsidP="00F045A7">
            <w:pPr>
              <w:jc w:val="center"/>
              <w:rPr>
                <w:rFonts w:ascii="Arial Narrow" w:hAnsi="Arial Narrow" w:cstheme="minorBidi"/>
                <w:color w:val="000000" w:themeColor="text1"/>
                <w:sz w:val="12"/>
                <w:szCs w:val="12"/>
              </w:rPr>
            </w:pPr>
            <w:r w:rsidRPr="001B6F4E">
              <w:rPr>
                <w:rFonts w:ascii="Arial Narrow" w:hAnsi="Arial Narrow"/>
                <w:sz w:val="12"/>
                <w:szCs w:val="12"/>
              </w:rPr>
              <w:t>MP</w:t>
            </w:r>
            <w:r w:rsidR="00F045A7" w:rsidRPr="001B6F4E">
              <w:rPr>
                <w:rFonts w:ascii="Arial Narrow" w:hAnsi="Arial Narrow"/>
                <w:sz w:val="12"/>
                <w:szCs w:val="12"/>
              </w:rPr>
              <w:t>, NP</w:t>
            </w:r>
          </w:p>
        </w:tc>
        <w:tc>
          <w:tcPr>
            <w:tcW w:w="1133" w:type="dxa"/>
            <w:tcBorders>
              <w:top w:val="single" w:sz="4" w:space="0" w:color="auto"/>
              <w:left w:val="single" w:sz="4" w:space="0" w:color="auto"/>
              <w:bottom w:val="single" w:sz="4" w:space="0" w:color="auto"/>
              <w:right w:val="single" w:sz="4" w:space="0" w:color="auto"/>
            </w:tcBorders>
            <w:vAlign w:val="center"/>
          </w:tcPr>
          <w:p w14:paraId="50886CBD" w14:textId="76B33B7E" w:rsidR="009A2F32" w:rsidRDefault="009A2F32" w:rsidP="009A2F32">
            <w:pPr>
              <w:jc w:val="center"/>
              <w:rPr>
                <w:rFonts w:ascii="Arial Narrow" w:hAnsi="Arial Narrow" w:cstheme="minorBidi"/>
                <w:iCs/>
                <w:color w:val="000000" w:themeColor="text1"/>
                <w:sz w:val="20"/>
                <w:szCs w:val="20"/>
              </w:rPr>
            </w:pPr>
            <w:r>
              <w:rPr>
                <w:rFonts w:ascii="Arial Narrow" w:hAnsi="Arial Narrow" w:cstheme="minorBidi"/>
                <w:iCs/>
                <w:color w:val="000000" w:themeColor="text1"/>
                <w:sz w:val="20"/>
                <w:szCs w:val="20"/>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E00BE8A" w14:textId="77777777" w:rsidR="00513B3D" w:rsidRPr="00513B3D" w:rsidRDefault="00513B3D" w:rsidP="00677FB0">
            <w:pPr>
              <w:jc w:val="cente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120</w:t>
            </w:r>
          </w:p>
        </w:tc>
        <w:tc>
          <w:tcPr>
            <w:tcW w:w="816" w:type="dxa"/>
            <w:tcBorders>
              <w:top w:val="single" w:sz="4" w:space="0" w:color="auto"/>
              <w:left w:val="single" w:sz="4" w:space="0" w:color="auto"/>
              <w:bottom w:val="single" w:sz="4" w:space="0" w:color="auto"/>
              <w:right w:val="single" w:sz="4" w:space="0" w:color="auto"/>
            </w:tcBorders>
            <w:vAlign w:val="center"/>
            <w:hideMark/>
          </w:tcPr>
          <w:p w14:paraId="0D9AA62D" w14:textId="77777777" w:rsidR="00513B3D" w:rsidRPr="00513B3D" w:rsidRDefault="00513B3D" w:rsidP="00677FB0">
            <w:pPr>
              <w:jc w:val="cente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5</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14:paraId="00E5D15C" w14:textId="77777777" w:rsidR="00513B3D" w:rsidRPr="00513B3D" w:rsidRDefault="00513B3D" w:rsidP="00513B3D">
            <w:pPr>
              <w:rPr>
                <w:rFonts w:ascii="Arial Narrow" w:hAnsi="Arial Narrow" w:cstheme="minorBidi"/>
                <w:color w:val="000000" w:themeColor="text1"/>
                <w:sz w:val="20"/>
                <w:szCs w:val="20"/>
              </w:rPr>
            </w:pPr>
            <w:proofErr w:type="spellStart"/>
            <w:r w:rsidRPr="00513B3D">
              <w:rPr>
                <w:rFonts w:ascii="Arial Narrow" w:hAnsi="Arial Narrow" w:cstheme="minorBidi"/>
                <w:color w:val="000000" w:themeColor="text1"/>
                <w:sz w:val="20"/>
                <w:szCs w:val="20"/>
              </w:rPr>
              <w:t>Inrebic</w:t>
            </w:r>
            <w:proofErr w:type="spellEnd"/>
          </w:p>
        </w:tc>
      </w:tr>
      <w:tr w:rsidR="008C5678" w:rsidRPr="00513B3D" w14:paraId="638BA522" w14:textId="77777777" w:rsidTr="00A116E5">
        <w:trPr>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489513" w14:textId="77777777" w:rsidR="008C5678" w:rsidRPr="00513B3D" w:rsidRDefault="008C5678" w:rsidP="00A116E5">
            <w:pPr>
              <w:rPr>
                <w:rFonts w:ascii="Arial Narrow" w:hAnsi="Arial Narrow" w:cstheme="minorBidi"/>
                <w:b/>
                <w:iCs/>
                <w:color w:val="000000" w:themeColor="text1"/>
                <w:sz w:val="20"/>
                <w:szCs w:val="20"/>
              </w:rPr>
            </w:pPr>
          </w:p>
        </w:tc>
      </w:tr>
      <w:tr w:rsidR="00513B3D" w:rsidRPr="00513B3D" w14:paraId="5B312DAB" w14:textId="77777777" w:rsidTr="00A116E5">
        <w:trPr>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865DC" w14:textId="77777777" w:rsidR="00A116E5" w:rsidRDefault="00513B3D" w:rsidP="00A116E5">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Restriction Summary [new2] / Treatment of Concept: [new2A</w:t>
            </w:r>
            <w:r w:rsidR="00A116E5" w:rsidRPr="00513B3D">
              <w:rPr>
                <w:rFonts w:ascii="Arial Narrow" w:hAnsi="Arial Narrow" w:cstheme="minorBidi"/>
                <w:b/>
                <w:iCs/>
                <w:color w:val="000000" w:themeColor="text1"/>
                <w:sz w:val="20"/>
                <w:szCs w:val="20"/>
              </w:rPr>
              <w:t>]</w:t>
            </w:r>
            <w:r w:rsidR="00A116E5">
              <w:rPr>
                <w:rFonts w:ascii="Arial Narrow" w:hAnsi="Arial Narrow" w:cstheme="minorBidi"/>
                <w:b/>
                <w:iCs/>
                <w:color w:val="000000" w:themeColor="text1"/>
                <w:sz w:val="20"/>
                <w:szCs w:val="20"/>
              </w:rPr>
              <w:t xml:space="preserve">: </w:t>
            </w:r>
            <w:r w:rsidR="00A116E5" w:rsidRPr="00513B3D">
              <w:rPr>
                <w:rFonts w:ascii="Arial Narrow" w:hAnsi="Arial Narrow" w:cstheme="minorBidi"/>
                <w:iCs/>
                <w:color w:val="000000" w:themeColor="text1"/>
                <w:sz w:val="20"/>
                <w:szCs w:val="20"/>
              </w:rPr>
              <w:t xml:space="preserve">Authority Required – </w:t>
            </w:r>
            <w:r w:rsidR="00A116E5" w:rsidRPr="00513B3D">
              <w:rPr>
                <w:rFonts w:ascii="Arial Narrow" w:hAnsi="Arial Narrow" w:cstheme="minorBidi"/>
                <w:color w:val="000000" w:themeColor="text1"/>
                <w:sz w:val="20"/>
                <w:szCs w:val="20"/>
              </w:rPr>
              <w:t>streamlined [new code</w:t>
            </w:r>
            <w:r w:rsidRPr="00513B3D">
              <w:rPr>
                <w:rFonts w:ascii="Arial Narrow" w:hAnsi="Arial Narrow" w:cstheme="minorBidi"/>
                <w:color w:val="000000" w:themeColor="text1"/>
                <w:sz w:val="20"/>
                <w:szCs w:val="20"/>
              </w:rPr>
              <w:t>]</w:t>
            </w:r>
          </w:p>
          <w:p w14:paraId="32A0BAF6" w14:textId="43300ED6" w:rsidR="00513B3D" w:rsidRPr="00513B3D" w:rsidRDefault="00513B3D" w:rsidP="00513B3D">
            <w:pPr>
              <w:rPr>
                <w:rFonts w:ascii="Arial Narrow" w:hAnsi="Arial Narrow" w:cstheme="minorBidi"/>
                <w:b/>
                <w:color w:val="000000" w:themeColor="text1"/>
                <w:sz w:val="20"/>
                <w:szCs w:val="20"/>
              </w:rPr>
            </w:pPr>
          </w:p>
        </w:tc>
      </w:tr>
      <w:tr w:rsidR="00513B3D" w:rsidRPr="00513B3D" w14:paraId="7E0019AB" w14:textId="77777777" w:rsidTr="007D6D70">
        <w:trPr>
          <w:trHeight w:val="20"/>
        </w:trPr>
        <w:tc>
          <w:tcPr>
            <w:tcW w:w="485"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1EE12B3E" w14:textId="77777777" w:rsidR="00513B3D" w:rsidRPr="00513B3D" w:rsidRDefault="00513B3D" w:rsidP="00BF1EAC">
            <w:pPr>
              <w:ind w:left="113"/>
              <w:jc w:val="left"/>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Prescribing rule level</w:t>
            </w: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44BF64" w14:textId="01A92BB9"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6F3F50"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Administrative Advice:</w:t>
            </w:r>
          </w:p>
          <w:p w14:paraId="05DCADB1"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No increase in the maximum quantity or number of units may be authorised.</w:t>
            </w:r>
          </w:p>
        </w:tc>
      </w:tr>
      <w:tr w:rsidR="00513B3D" w:rsidRPr="00513B3D" w14:paraId="66D22708" w14:textId="77777777" w:rsidTr="007D6D70">
        <w:trPr>
          <w:trHeight w:val="20"/>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64E5A211" w14:textId="77777777" w:rsidR="00513B3D" w:rsidRPr="00513B3D" w:rsidRDefault="00513B3D" w:rsidP="00513B3D">
            <w:pPr>
              <w:rPr>
                <w:rFonts w:ascii="Arial Narrow" w:hAnsi="Arial Narrow" w:cstheme="minorBidi"/>
                <w:color w:val="000000" w:themeColor="text1"/>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874436" w14:textId="51FF00F8"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50A3E2"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Administrative Advice:</w:t>
            </w:r>
          </w:p>
          <w:p w14:paraId="28ABEDE5"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No increase in the maximum number of repeats may be authorised.</w:t>
            </w:r>
          </w:p>
        </w:tc>
      </w:tr>
      <w:tr w:rsidR="00513B3D" w:rsidRPr="00513B3D" w14:paraId="4AD3C29F" w14:textId="77777777" w:rsidTr="007D6D70">
        <w:trPr>
          <w:trHeight w:val="20"/>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27304AA1" w14:textId="77777777" w:rsidR="00513B3D" w:rsidRPr="00513B3D" w:rsidRDefault="00513B3D" w:rsidP="00513B3D">
            <w:pPr>
              <w:rPr>
                <w:rFonts w:ascii="Arial Narrow" w:hAnsi="Arial Narrow" w:cstheme="minorBidi"/>
                <w:color w:val="000000" w:themeColor="text1"/>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ABCB79" w14:textId="3ED4FCBE"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A9914A"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Administrative Advice:</w:t>
            </w:r>
          </w:p>
          <w:p w14:paraId="6B377D6E"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Special Pricing Arrangements apply.</w:t>
            </w:r>
          </w:p>
        </w:tc>
      </w:tr>
      <w:tr w:rsidR="00513B3D" w:rsidRPr="00513B3D" w14:paraId="597927C1" w14:textId="77777777" w:rsidTr="007D6D70">
        <w:trPr>
          <w:trHeight w:val="918"/>
        </w:trPr>
        <w:tc>
          <w:tcPr>
            <w:tcW w:w="485" w:type="dxa"/>
            <w:vMerge/>
            <w:tcBorders>
              <w:top w:val="single" w:sz="4" w:space="0" w:color="auto"/>
              <w:left w:val="single" w:sz="4" w:space="0" w:color="auto"/>
              <w:bottom w:val="single" w:sz="4" w:space="0" w:color="auto"/>
              <w:right w:val="single" w:sz="4" w:space="0" w:color="auto"/>
            </w:tcBorders>
            <w:vAlign w:val="center"/>
            <w:hideMark/>
          </w:tcPr>
          <w:p w14:paraId="38DE29B3" w14:textId="77777777" w:rsidR="00513B3D" w:rsidRPr="00513B3D" w:rsidRDefault="00513B3D" w:rsidP="00513B3D">
            <w:pPr>
              <w:rPr>
                <w:rFonts w:ascii="Arial Narrow" w:hAnsi="Arial Narrow" w:cstheme="minorBidi"/>
                <w:color w:val="000000" w:themeColor="text1"/>
                <w:sz w:val="20"/>
                <w:szCs w:val="20"/>
              </w:rPr>
            </w:pPr>
          </w:p>
        </w:tc>
        <w:tc>
          <w:tcPr>
            <w:tcW w:w="78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DF28CFF" w14:textId="0BF0D161"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17EBBB"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 xml:space="preserve">Administrative Advice: </w:t>
            </w:r>
          </w:p>
          <w:p w14:paraId="39BB1749"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color w:val="000000" w:themeColor="text1"/>
                <w:sz w:val="20"/>
                <w:szCs w:val="20"/>
              </w:rPr>
              <w:t>Risk of myelofibrosis is defined in accordance with the Myelofibrosis International Prognostic Scoring System (OPSS) OR the Dynamic International Prognostic Scoring System (DIPSS) OR the Age-Adjusted DIPSS (</w:t>
            </w:r>
            <w:proofErr w:type="spellStart"/>
            <w:r w:rsidRPr="00513B3D">
              <w:rPr>
                <w:rFonts w:ascii="Arial Narrow" w:hAnsi="Arial Narrow" w:cstheme="minorBidi"/>
                <w:color w:val="000000" w:themeColor="text1"/>
                <w:sz w:val="20"/>
                <w:szCs w:val="20"/>
              </w:rPr>
              <w:t>aaDIPSS</w:t>
            </w:r>
            <w:proofErr w:type="spellEnd"/>
            <w:r w:rsidRPr="00513B3D">
              <w:rPr>
                <w:rFonts w:ascii="Arial Narrow" w:hAnsi="Arial Narrow" w:cstheme="minorBidi"/>
                <w:color w:val="000000" w:themeColor="text1"/>
                <w:sz w:val="20"/>
                <w:szCs w:val="20"/>
              </w:rPr>
              <w:t>).</w:t>
            </w:r>
          </w:p>
        </w:tc>
      </w:tr>
      <w:tr w:rsidR="008C5678" w:rsidRPr="00513B3D" w14:paraId="79DC8DD1" w14:textId="77777777">
        <w:trPr>
          <w:cantSplit/>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0E4791" w14:textId="77777777" w:rsidR="008C5678" w:rsidRPr="00513B3D" w:rsidRDefault="008C5678" w:rsidP="00A116E5">
            <w:pPr>
              <w:rPr>
                <w:rFonts w:ascii="Arial Narrow" w:hAnsi="Arial Narrow" w:cstheme="minorBidi"/>
                <w:b/>
                <w:bCs/>
                <w:iCs/>
                <w:color w:val="000000" w:themeColor="text1"/>
                <w:sz w:val="20"/>
                <w:szCs w:val="20"/>
              </w:rPr>
            </w:pPr>
          </w:p>
        </w:tc>
      </w:tr>
      <w:tr w:rsidR="00513B3D" w:rsidRPr="00513B3D" w14:paraId="3F18DCE3"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F707F5" w14:textId="309D2D3D"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F90A9B"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Indication:</w:t>
            </w:r>
            <w:r w:rsidRPr="00513B3D">
              <w:rPr>
                <w:rFonts w:ascii="Arial Narrow" w:hAnsi="Arial Narrow" w:cstheme="minorBidi"/>
                <w:color w:val="000000" w:themeColor="text1"/>
                <w:sz w:val="20"/>
                <w:szCs w:val="20"/>
              </w:rPr>
              <w:t xml:space="preserve"> High-risk and intermediate-2 risk myelofibrosis</w:t>
            </w:r>
          </w:p>
        </w:tc>
      </w:tr>
      <w:tr w:rsidR="008C5678" w:rsidRPr="00513B3D" w14:paraId="0C0891C0" w14:textId="77777777">
        <w:trPr>
          <w:cantSplit/>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283866" w14:textId="77777777" w:rsidR="008C5678" w:rsidRPr="00513B3D" w:rsidRDefault="008C5678" w:rsidP="00A116E5">
            <w:pPr>
              <w:rPr>
                <w:rFonts w:ascii="Arial Narrow" w:hAnsi="Arial Narrow" w:cstheme="minorBidi"/>
                <w:b/>
                <w:bCs/>
                <w:iCs/>
                <w:color w:val="000000" w:themeColor="text1"/>
                <w:sz w:val="20"/>
                <w:szCs w:val="20"/>
              </w:rPr>
            </w:pPr>
          </w:p>
        </w:tc>
      </w:tr>
      <w:tr w:rsidR="00513B3D" w:rsidRPr="00513B3D" w14:paraId="7266732B"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DEBE9E" w14:textId="77777777"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43782E"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Treatment Phase:</w:t>
            </w:r>
            <w:r w:rsidRPr="00513B3D">
              <w:rPr>
                <w:rFonts w:ascii="Arial Narrow" w:hAnsi="Arial Narrow" w:cstheme="minorBidi"/>
                <w:color w:val="000000" w:themeColor="text1"/>
                <w:sz w:val="20"/>
                <w:szCs w:val="20"/>
              </w:rPr>
              <w:t xml:space="preserve"> Continuing treatment</w:t>
            </w:r>
          </w:p>
        </w:tc>
      </w:tr>
      <w:tr w:rsidR="008C5678" w:rsidRPr="00513B3D" w14:paraId="7DA18E3F" w14:textId="77777777">
        <w:trPr>
          <w:cantSplit/>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E45BC6" w14:textId="77777777" w:rsidR="008C5678" w:rsidRPr="00513B3D" w:rsidRDefault="008C5678" w:rsidP="00A116E5">
            <w:pPr>
              <w:rPr>
                <w:rFonts w:ascii="Arial Narrow" w:hAnsi="Arial Narrow" w:cstheme="minorBidi"/>
                <w:b/>
                <w:bCs/>
                <w:iCs/>
                <w:color w:val="000000" w:themeColor="text1"/>
                <w:sz w:val="20"/>
                <w:szCs w:val="20"/>
              </w:rPr>
            </w:pPr>
          </w:p>
        </w:tc>
      </w:tr>
      <w:tr w:rsidR="00513B3D" w:rsidRPr="00513B3D" w14:paraId="522B0B92"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5D3F91" w14:textId="18DD3D14"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5C7CC3"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b/>
                <w:color w:val="000000" w:themeColor="text1"/>
                <w:sz w:val="20"/>
                <w:szCs w:val="20"/>
              </w:rPr>
              <w:t xml:space="preserve">Clinical criteria: </w:t>
            </w:r>
          </w:p>
        </w:tc>
      </w:tr>
      <w:tr w:rsidR="00513B3D" w:rsidRPr="00513B3D" w14:paraId="4962E14B"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67CBDC" w14:textId="7A7CD96A"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049F60"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Patient must have previously received PBS-subsidised treatment with this drug for this condition, </w:t>
            </w:r>
          </w:p>
        </w:tc>
      </w:tr>
      <w:tr w:rsidR="00513B3D" w:rsidRPr="00513B3D" w14:paraId="39B0FFED"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69D5A8" w14:textId="77777777" w:rsidR="00513B3D" w:rsidRPr="00513B3D" w:rsidRDefault="00513B3D" w:rsidP="00513B3D">
            <w:pPr>
              <w:rPr>
                <w:rFonts w:ascii="Arial Narrow" w:hAnsi="Arial Narrow" w:cstheme="minorBidi"/>
                <w:b/>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367EF4"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AND</w:t>
            </w:r>
          </w:p>
        </w:tc>
      </w:tr>
      <w:tr w:rsidR="00513B3D" w:rsidRPr="00513B3D" w14:paraId="44B9429C"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570428" w14:textId="22ADBDB5"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47634C" w14:textId="77777777" w:rsidR="00513B3D" w:rsidRPr="00513B3D" w:rsidRDefault="00513B3D" w:rsidP="00513B3D">
            <w:pPr>
              <w:rPr>
                <w:rFonts w:ascii="Arial Narrow" w:hAnsi="Arial Narrow" w:cstheme="minorBidi"/>
                <w:b/>
                <w:color w:val="000000" w:themeColor="text1"/>
                <w:sz w:val="20"/>
                <w:szCs w:val="20"/>
              </w:rPr>
            </w:pPr>
            <w:r w:rsidRPr="00513B3D">
              <w:rPr>
                <w:rFonts w:ascii="Arial Narrow" w:hAnsi="Arial Narrow" w:cstheme="minorBidi"/>
                <w:b/>
                <w:color w:val="000000" w:themeColor="text1"/>
                <w:sz w:val="20"/>
                <w:szCs w:val="20"/>
              </w:rPr>
              <w:t>Clinical criteria:</w:t>
            </w:r>
          </w:p>
        </w:tc>
      </w:tr>
      <w:tr w:rsidR="00513B3D" w:rsidRPr="00513B3D" w14:paraId="6CE5502B"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3D3902" w14:textId="7E538884" w:rsidR="00513B3D" w:rsidRPr="00513B3D" w:rsidRDefault="00513B3D" w:rsidP="00513B3D">
            <w:pPr>
              <w:rPr>
                <w:rFonts w:ascii="Arial Narrow" w:hAnsi="Arial Narrow" w:cstheme="minorBidi"/>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C0CF80" w14:textId="77777777" w:rsidR="00513B3D" w:rsidRPr="00513B3D" w:rsidRDefault="00513B3D" w:rsidP="00513B3D">
            <w:pPr>
              <w:rPr>
                <w:rFonts w:ascii="Arial Narrow" w:hAnsi="Arial Narrow" w:cstheme="minorBidi"/>
                <w:color w:val="000000" w:themeColor="text1"/>
                <w:sz w:val="20"/>
                <w:szCs w:val="20"/>
              </w:rPr>
            </w:pPr>
            <w:r w:rsidRPr="00513B3D">
              <w:rPr>
                <w:rFonts w:ascii="Arial Narrow" w:hAnsi="Arial Narrow" w:cstheme="minorBidi"/>
                <w:color w:val="000000" w:themeColor="text1"/>
                <w:sz w:val="20"/>
                <w:szCs w:val="20"/>
              </w:rPr>
              <w:t>The treatment must be the sole PBS-subsidised JAK inhibitor therapy for this condition</w:t>
            </w:r>
          </w:p>
        </w:tc>
      </w:tr>
      <w:tr w:rsidR="00D021A3" w:rsidRPr="00DC7B8A" w14:paraId="735306BA" w14:textId="77777777">
        <w:trPr>
          <w:cantSplit/>
          <w:trHeight w:val="20"/>
        </w:trPr>
        <w:tc>
          <w:tcPr>
            <w:tcW w:w="9071" w:type="dxa"/>
            <w:gridSpan w:val="9"/>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878DAE" w14:textId="77777777" w:rsidR="00D021A3" w:rsidRPr="00EC2A49" w:rsidRDefault="00D021A3">
            <w:pPr>
              <w:rPr>
                <w:rFonts w:ascii="Arial Narrow" w:hAnsi="Arial Narrow" w:cstheme="minorBidi"/>
                <w:b/>
                <w:bCs/>
                <w:iCs/>
                <w:color w:val="000000" w:themeColor="text1"/>
                <w:sz w:val="20"/>
                <w:szCs w:val="20"/>
              </w:rPr>
            </w:pPr>
          </w:p>
        </w:tc>
      </w:tr>
      <w:tr w:rsidR="007D6A99" w:rsidRPr="00DC7B8A" w14:paraId="4D428842"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E6BC47" w14:textId="65A91FE5" w:rsidR="007D6A99" w:rsidRPr="007D6A99" w:rsidRDefault="007D6A99" w:rsidP="007D6A99">
            <w:pPr>
              <w:rPr>
                <w:rFonts w:ascii="Arial Narrow" w:hAnsi="Arial Narrow" w:cstheme="minorBidi"/>
                <w:iCs/>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FD1C36A" w14:textId="77777777" w:rsidR="007D6A99" w:rsidRPr="00EC2A49" w:rsidRDefault="007D6A99">
            <w:pPr>
              <w:rPr>
                <w:rFonts w:ascii="Arial Narrow" w:hAnsi="Arial Narrow" w:cstheme="minorBidi"/>
                <w:b/>
                <w:color w:val="000000" w:themeColor="text1"/>
                <w:sz w:val="20"/>
                <w:szCs w:val="20"/>
              </w:rPr>
            </w:pPr>
            <w:r w:rsidRPr="00EC2A49">
              <w:rPr>
                <w:rFonts w:ascii="Arial Narrow" w:hAnsi="Arial Narrow" w:cstheme="minorBidi"/>
                <w:b/>
                <w:color w:val="000000" w:themeColor="text1"/>
                <w:sz w:val="20"/>
                <w:szCs w:val="20"/>
              </w:rPr>
              <w:t>Treatment criteria</w:t>
            </w:r>
          </w:p>
        </w:tc>
      </w:tr>
      <w:tr w:rsidR="007D6A99" w:rsidRPr="00DC7B8A" w14:paraId="11D44655"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722226" w14:textId="24397C6B" w:rsidR="007D6A99" w:rsidRPr="007D6A99" w:rsidRDefault="007D6A99" w:rsidP="007D6A99">
            <w:pPr>
              <w:rPr>
                <w:rFonts w:ascii="Arial Narrow" w:hAnsi="Arial Narrow" w:cstheme="minorBidi"/>
                <w:iCs/>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94BAF0" w14:textId="7E2D3AAF" w:rsidR="007D6A99" w:rsidRPr="007D6A99" w:rsidRDefault="007D6A99">
            <w:pPr>
              <w:rPr>
                <w:rFonts w:ascii="Arial Narrow" w:hAnsi="Arial Narrow" w:cstheme="minorBidi"/>
                <w:iCs/>
                <w:color w:val="000000" w:themeColor="text1"/>
                <w:sz w:val="20"/>
                <w:szCs w:val="20"/>
              </w:rPr>
            </w:pPr>
            <w:r w:rsidRPr="007D6A99">
              <w:rPr>
                <w:rFonts w:ascii="Arial Narrow" w:hAnsi="Arial Narrow" w:cstheme="minorBidi"/>
                <w:iCs/>
                <w:color w:val="000000" w:themeColor="text1"/>
                <w:sz w:val="20"/>
                <w:szCs w:val="20"/>
              </w:rPr>
              <w:t>Must be treated by a medical practitioner</w:t>
            </w:r>
            <w:r w:rsidR="00D74A7C">
              <w:rPr>
                <w:rFonts w:ascii="Arial Narrow" w:hAnsi="Arial Narrow" w:cstheme="minorBidi"/>
                <w:iCs/>
                <w:color w:val="000000" w:themeColor="text1"/>
                <w:sz w:val="20"/>
                <w:szCs w:val="20"/>
              </w:rPr>
              <w:t>;</w:t>
            </w:r>
            <w:r w:rsidR="00E33E01">
              <w:rPr>
                <w:rFonts w:ascii="Arial Narrow" w:hAnsi="Arial Narrow" w:cstheme="minorBidi"/>
                <w:iCs/>
                <w:color w:val="000000" w:themeColor="text1"/>
                <w:sz w:val="20"/>
                <w:szCs w:val="20"/>
              </w:rPr>
              <w:t xml:space="preserve"> or</w:t>
            </w:r>
          </w:p>
        </w:tc>
      </w:tr>
      <w:tr w:rsidR="007D6A99" w:rsidRPr="00DC7B8A" w14:paraId="5C9DE8C5" w14:textId="77777777" w:rsidTr="007D6D70">
        <w:trPr>
          <w:cantSplit/>
          <w:trHeight w:val="20"/>
        </w:trPr>
        <w:tc>
          <w:tcPr>
            <w:tcW w:w="126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4EC216" w14:textId="4C66E1BF" w:rsidR="007D6A99" w:rsidRPr="007D6A99" w:rsidRDefault="007D6A99" w:rsidP="007D6A99">
            <w:pPr>
              <w:rPr>
                <w:rFonts w:ascii="Arial Narrow" w:hAnsi="Arial Narrow" w:cstheme="minorBidi"/>
                <w:iCs/>
                <w:color w:val="000000" w:themeColor="text1"/>
                <w:sz w:val="20"/>
                <w:szCs w:val="20"/>
              </w:rPr>
            </w:pPr>
          </w:p>
        </w:tc>
        <w:tc>
          <w:tcPr>
            <w:tcW w:w="7802"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78AD52" w14:textId="77777777" w:rsidR="007D6A99" w:rsidRPr="007D6A99" w:rsidRDefault="007D6A99">
            <w:pPr>
              <w:rPr>
                <w:rFonts w:ascii="Arial Narrow" w:hAnsi="Arial Narrow" w:cstheme="minorBidi"/>
                <w:iCs/>
                <w:color w:val="000000" w:themeColor="text1"/>
                <w:sz w:val="20"/>
                <w:szCs w:val="20"/>
              </w:rPr>
            </w:pPr>
            <w:r w:rsidRPr="007D6A99">
              <w:rPr>
                <w:rFonts w:ascii="Arial Narrow" w:hAnsi="Arial Narrow" w:cstheme="minorBidi"/>
                <w:iCs/>
                <w:color w:val="000000" w:themeColor="text1"/>
                <w:sz w:val="20"/>
                <w:szCs w:val="20"/>
              </w:rPr>
              <w:t>Must be treated by a nurse practitioner where both of the following are occurring: (i) patient care is being shared with a medical practitioner, (ii) the prescription continues existing therapy with this medicine</w:t>
            </w:r>
          </w:p>
        </w:tc>
      </w:tr>
    </w:tbl>
    <w:p w14:paraId="7ED1DC4B" w14:textId="77777777" w:rsidR="006F1994" w:rsidRDefault="006F1994" w:rsidP="00E22D0E">
      <w:pPr>
        <w:rPr>
          <w:rFonts w:asciiTheme="minorHAnsi" w:hAnsiTheme="minorHAnsi" w:cstheme="minorBidi"/>
          <w:color w:val="000000" w:themeColor="text1"/>
        </w:rPr>
      </w:pPr>
    </w:p>
    <w:p w14:paraId="2C38F683" w14:textId="77777777" w:rsidR="00A2379D" w:rsidRDefault="00A2379D">
      <w:pPr>
        <w:jc w:val="left"/>
        <w:rPr>
          <w:rFonts w:asciiTheme="minorHAnsi" w:hAnsiTheme="minorHAnsi" w:cstheme="minorBidi"/>
          <w:color w:val="000000" w:themeColor="text1"/>
          <w:u w:val="single"/>
        </w:rPr>
      </w:pPr>
      <w:r>
        <w:rPr>
          <w:rFonts w:asciiTheme="minorHAnsi" w:hAnsiTheme="minorHAnsi" w:cstheme="minorBidi"/>
          <w:color w:val="000000" w:themeColor="text1"/>
          <w:u w:val="single"/>
        </w:rPr>
        <w:br w:type="page"/>
      </w:r>
    </w:p>
    <w:p w14:paraId="727615F0" w14:textId="04E6FB07" w:rsidR="002A188C" w:rsidRPr="00656B29" w:rsidRDefault="002A188C" w:rsidP="00041481">
      <w:pPr>
        <w:rPr>
          <w:rFonts w:asciiTheme="minorHAnsi" w:hAnsiTheme="minorHAnsi" w:cstheme="minorBidi"/>
          <w:color w:val="000000" w:themeColor="text1"/>
          <w:u w:val="single"/>
        </w:rPr>
      </w:pPr>
      <w:r w:rsidRPr="00656B29">
        <w:rPr>
          <w:rFonts w:asciiTheme="minorHAnsi" w:hAnsiTheme="minorHAnsi" w:cstheme="minorBidi"/>
          <w:color w:val="000000" w:themeColor="text1"/>
          <w:u w:val="single"/>
        </w:rPr>
        <w:t>Intermediate-1 risk myelofibrosis</w:t>
      </w:r>
    </w:p>
    <w:p w14:paraId="3801329A" w14:textId="77777777" w:rsidR="00041481" w:rsidRPr="00041481" w:rsidRDefault="00041481" w:rsidP="00041481">
      <w:pPr>
        <w:rPr>
          <w:rFonts w:asciiTheme="minorHAnsi" w:hAnsiTheme="minorHAnsi" w:cstheme="minorBidi"/>
          <w:color w:val="000000" w:themeColor="text1"/>
        </w:rPr>
      </w:pPr>
    </w:p>
    <w:p w14:paraId="05CF7937" w14:textId="7E2853E4" w:rsidR="406B48E8" w:rsidRDefault="002A188C">
      <w:r w:rsidRPr="00041481">
        <w:rPr>
          <w:rFonts w:asciiTheme="minorHAnsi" w:hAnsiTheme="minorHAnsi" w:cstheme="minorBidi"/>
          <w:color w:val="000000" w:themeColor="text1"/>
        </w:rPr>
        <w:t>Initial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Intermediate-1 risk myelofibrosis - initial treatment"/>
      </w:tblPr>
      <w:tblGrid>
        <w:gridCol w:w="489"/>
        <w:gridCol w:w="785"/>
        <w:gridCol w:w="1845"/>
        <w:gridCol w:w="1276"/>
        <w:gridCol w:w="992"/>
        <w:gridCol w:w="986"/>
        <w:gridCol w:w="817"/>
        <w:gridCol w:w="1832"/>
      </w:tblGrid>
      <w:tr w:rsidR="70B5BAD0" w14:paraId="1626EEE1" w14:textId="77777777" w:rsidTr="70B5BAD0">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09079174" w14:textId="77777777" w:rsidR="70B5BAD0" w:rsidRDefault="00C446D2" w:rsidP="00C446D2">
            <w:pPr>
              <w:keepLines/>
              <w:rPr>
                <w:rFonts w:ascii="Arial Narrow" w:eastAsia="Calibri"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r w:rsidRPr="00247F47">
              <w:rPr>
                <w:rFonts w:ascii="Arial Narrow" w:eastAsia="Calibri" w:hAnsi="Arial Narrow"/>
                <w:iCs/>
                <w:sz w:val="20"/>
                <w:szCs w:val="20"/>
              </w:rPr>
              <w:t xml:space="preserve">GENERAL </w:t>
            </w:r>
            <w:r>
              <w:rPr>
                <w:rFonts w:ascii="Arial Narrow" w:eastAsia="Calibri" w:hAnsi="Arial Narrow"/>
                <w:iCs/>
                <w:sz w:val="20"/>
                <w:szCs w:val="20"/>
              </w:rPr>
              <w:t>–</w:t>
            </w:r>
            <w:r w:rsidRPr="00247F47">
              <w:rPr>
                <w:rFonts w:ascii="Arial Narrow" w:eastAsia="Calibri" w:hAnsi="Arial Narrow"/>
                <w:iCs/>
                <w:sz w:val="20"/>
                <w:szCs w:val="20"/>
              </w:rPr>
              <w:t xml:space="preserve"> General Schedule (Code GE)</w:t>
            </w:r>
          </w:p>
          <w:p w14:paraId="62B7C02A" w14:textId="77EACEA8" w:rsidR="70B5BAD0" w:rsidRPr="00C446D2" w:rsidRDefault="70B5BAD0" w:rsidP="00C446D2">
            <w:pPr>
              <w:keepLines/>
              <w:rPr>
                <w:rFonts w:ascii="Arial Narrow" w:eastAsia="MS Gothic" w:hAnsi="Arial Narrow"/>
                <w:sz w:val="20"/>
                <w:szCs w:val="20"/>
              </w:rPr>
            </w:pPr>
          </w:p>
        </w:tc>
      </w:tr>
      <w:tr w:rsidR="004E2D4E" w:rsidRPr="00247F47" w14:paraId="421A0785" w14:textId="77777777" w:rsidTr="000303FE">
        <w:trPr>
          <w:cantSplit/>
          <w:trHeight w:val="20"/>
        </w:trPr>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75D2DC93" w14:textId="2D8364A7" w:rsidR="004E2D4E" w:rsidRPr="00247F47" w:rsidRDefault="004E2D4E">
            <w:pPr>
              <w:keepNext/>
              <w:rPr>
                <w:rFonts w:ascii="Arial Narrow" w:eastAsia="MS Gothic" w:hAnsi="Arial Narrow"/>
                <w:b/>
                <w:sz w:val="20"/>
                <w:szCs w:val="20"/>
              </w:rPr>
            </w:pPr>
            <w:r w:rsidRPr="75DD4A57">
              <w:rPr>
                <w:rFonts w:ascii="Arial Narrow" w:eastAsia="MS Gothic" w:hAnsi="Arial Narrow"/>
                <w:b/>
                <w:sz w:val="20"/>
                <w:szCs w:val="20"/>
              </w:rPr>
              <w:t>MEDICINAL PRODUCT</w:t>
            </w:r>
          </w:p>
          <w:p w14:paraId="3564EE49" w14:textId="77777777" w:rsidR="004E2D4E" w:rsidRPr="00247F47" w:rsidRDefault="004E2D4E">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0EE255" w14:textId="063ED410" w:rsidR="004E2D4E" w:rsidRPr="00247F47" w:rsidRDefault="000303FE">
            <w:pPr>
              <w:keepNext/>
              <w:jc w:val="center"/>
              <w:rPr>
                <w:rFonts w:ascii="Arial Narrow" w:eastAsia="MS Gothic" w:hAnsi="Arial Narrow"/>
                <w:b/>
                <w:iCs/>
                <w:sz w:val="20"/>
                <w:szCs w:val="20"/>
              </w:rPr>
            </w:pPr>
            <w:r>
              <w:rPr>
                <w:rFonts w:ascii="Arial Narrow" w:eastAsia="MS Gothic" w:hAnsi="Arial Narrow"/>
                <w:b/>
                <w:iCs/>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tcPr>
          <w:p w14:paraId="1D6E29E0" w14:textId="77777777" w:rsidR="000303FE" w:rsidRPr="00247F47" w:rsidRDefault="000303FE" w:rsidP="000303FE">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986" w:type="dxa"/>
            <w:tcBorders>
              <w:top w:val="single" w:sz="4" w:space="0" w:color="auto"/>
              <w:left w:val="single" w:sz="4" w:space="0" w:color="auto"/>
              <w:bottom w:val="single" w:sz="4" w:space="0" w:color="auto"/>
              <w:right w:val="single" w:sz="4" w:space="0" w:color="auto"/>
            </w:tcBorders>
            <w:vAlign w:val="center"/>
            <w:hideMark/>
          </w:tcPr>
          <w:p w14:paraId="620DD761" w14:textId="77777777" w:rsidR="004E2D4E" w:rsidRPr="00247F47" w:rsidRDefault="004E2D4E">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480C91DC" w14:textId="77777777" w:rsidR="004E2D4E" w:rsidRPr="00247F47" w:rsidRDefault="004E2D4E">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254474CC" w14:textId="77777777" w:rsidR="004E2D4E" w:rsidRPr="00247F47" w:rsidRDefault="004E2D4E">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E4181B6" w14:textId="77777777" w:rsidR="004E2D4E" w:rsidRPr="00247F47" w:rsidRDefault="004E2D4E">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2A188C" w:rsidRPr="00247F47" w14:paraId="2C905CD2" w14:textId="77777777" w:rsidTr="004E2D4E">
        <w:trPr>
          <w:cantSplit/>
          <w:trHeight w:val="20"/>
        </w:trPr>
        <w:tc>
          <w:tcPr>
            <w:tcW w:w="9022" w:type="dxa"/>
            <w:gridSpan w:val="8"/>
          </w:tcPr>
          <w:p w14:paraId="05623A11" w14:textId="282B1678" w:rsidR="000303FE" w:rsidRPr="00247F47" w:rsidRDefault="000303FE" w:rsidP="000303FE">
            <w:pPr>
              <w:keepNext/>
              <w:rPr>
                <w:rFonts w:ascii="Arial Narrow" w:eastAsia="MS Gothic" w:hAnsi="Arial Narrow"/>
                <w:b/>
                <w:sz w:val="20"/>
                <w:szCs w:val="20"/>
              </w:rPr>
            </w:pPr>
            <w:r w:rsidRPr="00247F47">
              <w:rPr>
                <w:rFonts w:ascii="Arial Narrow" w:eastAsia="MS Gothic" w:hAnsi="Arial Narrow"/>
                <w:b/>
                <w:iCs/>
                <w:sz w:val="20"/>
              </w:rPr>
              <w:t>FEDRATINIB</w:t>
            </w:r>
          </w:p>
        </w:tc>
      </w:tr>
      <w:tr w:rsidR="004E2D4E" w:rsidRPr="00247F47" w14:paraId="2647FA0A" w14:textId="77777777" w:rsidTr="00677FB0">
        <w:trPr>
          <w:cantSplit/>
          <w:trHeight w:val="20"/>
        </w:trPr>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945C120" w14:textId="77777777" w:rsidR="004E2D4E" w:rsidRPr="00247F47" w:rsidRDefault="004E2D4E">
            <w:pPr>
              <w:keepNext/>
              <w:rPr>
                <w:rFonts w:ascii="Arial Narrow" w:eastAsia="MS Gothic" w:hAnsi="Arial Narrow"/>
                <w:bCs/>
                <w:iCs/>
                <w:color w:val="0066FF"/>
                <w:sz w:val="20"/>
                <w:szCs w:val="20"/>
              </w:rPr>
            </w:pPr>
            <w:r w:rsidRPr="00247F47">
              <w:rPr>
                <w:rFonts w:ascii="Arial Narrow" w:eastAsia="MS Gothic" w:hAnsi="Arial Narrow"/>
                <w:bCs/>
                <w:iCs/>
                <w:sz w:val="20"/>
              </w:rPr>
              <w:t>Fedratinib 100 mg capsule, 120</w:t>
            </w:r>
          </w:p>
        </w:tc>
        <w:tc>
          <w:tcPr>
            <w:tcW w:w="1276" w:type="dxa"/>
            <w:tcBorders>
              <w:top w:val="single" w:sz="4" w:space="0" w:color="auto"/>
              <w:left w:val="single" w:sz="4" w:space="0" w:color="auto"/>
              <w:bottom w:val="single" w:sz="4" w:space="0" w:color="auto"/>
              <w:right w:val="single" w:sz="4" w:space="0" w:color="auto"/>
            </w:tcBorders>
            <w:vAlign w:val="center"/>
          </w:tcPr>
          <w:p w14:paraId="1DA7C69E" w14:textId="77777777" w:rsidR="000303FE" w:rsidRPr="001C1CED" w:rsidRDefault="001557C0" w:rsidP="000303FE">
            <w:pPr>
              <w:keepNext/>
              <w:keepLines/>
              <w:jc w:val="center"/>
              <w:rPr>
                <w:rFonts w:ascii="Arial Narrow" w:hAnsi="Arial Narrow"/>
                <w:iCs/>
                <w:sz w:val="20"/>
                <w:szCs w:val="20"/>
              </w:rPr>
            </w:pPr>
            <w:r w:rsidRPr="001C1CED">
              <w:rPr>
                <w:rFonts w:ascii="Arial Narrow" w:hAnsi="Arial Narrow"/>
                <w:iCs/>
                <w:sz w:val="20"/>
                <w:szCs w:val="20"/>
              </w:rPr>
              <w:t xml:space="preserve">NEW </w:t>
            </w:r>
            <w:r w:rsidR="000C7FF9" w:rsidRPr="001C1CED">
              <w:rPr>
                <w:rFonts w:ascii="Arial Narrow" w:hAnsi="Arial Narrow"/>
                <w:iCs/>
                <w:sz w:val="20"/>
                <w:szCs w:val="20"/>
              </w:rPr>
              <w:t>3</w:t>
            </w:r>
          </w:p>
          <w:p w14:paraId="3633425B" w14:textId="56B74002" w:rsidR="004E2D4E" w:rsidRPr="00BF1EAC" w:rsidRDefault="000C7FF9">
            <w:pPr>
              <w:keepNext/>
              <w:keepLines/>
              <w:jc w:val="center"/>
              <w:rPr>
                <w:rFonts w:ascii="Arial Narrow" w:hAnsi="Arial Narrow"/>
                <w:iCs/>
                <w:sz w:val="12"/>
                <w:szCs w:val="12"/>
              </w:rPr>
            </w:pPr>
            <w:r w:rsidRPr="001B6F4E">
              <w:rPr>
                <w:rFonts w:ascii="Arial Narrow" w:hAnsi="Arial Narrow"/>
                <w:sz w:val="12"/>
                <w:szCs w:val="12"/>
              </w:rPr>
              <w:t>MP</w:t>
            </w:r>
          </w:p>
        </w:tc>
        <w:tc>
          <w:tcPr>
            <w:tcW w:w="992" w:type="dxa"/>
            <w:tcBorders>
              <w:top w:val="single" w:sz="4" w:space="0" w:color="auto"/>
              <w:left w:val="single" w:sz="4" w:space="0" w:color="auto"/>
              <w:bottom w:val="single" w:sz="4" w:space="0" w:color="auto"/>
              <w:right w:val="single" w:sz="4" w:space="0" w:color="auto"/>
            </w:tcBorders>
            <w:vAlign w:val="center"/>
          </w:tcPr>
          <w:p w14:paraId="76F4DF06" w14:textId="77777777" w:rsidR="000303FE" w:rsidRPr="00247F47" w:rsidRDefault="000303FE" w:rsidP="000303FE">
            <w:pPr>
              <w:keepNext/>
              <w:keepLines/>
              <w:jc w:val="center"/>
              <w:rPr>
                <w:rFonts w:ascii="Arial Narrow" w:hAnsi="Arial Narrow"/>
                <w:sz w:val="20"/>
                <w:szCs w:val="20"/>
              </w:rPr>
            </w:pPr>
            <w:r w:rsidRPr="00247F47">
              <w:rPr>
                <w:rFonts w:ascii="Arial Narrow" w:hAnsi="Arial Narrow"/>
                <w:iCs/>
                <w:sz w:val="20"/>
              </w:rPr>
              <w:t>1</w:t>
            </w:r>
          </w:p>
        </w:tc>
        <w:tc>
          <w:tcPr>
            <w:tcW w:w="986" w:type="dxa"/>
            <w:tcBorders>
              <w:top w:val="single" w:sz="4" w:space="0" w:color="auto"/>
              <w:left w:val="single" w:sz="4" w:space="0" w:color="auto"/>
              <w:bottom w:val="single" w:sz="4" w:space="0" w:color="auto"/>
              <w:right w:val="single" w:sz="4" w:space="0" w:color="auto"/>
            </w:tcBorders>
            <w:vAlign w:val="center"/>
            <w:hideMark/>
          </w:tcPr>
          <w:p w14:paraId="67857566" w14:textId="77777777" w:rsidR="004E2D4E" w:rsidRPr="00247F47" w:rsidRDefault="004E2D4E">
            <w:pPr>
              <w:keepNext/>
              <w:keepLines/>
              <w:jc w:val="center"/>
              <w:rPr>
                <w:rFonts w:ascii="Arial Narrow" w:hAnsi="Arial Narrow"/>
                <w:iCs/>
                <w:sz w:val="20"/>
                <w:szCs w:val="20"/>
              </w:rPr>
            </w:pPr>
            <w:r w:rsidRPr="00247F47">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05F5A9D1" w14:textId="77777777" w:rsidR="004E2D4E" w:rsidRPr="00247F47" w:rsidRDefault="004E2D4E">
            <w:pPr>
              <w:keepNext/>
              <w:keepLines/>
              <w:jc w:val="center"/>
              <w:rPr>
                <w:rFonts w:ascii="Arial Narrow" w:hAnsi="Arial Narrow"/>
                <w:iCs/>
                <w:sz w:val="20"/>
                <w:szCs w:val="20"/>
              </w:rPr>
            </w:pPr>
            <w:r w:rsidRPr="00247F47">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3C806FA6" w14:textId="77777777" w:rsidR="004E2D4E" w:rsidRPr="00247F47" w:rsidRDefault="004E2D4E">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26318E22" w14:paraId="1564FEFA" w14:textId="77777777" w:rsidTr="26318E22">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47643227" w14:textId="1D0A8D54" w:rsidR="26318E22" w:rsidRDefault="26318E22" w:rsidP="26318E22">
            <w:pPr>
              <w:jc w:val="center"/>
              <w:rPr>
                <w:rFonts w:ascii="Arial Narrow" w:hAnsi="Arial Narrow"/>
                <w:sz w:val="20"/>
                <w:szCs w:val="20"/>
              </w:rPr>
            </w:pPr>
          </w:p>
        </w:tc>
      </w:tr>
      <w:tr w:rsidR="002A188C" w:rsidRPr="00247F47" w14:paraId="4592B5CE" w14:textId="77777777" w:rsidTr="004E2D4E">
        <w:tblPrEx>
          <w:tblCellMar>
            <w:top w:w="15" w:type="dxa"/>
            <w:bottom w:w="15" w:type="dxa"/>
          </w:tblCellMar>
        </w:tblPrEx>
        <w:trPr>
          <w:trHeight w:val="20"/>
        </w:trPr>
        <w:tc>
          <w:tcPr>
            <w:tcW w:w="9022" w:type="dxa"/>
            <w:gridSpan w:val="8"/>
            <w:tcBorders>
              <w:top w:val="single" w:sz="4" w:space="0" w:color="auto"/>
              <w:left w:val="single" w:sz="4" w:space="0" w:color="auto"/>
              <w:right w:val="single" w:sz="4" w:space="0" w:color="auto"/>
            </w:tcBorders>
            <w:vAlign w:val="center"/>
          </w:tcPr>
          <w:p w14:paraId="632F1448" w14:textId="4127BB24" w:rsidR="002A188C" w:rsidRPr="00247F47" w:rsidRDefault="002A188C" w:rsidP="70B5BAD0">
            <w:pPr>
              <w:keepLines/>
              <w:rPr>
                <w:rFonts w:ascii="Arial Narrow" w:hAnsi="Arial Narrow"/>
                <w:b/>
                <w:bCs/>
                <w:sz w:val="20"/>
                <w:szCs w:val="20"/>
              </w:rPr>
            </w:pPr>
            <w:r w:rsidRPr="00247F47">
              <w:rPr>
                <w:rFonts w:ascii="Arial Narrow" w:hAnsi="Arial Narrow"/>
                <w:b/>
                <w:iCs/>
                <w:sz w:val="20"/>
                <w:szCs w:val="20"/>
              </w:rPr>
              <w:t>Restriction Summary [new</w:t>
            </w:r>
            <w:r>
              <w:rPr>
                <w:rFonts w:ascii="Arial Narrow" w:hAnsi="Arial Narrow"/>
                <w:b/>
                <w:iCs/>
                <w:sz w:val="20"/>
                <w:szCs w:val="20"/>
              </w:rPr>
              <w:t>3</w:t>
            </w:r>
            <w:r w:rsidRPr="00247F47">
              <w:rPr>
                <w:rFonts w:ascii="Arial Narrow" w:hAnsi="Arial Narrow"/>
                <w:b/>
                <w:iCs/>
                <w:sz w:val="20"/>
                <w:szCs w:val="20"/>
              </w:rPr>
              <w:t>] / Treatment of Concept: [new</w:t>
            </w:r>
            <w:r>
              <w:rPr>
                <w:rFonts w:ascii="Arial Narrow" w:hAnsi="Arial Narrow"/>
                <w:b/>
                <w:iCs/>
                <w:sz w:val="20"/>
                <w:szCs w:val="20"/>
              </w:rPr>
              <w:t>3</w:t>
            </w:r>
            <w:r w:rsidRPr="00247F47">
              <w:rPr>
                <w:rFonts w:ascii="Arial Narrow" w:hAnsi="Arial Narrow"/>
                <w:b/>
                <w:iCs/>
                <w:sz w:val="20"/>
                <w:szCs w:val="20"/>
              </w:rPr>
              <w:t>A]</w:t>
            </w:r>
            <w:r w:rsidR="002C795A">
              <w:rPr>
                <w:rFonts w:ascii="Arial Narrow" w:hAnsi="Arial Narrow"/>
                <w:b/>
                <w:iCs/>
                <w:sz w:val="20"/>
                <w:szCs w:val="20"/>
              </w:rPr>
              <w:t xml:space="preserve">: </w:t>
            </w:r>
            <w:r w:rsidR="002C795A" w:rsidRPr="00AA3087">
              <w:rPr>
                <w:rFonts w:ascii="Arial Narrow" w:eastAsia="Calibri" w:hAnsi="Arial Narrow"/>
                <w:iCs/>
                <w:color w:val="000000" w:themeColor="text1"/>
                <w:sz w:val="20"/>
                <w:szCs w:val="20"/>
              </w:rPr>
              <w:t>Authority required (telephone/online PBS Authorities system)</w:t>
            </w:r>
          </w:p>
          <w:p w14:paraId="32501718" w14:textId="09C8FBFA" w:rsidR="002A188C" w:rsidRPr="00247F47" w:rsidRDefault="002A188C">
            <w:pPr>
              <w:keepLines/>
              <w:rPr>
                <w:rFonts w:ascii="Arial Narrow" w:hAnsi="Arial Narrow"/>
                <w:b/>
                <w:iCs/>
                <w:sz w:val="20"/>
                <w:szCs w:val="20"/>
              </w:rPr>
            </w:pPr>
          </w:p>
        </w:tc>
      </w:tr>
      <w:tr w:rsidR="002A188C" w:rsidRPr="00247F47" w14:paraId="47CC18FD" w14:textId="77777777" w:rsidTr="004E2D4E">
        <w:tblPrEx>
          <w:tblCellMar>
            <w:top w:w="15" w:type="dxa"/>
            <w:bottom w:w="15" w:type="dxa"/>
          </w:tblCellMar>
        </w:tblPrEx>
        <w:trPr>
          <w:trHeight w:val="20"/>
        </w:trPr>
        <w:tc>
          <w:tcPr>
            <w:tcW w:w="489" w:type="dxa"/>
            <w:vMerge w:val="restart"/>
            <w:tcBorders>
              <w:left w:val="single" w:sz="4" w:space="0" w:color="auto"/>
              <w:right w:val="single" w:sz="4" w:space="0" w:color="auto"/>
            </w:tcBorders>
            <w:textDirection w:val="btLr"/>
            <w:vAlign w:val="center"/>
          </w:tcPr>
          <w:p w14:paraId="254C0FBF" w14:textId="77777777" w:rsidR="002A188C" w:rsidRPr="00247F47" w:rsidRDefault="002A188C" w:rsidP="00F7756A">
            <w:pPr>
              <w:jc w:val="left"/>
              <w:rPr>
                <w:rFonts w:ascii="Arial Narrow" w:hAnsi="Arial Narrow"/>
                <w:iCs/>
                <w:sz w:val="20"/>
                <w:szCs w:val="20"/>
              </w:rPr>
            </w:pPr>
            <w:r w:rsidRPr="00247F47">
              <w:rPr>
                <w:rFonts w:ascii="Arial Narrow" w:hAnsi="Arial Narrow"/>
                <w:iCs/>
                <w:sz w:val="20"/>
                <w:szCs w:val="20"/>
              </w:rPr>
              <w:t>Prescribing rule level</w:t>
            </w:r>
          </w:p>
        </w:tc>
        <w:tc>
          <w:tcPr>
            <w:tcW w:w="785" w:type="dxa"/>
            <w:vAlign w:val="center"/>
          </w:tcPr>
          <w:p w14:paraId="7204CEDA" w14:textId="21EF442A" w:rsidR="002A188C" w:rsidRPr="0037124B" w:rsidRDefault="002A188C">
            <w:pPr>
              <w:jc w:val="center"/>
              <w:rPr>
                <w:rFonts w:ascii="Arial Narrow" w:hAnsi="Arial Narrow"/>
                <w:iCs/>
                <w:sz w:val="20"/>
                <w:szCs w:val="20"/>
              </w:rPr>
            </w:pPr>
          </w:p>
        </w:tc>
        <w:tc>
          <w:tcPr>
            <w:tcW w:w="7748" w:type="dxa"/>
            <w:gridSpan w:val="6"/>
            <w:vAlign w:val="center"/>
          </w:tcPr>
          <w:p w14:paraId="3D807170" w14:textId="77777777" w:rsidR="002A188C" w:rsidRPr="0037124B" w:rsidRDefault="002A188C">
            <w:pPr>
              <w:rPr>
                <w:rFonts w:ascii="Arial Narrow" w:hAnsi="Arial Narrow"/>
                <w:iCs/>
                <w:sz w:val="20"/>
                <w:szCs w:val="20"/>
              </w:rPr>
            </w:pPr>
            <w:r w:rsidRPr="0037124B">
              <w:rPr>
                <w:rFonts w:ascii="Arial Narrow" w:hAnsi="Arial Narrow"/>
                <w:b/>
                <w:bCs/>
                <w:iCs/>
                <w:sz w:val="20"/>
                <w:szCs w:val="20"/>
              </w:rPr>
              <w:t>Administrative Advice:</w:t>
            </w:r>
          </w:p>
          <w:p w14:paraId="038CB36D" w14:textId="77777777" w:rsidR="002A188C" w:rsidRPr="0037124B" w:rsidRDefault="002A188C">
            <w:pPr>
              <w:rPr>
                <w:rFonts w:ascii="Arial Narrow" w:hAnsi="Arial Narrow"/>
                <w:iCs/>
                <w:sz w:val="20"/>
                <w:szCs w:val="20"/>
              </w:rPr>
            </w:pPr>
            <w:r w:rsidRPr="0037124B">
              <w:rPr>
                <w:rFonts w:ascii="Arial Narrow" w:hAnsi="Arial Narrow"/>
                <w:iCs/>
                <w:sz w:val="20"/>
                <w:szCs w:val="20"/>
              </w:rPr>
              <w:t>No increase in the maximum quantity or number of units may be authorised.</w:t>
            </w:r>
          </w:p>
        </w:tc>
      </w:tr>
      <w:tr w:rsidR="002A188C" w:rsidRPr="00247F47" w14:paraId="188AC456" w14:textId="77777777" w:rsidTr="004E2D4E">
        <w:tblPrEx>
          <w:tblCellMar>
            <w:top w:w="15" w:type="dxa"/>
            <w:bottom w:w="15" w:type="dxa"/>
          </w:tblCellMar>
        </w:tblPrEx>
        <w:trPr>
          <w:trHeight w:val="20"/>
        </w:trPr>
        <w:tc>
          <w:tcPr>
            <w:tcW w:w="489" w:type="dxa"/>
            <w:vMerge/>
          </w:tcPr>
          <w:p w14:paraId="7BE78B2E" w14:textId="77777777" w:rsidR="002A188C" w:rsidRPr="00247F47" w:rsidRDefault="002A188C">
            <w:pPr>
              <w:rPr>
                <w:rFonts w:ascii="Arial Narrow" w:hAnsi="Arial Narrow"/>
                <w:iCs/>
                <w:sz w:val="20"/>
                <w:szCs w:val="20"/>
              </w:rPr>
            </w:pPr>
          </w:p>
        </w:tc>
        <w:tc>
          <w:tcPr>
            <w:tcW w:w="785" w:type="dxa"/>
            <w:vAlign w:val="center"/>
          </w:tcPr>
          <w:p w14:paraId="7CD36BC7" w14:textId="7316C8AF" w:rsidR="002A188C" w:rsidRPr="0037124B" w:rsidRDefault="002A188C">
            <w:pPr>
              <w:jc w:val="center"/>
              <w:rPr>
                <w:rFonts w:ascii="Arial Narrow" w:hAnsi="Arial Narrow"/>
                <w:iCs/>
                <w:sz w:val="20"/>
                <w:szCs w:val="20"/>
              </w:rPr>
            </w:pPr>
          </w:p>
        </w:tc>
        <w:tc>
          <w:tcPr>
            <w:tcW w:w="7748" w:type="dxa"/>
            <w:gridSpan w:val="6"/>
            <w:vAlign w:val="center"/>
          </w:tcPr>
          <w:p w14:paraId="55DAAC19" w14:textId="77777777" w:rsidR="002A188C" w:rsidRPr="0037124B" w:rsidRDefault="002A188C">
            <w:pPr>
              <w:rPr>
                <w:rFonts w:ascii="Arial Narrow" w:hAnsi="Arial Narrow"/>
                <w:b/>
                <w:bCs/>
                <w:iCs/>
                <w:sz w:val="20"/>
                <w:szCs w:val="20"/>
              </w:rPr>
            </w:pPr>
            <w:r w:rsidRPr="0037124B">
              <w:rPr>
                <w:rFonts w:ascii="Arial Narrow" w:hAnsi="Arial Narrow"/>
                <w:b/>
                <w:bCs/>
                <w:iCs/>
                <w:sz w:val="20"/>
                <w:szCs w:val="20"/>
              </w:rPr>
              <w:t>Administrative Advice:</w:t>
            </w:r>
          </w:p>
          <w:p w14:paraId="41093032" w14:textId="77777777" w:rsidR="002A188C" w:rsidRPr="0037124B" w:rsidRDefault="002A188C">
            <w:pPr>
              <w:rPr>
                <w:rFonts w:ascii="Arial Narrow" w:hAnsi="Arial Narrow"/>
                <w:b/>
                <w:bCs/>
                <w:iCs/>
                <w:sz w:val="20"/>
                <w:szCs w:val="20"/>
              </w:rPr>
            </w:pPr>
            <w:r w:rsidRPr="0037124B">
              <w:rPr>
                <w:rFonts w:ascii="Arial Narrow" w:hAnsi="Arial Narrow"/>
                <w:iCs/>
                <w:sz w:val="20"/>
                <w:szCs w:val="20"/>
              </w:rPr>
              <w:t>No increase in the maximum number of repeats may be authorised.</w:t>
            </w:r>
          </w:p>
        </w:tc>
      </w:tr>
      <w:tr w:rsidR="002A188C" w:rsidRPr="00247F47" w14:paraId="56D30B84" w14:textId="77777777" w:rsidTr="004E2D4E">
        <w:tblPrEx>
          <w:tblCellMar>
            <w:top w:w="15" w:type="dxa"/>
            <w:bottom w:w="15" w:type="dxa"/>
          </w:tblCellMar>
        </w:tblPrEx>
        <w:trPr>
          <w:trHeight w:val="20"/>
        </w:trPr>
        <w:tc>
          <w:tcPr>
            <w:tcW w:w="489" w:type="dxa"/>
            <w:vMerge/>
          </w:tcPr>
          <w:p w14:paraId="1E9AC660" w14:textId="77777777" w:rsidR="002A188C" w:rsidRPr="00247F47" w:rsidRDefault="002A188C">
            <w:pPr>
              <w:rPr>
                <w:rFonts w:ascii="Arial Narrow" w:hAnsi="Arial Narrow"/>
                <w:iCs/>
                <w:sz w:val="20"/>
                <w:szCs w:val="20"/>
              </w:rPr>
            </w:pPr>
          </w:p>
        </w:tc>
        <w:tc>
          <w:tcPr>
            <w:tcW w:w="785" w:type="dxa"/>
            <w:vAlign w:val="center"/>
          </w:tcPr>
          <w:p w14:paraId="32B90E05" w14:textId="4C1DE213" w:rsidR="002A188C" w:rsidRPr="00247F47" w:rsidRDefault="002A188C">
            <w:pPr>
              <w:jc w:val="center"/>
              <w:rPr>
                <w:rFonts w:ascii="Arial Narrow" w:hAnsi="Arial Narrow"/>
                <w:iCs/>
                <w:sz w:val="20"/>
                <w:szCs w:val="20"/>
              </w:rPr>
            </w:pPr>
          </w:p>
        </w:tc>
        <w:tc>
          <w:tcPr>
            <w:tcW w:w="7748" w:type="dxa"/>
            <w:gridSpan w:val="6"/>
            <w:vAlign w:val="center"/>
          </w:tcPr>
          <w:p w14:paraId="005B91B0" w14:textId="77777777" w:rsidR="002A188C" w:rsidRPr="00247F47" w:rsidRDefault="002A188C">
            <w:pPr>
              <w:rPr>
                <w:rFonts w:ascii="Arial Narrow" w:hAnsi="Arial Narrow"/>
                <w:b/>
                <w:bCs/>
                <w:iCs/>
                <w:sz w:val="20"/>
                <w:szCs w:val="20"/>
              </w:rPr>
            </w:pPr>
            <w:r w:rsidRPr="00247F47">
              <w:rPr>
                <w:rFonts w:ascii="Arial Narrow" w:hAnsi="Arial Narrow"/>
                <w:b/>
                <w:bCs/>
                <w:iCs/>
                <w:sz w:val="20"/>
                <w:szCs w:val="20"/>
              </w:rPr>
              <w:t>Administrative Advice:</w:t>
            </w:r>
          </w:p>
          <w:p w14:paraId="53F0C56F" w14:textId="77777777" w:rsidR="002A188C" w:rsidRPr="00247F47" w:rsidRDefault="002A188C">
            <w:pPr>
              <w:rPr>
                <w:rFonts w:ascii="Arial Narrow" w:hAnsi="Arial Narrow"/>
                <w:b/>
                <w:bCs/>
                <w:iCs/>
                <w:sz w:val="20"/>
                <w:szCs w:val="20"/>
              </w:rPr>
            </w:pPr>
            <w:r w:rsidRPr="00247F47">
              <w:rPr>
                <w:rFonts w:ascii="Arial Narrow" w:hAnsi="Arial Narrow"/>
                <w:iCs/>
                <w:sz w:val="20"/>
                <w:szCs w:val="20"/>
              </w:rPr>
              <w:t>Special Pricing Arrangements apply.</w:t>
            </w:r>
          </w:p>
        </w:tc>
      </w:tr>
      <w:tr w:rsidR="002A188C" w:rsidRPr="00247F47" w14:paraId="07170D8F" w14:textId="77777777" w:rsidTr="004E2D4E">
        <w:tblPrEx>
          <w:tblCellMar>
            <w:top w:w="15" w:type="dxa"/>
            <w:bottom w:w="15" w:type="dxa"/>
          </w:tblCellMar>
        </w:tblPrEx>
        <w:trPr>
          <w:trHeight w:val="20"/>
        </w:trPr>
        <w:tc>
          <w:tcPr>
            <w:tcW w:w="489" w:type="dxa"/>
            <w:vMerge/>
          </w:tcPr>
          <w:p w14:paraId="796DA728" w14:textId="77777777" w:rsidR="002A188C" w:rsidRPr="00247F47" w:rsidRDefault="002A188C">
            <w:pPr>
              <w:rPr>
                <w:rFonts w:ascii="Arial Narrow" w:hAnsi="Arial Narrow"/>
                <w:iCs/>
                <w:sz w:val="20"/>
                <w:szCs w:val="20"/>
              </w:rPr>
            </w:pPr>
          </w:p>
        </w:tc>
        <w:tc>
          <w:tcPr>
            <w:tcW w:w="785" w:type="dxa"/>
            <w:vAlign w:val="center"/>
          </w:tcPr>
          <w:p w14:paraId="7EB2B26C" w14:textId="3176E086" w:rsidR="002A188C" w:rsidRPr="00247F47" w:rsidRDefault="002A188C">
            <w:pPr>
              <w:jc w:val="center"/>
              <w:rPr>
                <w:rFonts w:ascii="Arial Narrow" w:hAnsi="Arial Narrow"/>
                <w:iCs/>
                <w:sz w:val="20"/>
                <w:szCs w:val="20"/>
              </w:rPr>
            </w:pPr>
          </w:p>
        </w:tc>
        <w:tc>
          <w:tcPr>
            <w:tcW w:w="7748" w:type="dxa"/>
            <w:gridSpan w:val="6"/>
            <w:vAlign w:val="center"/>
          </w:tcPr>
          <w:p w14:paraId="2873D40B" w14:textId="77777777" w:rsidR="002A188C" w:rsidRPr="006B2F99" w:rsidRDefault="002A188C">
            <w:pPr>
              <w:rPr>
                <w:rFonts w:ascii="Arial Narrow" w:hAnsi="Arial Narrow"/>
                <w:b/>
                <w:bCs/>
                <w:iCs/>
                <w:sz w:val="20"/>
                <w:szCs w:val="20"/>
              </w:rPr>
            </w:pPr>
            <w:r w:rsidRPr="006B2F99">
              <w:rPr>
                <w:rFonts w:ascii="Arial Narrow" w:hAnsi="Arial Narrow"/>
                <w:b/>
                <w:bCs/>
                <w:iCs/>
                <w:sz w:val="20"/>
                <w:szCs w:val="20"/>
              </w:rPr>
              <w:t>Administrative advice:</w:t>
            </w:r>
          </w:p>
          <w:p w14:paraId="7E9A78BE" w14:textId="77777777" w:rsidR="002A188C" w:rsidRPr="00247F47" w:rsidRDefault="002A188C">
            <w:pPr>
              <w:rPr>
                <w:rFonts w:ascii="Arial Narrow" w:hAnsi="Arial Narrow"/>
                <w:b/>
                <w:bCs/>
                <w:iCs/>
                <w:sz w:val="20"/>
                <w:szCs w:val="20"/>
              </w:rPr>
            </w:pPr>
            <w:r w:rsidRPr="002F6241">
              <w:rPr>
                <w:rFonts w:ascii="Arial Narrow" w:hAnsi="Arial Narrow"/>
                <w:iCs/>
                <w:sz w:val="20"/>
                <w:szCs w:val="20"/>
              </w:rPr>
              <w:t>A patient may only qualify for PBS-subsidised treatment under this restriction twice in a lifetime. Patients reinitiating PBS-subsidised treatment following pregnancy are exempt from this rule. </w:t>
            </w:r>
          </w:p>
        </w:tc>
      </w:tr>
      <w:tr w:rsidR="002A188C" w:rsidRPr="00247F47" w14:paraId="7F786005" w14:textId="77777777" w:rsidTr="004E2D4E">
        <w:tblPrEx>
          <w:tblCellMar>
            <w:top w:w="15" w:type="dxa"/>
            <w:bottom w:w="15" w:type="dxa"/>
          </w:tblCellMar>
        </w:tblPrEx>
        <w:trPr>
          <w:trHeight w:val="20"/>
        </w:trPr>
        <w:tc>
          <w:tcPr>
            <w:tcW w:w="489" w:type="dxa"/>
            <w:vMerge/>
          </w:tcPr>
          <w:p w14:paraId="1A6FD63B" w14:textId="77777777" w:rsidR="002A188C" w:rsidRPr="00247F47" w:rsidRDefault="002A188C">
            <w:pPr>
              <w:rPr>
                <w:rFonts w:ascii="Arial Narrow" w:hAnsi="Arial Narrow"/>
                <w:iCs/>
                <w:sz w:val="20"/>
                <w:szCs w:val="20"/>
              </w:rPr>
            </w:pPr>
          </w:p>
        </w:tc>
        <w:tc>
          <w:tcPr>
            <w:tcW w:w="785" w:type="dxa"/>
            <w:vAlign w:val="center"/>
          </w:tcPr>
          <w:p w14:paraId="4F7A6083" w14:textId="3890448E" w:rsidR="002A188C" w:rsidRPr="00247F47" w:rsidRDefault="002A188C" w:rsidP="005F592E">
            <w:pPr>
              <w:rPr>
                <w:rFonts w:ascii="Arial Narrow" w:hAnsi="Arial Narrow"/>
                <w:iCs/>
                <w:sz w:val="20"/>
                <w:szCs w:val="20"/>
              </w:rPr>
            </w:pPr>
          </w:p>
        </w:tc>
        <w:tc>
          <w:tcPr>
            <w:tcW w:w="7748" w:type="dxa"/>
            <w:gridSpan w:val="6"/>
            <w:vAlign w:val="center"/>
          </w:tcPr>
          <w:p w14:paraId="24D55B95" w14:textId="77777777" w:rsidR="002A188C" w:rsidRPr="00247F47" w:rsidRDefault="002A188C">
            <w:pPr>
              <w:rPr>
                <w:rFonts w:ascii="Arial Narrow" w:hAnsi="Arial Narrow"/>
                <w:bCs/>
                <w:iCs/>
                <w:color w:val="000000" w:themeColor="text1"/>
                <w:sz w:val="20"/>
                <w:szCs w:val="20"/>
              </w:rPr>
            </w:pPr>
            <w:r w:rsidRPr="00247F47">
              <w:rPr>
                <w:rFonts w:ascii="Arial Narrow" w:hAnsi="Arial Narrow"/>
                <w:b/>
                <w:bCs/>
                <w:iCs/>
                <w:color w:val="000000" w:themeColor="text1"/>
                <w:sz w:val="20"/>
                <w:szCs w:val="20"/>
              </w:rPr>
              <w:t xml:space="preserve">Administrative Advice: </w:t>
            </w:r>
          </w:p>
          <w:p w14:paraId="28271C60" w14:textId="77777777" w:rsidR="002A188C" w:rsidRPr="00247F47" w:rsidRDefault="002A188C">
            <w:pPr>
              <w:rPr>
                <w:rFonts w:ascii="Arial Narrow" w:hAnsi="Arial Narrow"/>
                <w:b/>
                <w:bCs/>
                <w:iCs/>
                <w:color w:val="000000" w:themeColor="text1"/>
                <w:sz w:val="20"/>
                <w:szCs w:val="20"/>
              </w:rPr>
            </w:pPr>
            <w:r w:rsidRPr="00247F47">
              <w:rPr>
                <w:rFonts w:ascii="Arial Narrow" w:hAnsi="Arial Narrow"/>
                <w:iCs/>
                <w:color w:val="000000" w:themeColor="text1"/>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color w:val="000000" w:themeColor="text1"/>
                <w:sz w:val="20"/>
                <w:szCs w:val="20"/>
              </w:rPr>
              <w:t>aaDIPSS</w:t>
            </w:r>
            <w:proofErr w:type="spellEnd"/>
            <w:r w:rsidRPr="00247F47">
              <w:rPr>
                <w:rFonts w:ascii="Arial Narrow" w:hAnsi="Arial Narrow"/>
                <w:iCs/>
                <w:color w:val="000000" w:themeColor="text1"/>
                <w:sz w:val="20"/>
                <w:szCs w:val="20"/>
              </w:rPr>
              <w:t>).</w:t>
            </w:r>
          </w:p>
        </w:tc>
      </w:tr>
      <w:tr w:rsidR="002A188C" w:rsidRPr="00247F47" w14:paraId="76978EEF" w14:textId="77777777" w:rsidTr="004E2D4E">
        <w:tblPrEx>
          <w:tblCellMar>
            <w:top w:w="15" w:type="dxa"/>
            <w:bottom w:w="15" w:type="dxa"/>
          </w:tblCellMar>
        </w:tblPrEx>
        <w:trPr>
          <w:trHeight w:val="20"/>
        </w:trPr>
        <w:tc>
          <w:tcPr>
            <w:tcW w:w="489" w:type="dxa"/>
            <w:vMerge/>
          </w:tcPr>
          <w:p w14:paraId="48089527" w14:textId="77777777" w:rsidR="002A188C" w:rsidRPr="00247F47" w:rsidRDefault="002A188C">
            <w:pPr>
              <w:rPr>
                <w:rFonts w:ascii="Arial Narrow" w:hAnsi="Arial Narrow"/>
                <w:iCs/>
                <w:sz w:val="20"/>
                <w:szCs w:val="20"/>
              </w:rPr>
            </w:pPr>
          </w:p>
        </w:tc>
        <w:tc>
          <w:tcPr>
            <w:tcW w:w="785" w:type="dxa"/>
            <w:vAlign w:val="center"/>
          </w:tcPr>
          <w:p w14:paraId="0C4EE465" w14:textId="11A2C731" w:rsidR="002A188C" w:rsidRPr="00247F47" w:rsidRDefault="002A188C">
            <w:pPr>
              <w:jc w:val="center"/>
              <w:rPr>
                <w:rFonts w:ascii="Arial Narrow" w:hAnsi="Arial Narrow"/>
                <w:iCs/>
                <w:sz w:val="20"/>
                <w:szCs w:val="20"/>
              </w:rPr>
            </w:pPr>
          </w:p>
        </w:tc>
        <w:tc>
          <w:tcPr>
            <w:tcW w:w="7748" w:type="dxa"/>
            <w:gridSpan w:val="6"/>
            <w:vAlign w:val="center"/>
          </w:tcPr>
          <w:p w14:paraId="499CA765" w14:textId="77777777" w:rsidR="002A188C" w:rsidRPr="0037124B" w:rsidRDefault="002A188C">
            <w:pPr>
              <w:rPr>
                <w:rFonts w:ascii="Arial Narrow" w:hAnsi="Arial Narrow"/>
                <w:b/>
                <w:bCs/>
                <w:color w:val="000000" w:themeColor="text1"/>
                <w:sz w:val="20"/>
                <w:szCs w:val="20"/>
              </w:rPr>
            </w:pPr>
            <w:r w:rsidRPr="0037124B">
              <w:rPr>
                <w:rFonts w:ascii="Arial Narrow" w:hAnsi="Arial Narrow"/>
                <w:b/>
                <w:bCs/>
                <w:color w:val="000000" w:themeColor="text1"/>
                <w:sz w:val="20"/>
                <w:szCs w:val="20"/>
              </w:rPr>
              <w:t xml:space="preserve">Administrative Advice: </w:t>
            </w:r>
          </w:p>
          <w:p w14:paraId="285F99AF" w14:textId="77777777" w:rsidR="002A188C" w:rsidRPr="0037124B" w:rsidRDefault="002A188C">
            <w:pPr>
              <w:rPr>
                <w:rFonts w:ascii="Arial Narrow" w:hAnsi="Arial Narrow"/>
                <w:color w:val="000000" w:themeColor="text1"/>
                <w:sz w:val="20"/>
                <w:szCs w:val="20"/>
              </w:rPr>
            </w:pPr>
            <w:r w:rsidRPr="0037124B">
              <w:rPr>
                <w:rFonts w:ascii="Arial Narrow" w:hAnsi="Arial Narrow"/>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11AB194F" w14:paraId="27558608" w14:textId="77777777" w:rsidTr="00D436D0">
        <w:tblPrEx>
          <w:tblCellMar>
            <w:top w:w="15" w:type="dxa"/>
            <w:bottom w:w="15" w:type="dxa"/>
          </w:tblCellMar>
        </w:tblPrEx>
        <w:trPr>
          <w:trHeight w:val="20"/>
        </w:trPr>
        <w:tc>
          <w:tcPr>
            <w:tcW w:w="1274" w:type="dxa"/>
            <w:gridSpan w:val="2"/>
            <w:tcBorders>
              <w:left w:val="single" w:sz="4" w:space="0" w:color="auto"/>
            </w:tcBorders>
            <w:textDirection w:val="btLr"/>
            <w:vAlign w:val="center"/>
          </w:tcPr>
          <w:p w14:paraId="28B7486B" w14:textId="5C37EC93" w:rsidR="11AB194F" w:rsidRDefault="11AB194F" w:rsidP="11AB194F">
            <w:pPr>
              <w:jc w:val="center"/>
              <w:rPr>
                <w:rFonts w:ascii="Arial Narrow" w:hAnsi="Arial Narrow"/>
                <w:sz w:val="20"/>
                <w:szCs w:val="20"/>
              </w:rPr>
            </w:pPr>
          </w:p>
        </w:tc>
        <w:tc>
          <w:tcPr>
            <w:tcW w:w="7748" w:type="dxa"/>
            <w:gridSpan w:val="6"/>
            <w:vAlign w:val="center"/>
          </w:tcPr>
          <w:p w14:paraId="18F1146E" w14:textId="4F502F4C" w:rsidR="11AB194F" w:rsidRDefault="11AB194F" w:rsidP="11AB194F">
            <w:pPr>
              <w:rPr>
                <w:rFonts w:ascii="Arial Narrow" w:hAnsi="Arial Narrow"/>
                <w:b/>
                <w:bCs/>
                <w:color w:val="000000" w:themeColor="text1"/>
                <w:sz w:val="20"/>
                <w:szCs w:val="20"/>
              </w:rPr>
            </w:pPr>
          </w:p>
        </w:tc>
      </w:tr>
      <w:tr w:rsidR="002A188C" w:rsidRPr="00247F47" w14:paraId="08BF907A" w14:textId="77777777" w:rsidTr="004E2D4E">
        <w:tblPrEx>
          <w:tblCellMar>
            <w:top w:w="15" w:type="dxa"/>
            <w:bottom w:w="15" w:type="dxa"/>
          </w:tblCellMar>
        </w:tblPrEx>
        <w:trPr>
          <w:cantSplit/>
          <w:trHeight w:val="20"/>
        </w:trPr>
        <w:tc>
          <w:tcPr>
            <w:tcW w:w="1274" w:type="dxa"/>
            <w:gridSpan w:val="2"/>
            <w:vAlign w:val="center"/>
            <w:hideMark/>
          </w:tcPr>
          <w:p w14:paraId="2F536827" w14:textId="2CC060D8" w:rsidR="002A188C" w:rsidRPr="00247F47" w:rsidRDefault="002A188C" w:rsidP="00B34903">
            <w:pPr>
              <w:keepLines/>
              <w:jc w:val="left"/>
              <w:rPr>
                <w:rFonts w:ascii="Arial Narrow" w:hAnsi="Arial Narrow"/>
                <w:iCs/>
                <w:sz w:val="20"/>
                <w:szCs w:val="20"/>
              </w:rPr>
            </w:pPr>
          </w:p>
        </w:tc>
        <w:tc>
          <w:tcPr>
            <w:tcW w:w="7748" w:type="dxa"/>
            <w:gridSpan w:val="6"/>
            <w:vAlign w:val="center"/>
            <w:hideMark/>
          </w:tcPr>
          <w:p w14:paraId="2DCF676D" w14:textId="7569C0C4" w:rsidR="002A188C" w:rsidRPr="0037124B" w:rsidRDefault="002A188C">
            <w:pPr>
              <w:keepLines/>
              <w:rPr>
                <w:rFonts w:ascii="Arial Narrow" w:hAnsi="Arial Narrow"/>
                <w:sz w:val="20"/>
                <w:szCs w:val="20"/>
              </w:rPr>
            </w:pPr>
            <w:r w:rsidRPr="0037124B">
              <w:rPr>
                <w:rFonts w:ascii="Arial Narrow" w:hAnsi="Arial Narrow"/>
                <w:b/>
                <w:bCs/>
                <w:sz w:val="20"/>
                <w:szCs w:val="20"/>
              </w:rPr>
              <w:t>Indication:</w:t>
            </w:r>
            <w:r w:rsidRPr="0037124B">
              <w:rPr>
                <w:rFonts w:ascii="Arial Narrow" w:hAnsi="Arial Narrow"/>
                <w:sz w:val="20"/>
                <w:szCs w:val="20"/>
              </w:rPr>
              <w:t xml:space="preserve"> </w:t>
            </w:r>
            <w:r w:rsidR="00F7756A">
              <w:rPr>
                <w:rFonts w:ascii="Arial Narrow" w:hAnsi="Arial Narrow"/>
                <w:sz w:val="20"/>
              </w:rPr>
              <w:t>I</w:t>
            </w:r>
            <w:r w:rsidRPr="0037124B">
              <w:rPr>
                <w:rFonts w:ascii="Arial Narrow" w:hAnsi="Arial Narrow"/>
                <w:sz w:val="20"/>
              </w:rPr>
              <w:t>ntermediate-1 risk myelofibrosis</w:t>
            </w:r>
          </w:p>
        </w:tc>
      </w:tr>
      <w:tr w:rsidR="11AB194F" w14:paraId="15CEE4C3" w14:textId="77777777" w:rsidTr="11AB194F">
        <w:tblPrEx>
          <w:tblCellMar>
            <w:top w:w="15" w:type="dxa"/>
            <w:bottom w:w="15" w:type="dxa"/>
          </w:tblCellMar>
        </w:tblPrEx>
        <w:trPr>
          <w:cantSplit/>
          <w:trHeight w:val="20"/>
        </w:trPr>
        <w:tc>
          <w:tcPr>
            <w:tcW w:w="1274" w:type="dxa"/>
            <w:gridSpan w:val="2"/>
            <w:vAlign w:val="center"/>
            <w:hideMark/>
          </w:tcPr>
          <w:p w14:paraId="7994D884" w14:textId="32B9A2BE" w:rsidR="11AB194F" w:rsidRDefault="11AB194F" w:rsidP="00B34903">
            <w:pPr>
              <w:jc w:val="left"/>
              <w:rPr>
                <w:rFonts w:ascii="Arial Narrow" w:hAnsi="Arial Narrow"/>
                <w:sz w:val="20"/>
                <w:szCs w:val="20"/>
              </w:rPr>
            </w:pPr>
          </w:p>
        </w:tc>
        <w:tc>
          <w:tcPr>
            <w:tcW w:w="7748" w:type="dxa"/>
            <w:gridSpan w:val="6"/>
            <w:vAlign w:val="center"/>
            <w:hideMark/>
          </w:tcPr>
          <w:p w14:paraId="320230BF" w14:textId="4B519D4D" w:rsidR="11AB194F" w:rsidRDefault="11AB194F" w:rsidP="11AB194F">
            <w:pPr>
              <w:rPr>
                <w:rFonts w:ascii="Arial Narrow" w:hAnsi="Arial Narrow"/>
                <w:b/>
                <w:bCs/>
                <w:sz w:val="20"/>
                <w:szCs w:val="20"/>
              </w:rPr>
            </w:pPr>
          </w:p>
        </w:tc>
      </w:tr>
      <w:tr w:rsidR="002A188C" w:rsidRPr="00247F47" w14:paraId="063D14D3" w14:textId="77777777" w:rsidTr="004E2D4E">
        <w:tblPrEx>
          <w:tblCellMar>
            <w:top w:w="15" w:type="dxa"/>
            <w:bottom w:w="15" w:type="dxa"/>
          </w:tblCellMar>
        </w:tblPrEx>
        <w:trPr>
          <w:cantSplit/>
          <w:trHeight w:val="20"/>
        </w:trPr>
        <w:tc>
          <w:tcPr>
            <w:tcW w:w="1274" w:type="dxa"/>
            <w:gridSpan w:val="2"/>
            <w:vAlign w:val="center"/>
          </w:tcPr>
          <w:p w14:paraId="38163D8F" w14:textId="77777777" w:rsidR="002A188C" w:rsidRPr="00247F47" w:rsidRDefault="002A188C" w:rsidP="00B34903">
            <w:pPr>
              <w:keepLines/>
              <w:jc w:val="left"/>
              <w:rPr>
                <w:rFonts w:ascii="Arial Narrow" w:hAnsi="Arial Narrow"/>
                <w:iCs/>
                <w:sz w:val="20"/>
                <w:szCs w:val="20"/>
              </w:rPr>
            </w:pPr>
          </w:p>
        </w:tc>
        <w:tc>
          <w:tcPr>
            <w:tcW w:w="7748" w:type="dxa"/>
            <w:gridSpan w:val="6"/>
            <w:vAlign w:val="center"/>
          </w:tcPr>
          <w:p w14:paraId="48447B5A" w14:textId="77777777" w:rsidR="002A188C" w:rsidRPr="00247F47" w:rsidRDefault="002A188C">
            <w:pPr>
              <w:keepLines/>
              <w:rPr>
                <w:rFonts w:ascii="Arial Narrow" w:hAnsi="Arial Narrow"/>
                <w:b/>
                <w:bCs/>
                <w:iCs/>
                <w:sz w:val="20"/>
                <w:szCs w:val="20"/>
              </w:rPr>
            </w:pPr>
            <w:r>
              <w:rPr>
                <w:rFonts w:ascii="Arial Narrow" w:hAnsi="Arial Narrow"/>
                <w:b/>
                <w:bCs/>
                <w:iCs/>
                <w:sz w:val="20"/>
                <w:szCs w:val="20"/>
              </w:rPr>
              <w:t xml:space="preserve">Treatment Phase: </w:t>
            </w:r>
            <w:r w:rsidRPr="00021104">
              <w:rPr>
                <w:rFonts w:ascii="Arial Narrow" w:hAnsi="Arial Narrow"/>
                <w:iCs/>
                <w:sz w:val="20"/>
                <w:szCs w:val="20"/>
              </w:rPr>
              <w:t>Initial treatment</w:t>
            </w:r>
          </w:p>
        </w:tc>
      </w:tr>
      <w:tr w:rsidR="3FAF2912" w14:paraId="4B61195C" w14:textId="77777777" w:rsidTr="3FAF2912">
        <w:tblPrEx>
          <w:tblCellMar>
            <w:top w:w="15" w:type="dxa"/>
            <w:bottom w:w="15" w:type="dxa"/>
          </w:tblCellMar>
        </w:tblPrEx>
        <w:trPr>
          <w:cantSplit/>
          <w:trHeight w:val="20"/>
        </w:trPr>
        <w:tc>
          <w:tcPr>
            <w:tcW w:w="1274" w:type="dxa"/>
            <w:gridSpan w:val="2"/>
            <w:vAlign w:val="center"/>
          </w:tcPr>
          <w:p w14:paraId="31F361B2" w14:textId="1FC81CD3" w:rsidR="3FAF2912" w:rsidRDefault="3FAF2912" w:rsidP="00B34903">
            <w:pPr>
              <w:jc w:val="left"/>
              <w:rPr>
                <w:rFonts w:ascii="Arial Narrow" w:hAnsi="Arial Narrow"/>
                <w:sz w:val="20"/>
                <w:szCs w:val="20"/>
              </w:rPr>
            </w:pPr>
          </w:p>
        </w:tc>
        <w:tc>
          <w:tcPr>
            <w:tcW w:w="7748" w:type="dxa"/>
            <w:gridSpan w:val="6"/>
            <w:vAlign w:val="center"/>
          </w:tcPr>
          <w:p w14:paraId="0E677D25" w14:textId="42702CA0" w:rsidR="3FAF2912" w:rsidRDefault="3FAF2912" w:rsidP="3FAF2912">
            <w:pPr>
              <w:rPr>
                <w:rFonts w:ascii="Arial Narrow" w:hAnsi="Arial Narrow"/>
                <w:b/>
                <w:bCs/>
                <w:sz w:val="20"/>
                <w:szCs w:val="20"/>
              </w:rPr>
            </w:pPr>
          </w:p>
        </w:tc>
      </w:tr>
      <w:tr w:rsidR="002A188C" w:rsidRPr="00247F47" w14:paraId="5B2E71C4" w14:textId="77777777" w:rsidTr="00F7756A">
        <w:tblPrEx>
          <w:tblCellMar>
            <w:top w:w="15" w:type="dxa"/>
            <w:bottom w:w="15" w:type="dxa"/>
          </w:tblCellMar>
        </w:tblPrEx>
        <w:trPr>
          <w:cantSplit/>
          <w:trHeight w:val="214"/>
        </w:trPr>
        <w:tc>
          <w:tcPr>
            <w:tcW w:w="1274" w:type="dxa"/>
            <w:gridSpan w:val="2"/>
            <w:vAlign w:val="center"/>
            <w:hideMark/>
          </w:tcPr>
          <w:p w14:paraId="77276C22" w14:textId="6B50013A" w:rsidR="002A188C" w:rsidRPr="00247F47" w:rsidRDefault="002A188C" w:rsidP="00B34903">
            <w:pPr>
              <w:jc w:val="left"/>
              <w:rPr>
                <w:rFonts w:ascii="Arial Narrow" w:hAnsi="Arial Narrow"/>
                <w:iCs/>
                <w:sz w:val="20"/>
                <w:szCs w:val="20"/>
              </w:rPr>
            </w:pPr>
          </w:p>
        </w:tc>
        <w:tc>
          <w:tcPr>
            <w:tcW w:w="7748" w:type="dxa"/>
            <w:gridSpan w:val="6"/>
            <w:vAlign w:val="center"/>
            <w:hideMark/>
          </w:tcPr>
          <w:p w14:paraId="3E6C48B7" w14:textId="77777777" w:rsidR="002A188C" w:rsidRPr="00247F47" w:rsidRDefault="002A188C">
            <w:pPr>
              <w:rPr>
                <w:rFonts w:ascii="Arial Narrow" w:hAnsi="Arial Narrow"/>
                <w:iCs/>
                <w:sz w:val="20"/>
                <w:szCs w:val="20"/>
              </w:rPr>
            </w:pPr>
            <w:r w:rsidRPr="00247F47">
              <w:rPr>
                <w:rFonts w:ascii="Arial Narrow" w:hAnsi="Arial Narrow"/>
                <w:b/>
                <w:bCs/>
                <w:iCs/>
                <w:sz w:val="20"/>
                <w:szCs w:val="20"/>
              </w:rPr>
              <w:t xml:space="preserve">Clinical criteria: </w:t>
            </w:r>
          </w:p>
        </w:tc>
      </w:tr>
      <w:tr w:rsidR="002A188C" w:rsidRPr="00247F47" w14:paraId="4191DC87" w14:textId="77777777" w:rsidTr="004E2D4E">
        <w:tblPrEx>
          <w:tblCellMar>
            <w:top w:w="15" w:type="dxa"/>
            <w:bottom w:w="15" w:type="dxa"/>
          </w:tblCellMar>
        </w:tblPrEx>
        <w:trPr>
          <w:cantSplit/>
          <w:trHeight w:val="20"/>
        </w:trPr>
        <w:tc>
          <w:tcPr>
            <w:tcW w:w="1274" w:type="dxa"/>
            <w:gridSpan w:val="2"/>
            <w:vAlign w:val="center"/>
            <w:hideMark/>
          </w:tcPr>
          <w:p w14:paraId="1FCF4B84" w14:textId="774C0833" w:rsidR="002A188C" w:rsidRPr="00247F47" w:rsidRDefault="002A188C" w:rsidP="00B34903">
            <w:pPr>
              <w:jc w:val="left"/>
              <w:rPr>
                <w:rFonts w:ascii="Arial Narrow" w:hAnsi="Arial Narrow"/>
                <w:iCs/>
                <w:sz w:val="20"/>
                <w:szCs w:val="20"/>
              </w:rPr>
            </w:pPr>
          </w:p>
        </w:tc>
        <w:tc>
          <w:tcPr>
            <w:tcW w:w="7748" w:type="dxa"/>
            <w:gridSpan w:val="6"/>
            <w:vAlign w:val="center"/>
            <w:hideMark/>
          </w:tcPr>
          <w:p w14:paraId="6E90BC3A" w14:textId="77777777" w:rsidR="002A188C" w:rsidRPr="00247F47" w:rsidRDefault="002A188C">
            <w:pPr>
              <w:rPr>
                <w:rFonts w:ascii="Arial Narrow" w:hAnsi="Arial Narrow"/>
                <w:iCs/>
                <w:sz w:val="20"/>
                <w:szCs w:val="20"/>
              </w:rPr>
            </w:pPr>
            <w:r w:rsidRPr="00247F47">
              <w:rPr>
                <w:rFonts w:ascii="Arial Narrow" w:hAnsi="Arial Narrow"/>
                <w:bCs/>
                <w:iCs/>
                <w:sz w:val="20"/>
              </w:rPr>
              <w:t>The condition must be either: (i) primary myelofibrosis, (ii) post-polycythaemia vera myelofibrosis, (iii) post-essential thrombocythaemia myelofibrosis, confirmed through a bone marrow biopsy report</w:t>
            </w:r>
          </w:p>
        </w:tc>
      </w:tr>
      <w:tr w:rsidR="002A188C" w:rsidRPr="00247F47" w14:paraId="6FDFC923" w14:textId="77777777" w:rsidTr="004E2D4E">
        <w:tblPrEx>
          <w:tblCellMar>
            <w:top w:w="15" w:type="dxa"/>
            <w:bottom w:w="15" w:type="dxa"/>
          </w:tblCellMar>
        </w:tblPrEx>
        <w:trPr>
          <w:cantSplit/>
          <w:trHeight w:val="20"/>
        </w:trPr>
        <w:tc>
          <w:tcPr>
            <w:tcW w:w="1274" w:type="dxa"/>
            <w:gridSpan w:val="2"/>
            <w:vAlign w:val="center"/>
            <w:hideMark/>
          </w:tcPr>
          <w:p w14:paraId="13C610C5" w14:textId="77777777" w:rsidR="002A188C" w:rsidRPr="00247F47" w:rsidRDefault="002A188C" w:rsidP="00B34903">
            <w:pPr>
              <w:jc w:val="left"/>
              <w:rPr>
                <w:rFonts w:ascii="Arial Narrow" w:hAnsi="Arial Narrow"/>
                <w:iCs/>
                <w:sz w:val="20"/>
                <w:szCs w:val="20"/>
              </w:rPr>
            </w:pPr>
          </w:p>
        </w:tc>
        <w:tc>
          <w:tcPr>
            <w:tcW w:w="7748" w:type="dxa"/>
            <w:gridSpan w:val="6"/>
            <w:vAlign w:val="center"/>
            <w:hideMark/>
          </w:tcPr>
          <w:p w14:paraId="307E145C" w14:textId="77777777" w:rsidR="002A188C" w:rsidRPr="00247F47" w:rsidRDefault="002A188C">
            <w:pPr>
              <w:rPr>
                <w:rFonts w:ascii="Arial Narrow" w:hAnsi="Arial Narrow"/>
                <w:iCs/>
                <w:sz w:val="20"/>
                <w:szCs w:val="20"/>
              </w:rPr>
            </w:pPr>
            <w:r w:rsidRPr="00247F47">
              <w:rPr>
                <w:rFonts w:ascii="Arial Narrow" w:hAnsi="Arial Narrow"/>
                <w:b/>
                <w:bCs/>
                <w:iCs/>
                <w:sz w:val="20"/>
                <w:szCs w:val="20"/>
              </w:rPr>
              <w:t>AND</w:t>
            </w:r>
          </w:p>
        </w:tc>
      </w:tr>
      <w:tr w:rsidR="002A188C" w:rsidRPr="00247F47" w14:paraId="049C267A" w14:textId="77777777" w:rsidTr="004E2D4E">
        <w:tblPrEx>
          <w:tblCellMar>
            <w:top w:w="15" w:type="dxa"/>
            <w:bottom w:w="15" w:type="dxa"/>
          </w:tblCellMar>
        </w:tblPrEx>
        <w:trPr>
          <w:cantSplit/>
          <w:trHeight w:val="20"/>
        </w:trPr>
        <w:tc>
          <w:tcPr>
            <w:tcW w:w="1274" w:type="dxa"/>
            <w:gridSpan w:val="2"/>
            <w:vAlign w:val="center"/>
          </w:tcPr>
          <w:p w14:paraId="77343AFF" w14:textId="3AE38FBA" w:rsidR="002A188C" w:rsidRPr="00247F47" w:rsidRDefault="002A188C" w:rsidP="00B34903">
            <w:pPr>
              <w:jc w:val="left"/>
              <w:rPr>
                <w:rFonts w:ascii="Arial Narrow" w:hAnsi="Arial Narrow"/>
                <w:iCs/>
                <w:sz w:val="20"/>
                <w:szCs w:val="20"/>
              </w:rPr>
            </w:pPr>
          </w:p>
        </w:tc>
        <w:tc>
          <w:tcPr>
            <w:tcW w:w="7748" w:type="dxa"/>
            <w:gridSpan w:val="6"/>
            <w:vAlign w:val="center"/>
          </w:tcPr>
          <w:p w14:paraId="29C84F6F" w14:textId="77777777" w:rsidR="002A188C" w:rsidRPr="00247F47" w:rsidRDefault="002A188C">
            <w:pPr>
              <w:rPr>
                <w:rFonts w:ascii="Arial Narrow" w:hAnsi="Arial Narrow"/>
                <w:b/>
                <w:bCs/>
                <w:iCs/>
                <w:sz w:val="20"/>
              </w:rPr>
            </w:pPr>
            <w:r w:rsidRPr="00247F47">
              <w:rPr>
                <w:rFonts w:ascii="Arial Narrow" w:hAnsi="Arial Narrow"/>
                <w:b/>
                <w:bCs/>
                <w:iCs/>
                <w:sz w:val="20"/>
              </w:rPr>
              <w:t>Clinical criteria:</w:t>
            </w:r>
          </w:p>
        </w:tc>
      </w:tr>
      <w:tr w:rsidR="002A188C" w:rsidRPr="00247F47" w14:paraId="4B1C9FF9" w14:textId="77777777" w:rsidTr="007D6D70">
        <w:tblPrEx>
          <w:tblCellMar>
            <w:top w:w="15" w:type="dxa"/>
            <w:bottom w:w="15" w:type="dxa"/>
          </w:tblCellMar>
        </w:tblPrEx>
        <w:trPr>
          <w:cantSplit/>
          <w:trHeight w:val="510"/>
        </w:trPr>
        <w:tc>
          <w:tcPr>
            <w:tcW w:w="1274" w:type="dxa"/>
            <w:gridSpan w:val="2"/>
            <w:vAlign w:val="center"/>
          </w:tcPr>
          <w:p w14:paraId="757CBEEE" w14:textId="470DAE82" w:rsidR="002A188C" w:rsidRPr="00E11D6D" w:rsidRDefault="002A188C" w:rsidP="00B34903">
            <w:pPr>
              <w:jc w:val="left"/>
              <w:rPr>
                <w:rFonts w:ascii="Arial Narrow" w:hAnsi="Arial Narrow"/>
                <w:iCs/>
                <w:sz w:val="20"/>
                <w:szCs w:val="20"/>
              </w:rPr>
            </w:pPr>
          </w:p>
        </w:tc>
        <w:tc>
          <w:tcPr>
            <w:tcW w:w="7748" w:type="dxa"/>
            <w:gridSpan w:val="6"/>
            <w:vAlign w:val="center"/>
          </w:tcPr>
          <w:p w14:paraId="4DB59B88" w14:textId="577A945E" w:rsidR="002A188C" w:rsidRPr="00247F47" w:rsidRDefault="002A188C">
            <w:pPr>
              <w:rPr>
                <w:rFonts w:ascii="Arial Narrow" w:hAnsi="Arial Narrow"/>
                <w:b/>
                <w:sz w:val="20"/>
                <w:szCs w:val="20"/>
              </w:rPr>
            </w:pPr>
            <w:r w:rsidRPr="00E93A0E">
              <w:rPr>
                <w:rFonts w:ascii="Arial Narrow" w:hAnsi="Arial Narrow"/>
                <w:color w:val="333333"/>
                <w:sz w:val="20"/>
                <w:szCs w:val="20"/>
                <w:lang w:eastAsia="en-GB"/>
              </w:rPr>
              <w:t>Patient must have severe disease-related symptoms that are resistant, refractory or intolerant to available therapy</w:t>
            </w:r>
          </w:p>
        </w:tc>
      </w:tr>
      <w:tr w:rsidR="002A188C" w:rsidRPr="00247F47" w14:paraId="3C1D01A2" w14:textId="77777777" w:rsidTr="007D6D70">
        <w:tblPrEx>
          <w:tblCellMar>
            <w:top w:w="15" w:type="dxa"/>
            <w:bottom w:w="15" w:type="dxa"/>
          </w:tblCellMar>
        </w:tblPrEx>
        <w:trPr>
          <w:cantSplit/>
          <w:trHeight w:val="300"/>
        </w:trPr>
        <w:tc>
          <w:tcPr>
            <w:tcW w:w="1274" w:type="dxa"/>
            <w:gridSpan w:val="2"/>
            <w:vAlign w:val="center"/>
          </w:tcPr>
          <w:p w14:paraId="2431FF0E" w14:textId="77777777" w:rsidR="002A188C" w:rsidRPr="00E11D6D" w:rsidRDefault="002A188C" w:rsidP="00B34903">
            <w:pPr>
              <w:jc w:val="left"/>
              <w:rPr>
                <w:rFonts w:ascii="Arial Narrow" w:hAnsi="Arial Narrow"/>
                <w:iCs/>
                <w:sz w:val="20"/>
                <w:szCs w:val="20"/>
              </w:rPr>
            </w:pPr>
          </w:p>
        </w:tc>
        <w:tc>
          <w:tcPr>
            <w:tcW w:w="7748" w:type="dxa"/>
            <w:gridSpan w:val="6"/>
            <w:vAlign w:val="center"/>
          </w:tcPr>
          <w:p w14:paraId="2D128FA2" w14:textId="77777777" w:rsidR="002A188C" w:rsidRPr="00247F47" w:rsidRDefault="002A188C">
            <w:pPr>
              <w:rPr>
                <w:rFonts w:ascii="Arial Narrow" w:hAnsi="Arial Narrow"/>
                <w:b/>
                <w:bCs/>
                <w:iCs/>
                <w:sz w:val="20"/>
              </w:rPr>
            </w:pPr>
            <w:r>
              <w:rPr>
                <w:rFonts w:ascii="Arial Narrow" w:hAnsi="Arial Narrow"/>
                <w:b/>
                <w:bCs/>
                <w:iCs/>
                <w:sz w:val="20"/>
              </w:rPr>
              <w:t>OR</w:t>
            </w:r>
          </w:p>
        </w:tc>
      </w:tr>
      <w:tr w:rsidR="002A188C" w:rsidRPr="00247F47" w14:paraId="262C6531" w14:textId="77777777" w:rsidTr="004E2D4E">
        <w:tblPrEx>
          <w:tblCellMar>
            <w:top w:w="15" w:type="dxa"/>
            <w:bottom w:w="15" w:type="dxa"/>
          </w:tblCellMar>
        </w:tblPrEx>
        <w:trPr>
          <w:cantSplit/>
          <w:trHeight w:val="20"/>
        </w:trPr>
        <w:tc>
          <w:tcPr>
            <w:tcW w:w="1274" w:type="dxa"/>
            <w:gridSpan w:val="2"/>
            <w:vAlign w:val="center"/>
          </w:tcPr>
          <w:p w14:paraId="3FD47E24" w14:textId="72EC8631" w:rsidR="002A188C" w:rsidRPr="00E11D6D" w:rsidRDefault="002A188C" w:rsidP="00B34903">
            <w:pPr>
              <w:jc w:val="left"/>
              <w:rPr>
                <w:rFonts w:ascii="Arial Narrow" w:hAnsi="Arial Narrow"/>
                <w:iCs/>
                <w:sz w:val="20"/>
                <w:szCs w:val="20"/>
              </w:rPr>
            </w:pPr>
          </w:p>
        </w:tc>
        <w:tc>
          <w:tcPr>
            <w:tcW w:w="7748" w:type="dxa"/>
            <w:gridSpan w:val="6"/>
            <w:vAlign w:val="center"/>
          </w:tcPr>
          <w:p w14:paraId="55F80032" w14:textId="77777777" w:rsidR="002A188C" w:rsidRPr="00634F5D" w:rsidRDefault="002A188C">
            <w:pPr>
              <w:rPr>
                <w:rFonts w:ascii="Arial Narrow" w:hAnsi="Arial Narrow"/>
                <w:iCs/>
                <w:sz w:val="20"/>
              </w:rPr>
            </w:pPr>
            <w:r w:rsidRPr="00634F5D">
              <w:rPr>
                <w:rFonts w:ascii="Arial Narrow" w:hAnsi="Arial Narrow"/>
                <w:iCs/>
                <w:sz w:val="20"/>
              </w:rPr>
              <w:t>Patient must have intolerance to prior treatment with a JAK inhibitor for this condition</w:t>
            </w:r>
          </w:p>
        </w:tc>
      </w:tr>
      <w:tr w:rsidR="002A188C" w:rsidRPr="00247F47" w14:paraId="1315DF4F" w14:textId="77777777" w:rsidTr="004E2D4E">
        <w:tblPrEx>
          <w:tblCellMar>
            <w:top w:w="15" w:type="dxa"/>
            <w:bottom w:w="15" w:type="dxa"/>
          </w:tblCellMar>
        </w:tblPrEx>
        <w:trPr>
          <w:cantSplit/>
          <w:trHeight w:val="20"/>
        </w:trPr>
        <w:tc>
          <w:tcPr>
            <w:tcW w:w="1274" w:type="dxa"/>
            <w:gridSpan w:val="2"/>
            <w:vAlign w:val="center"/>
          </w:tcPr>
          <w:p w14:paraId="1032D947" w14:textId="77777777" w:rsidR="002A188C" w:rsidRPr="00E11D6D" w:rsidRDefault="002A188C" w:rsidP="00B34903">
            <w:pPr>
              <w:jc w:val="left"/>
              <w:rPr>
                <w:rFonts w:ascii="Arial Narrow" w:hAnsi="Arial Narrow"/>
                <w:iCs/>
                <w:sz w:val="20"/>
                <w:szCs w:val="20"/>
              </w:rPr>
            </w:pPr>
          </w:p>
        </w:tc>
        <w:tc>
          <w:tcPr>
            <w:tcW w:w="7748" w:type="dxa"/>
            <w:gridSpan w:val="6"/>
            <w:vAlign w:val="center"/>
          </w:tcPr>
          <w:p w14:paraId="09C62F6B" w14:textId="77777777" w:rsidR="002A188C" w:rsidRPr="00247F47" w:rsidRDefault="002A188C">
            <w:pPr>
              <w:rPr>
                <w:rFonts w:ascii="Arial Narrow" w:hAnsi="Arial Narrow"/>
                <w:b/>
                <w:bCs/>
                <w:iCs/>
                <w:sz w:val="20"/>
              </w:rPr>
            </w:pPr>
            <w:r w:rsidRPr="00247F47">
              <w:rPr>
                <w:rFonts w:ascii="Arial Narrow" w:hAnsi="Arial Narrow"/>
                <w:b/>
                <w:bCs/>
                <w:iCs/>
                <w:sz w:val="20"/>
                <w:szCs w:val="20"/>
              </w:rPr>
              <w:t>AND</w:t>
            </w:r>
          </w:p>
        </w:tc>
      </w:tr>
      <w:tr w:rsidR="002A188C" w:rsidRPr="00247F47" w14:paraId="10718B88" w14:textId="77777777" w:rsidTr="004E2D4E">
        <w:tblPrEx>
          <w:tblCellMar>
            <w:top w:w="15" w:type="dxa"/>
            <w:bottom w:w="15" w:type="dxa"/>
          </w:tblCellMar>
        </w:tblPrEx>
        <w:trPr>
          <w:cantSplit/>
          <w:trHeight w:val="20"/>
        </w:trPr>
        <w:tc>
          <w:tcPr>
            <w:tcW w:w="1274" w:type="dxa"/>
            <w:gridSpan w:val="2"/>
            <w:vAlign w:val="center"/>
          </w:tcPr>
          <w:p w14:paraId="49249F75" w14:textId="76E50540" w:rsidR="002A188C" w:rsidRPr="00E11D6D" w:rsidRDefault="002A188C" w:rsidP="00B34903">
            <w:pPr>
              <w:jc w:val="left"/>
              <w:rPr>
                <w:rFonts w:ascii="Arial Narrow" w:hAnsi="Arial Narrow"/>
                <w:iCs/>
                <w:sz w:val="20"/>
                <w:szCs w:val="20"/>
              </w:rPr>
            </w:pPr>
          </w:p>
        </w:tc>
        <w:tc>
          <w:tcPr>
            <w:tcW w:w="7748" w:type="dxa"/>
            <w:gridSpan w:val="6"/>
            <w:vAlign w:val="center"/>
          </w:tcPr>
          <w:p w14:paraId="1D062977" w14:textId="77777777" w:rsidR="002A188C" w:rsidRPr="00247F47" w:rsidRDefault="002A188C">
            <w:pPr>
              <w:rPr>
                <w:rFonts w:ascii="Arial Narrow" w:hAnsi="Arial Narrow"/>
                <w:b/>
                <w:bCs/>
                <w:iCs/>
                <w:sz w:val="20"/>
              </w:rPr>
            </w:pPr>
            <w:r w:rsidRPr="00247F47">
              <w:rPr>
                <w:rFonts w:ascii="Arial Narrow" w:hAnsi="Arial Narrow"/>
                <w:b/>
                <w:bCs/>
                <w:iCs/>
                <w:sz w:val="20"/>
              </w:rPr>
              <w:t>Clinical criteria:</w:t>
            </w:r>
          </w:p>
        </w:tc>
      </w:tr>
      <w:tr w:rsidR="002A188C" w:rsidRPr="00247F47" w14:paraId="4EED78E9" w14:textId="77777777" w:rsidTr="004E2D4E">
        <w:tblPrEx>
          <w:tblCellMar>
            <w:top w:w="15" w:type="dxa"/>
            <w:bottom w:w="15" w:type="dxa"/>
          </w:tblCellMar>
        </w:tblPrEx>
        <w:trPr>
          <w:cantSplit/>
          <w:trHeight w:val="20"/>
        </w:trPr>
        <w:tc>
          <w:tcPr>
            <w:tcW w:w="1274" w:type="dxa"/>
            <w:gridSpan w:val="2"/>
            <w:vAlign w:val="center"/>
          </w:tcPr>
          <w:p w14:paraId="6F0296F4" w14:textId="4B076767" w:rsidR="002A188C" w:rsidRPr="00247F47" w:rsidRDefault="002A188C" w:rsidP="00B34903">
            <w:pPr>
              <w:jc w:val="left"/>
              <w:rPr>
                <w:rFonts w:ascii="Arial Narrow" w:hAnsi="Arial Narrow"/>
                <w:iCs/>
                <w:sz w:val="20"/>
                <w:szCs w:val="20"/>
              </w:rPr>
            </w:pPr>
          </w:p>
        </w:tc>
        <w:tc>
          <w:tcPr>
            <w:tcW w:w="7748" w:type="dxa"/>
            <w:gridSpan w:val="6"/>
            <w:vAlign w:val="center"/>
          </w:tcPr>
          <w:p w14:paraId="5165F178" w14:textId="77777777" w:rsidR="002A188C" w:rsidRPr="00247F47" w:rsidRDefault="002A188C">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r w:rsidR="51B6AD7A" w14:paraId="04B732A5" w14:textId="77777777" w:rsidTr="51B6AD7A">
        <w:tblPrEx>
          <w:tblCellMar>
            <w:top w:w="15" w:type="dxa"/>
            <w:bottom w:w="15" w:type="dxa"/>
          </w:tblCellMar>
        </w:tblPrEx>
        <w:trPr>
          <w:cantSplit/>
          <w:trHeight w:val="20"/>
        </w:trPr>
        <w:tc>
          <w:tcPr>
            <w:tcW w:w="1274" w:type="dxa"/>
            <w:gridSpan w:val="2"/>
            <w:vAlign w:val="center"/>
          </w:tcPr>
          <w:p w14:paraId="154F785A" w14:textId="1C0CDA1C" w:rsidR="51B6AD7A" w:rsidRDefault="51B6AD7A" w:rsidP="00B34903">
            <w:pPr>
              <w:jc w:val="left"/>
              <w:rPr>
                <w:rFonts w:ascii="Arial Narrow" w:hAnsi="Arial Narrow"/>
                <w:sz w:val="20"/>
                <w:szCs w:val="20"/>
              </w:rPr>
            </w:pPr>
          </w:p>
        </w:tc>
        <w:tc>
          <w:tcPr>
            <w:tcW w:w="7748" w:type="dxa"/>
            <w:gridSpan w:val="6"/>
            <w:vAlign w:val="center"/>
          </w:tcPr>
          <w:p w14:paraId="4F0B9023" w14:textId="2F83FB44" w:rsidR="51B6AD7A" w:rsidRDefault="51B6AD7A" w:rsidP="51B6AD7A">
            <w:pPr>
              <w:rPr>
                <w:rFonts w:ascii="Arial Narrow" w:hAnsi="Arial Narrow"/>
                <w:sz w:val="20"/>
                <w:szCs w:val="20"/>
              </w:rPr>
            </w:pPr>
          </w:p>
        </w:tc>
      </w:tr>
      <w:tr w:rsidR="002A188C" w:rsidRPr="00247F47" w14:paraId="6F70B183" w14:textId="77777777" w:rsidTr="004E2D4E">
        <w:tblPrEx>
          <w:tblCellMar>
            <w:top w:w="15" w:type="dxa"/>
            <w:bottom w:w="15" w:type="dxa"/>
          </w:tblCellMar>
        </w:tblPrEx>
        <w:trPr>
          <w:cantSplit/>
          <w:trHeight w:val="20"/>
        </w:trPr>
        <w:tc>
          <w:tcPr>
            <w:tcW w:w="1274" w:type="dxa"/>
            <w:gridSpan w:val="2"/>
            <w:vAlign w:val="center"/>
          </w:tcPr>
          <w:p w14:paraId="09A82672" w14:textId="7616BDB2" w:rsidR="002A188C" w:rsidRPr="00247F47" w:rsidRDefault="002A188C" w:rsidP="00B34903">
            <w:pPr>
              <w:jc w:val="left"/>
              <w:rPr>
                <w:rFonts w:ascii="Arial Narrow" w:hAnsi="Arial Narrow"/>
                <w:iCs/>
                <w:sz w:val="20"/>
                <w:szCs w:val="20"/>
              </w:rPr>
            </w:pPr>
          </w:p>
        </w:tc>
        <w:tc>
          <w:tcPr>
            <w:tcW w:w="7748" w:type="dxa"/>
            <w:gridSpan w:val="6"/>
            <w:vAlign w:val="center"/>
          </w:tcPr>
          <w:p w14:paraId="12D79F96" w14:textId="77777777" w:rsidR="002A188C" w:rsidRPr="00247F47" w:rsidRDefault="002A188C">
            <w:pPr>
              <w:rPr>
                <w:rFonts w:ascii="Arial Narrow" w:hAnsi="Arial Narrow"/>
                <w:b/>
                <w:bCs/>
                <w:iCs/>
                <w:sz w:val="20"/>
                <w:szCs w:val="20"/>
              </w:rPr>
            </w:pPr>
            <w:r w:rsidRPr="00247F47">
              <w:rPr>
                <w:rFonts w:ascii="Arial Narrow" w:hAnsi="Arial Narrow"/>
                <w:b/>
                <w:bCs/>
                <w:iCs/>
                <w:sz w:val="20"/>
                <w:szCs w:val="20"/>
              </w:rPr>
              <w:t xml:space="preserve">Prescribing Instructions: </w:t>
            </w:r>
          </w:p>
          <w:p w14:paraId="7511EB7F" w14:textId="77777777" w:rsidR="002A188C" w:rsidRPr="00247F47" w:rsidRDefault="002A188C">
            <w:pPr>
              <w:rPr>
                <w:rFonts w:ascii="Arial Narrow" w:hAnsi="Arial Narrow"/>
                <w:iCs/>
                <w:sz w:val="20"/>
                <w:szCs w:val="20"/>
              </w:rPr>
            </w:pPr>
            <w:r w:rsidRPr="00247F47">
              <w:rPr>
                <w:rFonts w:ascii="Arial Narrow" w:hAnsi="Arial Narrow"/>
                <w:iCs/>
                <w:sz w:val="20"/>
                <w:szCs w:val="20"/>
              </w:rPr>
              <w:t xml:space="preserve">Details of the following must be documented in the patient’s medical records: </w:t>
            </w:r>
          </w:p>
          <w:p w14:paraId="4B845535" w14:textId="77777777" w:rsidR="002A188C" w:rsidRPr="00247F47" w:rsidRDefault="002A188C" w:rsidP="002A188C">
            <w:pPr>
              <w:numPr>
                <w:ilvl w:val="0"/>
                <w:numId w:val="15"/>
              </w:numPr>
              <w:contextualSpacing/>
              <w:rPr>
                <w:rFonts w:ascii="Arial Narrow" w:hAnsi="Arial Narrow"/>
                <w:iCs/>
                <w:sz w:val="20"/>
                <w:szCs w:val="20"/>
              </w:rPr>
            </w:pPr>
            <w:r w:rsidRPr="00247F47">
              <w:rPr>
                <w:rFonts w:ascii="Arial Narrow" w:hAnsi="Arial Narrow"/>
                <w:iCs/>
                <w:sz w:val="20"/>
                <w:szCs w:val="20"/>
              </w:rPr>
              <w:t xml:space="preserve">the bone marrow biopsy report confirming diagnosis of myelofibrosis (date, unique identifying number/code or provider number); and </w:t>
            </w:r>
          </w:p>
          <w:p w14:paraId="2EC5A5A7" w14:textId="77777777" w:rsidR="002A188C" w:rsidRPr="00247F47" w:rsidRDefault="002A188C" w:rsidP="002A188C">
            <w:pPr>
              <w:numPr>
                <w:ilvl w:val="0"/>
                <w:numId w:val="15"/>
              </w:numPr>
              <w:contextualSpacing/>
              <w:rPr>
                <w:rFonts w:ascii="Arial Narrow" w:hAnsi="Arial Narrow"/>
                <w:iCs/>
                <w:sz w:val="20"/>
                <w:szCs w:val="20"/>
              </w:rPr>
            </w:pPr>
            <w:r w:rsidRPr="00247F47">
              <w:rPr>
                <w:rFonts w:ascii="Arial Narrow" w:hAnsi="Arial Narrow"/>
                <w:iCs/>
                <w:sz w:val="20"/>
                <w:szCs w:val="20"/>
              </w:rPr>
              <w:t>a classification of risk of myelofibrosis according to either the IPSS, DIPSS, or the Age-Adjusted DIPSS</w:t>
            </w:r>
          </w:p>
        </w:tc>
      </w:tr>
      <w:tr w:rsidR="51B6AD7A" w14:paraId="581C202E" w14:textId="77777777" w:rsidTr="51B6AD7A">
        <w:tblPrEx>
          <w:tblCellMar>
            <w:top w:w="15" w:type="dxa"/>
            <w:bottom w:w="15" w:type="dxa"/>
          </w:tblCellMar>
        </w:tblPrEx>
        <w:trPr>
          <w:cantSplit/>
          <w:trHeight w:val="20"/>
        </w:trPr>
        <w:tc>
          <w:tcPr>
            <w:tcW w:w="1274" w:type="dxa"/>
            <w:gridSpan w:val="2"/>
            <w:vAlign w:val="center"/>
          </w:tcPr>
          <w:p w14:paraId="488DC0E5" w14:textId="67CEB6EE" w:rsidR="51B6AD7A" w:rsidRDefault="51B6AD7A" w:rsidP="00B34903">
            <w:pPr>
              <w:jc w:val="left"/>
              <w:rPr>
                <w:rFonts w:ascii="Arial Narrow" w:hAnsi="Arial Narrow"/>
                <w:sz w:val="20"/>
                <w:szCs w:val="20"/>
              </w:rPr>
            </w:pPr>
          </w:p>
        </w:tc>
        <w:tc>
          <w:tcPr>
            <w:tcW w:w="7748" w:type="dxa"/>
            <w:gridSpan w:val="6"/>
            <w:vAlign w:val="center"/>
          </w:tcPr>
          <w:p w14:paraId="7C529B23" w14:textId="4017246D" w:rsidR="51B6AD7A" w:rsidRDefault="51B6AD7A" w:rsidP="51B6AD7A">
            <w:pPr>
              <w:rPr>
                <w:rFonts w:ascii="Arial Narrow" w:hAnsi="Arial Narrow"/>
                <w:b/>
                <w:bCs/>
                <w:sz w:val="20"/>
                <w:szCs w:val="20"/>
              </w:rPr>
            </w:pPr>
          </w:p>
        </w:tc>
      </w:tr>
      <w:tr w:rsidR="002A188C" w:rsidRPr="00247F47" w14:paraId="00F9D72A" w14:textId="77777777" w:rsidTr="004E2D4E">
        <w:tblPrEx>
          <w:tblCellMar>
            <w:top w:w="15" w:type="dxa"/>
            <w:bottom w:w="15" w:type="dxa"/>
          </w:tblCellMar>
        </w:tblPrEx>
        <w:trPr>
          <w:cantSplit/>
          <w:trHeight w:val="20"/>
        </w:trPr>
        <w:tc>
          <w:tcPr>
            <w:tcW w:w="1274" w:type="dxa"/>
            <w:gridSpan w:val="2"/>
            <w:vAlign w:val="center"/>
          </w:tcPr>
          <w:p w14:paraId="5156D11F" w14:textId="6178495A" w:rsidR="002A188C" w:rsidRPr="00247F47" w:rsidRDefault="002A188C" w:rsidP="00B34903">
            <w:pPr>
              <w:jc w:val="left"/>
              <w:rPr>
                <w:rFonts w:ascii="Arial Narrow" w:hAnsi="Arial Narrow"/>
                <w:iCs/>
                <w:sz w:val="20"/>
                <w:szCs w:val="20"/>
              </w:rPr>
            </w:pPr>
          </w:p>
        </w:tc>
        <w:tc>
          <w:tcPr>
            <w:tcW w:w="7748" w:type="dxa"/>
            <w:gridSpan w:val="6"/>
            <w:vAlign w:val="center"/>
          </w:tcPr>
          <w:p w14:paraId="0AA166B6" w14:textId="77777777" w:rsidR="002A188C" w:rsidRPr="00247F47" w:rsidRDefault="002A188C">
            <w:pPr>
              <w:rPr>
                <w:rFonts w:ascii="Arial Narrow" w:hAnsi="Arial Narrow"/>
                <w:b/>
                <w:bCs/>
                <w:iCs/>
                <w:sz w:val="20"/>
                <w:szCs w:val="20"/>
              </w:rPr>
            </w:pPr>
            <w:r w:rsidRPr="00247F47">
              <w:rPr>
                <w:rFonts w:ascii="Arial Narrow" w:hAnsi="Arial Narrow"/>
                <w:b/>
                <w:bCs/>
                <w:iCs/>
                <w:sz w:val="20"/>
                <w:szCs w:val="20"/>
              </w:rPr>
              <w:t xml:space="preserve">Caution: </w:t>
            </w:r>
          </w:p>
          <w:p w14:paraId="6CEDFC6D" w14:textId="77777777" w:rsidR="002A188C" w:rsidRPr="00247F47" w:rsidRDefault="002A188C">
            <w:pPr>
              <w:rPr>
                <w:rFonts w:ascii="Arial Narrow" w:hAnsi="Arial Narrow"/>
                <w:iCs/>
                <w:sz w:val="20"/>
                <w:szCs w:val="20"/>
              </w:rPr>
            </w:pPr>
            <w:r w:rsidRPr="00247F47">
              <w:rPr>
                <w:rFonts w:ascii="Arial Narrow" w:hAnsi="Arial Narrow"/>
                <w:iCs/>
                <w:sz w:val="20"/>
                <w:szCs w:val="20"/>
              </w:rPr>
              <w:t xml:space="preserve">Thiamine levels should be assessed as per the approved Therapeutic Goods Administration (TGA) Product Information (PI) prior to receiving treatment and should be closely monitored throughout the treatment period. </w:t>
            </w:r>
          </w:p>
        </w:tc>
      </w:tr>
    </w:tbl>
    <w:p w14:paraId="322A3F00" w14:textId="77777777" w:rsidR="002A188C" w:rsidRDefault="002A188C" w:rsidP="002A188C">
      <w:pPr>
        <w:rPr>
          <w:rFonts w:asciiTheme="minorHAnsi" w:hAnsiTheme="minorHAnsi" w:cstheme="minorBidi"/>
          <w:i/>
          <w:iCs/>
          <w:color w:val="000000" w:themeColor="text1"/>
        </w:rPr>
      </w:pPr>
    </w:p>
    <w:p w14:paraId="183B45DE" w14:textId="77777777" w:rsidR="00A2379D" w:rsidRDefault="00A2379D">
      <w:pPr>
        <w:jc w:val="left"/>
        <w:rPr>
          <w:rFonts w:asciiTheme="minorHAnsi" w:hAnsiTheme="minorHAnsi" w:cstheme="minorBidi"/>
          <w:color w:val="000000" w:themeColor="text1"/>
        </w:rPr>
      </w:pPr>
      <w:r>
        <w:rPr>
          <w:rFonts w:asciiTheme="minorHAnsi" w:hAnsiTheme="minorHAnsi" w:cstheme="minorBidi"/>
          <w:color w:val="000000" w:themeColor="text1"/>
        </w:rPr>
        <w:br w:type="page"/>
      </w:r>
    </w:p>
    <w:p w14:paraId="4D6E25E3" w14:textId="2055D78F" w:rsidR="00DC6802" w:rsidRPr="00DC6802" w:rsidRDefault="00DC6802" w:rsidP="00DC6802">
      <w:pPr>
        <w:rPr>
          <w:rFonts w:asciiTheme="minorHAnsi" w:hAnsiTheme="minorHAnsi" w:cstheme="minorBidi"/>
          <w:color w:val="000000" w:themeColor="text1"/>
        </w:rPr>
      </w:pPr>
      <w:r>
        <w:rPr>
          <w:rFonts w:asciiTheme="minorHAnsi" w:hAnsiTheme="minorHAnsi" w:cstheme="minorBidi"/>
          <w:color w:val="000000" w:themeColor="text1"/>
        </w:rPr>
        <w:t>Continuing</w:t>
      </w:r>
      <w:r w:rsidRPr="00DC6802">
        <w:rPr>
          <w:rFonts w:asciiTheme="minorHAnsi" w:hAnsiTheme="minorHAnsi" w:cstheme="minorBidi"/>
          <w:color w:val="000000" w:themeColor="text1"/>
        </w:rPr>
        <w:t xml:space="preserve">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Intermediate-1 risk myelofibrosis - continuing treatment"/>
      </w:tblPr>
      <w:tblGrid>
        <w:gridCol w:w="1176"/>
        <w:gridCol w:w="734"/>
        <w:gridCol w:w="925"/>
        <w:gridCol w:w="1134"/>
        <w:gridCol w:w="993"/>
        <w:gridCol w:w="903"/>
        <w:gridCol w:w="763"/>
        <w:gridCol w:w="2394"/>
      </w:tblGrid>
      <w:tr w:rsidR="004A73B8" w:rsidRPr="00247F47" w14:paraId="15D7A211" w14:textId="77777777" w:rsidTr="00961886">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tcPr>
          <w:p w14:paraId="58068176" w14:textId="77777777" w:rsidR="004A73B8" w:rsidRDefault="004A73B8" w:rsidP="004A73B8">
            <w:pPr>
              <w:keepLines/>
              <w:rPr>
                <w:rFonts w:ascii="Arial Narrow" w:eastAsia="Calibri" w:hAnsi="Arial Narrow"/>
                <w:iCs/>
                <w:sz w:val="20"/>
                <w:szCs w:val="20"/>
              </w:rPr>
            </w:pPr>
            <w:r w:rsidRPr="00247F47">
              <w:rPr>
                <w:rFonts w:ascii="Arial Narrow" w:hAnsi="Arial Narrow"/>
                <w:b/>
                <w:iCs/>
                <w:sz w:val="20"/>
                <w:szCs w:val="20"/>
              </w:rPr>
              <w:t>Category / Program:</w:t>
            </w:r>
            <w:r w:rsidRPr="00247F47">
              <w:rPr>
                <w:rFonts w:ascii="Arial Narrow" w:hAnsi="Arial Narrow"/>
                <w:iCs/>
                <w:sz w:val="20"/>
                <w:szCs w:val="20"/>
              </w:rPr>
              <w:t xml:space="preserve"> </w:t>
            </w:r>
            <w:r w:rsidRPr="00247F47">
              <w:rPr>
                <w:rFonts w:ascii="Arial Narrow" w:eastAsia="Calibri" w:hAnsi="Arial Narrow"/>
                <w:iCs/>
                <w:sz w:val="20"/>
                <w:szCs w:val="20"/>
              </w:rPr>
              <w:t xml:space="preserve">GENERAL </w:t>
            </w:r>
            <w:r>
              <w:rPr>
                <w:rFonts w:ascii="Arial Narrow" w:eastAsia="Calibri" w:hAnsi="Arial Narrow"/>
                <w:iCs/>
                <w:sz w:val="20"/>
                <w:szCs w:val="20"/>
              </w:rPr>
              <w:t>–</w:t>
            </w:r>
            <w:r w:rsidRPr="00247F47">
              <w:rPr>
                <w:rFonts w:ascii="Arial Narrow" w:eastAsia="Calibri" w:hAnsi="Arial Narrow"/>
                <w:iCs/>
                <w:sz w:val="20"/>
                <w:szCs w:val="20"/>
              </w:rPr>
              <w:t xml:space="preserve"> General Schedule (Code GE)</w:t>
            </w:r>
          </w:p>
          <w:p w14:paraId="2C5A0DFE" w14:textId="77777777" w:rsidR="004A73B8" w:rsidRPr="00247F47" w:rsidRDefault="004A73B8" w:rsidP="004A73B8">
            <w:pPr>
              <w:keepNext/>
              <w:rPr>
                <w:rFonts w:ascii="Arial Narrow" w:eastAsia="MS Gothic" w:hAnsi="Arial Narrow"/>
                <w:b/>
                <w:iCs/>
                <w:sz w:val="20"/>
                <w:szCs w:val="20"/>
              </w:rPr>
            </w:pPr>
          </w:p>
        </w:tc>
      </w:tr>
      <w:tr w:rsidR="00DC6802" w:rsidRPr="00247F47" w14:paraId="1C891C15" w14:textId="77777777" w:rsidTr="00D436D0">
        <w:trPr>
          <w:cantSplit/>
          <w:trHeight w:val="20"/>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9CA6289" w14:textId="77777777" w:rsidR="00DC6802" w:rsidRPr="00247F47" w:rsidRDefault="00DC6802">
            <w:pPr>
              <w:keepNext/>
              <w:rPr>
                <w:rFonts w:ascii="Arial Narrow" w:eastAsia="MS Gothic" w:hAnsi="Arial Narrow"/>
                <w:b/>
                <w:iCs/>
                <w:sz w:val="20"/>
              </w:rPr>
            </w:pPr>
            <w:r w:rsidRPr="00247F47">
              <w:rPr>
                <w:rFonts w:ascii="Arial Narrow" w:eastAsia="MS Gothic" w:hAnsi="Arial Narrow"/>
                <w:b/>
                <w:iCs/>
                <w:sz w:val="20"/>
              </w:rPr>
              <w:t>MEDICINAL PRODUCT</w:t>
            </w:r>
          </w:p>
          <w:p w14:paraId="5432DD56" w14:textId="77777777" w:rsidR="00DC6802" w:rsidRPr="00247F47" w:rsidRDefault="00DC6802">
            <w:pPr>
              <w:keepNext/>
              <w:rPr>
                <w:rFonts w:ascii="Arial Narrow" w:eastAsia="MS Gothic" w:hAnsi="Arial Narrow"/>
                <w:b/>
                <w:iCs/>
                <w:sz w:val="20"/>
              </w:rPr>
            </w:pPr>
            <w:r w:rsidRPr="00247F47">
              <w:rPr>
                <w:rFonts w:ascii="Arial Narrow" w:eastAsia="MS Gothic" w:hAnsi="Arial Narrow"/>
                <w:b/>
                <w:iCs/>
                <w:sz w:val="20"/>
              </w:rPr>
              <w:t>medicinal product pack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21597" w14:textId="75DACAF5" w:rsidR="00DC6802" w:rsidRPr="00247F47" w:rsidRDefault="00D436D0">
            <w:pPr>
              <w:keepNext/>
              <w:jc w:val="center"/>
              <w:rPr>
                <w:rFonts w:ascii="Arial Narrow" w:eastAsia="MS Gothic" w:hAnsi="Arial Narrow"/>
                <w:b/>
                <w:iCs/>
                <w:sz w:val="20"/>
                <w:szCs w:val="20"/>
              </w:rPr>
            </w:pPr>
            <w:r>
              <w:rPr>
                <w:rFonts w:ascii="Arial Narrow" w:eastAsia="MS Gothic" w:hAnsi="Arial Narrow"/>
                <w:b/>
                <w:iCs/>
                <w:sz w:val="20"/>
                <w:szCs w:val="20"/>
              </w:rPr>
              <w:t>PBS item code</w:t>
            </w:r>
          </w:p>
        </w:tc>
        <w:tc>
          <w:tcPr>
            <w:tcW w:w="993" w:type="dxa"/>
            <w:tcBorders>
              <w:top w:val="single" w:sz="4" w:space="0" w:color="auto"/>
              <w:left w:val="single" w:sz="4" w:space="0" w:color="auto"/>
              <w:bottom w:val="single" w:sz="4" w:space="0" w:color="auto"/>
              <w:right w:val="single" w:sz="4" w:space="0" w:color="auto"/>
            </w:tcBorders>
            <w:vAlign w:val="center"/>
          </w:tcPr>
          <w:p w14:paraId="05FD6FBA" w14:textId="14CB0748" w:rsidR="00D436D0" w:rsidRPr="00247F47" w:rsidRDefault="00D436D0">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packs</w:t>
            </w:r>
          </w:p>
        </w:tc>
        <w:tc>
          <w:tcPr>
            <w:tcW w:w="903" w:type="dxa"/>
            <w:tcBorders>
              <w:top w:val="single" w:sz="4" w:space="0" w:color="auto"/>
              <w:left w:val="single" w:sz="4" w:space="0" w:color="auto"/>
              <w:bottom w:val="single" w:sz="4" w:space="0" w:color="auto"/>
              <w:right w:val="single" w:sz="4" w:space="0" w:color="auto"/>
            </w:tcBorders>
            <w:vAlign w:val="center"/>
            <w:hideMark/>
          </w:tcPr>
          <w:p w14:paraId="53E32A88" w14:textId="178FE2D3" w:rsidR="00DC6802" w:rsidRPr="00247F47" w:rsidRDefault="00DC6802">
            <w:pPr>
              <w:keepNext/>
              <w:jc w:val="center"/>
              <w:rPr>
                <w:rFonts w:ascii="Arial Narrow" w:eastAsia="MS Gothic" w:hAnsi="Arial Narrow"/>
                <w:b/>
                <w:iCs/>
                <w:sz w:val="20"/>
                <w:szCs w:val="20"/>
              </w:rPr>
            </w:pPr>
            <w:r w:rsidRPr="00247F47">
              <w:rPr>
                <w:rFonts w:ascii="Arial Narrow" w:eastAsia="MS Gothic" w:hAnsi="Arial Narrow"/>
                <w:b/>
                <w:iCs/>
                <w:sz w:val="20"/>
                <w:szCs w:val="20"/>
              </w:rPr>
              <w:t>Max. qty units</w:t>
            </w:r>
          </w:p>
        </w:tc>
        <w:tc>
          <w:tcPr>
            <w:tcW w:w="763" w:type="dxa"/>
            <w:tcBorders>
              <w:top w:val="single" w:sz="4" w:space="0" w:color="auto"/>
              <w:left w:val="single" w:sz="4" w:space="0" w:color="auto"/>
              <w:bottom w:val="single" w:sz="4" w:space="0" w:color="auto"/>
              <w:right w:val="single" w:sz="4" w:space="0" w:color="auto"/>
            </w:tcBorders>
            <w:vAlign w:val="center"/>
            <w:hideMark/>
          </w:tcPr>
          <w:p w14:paraId="4CE373BB" w14:textId="77777777" w:rsidR="00DC6802" w:rsidRPr="00247F47" w:rsidRDefault="00DC6802">
            <w:pPr>
              <w:keepNext/>
              <w:jc w:val="center"/>
              <w:rPr>
                <w:rFonts w:ascii="Arial Narrow" w:eastAsia="MS Gothic" w:hAnsi="Arial Narrow"/>
                <w:b/>
                <w:iCs/>
                <w:sz w:val="20"/>
                <w:szCs w:val="20"/>
              </w:rPr>
            </w:pPr>
            <w:r w:rsidRPr="00247F47">
              <w:rPr>
                <w:rFonts w:ascii="Arial Narrow" w:eastAsia="MS Gothic" w:hAnsi="Arial Narrow"/>
                <w:b/>
                <w:iCs/>
                <w:sz w:val="20"/>
                <w:szCs w:val="20"/>
              </w:rPr>
              <w:t>№.of</w:t>
            </w:r>
          </w:p>
          <w:p w14:paraId="4CDB9BFC" w14:textId="77777777" w:rsidR="00DC6802" w:rsidRPr="00247F47" w:rsidRDefault="00DC6802">
            <w:pPr>
              <w:keepNext/>
              <w:jc w:val="center"/>
              <w:rPr>
                <w:rFonts w:ascii="Arial Narrow" w:eastAsia="MS Gothic" w:hAnsi="Arial Narrow"/>
                <w:b/>
                <w:iCs/>
                <w:sz w:val="20"/>
                <w:szCs w:val="20"/>
              </w:rPr>
            </w:pPr>
            <w:r w:rsidRPr="00247F47">
              <w:rPr>
                <w:rFonts w:ascii="Arial Narrow" w:eastAsia="MS Gothic" w:hAnsi="Arial Narrow"/>
                <w:b/>
                <w:iCs/>
                <w:sz w:val="20"/>
                <w:szCs w:val="20"/>
              </w:rPr>
              <w:t>Rpts</w:t>
            </w:r>
          </w:p>
        </w:tc>
        <w:tc>
          <w:tcPr>
            <w:tcW w:w="2394" w:type="dxa"/>
            <w:tcBorders>
              <w:top w:val="single" w:sz="4" w:space="0" w:color="auto"/>
              <w:left w:val="single" w:sz="4" w:space="0" w:color="auto"/>
              <w:bottom w:val="single" w:sz="4" w:space="0" w:color="auto"/>
              <w:right w:val="single" w:sz="4" w:space="0" w:color="auto"/>
            </w:tcBorders>
            <w:vAlign w:val="center"/>
            <w:hideMark/>
          </w:tcPr>
          <w:p w14:paraId="1FFBDE3A" w14:textId="77777777" w:rsidR="00DC6802" w:rsidRPr="00247F47" w:rsidRDefault="00DC6802">
            <w:pPr>
              <w:keepNext/>
              <w:jc w:val="center"/>
              <w:rPr>
                <w:rFonts w:ascii="Arial Narrow" w:eastAsia="MS Gothic" w:hAnsi="Arial Narrow"/>
                <w:b/>
                <w:iCs/>
                <w:sz w:val="20"/>
                <w:szCs w:val="20"/>
              </w:rPr>
            </w:pPr>
            <w:r w:rsidRPr="00247F47">
              <w:rPr>
                <w:rFonts w:ascii="Arial Narrow" w:eastAsia="MS Gothic" w:hAnsi="Arial Narrow"/>
                <w:b/>
                <w:iCs/>
                <w:sz w:val="20"/>
                <w:szCs w:val="20"/>
              </w:rPr>
              <w:t>Available brands</w:t>
            </w:r>
          </w:p>
        </w:tc>
      </w:tr>
      <w:tr w:rsidR="00DC6802" w:rsidRPr="00247F47" w14:paraId="5107FB36" w14:textId="77777777" w:rsidTr="00D436D0">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5109D044" w14:textId="6640042B" w:rsidR="00D436D0" w:rsidRPr="00247F47" w:rsidRDefault="00D436D0" w:rsidP="00D436D0">
            <w:pPr>
              <w:keepNext/>
              <w:rPr>
                <w:rFonts w:ascii="Arial Narrow" w:eastAsia="MS Gothic" w:hAnsi="Arial Narrow"/>
                <w:b/>
                <w:sz w:val="20"/>
                <w:szCs w:val="20"/>
              </w:rPr>
            </w:pPr>
            <w:r w:rsidRPr="00247F47">
              <w:rPr>
                <w:rFonts w:ascii="Arial Narrow" w:eastAsia="MS Gothic" w:hAnsi="Arial Narrow"/>
                <w:b/>
                <w:iCs/>
                <w:sz w:val="20"/>
              </w:rPr>
              <w:t>FEDRATINIB</w:t>
            </w:r>
          </w:p>
        </w:tc>
      </w:tr>
      <w:tr w:rsidR="00DC6802" w:rsidRPr="00247F47" w14:paraId="64B69329" w14:textId="77777777" w:rsidTr="00677FB0">
        <w:trPr>
          <w:cantSplit/>
          <w:trHeight w:val="20"/>
        </w:trPr>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A3D1FC8" w14:textId="77777777" w:rsidR="00DC6802" w:rsidRPr="00247F47" w:rsidRDefault="00DC6802">
            <w:pPr>
              <w:keepNext/>
              <w:rPr>
                <w:rFonts w:ascii="Arial Narrow" w:eastAsia="MS Gothic" w:hAnsi="Arial Narrow"/>
                <w:bCs/>
                <w:iCs/>
                <w:color w:val="0066FF"/>
                <w:sz w:val="20"/>
                <w:szCs w:val="20"/>
              </w:rPr>
            </w:pPr>
            <w:r w:rsidRPr="00247F47">
              <w:rPr>
                <w:rFonts w:ascii="Arial Narrow" w:eastAsia="MS Gothic" w:hAnsi="Arial Narrow"/>
                <w:bCs/>
                <w:iCs/>
                <w:sz w:val="20"/>
              </w:rPr>
              <w:t>Fedratinib 100 mg capsule, 120</w:t>
            </w:r>
          </w:p>
        </w:tc>
        <w:tc>
          <w:tcPr>
            <w:tcW w:w="1134" w:type="dxa"/>
            <w:tcBorders>
              <w:top w:val="single" w:sz="4" w:space="0" w:color="auto"/>
              <w:left w:val="single" w:sz="4" w:space="0" w:color="auto"/>
              <w:bottom w:val="single" w:sz="4" w:space="0" w:color="auto"/>
              <w:right w:val="single" w:sz="4" w:space="0" w:color="auto"/>
            </w:tcBorders>
            <w:hideMark/>
          </w:tcPr>
          <w:p w14:paraId="3CC55E4F" w14:textId="77777777" w:rsidR="00D436D0" w:rsidRPr="001C1CED" w:rsidRDefault="00D436D0" w:rsidP="00D436D0">
            <w:pPr>
              <w:keepNext/>
              <w:keepLines/>
              <w:jc w:val="center"/>
              <w:rPr>
                <w:rFonts w:ascii="Arial Narrow" w:hAnsi="Arial Narrow"/>
                <w:iCs/>
                <w:sz w:val="20"/>
                <w:szCs w:val="20"/>
              </w:rPr>
            </w:pPr>
            <w:r w:rsidRPr="001C1CED">
              <w:rPr>
                <w:rFonts w:ascii="Arial Narrow" w:hAnsi="Arial Narrow"/>
                <w:iCs/>
                <w:sz w:val="20"/>
                <w:szCs w:val="20"/>
              </w:rPr>
              <w:t>NEW 4</w:t>
            </w:r>
          </w:p>
          <w:p w14:paraId="55F91B57" w14:textId="559A4E61" w:rsidR="00DC6802" w:rsidRPr="000E1992" w:rsidRDefault="00D436D0">
            <w:pPr>
              <w:keepNext/>
              <w:keepLines/>
              <w:jc w:val="center"/>
              <w:rPr>
                <w:rFonts w:ascii="Arial Narrow" w:hAnsi="Arial Narrow"/>
                <w:iCs/>
                <w:sz w:val="12"/>
                <w:szCs w:val="12"/>
              </w:rPr>
            </w:pPr>
            <w:r w:rsidRPr="001B6F4E">
              <w:rPr>
                <w:rFonts w:ascii="Arial Narrow" w:hAnsi="Arial Narrow"/>
                <w:sz w:val="12"/>
                <w:szCs w:val="12"/>
              </w:rPr>
              <w:t>MP, NP</w:t>
            </w:r>
          </w:p>
        </w:tc>
        <w:tc>
          <w:tcPr>
            <w:tcW w:w="993" w:type="dxa"/>
            <w:tcBorders>
              <w:top w:val="single" w:sz="4" w:space="0" w:color="auto"/>
              <w:left w:val="single" w:sz="4" w:space="0" w:color="auto"/>
              <w:bottom w:val="single" w:sz="4" w:space="0" w:color="auto"/>
              <w:right w:val="single" w:sz="4" w:space="0" w:color="auto"/>
            </w:tcBorders>
            <w:vAlign w:val="center"/>
          </w:tcPr>
          <w:p w14:paraId="7F94AEE9" w14:textId="77777777" w:rsidR="00D436D0" w:rsidRPr="00247F47" w:rsidRDefault="00D436D0" w:rsidP="00D436D0">
            <w:pPr>
              <w:keepNext/>
              <w:keepLines/>
              <w:jc w:val="center"/>
              <w:rPr>
                <w:rFonts w:ascii="Arial Narrow" w:hAnsi="Arial Narrow"/>
                <w:sz w:val="20"/>
                <w:szCs w:val="20"/>
              </w:rPr>
            </w:pPr>
            <w:r w:rsidRPr="00247F47">
              <w:rPr>
                <w:rFonts w:ascii="Arial Narrow" w:hAnsi="Arial Narrow"/>
                <w:iCs/>
                <w:sz w:val="20"/>
              </w:rPr>
              <w:t>1</w:t>
            </w:r>
          </w:p>
        </w:tc>
        <w:tc>
          <w:tcPr>
            <w:tcW w:w="903" w:type="dxa"/>
            <w:tcBorders>
              <w:top w:val="single" w:sz="4" w:space="0" w:color="auto"/>
              <w:left w:val="single" w:sz="4" w:space="0" w:color="auto"/>
              <w:bottom w:val="single" w:sz="4" w:space="0" w:color="auto"/>
              <w:right w:val="single" w:sz="4" w:space="0" w:color="auto"/>
            </w:tcBorders>
            <w:vAlign w:val="center"/>
            <w:hideMark/>
          </w:tcPr>
          <w:p w14:paraId="509AB0B8" w14:textId="1478F67C" w:rsidR="00DC6802" w:rsidRPr="00247F47" w:rsidRDefault="00DC6802">
            <w:pPr>
              <w:keepNext/>
              <w:keepLines/>
              <w:jc w:val="center"/>
              <w:rPr>
                <w:rFonts w:ascii="Arial Narrow" w:hAnsi="Arial Narrow"/>
                <w:iCs/>
                <w:sz w:val="20"/>
                <w:szCs w:val="20"/>
              </w:rPr>
            </w:pPr>
            <w:r w:rsidRPr="00247F47">
              <w:rPr>
                <w:rFonts w:ascii="Arial Narrow" w:hAnsi="Arial Narrow"/>
                <w:iCs/>
                <w:sz w:val="20"/>
              </w:rPr>
              <w:t>120</w:t>
            </w:r>
          </w:p>
        </w:tc>
        <w:tc>
          <w:tcPr>
            <w:tcW w:w="763" w:type="dxa"/>
            <w:tcBorders>
              <w:top w:val="single" w:sz="4" w:space="0" w:color="auto"/>
              <w:left w:val="single" w:sz="4" w:space="0" w:color="auto"/>
              <w:bottom w:val="single" w:sz="4" w:space="0" w:color="auto"/>
              <w:right w:val="single" w:sz="4" w:space="0" w:color="auto"/>
            </w:tcBorders>
            <w:vAlign w:val="center"/>
            <w:hideMark/>
          </w:tcPr>
          <w:p w14:paraId="597A740F" w14:textId="77777777" w:rsidR="00DC6802" w:rsidRPr="00247F47" w:rsidRDefault="00DC6802">
            <w:pPr>
              <w:keepNext/>
              <w:keepLines/>
              <w:jc w:val="center"/>
              <w:rPr>
                <w:rFonts w:ascii="Arial Narrow" w:hAnsi="Arial Narrow"/>
                <w:iCs/>
                <w:sz w:val="20"/>
                <w:szCs w:val="20"/>
              </w:rPr>
            </w:pPr>
            <w:r w:rsidRPr="00247F47">
              <w:rPr>
                <w:rFonts w:ascii="Arial Narrow" w:hAnsi="Arial Narrow"/>
                <w:iCs/>
                <w:sz w:val="20"/>
              </w:rPr>
              <w:t>5</w:t>
            </w:r>
          </w:p>
        </w:tc>
        <w:tc>
          <w:tcPr>
            <w:tcW w:w="2394" w:type="dxa"/>
            <w:tcBorders>
              <w:top w:val="single" w:sz="4" w:space="0" w:color="auto"/>
              <w:left w:val="single" w:sz="4" w:space="0" w:color="auto"/>
              <w:bottom w:val="single" w:sz="4" w:space="0" w:color="auto"/>
              <w:right w:val="single" w:sz="4" w:space="0" w:color="auto"/>
            </w:tcBorders>
            <w:vAlign w:val="center"/>
            <w:hideMark/>
          </w:tcPr>
          <w:p w14:paraId="49C34EE5" w14:textId="77777777" w:rsidR="00DC6802" w:rsidRPr="00247F47" w:rsidRDefault="00DC6802">
            <w:pPr>
              <w:keepNext/>
              <w:keepLines/>
              <w:jc w:val="center"/>
              <w:rPr>
                <w:rFonts w:ascii="Arial Narrow" w:hAnsi="Arial Narrow"/>
                <w:iCs/>
                <w:color w:val="0066FF"/>
                <w:sz w:val="20"/>
                <w:szCs w:val="20"/>
              </w:rPr>
            </w:pPr>
            <w:proofErr w:type="spellStart"/>
            <w:r w:rsidRPr="00247F47">
              <w:rPr>
                <w:rFonts w:ascii="Arial Narrow" w:hAnsi="Arial Narrow"/>
                <w:iCs/>
                <w:sz w:val="20"/>
                <w:szCs w:val="20"/>
              </w:rPr>
              <w:t>Inrebic</w:t>
            </w:r>
            <w:proofErr w:type="spellEnd"/>
          </w:p>
        </w:tc>
      </w:tr>
      <w:tr w:rsidR="3387EA4F" w14:paraId="23D8D4CC" w14:textId="77777777" w:rsidTr="3387EA4F">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19114391" w14:textId="1B4BA643" w:rsidR="3387EA4F" w:rsidRDefault="3387EA4F" w:rsidP="3387EA4F">
            <w:pPr>
              <w:rPr>
                <w:rFonts w:ascii="Arial Narrow" w:eastAsia="MS Gothic" w:hAnsi="Arial Narrow"/>
                <w:sz w:val="20"/>
                <w:szCs w:val="20"/>
              </w:rPr>
            </w:pPr>
          </w:p>
        </w:tc>
      </w:tr>
      <w:tr w:rsidR="00DC6802" w:rsidRPr="00247F47" w14:paraId="51EADDB2" w14:textId="77777777">
        <w:tblPrEx>
          <w:tblCellMar>
            <w:top w:w="15" w:type="dxa"/>
            <w:bottom w:w="15" w:type="dxa"/>
          </w:tblCellMar>
        </w:tblPrEx>
        <w:trPr>
          <w:trHeight w:val="20"/>
        </w:trPr>
        <w:tc>
          <w:tcPr>
            <w:tcW w:w="9022" w:type="dxa"/>
            <w:gridSpan w:val="8"/>
            <w:tcBorders>
              <w:top w:val="single" w:sz="4" w:space="0" w:color="auto"/>
              <w:left w:val="single" w:sz="4" w:space="0" w:color="auto"/>
              <w:right w:val="single" w:sz="4" w:space="0" w:color="auto"/>
            </w:tcBorders>
            <w:vAlign w:val="center"/>
          </w:tcPr>
          <w:p w14:paraId="3FAE5054" w14:textId="19D58001" w:rsidR="00DC6802" w:rsidRPr="00247F47" w:rsidRDefault="00DC6802" w:rsidP="3387EA4F">
            <w:pPr>
              <w:keepLines/>
              <w:rPr>
                <w:rFonts w:ascii="Arial Narrow" w:hAnsi="Arial Narrow"/>
                <w:b/>
                <w:bCs/>
                <w:sz w:val="20"/>
                <w:szCs w:val="20"/>
              </w:rPr>
            </w:pPr>
            <w:r w:rsidRPr="00247F47">
              <w:rPr>
                <w:rFonts w:ascii="Arial Narrow" w:hAnsi="Arial Narrow"/>
                <w:b/>
                <w:iCs/>
                <w:sz w:val="20"/>
                <w:szCs w:val="20"/>
              </w:rPr>
              <w:t>Restriction Summary [new</w:t>
            </w:r>
            <w:r w:rsidR="000E1992">
              <w:rPr>
                <w:rFonts w:ascii="Arial Narrow" w:hAnsi="Arial Narrow"/>
                <w:b/>
                <w:iCs/>
                <w:sz w:val="20"/>
                <w:szCs w:val="20"/>
              </w:rPr>
              <w:t>4</w:t>
            </w:r>
            <w:r w:rsidRPr="00247F47">
              <w:rPr>
                <w:rFonts w:ascii="Arial Narrow" w:hAnsi="Arial Narrow"/>
                <w:b/>
                <w:iCs/>
                <w:sz w:val="20"/>
                <w:szCs w:val="20"/>
              </w:rPr>
              <w:t>] / Treatment of Concept: [new</w:t>
            </w:r>
            <w:r w:rsidR="000E1992">
              <w:rPr>
                <w:rFonts w:ascii="Arial Narrow" w:hAnsi="Arial Narrow"/>
                <w:b/>
                <w:iCs/>
                <w:sz w:val="20"/>
                <w:szCs w:val="20"/>
              </w:rPr>
              <w:t>4</w:t>
            </w:r>
            <w:r w:rsidRPr="00247F47">
              <w:rPr>
                <w:rFonts w:ascii="Arial Narrow" w:hAnsi="Arial Narrow"/>
                <w:b/>
                <w:iCs/>
                <w:sz w:val="20"/>
                <w:szCs w:val="20"/>
              </w:rPr>
              <w:t>A]</w:t>
            </w:r>
            <w:r w:rsidR="008938B1">
              <w:rPr>
                <w:rFonts w:ascii="Arial Narrow" w:hAnsi="Arial Narrow"/>
                <w:b/>
                <w:iCs/>
                <w:sz w:val="20"/>
                <w:szCs w:val="20"/>
              </w:rPr>
              <w:t xml:space="preserve">: </w:t>
            </w:r>
            <w:r w:rsidR="008938B1" w:rsidRPr="00247F47">
              <w:rPr>
                <w:rFonts w:ascii="Arial Narrow" w:eastAsia="Calibri" w:hAnsi="Arial Narrow"/>
                <w:iCs/>
                <w:sz w:val="20"/>
                <w:szCs w:val="20"/>
              </w:rPr>
              <w:t>Authority Required</w:t>
            </w:r>
            <w:r w:rsidR="008938B1">
              <w:rPr>
                <w:rFonts w:ascii="Arial Narrow" w:eastAsia="Calibri" w:hAnsi="Arial Narrow"/>
                <w:iCs/>
                <w:sz w:val="20"/>
                <w:szCs w:val="20"/>
              </w:rPr>
              <w:t xml:space="preserve"> – </w:t>
            </w:r>
            <w:r w:rsidR="008938B1" w:rsidRPr="003F7823">
              <w:rPr>
                <w:rFonts w:ascii="Arial Narrow" w:eastAsia="Calibri" w:hAnsi="Arial Narrow"/>
                <w:color w:val="000000" w:themeColor="text1"/>
                <w:sz w:val="20"/>
              </w:rPr>
              <w:t>streamlined [new code</w:t>
            </w:r>
            <w:r w:rsidRPr="003F7823">
              <w:rPr>
                <w:rFonts w:ascii="Arial Narrow" w:eastAsia="Calibri" w:hAnsi="Arial Narrow"/>
                <w:color w:val="000000" w:themeColor="text1"/>
                <w:sz w:val="20"/>
              </w:rPr>
              <w:t>]</w:t>
            </w:r>
          </w:p>
          <w:p w14:paraId="4B388248" w14:textId="2608E4F1" w:rsidR="00DC6802" w:rsidRPr="00247F47" w:rsidRDefault="00DC6802">
            <w:pPr>
              <w:keepLines/>
              <w:rPr>
                <w:rFonts w:ascii="Arial Narrow" w:hAnsi="Arial Narrow"/>
                <w:b/>
                <w:iCs/>
                <w:sz w:val="20"/>
                <w:szCs w:val="20"/>
              </w:rPr>
            </w:pPr>
          </w:p>
        </w:tc>
      </w:tr>
      <w:tr w:rsidR="00DC6802" w:rsidRPr="007335B2" w14:paraId="4478E37C" w14:textId="77777777" w:rsidTr="00D436D0">
        <w:tblPrEx>
          <w:tblCellMar>
            <w:top w:w="15" w:type="dxa"/>
            <w:bottom w:w="15" w:type="dxa"/>
          </w:tblCellMar>
        </w:tblPrEx>
        <w:trPr>
          <w:trHeight w:val="20"/>
        </w:trPr>
        <w:tc>
          <w:tcPr>
            <w:tcW w:w="1176" w:type="dxa"/>
            <w:vMerge w:val="restart"/>
            <w:tcBorders>
              <w:left w:val="single" w:sz="4" w:space="0" w:color="auto"/>
              <w:right w:val="single" w:sz="4" w:space="0" w:color="auto"/>
            </w:tcBorders>
            <w:textDirection w:val="btLr"/>
            <w:vAlign w:val="center"/>
          </w:tcPr>
          <w:p w14:paraId="7D1A7274" w14:textId="77777777" w:rsidR="00DC6802" w:rsidRPr="00247F47" w:rsidRDefault="00DC6802">
            <w:pPr>
              <w:jc w:val="center"/>
              <w:rPr>
                <w:rFonts w:ascii="Arial Narrow" w:hAnsi="Arial Narrow"/>
                <w:iCs/>
                <w:sz w:val="20"/>
                <w:szCs w:val="20"/>
              </w:rPr>
            </w:pPr>
            <w:r w:rsidRPr="00247F47">
              <w:rPr>
                <w:rFonts w:ascii="Arial Narrow" w:hAnsi="Arial Narrow"/>
                <w:iCs/>
                <w:sz w:val="20"/>
                <w:szCs w:val="20"/>
              </w:rPr>
              <w:t>Prescribing rule level</w:t>
            </w:r>
          </w:p>
        </w:tc>
        <w:tc>
          <w:tcPr>
            <w:tcW w:w="734" w:type="dxa"/>
            <w:vAlign w:val="center"/>
          </w:tcPr>
          <w:p w14:paraId="7AA5CC7D" w14:textId="5EA2ECEB" w:rsidR="00DC6802" w:rsidRPr="007335B2" w:rsidRDefault="00DC6802">
            <w:pPr>
              <w:jc w:val="center"/>
              <w:rPr>
                <w:rFonts w:ascii="Arial Narrow" w:hAnsi="Arial Narrow"/>
                <w:iCs/>
                <w:sz w:val="20"/>
                <w:szCs w:val="20"/>
              </w:rPr>
            </w:pPr>
          </w:p>
        </w:tc>
        <w:tc>
          <w:tcPr>
            <w:tcW w:w="7112" w:type="dxa"/>
            <w:gridSpan w:val="6"/>
            <w:vAlign w:val="center"/>
          </w:tcPr>
          <w:p w14:paraId="45A2DD75" w14:textId="77777777" w:rsidR="00DC6802" w:rsidRPr="007335B2" w:rsidRDefault="00DC6802">
            <w:pPr>
              <w:rPr>
                <w:rFonts w:ascii="Arial Narrow" w:hAnsi="Arial Narrow"/>
                <w:iCs/>
                <w:sz w:val="20"/>
                <w:szCs w:val="20"/>
              </w:rPr>
            </w:pPr>
            <w:r w:rsidRPr="007335B2">
              <w:rPr>
                <w:rFonts w:ascii="Arial Narrow" w:hAnsi="Arial Narrow"/>
                <w:b/>
                <w:bCs/>
                <w:iCs/>
                <w:sz w:val="20"/>
                <w:szCs w:val="20"/>
              </w:rPr>
              <w:t>Administrative Advice:</w:t>
            </w:r>
          </w:p>
          <w:p w14:paraId="1416A9B3" w14:textId="77777777" w:rsidR="00DC6802" w:rsidRPr="007335B2" w:rsidRDefault="00DC6802">
            <w:pPr>
              <w:rPr>
                <w:rFonts w:ascii="Arial Narrow" w:hAnsi="Arial Narrow"/>
                <w:iCs/>
                <w:sz w:val="20"/>
                <w:szCs w:val="20"/>
              </w:rPr>
            </w:pPr>
            <w:r w:rsidRPr="007335B2">
              <w:rPr>
                <w:rFonts w:ascii="Arial Narrow" w:hAnsi="Arial Narrow"/>
                <w:iCs/>
                <w:sz w:val="20"/>
                <w:szCs w:val="20"/>
              </w:rPr>
              <w:t>No increase in the maximum quantity or number of units may be authorised.</w:t>
            </w:r>
          </w:p>
        </w:tc>
      </w:tr>
      <w:tr w:rsidR="00DC6802" w:rsidRPr="007335B2" w14:paraId="7ABD9FC2" w14:textId="77777777" w:rsidTr="00D436D0">
        <w:tblPrEx>
          <w:tblCellMar>
            <w:top w:w="15" w:type="dxa"/>
            <w:bottom w:w="15" w:type="dxa"/>
          </w:tblCellMar>
        </w:tblPrEx>
        <w:trPr>
          <w:trHeight w:val="20"/>
        </w:trPr>
        <w:tc>
          <w:tcPr>
            <w:tcW w:w="1176" w:type="dxa"/>
            <w:vMerge/>
          </w:tcPr>
          <w:p w14:paraId="6CBBF35F" w14:textId="77777777" w:rsidR="00DC6802" w:rsidRPr="00247F47" w:rsidRDefault="00DC6802">
            <w:pPr>
              <w:rPr>
                <w:rFonts w:ascii="Arial Narrow" w:hAnsi="Arial Narrow"/>
                <w:iCs/>
                <w:sz w:val="20"/>
                <w:szCs w:val="20"/>
              </w:rPr>
            </w:pPr>
          </w:p>
        </w:tc>
        <w:tc>
          <w:tcPr>
            <w:tcW w:w="734" w:type="dxa"/>
            <w:vAlign w:val="center"/>
          </w:tcPr>
          <w:p w14:paraId="01746FDD" w14:textId="2B67CA70" w:rsidR="00DC6802" w:rsidRPr="007335B2" w:rsidRDefault="00DC6802">
            <w:pPr>
              <w:jc w:val="center"/>
              <w:rPr>
                <w:rFonts w:ascii="Arial Narrow" w:hAnsi="Arial Narrow"/>
                <w:iCs/>
                <w:sz w:val="20"/>
                <w:szCs w:val="20"/>
              </w:rPr>
            </w:pPr>
          </w:p>
        </w:tc>
        <w:tc>
          <w:tcPr>
            <w:tcW w:w="7112" w:type="dxa"/>
            <w:gridSpan w:val="6"/>
            <w:vAlign w:val="center"/>
          </w:tcPr>
          <w:p w14:paraId="6AF41792" w14:textId="77777777" w:rsidR="00DC6802" w:rsidRPr="007335B2" w:rsidRDefault="00DC6802">
            <w:pPr>
              <w:rPr>
                <w:rFonts w:ascii="Arial Narrow" w:hAnsi="Arial Narrow"/>
                <w:b/>
                <w:bCs/>
                <w:iCs/>
                <w:sz w:val="20"/>
                <w:szCs w:val="20"/>
              </w:rPr>
            </w:pPr>
            <w:r w:rsidRPr="007335B2">
              <w:rPr>
                <w:rFonts w:ascii="Arial Narrow" w:hAnsi="Arial Narrow"/>
                <w:b/>
                <w:bCs/>
                <w:iCs/>
                <w:sz w:val="20"/>
                <w:szCs w:val="20"/>
              </w:rPr>
              <w:t>Administrative Advice:</w:t>
            </w:r>
          </w:p>
          <w:p w14:paraId="31393547" w14:textId="77777777" w:rsidR="00DC6802" w:rsidRPr="007335B2" w:rsidRDefault="00DC6802">
            <w:pPr>
              <w:rPr>
                <w:rFonts w:ascii="Arial Narrow" w:hAnsi="Arial Narrow"/>
                <w:b/>
                <w:bCs/>
                <w:iCs/>
                <w:sz w:val="20"/>
                <w:szCs w:val="20"/>
              </w:rPr>
            </w:pPr>
            <w:r w:rsidRPr="007335B2">
              <w:rPr>
                <w:rFonts w:ascii="Arial Narrow" w:hAnsi="Arial Narrow"/>
                <w:iCs/>
                <w:sz w:val="20"/>
                <w:szCs w:val="20"/>
              </w:rPr>
              <w:t>No increase in the maximum number of repeats may be authorised.</w:t>
            </w:r>
          </w:p>
        </w:tc>
      </w:tr>
      <w:tr w:rsidR="00DC6802" w:rsidRPr="00247F47" w14:paraId="0D255BF0" w14:textId="77777777" w:rsidTr="00D436D0">
        <w:tblPrEx>
          <w:tblCellMar>
            <w:top w:w="15" w:type="dxa"/>
            <w:bottom w:w="15" w:type="dxa"/>
          </w:tblCellMar>
        </w:tblPrEx>
        <w:trPr>
          <w:trHeight w:val="20"/>
        </w:trPr>
        <w:tc>
          <w:tcPr>
            <w:tcW w:w="1176" w:type="dxa"/>
            <w:vMerge/>
          </w:tcPr>
          <w:p w14:paraId="57A6D3CE" w14:textId="77777777" w:rsidR="00DC6802" w:rsidRPr="00247F47" w:rsidRDefault="00DC6802">
            <w:pPr>
              <w:rPr>
                <w:rFonts w:ascii="Arial Narrow" w:hAnsi="Arial Narrow"/>
                <w:iCs/>
                <w:sz w:val="20"/>
                <w:szCs w:val="20"/>
              </w:rPr>
            </w:pPr>
          </w:p>
        </w:tc>
        <w:tc>
          <w:tcPr>
            <w:tcW w:w="734" w:type="dxa"/>
            <w:vAlign w:val="center"/>
          </w:tcPr>
          <w:p w14:paraId="36186944" w14:textId="47CE0713" w:rsidR="00DC6802" w:rsidRPr="00247F47" w:rsidRDefault="00DC6802">
            <w:pPr>
              <w:jc w:val="center"/>
              <w:rPr>
                <w:rFonts w:ascii="Arial Narrow" w:hAnsi="Arial Narrow"/>
                <w:iCs/>
                <w:sz w:val="20"/>
                <w:szCs w:val="20"/>
              </w:rPr>
            </w:pPr>
          </w:p>
        </w:tc>
        <w:tc>
          <w:tcPr>
            <w:tcW w:w="7112" w:type="dxa"/>
            <w:gridSpan w:val="6"/>
            <w:vAlign w:val="center"/>
          </w:tcPr>
          <w:p w14:paraId="618B30F7" w14:textId="77777777" w:rsidR="00DC6802" w:rsidRPr="00247F47" w:rsidRDefault="00DC6802">
            <w:pPr>
              <w:rPr>
                <w:rFonts w:ascii="Arial Narrow" w:hAnsi="Arial Narrow"/>
                <w:b/>
                <w:bCs/>
                <w:iCs/>
                <w:sz w:val="20"/>
                <w:szCs w:val="20"/>
              </w:rPr>
            </w:pPr>
            <w:r w:rsidRPr="00247F47">
              <w:rPr>
                <w:rFonts w:ascii="Arial Narrow" w:hAnsi="Arial Narrow"/>
                <w:b/>
                <w:bCs/>
                <w:iCs/>
                <w:sz w:val="20"/>
                <w:szCs w:val="20"/>
              </w:rPr>
              <w:t>Administrative Advice:</w:t>
            </w:r>
          </w:p>
          <w:p w14:paraId="33E256B6" w14:textId="77777777" w:rsidR="00DC6802" w:rsidRPr="00247F47" w:rsidRDefault="00DC6802">
            <w:pPr>
              <w:rPr>
                <w:rFonts w:ascii="Arial Narrow" w:hAnsi="Arial Narrow"/>
                <w:b/>
                <w:bCs/>
                <w:iCs/>
                <w:sz w:val="20"/>
                <w:szCs w:val="20"/>
              </w:rPr>
            </w:pPr>
            <w:r w:rsidRPr="00247F47">
              <w:rPr>
                <w:rFonts w:ascii="Arial Narrow" w:hAnsi="Arial Narrow"/>
                <w:iCs/>
                <w:sz w:val="20"/>
                <w:szCs w:val="20"/>
              </w:rPr>
              <w:t>Special Pricing Arrangements apply.</w:t>
            </w:r>
          </w:p>
        </w:tc>
      </w:tr>
      <w:tr w:rsidR="00DC6802" w:rsidRPr="00247F47" w14:paraId="45408200" w14:textId="77777777" w:rsidTr="00D436D0">
        <w:tblPrEx>
          <w:tblCellMar>
            <w:top w:w="15" w:type="dxa"/>
            <w:bottom w:w="15" w:type="dxa"/>
          </w:tblCellMar>
        </w:tblPrEx>
        <w:trPr>
          <w:trHeight w:val="918"/>
        </w:trPr>
        <w:tc>
          <w:tcPr>
            <w:tcW w:w="1176" w:type="dxa"/>
            <w:vMerge/>
          </w:tcPr>
          <w:p w14:paraId="6D44B52A" w14:textId="77777777" w:rsidR="00DC6802" w:rsidRPr="00247F47" w:rsidRDefault="00DC6802">
            <w:pPr>
              <w:rPr>
                <w:rFonts w:ascii="Arial Narrow" w:hAnsi="Arial Narrow"/>
                <w:iCs/>
                <w:sz w:val="20"/>
                <w:szCs w:val="20"/>
              </w:rPr>
            </w:pPr>
          </w:p>
        </w:tc>
        <w:tc>
          <w:tcPr>
            <w:tcW w:w="734" w:type="dxa"/>
            <w:vAlign w:val="center"/>
          </w:tcPr>
          <w:p w14:paraId="7FE70830" w14:textId="45F23C51" w:rsidR="00DC6802" w:rsidRPr="00247F47" w:rsidRDefault="00DC6802">
            <w:pPr>
              <w:jc w:val="center"/>
              <w:rPr>
                <w:rFonts w:ascii="Arial Narrow" w:hAnsi="Arial Narrow"/>
                <w:iCs/>
                <w:sz w:val="20"/>
                <w:szCs w:val="20"/>
              </w:rPr>
            </w:pPr>
          </w:p>
        </w:tc>
        <w:tc>
          <w:tcPr>
            <w:tcW w:w="7112" w:type="dxa"/>
            <w:gridSpan w:val="6"/>
            <w:vAlign w:val="center"/>
          </w:tcPr>
          <w:p w14:paraId="5D32040F" w14:textId="77777777" w:rsidR="00DC6802" w:rsidRPr="00247F47" w:rsidRDefault="00DC6802">
            <w:pPr>
              <w:rPr>
                <w:rFonts w:ascii="Arial Narrow" w:hAnsi="Arial Narrow"/>
                <w:bCs/>
                <w:iCs/>
                <w:sz w:val="20"/>
                <w:szCs w:val="20"/>
              </w:rPr>
            </w:pPr>
            <w:r w:rsidRPr="00247F47">
              <w:rPr>
                <w:rFonts w:ascii="Arial Narrow" w:hAnsi="Arial Narrow"/>
                <w:b/>
                <w:bCs/>
                <w:iCs/>
                <w:sz w:val="20"/>
                <w:szCs w:val="20"/>
              </w:rPr>
              <w:t xml:space="preserve">Administrative Advice: </w:t>
            </w:r>
          </w:p>
          <w:p w14:paraId="62D29F92" w14:textId="77777777" w:rsidR="00DC6802" w:rsidRPr="00247F47" w:rsidRDefault="00DC6802">
            <w:pPr>
              <w:rPr>
                <w:rFonts w:ascii="Arial Narrow" w:hAnsi="Arial Narrow"/>
                <w:b/>
                <w:bCs/>
                <w:iCs/>
                <w:sz w:val="20"/>
                <w:szCs w:val="20"/>
              </w:rPr>
            </w:pPr>
            <w:r w:rsidRPr="00247F47">
              <w:rPr>
                <w:rFonts w:ascii="Arial Narrow" w:hAnsi="Arial Narrow"/>
                <w:iCs/>
                <w:sz w:val="20"/>
                <w:szCs w:val="20"/>
              </w:rPr>
              <w:t>Risk of myelofibrosis is defined in accordance with the Myelofibrosis International Prognostic Scoring System (OPSS) OR the Dynamic International Prognostic Scoring System (DIPSS) OR the Age-Adjusted DIPSS (</w:t>
            </w:r>
            <w:proofErr w:type="spellStart"/>
            <w:r w:rsidRPr="00247F47">
              <w:rPr>
                <w:rFonts w:ascii="Arial Narrow" w:hAnsi="Arial Narrow"/>
                <w:iCs/>
                <w:sz w:val="20"/>
                <w:szCs w:val="20"/>
              </w:rPr>
              <w:t>aaDIPSS</w:t>
            </w:r>
            <w:proofErr w:type="spellEnd"/>
            <w:r w:rsidRPr="00247F47">
              <w:rPr>
                <w:rFonts w:ascii="Arial Narrow" w:hAnsi="Arial Narrow"/>
                <w:iCs/>
                <w:sz w:val="20"/>
                <w:szCs w:val="20"/>
              </w:rPr>
              <w:t>).</w:t>
            </w:r>
          </w:p>
        </w:tc>
      </w:tr>
      <w:tr w:rsidR="3387EA4F" w14:paraId="059C7FA6" w14:textId="77777777" w:rsidTr="007D6D70">
        <w:tblPrEx>
          <w:tblCellMar>
            <w:top w:w="15" w:type="dxa"/>
            <w:bottom w:w="15" w:type="dxa"/>
          </w:tblCellMar>
        </w:tblPrEx>
        <w:trPr>
          <w:trHeight w:val="315"/>
        </w:trPr>
        <w:tc>
          <w:tcPr>
            <w:tcW w:w="9022" w:type="dxa"/>
            <w:gridSpan w:val="8"/>
            <w:tcBorders>
              <w:left w:val="single" w:sz="4" w:space="0" w:color="auto"/>
            </w:tcBorders>
            <w:vAlign w:val="center"/>
          </w:tcPr>
          <w:p w14:paraId="65639583" w14:textId="6D21E2BD" w:rsidR="3387EA4F" w:rsidRDefault="3387EA4F" w:rsidP="3387EA4F">
            <w:pPr>
              <w:rPr>
                <w:rFonts w:ascii="Arial Narrow" w:hAnsi="Arial Narrow"/>
                <w:b/>
                <w:bCs/>
                <w:sz w:val="20"/>
                <w:szCs w:val="20"/>
              </w:rPr>
            </w:pPr>
          </w:p>
        </w:tc>
      </w:tr>
      <w:tr w:rsidR="00DC6802" w:rsidRPr="00247F47" w14:paraId="149FB426" w14:textId="77777777" w:rsidTr="00D436D0">
        <w:tblPrEx>
          <w:tblCellMar>
            <w:top w:w="15" w:type="dxa"/>
            <w:bottom w:w="15" w:type="dxa"/>
          </w:tblCellMar>
        </w:tblPrEx>
        <w:trPr>
          <w:cantSplit/>
          <w:trHeight w:val="20"/>
        </w:trPr>
        <w:tc>
          <w:tcPr>
            <w:tcW w:w="1910" w:type="dxa"/>
            <w:gridSpan w:val="2"/>
            <w:vAlign w:val="center"/>
            <w:hideMark/>
          </w:tcPr>
          <w:p w14:paraId="56C80B4C" w14:textId="7900D626" w:rsidR="00DC6802" w:rsidRPr="00247F47" w:rsidRDefault="00DC6802">
            <w:pPr>
              <w:keepLines/>
              <w:jc w:val="center"/>
              <w:rPr>
                <w:rFonts w:ascii="Arial Narrow" w:hAnsi="Arial Narrow"/>
                <w:iCs/>
                <w:sz w:val="20"/>
                <w:szCs w:val="20"/>
              </w:rPr>
            </w:pPr>
          </w:p>
        </w:tc>
        <w:tc>
          <w:tcPr>
            <w:tcW w:w="7112" w:type="dxa"/>
            <w:gridSpan w:val="6"/>
            <w:vAlign w:val="center"/>
            <w:hideMark/>
          </w:tcPr>
          <w:p w14:paraId="53663F85" w14:textId="77777777" w:rsidR="00DC6802" w:rsidRPr="00247F47" w:rsidRDefault="00DC6802">
            <w:pPr>
              <w:keepLines/>
              <w:rPr>
                <w:rFonts w:ascii="Arial Narrow" w:hAnsi="Arial Narrow"/>
                <w:iCs/>
                <w:sz w:val="20"/>
                <w:szCs w:val="20"/>
              </w:rPr>
            </w:pPr>
            <w:r w:rsidRPr="00247F47">
              <w:rPr>
                <w:rFonts w:ascii="Arial Narrow" w:hAnsi="Arial Narrow"/>
                <w:b/>
                <w:bCs/>
                <w:iCs/>
                <w:sz w:val="20"/>
                <w:szCs w:val="20"/>
              </w:rPr>
              <w:t>Indication:</w:t>
            </w:r>
            <w:r w:rsidRPr="00247F47">
              <w:rPr>
                <w:rFonts w:ascii="Arial Narrow" w:hAnsi="Arial Narrow"/>
                <w:iCs/>
                <w:sz w:val="20"/>
                <w:szCs w:val="20"/>
              </w:rPr>
              <w:t xml:space="preserve"> </w:t>
            </w:r>
            <w:r>
              <w:rPr>
                <w:rFonts w:ascii="Arial Narrow" w:hAnsi="Arial Narrow"/>
                <w:iCs/>
                <w:sz w:val="20"/>
              </w:rPr>
              <w:t>I</w:t>
            </w:r>
            <w:r w:rsidRPr="00247F47">
              <w:rPr>
                <w:rFonts w:ascii="Arial Narrow" w:hAnsi="Arial Narrow"/>
                <w:iCs/>
                <w:sz w:val="20"/>
              </w:rPr>
              <w:t>ntermediate-</w:t>
            </w:r>
            <w:r>
              <w:rPr>
                <w:rFonts w:ascii="Arial Narrow" w:hAnsi="Arial Narrow"/>
                <w:iCs/>
                <w:sz w:val="20"/>
              </w:rPr>
              <w:t>1</w:t>
            </w:r>
            <w:r w:rsidRPr="00247F47">
              <w:rPr>
                <w:rFonts w:ascii="Arial Narrow" w:hAnsi="Arial Narrow"/>
                <w:iCs/>
                <w:sz w:val="20"/>
              </w:rPr>
              <w:t xml:space="preserve"> risk myelofibrosis</w:t>
            </w:r>
          </w:p>
        </w:tc>
      </w:tr>
      <w:tr w:rsidR="6898BB8F" w14:paraId="6ABE531E" w14:textId="77777777" w:rsidTr="00D436D0">
        <w:tblPrEx>
          <w:tblCellMar>
            <w:top w:w="15" w:type="dxa"/>
            <w:bottom w:w="15" w:type="dxa"/>
          </w:tblCellMar>
        </w:tblPrEx>
        <w:trPr>
          <w:cantSplit/>
          <w:trHeight w:val="20"/>
        </w:trPr>
        <w:tc>
          <w:tcPr>
            <w:tcW w:w="9022" w:type="dxa"/>
            <w:gridSpan w:val="8"/>
            <w:vAlign w:val="center"/>
            <w:hideMark/>
          </w:tcPr>
          <w:p w14:paraId="47852DC0" w14:textId="40E6512F" w:rsidR="6898BB8F" w:rsidRDefault="6898BB8F" w:rsidP="6898BB8F">
            <w:pPr>
              <w:rPr>
                <w:rFonts w:ascii="Arial Narrow" w:hAnsi="Arial Narrow"/>
                <w:b/>
                <w:bCs/>
                <w:sz w:val="20"/>
                <w:szCs w:val="20"/>
              </w:rPr>
            </w:pPr>
          </w:p>
        </w:tc>
      </w:tr>
      <w:tr w:rsidR="00DC6802" w:rsidRPr="00247F47" w14:paraId="78C06BB6" w14:textId="77777777" w:rsidTr="00D436D0">
        <w:tblPrEx>
          <w:tblCellMar>
            <w:top w:w="15" w:type="dxa"/>
            <w:bottom w:w="15" w:type="dxa"/>
          </w:tblCellMar>
        </w:tblPrEx>
        <w:trPr>
          <w:cantSplit/>
          <w:trHeight w:val="20"/>
        </w:trPr>
        <w:tc>
          <w:tcPr>
            <w:tcW w:w="1910" w:type="dxa"/>
            <w:gridSpan w:val="2"/>
            <w:vAlign w:val="center"/>
          </w:tcPr>
          <w:p w14:paraId="4DCEDFAF" w14:textId="77777777" w:rsidR="00DC6802" w:rsidRPr="00247F47" w:rsidRDefault="00DC6802">
            <w:pPr>
              <w:keepLines/>
              <w:jc w:val="center"/>
              <w:rPr>
                <w:rFonts w:ascii="Arial Narrow" w:hAnsi="Arial Narrow"/>
                <w:iCs/>
                <w:sz w:val="20"/>
                <w:szCs w:val="20"/>
              </w:rPr>
            </w:pPr>
          </w:p>
        </w:tc>
        <w:tc>
          <w:tcPr>
            <w:tcW w:w="7112" w:type="dxa"/>
            <w:gridSpan w:val="6"/>
            <w:vAlign w:val="center"/>
          </w:tcPr>
          <w:p w14:paraId="14681A2A" w14:textId="77777777" w:rsidR="00DC6802" w:rsidRPr="00247F47" w:rsidRDefault="00DC6802">
            <w:pPr>
              <w:keepLines/>
              <w:rPr>
                <w:rFonts w:ascii="Arial Narrow" w:hAnsi="Arial Narrow"/>
                <w:b/>
                <w:bCs/>
                <w:iCs/>
                <w:sz w:val="20"/>
                <w:szCs w:val="20"/>
              </w:rPr>
            </w:pPr>
            <w:r>
              <w:rPr>
                <w:rFonts w:ascii="Arial Narrow" w:hAnsi="Arial Narrow"/>
                <w:b/>
                <w:bCs/>
                <w:iCs/>
                <w:sz w:val="20"/>
                <w:szCs w:val="20"/>
              </w:rPr>
              <w:t>Treatment Phase:</w:t>
            </w:r>
            <w:r>
              <w:rPr>
                <w:rFonts w:ascii="Arial Narrow" w:hAnsi="Arial Narrow"/>
                <w:iCs/>
                <w:sz w:val="20"/>
                <w:szCs w:val="20"/>
              </w:rPr>
              <w:t xml:space="preserve"> Continuing</w:t>
            </w:r>
            <w:r w:rsidRPr="00021104">
              <w:rPr>
                <w:rFonts w:ascii="Arial Narrow" w:hAnsi="Arial Narrow"/>
                <w:iCs/>
                <w:sz w:val="20"/>
                <w:szCs w:val="20"/>
              </w:rPr>
              <w:t xml:space="preserve"> treatment</w:t>
            </w:r>
          </w:p>
        </w:tc>
      </w:tr>
      <w:tr w:rsidR="0D2E790F" w14:paraId="14D3153A" w14:textId="77777777" w:rsidTr="00D436D0">
        <w:tblPrEx>
          <w:tblCellMar>
            <w:top w:w="15" w:type="dxa"/>
            <w:bottom w:w="15" w:type="dxa"/>
          </w:tblCellMar>
        </w:tblPrEx>
        <w:trPr>
          <w:cantSplit/>
          <w:trHeight w:val="20"/>
        </w:trPr>
        <w:tc>
          <w:tcPr>
            <w:tcW w:w="9022" w:type="dxa"/>
            <w:gridSpan w:val="8"/>
            <w:vAlign w:val="center"/>
          </w:tcPr>
          <w:p w14:paraId="15BDE84B" w14:textId="0E13506E" w:rsidR="0D2E790F" w:rsidRDefault="0D2E790F" w:rsidP="0D2E790F">
            <w:pPr>
              <w:rPr>
                <w:rFonts w:ascii="Arial Narrow" w:hAnsi="Arial Narrow"/>
                <w:b/>
                <w:bCs/>
                <w:sz w:val="20"/>
                <w:szCs w:val="20"/>
              </w:rPr>
            </w:pPr>
          </w:p>
        </w:tc>
      </w:tr>
      <w:tr w:rsidR="00DC6802" w:rsidRPr="00247F47" w14:paraId="6800318E" w14:textId="77777777" w:rsidTr="00D436D0">
        <w:tblPrEx>
          <w:tblCellMar>
            <w:top w:w="15" w:type="dxa"/>
            <w:bottom w:w="15" w:type="dxa"/>
          </w:tblCellMar>
        </w:tblPrEx>
        <w:trPr>
          <w:cantSplit/>
          <w:trHeight w:val="20"/>
        </w:trPr>
        <w:tc>
          <w:tcPr>
            <w:tcW w:w="1910" w:type="dxa"/>
            <w:gridSpan w:val="2"/>
            <w:vAlign w:val="center"/>
          </w:tcPr>
          <w:p w14:paraId="08F116A3" w14:textId="30247122" w:rsidR="00DC6802" w:rsidRPr="00247F47" w:rsidRDefault="00DC6802">
            <w:pPr>
              <w:jc w:val="center"/>
              <w:rPr>
                <w:rFonts w:ascii="Arial Narrow" w:hAnsi="Arial Narrow"/>
                <w:iCs/>
                <w:sz w:val="20"/>
                <w:szCs w:val="20"/>
              </w:rPr>
            </w:pPr>
          </w:p>
        </w:tc>
        <w:tc>
          <w:tcPr>
            <w:tcW w:w="7112" w:type="dxa"/>
            <w:gridSpan w:val="6"/>
            <w:vAlign w:val="center"/>
            <w:hideMark/>
          </w:tcPr>
          <w:p w14:paraId="23FE25E3" w14:textId="77777777" w:rsidR="00DC6802" w:rsidRPr="00247F47" w:rsidRDefault="00DC6802">
            <w:pPr>
              <w:rPr>
                <w:rFonts w:ascii="Arial Narrow" w:hAnsi="Arial Narrow"/>
                <w:iCs/>
                <w:sz w:val="20"/>
                <w:szCs w:val="20"/>
              </w:rPr>
            </w:pPr>
            <w:r w:rsidRPr="00247F47">
              <w:rPr>
                <w:rFonts w:ascii="Arial Narrow" w:hAnsi="Arial Narrow"/>
                <w:b/>
                <w:bCs/>
                <w:iCs/>
                <w:sz w:val="20"/>
                <w:szCs w:val="20"/>
              </w:rPr>
              <w:t xml:space="preserve">Clinical criteria: </w:t>
            </w:r>
          </w:p>
        </w:tc>
      </w:tr>
      <w:tr w:rsidR="00DC6802" w:rsidRPr="00247F47" w14:paraId="041557A1" w14:textId="77777777" w:rsidTr="00D436D0">
        <w:tblPrEx>
          <w:tblCellMar>
            <w:top w:w="15" w:type="dxa"/>
            <w:bottom w:w="15" w:type="dxa"/>
          </w:tblCellMar>
        </w:tblPrEx>
        <w:trPr>
          <w:cantSplit/>
          <w:trHeight w:val="20"/>
        </w:trPr>
        <w:tc>
          <w:tcPr>
            <w:tcW w:w="1910" w:type="dxa"/>
            <w:gridSpan w:val="2"/>
            <w:vAlign w:val="center"/>
          </w:tcPr>
          <w:p w14:paraId="6A7A0859" w14:textId="0114EC9D" w:rsidR="00DC6802" w:rsidRPr="00247F47" w:rsidRDefault="00DC6802">
            <w:pPr>
              <w:jc w:val="center"/>
              <w:rPr>
                <w:rFonts w:ascii="Arial Narrow" w:hAnsi="Arial Narrow"/>
                <w:iCs/>
                <w:sz w:val="20"/>
                <w:szCs w:val="20"/>
              </w:rPr>
            </w:pPr>
          </w:p>
        </w:tc>
        <w:tc>
          <w:tcPr>
            <w:tcW w:w="7112" w:type="dxa"/>
            <w:gridSpan w:val="6"/>
            <w:vAlign w:val="center"/>
            <w:hideMark/>
          </w:tcPr>
          <w:p w14:paraId="669F3085" w14:textId="77777777" w:rsidR="00DC6802" w:rsidRPr="00247F47" w:rsidRDefault="00DC6802">
            <w:pPr>
              <w:rPr>
                <w:rFonts w:ascii="Arial Narrow" w:hAnsi="Arial Narrow"/>
                <w:iCs/>
                <w:sz w:val="20"/>
                <w:szCs w:val="20"/>
              </w:rPr>
            </w:pPr>
            <w:r w:rsidRPr="006901DA">
              <w:rPr>
                <w:rFonts w:ascii="Arial Narrow" w:hAnsi="Arial Narrow"/>
                <w:bCs/>
                <w:iCs/>
                <w:sz w:val="20"/>
              </w:rPr>
              <w:t>Patient must have previously received PBS-subsidised treatment with this drug for this condition, </w:t>
            </w:r>
          </w:p>
        </w:tc>
      </w:tr>
      <w:tr w:rsidR="00DC6802" w:rsidRPr="00247F47" w14:paraId="10A2298C" w14:textId="77777777" w:rsidTr="00D436D0">
        <w:tblPrEx>
          <w:tblCellMar>
            <w:top w:w="15" w:type="dxa"/>
            <w:bottom w:w="15" w:type="dxa"/>
          </w:tblCellMar>
        </w:tblPrEx>
        <w:trPr>
          <w:cantSplit/>
          <w:trHeight w:val="20"/>
        </w:trPr>
        <w:tc>
          <w:tcPr>
            <w:tcW w:w="1910" w:type="dxa"/>
            <w:gridSpan w:val="2"/>
            <w:vAlign w:val="center"/>
          </w:tcPr>
          <w:p w14:paraId="41CF71E3" w14:textId="77777777" w:rsidR="00DC6802" w:rsidRPr="00247F47" w:rsidRDefault="00DC6802">
            <w:pPr>
              <w:jc w:val="center"/>
              <w:rPr>
                <w:rFonts w:ascii="Arial Narrow" w:hAnsi="Arial Narrow"/>
                <w:b/>
                <w:bCs/>
                <w:iCs/>
                <w:sz w:val="20"/>
                <w:szCs w:val="20"/>
              </w:rPr>
            </w:pPr>
          </w:p>
        </w:tc>
        <w:tc>
          <w:tcPr>
            <w:tcW w:w="7112" w:type="dxa"/>
            <w:gridSpan w:val="6"/>
            <w:vAlign w:val="center"/>
          </w:tcPr>
          <w:p w14:paraId="4E50E65C" w14:textId="77777777" w:rsidR="00DC6802" w:rsidRPr="00247F47" w:rsidRDefault="00DC6802">
            <w:pPr>
              <w:rPr>
                <w:rFonts w:ascii="Arial Narrow" w:hAnsi="Arial Narrow"/>
                <w:b/>
                <w:bCs/>
                <w:iCs/>
                <w:sz w:val="20"/>
              </w:rPr>
            </w:pPr>
            <w:r w:rsidRPr="00247F47">
              <w:rPr>
                <w:rFonts w:ascii="Arial Narrow" w:hAnsi="Arial Narrow"/>
                <w:b/>
                <w:bCs/>
                <w:iCs/>
                <w:sz w:val="20"/>
                <w:szCs w:val="20"/>
              </w:rPr>
              <w:t>AND</w:t>
            </w:r>
          </w:p>
        </w:tc>
      </w:tr>
      <w:tr w:rsidR="00DC6802" w:rsidRPr="00247F47" w14:paraId="4A594506" w14:textId="77777777" w:rsidTr="00D436D0">
        <w:tblPrEx>
          <w:tblCellMar>
            <w:top w:w="15" w:type="dxa"/>
            <w:bottom w:w="15" w:type="dxa"/>
          </w:tblCellMar>
        </w:tblPrEx>
        <w:trPr>
          <w:cantSplit/>
          <w:trHeight w:val="20"/>
        </w:trPr>
        <w:tc>
          <w:tcPr>
            <w:tcW w:w="1910" w:type="dxa"/>
            <w:gridSpan w:val="2"/>
            <w:vAlign w:val="center"/>
          </w:tcPr>
          <w:p w14:paraId="38209655" w14:textId="1AC5EC8C" w:rsidR="00DC6802" w:rsidRPr="000E1992" w:rsidRDefault="00DC6802">
            <w:pPr>
              <w:jc w:val="center"/>
              <w:rPr>
                <w:rFonts w:ascii="Arial Narrow" w:hAnsi="Arial Narrow"/>
                <w:iCs/>
                <w:sz w:val="20"/>
                <w:szCs w:val="20"/>
              </w:rPr>
            </w:pPr>
          </w:p>
        </w:tc>
        <w:tc>
          <w:tcPr>
            <w:tcW w:w="7112" w:type="dxa"/>
            <w:gridSpan w:val="6"/>
            <w:vAlign w:val="center"/>
          </w:tcPr>
          <w:p w14:paraId="553416BD" w14:textId="77777777" w:rsidR="00DC6802" w:rsidRPr="00247F47" w:rsidRDefault="00DC6802">
            <w:pPr>
              <w:rPr>
                <w:rFonts w:ascii="Arial Narrow" w:hAnsi="Arial Narrow"/>
                <w:b/>
                <w:bCs/>
                <w:iCs/>
                <w:sz w:val="20"/>
              </w:rPr>
            </w:pPr>
            <w:r w:rsidRPr="00247F47">
              <w:rPr>
                <w:rFonts w:ascii="Arial Narrow" w:hAnsi="Arial Narrow"/>
                <w:b/>
                <w:bCs/>
                <w:iCs/>
                <w:sz w:val="20"/>
              </w:rPr>
              <w:t>Clinical criteria:</w:t>
            </w:r>
          </w:p>
        </w:tc>
      </w:tr>
      <w:tr w:rsidR="00DC6802" w:rsidRPr="00247F47" w14:paraId="0A25F7E2" w14:textId="77777777" w:rsidTr="00D436D0">
        <w:tblPrEx>
          <w:tblCellMar>
            <w:top w:w="15" w:type="dxa"/>
            <w:bottom w:w="15" w:type="dxa"/>
          </w:tblCellMar>
        </w:tblPrEx>
        <w:trPr>
          <w:cantSplit/>
          <w:trHeight w:val="20"/>
        </w:trPr>
        <w:tc>
          <w:tcPr>
            <w:tcW w:w="1910" w:type="dxa"/>
            <w:gridSpan w:val="2"/>
            <w:vAlign w:val="center"/>
          </w:tcPr>
          <w:p w14:paraId="5DB9D464" w14:textId="36108277" w:rsidR="00DC6802" w:rsidRPr="00247F47" w:rsidRDefault="00DC6802">
            <w:pPr>
              <w:jc w:val="center"/>
              <w:rPr>
                <w:rFonts w:ascii="Arial Narrow" w:hAnsi="Arial Narrow"/>
                <w:iCs/>
                <w:sz w:val="20"/>
                <w:szCs w:val="20"/>
              </w:rPr>
            </w:pPr>
          </w:p>
        </w:tc>
        <w:tc>
          <w:tcPr>
            <w:tcW w:w="7112" w:type="dxa"/>
            <w:gridSpan w:val="6"/>
            <w:vAlign w:val="center"/>
          </w:tcPr>
          <w:p w14:paraId="3D15D8AB" w14:textId="77777777" w:rsidR="00DC6802" w:rsidRPr="00247F47" w:rsidRDefault="00DC6802">
            <w:pPr>
              <w:rPr>
                <w:rFonts w:ascii="Arial Narrow" w:hAnsi="Arial Narrow"/>
                <w:iCs/>
                <w:sz w:val="20"/>
              </w:rPr>
            </w:pPr>
            <w:r w:rsidRPr="00247F47">
              <w:rPr>
                <w:rFonts w:ascii="Arial Narrow" w:hAnsi="Arial Narrow"/>
                <w:iCs/>
                <w:sz w:val="20"/>
              </w:rPr>
              <w:t>The treatment must be the sole PBS-subsidised JAK inhibitor therapy for this condition</w:t>
            </w:r>
          </w:p>
        </w:tc>
      </w:tr>
      <w:tr w:rsidR="0D2E790F" w14:paraId="0636ED08" w14:textId="77777777" w:rsidTr="00D436D0">
        <w:tblPrEx>
          <w:tblCellMar>
            <w:top w:w="15" w:type="dxa"/>
            <w:bottom w:w="15" w:type="dxa"/>
          </w:tblCellMar>
        </w:tblPrEx>
        <w:trPr>
          <w:cantSplit/>
          <w:trHeight w:val="20"/>
        </w:trPr>
        <w:tc>
          <w:tcPr>
            <w:tcW w:w="9022" w:type="dxa"/>
            <w:gridSpan w:val="8"/>
            <w:vAlign w:val="center"/>
          </w:tcPr>
          <w:p w14:paraId="0E9BF077" w14:textId="4CC38FB3" w:rsidR="0D2E790F" w:rsidRDefault="0D2E790F" w:rsidP="0D2E790F">
            <w:pPr>
              <w:rPr>
                <w:rFonts w:ascii="Arial Narrow" w:hAnsi="Arial Narrow"/>
                <w:sz w:val="20"/>
                <w:szCs w:val="20"/>
              </w:rPr>
            </w:pPr>
          </w:p>
        </w:tc>
      </w:tr>
      <w:tr w:rsidR="00B775CA" w:rsidRPr="003F7823" w14:paraId="2B342596" w14:textId="77777777">
        <w:tblPrEx>
          <w:tblCellMar>
            <w:top w:w="15" w:type="dxa"/>
            <w:bottom w:w="15" w:type="dxa"/>
          </w:tblCellMar>
        </w:tblPrEx>
        <w:trPr>
          <w:cantSplit/>
          <w:trHeight w:val="20"/>
        </w:trPr>
        <w:tc>
          <w:tcPr>
            <w:tcW w:w="1910" w:type="dxa"/>
            <w:gridSpan w:val="2"/>
            <w:tcBorders>
              <w:top w:val="single" w:sz="4" w:space="0" w:color="auto"/>
              <w:left w:val="single" w:sz="4" w:space="0" w:color="auto"/>
              <w:bottom w:val="single" w:sz="4" w:space="0" w:color="auto"/>
              <w:right w:val="single" w:sz="4" w:space="0" w:color="auto"/>
            </w:tcBorders>
            <w:vAlign w:val="center"/>
          </w:tcPr>
          <w:p w14:paraId="16B9C5AC" w14:textId="3269D8C6" w:rsidR="00B775CA" w:rsidRPr="00B775CA" w:rsidRDefault="00B775CA" w:rsidP="00BF0F69">
            <w:pPr>
              <w:jc w:val="center"/>
              <w:rPr>
                <w:rFonts w:ascii="Arial Narrow" w:hAnsi="Arial Narrow"/>
                <w:sz w:val="20"/>
                <w:szCs w:val="20"/>
              </w:rPr>
            </w:pPr>
          </w:p>
        </w:tc>
        <w:tc>
          <w:tcPr>
            <w:tcW w:w="7112" w:type="dxa"/>
            <w:gridSpan w:val="6"/>
            <w:tcBorders>
              <w:top w:val="single" w:sz="4" w:space="0" w:color="auto"/>
              <w:left w:val="single" w:sz="4" w:space="0" w:color="auto"/>
              <w:bottom w:val="single" w:sz="4" w:space="0" w:color="auto"/>
              <w:right w:val="single" w:sz="4" w:space="0" w:color="auto"/>
            </w:tcBorders>
          </w:tcPr>
          <w:p w14:paraId="6FE12422" w14:textId="6863035F" w:rsidR="00B775CA" w:rsidRPr="00B775CA" w:rsidRDefault="00B775CA" w:rsidP="00B775CA">
            <w:pPr>
              <w:jc w:val="left"/>
              <w:rPr>
                <w:rFonts w:ascii="Arial Narrow" w:hAnsi="Arial Narrow"/>
                <w:b/>
                <w:bCs/>
                <w:sz w:val="20"/>
              </w:rPr>
            </w:pPr>
            <w:r w:rsidRPr="00B775CA">
              <w:rPr>
                <w:rFonts w:ascii="Arial Narrow" w:hAnsi="Arial Narrow"/>
                <w:b/>
                <w:sz w:val="20"/>
                <w:szCs w:val="20"/>
              </w:rPr>
              <w:t>Treatment criteria</w:t>
            </w:r>
          </w:p>
        </w:tc>
      </w:tr>
      <w:tr w:rsidR="00B775CA" w:rsidRPr="003F7823" w14:paraId="489C9DCF" w14:textId="77777777">
        <w:tblPrEx>
          <w:tblCellMar>
            <w:top w:w="15" w:type="dxa"/>
            <w:bottom w:w="15" w:type="dxa"/>
          </w:tblCellMar>
        </w:tblPrEx>
        <w:trPr>
          <w:cantSplit/>
          <w:trHeight w:val="20"/>
        </w:trPr>
        <w:tc>
          <w:tcPr>
            <w:tcW w:w="1910" w:type="dxa"/>
            <w:gridSpan w:val="2"/>
            <w:tcBorders>
              <w:top w:val="single" w:sz="4" w:space="0" w:color="auto"/>
              <w:left w:val="single" w:sz="4" w:space="0" w:color="auto"/>
              <w:bottom w:val="single" w:sz="4" w:space="0" w:color="auto"/>
              <w:right w:val="single" w:sz="4" w:space="0" w:color="auto"/>
            </w:tcBorders>
            <w:vAlign w:val="center"/>
          </w:tcPr>
          <w:p w14:paraId="78B91C73" w14:textId="21ADF54E" w:rsidR="00B775CA" w:rsidRPr="00B775CA" w:rsidRDefault="00B775CA" w:rsidP="00B775CA">
            <w:pPr>
              <w:jc w:val="center"/>
              <w:rPr>
                <w:rFonts w:ascii="Arial Narrow" w:hAnsi="Arial Narrow"/>
                <w:sz w:val="20"/>
                <w:szCs w:val="20"/>
              </w:rPr>
            </w:pPr>
          </w:p>
        </w:tc>
        <w:tc>
          <w:tcPr>
            <w:tcW w:w="7112" w:type="dxa"/>
            <w:gridSpan w:val="6"/>
            <w:tcBorders>
              <w:top w:val="single" w:sz="4" w:space="0" w:color="auto"/>
              <w:left w:val="single" w:sz="4" w:space="0" w:color="auto"/>
              <w:bottom w:val="single" w:sz="4" w:space="0" w:color="auto"/>
              <w:right w:val="single" w:sz="4" w:space="0" w:color="auto"/>
            </w:tcBorders>
          </w:tcPr>
          <w:p w14:paraId="708565BB" w14:textId="05204694" w:rsidR="00B775CA" w:rsidRPr="00B775CA" w:rsidRDefault="00B775CA" w:rsidP="00B775CA">
            <w:pPr>
              <w:jc w:val="left"/>
              <w:rPr>
                <w:rFonts w:ascii="Arial Narrow" w:hAnsi="Arial Narrow"/>
                <w:b/>
                <w:bCs/>
                <w:sz w:val="20"/>
              </w:rPr>
            </w:pPr>
            <w:r w:rsidRPr="00B775CA">
              <w:rPr>
                <w:rFonts w:ascii="Arial Narrow" w:hAnsi="Arial Narrow"/>
                <w:sz w:val="20"/>
                <w:szCs w:val="20"/>
              </w:rPr>
              <w:t>Must be treated by a medical practitioner</w:t>
            </w:r>
            <w:r w:rsidR="0016209D">
              <w:rPr>
                <w:rFonts w:ascii="Arial Narrow" w:hAnsi="Arial Narrow"/>
                <w:sz w:val="20"/>
                <w:szCs w:val="20"/>
              </w:rPr>
              <w:t>; or</w:t>
            </w:r>
          </w:p>
        </w:tc>
      </w:tr>
      <w:tr w:rsidR="00B775CA" w:rsidRPr="003F7823" w14:paraId="3F01F3E5" w14:textId="77777777">
        <w:tblPrEx>
          <w:tblCellMar>
            <w:top w:w="15" w:type="dxa"/>
            <w:bottom w:w="15" w:type="dxa"/>
          </w:tblCellMar>
        </w:tblPrEx>
        <w:trPr>
          <w:cantSplit/>
          <w:trHeight w:val="20"/>
        </w:trPr>
        <w:tc>
          <w:tcPr>
            <w:tcW w:w="1910" w:type="dxa"/>
            <w:gridSpan w:val="2"/>
            <w:tcBorders>
              <w:top w:val="single" w:sz="4" w:space="0" w:color="auto"/>
              <w:left w:val="single" w:sz="4" w:space="0" w:color="auto"/>
              <w:bottom w:val="single" w:sz="4" w:space="0" w:color="auto"/>
              <w:right w:val="single" w:sz="4" w:space="0" w:color="auto"/>
            </w:tcBorders>
            <w:vAlign w:val="center"/>
          </w:tcPr>
          <w:p w14:paraId="6152E477" w14:textId="29A86EDB" w:rsidR="00B775CA" w:rsidRPr="00B775CA" w:rsidRDefault="00B775CA" w:rsidP="00B775CA">
            <w:pPr>
              <w:jc w:val="center"/>
              <w:rPr>
                <w:rFonts w:ascii="Arial Narrow" w:hAnsi="Arial Narrow"/>
                <w:sz w:val="20"/>
                <w:szCs w:val="20"/>
              </w:rPr>
            </w:pPr>
          </w:p>
        </w:tc>
        <w:tc>
          <w:tcPr>
            <w:tcW w:w="7112" w:type="dxa"/>
            <w:gridSpan w:val="6"/>
            <w:tcBorders>
              <w:top w:val="single" w:sz="4" w:space="0" w:color="auto"/>
              <w:left w:val="single" w:sz="4" w:space="0" w:color="auto"/>
              <w:bottom w:val="single" w:sz="4" w:space="0" w:color="auto"/>
              <w:right w:val="single" w:sz="4" w:space="0" w:color="auto"/>
            </w:tcBorders>
          </w:tcPr>
          <w:p w14:paraId="441399D9" w14:textId="504A4B11" w:rsidR="00B775CA" w:rsidRPr="00B775CA" w:rsidRDefault="00B775CA" w:rsidP="00B775CA">
            <w:pPr>
              <w:jc w:val="left"/>
              <w:rPr>
                <w:rFonts w:ascii="Arial Narrow" w:hAnsi="Arial Narrow"/>
                <w:b/>
                <w:bCs/>
                <w:sz w:val="20"/>
              </w:rPr>
            </w:pPr>
            <w:r w:rsidRPr="00B775CA">
              <w:rPr>
                <w:rFonts w:ascii="Arial Narrow" w:hAnsi="Arial Narrow"/>
                <w:sz w:val="20"/>
                <w:szCs w:val="20"/>
              </w:rPr>
              <w:t xml:space="preserve">Must be treated by a nurse practitioner where both of the following are occurring: (i) </w:t>
            </w:r>
            <w:r w:rsidRPr="00B775CA" w:rsidDel="00656751">
              <w:rPr>
                <w:rFonts w:ascii="Arial Narrow" w:hAnsi="Arial Narrow"/>
                <w:sz w:val="20"/>
                <w:szCs w:val="20"/>
              </w:rPr>
              <w:t>patient care is being shared with a medical practitioner</w:t>
            </w:r>
            <w:r w:rsidRPr="00B775CA">
              <w:rPr>
                <w:rFonts w:ascii="Arial Narrow" w:hAnsi="Arial Narrow"/>
                <w:sz w:val="20"/>
                <w:szCs w:val="20"/>
              </w:rPr>
              <w:t>, (ii)</w:t>
            </w:r>
            <w:r w:rsidRPr="00B775CA" w:rsidDel="00656751">
              <w:rPr>
                <w:rFonts w:ascii="Arial Narrow" w:hAnsi="Arial Narrow"/>
                <w:sz w:val="20"/>
                <w:szCs w:val="20"/>
              </w:rPr>
              <w:t xml:space="preserve"> </w:t>
            </w:r>
            <w:r w:rsidRPr="00B775CA">
              <w:rPr>
                <w:rFonts w:ascii="Arial Narrow" w:hAnsi="Arial Narrow"/>
                <w:sz w:val="20"/>
                <w:szCs w:val="20"/>
              </w:rPr>
              <w:t>the prescription continues existing therapy with this medicine</w:t>
            </w:r>
          </w:p>
        </w:tc>
      </w:tr>
      <w:tr w:rsidR="00B775CA" w:rsidRPr="003F7823" w14:paraId="5FF5EA4B" w14:textId="77777777">
        <w:tblPrEx>
          <w:tblCellMar>
            <w:top w:w="15" w:type="dxa"/>
            <w:bottom w:w="15" w:type="dxa"/>
          </w:tblCellMar>
        </w:tblPrEx>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tcPr>
          <w:p w14:paraId="64F32C43" w14:textId="77777777" w:rsidR="00B775CA" w:rsidRPr="003F7823" w:rsidRDefault="00B775CA">
            <w:pPr>
              <w:rPr>
                <w:rFonts w:ascii="Arial Narrow" w:hAnsi="Arial Narrow"/>
                <w:b/>
                <w:bCs/>
                <w:iCs/>
                <w:sz w:val="20"/>
              </w:rPr>
            </w:pPr>
          </w:p>
        </w:tc>
      </w:tr>
      <w:tr w:rsidR="00DC6802" w:rsidRPr="003F7823" w14:paraId="030B48B0" w14:textId="77777777" w:rsidTr="00D436D0">
        <w:tblPrEx>
          <w:tblCellMar>
            <w:top w:w="15" w:type="dxa"/>
            <w:bottom w:w="15" w:type="dxa"/>
          </w:tblCellMar>
        </w:tblPrEx>
        <w:trPr>
          <w:cantSplit/>
          <w:trHeight w:val="20"/>
        </w:trPr>
        <w:tc>
          <w:tcPr>
            <w:tcW w:w="1910" w:type="dxa"/>
            <w:gridSpan w:val="2"/>
            <w:tcBorders>
              <w:top w:val="single" w:sz="4" w:space="0" w:color="auto"/>
              <w:left w:val="single" w:sz="4" w:space="0" w:color="auto"/>
              <w:bottom w:val="single" w:sz="4" w:space="0" w:color="auto"/>
              <w:right w:val="single" w:sz="4" w:space="0" w:color="auto"/>
            </w:tcBorders>
            <w:vAlign w:val="center"/>
          </w:tcPr>
          <w:p w14:paraId="6DA351D2" w14:textId="3DB17FE8" w:rsidR="00DC6802" w:rsidRPr="003F7823" w:rsidRDefault="00DC6802">
            <w:pPr>
              <w:jc w:val="center"/>
              <w:rPr>
                <w:rFonts w:ascii="Arial Narrow" w:hAnsi="Arial Narrow"/>
                <w:iCs/>
                <w:sz w:val="20"/>
                <w:szCs w:val="20"/>
              </w:rPr>
            </w:pPr>
          </w:p>
        </w:tc>
        <w:tc>
          <w:tcPr>
            <w:tcW w:w="7112" w:type="dxa"/>
            <w:gridSpan w:val="6"/>
            <w:tcBorders>
              <w:top w:val="single" w:sz="4" w:space="0" w:color="auto"/>
              <w:left w:val="single" w:sz="4" w:space="0" w:color="auto"/>
              <w:bottom w:val="single" w:sz="4" w:space="0" w:color="auto"/>
              <w:right w:val="single" w:sz="4" w:space="0" w:color="auto"/>
            </w:tcBorders>
            <w:vAlign w:val="center"/>
          </w:tcPr>
          <w:p w14:paraId="2D86D263" w14:textId="77777777" w:rsidR="00DC6802" w:rsidRPr="003F7823" w:rsidRDefault="00DC6802">
            <w:pPr>
              <w:rPr>
                <w:rFonts w:ascii="Arial Narrow" w:hAnsi="Arial Narrow"/>
                <w:b/>
                <w:bCs/>
                <w:iCs/>
                <w:sz w:val="20"/>
              </w:rPr>
            </w:pPr>
            <w:r w:rsidRPr="003F7823">
              <w:rPr>
                <w:rFonts w:ascii="Arial Narrow" w:hAnsi="Arial Narrow"/>
                <w:b/>
                <w:bCs/>
                <w:iCs/>
                <w:sz w:val="20"/>
              </w:rPr>
              <w:t xml:space="preserve">Caution: </w:t>
            </w:r>
          </w:p>
          <w:p w14:paraId="2841E56D" w14:textId="77777777" w:rsidR="00DC6802" w:rsidRPr="003F7823" w:rsidRDefault="00DC6802">
            <w:pPr>
              <w:rPr>
                <w:rFonts w:ascii="Arial Narrow" w:hAnsi="Arial Narrow"/>
                <w:iCs/>
                <w:sz w:val="20"/>
              </w:rPr>
            </w:pPr>
            <w:r w:rsidRPr="003F7823">
              <w:rPr>
                <w:rFonts w:ascii="Arial Narrow" w:hAnsi="Arial Narrow"/>
                <w:iCs/>
                <w:sz w:val="20"/>
              </w:rPr>
              <w:t xml:space="preserve">Thiamine levels should be assessed as per the approved Therapeutic Goods Administration (TGA) Product Information (PI) prior to receiving treatment and should be closely monitored throughout the treatment period. </w:t>
            </w:r>
          </w:p>
        </w:tc>
      </w:tr>
      <w:bookmarkEnd w:id="65"/>
    </w:tbl>
    <w:p w14:paraId="66FD86AF" w14:textId="77777777" w:rsidR="00323CA3" w:rsidRPr="0021233A" w:rsidRDefault="00323CA3" w:rsidP="00041481">
      <w:pPr>
        <w:spacing w:before="120"/>
        <w:rPr>
          <w:rFonts w:asciiTheme="minorHAnsi" w:hAnsiTheme="minorHAnsi"/>
          <w:bCs/>
          <w:snapToGrid w:val="0"/>
          <w:lang w:val="en-GB"/>
        </w:rPr>
      </w:pPr>
    </w:p>
    <w:p w14:paraId="14EE95AF" w14:textId="77777777" w:rsidR="00A2379D" w:rsidRDefault="00A2379D">
      <w:pPr>
        <w:jc w:val="left"/>
        <w:rPr>
          <w:rFonts w:asciiTheme="minorHAnsi" w:hAnsiTheme="minorHAnsi"/>
          <w:b/>
          <w:lang w:val="en-GB"/>
        </w:rPr>
      </w:pPr>
      <w:r>
        <w:rPr>
          <w:rFonts w:asciiTheme="minorHAnsi" w:hAnsiTheme="minorHAnsi"/>
          <w:b/>
          <w:lang w:val="en-GB"/>
        </w:rPr>
        <w:br w:type="page"/>
      </w:r>
    </w:p>
    <w:p w14:paraId="0750A635" w14:textId="34F422FA" w:rsidR="2C742EAE" w:rsidRDefault="00717EE6" w:rsidP="00273063">
      <w:pPr>
        <w:widowControl w:val="0"/>
        <w:spacing w:after="120"/>
        <w:rPr>
          <w:rFonts w:asciiTheme="minorHAnsi" w:hAnsiTheme="minorHAnsi"/>
          <w:lang w:val="en-GB"/>
        </w:rPr>
      </w:pPr>
      <w:r w:rsidRPr="663DBD81">
        <w:rPr>
          <w:rFonts w:asciiTheme="minorHAnsi" w:hAnsiTheme="minorHAnsi"/>
          <w:b/>
          <w:lang w:val="en-GB"/>
        </w:rPr>
        <w:t>Flow</w:t>
      </w:r>
      <w:r w:rsidR="001709E1" w:rsidRPr="663DBD81">
        <w:rPr>
          <w:rFonts w:asciiTheme="minorHAnsi" w:hAnsiTheme="minorHAnsi"/>
          <w:b/>
          <w:lang w:val="en-GB"/>
        </w:rPr>
        <w:t>-</w:t>
      </w:r>
      <w:proofErr w:type="spellStart"/>
      <w:r w:rsidRPr="663DBD81">
        <w:rPr>
          <w:rFonts w:asciiTheme="minorHAnsi" w:hAnsiTheme="minorHAnsi"/>
          <w:b/>
          <w:lang w:val="en-GB"/>
        </w:rPr>
        <w:t>ons</w:t>
      </w:r>
      <w:proofErr w:type="spellEnd"/>
      <w:r w:rsidR="00170DA8" w:rsidRPr="663DBD81">
        <w:rPr>
          <w:rFonts w:asciiTheme="minorHAnsi" w:hAnsiTheme="minorHAnsi"/>
          <w:b/>
          <w:lang w:val="en-GB"/>
        </w:rPr>
        <w:t xml:space="preserve"> to </w:t>
      </w:r>
      <w:proofErr w:type="spellStart"/>
      <w:r w:rsidR="00170DA8" w:rsidRPr="663DBD81">
        <w:rPr>
          <w:rFonts w:asciiTheme="minorHAnsi" w:hAnsiTheme="minorHAnsi"/>
          <w:b/>
          <w:lang w:val="en-GB"/>
        </w:rPr>
        <w:t>momelotinib</w:t>
      </w:r>
      <w:proofErr w:type="spellEnd"/>
      <w:r w:rsidR="009A7E63">
        <w:rPr>
          <w:rFonts w:asciiTheme="minorHAnsi" w:hAnsiTheme="minorHAnsi"/>
          <w:b/>
          <w:bCs/>
          <w:lang w:val="en-GB"/>
        </w:rPr>
        <w:t>:</w:t>
      </w:r>
      <w:hyperlink r:id="rId14" w:tooltip="10614p" w:history="1"/>
      <w:hyperlink r:id="rId15" w:tooltip="10615q" w:history="1"/>
      <w:hyperlink r:id="rId16" w:tooltip="10616r" w:history="1"/>
      <w:hyperlink r:id="rId17" w:tooltip="10617t" w:history="1"/>
    </w:p>
    <w:p w14:paraId="31B818B9" w14:textId="61DF8FC5" w:rsidR="00323CA3" w:rsidRDefault="004E1F0E" w:rsidP="0057044F">
      <w:pPr>
        <w:widowControl w:val="0"/>
        <w:numPr>
          <w:ilvl w:val="1"/>
          <w:numId w:val="1"/>
        </w:numPr>
        <w:spacing w:after="120"/>
        <w:rPr>
          <w:rFonts w:asciiTheme="minorHAnsi" w:hAnsiTheme="minorHAnsi"/>
          <w:lang w:val="en-GB"/>
        </w:rPr>
      </w:pPr>
      <w:r w:rsidRPr="0057044F">
        <w:rPr>
          <w:rFonts w:asciiTheme="minorHAnsi" w:hAnsiTheme="minorHAnsi"/>
          <w:snapToGrid w:val="0"/>
        </w:rPr>
        <w:t>Add</w:t>
      </w:r>
      <w:r w:rsidR="2F872CAE" w:rsidRPr="78EDD915">
        <w:rPr>
          <w:rFonts w:asciiTheme="minorHAnsi" w:hAnsiTheme="minorHAnsi"/>
          <w:lang w:val="en-GB"/>
        </w:rPr>
        <w:t xml:space="preserve"> new</w:t>
      </w:r>
      <w:r w:rsidR="009A7E63">
        <w:rPr>
          <w:rFonts w:asciiTheme="minorHAnsi" w:hAnsiTheme="minorHAnsi"/>
          <w:lang w:val="en-GB"/>
        </w:rPr>
        <w:t xml:space="preserve"> prescriber type</w:t>
      </w:r>
      <w:r w:rsidR="2F872CAE" w:rsidRPr="78EDD915">
        <w:rPr>
          <w:rFonts w:asciiTheme="minorHAnsi" w:hAnsiTheme="minorHAnsi"/>
          <w:lang w:val="en-GB"/>
        </w:rPr>
        <w:t xml:space="preserve"> in </w:t>
      </w:r>
      <w:proofErr w:type="spellStart"/>
      <w:r w:rsidR="2F872CAE" w:rsidRPr="4C12CF00">
        <w:rPr>
          <w:rFonts w:asciiTheme="minorHAnsi" w:hAnsiTheme="minorHAnsi"/>
          <w:lang w:val="en-GB"/>
        </w:rPr>
        <w:t>momelotinib</w:t>
      </w:r>
      <w:proofErr w:type="spellEnd"/>
      <w:r w:rsidR="2F872CAE" w:rsidRPr="4C12CF00">
        <w:rPr>
          <w:rFonts w:asciiTheme="minorHAnsi" w:hAnsiTheme="minorHAnsi"/>
          <w:lang w:val="en-GB"/>
        </w:rPr>
        <w:t xml:space="preserve"> </w:t>
      </w:r>
      <w:r w:rsidR="2F872CAE" w:rsidRPr="3759A756">
        <w:rPr>
          <w:rFonts w:asciiTheme="minorHAnsi" w:hAnsiTheme="minorHAnsi"/>
          <w:lang w:val="en-GB"/>
        </w:rPr>
        <w:t>(to allow</w:t>
      </w:r>
      <w:r w:rsidRPr="7D86ECBB">
        <w:rPr>
          <w:rFonts w:asciiTheme="minorHAnsi" w:hAnsiTheme="minorHAnsi"/>
          <w:lang w:val="en-GB"/>
        </w:rPr>
        <w:t xml:space="preserve"> </w:t>
      </w:r>
      <w:r w:rsidR="2F872CAE" w:rsidRPr="7A9D1E8C">
        <w:rPr>
          <w:rFonts w:asciiTheme="minorHAnsi" w:hAnsiTheme="minorHAnsi"/>
          <w:lang w:val="en-GB"/>
        </w:rPr>
        <w:t xml:space="preserve">nurse practitioner prescribing </w:t>
      </w:r>
      <w:r w:rsidR="2F872CAE" w:rsidRPr="1C65A67B">
        <w:rPr>
          <w:rFonts w:asciiTheme="minorHAnsi" w:hAnsiTheme="minorHAnsi"/>
          <w:lang w:val="en-GB"/>
        </w:rPr>
        <w:t xml:space="preserve">in </w:t>
      </w:r>
      <w:r w:rsidR="2F872CAE" w:rsidRPr="53A17FFE">
        <w:rPr>
          <w:rFonts w:asciiTheme="minorHAnsi" w:hAnsiTheme="minorHAnsi"/>
          <w:lang w:val="en-GB"/>
        </w:rPr>
        <w:t>continued therapy):</w:t>
      </w:r>
    </w:p>
    <w:p w14:paraId="3DF7651B" w14:textId="3E254511" w:rsidR="00323CA3" w:rsidRDefault="5868DA15" w:rsidP="004958D2">
      <w:pPr>
        <w:pStyle w:val="ListParagraph"/>
        <w:spacing w:before="120"/>
        <w:rPr>
          <w:lang w:val="en-GB"/>
        </w:rPr>
      </w:pPr>
      <w:r w:rsidRPr="40B54F3B">
        <w:rPr>
          <w:lang w:val="en-GB"/>
        </w:rPr>
        <w:t>1</w:t>
      </w:r>
      <w:r w:rsidR="5E0C4630" w:rsidRPr="40B54F3B">
        <w:rPr>
          <w:lang w:val="en-GB"/>
        </w:rPr>
        <w:t>4</w:t>
      </w:r>
      <w:r w:rsidRPr="40B54F3B">
        <w:rPr>
          <w:lang w:val="en-GB"/>
        </w:rPr>
        <w:t xml:space="preserve">743Y/ </w:t>
      </w:r>
      <w:proofErr w:type="spellStart"/>
      <w:r w:rsidRPr="40B54F3B">
        <w:rPr>
          <w:lang w:val="en-GB"/>
        </w:rPr>
        <w:t>momelotinib</w:t>
      </w:r>
      <w:proofErr w:type="spellEnd"/>
      <w:r w:rsidRPr="40B54F3B">
        <w:rPr>
          <w:lang w:val="en-GB"/>
        </w:rPr>
        <w:t xml:space="preserve"> 10</w:t>
      </w:r>
      <w:r w:rsidR="5240439F" w:rsidRPr="40B54F3B">
        <w:rPr>
          <w:lang w:val="en-GB"/>
        </w:rPr>
        <w:t xml:space="preserve">0mg tablet, 30 </w:t>
      </w:r>
      <w:r w:rsidR="47B972A9" w:rsidRPr="508192B3">
        <w:rPr>
          <w:lang w:val="en-GB"/>
        </w:rPr>
        <w:t>(</w:t>
      </w:r>
      <w:r w:rsidR="00152DFE">
        <w:rPr>
          <w:lang w:val="en-GB"/>
        </w:rPr>
        <w:t>C</w:t>
      </w:r>
      <w:r w:rsidR="47B972A9" w:rsidRPr="02CA988F">
        <w:rPr>
          <w:lang w:val="en-GB"/>
        </w:rPr>
        <w:t>ontinuing</w:t>
      </w:r>
      <w:r w:rsidR="47B972A9" w:rsidRPr="508192B3">
        <w:rPr>
          <w:lang w:val="en-GB"/>
        </w:rPr>
        <w:t xml:space="preserve"> treatment</w:t>
      </w:r>
      <w:r w:rsidR="00D65499">
        <w:rPr>
          <w:lang w:val="en-GB"/>
        </w:rPr>
        <w:t xml:space="preserve">- </w:t>
      </w:r>
      <w:r w:rsidR="00D65499" w:rsidRPr="00D65499">
        <w:t>Intermediate-1 risk myelofibrosis</w:t>
      </w:r>
      <w:r w:rsidR="00DF1054">
        <w:t>/</w:t>
      </w:r>
      <w:r w:rsidR="000041EC" w:rsidRPr="000041EC">
        <w:t>High risk and intermediate-2 risk myelofibrosis</w:t>
      </w:r>
      <w:r w:rsidR="47B972A9" w:rsidRPr="30637343">
        <w:rPr>
          <w:lang w:val="en-GB"/>
        </w:rPr>
        <w:t>)</w:t>
      </w:r>
    </w:p>
    <w:p w14:paraId="7CF915ED" w14:textId="17CF1EE9" w:rsidR="00323CA3" w:rsidRDefault="53A3FAE3" w:rsidP="004958D2">
      <w:pPr>
        <w:pStyle w:val="ListParagraph"/>
        <w:spacing w:before="120"/>
        <w:rPr>
          <w:lang w:val="en-GB"/>
        </w:rPr>
      </w:pPr>
      <w:r w:rsidRPr="40B54F3B">
        <w:rPr>
          <w:lang w:val="en-GB"/>
        </w:rPr>
        <w:t xml:space="preserve">14744B/ </w:t>
      </w:r>
      <w:proofErr w:type="spellStart"/>
      <w:r w:rsidRPr="40B54F3B">
        <w:rPr>
          <w:lang w:val="en-GB"/>
        </w:rPr>
        <w:t>momelotinib</w:t>
      </w:r>
      <w:proofErr w:type="spellEnd"/>
      <w:r w:rsidRPr="40B54F3B">
        <w:rPr>
          <w:lang w:val="en-GB"/>
        </w:rPr>
        <w:t xml:space="preserve"> 150mg tablet, 30</w:t>
      </w:r>
      <w:r w:rsidR="0E12ECE7" w:rsidRPr="30637343">
        <w:rPr>
          <w:lang w:val="en-GB"/>
        </w:rPr>
        <w:t xml:space="preserve"> (</w:t>
      </w:r>
      <w:r w:rsidR="00152DFE">
        <w:rPr>
          <w:lang w:val="en-GB"/>
        </w:rPr>
        <w:t>C</w:t>
      </w:r>
      <w:r w:rsidR="000041EC" w:rsidRPr="02CA988F">
        <w:rPr>
          <w:lang w:val="en-GB"/>
        </w:rPr>
        <w:t>ontinuing</w:t>
      </w:r>
      <w:r w:rsidR="0E12ECE7" w:rsidRPr="30637343">
        <w:rPr>
          <w:lang w:val="en-GB"/>
        </w:rPr>
        <w:t xml:space="preserve"> treatment</w:t>
      </w:r>
      <w:r w:rsidR="000041EC">
        <w:rPr>
          <w:lang w:val="en-GB"/>
        </w:rPr>
        <w:t xml:space="preserve">- </w:t>
      </w:r>
      <w:r w:rsidR="000041EC" w:rsidRPr="00D65499">
        <w:t>Intermediate-1 risk myelofibrosis</w:t>
      </w:r>
      <w:r w:rsidR="000041EC">
        <w:t>/</w:t>
      </w:r>
      <w:r w:rsidR="000041EC" w:rsidRPr="000041EC">
        <w:t>High risk and intermediate-2 risk myelofibrosis</w:t>
      </w:r>
      <w:r w:rsidR="0E12ECE7" w:rsidRPr="30637343">
        <w:rPr>
          <w:lang w:val="en-GB"/>
        </w:rPr>
        <w:t>)</w:t>
      </w:r>
    </w:p>
    <w:p w14:paraId="6FE2ABA8" w14:textId="4AA4639B" w:rsidR="710134CC" w:rsidRDefault="53A3FAE3" w:rsidP="004958D2">
      <w:pPr>
        <w:pStyle w:val="ListParagraph"/>
        <w:spacing w:before="120"/>
        <w:rPr>
          <w:lang w:val="en-GB"/>
        </w:rPr>
      </w:pPr>
      <w:r w:rsidRPr="40B54F3B">
        <w:rPr>
          <w:lang w:val="en-GB"/>
        </w:rPr>
        <w:t xml:space="preserve">14770J/ </w:t>
      </w:r>
      <w:proofErr w:type="spellStart"/>
      <w:r w:rsidRPr="40B54F3B">
        <w:rPr>
          <w:lang w:val="en-GB"/>
        </w:rPr>
        <w:t>momelotinib</w:t>
      </w:r>
      <w:proofErr w:type="spellEnd"/>
      <w:r w:rsidRPr="40B54F3B">
        <w:rPr>
          <w:lang w:val="en-GB"/>
        </w:rPr>
        <w:t xml:space="preserve"> 200mg tablet, 30</w:t>
      </w:r>
      <w:r w:rsidR="18BB3A8E" w:rsidRPr="30637343">
        <w:rPr>
          <w:lang w:val="en-GB"/>
        </w:rPr>
        <w:t xml:space="preserve"> (</w:t>
      </w:r>
      <w:r w:rsidR="00152DFE">
        <w:rPr>
          <w:lang w:val="en-GB"/>
        </w:rPr>
        <w:t>C</w:t>
      </w:r>
      <w:r w:rsidR="000041EC" w:rsidRPr="02CA988F">
        <w:rPr>
          <w:lang w:val="en-GB"/>
        </w:rPr>
        <w:t>ontinuing</w:t>
      </w:r>
      <w:r w:rsidR="18BB3A8E" w:rsidRPr="30637343">
        <w:rPr>
          <w:lang w:val="en-GB"/>
        </w:rPr>
        <w:t xml:space="preserve"> treatment</w:t>
      </w:r>
      <w:r w:rsidR="000041EC">
        <w:rPr>
          <w:lang w:val="en-GB"/>
        </w:rPr>
        <w:t xml:space="preserve">- </w:t>
      </w:r>
      <w:r w:rsidR="000041EC" w:rsidRPr="00D65499">
        <w:t>Intermediate-1 risk myelofibrosis</w:t>
      </w:r>
      <w:r w:rsidR="000041EC">
        <w:t>/</w:t>
      </w:r>
      <w:r w:rsidR="000041EC" w:rsidRPr="000041EC">
        <w:t>High risk and intermediate-2 risk myelofibrosis</w:t>
      </w:r>
      <w:r w:rsidR="18BB3A8E" w:rsidRPr="30637343">
        <w:rPr>
          <w:lang w:val="en-GB"/>
        </w:rPr>
        <w:t>)</w:t>
      </w:r>
    </w:p>
    <w:p w14:paraId="44784F3C" w14:textId="77777777" w:rsidR="00A20596" w:rsidRDefault="00A20596" w:rsidP="00A20596">
      <w:pPr>
        <w:spacing w:before="120"/>
        <w:rPr>
          <w:lang w:val="en-GB"/>
        </w:rPr>
      </w:pPr>
    </w:p>
    <w:tbl>
      <w:tblPr>
        <w:tblStyle w:val="TableGrid"/>
        <w:tblW w:w="9351" w:type="dxa"/>
        <w:tblLook w:val="04A0" w:firstRow="1" w:lastRow="0" w:firstColumn="1" w:lastColumn="0" w:noHBand="0" w:noVBand="1"/>
        <w:tblCaption w:val="Flow on changes to momelitinib"/>
      </w:tblPr>
      <w:tblGrid>
        <w:gridCol w:w="9351"/>
      </w:tblGrid>
      <w:tr w:rsidR="00A20596" w14:paraId="3FBDEB13" w14:textId="77777777" w:rsidTr="00A20596">
        <w:trPr>
          <w:trHeight w:val="584"/>
        </w:trPr>
        <w:tc>
          <w:tcPr>
            <w:tcW w:w="9351" w:type="dxa"/>
          </w:tcPr>
          <w:p w14:paraId="45815B85" w14:textId="77777777" w:rsidR="00A20596" w:rsidRPr="00247F47" w:rsidRDefault="00A20596" w:rsidP="00A20596">
            <w:pPr>
              <w:keepLines/>
              <w:rPr>
                <w:rFonts w:ascii="Arial Narrow" w:hAnsi="Arial Narrow"/>
                <w:b/>
                <w:iCs/>
                <w:sz w:val="20"/>
                <w:szCs w:val="20"/>
              </w:rPr>
            </w:pPr>
            <w:r w:rsidRPr="00247F47">
              <w:rPr>
                <w:rFonts w:ascii="Arial Narrow" w:hAnsi="Arial Narrow"/>
                <w:b/>
                <w:iCs/>
                <w:sz w:val="20"/>
                <w:szCs w:val="20"/>
              </w:rPr>
              <w:t xml:space="preserve">Prescriber type: </w:t>
            </w:r>
          </w:p>
          <w:p w14:paraId="770CC3BC" w14:textId="121F8690" w:rsidR="00A20596" w:rsidRDefault="00A20596" w:rsidP="00A20596">
            <w:pPr>
              <w:spacing w:before="120"/>
              <w:rPr>
                <w:lang w:val="en-GB"/>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Medical Practitioners</w:t>
            </w:r>
            <w:r>
              <w:rPr>
                <w:rFonts w:ascii="Arial Narrow" w:hAnsi="Arial Narrow"/>
                <w:iCs/>
                <w:sz w:val="20"/>
                <w:szCs w:val="20"/>
              </w:rPr>
              <w:t xml:space="preserve"> </w:t>
            </w: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 </w:t>
            </w:r>
            <w:r w:rsidRPr="4AC6FA5D">
              <w:rPr>
                <w:rFonts w:ascii="Arial Narrow" w:hAnsi="Arial Narrow"/>
                <w:sz w:val="20"/>
                <w:szCs w:val="20"/>
              </w:rPr>
              <w:fldChar w:fldCharType="begin"/>
            </w:r>
            <w:r w:rsidRPr="4AC6FA5D">
              <w:rPr>
                <w:rFonts w:ascii="Arial Narrow" w:hAnsi="Arial Narrow"/>
                <w:sz w:val="20"/>
                <w:szCs w:val="20"/>
              </w:rPr>
              <w:instrText xml:space="preserve"> FORMCHECKBOX </w:instrText>
            </w:r>
            <w:r w:rsidRPr="4AC6FA5D">
              <w:rPr>
                <w:rFonts w:ascii="Arial Narrow" w:hAnsi="Arial Narrow"/>
                <w:sz w:val="20"/>
                <w:szCs w:val="20"/>
              </w:rPr>
              <w:fldChar w:fldCharType="separate"/>
            </w:r>
            <w:r w:rsidRPr="4AC6FA5D">
              <w:rPr>
                <w:rFonts w:ascii="Arial Narrow" w:hAnsi="Arial Narrow"/>
                <w:sz w:val="20"/>
                <w:szCs w:val="20"/>
              </w:rPr>
              <w:fldChar w:fldCharType="end"/>
            </w:r>
            <w:r w:rsidRPr="00D9184F">
              <w:rPr>
                <w:rFonts w:ascii="Arial Narrow" w:hAnsi="Arial Narrow"/>
                <w:i/>
                <w:sz w:val="20"/>
                <w:szCs w:val="20"/>
              </w:rPr>
              <w:t xml:space="preserve">Nurse </w:t>
            </w:r>
            <w:r w:rsidR="006F5956">
              <w:rPr>
                <w:rFonts w:ascii="Arial Narrow" w:hAnsi="Arial Narrow"/>
                <w:i/>
                <w:sz w:val="20"/>
                <w:szCs w:val="20"/>
              </w:rPr>
              <w:t>practitioners</w:t>
            </w:r>
          </w:p>
        </w:tc>
      </w:tr>
    </w:tbl>
    <w:p w14:paraId="3FCEC956" w14:textId="5B36601F" w:rsidR="00A20596" w:rsidRDefault="00A20596" w:rsidP="00273063">
      <w:pPr>
        <w:widowControl w:val="0"/>
        <w:numPr>
          <w:ilvl w:val="1"/>
          <w:numId w:val="1"/>
        </w:numPr>
        <w:spacing w:before="120" w:after="120"/>
        <w:rPr>
          <w:rFonts w:asciiTheme="minorHAnsi" w:hAnsiTheme="minorHAnsi"/>
          <w:lang w:val="en-GB"/>
        </w:rPr>
      </w:pPr>
      <w:r w:rsidRPr="02CA988F">
        <w:rPr>
          <w:rFonts w:asciiTheme="minorHAnsi" w:hAnsiTheme="minorHAnsi"/>
          <w:lang w:val="en-GB"/>
        </w:rPr>
        <w:t xml:space="preserve">Add new </w:t>
      </w:r>
      <w:r>
        <w:rPr>
          <w:rFonts w:asciiTheme="minorHAnsi" w:hAnsiTheme="minorHAnsi"/>
          <w:lang w:val="en-GB"/>
        </w:rPr>
        <w:t xml:space="preserve">concept </w:t>
      </w:r>
      <w:r w:rsidRPr="02CA988F">
        <w:rPr>
          <w:rFonts w:asciiTheme="minorHAnsi" w:hAnsiTheme="minorHAnsi"/>
          <w:lang w:val="en-GB"/>
        </w:rPr>
        <w:t xml:space="preserve">in </w:t>
      </w:r>
      <w:proofErr w:type="spellStart"/>
      <w:r w:rsidRPr="02CA988F">
        <w:rPr>
          <w:rFonts w:asciiTheme="minorHAnsi" w:hAnsiTheme="minorHAnsi"/>
          <w:lang w:val="en-GB"/>
        </w:rPr>
        <w:t>momelotinib</w:t>
      </w:r>
      <w:proofErr w:type="spellEnd"/>
      <w:r w:rsidRPr="02CA988F">
        <w:rPr>
          <w:rFonts w:asciiTheme="minorHAnsi" w:hAnsiTheme="minorHAnsi"/>
          <w:lang w:val="en-GB"/>
        </w:rPr>
        <w:t xml:space="preserve"> (to allow nurse practitioner prescribing in continued therapy):</w:t>
      </w:r>
    </w:p>
    <w:p w14:paraId="7B0EB231" w14:textId="26ADDA2D" w:rsidR="00A20596" w:rsidRDefault="00A20596" w:rsidP="00A20596">
      <w:pPr>
        <w:pStyle w:val="ListParagraph"/>
        <w:spacing w:before="120"/>
        <w:rPr>
          <w:lang w:val="en-GB"/>
        </w:rPr>
      </w:pPr>
      <w:r w:rsidRPr="02CA988F">
        <w:rPr>
          <w:lang w:val="en-GB"/>
        </w:rPr>
        <w:t xml:space="preserve">14743Y/ </w:t>
      </w:r>
      <w:proofErr w:type="spellStart"/>
      <w:r w:rsidRPr="02CA988F">
        <w:rPr>
          <w:lang w:val="en-GB"/>
        </w:rPr>
        <w:t>momelotinib</w:t>
      </w:r>
      <w:proofErr w:type="spellEnd"/>
      <w:r w:rsidRPr="02CA988F">
        <w:rPr>
          <w:lang w:val="en-GB"/>
        </w:rPr>
        <w:t xml:space="preserve"> 100mg tablet, 30 </w:t>
      </w:r>
      <w:r w:rsidR="00152DFE" w:rsidRPr="02CA988F">
        <w:rPr>
          <w:lang w:val="en-GB"/>
        </w:rPr>
        <w:t>(</w:t>
      </w:r>
      <w:r w:rsidR="00152DFE">
        <w:rPr>
          <w:lang w:val="en-GB"/>
        </w:rPr>
        <w:t>C</w:t>
      </w:r>
      <w:r w:rsidR="00152DFE" w:rsidRPr="02CA988F">
        <w:rPr>
          <w:lang w:val="en-GB"/>
        </w:rPr>
        <w:t>ontinuing treatment</w:t>
      </w:r>
      <w:r w:rsidR="00152DFE">
        <w:rPr>
          <w:lang w:val="en-GB"/>
        </w:rPr>
        <w:t xml:space="preserve">- </w:t>
      </w:r>
      <w:r w:rsidR="00152DFE" w:rsidRPr="00D65499">
        <w:t>Intermediate-1 risk myelofibrosis</w:t>
      </w:r>
      <w:r w:rsidR="00152DFE">
        <w:t>/</w:t>
      </w:r>
      <w:r w:rsidR="00152DFE" w:rsidRPr="000041EC">
        <w:t>High risk and intermediate-2 risk myelofibrosis</w:t>
      </w:r>
      <w:r w:rsidR="00152DFE" w:rsidRPr="02CA988F">
        <w:rPr>
          <w:lang w:val="en-GB"/>
        </w:rPr>
        <w:t>)</w:t>
      </w:r>
    </w:p>
    <w:p w14:paraId="7DD70CB7" w14:textId="483C1A55" w:rsidR="00A20596" w:rsidRDefault="00A20596" w:rsidP="00A20596">
      <w:pPr>
        <w:pStyle w:val="ListParagraph"/>
        <w:spacing w:before="120"/>
        <w:rPr>
          <w:lang w:val="en-GB"/>
        </w:rPr>
      </w:pPr>
      <w:r w:rsidRPr="02CA988F">
        <w:rPr>
          <w:lang w:val="en-GB"/>
        </w:rPr>
        <w:t xml:space="preserve">14744B/ </w:t>
      </w:r>
      <w:proofErr w:type="spellStart"/>
      <w:r w:rsidRPr="02CA988F">
        <w:rPr>
          <w:lang w:val="en-GB"/>
        </w:rPr>
        <w:t>momelotinib</w:t>
      </w:r>
      <w:proofErr w:type="spellEnd"/>
      <w:r w:rsidRPr="02CA988F">
        <w:rPr>
          <w:lang w:val="en-GB"/>
        </w:rPr>
        <w:t xml:space="preserve"> 150mg tablet, 30 </w:t>
      </w:r>
      <w:r w:rsidR="00152DFE" w:rsidRPr="02CA988F">
        <w:rPr>
          <w:lang w:val="en-GB"/>
        </w:rPr>
        <w:t>(</w:t>
      </w:r>
      <w:r w:rsidR="00152DFE">
        <w:rPr>
          <w:lang w:val="en-GB"/>
        </w:rPr>
        <w:t>C</w:t>
      </w:r>
      <w:r w:rsidR="00152DFE" w:rsidRPr="02CA988F">
        <w:rPr>
          <w:lang w:val="en-GB"/>
        </w:rPr>
        <w:t>ontinuing treatment</w:t>
      </w:r>
      <w:r w:rsidR="00152DFE">
        <w:rPr>
          <w:lang w:val="en-GB"/>
        </w:rPr>
        <w:t xml:space="preserve">- </w:t>
      </w:r>
      <w:r w:rsidR="00152DFE" w:rsidRPr="00D65499">
        <w:t>Intermediate-1 risk myelofibrosis</w:t>
      </w:r>
      <w:r w:rsidR="00152DFE">
        <w:t>/</w:t>
      </w:r>
      <w:r w:rsidR="00152DFE" w:rsidRPr="000041EC">
        <w:t>High risk and intermediate-2 risk myelofibrosis</w:t>
      </w:r>
      <w:r w:rsidR="00152DFE" w:rsidRPr="02CA988F">
        <w:rPr>
          <w:lang w:val="en-GB"/>
        </w:rPr>
        <w:t>)</w:t>
      </w:r>
    </w:p>
    <w:p w14:paraId="3E0FBFB1" w14:textId="54C01391" w:rsidR="00A20596" w:rsidRDefault="00A20596" w:rsidP="00A20596">
      <w:pPr>
        <w:pStyle w:val="ListParagraph"/>
        <w:spacing w:before="120"/>
        <w:rPr>
          <w:lang w:val="en-GB"/>
        </w:rPr>
      </w:pPr>
      <w:r w:rsidRPr="02CA988F">
        <w:rPr>
          <w:lang w:val="en-GB"/>
        </w:rPr>
        <w:t xml:space="preserve">14770J/ </w:t>
      </w:r>
      <w:proofErr w:type="spellStart"/>
      <w:r w:rsidRPr="02CA988F">
        <w:rPr>
          <w:lang w:val="en-GB"/>
        </w:rPr>
        <w:t>momelotinib</w:t>
      </w:r>
      <w:proofErr w:type="spellEnd"/>
      <w:r w:rsidRPr="02CA988F">
        <w:rPr>
          <w:lang w:val="en-GB"/>
        </w:rPr>
        <w:t xml:space="preserve"> 200mg tablet, 30 </w:t>
      </w:r>
      <w:r w:rsidR="00152DFE" w:rsidRPr="02CA988F">
        <w:rPr>
          <w:lang w:val="en-GB"/>
        </w:rPr>
        <w:t>(</w:t>
      </w:r>
      <w:r w:rsidR="00152DFE">
        <w:rPr>
          <w:lang w:val="en-GB"/>
        </w:rPr>
        <w:t>C</w:t>
      </w:r>
      <w:r w:rsidR="00152DFE" w:rsidRPr="02CA988F">
        <w:rPr>
          <w:lang w:val="en-GB"/>
        </w:rPr>
        <w:t>ontinuing treatment</w:t>
      </w:r>
      <w:r w:rsidR="00152DFE">
        <w:rPr>
          <w:lang w:val="en-GB"/>
        </w:rPr>
        <w:t xml:space="preserve">- </w:t>
      </w:r>
      <w:r w:rsidR="00152DFE" w:rsidRPr="00D65499">
        <w:t>Intermediate-1 risk myelofibrosis</w:t>
      </w:r>
      <w:r w:rsidR="00152DFE">
        <w:t>/</w:t>
      </w:r>
      <w:r w:rsidR="00152DFE" w:rsidRPr="000041EC">
        <w:t>High risk and intermediate-2 risk myelofibrosis</w:t>
      </w:r>
      <w:r w:rsidR="00152DFE" w:rsidRPr="02CA988F">
        <w:rPr>
          <w:lang w:val="en-GB"/>
        </w:rPr>
        <w:t>)</w:t>
      </w:r>
    </w:p>
    <w:p w14:paraId="1151672A" w14:textId="60729469" w:rsidR="00A20596" w:rsidRPr="00A20596" w:rsidRDefault="00A20596" w:rsidP="004958D2">
      <w:pPr>
        <w:spacing w:before="120"/>
        <w:rPr>
          <w:lang w:val="en-GB"/>
        </w:rPr>
      </w:pPr>
    </w:p>
    <w:tbl>
      <w:tblPr>
        <w:tblW w:w="5188" w:type="pct"/>
        <w:tblInd w:w="-5" w:type="dxa"/>
        <w:tblLayout w:type="fixed"/>
        <w:tblCellMar>
          <w:top w:w="15" w:type="dxa"/>
          <w:bottom w:w="15" w:type="dxa"/>
        </w:tblCellMar>
        <w:tblLook w:val="04A0" w:firstRow="1" w:lastRow="0" w:firstColumn="1" w:lastColumn="0" w:noHBand="0" w:noVBand="1"/>
        <w:tblCaption w:val="Add new concept in momelotinib (to allow nurse practitioner prescribing in continued therapy)"/>
      </w:tblPr>
      <w:tblGrid>
        <w:gridCol w:w="1274"/>
        <w:gridCol w:w="8082"/>
      </w:tblGrid>
      <w:tr w:rsidR="006048E8" w:rsidRPr="0021233A" w14:paraId="5B7B7B34" w14:textId="77777777" w:rsidTr="00A20596">
        <w:trPr>
          <w:cantSplit/>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4F06EA65" w14:textId="5D84B189" w:rsidR="006048E8" w:rsidRPr="009A7E63" w:rsidRDefault="006048E8">
            <w:pPr>
              <w:jc w:val="center"/>
              <w:rPr>
                <w:rFonts w:ascii="Arial Narrow" w:hAnsi="Arial Narrow"/>
                <w:i/>
                <w:sz w:val="20"/>
                <w:szCs w:val="20"/>
              </w:rPr>
            </w:pPr>
          </w:p>
        </w:tc>
        <w:tc>
          <w:tcPr>
            <w:tcW w:w="8082" w:type="dxa"/>
            <w:tcBorders>
              <w:top w:val="single" w:sz="4" w:space="0" w:color="auto"/>
              <w:left w:val="single" w:sz="4" w:space="0" w:color="auto"/>
              <w:bottom w:val="single" w:sz="4" w:space="0" w:color="auto"/>
              <w:right w:val="single" w:sz="4" w:space="0" w:color="auto"/>
            </w:tcBorders>
          </w:tcPr>
          <w:p w14:paraId="575B0FD6" w14:textId="77777777" w:rsidR="006048E8" w:rsidRPr="009A7E63" w:rsidRDefault="006048E8">
            <w:pPr>
              <w:rPr>
                <w:rFonts w:ascii="Arial Narrow" w:hAnsi="Arial Narrow"/>
                <w:b/>
                <w:i/>
                <w:sz w:val="20"/>
                <w:szCs w:val="20"/>
              </w:rPr>
            </w:pPr>
            <w:r w:rsidRPr="009A7E63">
              <w:rPr>
                <w:rFonts w:ascii="Arial Narrow" w:hAnsi="Arial Narrow"/>
                <w:b/>
                <w:i/>
                <w:sz w:val="20"/>
                <w:szCs w:val="20"/>
              </w:rPr>
              <w:t>Treatment criteria</w:t>
            </w:r>
          </w:p>
        </w:tc>
      </w:tr>
      <w:tr w:rsidR="006048E8" w:rsidRPr="0021233A" w14:paraId="5E2929F7" w14:textId="77777777" w:rsidTr="00A20596">
        <w:trPr>
          <w:cantSplit/>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2B325A66" w14:textId="469BAED5" w:rsidR="006048E8" w:rsidRPr="009A7E63" w:rsidRDefault="006048E8">
            <w:pPr>
              <w:jc w:val="center"/>
              <w:rPr>
                <w:rFonts w:ascii="Arial Narrow" w:hAnsi="Arial Narrow"/>
                <w:i/>
                <w:sz w:val="20"/>
                <w:szCs w:val="20"/>
              </w:rPr>
            </w:pPr>
          </w:p>
        </w:tc>
        <w:tc>
          <w:tcPr>
            <w:tcW w:w="8082" w:type="dxa"/>
            <w:tcBorders>
              <w:top w:val="single" w:sz="4" w:space="0" w:color="auto"/>
              <w:left w:val="single" w:sz="4" w:space="0" w:color="auto"/>
              <w:bottom w:val="single" w:sz="4" w:space="0" w:color="auto"/>
              <w:right w:val="single" w:sz="4" w:space="0" w:color="auto"/>
            </w:tcBorders>
          </w:tcPr>
          <w:p w14:paraId="45C2D318" w14:textId="4A5E23C6" w:rsidR="006048E8" w:rsidRPr="009A7E63" w:rsidRDefault="006048E8">
            <w:pPr>
              <w:rPr>
                <w:rFonts w:ascii="Arial Narrow" w:hAnsi="Arial Narrow"/>
                <w:i/>
                <w:sz w:val="20"/>
                <w:szCs w:val="20"/>
              </w:rPr>
            </w:pPr>
            <w:r w:rsidRPr="009A7E63">
              <w:rPr>
                <w:rFonts w:ascii="Arial Narrow" w:hAnsi="Arial Narrow"/>
                <w:i/>
                <w:sz w:val="20"/>
                <w:szCs w:val="20"/>
              </w:rPr>
              <w:t>Must be treated by a medical practitioner</w:t>
            </w:r>
            <w:r w:rsidR="0016209D">
              <w:rPr>
                <w:rFonts w:ascii="Arial Narrow" w:hAnsi="Arial Narrow"/>
                <w:i/>
                <w:sz w:val="20"/>
                <w:szCs w:val="20"/>
              </w:rPr>
              <w:t>; or</w:t>
            </w:r>
          </w:p>
        </w:tc>
      </w:tr>
      <w:tr w:rsidR="006048E8" w:rsidRPr="0021233A" w14:paraId="60180FCC" w14:textId="77777777" w:rsidTr="00A20596">
        <w:trPr>
          <w:cantSplit/>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6C3BD84C" w14:textId="5D8F07F4" w:rsidR="006048E8" w:rsidRPr="009A7E63" w:rsidRDefault="006048E8">
            <w:pPr>
              <w:jc w:val="center"/>
              <w:rPr>
                <w:rFonts w:ascii="Arial Narrow" w:hAnsi="Arial Narrow"/>
                <w:i/>
                <w:sz w:val="20"/>
                <w:szCs w:val="20"/>
              </w:rPr>
            </w:pPr>
          </w:p>
        </w:tc>
        <w:tc>
          <w:tcPr>
            <w:tcW w:w="8082" w:type="dxa"/>
            <w:tcBorders>
              <w:top w:val="single" w:sz="4" w:space="0" w:color="auto"/>
              <w:left w:val="single" w:sz="4" w:space="0" w:color="auto"/>
              <w:bottom w:val="single" w:sz="4" w:space="0" w:color="auto"/>
              <w:right w:val="single" w:sz="4" w:space="0" w:color="auto"/>
            </w:tcBorders>
          </w:tcPr>
          <w:p w14:paraId="4EE5C735" w14:textId="77777777" w:rsidR="006048E8" w:rsidRPr="009A7E63" w:rsidRDefault="006048E8">
            <w:pPr>
              <w:rPr>
                <w:rFonts w:ascii="Arial Narrow" w:hAnsi="Arial Narrow"/>
                <w:i/>
                <w:sz w:val="20"/>
                <w:szCs w:val="20"/>
              </w:rPr>
            </w:pPr>
            <w:r w:rsidRPr="009A7E63">
              <w:rPr>
                <w:rFonts w:ascii="Arial Narrow" w:hAnsi="Arial Narrow"/>
                <w:i/>
                <w:sz w:val="20"/>
                <w:szCs w:val="20"/>
              </w:rPr>
              <w:t xml:space="preserve">Must be treated by a nurse practitioner where both of the following are occurring: (i) </w:t>
            </w:r>
            <w:r w:rsidRPr="009A7E63" w:rsidDel="00656751">
              <w:rPr>
                <w:rFonts w:ascii="Arial Narrow" w:hAnsi="Arial Narrow"/>
                <w:i/>
                <w:sz w:val="20"/>
                <w:szCs w:val="20"/>
              </w:rPr>
              <w:t>patient care is being shared with a medical practitioner</w:t>
            </w:r>
            <w:r w:rsidRPr="009A7E63">
              <w:rPr>
                <w:rFonts w:ascii="Arial Narrow" w:hAnsi="Arial Narrow"/>
                <w:i/>
                <w:sz w:val="20"/>
                <w:szCs w:val="20"/>
              </w:rPr>
              <w:t>, (ii)</w:t>
            </w:r>
            <w:r w:rsidRPr="009A7E63" w:rsidDel="00656751">
              <w:rPr>
                <w:rFonts w:ascii="Arial Narrow" w:hAnsi="Arial Narrow"/>
                <w:i/>
                <w:sz w:val="20"/>
                <w:szCs w:val="20"/>
              </w:rPr>
              <w:t xml:space="preserve"> </w:t>
            </w:r>
            <w:r w:rsidRPr="009A7E63">
              <w:rPr>
                <w:rFonts w:ascii="Arial Narrow" w:hAnsi="Arial Narrow"/>
                <w:i/>
                <w:sz w:val="20"/>
                <w:szCs w:val="20"/>
              </w:rPr>
              <w:t>the prescription continues existing therapy with this medicine</w:t>
            </w:r>
          </w:p>
        </w:tc>
      </w:tr>
    </w:tbl>
    <w:p w14:paraId="123CAFEB" w14:textId="65A1FA22" w:rsidR="7DA1F001" w:rsidRDefault="7DA1F001" w:rsidP="7DA1F001">
      <w:pPr>
        <w:spacing w:before="120"/>
        <w:rPr>
          <w:rFonts w:asciiTheme="minorHAnsi" w:hAnsiTheme="minorHAnsi"/>
          <w:b/>
          <w:bCs/>
          <w:i/>
          <w:iCs/>
          <w:lang w:val="en-GB"/>
        </w:rPr>
      </w:pPr>
    </w:p>
    <w:p w14:paraId="339D540A" w14:textId="2A5F7998" w:rsidR="00A2FE02" w:rsidRDefault="00A2FE02" w:rsidP="02CA988F">
      <w:pPr>
        <w:spacing w:before="120"/>
        <w:rPr>
          <w:rFonts w:asciiTheme="minorHAnsi" w:hAnsiTheme="minorHAnsi"/>
          <w:b/>
          <w:bCs/>
          <w:lang w:val="en-GB"/>
        </w:rPr>
      </w:pPr>
      <w:r w:rsidRPr="182EED08">
        <w:rPr>
          <w:rFonts w:asciiTheme="minorHAnsi" w:hAnsiTheme="minorHAnsi"/>
          <w:b/>
          <w:bCs/>
          <w:lang w:val="en-GB"/>
        </w:rPr>
        <w:t>Flow-</w:t>
      </w:r>
      <w:proofErr w:type="spellStart"/>
      <w:r w:rsidRPr="182EED08">
        <w:rPr>
          <w:rFonts w:asciiTheme="minorHAnsi" w:hAnsiTheme="minorHAnsi"/>
          <w:b/>
          <w:bCs/>
          <w:lang w:val="en-GB"/>
        </w:rPr>
        <w:t>ons</w:t>
      </w:r>
      <w:proofErr w:type="spellEnd"/>
      <w:r w:rsidRPr="182EED08">
        <w:rPr>
          <w:rFonts w:asciiTheme="minorHAnsi" w:hAnsiTheme="minorHAnsi"/>
          <w:b/>
          <w:bCs/>
          <w:lang w:val="en-GB"/>
        </w:rPr>
        <w:t xml:space="preserve"> to</w:t>
      </w:r>
      <w:r w:rsidRPr="02CA988F">
        <w:rPr>
          <w:rFonts w:asciiTheme="minorHAnsi" w:hAnsiTheme="minorHAnsi"/>
          <w:b/>
          <w:bCs/>
          <w:lang w:val="en-GB"/>
        </w:rPr>
        <w:t xml:space="preserve"> ruxolitinib</w:t>
      </w:r>
      <w:r w:rsidR="009A7E63">
        <w:rPr>
          <w:rFonts w:asciiTheme="minorHAnsi" w:hAnsiTheme="minorHAnsi"/>
          <w:b/>
          <w:bCs/>
          <w:lang w:val="en-GB"/>
        </w:rPr>
        <w:t>:</w:t>
      </w:r>
    </w:p>
    <w:p w14:paraId="3FA87753" w14:textId="35F17D7C" w:rsidR="02CA988F" w:rsidRDefault="00A2FE02" w:rsidP="00273063">
      <w:pPr>
        <w:widowControl w:val="0"/>
        <w:numPr>
          <w:ilvl w:val="1"/>
          <w:numId w:val="1"/>
        </w:numPr>
        <w:spacing w:before="120" w:after="120"/>
        <w:rPr>
          <w:rFonts w:asciiTheme="minorHAnsi" w:hAnsiTheme="minorHAnsi"/>
          <w:lang w:val="en-GB"/>
        </w:rPr>
      </w:pPr>
      <w:r w:rsidRPr="2C4412B3">
        <w:rPr>
          <w:rFonts w:asciiTheme="minorHAnsi" w:hAnsiTheme="minorHAnsi"/>
          <w:lang w:val="en-GB"/>
        </w:rPr>
        <w:t>Add new</w:t>
      </w:r>
      <w:r w:rsidR="20FDDAEF" w:rsidRPr="58DE04E3">
        <w:rPr>
          <w:rFonts w:asciiTheme="minorHAnsi" w:hAnsiTheme="minorHAnsi"/>
          <w:lang w:val="en-GB"/>
        </w:rPr>
        <w:t xml:space="preserve"> prescriber type in </w:t>
      </w:r>
      <w:r w:rsidR="20FDDAEF" w:rsidRPr="53B56403">
        <w:rPr>
          <w:rFonts w:asciiTheme="minorHAnsi" w:hAnsiTheme="minorHAnsi"/>
          <w:lang w:val="en-GB"/>
        </w:rPr>
        <w:t>ruxolitinib</w:t>
      </w:r>
      <w:r w:rsidR="20FDDAEF" w:rsidRPr="58DE04E3">
        <w:rPr>
          <w:rFonts w:asciiTheme="minorHAnsi" w:hAnsiTheme="minorHAnsi"/>
          <w:lang w:val="en-GB"/>
        </w:rPr>
        <w:t xml:space="preserve"> (to allow nurse practitioner prescribing in continued therapy</w:t>
      </w:r>
      <w:r w:rsidRPr="731A304F">
        <w:rPr>
          <w:rFonts w:asciiTheme="minorHAnsi" w:hAnsiTheme="minorHAnsi"/>
          <w:lang w:val="en-GB"/>
        </w:rPr>
        <w:t xml:space="preserve">):  </w:t>
      </w:r>
    </w:p>
    <w:p w14:paraId="58081EE5" w14:textId="4F2A291E" w:rsidR="02CA988F" w:rsidRDefault="00A2FE02" w:rsidP="731A304F">
      <w:pPr>
        <w:pStyle w:val="ListParagraph"/>
        <w:spacing w:before="120"/>
        <w:rPr>
          <w:lang w:val="en-GB"/>
        </w:rPr>
      </w:pPr>
      <w:r w:rsidRPr="2C4412B3">
        <w:rPr>
          <w:lang w:val="en-GB"/>
        </w:rPr>
        <w:t xml:space="preserve">10616R/ </w:t>
      </w:r>
      <w:r w:rsidR="34FE1FC5" w:rsidRPr="2C4412B3">
        <w:rPr>
          <w:lang w:val="en-GB"/>
        </w:rPr>
        <w:t>ruxolitinib 5</w:t>
      </w:r>
      <w:r w:rsidRPr="2C4412B3">
        <w:rPr>
          <w:lang w:val="en-GB"/>
        </w:rPr>
        <w:t xml:space="preserve">mg tablet, </w:t>
      </w:r>
      <w:r w:rsidR="2DD79C07" w:rsidRPr="2C4412B3">
        <w:rPr>
          <w:lang w:val="en-GB"/>
        </w:rPr>
        <w:t>56</w:t>
      </w:r>
      <w:r w:rsidRPr="2C4412B3">
        <w:rPr>
          <w:lang w:val="en-GB"/>
        </w:rPr>
        <w:t xml:space="preserve">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398E0D8D" w14:textId="6CFC0BC5" w:rsidR="02CA988F" w:rsidRDefault="00A2FE02" w:rsidP="0B946F7C">
      <w:pPr>
        <w:pStyle w:val="ListParagraph"/>
        <w:spacing w:before="120"/>
        <w:rPr>
          <w:lang w:val="en-GB"/>
        </w:rPr>
      </w:pPr>
      <w:r w:rsidRPr="2C4412B3">
        <w:rPr>
          <w:lang w:val="en-GB"/>
        </w:rPr>
        <w:t>10927D/ ruxolitinib</w:t>
      </w:r>
      <w:r w:rsidR="4FC8229F" w:rsidRPr="2C4412B3">
        <w:rPr>
          <w:lang w:val="en-GB"/>
        </w:rPr>
        <w:t xml:space="preserve"> 10mg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1562D0B2" w14:textId="5B8F96C1" w:rsidR="02CA988F" w:rsidRDefault="4FC8229F" w:rsidP="266036B5">
      <w:pPr>
        <w:pStyle w:val="ListParagraph"/>
        <w:spacing w:before="120"/>
        <w:rPr>
          <w:lang w:val="en-GB"/>
        </w:rPr>
      </w:pPr>
      <w:r w:rsidRPr="2C4412B3">
        <w:rPr>
          <w:lang w:val="en-GB"/>
        </w:rPr>
        <w:t xml:space="preserve">10615Q/ ruxolitinib 15mg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726B58DF" w14:textId="1D696DBC" w:rsidR="02CA988F" w:rsidRDefault="4FC8229F" w:rsidP="6D63ACBC">
      <w:pPr>
        <w:pStyle w:val="ListParagraph"/>
        <w:spacing w:before="120"/>
        <w:rPr>
          <w:lang w:val="en-GB"/>
        </w:rPr>
      </w:pPr>
      <w:r w:rsidRPr="2C4412B3">
        <w:rPr>
          <w:lang w:val="en-GB"/>
        </w:rPr>
        <w:t xml:space="preserve">10617T/ ruxolitinib 20mg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r>
        <w:tab/>
      </w:r>
    </w:p>
    <w:tbl>
      <w:tblPr>
        <w:tblStyle w:val="TableGrid"/>
        <w:tblW w:w="9209" w:type="dxa"/>
        <w:tblLook w:val="04A0" w:firstRow="1" w:lastRow="0" w:firstColumn="1" w:lastColumn="0" w:noHBand="0" w:noVBand="1"/>
        <w:tblCaption w:val="Flow ons to ruxolitinib"/>
      </w:tblPr>
      <w:tblGrid>
        <w:gridCol w:w="9209"/>
      </w:tblGrid>
      <w:tr w:rsidR="00A20596" w14:paraId="7BB5433E" w14:textId="77777777" w:rsidTr="00A20596">
        <w:trPr>
          <w:trHeight w:val="584"/>
        </w:trPr>
        <w:tc>
          <w:tcPr>
            <w:tcW w:w="9209" w:type="dxa"/>
          </w:tcPr>
          <w:p w14:paraId="7B98F0E3" w14:textId="77777777" w:rsidR="00A20596" w:rsidRPr="00247F47" w:rsidRDefault="00A20596">
            <w:pPr>
              <w:keepLines/>
              <w:rPr>
                <w:rFonts w:ascii="Arial Narrow" w:hAnsi="Arial Narrow"/>
                <w:b/>
                <w:iCs/>
                <w:sz w:val="20"/>
                <w:szCs w:val="20"/>
              </w:rPr>
            </w:pPr>
            <w:r w:rsidRPr="00247F47">
              <w:rPr>
                <w:rFonts w:ascii="Arial Narrow" w:hAnsi="Arial Narrow"/>
                <w:b/>
                <w:iCs/>
                <w:sz w:val="20"/>
                <w:szCs w:val="20"/>
              </w:rPr>
              <w:t xml:space="preserve">Prescriber type: </w:t>
            </w:r>
          </w:p>
          <w:p w14:paraId="355E3F75" w14:textId="6CED20CD" w:rsidR="00A20596" w:rsidRDefault="00A20596">
            <w:pPr>
              <w:spacing w:before="120"/>
              <w:rPr>
                <w:lang w:val="en-GB"/>
              </w:rPr>
            </w:pP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Medical Practitioners</w:t>
            </w:r>
            <w:r>
              <w:rPr>
                <w:rFonts w:ascii="Arial Narrow" w:hAnsi="Arial Narrow"/>
                <w:iCs/>
                <w:sz w:val="20"/>
                <w:szCs w:val="20"/>
              </w:rPr>
              <w:t xml:space="preserve"> </w:t>
            </w:r>
            <w:r w:rsidRPr="00247F47">
              <w:rPr>
                <w:rFonts w:ascii="Arial Narrow" w:hAnsi="Arial Narrow"/>
                <w:iCs/>
                <w:sz w:val="20"/>
                <w:szCs w:val="20"/>
              </w:rPr>
              <w:fldChar w:fldCharType="begin">
                <w:ffData>
                  <w:name w:val=""/>
                  <w:enabled/>
                  <w:calcOnExit w:val="0"/>
                  <w:checkBox>
                    <w:sizeAuto/>
                    <w:default w:val="1"/>
                  </w:checkBox>
                </w:ffData>
              </w:fldChar>
            </w:r>
            <w:r w:rsidRPr="00247F47">
              <w:rPr>
                <w:rFonts w:ascii="Arial Narrow" w:hAnsi="Arial Narrow"/>
                <w:iCs/>
                <w:sz w:val="20"/>
                <w:szCs w:val="20"/>
              </w:rPr>
              <w:instrText xml:space="preserve"> FORMCHECKBOX </w:instrText>
            </w:r>
            <w:r w:rsidRPr="00247F47">
              <w:rPr>
                <w:rFonts w:ascii="Arial Narrow" w:hAnsi="Arial Narrow"/>
                <w:iCs/>
                <w:sz w:val="20"/>
                <w:szCs w:val="20"/>
              </w:rPr>
            </w:r>
            <w:r w:rsidRPr="00247F47">
              <w:rPr>
                <w:rFonts w:ascii="Arial Narrow" w:hAnsi="Arial Narrow"/>
                <w:iCs/>
                <w:sz w:val="20"/>
                <w:szCs w:val="20"/>
              </w:rPr>
              <w:fldChar w:fldCharType="separate"/>
            </w:r>
            <w:r w:rsidRPr="00247F47">
              <w:rPr>
                <w:rFonts w:ascii="Arial Narrow" w:hAnsi="Arial Narrow"/>
                <w:iCs/>
                <w:sz w:val="20"/>
                <w:szCs w:val="20"/>
              </w:rPr>
              <w:fldChar w:fldCharType="end"/>
            </w:r>
            <w:r w:rsidRPr="00247F47">
              <w:rPr>
                <w:rFonts w:ascii="Arial Narrow" w:hAnsi="Arial Narrow"/>
                <w:iCs/>
                <w:sz w:val="20"/>
                <w:szCs w:val="20"/>
              </w:rPr>
              <w:t xml:space="preserve"> </w:t>
            </w:r>
            <w:r w:rsidRPr="4AC6FA5D">
              <w:rPr>
                <w:rFonts w:ascii="Arial Narrow" w:hAnsi="Arial Narrow"/>
                <w:sz w:val="20"/>
                <w:szCs w:val="20"/>
              </w:rPr>
              <w:fldChar w:fldCharType="begin"/>
            </w:r>
            <w:r w:rsidRPr="4AC6FA5D">
              <w:rPr>
                <w:rFonts w:ascii="Arial Narrow" w:hAnsi="Arial Narrow"/>
                <w:sz w:val="20"/>
                <w:szCs w:val="20"/>
              </w:rPr>
              <w:instrText xml:space="preserve"> FORMCHECKBOX </w:instrText>
            </w:r>
            <w:r w:rsidRPr="4AC6FA5D">
              <w:rPr>
                <w:rFonts w:ascii="Arial Narrow" w:hAnsi="Arial Narrow"/>
                <w:sz w:val="20"/>
                <w:szCs w:val="20"/>
              </w:rPr>
              <w:fldChar w:fldCharType="separate"/>
            </w:r>
            <w:r w:rsidRPr="4AC6FA5D">
              <w:rPr>
                <w:rFonts w:ascii="Arial Narrow" w:hAnsi="Arial Narrow"/>
                <w:sz w:val="20"/>
                <w:szCs w:val="20"/>
              </w:rPr>
              <w:fldChar w:fldCharType="end"/>
            </w:r>
            <w:r w:rsidRPr="00D9184F">
              <w:rPr>
                <w:rFonts w:ascii="Arial Narrow" w:hAnsi="Arial Narrow"/>
                <w:i/>
                <w:sz w:val="20"/>
                <w:szCs w:val="20"/>
              </w:rPr>
              <w:t xml:space="preserve">Nurse </w:t>
            </w:r>
            <w:r w:rsidR="006F5956">
              <w:rPr>
                <w:rFonts w:ascii="Arial Narrow" w:hAnsi="Arial Narrow"/>
                <w:i/>
                <w:sz w:val="20"/>
                <w:szCs w:val="20"/>
              </w:rPr>
              <w:t>practitioners</w:t>
            </w:r>
          </w:p>
        </w:tc>
      </w:tr>
    </w:tbl>
    <w:p w14:paraId="7A52FF28" w14:textId="5AEFAEF6" w:rsidR="00A20596" w:rsidRDefault="00A20596" w:rsidP="00273063">
      <w:pPr>
        <w:widowControl w:val="0"/>
        <w:numPr>
          <w:ilvl w:val="1"/>
          <w:numId w:val="1"/>
        </w:numPr>
        <w:spacing w:before="120" w:after="120"/>
        <w:rPr>
          <w:rFonts w:asciiTheme="minorHAnsi" w:hAnsiTheme="minorHAnsi"/>
          <w:lang w:val="en-GB"/>
        </w:rPr>
      </w:pPr>
      <w:r w:rsidRPr="2C4412B3">
        <w:rPr>
          <w:rFonts w:asciiTheme="minorHAnsi" w:hAnsiTheme="minorHAnsi"/>
          <w:lang w:val="en-GB"/>
        </w:rPr>
        <w:t xml:space="preserve">Add </w:t>
      </w:r>
      <w:r>
        <w:rPr>
          <w:rFonts w:asciiTheme="minorHAnsi" w:hAnsiTheme="minorHAnsi"/>
          <w:lang w:val="en-GB"/>
        </w:rPr>
        <w:t>new concept</w:t>
      </w:r>
      <w:r w:rsidRPr="2C4412B3">
        <w:rPr>
          <w:rFonts w:asciiTheme="minorHAnsi" w:hAnsiTheme="minorHAnsi"/>
          <w:lang w:val="en-GB"/>
        </w:rPr>
        <w:t xml:space="preserve"> in ruxolitinib (to allow nurse practitioner prescribing in continued therapy):  </w:t>
      </w:r>
    </w:p>
    <w:p w14:paraId="5D13A9C0" w14:textId="0CAC70B2" w:rsidR="00A20596" w:rsidRDefault="00A20596" w:rsidP="00A20596">
      <w:pPr>
        <w:pStyle w:val="ListParagraph"/>
        <w:spacing w:before="120"/>
        <w:rPr>
          <w:lang w:val="en-GB"/>
        </w:rPr>
      </w:pPr>
      <w:r w:rsidRPr="2C4412B3">
        <w:rPr>
          <w:lang w:val="en-GB"/>
        </w:rPr>
        <w:t xml:space="preserve">10616R/ ruxolitinib 5mg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56640D48" w14:textId="157A55FB" w:rsidR="00A20596" w:rsidRDefault="00A20596" w:rsidP="00A20596">
      <w:pPr>
        <w:pStyle w:val="ListParagraph"/>
        <w:spacing w:before="120"/>
        <w:rPr>
          <w:lang w:val="en-GB"/>
        </w:rPr>
      </w:pPr>
      <w:r w:rsidRPr="2C4412B3">
        <w:rPr>
          <w:lang w:val="en-GB"/>
        </w:rPr>
        <w:t xml:space="preserve">10927D/ ruxolitinib 10mg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575E5786" w14:textId="281E110A" w:rsidR="00A20596" w:rsidRDefault="00A20596" w:rsidP="00A20596">
      <w:pPr>
        <w:pStyle w:val="ListParagraph"/>
        <w:spacing w:before="120"/>
        <w:rPr>
          <w:lang w:val="en-GB"/>
        </w:rPr>
      </w:pPr>
      <w:r w:rsidRPr="2C4412B3">
        <w:rPr>
          <w:lang w:val="en-GB"/>
        </w:rPr>
        <w:t xml:space="preserve">10615Q/ ruxolitinib 15mg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1D6679B4" w14:textId="6B7CB1AA" w:rsidR="00A20596" w:rsidRPr="00A20596" w:rsidRDefault="00A20596" w:rsidP="00A20596">
      <w:pPr>
        <w:pStyle w:val="ListParagraph"/>
        <w:spacing w:before="120"/>
        <w:rPr>
          <w:lang w:val="en-GB"/>
        </w:rPr>
      </w:pPr>
      <w:r w:rsidRPr="2C4412B3">
        <w:rPr>
          <w:lang w:val="en-GB"/>
        </w:rPr>
        <w:t xml:space="preserve">10617T/ ruxolitinib 20mg tablet, 56 </w:t>
      </w:r>
      <w:r w:rsidR="008660B7" w:rsidRPr="02CA988F">
        <w:rPr>
          <w:lang w:val="en-GB"/>
        </w:rPr>
        <w:t>(</w:t>
      </w:r>
      <w:r w:rsidR="008660B7">
        <w:rPr>
          <w:lang w:val="en-GB"/>
        </w:rPr>
        <w:t>C</w:t>
      </w:r>
      <w:r w:rsidR="008660B7" w:rsidRPr="02CA988F">
        <w:rPr>
          <w:lang w:val="en-GB"/>
        </w:rPr>
        <w:t>ontinuing treatment</w:t>
      </w:r>
      <w:r w:rsidR="008660B7">
        <w:rPr>
          <w:lang w:val="en-GB"/>
        </w:rPr>
        <w:t xml:space="preserve">- </w:t>
      </w:r>
      <w:r w:rsidR="008660B7" w:rsidRPr="00D65499">
        <w:t>Intermediate-1 risk myelofibrosis</w:t>
      </w:r>
      <w:r w:rsidR="008660B7">
        <w:t>/</w:t>
      </w:r>
      <w:r w:rsidR="008660B7" w:rsidRPr="000041EC">
        <w:t>High risk and intermediate-2 risk myelofibrosis</w:t>
      </w:r>
      <w:r w:rsidR="008660B7" w:rsidRPr="02CA988F">
        <w:rPr>
          <w:lang w:val="en-GB"/>
        </w:rPr>
        <w:t>)</w:t>
      </w:r>
    </w:p>
    <w:p w14:paraId="0AB544C2" w14:textId="775A2DD6" w:rsidR="02CA988F" w:rsidRDefault="02CA988F" w:rsidP="004958D2">
      <w:pPr>
        <w:spacing w:before="120"/>
        <w:rPr>
          <w:lang w:val="en-GB"/>
        </w:rPr>
      </w:pPr>
    </w:p>
    <w:tbl>
      <w:tblPr>
        <w:tblW w:w="9214" w:type="dxa"/>
        <w:tblInd w:w="-5" w:type="dxa"/>
        <w:tblLook w:val="04A0" w:firstRow="1" w:lastRow="0" w:firstColumn="1" w:lastColumn="0" w:noHBand="0" w:noVBand="1"/>
        <w:tblCaption w:val="Add new concept in ruxolitinib (to allow nurse practitioner prescribing in continued therapy)"/>
      </w:tblPr>
      <w:tblGrid>
        <w:gridCol w:w="1274"/>
        <w:gridCol w:w="7940"/>
      </w:tblGrid>
      <w:tr w:rsidR="599974A5" w14:paraId="64EB89F9" w14:textId="77777777" w:rsidTr="00A20596">
        <w:trPr>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72CF9CEB" w14:textId="53310F08" w:rsidR="599974A5" w:rsidRDefault="599974A5" w:rsidP="599974A5">
            <w:pPr>
              <w:jc w:val="center"/>
              <w:rPr>
                <w:rFonts w:ascii="Arial Narrow" w:hAnsi="Arial Narrow"/>
                <w:i/>
                <w:iCs/>
                <w:sz w:val="20"/>
                <w:szCs w:val="20"/>
              </w:rPr>
            </w:pPr>
          </w:p>
        </w:tc>
        <w:tc>
          <w:tcPr>
            <w:tcW w:w="7940" w:type="dxa"/>
            <w:tcBorders>
              <w:top w:val="single" w:sz="4" w:space="0" w:color="auto"/>
              <w:left w:val="single" w:sz="4" w:space="0" w:color="auto"/>
              <w:bottom w:val="single" w:sz="4" w:space="0" w:color="auto"/>
              <w:right w:val="single" w:sz="4" w:space="0" w:color="auto"/>
            </w:tcBorders>
          </w:tcPr>
          <w:p w14:paraId="366954BF" w14:textId="77777777" w:rsidR="599974A5" w:rsidRDefault="599974A5" w:rsidP="599974A5">
            <w:pPr>
              <w:rPr>
                <w:rFonts w:ascii="Arial Narrow" w:hAnsi="Arial Narrow"/>
                <w:b/>
                <w:bCs/>
                <w:i/>
                <w:iCs/>
                <w:sz w:val="20"/>
                <w:szCs w:val="20"/>
              </w:rPr>
            </w:pPr>
            <w:r w:rsidRPr="599974A5">
              <w:rPr>
                <w:rFonts w:ascii="Arial Narrow" w:hAnsi="Arial Narrow"/>
                <w:b/>
                <w:bCs/>
                <w:i/>
                <w:iCs/>
                <w:sz w:val="20"/>
                <w:szCs w:val="20"/>
              </w:rPr>
              <w:t>Treatment criteria</w:t>
            </w:r>
          </w:p>
        </w:tc>
      </w:tr>
      <w:tr w:rsidR="599974A5" w14:paraId="243D1BE1" w14:textId="77777777" w:rsidTr="00A20596">
        <w:trPr>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3C6B0331" w14:textId="1C1A7542" w:rsidR="599974A5" w:rsidRDefault="599974A5" w:rsidP="599974A5">
            <w:pPr>
              <w:jc w:val="center"/>
              <w:rPr>
                <w:rFonts w:ascii="Arial Narrow" w:hAnsi="Arial Narrow"/>
                <w:i/>
                <w:iCs/>
                <w:sz w:val="20"/>
                <w:szCs w:val="20"/>
              </w:rPr>
            </w:pPr>
          </w:p>
        </w:tc>
        <w:tc>
          <w:tcPr>
            <w:tcW w:w="7940" w:type="dxa"/>
            <w:tcBorders>
              <w:top w:val="single" w:sz="4" w:space="0" w:color="auto"/>
              <w:left w:val="single" w:sz="4" w:space="0" w:color="auto"/>
              <w:bottom w:val="single" w:sz="4" w:space="0" w:color="auto"/>
              <w:right w:val="single" w:sz="4" w:space="0" w:color="auto"/>
            </w:tcBorders>
          </w:tcPr>
          <w:p w14:paraId="5D8D14F4" w14:textId="188F41F1" w:rsidR="599974A5" w:rsidRDefault="599974A5" w:rsidP="599974A5">
            <w:pPr>
              <w:rPr>
                <w:rFonts w:ascii="Arial Narrow" w:hAnsi="Arial Narrow"/>
                <w:i/>
                <w:iCs/>
                <w:sz w:val="20"/>
                <w:szCs w:val="20"/>
              </w:rPr>
            </w:pPr>
            <w:r w:rsidRPr="599974A5">
              <w:rPr>
                <w:rFonts w:ascii="Arial Narrow" w:hAnsi="Arial Narrow"/>
                <w:i/>
                <w:iCs/>
                <w:sz w:val="20"/>
                <w:szCs w:val="20"/>
              </w:rPr>
              <w:t>Must be treated by a medical practitioner</w:t>
            </w:r>
            <w:r w:rsidR="0016209D">
              <w:rPr>
                <w:rFonts w:ascii="Arial Narrow" w:hAnsi="Arial Narrow"/>
                <w:i/>
                <w:iCs/>
                <w:sz w:val="20"/>
                <w:szCs w:val="20"/>
              </w:rPr>
              <w:t>;</w:t>
            </w:r>
            <w:r w:rsidRPr="599974A5">
              <w:rPr>
                <w:rFonts w:ascii="Arial Narrow" w:hAnsi="Arial Narrow"/>
                <w:i/>
                <w:iCs/>
                <w:sz w:val="20"/>
                <w:szCs w:val="20"/>
              </w:rPr>
              <w:t xml:space="preserve"> </w:t>
            </w:r>
            <w:r w:rsidR="5FF9B317" w:rsidRPr="5CDABFC9">
              <w:rPr>
                <w:rFonts w:ascii="Arial Narrow" w:hAnsi="Arial Narrow"/>
                <w:i/>
                <w:iCs/>
                <w:sz w:val="20"/>
                <w:szCs w:val="20"/>
              </w:rPr>
              <w:t>or</w:t>
            </w:r>
          </w:p>
        </w:tc>
      </w:tr>
      <w:tr w:rsidR="599974A5" w14:paraId="11164611" w14:textId="77777777" w:rsidTr="00A20596">
        <w:trPr>
          <w:trHeight w:val="20"/>
        </w:trPr>
        <w:tc>
          <w:tcPr>
            <w:tcW w:w="1274" w:type="dxa"/>
            <w:tcBorders>
              <w:top w:val="single" w:sz="4" w:space="0" w:color="auto"/>
              <w:left w:val="single" w:sz="4" w:space="0" w:color="auto"/>
              <w:bottom w:val="single" w:sz="4" w:space="0" w:color="auto"/>
              <w:right w:val="single" w:sz="4" w:space="0" w:color="auto"/>
            </w:tcBorders>
            <w:vAlign w:val="center"/>
          </w:tcPr>
          <w:p w14:paraId="2E24F0CB" w14:textId="3E11262A" w:rsidR="599974A5" w:rsidRDefault="599974A5" w:rsidP="599974A5">
            <w:pPr>
              <w:jc w:val="center"/>
              <w:rPr>
                <w:rFonts w:ascii="Arial Narrow" w:hAnsi="Arial Narrow"/>
                <w:i/>
                <w:iCs/>
                <w:sz w:val="20"/>
                <w:szCs w:val="20"/>
              </w:rPr>
            </w:pPr>
          </w:p>
        </w:tc>
        <w:tc>
          <w:tcPr>
            <w:tcW w:w="7940" w:type="dxa"/>
            <w:tcBorders>
              <w:top w:val="single" w:sz="4" w:space="0" w:color="auto"/>
              <w:left w:val="single" w:sz="4" w:space="0" w:color="auto"/>
              <w:bottom w:val="single" w:sz="4" w:space="0" w:color="auto"/>
              <w:right w:val="single" w:sz="4" w:space="0" w:color="auto"/>
            </w:tcBorders>
          </w:tcPr>
          <w:p w14:paraId="4D87D0CB" w14:textId="77777777" w:rsidR="599974A5" w:rsidRDefault="599974A5" w:rsidP="599974A5">
            <w:pPr>
              <w:rPr>
                <w:rFonts w:ascii="Arial Narrow" w:hAnsi="Arial Narrow"/>
                <w:i/>
                <w:iCs/>
                <w:sz w:val="20"/>
                <w:szCs w:val="20"/>
              </w:rPr>
            </w:pPr>
            <w:r w:rsidRPr="599974A5">
              <w:rPr>
                <w:rFonts w:ascii="Arial Narrow" w:hAnsi="Arial Narrow"/>
                <w:i/>
                <w:iCs/>
                <w:sz w:val="20"/>
                <w:szCs w:val="20"/>
              </w:rPr>
              <w:t>Must be treated by a nurse practitioner where both of the following are occurring: (i) patient care is being shared with a medical practitioner, (ii) the prescription continues existing therapy with this medicine</w:t>
            </w:r>
          </w:p>
        </w:tc>
      </w:tr>
    </w:tbl>
    <w:p w14:paraId="7C5425BA" w14:textId="79F0A14E" w:rsidR="0005417D" w:rsidRDefault="00963CF7" w:rsidP="00041481">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61"/>
    </w:p>
    <w:p w14:paraId="4759A7BE" w14:textId="77777777" w:rsidR="00FA4364" w:rsidRPr="00FA4364" w:rsidRDefault="00FA4364" w:rsidP="00FA4364">
      <w:pPr>
        <w:keepNext/>
        <w:spacing w:before="240" w:after="120"/>
        <w:ind w:left="720" w:hanging="720"/>
        <w:jc w:val="left"/>
        <w:outlineLvl w:val="0"/>
        <w:rPr>
          <w:rFonts w:asciiTheme="minorHAnsi" w:hAnsiTheme="minorHAnsi"/>
          <w:b/>
          <w:bCs/>
          <w:snapToGrid w:val="0"/>
          <w:sz w:val="32"/>
          <w:szCs w:val="32"/>
          <w:lang w:val="en-GB"/>
        </w:rPr>
      </w:pPr>
      <w:r w:rsidRPr="00FA4364">
        <w:rPr>
          <w:rFonts w:asciiTheme="minorHAnsi" w:hAnsiTheme="minorHAnsi"/>
          <w:b/>
          <w:snapToGrid w:val="0"/>
          <w:sz w:val="32"/>
          <w:szCs w:val="32"/>
        </w:rPr>
        <w:t>9</w:t>
      </w:r>
      <w:r w:rsidRPr="00FA4364">
        <w:rPr>
          <w:rFonts w:asciiTheme="minorHAnsi" w:hAnsiTheme="minorHAnsi"/>
          <w:b/>
          <w:snapToGrid w:val="0"/>
          <w:sz w:val="32"/>
          <w:szCs w:val="32"/>
        </w:rPr>
        <w:tab/>
        <w:t>Context for Decision</w:t>
      </w:r>
    </w:p>
    <w:p w14:paraId="5584F458" w14:textId="77777777" w:rsidR="00FA4364" w:rsidRPr="00FA4364" w:rsidRDefault="00FA4364" w:rsidP="00FA4364">
      <w:pPr>
        <w:spacing w:after="120"/>
        <w:ind w:left="720"/>
        <w:rPr>
          <w:rFonts w:asciiTheme="minorHAnsi" w:hAnsiTheme="minorHAnsi"/>
          <w:bCs/>
          <w:lang w:val="en-GB"/>
        </w:rPr>
      </w:pPr>
      <w:r w:rsidRPr="00FA4364">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89EC961" w14:textId="77777777" w:rsidR="00FA4364" w:rsidRPr="00FA4364" w:rsidRDefault="00FA4364" w:rsidP="00FA4364">
      <w:pPr>
        <w:keepNext/>
        <w:spacing w:before="240" w:after="120"/>
        <w:ind w:left="720" w:hanging="720"/>
        <w:jc w:val="left"/>
        <w:outlineLvl w:val="0"/>
        <w:rPr>
          <w:rFonts w:asciiTheme="minorHAnsi" w:hAnsiTheme="minorHAnsi"/>
          <w:b/>
          <w:snapToGrid w:val="0"/>
          <w:sz w:val="32"/>
          <w:szCs w:val="32"/>
        </w:rPr>
      </w:pPr>
      <w:r w:rsidRPr="00FA4364">
        <w:rPr>
          <w:rFonts w:asciiTheme="minorHAnsi" w:hAnsiTheme="minorHAnsi"/>
          <w:b/>
          <w:snapToGrid w:val="0"/>
          <w:sz w:val="32"/>
          <w:szCs w:val="32"/>
        </w:rPr>
        <w:t>10</w:t>
      </w:r>
      <w:r w:rsidRPr="00FA4364">
        <w:rPr>
          <w:rFonts w:asciiTheme="minorHAnsi" w:hAnsiTheme="minorHAnsi"/>
          <w:b/>
          <w:snapToGrid w:val="0"/>
          <w:sz w:val="32"/>
          <w:szCs w:val="32"/>
        </w:rPr>
        <w:tab/>
        <w:t>Sponsor’s Comment</w:t>
      </w:r>
    </w:p>
    <w:p w14:paraId="6CCF2070" w14:textId="5E660F2A" w:rsidR="00FA4364" w:rsidRPr="00041481" w:rsidRDefault="00FA4364" w:rsidP="00FA4364">
      <w:pPr>
        <w:spacing w:before="120"/>
        <w:ind w:firstLine="720"/>
        <w:rPr>
          <w:rFonts w:asciiTheme="minorHAnsi" w:hAnsiTheme="minorHAnsi"/>
          <w:b/>
          <w:i/>
          <w:iCs/>
          <w:snapToGrid w:val="0"/>
          <w:lang w:val="en-GB"/>
        </w:rPr>
      </w:pPr>
      <w:r w:rsidRPr="00FA4364">
        <w:rPr>
          <w:rFonts w:asciiTheme="minorHAnsi" w:eastAsiaTheme="minorHAnsi" w:hAnsiTheme="minorHAnsi"/>
          <w:bCs/>
          <w:szCs w:val="22"/>
          <w:lang w:eastAsia="en-US"/>
        </w:rPr>
        <w:t>The sponsor had no comment.</w:t>
      </w:r>
    </w:p>
    <w:sectPr w:rsidR="00FA4364" w:rsidRPr="00041481" w:rsidSect="00D3108F">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92028" w14:textId="77777777" w:rsidR="007474F3" w:rsidRDefault="007474F3" w:rsidP="00124A51">
      <w:r>
        <w:separator/>
      </w:r>
    </w:p>
    <w:p w14:paraId="06036258" w14:textId="77777777" w:rsidR="007474F3" w:rsidRDefault="007474F3"/>
    <w:p w14:paraId="4AE08C34" w14:textId="77777777" w:rsidR="007474F3" w:rsidRDefault="007474F3"/>
    <w:p w14:paraId="236F969C" w14:textId="77777777" w:rsidR="007474F3" w:rsidRDefault="007474F3"/>
    <w:p w14:paraId="0AF1B1D9" w14:textId="77777777" w:rsidR="007474F3" w:rsidRDefault="007474F3"/>
  </w:endnote>
  <w:endnote w:type="continuationSeparator" w:id="0">
    <w:p w14:paraId="45195276" w14:textId="77777777" w:rsidR="007474F3" w:rsidRDefault="007474F3" w:rsidP="00124A51">
      <w:r>
        <w:continuationSeparator/>
      </w:r>
    </w:p>
    <w:p w14:paraId="777D4C1C" w14:textId="77777777" w:rsidR="007474F3" w:rsidRDefault="007474F3"/>
    <w:p w14:paraId="1CDDC6CF" w14:textId="77777777" w:rsidR="007474F3" w:rsidRDefault="007474F3"/>
    <w:p w14:paraId="0320B7C3" w14:textId="77777777" w:rsidR="007474F3" w:rsidRDefault="007474F3"/>
    <w:p w14:paraId="19366F09" w14:textId="77777777" w:rsidR="007474F3" w:rsidRDefault="0074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5248" w14:textId="79AEAD10" w:rsidR="00C629B4" w:rsidRDefault="00C629B4">
    <w:pPr>
      <w:pStyle w:val="Footer"/>
    </w:pPr>
    <w:r>
      <w:rPr>
        <w:noProof/>
      </w:rPr>
      <mc:AlternateContent>
        <mc:Choice Requires="wps">
          <w:drawing>
            <wp:anchor distT="0" distB="0" distL="0" distR="0" simplePos="0" relativeHeight="251658243" behindDoc="0" locked="0" layoutInCell="1" allowOverlap="1" wp14:anchorId="3D324AB4" wp14:editId="7595F8E8">
              <wp:simplePos x="635" y="635"/>
              <wp:positionH relativeFrom="page">
                <wp:align>center</wp:align>
              </wp:positionH>
              <wp:positionV relativeFrom="page">
                <wp:align>bottom</wp:align>
              </wp:positionV>
              <wp:extent cx="622300" cy="376555"/>
              <wp:effectExtent l="0" t="0" r="6350" b="0"/>
              <wp:wrapNone/>
              <wp:docPr id="6417039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76E033" w14:textId="1D83EABB"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24AB4"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5A76E033" w14:textId="1D83EABB"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E3630F3" w:rsidR="00D843F2" w:rsidRDefault="00D843F2" w:rsidP="00753B29">
    <w:pPr>
      <w:jc w:val="center"/>
    </w:pPr>
  </w:p>
  <w:bookmarkStart w:id="67" w:name="_Hlk76375156"/>
  <w:bookmarkStart w:id="68" w:name="_Hlk212554107"/>
  <w:p w14:paraId="37484CD3" w14:textId="49928BBB" w:rsidR="00D843F2" w:rsidRPr="00410C9F" w:rsidRDefault="00410C9F" w:rsidP="00410C9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67"/>
    <w:bookmarkEnd w:id="6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5890" w14:textId="21D80AF4" w:rsidR="00C629B4" w:rsidRDefault="00C629B4">
    <w:pPr>
      <w:pStyle w:val="Footer"/>
    </w:pPr>
    <w:r>
      <w:rPr>
        <w:noProof/>
      </w:rPr>
      <mc:AlternateContent>
        <mc:Choice Requires="wps">
          <w:drawing>
            <wp:anchor distT="0" distB="0" distL="0" distR="0" simplePos="0" relativeHeight="251658242" behindDoc="0" locked="0" layoutInCell="1" allowOverlap="1" wp14:anchorId="7828FC4B" wp14:editId="6C4DB055">
              <wp:simplePos x="635" y="635"/>
              <wp:positionH relativeFrom="page">
                <wp:align>center</wp:align>
              </wp:positionH>
              <wp:positionV relativeFrom="page">
                <wp:align>bottom</wp:align>
              </wp:positionV>
              <wp:extent cx="622300" cy="376555"/>
              <wp:effectExtent l="0" t="0" r="6350" b="0"/>
              <wp:wrapNone/>
              <wp:docPr id="19392003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BDA5F3" w14:textId="57941831"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28FC4B"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5BDA5F3" w14:textId="57941831"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06652" w14:textId="77777777" w:rsidR="007474F3" w:rsidRDefault="007474F3" w:rsidP="00124A51">
      <w:r>
        <w:separator/>
      </w:r>
    </w:p>
    <w:p w14:paraId="4D7245DC" w14:textId="77777777" w:rsidR="007474F3" w:rsidRDefault="007474F3"/>
    <w:p w14:paraId="33EEDC3E" w14:textId="77777777" w:rsidR="007474F3" w:rsidRDefault="007474F3"/>
    <w:p w14:paraId="6D840FC3" w14:textId="77777777" w:rsidR="007474F3" w:rsidRDefault="007474F3"/>
    <w:p w14:paraId="7E5D927D" w14:textId="77777777" w:rsidR="007474F3" w:rsidRDefault="007474F3"/>
  </w:footnote>
  <w:footnote w:type="continuationSeparator" w:id="0">
    <w:p w14:paraId="64D4739C" w14:textId="77777777" w:rsidR="007474F3" w:rsidRDefault="007474F3" w:rsidP="00124A51">
      <w:r>
        <w:continuationSeparator/>
      </w:r>
    </w:p>
    <w:p w14:paraId="45640E53" w14:textId="77777777" w:rsidR="007474F3" w:rsidRDefault="007474F3"/>
    <w:p w14:paraId="2A865A26" w14:textId="77777777" w:rsidR="007474F3" w:rsidRDefault="007474F3"/>
    <w:p w14:paraId="7F3D2F07" w14:textId="77777777" w:rsidR="007474F3" w:rsidRDefault="007474F3"/>
    <w:p w14:paraId="69422DD4" w14:textId="77777777" w:rsidR="007474F3" w:rsidRDefault="007474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DEDC" w14:textId="499D4D98" w:rsidR="00C629B4" w:rsidRDefault="00C629B4">
    <w:pPr>
      <w:pStyle w:val="Header"/>
    </w:pPr>
    <w:r>
      <w:rPr>
        <w:noProof/>
      </w:rPr>
      <mc:AlternateContent>
        <mc:Choice Requires="wps">
          <w:drawing>
            <wp:anchor distT="0" distB="0" distL="0" distR="0" simplePos="0" relativeHeight="251658241" behindDoc="0" locked="0" layoutInCell="1" allowOverlap="1" wp14:anchorId="32B6AEAA" wp14:editId="4BDB147E">
              <wp:simplePos x="635" y="635"/>
              <wp:positionH relativeFrom="page">
                <wp:align>center</wp:align>
              </wp:positionH>
              <wp:positionV relativeFrom="page">
                <wp:align>top</wp:align>
              </wp:positionV>
              <wp:extent cx="622300" cy="376555"/>
              <wp:effectExtent l="0" t="0" r="6350" b="4445"/>
              <wp:wrapNone/>
              <wp:docPr id="3951683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711DA8" w14:textId="4F8B786B"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6AEAA"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5711DA8" w14:textId="4F8B786B"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A7FB" w14:textId="073015F2" w:rsidR="005E4172" w:rsidRPr="00056684" w:rsidRDefault="00825538" w:rsidP="005E4172">
    <w:pPr>
      <w:pStyle w:val="Header"/>
      <w:ind w:left="360"/>
      <w:rPr>
        <w:i w:val="0"/>
      </w:rPr>
    </w:pPr>
    <w:bookmarkStart w:id="66" w:name="_Hlk76375146"/>
    <w:r>
      <w:t>Public Summary Document</w:t>
    </w:r>
    <w:r w:rsidR="00D92557">
      <w:t xml:space="preserve"> </w:t>
    </w:r>
    <w:r w:rsidR="005E4172" w:rsidRPr="00056684">
      <w:t xml:space="preserve">– </w:t>
    </w:r>
    <w:r w:rsidR="005E4172">
      <w:t>November 2025</w:t>
    </w:r>
    <w:r w:rsidR="005E4172" w:rsidRPr="00056684">
      <w:t xml:space="preserve"> PBAC Meeting</w:t>
    </w:r>
  </w:p>
  <w:bookmarkEnd w:id="66"/>
  <w:p w14:paraId="03AF943B" w14:textId="77777777" w:rsidR="00D843F2" w:rsidRPr="008C7ECB" w:rsidRDefault="00D843F2" w:rsidP="00B94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4E8E" w14:textId="478FA491" w:rsidR="00C629B4" w:rsidRDefault="00C629B4">
    <w:pPr>
      <w:pStyle w:val="Header"/>
    </w:pPr>
    <w:r>
      <w:rPr>
        <w:noProof/>
      </w:rPr>
      <mc:AlternateContent>
        <mc:Choice Requires="wps">
          <w:drawing>
            <wp:anchor distT="0" distB="0" distL="0" distR="0" simplePos="0" relativeHeight="251658240" behindDoc="0" locked="0" layoutInCell="1" allowOverlap="1" wp14:anchorId="6CA91EEC" wp14:editId="5D745391">
              <wp:simplePos x="635" y="635"/>
              <wp:positionH relativeFrom="page">
                <wp:align>center</wp:align>
              </wp:positionH>
              <wp:positionV relativeFrom="page">
                <wp:align>top</wp:align>
              </wp:positionV>
              <wp:extent cx="622300" cy="376555"/>
              <wp:effectExtent l="0" t="0" r="6350" b="4445"/>
              <wp:wrapNone/>
              <wp:docPr id="331323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CBCBF8" w14:textId="245CA304"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91EEC"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BCBCBF8" w14:textId="245CA304" w:rsidR="00C629B4" w:rsidRPr="00C629B4" w:rsidRDefault="00C629B4" w:rsidP="00C629B4">
                    <w:pPr>
                      <w:rPr>
                        <w:rFonts w:ascii="Aptos" w:eastAsia="Aptos" w:hAnsi="Aptos" w:cs="Aptos"/>
                        <w:noProof/>
                        <w:color w:val="FF0000"/>
                      </w:rPr>
                    </w:pPr>
                    <w:r w:rsidRPr="00C629B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207E0E"/>
    <w:lvl w:ilvl="0">
      <w:start w:val="1"/>
      <w:numFmt w:val="bullet"/>
      <w:pStyle w:val="COMBodybulletlist"/>
      <w:lvlText w:val=""/>
      <w:lvlJc w:val="left"/>
      <w:pPr>
        <w:tabs>
          <w:tab w:val="num" w:pos="360"/>
        </w:tabs>
        <w:ind w:left="360" w:hanging="360"/>
      </w:pPr>
      <w:rPr>
        <w:rFonts w:ascii="Symbol" w:hAnsi="Symbol" w:hint="default"/>
        <w:color w:val="auto"/>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315FC"/>
    <w:multiLevelType w:val="hybridMultilevel"/>
    <w:tmpl w:val="F5C2C51C"/>
    <w:styleLink w:val="ArticleSection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EB00B2"/>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000BFF"/>
    <w:multiLevelType w:val="hybridMultilevel"/>
    <w:tmpl w:val="D17862EA"/>
    <w:lvl w:ilvl="0" w:tplc="05A25978">
      <w:start w:val="1"/>
      <w:numFmt w:val="bullet"/>
      <w:lvlText w:val=""/>
      <w:lvlJc w:val="left"/>
      <w:pPr>
        <w:ind w:left="1800" w:hanging="360"/>
      </w:pPr>
      <w:rPr>
        <w:rFonts w:ascii="Symbol" w:hAnsi="Symbol"/>
      </w:rPr>
    </w:lvl>
    <w:lvl w:ilvl="1" w:tplc="BC72D3DA">
      <w:start w:val="1"/>
      <w:numFmt w:val="bullet"/>
      <w:lvlText w:val=""/>
      <w:lvlJc w:val="left"/>
      <w:pPr>
        <w:ind w:left="1800" w:hanging="360"/>
      </w:pPr>
      <w:rPr>
        <w:rFonts w:ascii="Symbol" w:hAnsi="Symbol"/>
      </w:rPr>
    </w:lvl>
    <w:lvl w:ilvl="2" w:tplc="04C69562">
      <w:start w:val="1"/>
      <w:numFmt w:val="bullet"/>
      <w:lvlText w:val=""/>
      <w:lvlJc w:val="left"/>
      <w:pPr>
        <w:ind w:left="1800" w:hanging="360"/>
      </w:pPr>
      <w:rPr>
        <w:rFonts w:ascii="Symbol" w:hAnsi="Symbol"/>
      </w:rPr>
    </w:lvl>
    <w:lvl w:ilvl="3" w:tplc="4C14FDF2">
      <w:start w:val="1"/>
      <w:numFmt w:val="bullet"/>
      <w:lvlText w:val=""/>
      <w:lvlJc w:val="left"/>
      <w:pPr>
        <w:ind w:left="1800" w:hanging="360"/>
      </w:pPr>
      <w:rPr>
        <w:rFonts w:ascii="Symbol" w:hAnsi="Symbol"/>
      </w:rPr>
    </w:lvl>
    <w:lvl w:ilvl="4" w:tplc="DEA286E4">
      <w:start w:val="1"/>
      <w:numFmt w:val="bullet"/>
      <w:lvlText w:val=""/>
      <w:lvlJc w:val="left"/>
      <w:pPr>
        <w:ind w:left="1800" w:hanging="360"/>
      </w:pPr>
      <w:rPr>
        <w:rFonts w:ascii="Symbol" w:hAnsi="Symbol"/>
      </w:rPr>
    </w:lvl>
    <w:lvl w:ilvl="5" w:tplc="3A600752">
      <w:start w:val="1"/>
      <w:numFmt w:val="bullet"/>
      <w:lvlText w:val=""/>
      <w:lvlJc w:val="left"/>
      <w:pPr>
        <w:ind w:left="1800" w:hanging="360"/>
      </w:pPr>
      <w:rPr>
        <w:rFonts w:ascii="Symbol" w:hAnsi="Symbol"/>
      </w:rPr>
    </w:lvl>
    <w:lvl w:ilvl="6" w:tplc="20082F2E">
      <w:start w:val="1"/>
      <w:numFmt w:val="bullet"/>
      <w:lvlText w:val=""/>
      <w:lvlJc w:val="left"/>
      <w:pPr>
        <w:ind w:left="1800" w:hanging="360"/>
      </w:pPr>
      <w:rPr>
        <w:rFonts w:ascii="Symbol" w:hAnsi="Symbol"/>
      </w:rPr>
    </w:lvl>
    <w:lvl w:ilvl="7" w:tplc="77848EB8">
      <w:start w:val="1"/>
      <w:numFmt w:val="bullet"/>
      <w:lvlText w:val=""/>
      <w:lvlJc w:val="left"/>
      <w:pPr>
        <w:ind w:left="1800" w:hanging="360"/>
      </w:pPr>
      <w:rPr>
        <w:rFonts w:ascii="Symbol" w:hAnsi="Symbol"/>
      </w:rPr>
    </w:lvl>
    <w:lvl w:ilvl="8" w:tplc="B6DA5D04">
      <w:start w:val="1"/>
      <w:numFmt w:val="bullet"/>
      <w:lvlText w:val=""/>
      <w:lvlJc w:val="left"/>
      <w:pPr>
        <w:ind w:left="1800" w:hanging="360"/>
      </w:pPr>
      <w:rPr>
        <w:rFonts w:ascii="Symbol" w:hAnsi="Symbol"/>
      </w:rPr>
    </w:lvl>
  </w:abstractNum>
  <w:abstractNum w:abstractNumId="6" w15:restartNumberingAfterBreak="0">
    <w:nsid w:val="178B72F9"/>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B11876"/>
    <w:multiLevelType w:val="hybridMultilevel"/>
    <w:tmpl w:val="53323F96"/>
    <w:lvl w:ilvl="0" w:tplc="AC30478E">
      <w:start w:val="1"/>
      <w:numFmt w:val="bullet"/>
      <w:lvlText w:val=""/>
      <w:lvlJc w:val="left"/>
      <w:pPr>
        <w:ind w:left="1160" w:hanging="360"/>
      </w:pPr>
      <w:rPr>
        <w:rFonts w:ascii="Symbol" w:hAnsi="Symbol"/>
      </w:rPr>
    </w:lvl>
    <w:lvl w:ilvl="1" w:tplc="60109A36">
      <w:start w:val="1"/>
      <w:numFmt w:val="bullet"/>
      <w:lvlText w:val=""/>
      <w:lvlJc w:val="left"/>
      <w:pPr>
        <w:ind w:left="1160" w:hanging="360"/>
      </w:pPr>
      <w:rPr>
        <w:rFonts w:ascii="Symbol" w:hAnsi="Symbol"/>
      </w:rPr>
    </w:lvl>
    <w:lvl w:ilvl="2" w:tplc="8318ADBA">
      <w:start w:val="1"/>
      <w:numFmt w:val="bullet"/>
      <w:lvlText w:val=""/>
      <w:lvlJc w:val="left"/>
      <w:pPr>
        <w:ind w:left="1160" w:hanging="360"/>
      </w:pPr>
      <w:rPr>
        <w:rFonts w:ascii="Symbol" w:hAnsi="Symbol"/>
      </w:rPr>
    </w:lvl>
    <w:lvl w:ilvl="3" w:tplc="32B00E6E">
      <w:start w:val="1"/>
      <w:numFmt w:val="bullet"/>
      <w:lvlText w:val=""/>
      <w:lvlJc w:val="left"/>
      <w:pPr>
        <w:ind w:left="1160" w:hanging="360"/>
      </w:pPr>
      <w:rPr>
        <w:rFonts w:ascii="Symbol" w:hAnsi="Symbol"/>
      </w:rPr>
    </w:lvl>
    <w:lvl w:ilvl="4" w:tplc="11A648D0">
      <w:start w:val="1"/>
      <w:numFmt w:val="bullet"/>
      <w:lvlText w:val=""/>
      <w:lvlJc w:val="left"/>
      <w:pPr>
        <w:ind w:left="1160" w:hanging="360"/>
      </w:pPr>
      <w:rPr>
        <w:rFonts w:ascii="Symbol" w:hAnsi="Symbol"/>
      </w:rPr>
    </w:lvl>
    <w:lvl w:ilvl="5" w:tplc="C09CC8EC">
      <w:start w:val="1"/>
      <w:numFmt w:val="bullet"/>
      <w:lvlText w:val=""/>
      <w:lvlJc w:val="left"/>
      <w:pPr>
        <w:ind w:left="1160" w:hanging="360"/>
      </w:pPr>
      <w:rPr>
        <w:rFonts w:ascii="Symbol" w:hAnsi="Symbol"/>
      </w:rPr>
    </w:lvl>
    <w:lvl w:ilvl="6" w:tplc="9B56C42A">
      <w:start w:val="1"/>
      <w:numFmt w:val="bullet"/>
      <w:lvlText w:val=""/>
      <w:lvlJc w:val="left"/>
      <w:pPr>
        <w:ind w:left="1160" w:hanging="360"/>
      </w:pPr>
      <w:rPr>
        <w:rFonts w:ascii="Symbol" w:hAnsi="Symbol"/>
      </w:rPr>
    </w:lvl>
    <w:lvl w:ilvl="7" w:tplc="F6FCCBC2">
      <w:start w:val="1"/>
      <w:numFmt w:val="bullet"/>
      <w:lvlText w:val=""/>
      <w:lvlJc w:val="left"/>
      <w:pPr>
        <w:ind w:left="1160" w:hanging="360"/>
      </w:pPr>
      <w:rPr>
        <w:rFonts w:ascii="Symbol" w:hAnsi="Symbol"/>
      </w:rPr>
    </w:lvl>
    <w:lvl w:ilvl="8" w:tplc="68A4B338">
      <w:start w:val="1"/>
      <w:numFmt w:val="bullet"/>
      <w:lvlText w:val=""/>
      <w:lvlJc w:val="left"/>
      <w:pPr>
        <w:ind w:left="1160" w:hanging="360"/>
      </w:pPr>
      <w:rPr>
        <w:rFonts w:ascii="Symbol" w:hAnsi="Symbol"/>
      </w:rPr>
    </w:lvl>
  </w:abstractNum>
  <w:abstractNum w:abstractNumId="8" w15:restartNumberingAfterBreak="0">
    <w:nsid w:val="1FB219F8"/>
    <w:multiLevelType w:val="hybridMultilevel"/>
    <w:tmpl w:val="C130D5B2"/>
    <w:lvl w:ilvl="0" w:tplc="4F38898A">
      <w:start w:val="1"/>
      <w:numFmt w:val="bullet"/>
      <w:pStyle w:val="COMES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33720822"/>
    <w:lvl w:ilvl="0" w:tplc="E1B6BF4A">
      <w:start w:val="1"/>
      <w:numFmt w:val="decimal"/>
      <w:lvlText w:val="%1."/>
      <w:lvlJc w:val="left"/>
      <w:pPr>
        <w:ind w:left="360" w:hanging="360"/>
      </w:pPr>
      <w:rPr>
        <w:rFonts w:hint="default"/>
        <w:color w:val="auto"/>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D5C697E6"/>
    <w:lvl w:ilvl="0" w:tplc="CFE87BE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93F5D9C"/>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67100"/>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5CCF38"/>
    <w:multiLevelType w:val="hybridMultilevel"/>
    <w:tmpl w:val="FFFFFFFF"/>
    <w:lvl w:ilvl="0" w:tplc="A7D88E4C">
      <w:start w:val="1"/>
      <w:numFmt w:val="bullet"/>
      <w:lvlText w:val=""/>
      <w:lvlJc w:val="left"/>
      <w:pPr>
        <w:ind w:left="720" w:hanging="360"/>
      </w:pPr>
      <w:rPr>
        <w:rFonts w:ascii="Symbol" w:hAnsi="Symbol" w:hint="default"/>
      </w:rPr>
    </w:lvl>
    <w:lvl w:ilvl="1" w:tplc="938CDC04">
      <w:start w:val="1"/>
      <w:numFmt w:val="bullet"/>
      <w:lvlText w:val="o"/>
      <w:lvlJc w:val="left"/>
      <w:pPr>
        <w:ind w:left="1440" w:hanging="360"/>
      </w:pPr>
      <w:rPr>
        <w:rFonts w:ascii="Courier New" w:hAnsi="Courier New" w:hint="default"/>
      </w:rPr>
    </w:lvl>
    <w:lvl w:ilvl="2" w:tplc="0F00DFFC">
      <w:start w:val="1"/>
      <w:numFmt w:val="bullet"/>
      <w:lvlText w:val=""/>
      <w:lvlJc w:val="left"/>
      <w:pPr>
        <w:ind w:left="2160" w:hanging="360"/>
      </w:pPr>
      <w:rPr>
        <w:rFonts w:ascii="Wingdings" w:hAnsi="Wingdings" w:hint="default"/>
      </w:rPr>
    </w:lvl>
    <w:lvl w:ilvl="3" w:tplc="5E44DD56">
      <w:start w:val="1"/>
      <w:numFmt w:val="bullet"/>
      <w:lvlText w:val=""/>
      <w:lvlJc w:val="left"/>
      <w:pPr>
        <w:ind w:left="2880" w:hanging="360"/>
      </w:pPr>
      <w:rPr>
        <w:rFonts w:ascii="Symbol" w:hAnsi="Symbol" w:hint="default"/>
      </w:rPr>
    </w:lvl>
    <w:lvl w:ilvl="4" w:tplc="A4AE2EB2">
      <w:start w:val="1"/>
      <w:numFmt w:val="bullet"/>
      <w:lvlText w:val="o"/>
      <w:lvlJc w:val="left"/>
      <w:pPr>
        <w:ind w:left="3600" w:hanging="360"/>
      </w:pPr>
      <w:rPr>
        <w:rFonts w:ascii="Courier New" w:hAnsi="Courier New" w:hint="default"/>
      </w:rPr>
    </w:lvl>
    <w:lvl w:ilvl="5" w:tplc="BDB2DF4A">
      <w:start w:val="1"/>
      <w:numFmt w:val="bullet"/>
      <w:lvlText w:val=""/>
      <w:lvlJc w:val="left"/>
      <w:pPr>
        <w:ind w:left="4320" w:hanging="360"/>
      </w:pPr>
      <w:rPr>
        <w:rFonts w:ascii="Wingdings" w:hAnsi="Wingdings" w:hint="default"/>
      </w:rPr>
    </w:lvl>
    <w:lvl w:ilvl="6" w:tplc="C91E0866">
      <w:start w:val="1"/>
      <w:numFmt w:val="bullet"/>
      <w:lvlText w:val=""/>
      <w:lvlJc w:val="left"/>
      <w:pPr>
        <w:ind w:left="5040" w:hanging="360"/>
      </w:pPr>
      <w:rPr>
        <w:rFonts w:ascii="Symbol" w:hAnsi="Symbol" w:hint="default"/>
      </w:rPr>
    </w:lvl>
    <w:lvl w:ilvl="7" w:tplc="9A4E531E">
      <w:start w:val="1"/>
      <w:numFmt w:val="bullet"/>
      <w:lvlText w:val="o"/>
      <w:lvlJc w:val="left"/>
      <w:pPr>
        <w:ind w:left="5760" w:hanging="360"/>
      </w:pPr>
      <w:rPr>
        <w:rFonts w:ascii="Courier New" w:hAnsi="Courier New" w:hint="default"/>
      </w:rPr>
    </w:lvl>
    <w:lvl w:ilvl="8" w:tplc="20060B28">
      <w:start w:val="1"/>
      <w:numFmt w:val="bullet"/>
      <w:lvlText w:val=""/>
      <w:lvlJc w:val="left"/>
      <w:pPr>
        <w:ind w:left="6480" w:hanging="360"/>
      </w:pPr>
      <w:rPr>
        <w:rFonts w:ascii="Wingdings" w:hAnsi="Wingdings" w:hint="default"/>
      </w:rPr>
    </w:lvl>
  </w:abstractNum>
  <w:abstractNum w:abstractNumId="20" w15:restartNumberingAfterBreak="0">
    <w:nsid w:val="5F74339D"/>
    <w:multiLevelType w:val="hybridMultilevel"/>
    <w:tmpl w:val="9F04D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C9320C"/>
    <w:multiLevelType w:val="hybridMultilevel"/>
    <w:tmpl w:val="782A5BC4"/>
    <w:lvl w:ilvl="0" w:tplc="01FC807A">
      <w:start w:val="1"/>
      <w:numFmt w:val="bullet"/>
      <w:lvlText w:val=""/>
      <w:lvlJc w:val="left"/>
      <w:pPr>
        <w:ind w:left="1800" w:hanging="360"/>
      </w:pPr>
      <w:rPr>
        <w:rFonts w:ascii="Symbol" w:hAnsi="Symbol"/>
      </w:rPr>
    </w:lvl>
    <w:lvl w:ilvl="1" w:tplc="42786D24">
      <w:start w:val="1"/>
      <w:numFmt w:val="bullet"/>
      <w:lvlText w:val=""/>
      <w:lvlJc w:val="left"/>
      <w:pPr>
        <w:ind w:left="1800" w:hanging="360"/>
      </w:pPr>
      <w:rPr>
        <w:rFonts w:ascii="Symbol" w:hAnsi="Symbol"/>
      </w:rPr>
    </w:lvl>
    <w:lvl w:ilvl="2" w:tplc="8BB8AFF4">
      <w:start w:val="1"/>
      <w:numFmt w:val="bullet"/>
      <w:lvlText w:val=""/>
      <w:lvlJc w:val="left"/>
      <w:pPr>
        <w:ind w:left="1800" w:hanging="360"/>
      </w:pPr>
      <w:rPr>
        <w:rFonts w:ascii="Symbol" w:hAnsi="Symbol"/>
      </w:rPr>
    </w:lvl>
    <w:lvl w:ilvl="3" w:tplc="A61E43C0">
      <w:start w:val="1"/>
      <w:numFmt w:val="bullet"/>
      <w:lvlText w:val=""/>
      <w:lvlJc w:val="left"/>
      <w:pPr>
        <w:ind w:left="1800" w:hanging="360"/>
      </w:pPr>
      <w:rPr>
        <w:rFonts w:ascii="Symbol" w:hAnsi="Symbol"/>
      </w:rPr>
    </w:lvl>
    <w:lvl w:ilvl="4" w:tplc="A5649CC8">
      <w:start w:val="1"/>
      <w:numFmt w:val="bullet"/>
      <w:lvlText w:val=""/>
      <w:lvlJc w:val="left"/>
      <w:pPr>
        <w:ind w:left="1800" w:hanging="360"/>
      </w:pPr>
      <w:rPr>
        <w:rFonts w:ascii="Symbol" w:hAnsi="Symbol"/>
      </w:rPr>
    </w:lvl>
    <w:lvl w:ilvl="5" w:tplc="13B6B568">
      <w:start w:val="1"/>
      <w:numFmt w:val="bullet"/>
      <w:lvlText w:val=""/>
      <w:lvlJc w:val="left"/>
      <w:pPr>
        <w:ind w:left="1800" w:hanging="360"/>
      </w:pPr>
      <w:rPr>
        <w:rFonts w:ascii="Symbol" w:hAnsi="Symbol"/>
      </w:rPr>
    </w:lvl>
    <w:lvl w:ilvl="6" w:tplc="DA360816">
      <w:start w:val="1"/>
      <w:numFmt w:val="bullet"/>
      <w:lvlText w:val=""/>
      <w:lvlJc w:val="left"/>
      <w:pPr>
        <w:ind w:left="1800" w:hanging="360"/>
      </w:pPr>
      <w:rPr>
        <w:rFonts w:ascii="Symbol" w:hAnsi="Symbol"/>
      </w:rPr>
    </w:lvl>
    <w:lvl w:ilvl="7" w:tplc="751AFBDC">
      <w:start w:val="1"/>
      <w:numFmt w:val="bullet"/>
      <w:lvlText w:val=""/>
      <w:lvlJc w:val="left"/>
      <w:pPr>
        <w:ind w:left="1800" w:hanging="360"/>
      </w:pPr>
      <w:rPr>
        <w:rFonts w:ascii="Symbol" w:hAnsi="Symbol"/>
      </w:rPr>
    </w:lvl>
    <w:lvl w:ilvl="8" w:tplc="D3422F2E">
      <w:start w:val="1"/>
      <w:numFmt w:val="bullet"/>
      <w:lvlText w:val=""/>
      <w:lvlJc w:val="left"/>
      <w:pPr>
        <w:ind w:left="1800" w:hanging="360"/>
      </w:pPr>
      <w:rPr>
        <w:rFonts w:ascii="Symbol" w:hAnsi="Symbol"/>
      </w:r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AF22442"/>
    <w:multiLevelType w:val="hybridMultilevel"/>
    <w:tmpl w:val="FDBE1E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4D033C"/>
    <w:multiLevelType w:val="multilevel"/>
    <w:tmpl w:val="45BED9B6"/>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26"/>
  </w:num>
  <w:num w:numId="2" w16cid:durableId="917793048">
    <w:abstractNumId w:val="16"/>
  </w:num>
  <w:num w:numId="3" w16cid:durableId="989216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360847">
    <w:abstractNumId w:val="23"/>
  </w:num>
  <w:num w:numId="5" w16cid:durableId="268196418">
    <w:abstractNumId w:val="13"/>
  </w:num>
  <w:num w:numId="6" w16cid:durableId="1048839230">
    <w:abstractNumId w:val="26"/>
  </w:num>
  <w:num w:numId="7" w16cid:durableId="374349641">
    <w:abstractNumId w:val="0"/>
  </w:num>
  <w:num w:numId="8" w16cid:durableId="1681078653">
    <w:abstractNumId w:val="8"/>
  </w:num>
  <w:num w:numId="9" w16cid:durableId="572088642">
    <w:abstractNumId w:val="26"/>
  </w:num>
  <w:num w:numId="10" w16cid:durableId="828791177">
    <w:abstractNumId w:val="26"/>
  </w:num>
  <w:num w:numId="11" w16cid:durableId="737829100">
    <w:abstractNumId w:val="3"/>
  </w:num>
  <w:num w:numId="12" w16cid:durableId="1021971401">
    <w:abstractNumId w:val="10"/>
  </w:num>
  <w:num w:numId="13" w16cid:durableId="1947349301">
    <w:abstractNumId w:val="27"/>
  </w:num>
  <w:num w:numId="14" w16cid:durableId="1654138763">
    <w:abstractNumId w:val="15"/>
  </w:num>
  <w:num w:numId="15" w16cid:durableId="474761289">
    <w:abstractNumId w:val="6"/>
  </w:num>
  <w:num w:numId="16" w16cid:durableId="126240624">
    <w:abstractNumId w:val="24"/>
  </w:num>
  <w:num w:numId="17" w16cid:durableId="1573005167">
    <w:abstractNumId w:val="17"/>
  </w:num>
  <w:num w:numId="18" w16cid:durableId="408699874">
    <w:abstractNumId w:val="18"/>
  </w:num>
  <w:num w:numId="19" w16cid:durableId="1569418770">
    <w:abstractNumId w:val="2"/>
  </w:num>
  <w:num w:numId="20" w16cid:durableId="705176722">
    <w:abstractNumId w:val="1"/>
  </w:num>
  <w:num w:numId="21" w16cid:durableId="1926569401">
    <w:abstractNumId w:val="11"/>
  </w:num>
  <w:num w:numId="22" w16cid:durableId="1979457665">
    <w:abstractNumId w:val="12"/>
  </w:num>
  <w:num w:numId="23" w16cid:durableId="2038313566">
    <w:abstractNumId w:val="9"/>
  </w:num>
  <w:num w:numId="24"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997201">
    <w:abstractNumId w:val="25"/>
  </w:num>
  <w:num w:numId="26" w16cid:durableId="376009170">
    <w:abstractNumId w:val="26"/>
  </w:num>
  <w:num w:numId="27" w16cid:durableId="634608408">
    <w:abstractNumId w:val="13"/>
  </w:num>
  <w:num w:numId="28" w16cid:durableId="817502857">
    <w:abstractNumId w:val="22"/>
  </w:num>
  <w:num w:numId="29" w16cid:durableId="1830125303">
    <w:abstractNumId w:val="5"/>
  </w:num>
  <w:num w:numId="30" w16cid:durableId="70780298">
    <w:abstractNumId w:val="7"/>
  </w:num>
  <w:num w:numId="31" w16cid:durableId="1173760054">
    <w:abstractNumId w:val="26"/>
  </w:num>
  <w:num w:numId="32" w16cid:durableId="699821221">
    <w:abstractNumId w:val="20"/>
  </w:num>
  <w:num w:numId="33" w16cid:durableId="1253203581">
    <w:abstractNumId w:val="19"/>
  </w:num>
  <w:num w:numId="34" w16cid:durableId="20043600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79316645">
    <w:abstractNumId w:val="14"/>
  </w:num>
  <w:num w:numId="36" w16cid:durableId="173947245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7E"/>
    <w:rsid w:val="00000650"/>
    <w:rsid w:val="0000076A"/>
    <w:rsid w:val="00000790"/>
    <w:rsid w:val="00000D01"/>
    <w:rsid w:val="00001086"/>
    <w:rsid w:val="0000110B"/>
    <w:rsid w:val="00001877"/>
    <w:rsid w:val="000019C9"/>
    <w:rsid w:val="00001E23"/>
    <w:rsid w:val="000024A8"/>
    <w:rsid w:val="00002774"/>
    <w:rsid w:val="00002C96"/>
    <w:rsid w:val="000032F4"/>
    <w:rsid w:val="00003499"/>
    <w:rsid w:val="000039B7"/>
    <w:rsid w:val="00003ADF"/>
    <w:rsid w:val="00003E42"/>
    <w:rsid w:val="00004026"/>
    <w:rsid w:val="0000407A"/>
    <w:rsid w:val="000041EC"/>
    <w:rsid w:val="00004986"/>
    <w:rsid w:val="000049B4"/>
    <w:rsid w:val="00005194"/>
    <w:rsid w:val="000056B9"/>
    <w:rsid w:val="00005D3D"/>
    <w:rsid w:val="00005EAC"/>
    <w:rsid w:val="00005F1C"/>
    <w:rsid w:val="0000639A"/>
    <w:rsid w:val="00006525"/>
    <w:rsid w:val="00006B3D"/>
    <w:rsid w:val="00006FB1"/>
    <w:rsid w:val="0000769E"/>
    <w:rsid w:val="00007986"/>
    <w:rsid w:val="00007ADE"/>
    <w:rsid w:val="00010367"/>
    <w:rsid w:val="0001083C"/>
    <w:rsid w:val="00010A04"/>
    <w:rsid w:val="00010B86"/>
    <w:rsid w:val="00010E32"/>
    <w:rsid w:val="000110F7"/>
    <w:rsid w:val="0001176F"/>
    <w:rsid w:val="00011B26"/>
    <w:rsid w:val="00011B50"/>
    <w:rsid w:val="00011CFF"/>
    <w:rsid w:val="000127F3"/>
    <w:rsid w:val="00013247"/>
    <w:rsid w:val="000136D3"/>
    <w:rsid w:val="00014217"/>
    <w:rsid w:val="0001437A"/>
    <w:rsid w:val="000146BD"/>
    <w:rsid w:val="00014765"/>
    <w:rsid w:val="00014893"/>
    <w:rsid w:val="000151FA"/>
    <w:rsid w:val="00015886"/>
    <w:rsid w:val="00016154"/>
    <w:rsid w:val="000162EF"/>
    <w:rsid w:val="00016620"/>
    <w:rsid w:val="00016E11"/>
    <w:rsid w:val="00017328"/>
    <w:rsid w:val="0001754D"/>
    <w:rsid w:val="0001763C"/>
    <w:rsid w:val="00017BB8"/>
    <w:rsid w:val="000205F5"/>
    <w:rsid w:val="000207C9"/>
    <w:rsid w:val="000209E7"/>
    <w:rsid w:val="00020A86"/>
    <w:rsid w:val="00020BB7"/>
    <w:rsid w:val="000218B0"/>
    <w:rsid w:val="00021D04"/>
    <w:rsid w:val="0002225F"/>
    <w:rsid w:val="000223C7"/>
    <w:rsid w:val="00022CB5"/>
    <w:rsid w:val="00023763"/>
    <w:rsid w:val="0002378C"/>
    <w:rsid w:val="00023864"/>
    <w:rsid w:val="00023AA7"/>
    <w:rsid w:val="000246AD"/>
    <w:rsid w:val="000247A4"/>
    <w:rsid w:val="00024AE2"/>
    <w:rsid w:val="00024C08"/>
    <w:rsid w:val="00024E03"/>
    <w:rsid w:val="00024EB5"/>
    <w:rsid w:val="00024EC6"/>
    <w:rsid w:val="000250A1"/>
    <w:rsid w:val="000260C3"/>
    <w:rsid w:val="0002715F"/>
    <w:rsid w:val="00027414"/>
    <w:rsid w:val="000274B8"/>
    <w:rsid w:val="00027720"/>
    <w:rsid w:val="00027866"/>
    <w:rsid w:val="00027AD6"/>
    <w:rsid w:val="00027B9D"/>
    <w:rsid w:val="00027FFB"/>
    <w:rsid w:val="000300C9"/>
    <w:rsid w:val="00030384"/>
    <w:rsid w:val="000303FE"/>
    <w:rsid w:val="000309F9"/>
    <w:rsid w:val="00030F34"/>
    <w:rsid w:val="0003139F"/>
    <w:rsid w:val="000316CC"/>
    <w:rsid w:val="00031C52"/>
    <w:rsid w:val="00031F5C"/>
    <w:rsid w:val="00032283"/>
    <w:rsid w:val="0003270F"/>
    <w:rsid w:val="000327ED"/>
    <w:rsid w:val="00032902"/>
    <w:rsid w:val="0003296A"/>
    <w:rsid w:val="0003298B"/>
    <w:rsid w:val="00032E52"/>
    <w:rsid w:val="00033863"/>
    <w:rsid w:val="000339F6"/>
    <w:rsid w:val="00033AF6"/>
    <w:rsid w:val="00033D2C"/>
    <w:rsid w:val="000347FD"/>
    <w:rsid w:val="00035DC0"/>
    <w:rsid w:val="000362C3"/>
    <w:rsid w:val="00036829"/>
    <w:rsid w:val="00036DEE"/>
    <w:rsid w:val="0003724C"/>
    <w:rsid w:val="00037964"/>
    <w:rsid w:val="00037B44"/>
    <w:rsid w:val="00037FA7"/>
    <w:rsid w:val="00040366"/>
    <w:rsid w:val="0004070A"/>
    <w:rsid w:val="00040782"/>
    <w:rsid w:val="00040895"/>
    <w:rsid w:val="000410A0"/>
    <w:rsid w:val="000410E2"/>
    <w:rsid w:val="0004131F"/>
    <w:rsid w:val="00041481"/>
    <w:rsid w:val="000432B2"/>
    <w:rsid w:val="00043538"/>
    <w:rsid w:val="000435EE"/>
    <w:rsid w:val="00043790"/>
    <w:rsid w:val="00043C37"/>
    <w:rsid w:val="000440C2"/>
    <w:rsid w:val="0004442E"/>
    <w:rsid w:val="0004460C"/>
    <w:rsid w:val="00044AF8"/>
    <w:rsid w:val="00045017"/>
    <w:rsid w:val="0004572C"/>
    <w:rsid w:val="00045A2B"/>
    <w:rsid w:val="00046064"/>
    <w:rsid w:val="000461D4"/>
    <w:rsid w:val="000462A3"/>
    <w:rsid w:val="00046585"/>
    <w:rsid w:val="00046756"/>
    <w:rsid w:val="00046771"/>
    <w:rsid w:val="0004698F"/>
    <w:rsid w:val="00046A3E"/>
    <w:rsid w:val="00046D64"/>
    <w:rsid w:val="00046FB8"/>
    <w:rsid w:val="000471F6"/>
    <w:rsid w:val="0004745B"/>
    <w:rsid w:val="00047768"/>
    <w:rsid w:val="00050243"/>
    <w:rsid w:val="00050594"/>
    <w:rsid w:val="000508C2"/>
    <w:rsid w:val="00050912"/>
    <w:rsid w:val="00050E3A"/>
    <w:rsid w:val="000511E1"/>
    <w:rsid w:val="00051D58"/>
    <w:rsid w:val="00051DD3"/>
    <w:rsid w:val="00053348"/>
    <w:rsid w:val="0005366B"/>
    <w:rsid w:val="0005378E"/>
    <w:rsid w:val="000539D0"/>
    <w:rsid w:val="00053BF0"/>
    <w:rsid w:val="0005417D"/>
    <w:rsid w:val="00054621"/>
    <w:rsid w:val="000546D7"/>
    <w:rsid w:val="000549CA"/>
    <w:rsid w:val="00054A8D"/>
    <w:rsid w:val="00054DFB"/>
    <w:rsid w:val="00055061"/>
    <w:rsid w:val="0005535A"/>
    <w:rsid w:val="00055DF9"/>
    <w:rsid w:val="00055F44"/>
    <w:rsid w:val="00056303"/>
    <w:rsid w:val="0005675A"/>
    <w:rsid w:val="00056ECF"/>
    <w:rsid w:val="00057D59"/>
    <w:rsid w:val="000603EA"/>
    <w:rsid w:val="000604DF"/>
    <w:rsid w:val="0006067F"/>
    <w:rsid w:val="00060BE8"/>
    <w:rsid w:val="000613FE"/>
    <w:rsid w:val="000618F0"/>
    <w:rsid w:val="00062324"/>
    <w:rsid w:val="00062657"/>
    <w:rsid w:val="000627BA"/>
    <w:rsid w:val="00062DA0"/>
    <w:rsid w:val="0006317E"/>
    <w:rsid w:val="00063383"/>
    <w:rsid w:val="00063B32"/>
    <w:rsid w:val="00063BF1"/>
    <w:rsid w:val="00064337"/>
    <w:rsid w:val="00064398"/>
    <w:rsid w:val="000646DE"/>
    <w:rsid w:val="00065080"/>
    <w:rsid w:val="0006517B"/>
    <w:rsid w:val="000653B5"/>
    <w:rsid w:val="00065C71"/>
    <w:rsid w:val="0006610A"/>
    <w:rsid w:val="00066360"/>
    <w:rsid w:val="00066438"/>
    <w:rsid w:val="00066470"/>
    <w:rsid w:val="00066A75"/>
    <w:rsid w:val="00066AF8"/>
    <w:rsid w:val="000675D4"/>
    <w:rsid w:val="00070137"/>
    <w:rsid w:val="000702CD"/>
    <w:rsid w:val="000708F8"/>
    <w:rsid w:val="00071022"/>
    <w:rsid w:val="00071248"/>
    <w:rsid w:val="0007139A"/>
    <w:rsid w:val="0007144B"/>
    <w:rsid w:val="00071AE2"/>
    <w:rsid w:val="00071C97"/>
    <w:rsid w:val="00072097"/>
    <w:rsid w:val="000720B9"/>
    <w:rsid w:val="000723BE"/>
    <w:rsid w:val="00072413"/>
    <w:rsid w:val="00072730"/>
    <w:rsid w:val="00072D0F"/>
    <w:rsid w:val="00072D63"/>
    <w:rsid w:val="0007305E"/>
    <w:rsid w:val="000737F7"/>
    <w:rsid w:val="00073883"/>
    <w:rsid w:val="0007393D"/>
    <w:rsid w:val="00073CE3"/>
    <w:rsid w:val="00073D06"/>
    <w:rsid w:val="0007403B"/>
    <w:rsid w:val="00074A65"/>
    <w:rsid w:val="00074C4E"/>
    <w:rsid w:val="00074C8F"/>
    <w:rsid w:val="00074E47"/>
    <w:rsid w:val="0007520E"/>
    <w:rsid w:val="00075895"/>
    <w:rsid w:val="00075B15"/>
    <w:rsid w:val="0007672F"/>
    <w:rsid w:val="00076B54"/>
    <w:rsid w:val="000774F0"/>
    <w:rsid w:val="000779B9"/>
    <w:rsid w:val="00077BFE"/>
    <w:rsid w:val="00077F17"/>
    <w:rsid w:val="0008033B"/>
    <w:rsid w:val="0008045A"/>
    <w:rsid w:val="000805E1"/>
    <w:rsid w:val="000806D1"/>
    <w:rsid w:val="00080909"/>
    <w:rsid w:val="00080EDA"/>
    <w:rsid w:val="000812CA"/>
    <w:rsid w:val="00081572"/>
    <w:rsid w:val="00081854"/>
    <w:rsid w:val="00081A44"/>
    <w:rsid w:val="00081B36"/>
    <w:rsid w:val="00081E63"/>
    <w:rsid w:val="0008258D"/>
    <w:rsid w:val="00082F03"/>
    <w:rsid w:val="00082F69"/>
    <w:rsid w:val="0008318E"/>
    <w:rsid w:val="00083893"/>
    <w:rsid w:val="00083BF2"/>
    <w:rsid w:val="00083E63"/>
    <w:rsid w:val="00083E99"/>
    <w:rsid w:val="00083EA7"/>
    <w:rsid w:val="00084158"/>
    <w:rsid w:val="0008450C"/>
    <w:rsid w:val="00084577"/>
    <w:rsid w:val="00084651"/>
    <w:rsid w:val="00084919"/>
    <w:rsid w:val="00084FA8"/>
    <w:rsid w:val="000856C5"/>
    <w:rsid w:val="00085AF9"/>
    <w:rsid w:val="00085C31"/>
    <w:rsid w:val="00086308"/>
    <w:rsid w:val="000866D9"/>
    <w:rsid w:val="00087169"/>
    <w:rsid w:val="000876E3"/>
    <w:rsid w:val="00087A50"/>
    <w:rsid w:val="00087ABC"/>
    <w:rsid w:val="00087DC7"/>
    <w:rsid w:val="00087E7B"/>
    <w:rsid w:val="000902D9"/>
    <w:rsid w:val="00090ACF"/>
    <w:rsid w:val="00090C7E"/>
    <w:rsid w:val="000911AC"/>
    <w:rsid w:val="00091268"/>
    <w:rsid w:val="00092600"/>
    <w:rsid w:val="0009262B"/>
    <w:rsid w:val="00092A41"/>
    <w:rsid w:val="00092DB2"/>
    <w:rsid w:val="00093310"/>
    <w:rsid w:val="0009342F"/>
    <w:rsid w:val="000936A4"/>
    <w:rsid w:val="00093BCE"/>
    <w:rsid w:val="000942F1"/>
    <w:rsid w:val="00094330"/>
    <w:rsid w:val="0009445C"/>
    <w:rsid w:val="00094906"/>
    <w:rsid w:val="00094923"/>
    <w:rsid w:val="00094A79"/>
    <w:rsid w:val="00094EB0"/>
    <w:rsid w:val="00095200"/>
    <w:rsid w:val="000955A7"/>
    <w:rsid w:val="0009563F"/>
    <w:rsid w:val="00095FE5"/>
    <w:rsid w:val="00096284"/>
    <w:rsid w:val="000963D2"/>
    <w:rsid w:val="0009673E"/>
    <w:rsid w:val="00097008"/>
    <w:rsid w:val="00097225"/>
    <w:rsid w:val="00097356"/>
    <w:rsid w:val="000977CA"/>
    <w:rsid w:val="00097B3F"/>
    <w:rsid w:val="00097CFD"/>
    <w:rsid w:val="00097D12"/>
    <w:rsid w:val="00097D93"/>
    <w:rsid w:val="000A0AF4"/>
    <w:rsid w:val="000A0E4A"/>
    <w:rsid w:val="000A0F12"/>
    <w:rsid w:val="000A18DF"/>
    <w:rsid w:val="000A1BC0"/>
    <w:rsid w:val="000A2F9E"/>
    <w:rsid w:val="000A332C"/>
    <w:rsid w:val="000A35BF"/>
    <w:rsid w:val="000A3696"/>
    <w:rsid w:val="000A3E47"/>
    <w:rsid w:val="000A4ABF"/>
    <w:rsid w:val="000A4B3F"/>
    <w:rsid w:val="000A5218"/>
    <w:rsid w:val="000A522B"/>
    <w:rsid w:val="000A5572"/>
    <w:rsid w:val="000A5638"/>
    <w:rsid w:val="000A5C56"/>
    <w:rsid w:val="000A5F47"/>
    <w:rsid w:val="000A6039"/>
    <w:rsid w:val="000A64BA"/>
    <w:rsid w:val="000A670C"/>
    <w:rsid w:val="000A6B64"/>
    <w:rsid w:val="000A6CCE"/>
    <w:rsid w:val="000A6F57"/>
    <w:rsid w:val="000A7453"/>
    <w:rsid w:val="000A75A0"/>
    <w:rsid w:val="000A7D08"/>
    <w:rsid w:val="000B0121"/>
    <w:rsid w:val="000B0402"/>
    <w:rsid w:val="000B0670"/>
    <w:rsid w:val="000B0E75"/>
    <w:rsid w:val="000B18D1"/>
    <w:rsid w:val="000B1BB4"/>
    <w:rsid w:val="000B23AE"/>
    <w:rsid w:val="000B28EC"/>
    <w:rsid w:val="000B29C9"/>
    <w:rsid w:val="000B2DCB"/>
    <w:rsid w:val="000B3718"/>
    <w:rsid w:val="000B375E"/>
    <w:rsid w:val="000B3FA6"/>
    <w:rsid w:val="000B40C2"/>
    <w:rsid w:val="000B46D2"/>
    <w:rsid w:val="000B4B53"/>
    <w:rsid w:val="000B4E71"/>
    <w:rsid w:val="000B50C7"/>
    <w:rsid w:val="000B570F"/>
    <w:rsid w:val="000B5B4A"/>
    <w:rsid w:val="000B5CE0"/>
    <w:rsid w:val="000B6182"/>
    <w:rsid w:val="000B625B"/>
    <w:rsid w:val="000B6349"/>
    <w:rsid w:val="000B6AA9"/>
    <w:rsid w:val="000B6C93"/>
    <w:rsid w:val="000B6CAC"/>
    <w:rsid w:val="000B6CDA"/>
    <w:rsid w:val="000B7612"/>
    <w:rsid w:val="000B764E"/>
    <w:rsid w:val="000B78AE"/>
    <w:rsid w:val="000B7988"/>
    <w:rsid w:val="000B7BDE"/>
    <w:rsid w:val="000C00C2"/>
    <w:rsid w:val="000C07F4"/>
    <w:rsid w:val="000C0D3B"/>
    <w:rsid w:val="000C0D58"/>
    <w:rsid w:val="000C0DAA"/>
    <w:rsid w:val="000C178F"/>
    <w:rsid w:val="000C18E8"/>
    <w:rsid w:val="000C215C"/>
    <w:rsid w:val="000C2DB1"/>
    <w:rsid w:val="000C2E5B"/>
    <w:rsid w:val="000C3B70"/>
    <w:rsid w:val="000C3C5D"/>
    <w:rsid w:val="000C3DF9"/>
    <w:rsid w:val="000C3ECD"/>
    <w:rsid w:val="000C4137"/>
    <w:rsid w:val="000C436C"/>
    <w:rsid w:val="000C452E"/>
    <w:rsid w:val="000C460A"/>
    <w:rsid w:val="000C48E4"/>
    <w:rsid w:val="000C4C21"/>
    <w:rsid w:val="000C4C57"/>
    <w:rsid w:val="000C4CF2"/>
    <w:rsid w:val="000C526C"/>
    <w:rsid w:val="000C535C"/>
    <w:rsid w:val="000C56D6"/>
    <w:rsid w:val="000C57F2"/>
    <w:rsid w:val="000C5942"/>
    <w:rsid w:val="000C6444"/>
    <w:rsid w:val="000C6713"/>
    <w:rsid w:val="000C683A"/>
    <w:rsid w:val="000C68DB"/>
    <w:rsid w:val="000C698A"/>
    <w:rsid w:val="000C6F53"/>
    <w:rsid w:val="000C7151"/>
    <w:rsid w:val="000C7332"/>
    <w:rsid w:val="000C7974"/>
    <w:rsid w:val="000C7A37"/>
    <w:rsid w:val="000C7E76"/>
    <w:rsid w:val="000C7FF9"/>
    <w:rsid w:val="000D0169"/>
    <w:rsid w:val="000D06BC"/>
    <w:rsid w:val="000D0F89"/>
    <w:rsid w:val="000D11DB"/>
    <w:rsid w:val="000D1543"/>
    <w:rsid w:val="000D1AB4"/>
    <w:rsid w:val="000D1BFC"/>
    <w:rsid w:val="000D1D5D"/>
    <w:rsid w:val="000D214E"/>
    <w:rsid w:val="000D2426"/>
    <w:rsid w:val="000D281A"/>
    <w:rsid w:val="000D2848"/>
    <w:rsid w:val="000D300D"/>
    <w:rsid w:val="000D30F5"/>
    <w:rsid w:val="000D31F2"/>
    <w:rsid w:val="000D326A"/>
    <w:rsid w:val="000D35D7"/>
    <w:rsid w:val="000D3C86"/>
    <w:rsid w:val="000D3D98"/>
    <w:rsid w:val="000D4061"/>
    <w:rsid w:val="000D41AA"/>
    <w:rsid w:val="000D43B3"/>
    <w:rsid w:val="000D441C"/>
    <w:rsid w:val="000D453E"/>
    <w:rsid w:val="000D51FB"/>
    <w:rsid w:val="000D52D9"/>
    <w:rsid w:val="000D5629"/>
    <w:rsid w:val="000D5BAB"/>
    <w:rsid w:val="000D6764"/>
    <w:rsid w:val="000E0640"/>
    <w:rsid w:val="000E0AB3"/>
    <w:rsid w:val="000E135D"/>
    <w:rsid w:val="000E1406"/>
    <w:rsid w:val="000E1597"/>
    <w:rsid w:val="000E1992"/>
    <w:rsid w:val="000E19BA"/>
    <w:rsid w:val="000E1CE5"/>
    <w:rsid w:val="000E1FB4"/>
    <w:rsid w:val="000E22BE"/>
    <w:rsid w:val="000E2476"/>
    <w:rsid w:val="000E2509"/>
    <w:rsid w:val="000E26B9"/>
    <w:rsid w:val="000E27A9"/>
    <w:rsid w:val="000E2B32"/>
    <w:rsid w:val="000E2E02"/>
    <w:rsid w:val="000E30B7"/>
    <w:rsid w:val="000E3472"/>
    <w:rsid w:val="000E352D"/>
    <w:rsid w:val="000E39BF"/>
    <w:rsid w:val="000E3EF3"/>
    <w:rsid w:val="000E4005"/>
    <w:rsid w:val="000E4C06"/>
    <w:rsid w:val="000E502F"/>
    <w:rsid w:val="000E5314"/>
    <w:rsid w:val="000E5BD1"/>
    <w:rsid w:val="000E5FE1"/>
    <w:rsid w:val="000E605A"/>
    <w:rsid w:val="000E65A2"/>
    <w:rsid w:val="000E688C"/>
    <w:rsid w:val="000E6936"/>
    <w:rsid w:val="000E6C2A"/>
    <w:rsid w:val="000E6CE9"/>
    <w:rsid w:val="000E771A"/>
    <w:rsid w:val="000E78FB"/>
    <w:rsid w:val="000F00A3"/>
    <w:rsid w:val="000F00BA"/>
    <w:rsid w:val="000F0375"/>
    <w:rsid w:val="000F0515"/>
    <w:rsid w:val="000F0DFF"/>
    <w:rsid w:val="000F13A9"/>
    <w:rsid w:val="000F15E0"/>
    <w:rsid w:val="000F1A0F"/>
    <w:rsid w:val="000F1FF8"/>
    <w:rsid w:val="000F2089"/>
    <w:rsid w:val="000F2224"/>
    <w:rsid w:val="000F2D34"/>
    <w:rsid w:val="000F2F55"/>
    <w:rsid w:val="000F306F"/>
    <w:rsid w:val="000F316A"/>
    <w:rsid w:val="000F357D"/>
    <w:rsid w:val="000F3C74"/>
    <w:rsid w:val="000F4126"/>
    <w:rsid w:val="000F4618"/>
    <w:rsid w:val="000F4885"/>
    <w:rsid w:val="000F4962"/>
    <w:rsid w:val="000F4BB8"/>
    <w:rsid w:val="000F4ECE"/>
    <w:rsid w:val="000F4FA9"/>
    <w:rsid w:val="000F539B"/>
    <w:rsid w:val="000F53FB"/>
    <w:rsid w:val="000F593B"/>
    <w:rsid w:val="000F62D7"/>
    <w:rsid w:val="000F62E1"/>
    <w:rsid w:val="000F65D5"/>
    <w:rsid w:val="000F66D5"/>
    <w:rsid w:val="000F67BA"/>
    <w:rsid w:val="000F6BD8"/>
    <w:rsid w:val="000F6DCA"/>
    <w:rsid w:val="000F7127"/>
    <w:rsid w:val="000F728E"/>
    <w:rsid w:val="000F7878"/>
    <w:rsid w:val="000F7901"/>
    <w:rsid w:val="000F7B54"/>
    <w:rsid w:val="000F7EDA"/>
    <w:rsid w:val="001000B3"/>
    <w:rsid w:val="001008A9"/>
    <w:rsid w:val="00100BFB"/>
    <w:rsid w:val="00100F8A"/>
    <w:rsid w:val="00101369"/>
    <w:rsid w:val="00101A1B"/>
    <w:rsid w:val="00102520"/>
    <w:rsid w:val="00102BA3"/>
    <w:rsid w:val="00102DF9"/>
    <w:rsid w:val="0010306B"/>
    <w:rsid w:val="00103491"/>
    <w:rsid w:val="00103679"/>
    <w:rsid w:val="0010368A"/>
    <w:rsid w:val="00103E0A"/>
    <w:rsid w:val="0010452E"/>
    <w:rsid w:val="00104544"/>
    <w:rsid w:val="0010477F"/>
    <w:rsid w:val="00104CEB"/>
    <w:rsid w:val="00105203"/>
    <w:rsid w:val="0010522E"/>
    <w:rsid w:val="00105AE2"/>
    <w:rsid w:val="00105B39"/>
    <w:rsid w:val="001060C6"/>
    <w:rsid w:val="0010639C"/>
    <w:rsid w:val="00106B80"/>
    <w:rsid w:val="00106D73"/>
    <w:rsid w:val="00106F74"/>
    <w:rsid w:val="001072DA"/>
    <w:rsid w:val="001074F3"/>
    <w:rsid w:val="00107670"/>
    <w:rsid w:val="00110284"/>
    <w:rsid w:val="0011032E"/>
    <w:rsid w:val="0011034C"/>
    <w:rsid w:val="0011075B"/>
    <w:rsid w:val="00110EC7"/>
    <w:rsid w:val="001111CC"/>
    <w:rsid w:val="00111F99"/>
    <w:rsid w:val="001129C8"/>
    <w:rsid w:val="00112BF7"/>
    <w:rsid w:val="00113066"/>
    <w:rsid w:val="001130C0"/>
    <w:rsid w:val="00113177"/>
    <w:rsid w:val="00113450"/>
    <w:rsid w:val="0011348B"/>
    <w:rsid w:val="00113516"/>
    <w:rsid w:val="00113527"/>
    <w:rsid w:val="00114262"/>
    <w:rsid w:val="001143ED"/>
    <w:rsid w:val="00114511"/>
    <w:rsid w:val="00114B63"/>
    <w:rsid w:val="00114B95"/>
    <w:rsid w:val="00114CB1"/>
    <w:rsid w:val="001152D2"/>
    <w:rsid w:val="0011543D"/>
    <w:rsid w:val="00115602"/>
    <w:rsid w:val="00115749"/>
    <w:rsid w:val="00115982"/>
    <w:rsid w:val="00115B33"/>
    <w:rsid w:val="00115BB3"/>
    <w:rsid w:val="00115D38"/>
    <w:rsid w:val="00115E7B"/>
    <w:rsid w:val="0011671F"/>
    <w:rsid w:val="00116C53"/>
    <w:rsid w:val="00116DF2"/>
    <w:rsid w:val="00117370"/>
    <w:rsid w:val="00117720"/>
    <w:rsid w:val="00117A7D"/>
    <w:rsid w:val="001200E6"/>
    <w:rsid w:val="00120100"/>
    <w:rsid w:val="0012046C"/>
    <w:rsid w:val="0012061C"/>
    <w:rsid w:val="00120737"/>
    <w:rsid w:val="00120A60"/>
    <w:rsid w:val="00120ADC"/>
    <w:rsid w:val="00120DE1"/>
    <w:rsid w:val="00121315"/>
    <w:rsid w:val="00121774"/>
    <w:rsid w:val="00121799"/>
    <w:rsid w:val="00121E67"/>
    <w:rsid w:val="001221DC"/>
    <w:rsid w:val="001222FC"/>
    <w:rsid w:val="0012252C"/>
    <w:rsid w:val="00122DA8"/>
    <w:rsid w:val="00123362"/>
    <w:rsid w:val="00123902"/>
    <w:rsid w:val="00123921"/>
    <w:rsid w:val="00123DA7"/>
    <w:rsid w:val="001240AD"/>
    <w:rsid w:val="001241B0"/>
    <w:rsid w:val="00124598"/>
    <w:rsid w:val="001248BA"/>
    <w:rsid w:val="00124A51"/>
    <w:rsid w:val="00124B81"/>
    <w:rsid w:val="00124C0A"/>
    <w:rsid w:val="00125045"/>
    <w:rsid w:val="00125366"/>
    <w:rsid w:val="00125978"/>
    <w:rsid w:val="00125E2C"/>
    <w:rsid w:val="001263F6"/>
    <w:rsid w:val="001265F1"/>
    <w:rsid w:val="00126621"/>
    <w:rsid w:val="001268FB"/>
    <w:rsid w:val="00126B1D"/>
    <w:rsid w:val="00127A4D"/>
    <w:rsid w:val="00127AD2"/>
    <w:rsid w:val="00127C33"/>
    <w:rsid w:val="00130060"/>
    <w:rsid w:val="0013013A"/>
    <w:rsid w:val="001301E9"/>
    <w:rsid w:val="001303FA"/>
    <w:rsid w:val="0013095A"/>
    <w:rsid w:val="00131D82"/>
    <w:rsid w:val="00131EFE"/>
    <w:rsid w:val="00132276"/>
    <w:rsid w:val="00132536"/>
    <w:rsid w:val="001327F1"/>
    <w:rsid w:val="00132B22"/>
    <w:rsid w:val="00132DE5"/>
    <w:rsid w:val="00133987"/>
    <w:rsid w:val="00133A94"/>
    <w:rsid w:val="00133D36"/>
    <w:rsid w:val="00134D5F"/>
    <w:rsid w:val="00134D66"/>
    <w:rsid w:val="00134FC0"/>
    <w:rsid w:val="00135482"/>
    <w:rsid w:val="001355CE"/>
    <w:rsid w:val="001356BD"/>
    <w:rsid w:val="00135AA9"/>
    <w:rsid w:val="00135AD0"/>
    <w:rsid w:val="00135D3A"/>
    <w:rsid w:val="00135F72"/>
    <w:rsid w:val="001363C2"/>
    <w:rsid w:val="00136785"/>
    <w:rsid w:val="00136B14"/>
    <w:rsid w:val="00137071"/>
    <w:rsid w:val="00137645"/>
    <w:rsid w:val="00137B5F"/>
    <w:rsid w:val="0014015A"/>
    <w:rsid w:val="00140765"/>
    <w:rsid w:val="00140E99"/>
    <w:rsid w:val="00140FB3"/>
    <w:rsid w:val="00141082"/>
    <w:rsid w:val="0014158C"/>
    <w:rsid w:val="001418B5"/>
    <w:rsid w:val="001421E9"/>
    <w:rsid w:val="001429E3"/>
    <w:rsid w:val="00142B0C"/>
    <w:rsid w:val="00142CAE"/>
    <w:rsid w:val="00142FD4"/>
    <w:rsid w:val="001431F8"/>
    <w:rsid w:val="00143F67"/>
    <w:rsid w:val="0014455D"/>
    <w:rsid w:val="00144F61"/>
    <w:rsid w:val="00145234"/>
    <w:rsid w:val="00145540"/>
    <w:rsid w:val="001456B0"/>
    <w:rsid w:val="00145DAF"/>
    <w:rsid w:val="00146684"/>
    <w:rsid w:val="00146E96"/>
    <w:rsid w:val="00147090"/>
    <w:rsid w:val="0014726A"/>
    <w:rsid w:val="001472DD"/>
    <w:rsid w:val="0014771F"/>
    <w:rsid w:val="00147C15"/>
    <w:rsid w:val="00150165"/>
    <w:rsid w:val="00150663"/>
    <w:rsid w:val="00150714"/>
    <w:rsid w:val="00150CFF"/>
    <w:rsid w:val="00150DF9"/>
    <w:rsid w:val="0015136B"/>
    <w:rsid w:val="00151AF9"/>
    <w:rsid w:val="00152DFE"/>
    <w:rsid w:val="00153603"/>
    <w:rsid w:val="00153955"/>
    <w:rsid w:val="00153B46"/>
    <w:rsid w:val="0015471F"/>
    <w:rsid w:val="001547AB"/>
    <w:rsid w:val="00154C54"/>
    <w:rsid w:val="00155045"/>
    <w:rsid w:val="001550EB"/>
    <w:rsid w:val="0015574E"/>
    <w:rsid w:val="001557C0"/>
    <w:rsid w:val="00155A76"/>
    <w:rsid w:val="00155BCA"/>
    <w:rsid w:val="00156750"/>
    <w:rsid w:val="001567CB"/>
    <w:rsid w:val="001569DB"/>
    <w:rsid w:val="00156F8F"/>
    <w:rsid w:val="00157029"/>
    <w:rsid w:val="00157130"/>
    <w:rsid w:val="00157391"/>
    <w:rsid w:val="001575E1"/>
    <w:rsid w:val="001576B1"/>
    <w:rsid w:val="00157A69"/>
    <w:rsid w:val="001600D1"/>
    <w:rsid w:val="00160390"/>
    <w:rsid w:val="0016047B"/>
    <w:rsid w:val="0016048D"/>
    <w:rsid w:val="00160A4C"/>
    <w:rsid w:val="00160B00"/>
    <w:rsid w:val="00161317"/>
    <w:rsid w:val="0016131A"/>
    <w:rsid w:val="00161C2D"/>
    <w:rsid w:val="0016209D"/>
    <w:rsid w:val="00162387"/>
    <w:rsid w:val="001628E5"/>
    <w:rsid w:val="001628ED"/>
    <w:rsid w:val="00162913"/>
    <w:rsid w:val="00162D6C"/>
    <w:rsid w:val="001636B5"/>
    <w:rsid w:val="0016370B"/>
    <w:rsid w:val="00163EFF"/>
    <w:rsid w:val="00163F66"/>
    <w:rsid w:val="001640F6"/>
    <w:rsid w:val="00164257"/>
    <w:rsid w:val="00164354"/>
    <w:rsid w:val="0016478E"/>
    <w:rsid w:val="00164873"/>
    <w:rsid w:val="001648E2"/>
    <w:rsid w:val="00164BFC"/>
    <w:rsid w:val="00164F85"/>
    <w:rsid w:val="00164F8A"/>
    <w:rsid w:val="00165257"/>
    <w:rsid w:val="0016530A"/>
    <w:rsid w:val="00165EC4"/>
    <w:rsid w:val="001661FB"/>
    <w:rsid w:val="001664A0"/>
    <w:rsid w:val="00166C73"/>
    <w:rsid w:val="00166D39"/>
    <w:rsid w:val="0016717E"/>
    <w:rsid w:val="001671A0"/>
    <w:rsid w:val="0016756B"/>
    <w:rsid w:val="0016767F"/>
    <w:rsid w:val="00167A93"/>
    <w:rsid w:val="00167F49"/>
    <w:rsid w:val="00170412"/>
    <w:rsid w:val="001706B3"/>
    <w:rsid w:val="001708B6"/>
    <w:rsid w:val="001709E1"/>
    <w:rsid w:val="00170A13"/>
    <w:rsid w:val="00170DA8"/>
    <w:rsid w:val="0017105F"/>
    <w:rsid w:val="001718EF"/>
    <w:rsid w:val="00171C8D"/>
    <w:rsid w:val="00171E6D"/>
    <w:rsid w:val="00171EB6"/>
    <w:rsid w:val="00171F7B"/>
    <w:rsid w:val="00172222"/>
    <w:rsid w:val="00172304"/>
    <w:rsid w:val="001731F8"/>
    <w:rsid w:val="00173565"/>
    <w:rsid w:val="0017371A"/>
    <w:rsid w:val="001739B3"/>
    <w:rsid w:val="00173B07"/>
    <w:rsid w:val="001740AE"/>
    <w:rsid w:val="00174100"/>
    <w:rsid w:val="00174222"/>
    <w:rsid w:val="0017431C"/>
    <w:rsid w:val="00174ACB"/>
    <w:rsid w:val="00174B0D"/>
    <w:rsid w:val="00174D72"/>
    <w:rsid w:val="00174DB7"/>
    <w:rsid w:val="001751C6"/>
    <w:rsid w:val="001751FA"/>
    <w:rsid w:val="00176B78"/>
    <w:rsid w:val="00177662"/>
    <w:rsid w:val="001777AA"/>
    <w:rsid w:val="00177CDD"/>
    <w:rsid w:val="00177E0D"/>
    <w:rsid w:val="00177E0E"/>
    <w:rsid w:val="00180327"/>
    <w:rsid w:val="00180E11"/>
    <w:rsid w:val="00180FAD"/>
    <w:rsid w:val="00180FD4"/>
    <w:rsid w:val="0018122C"/>
    <w:rsid w:val="00181266"/>
    <w:rsid w:val="001814F8"/>
    <w:rsid w:val="0018182E"/>
    <w:rsid w:val="00181C10"/>
    <w:rsid w:val="00181D9C"/>
    <w:rsid w:val="0018208C"/>
    <w:rsid w:val="0018231A"/>
    <w:rsid w:val="00182674"/>
    <w:rsid w:val="00182BF3"/>
    <w:rsid w:val="00182CCF"/>
    <w:rsid w:val="00182F1D"/>
    <w:rsid w:val="00183036"/>
    <w:rsid w:val="001830C1"/>
    <w:rsid w:val="001837FF"/>
    <w:rsid w:val="00183875"/>
    <w:rsid w:val="00183D0B"/>
    <w:rsid w:val="00184431"/>
    <w:rsid w:val="00184626"/>
    <w:rsid w:val="00184833"/>
    <w:rsid w:val="00184B0E"/>
    <w:rsid w:val="00185ECB"/>
    <w:rsid w:val="0018675E"/>
    <w:rsid w:val="00186DBD"/>
    <w:rsid w:val="0018752F"/>
    <w:rsid w:val="00187570"/>
    <w:rsid w:val="001877E9"/>
    <w:rsid w:val="00187FA8"/>
    <w:rsid w:val="00190372"/>
    <w:rsid w:val="00190412"/>
    <w:rsid w:val="00190842"/>
    <w:rsid w:val="00191399"/>
    <w:rsid w:val="00191DFE"/>
    <w:rsid w:val="00191FBC"/>
    <w:rsid w:val="00192445"/>
    <w:rsid w:val="00192A00"/>
    <w:rsid w:val="001932B0"/>
    <w:rsid w:val="001933D9"/>
    <w:rsid w:val="00193758"/>
    <w:rsid w:val="00193838"/>
    <w:rsid w:val="0019389C"/>
    <w:rsid w:val="00193940"/>
    <w:rsid w:val="00194AD8"/>
    <w:rsid w:val="001950EC"/>
    <w:rsid w:val="00195222"/>
    <w:rsid w:val="00195452"/>
    <w:rsid w:val="0019557C"/>
    <w:rsid w:val="00196084"/>
    <w:rsid w:val="00196130"/>
    <w:rsid w:val="0019639E"/>
    <w:rsid w:val="00196B18"/>
    <w:rsid w:val="00196F89"/>
    <w:rsid w:val="001970ED"/>
    <w:rsid w:val="001975D8"/>
    <w:rsid w:val="001979CE"/>
    <w:rsid w:val="00197AE2"/>
    <w:rsid w:val="001A0076"/>
    <w:rsid w:val="001A0433"/>
    <w:rsid w:val="001A0651"/>
    <w:rsid w:val="001A0705"/>
    <w:rsid w:val="001A0A33"/>
    <w:rsid w:val="001A0A84"/>
    <w:rsid w:val="001A0B2B"/>
    <w:rsid w:val="001A0B5E"/>
    <w:rsid w:val="001A1149"/>
    <w:rsid w:val="001A129C"/>
    <w:rsid w:val="001A12EF"/>
    <w:rsid w:val="001A1437"/>
    <w:rsid w:val="001A178E"/>
    <w:rsid w:val="001A1FF6"/>
    <w:rsid w:val="001A2A50"/>
    <w:rsid w:val="001A2BA5"/>
    <w:rsid w:val="001A3162"/>
    <w:rsid w:val="001A31B1"/>
    <w:rsid w:val="001A31B5"/>
    <w:rsid w:val="001A37D6"/>
    <w:rsid w:val="001A3A2A"/>
    <w:rsid w:val="001A40A7"/>
    <w:rsid w:val="001A43FA"/>
    <w:rsid w:val="001A4472"/>
    <w:rsid w:val="001A46DC"/>
    <w:rsid w:val="001A47C5"/>
    <w:rsid w:val="001A47CB"/>
    <w:rsid w:val="001A4A84"/>
    <w:rsid w:val="001A4ABE"/>
    <w:rsid w:val="001A4DE5"/>
    <w:rsid w:val="001A5407"/>
    <w:rsid w:val="001A5881"/>
    <w:rsid w:val="001A59FB"/>
    <w:rsid w:val="001A5C2F"/>
    <w:rsid w:val="001A5E9E"/>
    <w:rsid w:val="001A6354"/>
    <w:rsid w:val="001A6366"/>
    <w:rsid w:val="001A6BC9"/>
    <w:rsid w:val="001A7A91"/>
    <w:rsid w:val="001A7AE8"/>
    <w:rsid w:val="001A7B1C"/>
    <w:rsid w:val="001A7BDF"/>
    <w:rsid w:val="001A7EDC"/>
    <w:rsid w:val="001A7FDF"/>
    <w:rsid w:val="001B0CA5"/>
    <w:rsid w:val="001B0CB6"/>
    <w:rsid w:val="001B1077"/>
    <w:rsid w:val="001B108E"/>
    <w:rsid w:val="001B10F9"/>
    <w:rsid w:val="001B1256"/>
    <w:rsid w:val="001B1313"/>
    <w:rsid w:val="001B1500"/>
    <w:rsid w:val="001B16A8"/>
    <w:rsid w:val="001B1B8C"/>
    <w:rsid w:val="001B1F30"/>
    <w:rsid w:val="001B204E"/>
    <w:rsid w:val="001B2372"/>
    <w:rsid w:val="001B2862"/>
    <w:rsid w:val="001B2A18"/>
    <w:rsid w:val="001B2E04"/>
    <w:rsid w:val="001B2E5F"/>
    <w:rsid w:val="001B3443"/>
    <w:rsid w:val="001B3471"/>
    <w:rsid w:val="001B3593"/>
    <w:rsid w:val="001B42EB"/>
    <w:rsid w:val="001B4BE8"/>
    <w:rsid w:val="001B4D20"/>
    <w:rsid w:val="001B57B5"/>
    <w:rsid w:val="001B6120"/>
    <w:rsid w:val="001B6843"/>
    <w:rsid w:val="001B68CE"/>
    <w:rsid w:val="001B6B8E"/>
    <w:rsid w:val="001B6F4E"/>
    <w:rsid w:val="001B6F86"/>
    <w:rsid w:val="001B6FDC"/>
    <w:rsid w:val="001B73B1"/>
    <w:rsid w:val="001B7627"/>
    <w:rsid w:val="001B774B"/>
    <w:rsid w:val="001B7E17"/>
    <w:rsid w:val="001B7EF1"/>
    <w:rsid w:val="001B7F84"/>
    <w:rsid w:val="001C0030"/>
    <w:rsid w:val="001C020B"/>
    <w:rsid w:val="001C04E2"/>
    <w:rsid w:val="001C05F3"/>
    <w:rsid w:val="001C09A6"/>
    <w:rsid w:val="001C0F73"/>
    <w:rsid w:val="001C1123"/>
    <w:rsid w:val="001C1A43"/>
    <w:rsid w:val="001C1A6E"/>
    <w:rsid w:val="001C1AA7"/>
    <w:rsid w:val="001C1AEB"/>
    <w:rsid w:val="001C1CED"/>
    <w:rsid w:val="001C1D25"/>
    <w:rsid w:val="001C2095"/>
    <w:rsid w:val="001C2A9B"/>
    <w:rsid w:val="001C30FD"/>
    <w:rsid w:val="001C31ED"/>
    <w:rsid w:val="001C398F"/>
    <w:rsid w:val="001C3A41"/>
    <w:rsid w:val="001C3C03"/>
    <w:rsid w:val="001C3DD6"/>
    <w:rsid w:val="001C4299"/>
    <w:rsid w:val="001C440C"/>
    <w:rsid w:val="001C453D"/>
    <w:rsid w:val="001C4661"/>
    <w:rsid w:val="001C4874"/>
    <w:rsid w:val="001C4C61"/>
    <w:rsid w:val="001C4CE5"/>
    <w:rsid w:val="001C5279"/>
    <w:rsid w:val="001C563E"/>
    <w:rsid w:val="001C5F94"/>
    <w:rsid w:val="001C6B82"/>
    <w:rsid w:val="001C6E66"/>
    <w:rsid w:val="001C6EFE"/>
    <w:rsid w:val="001C755B"/>
    <w:rsid w:val="001C7712"/>
    <w:rsid w:val="001C7E99"/>
    <w:rsid w:val="001C7FD3"/>
    <w:rsid w:val="001D050E"/>
    <w:rsid w:val="001D0AA7"/>
    <w:rsid w:val="001D0F64"/>
    <w:rsid w:val="001D1100"/>
    <w:rsid w:val="001D116D"/>
    <w:rsid w:val="001D1391"/>
    <w:rsid w:val="001D1727"/>
    <w:rsid w:val="001D19E6"/>
    <w:rsid w:val="001D1AE1"/>
    <w:rsid w:val="001D1DF7"/>
    <w:rsid w:val="001D1ED5"/>
    <w:rsid w:val="001D1F74"/>
    <w:rsid w:val="001D22A4"/>
    <w:rsid w:val="001D249A"/>
    <w:rsid w:val="001D25D7"/>
    <w:rsid w:val="001D2913"/>
    <w:rsid w:val="001D2E2C"/>
    <w:rsid w:val="001D2EEC"/>
    <w:rsid w:val="001D3219"/>
    <w:rsid w:val="001D36AE"/>
    <w:rsid w:val="001D3890"/>
    <w:rsid w:val="001D3BC9"/>
    <w:rsid w:val="001D3BDB"/>
    <w:rsid w:val="001D3CDA"/>
    <w:rsid w:val="001D3D85"/>
    <w:rsid w:val="001D46FE"/>
    <w:rsid w:val="001D50B2"/>
    <w:rsid w:val="001D53E7"/>
    <w:rsid w:val="001D649E"/>
    <w:rsid w:val="001D6781"/>
    <w:rsid w:val="001D6C87"/>
    <w:rsid w:val="001D71F4"/>
    <w:rsid w:val="001D72FD"/>
    <w:rsid w:val="001D7383"/>
    <w:rsid w:val="001D7645"/>
    <w:rsid w:val="001D7A32"/>
    <w:rsid w:val="001D7D87"/>
    <w:rsid w:val="001E039C"/>
    <w:rsid w:val="001E049F"/>
    <w:rsid w:val="001E058E"/>
    <w:rsid w:val="001E0900"/>
    <w:rsid w:val="001E12CA"/>
    <w:rsid w:val="001E1A03"/>
    <w:rsid w:val="001E1E86"/>
    <w:rsid w:val="001E238E"/>
    <w:rsid w:val="001E2483"/>
    <w:rsid w:val="001E26A4"/>
    <w:rsid w:val="001E270A"/>
    <w:rsid w:val="001E275E"/>
    <w:rsid w:val="001E29AD"/>
    <w:rsid w:val="001E2B1E"/>
    <w:rsid w:val="001E2CFF"/>
    <w:rsid w:val="001E2D5E"/>
    <w:rsid w:val="001E2DAB"/>
    <w:rsid w:val="001E2F24"/>
    <w:rsid w:val="001E3005"/>
    <w:rsid w:val="001E3010"/>
    <w:rsid w:val="001E30D4"/>
    <w:rsid w:val="001E3402"/>
    <w:rsid w:val="001E34DF"/>
    <w:rsid w:val="001E369A"/>
    <w:rsid w:val="001E36CD"/>
    <w:rsid w:val="001E36EE"/>
    <w:rsid w:val="001E3B9D"/>
    <w:rsid w:val="001E3F67"/>
    <w:rsid w:val="001E48A4"/>
    <w:rsid w:val="001E5021"/>
    <w:rsid w:val="001E52EB"/>
    <w:rsid w:val="001E5A33"/>
    <w:rsid w:val="001E5B82"/>
    <w:rsid w:val="001E61D2"/>
    <w:rsid w:val="001E6889"/>
    <w:rsid w:val="001E6AAC"/>
    <w:rsid w:val="001E6C61"/>
    <w:rsid w:val="001E740C"/>
    <w:rsid w:val="001E78EE"/>
    <w:rsid w:val="001E7911"/>
    <w:rsid w:val="001E7B02"/>
    <w:rsid w:val="001E7EC3"/>
    <w:rsid w:val="001F012D"/>
    <w:rsid w:val="001F04AD"/>
    <w:rsid w:val="001F0A05"/>
    <w:rsid w:val="001F0A06"/>
    <w:rsid w:val="001F1235"/>
    <w:rsid w:val="001F13F2"/>
    <w:rsid w:val="001F1B29"/>
    <w:rsid w:val="001F1CB3"/>
    <w:rsid w:val="001F21F0"/>
    <w:rsid w:val="001F22D6"/>
    <w:rsid w:val="001F29F9"/>
    <w:rsid w:val="001F2F3A"/>
    <w:rsid w:val="001F3008"/>
    <w:rsid w:val="001F32C1"/>
    <w:rsid w:val="001F33B9"/>
    <w:rsid w:val="001F36ED"/>
    <w:rsid w:val="001F38B5"/>
    <w:rsid w:val="001F4081"/>
    <w:rsid w:val="001F437C"/>
    <w:rsid w:val="001F48CF"/>
    <w:rsid w:val="001F4AE0"/>
    <w:rsid w:val="001F4BC2"/>
    <w:rsid w:val="001F5355"/>
    <w:rsid w:val="001F5ACF"/>
    <w:rsid w:val="001F5BA8"/>
    <w:rsid w:val="001F6826"/>
    <w:rsid w:val="001F6C92"/>
    <w:rsid w:val="001F6E06"/>
    <w:rsid w:val="001F7361"/>
    <w:rsid w:val="001F757E"/>
    <w:rsid w:val="001F79F1"/>
    <w:rsid w:val="001F7DD9"/>
    <w:rsid w:val="001F7FF1"/>
    <w:rsid w:val="00200113"/>
    <w:rsid w:val="00200129"/>
    <w:rsid w:val="002006CB"/>
    <w:rsid w:val="00200846"/>
    <w:rsid w:val="0020084D"/>
    <w:rsid w:val="002010E6"/>
    <w:rsid w:val="002011B0"/>
    <w:rsid w:val="002015B6"/>
    <w:rsid w:val="002018F9"/>
    <w:rsid w:val="00201B4C"/>
    <w:rsid w:val="00202F4E"/>
    <w:rsid w:val="00203181"/>
    <w:rsid w:val="002031BF"/>
    <w:rsid w:val="00203783"/>
    <w:rsid w:val="0020385F"/>
    <w:rsid w:val="002038F8"/>
    <w:rsid w:val="00203AD5"/>
    <w:rsid w:val="00204795"/>
    <w:rsid w:val="00204D93"/>
    <w:rsid w:val="00204DA3"/>
    <w:rsid w:val="00204EE1"/>
    <w:rsid w:val="00205667"/>
    <w:rsid w:val="0020568E"/>
    <w:rsid w:val="0020588A"/>
    <w:rsid w:val="002059CE"/>
    <w:rsid w:val="00205FB3"/>
    <w:rsid w:val="002068A0"/>
    <w:rsid w:val="00206A2B"/>
    <w:rsid w:val="00206B0A"/>
    <w:rsid w:val="00207021"/>
    <w:rsid w:val="0020724B"/>
    <w:rsid w:val="00207302"/>
    <w:rsid w:val="0020732F"/>
    <w:rsid w:val="0020751A"/>
    <w:rsid w:val="00207D00"/>
    <w:rsid w:val="00210060"/>
    <w:rsid w:val="00210321"/>
    <w:rsid w:val="00210352"/>
    <w:rsid w:val="002105C1"/>
    <w:rsid w:val="0021070E"/>
    <w:rsid w:val="00210FAD"/>
    <w:rsid w:val="002115E0"/>
    <w:rsid w:val="002116FD"/>
    <w:rsid w:val="00211D2F"/>
    <w:rsid w:val="00211E21"/>
    <w:rsid w:val="0021233A"/>
    <w:rsid w:val="0021237D"/>
    <w:rsid w:val="0021282F"/>
    <w:rsid w:val="00212885"/>
    <w:rsid w:val="00212DA7"/>
    <w:rsid w:val="002130A3"/>
    <w:rsid w:val="0021316E"/>
    <w:rsid w:val="002131ED"/>
    <w:rsid w:val="00213EF5"/>
    <w:rsid w:val="0021673F"/>
    <w:rsid w:val="00216BF5"/>
    <w:rsid w:val="00216EC1"/>
    <w:rsid w:val="002172B6"/>
    <w:rsid w:val="00217365"/>
    <w:rsid w:val="00220987"/>
    <w:rsid w:val="00220E7B"/>
    <w:rsid w:val="00221503"/>
    <w:rsid w:val="00221EDA"/>
    <w:rsid w:val="00221FD0"/>
    <w:rsid w:val="0022257D"/>
    <w:rsid w:val="00222898"/>
    <w:rsid w:val="00222F4F"/>
    <w:rsid w:val="00223288"/>
    <w:rsid w:val="0022361E"/>
    <w:rsid w:val="002237E5"/>
    <w:rsid w:val="00223ADB"/>
    <w:rsid w:val="00223B49"/>
    <w:rsid w:val="00223D5A"/>
    <w:rsid w:val="00223E31"/>
    <w:rsid w:val="002241C3"/>
    <w:rsid w:val="0022438E"/>
    <w:rsid w:val="00224BA6"/>
    <w:rsid w:val="00224DD4"/>
    <w:rsid w:val="00224E6D"/>
    <w:rsid w:val="00224F96"/>
    <w:rsid w:val="00225266"/>
    <w:rsid w:val="002253F6"/>
    <w:rsid w:val="0022559A"/>
    <w:rsid w:val="00225E0E"/>
    <w:rsid w:val="00226A6D"/>
    <w:rsid w:val="0022715F"/>
    <w:rsid w:val="00227304"/>
    <w:rsid w:val="002278A0"/>
    <w:rsid w:val="00227D77"/>
    <w:rsid w:val="002303E7"/>
    <w:rsid w:val="00230646"/>
    <w:rsid w:val="0023096A"/>
    <w:rsid w:val="002309CC"/>
    <w:rsid w:val="0023158A"/>
    <w:rsid w:val="00231908"/>
    <w:rsid w:val="00231BA9"/>
    <w:rsid w:val="0023209F"/>
    <w:rsid w:val="002323D5"/>
    <w:rsid w:val="00232F9A"/>
    <w:rsid w:val="00233095"/>
    <w:rsid w:val="00233C01"/>
    <w:rsid w:val="00233DFD"/>
    <w:rsid w:val="00233E44"/>
    <w:rsid w:val="00234070"/>
    <w:rsid w:val="0023413C"/>
    <w:rsid w:val="0023441B"/>
    <w:rsid w:val="002346F0"/>
    <w:rsid w:val="00234C77"/>
    <w:rsid w:val="00234F58"/>
    <w:rsid w:val="00235026"/>
    <w:rsid w:val="002355F4"/>
    <w:rsid w:val="00235A41"/>
    <w:rsid w:val="0023616E"/>
    <w:rsid w:val="0023629D"/>
    <w:rsid w:val="002362F0"/>
    <w:rsid w:val="002363BA"/>
    <w:rsid w:val="0023675B"/>
    <w:rsid w:val="002368B7"/>
    <w:rsid w:val="00236950"/>
    <w:rsid w:val="00236FFD"/>
    <w:rsid w:val="00237255"/>
    <w:rsid w:val="00237EAF"/>
    <w:rsid w:val="0024057B"/>
    <w:rsid w:val="00240C5B"/>
    <w:rsid w:val="00240E97"/>
    <w:rsid w:val="002424AF"/>
    <w:rsid w:val="00243480"/>
    <w:rsid w:val="002435E6"/>
    <w:rsid w:val="002439DC"/>
    <w:rsid w:val="002441D2"/>
    <w:rsid w:val="002447DA"/>
    <w:rsid w:val="002448C2"/>
    <w:rsid w:val="0024490D"/>
    <w:rsid w:val="00244DC8"/>
    <w:rsid w:val="00244E66"/>
    <w:rsid w:val="002458BA"/>
    <w:rsid w:val="00245907"/>
    <w:rsid w:val="00245CE9"/>
    <w:rsid w:val="002460B6"/>
    <w:rsid w:val="0024636C"/>
    <w:rsid w:val="00246413"/>
    <w:rsid w:val="00246AEF"/>
    <w:rsid w:val="00246E24"/>
    <w:rsid w:val="002471B4"/>
    <w:rsid w:val="002476E8"/>
    <w:rsid w:val="00247925"/>
    <w:rsid w:val="002501A6"/>
    <w:rsid w:val="002509F7"/>
    <w:rsid w:val="00250E86"/>
    <w:rsid w:val="00251006"/>
    <w:rsid w:val="002511DF"/>
    <w:rsid w:val="002514B2"/>
    <w:rsid w:val="00251738"/>
    <w:rsid w:val="00251A15"/>
    <w:rsid w:val="002523AD"/>
    <w:rsid w:val="002524D5"/>
    <w:rsid w:val="0025283B"/>
    <w:rsid w:val="002528FF"/>
    <w:rsid w:val="00252F9D"/>
    <w:rsid w:val="00252FC8"/>
    <w:rsid w:val="00252FD3"/>
    <w:rsid w:val="0025394B"/>
    <w:rsid w:val="0025394D"/>
    <w:rsid w:val="00253B1D"/>
    <w:rsid w:val="00253BA0"/>
    <w:rsid w:val="00254062"/>
    <w:rsid w:val="002546FD"/>
    <w:rsid w:val="00254DCF"/>
    <w:rsid w:val="0025534B"/>
    <w:rsid w:val="00255BB7"/>
    <w:rsid w:val="00255DC5"/>
    <w:rsid w:val="00255E3C"/>
    <w:rsid w:val="00256719"/>
    <w:rsid w:val="00256CD9"/>
    <w:rsid w:val="0025719D"/>
    <w:rsid w:val="002573F7"/>
    <w:rsid w:val="00257541"/>
    <w:rsid w:val="00257A39"/>
    <w:rsid w:val="00257AC4"/>
    <w:rsid w:val="00257BBE"/>
    <w:rsid w:val="00260319"/>
    <w:rsid w:val="00260D0E"/>
    <w:rsid w:val="00260F95"/>
    <w:rsid w:val="00261007"/>
    <w:rsid w:val="002613F4"/>
    <w:rsid w:val="00261647"/>
    <w:rsid w:val="00261730"/>
    <w:rsid w:val="00261952"/>
    <w:rsid w:val="002619A7"/>
    <w:rsid w:val="00261E83"/>
    <w:rsid w:val="00261EEF"/>
    <w:rsid w:val="00262A1A"/>
    <w:rsid w:val="00262A68"/>
    <w:rsid w:val="00262A87"/>
    <w:rsid w:val="00262C4F"/>
    <w:rsid w:val="00263216"/>
    <w:rsid w:val="00263688"/>
    <w:rsid w:val="00263EA5"/>
    <w:rsid w:val="00264024"/>
    <w:rsid w:val="0026459A"/>
    <w:rsid w:val="00264727"/>
    <w:rsid w:val="00264D26"/>
    <w:rsid w:val="00265414"/>
    <w:rsid w:val="00265C4C"/>
    <w:rsid w:val="00265C7A"/>
    <w:rsid w:val="00265F28"/>
    <w:rsid w:val="002669B2"/>
    <w:rsid w:val="00267642"/>
    <w:rsid w:val="00267AEA"/>
    <w:rsid w:val="00267C87"/>
    <w:rsid w:val="00267EDF"/>
    <w:rsid w:val="002700E6"/>
    <w:rsid w:val="00270226"/>
    <w:rsid w:val="002703FC"/>
    <w:rsid w:val="00270445"/>
    <w:rsid w:val="00270633"/>
    <w:rsid w:val="002707D1"/>
    <w:rsid w:val="00270D34"/>
    <w:rsid w:val="0027120D"/>
    <w:rsid w:val="002712A5"/>
    <w:rsid w:val="00271879"/>
    <w:rsid w:val="002719C5"/>
    <w:rsid w:val="002723E7"/>
    <w:rsid w:val="0027294B"/>
    <w:rsid w:val="0027303D"/>
    <w:rsid w:val="00273063"/>
    <w:rsid w:val="002733C3"/>
    <w:rsid w:val="00273CCA"/>
    <w:rsid w:val="00273EB4"/>
    <w:rsid w:val="00273F42"/>
    <w:rsid w:val="0027429E"/>
    <w:rsid w:val="002744FE"/>
    <w:rsid w:val="00274682"/>
    <w:rsid w:val="00274BEF"/>
    <w:rsid w:val="00274CA5"/>
    <w:rsid w:val="00275075"/>
    <w:rsid w:val="00275158"/>
    <w:rsid w:val="0027599A"/>
    <w:rsid w:val="00275C5A"/>
    <w:rsid w:val="00275CBB"/>
    <w:rsid w:val="00275EDC"/>
    <w:rsid w:val="0027600F"/>
    <w:rsid w:val="0027611B"/>
    <w:rsid w:val="00276435"/>
    <w:rsid w:val="002767C0"/>
    <w:rsid w:val="002769A4"/>
    <w:rsid w:val="00276B73"/>
    <w:rsid w:val="002771C0"/>
    <w:rsid w:val="00277A77"/>
    <w:rsid w:val="00277D4F"/>
    <w:rsid w:val="00277FB1"/>
    <w:rsid w:val="002802D7"/>
    <w:rsid w:val="00280EA8"/>
    <w:rsid w:val="00281009"/>
    <w:rsid w:val="00281014"/>
    <w:rsid w:val="0028117C"/>
    <w:rsid w:val="002811DE"/>
    <w:rsid w:val="002813CF"/>
    <w:rsid w:val="00281404"/>
    <w:rsid w:val="00281AAE"/>
    <w:rsid w:val="00281E4A"/>
    <w:rsid w:val="0028248A"/>
    <w:rsid w:val="00282CA2"/>
    <w:rsid w:val="0028357A"/>
    <w:rsid w:val="00283836"/>
    <w:rsid w:val="002841E9"/>
    <w:rsid w:val="002843AC"/>
    <w:rsid w:val="00284425"/>
    <w:rsid w:val="0028458F"/>
    <w:rsid w:val="00284EA4"/>
    <w:rsid w:val="00285212"/>
    <w:rsid w:val="002854D6"/>
    <w:rsid w:val="00285BCE"/>
    <w:rsid w:val="002863D3"/>
    <w:rsid w:val="002864A6"/>
    <w:rsid w:val="0028665D"/>
    <w:rsid w:val="00286BA1"/>
    <w:rsid w:val="00287066"/>
    <w:rsid w:val="0028721F"/>
    <w:rsid w:val="0028751C"/>
    <w:rsid w:val="002877F9"/>
    <w:rsid w:val="00287806"/>
    <w:rsid w:val="0029024F"/>
    <w:rsid w:val="00290318"/>
    <w:rsid w:val="00290706"/>
    <w:rsid w:val="00291785"/>
    <w:rsid w:val="00291C0E"/>
    <w:rsid w:val="00291DAE"/>
    <w:rsid w:val="0029215D"/>
    <w:rsid w:val="00292205"/>
    <w:rsid w:val="002931A2"/>
    <w:rsid w:val="00293A09"/>
    <w:rsid w:val="00293CB0"/>
    <w:rsid w:val="00293E99"/>
    <w:rsid w:val="0029410B"/>
    <w:rsid w:val="0029428A"/>
    <w:rsid w:val="00294EE8"/>
    <w:rsid w:val="00295449"/>
    <w:rsid w:val="002959CD"/>
    <w:rsid w:val="002959D1"/>
    <w:rsid w:val="00295A9C"/>
    <w:rsid w:val="00295C7F"/>
    <w:rsid w:val="00296371"/>
    <w:rsid w:val="00297129"/>
    <w:rsid w:val="002977FF"/>
    <w:rsid w:val="0029791E"/>
    <w:rsid w:val="002979E3"/>
    <w:rsid w:val="00297CDB"/>
    <w:rsid w:val="002A0227"/>
    <w:rsid w:val="002A0E3C"/>
    <w:rsid w:val="002A14AB"/>
    <w:rsid w:val="002A1752"/>
    <w:rsid w:val="002A188C"/>
    <w:rsid w:val="002A1B18"/>
    <w:rsid w:val="002A1D5F"/>
    <w:rsid w:val="002A1D73"/>
    <w:rsid w:val="002A2622"/>
    <w:rsid w:val="002A2A0A"/>
    <w:rsid w:val="002A2ADE"/>
    <w:rsid w:val="002A2D75"/>
    <w:rsid w:val="002A2F50"/>
    <w:rsid w:val="002A3056"/>
    <w:rsid w:val="002A3DEC"/>
    <w:rsid w:val="002A4009"/>
    <w:rsid w:val="002A4589"/>
    <w:rsid w:val="002A4CC9"/>
    <w:rsid w:val="002A5B16"/>
    <w:rsid w:val="002A63CD"/>
    <w:rsid w:val="002A667C"/>
    <w:rsid w:val="002A707D"/>
    <w:rsid w:val="002A7482"/>
    <w:rsid w:val="002A75F9"/>
    <w:rsid w:val="002A769F"/>
    <w:rsid w:val="002A7802"/>
    <w:rsid w:val="002A7943"/>
    <w:rsid w:val="002A7B09"/>
    <w:rsid w:val="002A7D8D"/>
    <w:rsid w:val="002A7D99"/>
    <w:rsid w:val="002B0525"/>
    <w:rsid w:val="002B0553"/>
    <w:rsid w:val="002B05A1"/>
    <w:rsid w:val="002B08D5"/>
    <w:rsid w:val="002B09A4"/>
    <w:rsid w:val="002B09F1"/>
    <w:rsid w:val="002B10A5"/>
    <w:rsid w:val="002B1C1F"/>
    <w:rsid w:val="002B1D48"/>
    <w:rsid w:val="002B21ED"/>
    <w:rsid w:val="002B2723"/>
    <w:rsid w:val="002B2BC7"/>
    <w:rsid w:val="002B2C00"/>
    <w:rsid w:val="002B2EE3"/>
    <w:rsid w:val="002B3155"/>
    <w:rsid w:val="002B32FF"/>
    <w:rsid w:val="002B36B7"/>
    <w:rsid w:val="002B38CC"/>
    <w:rsid w:val="002B432F"/>
    <w:rsid w:val="002B4433"/>
    <w:rsid w:val="002B4476"/>
    <w:rsid w:val="002B452C"/>
    <w:rsid w:val="002B4D2D"/>
    <w:rsid w:val="002B534D"/>
    <w:rsid w:val="002B573F"/>
    <w:rsid w:val="002B62B3"/>
    <w:rsid w:val="002B6754"/>
    <w:rsid w:val="002B6CCE"/>
    <w:rsid w:val="002B70AC"/>
    <w:rsid w:val="002B70BB"/>
    <w:rsid w:val="002B7439"/>
    <w:rsid w:val="002B7CE5"/>
    <w:rsid w:val="002B7D26"/>
    <w:rsid w:val="002C0092"/>
    <w:rsid w:val="002C0216"/>
    <w:rsid w:val="002C08F6"/>
    <w:rsid w:val="002C09B5"/>
    <w:rsid w:val="002C0F04"/>
    <w:rsid w:val="002C13BA"/>
    <w:rsid w:val="002C1880"/>
    <w:rsid w:val="002C20A5"/>
    <w:rsid w:val="002C2510"/>
    <w:rsid w:val="002C26DB"/>
    <w:rsid w:val="002C2775"/>
    <w:rsid w:val="002C27C1"/>
    <w:rsid w:val="002C329D"/>
    <w:rsid w:val="002C366D"/>
    <w:rsid w:val="002C36B7"/>
    <w:rsid w:val="002C36E3"/>
    <w:rsid w:val="002C3928"/>
    <w:rsid w:val="002C3EB0"/>
    <w:rsid w:val="002C454E"/>
    <w:rsid w:val="002C48B4"/>
    <w:rsid w:val="002C5099"/>
    <w:rsid w:val="002C53D2"/>
    <w:rsid w:val="002C5889"/>
    <w:rsid w:val="002C62B4"/>
    <w:rsid w:val="002C6757"/>
    <w:rsid w:val="002C6EDB"/>
    <w:rsid w:val="002C710F"/>
    <w:rsid w:val="002C71CE"/>
    <w:rsid w:val="002C74D8"/>
    <w:rsid w:val="002C795A"/>
    <w:rsid w:val="002C7A81"/>
    <w:rsid w:val="002C7D93"/>
    <w:rsid w:val="002C7DB3"/>
    <w:rsid w:val="002C7E97"/>
    <w:rsid w:val="002D00F9"/>
    <w:rsid w:val="002D08F8"/>
    <w:rsid w:val="002D0A58"/>
    <w:rsid w:val="002D0CCA"/>
    <w:rsid w:val="002D0F27"/>
    <w:rsid w:val="002D1BAC"/>
    <w:rsid w:val="002D1C42"/>
    <w:rsid w:val="002D1F07"/>
    <w:rsid w:val="002D240E"/>
    <w:rsid w:val="002D2C16"/>
    <w:rsid w:val="002D2FB5"/>
    <w:rsid w:val="002D3138"/>
    <w:rsid w:val="002D362C"/>
    <w:rsid w:val="002D3E47"/>
    <w:rsid w:val="002D4284"/>
    <w:rsid w:val="002D428A"/>
    <w:rsid w:val="002D4984"/>
    <w:rsid w:val="002D4B79"/>
    <w:rsid w:val="002D5499"/>
    <w:rsid w:val="002D55F0"/>
    <w:rsid w:val="002D5670"/>
    <w:rsid w:val="002D577C"/>
    <w:rsid w:val="002D5D53"/>
    <w:rsid w:val="002D66C3"/>
    <w:rsid w:val="002D72B7"/>
    <w:rsid w:val="002D75CC"/>
    <w:rsid w:val="002D76AC"/>
    <w:rsid w:val="002D7747"/>
    <w:rsid w:val="002D77AC"/>
    <w:rsid w:val="002D7832"/>
    <w:rsid w:val="002D7DFE"/>
    <w:rsid w:val="002D7E60"/>
    <w:rsid w:val="002D7E7F"/>
    <w:rsid w:val="002E00FE"/>
    <w:rsid w:val="002E0334"/>
    <w:rsid w:val="002E077E"/>
    <w:rsid w:val="002E0AF8"/>
    <w:rsid w:val="002E0DC2"/>
    <w:rsid w:val="002E1071"/>
    <w:rsid w:val="002E1573"/>
    <w:rsid w:val="002E15B9"/>
    <w:rsid w:val="002E17CA"/>
    <w:rsid w:val="002E1B8D"/>
    <w:rsid w:val="002E1C90"/>
    <w:rsid w:val="002E1CB1"/>
    <w:rsid w:val="002E2158"/>
    <w:rsid w:val="002E261D"/>
    <w:rsid w:val="002E2653"/>
    <w:rsid w:val="002E2D95"/>
    <w:rsid w:val="002E3205"/>
    <w:rsid w:val="002E34FD"/>
    <w:rsid w:val="002E3649"/>
    <w:rsid w:val="002E37E6"/>
    <w:rsid w:val="002E3FD2"/>
    <w:rsid w:val="002E489D"/>
    <w:rsid w:val="002E4BF6"/>
    <w:rsid w:val="002E4DD3"/>
    <w:rsid w:val="002E4F02"/>
    <w:rsid w:val="002E5087"/>
    <w:rsid w:val="002E597B"/>
    <w:rsid w:val="002E5B9D"/>
    <w:rsid w:val="002E5F83"/>
    <w:rsid w:val="002E623B"/>
    <w:rsid w:val="002E62E7"/>
    <w:rsid w:val="002E63FF"/>
    <w:rsid w:val="002E6975"/>
    <w:rsid w:val="002E6C57"/>
    <w:rsid w:val="002E6C81"/>
    <w:rsid w:val="002E718B"/>
    <w:rsid w:val="002E7722"/>
    <w:rsid w:val="002E78E3"/>
    <w:rsid w:val="002E79AB"/>
    <w:rsid w:val="002E7EA0"/>
    <w:rsid w:val="002F041F"/>
    <w:rsid w:val="002F07BA"/>
    <w:rsid w:val="002F081E"/>
    <w:rsid w:val="002F0BCC"/>
    <w:rsid w:val="002F0DA9"/>
    <w:rsid w:val="002F1014"/>
    <w:rsid w:val="002F1148"/>
    <w:rsid w:val="002F154A"/>
    <w:rsid w:val="002F16BA"/>
    <w:rsid w:val="002F16BC"/>
    <w:rsid w:val="002F1720"/>
    <w:rsid w:val="002F1E3B"/>
    <w:rsid w:val="002F2ADD"/>
    <w:rsid w:val="002F39D7"/>
    <w:rsid w:val="002F3C2F"/>
    <w:rsid w:val="002F4120"/>
    <w:rsid w:val="002F433F"/>
    <w:rsid w:val="002F451F"/>
    <w:rsid w:val="002F4637"/>
    <w:rsid w:val="002F4C80"/>
    <w:rsid w:val="002F4DB3"/>
    <w:rsid w:val="002F4F03"/>
    <w:rsid w:val="002F5538"/>
    <w:rsid w:val="002F556B"/>
    <w:rsid w:val="002F55BE"/>
    <w:rsid w:val="002F5A72"/>
    <w:rsid w:val="002F643C"/>
    <w:rsid w:val="002F648C"/>
    <w:rsid w:val="002F6EC6"/>
    <w:rsid w:val="002F6EEF"/>
    <w:rsid w:val="002F71C0"/>
    <w:rsid w:val="002F74F1"/>
    <w:rsid w:val="002F7683"/>
    <w:rsid w:val="003004C4"/>
    <w:rsid w:val="00300993"/>
    <w:rsid w:val="00300BEE"/>
    <w:rsid w:val="00300DE7"/>
    <w:rsid w:val="00300FE8"/>
    <w:rsid w:val="00301017"/>
    <w:rsid w:val="003010DF"/>
    <w:rsid w:val="00301421"/>
    <w:rsid w:val="0030147E"/>
    <w:rsid w:val="0030155F"/>
    <w:rsid w:val="003018C6"/>
    <w:rsid w:val="00301E3A"/>
    <w:rsid w:val="00302328"/>
    <w:rsid w:val="00302ECE"/>
    <w:rsid w:val="00302FA6"/>
    <w:rsid w:val="00303186"/>
    <w:rsid w:val="00303455"/>
    <w:rsid w:val="003036F1"/>
    <w:rsid w:val="00304070"/>
    <w:rsid w:val="00304B74"/>
    <w:rsid w:val="00304DF8"/>
    <w:rsid w:val="003056F3"/>
    <w:rsid w:val="0030587B"/>
    <w:rsid w:val="00305AAB"/>
    <w:rsid w:val="00305E19"/>
    <w:rsid w:val="003061B8"/>
    <w:rsid w:val="00306D46"/>
    <w:rsid w:val="00306D98"/>
    <w:rsid w:val="00306E14"/>
    <w:rsid w:val="00306E16"/>
    <w:rsid w:val="00307574"/>
    <w:rsid w:val="003077DB"/>
    <w:rsid w:val="0030786C"/>
    <w:rsid w:val="0030791F"/>
    <w:rsid w:val="00307ABE"/>
    <w:rsid w:val="00307B73"/>
    <w:rsid w:val="00307D3E"/>
    <w:rsid w:val="003101C8"/>
    <w:rsid w:val="0031031A"/>
    <w:rsid w:val="00310981"/>
    <w:rsid w:val="00310E4D"/>
    <w:rsid w:val="00311212"/>
    <w:rsid w:val="00311470"/>
    <w:rsid w:val="00311635"/>
    <w:rsid w:val="00311D6E"/>
    <w:rsid w:val="00311D9B"/>
    <w:rsid w:val="00311EEE"/>
    <w:rsid w:val="003124D9"/>
    <w:rsid w:val="00312594"/>
    <w:rsid w:val="00312B13"/>
    <w:rsid w:val="003133B4"/>
    <w:rsid w:val="00313576"/>
    <w:rsid w:val="0031389C"/>
    <w:rsid w:val="003139CB"/>
    <w:rsid w:val="00313A3B"/>
    <w:rsid w:val="00313EA0"/>
    <w:rsid w:val="00314E68"/>
    <w:rsid w:val="0031541B"/>
    <w:rsid w:val="0031543D"/>
    <w:rsid w:val="00315498"/>
    <w:rsid w:val="00315861"/>
    <w:rsid w:val="00315880"/>
    <w:rsid w:val="00316474"/>
    <w:rsid w:val="00316CD1"/>
    <w:rsid w:val="00316F44"/>
    <w:rsid w:val="00317498"/>
    <w:rsid w:val="00317A68"/>
    <w:rsid w:val="00317BA3"/>
    <w:rsid w:val="003202B8"/>
    <w:rsid w:val="00320482"/>
    <w:rsid w:val="0032099C"/>
    <w:rsid w:val="00320DDB"/>
    <w:rsid w:val="00321115"/>
    <w:rsid w:val="00321143"/>
    <w:rsid w:val="003211B7"/>
    <w:rsid w:val="00321D92"/>
    <w:rsid w:val="00321EED"/>
    <w:rsid w:val="00322107"/>
    <w:rsid w:val="0032211D"/>
    <w:rsid w:val="00322355"/>
    <w:rsid w:val="0032271E"/>
    <w:rsid w:val="00322846"/>
    <w:rsid w:val="0032321D"/>
    <w:rsid w:val="0032386D"/>
    <w:rsid w:val="00323923"/>
    <w:rsid w:val="00323BE0"/>
    <w:rsid w:val="00323CA3"/>
    <w:rsid w:val="00324135"/>
    <w:rsid w:val="00324B4D"/>
    <w:rsid w:val="00325B5C"/>
    <w:rsid w:val="00325EBA"/>
    <w:rsid w:val="00325F03"/>
    <w:rsid w:val="00326279"/>
    <w:rsid w:val="00326783"/>
    <w:rsid w:val="0032678F"/>
    <w:rsid w:val="00326B49"/>
    <w:rsid w:val="00326DA7"/>
    <w:rsid w:val="003270E4"/>
    <w:rsid w:val="003274E5"/>
    <w:rsid w:val="00327A52"/>
    <w:rsid w:val="00327AFB"/>
    <w:rsid w:val="00327F7F"/>
    <w:rsid w:val="00330889"/>
    <w:rsid w:val="00330DAA"/>
    <w:rsid w:val="00330E3F"/>
    <w:rsid w:val="00330F5C"/>
    <w:rsid w:val="0033149D"/>
    <w:rsid w:val="003315C5"/>
    <w:rsid w:val="00331B93"/>
    <w:rsid w:val="00331E87"/>
    <w:rsid w:val="00332415"/>
    <w:rsid w:val="003324A1"/>
    <w:rsid w:val="00332770"/>
    <w:rsid w:val="00332988"/>
    <w:rsid w:val="00332BE3"/>
    <w:rsid w:val="00332DD8"/>
    <w:rsid w:val="00333BF8"/>
    <w:rsid w:val="00333C71"/>
    <w:rsid w:val="00334269"/>
    <w:rsid w:val="00334480"/>
    <w:rsid w:val="00334EE4"/>
    <w:rsid w:val="0033582A"/>
    <w:rsid w:val="0033582F"/>
    <w:rsid w:val="00336094"/>
    <w:rsid w:val="003366C9"/>
    <w:rsid w:val="00336A74"/>
    <w:rsid w:val="00336BA3"/>
    <w:rsid w:val="00336E7D"/>
    <w:rsid w:val="003370AA"/>
    <w:rsid w:val="003371B0"/>
    <w:rsid w:val="003379D9"/>
    <w:rsid w:val="00337B16"/>
    <w:rsid w:val="00337C32"/>
    <w:rsid w:val="00337E6E"/>
    <w:rsid w:val="00340101"/>
    <w:rsid w:val="00340394"/>
    <w:rsid w:val="003403CF"/>
    <w:rsid w:val="0034068B"/>
    <w:rsid w:val="00340DD1"/>
    <w:rsid w:val="00340DF1"/>
    <w:rsid w:val="003417B9"/>
    <w:rsid w:val="00341BAA"/>
    <w:rsid w:val="00341C40"/>
    <w:rsid w:val="003421F2"/>
    <w:rsid w:val="003422DB"/>
    <w:rsid w:val="00343027"/>
    <w:rsid w:val="0034371D"/>
    <w:rsid w:val="00343D4D"/>
    <w:rsid w:val="003444AB"/>
    <w:rsid w:val="00344D43"/>
    <w:rsid w:val="003457BD"/>
    <w:rsid w:val="00345B91"/>
    <w:rsid w:val="003461A3"/>
    <w:rsid w:val="00346AF5"/>
    <w:rsid w:val="00346C87"/>
    <w:rsid w:val="00346DFC"/>
    <w:rsid w:val="00350B51"/>
    <w:rsid w:val="00351304"/>
    <w:rsid w:val="003514D6"/>
    <w:rsid w:val="00351538"/>
    <w:rsid w:val="003517F9"/>
    <w:rsid w:val="00351BA9"/>
    <w:rsid w:val="003521B2"/>
    <w:rsid w:val="00352483"/>
    <w:rsid w:val="00353498"/>
    <w:rsid w:val="003539C0"/>
    <w:rsid w:val="00353AFD"/>
    <w:rsid w:val="00354129"/>
    <w:rsid w:val="0035442D"/>
    <w:rsid w:val="00354F64"/>
    <w:rsid w:val="00355054"/>
    <w:rsid w:val="003550B2"/>
    <w:rsid w:val="003552F9"/>
    <w:rsid w:val="003555A0"/>
    <w:rsid w:val="003558BD"/>
    <w:rsid w:val="0035620E"/>
    <w:rsid w:val="00356656"/>
    <w:rsid w:val="003566F8"/>
    <w:rsid w:val="00356E87"/>
    <w:rsid w:val="003575BE"/>
    <w:rsid w:val="0035791A"/>
    <w:rsid w:val="00357B9E"/>
    <w:rsid w:val="00357E8D"/>
    <w:rsid w:val="00360345"/>
    <w:rsid w:val="003609FC"/>
    <w:rsid w:val="00360CA2"/>
    <w:rsid w:val="00361866"/>
    <w:rsid w:val="00361A05"/>
    <w:rsid w:val="0036239C"/>
    <w:rsid w:val="003624C4"/>
    <w:rsid w:val="003634A3"/>
    <w:rsid w:val="0036382C"/>
    <w:rsid w:val="00363B00"/>
    <w:rsid w:val="00363ED6"/>
    <w:rsid w:val="00364595"/>
    <w:rsid w:val="003646C6"/>
    <w:rsid w:val="003648D3"/>
    <w:rsid w:val="00364909"/>
    <w:rsid w:val="00364B56"/>
    <w:rsid w:val="00364B78"/>
    <w:rsid w:val="00364F37"/>
    <w:rsid w:val="003654AC"/>
    <w:rsid w:val="00365A4E"/>
    <w:rsid w:val="00366FC6"/>
    <w:rsid w:val="003670D0"/>
    <w:rsid w:val="003671D8"/>
    <w:rsid w:val="00370431"/>
    <w:rsid w:val="003710CF"/>
    <w:rsid w:val="0037124B"/>
    <w:rsid w:val="0037130C"/>
    <w:rsid w:val="00371474"/>
    <w:rsid w:val="00371492"/>
    <w:rsid w:val="003714CD"/>
    <w:rsid w:val="00371C09"/>
    <w:rsid w:val="00371D0A"/>
    <w:rsid w:val="00372E1C"/>
    <w:rsid w:val="0037358A"/>
    <w:rsid w:val="00373647"/>
    <w:rsid w:val="00373901"/>
    <w:rsid w:val="00373D2B"/>
    <w:rsid w:val="00374269"/>
    <w:rsid w:val="003750F6"/>
    <w:rsid w:val="003752CF"/>
    <w:rsid w:val="00375544"/>
    <w:rsid w:val="00375A78"/>
    <w:rsid w:val="00375A7A"/>
    <w:rsid w:val="00375C97"/>
    <w:rsid w:val="003760FC"/>
    <w:rsid w:val="0037680D"/>
    <w:rsid w:val="00376D65"/>
    <w:rsid w:val="00376EB5"/>
    <w:rsid w:val="00377325"/>
    <w:rsid w:val="0037737B"/>
    <w:rsid w:val="0037777D"/>
    <w:rsid w:val="00377D83"/>
    <w:rsid w:val="00380191"/>
    <w:rsid w:val="00380438"/>
    <w:rsid w:val="0038062B"/>
    <w:rsid w:val="003808B0"/>
    <w:rsid w:val="003809AF"/>
    <w:rsid w:val="00380A31"/>
    <w:rsid w:val="00380A84"/>
    <w:rsid w:val="00380AC6"/>
    <w:rsid w:val="0038100B"/>
    <w:rsid w:val="00381B45"/>
    <w:rsid w:val="00381BF3"/>
    <w:rsid w:val="0038201F"/>
    <w:rsid w:val="003822CA"/>
    <w:rsid w:val="0038240C"/>
    <w:rsid w:val="003825FE"/>
    <w:rsid w:val="003829BF"/>
    <w:rsid w:val="00382EF3"/>
    <w:rsid w:val="00383043"/>
    <w:rsid w:val="0038365C"/>
    <w:rsid w:val="0038369B"/>
    <w:rsid w:val="0038386B"/>
    <w:rsid w:val="00383B78"/>
    <w:rsid w:val="00383BC1"/>
    <w:rsid w:val="003841D7"/>
    <w:rsid w:val="00385432"/>
    <w:rsid w:val="0038584B"/>
    <w:rsid w:val="00385A9D"/>
    <w:rsid w:val="00385C3D"/>
    <w:rsid w:val="00385D33"/>
    <w:rsid w:val="00385E93"/>
    <w:rsid w:val="0038623D"/>
    <w:rsid w:val="003863E2"/>
    <w:rsid w:val="00386701"/>
    <w:rsid w:val="003867ED"/>
    <w:rsid w:val="003868E8"/>
    <w:rsid w:val="00386C6C"/>
    <w:rsid w:val="00387121"/>
    <w:rsid w:val="00387814"/>
    <w:rsid w:val="003878D7"/>
    <w:rsid w:val="00387A53"/>
    <w:rsid w:val="00387C02"/>
    <w:rsid w:val="003902B1"/>
    <w:rsid w:val="00390A92"/>
    <w:rsid w:val="00390FD6"/>
    <w:rsid w:val="003910A9"/>
    <w:rsid w:val="0039179C"/>
    <w:rsid w:val="003919BA"/>
    <w:rsid w:val="00391B37"/>
    <w:rsid w:val="00393036"/>
    <w:rsid w:val="003931F7"/>
    <w:rsid w:val="00393350"/>
    <w:rsid w:val="0039340D"/>
    <w:rsid w:val="00393740"/>
    <w:rsid w:val="00393970"/>
    <w:rsid w:val="00393ECB"/>
    <w:rsid w:val="00394C7E"/>
    <w:rsid w:val="00394E1C"/>
    <w:rsid w:val="00394E26"/>
    <w:rsid w:val="00394F6F"/>
    <w:rsid w:val="00395175"/>
    <w:rsid w:val="00395254"/>
    <w:rsid w:val="003952C2"/>
    <w:rsid w:val="0039590D"/>
    <w:rsid w:val="00395BF8"/>
    <w:rsid w:val="003961CF"/>
    <w:rsid w:val="003961E5"/>
    <w:rsid w:val="00396896"/>
    <w:rsid w:val="00396FD0"/>
    <w:rsid w:val="003976B3"/>
    <w:rsid w:val="00397946"/>
    <w:rsid w:val="003A094D"/>
    <w:rsid w:val="003A10F0"/>
    <w:rsid w:val="003A1542"/>
    <w:rsid w:val="003A1644"/>
    <w:rsid w:val="003A1872"/>
    <w:rsid w:val="003A1A7A"/>
    <w:rsid w:val="003A1B19"/>
    <w:rsid w:val="003A1E7C"/>
    <w:rsid w:val="003A2015"/>
    <w:rsid w:val="003A2286"/>
    <w:rsid w:val="003A2392"/>
    <w:rsid w:val="003A2831"/>
    <w:rsid w:val="003A314D"/>
    <w:rsid w:val="003A38C2"/>
    <w:rsid w:val="003A3CB6"/>
    <w:rsid w:val="003A3CFA"/>
    <w:rsid w:val="003A3ED1"/>
    <w:rsid w:val="003A44DB"/>
    <w:rsid w:val="003A49BB"/>
    <w:rsid w:val="003A4C14"/>
    <w:rsid w:val="003A4D04"/>
    <w:rsid w:val="003A5BCC"/>
    <w:rsid w:val="003A6719"/>
    <w:rsid w:val="003A6886"/>
    <w:rsid w:val="003A68FD"/>
    <w:rsid w:val="003A7250"/>
    <w:rsid w:val="003A7267"/>
    <w:rsid w:val="003A7326"/>
    <w:rsid w:val="003A7B2D"/>
    <w:rsid w:val="003B03D6"/>
    <w:rsid w:val="003B0788"/>
    <w:rsid w:val="003B08C8"/>
    <w:rsid w:val="003B1180"/>
    <w:rsid w:val="003B1729"/>
    <w:rsid w:val="003B1CCD"/>
    <w:rsid w:val="003B1DDD"/>
    <w:rsid w:val="003B242D"/>
    <w:rsid w:val="003B24E9"/>
    <w:rsid w:val="003B2537"/>
    <w:rsid w:val="003B28AC"/>
    <w:rsid w:val="003B2B85"/>
    <w:rsid w:val="003B3836"/>
    <w:rsid w:val="003B3971"/>
    <w:rsid w:val="003B3B90"/>
    <w:rsid w:val="003B4017"/>
    <w:rsid w:val="003B416A"/>
    <w:rsid w:val="003B4529"/>
    <w:rsid w:val="003B46CF"/>
    <w:rsid w:val="003B490F"/>
    <w:rsid w:val="003B4DF6"/>
    <w:rsid w:val="003B55D1"/>
    <w:rsid w:val="003B56C5"/>
    <w:rsid w:val="003B5B61"/>
    <w:rsid w:val="003B5BB0"/>
    <w:rsid w:val="003B6B73"/>
    <w:rsid w:val="003B7C25"/>
    <w:rsid w:val="003C03AE"/>
    <w:rsid w:val="003C102F"/>
    <w:rsid w:val="003C103E"/>
    <w:rsid w:val="003C10DC"/>
    <w:rsid w:val="003C12AB"/>
    <w:rsid w:val="003C1654"/>
    <w:rsid w:val="003C17C2"/>
    <w:rsid w:val="003C194B"/>
    <w:rsid w:val="003C1D34"/>
    <w:rsid w:val="003C2243"/>
    <w:rsid w:val="003C22F3"/>
    <w:rsid w:val="003C3955"/>
    <w:rsid w:val="003C3E0D"/>
    <w:rsid w:val="003C435C"/>
    <w:rsid w:val="003C4465"/>
    <w:rsid w:val="003C4477"/>
    <w:rsid w:val="003C4648"/>
    <w:rsid w:val="003C4853"/>
    <w:rsid w:val="003C4A0E"/>
    <w:rsid w:val="003C4BB6"/>
    <w:rsid w:val="003C526D"/>
    <w:rsid w:val="003C5542"/>
    <w:rsid w:val="003C5ADD"/>
    <w:rsid w:val="003C6266"/>
    <w:rsid w:val="003C6720"/>
    <w:rsid w:val="003C6740"/>
    <w:rsid w:val="003C6F02"/>
    <w:rsid w:val="003C6F19"/>
    <w:rsid w:val="003C6F23"/>
    <w:rsid w:val="003C76C7"/>
    <w:rsid w:val="003C7C15"/>
    <w:rsid w:val="003C7D19"/>
    <w:rsid w:val="003C7D2F"/>
    <w:rsid w:val="003D04B4"/>
    <w:rsid w:val="003D0C5A"/>
    <w:rsid w:val="003D0D40"/>
    <w:rsid w:val="003D1828"/>
    <w:rsid w:val="003D1BE0"/>
    <w:rsid w:val="003D1CA8"/>
    <w:rsid w:val="003D1DE4"/>
    <w:rsid w:val="003D1E9A"/>
    <w:rsid w:val="003D209D"/>
    <w:rsid w:val="003D2375"/>
    <w:rsid w:val="003D2422"/>
    <w:rsid w:val="003D25BC"/>
    <w:rsid w:val="003D2807"/>
    <w:rsid w:val="003D2BFC"/>
    <w:rsid w:val="003D356B"/>
    <w:rsid w:val="003D36B9"/>
    <w:rsid w:val="003D39A1"/>
    <w:rsid w:val="003D3DBD"/>
    <w:rsid w:val="003D3FAA"/>
    <w:rsid w:val="003D3FBF"/>
    <w:rsid w:val="003D4492"/>
    <w:rsid w:val="003D483B"/>
    <w:rsid w:val="003D4A30"/>
    <w:rsid w:val="003D4AEF"/>
    <w:rsid w:val="003D533F"/>
    <w:rsid w:val="003D53D2"/>
    <w:rsid w:val="003D57EF"/>
    <w:rsid w:val="003D599D"/>
    <w:rsid w:val="003D5B5E"/>
    <w:rsid w:val="003D667C"/>
    <w:rsid w:val="003D719E"/>
    <w:rsid w:val="003D7452"/>
    <w:rsid w:val="003D79BB"/>
    <w:rsid w:val="003D7C98"/>
    <w:rsid w:val="003D7D97"/>
    <w:rsid w:val="003D7D9D"/>
    <w:rsid w:val="003D7E40"/>
    <w:rsid w:val="003E000F"/>
    <w:rsid w:val="003E013E"/>
    <w:rsid w:val="003E0367"/>
    <w:rsid w:val="003E0543"/>
    <w:rsid w:val="003E0BA3"/>
    <w:rsid w:val="003E0FE8"/>
    <w:rsid w:val="003E1AB5"/>
    <w:rsid w:val="003E20B4"/>
    <w:rsid w:val="003E24E1"/>
    <w:rsid w:val="003E264B"/>
    <w:rsid w:val="003E2C6A"/>
    <w:rsid w:val="003E2CF3"/>
    <w:rsid w:val="003E335F"/>
    <w:rsid w:val="003E3552"/>
    <w:rsid w:val="003E4A2E"/>
    <w:rsid w:val="003E4C61"/>
    <w:rsid w:val="003E4E74"/>
    <w:rsid w:val="003E4F9C"/>
    <w:rsid w:val="003E50C9"/>
    <w:rsid w:val="003E529F"/>
    <w:rsid w:val="003E553F"/>
    <w:rsid w:val="003E5603"/>
    <w:rsid w:val="003E5842"/>
    <w:rsid w:val="003E6257"/>
    <w:rsid w:val="003E65CA"/>
    <w:rsid w:val="003E69E1"/>
    <w:rsid w:val="003E6EAD"/>
    <w:rsid w:val="003E7112"/>
    <w:rsid w:val="003E749E"/>
    <w:rsid w:val="003E7957"/>
    <w:rsid w:val="003E7998"/>
    <w:rsid w:val="003E7CB3"/>
    <w:rsid w:val="003F0710"/>
    <w:rsid w:val="003F2202"/>
    <w:rsid w:val="003F2A23"/>
    <w:rsid w:val="003F2A91"/>
    <w:rsid w:val="003F2BEE"/>
    <w:rsid w:val="003F2EC0"/>
    <w:rsid w:val="003F321E"/>
    <w:rsid w:val="003F36BB"/>
    <w:rsid w:val="003F3801"/>
    <w:rsid w:val="003F3AC0"/>
    <w:rsid w:val="003F3B09"/>
    <w:rsid w:val="003F3E82"/>
    <w:rsid w:val="003F3EEB"/>
    <w:rsid w:val="003F3FA0"/>
    <w:rsid w:val="003F4156"/>
    <w:rsid w:val="003F4434"/>
    <w:rsid w:val="003F46BB"/>
    <w:rsid w:val="003F46BF"/>
    <w:rsid w:val="003F4851"/>
    <w:rsid w:val="003F5ADF"/>
    <w:rsid w:val="003F5F26"/>
    <w:rsid w:val="003F5F84"/>
    <w:rsid w:val="003F65E1"/>
    <w:rsid w:val="003F6A1A"/>
    <w:rsid w:val="003F6BA9"/>
    <w:rsid w:val="003F7199"/>
    <w:rsid w:val="00400B29"/>
    <w:rsid w:val="0040167D"/>
    <w:rsid w:val="004016C6"/>
    <w:rsid w:val="00401847"/>
    <w:rsid w:val="00401A9C"/>
    <w:rsid w:val="00402103"/>
    <w:rsid w:val="00402812"/>
    <w:rsid w:val="0040285C"/>
    <w:rsid w:val="004036B0"/>
    <w:rsid w:val="00403770"/>
    <w:rsid w:val="00404965"/>
    <w:rsid w:val="00404F95"/>
    <w:rsid w:val="00404FB0"/>
    <w:rsid w:val="0040504B"/>
    <w:rsid w:val="0040589D"/>
    <w:rsid w:val="004059BE"/>
    <w:rsid w:val="004059F4"/>
    <w:rsid w:val="00405A33"/>
    <w:rsid w:val="00406124"/>
    <w:rsid w:val="00406FE5"/>
    <w:rsid w:val="00407245"/>
    <w:rsid w:val="00407FE5"/>
    <w:rsid w:val="00410049"/>
    <w:rsid w:val="004101B0"/>
    <w:rsid w:val="00410326"/>
    <w:rsid w:val="00410708"/>
    <w:rsid w:val="00410960"/>
    <w:rsid w:val="00410C9F"/>
    <w:rsid w:val="00410EC7"/>
    <w:rsid w:val="004117F3"/>
    <w:rsid w:val="00411AB2"/>
    <w:rsid w:val="00411B39"/>
    <w:rsid w:val="00411EDA"/>
    <w:rsid w:val="00411F17"/>
    <w:rsid w:val="00411FAB"/>
    <w:rsid w:val="004121EC"/>
    <w:rsid w:val="0041236F"/>
    <w:rsid w:val="0041270A"/>
    <w:rsid w:val="00412756"/>
    <w:rsid w:val="004127A7"/>
    <w:rsid w:val="00412BFA"/>
    <w:rsid w:val="004130C6"/>
    <w:rsid w:val="0041317C"/>
    <w:rsid w:val="0041342A"/>
    <w:rsid w:val="0041379C"/>
    <w:rsid w:val="00413A1E"/>
    <w:rsid w:val="00414257"/>
    <w:rsid w:val="00414476"/>
    <w:rsid w:val="0041480A"/>
    <w:rsid w:val="00414C2E"/>
    <w:rsid w:val="00414F1C"/>
    <w:rsid w:val="00414FC1"/>
    <w:rsid w:val="004151CF"/>
    <w:rsid w:val="00415221"/>
    <w:rsid w:val="0041522E"/>
    <w:rsid w:val="00415233"/>
    <w:rsid w:val="0041543C"/>
    <w:rsid w:val="004156BE"/>
    <w:rsid w:val="00415B59"/>
    <w:rsid w:val="00415E36"/>
    <w:rsid w:val="004161A8"/>
    <w:rsid w:val="00416364"/>
    <w:rsid w:val="00416BFB"/>
    <w:rsid w:val="00417223"/>
    <w:rsid w:val="00420280"/>
    <w:rsid w:val="00420329"/>
    <w:rsid w:val="0042047F"/>
    <w:rsid w:val="00420AA6"/>
    <w:rsid w:val="00420B9F"/>
    <w:rsid w:val="0042192C"/>
    <w:rsid w:val="00422260"/>
    <w:rsid w:val="004229C5"/>
    <w:rsid w:val="00422CE9"/>
    <w:rsid w:val="00422E01"/>
    <w:rsid w:val="00422F79"/>
    <w:rsid w:val="00423C7F"/>
    <w:rsid w:val="0042413F"/>
    <w:rsid w:val="00424407"/>
    <w:rsid w:val="004245E9"/>
    <w:rsid w:val="00424970"/>
    <w:rsid w:val="00425157"/>
    <w:rsid w:val="004255BF"/>
    <w:rsid w:val="00425603"/>
    <w:rsid w:val="00425DBB"/>
    <w:rsid w:val="00426244"/>
    <w:rsid w:val="004266DC"/>
    <w:rsid w:val="00426874"/>
    <w:rsid w:val="0042706A"/>
    <w:rsid w:val="0042759D"/>
    <w:rsid w:val="00427911"/>
    <w:rsid w:val="004308C7"/>
    <w:rsid w:val="00430CC3"/>
    <w:rsid w:val="004319F8"/>
    <w:rsid w:val="00431E55"/>
    <w:rsid w:val="004321F6"/>
    <w:rsid w:val="00432229"/>
    <w:rsid w:val="0043231C"/>
    <w:rsid w:val="00432593"/>
    <w:rsid w:val="004327EB"/>
    <w:rsid w:val="0043296B"/>
    <w:rsid w:val="00432E01"/>
    <w:rsid w:val="00432F47"/>
    <w:rsid w:val="00433044"/>
    <w:rsid w:val="00433118"/>
    <w:rsid w:val="004331CF"/>
    <w:rsid w:val="0043338A"/>
    <w:rsid w:val="0043366A"/>
    <w:rsid w:val="0043372E"/>
    <w:rsid w:val="00433764"/>
    <w:rsid w:val="00434088"/>
    <w:rsid w:val="00434466"/>
    <w:rsid w:val="00434E82"/>
    <w:rsid w:val="004350BA"/>
    <w:rsid w:val="00435118"/>
    <w:rsid w:val="0043560D"/>
    <w:rsid w:val="004357FA"/>
    <w:rsid w:val="004358FD"/>
    <w:rsid w:val="00435FB1"/>
    <w:rsid w:val="00436073"/>
    <w:rsid w:val="004361FF"/>
    <w:rsid w:val="00437397"/>
    <w:rsid w:val="004375B8"/>
    <w:rsid w:val="004375B9"/>
    <w:rsid w:val="00437B83"/>
    <w:rsid w:val="00440AD9"/>
    <w:rsid w:val="00440F03"/>
    <w:rsid w:val="00441308"/>
    <w:rsid w:val="00441923"/>
    <w:rsid w:val="00441B8A"/>
    <w:rsid w:val="00441E53"/>
    <w:rsid w:val="00442076"/>
    <w:rsid w:val="004420FC"/>
    <w:rsid w:val="004426FE"/>
    <w:rsid w:val="0044270E"/>
    <w:rsid w:val="004428D0"/>
    <w:rsid w:val="00442BD2"/>
    <w:rsid w:val="00442C3B"/>
    <w:rsid w:val="004436F4"/>
    <w:rsid w:val="00443E5B"/>
    <w:rsid w:val="00444185"/>
    <w:rsid w:val="004443A7"/>
    <w:rsid w:val="0044442C"/>
    <w:rsid w:val="00444F77"/>
    <w:rsid w:val="004452C3"/>
    <w:rsid w:val="00445941"/>
    <w:rsid w:val="00445F9D"/>
    <w:rsid w:val="0044646E"/>
    <w:rsid w:val="004464EB"/>
    <w:rsid w:val="0044651C"/>
    <w:rsid w:val="0044671F"/>
    <w:rsid w:val="0044757B"/>
    <w:rsid w:val="0044799B"/>
    <w:rsid w:val="00447D26"/>
    <w:rsid w:val="00447DFC"/>
    <w:rsid w:val="0045008E"/>
    <w:rsid w:val="00450D41"/>
    <w:rsid w:val="004515CF"/>
    <w:rsid w:val="004523C8"/>
    <w:rsid w:val="00452540"/>
    <w:rsid w:val="004525CB"/>
    <w:rsid w:val="004527CC"/>
    <w:rsid w:val="00452AAA"/>
    <w:rsid w:val="00452FC5"/>
    <w:rsid w:val="004533FA"/>
    <w:rsid w:val="0045366C"/>
    <w:rsid w:val="00453918"/>
    <w:rsid w:val="0045391E"/>
    <w:rsid w:val="00453FBC"/>
    <w:rsid w:val="00454710"/>
    <w:rsid w:val="00454898"/>
    <w:rsid w:val="004548EC"/>
    <w:rsid w:val="00454E18"/>
    <w:rsid w:val="004554BD"/>
    <w:rsid w:val="004555E0"/>
    <w:rsid w:val="00455623"/>
    <w:rsid w:val="004559A0"/>
    <w:rsid w:val="00455C55"/>
    <w:rsid w:val="00455D45"/>
    <w:rsid w:val="00455FB8"/>
    <w:rsid w:val="004567D4"/>
    <w:rsid w:val="004572A8"/>
    <w:rsid w:val="00457558"/>
    <w:rsid w:val="00457B80"/>
    <w:rsid w:val="00457EEA"/>
    <w:rsid w:val="004613F3"/>
    <w:rsid w:val="0046174F"/>
    <w:rsid w:val="0046184F"/>
    <w:rsid w:val="00461BD1"/>
    <w:rsid w:val="004623E1"/>
    <w:rsid w:val="00462646"/>
    <w:rsid w:val="004627CD"/>
    <w:rsid w:val="00463104"/>
    <w:rsid w:val="0046361F"/>
    <w:rsid w:val="00463823"/>
    <w:rsid w:val="00463C57"/>
    <w:rsid w:val="00463FCC"/>
    <w:rsid w:val="004643D4"/>
    <w:rsid w:val="00464595"/>
    <w:rsid w:val="00464AA5"/>
    <w:rsid w:val="00464F3C"/>
    <w:rsid w:val="00465282"/>
    <w:rsid w:val="0046528D"/>
    <w:rsid w:val="00465480"/>
    <w:rsid w:val="004658B5"/>
    <w:rsid w:val="00465CBE"/>
    <w:rsid w:val="00465D81"/>
    <w:rsid w:val="00465DD5"/>
    <w:rsid w:val="0046633F"/>
    <w:rsid w:val="004666C4"/>
    <w:rsid w:val="00466B8C"/>
    <w:rsid w:val="00466D67"/>
    <w:rsid w:val="00467886"/>
    <w:rsid w:val="00470208"/>
    <w:rsid w:val="00470DEC"/>
    <w:rsid w:val="00471481"/>
    <w:rsid w:val="0047166E"/>
    <w:rsid w:val="00471EA5"/>
    <w:rsid w:val="00472174"/>
    <w:rsid w:val="00472A79"/>
    <w:rsid w:val="00472D6E"/>
    <w:rsid w:val="004735C1"/>
    <w:rsid w:val="00473823"/>
    <w:rsid w:val="00473F19"/>
    <w:rsid w:val="00474A87"/>
    <w:rsid w:val="00474B42"/>
    <w:rsid w:val="004750ED"/>
    <w:rsid w:val="004754DB"/>
    <w:rsid w:val="004757A4"/>
    <w:rsid w:val="00475E22"/>
    <w:rsid w:val="00476A14"/>
    <w:rsid w:val="00476B23"/>
    <w:rsid w:val="00476CF4"/>
    <w:rsid w:val="0047708F"/>
    <w:rsid w:val="0047709C"/>
    <w:rsid w:val="004774A3"/>
    <w:rsid w:val="00477899"/>
    <w:rsid w:val="00477BC0"/>
    <w:rsid w:val="00480301"/>
    <w:rsid w:val="004807E7"/>
    <w:rsid w:val="0048088E"/>
    <w:rsid w:val="00480DCB"/>
    <w:rsid w:val="00480F2B"/>
    <w:rsid w:val="004811DD"/>
    <w:rsid w:val="00481312"/>
    <w:rsid w:val="00481700"/>
    <w:rsid w:val="00481771"/>
    <w:rsid w:val="00481AC8"/>
    <w:rsid w:val="00481C43"/>
    <w:rsid w:val="00481F40"/>
    <w:rsid w:val="00481F60"/>
    <w:rsid w:val="004820A2"/>
    <w:rsid w:val="0048260A"/>
    <w:rsid w:val="00482720"/>
    <w:rsid w:val="00482BA9"/>
    <w:rsid w:val="00482BAB"/>
    <w:rsid w:val="00483244"/>
    <w:rsid w:val="004835CC"/>
    <w:rsid w:val="004835E7"/>
    <w:rsid w:val="00483B8C"/>
    <w:rsid w:val="00483E53"/>
    <w:rsid w:val="0048427D"/>
    <w:rsid w:val="00484653"/>
    <w:rsid w:val="00484B95"/>
    <w:rsid w:val="00485073"/>
    <w:rsid w:val="004850C9"/>
    <w:rsid w:val="00485184"/>
    <w:rsid w:val="004859E1"/>
    <w:rsid w:val="00485A0E"/>
    <w:rsid w:val="00485CFB"/>
    <w:rsid w:val="00486021"/>
    <w:rsid w:val="00486162"/>
    <w:rsid w:val="00486211"/>
    <w:rsid w:val="00486477"/>
    <w:rsid w:val="004867E2"/>
    <w:rsid w:val="00486B0E"/>
    <w:rsid w:val="00487801"/>
    <w:rsid w:val="00487A8F"/>
    <w:rsid w:val="00487EE6"/>
    <w:rsid w:val="004902B9"/>
    <w:rsid w:val="00490AE5"/>
    <w:rsid w:val="00490AEF"/>
    <w:rsid w:val="00490B17"/>
    <w:rsid w:val="004916E6"/>
    <w:rsid w:val="00491B3A"/>
    <w:rsid w:val="00491B5F"/>
    <w:rsid w:val="00492619"/>
    <w:rsid w:val="00492991"/>
    <w:rsid w:val="00492A0B"/>
    <w:rsid w:val="00492CFD"/>
    <w:rsid w:val="004930B8"/>
    <w:rsid w:val="00493236"/>
    <w:rsid w:val="0049355B"/>
    <w:rsid w:val="004935F8"/>
    <w:rsid w:val="0049360B"/>
    <w:rsid w:val="004939B9"/>
    <w:rsid w:val="00494207"/>
    <w:rsid w:val="00494654"/>
    <w:rsid w:val="00494DD5"/>
    <w:rsid w:val="004958D2"/>
    <w:rsid w:val="00495C85"/>
    <w:rsid w:val="00495CC0"/>
    <w:rsid w:val="0049601C"/>
    <w:rsid w:val="004962D2"/>
    <w:rsid w:val="0049697B"/>
    <w:rsid w:val="004969AB"/>
    <w:rsid w:val="004969DC"/>
    <w:rsid w:val="00496C38"/>
    <w:rsid w:val="00496C4B"/>
    <w:rsid w:val="00496C77"/>
    <w:rsid w:val="00496DFD"/>
    <w:rsid w:val="00496F95"/>
    <w:rsid w:val="00496FC9"/>
    <w:rsid w:val="00497368"/>
    <w:rsid w:val="004979D8"/>
    <w:rsid w:val="00497AB2"/>
    <w:rsid w:val="004A06C5"/>
    <w:rsid w:val="004A0B35"/>
    <w:rsid w:val="004A0D1B"/>
    <w:rsid w:val="004A0DA1"/>
    <w:rsid w:val="004A0DC2"/>
    <w:rsid w:val="004A1033"/>
    <w:rsid w:val="004A10C2"/>
    <w:rsid w:val="004A13D6"/>
    <w:rsid w:val="004A2033"/>
    <w:rsid w:val="004A22E4"/>
    <w:rsid w:val="004A2482"/>
    <w:rsid w:val="004A256E"/>
    <w:rsid w:val="004A2B2D"/>
    <w:rsid w:val="004A3B4D"/>
    <w:rsid w:val="004A3C52"/>
    <w:rsid w:val="004A3CFA"/>
    <w:rsid w:val="004A4097"/>
    <w:rsid w:val="004A44A0"/>
    <w:rsid w:val="004A4929"/>
    <w:rsid w:val="004A52E8"/>
    <w:rsid w:val="004A52E9"/>
    <w:rsid w:val="004A5504"/>
    <w:rsid w:val="004A555F"/>
    <w:rsid w:val="004A587D"/>
    <w:rsid w:val="004A6040"/>
    <w:rsid w:val="004A621D"/>
    <w:rsid w:val="004A6517"/>
    <w:rsid w:val="004A6597"/>
    <w:rsid w:val="004A70F7"/>
    <w:rsid w:val="004A7365"/>
    <w:rsid w:val="004A73B8"/>
    <w:rsid w:val="004A7792"/>
    <w:rsid w:val="004A7848"/>
    <w:rsid w:val="004A793B"/>
    <w:rsid w:val="004B000B"/>
    <w:rsid w:val="004B034A"/>
    <w:rsid w:val="004B09D1"/>
    <w:rsid w:val="004B0D9F"/>
    <w:rsid w:val="004B1440"/>
    <w:rsid w:val="004B1455"/>
    <w:rsid w:val="004B1767"/>
    <w:rsid w:val="004B1847"/>
    <w:rsid w:val="004B1879"/>
    <w:rsid w:val="004B1A04"/>
    <w:rsid w:val="004B1CB4"/>
    <w:rsid w:val="004B1D25"/>
    <w:rsid w:val="004B1EE6"/>
    <w:rsid w:val="004B2369"/>
    <w:rsid w:val="004B29EC"/>
    <w:rsid w:val="004B2EDE"/>
    <w:rsid w:val="004B2F18"/>
    <w:rsid w:val="004B2FB2"/>
    <w:rsid w:val="004B3997"/>
    <w:rsid w:val="004B3A04"/>
    <w:rsid w:val="004B3AD7"/>
    <w:rsid w:val="004B3BE8"/>
    <w:rsid w:val="004B3C44"/>
    <w:rsid w:val="004B3C5E"/>
    <w:rsid w:val="004B3DDB"/>
    <w:rsid w:val="004B4247"/>
    <w:rsid w:val="004B43F2"/>
    <w:rsid w:val="004B44FD"/>
    <w:rsid w:val="004B49F7"/>
    <w:rsid w:val="004B4C14"/>
    <w:rsid w:val="004B4FF7"/>
    <w:rsid w:val="004B5CFC"/>
    <w:rsid w:val="004B6147"/>
    <w:rsid w:val="004B6468"/>
    <w:rsid w:val="004B69B0"/>
    <w:rsid w:val="004B6DFC"/>
    <w:rsid w:val="004B6F79"/>
    <w:rsid w:val="004B7113"/>
    <w:rsid w:val="004B751B"/>
    <w:rsid w:val="004B774D"/>
    <w:rsid w:val="004B79EC"/>
    <w:rsid w:val="004C0565"/>
    <w:rsid w:val="004C14A8"/>
    <w:rsid w:val="004C162E"/>
    <w:rsid w:val="004C1CDE"/>
    <w:rsid w:val="004C1E09"/>
    <w:rsid w:val="004C1E44"/>
    <w:rsid w:val="004C2900"/>
    <w:rsid w:val="004C2975"/>
    <w:rsid w:val="004C2AC2"/>
    <w:rsid w:val="004C396C"/>
    <w:rsid w:val="004C3B02"/>
    <w:rsid w:val="004C3BC6"/>
    <w:rsid w:val="004C3DA7"/>
    <w:rsid w:val="004C3F3B"/>
    <w:rsid w:val="004C3FB9"/>
    <w:rsid w:val="004C4AED"/>
    <w:rsid w:val="004C5091"/>
    <w:rsid w:val="004C519F"/>
    <w:rsid w:val="004C5326"/>
    <w:rsid w:val="004C5AEA"/>
    <w:rsid w:val="004C5C82"/>
    <w:rsid w:val="004C5E31"/>
    <w:rsid w:val="004C5EF4"/>
    <w:rsid w:val="004C70D6"/>
    <w:rsid w:val="004C76D3"/>
    <w:rsid w:val="004C7CEF"/>
    <w:rsid w:val="004C7D25"/>
    <w:rsid w:val="004D048E"/>
    <w:rsid w:val="004D05D4"/>
    <w:rsid w:val="004D0628"/>
    <w:rsid w:val="004D0853"/>
    <w:rsid w:val="004D2393"/>
    <w:rsid w:val="004D2621"/>
    <w:rsid w:val="004D2C2D"/>
    <w:rsid w:val="004D35DF"/>
    <w:rsid w:val="004D3670"/>
    <w:rsid w:val="004D450A"/>
    <w:rsid w:val="004D4513"/>
    <w:rsid w:val="004D466C"/>
    <w:rsid w:val="004D579C"/>
    <w:rsid w:val="004D57C2"/>
    <w:rsid w:val="004D5A41"/>
    <w:rsid w:val="004D5AB8"/>
    <w:rsid w:val="004D5C4B"/>
    <w:rsid w:val="004D5C4F"/>
    <w:rsid w:val="004D5CAE"/>
    <w:rsid w:val="004D5CD2"/>
    <w:rsid w:val="004D5CF8"/>
    <w:rsid w:val="004D6283"/>
    <w:rsid w:val="004D63F6"/>
    <w:rsid w:val="004D69B5"/>
    <w:rsid w:val="004D69EF"/>
    <w:rsid w:val="004D6C82"/>
    <w:rsid w:val="004D7227"/>
    <w:rsid w:val="004D7438"/>
    <w:rsid w:val="004D78E8"/>
    <w:rsid w:val="004D7B5E"/>
    <w:rsid w:val="004E02FF"/>
    <w:rsid w:val="004E0E29"/>
    <w:rsid w:val="004E0E7F"/>
    <w:rsid w:val="004E0EB8"/>
    <w:rsid w:val="004E1863"/>
    <w:rsid w:val="004E18E9"/>
    <w:rsid w:val="004E1C9E"/>
    <w:rsid w:val="004E1E95"/>
    <w:rsid w:val="004E1F0E"/>
    <w:rsid w:val="004E2032"/>
    <w:rsid w:val="004E211A"/>
    <w:rsid w:val="004E2146"/>
    <w:rsid w:val="004E21A9"/>
    <w:rsid w:val="004E2564"/>
    <w:rsid w:val="004E25AB"/>
    <w:rsid w:val="004E2ADC"/>
    <w:rsid w:val="004E2D4E"/>
    <w:rsid w:val="004E319D"/>
    <w:rsid w:val="004E3942"/>
    <w:rsid w:val="004E43B2"/>
    <w:rsid w:val="004E443B"/>
    <w:rsid w:val="004E4441"/>
    <w:rsid w:val="004E4B71"/>
    <w:rsid w:val="004E4E10"/>
    <w:rsid w:val="004E5483"/>
    <w:rsid w:val="004E54A1"/>
    <w:rsid w:val="004E750A"/>
    <w:rsid w:val="004E7701"/>
    <w:rsid w:val="004E779D"/>
    <w:rsid w:val="004F000D"/>
    <w:rsid w:val="004F045D"/>
    <w:rsid w:val="004F074D"/>
    <w:rsid w:val="004F0A41"/>
    <w:rsid w:val="004F1AA7"/>
    <w:rsid w:val="004F1D02"/>
    <w:rsid w:val="004F1D37"/>
    <w:rsid w:val="004F1EE1"/>
    <w:rsid w:val="004F250D"/>
    <w:rsid w:val="004F2679"/>
    <w:rsid w:val="004F2F21"/>
    <w:rsid w:val="004F3362"/>
    <w:rsid w:val="004F34D7"/>
    <w:rsid w:val="004F3D95"/>
    <w:rsid w:val="004F3DE5"/>
    <w:rsid w:val="004F4226"/>
    <w:rsid w:val="004F431B"/>
    <w:rsid w:val="004F4719"/>
    <w:rsid w:val="004F4764"/>
    <w:rsid w:val="004F4C66"/>
    <w:rsid w:val="004F4DFE"/>
    <w:rsid w:val="004F51EF"/>
    <w:rsid w:val="004F52E7"/>
    <w:rsid w:val="004F54BA"/>
    <w:rsid w:val="004F5804"/>
    <w:rsid w:val="004F649D"/>
    <w:rsid w:val="004F6913"/>
    <w:rsid w:val="004F6A85"/>
    <w:rsid w:val="004F6E0E"/>
    <w:rsid w:val="004F7078"/>
    <w:rsid w:val="004F73BA"/>
    <w:rsid w:val="004F7865"/>
    <w:rsid w:val="004F78D4"/>
    <w:rsid w:val="004F7F44"/>
    <w:rsid w:val="005000BB"/>
    <w:rsid w:val="005004DC"/>
    <w:rsid w:val="00500514"/>
    <w:rsid w:val="00500926"/>
    <w:rsid w:val="00500BE6"/>
    <w:rsid w:val="00500F1D"/>
    <w:rsid w:val="0050109C"/>
    <w:rsid w:val="005014E7"/>
    <w:rsid w:val="00501519"/>
    <w:rsid w:val="0050174E"/>
    <w:rsid w:val="00501854"/>
    <w:rsid w:val="00501D64"/>
    <w:rsid w:val="0050219B"/>
    <w:rsid w:val="00502545"/>
    <w:rsid w:val="005027C2"/>
    <w:rsid w:val="00502BC5"/>
    <w:rsid w:val="00502D2D"/>
    <w:rsid w:val="00502DD1"/>
    <w:rsid w:val="005036ED"/>
    <w:rsid w:val="00503F17"/>
    <w:rsid w:val="00503F3A"/>
    <w:rsid w:val="005048B9"/>
    <w:rsid w:val="00504DF6"/>
    <w:rsid w:val="005051C6"/>
    <w:rsid w:val="0050526C"/>
    <w:rsid w:val="005052D3"/>
    <w:rsid w:val="005054AF"/>
    <w:rsid w:val="005059FD"/>
    <w:rsid w:val="005066E9"/>
    <w:rsid w:val="00506928"/>
    <w:rsid w:val="00507506"/>
    <w:rsid w:val="005075BF"/>
    <w:rsid w:val="005076F3"/>
    <w:rsid w:val="005077EF"/>
    <w:rsid w:val="00507C75"/>
    <w:rsid w:val="005102C2"/>
    <w:rsid w:val="0051037A"/>
    <w:rsid w:val="005103A6"/>
    <w:rsid w:val="005103EE"/>
    <w:rsid w:val="00510401"/>
    <w:rsid w:val="0051064B"/>
    <w:rsid w:val="005113EF"/>
    <w:rsid w:val="0051184B"/>
    <w:rsid w:val="00511AD5"/>
    <w:rsid w:val="00511B43"/>
    <w:rsid w:val="00511DBA"/>
    <w:rsid w:val="00511DC7"/>
    <w:rsid w:val="00512567"/>
    <w:rsid w:val="0051256B"/>
    <w:rsid w:val="00513441"/>
    <w:rsid w:val="00513630"/>
    <w:rsid w:val="00513692"/>
    <w:rsid w:val="00513B3D"/>
    <w:rsid w:val="005142C5"/>
    <w:rsid w:val="00514402"/>
    <w:rsid w:val="00514626"/>
    <w:rsid w:val="005146C6"/>
    <w:rsid w:val="0051501B"/>
    <w:rsid w:val="0051505B"/>
    <w:rsid w:val="005152B5"/>
    <w:rsid w:val="005152C0"/>
    <w:rsid w:val="00515673"/>
    <w:rsid w:val="00515855"/>
    <w:rsid w:val="00515886"/>
    <w:rsid w:val="00515D6E"/>
    <w:rsid w:val="00515EF3"/>
    <w:rsid w:val="0051640F"/>
    <w:rsid w:val="00516C05"/>
    <w:rsid w:val="00516C92"/>
    <w:rsid w:val="00516CF6"/>
    <w:rsid w:val="0051735A"/>
    <w:rsid w:val="00517385"/>
    <w:rsid w:val="0051752F"/>
    <w:rsid w:val="00517B17"/>
    <w:rsid w:val="00517DAA"/>
    <w:rsid w:val="0052123C"/>
    <w:rsid w:val="00521242"/>
    <w:rsid w:val="00521319"/>
    <w:rsid w:val="00521981"/>
    <w:rsid w:val="00521A48"/>
    <w:rsid w:val="00521DAF"/>
    <w:rsid w:val="00521DDF"/>
    <w:rsid w:val="0052202A"/>
    <w:rsid w:val="0052271E"/>
    <w:rsid w:val="00522BC8"/>
    <w:rsid w:val="005230E2"/>
    <w:rsid w:val="005232B9"/>
    <w:rsid w:val="005236CF"/>
    <w:rsid w:val="00523C28"/>
    <w:rsid w:val="00523D28"/>
    <w:rsid w:val="00524A7D"/>
    <w:rsid w:val="00524AE5"/>
    <w:rsid w:val="005252A2"/>
    <w:rsid w:val="00525663"/>
    <w:rsid w:val="00525754"/>
    <w:rsid w:val="00525D15"/>
    <w:rsid w:val="00525FB1"/>
    <w:rsid w:val="00525FC4"/>
    <w:rsid w:val="0052612E"/>
    <w:rsid w:val="00526335"/>
    <w:rsid w:val="005265A5"/>
    <w:rsid w:val="00526767"/>
    <w:rsid w:val="0052688F"/>
    <w:rsid w:val="00526C60"/>
    <w:rsid w:val="00526EFE"/>
    <w:rsid w:val="00527DEB"/>
    <w:rsid w:val="005309CF"/>
    <w:rsid w:val="00530A37"/>
    <w:rsid w:val="00530C29"/>
    <w:rsid w:val="00531215"/>
    <w:rsid w:val="0053176B"/>
    <w:rsid w:val="00531CDD"/>
    <w:rsid w:val="0053208A"/>
    <w:rsid w:val="00532349"/>
    <w:rsid w:val="00532543"/>
    <w:rsid w:val="005328A3"/>
    <w:rsid w:val="00532F0B"/>
    <w:rsid w:val="00533677"/>
    <w:rsid w:val="00533A19"/>
    <w:rsid w:val="00533A36"/>
    <w:rsid w:val="00533C99"/>
    <w:rsid w:val="005341B3"/>
    <w:rsid w:val="005341D7"/>
    <w:rsid w:val="00534248"/>
    <w:rsid w:val="00534259"/>
    <w:rsid w:val="00534861"/>
    <w:rsid w:val="00534AB9"/>
    <w:rsid w:val="00534D7C"/>
    <w:rsid w:val="00534DC3"/>
    <w:rsid w:val="005350C8"/>
    <w:rsid w:val="00535500"/>
    <w:rsid w:val="005356CB"/>
    <w:rsid w:val="00535A97"/>
    <w:rsid w:val="00536096"/>
    <w:rsid w:val="005362F7"/>
    <w:rsid w:val="005369F0"/>
    <w:rsid w:val="00536B0B"/>
    <w:rsid w:val="00536F42"/>
    <w:rsid w:val="00537182"/>
    <w:rsid w:val="00537311"/>
    <w:rsid w:val="005373BE"/>
    <w:rsid w:val="0053765E"/>
    <w:rsid w:val="005376A2"/>
    <w:rsid w:val="00537985"/>
    <w:rsid w:val="00537DA1"/>
    <w:rsid w:val="00537DFE"/>
    <w:rsid w:val="0053DB80"/>
    <w:rsid w:val="00540348"/>
    <w:rsid w:val="005405F2"/>
    <w:rsid w:val="00540F80"/>
    <w:rsid w:val="00541011"/>
    <w:rsid w:val="00541225"/>
    <w:rsid w:val="005414BF"/>
    <w:rsid w:val="00541EDD"/>
    <w:rsid w:val="00542743"/>
    <w:rsid w:val="005428FE"/>
    <w:rsid w:val="00542A96"/>
    <w:rsid w:val="00542C2D"/>
    <w:rsid w:val="00542D74"/>
    <w:rsid w:val="00542DFB"/>
    <w:rsid w:val="00543604"/>
    <w:rsid w:val="0054368C"/>
    <w:rsid w:val="00543A85"/>
    <w:rsid w:val="00543BCF"/>
    <w:rsid w:val="00543E26"/>
    <w:rsid w:val="005444C9"/>
    <w:rsid w:val="005453FE"/>
    <w:rsid w:val="005454A9"/>
    <w:rsid w:val="00545759"/>
    <w:rsid w:val="00545BD7"/>
    <w:rsid w:val="00545CD4"/>
    <w:rsid w:val="00546281"/>
    <w:rsid w:val="005462E9"/>
    <w:rsid w:val="00546394"/>
    <w:rsid w:val="00546AC3"/>
    <w:rsid w:val="005473DE"/>
    <w:rsid w:val="00547669"/>
    <w:rsid w:val="005478BD"/>
    <w:rsid w:val="005479E3"/>
    <w:rsid w:val="00547C61"/>
    <w:rsid w:val="00547DC5"/>
    <w:rsid w:val="0055045F"/>
    <w:rsid w:val="00550D45"/>
    <w:rsid w:val="00551985"/>
    <w:rsid w:val="00551DD9"/>
    <w:rsid w:val="00551FEC"/>
    <w:rsid w:val="00552174"/>
    <w:rsid w:val="00552292"/>
    <w:rsid w:val="005528FC"/>
    <w:rsid w:val="00552BD3"/>
    <w:rsid w:val="005530B1"/>
    <w:rsid w:val="005532A0"/>
    <w:rsid w:val="0055455F"/>
    <w:rsid w:val="00554D45"/>
    <w:rsid w:val="00555109"/>
    <w:rsid w:val="005556A6"/>
    <w:rsid w:val="00555937"/>
    <w:rsid w:val="00555E3C"/>
    <w:rsid w:val="005563C1"/>
    <w:rsid w:val="00556B35"/>
    <w:rsid w:val="00556E14"/>
    <w:rsid w:val="00557051"/>
    <w:rsid w:val="0055735E"/>
    <w:rsid w:val="0055741A"/>
    <w:rsid w:val="00557626"/>
    <w:rsid w:val="00557A15"/>
    <w:rsid w:val="00557B13"/>
    <w:rsid w:val="00560192"/>
    <w:rsid w:val="00560720"/>
    <w:rsid w:val="0056075F"/>
    <w:rsid w:val="00560E6C"/>
    <w:rsid w:val="005611B7"/>
    <w:rsid w:val="005618D4"/>
    <w:rsid w:val="0056196B"/>
    <w:rsid w:val="005619B8"/>
    <w:rsid w:val="00561AF8"/>
    <w:rsid w:val="00561B94"/>
    <w:rsid w:val="00563243"/>
    <w:rsid w:val="005634AB"/>
    <w:rsid w:val="0056355F"/>
    <w:rsid w:val="005636B8"/>
    <w:rsid w:val="00563CE9"/>
    <w:rsid w:val="0056468E"/>
    <w:rsid w:val="00564867"/>
    <w:rsid w:val="00564BB4"/>
    <w:rsid w:val="00564DD8"/>
    <w:rsid w:val="00564ED5"/>
    <w:rsid w:val="00565172"/>
    <w:rsid w:val="005656FF"/>
    <w:rsid w:val="00565C79"/>
    <w:rsid w:val="00565DF0"/>
    <w:rsid w:val="00566114"/>
    <w:rsid w:val="00566226"/>
    <w:rsid w:val="005667F2"/>
    <w:rsid w:val="0056696F"/>
    <w:rsid w:val="005675E2"/>
    <w:rsid w:val="005675E3"/>
    <w:rsid w:val="0057003E"/>
    <w:rsid w:val="0057044F"/>
    <w:rsid w:val="0057056A"/>
    <w:rsid w:val="0057072A"/>
    <w:rsid w:val="00570765"/>
    <w:rsid w:val="00570A77"/>
    <w:rsid w:val="00571013"/>
    <w:rsid w:val="00571242"/>
    <w:rsid w:val="0057136A"/>
    <w:rsid w:val="005713C7"/>
    <w:rsid w:val="00571710"/>
    <w:rsid w:val="005718BD"/>
    <w:rsid w:val="00571CAE"/>
    <w:rsid w:val="00571F75"/>
    <w:rsid w:val="00571FDF"/>
    <w:rsid w:val="00572269"/>
    <w:rsid w:val="005723DD"/>
    <w:rsid w:val="0057244A"/>
    <w:rsid w:val="00572560"/>
    <w:rsid w:val="00572CDA"/>
    <w:rsid w:val="00572F26"/>
    <w:rsid w:val="00573056"/>
    <w:rsid w:val="005731EC"/>
    <w:rsid w:val="005734DF"/>
    <w:rsid w:val="005739DF"/>
    <w:rsid w:val="00573BB4"/>
    <w:rsid w:val="00573E2E"/>
    <w:rsid w:val="00573EF0"/>
    <w:rsid w:val="0057425F"/>
    <w:rsid w:val="00574547"/>
    <w:rsid w:val="00574A12"/>
    <w:rsid w:val="005750C5"/>
    <w:rsid w:val="005752DE"/>
    <w:rsid w:val="005753BE"/>
    <w:rsid w:val="00575419"/>
    <w:rsid w:val="00575549"/>
    <w:rsid w:val="00575643"/>
    <w:rsid w:val="00575817"/>
    <w:rsid w:val="00575D60"/>
    <w:rsid w:val="00575D8D"/>
    <w:rsid w:val="00575E34"/>
    <w:rsid w:val="00575F1C"/>
    <w:rsid w:val="00576251"/>
    <w:rsid w:val="0057652F"/>
    <w:rsid w:val="0057691C"/>
    <w:rsid w:val="00576972"/>
    <w:rsid w:val="00576F2A"/>
    <w:rsid w:val="00577095"/>
    <w:rsid w:val="00577248"/>
    <w:rsid w:val="00577932"/>
    <w:rsid w:val="00577C62"/>
    <w:rsid w:val="00580493"/>
    <w:rsid w:val="005804CA"/>
    <w:rsid w:val="00580577"/>
    <w:rsid w:val="00580ED3"/>
    <w:rsid w:val="00581038"/>
    <w:rsid w:val="005811A4"/>
    <w:rsid w:val="0058148A"/>
    <w:rsid w:val="00581B73"/>
    <w:rsid w:val="0058223F"/>
    <w:rsid w:val="0058255A"/>
    <w:rsid w:val="00582664"/>
    <w:rsid w:val="00582727"/>
    <w:rsid w:val="005828D8"/>
    <w:rsid w:val="00583576"/>
    <w:rsid w:val="005835A2"/>
    <w:rsid w:val="00583699"/>
    <w:rsid w:val="00583A95"/>
    <w:rsid w:val="00583BC1"/>
    <w:rsid w:val="0058418A"/>
    <w:rsid w:val="0058462E"/>
    <w:rsid w:val="00584CDF"/>
    <w:rsid w:val="005854FA"/>
    <w:rsid w:val="005855C6"/>
    <w:rsid w:val="00585869"/>
    <w:rsid w:val="005858BF"/>
    <w:rsid w:val="00585CDD"/>
    <w:rsid w:val="00585EF0"/>
    <w:rsid w:val="00586867"/>
    <w:rsid w:val="00586984"/>
    <w:rsid w:val="00587058"/>
    <w:rsid w:val="005873BE"/>
    <w:rsid w:val="00590094"/>
    <w:rsid w:val="005903E5"/>
    <w:rsid w:val="005907BD"/>
    <w:rsid w:val="00590A35"/>
    <w:rsid w:val="005914E0"/>
    <w:rsid w:val="0059182E"/>
    <w:rsid w:val="00591957"/>
    <w:rsid w:val="00592828"/>
    <w:rsid w:val="00592B0F"/>
    <w:rsid w:val="00592EA7"/>
    <w:rsid w:val="005932A9"/>
    <w:rsid w:val="00593A52"/>
    <w:rsid w:val="00593A9E"/>
    <w:rsid w:val="005944D2"/>
    <w:rsid w:val="00594694"/>
    <w:rsid w:val="0059483A"/>
    <w:rsid w:val="00595C18"/>
    <w:rsid w:val="00596B97"/>
    <w:rsid w:val="00596CE8"/>
    <w:rsid w:val="00596EDE"/>
    <w:rsid w:val="00597891"/>
    <w:rsid w:val="005979E2"/>
    <w:rsid w:val="00597BF9"/>
    <w:rsid w:val="00597FF5"/>
    <w:rsid w:val="005A01BD"/>
    <w:rsid w:val="005A053B"/>
    <w:rsid w:val="005A086A"/>
    <w:rsid w:val="005A09DB"/>
    <w:rsid w:val="005A0C11"/>
    <w:rsid w:val="005A1EEE"/>
    <w:rsid w:val="005A1F67"/>
    <w:rsid w:val="005A2341"/>
    <w:rsid w:val="005A2963"/>
    <w:rsid w:val="005A2F94"/>
    <w:rsid w:val="005A309A"/>
    <w:rsid w:val="005A3192"/>
    <w:rsid w:val="005A327E"/>
    <w:rsid w:val="005A373D"/>
    <w:rsid w:val="005A496B"/>
    <w:rsid w:val="005A4B2D"/>
    <w:rsid w:val="005A52C5"/>
    <w:rsid w:val="005A552B"/>
    <w:rsid w:val="005A681D"/>
    <w:rsid w:val="005A683E"/>
    <w:rsid w:val="005A7BF9"/>
    <w:rsid w:val="005A7F3A"/>
    <w:rsid w:val="005B0154"/>
    <w:rsid w:val="005B0232"/>
    <w:rsid w:val="005B030F"/>
    <w:rsid w:val="005B06DB"/>
    <w:rsid w:val="005B098B"/>
    <w:rsid w:val="005B0B58"/>
    <w:rsid w:val="005B11B3"/>
    <w:rsid w:val="005B11BB"/>
    <w:rsid w:val="005B18ED"/>
    <w:rsid w:val="005B1C07"/>
    <w:rsid w:val="005B251D"/>
    <w:rsid w:val="005B262E"/>
    <w:rsid w:val="005B2855"/>
    <w:rsid w:val="005B29B5"/>
    <w:rsid w:val="005B2E1B"/>
    <w:rsid w:val="005B31A4"/>
    <w:rsid w:val="005B35C5"/>
    <w:rsid w:val="005B378E"/>
    <w:rsid w:val="005B424A"/>
    <w:rsid w:val="005B434E"/>
    <w:rsid w:val="005B443E"/>
    <w:rsid w:val="005B4E53"/>
    <w:rsid w:val="005B4FA2"/>
    <w:rsid w:val="005B50BC"/>
    <w:rsid w:val="005B51B6"/>
    <w:rsid w:val="005B5857"/>
    <w:rsid w:val="005B5FF4"/>
    <w:rsid w:val="005B6212"/>
    <w:rsid w:val="005B6373"/>
    <w:rsid w:val="005B6639"/>
    <w:rsid w:val="005B6AC3"/>
    <w:rsid w:val="005B707D"/>
    <w:rsid w:val="005B71DF"/>
    <w:rsid w:val="005B72CC"/>
    <w:rsid w:val="005B7594"/>
    <w:rsid w:val="005B761A"/>
    <w:rsid w:val="005B7848"/>
    <w:rsid w:val="005B7A99"/>
    <w:rsid w:val="005B7E52"/>
    <w:rsid w:val="005C02F2"/>
    <w:rsid w:val="005C0514"/>
    <w:rsid w:val="005C0E93"/>
    <w:rsid w:val="005C0ECA"/>
    <w:rsid w:val="005C19C4"/>
    <w:rsid w:val="005C1B83"/>
    <w:rsid w:val="005C1F06"/>
    <w:rsid w:val="005C25FF"/>
    <w:rsid w:val="005C28F8"/>
    <w:rsid w:val="005C2D55"/>
    <w:rsid w:val="005C2D61"/>
    <w:rsid w:val="005C3337"/>
    <w:rsid w:val="005C343E"/>
    <w:rsid w:val="005C346B"/>
    <w:rsid w:val="005C3603"/>
    <w:rsid w:val="005C3657"/>
    <w:rsid w:val="005C3E86"/>
    <w:rsid w:val="005C406A"/>
    <w:rsid w:val="005C4215"/>
    <w:rsid w:val="005C435F"/>
    <w:rsid w:val="005C4906"/>
    <w:rsid w:val="005C4C1E"/>
    <w:rsid w:val="005C50A8"/>
    <w:rsid w:val="005C521B"/>
    <w:rsid w:val="005C5401"/>
    <w:rsid w:val="005C55B7"/>
    <w:rsid w:val="005C5ABC"/>
    <w:rsid w:val="005C65F8"/>
    <w:rsid w:val="005C66ED"/>
    <w:rsid w:val="005C690F"/>
    <w:rsid w:val="005C6EC3"/>
    <w:rsid w:val="005C704C"/>
    <w:rsid w:val="005C75D1"/>
    <w:rsid w:val="005C76AC"/>
    <w:rsid w:val="005C77E1"/>
    <w:rsid w:val="005C79AA"/>
    <w:rsid w:val="005C7DAF"/>
    <w:rsid w:val="005C7DF2"/>
    <w:rsid w:val="005D044D"/>
    <w:rsid w:val="005D081C"/>
    <w:rsid w:val="005D0ABD"/>
    <w:rsid w:val="005D12FF"/>
    <w:rsid w:val="005D18AD"/>
    <w:rsid w:val="005D1A2D"/>
    <w:rsid w:val="005D2267"/>
    <w:rsid w:val="005D26B4"/>
    <w:rsid w:val="005D27A4"/>
    <w:rsid w:val="005D2D76"/>
    <w:rsid w:val="005D30B8"/>
    <w:rsid w:val="005D332A"/>
    <w:rsid w:val="005D3EAB"/>
    <w:rsid w:val="005D4101"/>
    <w:rsid w:val="005D435A"/>
    <w:rsid w:val="005D4465"/>
    <w:rsid w:val="005D4924"/>
    <w:rsid w:val="005D49ED"/>
    <w:rsid w:val="005D56A0"/>
    <w:rsid w:val="005D607E"/>
    <w:rsid w:val="005D69B6"/>
    <w:rsid w:val="005D73DC"/>
    <w:rsid w:val="005D742C"/>
    <w:rsid w:val="005D7AE6"/>
    <w:rsid w:val="005E0282"/>
    <w:rsid w:val="005E0993"/>
    <w:rsid w:val="005E0C47"/>
    <w:rsid w:val="005E147C"/>
    <w:rsid w:val="005E1995"/>
    <w:rsid w:val="005E2527"/>
    <w:rsid w:val="005E26BC"/>
    <w:rsid w:val="005E2831"/>
    <w:rsid w:val="005E28C7"/>
    <w:rsid w:val="005E2905"/>
    <w:rsid w:val="005E2D81"/>
    <w:rsid w:val="005E3553"/>
    <w:rsid w:val="005E3C27"/>
    <w:rsid w:val="005E4172"/>
    <w:rsid w:val="005E4341"/>
    <w:rsid w:val="005E4435"/>
    <w:rsid w:val="005E5068"/>
    <w:rsid w:val="005E59F5"/>
    <w:rsid w:val="005E5A01"/>
    <w:rsid w:val="005E5A5C"/>
    <w:rsid w:val="005E652B"/>
    <w:rsid w:val="005E6CBC"/>
    <w:rsid w:val="005E72FF"/>
    <w:rsid w:val="005E73C0"/>
    <w:rsid w:val="005E7AF8"/>
    <w:rsid w:val="005E7B1E"/>
    <w:rsid w:val="005E7BE6"/>
    <w:rsid w:val="005E7C46"/>
    <w:rsid w:val="005F010C"/>
    <w:rsid w:val="005F07ED"/>
    <w:rsid w:val="005F1364"/>
    <w:rsid w:val="005F16A5"/>
    <w:rsid w:val="005F175A"/>
    <w:rsid w:val="005F176C"/>
    <w:rsid w:val="005F1AFF"/>
    <w:rsid w:val="005F1FD2"/>
    <w:rsid w:val="005F2448"/>
    <w:rsid w:val="005F2706"/>
    <w:rsid w:val="005F29C2"/>
    <w:rsid w:val="005F2B36"/>
    <w:rsid w:val="005F3645"/>
    <w:rsid w:val="005F38A9"/>
    <w:rsid w:val="005F39D5"/>
    <w:rsid w:val="005F50AB"/>
    <w:rsid w:val="005F592E"/>
    <w:rsid w:val="005F5D1F"/>
    <w:rsid w:val="005F66A5"/>
    <w:rsid w:val="005F6793"/>
    <w:rsid w:val="005F69EB"/>
    <w:rsid w:val="005F6A8F"/>
    <w:rsid w:val="005F6B53"/>
    <w:rsid w:val="005F6BB7"/>
    <w:rsid w:val="005F7393"/>
    <w:rsid w:val="005F7588"/>
    <w:rsid w:val="005F7AB3"/>
    <w:rsid w:val="0060085D"/>
    <w:rsid w:val="00600860"/>
    <w:rsid w:val="0060095F"/>
    <w:rsid w:val="00600E4A"/>
    <w:rsid w:val="00600E6F"/>
    <w:rsid w:val="00601707"/>
    <w:rsid w:val="006017B2"/>
    <w:rsid w:val="00601C08"/>
    <w:rsid w:val="00601F74"/>
    <w:rsid w:val="00602109"/>
    <w:rsid w:val="00602273"/>
    <w:rsid w:val="006028D3"/>
    <w:rsid w:val="00602941"/>
    <w:rsid w:val="00602A87"/>
    <w:rsid w:val="00602D8F"/>
    <w:rsid w:val="006034B1"/>
    <w:rsid w:val="00603C21"/>
    <w:rsid w:val="00603D1F"/>
    <w:rsid w:val="00603DB9"/>
    <w:rsid w:val="00603EE5"/>
    <w:rsid w:val="006041A1"/>
    <w:rsid w:val="006045F1"/>
    <w:rsid w:val="006048E8"/>
    <w:rsid w:val="00604E64"/>
    <w:rsid w:val="006063AB"/>
    <w:rsid w:val="0060683D"/>
    <w:rsid w:val="00606A35"/>
    <w:rsid w:val="00606D2F"/>
    <w:rsid w:val="00606FBA"/>
    <w:rsid w:val="0060720C"/>
    <w:rsid w:val="00607669"/>
    <w:rsid w:val="006076F4"/>
    <w:rsid w:val="00607ADD"/>
    <w:rsid w:val="00607AFD"/>
    <w:rsid w:val="00610288"/>
    <w:rsid w:val="006105C1"/>
    <w:rsid w:val="00610691"/>
    <w:rsid w:val="00610CA1"/>
    <w:rsid w:val="00611B12"/>
    <w:rsid w:val="00611E07"/>
    <w:rsid w:val="00611E17"/>
    <w:rsid w:val="00611FB4"/>
    <w:rsid w:val="006120CC"/>
    <w:rsid w:val="00612B5B"/>
    <w:rsid w:val="00612F97"/>
    <w:rsid w:val="0061345D"/>
    <w:rsid w:val="0061449C"/>
    <w:rsid w:val="006147C1"/>
    <w:rsid w:val="00614D20"/>
    <w:rsid w:val="006152A1"/>
    <w:rsid w:val="0061544F"/>
    <w:rsid w:val="0061549B"/>
    <w:rsid w:val="00615F8A"/>
    <w:rsid w:val="0061677B"/>
    <w:rsid w:val="00616802"/>
    <w:rsid w:val="00616D0F"/>
    <w:rsid w:val="00617CC3"/>
    <w:rsid w:val="00617E12"/>
    <w:rsid w:val="0062041B"/>
    <w:rsid w:val="006206A8"/>
    <w:rsid w:val="0062091B"/>
    <w:rsid w:val="00620C25"/>
    <w:rsid w:val="00621477"/>
    <w:rsid w:val="006216E8"/>
    <w:rsid w:val="0062185F"/>
    <w:rsid w:val="006218ED"/>
    <w:rsid w:val="00621ADA"/>
    <w:rsid w:val="00621BE0"/>
    <w:rsid w:val="00621EAE"/>
    <w:rsid w:val="00622186"/>
    <w:rsid w:val="00622373"/>
    <w:rsid w:val="00622802"/>
    <w:rsid w:val="00623166"/>
    <w:rsid w:val="0062317E"/>
    <w:rsid w:val="00623369"/>
    <w:rsid w:val="00623DAC"/>
    <w:rsid w:val="00623F7B"/>
    <w:rsid w:val="00623F89"/>
    <w:rsid w:val="006249C9"/>
    <w:rsid w:val="00624BD4"/>
    <w:rsid w:val="0062509E"/>
    <w:rsid w:val="00625A4A"/>
    <w:rsid w:val="00625CF1"/>
    <w:rsid w:val="0062607C"/>
    <w:rsid w:val="006264D4"/>
    <w:rsid w:val="00626774"/>
    <w:rsid w:val="00626AC0"/>
    <w:rsid w:val="006272EC"/>
    <w:rsid w:val="0062758B"/>
    <w:rsid w:val="006279D3"/>
    <w:rsid w:val="00627FC0"/>
    <w:rsid w:val="006303F2"/>
    <w:rsid w:val="006305C2"/>
    <w:rsid w:val="00630895"/>
    <w:rsid w:val="00630DAC"/>
    <w:rsid w:val="0063158F"/>
    <w:rsid w:val="00631D6B"/>
    <w:rsid w:val="00631E53"/>
    <w:rsid w:val="00631F23"/>
    <w:rsid w:val="00631F93"/>
    <w:rsid w:val="006320E0"/>
    <w:rsid w:val="00632118"/>
    <w:rsid w:val="00632183"/>
    <w:rsid w:val="00632491"/>
    <w:rsid w:val="00632BFB"/>
    <w:rsid w:val="00632CD8"/>
    <w:rsid w:val="006330A1"/>
    <w:rsid w:val="0063479F"/>
    <w:rsid w:val="0063483D"/>
    <w:rsid w:val="00634BD2"/>
    <w:rsid w:val="00634C15"/>
    <w:rsid w:val="00634E98"/>
    <w:rsid w:val="006353F0"/>
    <w:rsid w:val="006355D9"/>
    <w:rsid w:val="006357B5"/>
    <w:rsid w:val="00635C3A"/>
    <w:rsid w:val="00635D2A"/>
    <w:rsid w:val="00635DA4"/>
    <w:rsid w:val="006364A1"/>
    <w:rsid w:val="0063661F"/>
    <w:rsid w:val="0063678E"/>
    <w:rsid w:val="00636922"/>
    <w:rsid w:val="00636D0A"/>
    <w:rsid w:val="00637BFD"/>
    <w:rsid w:val="00637C5C"/>
    <w:rsid w:val="00640065"/>
    <w:rsid w:val="00640345"/>
    <w:rsid w:val="006406D0"/>
    <w:rsid w:val="006408D3"/>
    <w:rsid w:val="00641870"/>
    <w:rsid w:val="00641993"/>
    <w:rsid w:val="00641C4E"/>
    <w:rsid w:val="00641FB3"/>
    <w:rsid w:val="006424FB"/>
    <w:rsid w:val="006426EC"/>
    <w:rsid w:val="00642882"/>
    <w:rsid w:val="00642E3D"/>
    <w:rsid w:val="006432F2"/>
    <w:rsid w:val="006433C1"/>
    <w:rsid w:val="0064347B"/>
    <w:rsid w:val="0064379E"/>
    <w:rsid w:val="00643C26"/>
    <w:rsid w:val="0064434C"/>
    <w:rsid w:val="0064494B"/>
    <w:rsid w:val="00644E67"/>
    <w:rsid w:val="00644ED5"/>
    <w:rsid w:val="00645575"/>
    <w:rsid w:val="006459ED"/>
    <w:rsid w:val="00645FAD"/>
    <w:rsid w:val="00646456"/>
    <w:rsid w:val="00646B49"/>
    <w:rsid w:val="00647043"/>
    <w:rsid w:val="006471CC"/>
    <w:rsid w:val="006471FD"/>
    <w:rsid w:val="006472FE"/>
    <w:rsid w:val="006476DA"/>
    <w:rsid w:val="0064785F"/>
    <w:rsid w:val="006479F3"/>
    <w:rsid w:val="00647A29"/>
    <w:rsid w:val="00647B27"/>
    <w:rsid w:val="00647EA4"/>
    <w:rsid w:val="0065079F"/>
    <w:rsid w:val="006508C6"/>
    <w:rsid w:val="00650B2D"/>
    <w:rsid w:val="00651A31"/>
    <w:rsid w:val="00652220"/>
    <w:rsid w:val="006524A4"/>
    <w:rsid w:val="00652A28"/>
    <w:rsid w:val="00652B33"/>
    <w:rsid w:val="00653026"/>
    <w:rsid w:val="006531CB"/>
    <w:rsid w:val="0065379F"/>
    <w:rsid w:val="00654B24"/>
    <w:rsid w:val="00654D02"/>
    <w:rsid w:val="00654EBA"/>
    <w:rsid w:val="00655467"/>
    <w:rsid w:val="00655C13"/>
    <w:rsid w:val="00656188"/>
    <w:rsid w:val="006562C6"/>
    <w:rsid w:val="0065681A"/>
    <w:rsid w:val="00656B29"/>
    <w:rsid w:val="0065715A"/>
    <w:rsid w:val="006572E0"/>
    <w:rsid w:val="00657320"/>
    <w:rsid w:val="006573A5"/>
    <w:rsid w:val="006577A6"/>
    <w:rsid w:val="00657DE4"/>
    <w:rsid w:val="00657EE3"/>
    <w:rsid w:val="00660066"/>
    <w:rsid w:val="006604D9"/>
    <w:rsid w:val="00660703"/>
    <w:rsid w:val="0066095E"/>
    <w:rsid w:val="006610F1"/>
    <w:rsid w:val="0066116A"/>
    <w:rsid w:val="006612BC"/>
    <w:rsid w:val="0066150A"/>
    <w:rsid w:val="0066159C"/>
    <w:rsid w:val="00661792"/>
    <w:rsid w:val="00661C6B"/>
    <w:rsid w:val="00661EBA"/>
    <w:rsid w:val="006620AE"/>
    <w:rsid w:val="0066210F"/>
    <w:rsid w:val="006627AC"/>
    <w:rsid w:val="006627C8"/>
    <w:rsid w:val="00662D3E"/>
    <w:rsid w:val="00662FF1"/>
    <w:rsid w:val="00663952"/>
    <w:rsid w:val="00663CED"/>
    <w:rsid w:val="00663F7B"/>
    <w:rsid w:val="006644FB"/>
    <w:rsid w:val="0066497C"/>
    <w:rsid w:val="00664CE6"/>
    <w:rsid w:val="00665138"/>
    <w:rsid w:val="00665439"/>
    <w:rsid w:val="006656E0"/>
    <w:rsid w:val="00665971"/>
    <w:rsid w:val="00665C0C"/>
    <w:rsid w:val="00665D31"/>
    <w:rsid w:val="0066637D"/>
    <w:rsid w:val="006664AC"/>
    <w:rsid w:val="00667527"/>
    <w:rsid w:val="00667BE3"/>
    <w:rsid w:val="00667EA3"/>
    <w:rsid w:val="00670257"/>
    <w:rsid w:val="00670496"/>
    <w:rsid w:val="006706D3"/>
    <w:rsid w:val="00670770"/>
    <w:rsid w:val="00670775"/>
    <w:rsid w:val="00670A03"/>
    <w:rsid w:val="00671004"/>
    <w:rsid w:val="0067108A"/>
    <w:rsid w:val="0067185D"/>
    <w:rsid w:val="00671ABC"/>
    <w:rsid w:val="00671B44"/>
    <w:rsid w:val="006723B3"/>
    <w:rsid w:val="00672553"/>
    <w:rsid w:val="00672646"/>
    <w:rsid w:val="00672C81"/>
    <w:rsid w:val="00673A94"/>
    <w:rsid w:val="00673B57"/>
    <w:rsid w:val="006741B9"/>
    <w:rsid w:val="006741F3"/>
    <w:rsid w:val="00674413"/>
    <w:rsid w:val="006744AA"/>
    <w:rsid w:val="0067451A"/>
    <w:rsid w:val="00674DC4"/>
    <w:rsid w:val="00674E42"/>
    <w:rsid w:val="00674F99"/>
    <w:rsid w:val="00674FEA"/>
    <w:rsid w:val="0067526A"/>
    <w:rsid w:val="00675856"/>
    <w:rsid w:val="00676126"/>
    <w:rsid w:val="00676191"/>
    <w:rsid w:val="00676563"/>
    <w:rsid w:val="00676B5A"/>
    <w:rsid w:val="0067736D"/>
    <w:rsid w:val="0067742F"/>
    <w:rsid w:val="006774ED"/>
    <w:rsid w:val="006775FE"/>
    <w:rsid w:val="00677FB0"/>
    <w:rsid w:val="00680091"/>
    <w:rsid w:val="00680258"/>
    <w:rsid w:val="0068040E"/>
    <w:rsid w:val="006813F8"/>
    <w:rsid w:val="006815D9"/>
    <w:rsid w:val="00682112"/>
    <w:rsid w:val="006826ED"/>
    <w:rsid w:val="00682832"/>
    <w:rsid w:val="00682A9A"/>
    <w:rsid w:val="00682ABE"/>
    <w:rsid w:val="00682B12"/>
    <w:rsid w:val="00682BA6"/>
    <w:rsid w:val="00683259"/>
    <w:rsid w:val="00683BE5"/>
    <w:rsid w:val="00683C12"/>
    <w:rsid w:val="00683ED4"/>
    <w:rsid w:val="006843C6"/>
    <w:rsid w:val="0068451B"/>
    <w:rsid w:val="0068454B"/>
    <w:rsid w:val="00684679"/>
    <w:rsid w:val="006846D5"/>
    <w:rsid w:val="00684715"/>
    <w:rsid w:val="006848C0"/>
    <w:rsid w:val="00684C1B"/>
    <w:rsid w:val="0068535B"/>
    <w:rsid w:val="00685525"/>
    <w:rsid w:val="006856DA"/>
    <w:rsid w:val="00685EA8"/>
    <w:rsid w:val="00686878"/>
    <w:rsid w:val="00686957"/>
    <w:rsid w:val="006872BA"/>
    <w:rsid w:val="006872F0"/>
    <w:rsid w:val="00687855"/>
    <w:rsid w:val="006878DB"/>
    <w:rsid w:val="0068793F"/>
    <w:rsid w:val="006902AA"/>
    <w:rsid w:val="006902D1"/>
    <w:rsid w:val="0069063A"/>
    <w:rsid w:val="00690683"/>
    <w:rsid w:val="00690690"/>
    <w:rsid w:val="00690795"/>
    <w:rsid w:val="00690DC1"/>
    <w:rsid w:val="0069109E"/>
    <w:rsid w:val="006915E4"/>
    <w:rsid w:val="00691648"/>
    <w:rsid w:val="006917D7"/>
    <w:rsid w:val="0069291B"/>
    <w:rsid w:val="00693306"/>
    <w:rsid w:val="006936CB"/>
    <w:rsid w:val="0069371D"/>
    <w:rsid w:val="0069434C"/>
    <w:rsid w:val="00694352"/>
    <w:rsid w:val="00694506"/>
    <w:rsid w:val="00694A35"/>
    <w:rsid w:val="00694C29"/>
    <w:rsid w:val="00694F44"/>
    <w:rsid w:val="006952A2"/>
    <w:rsid w:val="006957AF"/>
    <w:rsid w:val="00695D7F"/>
    <w:rsid w:val="00695F42"/>
    <w:rsid w:val="00696091"/>
    <w:rsid w:val="00696313"/>
    <w:rsid w:val="0069657D"/>
    <w:rsid w:val="00696722"/>
    <w:rsid w:val="0069681B"/>
    <w:rsid w:val="00696EF9"/>
    <w:rsid w:val="00696F51"/>
    <w:rsid w:val="00697020"/>
    <w:rsid w:val="006979A5"/>
    <w:rsid w:val="006A016F"/>
    <w:rsid w:val="006A03C7"/>
    <w:rsid w:val="006A052D"/>
    <w:rsid w:val="006A092C"/>
    <w:rsid w:val="006A0B01"/>
    <w:rsid w:val="006A0DF7"/>
    <w:rsid w:val="006A115F"/>
    <w:rsid w:val="006A12D1"/>
    <w:rsid w:val="006A1A37"/>
    <w:rsid w:val="006A1BB4"/>
    <w:rsid w:val="006A2EF1"/>
    <w:rsid w:val="006A3637"/>
    <w:rsid w:val="006A3780"/>
    <w:rsid w:val="006A3EF5"/>
    <w:rsid w:val="006A40D3"/>
    <w:rsid w:val="006A4134"/>
    <w:rsid w:val="006A4321"/>
    <w:rsid w:val="006A4367"/>
    <w:rsid w:val="006A43D9"/>
    <w:rsid w:val="006A449D"/>
    <w:rsid w:val="006A4B1F"/>
    <w:rsid w:val="006A5F32"/>
    <w:rsid w:val="006A6224"/>
    <w:rsid w:val="006A66C0"/>
    <w:rsid w:val="006A6ABB"/>
    <w:rsid w:val="006A6B99"/>
    <w:rsid w:val="006A7556"/>
    <w:rsid w:val="006A79E2"/>
    <w:rsid w:val="006A7E5F"/>
    <w:rsid w:val="006B0817"/>
    <w:rsid w:val="006B0E40"/>
    <w:rsid w:val="006B14DB"/>
    <w:rsid w:val="006B1578"/>
    <w:rsid w:val="006B162F"/>
    <w:rsid w:val="006B20B8"/>
    <w:rsid w:val="006B2539"/>
    <w:rsid w:val="006B261B"/>
    <w:rsid w:val="006B2826"/>
    <w:rsid w:val="006B2884"/>
    <w:rsid w:val="006B29C4"/>
    <w:rsid w:val="006B2C90"/>
    <w:rsid w:val="006B2CEB"/>
    <w:rsid w:val="006B2D77"/>
    <w:rsid w:val="006B2DB9"/>
    <w:rsid w:val="006B3190"/>
    <w:rsid w:val="006B3330"/>
    <w:rsid w:val="006B35DB"/>
    <w:rsid w:val="006B35E6"/>
    <w:rsid w:val="006B366F"/>
    <w:rsid w:val="006B367D"/>
    <w:rsid w:val="006B3D61"/>
    <w:rsid w:val="006B420D"/>
    <w:rsid w:val="006B465A"/>
    <w:rsid w:val="006B50C0"/>
    <w:rsid w:val="006B55F8"/>
    <w:rsid w:val="006B5ABC"/>
    <w:rsid w:val="006B6040"/>
    <w:rsid w:val="006B61A9"/>
    <w:rsid w:val="006B643B"/>
    <w:rsid w:val="006B67DC"/>
    <w:rsid w:val="006B6A7C"/>
    <w:rsid w:val="006B6BAA"/>
    <w:rsid w:val="006B6DD0"/>
    <w:rsid w:val="006B6ECF"/>
    <w:rsid w:val="006B7306"/>
    <w:rsid w:val="006B7329"/>
    <w:rsid w:val="006B73E6"/>
    <w:rsid w:val="006B76BA"/>
    <w:rsid w:val="006B7A3B"/>
    <w:rsid w:val="006B7DF9"/>
    <w:rsid w:val="006B7E17"/>
    <w:rsid w:val="006C0399"/>
    <w:rsid w:val="006C067F"/>
    <w:rsid w:val="006C0688"/>
    <w:rsid w:val="006C13BE"/>
    <w:rsid w:val="006C1475"/>
    <w:rsid w:val="006C158E"/>
    <w:rsid w:val="006C1CF3"/>
    <w:rsid w:val="006C1D02"/>
    <w:rsid w:val="006C2A8E"/>
    <w:rsid w:val="006C3255"/>
    <w:rsid w:val="006C3687"/>
    <w:rsid w:val="006C3772"/>
    <w:rsid w:val="006C3F26"/>
    <w:rsid w:val="006C41DA"/>
    <w:rsid w:val="006C4390"/>
    <w:rsid w:val="006C4A82"/>
    <w:rsid w:val="006C4C97"/>
    <w:rsid w:val="006C4F15"/>
    <w:rsid w:val="006C5330"/>
    <w:rsid w:val="006C5C8A"/>
    <w:rsid w:val="006C636C"/>
    <w:rsid w:val="006C639C"/>
    <w:rsid w:val="006C65A4"/>
    <w:rsid w:val="006C681C"/>
    <w:rsid w:val="006C68A6"/>
    <w:rsid w:val="006C74D2"/>
    <w:rsid w:val="006C7997"/>
    <w:rsid w:val="006C7BEB"/>
    <w:rsid w:val="006D0D17"/>
    <w:rsid w:val="006D1010"/>
    <w:rsid w:val="006D1D9E"/>
    <w:rsid w:val="006D28CE"/>
    <w:rsid w:val="006D28E4"/>
    <w:rsid w:val="006D35F6"/>
    <w:rsid w:val="006D368E"/>
    <w:rsid w:val="006D38D5"/>
    <w:rsid w:val="006D3C7D"/>
    <w:rsid w:val="006D3D07"/>
    <w:rsid w:val="006D4220"/>
    <w:rsid w:val="006D43F7"/>
    <w:rsid w:val="006D4659"/>
    <w:rsid w:val="006D4852"/>
    <w:rsid w:val="006D4C6B"/>
    <w:rsid w:val="006D4CA8"/>
    <w:rsid w:val="006D50A3"/>
    <w:rsid w:val="006D52C1"/>
    <w:rsid w:val="006D5449"/>
    <w:rsid w:val="006D5CC7"/>
    <w:rsid w:val="006D5D5F"/>
    <w:rsid w:val="006D63B3"/>
    <w:rsid w:val="006D68FB"/>
    <w:rsid w:val="006D69AB"/>
    <w:rsid w:val="006D6A05"/>
    <w:rsid w:val="006D73DE"/>
    <w:rsid w:val="006D7A78"/>
    <w:rsid w:val="006E0681"/>
    <w:rsid w:val="006E0931"/>
    <w:rsid w:val="006E2165"/>
    <w:rsid w:val="006E2225"/>
    <w:rsid w:val="006E23AD"/>
    <w:rsid w:val="006E2868"/>
    <w:rsid w:val="006E2EAF"/>
    <w:rsid w:val="006E2F6E"/>
    <w:rsid w:val="006E3021"/>
    <w:rsid w:val="006E31D0"/>
    <w:rsid w:val="006E32CD"/>
    <w:rsid w:val="006E337C"/>
    <w:rsid w:val="006E35E4"/>
    <w:rsid w:val="006E3944"/>
    <w:rsid w:val="006E3985"/>
    <w:rsid w:val="006E3C84"/>
    <w:rsid w:val="006E3C88"/>
    <w:rsid w:val="006E4EC5"/>
    <w:rsid w:val="006E4FA2"/>
    <w:rsid w:val="006E5037"/>
    <w:rsid w:val="006E5215"/>
    <w:rsid w:val="006E52FC"/>
    <w:rsid w:val="006E5446"/>
    <w:rsid w:val="006E55E5"/>
    <w:rsid w:val="006E5961"/>
    <w:rsid w:val="006E5966"/>
    <w:rsid w:val="006E5A5C"/>
    <w:rsid w:val="006E5ABE"/>
    <w:rsid w:val="006E5ED4"/>
    <w:rsid w:val="006E60EB"/>
    <w:rsid w:val="006E634A"/>
    <w:rsid w:val="006E6E84"/>
    <w:rsid w:val="006E78E7"/>
    <w:rsid w:val="006E7C5C"/>
    <w:rsid w:val="006F0871"/>
    <w:rsid w:val="006F158F"/>
    <w:rsid w:val="006F17BF"/>
    <w:rsid w:val="006F1994"/>
    <w:rsid w:val="006F1B3C"/>
    <w:rsid w:val="006F1C47"/>
    <w:rsid w:val="006F21F8"/>
    <w:rsid w:val="006F2573"/>
    <w:rsid w:val="006F29E5"/>
    <w:rsid w:val="006F304A"/>
    <w:rsid w:val="006F306C"/>
    <w:rsid w:val="006F3174"/>
    <w:rsid w:val="006F33CC"/>
    <w:rsid w:val="006F34DB"/>
    <w:rsid w:val="006F4105"/>
    <w:rsid w:val="006F4198"/>
    <w:rsid w:val="006F4AD2"/>
    <w:rsid w:val="006F53B5"/>
    <w:rsid w:val="006F552F"/>
    <w:rsid w:val="006F5956"/>
    <w:rsid w:val="006F5F97"/>
    <w:rsid w:val="006F62BB"/>
    <w:rsid w:val="006F63A5"/>
    <w:rsid w:val="006F6570"/>
    <w:rsid w:val="006F6914"/>
    <w:rsid w:val="006F6D71"/>
    <w:rsid w:val="006F75A9"/>
    <w:rsid w:val="006F78B2"/>
    <w:rsid w:val="006F7C23"/>
    <w:rsid w:val="006F7D06"/>
    <w:rsid w:val="007006A8"/>
    <w:rsid w:val="007008A0"/>
    <w:rsid w:val="007008DE"/>
    <w:rsid w:val="00700BFA"/>
    <w:rsid w:val="00700D4E"/>
    <w:rsid w:val="00701193"/>
    <w:rsid w:val="0070142B"/>
    <w:rsid w:val="00701517"/>
    <w:rsid w:val="0070276E"/>
    <w:rsid w:val="00702D0F"/>
    <w:rsid w:val="00702F65"/>
    <w:rsid w:val="00702F8F"/>
    <w:rsid w:val="00704656"/>
    <w:rsid w:val="00704725"/>
    <w:rsid w:val="007048D3"/>
    <w:rsid w:val="007051B6"/>
    <w:rsid w:val="0070553F"/>
    <w:rsid w:val="0070565C"/>
    <w:rsid w:val="00705E3B"/>
    <w:rsid w:val="00706B60"/>
    <w:rsid w:val="00707120"/>
    <w:rsid w:val="0070712A"/>
    <w:rsid w:val="007074BE"/>
    <w:rsid w:val="00707519"/>
    <w:rsid w:val="007077A5"/>
    <w:rsid w:val="007079FC"/>
    <w:rsid w:val="00707F00"/>
    <w:rsid w:val="00707F1F"/>
    <w:rsid w:val="00707FD5"/>
    <w:rsid w:val="00710360"/>
    <w:rsid w:val="007103BE"/>
    <w:rsid w:val="007104AA"/>
    <w:rsid w:val="00710D33"/>
    <w:rsid w:val="00710E23"/>
    <w:rsid w:val="0071124F"/>
    <w:rsid w:val="007112B6"/>
    <w:rsid w:val="00711410"/>
    <w:rsid w:val="00711A36"/>
    <w:rsid w:val="00711CDA"/>
    <w:rsid w:val="00712475"/>
    <w:rsid w:val="007125D3"/>
    <w:rsid w:val="007128F8"/>
    <w:rsid w:val="00712B69"/>
    <w:rsid w:val="00712F06"/>
    <w:rsid w:val="00713EC2"/>
    <w:rsid w:val="007147F3"/>
    <w:rsid w:val="00714C26"/>
    <w:rsid w:val="00714E40"/>
    <w:rsid w:val="0071529C"/>
    <w:rsid w:val="0071533A"/>
    <w:rsid w:val="00715666"/>
    <w:rsid w:val="00715751"/>
    <w:rsid w:val="00715B89"/>
    <w:rsid w:val="00716167"/>
    <w:rsid w:val="00716A26"/>
    <w:rsid w:val="007170DA"/>
    <w:rsid w:val="007172AD"/>
    <w:rsid w:val="0071753B"/>
    <w:rsid w:val="00717546"/>
    <w:rsid w:val="00717559"/>
    <w:rsid w:val="00717A26"/>
    <w:rsid w:val="00717D95"/>
    <w:rsid w:val="00717EE6"/>
    <w:rsid w:val="007200DE"/>
    <w:rsid w:val="0072031E"/>
    <w:rsid w:val="00720801"/>
    <w:rsid w:val="00720BCA"/>
    <w:rsid w:val="00721246"/>
    <w:rsid w:val="007213D5"/>
    <w:rsid w:val="0072148A"/>
    <w:rsid w:val="007216B1"/>
    <w:rsid w:val="00721CAE"/>
    <w:rsid w:val="0072234B"/>
    <w:rsid w:val="00722403"/>
    <w:rsid w:val="0072275B"/>
    <w:rsid w:val="0072279E"/>
    <w:rsid w:val="007227B2"/>
    <w:rsid w:val="00722B1B"/>
    <w:rsid w:val="00722B42"/>
    <w:rsid w:val="00722C67"/>
    <w:rsid w:val="00722E29"/>
    <w:rsid w:val="00723107"/>
    <w:rsid w:val="007233C6"/>
    <w:rsid w:val="00723537"/>
    <w:rsid w:val="00723A2C"/>
    <w:rsid w:val="00723B29"/>
    <w:rsid w:val="00723C79"/>
    <w:rsid w:val="0072416F"/>
    <w:rsid w:val="007241EE"/>
    <w:rsid w:val="007242CC"/>
    <w:rsid w:val="00724692"/>
    <w:rsid w:val="00725072"/>
    <w:rsid w:val="007250A8"/>
    <w:rsid w:val="00726A96"/>
    <w:rsid w:val="00727345"/>
    <w:rsid w:val="00727554"/>
    <w:rsid w:val="00727907"/>
    <w:rsid w:val="00727C94"/>
    <w:rsid w:val="007303DF"/>
    <w:rsid w:val="00731647"/>
    <w:rsid w:val="00731765"/>
    <w:rsid w:val="00731B0A"/>
    <w:rsid w:val="00731EAE"/>
    <w:rsid w:val="007320E1"/>
    <w:rsid w:val="0073289A"/>
    <w:rsid w:val="007329C5"/>
    <w:rsid w:val="00733073"/>
    <w:rsid w:val="007333EC"/>
    <w:rsid w:val="007335B2"/>
    <w:rsid w:val="00733CA8"/>
    <w:rsid w:val="00733FA2"/>
    <w:rsid w:val="007340AF"/>
    <w:rsid w:val="00734A28"/>
    <w:rsid w:val="0073500B"/>
    <w:rsid w:val="00735033"/>
    <w:rsid w:val="00735328"/>
    <w:rsid w:val="0073569A"/>
    <w:rsid w:val="00735CFB"/>
    <w:rsid w:val="00735EA0"/>
    <w:rsid w:val="00735F20"/>
    <w:rsid w:val="007361AF"/>
    <w:rsid w:val="007362D9"/>
    <w:rsid w:val="00736363"/>
    <w:rsid w:val="007367C2"/>
    <w:rsid w:val="0073685B"/>
    <w:rsid w:val="0073688B"/>
    <w:rsid w:val="00736B65"/>
    <w:rsid w:val="00736DA2"/>
    <w:rsid w:val="00737096"/>
    <w:rsid w:val="00737165"/>
    <w:rsid w:val="00737B8A"/>
    <w:rsid w:val="00737CC9"/>
    <w:rsid w:val="00737D18"/>
    <w:rsid w:val="00737E81"/>
    <w:rsid w:val="00737FED"/>
    <w:rsid w:val="007401E9"/>
    <w:rsid w:val="00740662"/>
    <w:rsid w:val="007406E1"/>
    <w:rsid w:val="007409CE"/>
    <w:rsid w:val="00740BBF"/>
    <w:rsid w:val="00740D96"/>
    <w:rsid w:val="0074155D"/>
    <w:rsid w:val="00741B24"/>
    <w:rsid w:val="00741E45"/>
    <w:rsid w:val="007421F5"/>
    <w:rsid w:val="0074229A"/>
    <w:rsid w:val="007423C8"/>
    <w:rsid w:val="007425DC"/>
    <w:rsid w:val="0074310A"/>
    <w:rsid w:val="00743797"/>
    <w:rsid w:val="00743A7E"/>
    <w:rsid w:val="0074420E"/>
    <w:rsid w:val="0074448C"/>
    <w:rsid w:val="0074455E"/>
    <w:rsid w:val="007449BF"/>
    <w:rsid w:val="00744D7C"/>
    <w:rsid w:val="00744E85"/>
    <w:rsid w:val="007456AD"/>
    <w:rsid w:val="007463FE"/>
    <w:rsid w:val="007464F4"/>
    <w:rsid w:val="00746633"/>
    <w:rsid w:val="007466BE"/>
    <w:rsid w:val="00746BC0"/>
    <w:rsid w:val="00747187"/>
    <w:rsid w:val="007473B8"/>
    <w:rsid w:val="007474F3"/>
    <w:rsid w:val="00747B15"/>
    <w:rsid w:val="00747D3E"/>
    <w:rsid w:val="0075047C"/>
    <w:rsid w:val="007509F0"/>
    <w:rsid w:val="00750B37"/>
    <w:rsid w:val="007510B4"/>
    <w:rsid w:val="0075166E"/>
    <w:rsid w:val="007517DB"/>
    <w:rsid w:val="0075192E"/>
    <w:rsid w:val="007519E6"/>
    <w:rsid w:val="00751CCB"/>
    <w:rsid w:val="00751E8E"/>
    <w:rsid w:val="007520EB"/>
    <w:rsid w:val="00752142"/>
    <w:rsid w:val="00752143"/>
    <w:rsid w:val="007523F9"/>
    <w:rsid w:val="00752513"/>
    <w:rsid w:val="007525CF"/>
    <w:rsid w:val="00752843"/>
    <w:rsid w:val="00752AE4"/>
    <w:rsid w:val="00752CDC"/>
    <w:rsid w:val="00752E3E"/>
    <w:rsid w:val="007532ED"/>
    <w:rsid w:val="0075357E"/>
    <w:rsid w:val="00753B29"/>
    <w:rsid w:val="00754013"/>
    <w:rsid w:val="00754624"/>
    <w:rsid w:val="00754B03"/>
    <w:rsid w:val="00754B54"/>
    <w:rsid w:val="007555C9"/>
    <w:rsid w:val="00755A74"/>
    <w:rsid w:val="00755C9F"/>
    <w:rsid w:val="007564D1"/>
    <w:rsid w:val="00756940"/>
    <w:rsid w:val="007572BF"/>
    <w:rsid w:val="007573E8"/>
    <w:rsid w:val="007574A9"/>
    <w:rsid w:val="007574EC"/>
    <w:rsid w:val="007575A3"/>
    <w:rsid w:val="0075787D"/>
    <w:rsid w:val="007604A6"/>
    <w:rsid w:val="00760745"/>
    <w:rsid w:val="00760798"/>
    <w:rsid w:val="007607A2"/>
    <w:rsid w:val="00760828"/>
    <w:rsid w:val="0076089B"/>
    <w:rsid w:val="00760A95"/>
    <w:rsid w:val="00760C4E"/>
    <w:rsid w:val="00760F9E"/>
    <w:rsid w:val="007612A9"/>
    <w:rsid w:val="007616E6"/>
    <w:rsid w:val="00761A69"/>
    <w:rsid w:val="00761BA3"/>
    <w:rsid w:val="00761FCA"/>
    <w:rsid w:val="0076230D"/>
    <w:rsid w:val="007627BE"/>
    <w:rsid w:val="00762C9F"/>
    <w:rsid w:val="00762D89"/>
    <w:rsid w:val="007635EF"/>
    <w:rsid w:val="00763CB2"/>
    <w:rsid w:val="00763D4E"/>
    <w:rsid w:val="00763E5F"/>
    <w:rsid w:val="0076438F"/>
    <w:rsid w:val="00764659"/>
    <w:rsid w:val="007649A7"/>
    <w:rsid w:val="00764A4A"/>
    <w:rsid w:val="00764B5C"/>
    <w:rsid w:val="00764F03"/>
    <w:rsid w:val="00765435"/>
    <w:rsid w:val="00765B1A"/>
    <w:rsid w:val="00765DC1"/>
    <w:rsid w:val="007667DC"/>
    <w:rsid w:val="00766A44"/>
    <w:rsid w:val="00767024"/>
    <w:rsid w:val="00767898"/>
    <w:rsid w:val="00767DB8"/>
    <w:rsid w:val="00767EF6"/>
    <w:rsid w:val="0077022C"/>
    <w:rsid w:val="00770408"/>
    <w:rsid w:val="00770CB4"/>
    <w:rsid w:val="0077136F"/>
    <w:rsid w:val="0077162A"/>
    <w:rsid w:val="00771833"/>
    <w:rsid w:val="0077194D"/>
    <w:rsid w:val="00771B18"/>
    <w:rsid w:val="00772A36"/>
    <w:rsid w:val="00772A70"/>
    <w:rsid w:val="00772E28"/>
    <w:rsid w:val="00772EFF"/>
    <w:rsid w:val="007731FB"/>
    <w:rsid w:val="007732F3"/>
    <w:rsid w:val="00773530"/>
    <w:rsid w:val="00773DA5"/>
    <w:rsid w:val="00773E5D"/>
    <w:rsid w:val="00774014"/>
    <w:rsid w:val="0077554C"/>
    <w:rsid w:val="00775D40"/>
    <w:rsid w:val="00775F8F"/>
    <w:rsid w:val="007764DE"/>
    <w:rsid w:val="00776A29"/>
    <w:rsid w:val="00776CF8"/>
    <w:rsid w:val="00776DB2"/>
    <w:rsid w:val="007770C2"/>
    <w:rsid w:val="007772C7"/>
    <w:rsid w:val="00777335"/>
    <w:rsid w:val="00777C11"/>
    <w:rsid w:val="0078029D"/>
    <w:rsid w:val="00780370"/>
    <w:rsid w:val="00780999"/>
    <w:rsid w:val="00780A40"/>
    <w:rsid w:val="00780A86"/>
    <w:rsid w:val="00780DD0"/>
    <w:rsid w:val="0078199B"/>
    <w:rsid w:val="00781F11"/>
    <w:rsid w:val="00782091"/>
    <w:rsid w:val="007821EB"/>
    <w:rsid w:val="007822CC"/>
    <w:rsid w:val="007826D2"/>
    <w:rsid w:val="0078270C"/>
    <w:rsid w:val="00783157"/>
    <w:rsid w:val="007836B7"/>
    <w:rsid w:val="00783A32"/>
    <w:rsid w:val="00783BBD"/>
    <w:rsid w:val="00783C0A"/>
    <w:rsid w:val="00783DC2"/>
    <w:rsid w:val="007843F2"/>
    <w:rsid w:val="007844E4"/>
    <w:rsid w:val="007846FA"/>
    <w:rsid w:val="007848C8"/>
    <w:rsid w:val="00784C1E"/>
    <w:rsid w:val="007850D8"/>
    <w:rsid w:val="007854B6"/>
    <w:rsid w:val="007858DE"/>
    <w:rsid w:val="007859BE"/>
    <w:rsid w:val="00785A2B"/>
    <w:rsid w:val="00785A9F"/>
    <w:rsid w:val="007863EE"/>
    <w:rsid w:val="007865F8"/>
    <w:rsid w:val="00786728"/>
    <w:rsid w:val="00786EA7"/>
    <w:rsid w:val="007877A0"/>
    <w:rsid w:val="007878A2"/>
    <w:rsid w:val="00787AAF"/>
    <w:rsid w:val="00787B4B"/>
    <w:rsid w:val="00787F80"/>
    <w:rsid w:val="00787FD1"/>
    <w:rsid w:val="00790557"/>
    <w:rsid w:val="00790B21"/>
    <w:rsid w:val="00791008"/>
    <w:rsid w:val="00791097"/>
    <w:rsid w:val="00791863"/>
    <w:rsid w:val="007924D3"/>
    <w:rsid w:val="007925DF"/>
    <w:rsid w:val="00792BA5"/>
    <w:rsid w:val="00792E08"/>
    <w:rsid w:val="00792E3D"/>
    <w:rsid w:val="00793038"/>
    <w:rsid w:val="0079333F"/>
    <w:rsid w:val="00793675"/>
    <w:rsid w:val="0079380C"/>
    <w:rsid w:val="0079410D"/>
    <w:rsid w:val="0079412C"/>
    <w:rsid w:val="007943DB"/>
    <w:rsid w:val="00794E57"/>
    <w:rsid w:val="00795404"/>
    <w:rsid w:val="00796501"/>
    <w:rsid w:val="00796DBC"/>
    <w:rsid w:val="007973F1"/>
    <w:rsid w:val="00797958"/>
    <w:rsid w:val="00797BB0"/>
    <w:rsid w:val="007A089C"/>
    <w:rsid w:val="007A08AA"/>
    <w:rsid w:val="007A0A12"/>
    <w:rsid w:val="007A0E79"/>
    <w:rsid w:val="007A10A2"/>
    <w:rsid w:val="007A132D"/>
    <w:rsid w:val="007A1345"/>
    <w:rsid w:val="007A1467"/>
    <w:rsid w:val="007A1B10"/>
    <w:rsid w:val="007A21D1"/>
    <w:rsid w:val="007A2352"/>
    <w:rsid w:val="007A275D"/>
    <w:rsid w:val="007A2CFA"/>
    <w:rsid w:val="007A2DDB"/>
    <w:rsid w:val="007A2EB1"/>
    <w:rsid w:val="007A2FC5"/>
    <w:rsid w:val="007A379B"/>
    <w:rsid w:val="007A3A4C"/>
    <w:rsid w:val="007A3D6B"/>
    <w:rsid w:val="007A4104"/>
    <w:rsid w:val="007A46BF"/>
    <w:rsid w:val="007A4ECB"/>
    <w:rsid w:val="007A50FE"/>
    <w:rsid w:val="007A5109"/>
    <w:rsid w:val="007A5432"/>
    <w:rsid w:val="007A54F6"/>
    <w:rsid w:val="007A5ABF"/>
    <w:rsid w:val="007A610B"/>
    <w:rsid w:val="007A6390"/>
    <w:rsid w:val="007A6AEC"/>
    <w:rsid w:val="007A6CF8"/>
    <w:rsid w:val="007A6D23"/>
    <w:rsid w:val="007A70BA"/>
    <w:rsid w:val="007A7264"/>
    <w:rsid w:val="007A747F"/>
    <w:rsid w:val="007A76C6"/>
    <w:rsid w:val="007A7990"/>
    <w:rsid w:val="007A7AD9"/>
    <w:rsid w:val="007B01BE"/>
    <w:rsid w:val="007B05A3"/>
    <w:rsid w:val="007B05EF"/>
    <w:rsid w:val="007B0B74"/>
    <w:rsid w:val="007B0B82"/>
    <w:rsid w:val="007B0C09"/>
    <w:rsid w:val="007B0C8E"/>
    <w:rsid w:val="007B0D52"/>
    <w:rsid w:val="007B0D68"/>
    <w:rsid w:val="007B0F89"/>
    <w:rsid w:val="007B1030"/>
    <w:rsid w:val="007B19B3"/>
    <w:rsid w:val="007B1B8F"/>
    <w:rsid w:val="007B1F65"/>
    <w:rsid w:val="007B21D9"/>
    <w:rsid w:val="007B251D"/>
    <w:rsid w:val="007B288C"/>
    <w:rsid w:val="007B2CEC"/>
    <w:rsid w:val="007B3533"/>
    <w:rsid w:val="007B37F3"/>
    <w:rsid w:val="007B3962"/>
    <w:rsid w:val="007B3CDA"/>
    <w:rsid w:val="007B42AC"/>
    <w:rsid w:val="007B4576"/>
    <w:rsid w:val="007B4A0F"/>
    <w:rsid w:val="007B4F58"/>
    <w:rsid w:val="007B5281"/>
    <w:rsid w:val="007B528D"/>
    <w:rsid w:val="007B551F"/>
    <w:rsid w:val="007B5C06"/>
    <w:rsid w:val="007B621A"/>
    <w:rsid w:val="007B63CA"/>
    <w:rsid w:val="007B63D1"/>
    <w:rsid w:val="007B652C"/>
    <w:rsid w:val="007B71B3"/>
    <w:rsid w:val="007B7491"/>
    <w:rsid w:val="007B755D"/>
    <w:rsid w:val="007B77D1"/>
    <w:rsid w:val="007C0436"/>
    <w:rsid w:val="007C07C0"/>
    <w:rsid w:val="007C07C7"/>
    <w:rsid w:val="007C0CB5"/>
    <w:rsid w:val="007C1056"/>
    <w:rsid w:val="007C17B4"/>
    <w:rsid w:val="007C1CD9"/>
    <w:rsid w:val="007C2392"/>
    <w:rsid w:val="007C2758"/>
    <w:rsid w:val="007C277E"/>
    <w:rsid w:val="007C2A39"/>
    <w:rsid w:val="007C2C3B"/>
    <w:rsid w:val="007C2D89"/>
    <w:rsid w:val="007C2E63"/>
    <w:rsid w:val="007C3117"/>
    <w:rsid w:val="007C32EF"/>
    <w:rsid w:val="007C361D"/>
    <w:rsid w:val="007C395E"/>
    <w:rsid w:val="007C4009"/>
    <w:rsid w:val="007C486C"/>
    <w:rsid w:val="007C4B84"/>
    <w:rsid w:val="007C4CBC"/>
    <w:rsid w:val="007C5182"/>
    <w:rsid w:val="007C53BB"/>
    <w:rsid w:val="007C57AD"/>
    <w:rsid w:val="007C5BB1"/>
    <w:rsid w:val="007C5CFD"/>
    <w:rsid w:val="007C658B"/>
    <w:rsid w:val="007C66E8"/>
    <w:rsid w:val="007C6759"/>
    <w:rsid w:val="007C68C7"/>
    <w:rsid w:val="007C70FF"/>
    <w:rsid w:val="007C7259"/>
    <w:rsid w:val="007C777A"/>
    <w:rsid w:val="007C7A19"/>
    <w:rsid w:val="007C7C25"/>
    <w:rsid w:val="007D004F"/>
    <w:rsid w:val="007D035F"/>
    <w:rsid w:val="007D06B2"/>
    <w:rsid w:val="007D0B38"/>
    <w:rsid w:val="007D0C5A"/>
    <w:rsid w:val="007D11F7"/>
    <w:rsid w:val="007D13B6"/>
    <w:rsid w:val="007D156E"/>
    <w:rsid w:val="007D17E0"/>
    <w:rsid w:val="007D1C82"/>
    <w:rsid w:val="007D25C5"/>
    <w:rsid w:val="007D2898"/>
    <w:rsid w:val="007D2DBE"/>
    <w:rsid w:val="007D2F63"/>
    <w:rsid w:val="007D323E"/>
    <w:rsid w:val="007D3A10"/>
    <w:rsid w:val="007D48D8"/>
    <w:rsid w:val="007D48F1"/>
    <w:rsid w:val="007D4FC6"/>
    <w:rsid w:val="007D5287"/>
    <w:rsid w:val="007D5440"/>
    <w:rsid w:val="007D596C"/>
    <w:rsid w:val="007D649B"/>
    <w:rsid w:val="007D6532"/>
    <w:rsid w:val="007D67A3"/>
    <w:rsid w:val="007D68E2"/>
    <w:rsid w:val="007D68EF"/>
    <w:rsid w:val="007D69EB"/>
    <w:rsid w:val="007D6A99"/>
    <w:rsid w:val="007D6D70"/>
    <w:rsid w:val="007D70A2"/>
    <w:rsid w:val="007E0EC4"/>
    <w:rsid w:val="007E1235"/>
    <w:rsid w:val="007E128F"/>
    <w:rsid w:val="007E129C"/>
    <w:rsid w:val="007E16BE"/>
    <w:rsid w:val="007E186A"/>
    <w:rsid w:val="007E1E45"/>
    <w:rsid w:val="007E1FB4"/>
    <w:rsid w:val="007E235A"/>
    <w:rsid w:val="007E2B35"/>
    <w:rsid w:val="007E3D71"/>
    <w:rsid w:val="007E4013"/>
    <w:rsid w:val="007E4486"/>
    <w:rsid w:val="007E4748"/>
    <w:rsid w:val="007E4BEB"/>
    <w:rsid w:val="007E5302"/>
    <w:rsid w:val="007E5C3D"/>
    <w:rsid w:val="007E5C84"/>
    <w:rsid w:val="007E5ECE"/>
    <w:rsid w:val="007E5F57"/>
    <w:rsid w:val="007E60E5"/>
    <w:rsid w:val="007E62F5"/>
    <w:rsid w:val="007E675B"/>
    <w:rsid w:val="007E6785"/>
    <w:rsid w:val="007E6AC7"/>
    <w:rsid w:val="007E6D1F"/>
    <w:rsid w:val="007E6FE9"/>
    <w:rsid w:val="007E7111"/>
    <w:rsid w:val="007E77AB"/>
    <w:rsid w:val="007E7ABF"/>
    <w:rsid w:val="007F019D"/>
    <w:rsid w:val="007F06BB"/>
    <w:rsid w:val="007F0829"/>
    <w:rsid w:val="007F0D9B"/>
    <w:rsid w:val="007F0EF3"/>
    <w:rsid w:val="007F1017"/>
    <w:rsid w:val="007F10F0"/>
    <w:rsid w:val="007F1149"/>
    <w:rsid w:val="007F1207"/>
    <w:rsid w:val="007F12B3"/>
    <w:rsid w:val="007F1D51"/>
    <w:rsid w:val="007F1DDF"/>
    <w:rsid w:val="007F20EA"/>
    <w:rsid w:val="007F29AE"/>
    <w:rsid w:val="007F2EAF"/>
    <w:rsid w:val="007F3640"/>
    <w:rsid w:val="007F3A92"/>
    <w:rsid w:val="007F3EB0"/>
    <w:rsid w:val="007F3EE4"/>
    <w:rsid w:val="007F469C"/>
    <w:rsid w:val="007F4A3F"/>
    <w:rsid w:val="007F4A61"/>
    <w:rsid w:val="007F5169"/>
    <w:rsid w:val="007F5255"/>
    <w:rsid w:val="007F56CC"/>
    <w:rsid w:val="007F5729"/>
    <w:rsid w:val="007F61C2"/>
    <w:rsid w:val="007F6794"/>
    <w:rsid w:val="007F6EDE"/>
    <w:rsid w:val="007F746A"/>
    <w:rsid w:val="007F7768"/>
    <w:rsid w:val="00800536"/>
    <w:rsid w:val="00800899"/>
    <w:rsid w:val="00800C88"/>
    <w:rsid w:val="00800DEE"/>
    <w:rsid w:val="00802B49"/>
    <w:rsid w:val="00802C56"/>
    <w:rsid w:val="0080326E"/>
    <w:rsid w:val="0080361B"/>
    <w:rsid w:val="00803E51"/>
    <w:rsid w:val="00804090"/>
    <w:rsid w:val="00804B2E"/>
    <w:rsid w:val="00804E37"/>
    <w:rsid w:val="0080501A"/>
    <w:rsid w:val="00805142"/>
    <w:rsid w:val="0080566B"/>
    <w:rsid w:val="00805BE9"/>
    <w:rsid w:val="00805D49"/>
    <w:rsid w:val="00805E4B"/>
    <w:rsid w:val="00805FCE"/>
    <w:rsid w:val="00806574"/>
    <w:rsid w:val="0080671D"/>
    <w:rsid w:val="00806743"/>
    <w:rsid w:val="008070D3"/>
    <w:rsid w:val="008072B6"/>
    <w:rsid w:val="00807A8B"/>
    <w:rsid w:val="008102D5"/>
    <w:rsid w:val="00810513"/>
    <w:rsid w:val="00810770"/>
    <w:rsid w:val="00810AEA"/>
    <w:rsid w:val="00810D5C"/>
    <w:rsid w:val="0081130A"/>
    <w:rsid w:val="00811383"/>
    <w:rsid w:val="0081142B"/>
    <w:rsid w:val="008114E8"/>
    <w:rsid w:val="0081204A"/>
    <w:rsid w:val="00812149"/>
    <w:rsid w:val="008122C8"/>
    <w:rsid w:val="008124DC"/>
    <w:rsid w:val="00812CAC"/>
    <w:rsid w:val="00812CBE"/>
    <w:rsid w:val="00812E04"/>
    <w:rsid w:val="00812EC9"/>
    <w:rsid w:val="00813105"/>
    <w:rsid w:val="008136EA"/>
    <w:rsid w:val="008139D9"/>
    <w:rsid w:val="00813FE3"/>
    <w:rsid w:val="00814468"/>
    <w:rsid w:val="00814631"/>
    <w:rsid w:val="0081469B"/>
    <w:rsid w:val="00814BDF"/>
    <w:rsid w:val="00814C3D"/>
    <w:rsid w:val="00814DA1"/>
    <w:rsid w:val="0081549E"/>
    <w:rsid w:val="0081580E"/>
    <w:rsid w:val="008159A7"/>
    <w:rsid w:val="00815ACA"/>
    <w:rsid w:val="00816361"/>
    <w:rsid w:val="008166EF"/>
    <w:rsid w:val="0081689F"/>
    <w:rsid w:val="00816C81"/>
    <w:rsid w:val="00816FEF"/>
    <w:rsid w:val="00817510"/>
    <w:rsid w:val="00817C02"/>
    <w:rsid w:val="00817CCF"/>
    <w:rsid w:val="00817F33"/>
    <w:rsid w:val="00817F83"/>
    <w:rsid w:val="00820618"/>
    <w:rsid w:val="00820A8C"/>
    <w:rsid w:val="0082107F"/>
    <w:rsid w:val="008215FB"/>
    <w:rsid w:val="00821883"/>
    <w:rsid w:val="008219E2"/>
    <w:rsid w:val="0082205E"/>
    <w:rsid w:val="008220CC"/>
    <w:rsid w:val="008221FD"/>
    <w:rsid w:val="0082255E"/>
    <w:rsid w:val="00822AFB"/>
    <w:rsid w:val="00822DF6"/>
    <w:rsid w:val="00823174"/>
    <w:rsid w:val="00823267"/>
    <w:rsid w:val="008233C1"/>
    <w:rsid w:val="008234F3"/>
    <w:rsid w:val="00823975"/>
    <w:rsid w:val="00823EDD"/>
    <w:rsid w:val="008243AA"/>
    <w:rsid w:val="00824435"/>
    <w:rsid w:val="00824970"/>
    <w:rsid w:val="00824AB3"/>
    <w:rsid w:val="00824D09"/>
    <w:rsid w:val="008252D3"/>
    <w:rsid w:val="00825538"/>
    <w:rsid w:val="008256F9"/>
    <w:rsid w:val="0082571F"/>
    <w:rsid w:val="00825751"/>
    <w:rsid w:val="00826415"/>
    <w:rsid w:val="008264EB"/>
    <w:rsid w:val="008268B1"/>
    <w:rsid w:val="008268CE"/>
    <w:rsid w:val="0082726E"/>
    <w:rsid w:val="008273D6"/>
    <w:rsid w:val="00827C23"/>
    <w:rsid w:val="00827CB6"/>
    <w:rsid w:val="0083006D"/>
    <w:rsid w:val="008302D2"/>
    <w:rsid w:val="008303C9"/>
    <w:rsid w:val="008305C8"/>
    <w:rsid w:val="00830772"/>
    <w:rsid w:val="00830978"/>
    <w:rsid w:val="00830B92"/>
    <w:rsid w:val="00830E4E"/>
    <w:rsid w:val="00831D1E"/>
    <w:rsid w:val="008321E5"/>
    <w:rsid w:val="00832A26"/>
    <w:rsid w:val="00832A6F"/>
    <w:rsid w:val="00832B0D"/>
    <w:rsid w:val="00833142"/>
    <w:rsid w:val="00833B05"/>
    <w:rsid w:val="00833E16"/>
    <w:rsid w:val="00834AEA"/>
    <w:rsid w:val="00834D06"/>
    <w:rsid w:val="0083576C"/>
    <w:rsid w:val="008358BF"/>
    <w:rsid w:val="00835989"/>
    <w:rsid w:val="00835A05"/>
    <w:rsid w:val="00835F91"/>
    <w:rsid w:val="008362B4"/>
    <w:rsid w:val="00836573"/>
    <w:rsid w:val="008365D3"/>
    <w:rsid w:val="00836AFF"/>
    <w:rsid w:val="008372F5"/>
    <w:rsid w:val="00837A1A"/>
    <w:rsid w:val="00837FEF"/>
    <w:rsid w:val="008400E9"/>
    <w:rsid w:val="00840606"/>
    <w:rsid w:val="00840B8A"/>
    <w:rsid w:val="00840CA2"/>
    <w:rsid w:val="00840EB5"/>
    <w:rsid w:val="00841AE4"/>
    <w:rsid w:val="00841D52"/>
    <w:rsid w:val="0084276D"/>
    <w:rsid w:val="00842A11"/>
    <w:rsid w:val="00842D12"/>
    <w:rsid w:val="00842E1A"/>
    <w:rsid w:val="0084365D"/>
    <w:rsid w:val="0084374F"/>
    <w:rsid w:val="00844A22"/>
    <w:rsid w:val="00844CDB"/>
    <w:rsid w:val="00844E8F"/>
    <w:rsid w:val="008450DD"/>
    <w:rsid w:val="0084533E"/>
    <w:rsid w:val="00845C2F"/>
    <w:rsid w:val="00845CA4"/>
    <w:rsid w:val="008466F5"/>
    <w:rsid w:val="00846C2D"/>
    <w:rsid w:val="00846C8E"/>
    <w:rsid w:val="00846F91"/>
    <w:rsid w:val="00847344"/>
    <w:rsid w:val="00847703"/>
    <w:rsid w:val="00847D85"/>
    <w:rsid w:val="00847DF5"/>
    <w:rsid w:val="00847F27"/>
    <w:rsid w:val="00850033"/>
    <w:rsid w:val="008502A5"/>
    <w:rsid w:val="00850B3A"/>
    <w:rsid w:val="00850E52"/>
    <w:rsid w:val="00850E74"/>
    <w:rsid w:val="00850F0E"/>
    <w:rsid w:val="00851105"/>
    <w:rsid w:val="0085138D"/>
    <w:rsid w:val="008517B5"/>
    <w:rsid w:val="00851C2C"/>
    <w:rsid w:val="00851E9D"/>
    <w:rsid w:val="00852261"/>
    <w:rsid w:val="0085241B"/>
    <w:rsid w:val="008528C7"/>
    <w:rsid w:val="0085309D"/>
    <w:rsid w:val="008534EE"/>
    <w:rsid w:val="00854332"/>
    <w:rsid w:val="008550D6"/>
    <w:rsid w:val="00855548"/>
    <w:rsid w:val="00855743"/>
    <w:rsid w:val="008557F2"/>
    <w:rsid w:val="00855BE8"/>
    <w:rsid w:val="00855CB4"/>
    <w:rsid w:val="00855D71"/>
    <w:rsid w:val="0085629A"/>
    <w:rsid w:val="008563B5"/>
    <w:rsid w:val="00856887"/>
    <w:rsid w:val="00856897"/>
    <w:rsid w:val="00856BB7"/>
    <w:rsid w:val="00856CDE"/>
    <w:rsid w:val="00856E9A"/>
    <w:rsid w:val="008572FC"/>
    <w:rsid w:val="00857508"/>
    <w:rsid w:val="00857919"/>
    <w:rsid w:val="0085791A"/>
    <w:rsid w:val="00860600"/>
    <w:rsid w:val="0086075D"/>
    <w:rsid w:val="00860A4F"/>
    <w:rsid w:val="008612C3"/>
    <w:rsid w:val="0086134E"/>
    <w:rsid w:val="00862502"/>
    <w:rsid w:val="00862C97"/>
    <w:rsid w:val="00862CC1"/>
    <w:rsid w:val="00863A56"/>
    <w:rsid w:val="008642A7"/>
    <w:rsid w:val="00864A47"/>
    <w:rsid w:val="008652EE"/>
    <w:rsid w:val="00865477"/>
    <w:rsid w:val="0086574C"/>
    <w:rsid w:val="00865B98"/>
    <w:rsid w:val="008660B7"/>
    <w:rsid w:val="008660D4"/>
    <w:rsid w:val="00866255"/>
    <w:rsid w:val="00866485"/>
    <w:rsid w:val="008664D2"/>
    <w:rsid w:val="00866658"/>
    <w:rsid w:val="00866895"/>
    <w:rsid w:val="00866F73"/>
    <w:rsid w:val="00867194"/>
    <w:rsid w:val="008672BE"/>
    <w:rsid w:val="00867424"/>
    <w:rsid w:val="0086759B"/>
    <w:rsid w:val="00867926"/>
    <w:rsid w:val="00867D26"/>
    <w:rsid w:val="00870415"/>
    <w:rsid w:val="00870474"/>
    <w:rsid w:val="008709A9"/>
    <w:rsid w:val="00870B28"/>
    <w:rsid w:val="00871368"/>
    <w:rsid w:val="008717B7"/>
    <w:rsid w:val="00871A88"/>
    <w:rsid w:val="00871E57"/>
    <w:rsid w:val="00871E9A"/>
    <w:rsid w:val="00871FA9"/>
    <w:rsid w:val="00872035"/>
    <w:rsid w:val="008728E9"/>
    <w:rsid w:val="00872960"/>
    <w:rsid w:val="00872B0E"/>
    <w:rsid w:val="00873B73"/>
    <w:rsid w:val="00873E8B"/>
    <w:rsid w:val="0087454E"/>
    <w:rsid w:val="0087460F"/>
    <w:rsid w:val="00874DF8"/>
    <w:rsid w:val="008750FB"/>
    <w:rsid w:val="00875883"/>
    <w:rsid w:val="008759D5"/>
    <w:rsid w:val="00876A44"/>
    <w:rsid w:val="00876A91"/>
    <w:rsid w:val="00876E28"/>
    <w:rsid w:val="008771F6"/>
    <w:rsid w:val="008773AB"/>
    <w:rsid w:val="008778AD"/>
    <w:rsid w:val="008778FC"/>
    <w:rsid w:val="00877BC1"/>
    <w:rsid w:val="008802ED"/>
    <w:rsid w:val="0088032B"/>
    <w:rsid w:val="00880941"/>
    <w:rsid w:val="00880E77"/>
    <w:rsid w:val="008811B0"/>
    <w:rsid w:val="00881D40"/>
    <w:rsid w:val="00881EC0"/>
    <w:rsid w:val="00882168"/>
    <w:rsid w:val="00882479"/>
    <w:rsid w:val="00882874"/>
    <w:rsid w:val="00882AE3"/>
    <w:rsid w:val="00882E3C"/>
    <w:rsid w:val="00882F08"/>
    <w:rsid w:val="0088308A"/>
    <w:rsid w:val="0088349D"/>
    <w:rsid w:val="00883787"/>
    <w:rsid w:val="00884374"/>
    <w:rsid w:val="008848B3"/>
    <w:rsid w:val="00885319"/>
    <w:rsid w:val="008855E4"/>
    <w:rsid w:val="00885758"/>
    <w:rsid w:val="00885F4B"/>
    <w:rsid w:val="0088664F"/>
    <w:rsid w:val="00886992"/>
    <w:rsid w:val="008869F8"/>
    <w:rsid w:val="00886CD2"/>
    <w:rsid w:val="00887329"/>
    <w:rsid w:val="008878E5"/>
    <w:rsid w:val="00887DD9"/>
    <w:rsid w:val="00887DEC"/>
    <w:rsid w:val="008901F8"/>
    <w:rsid w:val="008905DA"/>
    <w:rsid w:val="00890814"/>
    <w:rsid w:val="00891182"/>
    <w:rsid w:val="00891535"/>
    <w:rsid w:val="0089166E"/>
    <w:rsid w:val="00891AC4"/>
    <w:rsid w:val="00891C9D"/>
    <w:rsid w:val="00891E6F"/>
    <w:rsid w:val="00891EA2"/>
    <w:rsid w:val="0089230D"/>
    <w:rsid w:val="00892655"/>
    <w:rsid w:val="00892662"/>
    <w:rsid w:val="0089275D"/>
    <w:rsid w:val="00892A36"/>
    <w:rsid w:val="00892AD1"/>
    <w:rsid w:val="00892B81"/>
    <w:rsid w:val="00892D36"/>
    <w:rsid w:val="00892F76"/>
    <w:rsid w:val="00893239"/>
    <w:rsid w:val="008938AD"/>
    <w:rsid w:val="008938B1"/>
    <w:rsid w:val="00893C42"/>
    <w:rsid w:val="00893F34"/>
    <w:rsid w:val="00894012"/>
    <w:rsid w:val="0089420E"/>
    <w:rsid w:val="00894324"/>
    <w:rsid w:val="00894489"/>
    <w:rsid w:val="00894A40"/>
    <w:rsid w:val="00894BD5"/>
    <w:rsid w:val="00894CD6"/>
    <w:rsid w:val="00894EF6"/>
    <w:rsid w:val="008963A5"/>
    <w:rsid w:val="00896B9D"/>
    <w:rsid w:val="00896D5D"/>
    <w:rsid w:val="00897247"/>
    <w:rsid w:val="008978FD"/>
    <w:rsid w:val="00897F30"/>
    <w:rsid w:val="008A01FD"/>
    <w:rsid w:val="008A0271"/>
    <w:rsid w:val="008A0336"/>
    <w:rsid w:val="008A068A"/>
    <w:rsid w:val="008A0BA0"/>
    <w:rsid w:val="008A0CB0"/>
    <w:rsid w:val="008A0CB1"/>
    <w:rsid w:val="008A0CC7"/>
    <w:rsid w:val="008A0DB9"/>
    <w:rsid w:val="008A0E4E"/>
    <w:rsid w:val="008A13E1"/>
    <w:rsid w:val="008A21A8"/>
    <w:rsid w:val="008A2229"/>
    <w:rsid w:val="008A29AD"/>
    <w:rsid w:val="008A2F23"/>
    <w:rsid w:val="008A3158"/>
    <w:rsid w:val="008A3163"/>
    <w:rsid w:val="008A3363"/>
    <w:rsid w:val="008A3371"/>
    <w:rsid w:val="008A3A5A"/>
    <w:rsid w:val="008A3C3E"/>
    <w:rsid w:val="008A3D7A"/>
    <w:rsid w:val="008A3E91"/>
    <w:rsid w:val="008A3EFC"/>
    <w:rsid w:val="008A403F"/>
    <w:rsid w:val="008A40AC"/>
    <w:rsid w:val="008A40AD"/>
    <w:rsid w:val="008A41B2"/>
    <w:rsid w:val="008A4444"/>
    <w:rsid w:val="008A4629"/>
    <w:rsid w:val="008A469F"/>
    <w:rsid w:val="008A48E8"/>
    <w:rsid w:val="008A4EE8"/>
    <w:rsid w:val="008A5108"/>
    <w:rsid w:val="008A58D3"/>
    <w:rsid w:val="008A5D2B"/>
    <w:rsid w:val="008A69ED"/>
    <w:rsid w:val="008A6D66"/>
    <w:rsid w:val="008A6E87"/>
    <w:rsid w:val="008A713F"/>
    <w:rsid w:val="008A7906"/>
    <w:rsid w:val="008A79DE"/>
    <w:rsid w:val="008A7C33"/>
    <w:rsid w:val="008A7EFE"/>
    <w:rsid w:val="008B0660"/>
    <w:rsid w:val="008B0C06"/>
    <w:rsid w:val="008B1025"/>
    <w:rsid w:val="008B1757"/>
    <w:rsid w:val="008B1ABE"/>
    <w:rsid w:val="008B1C33"/>
    <w:rsid w:val="008B2674"/>
    <w:rsid w:val="008B2BBB"/>
    <w:rsid w:val="008B2D7D"/>
    <w:rsid w:val="008B3380"/>
    <w:rsid w:val="008B349B"/>
    <w:rsid w:val="008B379E"/>
    <w:rsid w:val="008B39B6"/>
    <w:rsid w:val="008B41EF"/>
    <w:rsid w:val="008B48A1"/>
    <w:rsid w:val="008B4B6F"/>
    <w:rsid w:val="008B4E6C"/>
    <w:rsid w:val="008B527B"/>
    <w:rsid w:val="008B5316"/>
    <w:rsid w:val="008B5EAF"/>
    <w:rsid w:val="008B6423"/>
    <w:rsid w:val="008B6CEE"/>
    <w:rsid w:val="008B70DB"/>
    <w:rsid w:val="008B7403"/>
    <w:rsid w:val="008B762C"/>
    <w:rsid w:val="008B7707"/>
    <w:rsid w:val="008B7992"/>
    <w:rsid w:val="008B7D7E"/>
    <w:rsid w:val="008C02E9"/>
    <w:rsid w:val="008C031B"/>
    <w:rsid w:val="008C0C1C"/>
    <w:rsid w:val="008C1125"/>
    <w:rsid w:val="008C122C"/>
    <w:rsid w:val="008C1328"/>
    <w:rsid w:val="008C1765"/>
    <w:rsid w:val="008C17B7"/>
    <w:rsid w:val="008C241B"/>
    <w:rsid w:val="008C28AC"/>
    <w:rsid w:val="008C2B67"/>
    <w:rsid w:val="008C30AA"/>
    <w:rsid w:val="008C425F"/>
    <w:rsid w:val="008C4365"/>
    <w:rsid w:val="008C4F8C"/>
    <w:rsid w:val="008C5088"/>
    <w:rsid w:val="008C55FB"/>
    <w:rsid w:val="008C5610"/>
    <w:rsid w:val="008C5678"/>
    <w:rsid w:val="008C5739"/>
    <w:rsid w:val="008C5FE6"/>
    <w:rsid w:val="008C6457"/>
    <w:rsid w:val="008C67B1"/>
    <w:rsid w:val="008C6A1B"/>
    <w:rsid w:val="008C7282"/>
    <w:rsid w:val="008C79C1"/>
    <w:rsid w:val="008C7ECB"/>
    <w:rsid w:val="008D06DF"/>
    <w:rsid w:val="008D0BA0"/>
    <w:rsid w:val="008D1114"/>
    <w:rsid w:val="008D1352"/>
    <w:rsid w:val="008D15C9"/>
    <w:rsid w:val="008D18DA"/>
    <w:rsid w:val="008D1AC6"/>
    <w:rsid w:val="008D2B4C"/>
    <w:rsid w:val="008D364B"/>
    <w:rsid w:val="008D37D4"/>
    <w:rsid w:val="008D3B86"/>
    <w:rsid w:val="008D429E"/>
    <w:rsid w:val="008D43FD"/>
    <w:rsid w:val="008D4755"/>
    <w:rsid w:val="008D4BA5"/>
    <w:rsid w:val="008D4C3D"/>
    <w:rsid w:val="008D53A0"/>
    <w:rsid w:val="008D53E6"/>
    <w:rsid w:val="008D5678"/>
    <w:rsid w:val="008D5939"/>
    <w:rsid w:val="008D6616"/>
    <w:rsid w:val="008D6835"/>
    <w:rsid w:val="008D7068"/>
    <w:rsid w:val="008D73B7"/>
    <w:rsid w:val="008D743C"/>
    <w:rsid w:val="008D744E"/>
    <w:rsid w:val="008D7C2F"/>
    <w:rsid w:val="008E02D3"/>
    <w:rsid w:val="008E09C0"/>
    <w:rsid w:val="008E0D3C"/>
    <w:rsid w:val="008E11A4"/>
    <w:rsid w:val="008E19B6"/>
    <w:rsid w:val="008E1A22"/>
    <w:rsid w:val="008E1B9E"/>
    <w:rsid w:val="008E218E"/>
    <w:rsid w:val="008E281F"/>
    <w:rsid w:val="008E2990"/>
    <w:rsid w:val="008E2BBD"/>
    <w:rsid w:val="008E2D93"/>
    <w:rsid w:val="008E2D94"/>
    <w:rsid w:val="008E339F"/>
    <w:rsid w:val="008E372A"/>
    <w:rsid w:val="008E3A37"/>
    <w:rsid w:val="008E3AFD"/>
    <w:rsid w:val="008E3B95"/>
    <w:rsid w:val="008E3D27"/>
    <w:rsid w:val="008E4664"/>
    <w:rsid w:val="008E46E8"/>
    <w:rsid w:val="008E485B"/>
    <w:rsid w:val="008E4AE9"/>
    <w:rsid w:val="008E4ECE"/>
    <w:rsid w:val="008E55AB"/>
    <w:rsid w:val="008E5BA9"/>
    <w:rsid w:val="008E5BC2"/>
    <w:rsid w:val="008E6601"/>
    <w:rsid w:val="008E67B9"/>
    <w:rsid w:val="008E688E"/>
    <w:rsid w:val="008E6F7D"/>
    <w:rsid w:val="008E7171"/>
    <w:rsid w:val="008E7537"/>
    <w:rsid w:val="008E7707"/>
    <w:rsid w:val="008E7781"/>
    <w:rsid w:val="008E7B01"/>
    <w:rsid w:val="008E7D63"/>
    <w:rsid w:val="008F03E8"/>
    <w:rsid w:val="008F0486"/>
    <w:rsid w:val="008F07CB"/>
    <w:rsid w:val="008F1138"/>
    <w:rsid w:val="008F120A"/>
    <w:rsid w:val="008F15B3"/>
    <w:rsid w:val="008F2238"/>
    <w:rsid w:val="008F27E0"/>
    <w:rsid w:val="008F294E"/>
    <w:rsid w:val="008F2CB3"/>
    <w:rsid w:val="008F2EF9"/>
    <w:rsid w:val="008F3108"/>
    <w:rsid w:val="008F3DE9"/>
    <w:rsid w:val="008F3E64"/>
    <w:rsid w:val="008F3EB6"/>
    <w:rsid w:val="008F3F8B"/>
    <w:rsid w:val="008F4284"/>
    <w:rsid w:val="008F48EB"/>
    <w:rsid w:val="008F4AA4"/>
    <w:rsid w:val="008F4F0B"/>
    <w:rsid w:val="008F4FED"/>
    <w:rsid w:val="008F51F6"/>
    <w:rsid w:val="008F53F4"/>
    <w:rsid w:val="008F6A7B"/>
    <w:rsid w:val="008F7B1C"/>
    <w:rsid w:val="0090059A"/>
    <w:rsid w:val="00900877"/>
    <w:rsid w:val="00900D17"/>
    <w:rsid w:val="00900F00"/>
    <w:rsid w:val="009010EA"/>
    <w:rsid w:val="00901305"/>
    <w:rsid w:val="00901E9A"/>
    <w:rsid w:val="00901EDC"/>
    <w:rsid w:val="009022D0"/>
    <w:rsid w:val="00902403"/>
    <w:rsid w:val="00902972"/>
    <w:rsid w:val="00902B25"/>
    <w:rsid w:val="00902EBD"/>
    <w:rsid w:val="0090312C"/>
    <w:rsid w:val="00903219"/>
    <w:rsid w:val="009038A0"/>
    <w:rsid w:val="00903B42"/>
    <w:rsid w:val="0090409F"/>
    <w:rsid w:val="009042E4"/>
    <w:rsid w:val="009046C4"/>
    <w:rsid w:val="009048AA"/>
    <w:rsid w:val="009048B2"/>
    <w:rsid w:val="0090494C"/>
    <w:rsid w:val="009050B7"/>
    <w:rsid w:val="00905AE2"/>
    <w:rsid w:val="00905BAF"/>
    <w:rsid w:val="009062A5"/>
    <w:rsid w:val="0090672C"/>
    <w:rsid w:val="00907513"/>
    <w:rsid w:val="00907699"/>
    <w:rsid w:val="009105F2"/>
    <w:rsid w:val="0091070A"/>
    <w:rsid w:val="00910940"/>
    <w:rsid w:val="00910992"/>
    <w:rsid w:val="00910EB6"/>
    <w:rsid w:val="00910FA7"/>
    <w:rsid w:val="00911272"/>
    <w:rsid w:val="00911339"/>
    <w:rsid w:val="00911E99"/>
    <w:rsid w:val="0091216C"/>
    <w:rsid w:val="0091259A"/>
    <w:rsid w:val="009129AA"/>
    <w:rsid w:val="00912A31"/>
    <w:rsid w:val="00912AAA"/>
    <w:rsid w:val="00912E24"/>
    <w:rsid w:val="009135D6"/>
    <w:rsid w:val="00913824"/>
    <w:rsid w:val="00914414"/>
    <w:rsid w:val="00914BDD"/>
    <w:rsid w:val="00914C77"/>
    <w:rsid w:val="009157F4"/>
    <w:rsid w:val="00915CC1"/>
    <w:rsid w:val="00916277"/>
    <w:rsid w:val="00916594"/>
    <w:rsid w:val="0091680F"/>
    <w:rsid w:val="00916977"/>
    <w:rsid w:val="00917829"/>
    <w:rsid w:val="00917921"/>
    <w:rsid w:val="00917A48"/>
    <w:rsid w:val="00920823"/>
    <w:rsid w:val="00920914"/>
    <w:rsid w:val="009209EF"/>
    <w:rsid w:val="00920B24"/>
    <w:rsid w:val="00921374"/>
    <w:rsid w:val="009213C7"/>
    <w:rsid w:val="00921ACB"/>
    <w:rsid w:val="00921D47"/>
    <w:rsid w:val="00921E5A"/>
    <w:rsid w:val="00922841"/>
    <w:rsid w:val="0092369B"/>
    <w:rsid w:val="009238CF"/>
    <w:rsid w:val="009245EB"/>
    <w:rsid w:val="009249BC"/>
    <w:rsid w:val="009249CF"/>
    <w:rsid w:val="00924F00"/>
    <w:rsid w:val="009255CF"/>
    <w:rsid w:val="009256A4"/>
    <w:rsid w:val="009257A9"/>
    <w:rsid w:val="00925B5D"/>
    <w:rsid w:val="00925B69"/>
    <w:rsid w:val="00925CC7"/>
    <w:rsid w:val="00925EC5"/>
    <w:rsid w:val="00925F74"/>
    <w:rsid w:val="00926207"/>
    <w:rsid w:val="00926C86"/>
    <w:rsid w:val="00926D97"/>
    <w:rsid w:val="00927A40"/>
    <w:rsid w:val="00927A57"/>
    <w:rsid w:val="00930309"/>
    <w:rsid w:val="009303DA"/>
    <w:rsid w:val="0093070C"/>
    <w:rsid w:val="00930A9E"/>
    <w:rsid w:val="00930E74"/>
    <w:rsid w:val="00930F39"/>
    <w:rsid w:val="00930FE3"/>
    <w:rsid w:val="00931165"/>
    <w:rsid w:val="00931697"/>
    <w:rsid w:val="009317FA"/>
    <w:rsid w:val="009323A1"/>
    <w:rsid w:val="0093246A"/>
    <w:rsid w:val="00932C09"/>
    <w:rsid w:val="00932DF3"/>
    <w:rsid w:val="00933544"/>
    <w:rsid w:val="009346D6"/>
    <w:rsid w:val="00934885"/>
    <w:rsid w:val="00934988"/>
    <w:rsid w:val="00934B38"/>
    <w:rsid w:val="00934EC2"/>
    <w:rsid w:val="00935C62"/>
    <w:rsid w:val="0093632B"/>
    <w:rsid w:val="009366B4"/>
    <w:rsid w:val="009367E0"/>
    <w:rsid w:val="00936B67"/>
    <w:rsid w:val="00936D59"/>
    <w:rsid w:val="00937089"/>
    <w:rsid w:val="00937123"/>
    <w:rsid w:val="009371AF"/>
    <w:rsid w:val="00937556"/>
    <w:rsid w:val="00937603"/>
    <w:rsid w:val="009377D1"/>
    <w:rsid w:val="00937A86"/>
    <w:rsid w:val="00937F6E"/>
    <w:rsid w:val="009406D2"/>
    <w:rsid w:val="00940785"/>
    <w:rsid w:val="00941D12"/>
    <w:rsid w:val="00941F03"/>
    <w:rsid w:val="00943137"/>
    <w:rsid w:val="0094346B"/>
    <w:rsid w:val="0094347E"/>
    <w:rsid w:val="00944123"/>
    <w:rsid w:val="00944C27"/>
    <w:rsid w:val="00944C43"/>
    <w:rsid w:val="00944E67"/>
    <w:rsid w:val="00944F8A"/>
    <w:rsid w:val="00945985"/>
    <w:rsid w:val="00945DD6"/>
    <w:rsid w:val="00946201"/>
    <w:rsid w:val="0094728F"/>
    <w:rsid w:val="0094795E"/>
    <w:rsid w:val="00947AC6"/>
    <w:rsid w:val="00947EBA"/>
    <w:rsid w:val="0095045F"/>
    <w:rsid w:val="0095057F"/>
    <w:rsid w:val="00950719"/>
    <w:rsid w:val="00950C37"/>
    <w:rsid w:val="00950ECE"/>
    <w:rsid w:val="009510A2"/>
    <w:rsid w:val="0095176B"/>
    <w:rsid w:val="009517F2"/>
    <w:rsid w:val="00952001"/>
    <w:rsid w:val="00952820"/>
    <w:rsid w:val="009528BD"/>
    <w:rsid w:val="00952BE7"/>
    <w:rsid w:val="009530EF"/>
    <w:rsid w:val="00953254"/>
    <w:rsid w:val="00953257"/>
    <w:rsid w:val="00953787"/>
    <w:rsid w:val="009537E0"/>
    <w:rsid w:val="0095474C"/>
    <w:rsid w:val="009549F4"/>
    <w:rsid w:val="00955071"/>
    <w:rsid w:val="009553F0"/>
    <w:rsid w:val="00955C59"/>
    <w:rsid w:val="00955C80"/>
    <w:rsid w:val="009568CB"/>
    <w:rsid w:val="009569F5"/>
    <w:rsid w:val="00956B53"/>
    <w:rsid w:val="00956C1F"/>
    <w:rsid w:val="00956D28"/>
    <w:rsid w:val="00957D92"/>
    <w:rsid w:val="00957E23"/>
    <w:rsid w:val="0096071F"/>
    <w:rsid w:val="009607E6"/>
    <w:rsid w:val="009612F4"/>
    <w:rsid w:val="0096142D"/>
    <w:rsid w:val="00961886"/>
    <w:rsid w:val="00961A81"/>
    <w:rsid w:val="009620F7"/>
    <w:rsid w:val="00962846"/>
    <w:rsid w:val="00962B23"/>
    <w:rsid w:val="00962B68"/>
    <w:rsid w:val="00962CB9"/>
    <w:rsid w:val="00962E15"/>
    <w:rsid w:val="00963046"/>
    <w:rsid w:val="00963CF7"/>
    <w:rsid w:val="00964061"/>
    <w:rsid w:val="00964312"/>
    <w:rsid w:val="009645D7"/>
    <w:rsid w:val="00964826"/>
    <w:rsid w:val="009648CC"/>
    <w:rsid w:val="00964BAA"/>
    <w:rsid w:val="009652DF"/>
    <w:rsid w:val="009654E1"/>
    <w:rsid w:val="00965B8A"/>
    <w:rsid w:val="00966069"/>
    <w:rsid w:val="009662BC"/>
    <w:rsid w:val="0096637B"/>
    <w:rsid w:val="0096760A"/>
    <w:rsid w:val="00967ACD"/>
    <w:rsid w:val="00967E4D"/>
    <w:rsid w:val="00967E5A"/>
    <w:rsid w:val="00970354"/>
    <w:rsid w:val="009703C8"/>
    <w:rsid w:val="0097071F"/>
    <w:rsid w:val="0097109C"/>
    <w:rsid w:val="00971780"/>
    <w:rsid w:val="009717AC"/>
    <w:rsid w:val="00971902"/>
    <w:rsid w:val="00971CCF"/>
    <w:rsid w:val="00971DE4"/>
    <w:rsid w:val="0097220E"/>
    <w:rsid w:val="00972354"/>
    <w:rsid w:val="00972ED9"/>
    <w:rsid w:val="009735E8"/>
    <w:rsid w:val="00973998"/>
    <w:rsid w:val="00973FA1"/>
    <w:rsid w:val="00974364"/>
    <w:rsid w:val="00974706"/>
    <w:rsid w:val="009751C1"/>
    <w:rsid w:val="00975564"/>
    <w:rsid w:val="00976622"/>
    <w:rsid w:val="00976CFA"/>
    <w:rsid w:val="0097700F"/>
    <w:rsid w:val="009779A2"/>
    <w:rsid w:val="00977CBC"/>
    <w:rsid w:val="009806CF"/>
    <w:rsid w:val="0098082E"/>
    <w:rsid w:val="00980BF2"/>
    <w:rsid w:val="009811F1"/>
    <w:rsid w:val="0098144A"/>
    <w:rsid w:val="00981D47"/>
    <w:rsid w:val="009825CB"/>
    <w:rsid w:val="0098262F"/>
    <w:rsid w:val="00982689"/>
    <w:rsid w:val="009826BC"/>
    <w:rsid w:val="009833EB"/>
    <w:rsid w:val="009838E2"/>
    <w:rsid w:val="00983BFC"/>
    <w:rsid w:val="00983E57"/>
    <w:rsid w:val="009840B4"/>
    <w:rsid w:val="009847FD"/>
    <w:rsid w:val="00984DA2"/>
    <w:rsid w:val="00984FD3"/>
    <w:rsid w:val="009851E0"/>
    <w:rsid w:val="0098534E"/>
    <w:rsid w:val="00985DE2"/>
    <w:rsid w:val="009860D8"/>
    <w:rsid w:val="009861AD"/>
    <w:rsid w:val="0098675D"/>
    <w:rsid w:val="00986B10"/>
    <w:rsid w:val="00986C06"/>
    <w:rsid w:val="009878EA"/>
    <w:rsid w:val="00987BA4"/>
    <w:rsid w:val="00987F80"/>
    <w:rsid w:val="0099088F"/>
    <w:rsid w:val="00990A11"/>
    <w:rsid w:val="0099119E"/>
    <w:rsid w:val="0099128D"/>
    <w:rsid w:val="009916E2"/>
    <w:rsid w:val="00992152"/>
    <w:rsid w:val="00992366"/>
    <w:rsid w:val="0099261E"/>
    <w:rsid w:val="009926E0"/>
    <w:rsid w:val="009928E8"/>
    <w:rsid w:val="00992C25"/>
    <w:rsid w:val="00993D21"/>
    <w:rsid w:val="00994318"/>
    <w:rsid w:val="0099451E"/>
    <w:rsid w:val="0099483A"/>
    <w:rsid w:val="00994A19"/>
    <w:rsid w:val="00994CC9"/>
    <w:rsid w:val="009952F6"/>
    <w:rsid w:val="00995BFC"/>
    <w:rsid w:val="00996098"/>
    <w:rsid w:val="009965B9"/>
    <w:rsid w:val="0099689B"/>
    <w:rsid w:val="00996B1A"/>
    <w:rsid w:val="00996B26"/>
    <w:rsid w:val="00996C0C"/>
    <w:rsid w:val="0099710B"/>
    <w:rsid w:val="00997407"/>
    <w:rsid w:val="00997954"/>
    <w:rsid w:val="009A047F"/>
    <w:rsid w:val="009A096C"/>
    <w:rsid w:val="009A0991"/>
    <w:rsid w:val="009A0A10"/>
    <w:rsid w:val="009A0E8B"/>
    <w:rsid w:val="009A18F6"/>
    <w:rsid w:val="009A1C4D"/>
    <w:rsid w:val="009A1EEE"/>
    <w:rsid w:val="009A2B7B"/>
    <w:rsid w:val="009A2DCC"/>
    <w:rsid w:val="009A2F32"/>
    <w:rsid w:val="009A308C"/>
    <w:rsid w:val="009A3C93"/>
    <w:rsid w:val="009A3F24"/>
    <w:rsid w:val="009A41C8"/>
    <w:rsid w:val="009A4232"/>
    <w:rsid w:val="009A4275"/>
    <w:rsid w:val="009A4C46"/>
    <w:rsid w:val="009A4DB3"/>
    <w:rsid w:val="009A4F4E"/>
    <w:rsid w:val="009A512E"/>
    <w:rsid w:val="009A525B"/>
    <w:rsid w:val="009A5843"/>
    <w:rsid w:val="009A5ABC"/>
    <w:rsid w:val="009A5FB5"/>
    <w:rsid w:val="009A6024"/>
    <w:rsid w:val="009A68BF"/>
    <w:rsid w:val="009A6D91"/>
    <w:rsid w:val="009A6ED1"/>
    <w:rsid w:val="009A7E63"/>
    <w:rsid w:val="009A7F10"/>
    <w:rsid w:val="009B0105"/>
    <w:rsid w:val="009B04BD"/>
    <w:rsid w:val="009B08B8"/>
    <w:rsid w:val="009B0A3C"/>
    <w:rsid w:val="009B14CE"/>
    <w:rsid w:val="009B16D6"/>
    <w:rsid w:val="009B186E"/>
    <w:rsid w:val="009B1B31"/>
    <w:rsid w:val="009B1D8D"/>
    <w:rsid w:val="009B210F"/>
    <w:rsid w:val="009B219D"/>
    <w:rsid w:val="009B226E"/>
    <w:rsid w:val="009B254C"/>
    <w:rsid w:val="009B2A03"/>
    <w:rsid w:val="009B2B1B"/>
    <w:rsid w:val="009B2BDD"/>
    <w:rsid w:val="009B2CD4"/>
    <w:rsid w:val="009B34D7"/>
    <w:rsid w:val="009B3C51"/>
    <w:rsid w:val="009B3E26"/>
    <w:rsid w:val="009B4416"/>
    <w:rsid w:val="009B46FA"/>
    <w:rsid w:val="009B4A88"/>
    <w:rsid w:val="009B4B70"/>
    <w:rsid w:val="009B4C19"/>
    <w:rsid w:val="009B5002"/>
    <w:rsid w:val="009B515E"/>
    <w:rsid w:val="009B5642"/>
    <w:rsid w:val="009B5AEC"/>
    <w:rsid w:val="009B6054"/>
    <w:rsid w:val="009B640A"/>
    <w:rsid w:val="009B6AEE"/>
    <w:rsid w:val="009B6FED"/>
    <w:rsid w:val="009B7B79"/>
    <w:rsid w:val="009B7C90"/>
    <w:rsid w:val="009B7EF0"/>
    <w:rsid w:val="009B7F31"/>
    <w:rsid w:val="009C01BA"/>
    <w:rsid w:val="009C047B"/>
    <w:rsid w:val="009C04C5"/>
    <w:rsid w:val="009C0563"/>
    <w:rsid w:val="009C0CD3"/>
    <w:rsid w:val="009C1181"/>
    <w:rsid w:val="009C1271"/>
    <w:rsid w:val="009C167B"/>
    <w:rsid w:val="009C1BD0"/>
    <w:rsid w:val="009C24C8"/>
    <w:rsid w:val="009C2828"/>
    <w:rsid w:val="009C29D4"/>
    <w:rsid w:val="009C2B8A"/>
    <w:rsid w:val="009C3706"/>
    <w:rsid w:val="009C3A3A"/>
    <w:rsid w:val="009C3CDE"/>
    <w:rsid w:val="009C426B"/>
    <w:rsid w:val="009C44D9"/>
    <w:rsid w:val="009C4B9B"/>
    <w:rsid w:val="009C5692"/>
    <w:rsid w:val="009C578F"/>
    <w:rsid w:val="009C59EA"/>
    <w:rsid w:val="009C5CEC"/>
    <w:rsid w:val="009C5CF5"/>
    <w:rsid w:val="009C5F3F"/>
    <w:rsid w:val="009C6294"/>
    <w:rsid w:val="009C6673"/>
    <w:rsid w:val="009C6778"/>
    <w:rsid w:val="009C6C14"/>
    <w:rsid w:val="009C6CEA"/>
    <w:rsid w:val="009C6F75"/>
    <w:rsid w:val="009C7169"/>
    <w:rsid w:val="009C72C7"/>
    <w:rsid w:val="009C7578"/>
    <w:rsid w:val="009C7939"/>
    <w:rsid w:val="009C7B85"/>
    <w:rsid w:val="009D00E9"/>
    <w:rsid w:val="009D0117"/>
    <w:rsid w:val="009D0254"/>
    <w:rsid w:val="009D09AD"/>
    <w:rsid w:val="009D0B0A"/>
    <w:rsid w:val="009D159D"/>
    <w:rsid w:val="009D160F"/>
    <w:rsid w:val="009D1A64"/>
    <w:rsid w:val="009D260C"/>
    <w:rsid w:val="009D2794"/>
    <w:rsid w:val="009D28CE"/>
    <w:rsid w:val="009D2BB8"/>
    <w:rsid w:val="009D2C71"/>
    <w:rsid w:val="009D2F6E"/>
    <w:rsid w:val="009D3079"/>
    <w:rsid w:val="009D30CC"/>
    <w:rsid w:val="009D3210"/>
    <w:rsid w:val="009D3736"/>
    <w:rsid w:val="009D3B4C"/>
    <w:rsid w:val="009D3EE8"/>
    <w:rsid w:val="009D43A5"/>
    <w:rsid w:val="009D472A"/>
    <w:rsid w:val="009D48BE"/>
    <w:rsid w:val="009D4AEC"/>
    <w:rsid w:val="009D5424"/>
    <w:rsid w:val="009D5574"/>
    <w:rsid w:val="009D5666"/>
    <w:rsid w:val="009D5898"/>
    <w:rsid w:val="009D5B91"/>
    <w:rsid w:val="009D60B7"/>
    <w:rsid w:val="009D6B10"/>
    <w:rsid w:val="009D71A2"/>
    <w:rsid w:val="009D792E"/>
    <w:rsid w:val="009E041A"/>
    <w:rsid w:val="009E0DFE"/>
    <w:rsid w:val="009E0F28"/>
    <w:rsid w:val="009E0FC1"/>
    <w:rsid w:val="009E1365"/>
    <w:rsid w:val="009E1490"/>
    <w:rsid w:val="009E157F"/>
    <w:rsid w:val="009E1C3C"/>
    <w:rsid w:val="009E26DD"/>
    <w:rsid w:val="009E2E1C"/>
    <w:rsid w:val="009E2EF2"/>
    <w:rsid w:val="009E30A0"/>
    <w:rsid w:val="009E31F6"/>
    <w:rsid w:val="009E3320"/>
    <w:rsid w:val="009E3830"/>
    <w:rsid w:val="009E3C73"/>
    <w:rsid w:val="009E3DA9"/>
    <w:rsid w:val="009E42EA"/>
    <w:rsid w:val="009E4663"/>
    <w:rsid w:val="009E4825"/>
    <w:rsid w:val="009E494C"/>
    <w:rsid w:val="009E4B23"/>
    <w:rsid w:val="009E4C07"/>
    <w:rsid w:val="009E55CE"/>
    <w:rsid w:val="009E5843"/>
    <w:rsid w:val="009E5A81"/>
    <w:rsid w:val="009E6346"/>
    <w:rsid w:val="009E69A5"/>
    <w:rsid w:val="009E6A5D"/>
    <w:rsid w:val="009E6B04"/>
    <w:rsid w:val="009E6CEA"/>
    <w:rsid w:val="009E7599"/>
    <w:rsid w:val="009E76E9"/>
    <w:rsid w:val="009E777F"/>
    <w:rsid w:val="009E799A"/>
    <w:rsid w:val="009E7C5B"/>
    <w:rsid w:val="009E7CF0"/>
    <w:rsid w:val="009F05AF"/>
    <w:rsid w:val="009F0709"/>
    <w:rsid w:val="009F095A"/>
    <w:rsid w:val="009F0A4B"/>
    <w:rsid w:val="009F0ED3"/>
    <w:rsid w:val="009F1487"/>
    <w:rsid w:val="009F1528"/>
    <w:rsid w:val="009F15C9"/>
    <w:rsid w:val="009F169A"/>
    <w:rsid w:val="009F171A"/>
    <w:rsid w:val="009F17F2"/>
    <w:rsid w:val="009F2BC8"/>
    <w:rsid w:val="009F3456"/>
    <w:rsid w:val="009F3652"/>
    <w:rsid w:val="009F39F1"/>
    <w:rsid w:val="009F3A45"/>
    <w:rsid w:val="009F4562"/>
    <w:rsid w:val="009F4896"/>
    <w:rsid w:val="009F4C33"/>
    <w:rsid w:val="009F523E"/>
    <w:rsid w:val="009F567F"/>
    <w:rsid w:val="009F5AC4"/>
    <w:rsid w:val="009F5E32"/>
    <w:rsid w:val="009F5F91"/>
    <w:rsid w:val="009F60C4"/>
    <w:rsid w:val="009F60CB"/>
    <w:rsid w:val="009F6120"/>
    <w:rsid w:val="009F6946"/>
    <w:rsid w:val="009F69BC"/>
    <w:rsid w:val="009F7607"/>
    <w:rsid w:val="009F7E32"/>
    <w:rsid w:val="00A000E7"/>
    <w:rsid w:val="00A0030E"/>
    <w:rsid w:val="00A00B95"/>
    <w:rsid w:val="00A00BA5"/>
    <w:rsid w:val="00A00D11"/>
    <w:rsid w:val="00A00D76"/>
    <w:rsid w:val="00A01166"/>
    <w:rsid w:val="00A01184"/>
    <w:rsid w:val="00A01211"/>
    <w:rsid w:val="00A01449"/>
    <w:rsid w:val="00A01869"/>
    <w:rsid w:val="00A01A0F"/>
    <w:rsid w:val="00A01E24"/>
    <w:rsid w:val="00A02B10"/>
    <w:rsid w:val="00A0333C"/>
    <w:rsid w:val="00A037C2"/>
    <w:rsid w:val="00A03D43"/>
    <w:rsid w:val="00A03F81"/>
    <w:rsid w:val="00A04380"/>
    <w:rsid w:val="00A04786"/>
    <w:rsid w:val="00A0482E"/>
    <w:rsid w:val="00A04D5E"/>
    <w:rsid w:val="00A0543B"/>
    <w:rsid w:val="00A05472"/>
    <w:rsid w:val="00A05C32"/>
    <w:rsid w:val="00A05CD9"/>
    <w:rsid w:val="00A0627C"/>
    <w:rsid w:val="00A0650C"/>
    <w:rsid w:val="00A0653F"/>
    <w:rsid w:val="00A067F1"/>
    <w:rsid w:val="00A06B00"/>
    <w:rsid w:val="00A06C55"/>
    <w:rsid w:val="00A070A5"/>
    <w:rsid w:val="00A070AE"/>
    <w:rsid w:val="00A103D1"/>
    <w:rsid w:val="00A104D7"/>
    <w:rsid w:val="00A104EB"/>
    <w:rsid w:val="00A106E1"/>
    <w:rsid w:val="00A11371"/>
    <w:rsid w:val="00A116E5"/>
    <w:rsid w:val="00A11A29"/>
    <w:rsid w:val="00A11AFE"/>
    <w:rsid w:val="00A11BB8"/>
    <w:rsid w:val="00A11CD0"/>
    <w:rsid w:val="00A11E61"/>
    <w:rsid w:val="00A11F21"/>
    <w:rsid w:val="00A12900"/>
    <w:rsid w:val="00A1291B"/>
    <w:rsid w:val="00A12987"/>
    <w:rsid w:val="00A13016"/>
    <w:rsid w:val="00A1304D"/>
    <w:rsid w:val="00A1331B"/>
    <w:rsid w:val="00A13367"/>
    <w:rsid w:val="00A133CB"/>
    <w:rsid w:val="00A138A8"/>
    <w:rsid w:val="00A13948"/>
    <w:rsid w:val="00A14746"/>
    <w:rsid w:val="00A14861"/>
    <w:rsid w:val="00A14ECC"/>
    <w:rsid w:val="00A15218"/>
    <w:rsid w:val="00A1527C"/>
    <w:rsid w:val="00A15282"/>
    <w:rsid w:val="00A153D2"/>
    <w:rsid w:val="00A1555B"/>
    <w:rsid w:val="00A155C5"/>
    <w:rsid w:val="00A157B9"/>
    <w:rsid w:val="00A15C6F"/>
    <w:rsid w:val="00A15E10"/>
    <w:rsid w:val="00A16566"/>
    <w:rsid w:val="00A16843"/>
    <w:rsid w:val="00A16AD8"/>
    <w:rsid w:val="00A16CBE"/>
    <w:rsid w:val="00A16DAC"/>
    <w:rsid w:val="00A17745"/>
    <w:rsid w:val="00A178A1"/>
    <w:rsid w:val="00A2021E"/>
    <w:rsid w:val="00A20596"/>
    <w:rsid w:val="00A20A8C"/>
    <w:rsid w:val="00A20E55"/>
    <w:rsid w:val="00A20E5C"/>
    <w:rsid w:val="00A21BB9"/>
    <w:rsid w:val="00A21C95"/>
    <w:rsid w:val="00A21CF3"/>
    <w:rsid w:val="00A22962"/>
    <w:rsid w:val="00A22D6D"/>
    <w:rsid w:val="00A22F07"/>
    <w:rsid w:val="00A23012"/>
    <w:rsid w:val="00A23081"/>
    <w:rsid w:val="00A2379D"/>
    <w:rsid w:val="00A23BFD"/>
    <w:rsid w:val="00A24813"/>
    <w:rsid w:val="00A24A4D"/>
    <w:rsid w:val="00A25557"/>
    <w:rsid w:val="00A2566F"/>
    <w:rsid w:val="00A25707"/>
    <w:rsid w:val="00A25C64"/>
    <w:rsid w:val="00A26573"/>
    <w:rsid w:val="00A26700"/>
    <w:rsid w:val="00A26C78"/>
    <w:rsid w:val="00A2782B"/>
    <w:rsid w:val="00A279BA"/>
    <w:rsid w:val="00A27AEC"/>
    <w:rsid w:val="00A2FE02"/>
    <w:rsid w:val="00A3017C"/>
    <w:rsid w:val="00A30301"/>
    <w:rsid w:val="00A30501"/>
    <w:rsid w:val="00A305A2"/>
    <w:rsid w:val="00A30A09"/>
    <w:rsid w:val="00A320DB"/>
    <w:rsid w:val="00A323F5"/>
    <w:rsid w:val="00A32666"/>
    <w:rsid w:val="00A32780"/>
    <w:rsid w:val="00A33076"/>
    <w:rsid w:val="00A335B6"/>
    <w:rsid w:val="00A34200"/>
    <w:rsid w:val="00A3443C"/>
    <w:rsid w:val="00A34632"/>
    <w:rsid w:val="00A3476C"/>
    <w:rsid w:val="00A34902"/>
    <w:rsid w:val="00A34E6F"/>
    <w:rsid w:val="00A34E99"/>
    <w:rsid w:val="00A35D16"/>
    <w:rsid w:val="00A3656C"/>
    <w:rsid w:val="00A3669E"/>
    <w:rsid w:val="00A36986"/>
    <w:rsid w:val="00A36D6A"/>
    <w:rsid w:val="00A36E80"/>
    <w:rsid w:val="00A36F0D"/>
    <w:rsid w:val="00A37143"/>
    <w:rsid w:val="00A3730D"/>
    <w:rsid w:val="00A373CB"/>
    <w:rsid w:val="00A37BCD"/>
    <w:rsid w:val="00A37DD4"/>
    <w:rsid w:val="00A37F7E"/>
    <w:rsid w:val="00A403DE"/>
    <w:rsid w:val="00A40898"/>
    <w:rsid w:val="00A40A0F"/>
    <w:rsid w:val="00A40B98"/>
    <w:rsid w:val="00A40C63"/>
    <w:rsid w:val="00A413C3"/>
    <w:rsid w:val="00A41689"/>
    <w:rsid w:val="00A417D1"/>
    <w:rsid w:val="00A42499"/>
    <w:rsid w:val="00A42592"/>
    <w:rsid w:val="00A4278F"/>
    <w:rsid w:val="00A42849"/>
    <w:rsid w:val="00A42883"/>
    <w:rsid w:val="00A42A66"/>
    <w:rsid w:val="00A4330E"/>
    <w:rsid w:val="00A437EF"/>
    <w:rsid w:val="00A43A4D"/>
    <w:rsid w:val="00A43C59"/>
    <w:rsid w:val="00A442AD"/>
    <w:rsid w:val="00A44405"/>
    <w:rsid w:val="00A447C6"/>
    <w:rsid w:val="00A44CE3"/>
    <w:rsid w:val="00A45119"/>
    <w:rsid w:val="00A45165"/>
    <w:rsid w:val="00A45302"/>
    <w:rsid w:val="00A456A9"/>
    <w:rsid w:val="00A45A2C"/>
    <w:rsid w:val="00A45AE9"/>
    <w:rsid w:val="00A45E23"/>
    <w:rsid w:val="00A46F20"/>
    <w:rsid w:val="00A477E4"/>
    <w:rsid w:val="00A47D11"/>
    <w:rsid w:val="00A47FF1"/>
    <w:rsid w:val="00A5063C"/>
    <w:rsid w:val="00A508F5"/>
    <w:rsid w:val="00A50B4D"/>
    <w:rsid w:val="00A50B5B"/>
    <w:rsid w:val="00A50BBC"/>
    <w:rsid w:val="00A50DDB"/>
    <w:rsid w:val="00A50ECD"/>
    <w:rsid w:val="00A51069"/>
    <w:rsid w:val="00A512FC"/>
    <w:rsid w:val="00A51551"/>
    <w:rsid w:val="00A518F3"/>
    <w:rsid w:val="00A51DC7"/>
    <w:rsid w:val="00A52007"/>
    <w:rsid w:val="00A525AF"/>
    <w:rsid w:val="00A52729"/>
    <w:rsid w:val="00A529C6"/>
    <w:rsid w:val="00A52B81"/>
    <w:rsid w:val="00A5325C"/>
    <w:rsid w:val="00A5352D"/>
    <w:rsid w:val="00A53675"/>
    <w:rsid w:val="00A539B8"/>
    <w:rsid w:val="00A541E3"/>
    <w:rsid w:val="00A54850"/>
    <w:rsid w:val="00A549B4"/>
    <w:rsid w:val="00A552C3"/>
    <w:rsid w:val="00A55430"/>
    <w:rsid w:val="00A55446"/>
    <w:rsid w:val="00A557E5"/>
    <w:rsid w:val="00A5595E"/>
    <w:rsid w:val="00A55F01"/>
    <w:rsid w:val="00A56222"/>
    <w:rsid w:val="00A56308"/>
    <w:rsid w:val="00A564D7"/>
    <w:rsid w:val="00A56B6A"/>
    <w:rsid w:val="00A57739"/>
    <w:rsid w:val="00A578DC"/>
    <w:rsid w:val="00A57AA1"/>
    <w:rsid w:val="00A60120"/>
    <w:rsid w:val="00A60680"/>
    <w:rsid w:val="00A6069E"/>
    <w:rsid w:val="00A60917"/>
    <w:rsid w:val="00A60AE7"/>
    <w:rsid w:val="00A60EB4"/>
    <w:rsid w:val="00A611A0"/>
    <w:rsid w:val="00A611CF"/>
    <w:rsid w:val="00A6168A"/>
    <w:rsid w:val="00A616C2"/>
    <w:rsid w:val="00A6189A"/>
    <w:rsid w:val="00A618C8"/>
    <w:rsid w:val="00A619A9"/>
    <w:rsid w:val="00A61A59"/>
    <w:rsid w:val="00A61B40"/>
    <w:rsid w:val="00A61E4A"/>
    <w:rsid w:val="00A61E4C"/>
    <w:rsid w:val="00A6242A"/>
    <w:rsid w:val="00A6272B"/>
    <w:rsid w:val="00A62994"/>
    <w:rsid w:val="00A62D79"/>
    <w:rsid w:val="00A63126"/>
    <w:rsid w:val="00A637A1"/>
    <w:rsid w:val="00A637D7"/>
    <w:rsid w:val="00A6389C"/>
    <w:rsid w:val="00A63DA1"/>
    <w:rsid w:val="00A63E94"/>
    <w:rsid w:val="00A640E2"/>
    <w:rsid w:val="00A644E6"/>
    <w:rsid w:val="00A64D65"/>
    <w:rsid w:val="00A64EF5"/>
    <w:rsid w:val="00A66346"/>
    <w:rsid w:val="00A664F3"/>
    <w:rsid w:val="00A66732"/>
    <w:rsid w:val="00A667FA"/>
    <w:rsid w:val="00A66D4B"/>
    <w:rsid w:val="00A66ED3"/>
    <w:rsid w:val="00A66EF8"/>
    <w:rsid w:val="00A6725B"/>
    <w:rsid w:val="00A67931"/>
    <w:rsid w:val="00A67D0A"/>
    <w:rsid w:val="00A70605"/>
    <w:rsid w:val="00A708AE"/>
    <w:rsid w:val="00A70945"/>
    <w:rsid w:val="00A70B82"/>
    <w:rsid w:val="00A71CE7"/>
    <w:rsid w:val="00A720E2"/>
    <w:rsid w:val="00A72109"/>
    <w:rsid w:val="00A7227F"/>
    <w:rsid w:val="00A72D77"/>
    <w:rsid w:val="00A72E08"/>
    <w:rsid w:val="00A73045"/>
    <w:rsid w:val="00A73134"/>
    <w:rsid w:val="00A73294"/>
    <w:rsid w:val="00A7365A"/>
    <w:rsid w:val="00A73B38"/>
    <w:rsid w:val="00A73EC9"/>
    <w:rsid w:val="00A7418F"/>
    <w:rsid w:val="00A7447F"/>
    <w:rsid w:val="00A746DA"/>
    <w:rsid w:val="00A74D16"/>
    <w:rsid w:val="00A74DC5"/>
    <w:rsid w:val="00A75210"/>
    <w:rsid w:val="00A752CB"/>
    <w:rsid w:val="00A7530F"/>
    <w:rsid w:val="00A75425"/>
    <w:rsid w:val="00A756FC"/>
    <w:rsid w:val="00A757CE"/>
    <w:rsid w:val="00A759F5"/>
    <w:rsid w:val="00A75A39"/>
    <w:rsid w:val="00A75C96"/>
    <w:rsid w:val="00A75E3C"/>
    <w:rsid w:val="00A75F05"/>
    <w:rsid w:val="00A76001"/>
    <w:rsid w:val="00A76560"/>
    <w:rsid w:val="00A76868"/>
    <w:rsid w:val="00A76B67"/>
    <w:rsid w:val="00A77118"/>
    <w:rsid w:val="00A7725E"/>
    <w:rsid w:val="00A777B2"/>
    <w:rsid w:val="00A77885"/>
    <w:rsid w:val="00A779A8"/>
    <w:rsid w:val="00A77C14"/>
    <w:rsid w:val="00A77C5E"/>
    <w:rsid w:val="00A80134"/>
    <w:rsid w:val="00A8063A"/>
    <w:rsid w:val="00A80A25"/>
    <w:rsid w:val="00A80E3C"/>
    <w:rsid w:val="00A8140F"/>
    <w:rsid w:val="00A815F9"/>
    <w:rsid w:val="00A818E6"/>
    <w:rsid w:val="00A81C65"/>
    <w:rsid w:val="00A81EDD"/>
    <w:rsid w:val="00A81F02"/>
    <w:rsid w:val="00A822D2"/>
    <w:rsid w:val="00A82556"/>
    <w:rsid w:val="00A825D4"/>
    <w:rsid w:val="00A828F6"/>
    <w:rsid w:val="00A829D9"/>
    <w:rsid w:val="00A82A87"/>
    <w:rsid w:val="00A82AA0"/>
    <w:rsid w:val="00A82B73"/>
    <w:rsid w:val="00A82BCF"/>
    <w:rsid w:val="00A82C63"/>
    <w:rsid w:val="00A82E61"/>
    <w:rsid w:val="00A8319F"/>
    <w:rsid w:val="00A83704"/>
    <w:rsid w:val="00A8372E"/>
    <w:rsid w:val="00A838EB"/>
    <w:rsid w:val="00A845D7"/>
    <w:rsid w:val="00A845F1"/>
    <w:rsid w:val="00A848D4"/>
    <w:rsid w:val="00A84947"/>
    <w:rsid w:val="00A8498D"/>
    <w:rsid w:val="00A84B0B"/>
    <w:rsid w:val="00A84EF1"/>
    <w:rsid w:val="00A85322"/>
    <w:rsid w:val="00A864C9"/>
    <w:rsid w:val="00A86696"/>
    <w:rsid w:val="00A86E8B"/>
    <w:rsid w:val="00A86EEF"/>
    <w:rsid w:val="00A87164"/>
    <w:rsid w:val="00A871A9"/>
    <w:rsid w:val="00A87345"/>
    <w:rsid w:val="00A90352"/>
    <w:rsid w:val="00A90644"/>
    <w:rsid w:val="00A90DD8"/>
    <w:rsid w:val="00A90FEB"/>
    <w:rsid w:val="00A91650"/>
    <w:rsid w:val="00A91AEC"/>
    <w:rsid w:val="00A91DEF"/>
    <w:rsid w:val="00A9213F"/>
    <w:rsid w:val="00A926BE"/>
    <w:rsid w:val="00A92DDD"/>
    <w:rsid w:val="00A92EB8"/>
    <w:rsid w:val="00A92FA6"/>
    <w:rsid w:val="00A93072"/>
    <w:rsid w:val="00A934F6"/>
    <w:rsid w:val="00A938BD"/>
    <w:rsid w:val="00A9391F"/>
    <w:rsid w:val="00A93953"/>
    <w:rsid w:val="00A93C0F"/>
    <w:rsid w:val="00A93C8C"/>
    <w:rsid w:val="00A93DA8"/>
    <w:rsid w:val="00A93DDD"/>
    <w:rsid w:val="00A93E83"/>
    <w:rsid w:val="00A94408"/>
    <w:rsid w:val="00A94439"/>
    <w:rsid w:val="00A948D8"/>
    <w:rsid w:val="00A94E82"/>
    <w:rsid w:val="00A94FA6"/>
    <w:rsid w:val="00A9581E"/>
    <w:rsid w:val="00A95992"/>
    <w:rsid w:val="00A959D8"/>
    <w:rsid w:val="00A95A52"/>
    <w:rsid w:val="00A95C51"/>
    <w:rsid w:val="00A9666B"/>
    <w:rsid w:val="00A96840"/>
    <w:rsid w:val="00A96E81"/>
    <w:rsid w:val="00A97276"/>
    <w:rsid w:val="00A9733B"/>
    <w:rsid w:val="00A977D4"/>
    <w:rsid w:val="00A97930"/>
    <w:rsid w:val="00A97985"/>
    <w:rsid w:val="00A97A7D"/>
    <w:rsid w:val="00A97CF5"/>
    <w:rsid w:val="00A97D36"/>
    <w:rsid w:val="00AA015C"/>
    <w:rsid w:val="00AA05D8"/>
    <w:rsid w:val="00AA0676"/>
    <w:rsid w:val="00AA0DA2"/>
    <w:rsid w:val="00AA113D"/>
    <w:rsid w:val="00AA144A"/>
    <w:rsid w:val="00AA18B2"/>
    <w:rsid w:val="00AA28D4"/>
    <w:rsid w:val="00AA2C2D"/>
    <w:rsid w:val="00AA2CD8"/>
    <w:rsid w:val="00AA2D6A"/>
    <w:rsid w:val="00AA3087"/>
    <w:rsid w:val="00AA34F9"/>
    <w:rsid w:val="00AA3AD1"/>
    <w:rsid w:val="00AA3EC2"/>
    <w:rsid w:val="00AA4272"/>
    <w:rsid w:val="00AA4911"/>
    <w:rsid w:val="00AA4A30"/>
    <w:rsid w:val="00AA4D4A"/>
    <w:rsid w:val="00AA4D73"/>
    <w:rsid w:val="00AA4FA6"/>
    <w:rsid w:val="00AA53E9"/>
    <w:rsid w:val="00AA549E"/>
    <w:rsid w:val="00AA58CF"/>
    <w:rsid w:val="00AA59EE"/>
    <w:rsid w:val="00AA5DC0"/>
    <w:rsid w:val="00AA6394"/>
    <w:rsid w:val="00AA68CD"/>
    <w:rsid w:val="00AA6BD5"/>
    <w:rsid w:val="00AA6BD8"/>
    <w:rsid w:val="00AA6C7D"/>
    <w:rsid w:val="00AA726E"/>
    <w:rsid w:val="00AA72CF"/>
    <w:rsid w:val="00AA7941"/>
    <w:rsid w:val="00AA7BC2"/>
    <w:rsid w:val="00AA7E2C"/>
    <w:rsid w:val="00AA7E4D"/>
    <w:rsid w:val="00AA7E92"/>
    <w:rsid w:val="00AA7FD6"/>
    <w:rsid w:val="00AB042A"/>
    <w:rsid w:val="00AB0AA6"/>
    <w:rsid w:val="00AB11AD"/>
    <w:rsid w:val="00AB17A8"/>
    <w:rsid w:val="00AB1834"/>
    <w:rsid w:val="00AB19EF"/>
    <w:rsid w:val="00AB1B7F"/>
    <w:rsid w:val="00AB1CCC"/>
    <w:rsid w:val="00AB1F38"/>
    <w:rsid w:val="00AB2495"/>
    <w:rsid w:val="00AB2664"/>
    <w:rsid w:val="00AB26ED"/>
    <w:rsid w:val="00AB2D34"/>
    <w:rsid w:val="00AB3083"/>
    <w:rsid w:val="00AB3430"/>
    <w:rsid w:val="00AB37B9"/>
    <w:rsid w:val="00AB41D4"/>
    <w:rsid w:val="00AB429A"/>
    <w:rsid w:val="00AB486C"/>
    <w:rsid w:val="00AB4AD1"/>
    <w:rsid w:val="00AB5319"/>
    <w:rsid w:val="00AB5413"/>
    <w:rsid w:val="00AB56A8"/>
    <w:rsid w:val="00AB5ADB"/>
    <w:rsid w:val="00AB5C6C"/>
    <w:rsid w:val="00AB5E07"/>
    <w:rsid w:val="00AB65F1"/>
    <w:rsid w:val="00AB7407"/>
    <w:rsid w:val="00AB75FE"/>
    <w:rsid w:val="00AB7B1D"/>
    <w:rsid w:val="00AB7BDE"/>
    <w:rsid w:val="00AB7CFA"/>
    <w:rsid w:val="00AC0291"/>
    <w:rsid w:val="00AC0C15"/>
    <w:rsid w:val="00AC1048"/>
    <w:rsid w:val="00AC195F"/>
    <w:rsid w:val="00AC1EDB"/>
    <w:rsid w:val="00AC20B5"/>
    <w:rsid w:val="00AC20BA"/>
    <w:rsid w:val="00AC245E"/>
    <w:rsid w:val="00AC24E5"/>
    <w:rsid w:val="00AC283F"/>
    <w:rsid w:val="00AC32DA"/>
    <w:rsid w:val="00AC36D6"/>
    <w:rsid w:val="00AC3FFC"/>
    <w:rsid w:val="00AC41B9"/>
    <w:rsid w:val="00AC467A"/>
    <w:rsid w:val="00AC4BA4"/>
    <w:rsid w:val="00AC4CFD"/>
    <w:rsid w:val="00AC5593"/>
    <w:rsid w:val="00AC5B1A"/>
    <w:rsid w:val="00AC5B42"/>
    <w:rsid w:val="00AC5B48"/>
    <w:rsid w:val="00AC5B4E"/>
    <w:rsid w:val="00AC5D6D"/>
    <w:rsid w:val="00AC6376"/>
    <w:rsid w:val="00AC686E"/>
    <w:rsid w:val="00AC6FB4"/>
    <w:rsid w:val="00AC7657"/>
    <w:rsid w:val="00AC79F4"/>
    <w:rsid w:val="00AC7A9D"/>
    <w:rsid w:val="00AC7AB8"/>
    <w:rsid w:val="00AC7E82"/>
    <w:rsid w:val="00AD1068"/>
    <w:rsid w:val="00AD1450"/>
    <w:rsid w:val="00AD15E8"/>
    <w:rsid w:val="00AD212B"/>
    <w:rsid w:val="00AD24EF"/>
    <w:rsid w:val="00AD27FF"/>
    <w:rsid w:val="00AD2AFE"/>
    <w:rsid w:val="00AD3283"/>
    <w:rsid w:val="00AD3486"/>
    <w:rsid w:val="00AD356D"/>
    <w:rsid w:val="00AD3E3D"/>
    <w:rsid w:val="00AD3F90"/>
    <w:rsid w:val="00AD411D"/>
    <w:rsid w:val="00AD4386"/>
    <w:rsid w:val="00AD447D"/>
    <w:rsid w:val="00AD458E"/>
    <w:rsid w:val="00AD4629"/>
    <w:rsid w:val="00AD4653"/>
    <w:rsid w:val="00AD4A6B"/>
    <w:rsid w:val="00AD4F79"/>
    <w:rsid w:val="00AD5357"/>
    <w:rsid w:val="00AD61DF"/>
    <w:rsid w:val="00AD61F2"/>
    <w:rsid w:val="00AD6245"/>
    <w:rsid w:val="00AD6502"/>
    <w:rsid w:val="00AD65A6"/>
    <w:rsid w:val="00AD691A"/>
    <w:rsid w:val="00AD6A57"/>
    <w:rsid w:val="00AD7699"/>
    <w:rsid w:val="00AD7965"/>
    <w:rsid w:val="00AE0428"/>
    <w:rsid w:val="00AE04C6"/>
    <w:rsid w:val="00AE0695"/>
    <w:rsid w:val="00AE09AA"/>
    <w:rsid w:val="00AE0D4A"/>
    <w:rsid w:val="00AE1B75"/>
    <w:rsid w:val="00AE1BB5"/>
    <w:rsid w:val="00AE23B2"/>
    <w:rsid w:val="00AE244E"/>
    <w:rsid w:val="00AE2949"/>
    <w:rsid w:val="00AE29A7"/>
    <w:rsid w:val="00AE2D8A"/>
    <w:rsid w:val="00AE3449"/>
    <w:rsid w:val="00AE3452"/>
    <w:rsid w:val="00AE3858"/>
    <w:rsid w:val="00AE3E7E"/>
    <w:rsid w:val="00AE3F92"/>
    <w:rsid w:val="00AE4388"/>
    <w:rsid w:val="00AE4C07"/>
    <w:rsid w:val="00AE4C1B"/>
    <w:rsid w:val="00AE5330"/>
    <w:rsid w:val="00AE534B"/>
    <w:rsid w:val="00AE5424"/>
    <w:rsid w:val="00AE55FF"/>
    <w:rsid w:val="00AE5B5A"/>
    <w:rsid w:val="00AE6200"/>
    <w:rsid w:val="00AE6A64"/>
    <w:rsid w:val="00AE6BF5"/>
    <w:rsid w:val="00AE72DE"/>
    <w:rsid w:val="00AE73ED"/>
    <w:rsid w:val="00AE77A1"/>
    <w:rsid w:val="00AE7A6C"/>
    <w:rsid w:val="00AE7E2F"/>
    <w:rsid w:val="00AE7E53"/>
    <w:rsid w:val="00AF003E"/>
    <w:rsid w:val="00AF0717"/>
    <w:rsid w:val="00AF0839"/>
    <w:rsid w:val="00AF0BA8"/>
    <w:rsid w:val="00AF11F9"/>
    <w:rsid w:val="00AF1315"/>
    <w:rsid w:val="00AF18C3"/>
    <w:rsid w:val="00AF19BF"/>
    <w:rsid w:val="00AF2176"/>
    <w:rsid w:val="00AF21EE"/>
    <w:rsid w:val="00AF2CD4"/>
    <w:rsid w:val="00AF2DC3"/>
    <w:rsid w:val="00AF2F07"/>
    <w:rsid w:val="00AF37A3"/>
    <w:rsid w:val="00AF3B7F"/>
    <w:rsid w:val="00AF3FCD"/>
    <w:rsid w:val="00AF454C"/>
    <w:rsid w:val="00AF4609"/>
    <w:rsid w:val="00AF4F22"/>
    <w:rsid w:val="00AF516E"/>
    <w:rsid w:val="00AF57AA"/>
    <w:rsid w:val="00AF5AC0"/>
    <w:rsid w:val="00AF5DA4"/>
    <w:rsid w:val="00AF65D0"/>
    <w:rsid w:val="00AF7982"/>
    <w:rsid w:val="00AF7EBF"/>
    <w:rsid w:val="00B0062D"/>
    <w:rsid w:val="00B007D4"/>
    <w:rsid w:val="00B00851"/>
    <w:rsid w:val="00B00B49"/>
    <w:rsid w:val="00B00F14"/>
    <w:rsid w:val="00B012BF"/>
    <w:rsid w:val="00B01445"/>
    <w:rsid w:val="00B01785"/>
    <w:rsid w:val="00B01A7F"/>
    <w:rsid w:val="00B01EA1"/>
    <w:rsid w:val="00B02055"/>
    <w:rsid w:val="00B020E8"/>
    <w:rsid w:val="00B02615"/>
    <w:rsid w:val="00B031BE"/>
    <w:rsid w:val="00B033E5"/>
    <w:rsid w:val="00B0343A"/>
    <w:rsid w:val="00B03A63"/>
    <w:rsid w:val="00B03B0F"/>
    <w:rsid w:val="00B044BA"/>
    <w:rsid w:val="00B046CA"/>
    <w:rsid w:val="00B04A66"/>
    <w:rsid w:val="00B04F2B"/>
    <w:rsid w:val="00B04F60"/>
    <w:rsid w:val="00B050CF"/>
    <w:rsid w:val="00B0576E"/>
    <w:rsid w:val="00B068EE"/>
    <w:rsid w:val="00B07655"/>
    <w:rsid w:val="00B076B6"/>
    <w:rsid w:val="00B1005A"/>
    <w:rsid w:val="00B101CB"/>
    <w:rsid w:val="00B10394"/>
    <w:rsid w:val="00B10727"/>
    <w:rsid w:val="00B10964"/>
    <w:rsid w:val="00B10D03"/>
    <w:rsid w:val="00B10D71"/>
    <w:rsid w:val="00B11FEF"/>
    <w:rsid w:val="00B122DD"/>
    <w:rsid w:val="00B1289E"/>
    <w:rsid w:val="00B12975"/>
    <w:rsid w:val="00B129A4"/>
    <w:rsid w:val="00B1301D"/>
    <w:rsid w:val="00B13736"/>
    <w:rsid w:val="00B13C29"/>
    <w:rsid w:val="00B1446E"/>
    <w:rsid w:val="00B14719"/>
    <w:rsid w:val="00B14C44"/>
    <w:rsid w:val="00B14CA1"/>
    <w:rsid w:val="00B14F18"/>
    <w:rsid w:val="00B15371"/>
    <w:rsid w:val="00B153C7"/>
    <w:rsid w:val="00B1556A"/>
    <w:rsid w:val="00B1586C"/>
    <w:rsid w:val="00B15A5E"/>
    <w:rsid w:val="00B168EA"/>
    <w:rsid w:val="00B16C86"/>
    <w:rsid w:val="00B16F83"/>
    <w:rsid w:val="00B1788E"/>
    <w:rsid w:val="00B178C3"/>
    <w:rsid w:val="00B17C2B"/>
    <w:rsid w:val="00B201A4"/>
    <w:rsid w:val="00B201D1"/>
    <w:rsid w:val="00B20940"/>
    <w:rsid w:val="00B20A60"/>
    <w:rsid w:val="00B20FCA"/>
    <w:rsid w:val="00B21173"/>
    <w:rsid w:val="00B213A6"/>
    <w:rsid w:val="00B2160F"/>
    <w:rsid w:val="00B220AD"/>
    <w:rsid w:val="00B2212B"/>
    <w:rsid w:val="00B22B37"/>
    <w:rsid w:val="00B235B0"/>
    <w:rsid w:val="00B23845"/>
    <w:rsid w:val="00B23BFD"/>
    <w:rsid w:val="00B242D0"/>
    <w:rsid w:val="00B24DF6"/>
    <w:rsid w:val="00B25218"/>
    <w:rsid w:val="00B25327"/>
    <w:rsid w:val="00B25329"/>
    <w:rsid w:val="00B25737"/>
    <w:rsid w:val="00B25751"/>
    <w:rsid w:val="00B25B39"/>
    <w:rsid w:val="00B25C47"/>
    <w:rsid w:val="00B25EED"/>
    <w:rsid w:val="00B261E2"/>
    <w:rsid w:val="00B26442"/>
    <w:rsid w:val="00B2733A"/>
    <w:rsid w:val="00B27624"/>
    <w:rsid w:val="00B2796A"/>
    <w:rsid w:val="00B27A27"/>
    <w:rsid w:val="00B27A61"/>
    <w:rsid w:val="00B27C63"/>
    <w:rsid w:val="00B304F4"/>
    <w:rsid w:val="00B308CA"/>
    <w:rsid w:val="00B30D55"/>
    <w:rsid w:val="00B30E57"/>
    <w:rsid w:val="00B311A6"/>
    <w:rsid w:val="00B313A5"/>
    <w:rsid w:val="00B31A5A"/>
    <w:rsid w:val="00B31B50"/>
    <w:rsid w:val="00B321CD"/>
    <w:rsid w:val="00B322B2"/>
    <w:rsid w:val="00B32576"/>
    <w:rsid w:val="00B32AEA"/>
    <w:rsid w:val="00B32C94"/>
    <w:rsid w:val="00B33114"/>
    <w:rsid w:val="00B33B27"/>
    <w:rsid w:val="00B33DC0"/>
    <w:rsid w:val="00B33FFF"/>
    <w:rsid w:val="00B34903"/>
    <w:rsid w:val="00B34BF9"/>
    <w:rsid w:val="00B34D8F"/>
    <w:rsid w:val="00B34FE2"/>
    <w:rsid w:val="00B35166"/>
    <w:rsid w:val="00B35421"/>
    <w:rsid w:val="00B356D4"/>
    <w:rsid w:val="00B357D8"/>
    <w:rsid w:val="00B3593A"/>
    <w:rsid w:val="00B35B79"/>
    <w:rsid w:val="00B35DFA"/>
    <w:rsid w:val="00B360E1"/>
    <w:rsid w:val="00B360F4"/>
    <w:rsid w:val="00B36340"/>
    <w:rsid w:val="00B3682A"/>
    <w:rsid w:val="00B36A00"/>
    <w:rsid w:val="00B372C9"/>
    <w:rsid w:val="00B37485"/>
    <w:rsid w:val="00B3782B"/>
    <w:rsid w:val="00B37844"/>
    <w:rsid w:val="00B3792B"/>
    <w:rsid w:val="00B37AD9"/>
    <w:rsid w:val="00B37BFC"/>
    <w:rsid w:val="00B37EFD"/>
    <w:rsid w:val="00B37F9A"/>
    <w:rsid w:val="00B40358"/>
    <w:rsid w:val="00B4038D"/>
    <w:rsid w:val="00B41614"/>
    <w:rsid w:val="00B417D1"/>
    <w:rsid w:val="00B41D28"/>
    <w:rsid w:val="00B420EA"/>
    <w:rsid w:val="00B42139"/>
    <w:rsid w:val="00B42198"/>
    <w:rsid w:val="00B42851"/>
    <w:rsid w:val="00B42ADE"/>
    <w:rsid w:val="00B42F80"/>
    <w:rsid w:val="00B42FA1"/>
    <w:rsid w:val="00B43020"/>
    <w:rsid w:val="00B43088"/>
    <w:rsid w:val="00B435CB"/>
    <w:rsid w:val="00B4485C"/>
    <w:rsid w:val="00B44A35"/>
    <w:rsid w:val="00B44AFF"/>
    <w:rsid w:val="00B44C2F"/>
    <w:rsid w:val="00B44CE3"/>
    <w:rsid w:val="00B45086"/>
    <w:rsid w:val="00B4524A"/>
    <w:rsid w:val="00B4567D"/>
    <w:rsid w:val="00B457B3"/>
    <w:rsid w:val="00B45B37"/>
    <w:rsid w:val="00B45E36"/>
    <w:rsid w:val="00B45F7E"/>
    <w:rsid w:val="00B462C9"/>
    <w:rsid w:val="00B465EC"/>
    <w:rsid w:val="00B46DEC"/>
    <w:rsid w:val="00B471DE"/>
    <w:rsid w:val="00B47475"/>
    <w:rsid w:val="00B47A6A"/>
    <w:rsid w:val="00B47B09"/>
    <w:rsid w:val="00B505C8"/>
    <w:rsid w:val="00B50D3D"/>
    <w:rsid w:val="00B50DB8"/>
    <w:rsid w:val="00B51079"/>
    <w:rsid w:val="00B51545"/>
    <w:rsid w:val="00B51D69"/>
    <w:rsid w:val="00B51DEA"/>
    <w:rsid w:val="00B51E50"/>
    <w:rsid w:val="00B52733"/>
    <w:rsid w:val="00B528CF"/>
    <w:rsid w:val="00B52D13"/>
    <w:rsid w:val="00B52ED2"/>
    <w:rsid w:val="00B53654"/>
    <w:rsid w:val="00B53905"/>
    <w:rsid w:val="00B53926"/>
    <w:rsid w:val="00B53BD4"/>
    <w:rsid w:val="00B54184"/>
    <w:rsid w:val="00B546DB"/>
    <w:rsid w:val="00B54705"/>
    <w:rsid w:val="00B54B5B"/>
    <w:rsid w:val="00B55066"/>
    <w:rsid w:val="00B55175"/>
    <w:rsid w:val="00B555B4"/>
    <w:rsid w:val="00B5562E"/>
    <w:rsid w:val="00B55862"/>
    <w:rsid w:val="00B558C6"/>
    <w:rsid w:val="00B558CA"/>
    <w:rsid w:val="00B55A6D"/>
    <w:rsid w:val="00B55B3D"/>
    <w:rsid w:val="00B55D65"/>
    <w:rsid w:val="00B55EFB"/>
    <w:rsid w:val="00B56256"/>
    <w:rsid w:val="00B56305"/>
    <w:rsid w:val="00B56726"/>
    <w:rsid w:val="00B56C43"/>
    <w:rsid w:val="00B56D69"/>
    <w:rsid w:val="00B56FB5"/>
    <w:rsid w:val="00B57000"/>
    <w:rsid w:val="00B572BD"/>
    <w:rsid w:val="00B5780C"/>
    <w:rsid w:val="00B6009E"/>
    <w:rsid w:val="00B6068F"/>
    <w:rsid w:val="00B60939"/>
    <w:rsid w:val="00B60AFD"/>
    <w:rsid w:val="00B60C8A"/>
    <w:rsid w:val="00B61166"/>
    <w:rsid w:val="00B61174"/>
    <w:rsid w:val="00B617D7"/>
    <w:rsid w:val="00B61D2F"/>
    <w:rsid w:val="00B61E33"/>
    <w:rsid w:val="00B622D0"/>
    <w:rsid w:val="00B623F3"/>
    <w:rsid w:val="00B62715"/>
    <w:rsid w:val="00B63039"/>
    <w:rsid w:val="00B63451"/>
    <w:rsid w:val="00B63EC2"/>
    <w:rsid w:val="00B63FF9"/>
    <w:rsid w:val="00B648C4"/>
    <w:rsid w:val="00B64D68"/>
    <w:rsid w:val="00B64D81"/>
    <w:rsid w:val="00B64EC4"/>
    <w:rsid w:val="00B653BF"/>
    <w:rsid w:val="00B65611"/>
    <w:rsid w:val="00B66067"/>
    <w:rsid w:val="00B664E5"/>
    <w:rsid w:val="00B669F3"/>
    <w:rsid w:val="00B66EE3"/>
    <w:rsid w:val="00B67388"/>
    <w:rsid w:val="00B67C17"/>
    <w:rsid w:val="00B67EA7"/>
    <w:rsid w:val="00B67F2B"/>
    <w:rsid w:val="00B70238"/>
    <w:rsid w:val="00B70473"/>
    <w:rsid w:val="00B70A0F"/>
    <w:rsid w:val="00B70E8E"/>
    <w:rsid w:val="00B710B7"/>
    <w:rsid w:val="00B71195"/>
    <w:rsid w:val="00B726C0"/>
    <w:rsid w:val="00B728F5"/>
    <w:rsid w:val="00B72BD5"/>
    <w:rsid w:val="00B72C69"/>
    <w:rsid w:val="00B74FF1"/>
    <w:rsid w:val="00B75503"/>
    <w:rsid w:val="00B75C12"/>
    <w:rsid w:val="00B7609B"/>
    <w:rsid w:val="00B7668B"/>
    <w:rsid w:val="00B76A52"/>
    <w:rsid w:val="00B76C10"/>
    <w:rsid w:val="00B76C92"/>
    <w:rsid w:val="00B76E3C"/>
    <w:rsid w:val="00B775CA"/>
    <w:rsid w:val="00B775DB"/>
    <w:rsid w:val="00B77841"/>
    <w:rsid w:val="00B80127"/>
    <w:rsid w:val="00B80984"/>
    <w:rsid w:val="00B80C56"/>
    <w:rsid w:val="00B80EFD"/>
    <w:rsid w:val="00B81328"/>
    <w:rsid w:val="00B814A6"/>
    <w:rsid w:val="00B81652"/>
    <w:rsid w:val="00B818A4"/>
    <w:rsid w:val="00B82340"/>
    <w:rsid w:val="00B82643"/>
    <w:rsid w:val="00B8286B"/>
    <w:rsid w:val="00B82B01"/>
    <w:rsid w:val="00B8367A"/>
    <w:rsid w:val="00B836EC"/>
    <w:rsid w:val="00B83739"/>
    <w:rsid w:val="00B83BD8"/>
    <w:rsid w:val="00B84117"/>
    <w:rsid w:val="00B84390"/>
    <w:rsid w:val="00B84501"/>
    <w:rsid w:val="00B84A49"/>
    <w:rsid w:val="00B84F54"/>
    <w:rsid w:val="00B8500C"/>
    <w:rsid w:val="00B855BE"/>
    <w:rsid w:val="00B858F0"/>
    <w:rsid w:val="00B85AA2"/>
    <w:rsid w:val="00B8649C"/>
    <w:rsid w:val="00B8695D"/>
    <w:rsid w:val="00B869B1"/>
    <w:rsid w:val="00B86CC2"/>
    <w:rsid w:val="00B87145"/>
    <w:rsid w:val="00B87170"/>
    <w:rsid w:val="00B87315"/>
    <w:rsid w:val="00B873A1"/>
    <w:rsid w:val="00B873A2"/>
    <w:rsid w:val="00B87C8F"/>
    <w:rsid w:val="00B87F0A"/>
    <w:rsid w:val="00B900C5"/>
    <w:rsid w:val="00B904F0"/>
    <w:rsid w:val="00B90F0E"/>
    <w:rsid w:val="00B915EC"/>
    <w:rsid w:val="00B9198E"/>
    <w:rsid w:val="00B92015"/>
    <w:rsid w:val="00B9261C"/>
    <w:rsid w:val="00B92D0B"/>
    <w:rsid w:val="00B92FDF"/>
    <w:rsid w:val="00B93460"/>
    <w:rsid w:val="00B93EDF"/>
    <w:rsid w:val="00B94015"/>
    <w:rsid w:val="00B940F1"/>
    <w:rsid w:val="00B94392"/>
    <w:rsid w:val="00B94414"/>
    <w:rsid w:val="00B94945"/>
    <w:rsid w:val="00B94D98"/>
    <w:rsid w:val="00B94D9B"/>
    <w:rsid w:val="00B94DD6"/>
    <w:rsid w:val="00B955F1"/>
    <w:rsid w:val="00B9583A"/>
    <w:rsid w:val="00B95E69"/>
    <w:rsid w:val="00B96085"/>
    <w:rsid w:val="00B972BC"/>
    <w:rsid w:val="00B97509"/>
    <w:rsid w:val="00B97801"/>
    <w:rsid w:val="00B97C5C"/>
    <w:rsid w:val="00BA06D0"/>
    <w:rsid w:val="00BA0871"/>
    <w:rsid w:val="00BA10DF"/>
    <w:rsid w:val="00BA1A1C"/>
    <w:rsid w:val="00BA1D55"/>
    <w:rsid w:val="00BA2354"/>
    <w:rsid w:val="00BA2454"/>
    <w:rsid w:val="00BA245D"/>
    <w:rsid w:val="00BA322D"/>
    <w:rsid w:val="00BA3674"/>
    <w:rsid w:val="00BA374A"/>
    <w:rsid w:val="00BA379D"/>
    <w:rsid w:val="00BA390B"/>
    <w:rsid w:val="00BA4353"/>
    <w:rsid w:val="00BA46A1"/>
    <w:rsid w:val="00BA4C3F"/>
    <w:rsid w:val="00BA51D1"/>
    <w:rsid w:val="00BA5646"/>
    <w:rsid w:val="00BA6028"/>
    <w:rsid w:val="00BA63FA"/>
    <w:rsid w:val="00BA645F"/>
    <w:rsid w:val="00BA6B39"/>
    <w:rsid w:val="00BA6CC1"/>
    <w:rsid w:val="00BA6D11"/>
    <w:rsid w:val="00BA738D"/>
    <w:rsid w:val="00BA7D53"/>
    <w:rsid w:val="00BB003D"/>
    <w:rsid w:val="00BB00B3"/>
    <w:rsid w:val="00BB0BDD"/>
    <w:rsid w:val="00BB0E06"/>
    <w:rsid w:val="00BB0F20"/>
    <w:rsid w:val="00BB1508"/>
    <w:rsid w:val="00BB15C3"/>
    <w:rsid w:val="00BB176C"/>
    <w:rsid w:val="00BB1B6F"/>
    <w:rsid w:val="00BB1D92"/>
    <w:rsid w:val="00BB1DDF"/>
    <w:rsid w:val="00BB254C"/>
    <w:rsid w:val="00BB2A05"/>
    <w:rsid w:val="00BB2A73"/>
    <w:rsid w:val="00BB2E3D"/>
    <w:rsid w:val="00BB3144"/>
    <w:rsid w:val="00BB3374"/>
    <w:rsid w:val="00BB3663"/>
    <w:rsid w:val="00BB3A45"/>
    <w:rsid w:val="00BB3BDC"/>
    <w:rsid w:val="00BB3D50"/>
    <w:rsid w:val="00BB412E"/>
    <w:rsid w:val="00BB439C"/>
    <w:rsid w:val="00BB45A8"/>
    <w:rsid w:val="00BB488C"/>
    <w:rsid w:val="00BB4ACC"/>
    <w:rsid w:val="00BB4E40"/>
    <w:rsid w:val="00BB56F3"/>
    <w:rsid w:val="00BB59CC"/>
    <w:rsid w:val="00BB5BD2"/>
    <w:rsid w:val="00BB5D71"/>
    <w:rsid w:val="00BB67B8"/>
    <w:rsid w:val="00BB703E"/>
    <w:rsid w:val="00BB709E"/>
    <w:rsid w:val="00BB72CC"/>
    <w:rsid w:val="00BB732D"/>
    <w:rsid w:val="00BB7405"/>
    <w:rsid w:val="00BB7FAA"/>
    <w:rsid w:val="00BC0141"/>
    <w:rsid w:val="00BC0239"/>
    <w:rsid w:val="00BC034F"/>
    <w:rsid w:val="00BC03B8"/>
    <w:rsid w:val="00BC0C9F"/>
    <w:rsid w:val="00BC178A"/>
    <w:rsid w:val="00BC18B2"/>
    <w:rsid w:val="00BC1A97"/>
    <w:rsid w:val="00BC1BF9"/>
    <w:rsid w:val="00BC1F26"/>
    <w:rsid w:val="00BC2A23"/>
    <w:rsid w:val="00BC312B"/>
    <w:rsid w:val="00BC333D"/>
    <w:rsid w:val="00BC3631"/>
    <w:rsid w:val="00BC3BBD"/>
    <w:rsid w:val="00BC4121"/>
    <w:rsid w:val="00BC4780"/>
    <w:rsid w:val="00BC495E"/>
    <w:rsid w:val="00BC4999"/>
    <w:rsid w:val="00BC4A90"/>
    <w:rsid w:val="00BC4C33"/>
    <w:rsid w:val="00BC4E3F"/>
    <w:rsid w:val="00BC5312"/>
    <w:rsid w:val="00BC54F3"/>
    <w:rsid w:val="00BC591F"/>
    <w:rsid w:val="00BC5AB5"/>
    <w:rsid w:val="00BC5BE5"/>
    <w:rsid w:val="00BC63CB"/>
    <w:rsid w:val="00BC6BCD"/>
    <w:rsid w:val="00BC6F2F"/>
    <w:rsid w:val="00BC7D3D"/>
    <w:rsid w:val="00BC7D6D"/>
    <w:rsid w:val="00BD03E3"/>
    <w:rsid w:val="00BD0E94"/>
    <w:rsid w:val="00BD0FCC"/>
    <w:rsid w:val="00BD10CB"/>
    <w:rsid w:val="00BD1C2F"/>
    <w:rsid w:val="00BD1D1A"/>
    <w:rsid w:val="00BD1D44"/>
    <w:rsid w:val="00BD1FEF"/>
    <w:rsid w:val="00BD2108"/>
    <w:rsid w:val="00BD2AB7"/>
    <w:rsid w:val="00BD317E"/>
    <w:rsid w:val="00BD3781"/>
    <w:rsid w:val="00BD3A4F"/>
    <w:rsid w:val="00BD45C7"/>
    <w:rsid w:val="00BD485D"/>
    <w:rsid w:val="00BD4F49"/>
    <w:rsid w:val="00BD5148"/>
    <w:rsid w:val="00BD5AC2"/>
    <w:rsid w:val="00BD61BD"/>
    <w:rsid w:val="00BD6361"/>
    <w:rsid w:val="00BD68A3"/>
    <w:rsid w:val="00BD6938"/>
    <w:rsid w:val="00BD6CF3"/>
    <w:rsid w:val="00BD7898"/>
    <w:rsid w:val="00BD7F72"/>
    <w:rsid w:val="00BD7F7B"/>
    <w:rsid w:val="00BE0046"/>
    <w:rsid w:val="00BE0BBD"/>
    <w:rsid w:val="00BE0C82"/>
    <w:rsid w:val="00BE0ECA"/>
    <w:rsid w:val="00BE1561"/>
    <w:rsid w:val="00BE15E6"/>
    <w:rsid w:val="00BE2180"/>
    <w:rsid w:val="00BE21F2"/>
    <w:rsid w:val="00BE22A1"/>
    <w:rsid w:val="00BE2357"/>
    <w:rsid w:val="00BE266A"/>
    <w:rsid w:val="00BE398E"/>
    <w:rsid w:val="00BE3A2A"/>
    <w:rsid w:val="00BE3FB7"/>
    <w:rsid w:val="00BE4275"/>
    <w:rsid w:val="00BE52C7"/>
    <w:rsid w:val="00BE5374"/>
    <w:rsid w:val="00BE544B"/>
    <w:rsid w:val="00BE5693"/>
    <w:rsid w:val="00BE5744"/>
    <w:rsid w:val="00BE5B0C"/>
    <w:rsid w:val="00BE5BD0"/>
    <w:rsid w:val="00BE5DB5"/>
    <w:rsid w:val="00BE618D"/>
    <w:rsid w:val="00BE65AD"/>
    <w:rsid w:val="00BE6934"/>
    <w:rsid w:val="00BE6A31"/>
    <w:rsid w:val="00BE77F4"/>
    <w:rsid w:val="00BE7A50"/>
    <w:rsid w:val="00BE7FE3"/>
    <w:rsid w:val="00BF053A"/>
    <w:rsid w:val="00BF06AE"/>
    <w:rsid w:val="00BF07E8"/>
    <w:rsid w:val="00BF0CBF"/>
    <w:rsid w:val="00BF0D5F"/>
    <w:rsid w:val="00BF0F69"/>
    <w:rsid w:val="00BF0F95"/>
    <w:rsid w:val="00BF18CA"/>
    <w:rsid w:val="00BF1B42"/>
    <w:rsid w:val="00BF1C44"/>
    <w:rsid w:val="00BF1DD1"/>
    <w:rsid w:val="00BF1EAC"/>
    <w:rsid w:val="00BF2433"/>
    <w:rsid w:val="00BF269F"/>
    <w:rsid w:val="00BF27F1"/>
    <w:rsid w:val="00BF2E6E"/>
    <w:rsid w:val="00BF35C8"/>
    <w:rsid w:val="00BF38B7"/>
    <w:rsid w:val="00BF4268"/>
    <w:rsid w:val="00BF472F"/>
    <w:rsid w:val="00BF483C"/>
    <w:rsid w:val="00BF49B6"/>
    <w:rsid w:val="00BF49D7"/>
    <w:rsid w:val="00BF4CC5"/>
    <w:rsid w:val="00BF4F59"/>
    <w:rsid w:val="00BF5041"/>
    <w:rsid w:val="00BF61C9"/>
    <w:rsid w:val="00BF6314"/>
    <w:rsid w:val="00BF6B79"/>
    <w:rsid w:val="00BF6C94"/>
    <w:rsid w:val="00BF6D7A"/>
    <w:rsid w:val="00BF6EB0"/>
    <w:rsid w:val="00BF79C3"/>
    <w:rsid w:val="00BF7D22"/>
    <w:rsid w:val="00C00424"/>
    <w:rsid w:val="00C0068E"/>
    <w:rsid w:val="00C0092F"/>
    <w:rsid w:val="00C00BB0"/>
    <w:rsid w:val="00C01B13"/>
    <w:rsid w:val="00C0219E"/>
    <w:rsid w:val="00C026DE"/>
    <w:rsid w:val="00C029EB"/>
    <w:rsid w:val="00C02AAA"/>
    <w:rsid w:val="00C033A0"/>
    <w:rsid w:val="00C036E4"/>
    <w:rsid w:val="00C03985"/>
    <w:rsid w:val="00C03D6F"/>
    <w:rsid w:val="00C04121"/>
    <w:rsid w:val="00C0429D"/>
    <w:rsid w:val="00C04C4C"/>
    <w:rsid w:val="00C04CC1"/>
    <w:rsid w:val="00C0519E"/>
    <w:rsid w:val="00C054F8"/>
    <w:rsid w:val="00C05C05"/>
    <w:rsid w:val="00C0654E"/>
    <w:rsid w:val="00C065CF"/>
    <w:rsid w:val="00C066B9"/>
    <w:rsid w:val="00C06D44"/>
    <w:rsid w:val="00C06EA3"/>
    <w:rsid w:val="00C07438"/>
    <w:rsid w:val="00C0744D"/>
    <w:rsid w:val="00C07A73"/>
    <w:rsid w:val="00C10705"/>
    <w:rsid w:val="00C10795"/>
    <w:rsid w:val="00C10B01"/>
    <w:rsid w:val="00C10B8E"/>
    <w:rsid w:val="00C1179F"/>
    <w:rsid w:val="00C1200A"/>
    <w:rsid w:val="00C127B9"/>
    <w:rsid w:val="00C128FA"/>
    <w:rsid w:val="00C12C14"/>
    <w:rsid w:val="00C12E09"/>
    <w:rsid w:val="00C12E7F"/>
    <w:rsid w:val="00C1316B"/>
    <w:rsid w:val="00C13839"/>
    <w:rsid w:val="00C1481B"/>
    <w:rsid w:val="00C14829"/>
    <w:rsid w:val="00C14A5C"/>
    <w:rsid w:val="00C14D0B"/>
    <w:rsid w:val="00C15F04"/>
    <w:rsid w:val="00C16419"/>
    <w:rsid w:val="00C165AF"/>
    <w:rsid w:val="00C16669"/>
    <w:rsid w:val="00C16731"/>
    <w:rsid w:val="00C16C00"/>
    <w:rsid w:val="00C173A3"/>
    <w:rsid w:val="00C179B3"/>
    <w:rsid w:val="00C17DC2"/>
    <w:rsid w:val="00C17E3F"/>
    <w:rsid w:val="00C200AA"/>
    <w:rsid w:val="00C20F1E"/>
    <w:rsid w:val="00C20F7E"/>
    <w:rsid w:val="00C21807"/>
    <w:rsid w:val="00C2186B"/>
    <w:rsid w:val="00C21E05"/>
    <w:rsid w:val="00C22096"/>
    <w:rsid w:val="00C226EA"/>
    <w:rsid w:val="00C229CF"/>
    <w:rsid w:val="00C22E2A"/>
    <w:rsid w:val="00C22FE4"/>
    <w:rsid w:val="00C237ED"/>
    <w:rsid w:val="00C239D5"/>
    <w:rsid w:val="00C23E63"/>
    <w:rsid w:val="00C23F59"/>
    <w:rsid w:val="00C24632"/>
    <w:rsid w:val="00C24A50"/>
    <w:rsid w:val="00C24B37"/>
    <w:rsid w:val="00C24BD9"/>
    <w:rsid w:val="00C24D0D"/>
    <w:rsid w:val="00C24F63"/>
    <w:rsid w:val="00C250F8"/>
    <w:rsid w:val="00C25418"/>
    <w:rsid w:val="00C25887"/>
    <w:rsid w:val="00C258D5"/>
    <w:rsid w:val="00C25AC0"/>
    <w:rsid w:val="00C25D9C"/>
    <w:rsid w:val="00C25EB5"/>
    <w:rsid w:val="00C25F3C"/>
    <w:rsid w:val="00C26E39"/>
    <w:rsid w:val="00C272D2"/>
    <w:rsid w:val="00C27525"/>
    <w:rsid w:val="00C2778B"/>
    <w:rsid w:val="00C277A5"/>
    <w:rsid w:val="00C27CBD"/>
    <w:rsid w:val="00C27FF3"/>
    <w:rsid w:val="00C30767"/>
    <w:rsid w:val="00C30A47"/>
    <w:rsid w:val="00C30B5A"/>
    <w:rsid w:val="00C30E59"/>
    <w:rsid w:val="00C310D1"/>
    <w:rsid w:val="00C31268"/>
    <w:rsid w:val="00C3160F"/>
    <w:rsid w:val="00C31649"/>
    <w:rsid w:val="00C31ABE"/>
    <w:rsid w:val="00C31DBB"/>
    <w:rsid w:val="00C32293"/>
    <w:rsid w:val="00C330E9"/>
    <w:rsid w:val="00C33240"/>
    <w:rsid w:val="00C33B12"/>
    <w:rsid w:val="00C33D0E"/>
    <w:rsid w:val="00C33D9D"/>
    <w:rsid w:val="00C3434C"/>
    <w:rsid w:val="00C34788"/>
    <w:rsid w:val="00C34EC9"/>
    <w:rsid w:val="00C34FA8"/>
    <w:rsid w:val="00C355CE"/>
    <w:rsid w:val="00C357FE"/>
    <w:rsid w:val="00C3597E"/>
    <w:rsid w:val="00C35B2D"/>
    <w:rsid w:val="00C36657"/>
    <w:rsid w:val="00C36C24"/>
    <w:rsid w:val="00C36CE9"/>
    <w:rsid w:val="00C37559"/>
    <w:rsid w:val="00C37F5D"/>
    <w:rsid w:val="00C400C6"/>
    <w:rsid w:val="00C40385"/>
    <w:rsid w:val="00C40869"/>
    <w:rsid w:val="00C40BA8"/>
    <w:rsid w:val="00C41321"/>
    <w:rsid w:val="00C4133C"/>
    <w:rsid w:val="00C41768"/>
    <w:rsid w:val="00C4204B"/>
    <w:rsid w:val="00C42B61"/>
    <w:rsid w:val="00C42EB9"/>
    <w:rsid w:val="00C436C2"/>
    <w:rsid w:val="00C43A38"/>
    <w:rsid w:val="00C43B82"/>
    <w:rsid w:val="00C43CAE"/>
    <w:rsid w:val="00C43EF6"/>
    <w:rsid w:val="00C43F19"/>
    <w:rsid w:val="00C442F3"/>
    <w:rsid w:val="00C444D9"/>
    <w:rsid w:val="00C446D2"/>
    <w:rsid w:val="00C44E61"/>
    <w:rsid w:val="00C44FED"/>
    <w:rsid w:val="00C457CA"/>
    <w:rsid w:val="00C4581D"/>
    <w:rsid w:val="00C45A26"/>
    <w:rsid w:val="00C45CF8"/>
    <w:rsid w:val="00C45E17"/>
    <w:rsid w:val="00C45EF6"/>
    <w:rsid w:val="00C45F9E"/>
    <w:rsid w:val="00C46435"/>
    <w:rsid w:val="00C46796"/>
    <w:rsid w:val="00C47043"/>
    <w:rsid w:val="00C475AA"/>
    <w:rsid w:val="00C477A7"/>
    <w:rsid w:val="00C500F7"/>
    <w:rsid w:val="00C51021"/>
    <w:rsid w:val="00C51E4A"/>
    <w:rsid w:val="00C51E4C"/>
    <w:rsid w:val="00C52486"/>
    <w:rsid w:val="00C527C7"/>
    <w:rsid w:val="00C52D5A"/>
    <w:rsid w:val="00C52E8B"/>
    <w:rsid w:val="00C530A8"/>
    <w:rsid w:val="00C530E3"/>
    <w:rsid w:val="00C534AE"/>
    <w:rsid w:val="00C53AA6"/>
    <w:rsid w:val="00C53C98"/>
    <w:rsid w:val="00C53D1E"/>
    <w:rsid w:val="00C53EB4"/>
    <w:rsid w:val="00C53FE5"/>
    <w:rsid w:val="00C543DB"/>
    <w:rsid w:val="00C54796"/>
    <w:rsid w:val="00C54819"/>
    <w:rsid w:val="00C54D6E"/>
    <w:rsid w:val="00C557CF"/>
    <w:rsid w:val="00C55C7D"/>
    <w:rsid w:val="00C55F92"/>
    <w:rsid w:val="00C56E90"/>
    <w:rsid w:val="00C56FCF"/>
    <w:rsid w:val="00C572F6"/>
    <w:rsid w:val="00C5753B"/>
    <w:rsid w:val="00C578A2"/>
    <w:rsid w:val="00C57B6C"/>
    <w:rsid w:val="00C57BEF"/>
    <w:rsid w:val="00C604B6"/>
    <w:rsid w:val="00C61081"/>
    <w:rsid w:val="00C614A3"/>
    <w:rsid w:val="00C61686"/>
    <w:rsid w:val="00C61A59"/>
    <w:rsid w:val="00C6222B"/>
    <w:rsid w:val="00C62630"/>
    <w:rsid w:val="00C626F6"/>
    <w:rsid w:val="00C6275E"/>
    <w:rsid w:val="00C628A6"/>
    <w:rsid w:val="00C62915"/>
    <w:rsid w:val="00C629B4"/>
    <w:rsid w:val="00C62B5E"/>
    <w:rsid w:val="00C63092"/>
    <w:rsid w:val="00C63322"/>
    <w:rsid w:val="00C635A6"/>
    <w:rsid w:val="00C63DCC"/>
    <w:rsid w:val="00C641C4"/>
    <w:rsid w:val="00C64344"/>
    <w:rsid w:val="00C6477F"/>
    <w:rsid w:val="00C64BAA"/>
    <w:rsid w:val="00C64C06"/>
    <w:rsid w:val="00C64F29"/>
    <w:rsid w:val="00C65108"/>
    <w:rsid w:val="00C6510C"/>
    <w:rsid w:val="00C65576"/>
    <w:rsid w:val="00C66165"/>
    <w:rsid w:val="00C66358"/>
    <w:rsid w:val="00C66417"/>
    <w:rsid w:val="00C66541"/>
    <w:rsid w:val="00C66C6A"/>
    <w:rsid w:val="00C700F4"/>
    <w:rsid w:val="00C7037B"/>
    <w:rsid w:val="00C70464"/>
    <w:rsid w:val="00C7060A"/>
    <w:rsid w:val="00C70651"/>
    <w:rsid w:val="00C70910"/>
    <w:rsid w:val="00C70AC3"/>
    <w:rsid w:val="00C70F88"/>
    <w:rsid w:val="00C71081"/>
    <w:rsid w:val="00C7151A"/>
    <w:rsid w:val="00C717E3"/>
    <w:rsid w:val="00C7198A"/>
    <w:rsid w:val="00C71F60"/>
    <w:rsid w:val="00C71F6D"/>
    <w:rsid w:val="00C72018"/>
    <w:rsid w:val="00C721C0"/>
    <w:rsid w:val="00C72241"/>
    <w:rsid w:val="00C72848"/>
    <w:rsid w:val="00C7306C"/>
    <w:rsid w:val="00C73431"/>
    <w:rsid w:val="00C73803"/>
    <w:rsid w:val="00C73BCB"/>
    <w:rsid w:val="00C74023"/>
    <w:rsid w:val="00C742DB"/>
    <w:rsid w:val="00C742F0"/>
    <w:rsid w:val="00C749F6"/>
    <w:rsid w:val="00C74AF0"/>
    <w:rsid w:val="00C750B3"/>
    <w:rsid w:val="00C750C8"/>
    <w:rsid w:val="00C753AD"/>
    <w:rsid w:val="00C7560F"/>
    <w:rsid w:val="00C75666"/>
    <w:rsid w:val="00C75745"/>
    <w:rsid w:val="00C75785"/>
    <w:rsid w:val="00C75794"/>
    <w:rsid w:val="00C75963"/>
    <w:rsid w:val="00C75A54"/>
    <w:rsid w:val="00C760F3"/>
    <w:rsid w:val="00C76754"/>
    <w:rsid w:val="00C769B3"/>
    <w:rsid w:val="00C76D07"/>
    <w:rsid w:val="00C77876"/>
    <w:rsid w:val="00C77A4E"/>
    <w:rsid w:val="00C77F35"/>
    <w:rsid w:val="00C8063B"/>
    <w:rsid w:val="00C80A0E"/>
    <w:rsid w:val="00C80CDE"/>
    <w:rsid w:val="00C80DDD"/>
    <w:rsid w:val="00C81530"/>
    <w:rsid w:val="00C81FDA"/>
    <w:rsid w:val="00C8213F"/>
    <w:rsid w:val="00C82DE8"/>
    <w:rsid w:val="00C82F83"/>
    <w:rsid w:val="00C8303F"/>
    <w:rsid w:val="00C83C47"/>
    <w:rsid w:val="00C83DCC"/>
    <w:rsid w:val="00C84064"/>
    <w:rsid w:val="00C845F9"/>
    <w:rsid w:val="00C8467F"/>
    <w:rsid w:val="00C84CED"/>
    <w:rsid w:val="00C85154"/>
    <w:rsid w:val="00C85218"/>
    <w:rsid w:val="00C85635"/>
    <w:rsid w:val="00C85A70"/>
    <w:rsid w:val="00C85A7F"/>
    <w:rsid w:val="00C85AD5"/>
    <w:rsid w:val="00C85E52"/>
    <w:rsid w:val="00C862A7"/>
    <w:rsid w:val="00C8656E"/>
    <w:rsid w:val="00C868C0"/>
    <w:rsid w:val="00C86CAE"/>
    <w:rsid w:val="00C87606"/>
    <w:rsid w:val="00C8797A"/>
    <w:rsid w:val="00C87F72"/>
    <w:rsid w:val="00C9005E"/>
    <w:rsid w:val="00C900B8"/>
    <w:rsid w:val="00C90197"/>
    <w:rsid w:val="00C9034E"/>
    <w:rsid w:val="00C90A57"/>
    <w:rsid w:val="00C90C71"/>
    <w:rsid w:val="00C90FAB"/>
    <w:rsid w:val="00C9106F"/>
    <w:rsid w:val="00C91296"/>
    <w:rsid w:val="00C9157E"/>
    <w:rsid w:val="00C9180D"/>
    <w:rsid w:val="00C91FD1"/>
    <w:rsid w:val="00C921E5"/>
    <w:rsid w:val="00C92659"/>
    <w:rsid w:val="00C92873"/>
    <w:rsid w:val="00C92911"/>
    <w:rsid w:val="00C92B44"/>
    <w:rsid w:val="00C92CAE"/>
    <w:rsid w:val="00C92D99"/>
    <w:rsid w:val="00C931CF"/>
    <w:rsid w:val="00C93577"/>
    <w:rsid w:val="00C9384C"/>
    <w:rsid w:val="00C938CF"/>
    <w:rsid w:val="00C93E84"/>
    <w:rsid w:val="00C93EA2"/>
    <w:rsid w:val="00C94053"/>
    <w:rsid w:val="00C945A7"/>
    <w:rsid w:val="00C945F7"/>
    <w:rsid w:val="00C947D1"/>
    <w:rsid w:val="00C94CC6"/>
    <w:rsid w:val="00C94E0E"/>
    <w:rsid w:val="00C94F56"/>
    <w:rsid w:val="00C94F83"/>
    <w:rsid w:val="00C951C0"/>
    <w:rsid w:val="00C9624D"/>
    <w:rsid w:val="00C968F3"/>
    <w:rsid w:val="00C969DA"/>
    <w:rsid w:val="00C96B2A"/>
    <w:rsid w:val="00C96BFA"/>
    <w:rsid w:val="00C96D16"/>
    <w:rsid w:val="00C971CD"/>
    <w:rsid w:val="00C972EA"/>
    <w:rsid w:val="00C97409"/>
    <w:rsid w:val="00C9744D"/>
    <w:rsid w:val="00C97A20"/>
    <w:rsid w:val="00C97AA9"/>
    <w:rsid w:val="00C97DCC"/>
    <w:rsid w:val="00CA0202"/>
    <w:rsid w:val="00CA066E"/>
    <w:rsid w:val="00CA06D8"/>
    <w:rsid w:val="00CA0BA6"/>
    <w:rsid w:val="00CA12BE"/>
    <w:rsid w:val="00CA1442"/>
    <w:rsid w:val="00CA2239"/>
    <w:rsid w:val="00CA22B0"/>
    <w:rsid w:val="00CA2756"/>
    <w:rsid w:val="00CA29B8"/>
    <w:rsid w:val="00CA2C77"/>
    <w:rsid w:val="00CA3287"/>
    <w:rsid w:val="00CA351C"/>
    <w:rsid w:val="00CA39A4"/>
    <w:rsid w:val="00CA39ED"/>
    <w:rsid w:val="00CA3C57"/>
    <w:rsid w:val="00CA3E66"/>
    <w:rsid w:val="00CA3F32"/>
    <w:rsid w:val="00CA4207"/>
    <w:rsid w:val="00CA42F2"/>
    <w:rsid w:val="00CA43D0"/>
    <w:rsid w:val="00CA444F"/>
    <w:rsid w:val="00CA46C8"/>
    <w:rsid w:val="00CA4C0D"/>
    <w:rsid w:val="00CA4CC3"/>
    <w:rsid w:val="00CA4EEC"/>
    <w:rsid w:val="00CA5146"/>
    <w:rsid w:val="00CA5245"/>
    <w:rsid w:val="00CA5DE3"/>
    <w:rsid w:val="00CA5EDE"/>
    <w:rsid w:val="00CA5F5C"/>
    <w:rsid w:val="00CA68E1"/>
    <w:rsid w:val="00CA68FC"/>
    <w:rsid w:val="00CA6F39"/>
    <w:rsid w:val="00CA6FCC"/>
    <w:rsid w:val="00CA711E"/>
    <w:rsid w:val="00CA71F4"/>
    <w:rsid w:val="00CA772C"/>
    <w:rsid w:val="00CA7879"/>
    <w:rsid w:val="00CA7B09"/>
    <w:rsid w:val="00CA7B4A"/>
    <w:rsid w:val="00CB12A5"/>
    <w:rsid w:val="00CB136D"/>
    <w:rsid w:val="00CB145F"/>
    <w:rsid w:val="00CB1886"/>
    <w:rsid w:val="00CB1CAC"/>
    <w:rsid w:val="00CB1D0A"/>
    <w:rsid w:val="00CB1E94"/>
    <w:rsid w:val="00CB1EA6"/>
    <w:rsid w:val="00CB21B9"/>
    <w:rsid w:val="00CB2272"/>
    <w:rsid w:val="00CB2647"/>
    <w:rsid w:val="00CB2F2A"/>
    <w:rsid w:val="00CB3669"/>
    <w:rsid w:val="00CB3798"/>
    <w:rsid w:val="00CB3E7E"/>
    <w:rsid w:val="00CB4936"/>
    <w:rsid w:val="00CB4EE1"/>
    <w:rsid w:val="00CB4EF2"/>
    <w:rsid w:val="00CB4F38"/>
    <w:rsid w:val="00CB4FBF"/>
    <w:rsid w:val="00CB5192"/>
    <w:rsid w:val="00CB54B2"/>
    <w:rsid w:val="00CB5B1A"/>
    <w:rsid w:val="00CB67E3"/>
    <w:rsid w:val="00CB6A47"/>
    <w:rsid w:val="00CB6B22"/>
    <w:rsid w:val="00CB6D3C"/>
    <w:rsid w:val="00CB6F2E"/>
    <w:rsid w:val="00CB7B18"/>
    <w:rsid w:val="00CB7F5F"/>
    <w:rsid w:val="00CC0288"/>
    <w:rsid w:val="00CC02E0"/>
    <w:rsid w:val="00CC056D"/>
    <w:rsid w:val="00CC0B29"/>
    <w:rsid w:val="00CC0FD8"/>
    <w:rsid w:val="00CC10FD"/>
    <w:rsid w:val="00CC1635"/>
    <w:rsid w:val="00CC1A8D"/>
    <w:rsid w:val="00CC1B39"/>
    <w:rsid w:val="00CC1BFA"/>
    <w:rsid w:val="00CC23AD"/>
    <w:rsid w:val="00CC28B2"/>
    <w:rsid w:val="00CC2B6F"/>
    <w:rsid w:val="00CC2C3B"/>
    <w:rsid w:val="00CC2E9F"/>
    <w:rsid w:val="00CC32EF"/>
    <w:rsid w:val="00CC3546"/>
    <w:rsid w:val="00CC35EA"/>
    <w:rsid w:val="00CC3848"/>
    <w:rsid w:val="00CC3B53"/>
    <w:rsid w:val="00CC429B"/>
    <w:rsid w:val="00CC4EAA"/>
    <w:rsid w:val="00CC53DB"/>
    <w:rsid w:val="00CC5961"/>
    <w:rsid w:val="00CC5F33"/>
    <w:rsid w:val="00CC6A4C"/>
    <w:rsid w:val="00CC6AC6"/>
    <w:rsid w:val="00CC6D5E"/>
    <w:rsid w:val="00CC7044"/>
    <w:rsid w:val="00CC7049"/>
    <w:rsid w:val="00CC7529"/>
    <w:rsid w:val="00CC7ABA"/>
    <w:rsid w:val="00CC7D63"/>
    <w:rsid w:val="00CC7F96"/>
    <w:rsid w:val="00CD0200"/>
    <w:rsid w:val="00CD0286"/>
    <w:rsid w:val="00CD0898"/>
    <w:rsid w:val="00CD0999"/>
    <w:rsid w:val="00CD0D80"/>
    <w:rsid w:val="00CD134A"/>
    <w:rsid w:val="00CD1685"/>
    <w:rsid w:val="00CD1AA4"/>
    <w:rsid w:val="00CD1B02"/>
    <w:rsid w:val="00CD1F12"/>
    <w:rsid w:val="00CD22A1"/>
    <w:rsid w:val="00CD2D66"/>
    <w:rsid w:val="00CD2D77"/>
    <w:rsid w:val="00CD2F0B"/>
    <w:rsid w:val="00CD3250"/>
    <w:rsid w:val="00CD34E8"/>
    <w:rsid w:val="00CD3F77"/>
    <w:rsid w:val="00CD406B"/>
    <w:rsid w:val="00CD457D"/>
    <w:rsid w:val="00CD4B28"/>
    <w:rsid w:val="00CD4B38"/>
    <w:rsid w:val="00CD548E"/>
    <w:rsid w:val="00CD5560"/>
    <w:rsid w:val="00CD55D4"/>
    <w:rsid w:val="00CD5EFA"/>
    <w:rsid w:val="00CD6581"/>
    <w:rsid w:val="00CD6ADC"/>
    <w:rsid w:val="00CD6B27"/>
    <w:rsid w:val="00CD6D8E"/>
    <w:rsid w:val="00CD6EA0"/>
    <w:rsid w:val="00CD70D8"/>
    <w:rsid w:val="00CD7193"/>
    <w:rsid w:val="00CD7852"/>
    <w:rsid w:val="00CD7881"/>
    <w:rsid w:val="00CD78AC"/>
    <w:rsid w:val="00CE00B3"/>
    <w:rsid w:val="00CE0143"/>
    <w:rsid w:val="00CE05C1"/>
    <w:rsid w:val="00CE0A3F"/>
    <w:rsid w:val="00CE0AD1"/>
    <w:rsid w:val="00CE11F8"/>
    <w:rsid w:val="00CE157D"/>
    <w:rsid w:val="00CE1CE6"/>
    <w:rsid w:val="00CE2085"/>
    <w:rsid w:val="00CE2396"/>
    <w:rsid w:val="00CE23CB"/>
    <w:rsid w:val="00CE2B72"/>
    <w:rsid w:val="00CE3352"/>
    <w:rsid w:val="00CE3529"/>
    <w:rsid w:val="00CE355A"/>
    <w:rsid w:val="00CE37C0"/>
    <w:rsid w:val="00CE38C8"/>
    <w:rsid w:val="00CE3A2C"/>
    <w:rsid w:val="00CE4377"/>
    <w:rsid w:val="00CE4431"/>
    <w:rsid w:val="00CE4DA8"/>
    <w:rsid w:val="00CE524F"/>
    <w:rsid w:val="00CE5777"/>
    <w:rsid w:val="00CE57C9"/>
    <w:rsid w:val="00CE57E9"/>
    <w:rsid w:val="00CE58CC"/>
    <w:rsid w:val="00CE60FE"/>
    <w:rsid w:val="00CE6274"/>
    <w:rsid w:val="00CE6482"/>
    <w:rsid w:val="00CE6E2C"/>
    <w:rsid w:val="00CE6E93"/>
    <w:rsid w:val="00CE7734"/>
    <w:rsid w:val="00CE77B6"/>
    <w:rsid w:val="00CE78E7"/>
    <w:rsid w:val="00CF0283"/>
    <w:rsid w:val="00CF037C"/>
    <w:rsid w:val="00CF0881"/>
    <w:rsid w:val="00CF0A07"/>
    <w:rsid w:val="00CF0ACF"/>
    <w:rsid w:val="00CF0BC4"/>
    <w:rsid w:val="00CF1BB4"/>
    <w:rsid w:val="00CF1D18"/>
    <w:rsid w:val="00CF2A81"/>
    <w:rsid w:val="00CF2B8D"/>
    <w:rsid w:val="00CF31D7"/>
    <w:rsid w:val="00CF3A1B"/>
    <w:rsid w:val="00CF3D2A"/>
    <w:rsid w:val="00CF418A"/>
    <w:rsid w:val="00CF41E0"/>
    <w:rsid w:val="00CF4272"/>
    <w:rsid w:val="00CF456B"/>
    <w:rsid w:val="00CF56B1"/>
    <w:rsid w:val="00CF5A22"/>
    <w:rsid w:val="00CF5B43"/>
    <w:rsid w:val="00CF67BC"/>
    <w:rsid w:val="00CF68F6"/>
    <w:rsid w:val="00CF6A07"/>
    <w:rsid w:val="00CF6C85"/>
    <w:rsid w:val="00CF6E10"/>
    <w:rsid w:val="00CF6ECA"/>
    <w:rsid w:val="00CF6EFD"/>
    <w:rsid w:val="00CF70B6"/>
    <w:rsid w:val="00CF77BF"/>
    <w:rsid w:val="00CF797B"/>
    <w:rsid w:val="00CF7CB9"/>
    <w:rsid w:val="00CF7E62"/>
    <w:rsid w:val="00D00CDD"/>
    <w:rsid w:val="00D012DA"/>
    <w:rsid w:val="00D01FB1"/>
    <w:rsid w:val="00D021A3"/>
    <w:rsid w:val="00D0262E"/>
    <w:rsid w:val="00D02BF9"/>
    <w:rsid w:val="00D02E1A"/>
    <w:rsid w:val="00D03679"/>
    <w:rsid w:val="00D0370C"/>
    <w:rsid w:val="00D041BD"/>
    <w:rsid w:val="00D044B0"/>
    <w:rsid w:val="00D04867"/>
    <w:rsid w:val="00D04A6B"/>
    <w:rsid w:val="00D04CB9"/>
    <w:rsid w:val="00D04F12"/>
    <w:rsid w:val="00D0509C"/>
    <w:rsid w:val="00D0562F"/>
    <w:rsid w:val="00D0564D"/>
    <w:rsid w:val="00D0599E"/>
    <w:rsid w:val="00D05B56"/>
    <w:rsid w:val="00D05E3D"/>
    <w:rsid w:val="00D06139"/>
    <w:rsid w:val="00D06799"/>
    <w:rsid w:val="00D069D5"/>
    <w:rsid w:val="00D06AD3"/>
    <w:rsid w:val="00D06CBE"/>
    <w:rsid w:val="00D06D16"/>
    <w:rsid w:val="00D06E43"/>
    <w:rsid w:val="00D074F2"/>
    <w:rsid w:val="00D07724"/>
    <w:rsid w:val="00D07B3C"/>
    <w:rsid w:val="00D100DA"/>
    <w:rsid w:val="00D1021D"/>
    <w:rsid w:val="00D10453"/>
    <w:rsid w:val="00D1086C"/>
    <w:rsid w:val="00D10C62"/>
    <w:rsid w:val="00D10F1F"/>
    <w:rsid w:val="00D110BD"/>
    <w:rsid w:val="00D111F8"/>
    <w:rsid w:val="00D1124A"/>
    <w:rsid w:val="00D11461"/>
    <w:rsid w:val="00D122EB"/>
    <w:rsid w:val="00D130C3"/>
    <w:rsid w:val="00D1334F"/>
    <w:rsid w:val="00D13675"/>
    <w:rsid w:val="00D141E1"/>
    <w:rsid w:val="00D144F3"/>
    <w:rsid w:val="00D14732"/>
    <w:rsid w:val="00D15098"/>
    <w:rsid w:val="00D152DA"/>
    <w:rsid w:val="00D15314"/>
    <w:rsid w:val="00D15966"/>
    <w:rsid w:val="00D15B48"/>
    <w:rsid w:val="00D16137"/>
    <w:rsid w:val="00D164CA"/>
    <w:rsid w:val="00D1685A"/>
    <w:rsid w:val="00D16B2C"/>
    <w:rsid w:val="00D16E9E"/>
    <w:rsid w:val="00D16F03"/>
    <w:rsid w:val="00D17163"/>
    <w:rsid w:val="00D1745C"/>
    <w:rsid w:val="00D175F4"/>
    <w:rsid w:val="00D17790"/>
    <w:rsid w:val="00D17C3D"/>
    <w:rsid w:val="00D17D6C"/>
    <w:rsid w:val="00D20435"/>
    <w:rsid w:val="00D204D0"/>
    <w:rsid w:val="00D205B6"/>
    <w:rsid w:val="00D20EED"/>
    <w:rsid w:val="00D210B1"/>
    <w:rsid w:val="00D2155B"/>
    <w:rsid w:val="00D2163D"/>
    <w:rsid w:val="00D21A1E"/>
    <w:rsid w:val="00D21AD3"/>
    <w:rsid w:val="00D2213F"/>
    <w:rsid w:val="00D22853"/>
    <w:rsid w:val="00D22BBA"/>
    <w:rsid w:val="00D22CD1"/>
    <w:rsid w:val="00D22E6D"/>
    <w:rsid w:val="00D23601"/>
    <w:rsid w:val="00D236FC"/>
    <w:rsid w:val="00D238D3"/>
    <w:rsid w:val="00D23C70"/>
    <w:rsid w:val="00D23D11"/>
    <w:rsid w:val="00D23E4F"/>
    <w:rsid w:val="00D243EE"/>
    <w:rsid w:val="00D24468"/>
    <w:rsid w:val="00D244B6"/>
    <w:rsid w:val="00D24926"/>
    <w:rsid w:val="00D24A37"/>
    <w:rsid w:val="00D24B8C"/>
    <w:rsid w:val="00D25D9C"/>
    <w:rsid w:val="00D2663A"/>
    <w:rsid w:val="00D2754D"/>
    <w:rsid w:val="00D277DF"/>
    <w:rsid w:val="00D27B27"/>
    <w:rsid w:val="00D27CC2"/>
    <w:rsid w:val="00D27E4C"/>
    <w:rsid w:val="00D27F32"/>
    <w:rsid w:val="00D27FDF"/>
    <w:rsid w:val="00D30498"/>
    <w:rsid w:val="00D30842"/>
    <w:rsid w:val="00D30A25"/>
    <w:rsid w:val="00D30AD2"/>
    <w:rsid w:val="00D30CD6"/>
    <w:rsid w:val="00D30D5B"/>
    <w:rsid w:val="00D3108F"/>
    <w:rsid w:val="00D313B4"/>
    <w:rsid w:val="00D31691"/>
    <w:rsid w:val="00D320D2"/>
    <w:rsid w:val="00D3240C"/>
    <w:rsid w:val="00D32BAD"/>
    <w:rsid w:val="00D32CF3"/>
    <w:rsid w:val="00D33511"/>
    <w:rsid w:val="00D33835"/>
    <w:rsid w:val="00D33BE9"/>
    <w:rsid w:val="00D33D32"/>
    <w:rsid w:val="00D33F93"/>
    <w:rsid w:val="00D34256"/>
    <w:rsid w:val="00D34896"/>
    <w:rsid w:val="00D3495E"/>
    <w:rsid w:val="00D34D63"/>
    <w:rsid w:val="00D35349"/>
    <w:rsid w:val="00D357FF"/>
    <w:rsid w:val="00D35B14"/>
    <w:rsid w:val="00D35CD7"/>
    <w:rsid w:val="00D360B8"/>
    <w:rsid w:val="00D36186"/>
    <w:rsid w:val="00D36370"/>
    <w:rsid w:val="00D363DF"/>
    <w:rsid w:val="00D37198"/>
    <w:rsid w:val="00D372A2"/>
    <w:rsid w:val="00D37763"/>
    <w:rsid w:val="00D37A70"/>
    <w:rsid w:val="00D40006"/>
    <w:rsid w:val="00D4024A"/>
    <w:rsid w:val="00D40366"/>
    <w:rsid w:val="00D4086F"/>
    <w:rsid w:val="00D40C15"/>
    <w:rsid w:val="00D4105D"/>
    <w:rsid w:val="00D418FF"/>
    <w:rsid w:val="00D419B8"/>
    <w:rsid w:val="00D41B59"/>
    <w:rsid w:val="00D424C7"/>
    <w:rsid w:val="00D42717"/>
    <w:rsid w:val="00D42BF5"/>
    <w:rsid w:val="00D432BD"/>
    <w:rsid w:val="00D43489"/>
    <w:rsid w:val="00D436D0"/>
    <w:rsid w:val="00D437D4"/>
    <w:rsid w:val="00D43951"/>
    <w:rsid w:val="00D43B2A"/>
    <w:rsid w:val="00D43CF1"/>
    <w:rsid w:val="00D43D83"/>
    <w:rsid w:val="00D4477E"/>
    <w:rsid w:val="00D44D8D"/>
    <w:rsid w:val="00D454C4"/>
    <w:rsid w:val="00D45556"/>
    <w:rsid w:val="00D457A2"/>
    <w:rsid w:val="00D45867"/>
    <w:rsid w:val="00D458E2"/>
    <w:rsid w:val="00D47575"/>
    <w:rsid w:val="00D5048B"/>
    <w:rsid w:val="00D50652"/>
    <w:rsid w:val="00D50AFE"/>
    <w:rsid w:val="00D50CBF"/>
    <w:rsid w:val="00D50D0C"/>
    <w:rsid w:val="00D50FBB"/>
    <w:rsid w:val="00D510C6"/>
    <w:rsid w:val="00D51717"/>
    <w:rsid w:val="00D51B94"/>
    <w:rsid w:val="00D51BA6"/>
    <w:rsid w:val="00D5243B"/>
    <w:rsid w:val="00D533EC"/>
    <w:rsid w:val="00D539F3"/>
    <w:rsid w:val="00D53CDC"/>
    <w:rsid w:val="00D53F71"/>
    <w:rsid w:val="00D54184"/>
    <w:rsid w:val="00D5444C"/>
    <w:rsid w:val="00D54CB3"/>
    <w:rsid w:val="00D5584A"/>
    <w:rsid w:val="00D5614D"/>
    <w:rsid w:val="00D56711"/>
    <w:rsid w:val="00D56A95"/>
    <w:rsid w:val="00D56C7E"/>
    <w:rsid w:val="00D56D5C"/>
    <w:rsid w:val="00D577E7"/>
    <w:rsid w:val="00D57CFA"/>
    <w:rsid w:val="00D57E5C"/>
    <w:rsid w:val="00D602B3"/>
    <w:rsid w:val="00D6076E"/>
    <w:rsid w:val="00D608AA"/>
    <w:rsid w:val="00D60F4D"/>
    <w:rsid w:val="00D61347"/>
    <w:rsid w:val="00D61466"/>
    <w:rsid w:val="00D61F4B"/>
    <w:rsid w:val="00D621B3"/>
    <w:rsid w:val="00D629CD"/>
    <w:rsid w:val="00D636AE"/>
    <w:rsid w:val="00D637F0"/>
    <w:rsid w:val="00D63DDA"/>
    <w:rsid w:val="00D63F7B"/>
    <w:rsid w:val="00D643D0"/>
    <w:rsid w:val="00D644C1"/>
    <w:rsid w:val="00D65307"/>
    <w:rsid w:val="00D653FC"/>
    <w:rsid w:val="00D65499"/>
    <w:rsid w:val="00D65571"/>
    <w:rsid w:val="00D657D5"/>
    <w:rsid w:val="00D65BA1"/>
    <w:rsid w:val="00D65C0A"/>
    <w:rsid w:val="00D65F63"/>
    <w:rsid w:val="00D6606F"/>
    <w:rsid w:val="00D664B7"/>
    <w:rsid w:val="00D66A9F"/>
    <w:rsid w:val="00D66D86"/>
    <w:rsid w:val="00D66F1E"/>
    <w:rsid w:val="00D6718E"/>
    <w:rsid w:val="00D673A9"/>
    <w:rsid w:val="00D67588"/>
    <w:rsid w:val="00D6789E"/>
    <w:rsid w:val="00D67D7A"/>
    <w:rsid w:val="00D705CA"/>
    <w:rsid w:val="00D70A24"/>
    <w:rsid w:val="00D70F16"/>
    <w:rsid w:val="00D70F92"/>
    <w:rsid w:val="00D712A9"/>
    <w:rsid w:val="00D714C1"/>
    <w:rsid w:val="00D716AA"/>
    <w:rsid w:val="00D71742"/>
    <w:rsid w:val="00D717CC"/>
    <w:rsid w:val="00D719BC"/>
    <w:rsid w:val="00D71F13"/>
    <w:rsid w:val="00D7254B"/>
    <w:rsid w:val="00D72617"/>
    <w:rsid w:val="00D72C45"/>
    <w:rsid w:val="00D72C7A"/>
    <w:rsid w:val="00D72F57"/>
    <w:rsid w:val="00D72F5D"/>
    <w:rsid w:val="00D7312E"/>
    <w:rsid w:val="00D7344F"/>
    <w:rsid w:val="00D745DF"/>
    <w:rsid w:val="00D74874"/>
    <w:rsid w:val="00D74A7C"/>
    <w:rsid w:val="00D74AF6"/>
    <w:rsid w:val="00D75202"/>
    <w:rsid w:val="00D75E43"/>
    <w:rsid w:val="00D761F2"/>
    <w:rsid w:val="00D762F1"/>
    <w:rsid w:val="00D76A44"/>
    <w:rsid w:val="00D76F4E"/>
    <w:rsid w:val="00D7717D"/>
    <w:rsid w:val="00D77382"/>
    <w:rsid w:val="00D7794C"/>
    <w:rsid w:val="00D805D7"/>
    <w:rsid w:val="00D80D86"/>
    <w:rsid w:val="00D815EF"/>
    <w:rsid w:val="00D817F4"/>
    <w:rsid w:val="00D818AC"/>
    <w:rsid w:val="00D81949"/>
    <w:rsid w:val="00D81B3A"/>
    <w:rsid w:val="00D81BDC"/>
    <w:rsid w:val="00D81F26"/>
    <w:rsid w:val="00D8229B"/>
    <w:rsid w:val="00D822E2"/>
    <w:rsid w:val="00D826F3"/>
    <w:rsid w:val="00D83502"/>
    <w:rsid w:val="00D83630"/>
    <w:rsid w:val="00D838D9"/>
    <w:rsid w:val="00D83AAC"/>
    <w:rsid w:val="00D843F2"/>
    <w:rsid w:val="00D844E1"/>
    <w:rsid w:val="00D8477E"/>
    <w:rsid w:val="00D84A6C"/>
    <w:rsid w:val="00D84AD2"/>
    <w:rsid w:val="00D84E43"/>
    <w:rsid w:val="00D8520C"/>
    <w:rsid w:val="00D85538"/>
    <w:rsid w:val="00D85692"/>
    <w:rsid w:val="00D85737"/>
    <w:rsid w:val="00D85F5F"/>
    <w:rsid w:val="00D86231"/>
    <w:rsid w:val="00D86B42"/>
    <w:rsid w:val="00D87026"/>
    <w:rsid w:val="00D8721A"/>
    <w:rsid w:val="00D87A0D"/>
    <w:rsid w:val="00D87DBB"/>
    <w:rsid w:val="00D9000B"/>
    <w:rsid w:val="00D90446"/>
    <w:rsid w:val="00D912AB"/>
    <w:rsid w:val="00D91923"/>
    <w:rsid w:val="00D91B5B"/>
    <w:rsid w:val="00D92557"/>
    <w:rsid w:val="00D92D9D"/>
    <w:rsid w:val="00D92E0A"/>
    <w:rsid w:val="00D92FC7"/>
    <w:rsid w:val="00D93424"/>
    <w:rsid w:val="00D9343F"/>
    <w:rsid w:val="00D93753"/>
    <w:rsid w:val="00D937B5"/>
    <w:rsid w:val="00D943D5"/>
    <w:rsid w:val="00D94692"/>
    <w:rsid w:val="00D94FB9"/>
    <w:rsid w:val="00D9509B"/>
    <w:rsid w:val="00D9519A"/>
    <w:rsid w:val="00D964B2"/>
    <w:rsid w:val="00D96769"/>
    <w:rsid w:val="00D96A5D"/>
    <w:rsid w:val="00D96EC7"/>
    <w:rsid w:val="00D974E9"/>
    <w:rsid w:val="00D977EB"/>
    <w:rsid w:val="00D97D17"/>
    <w:rsid w:val="00DA0107"/>
    <w:rsid w:val="00DA045C"/>
    <w:rsid w:val="00DA0BA8"/>
    <w:rsid w:val="00DA2686"/>
    <w:rsid w:val="00DA278D"/>
    <w:rsid w:val="00DA296F"/>
    <w:rsid w:val="00DA2A6C"/>
    <w:rsid w:val="00DA3110"/>
    <w:rsid w:val="00DA3167"/>
    <w:rsid w:val="00DA3485"/>
    <w:rsid w:val="00DA3711"/>
    <w:rsid w:val="00DA403C"/>
    <w:rsid w:val="00DA4569"/>
    <w:rsid w:val="00DA4DC3"/>
    <w:rsid w:val="00DA606E"/>
    <w:rsid w:val="00DA69C1"/>
    <w:rsid w:val="00DA6D21"/>
    <w:rsid w:val="00DA72CE"/>
    <w:rsid w:val="00DA77A5"/>
    <w:rsid w:val="00DA7AB6"/>
    <w:rsid w:val="00DA7BAA"/>
    <w:rsid w:val="00DA7E81"/>
    <w:rsid w:val="00DA7F91"/>
    <w:rsid w:val="00DB0717"/>
    <w:rsid w:val="00DB08A7"/>
    <w:rsid w:val="00DB0E36"/>
    <w:rsid w:val="00DB1290"/>
    <w:rsid w:val="00DB1422"/>
    <w:rsid w:val="00DB1F5E"/>
    <w:rsid w:val="00DB2723"/>
    <w:rsid w:val="00DB2788"/>
    <w:rsid w:val="00DB32A7"/>
    <w:rsid w:val="00DB3679"/>
    <w:rsid w:val="00DB38FF"/>
    <w:rsid w:val="00DB3DBF"/>
    <w:rsid w:val="00DB43F5"/>
    <w:rsid w:val="00DB484F"/>
    <w:rsid w:val="00DB48A4"/>
    <w:rsid w:val="00DB4B01"/>
    <w:rsid w:val="00DB4D4E"/>
    <w:rsid w:val="00DB53C9"/>
    <w:rsid w:val="00DB54F8"/>
    <w:rsid w:val="00DB5E26"/>
    <w:rsid w:val="00DB5E85"/>
    <w:rsid w:val="00DB62D6"/>
    <w:rsid w:val="00DB6443"/>
    <w:rsid w:val="00DB67AE"/>
    <w:rsid w:val="00DB69CE"/>
    <w:rsid w:val="00DB6A63"/>
    <w:rsid w:val="00DB6B02"/>
    <w:rsid w:val="00DB6B73"/>
    <w:rsid w:val="00DB6F6E"/>
    <w:rsid w:val="00DB6FAC"/>
    <w:rsid w:val="00DB7353"/>
    <w:rsid w:val="00DB7D0C"/>
    <w:rsid w:val="00DB7FA0"/>
    <w:rsid w:val="00DC04F6"/>
    <w:rsid w:val="00DC05DB"/>
    <w:rsid w:val="00DC0631"/>
    <w:rsid w:val="00DC0690"/>
    <w:rsid w:val="00DC0E2C"/>
    <w:rsid w:val="00DC1118"/>
    <w:rsid w:val="00DC1321"/>
    <w:rsid w:val="00DC14CE"/>
    <w:rsid w:val="00DC16BA"/>
    <w:rsid w:val="00DC18E7"/>
    <w:rsid w:val="00DC1B97"/>
    <w:rsid w:val="00DC1C89"/>
    <w:rsid w:val="00DC1D65"/>
    <w:rsid w:val="00DC1E5E"/>
    <w:rsid w:val="00DC1F80"/>
    <w:rsid w:val="00DC1F9F"/>
    <w:rsid w:val="00DC2C1A"/>
    <w:rsid w:val="00DC3233"/>
    <w:rsid w:val="00DC3720"/>
    <w:rsid w:val="00DC37F3"/>
    <w:rsid w:val="00DC3A16"/>
    <w:rsid w:val="00DC3C57"/>
    <w:rsid w:val="00DC3C94"/>
    <w:rsid w:val="00DC45F4"/>
    <w:rsid w:val="00DC45F5"/>
    <w:rsid w:val="00DC4688"/>
    <w:rsid w:val="00DC46C7"/>
    <w:rsid w:val="00DC5066"/>
    <w:rsid w:val="00DC5501"/>
    <w:rsid w:val="00DC5DE4"/>
    <w:rsid w:val="00DC6250"/>
    <w:rsid w:val="00DC65A1"/>
    <w:rsid w:val="00DC6802"/>
    <w:rsid w:val="00DC68E9"/>
    <w:rsid w:val="00DC6B2B"/>
    <w:rsid w:val="00DC7154"/>
    <w:rsid w:val="00DC79EB"/>
    <w:rsid w:val="00DC7B8A"/>
    <w:rsid w:val="00DC7E8A"/>
    <w:rsid w:val="00DC7F59"/>
    <w:rsid w:val="00DC7FBE"/>
    <w:rsid w:val="00DD08B9"/>
    <w:rsid w:val="00DD0F78"/>
    <w:rsid w:val="00DD1E56"/>
    <w:rsid w:val="00DD1E95"/>
    <w:rsid w:val="00DD1EA5"/>
    <w:rsid w:val="00DD244D"/>
    <w:rsid w:val="00DD267D"/>
    <w:rsid w:val="00DD273C"/>
    <w:rsid w:val="00DD3441"/>
    <w:rsid w:val="00DD3562"/>
    <w:rsid w:val="00DD3A2F"/>
    <w:rsid w:val="00DD3F28"/>
    <w:rsid w:val="00DD4159"/>
    <w:rsid w:val="00DD4446"/>
    <w:rsid w:val="00DD4537"/>
    <w:rsid w:val="00DD4E15"/>
    <w:rsid w:val="00DD4E37"/>
    <w:rsid w:val="00DD51D8"/>
    <w:rsid w:val="00DD563F"/>
    <w:rsid w:val="00DD5705"/>
    <w:rsid w:val="00DD5CDB"/>
    <w:rsid w:val="00DD5E59"/>
    <w:rsid w:val="00DD5E7A"/>
    <w:rsid w:val="00DD6574"/>
    <w:rsid w:val="00DD67E9"/>
    <w:rsid w:val="00DD69E9"/>
    <w:rsid w:val="00DD6AB5"/>
    <w:rsid w:val="00DD735A"/>
    <w:rsid w:val="00DD7438"/>
    <w:rsid w:val="00DD7462"/>
    <w:rsid w:val="00DD7A15"/>
    <w:rsid w:val="00DD7C96"/>
    <w:rsid w:val="00DD7CC9"/>
    <w:rsid w:val="00DE0BD5"/>
    <w:rsid w:val="00DE1122"/>
    <w:rsid w:val="00DE17AC"/>
    <w:rsid w:val="00DE1B46"/>
    <w:rsid w:val="00DE20A7"/>
    <w:rsid w:val="00DE22ED"/>
    <w:rsid w:val="00DE2304"/>
    <w:rsid w:val="00DE272E"/>
    <w:rsid w:val="00DE2DC5"/>
    <w:rsid w:val="00DE2E0D"/>
    <w:rsid w:val="00DE3138"/>
    <w:rsid w:val="00DE319A"/>
    <w:rsid w:val="00DE37F8"/>
    <w:rsid w:val="00DE3974"/>
    <w:rsid w:val="00DE4054"/>
    <w:rsid w:val="00DE4273"/>
    <w:rsid w:val="00DE451B"/>
    <w:rsid w:val="00DE458F"/>
    <w:rsid w:val="00DE4FCB"/>
    <w:rsid w:val="00DE5202"/>
    <w:rsid w:val="00DE56C0"/>
    <w:rsid w:val="00DE5C58"/>
    <w:rsid w:val="00DE5D07"/>
    <w:rsid w:val="00DE60AC"/>
    <w:rsid w:val="00DE62F3"/>
    <w:rsid w:val="00DE6B74"/>
    <w:rsid w:val="00DE6F2D"/>
    <w:rsid w:val="00DE70E6"/>
    <w:rsid w:val="00DE7292"/>
    <w:rsid w:val="00DE72A7"/>
    <w:rsid w:val="00DE745C"/>
    <w:rsid w:val="00DE7801"/>
    <w:rsid w:val="00DE7832"/>
    <w:rsid w:val="00DE7BF7"/>
    <w:rsid w:val="00DF018A"/>
    <w:rsid w:val="00DF05B8"/>
    <w:rsid w:val="00DF06B4"/>
    <w:rsid w:val="00DF07C8"/>
    <w:rsid w:val="00DF0990"/>
    <w:rsid w:val="00DF0ACB"/>
    <w:rsid w:val="00DF0B85"/>
    <w:rsid w:val="00DF0DDE"/>
    <w:rsid w:val="00DF1054"/>
    <w:rsid w:val="00DF13C9"/>
    <w:rsid w:val="00DF152F"/>
    <w:rsid w:val="00DF18FC"/>
    <w:rsid w:val="00DF24DE"/>
    <w:rsid w:val="00DF253A"/>
    <w:rsid w:val="00DF29E3"/>
    <w:rsid w:val="00DF2C8F"/>
    <w:rsid w:val="00DF3883"/>
    <w:rsid w:val="00DF3FF9"/>
    <w:rsid w:val="00DF479D"/>
    <w:rsid w:val="00DF4E49"/>
    <w:rsid w:val="00DF50F1"/>
    <w:rsid w:val="00DF525D"/>
    <w:rsid w:val="00DF55ED"/>
    <w:rsid w:val="00DF5D2B"/>
    <w:rsid w:val="00DF6114"/>
    <w:rsid w:val="00DF61BD"/>
    <w:rsid w:val="00DF6306"/>
    <w:rsid w:val="00DF6341"/>
    <w:rsid w:val="00DF6758"/>
    <w:rsid w:val="00DF67A7"/>
    <w:rsid w:val="00DF716E"/>
    <w:rsid w:val="00DF7235"/>
    <w:rsid w:val="00DF748B"/>
    <w:rsid w:val="00DF77D6"/>
    <w:rsid w:val="00E00278"/>
    <w:rsid w:val="00E004D6"/>
    <w:rsid w:val="00E00D48"/>
    <w:rsid w:val="00E00E8E"/>
    <w:rsid w:val="00E014E9"/>
    <w:rsid w:val="00E01BDD"/>
    <w:rsid w:val="00E02352"/>
    <w:rsid w:val="00E026AD"/>
    <w:rsid w:val="00E02A5C"/>
    <w:rsid w:val="00E03130"/>
    <w:rsid w:val="00E03621"/>
    <w:rsid w:val="00E03634"/>
    <w:rsid w:val="00E03C14"/>
    <w:rsid w:val="00E04102"/>
    <w:rsid w:val="00E051BF"/>
    <w:rsid w:val="00E0537F"/>
    <w:rsid w:val="00E05528"/>
    <w:rsid w:val="00E05630"/>
    <w:rsid w:val="00E069DF"/>
    <w:rsid w:val="00E06DBB"/>
    <w:rsid w:val="00E07971"/>
    <w:rsid w:val="00E10047"/>
    <w:rsid w:val="00E10149"/>
    <w:rsid w:val="00E102B2"/>
    <w:rsid w:val="00E10570"/>
    <w:rsid w:val="00E10F02"/>
    <w:rsid w:val="00E10FB0"/>
    <w:rsid w:val="00E1102A"/>
    <w:rsid w:val="00E11340"/>
    <w:rsid w:val="00E1166A"/>
    <w:rsid w:val="00E11783"/>
    <w:rsid w:val="00E11B13"/>
    <w:rsid w:val="00E11F83"/>
    <w:rsid w:val="00E122A1"/>
    <w:rsid w:val="00E12830"/>
    <w:rsid w:val="00E13480"/>
    <w:rsid w:val="00E13BE9"/>
    <w:rsid w:val="00E13C5B"/>
    <w:rsid w:val="00E13F10"/>
    <w:rsid w:val="00E142E5"/>
    <w:rsid w:val="00E15576"/>
    <w:rsid w:val="00E162C9"/>
    <w:rsid w:val="00E16372"/>
    <w:rsid w:val="00E163A5"/>
    <w:rsid w:val="00E16AD8"/>
    <w:rsid w:val="00E16F92"/>
    <w:rsid w:val="00E17A4F"/>
    <w:rsid w:val="00E17B31"/>
    <w:rsid w:val="00E17FFA"/>
    <w:rsid w:val="00E204A0"/>
    <w:rsid w:val="00E20529"/>
    <w:rsid w:val="00E207A8"/>
    <w:rsid w:val="00E20895"/>
    <w:rsid w:val="00E2099C"/>
    <w:rsid w:val="00E20B17"/>
    <w:rsid w:val="00E20E4D"/>
    <w:rsid w:val="00E20ED6"/>
    <w:rsid w:val="00E21358"/>
    <w:rsid w:val="00E214EC"/>
    <w:rsid w:val="00E2249B"/>
    <w:rsid w:val="00E22A0D"/>
    <w:rsid w:val="00E22BCF"/>
    <w:rsid w:val="00E22D0E"/>
    <w:rsid w:val="00E22D21"/>
    <w:rsid w:val="00E244F6"/>
    <w:rsid w:val="00E24D2B"/>
    <w:rsid w:val="00E25271"/>
    <w:rsid w:val="00E256B1"/>
    <w:rsid w:val="00E258DB"/>
    <w:rsid w:val="00E25C9E"/>
    <w:rsid w:val="00E25F32"/>
    <w:rsid w:val="00E26255"/>
    <w:rsid w:val="00E26965"/>
    <w:rsid w:val="00E26E10"/>
    <w:rsid w:val="00E2732C"/>
    <w:rsid w:val="00E27567"/>
    <w:rsid w:val="00E2771E"/>
    <w:rsid w:val="00E2782F"/>
    <w:rsid w:val="00E27D00"/>
    <w:rsid w:val="00E27E22"/>
    <w:rsid w:val="00E30416"/>
    <w:rsid w:val="00E30929"/>
    <w:rsid w:val="00E30961"/>
    <w:rsid w:val="00E30B74"/>
    <w:rsid w:val="00E311EF"/>
    <w:rsid w:val="00E3141D"/>
    <w:rsid w:val="00E31580"/>
    <w:rsid w:val="00E31633"/>
    <w:rsid w:val="00E32180"/>
    <w:rsid w:val="00E32A12"/>
    <w:rsid w:val="00E32FED"/>
    <w:rsid w:val="00E330F3"/>
    <w:rsid w:val="00E331A1"/>
    <w:rsid w:val="00E331B9"/>
    <w:rsid w:val="00E33E01"/>
    <w:rsid w:val="00E342D3"/>
    <w:rsid w:val="00E3437B"/>
    <w:rsid w:val="00E34948"/>
    <w:rsid w:val="00E34B7F"/>
    <w:rsid w:val="00E34BDB"/>
    <w:rsid w:val="00E34C3E"/>
    <w:rsid w:val="00E34D44"/>
    <w:rsid w:val="00E354AF"/>
    <w:rsid w:val="00E356D2"/>
    <w:rsid w:val="00E35B1C"/>
    <w:rsid w:val="00E35B32"/>
    <w:rsid w:val="00E35CF7"/>
    <w:rsid w:val="00E35F62"/>
    <w:rsid w:val="00E3601E"/>
    <w:rsid w:val="00E36AFD"/>
    <w:rsid w:val="00E36B62"/>
    <w:rsid w:val="00E36C56"/>
    <w:rsid w:val="00E36D7D"/>
    <w:rsid w:val="00E37220"/>
    <w:rsid w:val="00E37569"/>
    <w:rsid w:val="00E37739"/>
    <w:rsid w:val="00E378FA"/>
    <w:rsid w:val="00E37B8A"/>
    <w:rsid w:val="00E37EE4"/>
    <w:rsid w:val="00E401B2"/>
    <w:rsid w:val="00E40D14"/>
    <w:rsid w:val="00E40D46"/>
    <w:rsid w:val="00E4179C"/>
    <w:rsid w:val="00E41E30"/>
    <w:rsid w:val="00E41F96"/>
    <w:rsid w:val="00E424B9"/>
    <w:rsid w:val="00E4253D"/>
    <w:rsid w:val="00E42B44"/>
    <w:rsid w:val="00E42C89"/>
    <w:rsid w:val="00E42F73"/>
    <w:rsid w:val="00E43012"/>
    <w:rsid w:val="00E436F6"/>
    <w:rsid w:val="00E4381B"/>
    <w:rsid w:val="00E43D70"/>
    <w:rsid w:val="00E44421"/>
    <w:rsid w:val="00E444EB"/>
    <w:rsid w:val="00E44D0D"/>
    <w:rsid w:val="00E44D14"/>
    <w:rsid w:val="00E44D74"/>
    <w:rsid w:val="00E44F39"/>
    <w:rsid w:val="00E4560D"/>
    <w:rsid w:val="00E45FA3"/>
    <w:rsid w:val="00E46025"/>
    <w:rsid w:val="00E4609D"/>
    <w:rsid w:val="00E46404"/>
    <w:rsid w:val="00E464B0"/>
    <w:rsid w:val="00E46564"/>
    <w:rsid w:val="00E466F3"/>
    <w:rsid w:val="00E4671D"/>
    <w:rsid w:val="00E47979"/>
    <w:rsid w:val="00E47AB7"/>
    <w:rsid w:val="00E47B2C"/>
    <w:rsid w:val="00E502F2"/>
    <w:rsid w:val="00E50495"/>
    <w:rsid w:val="00E50D2B"/>
    <w:rsid w:val="00E51006"/>
    <w:rsid w:val="00E51560"/>
    <w:rsid w:val="00E51821"/>
    <w:rsid w:val="00E519D8"/>
    <w:rsid w:val="00E5254A"/>
    <w:rsid w:val="00E52EC2"/>
    <w:rsid w:val="00E5320E"/>
    <w:rsid w:val="00E53551"/>
    <w:rsid w:val="00E535BE"/>
    <w:rsid w:val="00E5395B"/>
    <w:rsid w:val="00E53BDB"/>
    <w:rsid w:val="00E53F3A"/>
    <w:rsid w:val="00E53FC8"/>
    <w:rsid w:val="00E542D0"/>
    <w:rsid w:val="00E54347"/>
    <w:rsid w:val="00E5480F"/>
    <w:rsid w:val="00E54924"/>
    <w:rsid w:val="00E54B9C"/>
    <w:rsid w:val="00E54EDD"/>
    <w:rsid w:val="00E55028"/>
    <w:rsid w:val="00E551AE"/>
    <w:rsid w:val="00E55424"/>
    <w:rsid w:val="00E55847"/>
    <w:rsid w:val="00E55915"/>
    <w:rsid w:val="00E55A18"/>
    <w:rsid w:val="00E55B4D"/>
    <w:rsid w:val="00E55BB5"/>
    <w:rsid w:val="00E562D5"/>
    <w:rsid w:val="00E56A0E"/>
    <w:rsid w:val="00E572D4"/>
    <w:rsid w:val="00E57355"/>
    <w:rsid w:val="00E575B7"/>
    <w:rsid w:val="00E579F7"/>
    <w:rsid w:val="00E57D7C"/>
    <w:rsid w:val="00E57DF3"/>
    <w:rsid w:val="00E60040"/>
    <w:rsid w:val="00E60DA9"/>
    <w:rsid w:val="00E6100D"/>
    <w:rsid w:val="00E611DF"/>
    <w:rsid w:val="00E61E02"/>
    <w:rsid w:val="00E61FCB"/>
    <w:rsid w:val="00E62297"/>
    <w:rsid w:val="00E62C09"/>
    <w:rsid w:val="00E62F08"/>
    <w:rsid w:val="00E62FB0"/>
    <w:rsid w:val="00E630D9"/>
    <w:rsid w:val="00E63147"/>
    <w:rsid w:val="00E631D8"/>
    <w:rsid w:val="00E63A73"/>
    <w:rsid w:val="00E63D34"/>
    <w:rsid w:val="00E63FC9"/>
    <w:rsid w:val="00E64216"/>
    <w:rsid w:val="00E64432"/>
    <w:rsid w:val="00E649A5"/>
    <w:rsid w:val="00E64FE7"/>
    <w:rsid w:val="00E6569A"/>
    <w:rsid w:val="00E65E79"/>
    <w:rsid w:val="00E664E7"/>
    <w:rsid w:val="00E665C8"/>
    <w:rsid w:val="00E66BA2"/>
    <w:rsid w:val="00E66FB2"/>
    <w:rsid w:val="00E67416"/>
    <w:rsid w:val="00E67564"/>
    <w:rsid w:val="00E67A95"/>
    <w:rsid w:val="00E70481"/>
    <w:rsid w:val="00E7052C"/>
    <w:rsid w:val="00E706D5"/>
    <w:rsid w:val="00E70888"/>
    <w:rsid w:val="00E70C74"/>
    <w:rsid w:val="00E70F1E"/>
    <w:rsid w:val="00E71032"/>
    <w:rsid w:val="00E71780"/>
    <w:rsid w:val="00E718B6"/>
    <w:rsid w:val="00E71AB6"/>
    <w:rsid w:val="00E71D94"/>
    <w:rsid w:val="00E71EEF"/>
    <w:rsid w:val="00E71FD7"/>
    <w:rsid w:val="00E720DF"/>
    <w:rsid w:val="00E723BA"/>
    <w:rsid w:val="00E72696"/>
    <w:rsid w:val="00E730A7"/>
    <w:rsid w:val="00E73581"/>
    <w:rsid w:val="00E7368C"/>
    <w:rsid w:val="00E73760"/>
    <w:rsid w:val="00E73AE4"/>
    <w:rsid w:val="00E743A4"/>
    <w:rsid w:val="00E75284"/>
    <w:rsid w:val="00E7594E"/>
    <w:rsid w:val="00E75AFF"/>
    <w:rsid w:val="00E761EB"/>
    <w:rsid w:val="00E7646C"/>
    <w:rsid w:val="00E76870"/>
    <w:rsid w:val="00E76EDA"/>
    <w:rsid w:val="00E77603"/>
    <w:rsid w:val="00E77BBA"/>
    <w:rsid w:val="00E80083"/>
    <w:rsid w:val="00E8022D"/>
    <w:rsid w:val="00E8054A"/>
    <w:rsid w:val="00E80D27"/>
    <w:rsid w:val="00E81282"/>
    <w:rsid w:val="00E81784"/>
    <w:rsid w:val="00E8189A"/>
    <w:rsid w:val="00E81907"/>
    <w:rsid w:val="00E81DBB"/>
    <w:rsid w:val="00E8228A"/>
    <w:rsid w:val="00E82508"/>
    <w:rsid w:val="00E82B83"/>
    <w:rsid w:val="00E82CDE"/>
    <w:rsid w:val="00E82E97"/>
    <w:rsid w:val="00E833A3"/>
    <w:rsid w:val="00E833F7"/>
    <w:rsid w:val="00E836AF"/>
    <w:rsid w:val="00E83798"/>
    <w:rsid w:val="00E83BDF"/>
    <w:rsid w:val="00E8462F"/>
    <w:rsid w:val="00E84710"/>
    <w:rsid w:val="00E84BAD"/>
    <w:rsid w:val="00E85127"/>
    <w:rsid w:val="00E8516E"/>
    <w:rsid w:val="00E85561"/>
    <w:rsid w:val="00E85891"/>
    <w:rsid w:val="00E863E8"/>
    <w:rsid w:val="00E8670B"/>
    <w:rsid w:val="00E8690C"/>
    <w:rsid w:val="00E86C97"/>
    <w:rsid w:val="00E86FCC"/>
    <w:rsid w:val="00E87725"/>
    <w:rsid w:val="00E8782E"/>
    <w:rsid w:val="00E879BE"/>
    <w:rsid w:val="00E87A1D"/>
    <w:rsid w:val="00E9023D"/>
    <w:rsid w:val="00E9094A"/>
    <w:rsid w:val="00E915DD"/>
    <w:rsid w:val="00E91AA6"/>
    <w:rsid w:val="00E91D35"/>
    <w:rsid w:val="00E91E60"/>
    <w:rsid w:val="00E922B1"/>
    <w:rsid w:val="00E925B0"/>
    <w:rsid w:val="00E926A5"/>
    <w:rsid w:val="00E92C12"/>
    <w:rsid w:val="00E93363"/>
    <w:rsid w:val="00E934CF"/>
    <w:rsid w:val="00E93900"/>
    <w:rsid w:val="00E93E22"/>
    <w:rsid w:val="00E93FA1"/>
    <w:rsid w:val="00E94682"/>
    <w:rsid w:val="00E94BDA"/>
    <w:rsid w:val="00E956DB"/>
    <w:rsid w:val="00E957DB"/>
    <w:rsid w:val="00E95B3F"/>
    <w:rsid w:val="00E95E00"/>
    <w:rsid w:val="00E962CC"/>
    <w:rsid w:val="00E96DE0"/>
    <w:rsid w:val="00E970B0"/>
    <w:rsid w:val="00EA02B5"/>
    <w:rsid w:val="00EA03FA"/>
    <w:rsid w:val="00EA0936"/>
    <w:rsid w:val="00EA0BCD"/>
    <w:rsid w:val="00EA101A"/>
    <w:rsid w:val="00EA1384"/>
    <w:rsid w:val="00EA17C3"/>
    <w:rsid w:val="00EA1871"/>
    <w:rsid w:val="00EA1F8A"/>
    <w:rsid w:val="00EA2CAA"/>
    <w:rsid w:val="00EA36AD"/>
    <w:rsid w:val="00EA3836"/>
    <w:rsid w:val="00EA3864"/>
    <w:rsid w:val="00EA445C"/>
    <w:rsid w:val="00EA49B2"/>
    <w:rsid w:val="00EA4E66"/>
    <w:rsid w:val="00EA4ED2"/>
    <w:rsid w:val="00EA5399"/>
    <w:rsid w:val="00EA5559"/>
    <w:rsid w:val="00EA5868"/>
    <w:rsid w:val="00EA5BF3"/>
    <w:rsid w:val="00EA66EE"/>
    <w:rsid w:val="00EA7811"/>
    <w:rsid w:val="00EA78E3"/>
    <w:rsid w:val="00EA7A1C"/>
    <w:rsid w:val="00EA7F1C"/>
    <w:rsid w:val="00EB0924"/>
    <w:rsid w:val="00EB09CC"/>
    <w:rsid w:val="00EB0FD6"/>
    <w:rsid w:val="00EB1406"/>
    <w:rsid w:val="00EB15B6"/>
    <w:rsid w:val="00EB1FC9"/>
    <w:rsid w:val="00EB1FDD"/>
    <w:rsid w:val="00EB26C3"/>
    <w:rsid w:val="00EB33F6"/>
    <w:rsid w:val="00EB3BF1"/>
    <w:rsid w:val="00EB3CE9"/>
    <w:rsid w:val="00EB3D06"/>
    <w:rsid w:val="00EB3DE9"/>
    <w:rsid w:val="00EB4365"/>
    <w:rsid w:val="00EB4383"/>
    <w:rsid w:val="00EB43EB"/>
    <w:rsid w:val="00EB4609"/>
    <w:rsid w:val="00EB4916"/>
    <w:rsid w:val="00EB4E67"/>
    <w:rsid w:val="00EB6059"/>
    <w:rsid w:val="00EB62E6"/>
    <w:rsid w:val="00EB69E5"/>
    <w:rsid w:val="00EB69F9"/>
    <w:rsid w:val="00EB6A46"/>
    <w:rsid w:val="00EB6FB0"/>
    <w:rsid w:val="00EB765E"/>
    <w:rsid w:val="00EB7CE3"/>
    <w:rsid w:val="00EB7D13"/>
    <w:rsid w:val="00EB7D9E"/>
    <w:rsid w:val="00EC00C9"/>
    <w:rsid w:val="00EC0133"/>
    <w:rsid w:val="00EC0423"/>
    <w:rsid w:val="00EC0C4A"/>
    <w:rsid w:val="00EC0DD9"/>
    <w:rsid w:val="00EC0F42"/>
    <w:rsid w:val="00EC1233"/>
    <w:rsid w:val="00EC153E"/>
    <w:rsid w:val="00EC1606"/>
    <w:rsid w:val="00EC1AB1"/>
    <w:rsid w:val="00EC1CD3"/>
    <w:rsid w:val="00EC1F46"/>
    <w:rsid w:val="00EC1FD6"/>
    <w:rsid w:val="00EC208D"/>
    <w:rsid w:val="00EC2649"/>
    <w:rsid w:val="00EC2A49"/>
    <w:rsid w:val="00EC2B8C"/>
    <w:rsid w:val="00EC2C77"/>
    <w:rsid w:val="00EC31ED"/>
    <w:rsid w:val="00EC3253"/>
    <w:rsid w:val="00EC3936"/>
    <w:rsid w:val="00EC3B2F"/>
    <w:rsid w:val="00EC3ECB"/>
    <w:rsid w:val="00EC431B"/>
    <w:rsid w:val="00EC4D52"/>
    <w:rsid w:val="00EC5363"/>
    <w:rsid w:val="00EC5836"/>
    <w:rsid w:val="00EC5B40"/>
    <w:rsid w:val="00EC688C"/>
    <w:rsid w:val="00EC6C15"/>
    <w:rsid w:val="00EC70AD"/>
    <w:rsid w:val="00EC710E"/>
    <w:rsid w:val="00EC7EFE"/>
    <w:rsid w:val="00ED0505"/>
    <w:rsid w:val="00ED0511"/>
    <w:rsid w:val="00ED0CBB"/>
    <w:rsid w:val="00ED0DC4"/>
    <w:rsid w:val="00ED1222"/>
    <w:rsid w:val="00ED12E3"/>
    <w:rsid w:val="00ED16BB"/>
    <w:rsid w:val="00ED1992"/>
    <w:rsid w:val="00ED2382"/>
    <w:rsid w:val="00ED23AF"/>
    <w:rsid w:val="00ED26EB"/>
    <w:rsid w:val="00ED287D"/>
    <w:rsid w:val="00ED292D"/>
    <w:rsid w:val="00ED3DA0"/>
    <w:rsid w:val="00ED3DEC"/>
    <w:rsid w:val="00ED430C"/>
    <w:rsid w:val="00ED4744"/>
    <w:rsid w:val="00ED4B04"/>
    <w:rsid w:val="00ED4B4E"/>
    <w:rsid w:val="00ED5267"/>
    <w:rsid w:val="00ED57EA"/>
    <w:rsid w:val="00ED5BD4"/>
    <w:rsid w:val="00ED5E48"/>
    <w:rsid w:val="00ED6134"/>
    <w:rsid w:val="00ED615F"/>
    <w:rsid w:val="00ED636D"/>
    <w:rsid w:val="00ED64BA"/>
    <w:rsid w:val="00ED6886"/>
    <w:rsid w:val="00ED6F23"/>
    <w:rsid w:val="00ED7C87"/>
    <w:rsid w:val="00EE07D3"/>
    <w:rsid w:val="00EE0EC9"/>
    <w:rsid w:val="00EE0FF9"/>
    <w:rsid w:val="00EE15DB"/>
    <w:rsid w:val="00EE1996"/>
    <w:rsid w:val="00EE1C01"/>
    <w:rsid w:val="00EE22AF"/>
    <w:rsid w:val="00EE22CA"/>
    <w:rsid w:val="00EE2429"/>
    <w:rsid w:val="00EE25C4"/>
    <w:rsid w:val="00EE2B0F"/>
    <w:rsid w:val="00EE2FF4"/>
    <w:rsid w:val="00EE30A6"/>
    <w:rsid w:val="00EE35B9"/>
    <w:rsid w:val="00EE3621"/>
    <w:rsid w:val="00EE37E7"/>
    <w:rsid w:val="00EE3BDC"/>
    <w:rsid w:val="00EE3BE3"/>
    <w:rsid w:val="00EE3C08"/>
    <w:rsid w:val="00EE3E22"/>
    <w:rsid w:val="00EE40D9"/>
    <w:rsid w:val="00EE44AD"/>
    <w:rsid w:val="00EE48CB"/>
    <w:rsid w:val="00EE4941"/>
    <w:rsid w:val="00EE50FC"/>
    <w:rsid w:val="00EE591B"/>
    <w:rsid w:val="00EE59EF"/>
    <w:rsid w:val="00EE5C98"/>
    <w:rsid w:val="00EE635E"/>
    <w:rsid w:val="00EE6604"/>
    <w:rsid w:val="00EE673F"/>
    <w:rsid w:val="00EE7434"/>
    <w:rsid w:val="00EE76B2"/>
    <w:rsid w:val="00EE7DDE"/>
    <w:rsid w:val="00EF0158"/>
    <w:rsid w:val="00EF0171"/>
    <w:rsid w:val="00EF061A"/>
    <w:rsid w:val="00EF0AEA"/>
    <w:rsid w:val="00EF10F1"/>
    <w:rsid w:val="00EF1B25"/>
    <w:rsid w:val="00EF1DA0"/>
    <w:rsid w:val="00EF1DA6"/>
    <w:rsid w:val="00EF2191"/>
    <w:rsid w:val="00EF2531"/>
    <w:rsid w:val="00EF26F6"/>
    <w:rsid w:val="00EF3D68"/>
    <w:rsid w:val="00EF3EB5"/>
    <w:rsid w:val="00EF40C7"/>
    <w:rsid w:val="00EF438F"/>
    <w:rsid w:val="00EF4747"/>
    <w:rsid w:val="00EF4BF8"/>
    <w:rsid w:val="00EF59D2"/>
    <w:rsid w:val="00EF62E4"/>
    <w:rsid w:val="00EF64B9"/>
    <w:rsid w:val="00EF6C64"/>
    <w:rsid w:val="00EF6D23"/>
    <w:rsid w:val="00EF6E1A"/>
    <w:rsid w:val="00EF6FE3"/>
    <w:rsid w:val="00EF7040"/>
    <w:rsid w:val="00EF70C5"/>
    <w:rsid w:val="00EF76A2"/>
    <w:rsid w:val="00EF7E4E"/>
    <w:rsid w:val="00F00549"/>
    <w:rsid w:val="00F005FF"/>
    <w:rsid w:val="00F0089D"/>
    <w:rsid w:val="00F010E5"/>
    <w:rsid w:val="00F01879"/>
    <w:rsid w:val="00F018E9"/>
    <w:rsid w:val="00F01C5E"/>
    <w:rsid w:val="00F0210D"/>
    <w:rsid w:val="00F02253"/>
    <w:rsid w:val="00F025A9"/>
    <w:rsid w:val="00F03092"/>
    <w:rsid w:val="00F03B69"/>
    <w:rsid w:val="00F03C2E"/>
    <w:rsid w:val="00F045A7"/>
    <w:rsid w:val="00F04A66"/>
    <w:rsid w:val="00F04B4B"/>
    <w:rsid w:val="00F0516C"/>
    <w:rsid w:val="00F053DF"/>
    <w:rsid w:val="00F0552A"/>
    <w:rsid w:val="00F05DAB"/>
    <w:rsid w:val="00F063FF"/>
    <w:rsid w:val="00F064C5"/>
    <w:rsid w:val="00F066C8"/>
    <w:rsid w:val="00F067A2"/>
    <w:rsid w:val="00F068E3"/>
    <w:rsid w:val="00F06D19"/>
    <w:rsid w:val="00F06D91"/>
    <w:rsid w:val="00F06E11"/>
    <w:rsid w:val="00F06E86"/>
    <w:rsid w:val="00F07107"/>
    <w:rsid w:val="00F073B0"/>
    <w:rsid w:val="00F073D3"/>
    <w:rsid w:val="00F077E7"/>
    <w:rsid w:val="00F07969"/>
    <w:rsid w:val="00F07B9E"/>
    <w:rsid w:val="00F10146"/>
    <w:rsid w:val="00F10667"/>
    <w:rsid w:val="00F108CD"/>
    <w:rsid w:val="00F1116F"/>
    <w:rsid w:val="00F112B5"/>
    <w:rsid w:val="00F11489"/>
    <w:rsid w:val="00F114B1"/>
    <w:rsid w:val="00F116CF"/>
    <w:rsid w:val="00F118F3"/>
    <w:rsid w:val="00F11BAA"/>
    <w:rsid w:val="00F1217C"/>
    <w:rsid w:val="00F1241C"/>
    <w:rsid w:val="00F1263A"/>
    <w:rsid w:val="00F128DB"/>
    <w:rsid w:val="00F128E0"/>
    <w:rsid w:val="00F12ACE"/>
    <w:rsid w:val="00F12C2D"/>
    <w:rsid w:val="00F12C56"/>
    <w:rsid w:val="00F12D0D"/>
    <w:rsid w:val="00F130B3"/>
    <w:rsid w:val="00F1343C"/>
    <w:rsid w:val="00F1379D"/>
    <w:rsid w:val="00F138DF"/>
    <w:rsid w:val="00F13977"/>
    <w:rsid w:val="00F139C5"/>
    <w:rsid w:val="00F13B8C"/>
    <w:rsid w:val="00F13EEC"/>
    <w:rsid w:val="00F140C6"/>
    <w:rsid w:val="00F144DF"/>
    <w:rsid w:val="00F14CA0"/>
    <w:rsid w:val="00F14DBF"/>
    <w:rsid w:val="00F14FB4"/>
    <w:rsid w:val="00F1586B"/>
    <w:rsid w:val="00F15AD2"/>
    <w:rsid w:val="00F15B77"/>
    <w:rsid w:val="00F15F70"/>
    <w:rsid w:val="00F165B9"/>
    <w:rsid w:val="00F1691A"/>
    <w:rsid w:val="00F16E02"/>
    <w:rsid w:val="00F16F87"/>
    <w:rsid w:val="00F16FB9"/>
    <w:rsid w:val="00F17054"/>
    <w:rsid w:val="00F1713E"/>
    <w:rsid w:val="00F17145"/>
    <w:rsid w:val="00F17455"/>
    <w:rsid w:val="00F174CB"/>
    <w:rsid w:val="00F2048E"/>
    <w:rsid w:val="00F204C1"/>
    <w:rsid w:val="00F20865"/>
    <w:rsid w:val="00F2116E"/>
    <w:rsid w:val="00F21236"/>
    <w:rsid w:val="00F21ABB"/>
    <w:rsid w:val="00F2320B"/>
    <w:rsid w:val="00F232C4"/>
    <w:rsid w:val="00F233B5"/>
    <w:rsid w:val="00F239DF"/>
    <w:rsid w:val="00F23D7E"/>
    <w:rsid w:val="00F242DA"/>
    <w:rsid w:val="00F246D1"/>
    <w:rsid w:val="00F24730"/>
    <w:rsid w:val="00F24837"/>
    <w:rsid w:val="00F24B01"/>
    <w:rsid w:val="00F24B9C"/>
    <w:rsid w:val="00F24C48"/>
    <w:rsid w:val="00F24F22"/>
    <w:rsid w:val="00F24F59"/>
    <w:rsid w:val="00F25623"/>
    <w:rsid w:val="00F2575F"/>
    <w:rsid w:val="00F2622E"/>
    <w:rsid w:val="00F26415"/>
    <w:rsid w:val="00F2697F"/>
    <w:rsid w:val="00F269CE"/>
    <w:rsid w:val="00F26E88"/>
    <w:rsid w:val="00F27154"/>
    <w:rsid w:val="00F27190"/>
    <w:rsid w:val="00F27565"/>
    <w:rsid w:val="00F27BB2"/>
    <w:rsid w:val="00F30165"/>
    <w:rsid w:val="00F3016C"/>
    <w:rsid w:val="00F30256"/>
    <w:rsid w:val="00F30420"/>
    <w:rsid w:val="00F30784"/>
    <w:rsid w:val="00F30962"/>
    <w:rsid w:val="00F30D19"/>
    <w:rsid w:val="00F310D4"/>
    <w:rsid w:val="00F315B9"/>
    <w:rsid w:val="00F31D5A"/>
    <w:rsid w:val="00F32023"/>
    <w:rsid w:val="00F32200"/>
    <w:rsid w:val="00F325F6"/>
    <w:rsid w:val="00F32CC7"/>
    <w:rsid w:val="00F32E8B"/>
    <w:rsid w:val="00F330E3"/>
    <w:rsid w:val="00F33888"/>
    <w:rsid w:val="00F33975"/>
    <w:rsid w:val="00F339B4"/>
    <w:rsid w:val="00F33AB7"/>
    <w:rsid w:val="00F33D3D"/>
    <w:rsid w:val="00F33DE9"/>
    <w:rsid w:val="00F344F8"/>
    <w:rsid w:val="00F35D11"/>
    <w:rsid w:val="00F35E6D"/>
    <w:rsid w:val="00F3619A"/>
    <w:rsid w:val="00F36337"/>
    <w:rsid w:val="00F37014"/>
    <w:rsid w:val="00F3714A"/>
    <w:rsid w:val="00F37186"/>
    <w:rsid w:val="00F37215"/>
    <w:rsid w:val="00F3777E"/>
    <w:rsid w:val="00F37A30"/>
    <w:rsid w:val="00F37C13"/>
    <w:rsid w:val="00F37E51"/>
    <w:rsid w:val="00F400ED"/>
    <w:rsid w:val="00F40539"/>
    <w:rsid w:val="00F40AAA"/>
    <w:rsid w:val="00F40BA7"/>
    <w:rsid w:val="00F40E7C"/>
    <w:rsid w:val="00F40F9D"/>
    <w:rsid w:val="00F4105B"/>
    <w:rsid w:val="00F41A5F"/>
    <w:rsid w:val="00F41ACD"/>
    <w:rsid w:val="00F41F93"/>
    <w:rsid w:val="00F42341"/>
    <w:rsid w:val="00F42359"/>
    <w:rsid w:val="00F429A8"/>
    <w:rsid w:val="00F42C5C"/>
    <w:rsid w:val="00F42EFA"/>
    <w:rsid w:val="00F44388"/>
    <w:rsid w:val="00F445CB"/>
    <w:rsid w:val="00F44B57"/>
    <w:rsid w:val="00F454C7"/>
    <w:rsid w:val="00F45862"/>
    <w:rsid w:val="00F45902"/>
    <w:rsid w:val="00F46502"/>
    <w:rsid w:val="00F46BEB"/>
    <w:rsid w:val="00F46CB6"/>
    <w:rsid w:val="00F473F2"/>
    <w:rsid w:val="00F4756D"/>
    <w:rsid w:val="00F476A8"/>
    <w:rsid w:val="00F47DD8"/>
    <w:rsid w:val="00F47DE8"/>
    <w:rsid w:val="00F47FE6"/>
    <w:rsid w:val="00F50153"/>
    <w:rsid w:val="00F50928"/>
    <w:rsid w:val="00F50EC5"/>
    <w:rsid w:val="00F517C9"/>
    <w:rsid w:val="00F519CC"/>
    <w:rsid w:val="00F51A03"/>
    <w:rsid w:val="00F520B9"/>
    <w:rsid w:val="00F525CC"/>
    <w:rsid w:val="00F527FF"/>
    <w:rsid w:val="00F52D17"/>
    <w:rsid w:val="00F53657"/>
    <w:rsid w:val="00F53CB5"/>
    <w:rsid w:val="00F54182"/>
    <w:rsid w:val="00F542C1"/>
    <w:rsid w:val="00F54505"/>
    <w:rsid w:val="00F546B9"/>
    <w:rsid w:val="00F549D5"/>
    <w:rsid w:val="00F54B0D"/>
    <w:rsid w:val="00F550E3"/>
    <w:rsid w:val="00F55171"/>
    <w:rsid w:val="00F55AEB"/>
    <w:rsid w:val="00F55E73"/>
    <w:rsid w:val="00F55EDA"/>
    <w:rsid w:val="00F55F95"/>
    <w:rsid w:val="00F56267"/>
    <w:rsid w:val="00F5671D"/>
    <w:rsid w:val="00F567C5"/>
    <w:rsid w:val="00F56897"/>
    <w:rsid w:val="00F56C80"/>
    <w:rsid w:val="00F56F4E"/>
    <w:rsid w:val="00F57403"/>
    <w:rsid w:val="00F578F0"/>
    <w:rsid w:val="00F57BF5"/>
    <w:rsid w:val="00F57FB0"/>
    <w:rsid w:val="00F60092"/>
    <w:rsid w:val="00F605FA"/>
    <w:rsid w:val="00F606A8"/>
    <w:rsid w:val="00F61595"/>
    <w:rsid w:val="00F617FF"/>
    <w:rsid w:val="00F61C18"/>
    <w:rsid w:val="00F62804"/>
    <w:rsid w:val="00F62A25"/>
    <w:rsid w:val="00F62BCC"/>
    <w:rsid w:val="00F62DE7"/>
    <w:rsid w:val="00F6315D"/>
    <w:rsid w:val="00F63D3B"/>
    <w:rsid w:val="00F63D57"/>
    <w:rsid w:val="00F6408A"/>
    <w:rsid w:val="00F642FE"/>
    <w:rsid w:val="00F64D25"/>
    <w:rsid w:val="00F6500F"/>
    <w:rsid w:val="00F6502D"/>
    <w:rsid w:val="00F65095"/>
    <w:rsid w:val="00F652D6"/>
    <w:rsid w:val="00F65C46"/>
    <w:rsid w:val="00F65C64"/>
    <w:rsid w:val="00F65CAF"/>
    <w:rsid w:val="00F65CC3"/>
    <w:rsid w:val="00F65D85"/>
    <w:rsid w:val="00F65F4B"/>
    <w:rsid w:val="00F65FD0"/>
    <w:rsid w:val="00F662F9"/>
    <w:rsid w:val="00F6637D"/>
    <w:rsid w:val="00F6657C"/>
    <w:rsid w:val="00F66641"/>
    <w:rsid w:val="00F66655"/>
    <w:rsid w:val="00F66A9D"/>
    <w:rsid w:val="00F66CDA"/>
    <w:rsid w:val="00F66F05"/>
    <w:rsid w:val="00F67178"/>
    <w:rsid w:val="00F67752"/>
    <w:rsid w:val="00F679F1"/>
    <w:rsid w:val="00F67A04"/>
    <w:rsid w:val="00F67A30"/>
    <w:rsid w:val="00F67A69"/>
    <w:rsid w:val="00F707A9"/>
    <w:rsid w:val="00F708C9"/>
    <w:rsid w:val="00F70BFF"/>
    <w:rsid w:val="00F70C9D"/>
    <w:rsid w:val="00F71095"/>
    <w:rsid w:val="00F717AB"/>
    <w:rsid w:val="00F71997"/>
    <w:rsid w:val="00F7204D"/>
    <w:rsid w:val="00F72117"/>
    <w:rsid w:val="00F7219D"/>
    <w:rsid w:val="00F723D1"/>
    <w:rsid w:val="00F736A2"/>
    <w:rsid w:val="00F738DD"/>
    <w:rsid w:val="00F73E08"/>
    <w:rsid w:val="00F73EBA"/>
    <w:rsid w:val="00F740DC"/>
    <w:rsid w:val="00F7418C"/>
    <w:rsid w:val="00F74719"/>
    <w:rsid w:val="00F74CD9"/>
    <w:rsid w:val="00F75627"/>
    <w:rsid w:val="00F75DF4"/>
    <w:rsid w:val="00F76112"/>
    <w:rsid w:val="00F763DA"/>
    <w:rsid w:val="00F76BB8"/>
    <w:rsid w:val="00F7733E"/>
    <w:rsid w:val="00F7756A"/>
    <w:rsid w:val="00F77642"/>
    <w:rsid w:val="00F809E9"/>
    <w:rsid w:val="00F80A7B"/>
    <w:rsid w:val="00F80E5D"/>
    <w:rsid w:val="00F811D4"/>
    <w:rsid w:val="00F814A5"/>
    <w:rsid w:val="00F81A28"/>
    <w:rsid w:val="00F81ACC"/>
    <w:rsid w:val="00F81E78"/>
    <w:rsid w:val="00F82D5B"/>
    <w:rsid w:val="00F8311B"/>
    <w:rsid w:val="00F833D5"/>
    <w:rsid w:val="00F83431"/>
    <w:rsid w:val="00F83916"/>
    <w:rsid w:val="00F83A4D"/>
    <w:rsid w:val="00F83DA8"/>
    <w:rsid w:val="00F84199"/>
    <w:rsid w:val="00F8427E"/>
    <w:rsid w:val="00F8460E"/>
    <w:rsid w:val="00F851CE"/>
    <w:rsid w:val="00F854EF"/>
    <w:rsid w:val="00F85CEF"/>
    <w:rsid w:val="00F85FC2"/>
    <w:rsid w:val="00F869BC"/>
    <w:rsid w:val="00F869F4"/>
    <w:rsid w:val="00F86CEB"/>
    <w:rsid w:val="00F86EC4"/>
    <w:rsid w:val="00F873F4"/>
    <w:rsid w:val="00F87766"/>
    <w:rsid w:val="00F877EE"/>
    <w:rsid w:val="00F87B49"/>
    <w:rsid w:val="00F90357"/>
    <w:rsid w:val="00F90F88"/>
    <w:rsid w:val="00F91154"/>
    <w:rsid w:val="00F91219"/>
    <w:rsid w:val="00F91F03"/>
    <w:rsid w:val="00F91FF7"/>
    <w:rsid w:val="00F92444"/>
    <w:rsid w:val="00F929E1"/>
    <w:rsid w:val="00F92AE3"/>
    <w:rsid w:val="00F93300"/>
    <w:rsid w:val="00F93777"/>
    <w:rsid w:val="00F9393E"/>
    <w:rsid w:val="00F93B8D"/>
    <w:rsid w:val="00F93F5F"/>
    <w:rsid w:val="00F943DB"/>
    <w:rsid w:val="00F943E3"/>
    <w:rsid w:val="00F94579"/>
    <w:rsid w:val="00F94728"/>
    <w:rsid w:val="00F94822"/>
    <w:rsid w:val="00F94BF7"/>
    <w:rsid w:val="00F9526E"/>
    <w:rsid w:val="00F95286"/>
    <w:rsid w:val="00F95472"/>
    <w:rsid w:val="00F957D5"/>
    <w:rsid w:val="00F95891"/>
    <w:rsid w:val="00F959EF"/>
    <w:rsid w:val="00F95FA8"/>
    <w:rsid w:val="00F96161"/>
    <w:rsid w:val="00F9644C"/>
    <w:rsid w:val="00F96608"/>
    <w:rsid w:val="00F9697B"/>
    <w:rsid w:val="00F96A28"/>
    <w:rsid w:val="00F96E6F"/>
    <w:rsid w:val="00F96FD0"/>
    <w:rsid w:val="00F97184"/>
    <w:rsid w:val="00F97368"/>
    <w:rsid w:val="00F97A78"/>
    <w:rsid w:val="00F97EC8"/>
    <w:rsid w:val="00F97FF5"/>
    <w:rsid w:val="00FA022C"/>
    <w:rsid w:val="00FA034E"/>
    <w:rsid w:val="00FA0783"/>
    <w:rsid w:val="00FA0B20"/>
    <w:rsid w:val="00FA0C86"/>
    <w:rsid w:val="00FA12C9"/>
    <w:rsid w:val="00FA227C"/>
    <w:rsid w:val="00FA233F"/>
    <w:rsid w:val="00FA24E7"/>
    <w:rsid w:val="00FA2BE1"/>
    <w:rsid w:val="00FA3597"/>
    <w:rsid w:val="00FA372E"/>
    <w:rsid w:val="00FA3EC4"/>
    <w:rsid w:val="00FA4226"/>
    <w:rsid w:val="00FA4364"/>
    <w:rsid w:val="00FA454F"/>
    <w:rsid w:val="00FA5029"/>
    <w:rsid w:val="00FA53BE"/>
    <w:rsid w:val="00FA5BD0"/>
    <w:rsid w:val="00FA5EE6"/>
    <w:rsid w:val="00FA62DF"/>
    <w:rsid w:val="00FA70D3"/>
    <w:rsid w:val="00FA7956"/>
    <w:rsid w:val="00FA7CF9"/>
    <w:rsid w:val="00FB04D3"/>
    <w:rsid w:val="00FB063F"/>
    <w:rsid w:val="00FB0824"/>
    <w:rsid w:val="00FB1592"/>
    <w:rsid w:val="00FB1861"/>
    <w:rsid w:val="00FB1A1C"/>
    <w:rsid w:val="00FB1B2E"/>
    <w:rsid w:val="00FB1C7A"/>
    <w:rsid w:val="00FB1E6E"/>
    <w:rsid w:val="00FB2386"/>
    <w:rsid w:val="00FB2390"/>
    <w:rsid w:val="00FB283F"/>
    <w:rsid w:val="00FB2A13"/>
    <w:rsid w:val="00FB2B50"/>
    <w:rsid w:val="00FB2D67"/>
    <w:rsid w:val="00FB2D8B"/>
    <w:rsid w:val="00FB2FCB"/>
    <w:rsid w:val="00FB3802"/>
    <w:rsid w:val="00FB40A3"/>
    <w:rsid w:val="00FB4385"/>
    <w:rsid w:val="00FB46FC"/>
    <w:rsid w:val="00FB47CB"/>
    <w:rsid w:val="00FB4C9C"/>
    <w:rsid w:val="00FB4CEB"/>
    <w:rsid w:val="00FB574B"/>
    <w:rsid w:val="00FB5D4E"/>
    <w:rsid w:val="00FB6198"/>
    <w:rsid w:val="00FB64D5"/>
    <w:rsid w:val="00FB6F91"/>
    <w:rsid w:val="00FB7520"/>
    <w:rsid w:val="00FB75E4"/>
    <w:rsid w:val="00FB7B4D"/>
    <w:rsid w:val="00FB7C55"/>
    <w:rsid w:val="00FB7D3B"/>
    <w:rsid w:val="00FC1074"/>
    <w:rsid w:val="00FC152E"/>
    <w:rsid w:val="00FC16C8"/>
    <w:rsid w:val="00FC178E"/>
    <w:rsid w:val="00FC17E9"/>
    <w:rsid w:val="00FC1884"/>
    <w:rsid w:val="00FC1AEB"/>
    <w:rsid w:val="00FC1DAC"/>
    <w:rsid w:val="00FC213C"/>
    <w:rsid w:val="00FC22B8"/>
    <w:rsid w:val="00FC25C8"/>
    <w:rsid w:val="00FC261A"/>
    <w:rsid w:val="00FC2686"/>
    <w:rsid w:val="00FC2BCA"/>
    <w:rsid w:val="00FC2DA7"/>
    <w:rsid w:val="00FC316F"/>
    <w:rsid w:val="00FC35A0"/>
    <w:rsid w:val="00FC371D"/>
    <w:rsid w:val="00FC3914"/>
    <w:rsid w:val="00FC3B88"/>
    <w:rsid w:val="00FC3C86"/>
    <w:rsid w:val="00FC3C8D"/>
    <w:rsid w:val="00FC4483"/>
    <w:rsid w:val="00FC48B2"/>
    <w:rsid w:val="00FC4B05"/>
    <w:rsid w:val="00FC4D24"/>
    <w:rsid w:val="00FC4D47"/>
    <w:rsid w:val="00FC4E3B"/>
    <w:rsid w:val="00FC541D"/>
    <w:rsid w:val="00FC58EE"/>
    <w:rsid w:val="00FC5F0B"/>
    <w:rsid w:val="00FC61CA"/>
    <w:rsid w:val="00FC68D9"/>
    <w:rsid w:val="00FC68DF"/>
    <w:rsid w:val="00FC6A63"/>
    <w:rsid w:val="00FC6AD9"/>
    <w:rsid w:val="00FC7ED5"/>
    <w:rsid w:val="00FD0240"/>
    <w:rsid w:val="00FD0483"/>
    <w:rsid w:val="00FD050D"/>
    <w:rsid w:val="00FD07F3"/>
    <w:rsid w:val="00FD0800"/>
    <w:rsid w:val="00FD0991"/>
    <w:rsid w:val="00FD100F"/>
    <w:rsid w:val="00FD157E"/>
    <w:rsid w:val="00FD1BC9"/>
    <w:rsid w:val="00FD2100"/>
    <w:rsid w:val="00FD2119"/>
    <w:rsid w:val="00FD226F"/>
    <w:rsid w:val="00FD25A3"/>
    <w:rsid w:val="00FD25BA"/>
    <w:rsid w:val="00FD25BC"/>
    <w:rsid w:val="00FD2738"/>
    <w:rsid w:val="00FD2D72"/>
    <w:rsid w:val="00FD2FE9"/>
    <w:rsid w:val="00FD3231"/>
    <w:rsid w:val="00FD33E3"/>
    <w:rsid w:val="00FD3C77"/>
    <w:rsid w:val="00FD3E68"/>
    <w:rsid w:val="00FD3ED7"/>
    <w:rsid w:val="00FD436C"/>
    <w:rsid w:val="00FD4416"/>
    <w:rsid w:val="00FD446D"/>
    <w:rsid w:val="00FD46F5"/>
    <w:rsid w:val="00FD4742"/>
    <w:rsid w:val="00FD4F2C"/>
    <w:rsid w:val="00FD5A92"/>
    <w:rsid w:val="00FD5E35"/>
    <w:rsid w:val="00FD6394"/>
    <w:rsid w:val="00FD6809"/>
    <w:rsid w:val="00FD6CA6"/>
    <w:rsid w:val="00FD6EC1"/>
    <w:rsid w:val="00FD72AD"/>
    <w:rsid w:val="00FD768C"/>
    <w:rsid w:val="00FD7846"/>
    <w:rsid w:val="00FE0365"/>
    <w:rsid w:val="00FE05B3"/>
    <w:rsid w:val="00FE07F2"/>
    <w:rsid w:val="00FE0A36"/>
    <w:rsid w:val="00FE0B17"/>
    <w:rsid w:val="00FE0E6C"/>
    <w:rsid w:val="00FE12FB"/>
    <w:rsid w:val="00FE13F1"/>
    <w:rsid w:val="00FE161E"/>
    <w:rsid w:val="00FE1CDC"/>
    <w:rsid w:val="00FE231D"/>
    <w:rsid w:val="00FE24CE"/>
    <w:rsid w:val="00FE2E39"/>
    <w:rsid w:val="00FE3EB8"/>
    <w:rsid w:val="00FE44C7"/>
    <w:rsid w:val="00FE4726"/>
    <w:rsid w:val="00FE4763"/>
    <w:rsid w:val="00FE490D"/>
    <w:rsid w:val="00FE4BDB"/>
    <w:rsid w:val="00FE55F5"/>
    <w:rsid w:val="00FE5678"/>
    <w:rsid w:val="00FE5C93"/>
    <w:rsid w:val="00FE6B43"/>
    <w:rsid w:val="00FE70C3"/>
    <w:rsid w:val="00FE722E"/>
    <w:rsid w:val="00FE7407"/>
    <w:rsid w:val="00FF0674"/>
    <w:rsid w:val="00FF0874"/>
    <w:rsid w:val="00FF0A44"/>
    <w:rsid w:val="00FF0E4E"/>
    <w:rsid w:val="00FF0FD4"/>
    <w:rsid w:val="00FF1054"/>
    <w:rsid w:val="00FF13CC"/>
    <w:rsid w:val="00FF15FE"/>
    <w:rsid w:val="00FF1A2D"/>
    <w:rsid w:val="00FF1A8B"/>
    <w:rsid w:val="00FF22E6"/>
    <w:rsid w:val="00FF2537"/>
    <w:rsid w:val="00FF26AD"/>
    <w:rsid w:val="00FF2AD9"/>
    <w:rsid w:val="00FF2B28"/>
    <w:rsid w:val="00FF312C"/>
    <w:rsid w:val="00FF3222"/>
    <w:rsid w:val="00FF359F"/>
    <w:rsid w:val="00FF368A"/>
    <w:rsid w:val="00FF3912"/>
    <w:rsid w:val="00FF3DCF"/>
    <w:rsid w:val="00FF411F"/>
    <w:rsid w:val="00FF42BF"/>
    <w:rsid w:val="00FF492C"/>
    <w:rsid w:val="00FF4A21"/>
    <w:rsid w:val="00FF5053"/>
    <w:rsid w:val="00FF5213"/>
    <w:rsid w:val="00FF533E"/>
    <w:rsid w:val="00FF57B2"/>
    <w:rsid w:val="00FF5AA3"/>
    <w:rsid w:val="00FF5AD8"/>
    <w:rsid w:val="00FF6F77"/>
    <w:rsid w:val="00FF756E"/>
    <w:rsid w:val="00FF7FEC"/>
    <w:rsid w:val="012047D7"/>
    <w:rsid w:val="0251A756"/>
    <w:rsid w:val="02544BDE"/>
    <w:rsid w:val="02CA988F"/>
    <w:rsid w:val="02F04103"/>
    <w:rsid w:val="0320D0E0"/>
    <w:rsid w:val="033ADCF6"/>
    <w:rsid w:val="03861ADB"/>
    <w:rsid w:val="038F6C8A"/>
    <w:rsid w:val="040EA940"/>
    <w:rsid w:val="049D7B99"/>
    <w:rsid w:val="050F1CF4"/>
    <w:rsid w:val="05E3C5D0"/>
    <w:rsid w:val="06174458"/>
    <w:rsid w:val="067D9B9D"/>
    <w:rsid w:val="06AEF525"/>
    <w:rsid w:val="06D5B4A7"/>
    <w:rsid w:val="071BFF6A"/>
    <w:rsid w:val="0773F2F0"/>
    <w:rsid w:val="07DE79DF"/>
    <w:rsid w:val="08070AC6"/>
    <w:rsid w:val="09289A5C"/>
    <w:rsid w:val="093F6AB9"/>
    <w:rsid w:val="0999956D"/>
    <w:rsid w:val="09B11731"/>
    <w:rsid w:val="09E0ED5F"/>
    <w:rsid w:val="0A4513A0"/>
    <w:rsid w:val="0B221B6B"/>
    <w:rsid w:val="0B53A63C"/>
    <w:rsid w:val="0B946F7C"/>
    <w:rsid w:val="0C5B150E"/>
    <w:rsid w:val="0C5CC7EA"/>
    <w:rsid w:val="0CDF559D"/>
    <w:rsid w:val="0CE18E0E"/>
    <w:rsid w:val="0CEA85F3"/>
    <w:rsid w:val="0CF0CD66"/>
    <w:rsid w:val="0D254EBE"/>
    <w:rsid w:val="0D2E790F"/>
    <w:rsid w:val="0D36D357"/>
    <w:rsid w:val="0D65C490"/>
    <w:rsid w:val="0E12ECE7"/>
    <w:rsid w:val="0E416DF4"/>
    <w:rsid w:val="0E6FB225"/>
    <w:rsid w:val="0EE6BC92"/>
    <w:rsid w:val="0EFD78EF"/>
    <w:rsid w:val="0F0D6A0D"/>
    <w:rsid w:val="0F635DFC"/>
    <w:rsid w:val="0FB6C1CC"/>
    <w:rsid w:val="0FCF846B"/>
    <w:rsid w:val="0FD40384"/>
    <w:rsid w:val="1009E26E"/>
    <w:rsid w:val="1074909D"/>
    <w:rsid w:val="11AB194F"/>
    <w:rsid w:val="1223B657"/>
    <w:rsid w:val="1270DED3"/>
    <w:rsid w:val="13783493"/>
    <w:rsid w:val="13986890"/>
    <w:rsid w:val="13BEC0D5"/>
    <w:rsid w:val="13CD15B0"/>
    <w:rsid w:val="14010606"/>
    <w:rsid w:val="1402478E"/>
    <w:rsid w:val="143E883A"/>
    <w:rsid w:val="14544B1B"/>
    <w:rsid w:val="146A2214"/>
    <w:rsid w:val="15157215"/>
    <w:rsid w:val="153A322B"/>
    <w:rsid w:val="15512557"/>
    <w:rsid w:val="15915F6B"/>
    <w:rsid w:val="15B828C3"/>
    <w:rsid w:val="16B9F6D4"/>
    <w:rsid w:val="16BA98A7"/>
    <w:rsid w:val="16ED7A4A"/>
    <w:rsid w:val="170A7F1A"/>
    <w:rsid w:val="17EB4359"/>
    <w:rsid w:val="182EED08"/>
    <w:rsid w:val="1867C64E"/>
    <w:rsid w:val="18B2D589"/>
    <w:rsid w:val="18BB3A8E"/>
    <w:rsid w:val="18BF679D"/>
    <w:rsid w:val="18F1E6DF"/>
    <w:rsid w:val="18F3E20D"/>
    <w:rsid w:val="1975AE4B"/>
    <w:rsid w:val="19A704A5"/>
    <w:rsid w:val="19FDF35C"/>
    <w:rsid w:val="1AB45BC6"/>
    <w:rsid w:val="1AC54BC9"/>
    <w:rsid w:val="1BAD846F"/>
    <w:rsid w:val="1BF070F9"/>
    <w:rsid w:val="1C43E5DD"/>
    <w:rsid w:val="1C65A67B"/>
    <w:rsid w:val="1C8FACA4"/>
    <w:rsid w:val="1D393661"/>
    <w:rsid w:val="1D435312"/>
    <w:rsid w:val="1D6B164F"/>
    <w:rsid w:val="1DDDC2A4"/>
    <w:rsid w:val="1E1DDAE3"/>
    <w:rsid w:val="1E1F7FD3"/>
    <w:rsid w:val="1E7620E4"/>
    <w:rsid w:val="1F68DC46"/>
    <w:rsid w:val="1FFE0B90"/>
    <w:rsid w:val="20FDDAEF"/>
    <w:rsid w:val="2182226C"/>
    <w:rsid w:val="224C2D86"/>
    <w:rsid w:val="226D5C76"/>
    <w:rsid w:val="2273DC0B"/>
    <w:rsid w:val="22A3221B"/>
    <w:rsid w:val="2352242E"/>
    <w:rsid w:val="244309B8"/>
    <w:rsid w:val="246BA920"/>
    <w:rsid w:val="246ED10E"/>
    <w:rsid w:val="247FA9D4"/>
    <w:rsid w:val="24E045F4"/>
    <w:rsid w:val="25254C67"/>
    <w:rsid w:val="253653B5"/>
    <w:rsid w:val="25AD5D70"/>
    <w:rsid w:val="25B707B8"/>
    <w:rsid w:val="260E0111"/>
    <w:rsid w:val="26318E22"/>
    <w:rsid w:val="266036B5"/>
    <w:rsid w:val="26816DEC"/>
    <w:rsid w:val="26FE08D1"/>
    <w:rsid w:val="28487A42"/>
    <w:rsid w:val="2858240D"/>
    <w:rsid w:val="28DCCDAB"/>
    <w:rsid w:val="29F36572"/>
    <w:rsid w:val="2A5CE5B0"/>
    <w:rsid w:val="2A6A7691"/>
    <w:rsid w:val="2B028D18"/>
    <w:rsid w:val="2B589E6C"/>
    <w:rsid w:val="2C4412B3"/>
    <w:rsid w:val="2C742EAE"/>
    <w:rsid w:val="2D0E4B16"/>
    <w:rsid w:val="2D6043CD"/>
    <w:rsid w:val="2DB495E3"/>
    <w:rsid w:val="2DD79C07"/>
    <w:rsid w:val="2F2F4731"/>
    <w:rsid w:val="2F78D763"/>
    <w:rsid w:val="2F872CAE"/>
    <w:rsid w:val="300573FA"/>
    <w:rsid w:val="30637343"/>
    <w:rsid w:val="3068D15C"/>
    <w:rsid w:val="30E32B87"/>
    <w:rsid w:val="32D268B8"/>
    <w:rsid w:val="3387EA4F"/>
    <w:rsid w:val="33ED1A6C"/>
    <w:rsid w:val="341F7F49"/>
    <w:rsid w:val="34B03F46"/>
    <w:rsid w:val="34FE1FC5"/>
    <w:rsid w:val="3500DFC2"/>
    <w:rsid w:val="35E2983B"/>
    <w:rsid w:val="3680C4F5"/>
    <w:rsid w:val="3683A563"/>
    <w:rsid w:val="36A0A383"/>
    <w:rsid w:val="36EF8FFB"/>
    <w:rsid w:val="3747257D"/>
    <w:rsid w:val="37488C04"/>
    <w:rsid w:val="375593B4"/>
    <w:rsid w:val="3759A756"/>
    <w:rsid w:val="3780D085"/>
    <w:rsid w:val="37AB86FF"/>
    <w:rsid w:val="383CF286"/>
    <w:rsid w:val="386DF75D"/>
    <w:rsid w:val="38B5D58B"/>
    <w:rsid w:val="3A79E008"/>
    <w:rsid w:val="3A9BD8FD"/>
    <w:rsid w:val="3B01EAC4"/>
    <w:rsid w:val="3B32F862"/>
    <w:rsid w:val="3B803F17"/>
    <w:rsid w:val="3C331B6F"/>
    <w:rsid w:val="3C7FF114"/>
    <w:rsid w:val="3CC9C868"/>
    <w:rsid w:val="3CFF986A"/>
    <w:rsid w:val="3E4C0088"/>
    <w:rsid w:val="3EB3807E"/>
    <w:rsid w:val="3F649DEB"/>
    <w:rsid w:val="3F66087A"/>
    <w:rsid w:val="3FAF2912"/>
    <w:rsid w:val="3FB8327E"/>
    <w:rsid w:val="3FBC573D"/>
    <w:rsid w:val="40642BD3"/>
    <w:rsid w:val="406B48E8"/>
    <w:rsid w:val="408AB5F5"/>
    <w:rsid w:val="40B54F3B"/>
    <w:rsid w:val="40EDCA0A"/>
    <w:rsid w:val="4127E54B"/>
    <w:rsid w:val="424B0D03"/>
    <w:rsid w:val="425B3852"/>
    <w:rsid w:val="42CEE766"/>
    <w:rsid w:val="430CE1F9"/>
    <w:rsid w:val="4329625E"/>
    <w:rsid w:val="43305A64"/>
    <w:rsid w:val="43E6BD23"/>
    <w:rsid w:val="44DA509B"/>
    <w:rsid w:val="45767B85"/>
    <w:rsid w:val="4605890B"/>
    <w:rsid w:val="465C8909"/>
    <w:rsid w:val="4681AC35"/>
    <w:rsid w:val="46C9CE69"/>
    <w:rsid w:val="47A918FC"/>
    <w:rsid w:val="47B972A9"/>
    <w:rsid w:val="48595BF3"/>
    <w:rsid w:val="4886690D"/>
    <w:rsid w:val="48A9E4A4"/>
    <w:rsid w:val="48DB5ADF"/>
    <w:rsid w:val="48F3D211"/>
    <w:rsid w:val="4AAB4500"/>
    <w:rsid w:val="4AC6FA5D"/>
    <w:rsid w:val="4ACE2F40"/>
    <w:rsid w:val="4C083619"/>
    <w:rsid w:val="4C12CF00"/>
    <w:rsid w:val="4C2E116E"/>
    <w:rsid w:val="4C9988E8"/>
    <w:rsid w:val="4CFEB1C1"/>
    <w:rsid w:val="4D1E0869"/>
    <w:rsid w:val="4D81752F"/>
    <w:rsid w:val="4DDB66F6"/>
    <w:rsid w:val="4E0A247C"/>
    <w:rsid w:val="4E627DC0"/>
    <w:rsid w:val="4F3E90A7"/>
    <w:rsid w:val="4F99888D"/>
    <w:rsid w:val="4FC8229F"/>
    <w:rsid w:val="4FF7C1DC"/>
    <w:rsid w:val="504E67BA"/>
    <w:rsid w:val="508192B3"/>
    <w:rsid w:val="509C286C"/>
    <w:rsid w:val="50E2B285"/>
    <w:rsid w:val="50EF8A1E"/>
    <w:rsid w:val="51195265"/>
    <w:rsid w:val="511FE7DA"/>
    <w:rsid w:val="51B6AD7A"/>
    <w:rsid w:val="51D7886A"/>
    <w:rsid w:val="5240439F"/>
    <w:rsid w:val="528085AB"/>
    <w:rsid w:val="52823151"/>
    <w:rsid w:val="52B0E6FA"/>
    <w:rsid w:val="535F1BD9"/>
    <w:rsid w:val="5387560F"/>
    <w:rsid w:val="539F6F98"/>
    <w:rsid w:val="53A17FFE"/>
    <w:rsid w:val="53A3FAE3"/>
    <w:rsid w:val="53B56403"/>
    <w:rsid w:val="53C36E0C"/>
    <w:rsid w:val="53DB8640"/>
    <w:rsid w:val="54709BF7"/>
    <w:rsid w:val="547529E2"/>
    <w:rsid w:val="54EB167A"/>
    <w:rsid w:val="54F84183"/>
    <w:rsid w:val="5543E481"/>
    <w:rsid w:val="55E3F1FD"/>
    <w:rsid w:val="563AB2F0"/>
    <w:rsid w:val="57710B4D"/>
    <w:rsid w:val="578AC887"/>
    <w:rsid w:val="58009F1D"/>
    <w:rsid w:val="5868DA15"/>
    <w:rsid w:val="58694844"/>
    <w:rsid w:val="58B797DC"/>
    <w:rsid w:val="58DE04E3"/>
    <w:rsid w:val="599974A5"/>
    <w:rsid w:val="5BB72B1B"/>
    <w:rsid w:val="5C61B2A6"/>
    <w:rsid w:val="5CDABFC9"/>
    <w:rsid w:val="5CE9BCBA"/>
    <w:rsid w:val="5D3051F9"/>
    <w:rsid w:val="5DDCD3F8"/>
    <w:rsid w:val="5E079975"/>
    <w:rsid w:val="5E0C4630"/>
    <w:rsid w:val="5E1B9FD3"/>
    <w:rsid w:val="5E7B2726"/>
    <w:rsid w:val="5E851A25"/>
    <w:rsid w:val="5F212D64"/>
    <w:rsid w:val="5F286827"/>
    <w:rsid w:val="5FF98DAA"/>
    <w:rsid w:val="5FF9B317"/>
    <w:rsid w:val="60202A66"/>
    <w:rsid w:val="6026743A"/>
    <w:rsid w:val="60435850"/>
    <w:rsid w:val="604CF84F"/>
    <w:rsid w:val="60505F5D"/>
    <w:rsid w:val="60523D63"/>
    <w:rsid w:val="6058A756"/>
    <w:rsid w:val="60A05191"/>
    <w:rsid w:val="60A2612F"/>
    <w:rsid w:val="6107821C"/>
    <w:rsid w:val="6120BBB0"/>
    <w:rsid w:val="61E903E2"/>
    <w:rsid w:val="6260C609"/>
    <w:rsid w:val="62BAF7FB"/>
    <w:rsid w:val="62CE3235"/>
    <w:rsid w:val="63104FA4"/>
    <w:rsid w:val="635DEA15"/>
    <w:rsid w:val="63A47F24"/>
    <w:rsid w:val="63B9EE45"/>
    <w:rsid w:val="63EB61C4"/>
    <w:rsid w:val="64294E0E"/>
    <w:rsid w:val="648BBDEC"/>
    <w:rsid w:val="65227968"/>
    <w:rsid w:val="656FCA06"/>
    <w:rsid w:val="663DBD81"/>
    <w:rsid w:val="669CB53D"/>
    <w:rsid w:val="66C3AAF4"/>
    <w:rsid w:val="66E9CB88"/>
    <w:rsid w:val="66FDA596"/>
    <w:rsid w:val="6712E9ED"/>
    <w:rsid w:val="6776ABC4"/>
    <w:rsid w:val="67978C4A"/>
    <w:rsid w:val="67B694DD"/>
    <w:rsid w:val="67C96E22"/>
    <w:rsid w:val="67DE001D"/>
    <w:rsid w:val="67E58074"/>
    <w:rsid w:val="67EDFCAD"/>
    <w:rsid w:val="686DB55A"/>
    <w:rsid w:val="6898BB8F"/>
    <w:rsid w:val="68AB4065"/>
    <w:rsid w:val="68DA1447"/>
    <w:rsid w:val="69176007"/>
    <w:rsid w:val="69D24110"/>
    <w:rsid w:val="69FCA7AF"/>
    <w:rsid w:val="6A32FC5E"/>
    <w:rsid w:val="6A457095"/>
    <w:rsid w:val="6A55317F"/>
    <w:rsid w:val="6A6F1769"/>
    <w:rsid w:val="6A828DEC"/>
    <w:rsid w:val="6ADC133A"/>
    <w:rsid w:val="6AF10968"/>
    <w:rsid w:val="6B224A34"/>
    <w:rsid w:val="6B3CDF78"/>
    <w:rsid w:val="6B40482A"/>
    <w:rsid w:val="6BE43F69"/>
    <w:rsid w:val="6C272911"/>
    <w:rsid w:val="6C5627FB"/>
    <w:rsid w:val="6C568EBF"/>
    <w:rsid w:val="6C5FDBB3"/>
    <w:rsid w:val="6C7F8405"/>
    <w:rsid w:val="6CC7CA74"/>
    <w:rsid w:val="6D63ACBC"/>
    <w:rsid w:val="6DDE414C"/>
    <w:rsid w:val="6E265ACE"/>
    <w:rsid w:val="6EA30672"/>
    <w:rsid w:val="6F02DDF9"/>
    <w:rsid w:val="6F4ED52D"/>
    <w:rsid w:val="6F711975"/>
    <w:rsid w:val="6FE735D1"/>
    <w:rsid w:val="7078CBB9"/>
    <w:rsid w:val="70B5BAD0"/>
    <w:rsid w:val="70DE9B1C"/>
    <w:rsid w:val="710134CC"/>
    <w:rsid w:val="712A2987"/>
    <w:rsid w:val="71556346"/>
    <w:rsid w:val="72566C64"/>
    <w:rsid w:val="72584C6E"/>
    <w:rsid w:val="72B8893E"/>
    <w:rsid w:val="72D6E8BF"/>
    <w:rsid w:val="731A304F"/>
    <w:rsid w:val="734CA6B8"/>
    <w:rsid w:val="73B0C2DF"/>
    <w:rsid w:val="73FBE16D"/>
    <w:rsid w:val="7408205A"/>
    <w:rsid w:val="740A0B28"/>
    <w:rsid w:val="74621AC3"/>
    <w:rsid w:val="759C15D6"/>
    <w:rsid w:val="75B0A330"/>
    <w:rsid w:val="75B5463B"/>
    <w:rsid w:val="75DD4A57"/>
    <w:rsid w:val="7609340D"/>
    <w:rsid w:val="7626E841"/>
    <w:rsid w:val="768448B3"/>
    <w:rsid w:val="76C14AAE"/>
    <w:rsid w:val="77A9CAFD"/>
    <w:rsid w:val="77B34544"/>
    <w:rsid w:val="77C74101"/>
    <w:rsid w:val="7818DB68"/>
    <w:rsid w:val="78EDD915"/>
    <w:rsid w:val="79078F5A"/>
    <w:rsid w:val="7929822E"/>
    <w:rsid w:val="793824FA"/>
    <w:rsid w:val="797C71F4"/>
    <w:rsid w:val="79884ED4"/>
    <w:rsid w:val="79A8E286"/>
    <w:rsid w:val="7A3562A5"/>
    <w:rsid w:val="7A9B6BA6"/>
    <w:rsid w:val="7A9D1E8C"/>
    <w:rsid w:val="7AC21426"/>
    <w:rsid w:val="7B0C3E6D"/>
    <w:rsid w:val="7B5D0ADC"/>
    <w:rsid w:val="7B64EF10"/>
    <w:rsid w:val="7B6618A5"/>
    <w:rsid w:val="7BA31D18"/>
    <w:rsid w:val="7BD6E811"/>
    <w:rsid w:val="7C1546B7"/>
    <w:rsid w:val="7C2EE05D"/>
    <w:rsid w:val="7C3B0A66"/>
    <w:rsid w:val="7C3E973B"/>
    <w:rsid w:val="7C58BF55"/>
    <w:rsid w:val="7C651F9B"/>
    <w:rsid w:val="7D660458"/>
    <w:rsid w:val="7D86ECBB"/>
    <w:rsid w:val="7DA1F001"/>
    <w:rsid w:val="7DE066B6"/>
    <w:rsid w:val="7E1B2A86"/>
    <w:rsid w:val="7E2CE156"/>
    <w:rsid w:val="7E304A2B"/>
    <w:rsid w:val="7E76CDE5"/>
    <w:rsid w:val="7EA701E4"/>
    <w:rsid w:val="7EE3FAC5"/>
    <w:rsid w:val="7F1BC6D7"/>
    <w:rsid w:val="7F20BCB7"/>
    <w:rsid w:val="7FE11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link w:val="COMBodyH2NumberedChar"/>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 1,Bullets,Odstavec se seznamem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aliases w:val="Page Header,Header title,he=header,cntr/bld"/>
    <w:basedOn w:val="Normal"/>
    <w:link w:val="HeaderChar"/>
    <w:uiPriority w:val="99"/>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aliases w:val="Page Header Char,Header title Char,he=header Char,cntr/bld Char"/>
    <w:basedOn w:val="DefaultParagraphFont"/>
    <w:link w:val="Header"/>
    <w:uiPriority w:val="99"/>
    <w:rsid w:val="00B94414"/>
    <w:rPr>
      <w:rFonts w:asciiTheme="minorHAnsi" w:hAnsiTheme="minorHAnsi" w:cs="Arial"/>
      <w:i/>
      <w:iCs/>
      <w:color w:val="808080"/>
      <w:sz w:val="24"/>
      <w:szCs w:val="24"/>
    </w:rPr>
  </w:style>
  <w:style w:type="table" w:styleId="TableGrid">
    <w:name w:val="Table Grid"/>
    <w:aliases w:val="Summary box,Table Gridbeth,CMA Table Template,ASD Table,Lash Style Table,PBAC table,HTAtableplain,new style,MSD Table Grid,Dossier table,Section 3- footnotes,Summary Table,Tabellengitternetz 9pt,Table Grid No Line,Legemiddelverket 3"/>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F67A30"/>
    <w:pPr>
      <w:keepNext/>
      <w:keepLines/>
    </w:pPr>
    <w:rPr>
      <w:rFonts w:ascii="Arial Narrow" w:eastAsiaTheme="majorEastAsia" w:hAnsi="Arial Narrow" w:cstheme="majorBidi"/>
      <w:bCs/>
      <w:lang w:eastAsia="en-US"/>
    </w:rPr>
  </w:style>
  <w:style w:type="paragraph" w:customStyle="1" w:styleId="COMBodybulletlist">
    <w:name w:val="COM Body bullet list"/>
    <w:basedOn w:val="Normal"/>
    <w:link w:val="COMBodybulletlistChar"/>
    <w:qFormat/>
    <w:rsid w:val="00994A19"/>
    <w:pPr>
      <w:numPr>
        <w:numId w:val="7"/>
      </w:numPr>
      <w:contextualSpacing/>
    </w:pPr>
  </w:style>
  <w:style w:type="paragraph" w:customStyle="1" w:styleId="COMESH2">
    <w:name w:val="COM ES H2"/>
    <w:next w:val="COMESnumberedpara"/>
    <w:qFormat/>
    <w:rsid w:val="004C3B02"/>
    <w:pPr>
      <w:keepNext/>
      <w:numPr>
        <w:numId w:val="10"/>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9C6F75"/>
    <w:pPr>
      <w:keepNext/>
      <w:jc w:val="both"/>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9C6F75"/>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10"/>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F67A30"/>
    <w:rPr>
      <w:rFonts w:ascii="Arial Narrow" w:eastAsiaTheme="majorEastAsia" w:hAnsi="Arial Narrow" w:cstheme="majorBidi"/>
      <w:bCs/>
      <w:lang w:eastAsia="en-US"/>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semiHidden/>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8"/>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styleId="Footer">
    <w:name w:val="footer"/>
    <w:basedOn w:val="Normal"/>
    <w:link w:val="FooterChar"/>
    <w:uiPriority w:val="99"/>
    <w:unhideWhenUsed/>
    <w:rsid w:val="007F6EDE"/>
    <w:pPr>
      <w:tabs>
        <w:tab w:val="center" w:pos="4513"/>
        <w:tab w:val="right" w:pos="9026"/>
      </w:tabs>
    </w:pPr>
  </w:style>
  <w:style w:type="character" w:customStyle="1" w:styleId="FooterChar">
    <w:name w:val="Footer Char"/>
    <w:basedOn w:val="DefaultParagraphFont"/>
    <w:link w:val="Footer"/>
    <w:uiPriority w:val="99"/>
    <w:rsid w:val="007F6EDE"/>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A92DDD"/>
    <w:rPr>
      <w:sz w:val="16"/>
      <w:szCs w:val="16"/>
    </w:rPr>
  </w:style>
  <w:style w:type="paragraph" w:styleId="CommentText">
    <w:name w:val="annotation text"/>
    <w:basedOn w:val="Normal"/>
    <w:link w:val="CommentTextChar"/>
    <w:unhideWhenUsed/>
    <w:rsid w:val="00A92DDD"/>
    <w:rPr>
      <w:sz w:val="20"/>
      <w:szCs w:val="20"/>
    </w:rPr>
  </w:style>
  <w:style w:type="character" w:customStyle="1" w:styleId="CommentTextChar">
    <w:name w:val="Comment Text Char"/>
    <w:basedOn w:val="DefaultParagraphFont"/>
    <w:link w:val="CommentText"/>
    <w:rsid w:val="00A92DDD"/>
    <w:rPr>
      <w:rFonts w:ascii="Calibri" w:hAnsi="Calibri" w:cs="Arial"/>
    </w:rPr>
  </w:style>
  <w:style w:type="paragraph" w:styleId="CommentSubject">
    <w:name w:val="annotation subject"/>
    <w:basedOn w:val="CommentText"/>
    <w:next w:val="CommentText"/>
    <w:link w:val="CommentSubjectChar"/>
    <w:semiHidden/>
    <w:unhideWhenUsed/>
    <w:rsid w:val="00A92DDD"/>
    <w:rPr>
      <w:b/>
      <w:bCs/>
    </w:rPr>
  </w:style>
  <w:style w:type="character" w:customStyle="1" w:styleId="CommentSubjectChar">
    <w:name w:val="Comment Subject Char"/>
    <w:basedOn w:val="CommentTextChar"/>
    <w:link w:val="CommentSubject"/>
    <w:semiHidden/>
    <w:rsid w:val="00A92DDD"/>
    <w:rPr>
      <w:rFonts w:ascii="Calibri" w:hAnsi="Calibri" w:cs="Arial"/>
      <w:b/>
      <w:bCs/>
    </w:rPr>
  </w:style>
  <w:style w:type="paragraph" w:customStyle="1" w:styleId="COMexecsummmainissuesbullets">
    <w:name w:val="COM exec summ main issues bullets"/>
    <w:basedOn w:val="Normal"/>
    <w:link w:val="COMexecsummmainissuesbulletsChar"/>
    <w:qFormat/>
    <w:rsid w:val="00694352"/>
    <w:pPr>
      <w:spacing w:after="120"/>
      <w:ind w:left="720" w:hanging="36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694352"/>
    <w:rPr>
      <w:rFonts w:asciiTheme="minorHAnsi" w:hAnsiTheme="minorHAnsi" w:cs="Arial"/>
      <w:snapToGrid w:val="0"/>
      <w:color w:val="0066FF"/>
      <w:sz w:val="24"/>
      <w:szCs w:val="24"/>
    </w:rPr>
  </w:style>
  <w:style w:type="paragraph" w:customStyle="1" w:styleId="TableFooter">
    <w:name w:val="Table Footer"/>
    <w:basedOn w:val="Normal"/>
    <w:link w:val="TableFooterChar"/>
    <w:qFormat/>
    <w:rsid w:val="00120DE1"/>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120DE1"/>
    <w:rPr>
      <w:rFonts w:ascii="Arial Narrow" w:hAnsi="Arial Narrow" w:cs="Arial"/>
      <w:snapToGrid w:val="0"/>
      <w:sz w:val="18"/>
      <w:lang w:eastAsia="en-US"/>
    </w:rPr>
  </w:style>
  <w:style w:type="paragraph" w:customStyle="1" w:styleId="COMCICsubheading">
    <w:name w:val="COM CIC subheading"/>
    <w:basedOn w:val="Normal"/>
    <w:link w:val="COMCICsubheadingChar"/>
    <w:qFormat/>
    <w:rsid w:val="00B417D1"/>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B417D1"/>
    <w:rPr>
      <w:rFonts w:asciiTheme="minorHAnsi" w:eastAsiaTheme="majorEastAsia" w:hAnsiTheme="minorHAnsi" w:cstheme="majorBidi"/>
      <w:b/>
      <w:color w:val="000000" w:themeColor="text1"/>
      <w:sz w:val="24"/>
      <w:szCs w:val="24"/>
    </w:rPr>
  </w:style>
  <w:style w:type="paragraph" w:customStyle="1" w:styleId="COMBody">
    <w:name w:val="COM Body"/>
    <w:basedOn w:val="Normal"/>
    <w:link w:val="COMBodyChar"/>
    <w:qFormat/>
    <w:rsid w:val="003D209D"/>
  </w:style>
  <w:style w:type="character" w:customStyle="1" w:styleId="COMBodyChar">
    <w:name w:val="COM Body Char"/>
    <w:basedOn w:val="DefaultParagraphFont"/>
    <w:link w:val="COMBody"/>
    <w:rsid w:val="003D209D"/>
    <w:rPr>
      <w:rFonts w:ascii="Calibri" w:hAnsi="Calibri" w:cs="Arial"/>
      <w:sz w:val="24"/>
      <w:szCs w:val="24"/>
    </w:rPr>
  </w:style>
  <w:style w:type="paragraph" w:customStyle="1" w:styleId="COMtablefigcaption">
    <w:name w:val="COM table/fig caption"/>
    <w:next w:val="COMTableheadingrow"/>
    <w:link w:val="COMtablefigcaptionChar"/>
    <w:qFormat/>
    <w:rsid w:val="00623F89"/>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623F89"/>
    <w:rPr>
      <w:rFonts w:ascii="Arial Narrow" w:eastAsiaTheme="majorEastAsia" w:hAnsi="Arial Narrow" w:cstheme="majorBidi"/>
      <w:b/>
      <w:bCs/>
      <w:szCs w:val="24"/>
    </w:rPr>
  </w:style>
  <w:style w:type="table" w:customStyle="1" w:styleId="PBACtable2">
    <w:name w:val="PBAC table2"/>
    <w:basedOn w:val="TableNormal"/>
    <w:next w:val="TableGrid"/>
    <w:uiPriority w:val="39"/>
    <w:rsid w:val="00623F89"/>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C96B2A"/>
    <w:rPr>
      <w:sz w:val="20"/>
      <w:szCs w:val="20"/>
    </w:rPr>
  </w:style>
  <w:style w:type="character" w:customStyle="1" w:styleId="EndnoteTextChar">
    <w:name w:val="Endnote Text Char"/>
    <w:basedOn w:val="DefaultParagraphFont"/>
    <w:link w:val="EndnoteText"/>
    <w:semiHidden/>
    <w:rsid w:val="00C96B2A"/>
    <w:rPr>
      <w:rFonts w:ascii="Calibri" w:hAnsi="Calibri" w:cs="Arial"/>
    </w:rPr>
  </w:style>
  <w:style w:type="character" w:styleId="EndnoteReference">
    <w:name w:val="endnote reference"/>
    <w:basedOn w:val="DefaultParagraphFont"/>
    <w:semiHidden/>
    <w:unhideWhenUsed/>
    <w:rsid w:val="00C96B2A"/>
    <w:rPr>
      <w:vertAlign w:val="superscript"/>
    </w:rPr>
  </w:style>
  <w:style w:type="paragraph" w:customStyle="1" w:styleId="COMH5">
    <w:name w:val="COM H5"/>
    <w:basedOn w:val="Heading4"/>
    <w:link w:val="COMH5Char"/>
    <w:qFormat/>
    <w:rsid w:val="002A667C"/>
    <w:pPr>
      <w:spacing w:before="0" w:after="120"/>
    </w:pPr>
    <w:rPr>
      <w:i w:val="0"/>
      <w:sz w:val="24"/>
    </w:rPr>
  </w:style>
  <w:style w:type="character" w:customStyle="1" w:styleId="COMH5Char">
    <w:name w:val="COM H5 Char"/>
    <w:basedOn w:val="DefaultParagraphFont"/>
    <w:link w:val="COMH5"/>
    <w:rsid w:val="002A667C"/>
    <w:rPr>
      <w:rFonts w:ascii="Calibri" w:hAnsi="Calibri" w:cs="Arial"/>
      <w:b/>
      <w:bCs/>
      <w:sz w:val="24"/>
      <w:szCs w:val="28"/>
    </w:rPr>
  </w:style>
  <w:style w:type="paragraph" w:styleId="Caption">
    <w:name w:val="caption"/>
    <w:basedOn w:val="Normal"/>
    <w:next w:val="Normal"/>
    <w:unhideWhenUsed/>
    <w:rsid w:val="00EB1FC9"/>
    <w:pPr>
      <w:spacing w:after="200"/>
    </w:pPr>
    <w:rPr>
      <w:i/>
      <w:iCs/>
      <w:color w:val="1F497D" w:themeColor="text2"/>
      <w:sz w:val="18"/>
      <w:szCs w:val="18"/>
    </w:rPr>
  </w:style>
  <w:style w:type="character" w:customStyle="1" w:styleId="COMBodyH2NumberedChar">
    <w:name w:val="COM Body H2 Numbered Char"/>
    <w:basedOn w:val="Heading2Char"/>
    <w:link w:val="COMBodyH2Numbered"/>
    <w:rsid w:val="008F294E"/>
    <w:rPr>
      <w:rFonts w:ascii="Calibri" w:hAnsi="Calibri" w:cs="Arial"/>
      <w:b/>
      <w:i/>
      <w:snapToGrid/>
      <w:sz w:val="28"/>
      <w:szCs w:val="24"/>
      <w:lang w:eastAsia="en-US"/>
    </w:rPr>
  </w:style>
  <w:style w:type="paragraph" w:customStyle="1" w:styleId="COMH1-numbered">
    <w:name w:val="COM H1 - numbered"/>
    <w:next w:val="COMexecsummnumbered"/>
    <w:qFormat/>
    <w:rsid w:val="00F40539"/>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F40539"/>
    <w:pPr>
      <w:spacing w:before="60" w:after="60"/>
      <w:ind w:left="720" w:hanging="720"/>
      <w:jc w:val="both"/>
    </w:pPr>
    <w:rPr>
      <w:rFonts w:asciiTheme="minorHAnsi" w:eastAsiaTheme="minorHAnsi" w:hAnsiTheme="minorHAnsi" w:cstheme="minorBidi"/>
      <w:sz w:val="24"/>
      <w:szCs w:val="22"/>
    </w:rPr>
  </w:style>
  <w:style w:type="paragraph" w:customStyle="1" w:styleId="COMH3">
    <w:name w:val="COM H3"/>
    <w:basedOn w:val="Normal"/>
    <w:next w:val="Normal"/>
    <w:link w:val="COMH3Char"/>
    <w:qFormat/>
    <w:rsid w:val="00F40539"/>
    <w:pPr>
      <w:keepNext/>
      <w:spacing w:after="120"/>
      <w:outlineLvl w:val="2"/>
    </w:pPr>
    <w:rPr>
      <w:b/>
      <w:iCs/>
      <w:sz w:val="28"/>
    </w:rPr>
  </w:style>
  <w:style w:type="character" w:customStyle="1" w:styleId="COMH3Char">
    <w:name w:val="COM H3 Char"/>
    <w:basedOn w:val="DefaultParagraphFont"/>
    <w:link w:val="COMH3"/>
    <w:rsid w:val="00F40539"/>
    <w:rPr>
      <w:rFonts w:ascii="Calibri" w:hAnsi="Calibri" w:cs="Arial"/>
      <w:b/>
      <w:iCs/>
      <w:sz w:val="28"/>
      <w:szCs w:val="24"/>
    </w:rPr>
  </w:style>
  <w:style w:type="character" w:customStyle="1" w:styleId="COMexecsummnumberedChar">
    <w:name w:val="COM exec summ numbered Char"/>
    <w:basedOn w:val="DefaultParagraphFont"/>
    <w:link w:val="COMexecsummnumbered"/>
    <w:rsid w:val="006B0817"/>
    <w:rPr>
      <w:rFonts w:asciiTheme="minorHAnsi" w:eastAsiaTheme="minorHAnsi" w:hAnsiTheme="minorHAnsi" w:cstheme="minorBidi"/>
      <w:sz w:val="24"/>
      <w:szCs w:val="22"/>
    </w:rPr>
  </w:style>
  <w:style w:type="paragraph" w:styleId="FootnoteText">
    <w:name w:val="footnote text"/>
    <w:aliases w:val="Footnote Text Char1,Footnote Text Char Char,Footnote Text Char2,Footnote Text Char Char1"/>
    <w:basedOn w:val="Normal"/>
    <w:link w:val="FootnoteTextChar"/>
    <w:unhideWhenUsed/>
    <w:rsid w:val="00E4381B"/>
    <w:pPr>
      <w:jc w:val="left"/>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E4381B"/>
    <w:rPr>
      <w:rFonts w:asciiTheme="minorHAnsi" w:eastAsiaTheme="minorHAnsi" w:hAnsiTheme="minorHAnsi" w:cstheme="minorBidi"/>
      <w:lang w:eastAsia="en-US"/>
    </w:rPr>
  </w:style>
  <w:style w:type="character" w:styleId="FootnoteReference">
    <w:name w:val="footnote reference"/>
    <w:basedOn w:val="DefaultParagraphFont"/>
    <w:unhideWhenUsed/>
    <w:rsid w:val="00E4381B"/>
    <w:rPr>
      <w:vertAlign w:val="superscript"/>
    </w:rPr>
  </w:style>
  <w:style w:type="paragraph" w:customStyle="1" w:styleId="TableText">
    <w:name w:val="Table Text"/>
    <w:link w:val="TableTextChar"/>
    <w:qFormat/>
    <w:rsid w:val="00A76560"/>
    <w:pPr>
      <w:keepNext/>
      <w:keepLines/>
      <w:widowControl w:val="0"/>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A76560"/>
    <w:rPr>
      <w:rFonts w:ascii="Arial Narrow" w:eastAsiaTheme="majorEastAsia" w:hAnsi="Arial Narrow" w:cstheme="majorBidi"/>
      <w:bCs/>
      <w:szCs w:val="24"/>
    </w:rPr>
  </w:style>
  <w:style w:type="numbering" w:customStyle="1" w:styleId="ArticleSection12">
    <w:name w:val="Article / Section12"/>
    <w:basedOn w:val="NoList"/>
    <w:next w:val="ArticleSection"/>
    <w:semiHidden/>
    <w:rsid w:val="00EA0936"/>
    <w:pPr>
      <w:numPr>
        <w:numId w:val="11"/>
      </w:numPr>
    </w:pPr>
  </w:style>
  <w:style w:type="numbering" w:styleId="ArticleSection">
    <w:name w:val="Outline List 3"/>
    <w:basedOn w:val="NoList"/>
    <w:semiHidden/>
    <w:unhideWhenUsed/>
    <w:rsid w:val="00EA0936"/>
  </w:style>
  <w:style w:type="paragraph" w:customStyle="1" w:styleId="COMbodybulletlist0">
    <w:name w:val="COM body bullet list"/>
    <w:basedOn w:val="Normal"/>
    <w:link w:val="COMbodybulletlistChar0"/>
    <w:qFormat/>
    <w:rsid w:val="00EA0936"/>
    <w:pPr>
      <w:tabs>
        <w:tab w:val="num" w:pos="360"/>
      </w:tabs>
      <w:ind w:left="360" w:hanging="360"/>
      <w:contextualSpacing/>
    </w:pPr>
  </w:style>
  <w:style w:type="character" w:customStyle="1" w:styleId="COMbodybulletlistChar0">
    <w:name w:val="COM body bullet list Char"/>
    <w:basedOn w:val="DefaultParagraphFont"/>
    <w:link w:val="COMbodybulletlist0"/>
    <w:rsid w:val="00EA0936"/>
    <w:rPr>
      <w:rFonts w:ascii="Calibri" w:hAnsi="Calibri" w:cs="Arial"/>
      <w:sz w:val="24"/>
      <w:szCs w:val="24"/>
    </w:rPr>
  </w:style>
  <w:style w:type="paragraph" w:customStyle="1" w:styleId="In-tableHeading">
    <w:name w:val="In-table Heading"/>
    <w:autoRedefine/>
    <w:qFormat/>
    <w:rsid w:val="00EA0936"/>
    <w:pPr>
      <w:keepNext/>
      <w:keepLines/>
    </w:pPr>
    <w:rPr>
      <w:rFonts w:ascii="Arial Narrow" w:eastAsiaTheme="majorEastAsia" w:hAnsi="Arial Narrow"/>
      <w:b/>
      <w:szCs w:val="24"/>
      <w:lang w:val="en-US"/>
    </w:rPr>
  </w:style>
  <w:style w:type="paragraph" w:customStyle="1" w:styleId="Bulletpoints">
    <w:name w:val="Bullet points"/>
    <w:basedOn w:val="Normal"/>
    <w:rsid w:val="00FD6EC1"/>
    <w:pPr>
      <w:spacing w:after="120"/>
      <w:ind w:left="720"/>
      <w:contextualSpacing/>
    </w:pPr>
    <w:rPr>
      <w:snapToGrid w:val="0"/>
    </w:rPr>
  </w:style>
  <w:style w:type="paragraph" w:customStyle="1" w:styleId="PBACHeading1">
    <w:name w:val="PBAC Heading 1"/>
    <w:qFormat/>
    <w:rsid w:val="00CB4936"/>
    <w:pPr>
      <w:ind w:left="720" w:hanging="720"/>
      <w:outlineLvl w:val="0"/>
    </w:pPr>
    <w:rPr>
      <w:rFonts w:ascii="Calibri" w:hAnsi="Calibri" w:cs="Calibri"/>
      <w:b/>
      <w:snapToGrid w:val="0"/>
      <w:sz w:val="32"/>
      <w:szCs w:val="32"/>
      <w:lang w:eastAsia="en-US"/>
    </w:rPr>
  </w:style>
  <w:style w:type="paragraph" w:customStyle="1" w:styleId="3-SubsectionHeading">
    <w:name w:val="3-Subsection Heading"/>
    <w:basedOn w:val="Heading2"/>
    <w:next w:val="Normal"/>
    <w:link w:val="3-SubsectionHeadingChar"/>
    <w:qFormat/>
    <w:rsid w:val="0002378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2378C"/>
    <w:rPr>
      <w:rFonts w:asciiTheme="minorHAnsi" w:eastAsiaTheme="majorEastAsia" w:hAnsiTheme="minorHAnsi" w:cstheme="majorBidi"/>
      <w:b/>
      <w:i/>
      <w:snapToGrid/>
      <w:spacing w:val="5"/>
      <w:kern w:val="28"/>
      <w:sz w:val="28"/>
      <w:szCs w:val="36"/>
      <w:lang w:eastAsia="en-US"/>
    </w:rPr>
  </w:style>
  <w:style w:type="paragraph" w:customStyle="1" w:styleId="2-SectionHeading">
    <w:name w:val="2-Section Heading"/>
    <w:qFormat/>
    <w:rsid w:val="00963CF7"/>
    <w:pPr>
      <w:keepNext/>
      <w:spacing w:before="240" w:after="120"/>
      <w:outlineLvl w:val="1"/>
    </w:pPr>
    <w:rPr>
      <w:rFonts w:asciiTheme="minorHAnsi" w:hAnsiTheme="minorHAnsi" w:cs="Arial"/>
      <w:b/>
      <w:snapToGrid w:val="0"/>
      <w:sz w:val="32"/>
      <w:szCs w:val="32"/>
    </w:rPr>
  </w:style>
  <w:style w:type="character" w:styleId="Mention">
    <w:name w:val="Mention"/>
    <w:basedOn w:val="DefaultParagraphFont"/>
    <w:uiPriority w:val="99"/>
    <w:unhideWhenUsed/>
    <w:rsid w:val="001709E1"/>
    <w:rPr>
      <w:color w:val="2B579A"/>
      <w:shd w:val="clear" w:color="auto" w:fill="E1DFDD"/>
    </w:rPr>
  </w:style>
  <w:style w:type="table" w:styleId="PlainTable1">
    <w:name w:val="Plain Table 1"/>
    <w:basedOn w:val="TableNormal"/>
    <w:uiPriority w:val="41"/>
    <w:rsid w:val="00D353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1550947">
      <w:bodyDiv w:val="1"/>
      <w:marLeft w:val="0"/>
      <w:marRight w:val="0"/>
      <w:marTop w:val="0"/>
      <w:marBottom w:val="0"/>
      <w:divBdr>
        <w:top w:val="none" w:sz="0" w:space="0" w:color="auto"/>
        <w:left w:val="none" w:sz="0" w:space="0" w:color="auto"/>
        <w:bottom w:val="none" w:sz="0" w:space="0" w:color="auto"/>
        <w:right w:val="none" w:sz="0" w:space="0" w:color="auto"/>
      </w:divBdr>
    </w:div>
    <w:div w:id="256446300">
      <w:bodyDiv w:val="1"/>
      <w:marLeft w:val="0"/>
      <w:marRight w:val="0"/>
      <w:marTop w:val="0"/>
      <w:marBottom w:val="0"/>
      <w:divBdr>
        <w:top w:val="none" w:sz="0" w:space="0" w:color="auto"/>
        <w:left w:val="none" w:sz="0" w:space="0" w:color="auto"/>
        <w:bottom w:val="none" w:sz="0" w:space="0" w:color="auto"/>
        <w:right w:val="none" w:sz="0" w:space="0" w:color="auto"/>
      </w:divBdr>
      <w:divsChild>
        <w:div w:id="391125898">
          <w:marLeft w:val="360"/>
          <w:marRight w:val="0"/>
          <w:marTop w:val="200"/>
          <w:marBottom w:val="0"/>
          <w:divBdr>
            <w:top w:val="none" w:sz="0" w:space="0" w:color="auto"/>
            <w:left w:val="none" w:sz="0" w:space="0" w:color="auto"/>
            <w:bottom w:val="none" w:sz="0" w:space="0" w:color="auto"/>
            <w:right w:val="none" w:sz="0" w:space="0" w:color="auto"/>
          </w:divBdr>
        </w:div>
        <w:div w:id="1855801259">
          <w:marLeft w:val="360"/>
          <w:marRight w:val="0"/>
          <w:marTop w:val="200"/>
          <w:marBottom w:val="0"/>
          <w:divBdr>
            <w:top w:val="none" w:sz="0" w:space="0" w:color="auto"/>
            <w:left w:val="none" w:sz="0" w:space="0" w:color="auto"/>
            <w:bottom w:val="none" w:sz="0" w:space="0" w:color="auto"/>
            <w:right w:val="none" w:sz="0" w:space="0" w:color="auto"/>
          </w:divBdr>
        </w:div>
      </w:divsChild>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1804514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30470196">
      <w:bodyDiv w:val="1"/>
      <w:marLeft w:val="0"/>
      <w:marRight w:val="0"/>
      <w:marTop w:val="0"/>
      <w:marBottom w:val="0"/>
      <w:divBdr>
        <w:top w:val="none" w:sz="0" w:space="0" w:color="auto"/>
        <w:left w:val="none" w:sz="0" w:space="0" w:color="auto"/>
        <w:bottom w:val="none" w:sz="0" w:space="0" w:color="auto"/>
        <w:right w:val="none" w:sz="0" w:space="0" w:color="auto"/>
      </w:divBdr>
    </w:div>
    <w:div w:id="14607626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63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servicesaustralia" TargetMode="External"/><Relationship Id="rId17" Type="http://schemas.openxmlformats.org/officeDocument/2006/relationships/hyperlink" Target="https://www.pbs.gov.au/medicine/item/10617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bs.gov.au/medicine/item/10616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bs.gov.au/medicine/item/10615q"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bs.gov.au/medicine/item/10614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8980-BE89-41D5-BF99-B3CB119811CB}">
  <ds:schemaRefs>
    <ds:schemaRef ds:uri="http://schemas.microsoft.com/office/2006/metadata/properties"/>
    <ds:schemaRef ds:uri="72f95629-adac-4ec1-8738-e1cec852b92b"/>
    <ds:schemaRef ds:uri="7f856f8d-13b3-495a-9a4b-41f8182eda4c"/>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B920456-A3E9-49FE-B5B0-C0ED7C31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0021B-D2FF-43E7-ADFD-7046CEAAC5B1}">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18231</Words>
  <Characters>108687</Characters>
  <Application>Microsoft Office Word</Application>
  <DocSecurity>0</DocSecurity>
  <Lines>3019</Lines>
  <Paragraphs>1627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2026-01-27T04:17:00Z</dcterms:created>
  <dcterms:modified xsi:type="dcterms:W3CDTF">2026-03-04T00:36:00Z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13bf972a,178dca8c,7f8c0a72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7395d96e,263f9fff,6f7a848d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2025-11-28T01:46:36Z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f58d1ec7-6f63-453d-a71f-d74606b9fcdc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Order">
    <vt:r8>55904200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