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B07B823" w:rsidR="00B60939" w:rsidRPr="0098262F" w:rsidRDefault="00DF3271" w:rsidP="004A6040">
      <w:pPr>
        <w:pStyle w:val="1-MainHeading"/>
      </w:pPr>
      <w:bookmarkStart w:id="0" w:name="_Toc208998224"/>
      <w:r>
        <w:t>5</w:t>
      </w:r>
      <w:r w:rsidR="00433044" w:rsidRPr="0098262F">
        <w:t>.</w:t>
      </w:r>
      <w:r>
        <w:t>05</w:t>
      </w:r>
      <w:r w:rsidR="00163F66" w:rsidRPr="0098262F">
        <w:tab/>
      </w:r>
      <w:r w:rsidR="00F62780" w:rsidRPr="00F62780">
        <w:t>ESTRADIOL WITH PROGESTERONE</w:t>
      </w:r>
      <w:r w:rsidR="00163F66" w:rsidRPr="0098262F">
        <w:t>,</w:t>
      </w:r>
      <w:r w:rsidR="00163F66" w:rsidRPr="0098262F">
        <w:br/>
      </w:r>
      <w:r w:rsidR="00CE17F6" w:rsidRPr="00CE17F6">
        <w:t>Capsule containing estradiol 1</w:t>
      </w:r>
      <w:r>
        <w:t xml:space="preserve"> </w:t>
      </w:r>
      <w:r w:rsidR="00CE17F6" w:rsidRPr="00CE17F6">
        <w:t>mg (as</w:t>
      </w:r>
      <w:r w:rsidR="00CE17F6">
        <w:t xml:space="preserve"> </w:t>
      </w:r>
      <w:r w:rsidR="00CE17F6" w:rsidRPr="00CE17F6">
        <w:t>hemihydrate) with progesterone 100</w:t>
      </w:r>
      <w:r w:rsidR="00CC6D0B">
        <w:t xml:space="preserve"> </w:t>
      </w:r>
      <w:r w:rsidR="00CE17F6" w:rsidRPr="00CE17F6">
        <w:t>mg</w:t>
      </w:r>
      <w:r w:rsidR="00163F66" w:rsidRPr="0098262F">
        <w:t>,</w:t>
      </w:r>
      <w:r w:rsidR="00163F66" w:rsidRPr="0098262F">
        <w:br/>
      </w:r>
      <w:r w:rsidR="00CE17F6">
        <w:t>BIJUVA</w:t>
      </w:r>
      <w:r w:rsidR="00B60939" w:rsidRPr="0098262F">
        <w:rPr>
          <w:vertAlign w:val="superscript"/>
        </w:rPr>
        <w:t>®</w:t>
      </w:r>
      <w:r w:rsidR="004A6040" w:rsidRPr="0098262F">
        <w:t>,</w:t>
      </w:r>
      <w:r w:rsidR="004A6040" w:rsidRPr="0098262F">
        <w:br/>
      </w:r>
      <w:r w:rsidR="00BB0038">
        <w:t>Theramex Australia Pty. Ltd</w:t>
      </w:r>
      <w:r w:rsidR="00B60939" w:rsidRPr="0098262F">
        <w:t>.</w:t>
      </w:r>
      <w:bookmarkEnd w:id="0"/>
      <w:r w:rsidR="00F73E08" w:rsidRPr="0098262F">
        <w:t xml:space="preserve"> </w:t>
      </w:r>
    </w:p>
    <w:p w14:paraId="11C00795" w14:textId="258F6B01" w:rsidR="00B50DB8" w:rsidRPr="0098262F" w:rsidRDefault="00B50DB8" w:rsidP="007A1733">
      <w:pPr>
        <w:pStyle w:val="2-SectionHeading"/>
      </w:pPr>
      <w:bookmarkStart w:id="1" w:name="_Toc208998226"/>
      <w:r w:rsidRPr="0098262F">
        <w:t xml:space="preserve">Purpose of </w:t>
      </w:r>
      <w:r w:rsidR="00CD7193" w:rsidRPr="0098262F">
        <w:t>s</w:t>
      </w:r>
      <w:r w:rsidR="00BB3A45" w:rsidRPr="0098262F">
        <w:t>ubmission</w:t>
      </w:r>
      <w:bookmarkEnd w:id="1"/>
    </w:p>
    <w:p w14:paraId="19414AA1" w14:textId="7BAC670F" w:rsidR="002C2775" w:rsidRPr="0098262F" w:rsidRDefault="007170DA" w:rsidP="004E18E9">
      <w:pPr>
        <w:pStyle w:val="3-BodyText"/>
      </w:pPr>
      <w:r w:rsidRPr="0098262F">
        <w:t xml:space="preserve">The </w:t>
      </w:r>
      <w:r w:rsidR="00F73E08" w:rsidRPr="0098262F">
        <w:t xml:space="preserve">Category </w:t>
      </w:r>
      <w:r w:rsidR="00173684">
        <w:t>2</w:t>
      </w:r>
      <w:r w:rsidR="00490F20">
        <w:t xml:space="preserve"> </w:t>
      </w:r>
      <w:r w:rsidRPr="0098262F">
        <w:t>submission requested</w:t>
      </w:r>
      <w:r w:rsidR="00AD147F">
        <w:t xml:space="preserve"> </w:t>
      </w:r>
      <w:r w:rsidR="008E2D79">
        <w:t>a</w:t>
      </w:r>
      <w:r w:rsidR="00AD147F">
        <w:t xml:space="preserve"> General Schedule </w:t>
      </w:r>
      <w:r w:rsidR="008E2D79">
        <w:t>U</w:t>
      </w:r>
      <w:r w:rsidR="00BD462F">
        <w:t>nr</w:t>
      </w:r>
      <w:r w:rsidR="008B1757" w:rsidRPr="0098262F">
        <w:t xml:space="preserve">estricted </w:t>
      </w:r>
      <w:r w:rsidR="008E2D79">
        <w:t>B</w:t>
      </w:r>
      <w:r w:rsidR="008B1757" w:rsidRPr="0098262F">
        <w:t>enefit listing</w:t>
      </w:r>
      <w:r w:rsidR="006D3F3A">
        <w:t xml:space="preserve"> and </w:t>
      </w:r>
      <w:r w:rsidR="008E2D79">
        <w:t>a</w:t>
      </w:r>
      <w:r w:rsidR="00E748AD">
        <w:t xml:space="preserve"> corresponding</w:t>
      </w:r>
      <w:r w:rsidR="006D3F3A">
        <w:t xml:space="preserve"> General Schedule </w:t>
      </w:r>
      <w:r w:rsidR="008E2D79">
        <w:t>R</w:t>
      </w:r>
      <w:r w:rsidR="006D3F3A">
        <w:t xml:space="preserve">estricted </w:t>
      </w:r>
      <w:r w:rsidR="008E2D79">
        <w:t>B</w:t>
      </w:r>
      <w:r w:rsidR="006D3F3A">
        <w:t>enefit listing for 60-day maximum dispensed quantities (MDQ)</w:t>
      </w:r>
      <w:r w:rsidR="008B1757" w:rsidRPr="0098262F">
        <w:t xml:space="preserve"> for </w:t>
      </w:r>
      <w:r w:rsidR="009C2E11">
        <w:t>estradiol 1 mg (as hem</w:t>
      </w:r>
      <w:r w:rsidR="005171D9">
        <w:t xml:space="preserve">ihydrate) with progesterone 100 mg capsule </w:t>
      </w:r>
      <w:r w:rsidR="000F73CD">
        <w:t>(hereinafter referred to as Bijuva</w:t>
      </w:r>
      <w:r w:rsidR="008840CE">
        <w:rPr>
          <w:rFonts w:cstheme="minorHAnsi"/>
        </w:rPr>
        <w:t>®</w:t>
      </w:r>
      <w:r w:rsidR="000B6E40">
        <w:t>)</w:t>
      </w:r>
      <w:r w:rsidR="000F73CD">
        <w:t xml:space="preserve"> </w:t>
      </w:r>
      <w:r w:rsidR="008B1757" w:rsidRPr="0098262F">
        <w:t xml:space="preserve">for </w:t>
      </w:r>
      <w:r w:rsidR="0050174E" w:rsidRPr="0098262F">
        <w:t xml:space="preserve">the </w:t>
      </w:r>
      <w:r w:rsidR="008B1757" w:rsidRPr="0098262F">
        <w:t xml:space="preserve">treatment </w:t>
      </w:r>
      <w:r w:rsidR="00BA6AAA" w:rsidRPr="00BA6AAA">
        <w:t>of moderate</w:t>
      </w:r>
      <w:r w:rsidR="00BA6AAA">
        <w:t xml:space="preserve"> </w:t>
      </w:r>
      <w:r w:rsidR="00BA6AAA" w:rsidRPr="00BA6AAA">
        <w:t>to severe vasomotor symptoms</w:t>
      </w:r>
      <w:r w:rsidR="008840CE">
        <w:t xml:space="preserve"> (VMS)</w:t>
      </w:r>
      <w:r w:rsidR="00BA6AAA" w:rsidRPr="00BA6AAA">
        <w:t xml:space="preserve"> in postmenopausal women</w:t>
      </w:r>
      <w:r w:rsidR="006D3F3A">
        <w:t>.</w:t>
      </w:r>
    </w:p>
    <w:p w14:paraId="4E9FBCB5" w14:textId="5AC17715" w:rsidR="00C2778B" w:rsidRPr="0098262F" w:rsidRDefault="005750C5" w:rsidP="004E18E9">
      <w:pPr>
        <w:pStyle w:val="3-BodyText"/>
      </w:pPr>
      <w:r w:rsidRPr="0098262F">
        <w:t xml:space="preserve">Listing was requested </w:t>
      </w:r>
      <w:proofErr w:type="gramStart"/>
      <w:r w:rsidRPr="0098262F">
        <w:t>on the basis of</w:t>
      </w:r>
      <w:proofErr w:type="gramEnd"/>
      <w:r w:rsidRPr="0098262F">
        <w:t xml:space="preserve"> a cost-minimisation</w:t>
      </w:r>
      <w:r w:rsidR="001D71F4" w:rsidRPr="0098262F">
        <w:t xml:space="preserve"> approach</w:t>
      </w:r>
      <w:r w:rsidRPr="0098262F">
        <w:t xml:space="preserve"> versus </w:t>
      </w:r>
      <w:r w:rsidR="00864115">
        <w:t>Estrogel</w:t>
      </w:r>
      <w:r w:rsidR="008840CE">
        <w:rPr>
          <w:rFonts w:cstheme="minorHAnsi"/>
        </w:rPr>
        <w:t>®</w:t>
      </w:r>
      <w:r w:rsidR="00864115">
        <w:t xml:space="preserve"> Pro. </w:t>
      </w:r>
    </w:p>
    <w:p w14:paraId="487A81E1" w14:textId="07FB03AB" w:rsidR="001128B2" w:rsidRPr="0098262F" w:rsidRDefault="00696EF9" w:rsidP="001128B2">
      <w:pPr>
        <w:pStyle w:val="TableFigureHeading"/>
      </w:pPr>
      <w:r w:rsidRPr="0098262F">
        <w:t xml:space="preserve">Table </w:t>
      </w:r>
      <w:r w:rsidR="003A0CC2">
        <w:fldChar w:fldCharType="begin"/>
      </w:r>
      <w:r w:rsidR="003A0CC2">
        <w:instrText xml:space="preserve"> SEQ Table \* ARABIC </w:instrText>
      </w:r>
      <w:r w:rsidR="003A0CC2">
        <w:fldChar w:fldCharType="separate"/>
      </w:r>
      <w:r w:rsidR="00724077">
        <w:rPr>
          <w:noProof/>
        </w:rPr>
        <w:t>1</w:t>
      </w:r>
      <w:r w:rsidR="003A0CC2">
        <w:rPr>
          <w:noProof/>
        </w:rPr>
        <w:fldChar w:fldCharType="end"/>
      </w:r>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392"/>
        <w:gridCol w:w="7625"/>
      </w:tblGrid>
      <w:tr w:rsidR="001128B2" w:rsidRPr="0098262F" w14:paraId="5D1D92CB" w14:textId="77777777" w:rsidTr="00FF3A6A">
        <w:tc>
          <w:tcPr>
            <w:tcW w:w="772" w:type="pct"/>
            <w:vAlign w:val="center"/>
          </w:tcPr>
          <w:p w14:paraId="1ED56C08" w14:textId="77777777" w:rsidR="001128B2" w:rsidRPr="0098262F" w:rsidRDefault="001128B2">
            <w:pPr>
              <w:pStyle w:val="In-tableHeading"/>
              <w:rPr>
                <w:lang w:val="en-AU"/>
              </w:rPr>
            </w:pPr>
            <w:r w:rsidRPr="0098262F">
              <w:rPr>
                <w:lang w:val="en-AU"/>
              </w:rPr>
              <w:t>Component</w:t>
            </w:r>
          </w:p>
        </w:tc>
        <w:tc>
          <w:tcPr>
            <w:tcW w:w="4228" w:type="pct"/>
            <w:vAlign w:val="center"/>
          </w:tcPr>
          <w:p w14:paraId="7C9E39D5" w14:textId="77777777" w:rsidR="001128B2" w:rsidRPr="0098262F" w:rsidRDefault="001128B2">
            <w:pPr>
              <w:pStyle w:val="In-tableHeading"/>
              <w:rPr>
                <w:lang w:val="en-AU"/>
              </w:rPr>
            </w:pPr>
            <w:r w:rsidRPr="0098262F">
              <w:rPr>
                <w:lang w:val="en-AU"/>
              </w:rPr>
              <w:t>Description</w:t>
            </w:r>
          </w:p>
        </w:tc>
      </w:tr>
      <w:tr w:rsidR="001128B2" w:rsidRPr="0098262F" w14:paraId="33718B18" w14:textId="77777777" w:rsidTr="00FF3A6A">
        <w:tc>
          <w:tcPr>
            <w:tcW w:w="772" w:type="pct"/>
            <w:vAlign w:val="center"/>
          </w:tcPr>
          <w:p w14:paraId="52955DAC" w14:textId="77777777" w:rsidR="001128B2" w:rsidRPr="0098262F" w:rsidRDefault="001128B2">
            <w:pPr>
              <w:pStyle w:val="TableText0"/>
            </w:pPr>
            <w:r w:rsidRPr="0098262F">
              <w:t>Population</w:t>
            </w:r>
          </w:p>
        </w:tc>
        <w:tc>
          <w:tcPr>
            <w:tcW w:w="4228" w:type="pct"/>
          </w:tcPr>
          <w:p w14:paraId="473766DA" w14:textId="77777777" w:rsidR="001128B2" w:rsidRPr="0098262F" w:rsidRDefault="001128B2">
            <w:pPr>
              <w:pStyle w:val="TableText0"/>
            </w:pPr>
            <w:r w:rsidRPr="00762634">
              <w:t>Postmenopausal women with an intact uterus experiencing estrogen deficiency symptoms</w:t>
            </w:r>
          </w:p>
        </w:tc>
      </w:tr>
      <w:tr w:rsidR="001128B2" w:rsidRPr="0098262F" w14:paraId="5115ED48" w14:textId="77777777" w:rsidTr="00FF3A6A">
        <w:tc>
          <w:tcPr>
            <w:tcW w:w="772" w:type="pct"/>
            <w:vAlign w:val="center"/>
          </w:tcPr>
          <w:p w14:paraId="25F1DFA7" w14:textId="77777777" w:rsidR="001128B2" w:rsidRPr="0098262F" w:rsidRDefault="001128B2">
            <w:pPr>
              <w:pStyle w:val="TableText0"/>
            </w:pPr>
            <w:r w:rsidRPr="0098262F">
              <w:t>Intervention</w:t>
            </w:r>
          </w:p>
        </w:tc>
        <w:tc>
          <w:tcPr>
            <w:tcW w:w="4228" w:type="pct"/>
          </w:tcPr>
          <w:p w14:paraId="4B1DCB88" w14:textId="58FAECAD" w:rsidR="001128B2" w:rsidRPr="0098262F" w:rsidRDefault="001128B2">
            <w:pPr>
              <w:pStyle w:val="TableText0"/>
            </w:pPr>
            <w:r w:rsidRPr="00632004">
              <w:t>Bijuva (estradiol and progesterone) oral capsules, 1</w:t>
            </w:r>
            <w:r w:rsidR="0083488D">
              <w:t> </w:t>
            </w:r>
            <w:r w:rsidRPr="00632004">
              <w:t>mg/100</w:t>
            </w:r>
            <w:r w:rsidR="0083488D">
              <w:t> </w:t>
            </w:r>
            <w:r w:rsidRPr="00632004">
              <w:t>mg</w:t>
            </w:r>
          </w:p>
        </w:tc>
      </w:tr>
      <w:tr w:rsidR="001128B2" w:rsidRPr="00A20754" w14:paraId="7FA36A4B" w14:textId="77777777" w:rsidTr="00FF3A6A">
        <w:trPr>
          <w:trHeight w:val="255"/>
        </w:trPr>
        <w:tc>
          <w:tcPr>
            <w:tcW w:w="772" w:type="pct"/>
            <w:vAlign w:val="center"/>
          </w:tcPr>
          <w:p w14:paraId="513CCAEE" w14:textId="77777777" w:rsidR="001128B2" w:rsidRPr="0098262F" w:rsidRDefault="001128B2">
            <w:pPr>
              <w:pStyle w:val="TableText0"/>
            </w:pPr>
            <w:r w:rsidRPr="0098262F">
              <w:t>Comparator</w:t>
            </w:r>
          </w:p>
        </w:tc>
        <w:tc>
          <w:tcPr>
            <w:tcW w:w="4228" w:type="pct"/>
            <w:vAlign w:val="center"/>
          </w:tcPr>
          <w:p w14:paraId="2441FC42" w14:textId="77777777" w:rsidR="001128B2" w:rsidRPr="00B26160" w:rsidRDefault="001128B2" w:rsidP="00A12079">
            <w:pPr>
              <w:pStyle w:val="KMC16-Tablecontent"/>
              <w:numPr>
                <w:ilvl w:val="0"/>
                <w:numId w:val="13"/>
              </w:numPr>
              <w:spacing w:before="0" w:after="0"/>
              <w:rPr>
                <w:bCs/>
                <w:lang w:val="en-AU"/>
              </w:rPr>
            </w:pPr>
            <w:r>
              <w:rPr>
                <w:bCs/>
                <w:lang w:val="en-AU"/>
              </w:rPr>
              <w:t>Estrogel</w:t>
            </w:r>
            <w:r w:rsidRPr="003778AE">
              <w:rPr>
                <w:bCs/>
                <w:lang w:val="en-AU"/>
              </w:rPr>
              <w:t xml:space="preserve"> </w:t>
            </w:r>
            <w:r>
              <w:rPr>
                <w:bCs/>
                <w:lang w:val="en-AU"/>
              </w:rPr>
              <w:t>0.06%</w:t>
            </w:r>
            <w:r w:rsidRPr="003778AE">
              <w:rPr>
                <w:bCs/>
                <w:lang w:val="en-AU"/>
              </w:rPr>
              <w:t xml:space="preserve"> (estradiol</w:t>
            </w:r>
            <w:r>
              <w:rPr>
                <w:bCs/>
                <w:lang w:val="en-AU"/>
              </w:rPr>
              <w:t xml:space="preserve"> hemihydrate</w:t>
            </w:r>
            <w:r w:rsidRPr="003778AE">
              <w:rPr>
                <w:bCs/>
                <w:lang w:val="en-AU"/>
              </w:rPr>
              <w:t>)</w:t>
            </w:r>
            <w:r>
              <w:rPr>
                <w:bCs/>
                <w:lang w:val="en-AU"/>
              </w:rPr>
              <w:t xml:space="preserve"> gel pump pack</w:t>
            </w:r>
          </w:p>
          <w:p w14:paraId="127723C1" w14:textId="18C40517" w:rsidR="001128B2" w:rsidRPr="00A20754" w:rsidRDefault="001128B2" w:rsidP="00A12079">
            <w:pPr>
              <w:pStyle w:val="TableText0"/>
              <w:numPr>
                <w:ilvl w:val="0"/>
                <w:numId w:val="13"/>
              </w:numPr>
              <w:rPr>
                <w:lang w:val="it-IT"/>
              </w:rPr>
            </w:pPr>
            <w:r w:rsidRPr="00B96DD3">
              <w:rPr>
                <w:lang w:val="it-IT"/>
              </w:rPr>
              <w:t>Prometrium 100</w:t>
            </w:r>
            <w:r w:rsidR="00525D1B">
              <w:rPr>
                <w:lang w:val="it-IT"/>
              </w:rPr>
              <w:t> </w:t>
            </w:r>
            <w:r w:rsidRPr="00B96DD3">
              <w:rPr>
                <w:lang w:val="it-IT"/>
              </w:rPr>
              <w:t>mg (progesterone) oral capsules</w:t>
            </w:r>
          </w:p>
        </w:tc>
      </w:tr>
      <w:tr w:rsidR="001128B2" w:rsidRPr="0098262F" w14:paraId="7A987A54" w14:textId="77777777" w:rsidTr="00FF3A6A">
        <w:tc>
          <w:tcPr>
            <w:tcW w:w="772" w:type="pct"/>
            <w:vAlign w:val="center"/>
          </w:tcPr>
          <w:p w14:paraId="3B31AE84" w14:textId="77777777" w:rsidR="001128B2" w:rsidRPr="0098262F" w:rsidRDefault="001128B2">
            <w:pPr>
              <w:pStyle w:val="TableText0"/>
            </w:pPr>
            <w:r w:rsidRPr="0098262F">
              <w:t>Outcomes</w:t>
            </w:r>
          </w:p>
        </w:tc>
        <w:tc>
          <w:tcPr>
            <w:tcW w:w="4228" w:type="pct"/>
            <w:vAlign w:val="center"/>
          </w:tcPr>
          <w:p w14:paraId="7C00CDC0" w14:textId="77777777" w:rsidR="001128B2" w:rsidRDefault="001128B2">
            <w:pPr>
              <w:rPr>
                <w:rFonts w:ascii="Arial Narrow" w:hAnsi="Arial Narrow"/>
                <w:bCs/>
                <w:sz w:val="20"/>
                <w:szCs w:val="20"/>
              </w:rPr>
            </w:pPr>
            <w:r w:rsidRPr="00643590">
              <w:rPr>
                <w:rFonts w:ascii="Arial Narrow" w:hAnsi="Arial Narrow"/>
                <w:bCs/>
                <w:sz w:val="20"/>
                <w:szCs w:val="20"/>
              </w:rPr>
              <w:t>Primary</w:t>
            </w:r>
            <w:r>
              <w:rPr>
                <w:rFonts w:ascii="Arial Narrow" w:hAnsi="Arial Narrow"/>
                <w:bCs/>
                <w:sz w:val="20"/>
                <w:szCs w:val="20"/>
              </w:rPr>
              <w:t>:</w:t>
            </w:r>
          </w:p>
          <w:p w14:paraId="45E229BF" w14:textId="77777777" w:rsidR="001128B2" w:rsidRPr="004F50C2" w:rsidRDefault="001128B2" w:rsidP="00A12079">
            <w:pPr>
              <w:pStyle w:val="ListParagraph"/>
              <w:numPr>
                <w:ilvl w:val="0"/>
                <w:numId w:val="12"/>
              </w:numPr>
              <w:contextualSpacing/>
              <w:rPr>
                <w:rFonts w:ascii="Arial Narrow" w:hAnsi="Arial Narrow"/>
                <w:bCs/>
                <w:sz w:val="20"/>
                <w:szCs w:val="20"/>
              </w:rPr>
            </w:pPr>
            <w:r w:rsidRPr="004F50C2">
              <w:rPr>
                <w:rFonts w:ascii="Arial Narrow" w:hAnsi="Arial Narrow"/>
                <w:bCs/>
                <w:sz w:val="20"/>
                <w:szCs w:val="20"/>
              </w:rPr>
              <w:t>Reduction in frequency of moderate to severe VMS at Week 4 and Week 12</w:t>
            </w:r>
          </w:p>
          <w:p w14:paraId="10686CEA" w14:textId="77777777" w:rsidR="001128B2" w:rsidRPr="004F50C2" w:rsidRDefault="001128B2" w:rsidP="00A12079">
            <w:pPr>
              <w:pStyle w:val="ListParagraph"/>
              <w:numPr>
                <w:ilvl w:val="0"/>
                <w:numId w:val="12"/>
              </w:numPr>
              <w:contextualSpacing/>
              <w:rPr>
                <w:rFonts w:ascii="Arial Narrow" w:hAnsi="Arial Narrow"/>
                <w:bCs/>
                <w:sz w:val="20"/>
                <w:szCs w:val="20"/>
              </w:rPr>
            </w:pPr>
            <w:r w:rsidRPr="004F50C2">
              <w:rPr>
                <w:rFonts w:ascii="Arial Narrow" w:hAnsi="Arial Narrow"/>
                <w:bCs/>
                <w:sz w:val="20"/>
                <w:szCs w:val="20"/>
              </w:rPr>
              <w:t>Reduction in severity of moderate to severe VMS at Week 4 and Week 12</w:t>
            </w:r>
          </w:p>
          <w:p w14:paraId="11270F66" w14:textId="77777777" w:rsidR="001128B2" w:rsidRPr="004F50C2" w:rsidRDefault="001128B2" w:rsidP="00A12079">
            <w:pPr>
              <w:pStyle w:val="ListParagraph"/>
              <w:numPr>
                <w:ilvl w:val="0"/>
                <w:numId w:val="12"/>
              </w:numPr>
              <w:spacing w:after="0"/>
              <w:contextualSpacing/>
              <w:rPr>
                <w:rFonts w:ascii="Arial Narrow" w:hAnsi="Arial Narrow"/>
                <w:bCs/>
                <w:sz w:val="20"/>
                <w:szCs w:val="20"/>
              </w:rPr>
            </w:pPr>
            <w:r w:rsidRPr="004F50C2">
              <w:rPr>
                <w:rFonts w:ascii="Arial Narrow" w:hAnsi="Arial Narrow"/>
                <w:bCs/>
                <w:sz w:val="20"/>
                <w:szCs w:val="20"/>
              </w:rPr>
              <w:t>Endometrial safety (incidence of endometrial hyperplasia at 12 months)</w:t>
            </w:r>
          </w:p>
          <w:p w14:paraId="22866CFC" w14:textId="77777777" w:rsidR="001128B2" w:rsidRDefault="001128B2">
            <w:pPr>
              <w:rPr>
                <w:rFonts w:ascii="Arial Narrow" w:hAnsi="Arial Narrow"/>
                <w:bCs/>
                <w:sz w:val="20"/>
                <w:szCs w:val="20"/>
              </w:rPr>
            </w:pPr>
            <w:r>
              <w:rPr>
                <w:rFonts w:ascii="Arial Narrow" w:hAnsi="Arial Narrow"/>
                <w:bCs/>
                <w:sz w:val="20"/>
                <w:szCs w:val="20"/>
              </w:rPr>
              <w:t>Secondary:</w:t>
            </w:r>
          </w:p>
          <w:p w14:paraId="1A0FCA7A" w14:textId="77777777" w:rsidR="001128B2" w:rsidRPr="004F50C2" w:rsidRDefault="001128B2" w:rsidP="00A12079">
            <w:pPr>
              <w:pStyle w:val="ListParagraph"/>
              <w:numPr>
                <w:ilvl w:val="0"/>
                <w:numId w:val="11"/>
              </w:numPr>
              <w:contextualSpacing/>
              <w:rPr>
                <w:rFonts w:ascii="Arial Narrow" w:hAnsi="Arial Narrow"/>
                <w:bCs/>
                <w:sz w:val="20"/>
                <w:szCs w:val="20"/>
              </w:rPr>
            </w:pPr>
            <w:r w:rsidRPr="004F50C2">
              <w:rPr>
                <w:rFonts w:ascii="Arial Narrow" w:hAnsi="Arial Narrow"/>
                <w:bCs/>
                <w:sz w:val="20"/>
                <w:szCs w:val="20"/>
              </w:rPr>
              <w:t>Quality of life improvements (MENQOL)</w:t>
            </w:r>
          </w:p>
          <w:p w14:paraId="6AD7765F" w14:textId="77777777" w:rsidR="001128B2" w:rsidRDefault="001128B2" w:rsidP="00A12079">
            <w:pPr>
              <w:pStyle w:val="ListParagraph"/>
              <w:numPr>
                <w:ilvl w:val="0"/>
                <w:numId w:val="11"/>
              </w:numPr>
              <w:contextualSpacing/>
              <w:rPr>
                <w:rFonts w:ascii="Arial Narrow" w:hAnsi="Arial Narrow"/>
                <w:bCs/>
                <w:sz w:val="20"/>
                <w:szCs w:val="20"/>
              </w:rPr>
            </w:pPr>
            <w:r w:rsidRPr="004F50C2">
              <w:rPr>
                <w:rFonts w:ascii="Arial Narrow" w:hAnsi="Arial Narrow"/>
                <w:bCs/>
                <w:sz w:val="20"/>
                <w:szCs w:val="20"/>
              </w:rPr>
              <w:t>Sleep quality improvements (MOS-Sleep Scale)</w:t>
            </w:r>
          </w:p>
          <w:p w14:paraId="66E5025C" w14:textId="69B7054F" w:rsidR="001128B2" w:rsidRPr="003802EA" w:rsidRDefault="003802EA" w:rsidP="003802EA">
            <w:pPr>
              <w:pStyle w:val="ListParagraph"/>
              <w:numPr>
                <w:ilvl w:val="0"/>
                <w:numId w:val="11"/>
              </w:numPr>
              <w:spacing w:after="0"/>
              <w:contextualSpacing/>
              <w:rPr>
                <w:rFonts w:ascii="Arial Narrow" w:hAnsi="Arial Narrow"/>
                <w:bCs/>
                <w:sz w:val="20"/>
                <w:szCs w:val="20"/>
              </w:rPr>
            </w:pPr>
            <w:r>
              <w:rPr>
                <w:rFonts w:ascii="Arial Narrow" w:hAnsi="Arial Narrow"/>
                <w:bCs/>
                <w:sz w:val="20"/>
                <w:szCs w:val="20"/>
              </w:rPr>
              <w:t>Overall safety and tolerability</w:t>
            </w:r>
          </w:p>
        </w:tc>
      </w:tr>
      <w:tr w:rsidR="001128B2" w:rsidRPr="0098262F" w14:paraId="45EBB453" w14:textId="77777777" w:rsidTr="00FF3A6A">
        <w:tc>
          <w:tcPr>
            <w:tcW w:w="772" w:type="pct"/>
            <w:vAlign w:val="center"/>
          </w:tcPr>
          <w:p w14:paraId="4699F2D5" w14:textId="77777777" w:rsidR="001128B2" w:rsidRPr="0098262F" w:rsidRDefault="001128B2">
            <w:pPr>
              <w:pStyle w:val="TableText0"/>
            </w:pPr>
            <w:r w:rsidRPr="0098262F">
              <w:t>Clinical claim</w:t>
            </w:r>
          </w:p>
        </w:tc>
        <w:tc>
          <w:tcPr>
            <w:tcW w:w="4228" w:type="pct"/>
          </w:tcPr>
          <w:p w14:paraId="1B05BB36" w14:textId="3512FE1F" w:rsidR="001128B2" w:rsidRPr="0098262F" w:rsidRDefault="001128B2">
            <w:pPr>
              <w:pStyle w:val="TableText0"/>
            </w:pPr>
            <w:r w:rsidRPr="005F5924">
              <w:t xml:space="preserve">Bijuva </w:t>
            </w:r>
            <w:r>
              <w:t xml:space="preserve">(combination estradiol-progesterone oral capsules) </w:t>
            </w:r>
            <w:r w:rsidRPr="005F5924">
              <w:t xml:space="preserve">is non-inferior to </w:t>
            </w:r>
            <w:r>
              <w:t>Estrogel</w:t>
            </w:r>
            <w:r w:rsidRPr="005F5924">
              <w:t xml:space="preserve"> in treating estrogen</w:t>
            </w:r>
            <w:r>
              <w:t xml:space="preserve"> </w:t>
            </w:r>
            <w:r w:rsidRPr="005F5924">
              <w:t>deficiency symptoms in postmenopausal women, based on indirect comparison methodology</w:t>
            </w:r>
          </w:p>
        </w:tc>
      </w:tr>
    </w:tbl>
    <w:p w14:paraId="7E71A658" w14:textId="246476AA" w:rsidR="001128B2" w:rsidRDefault="001128B2" w:rsidP="001128B2">
      <w:pPr>
        <w:pStyle w:val="FooterTableFigure"/>
      </w:pPr>
      <w:r w:rsidRPr="0098262F">
        <w:t>Source: Table</w:t>
      </w:r>
      <w:r>
        <w:t xml:space="preserve"> 1-2,</w:t>
      </w:r>
      <w:r w:rsidRPr="0098262F">
        <w:t xml:space="preserve"> p</w:t>
      </w:r>
      <w:r>
        <w:t xml:space="preserve">15 </w:t>
      </w:r>
      <w:r w:rsidRPr="0098262F">
        <w:t>of the submission</w:t>
      </w:r>
      <w:r>
        <w:t xml:space="preserve"> main body.</w:t>
      </w:r>
    </w:p>
    <w:p w14:paraId="69078822" w14:textId="77777777" w:rsidR="001128B2" w:rsidRDefault="001128B2" w:rsidP="001128B2">
      <w:pPr>
        <w:pStyle w:val="FooterTableFigure"/>
      </w:pPr>
      <w:r>
        <w:t>MENQOL = Menopause-specific Quality of Life Questionnaire, MOS = Medical Outcomes Study; VMS = vasomotor symptoms.</w:t>
      </w:r>
    </w:p>
    <w:p w14:paraId="6B4AB6C2" w14:textId="7F01D731" w:rsidR="005C25FF" w:rsidRPr="0098262F" w:rsidRDefault="005C25FF" w:rsidP="004A6040">
      <w:pPr>
        <w:pStyle w:val="2-SectionHeading"/>
      </w:pPr>
      <w:bookmarkStart w:id="2" w:name="_Toc208998227"/>
      <w:r w:rsidRPr="0098262F">
        <w:t>Background</w:t>
      </w:r>
      <w:bookmarkEnd w:id="2"/>
    </w:p>
    <w:p w14:paraId="2C521D6D" w14:textId="78CF03EE" w:rsidR="005C25FF" w:rsidRPr="0098262F" w:rsidRDefault="005C25FF" w:rsidP="004A6040">
      <w:pPr>
        <w:pStyle w:val="4-SubsectionHeading"/>
      </w:pPr>
      <w:bookmarkStart w:id="3" w:name="_Toc22897638"/>
      <w:bookmarkStart w:id="4" w:name="_Toc208998228"/>
      <w:r w:rsidRPr="0098262F">
        <w:t>Registration status</w:t>
      </w:r>
      <w:bookmarkEnd w:id="3"/>
      <w:bookmarkEnd w:id="4"/>
    </w:p>
    <w:p w14:paraId="26FB2E29" w14:textId="39DF258E" w:rsidR="00985922" w:rsidRDefault="00985922" w:rsidP="004E18E9">
      <w:pPr>
        <w:pStyle w:val="3-BodyText"/>
      </w:pPr>
      <w:r w:rsidRPr="00985922">
        <w:t xml:space="preserve">Bijuva was Therapeutic Goods Administration (TGA) registered on </w:t>
      </w:r>
      <w:r w:rsidR="003A2230">
        <w:t>3</w:t>
      </w:r>
      <w:r w:rsidR="003A2230" w:rsidRPr="00985922">
        <w:t xml:space="preserve"> </w:t>
      </w:r>
      <w:r w:rsidR="003A2230">
        <w:t>May</w:t>
      </w:r>
      <w:r w:rsidR="003A2230" w:rsidRPr="00985922">
        <w:t xml:space="preserve"> </w:t>
      </w:r>
      <w:r w:rsidRPr="00985922">
        <w:t>2022 for continuous combined hormone replacement therapy for estrogen deficiency symptoms in postmenopausal women with an intact uterus and with at least 12</w:t>
      </w:r>
      <w:r w:rsidR="004609E3">
        <w:t> </w:t>
      </w:r>
      <w:r w:rsidRPr="00985922">
        <w:t>months since last menses.</w:t>
      </w:r>
    </w:p>
    <w:p w14:paraId="21264339" w14:textId="77777777" w:rsidR="003576E1" w:rsidRDefault="003576E1" w:rsidP="003576E1">
      <w:pPr>
        <w:pStyle w:val="3-BodyText"/>
        <w:numPr>
          <w:ilvl w:val="0"/>
          <w:numId w:val="0"/>
        </w:numPr>
        <w:ind w:left="720"/>
      </w:pPr>
    </w:p>
    <w:p w14:paraId="6E77D398" w14:textId="42852028" w:rsidR="00381265" w:rsidRPr="002761AF" w:rsidRDefault="002761AF" w:rsidP="005B5554">
      <w:pPr>
        <w:pStyle w:val="3-BodyText"/>
        <w:keepNext/>
        <w:keepLines/>
        <w:numPr>
          <w:ilvl w:val="0"/>
          <w:numId w:val="0"/>
        </w:numPr>
        <w:rPr>
          <w:rFonts w:eastAsiaTheme="majorEastAsia" w:cstheme="majorBidi"/>
          <w:b/>
          <w:i/>
          <w:color w:val="000000" w:themeColor="text1"/>
          <w:spacing w:val="5"/>
          <w:kern w:val="28"/>
          <w:sz w:val="28"/>
          <w:szCs w:val="36"/>
          <w:lang w:eastAsia="en-US"/>
        </w:rPr>
      </w:pPr>
      <w:r w:rsidRPr="002761AF">
        <w:rPr>
          <w:rFonts w:eastAsiaTheme="majorEastAsia" w:cstheme="majorBidi"/>
          <w:b/>
          <w:i/>
          <w:color w:val="000000" w:themeColor="text1"/>
          <w:spacing w:val="5"/>
          <w:kern w:val="28"/>
          <w:sz w:val="28"/>
          <w:szCs w:val="36"/>
          <w:lang w:eastAsia="en-US"/>
        </w:rPr>
        <w:lastRenderedPageBreak/>
        <w:t>Senate inquiry into the issues related to menopause and perimenopause</w:t>
      </w:r>
    </w:p>
    <w:p w14:paraId="20D61E6D" w14:textId="04E537CA" w:rsidR="002761AF" w:rsidRDefault="00753500" w:rsidP="005B5554">
      <w:pPr>
        <w:pStyle w:val="3-BodyText"/>
        <w:keepNext/>
        <w:keepLines/>
        <w:rPr>
          <w:lang w:eastAsia="en-US"/>
        </w:rPr>
      </w:pPr>
      <w:bookmarkStart w:id="5" w:name="_Ref207724486"/>
      <w:r>
        <w:rPr>
          <w:lang w:eastAsia="en-US"/>
        </w:rPr>
        <w:t>The submission</w:t>
      </w:r>
      <w:r w:rsidR="00A77A51">
        <w:rPr>
          <w:lang w:eastAsia="en-US"/>
        </w:rPr>
        <w:t xml:space="preserve"> claimed that listing Bijuva on the </w:t>
      </w:r>
      <w:r w:rsidR="0068751E">
        <w:rPr>
          <w:lang w:eastAsia="en-US"/>
        </w:rPr>
        <w:t>Pharmaceutical Benefits Scheme (</w:t>
      </w:r>
      <w:r w:rsidR="00A77A51">
        <w:rPr>
          <w:lang w:eastAsia="en-US"/>
        </w:rPr>
        <w:t>PBS</w:t>
      </w:r>
      <w:r w:rsidR="0068751E">
        <w:rPr>
          <w:lang w:eastAsia="en-US"/>
        </w:rPr>
        <w:t>)</w:t>
      </w:r>
      <w:r w:rsidR="00A77A51">
        <w:rPr>
          <w:lang w:eastAsia="en-US"/>
        </w:rPr>
        <w:t xml:space="preserve"> </w:t>
      </w:r>
      <w:r w:rsidR="002B52E5">
        <w:rPr>
          <w:lang w:eastAsia="en-US"/>
        </w:rPr>
        <w:t>would address the terms of the Senate inquiry</w:t>
      </w:r>
      <w:r w:rsidR="004A1685">
        <w:rPr>
          <w:rStyle w:val="FootnoteReference"/>
          <w:lang w:eastAsia="en-US"/>
        </w:rPr>
        <w:footnoteReference w:id="1"/>
      </w:r>
      <w:r w:rsidR="002B52E5">
        <w:rPr>
          <w:lang w:eastAsia="en-US"/>
        </w:rPr>
        <w:t xml:space="preserve"> into the issues </w:t>
      </w:r>
      <w:r w:rsidR="005C7234">
        <w:rPr>
          <w:lang w:eastAsia="en-US"/>
        </w:rPr>
        <w:t>related</w:t>
      </w:r>
      <w:r w:rsidR="002B52E5">
        <w:rPr>
          <w:lang w:eastAsia="en-US"/>
        </w:rPr>
        <w:t xml:space="preserve"> to </w:t>
      </w:r>
      <w:r w:rsidR="005C7234">
        <w:rPr>
          <w:lang w:eastAsia="en-US"/>
        </w:rPr>
        <w:t>menopause</w:t>
      </w:r>
      <w:r w:rsidR="002B52E5">
        <w:rPr>
          <w:lang w:eastAsia="en-US"/>
        </w:rPr>
        <w:t xml:space="preserve"> and perimenopause, </w:t>
      </w:r>
      <w:r w:rsidR="005C7234">
        <w:rPr>
          <w:lang w:eastAsia="en-US"/>
        </w:rPr>
        <w:t>highlighting</w:t>
      </w:r>
      <w:r w:rsidR="00F31293">
        <w:rPr>
          <w:lang w:eastAsia="en-US"/>
        </w:rPr>
        <w:t xml:space="preserve"> the</w:t>
      </w:r>
      <w:r>
        <w:rPr>
          <w:lang w:eastAsia="en-US"/>
        </w:rPr>
        <w:t xml:space="preserve"> following recommendations</w:t>
      </w:r>
      <w:r w:rsidR="00391B21">
        <w:rPr>
          <w:lang w:eastAsia="en-US"/>
        </w:rPr>
        <w:t xml:space="preserve"> </w:t>
      </w:r>
      <w:r>
        <w:rPr>
          <w:lang w:eastAsia="en-US"/>
        </w:rPr>
        <w:t>from the inquiry report</w:t>
      </w:r>
      <w:r w:rsidR="00F31293">
        <w:rPr>
          <w:lang w:eastAsia="en-US"/>
        </w:rPr>
        <w:t xml:space="preserve"> as relevant to this submission</w:t>
      </w:r>
      <w:r>
        <w:rPr>
          <w:lang w:eastAsia="en-US"/>
        </w:rPr>
        <w:t>:</w:t>
      </w:r>
      <w:bookmarkEnd w:id="5"/>
      <w:r>
        <w:rPr>
          <w:lang w:eastAsia="en-US"/>
        </w:rPr>
        <w:t xml:space="preserve"> </w:t>
      </w:r>
    </w:p>
    <w:p w14:paraId="116E4A61" w14:textId="702F077B" w:rsidR="00491A88" w:rsidRDefault="00491A88" w:rsidP="00491A88">
      <w:pPr>
        <w:pStyle w:val="ListParagraph"/>
        <w:jc w:val="both"/>
        <w:rPr>
          <w:lang w:eastAsia="en-US"/>
        </w:rPr>
      </w:pPr>
      <w:r>
        <w:rPr>
          <w:lang w:eastAsia="en-US"/>
        </w:rPr>
        <w:t xml:space="preserve">Recommendation 16: The committee recommends that the Department of Health and Aged Care, including the </w:t>
      </w:r>
      <w:r w:rsidR="00E80077">
        <w:rPr>
          <w:lang w:eastAsia="en-US"/>
        </w:rPr>
        <w:t>TGA</w:t>
      </w:r>
      <w:r>
        <w:rPr>
          <w:lang w:eastAsia="en-US"/>
        </w:rPr>
        <w:t>, consider action to address the shortages of menopause hormonal therapy (MHT) in the Australian market and consider options to secure sufficient supply, including a review of the supply chains and pricing trends of MHT, with a view to enabling universal affordable access to treatment and care.</w:t>
      </w:r>
    </w:p>
    <w:p w14:paraId="4F281E1D" w14:textId="77777777" w:rsidR="00491A88" w:rsidRDefault="00491A88" w:rsidP="00491A88">
      <w:pPr>
        <w:pStyle w:val="ListParagraph"/>
        <w:jc w:val="both"/>
        <w:rPr>
          <w:lang w:eastAsia="en-US"/>
        </w:rPr>
      </w:pPr>
      <w:r>
        <w:rPr>
          <w:lang w:eastAsia="en-US"/>
        </w:rPr>
        <w:t>Recommendation 18: The committee recommends that the Australian Government examine options to implement a means of ensuring that MHT items are affordable and accessible, including consideration of domestic manufacturing and alternate means of subsidising costs to the consumer. Such examination should include, but not be limited to, considering ways to encourage pharmaceutical sponsors to list a broader range of MHT items, such as body identical hormone therapy products, on the Pharmaceutical Benefits Scheme to ensure appropriate access and lowered costs for all women who need it.</w:t>
      </w:r>
    </w:p>
    <w:p w14:paraId="3423F5D0" w14:textId="1DF2D727" w:rsidR="00491A88" w:rsidRPr="002761AF" w:rsidRDefault="00491A88" w:rsidP="00491A88">
      <w:pPr>
        <w:pStyle w:val="ListParagraph"/>
        <w:jc w:val="both"/>
        <w:rPr>
          <w:lang w:eastAsia="en-US"/>
        </w:rPr>
      </w:pPr>
      <w:r>
        <w:rPr>
          <w:lang w:eastAsia="en-US"/>
        </w:rPr>
        <w:t>Recommendation 19: The committee recommends that the Pharmaceutical Benefits Advisory Committee (PBAC) reform</w:t>
      </w:r>
      <w:r w:rsidR="00340872">
        <w:rPr>
          <w:lang w:eastAsia="en-US"/>
        </w:rPr>
        <w:t>s</w:t>
      </w:r>
      <w:r>
        <w:rPr>
          <w:lang w:eastAsia="en-US"/>
        </w:rPr>
        <w:t xml:space="preserve"> comparator selection during evaluation of new MHT items to include quality of life health impacts. The committee also recommends that the PBAC regards body identical hormone therapy products in a separate drug class to remove the lowest cost comparator to synthetic therapies.</w:t>
      </w:r>
    </w:p>
    <w:p w14:paraId="469C27F9" w14:textId="77777777" w:rsidR="00EE0A2F" w:rsidRDefault="00EE0A2F" w:rsidP="00EE0A2F">
      <w:pPr>
        <w:pStyle w:val="3-BodyText"/>
        <w:numPr>
          <w:ilvl w:val="0"/>
          <w:numId w:val="0"/>
        </w:numPr>
        <w:rPr>
          <w:rFonts w:eastAsiaTheme="majorEastAsia" w:cstheme="majorBidi"/>
          <w:b/>
          <w:i/>
          <w:color w:val="000000" w:themeColor="text1"/>
          <w:spacing w:val="5"/>
          <w:kern w:val="28"/>
          <w:sz w:val="28"/>
          <w:szCs w:val="36"/>
          <w:lang w:eastAsia="en-US"/>
        </w:rPr>
      </w:pPr>
      <w:r w:rsidRPr="00EE0A2F">
        <w:rPr>
          <w:rFonts w:eastAsiaTheme="majorEastAsia" w:cstheme="majorBidi"/>
          <w:b/>
          <w:i/>
          <w:color w:val="000000" w:themeColor="text1"/>
          <w:spacing w:val="5"/>
          <w:kern w:val="28"/>
          <w:sz w:val="28"/>
          <w:szCs w:val="36"/>
          <w:lang w:eastAsia="en-US"/>
        </w:rPr>
        <w:t>National Women’s Health Strategy 2020-2030</w:t>
      </w:r>
    </w:p>
    <w:p w14:paraId="7037F48F" w14:textId="77777777" w:rsidR="00DE2F83" w:rsidRDefault="00EE0A2F" w:rsidP="00EE0A2F">
      <w:pPr>
        <w:pStyle w:val="3-BodyText"/>
      </w:pPr>
      <w:r w:rsidRPr="00EE0A2F">
        <w:t>The submission referred to the National Women’s Health Strategy 2020-2030</w:t>
      </w:r>
      <w:r>
        <w:rPr>
          <w:rStyle w:val="FootnoteReference"/>
        </w:rPr>
        <w:footnoteReference w:id="2"/>
      </w:r>
      <w:r w:rsidRPr="00EE0A2F">
        <w:t>, and</w:t>
      </w:r>
      <w:r w:rsidR="00DE2F83">
        <w:t xml:space="preserve"> </w:t>
      </w:r>
      <w:r w:rsidRPr="00EE0A2F">
        <w:t xml:space="preserve">stated that listing </w:t>
      </w:r>
      <w:r w:rsidR="00DE2F83">
        <w:t xml:space="preserve">Bijuva </w:t>
      </w:r>
      <w:r w:rsidRPr="00EE0A2F">
        <w:t>on the PBS would align with</w:t>
      </w:r>
      <w:r w:rsidR="00DE2F83">
        <w:t xml:space="preserve"> </w:t>
      </w:r>
      <w:r w:rsidRPr="00EE0A2F">
        <w:t>the following priority areas:</w:t>
      </w:r>
    </w:p>
    <w:p w14:paraId="6860A118" w14:textId="05CF1F93" w:rsidR="00DE2F83" w:rsidRDefault="00EE0A2F" w:rsidP="005A732F">
      <w:pPr>
        <w:pStyle w:val="ListParagraph"/>
        <w:jc w:val="both"/>
      </w:pPr>
      <w:r w:rsidRPr="00EE0A2F">
        <w:t>Priority area 1 action</w:t>
      </w:r>
      <w:r w:rsidR="005D635E">
        <w:t>:</w:t>
      </w:r>
      <w:r w:rsidRPr="00EE0A2F">
        <w:t xml:space="preserve"> Remove barriers to support equitable access to timely,</w:t>
      </w:r>
      <w:r w:rsidR="00DE2F83">
        <w:t xml:space="preserve"> </w:t>
      </w:r>
      <w:r w:rsidRPr="00EE0A2F">
        <w:t>appropriate and affordable care for all women, including culturally and</w:t>
      </w:r>
      <w:r w:rsidR="00DE2F83">
        <w:t xml:space="preserve"> </w:t>
      </w:r>
      <w:r w:rsidRPr="00EE0A2F">
        <w:t>linguistically sensitive and safe care.</w:t>
      </w:r>
    </w:p>
    <w:p w14:paraId="346A382C" w14:textId="43717438" w:rsidR="00EE0A2F" w:rsidRDefault="00EE0A2F" w:rsidP="005A732F">
      <w:pPr>
        <w:pStyle w:val="ListParagraph"/>
        <w:jc w:val="both"/>
      </w:pPr>
      <w:r w:rsidRPr="00EE0A2F">
        <w:t>Priority area 2 action</w:t>
      </w:r>
      <w:r w:rsidR="00B63B2D">
        <w:t>:</w:t>
      </w:r>
      <w:r w:rsidRPr="00EE0A2F">
        <w:t xml:space="preserve"> Support women and their health care providers to manage</w:t>
      </w:r>
      <w:r w:rsidR="00DE2F83">
        <w:t xml:space="preserve"> </w:t>
      </w:r>
      <w:r w:rsidRPr="00EE0A2F">
        <w:t>the effects of menopause.</w:t>
      </w:r>
    </w:p>
    <w:p w14:paraId="4D9430DA" w14:textId="41536287" w:rsidR="00221E22" w:rsidRDefault="00F1552A" w:rsidP="00221E22">
      <w:pPr>
        <w:pStyle w:val="3-BodyText"/>
      </w:pPr>
      <w:r w:rsidRPr="006868CB">
        <w:lastRenderedPageBreak/>
        <w:t xml:space="preserve">The Pre-Sub-Committee Response (PSCR) claimed that the proposed listing of Bijuva addresses the unmet need highlighted in the Senate inquiry. </w:t>
      </w:r>
      <w:r w:rsidR="00221E22" w:rsidRPr="006868CB">
        <w:t>The PSCR</w:t>
      </w:r>
      <w:r w:rsidR="007B7752" w:rsidRPr="006868CB">
        <w:t xml:space="preserve"> </w:t>
      </w:r>
      <w:r w:rsidR="00507CDC" w:rsidRPr="006868CB">
        <w:t xml:space="preserve"> </w:t>
      </w:r>
      <w:r w:rsidR="008270C9" w:rsidRPr="006868CB">
        <w:t>stated</w:t>
      </w:r>
      <w:r w:rsidR="007B7752" w:rsidRPr="006868CB">
        <w:t xml:space="preserve"> that Bijuva provides a</w:t>
      </w:r>
      <w:r w:rsidR="008270C9" w:rsidRPr="006868CB">
        <w:t xml:space="preserve">n additional bioidentical </w:t>
      </w:r>
      <w:r w:rsidR="00337BA6" w:rsidRPr="006868CB">
        <w:t xml:space="preserve">MHT </w:t>
      </w:r>
      <w:r w:rsidR="008270C9" w:rsidRPr="006868CB">
        <w:t xml:space="preserve">option to Estrogel </w:t>
      </w:r>
      <w:proofErr w:type="gramStart"/>
      <w:r w:rsidR="008270C9" w:rsidRPr="006868CB">
        <w:t>Pro, and</w:t>
      </w:r>
      <w:proofErr w:type="gramEnd"/>
      <w:r w:rsidR="00221E22" w:rsidRPr="006868CB">
        <w:t xml:space="preserve"> </w:t>
      </w:r>
      <w:r w:rsidR="00341F32" w:rsidRPr="006868CB">
        <w:t xml:space="preserve">claimed that listing Bijuva on the PBS </w:t>
      </w:r>
      <w:r w:rsidR="007B7752" w:rsidRPr="006868CB">
        <w:t xml:space="preserve">will allow </w:t>
      </w:r>
      <w:r w:rsidR="00BD30A8" w:rsidRPr="006868CB">
        <w:t xml:space="preserve">for </w:t>
      </w:r>
      <w:r w:rsidR="007B7752" w:rsidRPr="006868CB">
        <w:t>better individualised treatment</w:t>
      </w:r>
      <w:r w:rsidR="006661FF" w:rsidRPr="006868CB">
        <w:t xml:space="preserve"> which cannot be achieved with only one treatment</w:t>
      </w:r>
      <w:r w:rsidR="00BD30A8" w:rsidRPr="006868CB">
        <w:t xml:space="preserve"> option available</w:t>
      </w:r>
      <w:r w:rsidR="006661FF" w:rsidRPr="006868CB">
        <w:t xml:space="preserve">. </w:t>
      </w:r>
      <w:r w:rsidR="00BD30A8" w:rsidRPr="006868CB">
        <w:t>The evaluation noted that a</w:t>
      </w:r>
      <w:r w:rsidR="006661FF" w:rsidRPr="006868CB">
        <w:t>lthough Estrogel Pro is a bioi</w:t>
      </w:r>
      <w:r w:rsidR="00337BA6" w:rsidRPr="006868CB">
        <w:t>dentical MHT listed on the PBS, there are also other MHT products currently PBS-listed</w:t>
      </w:r>
      <w:r w:rsidR="00ED16E9" w:rsidRPr="006868CB">
        <w:t xml:space="preserve">. </w:t>
      </w:r>
      <w:r w:rsidR="009A16F7" w:rsidRPr="006868CB">
        <w:t>The ESC agreed there was a potential unmet n</w:t>
      </w:r>
      <w:r w:rsidR="00AC57FA" w:rsidRPr="006868CB">
        <w:t xml:space="preserve">eed with </w:t>
      </w:r>
      <w:r w:rsidR="00197265" w:rsidRPr="006868CB">
        <w:t xml:space="preserve">respect to </w:t>
      </w:r>
      <w:r w:rsidR="00AC57FA" w:rsidRPr="006868CB">
        <w:t>access to MHT products, particularly due to</w:t>
      </w:r>
      <w:r w:rsidR="00AB04AE" w:rsidRPr="006868CB">
        <w:t xml:space="preserve"> ongoing</w:t>
      </w:r>
      <w:r w:rsidR="00AC57FA" w:rsidRPr="006868CB">
        <w:t xml:space="preserve"> shortages of other MHT products PBS-listed, </w:t>
      </w:r>
      <w:r w:rsidR="00AB04AE" w:rsidRPr="006868CB">
        <w:t xml:space="preserve">which could </w:t>
      </w:r>
      <w:r w:rsidR="00602AC0" w:rsidRPr="006868CB">
        <w:t xml:space="preserve">also </w:t>
      </w:r>
      <w:r w:rsidR="00AB04AE" w:rsidRPr="006868CB">
        <w:t>impact other MHT products that are PBS-listed.</w:t>
      </w:r>
    </w:p>
    <w:p w14:paraId="739E87C1" w14:textId="096E0CA0" w:rsidR="00463031" w:rsidRPr="00463031" w:rsidRDefault="00463031" w:rsidP="00463031">
      <w:pPr>
        <w:pStyle w:val="3-BodyText"/>
        <w:numPr>
          <w:ilvl w:val="0"/>
          <w:numId w:val="0"/>
        </w:numPr>
        <w:ind w:left="720"/>
        <w:rPr>
          <w:i/>
          <w:iCs/>
        </w:rPr>
      </w:pPr>
      <w:r w:rsidRPr="00463031">
        <w:rPr>
          <w:i/>
          <w:iCs/>
        </w:rPr>
        <w:t>For more detail on PBAC’s view, see section 7 PBAC outcome.</w:t>
      </w:r>
    </w:p>
    <w:p w14:paraId="76E4EF3C" w14:textId="13040F70" w:rsidR="00B60939" w:rsidRPr="0098262F" w:rsidRDefault="00B50DB8" w:rsidP="004E18E9">
      <w:pPr>
        <w:pStyle w:val="2-SectionHeading"/>
      </w:pPr>
      <w:bookmarkStart w:id="6" w:name="_Toc107902078"/>
      <w:bookmarkStart w:id="7" w:name="_Toc208998229"/>
      <w:bookmarkEnd w:id="6"/>
      <w:r w:rsidRPr="0098262F">
        <w:t>Requested listing</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966"/>
        <w:gridCol w:w="1776"/>
        <w:gridCol w:w="812"/>
        <w:gridCol w:w="812"/>
        <w:gridCol w:w="812"/>
        <w:gridCol w:w="1839"/>
      </w:tblGrid>
      <w:tr w:rsidR="00B44606" w:rsidRPr="00B44606" w14:paraId="7FE7B8A0" w14:textId="77777777" w:rsidTr="00FF3A6A">
        <w:trPr>
          <w:cantSplit/>
          <w:trHeight w:val="20"/>
        </w:trPr>
        <w:tc>
          <w:tcPr>
            <w:tcW w:w="1645" w:type="pct"/>
            <w:vAlign w:val="center"/>
          </w:tcPr>
          <w:p w14:paraId="46875D9A" w14:textId="77777777" w:rsidR="00B44606" w:rsidRPr="00B44606" w:rsidRDefault="00B44606" w:rsidP="00B44606">
            <w:pPr>
              <w:keepNext/>
              <w:keepLines/>
              <w:jc w:val="left"/>
              <w:rPr>
                <w:rFonts w:ascii="Arial Narrow" w:hAnsi="Arial Narrow" w:cs="Times New Roman"/>
                <w:b/>
                <w:sz w:val="20"/>
                <w:szCs w:val="20"/>
              </w:rPr>
            </w:pPr>
            <w:r w:rsidRPr="00B44606">
              <w:rPr>
                <w:rFonts w:ascii="Arial Narrow" w:hAnsi="Arial Narrow" w:cs="Times New Roman"/>
                <w:b/>
                <w:sz w:val="20"/>
                <w:szCs w:val="20"/>
              </w:rPr>
              <w:t>MEDICINAL PRODUCT</w:t>
            </w:r>
          </w:p>
          <w:p w14:paraId="521EA4BA" w14:textId="77777777" w:rsidR="00B44606" w:rsidRPr="00B44606" w:rsidRDefault="00B44606" w:rsidP="00B44606">
            <w:pPr>
              <w:keepNext/>
              <w:keepLines/>
              <w:jc w:val="left"/>
              <w:rPr>
                <w:rFonts w:ascii="Arial Narrow" w:hAnsi="Arial Narrow" w:cs="Times New Roman"/>
                <w:b/>
                <w:sz w:val="20"/>
                <w:szCs w:val="20"/>
              </w:rPr>
            </w:pPr>
            <w:r w:rsidRPr="00B44606">
              <w:rPr>
                <w:rFonts w:ascii="Arial Narrow" w:hAnsi="Arial Narrow" w:cs="Times New Roman"/>
                <w:b/>
                <w:sz w:val="20"/>
                <w:szCs w:val="20"/>
              </w:rPr>
              <w:t>medicinal product pack</w:t>
            </w:r>
          </w:p>
        </w:tc>
        <w:tc>
          <w:tcPr>
            <w:tcW w:w="985" w:type="pct"/>
            <w:vAlign w:val="center"/>
          </w:tcPr>
          <w:p w14:paraId="7CA24DDB" w14:textId="77777777" w:rsidR="00B44606" w:rsidRPr="00B44606" w:rsidRDefault="00B44606" w:rsidP="00B44606">
            <w:pPr>
              <w:keepNext/>
              <w:keepLines/>
              <w:jc w:val="center"/>
              <w:rPr>
                <w:rFonts w:ascii="Arial Narrow" w:hAnsi="Arial Narrow" w:cs="Times New Roman"/>
                <w:b/>
                <w:sz w:val="20"/>
                <w:szCs w:val="20"/>
              </w:rPr>
            </w:pPr>
            <w:r w:rsidRPr="00B44606">
              <w:rPr>
                <w:rFonts w:ascii="Arial Narrow" w:hAnsi="Arial Narrow" w:cs="Times New Roman"/>
                <w:b/>
                <w:snapToGrid w:val="0"/>
                <w:sz w:val="20"/>
                <w:szCs w:val="20"/>
              </w:rPr>
              <w:t>Dispensed Price for Max. Qty</w:t>
            </w:r>
          </w:p>
        </w:tc>
        <w:tc>
          <w:tcPr>
            <w:tcW w:w="450" w:type="pct"/>
            <w:vAlign w:val="center"/>
          </w:tcPr>
          <w:p w14:paraId="7991C60A" w14:textId="77777777" w:rsidR="00B44606" w:rsidRPr="00B44606" w:rsidRDefault="00B44606" w:rsidP="00B44606">
            <w:pPr>
              <w:keepNext/>
              <w:keepLines/>
              <w:jc w:val="center"/>
              <w:rPr>
                <w:rFonts w:ascii="Arial Narrow" w:hAnsi="Arial Narrow" w:cs="Times New Roman"/>
                <w:b/>
                <w:sz w:val="20"/>
                <w:szCs w:val="20"/>
              </w:rPr>
            </w:pPr>
            <w:r w:rsidRPr="00B44606">
              <w:rPr>
                <w:rFonts w:ascii="Arial Narrow" w:hAnsi="Arial Narrow" w:cs="Times New Roman"/>
                <w:b/>
                <w:sz w:val="20"/>
                <w:szCs w:val="20"/>
              </w:rPr>
              <w:t>Max. qty packs</w:t>
            </w:r>
          </w:p>
        </w:tc>
        <w:tc>
          <w:tcPr>
            <w:tcW w:w="450" w:type="pct"/>
            <w:vAlign w:val="center"/>
          </w:tcPr>
          <w:p w14:paraId="686754A8" w14:textId="77777777" w:rsidR="00B44606" w:rsidRPr="00B44606" w:rsidRDefault="00B44606" w:rsidP="00B44606">
            <w:pPr>
              <w:keepNext/>
              <w:keepLines/>
              <w:jc w:val="center"/>
              <w:rPr>
                <w:rFonts w:ascii="Arial Narrow" w:hAnsi="Arial Narrow" w:cs="Times New Roman"/>
                <w:b/>
                <w:sz w:val="20"/>
                <w:szCs w:val="20"/>
              </w:rPr>
            </w:pPr>
            <w:r w:rsidRPr="00B44606">
              <w:rPr>
                <w:rFonts w:ascii="Arial Narrow" w:hAnsi="Arial Narrow" w:cs="Times New Roman"/>
                <w:b/>
                <w:sz w:val="20"/>
                <w:szCs w:val="20"/>
              </w:rPr>
              <w:t>Max. qty units</w:t>
            </w:r>
          </w:p>
        </w:tc>
        <w:tc>
          <w:tcPr>
            <w:tcW w:w="450" w:type="pct"/>
            <w:vAlign w:val="center"/>
          </w:tcPr>
          <w:p w14:paraId="5F27A7F1" w14:textId="77777777" w:rsidR="00B44606" w:rsidRPr="00B44606" w:rsidRDefault="00B44606" w:rsidP="00B44606">
            <w:pPr>
              <w:keepNext/>
              <w:keepLines/>
              <w:jc w:val="center"/>
              <w:rPr>
                <w:rFonts w:ascii="Arial Narrow" w:hAnsi="Arial Narrow" w:cs="Times New Roman"/>
                <w:b/>
                <w:sz w:val="20"/>
                <w:szCs w:val="20"/>
              </w:rPr>
            </w:pPr>
            <w:r w:rsidRPr="00B44606">
              <w:rPr>
                <w:rFonts w:ascii="Arial Narrow" w:hAnsi="Arial Narrow" w:cs="Times New Roman"/>
                <w:b/>
                <w:sz w:val="20"/>
                <w:szCs w:val="20"/>
              </w:rPr>
              <w:t>№.of</w:t>
            </w:r>
          </w:p>
          <w:p w14:paraId="0F62AC82" w14:textId="77777777" w:rsidR="00B44606" w:rsidRPr="00B44606" w:rsidRDefault="00B44606" w:rsidP="00B44606">
            <w:pPr>
              <w:keepNext/>
              <w:keepLines/>
              <w:jc w:val="center"/>
              <w:rPr>
                <w:rFonts w:ascii="Arial Narrow" w:hAnsi="Arial Narrow" w:cs="Times New Roman"/>
                <w:b/>
                <w:sz w:val="20"/>
                <w:szCs w:val="20"/>
              </w:rPr>
            </w:pPr>
            <w:proofErr w:type="spellStart"/>
            <w:r w:rsidRPr="00B44606">
              <w:rPr>
                <w:rFonts w:ascii="Arial Narrow" w:hAnsi="Arial Narrow" w:cs="Times New Roman"/>
                <w:b/>
                <w:sz w:val="20"/>
                <w:szCs w:val="20"/>
              </w:rPr>
              <w:t>Rpts</w:t>
            </w:r>
            <w:proofErr w:type="spellEnd"/>
          </w:p>
        </w:tc>
        <w:tc>
          <w:tcPr>
            <w:tcW w:w="1019" w:type="pct"/>
            <w:vAlign w:val="center"/>
          </w:tcPr>
          <w:p w14:paraId="5780B68A" w14:textId="77777777" w:rsidR="00B44606" w:rsidRPr="00B44606" w:rsidRDefault="00B44606" w:rsidP="00B44606">
            <w:pPr>
              <w:keepNext/>
              <w:keepLines/>
              <w:jc w:val="left"/>
              <w:rPr>
                <w:rFonts w:ascii="Arial Narrow" w:hAnsi="Arial Narrow" w:cs="Times New Roman"/>
                <w:b/>
                <w:sz w:val="20"/>
                <w:szCs w:val="20"/>
              </w:rPr>
            </w:pPr>
            <w:r w:rsidRPr="00B44606">
              <w:rPr>
                <w:rFonts w:ascii="Arial Narrow" w:hAnsi="Arial Narrow" w:cs="Times New Roman"/>
                <w:b/>
                <w:sz w:val="20"/>
                <w:szCs w:val="20"/>
              </w:rPr>
              <w:t>Available brands</w:t>
            </w:r>
          </w:p>
        </w:tc>
      </w:tr>
      <w:tr w:rsidR="00B44606" w:rsidRPr="00B44606" w14:paraId="3C82B13A" w14:textId="77777777" w:rsidTr="00FF3A6A">
        <w:trPr>
          <w:cantSplit/>
          <w:trHeight w:val="20"/>
        </w:trPr>
        <w:tc>
          <w:tcPr>
            <w:tcW w:w="5000" w:type="pct"/>
            <w:gridSpan w:val="6"/>
            <w:vAlign w:val="center"/>
          </w:tcPr>
          <w:p w14:paraId="77A2D2EC" w14:textId="48A308E8" w:rsidR="00B44606" w:rsidRPr="00B44606" w:rsidRDefault="007647B3" w:rsidP="00B44606">
            <w:pPr>
              <w:keepNext/>
              <w:keepLines/>
              <w:jc w:val="left"/>
              <w:rPr>
                <w:rFonts w:ascii="Arial Narrow" w:hAnsi="Arial Narrow"/>
                <w:b/>
                <w:sz w:val="20"/>
                <w:szCs w:val="20"/>
              </w:rPr>
            </w:pPr>
            <w:r w:rsidRPr="007647B3">
              <w:rPr>
                <w:rFonts w:ascii="Arial Narrow" w:hAnsi="Arial Narrow" w:cs="Times New Roman"/>
                <w:bCs/>
                <w:sz w:val="20"/>
                <w:szCs w:val="20"/>
              </w:rPr>
              <w:t>ESTRADIOL + PROGESTERONE</w:t>
            </w:r>
          </w:p>
        </w:tc>
      </w:tr>
      <w:tr w:rsidR="00B44606" w:rsidRPr="00B44606" w14:paraId="6E693573" w14:textId="77777777" w:rsidTr="00FF3A6A">
        <w:trPr>
          <w:cantSplit/>
          <w:trHeight w:val="20"/>
        </w:trPr>
        <w:tc>
          <w:tcPr>
            <w:tcW w:w="1645" w:type="pct"/>
            <w:tcBorders>
              <w:bottom w:val="single" w:sz="4" w:space="0" w:color="auto"/>
            </w:tcBorders>
            <w:vAlign w:val="center"/>
          </w:tcPr>
          <w:p w14:paraId="7CD5E3E5" w14:textId="55CDE86D" w:rsidR="00B44606" w:rsidRPr="00A20754" w:rsidRDefault="00B44606" w:rsidP="00B44606">
            <w:pPr>
              <w:keepNext/>
              <w:keepLines/>
              <w:jc w:val="left"/>
              <w:rPr>
                <w:rFonts w:ascii="Arial Narrow" w:hAnsi="Arial Narrow" w:cs="Times New Roman"/>
                <w:bCs/>
                <w:sz w:val="20"/>
                <w:szCs w:val="20"/>
                <w:lang w:val="it-IT"/>
              </w:rPr>
            </w:pPr>
            <w:r w:rsidRPr="00B44606">
              <w:rPr>
                <w:rFonts w:ascii="Arial Narrow" w:hAnsi="Arial Narrow" w:cs="Calibri"/>
                <w:bCs/>
                <w:color w:val="000000"/>
                <w:sz w:val="20"/>
                <w:szCs w:val="20"/>
                <w:lang w:val="it-IT"/>
              </w:rPr>
              <w:t>estradiol 1</w:t>
            </w:r>
            <w:r w:rsidR="000044AE">
              <w:rPr>
                <w:rFonts w:ascii="Arial Narrow" w:hAnsi="Arial Narrow" w:cs="Calibri"/>
                <w:bCs/>
                <w:color w:val="000000"/>
                <w:sz w:val="20"/>
                <w:szCs w:val="20"/>
                <w:lang w:val="it-IT"/>
              </w:rPr>
              <w:t> </w:t>
            </w:r>
            <w:r w:rsidRPr="00B44606">
              <w:rPr>
                <w:rFonts w:ascii="Arial Narrow" w:hAnsi="Arial Narrow" w:cs="Calibri"/>
                <w:bCs/>
                <w:color w:val="000000"/>
                <w:sz w:val="20"/>
                <w:szCs w:val="20"/>
                <w:lang w:val="it-IT"/>
              </w:rPr>
              <w:t xml:space="preserve">mg </w:t>
            </w:r>
            <w:r w:rsidR="000044AE">
              <w:rPr>
                <w:rFonts w:ascii="Arial Narrow" w:hAnsi="Arial Narrow" w:cs="Calibri"/>
                <w:bCs/>
                <w:color w:val="000000"/>
                <w:sz w:val="20"/>
                <w:szCs w:val="20"/>
                <w:lang w:val="it-IT"/>
              </w:rPr>
              <w:t>+</w:t>
            </w:r>
            <w:r w:rsidR="00A06148">
              <w:rPr>
                <w:rFonts w:ascii="Arial Narrow" w:hAnsi="Arial Narrow" w:cs="Calibri"/>
                <w:bCs/>
                <w:color w:val="000000"/>
                <w:sz w:val="20"/>
                <w:szCs w:val="20"/>
                <w:lang w:val="it-IT"/>
              </w:rPr>
              <w:t xml:space="preserve"> progesterone 1</w:t>
            </w:r>
            <w:r w:rsidR="00791B5D">
              <w:rPr>
                <w:rFonts w:ascii="Arial Narrow" w:hAnsi="Arial Narrow" w:cs="Calibri"/>
                <w:bCs/>
                <w:color w:val="000000"/>
                <w:sz w:val="20"/>
                <w:szCs w:val="20"/>
                <w:lang w:val="it-IT"/>
              </w:rPr>
              <w:t>00 mg</w:t>
            </w:r>
            <w:r w:rsidRPr="00B44606">
              <w:rPr>
                <w:rFonts w:ascii="Arial Narrow" w:hAnsi="Arial Narrow" w:cs="Calibri"/>
                <w:bCs/>
                <w:color w:val="000000"/>
                <w:sz w:val="20"/>
                <w:szCs w:val="20"/>
                <w:lang w:val="it-IT"/>
              </w:rPr>
              <w:t xml:space="preserve"> capsule, 28</w:t>
            </w:r>
          </w:p>
        </w:tc>
        <w:tc>
          <w:tcPr>
            <w:tcW w:w="985" w:type="pct"/>
            <w:tcBorders>
              <w:bottom w:val="single" w:sz="4" w:space="0" w:color="auto"/>
            </w:tcBorders>
            <w:vAlign w:val="center"/>
          </w:tcPr>
          <w:p w14:paraId="3494C2A0" w14:textId="0565A90F" w:rsidR="00B44606" w:rsidRPr="0061451C" w:rsidRDefault="00B44606" w:rsidP="00B44606">
            <w:pPr>
              <w:keepNext/>
              <w:keepLines/>
              <w:jc w:val="center"/>
              <w:rPr>
                <w:rFonts w:ascii="Arial Narrow" w:hAnsi="Arial Narrow" w:cs="Times New Roman"/>
                <w:bCs/>
                <w:sz w:val="20"/>
                <w:szCs w:val="20"/>
              </w:rPr>
            </w:pPr>
            <w:r w:rsidRPr="0061451C">
              <w:rPr>
                <w:rFonts w:ascii="Arial Narrow" w:hAnsi="Arial Narrow" w:cs="Times New Roman"/>
                <w:bCs/>
                <w:sz w:val="20"/>
                <w:szCs w:val="20"/>
              </w:rPr>
              <w:t>$56.02</w:t>
            </w:r>
            <w:r w:rsidR="0061451C" w:rsidRPr="0061451C">
              <w:rPr>
                <w:rFonts w:ascii="Arial Narrow" w:hAnsi="Arial Narrow" w:cs="Times New Roman"/>
                <w:bCs/>
                <w:sz w:val="20"/>
                <w:szCs w:val="20"/>
              </w:rPr>
              <w:t>*</w:t>
            </w:r>
          </w:p>
        </w:tc>
        <w:tc>
          <w:tcPr>
            <w:tcW w:w="450" w:type="pct"/>
            <w:tcBorders>
              <w:bottom w:val="single" w:sz="4" w:space="0" w:color="auto"/>
            </w:tcBorders>
            <w:vAlign w:val="center"/>
          </w:tcPr>
          <w:p w14:paraId="49FB4679" w14:textId="77777777" w:rsidR="00B44606" w:rsidRPr="00B44606" w:rsidRDefault="00B44606" w:rsidP="00B44606">
            <w:pPr>
              <w:keepNext/>
              <w:keepLines/>
              <w:jc w:val="center"/>
              <w:rPr>
                <w:rFonts w:ascii="Arial Narrow" w:hAnsi="Arial Narrow" w:cs="Times New Roman"/>
                <w:bCs/>
                <w:sz w:val="20"/>
                <w:szCs w:val="20"/>
              </w:rPr>
            </w:pPr>
            <w:r w:rsidRPr="00B44606">
              <w:rPr>
                <w:rFonts w:ascii="Arial Narrow" w:hAnsi="Arial Narrow" w:cs="Times New Roman"/>
                <w:bCs/>
                <w:sz w:val="20"/>
                <w:szCs w:val="20"/>
              </w:rPr>
              <w:t>1</w:t>
            </w:r>
          </w:p>
        </w:tc>
        <w:tc>
          <w:tcPr>
            <w:tcW w:w="450" w:type="pct"/>
            <w:tcBorders>
              <w:bottom w:val="single" w:sz="4" w:space="0" w:color="auto"/>
            </w:tcBorders>
            <w:vAlign w:val="center"/>
          </w:tcPr>
          <w:p w14:paraId="47CB5B56" w14:textId="77777777" w:rsidR="00B44606" w:rsidRPr="00B44606" w:rsidRDefault="00B44606" w:rsidP="00B44606">
            <w:pPr>
              <w:keepNext/>
              <w:keepLines/>
              <w:jc w:val="center"/>
              <w:rPr>
                <w:rFonts w:ascii="Arial Narrow" w:hAnsi="Arial Narrow" w:cs="Times New Roman"/>
                <w:bCs/>
                <w:sz w:val="20"/>
                <w:szCs w:val="20"/>
              </w:rPr>
            </w:pPr>
            <w:r w:rsidRPr="00B44606">
              <w:rPr>
                <w:rFonts w:ascii="Arial Narrow" w:hAnsi="Arial Narrow" w:cs="Times New Roman"/>
                <w:bCs/>
                <w:sz w:val="20"/>
                <w:szCs w:val="20"/>
              </w:rPr>
              <w:t>1</w:t>
            </w:r>
          </w:p>
        </w:tc>
        <w:tc>
          <w:tcPr>
            <w:tcW w:w="450" w:type="pct"/>
            <w:tcBorders>
              <w:bottom w:val="single" w:sz="4" w:space="0" w:color="auto"/>
            </w:tcBorders>
            <w:vAlign w:val="center"/>
          </w:tcPr>
          <w:p w14:paraId="5F7BC1BD" w14:textId="77777777" w:rsidR="00B44606" w:rsidRPr="00B44606" w:rsidRDefault="00B44606" w:rsidP="00B44606">
            <w:pPr>
              <w:keepNext/>
              <w:keepLines/>
              <w:jc w:val="center"/>
              <w:rPr>
                <w:rFonts w:ascii="Arial Narrow" w:hAnsi="Arial Narrow" w:cs="Times New Roman"/>
                <w:bCs/>
                <w:sz w:val="20"/>
                <w:szCs w:val="20"/>
              </w:rPr>
            </w:pPr>
            <w:r w:rsidRPr="00B44606">
              <w:rPr>
                <w:rFonts w:ascii="Arial Narrow" w:hAnsi="Arial Narrow" w:cs="Times New Roman"/>
                <w:bCs/>
                <w:sz w:val="20"/>
                <w:szCs w:val="20"/>
              </w:rPr>
              <w:t>5</w:t>
            </w:r>
          </w:p>
        </w:tc>
        <w:tc>
          <w:tcPr>
            <w:tcW w:w="1019" w:type="pct"/>
            <w:tcBorders>
              <w:bottom w:val="single" w:sz="4" w:space="0" w:color="auto"/>
            </w:tcBorders>
            <w:vAlign w:val="center"/>
          </w:tcPr>
          <w:p w14:paraId="29C46526" w14:textId="77777777" w:rsidR="00B44606" w:rsidRPr="00B44606" w:rsidRDefault="00B44606" w:rsidP="00B44606">
            <w:pPr>
              <w:keepNext/>
              <w:keepLines/>
              <w:jc w:val="left"/>
              <w:rPr>
                <w:rFonts w:ascii="Arial Narrow" w:hAnsi="Arial Narrow" w:cs="Times New Roman"/>
                <w:bCs/>
                <w:color w:val="0066FF"/>
                <w:sz w:val="20"/>
                <w:szCs w:val="20"/>
              </w:rPr>
            </w:pPr>
            <w:r w:rsidRPr="00B44606">
              <w:rPr>
                <w:rFonts w:ascii="Arial Narrow" w:hAnsi="Arial Narrow" w:cs="Times New Roman"/>
                <w:bCs/>
                <w:sz w:val="20"/>
                <w:szCs w:val="20"/>
              </w:rPr>
              <w:t>Bijuva</w:t>
            </w:r>
          </w:p>
        </w:tc>
      </w:tr>
      <w:tr w:rsidR="00C76048" w:rsidRPr="00B44606" w14:paraId="5D911060" w14:textId="77777777" w:rsidTr="00FF3A6A">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6491AAC" w14:textId="77777777" w:rsidR="00C76048" w:rsidRPr="00B44606" w:rsidRDefault="00C76048" w:rsidP="00B44606">
            <w:pPr>
              <w:keepNext/>
              <w:keepLines/>
              <w:jc w:val="left"/>
              <w:rPr>
                <w:rFonts w:ascii="Arial Narrow" w:hAnsi="Arial Narrow" w:cs="Times New Roman"/>
                <w:bCs/>
                <w:sz w:val="20"/>
                <w:szCs w:val="20"/>
              </w:rPr>
            </w:pPr>
          </w:p>
        </w:tc>
      </w:tr>
      <w:tr w:rsidR="00D4500B" w:rsidRPr="0098262F" w14:paraId="3EE8ABAE" w14:textId="77777777" w:rsidTr="00FF3A6A">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tcBorders>
          </w:tcPr>
          <w:p w14:paraId="3B622315" w14:textId="667417C0" w:rsidR="00D4500B" w:rsidRPr="0098262F" w:rsidRDefault="00D4500B" w:rsidP="00D4500B">
            <w:pPr>
              <w:pStyle w:val="TableText0"/>
            </w:pPr>
            <w:bookmarkStart w:id="8" w:name="_Hlk104809470"/>
            <w:r w:rsidRPr="0098262F">
              <w:rPr>
                <w:b/>
              </w:rPr>
              <w:t xml:space="preserve">Category / Program: </w:t>
            </w:r>
            <w:r w:rsidRPr="0098262F">
              <w:t>General Schedule</w:t>
            </w:r>
          </w:p>
        </w:tc>
      </w:tr>
      <w:tr w:rsidR="00D4500B" w:rsidRPr="0098262F" w14:paraId="09416ED3" w14:textId="77777777" w:rsidTr="00FF3A6A">
        <w:tblPrEx>
          <w:tblCellMar>
            <w:top w:w="15" w:type="dxa"/>
            <w:bottom w:w="15" w:type="dxa"/>
          </w:tblCellMar>
          <w:tblLook w:val="04A0" w:firstRow="1" w:lastRow="0" w:firstColumn="1" w:lastColumn="0" w:noHBand="0" w:noVBand="1"/>
        </w:tblPrEx>
        <w:trPr>
          <w:cantSplit/>
          <w:trHeight w:val="20"/>
        </w:trPr>
        <w:tc>
          <w:tcPr>
            <w:tcW w:w="5000" w:type="pct"/>
            <w:gridSpan w:val="6"/>
          </w:tcPr>
          <w:p w14:paraId="7D2ED8D5" w14:textId="33352C67" w:rsidR="00D4500B" w:rsidRPr="0098262F" w:rsidRDefault="00D4500B" w:rsidP="00D4500B">
            <w:pPr>
              <w:pStyle w:val="TableText0"/>
              <w:rPr>
                <w:b/>
              </w:rPr>
            </w:pPr>
            <w:r w:rsidRPr="0098262F">
              <w:rPr>
                <w:b/>
              </w:rPr>
              <w:t xml:space="preserve">Prescriber type: </w:t>
            </w:r>
            <w:r w:rsidRPr="00D319A0">
              <w:rPr>
                <w:rFonts w:cs="Arial"/>
                <w:color w:val="000000"/>
                <w:szCs w:val="22"/>
                <w:lang w:val="en-GB" w:eastAsia="en-US"/>
              </w:rPr>
              <w:fldChar w:fldCharType="begin">
                <w:ffData>
                  <w:name w:val=""/>
                  <w:enabled/>
                  <w:calcOnExit w:val="0"/>
                  <w:checkBox>
                    <w:sizeAuto/>
                    <w:default w:val="1"/>
                  </w:checkBox>
                </w:ffData>
              </w:fldChar>
            </w:r>
            <w:r w:rsidRPr="00D319A0">
              <w:rPr>
                <w:rFonts w:cs="Arial"/>
                <w:color w:val="000000"/>
                <w:szCs w:val="22"/>
                <w:lang w:val="en-GB" w:eastAsia="en-US"/>
              </w:rPr>
              <w:instrText xml:space="preserve"> FORMCHECKBOX </w:instrText>
            </w:r>
            <w:r w:rsidRPr="00D319A0">
              <w:rPr>
                <w:rFonts w:cs="Arial"/>
                <w:color w:val="000000"/>
                <w:szCs w:val="22"/>
                <w:lang w:val="en-GB" w:eastAsia="en-US"/>
              </w:rPr>
            </w:r>
            <w:r w:rsidRPr="00D319A0">
              <w:rPr>
                <w:rFonts w:cs="Arial"/>
                <w:color w:val="000000"/>
                <w:szCs w:val="22"/>
                <w:lang w:val="en-GB" w:eastAsia="en-US"/>
              </w:rPr>
              <w:fldChar w:fldCharType="separate"/>
            </w:r>
            <w:r w:rsidRPr="00D319A0">
              <w:rPr>
                <w:rFonts w:cs="Arial"/>
                <w:color w:val="000000"/>
                <w:szCs w:val="22"/>
                <w:lang w:val="en-GB" w:eastAsia="en-US"/>
              </w:rPr>
              <w:fldChar w:fldCharType="end"/>
            </w:r>
            <w:r w:rsidRPr="0098262F">
              <w:t xml:space="preserve">Medical Practitioners </w:t>
            </w:r>
            <w:r w:rsidRPr="00D319A0">
              <w:rPr>
                <w:rFonts w:cs="Arial"/>
                <w:color w:val="000000"/>
                <w:szCs w:val="22"/>
                <w:lang w:val="en-GB" w:eastAsia="en-US"/>
              </w:rPr>
              <w:fldChar w:fldCharType="begin">
                <w:ffData>
                  <w:name w:val=""/>
                  <w:enabled/>
                  <w:calcOnExit w:val="0"/>
                  <w:checkBox>
                    <w:sizeAuto/>
                    <w:default w:val="1"/>
                  </w:checkBox>
                </w:ffData>
              </w:fldChar>
            </w:r>
            <w:r w:rsidRPr="00D319A0">
              <w:rPr>
                <w:rFonts w:cs="Arial"/>
                <w:color w:val="000000"/>
                <w:szCs w:val="22"/>
                <w:lang w:val="en-GB" w:eastAsia="en-US"/>
              </w:rPr>
              <w:instrText xml:space="preserve"> FORMCHECKBOX </w:instrText>
            </w:r>
            <w:r w:rsidRPr="00D319A0">
              <w:rPr>
                <w:rFonts w:cs="Arial"/>
                <w:color w:val="000000"/>
                <w:szCs w:val="22"/>
                <w:lang w:val="en-GB" w:eastAsia="en-US"/>
              </w:rPr>
            </w:r>
            <w:r w:rsidRPr="00D319A0">
              <w:rPr>
                <w:rFonts w:cs="Arial"/>
                <w:color w:val="000000"/>
                <w:szCs w:val="22"/>
                <w:lang w:val="en-GB" w:eastAsia="en-US"/>
              </w:rPr>
              <w:fldChar w:fldCharType="separate"/>
            </w:r>
            <w:r w:rsidRPr="00D319A0">
              <w:rPr>
                <w:rFonts w:cs="Arial"/>
                <w:color w:val="000000"/>
                <w:szCs w:val="22"/>
                <w:lang w:val="en-GB" w:eastAsia="en-US"/>
              </w:rPr>
              <w:fldChar w:fldCharType="end"/>
            </w:r>
            <w:r w:rsidRPr="0098262F">
              <w:t xml:space="preserve">Nurse practitioners </w:t>
            </w:r>
          </w:p>
        </w:tc>
      </w:tr>
      <w:tr w:rsidR="00D4500B" w:rsidRPr="0098262F" w14:paraId="070CFDD2" w14:textId="77777777" w:rsidTr="00FF3A6A">
        <w:tblPrEx>
          <w:tblCellMar>
            <w:top w:w="15" w:type="dxa"/>
            <w:bottom w:w="15" w:type="dxa"/>
          </w:tblCellMar>
          <w:tblLook w:val="04A0" w:firstRow="1" w:lastRow="0" w:firstColumn="1" w:lastColumn="0" w:noHBand="0" w:noVBand="1"/>
        </w:tblPrEx>
        <w:trPr>
          <w:cantSplit/>
          <w:trHeight w:val="20"/>
        </w:trPr>
        <w:tc>
          <w:tcPr>
            <w:tcW w:w="5000" w:type="pct"/>
            <w:gridSpan w:val="6"/>
          </w:tcPr>
          <w:p w14:paraId="3320A955" w14:textId="7379DBCF" w:rsidR="00D4500B" w:rsidRPr="0098262F" w:rsidRDefault="00D4500B" w:rsidP="00D4500B">
            <w:pPr>
              <w:pStyle w:val="TableText0"/>
              <w:rPr>
                <w:rFonts w:eastAsia="Times New Roman"/>
              </w:rPr>
            </w:pPr>
            <w:r w:rsidRPr="0098262F">
              <w:rPr>
                <w:b/>
              </w:rPr>
              <w:t xml:space="preserve">Restriction type: </w:t>
            </w:r>
            <w:r w:rsidRPr="00D319A0">
              <w:rPr>
                <w:rFonts w:cs="Arial"/>
                <w:color w:val="000000"/>
                <w:szCs w:val="22"/>
                <w:lang w:val="en-GB" w:eastAsia="en-US"/>
              </w:rPr>
              <w:fldChar w:fldCharType="begin">
                <w:ffData>
                  <w:name w:val=""/>
                  <w:enabled/>
                  <w:calcOnExit w:val="0"/>
                  <w:checkBox>
                    <w:sizeAuto/>
                    <w:default w:val="1"/>
                  </w:checkBox>
                </w:ffData>
              </w:fldChar>
            </w:r>
            <w:r w:rsidRPr="00D319A0">
              <w:rPr>
                <w:rFonts w:cs="Arial"/>
                <w:color w:val="000000"/>
                <w:szCs w:val="22"/>
                <w:lang w:val="en-GB" w:eastAsia="en-US"/>
              </w:rPr>
              <w:instrText xml:space="preserve"> FORMCHECKBOX </w:instrText>
            </w:r>
            <w:r w:rsidRPr="00D319A0">
              <w:rPr>
                <w:rFonts w:cs="Arial"/>
                <w:color w:val="000000"/>
                <w:szCs w:val="22"/>
                <w:lang w:val="en-GB" w:eastAsia="en-US"/>
              </w:rPr>
            </w:r>
            <w:r w:rsidRPr="00D319A0">
              <w:rPr>
                <w:rFonts w:cs="Arial"/>
                <w:color w:val="000000"/>
                <w:szCs w:val="22"/>
                <w:lang w:val="en-GB" w:eastAsia="en-US"/>
              </w:rPr>
              <w:fldChar w:fldCharType="separate"/>
            </w:r>
            <w:r w:rsidRPr="00D319A0">
              <w:rPr>
                <w:rFonts w:cs="Arial"/>
                <w:color w:val="000000"/>
                <w:szCs w:val="22"/>
                <w:lang w:val="en-GB" w:eastAsia="en-US"/>
              </w:rPr>
              <w:fldChar w:fldCharType="end"/>
            </w:r>
            <w:r w:rsidRPr="0098262F">
              <w:t>Unrestricted benefit</w:t>
            </w:r>
          </w:p>
        </w:tc>
      </w:tr>
      <w:tr w:rsidR="00D4500B" w:rsidRPr="0098262F" w14:paraId="520BD548" w14:textId="77777777" w:rsidTr="00FF3A6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8B58ADC" w14:textId="77777777" w:rsidR="00D4500B" w:rsidRPr="00480486" w:rsidRDefault="00D4500B" w:rsidP="00D4500B">
            <w:pPr>
              <w:pStyle w:val="TableText0"/>
              <w:rPr>
                <w:b/>
              </w:rPr>
            </w:pPr>
            <w:r w:rsidRPr="00480486">
              <w:rPr>
                <w:b/>
              </w:rPr>
              <w:t xml:space="preserve">Prescribing Instructions: </w:t>
            </w:r>
          </w:p>
          <w:p w14:paraId="200DF20E" w14:textId="379CC96D" w:rsidR="00D4500B" w:rsidRPr="0098262F" w:rsidRDefault="00D4500B" w:rsidP="00D4500B">
            <w:pPr>
              <w:pStyle w:val="TableText0"/>
              <w:rPr>
                <w:b/>
              </w:rPr>
            </w:pPr>
            <w:r w:rsidRPr="00480486">
              <w:rPr>
                <w:rFonts w:cs="Arial"/>
                <w:color w:val="000000"/>
                <w:szCs w:val="22"/>
                <w:lang w:val="en-GB" w:eastAsia="en-US"/>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bookmarkEnd w:id="8"/>
    <w:p w14:paraId="73F76AAD" w14:textId="595C0C0E" w:rsidR="00D4500B" w:rsidRPr="00B97F02" w:rsidRDefault="0061451C" w:rsidP="00B97F02">
      <w:pPr>
        <w:pStyle w:val="TableFigureFooter"/>
        <w:rPr>
          <w:i/>
          <w:iCs/>
        </w:rPr>
      </w:pPr>
      <w:r w:rsidRPr="00314FA9">
        <w:t>*</w:t>
      </w:r>
      <w:proofErr w:type="gramStart"/>
      <w:r w:rsidR="00B97F02" w:rsidRPr="00314FA9">
        <w:t>calculated</w:t>
      </w:r>
      <w:proofErr w:type="gramEnd"/>
      <w:r w:rsidR="00B97F02" w:rsidRPr="00314FA9">
        <w:t xml:space="preserve"> during the evaluation reflecting updated mark-up prices as of July 2025.</w:t>
      </w:r>
    </w:p>
    <w:p w14:paraId="5D2BEEC8" w14:textId="77777777" w:rsidR="00B97F02" w:rsidRPr="00B97F02" w:rsidRDefault="00B97F02" w:rsidP="00B97F02">
      <w:pPr>
        <w:pStyle w:val="TableFigure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w:tblPr>
      <w:tblGrid>
        <w:gridCol w:w="2966"/>
        <w:gridCol w:w="1776"/>
        <w:gridCol w:w="812"/>
        <w:gridCol w:w="812"/>
        <w:gridCol w:w="812"/>
        <w:gridCol w:w="1839"/>
      </w:tblGrid>
      <w:tr w:rsidR="00D4500B" w:rsidRPr="00B44606" w14:paraId="4CA643F0" w14:textId="77777777" w:rsidTr="00A6567C">
        <w:trPr>
          <w:cantSplit/>
          <w:trHeight w:val="20"/>
        </w:trPr>
        <w:tc>
          <w:tcPr>
            <w:tcW w:w="1645" w:type="pct"/>
            <w:vAlign w:val="center"/>
          </w:tcPr>
          <w:p w14:paraId="47447A2C" w14:textId="77777777" w:rsidR="00D4500B" w:rsidRPr="00B44606" w:rsidRDefault="00D4500B">
            <w:pPr>
              <w:keepNext/>
              <w:keepLines/>
              <w:jc w:val="left"/>
              <w:rPr>
                <w:rFonts w:ascii="Arial Narrow" w:hAnsi="Arial Narrow" w:cs="Times New Roman"/>
                <w:b/>
                <w:sz w:val="20"/>
                <w:szCs w:val="20"/>
              </w:rPr>
            </w:pPr>
            <w:r w:rsidRPr="00B44606">
              <w:rPr>
                <w:rFonts w:ascii="Arial Narrow" w:hAnsi="Arial Narrow" w:cs="Times New Roman"/>
                <w:b/>
                <w:sz w:val="20"/>
                <w:szCs w:val="20"/>
              </w:rPr>
              <w:t>MEDICINAL PRODUCT</w:t>
            </w:r>
          </w:p>
          <w:p w14:paraId="290FB211" w14:textId="77777777" w:rsidR="00D4500B" w:rsidRPr="00B44606" w:rsidRDefault="00D4500B">
            <w:pPr>
              <w:keepNext/>
              <w:keepLines/>
              <w:jc w:val="left"/>
              <w:rPr>
                <w:rFonts w:ascii="Arial Narrow" w:hAnsi="Arial Narrow" w:cs="Times New Roman"/>
                <w:b/>
                <w:sz w:val="20"/>
                <w:szCs w:val="20"/>
              </w:rPr>
            </w:pPr>
            <w:r w:rsidRPr="00B44606">
              <w:rPr>
                <w:rFonts w:ascii="Arial Narrow" w:hAnsi="Arial Narrow" w:cs="Times New Roman"/>
                <w:b/>
                <w:sz w:val="20"/>
                <w:szCs w:val="20"/>
              </w:rPr>
              <w:t>medicinal product pack</w:t>
            </w:r>
          </w:p>
        </w:tc>
        <w:tc>
          <w:tcPr>
            <w:tcW w:w="985" w:type="pct"/>
            <w:vAlign w:val="center"/>
          </w:tcPr>
          <w:p w14:paraId="5A2F05F9" w14:textId="77777777" w:rsidR="00D4500B" w:rsidRPr="00B44606" w:rsidRDefault="00D4500B">
            <w:pPr>
              <w:keepNext/>
              <w:keepLines/>
              <w:jc w:val="center"/>
              <w:rPr>
                <w:rFonts w:ascii="Arial Narrow" w:hAnsi="Arial Narrow" w:cs="Times New Roman"/>
                <w:b/>
                <w:sz w:val="20"/>
                <w:szCs w:val="20"/>
              </w:rPr>
            </w:pPr>
            <w:r w:rsidRPr="00B44606">
              <w:rPr>
                <w:rFonts w:ascii="Arial Narrow" w:hAnsi="Arial Narrow" w:cs="Times New Roman"/>
                <w:b/>
                <w:snapToGrid w:val="0"/>
                <w:sz w:val="20"/>
                <w:szCs w:val="20"/>
              </w:rPr>
              <w:t>Dispensed Price for Max. Qty</w:t>
            </w:r>
          </w:p>
        </w:tc>
        <w:tc>
          <w:tcPr>
            <w:tcW w:w="450" w:type="pct"/>
            <w:vAlign w:val="center"/>
          </w:tcPr>
          <w:p w14:paraId="59050C74" w14:textId="77777777" w:rsidR="00D4500B" w:rsidRPr="00B44606" w:rsidRDefault="00D4500B">
            <w:pPr>
              <w:keepNext/>
              <w:keepLines/>
              <w:jc w:val="center"/>
              <w:rPr>
                <w:rFonts w:ascii="Arial Narrow" w:hAnsi="Arial Narrow" w:cs="Times New Roman"/>
                <w:b/>
                <w:sz w:val="20"/>
                <w:szCs w:val="20"/>
              </w:rPr>
            </w:pPr>
            <w:r w:rsidRPr="00B44606">
              <w:rPr>
                <w:rFonts w:ascii="Arial Narrow" w:hAnsi="Arial Narrow" w:cs="Times New Roman"/>
                <w:b/>
                <w:sz w:val="20"/>
                <w:szCs w:val="20"/>
              </w:rPr>
              <w:t>Max. qty packs</w:t>
            </w:r>
          </w:p>
        </w:tc>
        <w:tc>
          <w:tcPr>
            <w:tcW w:w="450" w:type="pct"/>
            <w:vAlign w:val="center"/>
          </w:tcPr>
          <w:p w14:paraId="31BBA6AB" w14:textId="77777777" w:rsidR="00D4500B" w:rsidRPr="00B44606" w:rsidRDefault="00D4500B">
            <w:pPr>
              <w:keepNext/>
              <w:keepLines/>
              <w:jc w:val="center"/>
              <w:rPr>
                <w:rFonts w:ascii="Arial Narrow" w:hAnsi="Arial Narrow" w:cs="Times New Roman"/>
                <w:b/>
                <w:sz w:val="20"/>
                <w:szCs w:val="20"/>
              </w:rPr>
            </w:pPr>
            <w:r w:rsidRPr="00B44606">
              <w:rPr>
                <w:rFonts w:ascii="Arial Narrow" w:hAnsi="Arial Narrow" w:cs="Times New Roman"/>
                <w:b/>
                <w:sz w:val="20"/>
                <w:szCs w:val="20"/>
              </w:rPr>
              <w:t>Max. qty units</w:t>
            </w:r>
          </w:p>
        </w:tc>
        <w:tc>
          <w:tcPr>
            <w:tcW w:w="450" w:type="pct"/>
            <w:vAlign w:val="center"/>
          </w:tcPr>
          <w:p w14:paraId="06F5B083" w14:textId="77777777" w:rsidR="00D4500B" w:rsidRPr="00B44606" w:rsidRDefault="00D4500B">
            <w:pPr>
              <w:keepNext/>
              <w:keepLines/>
              <w:jc w:val="center"/>
              <w:rPr>
                <w:rFonts w:ascii="Arial Narrow" w:hAnsi="Arial Narrow" w:cs="Times New Roman"/>
                <w:b/>
                <w:sz w:val="20"/>
                <w:szCs w:val="20"/>
              </w:rPr>
            </w:pPr>
            <w:r w:rsidRPr="00B44606">
              <w:rPr>
                <w:rFonts w:ascii="Arial Narrow" w:hAnsi="Arial Narrow" w:cs="Times New Roman"/>
                <w:b/>
                <w:sz w:val="20"/>
                <w:szCs w:val="20"/>
              </w:rPr>
              <w:t>№.of</w:t>
            </w:r>
          </w:p>
          <w:p w14:paraId="1A814285" w14:textId="77777777" w:rsidR="00D4500B" w:rsidRPr="00B44606" w:rsidRDefault="00D4500B">
            <w:pPr>
              <w:keepNext/>
              <w:keepLines/>
              <w:jc w:val="center"/>
              <w:rPr>
                <w:rFonts w:ascii="Arial Narrow" w:hAnsi="Arial Narrow" w:cs="Times New Roman"/>
                <w:b/>
                <w:sz w:val="20"/>
                <w:szCs w:val="20"/>
              </w:rPr>
            </w:pPr>
            <w:proofErr w:type="spellStart"/>
            <w:r w:rsidRPr="00B44606">
              <w:rPr>
                <w:rFonts w:ascii="Arial Narrow" w:hAnsi="Arial Narrow" w:cs="Times New Roman"/>
                <w:b/>
                <w:sz w:val="20"/>
                <w:szCs w:val="20"/>
              </w:rPr>
              <w:t>Rpts</w:t>
            </w:r>
            <w:proofErr w:type="spellEnd"/>
          </w:p>
        </w:tc>
        <w:tc>
          <w:tcPr>
            <w:tcW w:w="1019" w:type="pct"/>
            <w:vAlign w:val="center"/>
          </w:tcPr>
          <w:p w14:paraId="6BE1B33E" w14:textId="77777777" w:rsidR="00D4500B" w:rsidRPr="00B44606" w:rsidRDefault="00D4500B">
            <w:pPr>
              <w:keepNext/>
              <w:keepLines/>
              <w:jc w:val="left"/>
              <w:rPr>
                <w:rFonts w:ascii="Arial Narrow" w:hAnsi="Arial Narrow" w:cs="Times New Roman"/>
                <w:b/>
                <w:sz w:val="20"/>
                <w:szCs w:val="20"/>
              </w:rPr>
            </w:pPr>
            <w:r w:rsidRPr="00B44606">
              <w:rPr>
                <w:rFonts w:ascii="Arial Narrow" w:hAnsi="Arial Narrow" w:cs="Times New Roman"/>
                <w:b/>
                <w:sz w:val="20"/>
                <w:szCs w:val="20"/>
              </w:rPr>
              <w:t>Available brands</w:t>
            </w:r>
          </w:p>
        </w:tc>
      </w:tr>
      <w:tr w:rsidR="00D4500B" w:rsidRPr="00B44606" w14:paraId="27EDCDE7" w14:textId="77777777" w:rsidTr="00A6567C">
        <w:trPr>
          <w:cantSplit/>
          <w:trHeight w:val="20"/>
        </w:trPr>
        <w:tc>
          <w:tcPr>
            <w:tcW w:w="5000" w:type="pct"/>
            <w:gridSpan w:val="6"/>
            <w:vAlign w:val="center"/>
          </w:tcPr>
          <w:p w14:paraId="2189361D" w14:textId="10D381D5" w:rsidR="00D4500B" w:rsidRPr="00B44606" w:rsidRDefault="008F2F3C">
            <w:pPr>
              <w:keepNext/>
              <w:keepLines/>
              <w:jc w:val="left"/>
              <w:rPr>
                <w:rFonts w:ascii="Arial Narrow" w:hAnsi="Arial Narrow"/>
                <w:b/>
                <w:sz w:val="20"/>
                <w:szCs w:val="20"/>
              </w:rPr>
            </w:pPr>
            <w:r w:rsidRPr="007647B3">
              <w:rPr>
                <w:rFonts w:ascii="Arial Narrow" w:hAnsi="Arial Narrow" w:cs="Times New Roman"/>
                <w:bCs/>
                <w:sz w:val="20"/>
                <w:szCs w:val="20"/>
              </w:rPr>
              <w:t>ESTRADIOL + PROGESTERONE</w:t>
            </w:r>
          </w:p>
        </w:tc>
      </w:tr>
      <w:tr w:rsidR="00D4500B" w:rsidRPr="00B44606" w14:paraId="66BA9AD1" w14:textId="77777777" w:rsidTr="00A6567C">
        <w:trPr>
          <w:cantSplit/>
          <w:trHeight w:val="20"/>
        </w:trPr>
        <w:tc>
          <w:tcPr>
            <w:tcW w:w="1645" w:type="pct"/>
            <w:tcBorders>
              <w:bottom w:val="single" w:sz="4" w:space="0" w:color="auto"/>
            </w:tcBorders>
            <w:vAlign w:val="center"/>
          </w:tcPr>
          <w:p w14:paraId="6900E8D0" w14:textId="6D712511" w:rsidR="00D4500B" w:rsidRPr="00A20754" w:rsidRDefault="00D4500B">
            <w:pPr>
              <w:keepNext/>
              <w:keepLines/>
              <w:jc w:val="left"/>
              <w:rPr>
                <w:rFonts w:ascii="Arial Narrow" w:hAnsi="Arial Narrow" w:cs="Times New Roman"/>
                <w:bCs/>
                <w:sz w:val="20"/>
                <w:szCs w:val="20"/>
                <w:lang w:val="it-IT"/>
              </w:rPr>
            </w:pPr>
            <w:r w:rsidRPr="00B44606">
              <w:rPr>
                <w:rFonts w:ascii="Arial Narrow" w:hAnsi="Arial Narrow" w:cs="Calibri"/>
                <w:bCs/>
                <w:color w:val="000000"/>
                <w:sz w:val="20"/>
                <w:szCs w:val="20"/>
                <w:lang w:val="it-IT"/>
              </w:rPr>
              <w:t>estradiol 1</w:t>
            </w:r>
            <w:r w:rsidR="005364D4">
              <w:rPr>
                <w:rFonts w:ascii="Arial Narrow" w:hAnsi="Arial Narrow" w:cs="Calibri"/>
                <w:bCs/>
                <w:color w:val="000000"/>
                <w:sz w:val="20"/>
                <w:szCs w:val="20"/>
                <w:lang w:val="it-IT"/>
              </w:rPr>
              <w:t> </w:t>
            </w:r>
            <w:r w:rsidRPr="00B44606">
              <w:rPr>
                <w:rFonts w:ascii="Arial Narrow" w:hAnsi="Arial Narrow" w:cs="Calibri"/>
                <w:bCs/>
                <w:color w:val="000000"/>
                <w:sz w:val="20"/>
                <w:szCs w:val="20"/>
                <w:lang w:val="it-IT"/>
              </w:rPr>
              <w:t xml:space="preserve">mg </w:t>
            </w:r>
            <w:r w:rsidR="005364D4">
              <w:rPr>
                <w:rFonts w:ascii="Arial Narrow" w:hAnsi="Arial Narrow" w:cs="Calibri"/>
                <w:bCs/>
                <w:color w:val="000000"/>
                <w:sz w:val="20"/>
                <w:szCs w:val="20"/>
                <w:lang w:val="it-IT"/>
              </w:rPr>
              <w:t>+ progesterone 100 mg</w:t>
            </w:r>
            <w:r w:rsidR="005364D4" w:rsidRPr="00B44606">
              <w:rPr>
                <w:rFonts w:ascii="Arial Narrow" w:hAnsi="Arial Narrow" w:cs="Calibri"/>
                <w:bCs/>
                <w:color w:val="000000"/>
                <w:sz w:val="20"/>
                <w:szCs w:val="20"/>
                <w:lang w:val="it-IT"/>
              </w:rPr>
              <w:t xml:space="preserve"> </w:t>
            </w:r>
            <w:r w:rsidRPr="00B44606">
              <w:rPr>
                <w:rFonts w:ascii="Arial Narrow" w:hAnsi="Arial Narrow" w:cs="Calibri"/>
                <w:bCs/>
                <w:color w:val="000000"/>
                <w:sz w:val="20"/>
                <w:szCs w:val="20"/>
                <w:lang w:val="it-IT"/>
              </w:rPr>
              <w:t>capsule, 28</w:t>
            </w:r>
          </w:p>
        </w:tc>
        <w:tc>
          <w:tcPr>
            <w:tcW w:w="985" w:type="pct"/>
            <w:tcBorders>
              <w:bottom w:val="single" w:sz="4" w:space="0" w:color="auto"/>
            </w:tcBorders>
            <w:vAlign w:val="center"/>
          </w:tcPr>
          <w:p w14:paraId="62F061DB" w14:textId="1C3D2B74" w:rsidR="00D4500B" w:rsidRPr="0061451C" w:rsidRDefault="00D4500B">
            <w:pPr>
              <w:keepNext/>
              <w:keepLines/>
              <w:jc w:val="center"/>
              <w:rPr>
                <w:rFonts w:ascii="Arial Narrow" w:hAnsi="Arial Narrow" w:cs="Times New Roman"/>
                <w:bCs/>
                <w:sz w:val="20"/>
                <w:szCs w:val="20"/>
              </w:rPr>
            </w:pPr>
            <w:r w:rsidRPr="0061451C">
              <w:rPr>
                <w:rFonts w:ascii="Arial Narrow" w:hAnsi="Arial Narrow" w:cs="Times New Roman"/>
                <w:bCs/>
                <w:sz w:val="20"/>
                <w:szCs w:val="20"/>
              </w:rPr>
              <w:t>$</w:t>
            </w:r>
            <w:r w:rsidR="000966E5" w:rsidRPr="0061451C">
              <w:rPr>
                <w:rFonts w:ascii="Arial Narrow" w:hAnsi="Arial Narrow" w:cs="Times New Roman"/>
                <w:bCs/>
                <w:sz w:val="20"/>
                <w:szCs w:val="20"/>
              </w:rPr>
              <w:t>98.26</w:t>
            </w:r>
            <w:r w:rsidR="0061451C">
              <w:rPr>
                <w:rFonts w:ascii="Arial Narrow" w:hAnsi="Arial Narrow" w:cs="Times New Roman"/>
                <w:bCs/>
                <w:sz w:val="20"/>
                <w:szCs w:val="20"/>
              </w:rPr>
              <w:t>*</w:t>
            </w:r>
          </w:p>
        </w:tc>
        <w:tc>
          <w:tcPr>
            <w:tcW w:w="450" w:type="pct"/>
            <w:tcBorders>
              <w:bottom w:val="single" w:sz="4" w:space="0" w:color="auto"/>
            </w:tcBorders>
            <w:vAlign w:val="center"/>
          </w:tcPr>
          <w:p w14:paraId="3AE6F6C9" w14:textId="132BD5BA" w:rsidR="00D4500B" w:rsidRPr="00B44606" w:rsidRDefault="00B97F02">
            <w:pPr>
              <w:keepNext/>
              <w:keepLines/>
              <w:jc w:val="center"/>
              <w:rPr>
                <w:rFonts w:ascii="Arial Narrow" w:hAnsi="Arial Narrow" w:cs="Times New Roman"/>
                <w:bCs/>
                <w:sz w:val="20"/>
                <w:szCs w:val="20"/>
              </w:rPr>
            </w:pPr>
            <w:r>
              <w:rPr>
                <w:rFonts w:ascii="Arial Narrow" w:hAnsi="Arial Narrow" w:cs="Times New Roman"/>
                <w:bCs/>
                <w:sz w:val="20"/>
                <w:szCs w:val="20"/>
              </w:rPr>
              <w:t>2</w:t>
            </w:r>
          </w:p>
        </w:tc>
        <w:tc>
          <w:tcPr>
            <w:tcW w:w="450" w:type="pct"/>
            <w:tcBorders>
              <w:bottom w:val="single" w:sz="4" w:space="0" w:color="auto"/>
            </w:tcBorders>
            <w:vAlign w:val="center"/>
          </w:tcPr>
          <w:p w14:paraId="499649E5" w14:textId="1AB90F6D" w:rsidR="00D4500B" w:rsidRPr="00B44606" w:rsidRDefault="00B97F02">
            <w:pPr>
              <w:keepNext/>
              <w:keepLines/>
              <w:jc w:val="center"/>
              <w:rPr>
                <w:rFonts w:ascii="Arial Narrow" w:hAnsi="Arial Narrow" w:cs="Times New Roman"/>
                <w:bCs/>
                <w:sz w:val="20"/>
                <w:szCs w:val="20"/>
              </w:rPr>
            </w:pPr>
            <w:r>
              <w:rPr>
                <w:rFonts w:ascii="Arial Narrow" w:hAnsi="Arial Narrow" w:cs="Times New Roman"/>
                <w:bCs/>
                <w:sz w:val="20"/>
                <w:szCs w:val="20"/>
              </w:rPr>
              <w:t>2</w:t>
            </w:r>
          </w:p>
        </w:tc>
        <w:tc>
          <w:tcPr>
            <w:tcW w:w="450" w:type="pct"/>
            <w:tcBorders>
              <w:bottom w:val="single" w:sz="4" w:space="0" w:color="auto"/>
            </w:tcBorders>
            <w:vAlign w:val="center"/>
          </w:tcPr>
          <w:p w14:paraId="259DBDF8" w14:textId="77777777" w:rsidR="00D4500B" w:rsidRPr="00B44606" w:rsidRDefault="00D4500B">
            <w:pPr>
              <w:keepNext/>
              <w:keepLines/>
              <w:jc w:val="center"/>
              <w:rPr>
                <w:rFonts w:ascii="Arial Narrow" w:hAnsi="Arial Narrow" w:cs="Times New Roman"/>
                <w:bCs/>
                <w:sz w:val="20"/>
                <w:szCs w:val="20"/>
              </w:rPr>
            </w:pPr>
            <w:r w:rsidRPr="00B44606">
              <w:rPr>
                <w:rFonts w:ascii="Arial Narrow" w:hAnsi="Arial Narrow" w:cs="Times New Roman"/>
                <w:bCs/>
                <w:sz w:val="20"/>
                <w:szCs w:val="20"/>
              </w:rPr>
              <w:t>5</w:t>
            </w:r>
          </w:p>
        </w:tc>
        <w:tc>
          <w:tcPr>
            <w:tcW w:w="1019" w:type="pct"/>
            <w:tcBorders>
              <w:bottom w:val="single" w:sz="4" w:space="0" w:color="auto"/>
            </w:tcBorders>
            <w:vAlign w:val="center"/>
          </w:tcPr>
          <w:p w14:paraId="2F8D9C86" w14:textId="16841F36" w:rsidR="00D4500B" w:rsidRPr="00B44606" w:rsidRDefault="00D4500B">
            <w:pPr>
              <w:keepNext/>
              <w:keepLines/>
              <w:jc w:val="left"/>
              <w:rPr>
                <w:rFonts w:ascii="Arial Narrow" w:hAnsi="Arial Narrow" w:cs="Times New Roman"/>
                <w:bCs/>
                <w:color w:val="0066FF"/>
                <w:sz w:val="20"/>
                <w:szCs w:val="20"/>
              </w:rPr>
            </w:pPr>
            <w:r w:rsidRPr="00B44606">
              <w:rPr>
                <w:rFonts w:ascii="Arial Narrow" w:hAnsi="Arial Narrow" w:cs="Times New Roman"/>
                <w:bCs/>
                <w:sz w:val="20"/>
                <w:szCs w:val="20"/>
              </w:rPr>
              <w:t>Bijuva</w:t>
            </w:r>
          </w:p>
        </w:tc>
      </w:tr>
      <w:tr w:rsidR="00C76048" w:rsidRPr="00B44606" w14:paraId="18AC9916" w14:textId="77777777" w:rsidTr="00A6567C">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1042FDB" w14:textId="77777777" w:rsidR="00C76048" w:rsidRPr="00B44606" w:rsidRDefault="00C76048">
            <w:pPr>
              <w:keepNext/>
              <w:keepLines/>
              <w:jc w:val="left"/>
              <w:rPr>
                <w:rFonts w:ascii="Arial Narrow" w:hAnsi="Arial Narrow" w:cs="Times New Roman"/>
                <w:bCs/>
                <w:sz w:val="20"/>
                <w:szCs w:val="20"/>
              </w:rPr>
            </w:pPr>
          </w:p>
        </w:tc>
      </w:tr>
      <w:tr w:rsidR="00D4500B" w:rsidRPr="0098262F" w14:paraId="452766E9" w14:textId="77777777" w:rsidTr="00A6567C">
        <w:tblPrEx>
          <w:tblCellMar>
            <w:top w:w="15" w:type="dxa"/>
            <w:bottom w:w="15" w:type="dxa"/>
          </w:tblCellMar>
          <w:tblLook w:val="04A0" w:firstRow="1" w:lastRow="0" w:firstColumn="1" w:lastColumn="0" w:noHBand="0" w:noVBand="1"/>
        </w:tblPrEx>
        <w:trPr>
          <w:cantSplit/>
          <w:trHeight w:val="20"/>
        </w:trPr>
        <w:tc>
          <w:tcPr>
            <w:tcW w:w="5000" w:type="pct"/>
            <w:gridSpan w:val="6"/>
            <w:tcBorders>
              <w:top w:val="single" w:sz="4" w:space="0" w:color="auto"/>
            </w:tcBorders>
          </w:tcPr>
          <w:p w14:paraId="3079A122" w14:textId="77777777" w:rsidR="00D4500B" w:rsidRPr="0098262F" w:rsidRDefault="00D4500B">
            <w:pPr>
              <w:pStyle w:val="TableText0"/>
            </w:pPr>
            <w:r w:rsidRPr="0098262F">
              <w:rPr>
                <w:b/>
              </w:rPr>
              <w:t xml:space="preserve">Category / Program: </w:t>
            </w:r>
            <w:r w:rsidRPr="0098262F">
              <w:t>General Schedule</w:t>
            </w:r>
          </w:p>
        </w:tc>
      </w:tr>
      <w:tr w:rsidR="00D4500B" w:rsidRPr="0098262F" w14:paraId="100C5265" w14:textId="77777777" w:rsidTr="00A6567C">
        <w:tblPrEx>
          <w:tblCellMar>
            <w:top w:w="15" w:type="dxa"/>
            <w:bottom w:w="15" w:type="dxa"/>
          </w:tblCellMar>
          <w:tblLook w:val="04A0" w:firstRow="1" w:lastRow="0" w:firstColumn="1" w:lastColumn="0" w:noHBand="0" w:noVBand="1"/>
        </w:tblPrEx>
        <w:trPr>
          <w:cantSplit/>
          <w:trHeight w:val="20"/>
        </w:trPr>
        <w:tc>
          <w:tcPr>
            <w:tcW w:w="5000" w:type="pct"/>
            <w:gridSpan w:val="6"/>
          </w:tcPr>
          <w:p w14:paraId="13A3DAC4" w14:textId="4D7B5785" w:rsidR="00D4500B" w:rsidRPr="0098262F" w:rsidRDefault="00D4500B">
            <w:pPr>
              <w:pStyle w:val="TableText0"/>
              <w:rPr>
                <w:b/>
              </w:rPr>
            </w:pPr>
            <w:r w:rsidRPr="0098262F">
              <w:rPr>
                <w:b/>
              </w:rPr>
              <w:t xml:space="preserve">Prescriber type: </w:t>
            </w:r>
            <w:r w:rsidRPr="00D319A0">
              <w:rPr>
                <w:rFonts w:cs="Arial"/>
                <w:color w:val="000000"/>
                <w:szCs w:val="22"/>
                <w:lang w:val="en-GB" w:eastAsia="en-US"/>
              </w:rPr>
              <w:fldChar w:fldCharType="begin">
                <w:ffData>
                  <w:name w:val=""/>
                  <w:enabled/>
                  <w:calcOnExit w:val="0"/>
                  <w:checkBox>
                    <w:sizeAuto/>
                    <w:default w:val="1"/>
                  </w:checkBox>
                </w:ffData>
              </w:fldChar>
            </w:r>
            <w:r w:rsidRPr="00D319A0">
              <w:rPr>
                <w:rFonts w:cs="Arial"/>
                <w:color w:val="000000"/>
                <w:szCs w:val="22"/>
                <w:lang w:val="en-GB" w:eastAsia="en-US"/>
              </w:rPr>
              <w:instrText xml:space="preserve"> FORMCHECKBOX </w:instrText>
            </w:r>
            <w:r w:rsidRPr="00D319A0">
              <w:rPr>
                <w:rFonts w:cs="Arial"/>
                <w:color w:val="000000"/>
                <w:szCs w:val="22"/>
                <w:lang w:val="en-GB" w:eastAsia="en-US"/>
              </w:rPr>
            </w:r>
            <w:r w:rsidRPr="00D319A0">
              <w:rPr>
                <w:rFonts w:cs="Arial"/>
                <w:color w:val="000000"/>
                <w:szCs w:val="22"/>
                <w:lang w:val="en-GB" w:eastAsia="en-US"/>
              </w:rPr>
              <w:fldChar w:fldCharType="separate"/>
            </w:r>
            <w:r w:rsidRPr="00D319A0">
              <w:rPr>
                <w:rFonts w:cs="Arial"/>
                <w:color w:val="000000"/>
                <w:szCs w:val="22"/>
                <w:lang w:val="en-GB" w:eastAsia="en-US"/>
              </w:rPr>
              <w:fldChar w:fldCharType="end"/>
            </w:r>
            <w:r w:rsidRPr="0098262F">
              <w:t xml:space="preserve">Medical Practitioners </w:t>
            </w:r>
            <w:r w:rsidRPr="00D319A0">
              <w:rPr>
                <w:rFonts w:cs="Arial"/>
                <w:color w:val="000000"/>
                <w:szCs w:val="22"/>
                <w:lang w:val="en-GB" w:eastAsia="en-US"/>
              </w:rPr>
              <w:fldChar w:fldCharType="begin">
                <w:ffData>
                  <w:name w:val=""/>
                  <w:enabled/>
                  <w:calcOnExit w:val="0"/>
                  <w:checkBox>
                    <w:sizeAuto/>
                    <w:default w:val="1"/>
                  </w:checkBox>
                </w:ffData>
              </w:fldChar>
            </w:r>
            <w:r w:rsidRPr="00D319A0">
              <w:rPr>
                <w:rFonts w:cs="Arial"/>
                <w:color w:val="000000"/>
                <w:szCs w:val="22"/>
                <w:lang w:val="en-GB" w:eastAsia="en-US"/>
              </w:rPr>
              <w:instrText xml:space="preserve"> FORMCHECKBOX </w:instrText>
            </w:r>
            <w:r w:rsidRPr="00D319A0">
              <w:rPr>
                <w:rFonts w:cs="Arial"/>
                <w:color w:val="000000"/>
                <w:szCs w:val="22"/>
                <w:lang w:val="en-GB" w:eastAsia="en-US"/>
              </w:rPr>
            </w:r>
            <w:r w:rsidRPr="00D319A0">
              <w:rPr>
                <w:rFonts w:cs="Arial"/>
                <w:color w:val="000000"/>
                <w:szCs w:val="22"/>
                <w:lang w:val="en-GB" w:eastAsia="en-US"/>
              </w:rPr>
              <w:fldChar w:fldCharType="separate"/>
            </w:r>
            <w:r w:rsidRPr="00D319A0">
              <w:rPr>
                <w:rFonts w:cs="Arial"/>
                <w:color w:val="000000"/>
                <w:szCs w:val="22"/>
                <w:lang w:val="en-GB" w:eastAsia="en-US"/>
              </w:rPr>
              <w:fldChar w:fldCharType="end"/>
            </w:r>
            <w:r w:rsidRPr="0098262F">
              <w:t xml:space="preserve">Nurse practitioners </w:t>
            </w:r>
          </w:p>
        </w:tc>
      </w:tr>
      <w:tr w:rsidR="00D4500B" w:rsidRPr="0098262F" w14:paraId="7652A17B" w14:textId="77777777" w:rsidTr="00A6567C">
        <w:tblPrEx>
          <w:tblCellMar>
            <w:top w:w="15" w:type="dxa"/>
            <w:bottom w:w="15" w:type="dxa"/>
          </w:tblCellMar>
          <w:tblLook w:val="04A0" w:firstRow="1" w:lastRow="0" w:firstColumn="1" w:lastColumn="0" w:noHBand="0" w:noVBand="1"/>
        </w:tblPrEx>
        <w:trPr>
          <w:cantSplit/>
          <w:trHeight w:val="20"/>
        </w:trPr>
        <w:tc>
          <w:tcPr>
            <w:tcW w:w="5000" w:type="pct"/>
            <w:gridSpan w:val="6"/>
          </w:tcPr>
          <w:p w14:paraId="43C1A137" w14:textId="5E694644" w:rsidR="00D4500B" w:rsidRPr="0098262F" w:rsidRDefault="006C1294">
            <w:pPr>
              <w:pStyle w:val="TableText0"/>
              <w:rPr>
                <w:rFonts w:eastAsia="Times New Roman"/>
              </w:rPr>
            </w:pPr>
            <w:r w:rsidRPr="0098262F">
              <w:rPr>
                <w:b/>
              </w:rPr>
              <w:t xml:space="preserve">Restriction type: </w:t>
            </w:r>
            <w:r w:rsidRPr="00D319A0">
              <w:rPr>
                <w:rFonts w:cs="Arial"/>
                <w:color w:val="000000"/>
                <w:szCs w:val="22"/>
                <w:lang w:val="en-GB" w:eastAsia="en-US"/>
              </w:rPr>
              <w:fldChar w:fldCharType="begin">
                <w:ffData>
                  <w:name w:val=""/>
                  <w:enabled/>
                  <w:calcOnExit w:val="0"/>
                  <w:checkBox>
                    <w:sizeAuto/>
                    <w:default w:val="1"/>
                  </w:checkBox>
                </w:ffData>
              </w:fldChar>
            </w:r>
            <w:r w:rsidRPr="00D319A0">
              <w:rPr>
                <w:rFonts w:cs="Arial"/>
                <w:color w:val="000000"/>
                <w:szCs w:val="22"/>
                <w:lang w:val="en-GB" w:eastAsia="en-US"/>
              </w:rPr>
              <w:instrText xml:space="preserve"> FORMCHECKBOX </w:instrText>
            </w:r>
            <w:r w:rsidRPr="00D319A0">
              <w:rPr>
                <w:rFonts w:cs="Arial"/>
                <w:color w:val="000000"/>
                <w:szCs w:val="22"/>
                <w:lang w:val="en-GB" w:eastAsia="en-US"/>
              </w:rPr>
            </w:r>
            <w:r w:rsidRPr="00D319A0">
              <w:rPr>
                <w:rFonts w:cs="Arial"/>
                <w:color w:val="000000"/>
                <w:szCs w:val="22"/>
                <w:lang w:val="en-GB" w:eastAsia="en-US"/>
              </w:rPr>
              <w:fldChar w:fldCharType="separate"/>
            </w:r>
            <w:r w:rsidRPr="00D319A0">
              <w:rPr>
                <w:rFonts w:cs="Arial"/>
                <w:color w:val="000000"/>
                <w:szCs w:val="22"/>
                <w:lang w:val="en-GB" w:eastAsia="en-US"/>
              </w:rPr>
              <w:fldChar w:fldCharType="end"/>
            </w:r>
            <w:r>
              <w:rPr>
                <w:rFonts w:cs="Arial"/>
                <w:color w:val="000000"/>
                <w:szCs w:val="22"/>
                <w:lang w:val="en-GB" w:eastAsia="en-US"/>
              </w:rPr>
              <w:t xml:space="preserve"> </w:t>
            </w:r>
            <w:r w:rsidRPr="0098262F">
              <w:t>Restricted benefit</w:t>
            </w:r>
          </w:p>
        </w:tc>
      </w:tr>
      <w:tr w:rsidR="00D4500B" w:rsidRPr="0098262F" w14:paraId="588805D7" w14:textId="77777777" w:rsidTr="00A6567C">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B09D81A" w14:textId="77777777" w:rsidR="00D4500B" w:rsidRPr="00480486" w:rsidRDefault="00D4500B">
            <w:pPr>
              <w:pStyle w:val="TableText0"/>
              <w:rPr>
                <w:b/>
              </w:rPr>
            </w:pPr>
            <w:r w:rsidRPr="00480486">
              <w:rPr>
                <w:b/>
              </w:rPr>
              <w:t xml:space="preserve">Prescribing Instructions: </w:t>
            </w:r>
          </w:p>
          <w:p w14:paraId="23B4575B" w14:textId="77777777" w:rsidR="00D4500B" w:rsidRPr="0098262F" w:rsidRDefault="00D4500B">
            <w:pPr>
              <w:pStyle w:val="TableText0"/>
              <w:rPr>
                <w:b/>
              </w:rPr>
            </w:pPr>
            <w:r w:rsidRPr="00480486">
              <w:rPr>
                <w:rFonts w:cs="Arial"/>
                <w:color w:val="000000"/>
                <w:szCs w:val="22"/>
                <w:lang w:val="en-GB" w:eastAsia="en-US"/>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0966E5" w:rsidRPr="0098262F" w14:paraId="78FE9D2D" w14:textId="77777777" w:rsidTr="00A6567C">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2EC9435" w14:textId="3FD4FA20" w:rsidR="000966E5" w:rsidRPr="00480486" w:rsidRDefault="000966E5">
            <w:pPr>
              <w:pStyle w:val="TableText0"/>
              <w:rPr>
                <w:b/>
              </w:rPr>
            </w:pPr>
            <w:r w:rsidRPr="000966E5">
              <w:rPr>
                <w:b/>
              </w:rPr>
              <w:t xml:space="preserve">Administrative Advice: </w:t>
            </w:r>
            <w:r w:rsidRPr="000966E5">
              <w:rPr>
                <w:bCs w:val="0"/>
              </w:rPr>
              <w:t>The condition must be stable for the prescriber to consider the listed maximum quantity of this medicine suitable for this patient.</w:t>
            </w:r>
          </w:p>
        </w:tc>
      </w:tr>
    </w:tbl>
    <w:p w14:paraId="2D74F630" w14:textId="220242AE" w:rsidR="00B97F02" w:rsidRPr="00E536B3" w:rsidRDefault="0061451C" w:rsidP="00B97F02">
      <w:pPr>
        <w:pStyle w:val="TableFigureFooter"/>
      </w:pPr>
      <w:r w:rsidRPr="00E536B3">
        <w:t>*</w:t>
      </w:r>
      <w:r w:rsidR="00B97F02" w:rsidRPr="00E536B3">
        <w:t>calculated during the evaluation reflecting updated mark-up prices as of July 2025.</w:t>
      </w:r>
    </w:p>
    <w:p w14:paraId="484C477C" w14:textId="4087DABB" w:rsidR="001171AE" w:rsidRPr="00B937AD" w:rsidRDefault="00B75C7E" w:rsidP="00F9393E">
      <w:pPr>
        <w:pStyle w:val="3-BodyText"/>
      </w:pPr>
      <w:r>
        <w:t xml:space="preserve">The submission requested a listing for Bijuva with a maximum quantity of 28 </w:t>
      </w:r>
      <w:r w:rsidR="0043071A">
        <w:t xml:space="preserve">capsule </w:t>
      </w:r>
      <w:r>
        <w:t xml:space="preserve">(1 pack) and 5 repeats, which will provide approximately 6 months’ worth of </w:t>
      </w:r>
      <w:r>
        <w:lastRenderedPageBreak/>
        <w:t>treatment at a dose of 1 capsule daily, and a corresponding 60-day Restricted Benefit listing of a maximum quantity of 2 packs (2 x 28 capsules) and 5 repeats for approximately 12 months’ worth of treatment.</w:t>
      </w:r>
      <w:r w:rsidR="00C50A50">
        <w:t xml:space="preserve"> </w:t>
      </w:r>
      <w:r w:rsidR="001171AE">
        <w:t xml:space="preserve">The requested restrictions </w:t>
      </w:r>
      <w:r w:rsidR="001C7B25">
        <w:t>are</w:t>
      </w:r>
      <w:r w:rsidR="001171AE">
        <w:t xml:space="preserve"> </w:t>
      </w:r>
      <w:r w:rsidR="001171AE" w:rsidRPr="00B937AD">
        <w:t>consistent with the PBS restrictions for Estrogel Pro.</w:t>
      </w:r>
      <w:r w:rsidR="00513320" w:rsidRPr="00B937AD">
        <w:rPr>
          <w:i/>
          <w:iCs/>
        </w:rPr>
        <w:t xml:space="preserve"> </w:t>
      </w:r>
    </w:p>
    <w:p w14:paraId="191A61F2" w14:textId="7E776B95" w:rsidR="00B75C7E" w:rsidRPr="00B937AD" w:rsidRDefault="00B75C7E" w:rsidP="00B75C7E">
      <w:pPr>
        <w:pStyle w:val="3-BodyText"/>
      </w:pPr>
      <w:r w:rsidRPr="00B937AD">
        <w:rPr>
          <w:rFonts w:ascii="Calibri" w:hAnsi="Calibri" w:cs="Calibri"/>
        </w:rPr>
        <w:t>The submission requested medical practitioners and nurse practitioners for continuing therapy only (CTO) as the authorised prescriber types for the Bijuva listings, consistent with the current PBS listings for Estrogel Pro.</w:t>
      </w:r>
    </w:p>
    <w:p w14:paraId="5C4EA60C" w14:textId="31B952D2" w:rsidR="00B75C7E" w:rsidRPr="00B75C7E" w:rsidRDefault="00B75C7E" w:rsidP="00B75C7E">
      <w:pPr>
        <w:pStyle w:val="3-BodyText"/>
      </w:pPr>
      <w:r w:rsidRPr="00B75C7E">
        <w:t xml:space="preserve">At its July 2025 meeting, the PBAC recommended the removal of the CTO note for estradiol 0.06% (750 microgram/actuation) gel (Estrogel®), progesterone 100 mg capsule (Prometrium®) and Estrogel Pro, without further restrictions placed on nurse practitioners, to be consistent with its November 2024 consideration of listings with a nurse practitioner CTO note. The PBAC </w:t>
      </w:r>
      <w:r>
        <w:t>was</w:t>
      </w:r>
      <w:r w:rsidRPr="00B75C7E">
        <w:t xml:space="preserve"> requested to advise if the CTO note should also be removed for Bijuva, if recommended for listing.</w:t>
      </w:r>
    </w:p>
    <w:p w14:paraId="2191853D" w14:textId="23FBAC3D" w:rsidR="00B75C7E" w:rsidRPr="00B75C7E" w:rsidRDefault="00B75C7E" w:rsidP="00B75C7E">
      <w:pPr>
        <w:pStyle w:val="3-BodyText"/>
      </w:pPr>
      <w:r w:rsidRPr="00B75C7E">
        <w:t xml:space="preserve">Continued Dispensing (CD) arrangements do not currently apply to Estrogel Pro or other PBS-listed menopause hormonal therapy (MHT) medicines. The PBAC </w:t>
      </w:r>
      <w:r>
        <w:t>was</w:t>
      </w:r>
      <w:r w:rsidRPr="00B75C7E">
        <w:t xml:space="preserve"> requested to advise whether CD arrangements should also not apply for Bijuva.</w:t>
      </w:r>
    </w:p>
    <w:p w14:paraId="69F5AC3E" w14:textId="77777777" w:rsidR="00B75C7E" w:rsidRPr="00463031" w:rsidRDefault="00B75C7E" w:rsidP="00B937AD">
      <w:pPr>
        <w:pStyle w:val="3-BodyText"/>
        <w:numPr>
          <w:ilvl w:val="0"/>
          <w:numId w:val="0"/>
        </w:numPr>
        <w:ind w:left="720"/>
      </w:pPr>
    </w:p>
    <w:p w14:paraId="63752229" w14:textId="7A52DDE1" w:rsidR="00463031" w:rsidRPr="00463031" w:rsidRDefault="00463031" w:rsidP="00463031">
      <w:pPr>
        <w:pStyle w:val="3-BodyText"/>
        <w:numPr>
          <w:ilvl w:val="0"/>
          <w:numId w:val="0"/>
        </w:numPr>
        <w:ind w:left="720"/>
        <w:rPr>
          <w:i/>
          <w:iCs/>
        </w:rPr>
      </w:pPr>
      <w:r w:rsidRPr="00463031">
        <w:rPr>
          <w:i/>
          <w:iCs/>
        </w:rPr>
        <w:t>For more detail on PBAC’s view, see section 7 PBAC outcome.</w:t>
      </w:r>
    </w:p>
    <w:p w14:paraId="7075B85C" w14:textId="62A47B7B" w:rsidR="00B50DB8" w:rsidRPr="0098262F" w:rsidDel="00195452" w:rsidRDefault="00203181" w:rsidP="004E18E9">
      <w:pPr>
        <w:pStyle w:val="2-SectionHeading"/>
      </w:pPr>
      <w:bookmarkStart w:id="9" w:name="_Toc208998230"/>
      <w:r w:rsidRPr="0098262F" w:rsidDel="00195452">
        <w:t xml:space="preserve">Population and </w:t>
      </w:r>
      <w:r w:rsidR="008E0D3C" w:rsidRPr="0098262F" w:rsidDel="00195452">
        <w:t>d</w:t>
      </w:r>
      <w:r w:rsidRPr="0098262F" w:rsidDel="00195452">
        <w:t>isease</w:t>
      </w:r>
      <w:bookmarkEnd w:id="9"/>
    </w:p>
    <w:p w14:paraId="59D0BF10" w14:textId="71608904" w:rsidR="00FB063B" w:rsidRDefault="00B20DEF" w:rsidP="00FB063B">
      <w:pPr>
        <w:pStyle w:val="3-BodyText"/>
      </w:pPr>
      <w:r w:rsidRPr="00215905">
        <w:t>Menopause is a natural, age-related biological process that marks the end of a woman’s reproductive years. Post</w:t>
      </w:r>
      <w:r w:rsidR="00142DCA">
        <w:t>-</w:t>
      </w:r>
      <w:r w:rsidRPr="00215905">
        <w:t xml:space="preserve">menopause is defined as the permanent cessation of menstrual cycles for at least 12 months due to the loss of ovarian function, accompanied by a sustained decline in circulating estrogen and progesterone. </w:t>
      </w:r>
      <w:r w:rsidR="00FB063B" w:rsidRPr="00215905">
        <w:t>In Australia, the average age at natural menopause is between 50.5 and 51.2 years</w:t>
      </w:r>
      <w:r w:rsidR="0089165B" w:rsidRPr="00215905">
        <w:t>.</w:t>
      </w:r>
      <w:r w:rsidR="00FB063B" w:rsidRPr="00215905">
        <w:rPr>
          <w:vertAlign w:val="superscript"/>
        </w:rPr>
        <w:footnoteReference w:id="3"/>
      </w:r>
    </w:p>
    <w:p w14:paraId="31B3C57A" w14:textId="1F615362" w:rsidR="00AC1F78" w:rsidRPr="00DB0132" w:rsidRDefault="00B851C6" w:rsidP="00B851C6">
      <w:pPr>
        <w:pStyle w:val="3-BodyText"/>
      </w:pPr>
      <w:r>
        <w:t xml:space="preserve">Menopause is frequently associated with debilitating symptoms, </w:t>
      </w:r>
      <w:r w:rsidR="002E2E8B">
        <w:t xml:space="preserve">including </w:t>
      </w:r>
      <w:r>
        <w:t>vasomotor disturbances, mood changes</w:t>
      </w:r>
      <w:r w:rsidR="002E2E8B" w:rsidRPr="00DB0132">
        <w:t>, j</w:t>
      </w:r>
      <w:r w:rsidRPr="00DB0132">
        <w:t xml:space="preserve">oint pain, fatigue, and cognitive issues, </w:t>
      </w:r>
      <w:r w:rsidR="002E2E8B" w:rsidRPr="00DB0132">
        <w:t>which can</w:t>
      </w:r>
      <w:r w:rsidRPr="00DB0132">
        <w:t xml:space="preserve"> significantly affect quality of life, productivity, and relationships </w:t>
      </w:r>
      <w:r w:rsidR="00CC02FF">
        <w:t>for</w:t>
      </w:r>
      <w:r w:rsidR="00CC02FF" w:rsidRPr="00DB0132">
        <w:t xml:space="preserve"> </w:t>
      </w:r>
      <w:r w:rsidRPr="00DB0132">
        <w:t>women with moderate to sever</w:t>
      </w:r>
      <w:r w:rsidR="002E2E8B" w:rsidRPr="00DB0132">
        <w:t>e</w:t>
      </w:r>
      <w:r w:rsidRPr="00DB0132">
        <w:t xml:space="preserve"> symptoms. </w:t>
      </w:r>
      <w:r w:rsidR="00E3663F" w:rsidRPr="00DB0132">
        <w:t xml:space="preserve">Menopause is also associated with an increased risk of osteoporosis and cardiovascular disease. </w:t>
      </w:r>
      <w:r w:rsidRPr="00DB0132">
        <w:t>In Australia, u</w:t>
      </w:r>
      <w:r w:rsidR="00AC1F78" w:rsidRPr="00DB0132">
        <w:t>p to 80% of women experience menopaus</w:t>
      </w:r>
      <w:r w:rsidR="002E2E8B" w:rsidRPr="00DB0132">
        <w:t>al symptom</w:t>
      </w:r>
      <w:r w:rsidR="00586031">
        <w:t>s</w:t>
      </w:r>
      <w:r w:rsidR="008A29FB" w:rsidRPr="00DB0132">
        <w:t>,</w:t>
      </w:r>
      <w:r w:rsidR="00AC1F78" w:rsidRPr="00DB0132">
        <w:t xml:space="preserve"> and</w:t>
      </w:r>
      <w:r w:rsidR="008A29FB" w:rsidRPr="00DB0132">
        <w:t xml:space="preserve"> around</w:t>
      </w:r>
      <w:r w:rsidR="00AC1F78" w:rsidRPr="00DB0132">
        <w:t xml:space="preserve"> 30% </w:t>
      </w:r>
      <w:r w:rsidR="008A29FB" w:rsidRPr="00DB0132">
        <w:t>report symptoms</w:t>
      </w:r>
      <w:r w:rsidR="00AC1F78" w:rsidRPr="00DB0132">
        <w:t xml:space="preserve"> severe </w:t>
      </w:r>
      <w:r w:rsidR="008A29FB" w:rsidRPr="00DB0132">
        <w:t>enough to significantly</w:t>
      </w:r>
      <w:r w:rsidR="00AC1F78" w:rsidRPr="00DB0132">
        <w:t xml:space="preserve"> interfere with their daily lives</w:t>
      </w:r>
      <w:r w:rsidRPr="00DB0132">
        <w:t>.</w:t>
      </w:r>
      <w:r w:rsidR="00AC1F78" w:rsidRPr="00DB0132">
        <w:rPr>
          <w:rStyle w:val="FootnoteReference"/>
        </w:rPr>
        <w:footnoteReference w:id="4"/>
      </w:r>
      <w:r w:rsidR="00EB7655" w:rsidRPr="00DB0132">
        <w:t xml:space="preserve"> </w:t>
      </w:r>
      <w:r w:rsidR="00175EF9" w:rsidRPr="00DB0132">
        <w:t xml:space="preserve">VMS are among the most frequently reported and burdensome complaints, with 74.2% of postmenopausal women under 55 </w:t>
      </w:r>
      <w:r w:rsidR="00EA4841">
        <w:t xml:space="preserve">years </w:t>
      </w:r>
      <w:r w:rsidR="00175EF9" w:rsidRPr="00DB0132">
        <w:t xml:space="preserve">and 42.1% of those aged 60–65 </w:t>
      </w:r>
      <w:r w:rsidR="00EA4841">
        <w:t xml:space="preserve">years </w:t>
      </w:r>
      <w:r w:rsidR="00175EF9" w:rsidRPr="00DB0132">
        <w:t xml:space="preserve">experiencing them, </w:t>
      </w:r>
      <w:r w:rsidR="000202AC" w:rsidRPr="000202AC">
        <w:t xml:space="preserve">with moderate to </w:t>
      </w:r>
      <w:r w:rsidR="000202AC" w:rsidRPr="000202AC">
        <w:lastRenderedPageBreak/>
        <w:t>severe symptoms reported by 28.5%, 15.1%, and 6.5% of women under 55, 55–59, and 60–65 years, respectively</w:t>
      </w:r>
      <w:r w:rsidR="0089165B" w:rsidRPr="00DB0132">
        <w:t>.</w:t>
      </w:r>
      <w:r w:rsidR="00AC1F78" w:rsidRPr="00DB0132">
        <w:rPr>
          <w:rStyle w:val="FootnoteReference"/>
        </w:rPr>
        <w:footnoteReference w:id="5"/>
      </w:r>
    </w:p>
    <w:p w14:paraId="58ABB987" w14:textId="49868AB3" w:rsidR="00AC1F78" w:rsidRPr="002257EF" w:rsidRDefault="002257EF" w:rsidP="00AC1F78">
      <w:pPr>
        <w:pStyle w:val="3-BodyText"/>
      </w:pPr>
      <w:r w:rsidRPr="002257EF">
        <w:t>P</w:t>
      </w:r>
      <w:r w:rsidR="00AC1F78" w:rsidRPr="002257EF">
        <w:t xml:space="preserve">ostmenopausal women with an intact uterus </w:t>
      </w:r>
      <w:r w:rsidRPr="002257EF">
        <w:t xml:space="preserve">who </w:t>
      </w:r>
      <w:r w:rsidR="00AC1F78" w:rsidRPr="002257EF">
        <w:t>experienc</w:t>
      </w:r>
      <w:r w:rsidRPr="002257EF">
        <w:t xml:space="preserve">e symptoms of </w:t>
      </w:r>
      <w:r w:rsidR="00AC1F78" w:rsidRPr="002257EF">
        <w:t>estrogen deficiency</w:t>
      </w:r>
      <w:r w:rsidRPr="002257EF">
        <w:t xml:space="preserve">, the target population, </w:t>
      </w:r>
      <w:r w:rsidR="00AC1F78" w:rsidRPr="002257EF">
        <w:t>currently have access to both hormonal and non-hormonal treatment options</w:t>
      </w:r>
      <w:r w:rsidR="00AE4705" w:rsidRPr="002257EF">
        <w:t>. MHT</w:t>
      </w:r>
      <w:r w:rsidR="00AC1F78" w:rsidRPr="002257EF">
        <w:t xml:space="preserve"> is recognised as the most effective treatment and is considered first</w:t>
      </w:r>
      <w:r w:rsidRPr="002257EF">
        <w:t>-</w:t>
      </w:r>
      <w:r w:rsidR="00AC1F78" w:rsidRPr="002257EF">
        <w:t>line for symptomatic women.</w:t>
      </w:r>
      <w:r w:rsidR="004254A7">
        <w:rPr>
          <w:rStyle w:val="FootnoteReference"/>
        </w:rPr>
        <w:footnoteReference w:id="6"/>
      </w:r>
      <w:r w:rsidR="0030065F">
        <w:t xml:space="preserve"> </w:t>
      </w:r>
      <w:r w:rsidR="00AC1F78" w:rsidRPr="002257EF">
        <w:t xml:space="preserve">For </w:t>
      </w:r>
      <w:r w:rsidRPr="002257EF">
        <w:t xml:space="preserve">postmenopausal </w:t>
      </w:r>
      <w:r w:rsidR="00AC1F78" w:rsidRPr="002257EF">
        <w:t>women with an intact uterus, combined estrogen-progestogen therapy</w:t>
      </w:r>
      <w:r w:rsidRPr="002257EF">
        <w:t xml:space="preserve"> is required</w:t>
      </w:r>
      <w:r w:rsidR="00AC1F78" w:rsidRPr="002257EF">
        <w:t xml:space="preserve"> to prevent endometrial hyperplasia and reduce</w:t>
      </w:r>
      <w:r w:rsidRPr="002257EF">
        <w:t xml:space="preserve"> the risk of</w:t>
      </w:r>
      <w:r w:rsidR="00AC1F78" w:rsidRPr="002257EF">
        <w:t xml:space="preserve"> endometrial cance</w:t>
      </w:r>
      <w:r w:rsidRPr="002257EF">
        <w:t>r</w:t>
      </w:r>
      <w:r w:rsidR="00AC1F78" w:rsidRPr="002257EF">
        <w:t>.</w:t>
      </w:r>
    </w:p>
    <w:p w14:paraId="2F577B82" w14:textId="10E43D68" w:rsidR="00C71322" w:rsidRDefault="00C71322" w:rsidP="00C71322">
      <w:pPr>
        <w:pStyle w:val="3-BodyText"/>
      </w:pPr>
      <w:r w:rsidRPr="00C71322">
        <w:t>Bijuva is the first and only</w:t>
      </w:r>
      <w:r w:rsidR="00C70AFE">
        <w:t xml:space="preserve"> TGA</w:t>
      </w:r>
      <w:r w:rsidRPr="00C71322">
        <w:t xml:space="preserve"> approved combination of bioidentical </w:t>
      </w:r>
      <w:r w:rsidR="0073513E">
        <w:t>estradiol</w:t>
      </w:r>
      <w:r w:rsidRPr="00C71322">
        <w:t xml:space="preserve"> (1 mg) and bioidentical </w:t>
      </w:r>
      <w:r w:rsidR="00045712">
        <w:t>micronised progesterone (</w:t>
      </w:r>
      <w:r w:rsidRPr="00C71322">
        <w:t>MP</w:t>
      </w:r>
      <w:r w:rsidR="00045712">
        <w:t>)</w:t>
      </w:r>
      <w:r w:rsidRPr="00C71322">
        <w:t xml:space="preserve"> (100 mg) in a single daily oral capsule.</w:t>
      </w:r>
      <w:r w:rsidR="00AC1F78" w:rsidRPr="00C71322">
        <w:t xml:space="preserve"> </w:t>
      </w:r>
      <w:r w:rsidR="0073513E">
        <w:t>Estradiol</w:t>
      </w:r>
      <w:r w:rsidR="00AC1F78" w:rsidRPr="00C71322">
        <w:t xml:space="preserve"> substitutes for the loss of estrogen production in </w:t>
      </w:r>
      <w:r w:rsidRPr="00C71322">
        <w:t>post</w:t>
      </w:r>
      <w:r w:rsidR="00AC1F78" w:rsidRPr="00C71322">
        <w:t xml:space="preserve">menopausal women and alleviates menopausal symptoms by reducing the number and intensity of hot flushes associated with menopause. </w:t>
      </w:r>
      <w:r w:rsidRPr="00C71322">
        <w:t>MP</w:t>
      </w:r>
      <w:r w:rsidR="00AC1F78" w:rsidRPr="00C71322">
        <w:t xml:space="preserve"> acts to oppose the development of endometrial hyperplasia caused by estrogens and reduces the estrogen-induced risk of endometrial hyperplasia in non-hysterectomised women. </w:t>
      </w:r>
      <w:r>
        <w:t xml:space="preserve">The submission stated that the </w:t>
      </w:r>
      <w:r w:rsidRPr="00C71322">
        <w:t>listing of Bijuva would expand the therapeutic options</w:t>
      </w:r>
      <w:r w:rsidR="00426E7E">
        <w:t xml:space="preserve"> in practice</w:t>
      </w:r>
      <w:r w:rsidRPr="00C71322">
        <w:t xml:space="preserve">, providing an alternative to current transdermal and oral </w:t>
      </w:r>
      <w:r>
        <w:t xml:space="preserve">MHT </w:t>
      </w:r>
      <w:r w:rsidRPr="00C71322">
        <w:t>formulations.</w:t>
      </w:r>
    </w:p>
    <w:p w14:paraId="48F8DCA9" w14:textId="595DFA71" w:rsidR="00463031" w:rsidRPr="00463031" w:rsidRDefault="00463031" w:rsidP="00463031">
      <w:pPr>
        <w:pStyle w:val="3-BodyText"/>
        <w:numPr>
          <w:ilvl w:val="0"/>
          <w:numId w:val="0"/>
        </w:numPr>
        <w:ind w:left="720"/>
        <w:rPr>
          <w:i/>
          <w:iCs/>
        </w:rPr>
      </w:pPr>
      <w:r w:rsidRPr="00463031">
        <w:rPr>
          <w:i/>
          <w:iCs/>
        </w:rPr>
        <w:t>For more detail on PBAC’s view, see section 7 PBAC outcome.</w:t>
      </w:r>
    </w:p>
    <w:p w14:paraId="51E5AE96" w14:textId="136A63B1" w:rsidR="00B50DB8" w:rsidRPr="0098262F" w:rsidRDefault="00B50DB8" w:rsidP="004E18E9">
      <w:pPr>
        <w:pStyle w:val="2-SectionHeading"/>
      </w:pPr>
      <w:bookmarkStart w:id="10" w:name="_Toc208998231"/>
      <w:r w:rsidRPr="0098262F">
        <w:t>Comparator</w:t>
      </w:r>
      <w:bookmarkEnd w:id="10"/>
    </w:p>
    <w:p w14:paraId="47D9B48A" w14:textId="78135F41" w:rsidR="002C2775" w:rsidRPr="00C76048" w:rsidRDefault="00ED5BD4" w:rsidP="002E4F02">
      <w:pPr>
        <w:pStyle w:val="3-BodyText"/>
      </w:pPr>
      <w:r w:rsidRPr="0098262F">
        <w:t xml:space="preserve">The submission nominated </w:t>
      </w:r>
      <w:r w:rsidR="00175191">
        <w:t xml:space="preserve">Estrogel Pro, a combination pack containing </w:t>
      </w:r>
      <w:r w:rsidR="0073513E">
        <w:t>estradiol</w:t>
      </w:r>
      <w:r w:rsidR="003E3CDD">
        <w:t xml:space="preserve"> transdermal</w:t>
      </w:r>
      <w:r w:rsidR="00175191">
        <w:t xml:space="preserve"> gel </w:t>
      </w:r>
      <w:r w:rsidR="00175191" w:rsidRPr="00175191">
        <w:t xml:space="preserve">(0.06%; 0.75 </w:t>
      </w:r>
      <w:r w:rsidR="005B1C77">
        <w:t>mg</w:t>
      </w:r>
      <w:r w:rsidR="00175191" w:rsidRPr="00175191">
        <w:t>/actuation) and MP capsules (100 mg)</w:t>
      </w:r>
      <w:r w:rsidRPr="0098262F">
        <w:t xml:space="preserve"> as the </w:t>
      </w:r>
      <w:r w:rsidR="00175191">
        <w:t xml:space="preserve">main </w:t>
      </w:r>
      <w:r w:rsidRPr="0098262F">
        <w:t xml:space="preserve">comparator. </w:t>
      </w:r>
      <w:r w:rsidR="00175191" w:rsidRPr="00175191">
        <w:rPr>
          <w:iCs/>
        </w:rPr>
        <w:t>The main argument provided in</w:t>
      </w:r>
      <w:r w:rsidR="00175191">
        <w:rPr>
          <w:iCs/>
        </w:rPr>
        <w:t xml:space="preserve"> support of this nomination was that Estrogel Pro is the only combination bioidentical MHT</w:t>
      </w:r>
      <w:r w:rsidR="00474336">
        <w:rPr>
          <w:iCs/>
        </w:rPr>
        <w:t xml:space="preserve"> that contains the same active ingredients as Bijuva</w:t>
      </w:r>
      <w:r w:rsidR="00175191">
        <w:rPr>
          <w:iCs/>
        </w:rPr>
        <w:t xml:space="preserve"> listed on the PBS. </w:t>
      </w:r>
      <w:r w:rsidR="009110A3">
        <w:rPr>
          <w:iCs/>
        </w:rPr>
        <w:t xml:space="preserve">The submission also stated that the use of Estrogel Pro is </w:t>
      </w:r>
      <w:r w:rsidR="000D5228">
        <w:rPr>
          <w:iCs/>
        </w:rPr>
        <w:t xml:space="preserve">supported </w:t>
      </w:r>
      <w:r w:rsidR="000D5228" w:rsidRPr="000D5228">
        <w:rPr>
          <w:iCs/>
        </w:rPr>
        <w:t>under Recommendation 19</w:t>
      </w:r>
      <w:r w:rsidR="00005F5C">
        <w:rPr>
          <w:iCs/>
        </w:rPr>
        <w:t xml:space="preserve"> </w:t>
      </w:r>
      <w:r w:rsidR="00005F5C" w:rsidRPr="00556C6C">
        <w:t>of the inquiry report</w:t>
      </w:r>
      <w:r w:rsidR="00005F5C" w:rsidRPr="002C39A6">
        <w:t>, as referenced in paragraph</w:t>
      </w:r>
      <w:r w:rsidR="00FE5EC9">
        <w:t> </w:t>
      </w:r>
      <w:r w:rsidR="00FE5EC9">
        <w:fldChar w:fldCharType="begin"/>
      </w:r>
      <w:r w:rsidR="00FE5EC9">
        <w:instrText xml:space="preserve"> REF _Ref207724486 \r \h </w:instrText>
      </w:r>
      <w:r w:rsidR="00FE5EC9">
        <w:fldChar w:fldCharType="separate"/>
      </w:r>
      <w:r w:rsidR="00724077">
        <w:t>2.2</w:t>
      </w:r>
      <w:r w:rsidR="00FE5EC9">
        <w:fldChar w:fldCharType="end"/>
      </w:r>
      <w:r w:rsidR="00005F5C" w:rsidRPr="002C39A6">
        <w:t xml:space="preserve">. </w:t>
      </w:r>
      <w:r w:rsidR="0016613B" w:rsidRPr="00D56078">
        <w:t xml:space="preserve">The ESC noted </w:t>
      </w:r>
      <w:r w:rsidR="003327E3" w:rsidRPr="00D56078">
        <w:t xml:space="preserve">that while oral progesterone 100 mg capsules </w:t>
      </w:r>
      <w:r w:rsidR="002A1625" w:rsidRPr="00D56078">
        <w:t xml:space="preserve">(in Prometrium and the progesterone component in Estrogel Pro) is the only micronised progesterone currently PBS-listed, </w:t>
      </w:r>
      <w:r w:rsidR="00490082" w:rsidRPr="00D56078">
        <w:t xml:space="preserve">estradiol (as hemihydrate) is currently listed on the PBS in the following forms: </w:t>
      </w:r>
      <w:r w:rsidR="00BA41EA" w:rsidRPr="00D56078">
        <w:t>2 mg tablet (</w:t>
      </w:r>
      <w:proofErr w:type="spellStart"/>
      <w:r w:rsidR="00BA41EA" w:rsidRPr="00D56078">
        <w:t>Zumenon</w:t>
      </w:r>
      <w:proofErr w:type="spellEnd"/>
      <w:r w:rsidR="00BA41EA" w:rsidRPr="00D56078">
        <w:rPr>
          <w:rFonts w:cstheme="minorHAnsi"/>
        </w:rPr>
        <w:t>®</w:t>
      </w:r>
      <w:r w:rsidR="00BA41EA" w:rsidRPr="00D56078">
        <w:t xml:space="preserve">); </w:t>
      </w:r>
      <w:r w:rsidR="00DB67F0" w:rsidRPr="00D56078">
        <w:t>gel sachets (</w:t>
      </w:r>
      <w:proofErr w:type="spellStart"/>
      <w:r w:rsidR="001969F7" w:rsidRPr="00D56078">
        <w:t>Sandrena</w:t>
      </w:r>
      <w:proofErr w:type="spellEnd"/>
      <w:r w:rsidR="001969F7" w:rsidRPr="00D56078">
        <w:rPr>
          <w:rFonts w:cstheme="minorHAnsi"/>
        </w:rPr>
        <w:t>®</w:t>
      </w:r>
      <w:r w:rsidR="001969F7" w:rsidRPr="00D56078">
        <w:t>)</w:t>
      </w:r>
      <w:r w:rsidR="00447F26" w:rsidRPr="00D56078">
        <w:t>,</w:t>
      </w:r>
      <w:r w:rsidR="00142B4C" w:rsidRPr="00D56078">
        <w:t xml:space="preserve"> patches (</w:t>
      </w:r>
      <w:r w:rsidR="005019F5" w:rsidRPr="00D56078">
        <w:t xml:space="preserve">e.g. </w:t>
      </w:r>
      <w:proofErr w:type="spellStart"/>
      <w:r w:rsidR="005019F5" w:rsidRPr="00D56078">
        <w:t>Estradot</w:t>
      </w:r>
      <w:proofErr w:type="spellEnd"/>
      <w:r w:rsidR="005019F5" w:rsidRPr="00D56078">
        <w:rPr>
          <w:rFonts w:cstheme="minorHAnsi"/>
        </w:rPr>
        <w:t>®</w:t>
      </w:r>
      <w:r w:rsidR="005019F5" w:rsidRPr="00D56078">
        <w:t xml:space="preserve">, </w:t>
      </w:r>
      <w:r w:rsidR="00B56981" w:rsidRPr="00D56078">
        <w:t>Estraderm</w:t>
      </w:r>
      <w:r w:rsidR="00B56981" w:rsidRPr="00D56078">
        <w:rPr>
          <w:rFonts w:cstheme="minorHAnsi"/>
        </w:rPr>
        <w:t>®</w:t>
      </w:r>
      <w:r w:rsidR="00BD2660" w:rsidRPr="00D56078">
        <w:t>)</w:t>
      </w:r>
      <w:r w:rsidR="00447F26" w:rsidRPr="00D56078">
        <w:t xml:space="preserve"> and </w:t>
      </w:r>
      <w:r w:rsidR="0040141B" w:rsidRPr="00D56078">
        <w:t>topical gel (Estrogel)</w:t>
      </w:r>
      <w:r w:rsidR="00BD2660" w:rsidRPr="00D56078">
        <w:t>.</w:t>
      </w:r>
    </w:p>
    <w:p w14:paraId="40501B32" w14:textId="533476AD" w:rsidR="00AE0C5F" w:rsidRPr="00AE0C5F" w:rsidRDefault="00F442B8" w:rsidP="009E1621">
      <w:pPr>
        <w:pStyle w:val="3-BodyText"/>
        <w:rPr>
          <w:iCs/>
        </w:rPr>
      </w:pPr>
      <w:bookmarkStart w:id="11" w:name="_Ref207884960"/>
      <w:r w:rsidRPr="007B6BC1">
        <w:rPr>
          <w:iCs/>
        </w:rPr>
        <w:t xml:space="preserve">The nominated comparator may not be </w:t>
      </w:r>
      <w:r w:rsidR="0009475E" w:rsidRPr="007B6BC1">
        <w:rPr>
          <w:iCs/>
        </w:rPr>
        <w:t>appropriate</w:t>
      </w:r>
      <w:r w:rsidRPr="007B6BC1">
        <w:rPr>
          <w:iCs/>
        </w:rPr>
        <w:t>.</w:t>
      </w:r>
      <w:r w:rsidR="00C76048" w:rsidRPr="007B6BC1">
        <w:rPr>
          <w:iCs/>
        </w:rPr>
        <w:t xml:space="preserve"> </w:t>
      </w:r>
      <w:r w:rsidR="00720CB3" w:rsidRPr="007B6BC1">
        <w:rPr>
          <w:iCs/>
        </w:rPr>
        <w:t xml:space="preserve">Oral </w:t>
      </w:r>
      <w:r w:rsidR="00C76048" w:rsidRPr="007B6BC1">
        <w:rPr>
          <w:iCs/>
        </w:rPr>
        <w:t xml:space="preserve">estradiol tablets </w:t>
      </w:r>
      <w:r w:rsidR="00720CB3" w:rsidRPr="007B6BC1">
        <w:rPr>
          <w:iCs/>
        </w:rPr>
        <w:t>were previously considered</w:t>
      </w:r>
      <w:r w:rsidR="00C76048" w:rsidRPr="007B6BC1">
        <w:rPr>
          <w:iCs/>
        </w:rPr>
        <w:t xml:space="preserve"> to be inappropriate comparators for </w:t>
      </w:r>
      <w:r w:rsidR="00720CB3" w:rsidRPr="007B6BC1">
        <w:rPr>
          <w:iCs/>
        </w:rPr>
        <w:t xml:space="preserve">transdermal </w:t>
      </w:r>
      <w:r w:rsidR="00C76048" w:rsidRPr="007B6BC1">
        <w:rPr>
          <w:iCs/>
        </w:rPr>
        <w:t xml:space="preserve">estradiol gels (paragraph 5.2, </w:t>
      </w:r>
      <w:r w:rsidR="005C3811">
        <w:rPr>
          <w:iCs/>
        </w:rPr>
        <w:t>e</w:t>
      </w:r>
      <w:r w:rsidR="005C3811" w:rsidRPr="007B6BC1">
        <w:rPr>
          <w:iCs/>
        </w:rPr>
        <w:t xml:space="preserve">stradiol </w:t>
      </w:r>
      <w:r w:rsidR="00031176" w:rsidRPr="007B6BC1">
        <w:rPr>
          <w:iCs/>
        </w:rPr>
        <w:t>and progesterone</w:t>
      </w:r>
      <w:r w:rsidR="00C76048" w:rsidRPr="007B6BC1">
        <w:rPr>
          <w:iCs/>
        </w:rPr>
        <w:t xml:space="preserve">, Public Summary Document [PSD], November 2024 PBAC Meeting). This view was based on </w:t>
      </w:r>
      <w:r w:rsidR="0009475E" w:rsidRPr="007B6BC1">
        <w:rPr>
          <w:iCs/>
        </w:rPr>
        <w:t xml:space="preserve">the </w:t>
      </w:r>
      <w:r w:rsidR="00C76048" w:rsidRPr="007B6BC1">
        <w:rPr>
          <w:iCs/>
        </w:rPr>
        <w:t xml:space="preserve">evidence that oral estrogen carries a higher risk of venous thromboembolism (VTE) than transdermal </w:t>
      </w:r>
      <w:r w:rsidR="00C76048" w:rsidRPr="007B6BC1">
        <w:rPr>
          <w:iCs/>
        </w:rPr>
        <w:lastRenderedPageBreak/>
        <w:t>estrogen, and that oral estrogen is contraindicated in patients with risk factors for VTE or cardiovascular disease, elevated triglycerides, liver disease, or gallbladder disease.</w:t>
      </w:r>
      <w:bookmarkEnd w:id="11"/>
      <w:r w:rsidR="00946E4E">
        <w:rPr>
          <w:iCs/>
        </w:rPr>
        <w:t xml:space="preserve"> </w:t>
      </w:r>
    </w:p>
    <w:p w14:paraId="28CE7663" w14:textId="53936777" w:rsidR="00A20995" w:rsidRPr="00D56078" w:rsidRDefault="00B33EFB" w:rsidP="009E1621">
      <w:pPr>
        <w:pStyle w:val="3-BodyText"/>
        <w:rPr>
          <w:iCs/>
        </w:rPr>
      </w:pPr>
      <w:r w:rsidRPr="00D56078">
        <w:rPr>
          <w:iCs/>
        </w:rPr>
        <w:t xml:space="preserve">The PSCR argued that </w:t>
      </w:r>
      <w:r w:rsidR="00A17085" w:rsidRPr="00D56078">
        <w:rPr>
          <w:iCs/>
        </w:rPr>
        <w:t xml:space="preserve">both Bijuva and Estrogel Pro have the same </w:t>
      </w:r>
      <w:r w:rsidR="00C321EF" w:rsidRPr="00D56078">
        <w:rPr>
          <w:iCs/>
        </w:rPr>
        <w:t>contraindications in their P</w:t>
      </w:r>
      <w:r w:rsidR="00063859" w:rsidRPr="00D56078">
        <w:rPr>
          <w:iCs/>
        </w:rPr>
        <w:t xml:space="preserve">roduct </w:t>
      </w:r>
      <w:r w:rsidR="00C321EF" w:rsidRPr="00D56078">
        <w:rPr>
          <w:iCs/>
        </w:rPr>
        <w:t>I</w:t>
      </w:r>
      <w:r w:rsidR="00063859" w:rsidRPr="00D56078">
        <w:rPr>
          <w:iCs/>
        </w:rPr>
        <w:t>nformation</w:t>
      </w:r>
      <w:r w:rsidR="003F5B34" w:rsidRPr="00D56078">
        <w:rPr>
          <w:iCs/>
        </w:rPr>
        <w:t xml:space="preserve"> (PI)</w:t>
      </w:r>
      <w:r w:rsidR="00C321EF" w:rsidRPr="00D56078">
        <w:rPr>
          <w:iCs/>
        </w:rPr>
        <w:t xml:space="preserve">, with no difference in contraindications with cardiovascular conditions, </w:t>
      </w:r>
      <w:r w:rsidR="0097286C" w:rsidRPr="00D56078">
        <w:rPr>
          <w:iCs/>
        </w:rPr>
        <w:t>liver disease or gallbladder disease</w:t>
      </w:r>
      <w:r w:rsidR="005862D5" w:rsidRPr="00D56078">
        <w:rPr>
          <w:iCs/>
        </w:rPr>
        <w:t xml:space="preserve">, and no difference in the conditions requiring supervision or reasons for immediate withdrawal of therapy </w:t>
      </w:r>
      <w:r w:rsidR="00994610" w:rsidRPr="00D56078">
        <w:rPr>
          <w:iCs/>
        </w:rPr>
        <w:t xml:space="preserve">included in the PIs. </w:t>
      </w:r>
    </w:p>
    <w:p w14:paraId="08582FF2" w14:textId="509413CD" w:rsidR="000E4459" w:rsidRPr="00D56078" w:rsidRDefault="000F4CB3" w:rsidP="009E1621">
      <w:pPr>
        <w:pStyle w:val="3-BodyText"/>
        <w:rPr>
          <w:iCs/>
        </w:rPr>
      </w:pPr>
      <w:r w:rsidRPr="00D56078">
        <w:rPr>
          <w:iCs/>
        </w:rPr>
        <w:t>The PSCR</w:t>
      </w:r>
      <w:r w:rsidR="004C3A5E" w:rsidRPr="00D56078">
        <w:rPr>
          <w:iCs/>
        </w:rPr>
        <w:t xml:space="preserve"> </w:t>
      </w:r>
      <w:r w:rsidRPr="00D56078">
        <w:rPr>
          <w:iCs/>
        </w:rPr>
        <w:t>claimed</w:t>
      </w:r>
      <w:r w:rsidR="004C3A5E" w:rsidRPr="00D56078">
        <w:rPr>
          <w:iCs/>
        </w:rPr>
        <w:t xml:space="preserve"> that </w:t>
      </w:r>
      <w:r w:rsidR="005E5705" w:rsidRPr="00D56078">
        <w:rPr>
          <w:iCs/>
        </w:rPr>
        <w:t xml:space="preserve">there is limited evidence to </w:t>
      </w:r>
      <w:r w:rsidR="00012A7E" w:rsidRPr="00D56078">
        <w:rPr>
          <w:iCs/>
        </w:rPr>
        <w:t>demonstrate differences in cardiovascular risk with Bijuva compared to transdermal MHT.</w:t>
      </w:r>
      <w:r w:rsidR="00A20995" w:rsidRPr="00D56078">
        <w:rPr>
          <w:iCs/>
        </w:rPr>
        <w:t xml:space="preserve"> The PSCR also stated that </w:t>
      </w:r>
      <w:r w:rsidR="00282F13" w:rsidRPr="00D56078">
        <w:rPr>
          <w:iCs/>
        </w:rPr>
        <w:t xml:space="preserve">in menopausal women with elevated VTE, stroke or cardiometabolic risk, transdermal estrogens </w:t>
      </w:r>
      <w:r w:rsidR="0061371D" w:rsidRPr="00D56078">
        <w:rPr>
          <w:iCs/>
        </w:rPr>
        <w:t>have lower risk tha</w:t>
      </w:r>
      <w:r w:rsidR="00DF2C53" w:rsidRPr="00D56078">
        <w:rPr>
          <w:iCs/>
        </w:rPr>
        <w:t>n</w:t>
      </w:r>
      <w:r w:rsidR="0061371D" w:rsidRPr="00D56078">
        <w:rPr>
          <w:iCs/>
        </w:rPr>
        <w:t xml:space="preserve"> comparable oral therapy</w:t>
      </w:r>
      <w:r w:rsidR="00292A69" w:rsidRPr="00D56078">
        <w:rPr>
          <w:iCs/>
        </w:rPr>
        <w:t>.</w:t>
      </w:r>
    </w:p>
    <w:p w14:paraId="512E2AC5" w14:textId="77777777" w:rsidR="000E4459" w:rsidRPr="007B6BC1" w:rsidRDefault="00B64C00" w:rsidP="00F75183">
      <w:pPr>
        <w:pStyle w:val="3-BodyText"/>
        <w:rPr>
          <w:iCs/>
        </w:rPr>
      </w:pPr>
      <w:r w:rsidRPr="007B6BC1">
        <w:rPr>
          <w:iCs/>
        </w:rPr>
        <w:t xml:space="preserve">More relevant comparators may include PBS-listed </w:t>
      </w:r>
      <w:proofErr w:type="spellStart"/>
      <w:r w:rsidRPr="007B6BC1">
        <w:rPr>
          <w:iCs/>
        </w:rPr>
        <w:t>Femoston</w:t>
      </w:r>
      <w:proofErr w:type="spellEnd"/>
      <w:r w:rsidRPr="007B6BC1">
        <w:rPr>
          <w:iCs/>
        </w:rPr>
        <w:t xml:space="preserve">® (oral estradiol + dydrogesterone) or oral estradiol tablets with MP capsules. </w:t>
      </w:r>
    </w:p>
    <w:p w14:paraId="7FC1D4CE" w14:textId="4751299F" w:rsidR="000E4459" w:rsidRPr="007B6BC1" w:rsidRDefault="00C17165">
      <w:pPr>
        <w:pStyle w:val="3-BodyText"/>
        <w:rPr>
          <w:iCs/>
        </w:rPr>
      </w:pPr>
      <w:bookmarkStart w:id="12" w:name="_Ref211939478"/>
      <w:r w:rsidRPr="007B6BC1">
        <w:rPr>
          <w:iCs/>
        </w:rPr>
        <w:t xml:space="preserve">The submission argued that </w:t>
      </w:r>
      <w:proofErr w:type="spellStart"/>
      <w:r w:rsidRPr="007B6BC1">
        <w:rPr>
          <w:iCs/>
        </w:rPr>
        <w:t>Femoston</w:t>
      </w:r>
      <w:proofErr w:type="spellEnd"/>
      <w:r w:rsidRPr="007B6BC1">
        <w:rPr>
          <w:iCs/>
        </w:rPr>
        <w:t xml:space="preserve"> may not be an appropriate comparator because it </w:t>
      </w:r>
      <w:r w:rsidR="002C39A6" w:rsidRPr="007B6BC1">
        <w:rPr>
          <w:iCs/>
        </w:rPr>
        <w:t xml:space="preserve">does not align with the preferred combination of </w:t>
      </w:r>
      <w:r w:rsidR="0073513E" w:rsidRPr="007B6BC1">
        <w:rPr>
          <w:iCs/>
        </w:rPr>
        <w:t>estradiol</w:t>
      </w:r>
      <w:r w:rsidR="002C39A6" w:rsidRPr="007B6BC1">
        <w:rPr>
          <w:iCs/>
        </w:rPr>
        <w:t xml:space="preserve"> and MP</w:t>
      </w:r>
      <w:r w:rsidR="00556C6C" w:rsidRPr="007B6BC1">
        <w:rPr>
          <w:iCs/>
        </w:rPr>
        <w:t>, and that it follows a cyclical regimen rather than a continuous regimen.</w:t>
      </w:r>
      <w:r w:rsidR="002C39A6" w:rsidRPr="007B6BC1">
        <w:rPr>
          <w:iCs/>
        </w:rPr>
        <w:t xml:space="preserve"> </w:t>
      </w:r>
      <w:r w:rsidR="00556C6C" w:rsidRPr="007B6BC1">
        <w:rPr>
          <w:iCs/>
        </w:rPr>
        <w:t xml:space="preserve">The submission also noted that </w:t>
      </w:r>
      <w:proofErr w:type="spellStart"/>
      <w:r w:rsidR="00556C6C" w:rsidRPr="007B6BC1">
        <w:rPr>
          <w:iCs/>
        </w:rPr>
        <w:t>Femoston</w:t>
      </w:r>
      <w:proofErr w:type="spellEnd"/>
      <w:r w:rsidR="00556C6C" w:rsidRPr="007B6BC1">
        <w:rPr>
          <w:iCs/>
        </w:rPr>
        <w:t xml:space="preserve"> contains a synthetic progestin and therefore does not meet the comparator selection criteria outlined in Recommendation 19 of the inquiry report</w:t>
      </w:r>
      <w:r w:rsidR="002C39A6" w:rsidRPr="007B6BC1">
        <w:rPr>
          <w:iCs/>
        </w:rPr>
        <w:t>, as referenced in paragraph</w:t>
      </w:r>
      <w:r w:rsidR="00367275">
        <w:rPr>
          <w:iCs/>
        </w:rPr>
        <w:t> </w:t>
      </w:r>
      <w:r w:rsidR="00367275">
        <w:rPr>
          <w:iCs/>
        </w:rPr>
        <w:fldChar w:fldCharType="begin"/>
      </w:r>
      <w:r w:rsidR="00367275">
        <w:rPr>
          <w:iCs/>
        </w:rPr>
        <w:instrText xml:space="preserve"> REF _Ref207724486 \r \h </w:instrText>
      </w:r>
      <w:r w:rsidR="00367275">
        <w:rPr>
          <w:iCs/>
        </w:rPr>
      </w:r>
      <w:r w:rsidR="00367275">
        <w:rPr>
          <w:iCs/>
        </w:rPr>
        <w:fldChar w:fldCharType="separate"/>
      </w:r>
      <w:r w:rsidR="00724077">
        <w:rPr>
          <w:iCs/>
        </w:rPr>
        <w:t>2.2</w:t>
      </w:r>
      <w:r w:rsidR="00367275">
        <w:rPr>
          <w:iCs/>
        </w:rPr>
        <w:fldChar w:fldCharType="end"/>
      </w:r>
      <w:r w:rsidR="002C39A6" w:rsidRPr="007B6BC1">
        <w:rPr>
          <w:iCs/>
        </w:rPr>
        <w:t>.</w:t>
      </w:r>
      <w:r w:rsidR="00715C59" w:rsidRPr="00D56078">
        <w:rPr>
          <w:iCs/>
        </w:rPr>
        <w:t xml:space="preserve"> </w:t>
      </w:r>
      <w:r w:rsidR="00507CDC" w:rsidRPr="00D56078">
        <w:rPr>
          <w:iCs/>
        </w:rPr>
        <w:t xml:space="preserve">The PSCR </w:t>
      </w:r>
      <w:r w:rsidR="004C76C8">
        <w:rPr>
          <w:iCs/>
        </w:rPr>
        <w:t xml:space="preserve">and pre-PBAC response (PSCR) </w:t>
      </w:r>
      <w:r w:rsidR="00507CDC" w:rsidRPr="00D56078">
        <w:rPr>
          <w:iCs/>
        </w:rPr>
        <w:t xml:space="preserve"> </w:t>
      </w:r>
      <w:r w:rsidR="008D690E" w:rsidRPr="00D56078">
        <w:rPr>
          <w:iCs/>
        </w:rPr>
        <w:t>reiterated that the nominated comparator was aligned with Recommenda</w:t>
      </w:r>
      <w:r w:rsidR="009F5B81" w:rsidRPr="00D56078">
        <w:rPr>
          <w:iCs/>
        </w:rPr>
        <w:t>t</w:t>
      </w:r>
      <w:r w:rsidR="008D690E" w:rsidRPr="00D56078">
        <w:rPr>
          <w:iCs/>
        </w:rPr>
        <w:t>ion 19 of the Senate</w:t>
      </w:r>
      <w:r w:rsidR="00082D3C" w:rsidRPr="00D56078">
        <w:rPr>
          <w:iCs/>
        </w:rPr>
        <w:t xml:space="preserve"> inquiry report</w:t>
      </w:r>
      <w:r w:rsidR="00796763" w:rsidRPr="00D56078">
        <w:rPr>
          <w:iCs/>
        </w:rPr>
        <w:t>, and claimed data demonstrates non-</w:t>
      </w:r>
      <w:r w:rsidR="006E66E6" w:rsidRPr="00D56078">
        <w:rPr>
          <w:iCs/>
        </w:rPr>
        <w:t xml:space="preserve">inferiority </w:t>
      </w:r>
      <w:r w:rsidR="00796763" w:rsidRPr="00D56078">
        <w:rPr>
          <w:iCs/>
        </w:rPr>
        <w:t>between Bijuva and Estrogel Pro.</w:t>
      </w:r>
      <w:r w:rsidR="00BA266E" w:rsidRPr="00D56078">
        <w:rPr>
          <w:iCs/>
        </w:rPr>
        <w:t xml:space="preserve"> The PSCR also </w:t>
      </w:r>
      <w:r w:rsidR="00C4688B" w:rsidRPr="00D56078">
        <w:rPr>
          <w:iCs/>
        </w:rPr>
        <w:t xml:space="preserve">argued that </w:t>
      </w:r>
      <w:proofErr w:type="spellStart"/>
      <w:r w:rsidR="00C4688B" w:rsidRPr="00D56078">
        <w:rPr>
          <w:iCs/>
        </w:rPr>
        <w:t>Femoston</w:t>
      </w:r>
      <w:proofErr w:type="spellEnd"/>
      <w:r w:rsidR="00C4688B" w:rsidRPr="00D56078">
        <w:rPr>
          <w:iCs/>
        </w:rPr>
        <w:t xml:space="preserve"> is not an appropriate comparator because it is not bioidentical</w:t>
      </w:r>
      <w:r w:rsidR="00066F1C" w:rsidRPr="00D56078">
        <w:rPr>
          <w:iCs/>
        </w:rPr>
        <w:t xml:space="preserve">, and that it is used by </w:t>
      </w:r>
      <w:r w:rsidR="001F1CC3" w:rsidRPr="00D56078">
        <w:rPr>
          <w:iCs/>
        </w:rPr>
        <w:t>a</w:t>
      </w:r>
      <w:r w:rsidR="006D638C" w:rsidRPr="00D56078">
        <w:rPr>
          <w:iCs/>
        </w:rPr>
        <w:t xml:space="preserve"> patient population</w:t>
      </w:r>
      <w:r w:rsidR="001F1CC3" w:rsidRPr="00D56078">
        <w:rPr>
          <w:iCs/>
        </w:rPr>
        <w:t xml:space="preserve"> independent</w:t>
      </w:r>
      <w:r w:rsidR="006D638C" w:rsidRPr="00D56078">
        <w:rPr>
          <w:iCs/>
        </w:rPr>
        <w:t xml:space="preserve"> to patients suitable for Bijuva</w:t>
      </w:r>
      <w:r w:rsidR="00955B36" w:rsidRPr="00D56078">
        <w:rPr>
          <w:iCs/>
        </w:rPr>
        <w:t>.</w:t>
      </w:r>
      <w:r w:rsidR="008D5065" w:rsidRPr="00D56078">
        <w:rPr>
          <w:iCs/>
        </w:rPr>
        <w:t xml:space="preserve"> The ESC agreed that </w:t>
      </w:r>
      <w:proofErr w:type="spellStart"/>
      <w:r w:rsidR="008D5065" w:rsidRPr="00D56078">
        <w:rPr>
          <w:iCs/>
        </w:rPr>
        <w:t>Femoston</w:t>
      </w:r>
      <w:proofErr w:type="spellEnd"/>
      <w:r w:rsidR="008D5065" w:rsidRPr="00D56078">
        <w:rPr>
          <w:iCs/>
        </w:rPr>
        <w:t xml:space="preserve"> was a c</w:t>
      </w:r>
      <w:r w:rsidR="00E05B68" w:rsidRPr="00D56078">
        <w:rPr>
          <w:iCs/>
        </w:rPr>
        <w:t>yclical regimen, compared to Bijuva which provided the same dose of MHT continuously.</w:t>
      </w:r>
      <w:r w:rsidR="002C39A6" w:rsidRPr="007B6BC1">
        <w:rPr>
          <w:iCs/>
        </w:rPr>
        <w:t xml:space="preserve"> </w:t>
      </w:r>
      <w:r w:rsidR="00556C6C" w:rsidRPr="007B6BC1">
        <w:rPr>
          <w:iCs/>
        </w:rPr>
        <w:t xml:space="preserve">Estrogel Pro </w:t>
      </w:r>
      <w:r w:rsidR="00197265">
        <w:rPr>
          <w:iCs/>
        </w:rPr>
        <w:t>can</w:t>
      </w:r>
      <w:r w:rsidR="00197265" w:rsidRPr="007B6BC1">
        <w:rPr>
          <w:iCs/>
        </w:rPr>
        <w:t xml:space="preserve"> </w:t>
      </w:r>
      <w:r w:rsidR="00556C6C" w:rsidRPr="007B6BC1">
        <w:rPr>
          <w:iCs/>
        </w:rPr>
        <w:t>also</w:t>
      </w:r>
      <w:r w:rsidR="00197265">
        <w:rPr>
          <w:iCs/>
        </w:rPr>
        <w:t xml:space="preserve"> be</w:t>
      </w:r>
      <w:r w:rsidR="00556C6C" w:rsidRPr="007B6BC1">
        <w:rPr>
          <w:iCs/>
        </w:rPr>
        <w:t xml:space="preserve"> administered in a cyclical regimen</w:t>
      </w:r>
      <w:r w:rsidR="009000A4">
        <w:rPr>
          <w:iCs/>
        </w:rPr>
        <w:t xml:space="preserve"> (topical estradiol daily </w:t>
      </w:r>
      <w:r w:rsidR="009A738F">
        <w:rPr>
          <w:iCs/>
        </w:rPr>
        <w:t xml:space="preserve">with oral progesterone 100 mg daily for </w:t>
      </w:r>
      <w:r w:rsidR="00BE3E9B">
        <w:rPr>
          <w:iCs/>
        </w:rPr>
        <w:t>days 1-25 of each cycle, or oral progesterone 200 mg daily for 12 days in the last half of the cycle (</w:t>
      </w:r>
      <w:r w:rsidR="00073C93">
        <w:rPr>
          <w:iCs/>
        </w:rPr>
        <w:t>days 15-26)</w:t>
      </w:r>
      <w:r w:rsidR="00556C6C" w:rsidRPr="007B6BC1">
        <w:rPr>
          <w:iCs/>
        </w:rPr>
        <w:t>, and both dydrogesterone and MP provide effective endometrial protection when combined with estradiol.</w:t>
      </w:r>
      <w:bookmarkEnd w:id="12"/>
      <w:r w:rsidR="00556C6C" w:rsidRPr="007B6BC1">
        <w:rPr>
          <w:iCs/>
        </w:rPr>
        <w:t xml:space="preserve"> </w:t>
      </w:r>
    </w:p>
    <w:p w14:paraId="445CAFB4" w14:textId="4FE475D4" w:rsidR="00DC501F" w:rsidRPr="007B6BC1" w:rsidRDefault="00243963">
      <w:pPr>
        <w:pStyle w:val="3-BodyText"/>
        <w:rPr>
          <w:iCs/>
        </w:rPr>
      </w:pPr>
      <w:r w:rsidRPr="007B6BC1">
        <w:rPr>
          <w:iCs/>
        </w:rPr>
        <w:t xml:space="preserve">Additionally, the submission stated that </w:t>
      </w:r>
      <w:r w:rsidR="00605E9C" w:rsidRPr="007B6BC1">
        <w:rPr>
          <w:iCs/>
        </w:rPr>
        <w:t>no</w:t>
      </w:r>
      <w:r w:rsidR="0083008B" w:rsidRPr="007B6BC1">
        <w:rPr>
          <w:iCs/>
        </w:rPr>
        <w:t xml:space="preserve"> 1 mg</w:t>
      </w:r>
      <w:r w:rsidR="00605E9C" w:rsidRPr="007B6BC1">
        <w:rPr>
          <w:iCs/>
        </w:rPr>
        <w:t xml:space="preserve"> estradiol hemihydrate</w:t>
      </w:r>
      <w:r w:rsidR="00A94D1A" w:rsidRPr="007B6BC1">
        <w:rPr>
          <w:iCs/>
        </w:rPr>
        <w:t>,</w:t>
      </w:r>
      <w:r w:rsidR="00891D27" w:rsidRPr="007B6BC1">
        <w:rPr>
          <w:iCs/>
        </w:rPr>
        <w:t xml:space="preserve"> the estradiol form in Bijuva and Estrogel Pro,</w:t>
      </w:r>
      <w:r w:rsidR="00605E9C" w:rsidRPr="007B6BC1">
        <w:rPr>
          <w:iCs/>
        </w:rPr>
        <w:t xml:space="preserve"> </w:t>
      </w:r>
      <w:r w:rsidR="00AC1B2B" w:rsidRPr="007B6BC1">
        <w:rPr>
          <w:iCs/>
        </w:rPr>
        <w:t xml:space="preserve">oral tablets </w:t>
      </w:r>
      <w:r w:rsidR="005C48BE" w:rsidRPr="007B6BC1">
        <w:rPr>
          <w:iCs/>
        </w:rPr>
        <w:t xml:space="preserve">are </w:t>
      </w:r>
      <w:r w:rsidR="00605E9C" w:rsidRPr="007B6BC1">
        <w:rPr>
          <w:iCs/>
        </w:rPr>
        <w:t>listed on the PBS. W</w:t>
      </w:r>
      <w:r w:rsidR="00087FF4" w:rsidRPr="007B6BC1">
        <w:rPr>
          <w:iCs/>
        </w:rPr>
        <w:t xml:space="preserve">hile </w:t>
      </w:r>
      <w:r w:rsidR="00D6120A" w:rsidRPr="007B6BC1">
        <w:rPr>
          <w:iCs/>
        </w:rPr>
        <w:t>PBS-listed</w:t>
      </w:r>
      <w:r w:rsidR="00087FF4" w:rsidRPr="007B6BC1">
        <w:rPr>
          <w:iCs/>
        </w:rPr>
        <w:t xml:space="preserve"> </w:t>
      </w:r>
      <w:proofErr w:type="spellStart"/>
      <w:r w:rsidR="00087FF4" w:rsidRPr="007B6BC1">
        <w:rPr>
          <w:iCs/>
        </w:rPr>
        <w:t>Progynova</w:t>
      </w:r>
      <w:proofErr w:type="spellEnd"/>
      <w:r w:rsidR="00D6120A" w:rsidRPr="007B6BC1">
        <w:rPr>
          <w:iCs/>
        </w:rPr>
        <w:t>®</w:t>
      </w:r>
      <w:r w:rsidR="000C1E59" w:rsidRPr="007B6BC1">
        <w:rPr>
          <w:iCs/>
        </w:rPr>
        <w:t xml:space="preserve">, an </w:t>
      </w:r>
      <w:r w:rsidR="00087FF4" w:rsidRPr="007B6BC1">
        <w:rPr>
          <w:iCs/>
        </w:rPr>
        <w:t>estradiol valerate oral tablet</w:t>
      </w:r>
      <w:r w:rsidR="00D26F0E">
        <w:rPr>
          <w:iCs/>
        </w:rPr>
        <w:t>,</w:t>
      </w:r>
      <w:r w:rsidR="00087FF4" w:rsidRPr="007B6BC1">
        <w:rPr>
          <w:iCs/>
        </w:rPr>
        <w:t xml:space="preserve"> </w:t>
      </w:r>
      <w:r w:rsidR="000C1E59" w:rsidRPr="007B6BC1">
        <w:rPr>
          <w:iCs/>
        </w:rPr>
        <w:t>can be used with PBS-listed</w:t>
      </w:r>
      <w:r w:rsidR="00087FF4" w:rsidRPr="007B6BC1">
        <w:rPr>
          <w:iCs/>
        </w:rPr>
        <w:t xml:space="preserve"> Prometrium</w:t>
      </w:r>
      <w:r w:rsidR="000C1E59" w:rsidRPr="007B6BC1">
        <w:rPr>
          <w:iCs/>
        </w:rPr>
        <w:t xml:space="preserve">®, a </w:t>
      </w:r>
      <w:r w:rsidR="00087FF4" w:rsidRPr="007B6BC1">
        <w:rPr>
          <w:iCs/>
        </w:rPr>
        <w:t>bioidentical MP oral capsule</w:t>
      </w:r>
      <w:r w:rsidR="000C1E59" w:rsidRPr="007B6BC1">
        <w:rPr>
          <w:iCs/>
        </w:rPr>
        <w:t>,</w:t>
      </w:r>
      <w:r w:rsidR="00087FF4" w:rsidRPr="007B6BC1">
        <w:rPr>
          <w:iCs/>
        </w:rPr>
        <w:t xml:space="preserve"> </w:t>
      </w:r>
      <w:r w:rsidR="000C1E59" w:rsidRPr="007B6BC1">
        <w:rPr>
          <w:iCs/>
        </w:rPr>
        <w:t xml:space="preserve">the </w:t>
      </w:r>
      <w:r w:rsidR="00605E9C" w:rsidRPr="007B6BC1">
        <w:rPr>
          <w:iCs/>
        </w:rPr>
        <w:t>estradiol valerate</w:t>
      </w:r>
      <w:r w:rsidR="00E13645" w:rsidRPr="007B6BC1">
        <w:rPr>
          <w:iCs/>
        </w:rPr>
        <w:t xml:space="preserve"> has a different chemical structure </w:t>
      </w:r>
      <w:r w:rsidR="00BF7059" w:rsidRPr="007B6BC1">
        <w:rPr>
          <w:iCs/>
        </w:rPr>
        <w:t xml:space="preserve">compared to estradiol hemihydrate </w:t>
      </w:r>
      <w:r w:rsidR="00E13645" w:rsidRPr="007B6BC1">
        <w:rPr>
          <w:iCs/>
        </w:rPr>
        <w:t>and requires cleavage either during absorption by the intestinal mucosa or fi</w:t>
      </w:r>
      <w:r w:rsidR="00D26F0E">
        <w:rPr>
          <w:iCs/>
        </w:rPr>
        <w:t>r</w:t>
      </w:r>
      <w:r w:rsidR="00E13645" w:rsidRPr="007B6BC1">
        <w:rPr>
          <w:iCs/>
        </w:rPr>
        <w:t>st pass metabolism in the liver</w:t>
      </w:r>
      <w:r w:rsidR="00D26F0E">
        <w:rPr>
          <w:iCs/>
        </w:rPr>
        <w:t>,</w:t>
      </w:r>
      <w:r w:rsidR="00E13645" w:rsidRPr="007B6BC1">
        <w:rPr>
          <w:iCs/>
        </w:rPr>
        <w:t xml:space="preserve"> to be converted into estradiol and valeric acid.</w:t>
      </w:r>
      <w:r w:rsidR="00DC2206">
        <w:rPr>
          <w:iCs/>
        </w:rPr>
        <w:t xml:space="preserve"> </w:t>
      </w:r>
    </w:p>
    <w:p w14:paraId="505C3FF5" w14:textId="201C47A5" w:rsidR="001122D8" w:rsidRDefault="006F0E1A">
      <w:pPr>
        <w:pStyle w:val="3-BodyText"/>
        <w:rPr>
          <w:iCs/>
        </w:rPr>
      </w:pPr>
      <w:r w:rsidRPr="007B6BC1">
        <w:rPr>
          <w:iCs/>
        </w:rPr>
        <w:t>C</w:t>
      </w:r>
      <w:r w:rsidR="00C76048" w:rsidRPr="007B6BC1">
        <w:rPr>
          <w:iCs/>
        </w:rPr>
        <w:t xml:space="preserve">ombination </w:t>
      </w:r>
      <w:r w:rsidR="001122D8" w:rsidRPr="007B6BC1">
        <w:rPr>
          <w:iCs/>
        </w:rPr>
        <w:t>patches were not</w:t>
      </w:r>
      <w:r w:rsidR="00225CF8" w:rsidRPr="007B6BC1">
        <w:rPr>
          <w:iCs/>
        </w:rPr>
        <w:t xml:space="preserve"> considered</w:t>
      </w:r>
      <w:r w:rsidR="001122D8" w:rsidRPr="007B6BC1">
        <w:rPr>
          <w:iCs/>
        </w:rPr>
        <w:t xml:space="preserve"> appropriate comparators because of the</w:t>
      </w:r>
      <w:r w:rsidRPr="007B6BC1">
        <w:rPr>
          <w:iCs/>
        </w:rPr>
        <w:t xml:space="preserve"> different</w:t>
      </w:r>
      <w:r w:rsidR="001122D8" w:rsidRPr="007B6BC1">
        <w:rPr>
          <w:iCs/>
        </w:rPr>
        <w:t xml:space="preserve"> mode of delivery.</w:t>
      </w:r>
      <w:r w:rsidR="008E5AA8" w:rsidRPr="007B6BC1">
        <w:rPr>
          <w:iCs/>
        </w:rPr>
        <w:t xml:space="preserve"> </w:t>
      </w:r>
      <w:r w:rsidR="00527775" w:rsidRPr="007B6BC1">
        <w:rPr>
          <w:iCs/>
        </w:rPr>
        <w:t xml:space="preserve">While this was reasonable, </w:t>
      </w:r>
      <w:r w:rsidR="00011B77" w:rsidRPr="007B6BC1">
        <w:rPr>
          <w:iCs/>
        </w:rPr>
        <w:t>it was</w:t>
      </w:r>
      <w:r w:rsidR="00527775" w:rsidRPr="007B6BC1">
        <w:rPr>
          <w:iCs/>
        </w:rPr>
        <w:t xml:space="preserve"> inconsistent with the selection of Estrogel Pro as a comparator, wh</w:t>
      </w:r>
      <w:r w:rsidR="00E63441" w:rsidRPr="007B6BC1">
        <w:rPr>
          <w:iCs/>
        </w:rPr>
        <w:t>ere the estradiol component</w:t>
      </w:r>
      <w:r w:rsidR="00527775" w:rsidRPr="007B6BC1">
        <w:rPr>
          <w:iCs/>
        </w:rPr>
        <w:t xml:space="preserve"> also differs in its mode of delivery compared to Bijuva.</w:t>
      </w:r>
    </w:p>
    <w:p w14:paraId="3E45413B" w14:textId="7A7A631F" w:rsidR="00A7008B" w:rsidRPr="00D56078" w:rsidRDefault="00A7008B">
      <w:pPr>
        <w:pStyle w:val="3-BodyText"/>
        <w:rPr>
          <w:iCs/>
        </w:rPr>
      </w:pPr>
      <w:r w:rsidRPr="00D56078">
        <w:rPr>
          <w:iCs/>
        </w:rPr>
        <w:t xml:space="preserve">The ESC noted </w:t>
      </w:r>
      <w:r w:rsidR="00B7575E" w:rsidRPr="00D56078">
        <w:rPr>
          <w:iCs/>
        </w:rPr>
        <w:t xml:space="preserve">the submission nominated Estrogel Pro as the comparator </w:t>
      </w:r>
      <w:r w:rsidR="00244BAC" w:rsidRPr="00D56078">
        <w:rPr>
          <w:iCs/>
        </w:rPr>
        <w:t>on the basis that it is</w:t>
      </w:r>
      <w:r w:rsidR="00B7575E" w:rsidRPr="00D56078">
        <w:rPr>
          <w:iCs/>
        </w:rPr>
        <w:t xml:space="preserve"> the only bioidentical MHT product PBS-listed, and Recommendation 19 from the Senate inquiry report. </w:t>
      </w:r>
      <w:r w:rsidR="00FB127C" w:rsidRPr="00D56078">
        <w:rPr>
          <w:iCs/>
        </w:rPr>
        <w:t xml:space="preserve">The ESC noted </w:t>
      </w:r>
      <w:r w:rsidR="00F70776" w:rsidRPr="00D56078">
        <w:rPr>
          <w:iCs/>
        </w:rPr>
        <w:t>the submission</w:t>
      </w:r>
      <w:r w:rsidR="004E2685" w:rsidRPr="00D56078">
        <w:rPr>
          <w:iCs/>
        </w:rPr>
        <w:t xml:space="preserve"> stated it</w:t>
      </w:r>
      <w:r w:rsidR="00F70776" w:rsidRPr="00D56078">
        <w:rPr>
          <w:iCs/>
        </w:rPr>
        <w:t xml:space="preserve"> did not include</w:t>
      </w:r>
      <w:r w:rsidR="00C04C5A" w:rsidRPr="00D56078">
        <w:rPr>
          <w:iCs/>
        </w:rPr>
        <w:t xml:space="preserve"> MHT </w:t>
      </w:r>
      <w:r w:rsidR="00C04C5A" w:rsidRPr="00D56078">
        <w:rPr>
          <w:iCs/>
        </w:rPr>
        <w:lastRenderedPageBreak/>
        <w:t xml:space="preserve">patches as comparators due to the different mode of delivery to Bijuva, however also noted that Estrogel Pro has a </w:t>
      </w:r>
      <w:r w:rsidR="0087510B" w:rsidRPr="00D56078">
        <w:rPr>
          <w:iCs/>
        </w:rPr>
        <w:t>different mode of delivery for its estrogen component.</w:t>
      </w:r>
      <w:r w:rsidR="00E46264" w:rsidRPr="00D56078">
        <w:rPr>
          <w:iCs/>
        </w:rPr>
        <w:t xml:space="preserve"> </w:t>
      </w:r>
    </w:p>
    <w:p w14:paraId="51CA75E8" w14:textId="74882C96" w:rsidR="00FA11EB" w:rsidRPr="00D56078" w:rsidRDefault="009F2210">
      <w:pPr>
        <w:pStyle w:val="3-BodyText"/>
        <w:rPr>
          <w:iCs/>
        </w:rPr>
      </w:pPr>
      <w:r w:rsidRPr="00D56078">
        <w:rPr>
          <w:iCs/>
        </w:rPr>
        <w:t xml:space="preserve">The ESC noted </w:t>
      </w:r>
      <w:r w:rsidR="00AF0356" w:rsidRPr="00D56078">
        <w:rPr>
          <w:iCs/>
        </w:rPr>
        <w:t xml:space="preserve">evidence demonstrates different </w:t>
      </w:r>
      <w:r w:rsidR="00F22C0C" w:rsidRPr="00D56078">
        <w:rPr>
          <w:iCs/>
        </w:rPr>
        <w:t>risks with the use of MHT depending on individual patient factors. In women</w:t>
      </w:r>
      <w:r w:rsidR="004A4FCE" w:rsidRPr="00D56078">
        <w:rPr>
          <w:iCs/>
        </w:rPr>
        <w:t xml:space="preserve"> in menopause with an increased risk of VTE, stroke or cardiometabolic risk, the use of transdermal estrogen </w:t>
      </w:r>
      <w:r w:rsidR="0084331E" w:rsidRPr="00D56078">
        <w:rPr>
          <w:iCs/>
        </w:rPr>
        <w:t xml:space="preserve">is lower risk than a comparable dose of oral estrogen. </w:t>
      </w:r>
      <w:r w:rsidR="00BA7D80" w:rsidRPr="00D56078">
        <w:rPr>
          <w:iCs/>
        </w:rPr>
        <w:t>L</w:t>
      </w:r>
      <w:r w:rsidR="0084331E" w:rsidRPr="00D56078">
        <w:rPr>
          <w:iCs/>
        </w:rPr>
        <w:t>imited evidence has shown that</w:t>
      </w:r>
      <w:r w:rsidR="007279CF" w:rsidRPr="00D56078">
        <w:rPr>
          <w:iCs/>
        </w:rPr>
        <w:t>,</w:t>
      </w:r>
      <w:r w:rsidR="0084331E" w:rsidRPr="00D56078">
        <w:rPr>
          <w:iCs/>
        </w:rPr>
        <w:t xml:space="preserve"> </w:t>
      </w:r>
      <w:r w:rsidR="00517313" w:rsidRPr="00D56078">
        <w:rPr>
          <w:iCs/>
        </w:rPr>
        <w:t>in postmenopausal women with average risk &lt;60 years of age</w:t>
      </w:r>
      <w:r w:rsidR="007000E5" w:rsidRPr="00D56078">
        <w:rPr>
          <w:iCs/>
        </w:rPr>
        <w:t>,</w:t>
      </w:r>
      <w:r w:rsidR="00517313" w:rsidRPr="00D56078">
        <w:rPr>
          <w:iCs/>
        </w:rPr>
        <w:t xml:space="preserve"> there has not been shown to be an increased risk of VTE, stroke or cardiovascular </w:t>
      </w:r>
      <w:r w:rsidR="007768B2" w:rsidRPr="00D56078">
        <w:rPr>
          <w:iCs/>
        </w:rPr>
        <w:t xml:space="preserve">events with the use of low-dose </w:t>
      </w:r>
      <w:r w:rsidR="001F237D" w:rsidRPr="00D56078">
        <w:rPr>
          <w:iCs/>
        </w:rPr>
        <w:t xml:space="preserve">oral </w:t>
      </w:r>
      <w:r w:rsidR="007768B2" w:rsidRPr="00D56078">
        <w:rPr>
          <w:iCs/>
        </w:rPr>
        <w:t xml:space="preserve">estrogens (1 mg </w:t>
      </w:r>
      <w:r w:rsidR="00D246E9" w:rsidRPr="00D56078">
        <w:rPr>
          <w:iCs/>
        </w:rPr>
        <w:t>17</w:t>
      </w:r>
      <w:r w:rsidR="00D246E9" w:rsidRPr="00D56078">
        <w:rPr>
          <w:rFonts w:cstheme="minorHAnsi"/>
          <w:iCs/>
        </w:rPr>
        <w:t>β-</w:t>
      </w:r>
      <w:r w:rsidR="007768B2" w:rsidRPr="00D56078">
        <w:rPr>
          <w:iCs/>
        </w:rPr>
        <w:t xml:space="preserve">estradiol or 0.45 mg </w:t>
      </w:r>
      <w:r w:rsidR="00D246E9" w:rsidRPr="00D56078">
        <w:rPr>
          <w:iCs/>
        </w:rPr>
        <w:t>conjugated estrogens)</w:t>
      </w:r>
      <w:r w:rsidR="00BA7D80" w:rsidRPr="00D56078">
        <w:rPr>
          <w:iCs/>
        </w:rPr>
        <w:t>, although additional data from adequately powered studies will increase knowledge in this area.</w:t>
      </w:r>
      <w:r w:rsidR="00FB6D75" w:rsidRPr="00D56078">
        <w:rPr>
          <w:rStyle w:val="FootnoteReference"/>
          <w:iCs/>
        </w:rPr>
        <w:footnoteReference w:id="7"/>
      </w:r>
      <w:r w:rsidR="001C797F" w:rsidRPr="00D56078">
        <w:rPr>
          <w:iCs/>
        </w:rPr>
        <w:t xml:space="preserve"> </w:t>
      </w:r>
    </w:p>
    <w:p w14:paraId="03DC331D" w14:textId="3A651305" w:rsidR="009175E6" w:rsidRPr="00D56078" w:rsidRDefault="009175E6">
      <w:pPr>
        <w:pStyle w:val="3-BodyText"/>
        <w:rPr>
          <w:iCs/>
        </w:rPr>
      </w:pPr>
      <w:r w:rsidRPr="00D56078">
        <w:rPr>
          <w:iCs/>
        </w:rPr>
        <w:t xml:space="preserve">The ESC considered other forms of MHT could be considered alternative comparators, and patients using an MHT patch may switch </w:t>
      </w:r>
      <w:r w:rsidR="00E05161" w:rsidRPr="00D56078">
        <w:rPr>
          <w:iCs/>
        </w:rPr>
        <w:t>to Bijuva if they were unable to tolerate topical therapy</w:t>
      </w:r>
      <w:r w:rsidR="008B5194" w:rsidRPr="00D56078">
        <w:rPr>
          <w:iCs/>
        </w:rPr>
        <w:t>.</w:t>
      </w:r>
      <w:r w:rsidR="00E05161" w:rsidRPr="00D56078">
        <w:rPr>
          <w:iCs/>
        </w:rPr>
        <w:t xml:space="preserve"> </w:t>
      </w:r>
    </w:p>
    <w:p w14:paraId="0855A973" w14:textId="6BA571DB" w:rsidR="007121A1" w:rsidRDefault="007121A1">
      <w:pPr>
        <w:pStyle w:val="3-BodyText"/>
        <w:rPr>
          <w:iCs/>
        </w:rPr>
      </w:pPr>
      <w:r w:rsidRPr="00D56078">
        <w:rPr>
          <w:iCs/>
        </w:rPr>
        <w:t xml:space="preserve">The ESC therefore advised that Estrogel Pro </w:t>
      </w:r>
      <w:r w:rsidR="00D70110" w:rsidRPr="00D56078">
        <w:rPr>
          <w:iCs/>
        </w:rPr>
        <w:t xml:space="preserve">is an appropriate comparator. </w:t>
      </w:r>
      <w:r w:rsidR="003226EE" w:rsidRPr="00D56078">
        <w:rPr>
          <w:iCs/>
        </w:rPr>
        <w:t>However, as Estrogel Pro contains a topical gel, it is reasonable to also include other topical MHT products listed on the PBS</w:t>
      </w:r>
      <w:r w:rsidR="007C5670" w:rsidRPr="00D56078">
        <w:rPr>
          <w:iCs/>
        </w:rPr>
        <w:t xml:space="preserve"> containing an estrogen + progestogen as alternative comparators</w:t>
      </w:r>
      <w:r w:rsidR="003226EE" w:rsidRPr="00D56078">
        <w:rPr>
          <w:iCs/>
        </w:rPr>
        <w:t xml:space="preserve"> (e.g. </w:t>
      </w:r>
      <w:r w:rsidR="00916772" w:rsidRPr="00D56078">
        <w:rPr>
          <w:iCs/>
        </w:rPr>
        <w:t>MHT patches</w:t>
      </w:r>
      <w:r w:rsidR="00624A40" w:rsidRPr="00D56078">
        <w:rPr>
          <w:iCs/>
        </w:rPr>
        <w:t xml:space="preserve"> such as estradiol + norethisterone acetate patches [</w:t>
      </w:r>
      <w:proofErr w:type="spellStart"/>
      <w:r w:rsidR="00624A40" w:rsidRPr="00D56078">
        <w:rPr>
          <w:iCs/>
        </w:rPr>
        <w:t>Estalis</w:t>
      </w:r>
      <w:proofErr w:type="spellEnd"/>
      <w:r w:rsidR="00B90F24" w:rsidRPr="00D56078">
        <w:rPr>
          <w:rFonts w:cstheme="minorHAnsi"/>
          <w:iCs/>
        </w:rPr>
        <w:t>®</w:t>
      </w:r>
      <w:r w:rsidR="00624A40" w:rsidRPr="00D56078">
        <w:rPr>
          <w:iCs/>
        </w:rPr>
        <w:t xml:space="preserve"> Continuous]</w:t>
      </w:r>
      <w:r w:rsidR="00916772" w:rsidRPr="00D56078">
        <w:rPr>
          <w:iCs/>
        </w:rPr>
        <w:t xml:space="preserve">). The ESC advised that </w:t>
      </w:r>
      <w:proofErr w:type="spellStart"/>
      <w:r w:rsidR="00916772" w:rsidRPr="00D56078">
        <w:rPr>
          <w:iCs/>
        </w:rPr>
        <w:t>Femoston</w:t>
      </w:r>
      <w:proofErr w:type="spellEnd"/>
      <w:r w:rsidR="00916772" w:rsidRPr="00D56078">
        <w:rPr>
          <w:iCs/>
        </w:rPr>
        <w:t xml:space="preserve"> </w:t>
      </w:r>
      <w:r w:rsidR="00EA7702" w:rsidRPr="00D56078">
        <w:rPr>
          <w:iCs/>
        </w:rPr>
        <w:t xml:space="preserve">may </w:t>
      </w:r>
      <w:r w:rsidR="00916772" w:rsidRPr="00D56078">
        <w:rPr>
          <w:iCs/>
        </w:rPr>
        <w:t xml:space="preserve">not </w:t>
      </w:r>
      <w:r w:rsidR="00EA7702" w:rsidRPr="00D56078">
        <w:rPr>
          <w:iCs/>
        </w:rPr>
        <w:t xml:space="preserve">be </w:t>
      </w:r>
      <w:r w:rsidR="00916772" w:rsidRPr="00D56078">
        <w:rPr>
          <w:iCs/>
        </w:rPr>
        <w:t xml:space="preserve">an appropriate comparator as it </w:t>
      </w:r>
      <w:r w:rsidR="00870025" w:rsidRPr="00D56078">
        <w:rPr>
          <w:iCs/>
        </w:rPr>
        <w:t>is not listed on the PBS for a continuous therapy regimen</w:t>
      </w:r>
      <w:r w:rsidR="00A42B59" w:rsidRPr="00D56078">
        <w:rPr>
          <w:iCs/>
        </w:rPr>
        <w:t xml:space="preserve"> (14 days estradiol </w:t>
      </w:r>
      <w:r w:rsidR="00645B30" w:rsidRPr="00D56078">
        <w:rPr>
          <w:iCs/>
        </w:rPr>
        <w:t>and</w:t>
      </w:r>
      <w:r w:rsidR="00A42B59" w:rsidRPr="00D56078">
        <w:rPr>
          <w:iCs/>
        </w:rPr>
        <w:t xml:space="preserve"> 14 day</w:t>
      </w:r>
      <w:r w:rsidR="00645B30" w:rsidRPr="00D56078">
        <w:rPr>
          <w:iCs/>
        </w:rPr>
        <w:t>s</w:t>
      </w:r>
      <w:r w:rsidR="00A42B59" w:rsidRPr="00D56078">
        <w:rPr>
          <w:iCs/>
        </w:rPr>
        <w:t xml:space="preserve"> estradiol + dydrogesterone)</w:t>
      </w:r>
      <w:r w:rsidR="00916772" w:rsidRPr="00D56078">
        <w:rPr>
          <w:iCs/>
        </w:rPr>
        <w:t xml:space="preserve">, whereas </w:t>
      </w:r>
      <w:r w:rsidR="009C31EB">
        <w:rPr>
          <w:iCs/>
        </w:rPr>
        <w:t>Estrogel Pro</w:t>
      </w:r>
      <w:r w:rsidR="00916772" w:rsidRPr="00D56078">
        <w:rPr>
          <w:iCs/>
        </w:rPr>
        <w:t xml:space="preserve"> </w:t>
      </w:r>
      <w:r w:rsidR="005A3DF9" w:rsidRPr="00D56078">
        <w:rPr>
          <w:iCs/>
        </w:rPr>
        <w:t>provides</w:t>
      </w:r>
      <w:r w:rsidR="00F270F3" w:rsidRPr="00D56078">
        <w:rPr>
          <w:iCs/>
        </w:rPr>
        <w:t xml:space="preserve"> either </w:t>
      </w:r>
      <w:r w:rsidR="00645B30" w:rsidRPr="00D56078">
        <w:rPr>
          <w:iCs/>
        </w:rPr>
        <w:t xml:space="preserve">estradiol </w:t>
      </w:r>
      <w:r w:rsidR="00BF42FE" w:rsidRPr="00D56078">
        <w:rPr>
          <w:iCs/>
        </w:rPr>
        <w:t xml:space="preserve">daily </w:t>
      </w:r>
      <w:r w:rsidR="000401BB" w:rsidRPr="00D56078">
        <w:rPr>
          <w:iCs/>
        </w:rPr>
        <w:t>with</w:t>
      </w:r>
      <w:r w:rsidR="00BF42FE" w:rsidRPr="00D56078">
        <w:rPr>
          <w:iCs/>
        </w:rPr>
        <w:t xml:space="preserve"> progesterone </w:t>
      </w:r>
      <w:r w:rsidR="000401BB" w:rsidRPr="00D56078">
        <w:rPr>
          <w:iCs/>
        </w:rPr>
        <w:t xml:space="preserve">for 12 days in the last half of the cycle, or estradiol daily with </w:t>
      </w:r>
      <w:r w:rsidR="006A3D02" w:rsidRPr="00D56078">
        <w:rPr>
          <w:iCs/>
        </w:rPr>
        <w:t>progesterone for days 1-25 of each cycle (paragraph</w:t>
      </w:r>
      <w:r w:rsidR="005A3DF9" w:rsidRPr="00D56078">
        <w:rPr>
          <w:iCs/>
        </w:rPr>
        <w:t xml:space="preserve"> </w:t>
      </w:r>
      <w:r w:rsidR="006A3D02" w:rsidRPr="00D56078">
        <w:rPr>
          <w:iCs/>
        </w:rPr>
        <w:fldChar w:fldCharType="begin"/>
      </w:r>
      <w:r w:rsidR="006A3D02" w:rsidRPr="00D56078">
        <w:rPr>
          <w:iCs/>
        </w:rPr>
        <w:instrText xml:space="preserve"> REF _Ref211939478 \r \h </w:instrText>
      </w:r>
      <w:r w:rsidR="00D56078">
        <w:rPr>
          <w:iCs/>
        </w:rPr>
        <w:instrText xml:space="preserve"> \* MERGEFORMAT </w:instrText>
      </w:r>
      <w:r w:rsidR="006A3D02" w:rsidRPr="00D56078">
        <w:rPr>
          <w:iCs/>
        </w:rPr>
      </w:r>
      <w:r w:rsidR="006A3D02" w:rsidRPr="00D56078">
        <w:rPr>
          <w:iCs/>
        </w:rPr>
        <w:fldChar w:fldCharType="separate"/>
      </w:r>
      <w:r w:rsidR="00724077">
        <w:rPr>
          <w:iCs/>
        </w:rPr>
        <w:t>5.6</w:t>
      </w:r>
      <w:r w:rsidR="006A3D02" w:rsidRPr="00D56078">
        <w:rPr>
          <w:iCs/>
        </w:rPr>
        <w:fldChar w:fldCharType="end"/>
      </w:r>
      <w:r w:rsidR="006A3D02" w:rsidRPr="00D56078">
        <w:rPr>
          <w:iCs/>
        </w:rPr>
        <w:t>).</w:t>
      </w:r>
    </w:p>
    <w:p w14:paraId="56F5D21C" w14:textId="3CC851A4" w:rsidR="00463031" w:rsidRPr="00463031" w:rsidRDefault="00463031" w:rsidP="00463031">
      <w:pPr>
        <w:pStyle w:val="3-BodyText"/>
        <w:numPr>
          <w:ilvl w:val="0"/>
          <w:numId w:val="0"/>
        </w:numPr>
        <w:ind w:left="720"/>
        <w:rPr>
          <w:i/>
        </w:rPr>
      </w:pPr>
      <w:r w:rsidRPr="00463031">
        <w:rPr>
          <w:i/>
        </w:rPr>
        <w:t>For more detail on PBAC’s view, see section 7 PBAC outcome.</w:t>
      </w:r>
    </w:p>
    <w:p w14:paraId="7F9C27C8" w14:textId="77777777" w:rsidR="00223D5A" w:rsidRPr="0098262F" w:rsidRDefault="00223D5A" w:rsidP="00223D5A">
      <w:pPr>
        <w:pStyle w:val="2-SectionHeading"/>
        <w:numPr>
          <w:ilvl w:val="0"/>
          <w:numId w:val="1"/>
        </w:numPr>
      </w:pPr>
      <w:bookmarkStart w:id="13" w:name="_Toc208998232"/>
      <w:bookmarkStart w:id="14" w:name="_Toc22897640"/>
      <w:r w:rsidRPr="0098262F">
        <w:t>Consideration of the evidence</w:t>
      </w:r>
      <w:bookmarkEnd w:id="13"/>
    </w:p>
    <w:p w14:paraId="35BE7357" w14:textId="77777777" w:rsidR="00CC5081" w:rsidRPr="006E1229" w:rsidRDefault="00CC5081" w:rsidP="004F5810">
      <w:pPr>
        <w:pStyle w:val="4-SubsectionHeading"/>
      </w:pPr>
      <w:bookmarkStart w:id="15" w:name="_Hlk76375935"/>
      <w:bookmarkStart w:id="16" w:name="_Toc208998233"/>
      <w:r w:rsidRPr="006E1229">
        <w:t>Sponsor hearing</w:t>
      </w:r>
    </w:p>
    <w:p w14:paraId="63A7001B" w14:textId="5EA521E2" w:rsidR="00CC5081" w:rsidRPr="00F91542" w:rsidRDefault="00CC5081" w:rsidP="00CC5081">
      <w:pPr>
        <w:widowControl w:val="0"/>
        <w:numPr>
          <w:ilvl w:val="1"/>
          <w:numId w:val="1"/>
        </w:numPr>
        <w:spacing w:after="120"/>
        <w:rPr>
          <w:rFonts w:cs="Calibri"/>
          <w:bCs/>
          <w:snapToGrid w:val="0"/>
        </w:rPr>
      </w:pPr>
      <w:r w:rsidRPr="00F91542">
        <w:rPr>
          <w:rFonts w:cs="Calibri"/>
          <w:bCs/>
          <w:snapToGrid w:val="0"/>
        </w:rPr>
        <w:t>There was no hearing for this item.</w:t>
      </w:r>
    </w:p>
    <w:p w14:paraId="7C06DBBB" w14:textId="77777777" w:rsidR="00CC5081" w:rsidRPr="006E1229" w:rsidRDefault="00CC5081" w:rsidP="004F5810">
      <w:pPr>
        <w:pStyle w:val="4-SubsectionHeading"/>
      </w:pPr>
      <w:r w:rsidRPr="006E1229">
        <w:t xml:space="preserve">Consumer </w:t>
      </w:r>
      <w:r>
        <w:t>input</w:t>
      </w:r>
      <w:r w:rsidRPr="006E1229">
        <w:t>s</w:t>
      </w:r>
    </w:p>
    <w:p w14:paraId="5108377D" w14:textId="1E908E65" w:rsidR="00352FB4" w:rsidRDefault="00CC5081" w:rsidP="00CC5081">
      <w:pPr>
        <w:widowControl w:val="0"/>
        <w:numPr>
          <w:ilvl w:val="1"/>
          <w:numId w:val="1"/>
        </w:numPr>
        <w:spacing w:after="120"/>
        <w:rPr>
          <w:rFonts w:asciiTheme="minorHAnsi" w:hAnsiTheme="minorHAnsi"/>
          <w:bCs/>
          <w:snapToGrid w:val="0"/>
        </w:rPr>
      </w:pPr>
      <w:bookmarkStart w:id="17" w:name="_Hlk76382618"/>
      <w:r w:rsidRPr="00836F75">
        <w:rPr>
          <w:rFonts w:asciiTheme="minorHAnsi" w:hAnsiTheme="minorHAnsi"/>
          <w:bCs/>
          <w:snapToGrid w:val="0"/>
        </w:rPr>
        <w:t>The PBAC noted and welcomed the input from individuals (</w:t>
      </w:r>
      <w:r w:rsidR="00D70CFC">
        <w:rPr>
          <w:rFonts w:asciiTheme="minorHAnsi" w:hAnsiTheme="minorHAnsi"/>
          <w:bCs/>
          <w:snapToGrid w:val="0"/>
        </w:rPr>
        <w:t>33</w:t>
      </w:r>
      <w:r w:rsidRPr="00836F75">
        <w:rPr>
          <w:rFonts w:asciiTheme="minorHAnsi" w:hAnsiTheme="minorHAnsi"/>
          <w:bCs/>
          <w:snapToGrid w:val="0"/>
        </w:rPr>
        <w:t>), health care professionals (</w:t>
      </w:r>
      <w:r w:rsidR="00D70CFC">
        <w:rPr>
          <w:rFonts w:asciiTheme="minorHAnsi" w:hAnsiTheme="minorHAnsi"/>
          <w:bCs/>
          <w:snapToGrid w:val="0"/>
        </w:rPr>
        <w:t>26</w:t>
      </w:r>
      <w:r w:rsidRPr="00836F75">
        <w:rPr>
          <w:rFonts w:asciiTheme="minorHAnsi" w:hAnsiTheme="minorHAnsi"/>
          <w:bCs/>
          <w:snapToGrid w:val="0"/>
        </w:rPr>
        <w:t>) and organisations (</w:t>
      </w:r>
      <w:r w:rsidR="00C376DB">
        <w:rPr>
          <w:rFonts w:asciiTheme="minorHAnsi" w:hAnsiTheme="minorHAnsi"/>
          <w:bCs/>
          <w:snapToGrid w:val="0"/>
        </w:rPr>
        <w:t>6</w:t>
      </w:r>
      <w:r w:rsidRPr="00836F75">
        <w:rPr>
          <w:rFonts w:asciiTheme="minorHAnsi" w:hAnsiTheme="minorHAnsi"/>
          <w:bCs/>
          <w:snapToGrid w:val="0"/>
        </w:rPr>
        <w:t xml:space="preserve">)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 xml:space="preserve">. </w:t>
      </w:r>
      <w:r w:rsidR="00E03E69">
        <w:rPr>
          <w:rFonts w:asciiTheme="minorHAnsi" w:hAnsiTheme="minorHAnsi"/>
          <w:bCs/>
          <w:snapToGrid w:val="0"/>
        </w:rPr>
        <w:t xml:space="preserve">Health </w:t>
      </w:r>
      <w:r w:rsidR="0081587E">
        <w:rPr>
          <w:rFonts w:asciiTheme="minorHAnsi" w:hAnsiTheme="minorHAnsi"/>
          <w:bCs/>
          <w:snapToGrid w:val="0"/>
        </w:rPr>
        <w:t xml:space="preserve">care </w:t>
      </w:r>
      <w:r w:rsidR="00E03E69">
        <w:rPr>
          <w:rFonts w:asciiTheme="minorHAnsi" w:hAnsiTheme="minorHAnsi"/>
          <w:bCs/>
          <w:snapToGrid w:val="0"/>
        </w:rPr>
        <w:t xml:space="preserve">professionals </w:t>
      </w:r>
      <w:r w:rsidR="00577536">
        <w:rPr>
          <w:rFonts w:asciiTheme="minorHAnsi" w:hAnsiTheme="minorHAnsi"/>
          <w:bCs/>
          <w:snapToGrid w:val="0"/>
        </w:rPr>
        <w:t xml:space="preserve">commented that menopausal symptoms are unique for </w:t>
      </w:r>
      <w:proofErr w:type="gramStart"/>
      <w:r w:rsidR="00577536">
        <w:rPr>
          <w:rFonts w:asciiTheme="minorHAnsi" w:hAnsiTheme="minorHAnsi"/>
          <w:bCs/>
          <w:snapToGrid w:val="0"/>
        </w:rPr>
        <w:t>each individual</w:t>
      </w:r>
      <w:proofErr w:type="gramEnd"/>
      <w:r w:rsidR="00577536">
        <w:rPr>
          <w:rFonts w:asciiTheme="minorHAnsi" w:hAnsiTheme="minorHAnsi"/>
          <w:bCs/>
          <w:snapToGrid w:val="0"/>
        </w:rPr>
        <w:t xml:space="preserve">, and some individuals experience severe symptoms </w:t>
      </w:r>
      <w:r w:rsidR="00F951DB">
        <w:rPr>
          <w:rFonts w:asciiTheme="minorHAnsi" w:hAnsiTheme="minorHAnsi"/>
          <w:bCs/>
          <w:snapToGrid w:val="0"/>
        </w:rPr>
        <w:t>that impact their ability to function.</w:t>
      </w:r>
      <w:r w:rsidR="003221E4">
        <w:rPr>
          <w:rFonts w:asciiTheme="minorHAnsi" w:hAnsiTheme="minorHAnsi"/>
          <w:bCs/>
          <w:snapToGrid w:val="0"/>
        </w:rPr>
        <w:t xml:space="preserve"> Symptoms can </w:t>
      </w:r>
      <w:r w:rsidR="00FC6D62">
        <w:rPr>
          <w:rFonts w:asciiTheme="minorHAnsi" w:hAnsiTheme="minorHAnsi"/>
          <w:bCs/>
          <w:snapToGrid w:val="0"/>
        </w:rPr>
        <w:t>affect</w:t>
      </w:r>
      <w:r w:rsidR="003221E4">
        <w:rPr>
          <w:rFonts w:asciiTheme="minorHAnsi" w:hAnsiTheme="minorHAnsi"/>
          <w:bCs/>
          <w:snapToGrid w:val="0"/>
        </w:rPr>
        <w:t xml:space="preserve"> productivity, relationships and careers,</w:t>
      </w:r>
      <w:r w:rsidR="00A02F6E">
        <w:rPr>
          <w:rFonts w:asciiTheme="minorHAnsi" w:hAnsiTheme="minorHAnsi"/>
          <w:bCs/>
          <w:snapToGrid w:val="0"/>
        </w:rPr>
        <w:t xml:space="preserve"> and cause issues such as anxiety, depression and difficulty coping.</w:t>
      </w:r>
      <w:r w:rsidR="009F15F7">
        <w:rPr>
          <w:rFonts w:asciiTheme="minorHAnsi" w:hAnsiTheme="minorHAnsi"/>
          <w:bCs/>
          <w:snapToGrid w:val="0"/>
        </w:rPr>
        <w:t xml:space="preserve"> </w:t>
      </w:r>
      <w:r w:rsidR="009D46D5">
        <w:rPr>
          <w:rFonts w:asciiTheme="minorHAnsi" w:hAnsiTheme="minorHAnsi"/>
          <w:bCs/>
          <w:snapToGrid w:val="0"/>
        </w:rPr>
        <w:t xml:space="preserve">The input stated that MHT is the most effective treatment </w:t>
      </w:r>
      <w:r w:rsidR="00F42E29">
        <w:rPr>
          <w:rFonts w:asciiTheme="minorHAnsi" w:hAnsiTheme="minorHAnsi"/>
          <w:bCs/>
          <w:snapToGrid w:val="0"/>
        </w:rPr>
        <w:t xml:space="preserve">for controlling symptoms, and MHT is effective for most individuals at a low </w:t>
      </w:r>
      <w:r w:rsidR="00F42E29">
        <w:rPr>
          <w:rFonts w:asciiTheme="minorHAnsi" w:hAnsiTheme="minorHAnsi"/>
          <w:bCs/>
          <w:snapToGrid w:val="0"/>
        </w:rPr>
        <w:lastRenderedPageBreak/>
        <w:t>dose, but some may require higher doses.</w:t>
      </w:r>
      <w:r w:rsidR="007616D2">
        <w:rPr>
          <w:rFonts w:asciiTheme="minorHAnsi" w:hAnsiTheme="minorHAnsi"/>
          <w:bCs/>
          <w:snapToGrid w:val="0"/>
        </w:rPr>
        <w:t xml:space="preserve"> Health </w:t>
      </w:r>
      <w:r w:rsidR="00795810">
        <w:rPr>
          <w:rFonts w:asciiTheme="minorHAnsi" w:hAnsiTheme="minorHAnsi"/>
          <w:bCs/>
          <w:snapToGrid w:val="0"/>
        </w:rPr>
        <w:t xml:space="preserve">care </w:t>
      </w:r>
      <w:r w:rsidR="007616D2">
        <w:rPr>
          <w:rFonts w:asciiTheme="minorHAnsi" w:hAnsiTheme="minorHAnsi"/>
          <w:bCs/>
          <w:snapToGrid w:val="0"/>
        </w:rPr>
        <w:t>professionals commented</w:t>
      </w:r>
      <w:r w:rsidR="003E64EC">
        <w:rPr>
          <w:rFonts w:asciiTheme="minorHAnsi" w:hAnsiTheme="minorHAnsi"/>
          <w:bCs/>
          <w:snapToGrid w:val="0"/>
        </w:rPr>
        <w:t xml:space="preserve"> that</w:t>
      </w:r>
      <w:r w:rsidR="007616D2">
        <w:rPr>
          <w:rFonts w:asciiTheme="minorHAnsi" w:hAnsiTheme="minorHAnsi"/>
          <w:bCs/>
          <w:snapToGrid w:val="0"/>
        </w:rPr>
        <w:t xml:space="preserve"> estradiol with progesterone is the only oral MHT option that contains body-identical </w:t>
      </w:r>
      <w:r w:rsidR="0009709E">
        <w:rPr>
          <w:rFonts w:asciiTheme="minorHAnsi" w:hAnsiTheme="minorHAnsi"/>
          <w:bCs/>
          <w:snapToGrid w:val="0"/>
        </w:rPr>
        <w:t xml:space="preserve">estradiol and </w:t>
      </w:r>
      <w:proofErr w:type="gramStart"/>
      <w:r w:rsidR="0015076C">
        <w:rPr>
          <w:rFonts w:asciiTheme="minorHAnsi" w:hAnsiTheme="minorHAnsi"/>
          <w:bCs/>
          <w:snapToGrid w:val="0"/>
        </w:rPr>
        <w:t>MP</w:t>
      </w:r>
      <w:r w:rsidR="0009709E">
        <w:rPr>
          <w:rFonts w:asciiTheme="minorHAnsi" w:hAnsiTheme="minorHAnsi"/>
          <w:bCs/>
          <w:snapToGrid w:val="0"/>
        </w:rPr>
        <w:t>, and</w:t>
      </w:r>
      <w:proofErr w:type="gramEnd"/>
      <w:r w:rsidR="0009709E">
        <w:rPr>
          <w:rFonts w:asciiTheme="minorHAnsi" w:hAnsiTheme="minorHAnsi"/>
          <w:bCs/>
          <w:snapToGrid w:val="0"/>
        </w:rPr>
        <w:t xml:space="preserve"> has the potential to provide more consistent dose-response results than transdermal therapy or </w:t>
      </w:r>
      <w:r w:rsidR="006217F1">
        <w:rPr>
          <w:rFonts w:asciiTheme="minorHAnsi" w:hAnsiTheme="minorHAnsi"/>
          <w:bCs/>
          <w:snapToGrid w:val="0"/>
        </w:rPr>
        <w:t xml:space="preserve">combination oral therapy. </w:t>
      </w:r>
      <w:r w:rsidR="00C435F0">
        <w:rPr>
          <w:rFonts w:asciiTheme="minorHAnsi" w:hAnsiTheme="minorHAnsi"/>
          <w:bCs/>
          <w:snapToGrid w:val="0"/>
        </w:rPr>
        <w:t xml:space="preserve">Both health professionals and consumers raised that the cost </w:t>
      </w:r>
      <w:r w:rsidR="00A62A58">
        <w:rPr>
          <w:rFonts w:asciiTheme="minorHAnsi" w:hAnsiTheme="minorHAnsi"/>
          <w:bCs/>
          <w:snapToGrid w:val="0"/>
        </w:rPr>
        <w:t>of estradiol with progesterone was a barrier to access.</w:t>
      </w:r>
    </w:p>
    <w:p w14:paraId="64C160A1" w14:textId="64ADEA4A" w:rsidR="005D7BE1" w:rsidRDefault="006F02AE" w:rsidP="00CC5081">
      <w:pPr>
        <w:widowControl w:val="0"/>
        <w:numPr>
          <w:ilvl w:val="1"/>
          <w:numId w:val="1"/>
        </w:numPr>
        <w:spacing w:after="120"/>
        <w:rPr>
          <w:rFonts w:asciiTheme="minorHAnsi" w:hAnsiTheme="minorHAnsi"/>
          <w:bCs/>
          <w:snapToGrid w:val="0"/>
        </w:rPr>
      </w:pPr>
      <w:r>
        <w:rPr>
          <w:rFonts w:asciiTheme="minorHAnsi" w:hAnsiTheme="minorHAnsi"/>
          <w:bCs/>
          <w:snapToGrid w:val="0"/>
        </w:rPr>
        <w:t>On</w:t>
      </w:r>
      <w:r w:rsidR="00FB6E0F">
        <w:rPr>
          <w:rFonts w:asciiTheme="minorHAnsi" w:hAnsiTheme="minorHAnsi"/>
          <w:bCs/>
          <w:snapToGrid w:val="0"/>
        </w:rPr>
        <w:t>e comment</w:t>
      </w:r>
      <w:r w:rsidR="00352FB4">
        <w:rPr>
          <w:rFonts w:asciiTheme="minorHAnsi" w:hAnsiTheme="minorHAnsi"/>
          <w:bCs/>
          <w:snapToGrid w:val="0"/>
        </w:rPr>
        <w:t xml:space="preserve"> from a health</w:t>
      </w:r>
      <w:r w:rsidR="00795810">
        <w:rPr>
          <w:rFonts w:asciiTheme="minorHAnsi" w:hAnsiTheme="minorHAnsi"/>
          <w:bCs/>
          <w:snapToGrid w:val="0"/>
        </w:rPr>
        <w:t xml:space="preserve"> care</w:t>
      </w:r>
      <w:r w:rsidR="00352FB4">
        <w:rPr>
          <w:rFonts w:asciiTheme="minorHAnsi" w:hAnsiTheme="minorHAnsi"/>
          <w:bCs/>
          <w:snapToGrid w:val="0"/>
        </w:rPr>
        <w:t xml:space="preserve"> professional</w:t>
      </w:r>
      <w:r w:rsidR="00FB6E0F">
        <w:rPr>
          <w:rFonts w:asciiTheme="minorHAnsi" w:hAnsiTheme="minorHAnsi"/>
          <w:bCs/>
          <w:snapToGrid w:val="0"/>
        </w:rPr>
        <w:t xml:space="preserve"> stated that there is no long-term head-to-head data available comparing estradiol with progesterone to transdermal MHT</w:t>
      </w:r>
      <w:r w:rsidR="00B11451">
        <w:rPr>
          <w:rFonts w:asciiTheme="minorHAnsi" w:hAnsiTheme="minorHAnsi"/>
          <w:bCs/>
          <w:snapToGrid w:val="0"/>
        </w:rPr>
        <w:t>, however input stated that interim data (2-4 years) is promising.</w:t>
      </w:r>
      <w:r w:rsidR="004450FF">
        <w:rPr>
          <w:rFonts w:asciiTheme="minorHAnsi" w:hAnsiTheme="minorHAnsi"/>
          <w:bCs/>
          <w:snapToGrid w:val="0"/>
        </w:rPr>
        <w:t xml:space="preserve"> Input commented on the favourable </w:t>
      </w:r>
      <w:r w:rsidR="00332EB4">
        <w:rPr>
          <w:rFonts w:asciiTheme="minorHAnsi" w:hAnsiTheme="minorHAnsi"/>
          <w:bCs/>
          <w:snapToGrid w:val="0"/>
        </w:rPr>
        <w:t xml:space="preserve">tolerance and safety profile of </w:t>
      </w:r>
      <w:r w:rsidR="00F32360">
        <w:rPr>
          <w:rFonts w:asciiTheme="minorHAnsi" w:hAnsiTheme="minorHAnsi"/>
          <w:bCs/>
          <w:snapToGrid w:val="0"/>
        </w:rPr>
        <w:t>body-identical hormone</w:t>
      </w:r>
      <w:r w:rsidR="00E95A00">
        <w:rPr>
          <w:rFonts w:asciiTheme="minorHAnsi" w:hAnsiTheme="minorHAnsi"/>
          <w:bCs/>
          <w:snapToGrid w:val="0"/>
        </w:rPr>
        <w:t>s compared to synthetic MHT</w:t>
      </w:r>
      <w:r w:rsidR="00E53BA5">
        <w:rPr>
          <w:rFonts w:asciiTheme="minorHAnsi" w:hAnsiTheme="minorHAnsi"/>
          <w:bCs/>
          <w:snapToGrid w:val="0"/>
        </w:rPr>
        <w:t xml:space="preserve">. Input also commented on the increased risk of VTE </w:t>
      </w:r>
      <w:r w:rsidR="0061016F">
        <w:rPr>
          <w:rFonts w:asciiTheme="minorHAnsi" w:hAnsiTheme="minorHAnsi"/>
          <w:bCs/>
          <w:snapToGrid w:val="0"/>
        </w:rPr>
        <w:t>associated with estradiol and progesteron</w:t>
      </w:r>
      <w:r w:rsidR="005E6902">
        <w:rPr>
          <w:rFonts w:asciiTheme="minorHAnsi" w:hAnsiTheme="minorHAnsi"/>
          <w:bCs/>
          <w:snapToGrid w:val="0"/>
        </w:rPr>
        <w:t xml:space="preserve">e, and that it is unsuitable for individuals at a high risk of cardiovascular disease. </w:t>
      </w:r>
      <w:r w:rsidR="00474380">
        <w:rPr>
          <w:rFonts w:asciiTheme="minorHAnsi" w:hAnsiTheme="minorHAnsi"/>
          <w:bCs/>
          <w:snapToGrid w:val="0"/>
        </w:rPr>
        <w:t xml:space="preserve">Comments </w:t>
      </w:r>
      <w:r w:rsidR="003E164C">
        <w:rPr>
          <w:rFonts w:asciiTheme="minorHAnsi" w:hAnsiTheme="minorHAnsi"/>
          <w:bCs/>
          <w:snapToGrid w:val="0"/>
        </w:rPr>
        <w:t>identified</w:t>
      </w:r>
      <w:r w:rsidR="0015076C">
        <w:rPr>
          <w:rFonts w:asciiTheme="minorHAnsi" w:hAnsiTheme="minorHAnsi"/>
          <w:bCs/>
          <w:snapToGrid w:val="0"/>
        </w:rPr>
        <w:t xml:space="preserve"> side effects with MP </w:t>
      </w:r>
      <w:r w:rsidR="00474380">
        <w:rPr>
          <w:rFonts w:asciiTheme="minorHAnsi" w:hAnsiTheme="minorHAnsi"/>
          <w:bCs/>
          <w:snapToGrid w:val="0"/>
        </w:rPr>
        <w:t>include</w:t>
      </w:r>
      <w:r w:rsidR="003E164C">
        <w:rPr>
          <w:rFonts w:asciiTheme="minorHAnsi" w:hAnsiTheme="minorHAnsi"/>
          <w:bCs/>
          <w:snapToGrid w:val="0"/>
        </w:rPr>
        <w:t>d</w:t>
      </w:r>
      <w:r w:rsidR="00474380">
        <w:rPr>
          <w:rFonts w:asciiTheme="minorHAnsi" w:hAnsiTheme="minorHAnsi"/>
          <w:bCs/>
          <w:snapToGrid w:val="0"/>
        </w:rPr>
        <w:t xml:space="preserve"> sedation, gastrointestinal symptoms and dizziness, </w:t>
      </w:r>
      <w:r w:rsidR="003E164C">
        <w:rPr>
          <w:rFonts w:asciiTheme="minorHAnsi" w:hAnsiTheme="minorHAnsi"/>
          <w:bCs/>
          <w:snapToGrid w:val="0"/>
        </w:rPr>
        <w:t>but these can be partly managed with night-time administration.</w:t>
      </w:r>
    </w:p>
    <w:p w14:paraId="37E8D52F" w14:textId="08FEB4F4" w:rsidR="00280AFE" w:rsidRDefault="00773E64" w:rsidP="00CC508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Health </w:t>
      </w:r>
      <w:r w:rsidR="00CA3F4C">
        <w:rPr>
          <w:rFonts w:asciiTheme="minorHAnsi" w:hAnsiTheme="minorHAnsi"/>
          <w:bCs/>
          <w:snapToGrid w:val="0"/>
        </w:rPr>
        <w:t xml:space="preserve">care </w:t>
      </w:r>
      <w:r>
        <w:rPr>
          <w:rFonts w:asciiTheme="minorHAnsi" w:hAnsiTheme="minorHAnsi"/>
          <w:bCs/>
          <w:snapToGrid w:val="0"/>
        </w:rPr>
        <w:t xml:space="preserve">professionals </w:t>
      </w:r>
      <w:r w:rsidR="005D7BE1">
        <w:rPr>
          <w:rFonts w:asciiTheme="minorHAnsi" w:hAnsiTheme="minorHAnsi"/>
          <w:bCs/>
          <w:snapToGrid w:val="0"/>
        </w:rPr>
        <w:t>commented that the single-dose, oral form</w:t>
      </w:r>
      <w:r w:rsidR="00A20967">
        <w:rPr>
          <w:rFonts w:asciiTheme="minorHAnsi" w:hAnsiTheme="minorHAnsi"/>
          <w:bCs/>
          <w:snapToGrid w:val="0"/>
        </w:rPr>
        <w:t xml:space="preserve"> may improve </w:t>
      </w:r>
      <w:r w:rsidR="008F7F5B">
        <w:rPr>
          <w:rFonts w:asciiTheme="minorHAnsi" w:hAnsiTheme="minorHAnsi"/>
          <w:bCs/>
          <w:snapToGrid w:val="0"/>
        </w:rPr>
        <w:t xml:space="preserve">adherence </w:t>
      </w:r>
      <w:r w:rsidR="00A20967">
        <w:rPr>
          <w:rFonts w:asciiTheme="minorHAnsi" w:hAnsiTheme="minorHAnsi"/>
          <w:bCs/>
          <w:snapToGrid w:val="0"/>
        </w:rPr>
        <w:t xml:space="preserve">and therefore reduce risk of endometrial hyperplasia, carcinoma and unscheduled bleeding, </w:t>
      </w:r>
      <w:r w:rsidR="000C66DC">
        <w:rPr>
          <w:rFonts w:asciiTheme="minorHAnsi" w:hAnsiTheme="minorHAnsi"/>
          <w:bCs/>
          <w:snapToGrid w:val="0"/>
        </w:rPr>
        <w:t xml:space="preserve">and may reduce the risk of individuals adjusting the estrogen dose without medical supervision. </w:t>
      </w:r>
      <w:r w:rsidR="00D45E15">
        <w:rPr>
          <w:rFonts w:asciiTheme="minorHAnsi" w:hAnsiTheme="minorHAnsi"/>
          <w:bCs/>
          <w:snapToGrid w:val="0"/>
        </w:rPr>
        <w:t>One comment stated that</w:t>
      </w:r>
      <w:r w:rsidR="005C237D">
        <w:rPr>
          <w:rFonts w:asciiTheme="minorHAnsi" w:hAnsiTheme="minorHAnsi"/>
          <w:bCs/>
          <w:snapToGrid w:val="0"/>
        </w:rPr>
        <w:t xml:space="preserve"> improved</w:t>
      </w:r>
      <w:r w:rsidR="00D45E15">
        <w:rPr>
          <w:rFonts w:asciiTheme="minorHAnsi" w:hAnsiTheme="minorHAnsi"/>
          <w:bCs/>
          <w:snapToGrid w:val="0"/>
        </w:rPr>
        <w:t xml:space="preserve"> </w:t>
      </w:r>
      <w:r w:rsidR="008F7F5B">
        <w:rPr>
          <w:rFonts w:asciiTheme="minorHAnsi" w:hAnsiTheme="minorHAnsi"/>
          <w:bCs/>
          <w:snapToGrid w:val="0"/>
        </w:rPr>
        <w:t xml:space="preserve">ease of administration </w:t>
      </w:r>
      <w:r w:rsidR="005C237D">
        <w:rPr>
          <w:rFonts w:asciiTheme="minorHAnsi" w:hAnsiTheme="minorHAnsi"/>
          <w:bCs/>
          <w:snapToGrid w:val="0"/>
        </w:rPr>
        <w:t>is important for individuals with limited health literacy.</w:t>
      </w:r>
      <w:r w:rsidR="00E60AD6">
        <w:rPr>
          <w:rFonts w:asciiTheme="minorHAnsi" w:hAnsiTheme="minorHAnsi"/>
          <w:bCs/>
          <w:snapToGrid w:val="0"/>
        </w:rPr>
        <w:t xml:space="preserve"> </w:t>
      </w:r>
    </w:p>
    <w:p w14:paraId="334FECC3" w14:textId="19EA3F13" w:rsidR="00C376DB" w:rsidRDefault="00280AFE" w:rsidP="00CC5081">
      <w:pPr>
        <w:widowControl w:val="0"/>
        <w:numPr>
          <w:ilvl w:val="1"/>
          <w:numId w:val="1"/>
        </w:numPr>
        <w:spacing w:after="120"/>
        <w:rPr>
          <w:rFonts w:asciiTheme="minorHAnsi" w:hAnsiTheme="minorHAnsi"/>
          <w:bCs/>
          <w:snapToGrid w:val="0"/>
        </w:rPr>
      </w:pPr>
      <w:r>
        <w:rPr>
          <w:rFonts w:asciiTheme="minorHAnsi" w:hAnsiTheme="minorHAnsi"/>
          <w:bCs/>
          <w:snapToGrid w:val="0"/>
        </w:rPr>
        <w:t>Health</w:t>
      </w:r>
      <w:r w:rsidR="00CC551D">
        <w:rPr>
          <w:rFonts w:asciiTheme="minorHAnsi" w:hAnsiTheme="minorHAnsi"/>
          <w:bCs/>
          <w:snapToGrid w:val="0"/>
        </w:rPr>
        <w:t xml:space="preserve"> care</w:t>
      </w:r>
      <w:r>
        <w:rPr>
          <w:rFonts w:asciiTheme="minorHAnsi" w:hAnsiTheme="minorHAnsi"/>
          <w:bCs/>
          <w:snapToGrid w:val="0"/>
        </w:rPr>
        <w:t xml:space="preserve"> professionals commented that l</w:t>
      </w:r>
      <w:r w:rsidR="00E60AD6">
        <w:rPr>
          <w:rFonts w:asciiTheme="minorHAnsi" w:hAnsiTheme="minorHAnsi"/>
          <w:bCs/>
          <w:snapToGrid w:val="0"/>
        </w:rPr>
        <w:t xml:space="preserve">isting estradiol with progesterone on the PBS would support equitable access to a range of MHT options, </w:t>
      </w:r>
      <w:r w:rsidR="003F13B0">
        <w:rPr>
          <w:rFonts w:asciiTheme="minorHAnsi" w:hAnsiTheme="minorHAnsi"/>
          <w:bCs/>
          <w:snapToGrid w:val="0"/>
        </w:rPr>
        <w:t xml:space="preserve">particularly for individuals who require </w:t>
      </w:r>
      <w:proofErr w:type="gramStart"/>
      <w:r w:rsidR="003F13B0">
        <w:rPr>
          <w:rFonts w:asciiTheme="minorHAnsi" w:hAnsiTheme="minorHAnsi"/>
          <w:bCs/>
          <w:snapToGrid w:val="0"/>
        </w:rPr>
        <w:t>MHT</w:t>
      </w:r>
      <w:proofErr w:type="gramEnd"/>
      <w:r w:rsidR="003F13B0">
        <w:rPr>
          <w:rFonts w:asciiTheme="minorHAnsi" w:hAnsiTheme="minorHAnsi"/>
          <w:bCs/>
          <w:snapToGrid w:val="0"/>
        </w:rPr>
        <w:t xml:space="preserve"> but where transdermal or synthetic hormones are not appropriate or not preferred</w:t>
      </w:r>
      <w:r w:rsidR="00EF7B60">
        <w:rPr>
          <w:rFonts w:asciiTheme="minorHAnsi" w:hAnsiTheme="minorHAnsi"/>
          <w:bCs/>
          <w:snapToGrid w:val="0"/>
        </w:rPr>
        <w:t>. W</w:t>
      </w:r>
      <w:r w:rsidR="00C73DD7">
        <w:rPr>
          <w:rFonts w:asciiTheme="minorHAnsi" w:hAnsiTheme="minorHAnsi"/>
          <w:bCs/>
          <w:snapToGrid w:val="0"/>
        </w:rPr>
        <w:t>ith supply issues preventing access to multiple other MHT products,</w:t>
      </w:r>
      <w:r w:rsidR="00A20728">
        <w:rPr>
          <w:rFonts w:asciiTheme="minorHAnsi" w:hAnsiTheme="minorHAnsi"/>
          <w:bCs/>
          <w:snapToGrid w:val="0"/>
        </w:rPr>
        <w:t xml:space="preserve"> there is a current lack of combined MHT </w:t>
      </w:r>
      <w:r w:rsidR="002646AF">
        <w:rPr>
          <w:rFonts w:asciiTheme="minorHAnsi" w:hAnsiTheme="minorHAnsi"/>
          <w:bCs/>
          <w:snapToGrid w:val="0"/>
        </w:rPr>
        <w:t xml:space="preserve">on the PBS. </w:t>
      </w:r>
    </w:p>
    <w:p w14:paraId="0AAB28B8" w14:textId="1DF804AD" w:rsidR="00E255B4" w:rsidRDefault="00E255B4" w:rsidP="00CC508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Individuals commented on </w:t>
      </w:r>
      <w:r w:rsidR="00646B8E">
        <w:rPr>
          <w:rFonts w:asciiTheme="minorHAnsi" w:hAnsiTheme="minorHAnsi"/>
          <w:bCs/>
          <w:snapToGrid w:val="0"/>
        </w:rPr>
        <w:t xml:space="preserve">the challenges of </w:t>
      </w:r>
      <w:r w:rsidR="00AC7C79">
        <w:rPr>
          <w:rFonts w:asciiTheme="minorHAnsi" w:hAnsiTheme="minorHAnsi"/>
          <w:bCs/>
          <w:snapToGrid w:val="0"/>
        </w:rPr>
        <w:t>menopause symptoms,</w:t>
      </w:r>
      <w:r w:rsidR="00646B8E">
        <w:rPr>
          <w:rFonts w:asciiTheme="minorHAnsi" w:hAnsiTheme="minorHAnsi"/>
          <w:bCs/>
          <w:snapToGrid w:val="0"/>
        </w:rPr>
        <w:t xml:space="preserve"> result</w:t>
      </w:r>
      <w:r w:rsidR="00183C05">
        <w:rPr>
          <w:rFonts w:asciiTheme="minorHAnsi" w:hAnsiTheme="minorHAnsi"/>
          <w:bCs/>
          <w:snapToGrid w:val="0"/>
        </w:rPr>
        <w:t>ing</w:t>
      </w:r>
      <w:r w:rsidR="00646B8E">
        <w:rPr>
          <w:rFonts w:asciiTheme="minorHAnsi" w:hAnsiTheme="minorHAnsi"/>
          <w:bCs/>
          <w:snapToGrid w:val="0"/>
        </w:rPr>
        <w:t xml:space="preserve"> in declines to physical an</w:t>
      </w:r>
      <w:r w:rsidR="005F2B9A">
        <w:rPr>
          <w:rFonts w:asciiTheme="minorHAnsi" w:hAnsiTheme="minorHAnsi"/>
          <w:bCs/>
          <w:snapToGrid w:val="0"/>
        </w:rPr>
        <w:t>d mental health</w:t>
      </w:r>
      <w:r w:rsidR="00FB406B">
        <w:rPr>
          <w:rFonts w:asciiTheme="minorHAnsi" w:hAnsiTheme="minorHAnsi"/>
          <w:bCs/>
          <w:snapToGrid w:val="0"/>
        </w:rPr>
        <w:t>,</w:t>
      </w:r>
      <w:r w:rsidR="005F2B9A">
        <w:rPr>
          <w:rFonts w:asciiTheme="minorHAnsi" w:hAnsiTheme="minorHAnsi"/>
          <w:bCs/>
          <w:snapToGrid w:val="0"/>
        </w:rPr>
        <w:t xml:space="preserve"> affecting relationships and the ability to work</w:t>
      </w:r>
      <w:r w:rsidR="00FB406B">
        <w:rPr>
          <w:rFonts w:asciiTheme="minorHAnsi" w:hAnsiTheme="minorHAnsi"/>
          <w:bCs/>
          <w:snapToGrid w:val="0"/>
        </w:rPr>
        <w:t>.</w:t>
      </w:r>
      <w:r w:rsidR="005F2B9A">
        <w:rPr>
          <w:rFonts w:asciiTheme="minorHAnsi" w:hAnsiTheme="minorHAnsi"/>
          <w:bCs/>
          <w:snapToGrid w:val="0"/>
        </w:rPr>
        <w:t xml:space="preserve"> </w:t>
      </w:r>
      <w:r w:rsidR="00824F85">
        <w:rPr>
          <w:rFonts w:asciiTheme="minorHAnsi" w:hAnsiTheme="minorHAnsi"/>
          <w:bCs/>
          <w:snapToGrid w:val="0"/>
        </w:rPr>
        <w:t>T</w:t>
      </w:r>
      <w:r w:rsidR="00183C05">
        <w:rPr>
          <w:rFonts w:asciiTheme="minorHAnsi" w:hAnsiTheme="minorHAnsi"/>
          <w:bCs/>
          <w:snapToGrid w:val="0"/>
        </w:rPr>
        <w:t>he benefits of MHT</w:t>
      </w:r>
      <w:r w:rsidR="00AC7C79">
        <w:rPr>
          <w:rFonts w:asciiTheme="minorHAnsi" w:hAnsiTheme="minorHAnsi"/>
          <w:bCs/>
          <w:snapToGrid w:val="0"/>
        </w:rPr>
        <w:t xml:space="preserve"> includ</w:t>
      </w:r>
      <w:r w:rsidR="00824F85">
        <w:rPr>
          <w:rFonts w:asciiTheme="minorHAnsi" w:hAnsiTheme="minorHAnsi"/>
          <w:bCs/>
          <w:snapToGrid w:val="0"/>
        </w:rPr>
        <w:t>ed</w:t>
      </w:r>
      <w:r w:rsidR="00AC7C79">
        <w:rPr>
          <w:rFonts w:asciiTheme="minorHAnsi" w:hAnsiTheme="minorHAnsi"/>
          <w:bCs/>
          <w:snapToGrid w:val="0"/>
        </w:rPr>
        <w:t xml:space="preserve"> reduced anxiety; improved bone, heart and brain health; improved sleep quality; and reduction </w:t>
      </w:r>
      <w:r w:rsidR="000C35BC">
        <w:rPr>
          <w:rFonts w:asciiTheme="minorHAnsi" w:hAnsiTheme="minorHAnsi"/>
          <w:bCs/>
          <w:snapToGrid w:val="0"/>
        </w:rPr>
        <w:t>in hot flushes and night sweats. One comment stated there was an improved ability to function after treatment with estradiol with progesterone.</w:t>
      </w:r>
    </w:p>
    <w:p w14:paraId="01492B84" w14:textId="742810F1" w:rsidR="004778A3" w:rsidRDefault="004778A3" w:rsidP="00CC5081">
      <w:pPr>
        <w:widowControl w:val="0"/>
        <w:numPr>
          <w:ilvl w:val="1"/>
          <w:numId w:val="1"/>
        </w:numPr>
        <w:spacing w:after="120"/>
        <w:rPr>
          <w:rFonts w:asciiTheme="minorHAnsi" w:hAnsiTheme="minorHAnsi"/>
          <w:bCs/>
          <w:snapToGrid w:val="0"/>
        </w:rPr>
      </w:pPr>
      <w:r>
        <w:rPr>
          <w:rFonts w:asciiTheme="minorHAnsi" w:hAnsiTheme="minorHAnsi"/>
          <w:bCs/>
          <w:snapToGrid w:val="0"/>
        </w:rPr>
        <w:t>Individuals al</w:t>
      </w:r>
      <w:r w:rsidR="00F1383B">
        <w:rPr>
          <w:rFonts w:asciiTheme="minorHAnsi" w:hAnsiTheme="minorHAnsi"/>
          <w:bCs/>
          <w:snapToGrid w:val="0"/>
        </w:rPr>
        <w:t xml:space="preserve">so commented on a lack of effective MHT options for individuals who cannot absorb medication </w:t>
      </w:r>
      <w:proofErr w:type="spellStart"/>
      <w:r w:rsidR="00F1383B">
        <w:rPr>
          <w:rFonts w:asciiTheme="minorHAnsi" w:hAnsiTheme="minorHAnsi"/>
          <w:bCs/>
          <w:snapToGrid w:val="0"/>
        </w:rPr>
        <w:t>transdermally</w:t>
      </w:r>
      <w:proofErr w:type="spellEnd"/>
      <w:r w:rsidR="00F1383B">
        <w:rPr>
          <w:rFonts w:asciiTheme="minorHAnsi" w:hAnsiTheme="minorHAnsi"/>
          <w:bCs/>
          <w:snapToGrid w:val="0"/>
        </w:rPr>
        <w:t>, tolerate synthetic hormone</w:t>
      </w:r>
      <w:r w:rsidR="00824F85">
        <w:rPr>
          <w:rFonts w:asciiTheme="minorHAnsi" w:hAnsiTheme="minorHAnsi"/>
          <w:bCs/>
          <w:snapToGrid w:val="0"/>
        </w:rPr>
        <w:t>s</w:t>
      </w:r>
      <w:r w:rsidR="00F1383B">
        <w:rPr>
          <w:rFonts w:asciiTheme="minorHAnsi" w:hAnsiTheme="minorHAnsi"/>
          <w:bCs/>
          <w:snapToGrid w:val="0"/>
        </w:rPr>
        <w:t xml:space="preserve"> or have allergies</w:t>
      </w:r>
      <w:r w:rsidR="008C56A3">
        <w:rPr>
          <w:rFonts w:asciiTheme="minorHAnsi" w:hAnsiTheme="minorHAnsi"/>
          <w:bCs/>
          <w:snapToGrid w:val="0"/>
        </w:rPr>
        <w:t xml:space="preserve">, and that an estradiol with progesterone capsule is convenient and reduced the risk of inconsistent hormone delivery through </w:t>
      </w:r>
      <w:r w:rsidR="004511EC">
        <w:rPr>
          <w:rFonts w:asciiTheme="minorHAnsi" w:hAnsiTheme="minorHAnsi"/>
          <w:bCs/>
          <w:snapToGrid w:val="0"/>
        </w:rPr>
        <w:t xml:space="preserve">cream and patches. Comments also stated that there was a need for subsidised access to a range of </w:t>
      </w:r>
      <w:r w:rsidR="003449A1">
        <w:rPr>
          <w:rFonts w:asciiTheme="minorHAnsi" w:hAnsiTheme="minorHAnsi"/>
          <w:bCs/>
          <w:snapToGrid w:val="0"/>
        </w:rPr>
        <w:t xml:space="preserve">MHT options, and the current cost of estradiol with progesterone was causing financial barriers. </w:t>
      </w:r>
    </w:p>
    <w:p w14:paraId="056A4A60" w14:textId="5CF656D9" w:rsidR="009432A3" w:rsidRDefault="009432A3" w:rsidP="00CC508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Sexual Health Victoria </w:t>
      </w:r>
      <w:r w:rsidR="00A51D7A">
        <w:rPr>
          <w:rFonts w:asciiTheme="minorHAnsi" w:hAnsiTheme="minorHAnsi"/>
          <w:bCs/>
          <w:snapToGrid w:val="0"/>
        </w:rPr>
        <w:t xml:space="preserve">and </w:t>
      </w:r>
      <w:proofErr w:type="spellStart"/>
      <w:r w:rsidR="00A51D7A">
        <w:rPr>
          <w:rFonts w:asciiTheme="minorHAnsi" w:hAnsiTheme="minorHAnsi"/>
          <w:bCs/>
          <w:snapToGrid w:val="0"/>
        </w:rPr>
        <w:t>WellFemme</w:t>
      </w:r>
      <w:proofErr w:type="spellEnd"/>
      <w:r w:rsidR="00A51D7A">
        <w:rPr>
          <w:rFonts w:asciiTheme="minorHAnsi" w:hAnsiTheme="minorHAnsi"/>
          <w:bCs/>
          <w:snapToGrid w:val="0"/>
        </w:rPr>
        <w:t xml:space="preserve"> Telehealt</w:t>
      </w:r>
      <w:r w:rsidR="0037500A">
        <w:rPr>
          <w:rFonts w:asciiTheme="minorHAnsi" w:hAnsiTheme="minorHAnsi"/>
          <w:bCs/>
          <w:snapToGrid w:val="0"/>
        </w:rPr>
        <w:t>h</w:t>
      </w:r>
      <w:r w:rsidR="00A51D7A">
        <w:rPr>
          <w:rFonts w:asciiTheme="minorHAnsi" w:hAnsiTheme="minorHAnsi"/>
          <w:bCs/>
          <w:snapToGrid w:val="0"/>
        </w:rPr>
        <w:t xml:space="preserve"> Menopause Clinic </w:t>
      </w:r>
      <w:r>
        <w:rPr>
          <w:rFonts w:asciiTheme="minorHAnsi" w:hAnsiTheme="minorHAnsi"/>
          <w:bCs/>
          <w:snapToGrid w:val="0"/>
        </w:rPr>
        <w:t xml:space="preserve">commented that estradiol with progesterone </w:t>
      </w:r>
      <w:r w:rsidR="00BB0353">
        <w:rPr>
          <w:rFonts w:asciiTheme="minorHAnsi" w:hAnsiTheme="minorHAnsi"/>
          <w:bCs/>
          <w:snapToGrid w:val="0"/>
        </w:rPr>
        <w:t xml:space="preserve">as an oral preparation is an </w:t>
      </w:r>
      <w:r w:rsidR="00BA054B">
        <w:rPr>
          <w:rFonts w:asciiTheme="minorHAnsi" w:hAnsiTheme="minorHAnsi"/>
          <w:bCs/>
          <w:snapToGrid w:val="0"/>
        </w:rPr>
        <w:t xml:space="preserve">option for individuals who have impaired absorption of transdermal estrogen, and the combined preparation </w:t>
      </w:r>
      <w:r w:rsidR="0007293D">
        <w:rPr>
          <w:rFonts w:asciiTheme="minorHAnsi" w:hAnsiTheme="minorHAnsi"/>
          <w:bCs/>
          <w:snapToGrid w:val="0"/>
        </w:rPr>
        <w:t>can assist with adherence, leading to better symptom management</w:t>
      </w:r>
      <w:r w:rsidR="006D70CD">
        <w:rPr>
          <w:rFonts w:asciiTheme="minorHAnsi" w:hAnsiTheme="minorHAnsi"/>
          <w:bCs/>
          <w:snapToGrid w:val="0"/>
        </w:rPr>
        <w:t xml:space="preserve"> and reduc</w:t>
      </w:r>
      <w:r w:rsidR="005771DB">
        <w:rPr>
          <w:rFonts w:asciiTheme="minorHAnsi" w:hAnsiTheme="minorHAnsi"/>
          <w:bCs/>
          <w:snapToGrid w:val="0"/>
        </w:rPr>
        <w:t>e</w:t>
      </w:r>
      <w:r w:rsidR="006D70CD">
        <w:rPr>
          <w:rFonts w:asciiTheme="minorHAnsi" w:hAnsiTheme="minorHAnsi"/>
          <w:bCs/>
          <w:snapToGrid w:val="0"/>
        </w:rPr>
        <w:t xml:space="preserve"> the risk of accidental unopposed estrogen exposure if progesterone is not taken at the same </w:t>
      </w:r>
      <w:r w:rsidR="006D70CD">
        <w:rPr>
          <w:rFonts w:asciiTheme="minorHAnsi" w:hAnsiTheme="minorHAnsi"/>
          <w:bCs/>
          <w:snapToGrid w:val="0"/>
        </w:rPr>
        <w:lastRenderedPageBreak/>
        <w:t xml:space="preserve">time as the </w:t>
      </w:r>
      <w:r w:rsidR="0030513B">
        <w:rPr>
          <w:rFonts w:asciiTheme="minorHAnsi" w:hAnsiTheme="minorHAnsi"/>
          <w:bCs/>
          <w:snapToGrid w:val="0"/>
        </w:rPr>
        <w:t>estrogen.</w:t>
      </w:r>
      <w:r w:rsidR="00A060E1">
        <w:rPr>
          <w:rFonts w:asciiTheme="minorHAnsi" w:hAnsiTheme="minorHAnsi"/>
          <w:bCs/>
          <w:snapToGrid w:val="0"/>
        </w:rPr>
        <w:t xml:space="preserve"> </w:t>
      </w:r>
      <w:r w:rsidR="00F95460">
        <w:rPr>
          <w:rFonts w:asciiTheme="minorHAnsi" w:hAnsiTheme="minorHAnsi"/>
          <w:bCs/>
          <w:snapToGrid w:val="0"/>
        </w:rPr>
        <w:t>Sexual Health Victoria stated that, a</w:t>
      </w:r>
      <w:r w:rsidR="00A060E1">
        <w:rPr>
          <w:rFonts w:asciiTheme="minorHAnsi" w:hAnsiTheme="minorHAnsi"/>
          <w:bCs/>
          <w:snapToGrid w:val="0"/>
        </w:rPr>
        <w:t xml:space="preserve">s an oral preparation, it would not </w:t>
      </w:r>
      <w:r w:rsidR="0006035E">
        <w:rPr>
          <w:rFonts w:asciiTheme="minorHAnsi" w:hAnsiTheme="minorHAnsi"/>
          <w:bCs/>
          <w:snapToGrid w:val="0"/>
        </w:rPr>
        <w:t>be suitable for some individuals, such as those with a high risk of VTE</w:t>
      </w:r>
      <w:r w:rsidR="003A5EE5">
        <w:rPr>
          <w:rFonts w:asciiTheme="minorHAnsi" w:hAnsiTheme="minorHAnsi"/>
          <w:bCs/>
          <w:snapToGrid w:val="0"/>
        </w:rPr>
        <w:t xml:space="preserve"> or</w:t>
      </w:r>
      <w:r w:rsidR="0006035E">
        <w:rPr>
          <w:rFonts w:asciiTheme="minorHAnsi" w:hAnsiTheme="minorHAnsi"/>
          <w:bCs/>
          <w:snapToGrid w:val="0"/>
        </w:rPr>
        <w:t xml:space="preserve"> cardiovascular event</w:t>
      </w:r>
      <w:r w:rsidR="0065228D">
        <w:rPr>
          <w:rFonts w:asciiTheme="minorHAnsi" w:hAnsiTheme="minorHAnsi"/>
          <w:bCs/>
          <w:snapToGrid w:val="0"/>
        </w:rPr>
        <w:t>s</w:t>
      </w:r>
      <w:r w:rsidR="003A5EE5">
        <w:rPr>
          <w:rFonts w:asciiTheme="minorHAnsi" w:hAnsiTheme="minorHAnsi"/>
          <w:bCs/>
          <w:snapToGrid w:val="0"/>
        </w:rPr>
        <w:t>.</w:t>
      </w:r>
      <w:r w:rsidR="00943C08">
        <w:rPr>
          <w:rFonts w:asciiTheme="minorHAnsi" w:hAnsiTheme="minorHAnsi"/>
          <w:bCs/>
          <w:snapToGrid w:val="0"/>
        </w:rPr>
        <w:t xml:space="preserve"> It commented that the listing of MP on the PBS has decreased</w:t>
      </w:r>
      <w:r w:rsidR="0097172D">
        <w:rPr>
          <w:rFonts w:asciiTheme="minorHAnsi" w:hAnsiTheme="minorHAnsi"/>
          <w:bCs/>
          <w:snapToGrid w:val="0"/>
        </w:rPr>
        <w:t xml:space="preserve"> the financial barrier to this medication, however currently individuals who want to use MP but do not or cannot use a transdermal estro</w:t>
      </w:r>
      <w:r w:rsidR="00743D8A">
        <w:rPr>
          <w:rFonts w:asciiTheme="minorHAnsi" w:hAnsiTheme="minorHAnsi"/>
          <w:bCs/>
          <w:snapToGrid w:val="0"/>
        </w:rPr>
        <w:t xml:space="preserve">gen are unable to access this medication in a combined preparation, </w:t>
      </w:r>
      <w:r w:rsidR="00B66012">
        <w:rPr>
          <w:rFonts w:asciiTheme="minorHAnsi" w:hAnsiTheme="minorHAnsi"/>
          <w:bCs/>
          <w:snapToGrid w:val="0"/>
        </w:rPr>
        <w:t>limiting</w:t>
      </w:r>
      <w:r w:rsidR="00743D8A">
        <w:rPr>
          <w:rFonts w:asciiTheme="minorHAnsi" w:hAnsiTheme="minorHAnsi"/>
          <w:bCs/>
          <w:snapToGrid w:val="0"/>
        </w:rPr>
        <w:t xml:space="preserve"> access and choice.</w:t>
      </w:r>
      <w:r w:rsidR="0037500A">
        <w:rPr>
          <w:rFonts w:asciiTheme="minorHAnsi" w:hAnsiTheme="minorHAnsi"/>
          <w:bCs/>
          <w:snapToGrid w:val="0"/>
        </w:rPr>
        <w:t xml:space="preserve"> </w:t>
      </w:r>
    </w:p>
    <w:p w14:paraId="6CDA19BC" w14:textId="326CB87F" w:rsidR="00D01798" w:rsidRDefault="00527ACA" w:rsidP="00CC508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Royal Australian and New Zealand College of Obstetricians </w:t>
      </w:r>
      <w:r w:rsidR="00FA0786">
        <w:rPr>
          <w:rFonts w:asciiTheme="minorHAnsi" w:hAnsiTheme="minorHAnsi"/>
          <w:bCs/>
          <w:snapToGrid w:val="0"/>
        </w:rPr>
        <w:t xml:space="preserve">and Gynaecologists commented that </w:t>
      </w:r>
      <w:r w:rsidR="00295979">
        <w:rPr>
          <w:rFonts w:asciiTheme="minorHAnsi" w:hAnsiTheme="minorHAnsi"/>
          <w:bCs/>
          <w:snapToGrid w:val="0"/>
        </w:rPr>
        <w:t>costs of new medicines</w:t>
      </w:r>
      <w:r w:rsidR="00EF1BEA">
        <w:rPr>
          <w:rFonts w:asciiTheme="minorHAnsi" w:hAnsiTheme="minorHAnsi"/>
          <w:bCs/>
          <w:snapToGrid w:val="0"/>
        </w:rPr>
        <w:t xml:space="preserve"> can be prohibitive for </w:t>
      </w:r>
      <w:r w:rsidR="001C6F79">
        <w:rPr>
          <w:rFonts w:asciiTheme="minorHAnsi" w:hAnsiTheme="minorHAnsi"/>
          <w:bCs/>
          <w:snapToGrid w:val="0"/>
        </w:rPr>
        <w:t xml:space="preserve">patients, and inclusion of </w:t>
      </w:r>
      <w:r w:rsidR="0029074D">
        <w:rPr>
          <w:rFonts w:asciiTheme="minorHAnsi" w:hAnsiTheme="minorHAnsi"/>
          <w:bCs/>
          <w:snapToGrid w:val="0"/>
        </w:rPr>
        <w:t>these new medicines on the PBS can address some concerns around cost</w:t>
      </w:r>
      <w:r w:rsidR="000A6C17">
        <w:rPr>
          <w:rFonts w:asciiTheme="minorHAnsi" w:hAnsiTheme="minorHAnsi"/>
          <w:bCs/>
          <w:snapToGrid w:val="0"/>
        </w:rPr>
        <w:t xml:space="preserve"> and access.</w:t>
      </w:r>
      <w:r w:rsidR="00937542">
        <w:rPr>
          <w:rFonts w:asciiTheme="minorHAnsi" w:hAnsiTheme="minorHAnsi"/>
          <w:bCs/>
          <w:snapToGrid w:val="0"/>
        </w:rPr>
        <w:t xml:space="preserve"> Advanced Pharmacy Australia </w:t>
      </w:r>
      <w:r w:rsidR="0097391D">
        <w:rPr>
          <w:rFonts w:asciiTheme="minorHAnsi" w:hAnsiTheme="minorHAnsi"/>
          <w:bCs/>
          <w:snapToGrid w:val="0"/>
        </w:rPr>
        <w:t xml:space="preserve">and the Australasian Menopause Society </w:t>
      </w:r>
      <w:r w:rsidR="000C7511">
        <w:rPr>
          <w:rFonts w:asciiTheme="minorHAnsi" w:hAnsiTheme="minorHAnsi"/>
          <w:bCs/>
          <w:snapToGrid w:val="0"/>
        </w:rPr>
        <w:t>commented that listing estradiol with progesterone provides an additional treatment option for people living with menopause.</w:t>
      </w:r>
    </w:p>
    <w:p w14:paraId="7F332D69" w14:textId="1C397AC8" w:rsidR="002C4DC9" w:rsidRDefault="002C4DC9" w:rsidP="00CC5081">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Australian College of Nurse Practitioners </w:t>
      </w:r>
      <w:r w:rsidR="0080648B">
        <w:rPr>
          <w:rFonts w:asciiTheme="minorHAnsi" w:hAnsiTheme="minorHAnsi"/>
          <w:bCs/>
          <w:snapToGrid w:val="0"/>
        </w:rPr>
        <w:t xml:space="preserve">(ACNP) </w:t>
      </w:r>
      <w:r>
        <w:rPr>
          <w:rFonts w:asciiTheme="minorHAnsi" w:hAnsiTheme="minorHAnsi"/>
          <w:bCs/>
          <w:snapToGrid w:val="0"/>
        </w:rPr>
        <w:t>commented on a range of benefits for estradiol with progesterone, including providing effective symptom relie</w:t>
      </w:r>
      <w:r w:rsidR="00725956">
        <w:rPr>
          <w:rFonts w:asciiTheme="minorHAnsi" w:hAnsiTheme="minorHAnsi"/>
          <w:bCs/>
          <w:snapToGrid w:val="0"/>
        </w:rPr>
        <w:t xml:space="preserve">f, tolerability, improved adherence being a single capsule, </w:t>
      </w:r>
      <w:r w:rsidR="00026A41">
        <w:rPr>
          <w:rFonts w:asciiTheme="minorHAnsi" w:hAnsiTheme="minorHAnsi"/>
          <w:bCs/>
          <w:snapToGrid w:val="0"/>
        </w:rPr>
        <w:t xml:space="preserve">providing an alternative MHT option for individuals who cannot use patches or topical gel, </w:t>
      </w:r>
      <w:r w:rsidR="00BC0347">
        <w:rPr>
          <w:rFonts w:asciiTheme="minorHAnsi" w:hAnsiTheme="minorHAnsi"/>
          <w:bCs/>
          <w:snapToGrid w:val="0"/>
        </w:rPr>
        <w:t>and equity of access if PBS listed.</w:t>
      </w:r>
      <w:r w:rsidR="00F01C16">
        <w:rPr>
          <w:rFonts w:asciiTheme="minorHAnsi" w:hAnsiTheme="minorHAnsi"/>
          <w:bCs/>
          <w:snapToGrid w:val="0"/>
        </w:rPr>
        <w:t xml:space="preserve"> The ACNP also commented that </w:t>
      </w:r>
      <w:r w:rsidR="002A24F7">
        <w:rPr>
          <w:rFonts w:asciiTheme="minorHAnsi" w:hAnsiTheme="minorHAnsi"/>
          <w:bCs/>
          <w:snapToGrid w:val="0"/>
        </w:rPr>
        <w:t xml:space="preserve">it would be beneficial to include nurse practitioners as eligible prescribers for </w:t>
      </w:r>
      <w:r w:rsidR="00856789">
        <w:rPr>
          <w:rFonts w:asciiTheme="minorHAnsi" w:hAnsiTheme="minorHAnsi"/>
          <w:bCs/>
          <w:snapToGrid w:val="0"/>
        </w:rPr>
        <w:t>Bi</w:t>
      </w:r>
      <w:r w:rsidR="00A6039F">
        <w:rPr>
          <w:rFonts w:asciiTheme="minorHAnsi" w:hAnsiTheme="minorHAnsi"/>
          <w:bCs/>
          <w:snapToGrid w:val="0"/>
        </w:rPr>
        <w:t>juva to support equitable access.</w:t>
      </w:r>
    </w:p>
    <w:bookmarkEnd w:id="15"/>
    <w:bookmarkEnd w:id="17"/>
    <w:p w14:paraId="609C0765" w14:textId="712AD68D" w:rsidR="00B60939" w:rsidRPr="0098262F" w:rsidRDefault="00B60939" w:rsidP="002E4F02">
      <w:pPr>
        <w:pStyle w:val="4-SubsectionHeading"/>
      </w:pPr>
      <w:r w:rsidRPr="0098262F">
        <w:t>Clinical trials</w:t>
      </w:r>
      <w:bookmarkEnd w:id="14"/>
      <w:bookmarkEnd w:id="16"/>
    </w:p>
    <w:p w14:paraId="52CE906D" w14:textId="2C7F2AD7" w:rsidR="00422192" w:rsidRDefault="00225CF8">
      <w:pPr>
        <w:pStyle w:val="3-BodyText"/>
      </w:pPr>
      <w:r w:rsidRPr="000B0C47">
        <w:t>No head-to-head trial</w:t>
      </w:r>
      <w:r w:rsidR="00FC1106">
        <w:t>s</w:t>
      </w:r>
      <w:r w:rsidRPr="000B0C47">
        <w:t xml:space="preserve"> comparing </w:t>
      </w:r>
      <w:r>
        <w:t xml:space="preserve">Bijuva </w:t>
      </w:r>
      <w:r w:rsidRPr="000B0C47">
        <w:t xml:space="preserve">to </w:t>
      </w:r>
      <w:r>
        <w:t>Estrogel Pro</w:t>
      </w:r>
      <w:r w:rsidRPr="000B0C47">
        <w:t xml:space="preserve"> </w:t>
      </w:r>
      <w:r w:rsidR="00082FC5">
        <w:t>were</w:t>
      </w:r>
      <w:r w:rsidRPr="000B0C47">
        <w:t xml:space="preserve"> available. </w:t>
      </w:r>
      <w:r w:rsidR="0031100C">
        <w:t>Therefore, t</w:t>
      </w:r>
      <w:r w:rsidRPr="0098262F">
        <w:t xml:space="preserve">he submission was </w:t>
      </w:r>
      <w:r w:rsidRPr="00060F14">
        <w:t xml:space="preserve">based on </w:t>
      </w:r>
      <w:r w:rsidR="00422192">
        <w:t xml:space="preserve">two </w:t>
      </w:r>
      <w:r w:rsidRPr="00060F14">
        <w:t>indirect treatment comparisons (ITCs)</w:t>
      </w:r>
      <w:r w:rsidR="00422192">
        <w:t>:</w:t>
      </w:r>
    </w:p>
    <w:p w14:paraId="79067AAF" w14:textId="157FCF06" w:rsidR="00225CF8" w:rsidRPr="007B6BC1" w:rsidRDefault="00422192">
      <w:pPr>
        <w:pStyle w:val="ListParagraph"/>
        <w:jc w:val="both"/>
      </w:pPr>
      <w:bookmarkStart w:id="18" w:name="_Hlk207880422"/>
      <w:r>
        <w:t>An anchored unadjusted ITC of</w:t>
      </w:r>
      <w:r w:rsidR="00225CF8">
        <w:t xml:space="preserve"> </w:t>
      </w:r>
      <w:r w:rsidR="00BD45FF">
        <w:t xml:space="preserve">a </w:t>
      </w:r>
      <w:r w:rsidR="00225CF8">
        <w:t>Bijuva</w:t>
      </w:r>
      <w:r w:rsidR="00BD45FF">
        <w:t xml:space="preserve"> trial</w:t>
      </w:r>
      <w:r w:rsidR="00225CF8">
        <w:t xml:space="preserve"> (REPLENISH) </w:t>
      </w:r>
      <w:r>
        <w:t xml:space="preserve">versus </w:t>
      </w:r>
      <w:r w:rsidR="00225CF8" w:rsidRPr="0043368A">
        <w:t>an Estrogel study (Archer et al.</w:t>
      </w:r>
      <w:r w:rsidR="00556C6C">
        <w:t>,</w:t>
      </w:r>
      <w:r w:rsidR="00225CF8" w:rsidRPr="0043368A">
        <w:t xml:space="preserve"> 2003) via a common placebo comparator arm comparing </w:t>
      </w:r>
      <w:r w:rsidR="00225CF8">
        <w:t>the</w:t>
      </w:r>
      <w:r w:rsidR="0033369B">
        <w:t xml:space="preserve"> efficacy (</w:t>
      </w:r>
      <w:r w:rsidR="00225CF8">
        <w:t>change from baseline in frequency</w:t>
      </w:r>
      <w:r w:rsidR="006B0FA0">
        <w:t xml:space="preserve"> and severity</w:t>
      </w:r>
      <w:r w:rsidR="00225CF8">
        <w:t xml:space="preserve"> of </w:t>
      </w:r>
      <w:r w:rsidR="00225CF8" w:rsidRPr="0043368A">
        <w:t>V</w:t>
      </w:r>
      <w:r w:rsidR="0061463A">
        <w:t>MS</w:t>
      </w:r>
      <w:r w:rsidR="0033369B">
        <w:t>)</w:t>
      </w:r>
      <w:r w:rsidR="00225CF8">
        <w:t>,</w:t>
      </w:r>
      <w:r w:rsidR="00225CF8" w:rsidRPr="0043368A">
        <w:t xml:space="preserve"> and</w:t>
      </w:r>
      <w:r w:rsidR="0033369B">
        <w:t xml:space="preserve"> safety</w:t>
      </w:r>
      <w:r w:rsidR="00225CF8" w:rsidRPr="0043368A">
        <w:t xml:space="preserve"> </w:t>
      </w:r>
      <w:r w:rsidR="0033369B">
        <w:t>(</w:t>
      </w:r>
      <w:r w:rsidR="0061463A">
        <w:t xml:space="preserve">adverse events </w:t>
      </w:r>
      <w:r w:rsidR="0033369B">
        <w:t>[</w:t>
      </w:r>
      <w:r w:rsidR="0061463A">
        <w:t>AEs</w:t>
      </w:r>
      <w:r w:rsidR="0033369B">
        <w:t>]</w:t>
      </w:r>
      <w:r w:rsidR="0061463A">
        <w:t>)</w:t>
      </w:r>
      <w:r w:rsidR="00225CF8" w:rsidRPr="0043368A">
        <w:t xml:space="preserve"> at Week 12.</w:t>
      </w:r>
      <w:r>
        <w:t xml:space="preserve"> </w:t>
      </w:r>
      <w:r w:rsidR="00FA0F44" w:rsidRPr="007B6BC1">
        <w:t xml:space="preserve">Although this analysis was based on Estrogel rather than the nominated comparator, Estrogel Pro, this was considered reasonable as VMS </w:t>
      </w:r>
      <w:r w:rsidR="00EB7EEB" w:rsidRPr="007B6BC1">
        <w:t>are</w:t>
      </w:r>
      <w:r w:rsidR="00FA0F44" w:rsidRPr="007B6BC1">
        <w:t xml:space="preserve"> primarily driven by declining estrogen levels in menopause.</w:t>
      </w:r>
      <w:bookmarkEnd w:id="18"/>
      <w:r w:rsidR="0011074C" w:rsidRPr="007B6BC1">
        <w:t xml:space="preserve"> </w:t>
      </w:r>
      <w:r w:rsidR="00785F4B" w:rsidRPr="007B6BC1">
        <w:t>The PBAC had previously considered the results of Archer et al. (2003) in the November 2024 consideration of Estrogel Pro.</w:t>
      </w:r>
    </w:p>
    <w:p w14:paraId="089D8496" w14:textId="00F5BFA0" w:rsidR="00225CF8" w:rsidRPr="0043368A" w:rsidRDefault="00422192" w:rsidP="00225CF8">
      <w:pPr>
        <w:pStyle w:val="ListParagraph"/>
        <w:jc w:val="both"/>
      </w:pPr>
      <w:r>
        <w:rPr>
          <w:lang w:val="en-US"/>
        </w:rPr>
        <w:t>A</w:t>
      </w:r>
      <w:r w:rsidRPr="00422192">
        <w:rPr>
          <w:lang w:val="en-US"/>
        </w:rPr>
        <w:t>n unanchored</w:t>
      </w:r>
      <w:r>
        <w:rPr>
          <w:lang w:val="en-US"/>
        </w:rPr>
        <w:t xml:space="preserve"> </w:t>
      </w:r>
      <w:r w:rsidR="00641B01">
        <w:rPr>
          <w:lang w:val="en-US"/>
        </w:rPr>
        <w:t xml:space="preserve">unadjusted </w:t>
      </w:r>
      <w:r w:rsidR="00641B01" w:rsidRPr="00422192">
        <w:rPr>
          <w:lang w:val="en-US"/>
        </w:rPr>
        <w:t>ITC</w:t>
      </w:r>
      <w:r w:rsidRPr="00422192">
        <w:rPr>
          <w:lang w:val="en-US"/>
        </w:rPr>
        <w:t xml:space="preserve"> </w:t>
      </w:r>
      <w:r>
        <w:t xml:space="preserve">of </w:t>
      </w:r>
      <w:r w:rsidR="00BD45FF">
        <w:t xml:space="preserve">a </w:t>
      </w:r>
      <w:r>
        <w:t>Bijuva</w:t>
      </w:r>
      <w:r w:rsidR="00BD45FF">
        <w:t xml:space="preserve"> trial</w:t>
      </w:r>
      <w:r>
        <w:t xml:space="preserve"> (REPLENISH) versus an</w:t>
      </w:r>
      <w:r w:rsidR="00225CF8" w:rsidRPr="0043368A">
        <w:t xml:space="preserve"> Estrogel Pro study (</w:t>
      </w:r>
      <w:proofErr w:type="spellStart"/>
      <w:r w:rsidR="00225CF8" w:rsidRPr="0043368A">
        <w:t>P</w:t>
      </w:r>
      <w:r w:rsidR="002027C6">
        <w:rPr>
          <w:rFonts w:cstheme="minorHAnsi"/>
        </w:rPr>
        <w:t>é</w:t>
      </w:r>
      <w:r w:rsidR="00225CF8" w:rsidRPr="0043368A">
        <w:t>lissier</w:t>
      </w:r>
      <w:proofErr w:type="spellEnd"/>
      <w:r w:rsidR="00225CF8" w:rsidRPr="0043368A">
        <w:t xml:space="preserve"> et al. 2001) comparing the incidence</w:t>
      </w:r>
      <w:r w:rsidR="00A772D0">
        <w:t xml:space="preserve"> </w:t>
      </w:r>
      <w:r w:rsidR="00225CF8" w:rsidRPr="0043368A">
        <w:t xml:space="preserve">of endometrial hyperplasia. </w:t>
      </w:r>
    </w:p>
    <w:p w14:paraId="72585777" w14:textId="3D3C185C" w:rsidR="0061463A" w:rsidRPr="00060F14" w:rsidRDefault="0061463A" w:rsidP="0061463A">
      <w:pPr>
        <w:pStyle w:val="3-BodyText"/>
        <w:rPr>
          <w:color w:val="0066FF"/>
        </w:rPr>
      </w:pPr>
      <w:r w:rsidRPr="0043368A">
        <w:t xml:space="preserve">Details of the trials presented in the submission </w:t>
      </w:r>
      <w:r w:rsidRPr="0098262F">
        <w:t>are provided in</w:t>
      </w:r>
      <w:r w:rsidR="0033369B">
        <w:t xml:space="preserve"> </w:t>
      </w:r>
      <w:r w:rsidR="0033369B">
        <w:fldChar w:fldCharType="begin"/>
      </w:r>
      <w:r w:rsidR="0033369B">
        <w:instrText xml:space="preserve"> REF _Ref208065543 \h </w:instrText>
      </w:r>
      <w:r w:rsidR="0033369B">
        <w:fldChar w:fldCharType="separate"/>
      </w:r>
      <w:r w:rsidR="00724077" w:rsidRPr="0098262F">
        <w:t xml:space="preserve">Table </w:t>
      </w:r>
      <w:r w:rsidR="00724077">
        <w:rPr>
          <w:noProof/>
        </w:rPr>
        <w:t>2</w:t>
      </w:r>
      <w:r w:rsidR="0033369B">
        <w:fldChar w:fldCharType="end"/>
      </w:r>
      <w:r w:rsidRPr="0098262F">
        <w:t>.</w:t>
      </w:r>
    </w:p>
    <w:p w14:paraId="42205EE6" w14:textId="6E2E6C46" w:rsidR="0061463A" w:rsidRPr="0098262F" w:rsidRDefault="0061463A" w:rsidP="0061463A">
      <w:pPr>
        <w:pStyle w:val="TableFigureHeading"/>
        <w:rPr>
          <w:rStyle w:val="CommentReference"/>
          <w:b/>
          <w:szCs w:val="24"/>
        </w:rPr>
      </w:pPr>
      <w:bookmarkStart w:id="19" w:name="_Ref208065543"/>
      <w:r w:rsidRPr="0098262F">
        <w:lastRenderedPageBreak/>
        <w:t xml:space="preserve">Table </w:t>
      </w:r>
      <w:r w:rsidR="003A0CC2">
        <w:fldChar w:fldCharType="begin"/>
      </w:r>
      <w:r w:rsidR="003A0CC2">
        <w:instrText xml:space="preserve"> SEQ Table \* ARABIC </w:instrText>
      </w:r>
      <w:r w:rsidR="003A0CC2">
        <w:fldChar w:fldCharType="separate"/>
      </w:r>
      <w:r w:rsidR="00724077">
        <w:rPr>
          <w:noProof/>
        </w:rPr>
        <w:t>2</w:t>
      </w:r>
      <w:r w:rsidR="003A0CC2">
        <w:rPr>
          <w:noProof/>
        </w:rPr>
        <w:fldChar w:fldCharType="end"/>
      </w:r>
      <w:bookmarkEnd w:id="19"/>
      <w:r w:rsidRPr="0098262F">
        <w:t>:</w:t>
      </w:r>
      <w:r w:rsidRPr="0098262F">
        <w:rPr>
          <w:rStyle w:val="CommentReference"/>
          <w:b/>
          <w:szCs w:val="24"/>
        </w:rPr>
        <w:t xml:space="preserve"> Trials/studies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studies and associated reports presented in the submission"/>
      </w:tblPr>
      <w:tblGrid>
        <w:gridCol w:w="1434"/>
        <w:gridCol w:w="5055"/>
        <w:gridCol w:w="2528"/>
      </w:tblGrid>
      <w:tr w:rsidR="0061463A" w:rsidRPr="0098262F" w14:paraId="4BB43640" w14:textId="77777777" w:rsidTr="00A6567C">
        <w:trPr>
          <w:cantSplit/>
          <w:tblHeader/>
        </w:trPr>
        <w:tc>
          <w:tcPr>
            <w:tcW w:w="795" w:type="pct"/>
            <w:vAlign w:val="center"/>
          </w:tcPr>
          <w:p w14:paraId="6EE58255" w14:textId="77777777" w:rsidR="0061463A" w:rsidRPr="0098262F" w:rsidRDefault="0061463A" w:rsidP="00642F70">
            <w:pPr>
              <w:pStyle w:val="In-tableHeading"/>
            </w:pPr>
            <w:r w:rsidRPr="0098262F">
              <w:t>Trial ID</w:t>
            </w:r>
          </w:p>
        </w:tc>
        <w:tc>
          <w:tcPr>
            <w:tcW w:w="2803" w:type="pct"/>
            <w:vAlign w:val="center"/>
          </w:tcPr>
          <w:p w14:paraId="75C5DC7B" w14:textId="77777777" w:rsidR="0061463A" w:rsidRPr="0098262F" w:rsidRDefault="0061463A" w:rsidP="00642F70">
            <w:pPr>
              <w:pStyle w:val="In-tableHeading"/>
            </w:pPr>
            <w:r w:rsidRPr="0098262F">
              <w:t>Protocol title/ Publication title</w:t>
            </w:r>
          </w:p>
        </w:tc>
        <w:tc>
          <w:tcPr>
            <w:tcW w:w="1402" w:type="pct"/>
            <w:vAlign w:val="center"/>
          </w:tcPr>
          <w:p w14:paraId="42A84036" w14:textId="77777777" w:rsidR="0061463A" w:rsidRPr="0098262F" w:rsidRDefault="0061463A" w:rsidP="00642F70">
            <w:pPr>
              <w:pStyle w:val="In-tableHeading"/>
            </w:pPr>
            <w:r w:rsidRPr="0098262F">
              <w:t>Publication citation</w:t>
            </w:r>
          </w:p>
        </w:tc>
      </w:tr>
      <w:tr w:rsidR="0061463A" w:rsidRPr="0098262F" w14:paraId="0FB83BBE" w14:textId="77777777" w:rsidTr="00A6567C">
        <w:trPr>
          <w:cantSplit/>
        </w:trPr>
        <w:tc>
          <w:tcPr>
            <w:tcW w:w="5000" w:type="pct"/>
            <w:gridSpan w:val="3"/>
            <w:vAlign w:val="center"/>
          </w:tcPr>
          <w:p w14:paraId="5B921EE6" w14:textId="77777777" w:rsidR="0061463A" w:rsidRPr="0061463A" w:rsidRDefault="0061463A" w:rsidP="00642F70">
            <w:pPr>
              <w:pStyle w:val="TableText0"/>
              <w:rPr>
                <w:b/>
              </w:rPr>
            </w:pPr>
            <w:r w:rsidRPr="0061463A">
              <w:rPr>
                <w:b/>
              </w:rPr>
              <w:t>Bijuva trial</w:t>
            </w:r>
          </w:p>
        </w:tc>
      </w:tr>
      <w:tr w:rsidR="0061463A" w:rsidRPr="0098262F" w14:paraId="648BDDD9" w14:textId="77777777" w:rsidTr="00A6567C">
        <w:trPr>
          <w:cantSplit/>
        </w:trPr>
        <w:tc>
          <w:tcPr>
            <w:tcW w:w="795" w:type="pct"/>
            <w:vMerge w:val="restart"/>
            <w:vAlign w:val="center"/>
          </w:tcPr>
          <w:p w14:paraId="29D8A7DD" w14:textId="77777777" w:rsidR="0061463A" w:rsidRDefault="0061463A" w:rsidP="00642F70">
            <w:pPr>
              <w:pStyle w:val="TableText0"/>
            </w:pPr>
            <w:r>
              <w:t>REPLENISH</w:t>
            </w:r>
          </w:p>
          <w:p w14:paraId="77AC99D4" w14:textId="77777777" w:rsidR="0061463A" w:rsidRPr="0098262F" w:rsidRDefault="0061463A" w:rsidP="00642F70">
            <w:pPr>
              <w:pStyle w:val="TableText0"/>
              <w:rPr>
                <w:szCs w:val="20"/>
              </w:rPr>
            </w:pPr>
            <w:r>
              <w:t>NCT</w:t>
            </w:r>
            <w:r w:rsidRPr="000F5CD8">
              <w:t>01942668</w:t>
            </w:r>
          </w:p>
        </w:tc>
        <w:tc>
          <w:tcPr>
            <w:tcW w:w="2803" w:type="pct"/>
            <w:tcBorders>
              <w:bottom w:val="single" w:sz="4" w:space="0" w:color="auto"/>
            </w:tcBorders>
            <w:vAlign w:val="center"/>
          </w:tcPr>
          <w:p w14:paraId="33966456" w14:textId="77777777" w:rsidR="0061463A" w:rsidRDefault="0061463A" w:rsidP="00642F70">
            <w:pPr>
              <w:pStyle w:val="TableText0"/>
            </w:pPr>
            <w:r>
              <w:t>A Phase 3, Double-Blind, Placebo-Controlled, Randomized, Multi-</w:t>
            </w:r>
            <w:proofErr w:type="spellStart"/>
            <w:r>
              <w:t>Center</w:t>
            </w:r>
            <w:proofErr w:type="spellEnd"/>
            <w:r>
              <w:t xml:space="preserve"> Study to Evaluate the Safety and Efficacy of Estradiol in Combination with Progesterone in Postmenopausal Women with </w:t>
            </w:r>
          </w:p>
          <w:p w14:paraId="2B93F6B5" w14:textId="18EA7833" w:rsidR="0061463A" w:rsidRPr="0098262F" w:rsidRDefault="0061463A" w:rsidP="00642F70">
            <w:pPr>
              <w:pStyle w:val="TableText0"/>
            </w:pPr>
            <w:r>
              <w:t>an Intact Uterus: Estradiol to Reduce the Frequency and Severity of Vasomotor Symptoms and Progesterone to Manage the Incidence of Endometrial Hyperplasia (TXC12-05)</w:t>
            </w:r>
            <w:r w:rsidR="00C900B7">
              <w:t>.</w:t>
            </w:r>
          </w:p>
        </w:tc>
        <w:tc>
          <w:tcPr>
            <w:tcW w:w="1402" w:type="pct"/>
            <w:tcBorders>
              <w:bottom w:val="single" w:sz="4" w:space="0" w:color="auto"/>
            </w:tcBorders>
          </w:tcPr>
          <w:p w14:paraId="666C51D2" w14:textId="519C9314" w:rsidR="0061463A" w:rsidRPr="0098262F" w:rsidRDefault="0061463A" w:rsidP="00642F70">
            <w:pPr>
              <w:pStyle w:val="TableText0"/>
              <w:rPr>
                <w:rFonts w:ascii="Times" w:hAnsi="Times"/>
              </w:rPr>
            </w:pPr>
            <w:r>
              <w:t>Clinical Study Report, 22 Sept 2017</w:t>
            </w:r>
            <w:r w:rsidR="006C6F41">
              <w:t>.</w:t>
            </w:r>
          </w:p>
        </w:tc>
      </w:tr>
      <w:tr w:rsidR="0061463A" w:rsidRPr="0098262F" w14:paraId="1A8A8CEE" w14:textId="77777777" w:rsidTr="00A6567C">
        <w:trPr>
          <w:cantSplit/>
        </w:trPr>
        <w:tc>
          <w:tcPr>
            <w:tcW w:w="795" w:type="pct"/>
            <w:vMerge/>
            <w:vAlign w:val="center"/>
          </w:tcPr>
          <w:p w14:paraId="64CAB1A2"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4F0D91F5" w14:textId="1FC2DDF5" w:rsidR="0061463A" w:rsidRPr="0098262F" w:rsidRDefault="0061463A" w:rsidP="00642F70">
            <w:pPr>
              <w:pStyle w:val="TableText0"/>
            </w:pPr>
            <w:r>
              <w:t>Archer, DF, Bernick BA and Mirkin S. A combined, bioidentical, oral, 17</w:t>
            </w:r>
            <w:r w:rsidR="001B03B6">
              <w:t>β</w:t>
            </w:r>
            <w:r>
              <w:t>-estradiol and progesterone capsule for the treatment of moderate to severe vasomotor symptoms due to menopause.</w:t>
            </w:r>
          </w:p>
        </w:tc>
        <w:tc>
          <w:tcPr>
            <w:tcW w:w="1402" w:type="pct"/>
            <w:tcBorders>
              <w:top w:val="single" w:sz="4" w:space="0" w:color="auto"/>
              <w:bottom w:val="single" w:sz="4" w:space="0" w:color="auto"/>
            </w:tcBorders>
          </w:tcPr>
          <w:p w14:paraId="56A53261" w14:textId="77D877F9" w:rsidR="0061463A" w:rsidRPr="0061451C" w:rsidRDefault="0061463A" w:rsidP="00642F70">
            <w:pPr>
              <w:pStyle w:val="TableText0"/>
              <w:rPr>
                <w:iCs/>
              </w:rPr>
            </w:pPr>
            <w:r w:rsidRPr="0061451C">
              <w:rPr>
                <w:iCs/>
              </w:rPr>
              <w:t xml:space="preserve">Expert Rev Clin </w:t>
            </w:r>
            <w:proofErr w:type="spellStart"/>
            <w:r w:rsidRPr="0061451C">
              <w:rPr>
                <w:iCs/>
              </w:rPr>
              <w:t>Pharmacol</w:t>
            </w:r>
            <w:proofErr w:type="spellEnd"/>
            <w:r w:rsidRPr="0061451C">
              <w:rPr>
                <w:iCs/>
              </w:rPr>
              <w:t xml:space="preserve"> 2019; 12(8):729-39</w:t>
            </w:r>
            <w:r w:rsidR="00B97B7E" w:rsidRPr="0061451C">
              <w:rPr>
                <w:iCs/>
              </w:rPr>
              <w:t>.</w:t>
            </w:r>
            <w:r w:rsidRPr="0061451C">
              <w:rPr>
                <w:iCs/>
              </w:rPr>
              <w:t xml:space="preserve"> </w:t>
            </w:r>
          </w:p>
        </w:tc>
      </w:tr>
      <w:tr w:rsidR="0061463A" w:rsidRPr="0098262F" w14:paraId="0972D94B" w14:textId="77777777" w:rsidTr="00A6567C">
        <w:trPr>
          <w:cantSplit/>
        </w:trPr>
        <w:tc>
          <w:tcPr>
            <w:tcW w:w="795" w:type="pct"/>
            <w:vMerge/>
            <w:vAlign w:val="center"/>
          </w:tcPr>
          <w:p w14:paraId="504D4A32"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402441CC" w14:textId="7FD38F78" w:rsidR="0061463A" w:rsidRPr="0098262F" w:rsidRDefault="0061463A" w:rsidP="00642F70">
            <w:pPr>
              <w:pStyle w:val="TableText0"/>
            </w:pPr>
            <w:r>
              <w:t xml:space="preserve">Constantine, GD, </w:t>
            </w:r>
            <w:proofErr w:type="spellStart"/>
            <w:r>
              <w:t>Revicki</w:t>
            </w:r>
            <w:proofErr w:type="spellEnd"/>
            <w:r>
              <w:t xml:space="preserve">, AD, </w:t>
            </w:r>
            <w:r w:rsidR="00747A8E">
              <w:t xml:space="preserve">Kagan, R, </w:t>
            </w:r>
            <w:r>
              <w:t>et al. Evaluation of clinical meaningfulness of estrogen plus progesterone oral capsule (TX-001HR) on moderate to severe vasomotor symptoms.</w:t>
            </w:r>
          </w:p>
        </w:tc>
        <w:tc>
          <w:tcPr>
            <w:tcW w:w="1402" w:type="pct"/>
            <w:tcBorders>
              <w:top w:val="single" w:sz="4" w:space="0" w:color="auto"/>
              <w:bottom w:val="single" w:sz="4" w:space="0" w:color="auto"/>
            </w:tcBorders>
          </w:tcPr>
          <w:p w14:paraId="49FCFC96" w14:textId="145D8153" w:rsidR="0061463A" w:rsidRPr="0061451C" w:rsidRDefault="0061463A" w:rsidP="00642F70">
            <w:pPr>
              <w:pStyle w:val="TableText0"/>
              <w:rPr>
                <w:iCs/>
              </w:rPr>
            </w:pPr>
            <w:r w:rsidRPr="0061451C">
              <w:rPr>
                <w:iCs/>
              </w:rPr>
              <w:t>Menopause 2019; 26(5): 513-9</w:t>
            </w:r>
            <w:r w:rsidR="005278FF" w:rsidRPr="0061451C">
              <w:rPr>
                <w:iCs/>
              </w:rPr>
              <w:t>.</w:t>
            </w:r>
          </w:p>
        </w:tc>
      </w:tr>
      <w:tr w:rsidR="0061463A" w:rsidRPr="0098262F" w14:paraId="4D709268" w14:textId="77777777" w:rsidTr="00A6567C">
        <w:trPr>
          <w:cantSplit/>
        </w:trPr>
        <w:tc>
          <w:tcPr>
            <w:tcW w:w="795" w:type="pct"/>
            <w:vMerge/>
            <w:vAlign w:val="center"/>
          </w:tcPr>
          <w:p w14:paraId="1606BAB6"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1B358EE4" w14:textId="17FC751F" w:rsidR="0061463A" w:rsidRDefault="0061463A" w:rsidP="00642F70">
            <w:pPr>
              <w:pStyle w:val="TableText0"/>
            </w:pPr>
            <w:r w:rsidRPr="003B54FE">
              <w:rPr>
                <w:lang w:val="de-DE"/>
              </w:rPr>
              <w:t xml:space="preserve">Kagan, R, Constantine, G, </w:t>
            </w:r>
            <w:r w:rsidR="00F64735" w:rsidRPr="003B54FE">
              <w:rPr>
                <w:lang w:val="de-DE"/>
              </w:rPr>
              <w:t xml:space="preserve">Kaunitz, AM, </w:t>
            </w:r>
            <w:r w:rsidRPr="003B54FE">
              <w:rPr>
                <w:lang w:val="de-DE"/>
              </w:rPr>
              <w:t xml:space="preserve">et al. </w:t>
            </w:r>
            <w:r>
              <w:t>Improvement in sleep outcomes with a 17β-estradiol-progesterone oral capsule (TX-001HR) for postmenopausal women.</w:t>
            </w:r>
          </w:p>
        </w:tc>
        <w:tc>
          <w:tcPr>
            <w:tcW w:w="1402" w:type="pct"/>
            <w:tcBorders>
              <w:top w:val="single" w:sz="4" w:space="0" w:color="auto"/>
              <w:bottom w:val="single" w:sz="4" w:space="0" w:color="auto"/>
            </w:tcBorders>
          </w:tcPr>
          <w:p w14:paraId="70B79233" w14:textId="446F4095" w:rsidR="0061463A" w:rsidRPr="0061451C" w:rsidRDefault="0061463A" w:rsidP="00642F70">
            <w:pPr>
              <w:pStyle w:val="TableText0"/>
              <w:rPr>
                <w:iCs/>
              </w:rPr>
            </w:pPr>
            <w:r w:rsidRPr="0061451C">
              <w:rPr>
                <w:iCs/>
              </w:rPr>
              <w:t>Menopause 2018; 26(6):622-8</w:t>
            </w:r>
            <w:r w:rsidR="00B928ED" w:rsidRPr="0061451C">
              <w:rPr>
                <w:iCs/>
              </w:rPr>
              <w:t>.</w:t>
            </w:r>
          </w:p>
        </w:tc>
      </w:tr>
      <w:tr w:rsidR="0061463A" w:rsidRPr="0098262F" w14:paraId="264E8117" w14:textId="77777777" w:rsidTr="00A6567C">
        <w:trPr>
          <w:cantSplit/>
        </w:trPr>
        <w:tc>
          <w:tcPr>
            <w:tcW w:w="795" w:type="pct"/>
            <w:vMerge/>
            <w:vAlign w:val="center"/>
          </w:tcPr>
          <w:p w14:paraId="72AD7E90"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04DD51E7" w14:textId="06300E67" w:rsidR="0061463A" w:rsidRDefault="0061463A" w:rsidP="00642F70">
            <w:pPr>
              <w:pStyle w:val="TableText0"/>
            </w:pPr>
            <w:r>
              <w:t>Kaunitz, AM, Bitner</w:t>
            </w:r>
            <w:r w:rsidR="007A3E7B">
              <w:t>,</w:t>
            </w:r>
            <w:r>
              <w:t xml:space="preserve"> D,</w:t>
            </w:r>
            <w:r w:rsidR="007A3E7B">
              <w:t xml:space="preserve"> </w:t>
            </w:r>
            <w:r w:rsidR="00CF219E">
              <w:t xml:space="preserve">Constantine, </w:t>
            </w:r>
            <w:r w:rsidR="00B135A0">
              <w:t>GD,</w:t>
            </w:r>
            <w:r>
              <w:t xml:space="preserve"> et al. 17β-estradiol/progesterone in a single, oral, </w:t>
            </w:r>
            <w:proofErr w:type="spellStart"/>
            <w:r>
              <w:t>softgel</w:t>
            </w:r>
            <w:proofErr w:type="spellEnd"/>
            <w:r>
              <w:t xml:space="preserve"> capsule (TX-001HR) significantly increased the number of vasomotor symptom-free days in the REPLENISH trial.</w:t>
            </w:r>
          </w:p>
        </w:tc>
        <w:tc>
          <w:tcPr>
            <w:tcW w:w="1402" w:type="pct"/>
            <w:tcBorders>
              <w:top w:val="single" w:sz="4" w:space="0" w:color="auto"/>
              <w:bottom w:val="single" w:sz="4" w:space="0" w:color="auto"/>
            </w:tcBorders>
          </w:tcPr>
          <w:p w14:paraId="399BBA80" w14:textId="52C73521" w:rsidR="0061463A" w:rsidRPr="0061451C" w:rsidRDefault="0061463A" w:rsidP="00642F70">
            <w:pPr>
              <w:pStyle w:val="TableText0"/>
              <w:rPr>
                <w:iCs/>
              </w:rPr>
            </w:pPr>
            <w:r w:rsidRPr="0061451C">
              <w:rPr>
                <w:iCs/>
              </w:rPr>
              <w:t>Menopause 2020; 27(12):1382-7</w:t>
            </w:r>
            <w:r w:rsidR="00B135A0" w:rsidRPr="0061451C">
              <w:rPr>
                <w:iCs/>
              </w:rPr>
              <w:t>.</w:t>
            </w:r>
          </w:p>
        </w:tc>
      </w:tr>
      <w:tr w:rsidR="0061463A" w:rsidRPr="0098262F" w14:paraId="6B3DCD5F" w14:textId="77777777" w:rsidTr="00A6567C">
        <w:trPr>
          <w:cantSplit/>
        </w:trPr>
        <w:tc>
          <w:tcPr>
            <w:tcW w:w="795" w:type="pct"/>
            <w:vMerge/>
            <w:vAlign w:val="center"/>
          </w:tcPr>
          <w:p w14:paraId="2CBB18DD"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20B59108" w14:textId="2215B27F" w:rsidR="0061463A" w:rsidRDefault="0061463A" w:rsidP="00642F70">
            <w:pPr>
              <w:pStyle w:val="TableText0"/>
            </w:pPr>
            <w:r>
              <w:t>Lobo, RA, Archer</w:t>
            </w:r>
            <w:r w:rsidR="004D3F6B">
              <w:t>,</w:t>
            </w:r>
            <w:r>
              <w:t xml:space="preserve"> DF,</w:t>
            </w:r>
            <w:r w:rsidR="00514456">
              <w:t xml:space="preserve"> Kagan, R,</w:t>
            </w:r>
            <w:r>
              <w:t xml:space="preserve"> et al. A 17</w:t>
            </w:r>
            <w:r w:rsidR="00514456">
              <w:t>β</w:t>
            </w:r>
            <w:r>
              <w:t>-estradiol</w:t>
            </w:r>
            <w:r w:rsidR="001123EF">
              <w:t>-</w:t>
            </w:r>
            <w:r>
              <w:t>progesterone oral capsule for vasomotor symptoms in postmenopausal women</w:t>
            </w:r>
            <w:r w:rsidR="00C32F9D">
              <w:t>: a randomized controlled trial</w:t>
            </w:r>
            <w:r>
              <w:t>.</w:t>
            </w:r>
          </w:p>
        </w:tc>
        <w:tc>
          <w:tcPr>
            <w:tcW w:w="1402" w:type="pct"/>
            <w:tcBorders>
              <w:top w:val="single" w:sz="4" w:space="0" w:color="auto"/>
              <w:bottom w:val="single" w:sz="4" w:space="0" w:color="auto"/>
            </w:tcBorders>
          </w:tcPr>
          <w:p w14:paraId="7089A2F7" w14:textId="55B84D33" w:rsidR="0061463A" w:rsidRPr="0061451C" w:rsidRDefault="0061463A" w:rsidP="00642F70">
            <w:pPr>
              <w:pStyle w:val="TableText0"/>
              <w:rPr>
                <w:iCs/>
              </w:rPr>
            </w:pPr>
            <w:proofErr w:type="spellStart"/>
            <w:r w:rsidRPr="0061451C">
              <w:rPr>
                <w:iCs/>
              </w:rPr>
              <w:t>Obstet</w:t>
            </w:r>
            <w:proofErr w:type="spellEnd"/>
            <w:r w:rsidRPr="0061451C">
              <w:rPr>
                <w:iCs/>
              </w:rPr>
              <w:t xml:space="preserve"> </w:t>
            </w:r>
            <w:proofErr w:type="spellStart"/>
            <w:r w:rsidRPr="0061451C">
              <w:rPr>
                <w:iCs/>
              </w:rPr>
              <w:t>Gynecol</w:t>
            </w:r>
            <w:proofErr w:type="spellEnd"/>
            <w:r w:rsidRPr="0061451C">
              <w:rPr>
                <w:iCs/>
              </w:rPr>
              <w:t xml:space="preserve"> 2018; 132(1):161-70</w:t>
            </w:r>
            <w:r w:rsidR="00AF2D51" w:rsidRPr="0061451C">
              <w:rPr>
                <w:iCs/>
              </w:rPr>
              <w:t>.</w:t>
            </w:r>
          </w:p>
        </w:tc>
      </w:tr>
      <w:tr w:rsidR="0061463A" w:rsidRPr="0098262F" w14:paraId="6B86C591" w14:textId="77777777" w:rsidTr="00A6567C">
        <w:trPr>
          <w:cantSplit/>
        </w:trPr>
        <w:tc>
          <w:tcPr>
            <w:tcW w:w="795" w:type="pct"/>
            <w:vMerge/>
            <w:vAlign w:val="center"/>
          </w:tcPr>
          <w:p w14:paraId="3CFCA83A"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43CE9682" w14:textId="409BA98A" w:rsidR="0061463A" w:rsidRDefault="0061463A" w:rsidP="00642F70">
            <w:pPr>
              <w:pStyle w:val="TableText0"/>
            </w:pPr>
            <w:r w:rsidRPr="00A20754">
              <w:rPr>
                <w:lang w:val="it-IT"/>
              </w:rPr>
              <w:t>Lobo, RA, Liu</w:t>
            </w:r>
            <w:r w:rsidR="004D3F6B" w:rsidRPr="00A20754">
              <w:rPr>
                <w:lang w:val="it-IT"/>
              </w:rPr>
              <w:t>,</w:t>
            </w:r>
            <w:r w:rsidRPr="00A20754">
              <w:rPr>
                <w:lang w:val="it-IT"/>
              </w:rPr>
              <w:t xml:space="preserve"> J,</w:t>
            </w:r>
            <w:r w:rsidR="004D3F6B" w:rsidRPr="00A20754">
              <w:rPr>
                <w:lang w:val="it-IT"/>
              </w:rPr>
              <w:t xml:space="preserve"> Stanczyk, </w:t>
            </w:r>
            <w:r w:rsidR="00144DA4" w:rsidRPr="00A20754">
              <w:rPr>
                <w:lang w:val="it-IT"/>
              </w:rPr>
              <w:t>FZ,</w:t>
            </w:r>
            <w:r w:rsidRPr="00A20754">
              <w:rPr>
                <w:lang w:val="it-IT"/>
              </w:rPr>
              <w:t xml:space="preserve"> et al. </w:t>
            </w:r>
            <w:r>
              <w:t>Estradiol and progesterone bioavailability for moderate to severe vasomotor symptom treatment and endometrial protection with the continuous-combined regimen of TX-001HR (oral estradiol and progesterone capsules).</w:t>
            </w:r>
          </w:p>
        </w:tc>
        <w:tc>
          <w:tcPr>
            <w:tcW w:w="1402" w:type="pct"/>
            <w:tcBorders>
              <w:top w:val="single" w:sz="4" w:space="0" w:color="auto"/>
              <w:bottom w:val="single" w:sz="4" w:space="0" w:color="auto"/>
            </w:tcBorders>
          </w:tcPr>
          <w:p w14:paraId="6770C01B" w14:textId="7A724785" w:rsidR="0061463A" w:rsidRPr="0061451C" w:rsidRDefault="0061463A" w:rsidP="00642F70">
            <w:pPr>
              <w:pStyle w:val="TableText0"/>
              <w:rPr>
                <w:iCs/>
              </w:rPr>
            </w:pPr>
            <w:r w:rsidRPr="0061451C">
              <w:rPr>
                <w:iCs/>
              </w:rPr>
              <w:t>Menopause 2019; 26(7):720-7</w:t>
            </w:r>
            <w:r w:rsidR="00EC5826" w:rsidRPr="0061451C">
              <w:rPr>
                <w:iCs/>
              </w:rPr>
              <w:t>.</w:t>
            </w:r>
          </w:p>
        </w:tc>
      </w:tr>
      <w:tr w:rsidR="0061463A" w:rsidRPr="0098262F" w14:paraId="354DB86A" w14:textId="77777777" w:rsidTr="00A6567C">
        <w:trPr>
          <w:cantSplit/>
        </w:trPr>
        <w:tc>
          <w:tcPr>
            <w:tcW w:w="795" w:type="pct"/>
            <w:vMerge/>
            <w:tcBorders>
              <w:bottom w:val="nil"/>
            </w:tcBorders>
            <w:vAlign w:val="center"/>
          </w:tcPr>
          <w:p w14:paraId="2C562BE3"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00DE5FA3" w14:textId="0E809C88" w:rsidR="0061463A" w:rsidRDefault="0061463A" w:rsidP="00642F70">
            <w:pPr>
              <w:pStyle w:val="TableText0"/>
            </w:pPr>
            <w:r w:rsidRPr="003B54FE">
              <w:rPr>
                <w:lang w:val="de-DE"/>
              </w:rPr>
              <w:t>Lobo, RA, Kaunitz, AM,</w:t>
            </w:r>
            <w:r w:rsidR="00B74C88" w:rsidRPr="003B54FE">
              <w:rPr>
                <w:lang w:val="de-DE"/>
              </w:rPr>
              <w:t xml:space="preserve"> Santoro, N,</w:t>
            </w:r>
            <w:r w:rsidRPr="003B54FE">
              <w:rPr>
                <w:lang w:val="de-DE"/>
              </w:rPr>
              <w:t xml:space="preserve"> et al. </w:t>
            </w:r>
            <w:r>
              <w:t xml:space="preserve">Metabolic and cardiovascular effects of TX-001HR in menopausal women with vasomotor symptoms. </w:t>
            </w:r>
          </w:p>
        </w:tc>
        <w:tc>
          <w:tcPr>
            <w:tcW w:w="1402" w:type="pct"/>
            <w:tcBorders>
              <w:top w:val="single" w:sz="4" w:space="0" w:color="auto"/>
              <w:bottom w:val="single" w:sz="4" w:space="0" w:color="auto"/>
            </w:tcBorders>
          </w:tcPr>
          <w:p w14:paraId="6E079E38" w14:textId="1ED1B43E" w:rsidR="0061463A" w:rsidRPr="0061451C" w:rsidRDefault="0061463A" w:rsidP="00642F70">
            <w:pPr>
              <w:pStyle w:val="TableText0"/>
              <w:rPr>
                <w:iCs/>
              </w:rPr>
            </w:pPr>
            <w:r w:rsidRPr="0061451C">
              <w:rPr>
                <w:iCs/>
              </w:rPr>
              <w:t>Climacteric 2019;22(6):610-6</w:t>
            </w:r>
            <w:r w:rsidR="00371DDF" w:rsidRPr="0061451C">
              <w:rPr>
                <w:iCs/>
              </w:rPr>
              <w:t>.</w:t>
            </w:r>
          </w:p>
        </w:tc>
      </w:tr>
      <w:tr w:rsidR="0061463A" w:rsidRPr="0098262F" w14:paraId="3C136336" w14:textId="77777777" w:rsidTr="00A6567C">
        <w:trPr>
          <w:cantSplit/>
        </w:trPr>
        <w:tc>
          <w:tcPr>
            <w:tcW w:w="5000" w:type="pct"/>
            <w:gridSpan w:val="3"/>
            <w:vAlign w:val="center"/>
          </w:tcPr>
          <w:p w14:paraId="01A89972" w14:textId="77777777" w:rsidR="0061463A" w:rsidRPr="0061451C" w:rsidRDefault="0061463A" w:rsidP="00642F70">
            <w:pPr>
              <w:pStyle w:val="TableText0"/>
              <w:rPr>
                <w:b/>
                <w:iCs/>
              </w:rPr>
            </w:pPr>
            <w:r w:rsidRPr="0061451C">
              <w:rPr>
                <w:b/>
                <w:iCs/>
              </w:rPr>
              <w:t>Estrogel study</w:t>
            </w:r>
          </w:p>
        </w:tc>
      </w:tr>
      <w:tr w:rsidR="0061463A" w:rsidRPr="0098262F" w14:paraId="441BB64F" w14:textId="77777777" w:rsidTr="00A6567C">
        <w:trPr>
          <w:cantSplit/>
        </w:trPr>
        <w:tc>
          <w:tcPr>
            <w:tcW w:w="795" w:type="pct"/>
            <w:vMerge w:val="restart"/>
            <w:vAlign w:val="center"/>
          </w:tcPr>
          <w:p w14:paraId="4ED1DC52" w14:textId="2411E871" w:rsidR="0061463A" w:rsidRPr="0098262F" w:rsidRDefault="0061463A" w:rsidP="00642F70">
            <w:pPr>
              <w:pStyle w:val="TableText0"/>
              <w:rPr>
                <w:rFonts w:ascii="Times" w:hAnsi="Times"/>
              </w:rPr>
            </w:pPr>
            <w:r>
              <w:t>Archer</w:t>
            </w:r>
            <w:r w:rsidR="00A5437F">
              <w:t xml:space="preserve"> et al.</w:t>
            </w:r>
            <w:r>
              <w:t xml:space="preserve"> </w:t>
            </w:r>
            <w:r w:rsidR="00A5437F">
              <w:t>(</w:t>
            </w:r>
            <w:r>
              <w:t>2003</w:t>
            </w:r>
            <w:r w:rsidR="00A5437F">
              <w:t>)</w:t>
            </w:r>
          </w:p>
        </w:tc>
        <w:tc>
          <w:tcPr>
            <w:tcW w:w="2803" w:type="pct"/>
            <w:tcBorders>
              <w:bottom w:val="single" w:sz="4" w:space="0" w:color="auto"/>
            </w:tcBorders>
            <w:vAlign w:val="center"/>
          </w:tcPr>
          <w:p w14:paraId="63FE0297" w14:textId="1A76890D" w:rsidR="0061463A" w:rsidRPr="0098262F" w:rsidRDefault="0061463A" w:rsidP="00642F70">
            <w:pPr>
              <w:pStyle w:val="TableText0"/>
              <w:rPr>
                <w:rFonts w:ascii="Times" w:hAnsi="Times"/>
              </w:rPr>
            </w:pPr>
            <w:r>
              <w:t xml:space="preserve">Archer, DF, </w:t>
            </w:r>
            <w:proofErr w:type="spellStart"/>
            <w:r w:rsidR="00BB79BD">
              <w:t>EstroGel</w:t>
            </w:r>
            <w:proofErr w:type="spellEnd"/>
            <w:r w:rsidR="00BB79BD">
              <w:t xml:space="preserve"> Study Group</w:t>
            </w:r>
            <w:r>
              <w:t>. Percutaneous 17beta-estradiol gel for the treatment of vasomotor symptoms in postmenopausal women.</w:t>
            </w:r>
          </w:p>
        </w:tc>
        <w:tc>
          <w:tcPr>
            <w:tcW w:w="1402" w:type="pct"/>
            <w:tcBorders>
              <w:bottom w:val="single" w:sz="4" w:space="0" w:color="auto"/>
            </w:tcBorders>
            <w:vAlign w:val="center"/>
          </w:tcPr>
          <w:p w14:paraId="22B63BAA" w14:textId="173FC029" w:rsidR="0061463A" w:rsidRPr="0061451C" w:rsidRDefault="0061463A" w:rsidP="00642F70">
            <w:pPr>
              <w:pStyle w:val="TableText0"/>
              <w:rPr>
                <w:iCs/>
              </w:rPr>
            </w:pPr>
            <w:r w:rsidRPr="0061451C">
              <w:rPr>
                <w:iCs/>
              </w:rPr>
              <w:t>Menopause 2003; 10(6):516-21</w:t>
            </w:r>
            <w:r w:rsidR="00272DAF" w:rsidRPr="0061451C">
              <w:rPr>
                <w:iCs/>
              </w:rPr>
              <w:t>.</w:t>
            </w:r>
          </w:p>
        </w:tc>
      </w:tr>
      <w:tr w:rsidR="0061463A" w:rsidRPr="0098262F" w14:paraId="77B905E1" w14:textId="77777777" w:rsidTr="00A6567C">
        <w:trPr>
          <w:cantSplit/>
        </w:trPr>
        <w:tc>
          <w:tcPr>
            <w:tcW w:w="795" w:type="pct"/>
            <w:vMerge/>
            <w:vAlign w:val="center"/>
          </w:tcPr>
          <w:p w14:paraId="762DCE76" w14:textId="77777777" w:rsidR="0061463A" w:rsidRPr="0098262F" w:rsidRDefault="0061463A" w:rsidP="00642F70">
            <w:pPr>
              <w:pStyle w:val="TableText0"/>
            </w:pPr>
          </w:p>
        </w:tc>
        <w:tc>
          <w:tcPr>
            <w:tcW w:w="2803" w:type="pct"/>
            <w:tcBorders>
              <w:top w:val="single" w:sz="4" w:space="0" w:color="auto"/>
              <w:bottom w:val="single" w:sz="4" w:space="0" w:color="auto"/>
            </w:tcBorders>
            <w:vAlign w:val="center"/>
          </w:tcPr>
          <w:p w14:paraId="4DF72F69" w14:textId="3C92F04A" w:rsidR="0061463A" w:rsidRPr="0098262F" w:rsidRDefault="0061463A" w:rsidP="00642F70">
            <w:pPr>
              <w:pStyle w:val="TableText0"/>
            </w:pPr>
            <w:r w:rsidRPr="003B54FE">
              <w:rPr>
                <w:lang w:val="de-DE"/>
              </w:rPr>
              <w:t>Archer, DF, Pickar</w:t>
            </w:r>
            <w:r w:rsidR="00973D1A" w:rsidRPr="003B54FE">
              <w:rPr>
                <w:lang w:val="de-DE"/>
              </w:rPr>
              <w:t>,</w:t>
            </w:r>
            <w:r w:rsidRPr="003B54FE">
              <w:rPr>
                <w:lang w:val="de-DE"/>
              </w:rPr>
              <w:t xml:space="preserve"> JH, </w:t>
            </w:r>
            <w:r w:rsidR="00415702" w:rsidRPr="003B54FE">
              <w:rPr>
                <w:lang w:val="de-DE"/>
              </w:rPr>
              <w:t xml:space="preserve">MacAllister DC, </w:t>
            </w:r>
            <w:r w:rsidRPr="003B54FE">
              <w:rPr>
                <w:lang w:val="de-DE"/>
              </w:rPr>
              <w:t xml:space="preserve">et al. </w:t>
            </w:r>
            <w:r>
              <w:t>Transdermal estradiol gel for the treatment of symptomatic postmenopausal women</w:t>
            </w:r>
            <w:r w:rsidR="00415702">
              <w:t>.</w:t>
            </w:r>
          </w:p>
        </w:tc>
        <w:tc>
          <w:tcPr>
            <w:tcW w:w="1402" w:type="pct"/>
            <w:tcBorders>
              <w:top w:val="single" w:sz="4" w:space="0" w:color="auto"/>
              <w:bottom w:val="single" w:sz="4" w:space="0" w:color="auto"/>
            </w:tcBorders>
            <w:vAlign w:val="center"/>
          </w:tcPr>
          <w:p w14:paraId="1EE2A3F7" w14:textId="6C191F85" w:rsidR="0061463A" w:rsidRPr="0061451C" w:rsidRDefault="0061463A" w:rsidP="00642F70">
            <w:pPr>
              <w:pStyle w:val="TableText0"/>
              <w:rPr>
                <w:iCs/>
              </w:rPr>
            </w:pPr>
            <w:r w:rsidRPr="0061451C">
              <w:rPr>
                <w:iCs/>
              </w:rPr>
              <w:t>Menopause 2012; 19(6):622-9</w:t>
            </w:r>
            <w:r w:rsidR="00920029" w:rsidRPr="0061451C">
              <w:rPr>
                <w:iCs/>
              </w:rPr>
              <w:t>.</w:t>
            </w:r>
          </w:p>
        </w:tc>
      </w:tr>
      <w:tr w:rsidR="0061463A" w:rsidRPr="0098262F" w14:paraId="3F5A6B16" w14:textId="77777777" w:rsidTr="00A6567C">
        <w:trPr>
          <w:cantSplit/>
        </w:trPr>
        <w:tc>
          <w:tcPr>
            <w:tcW w:w="5000" w:type="pct"/>
            <w:gridSpan w:val="3"/>
            <w:vAlign w:val="center"/>
          </w:tcPr>
          <w:p w14:paraId="10239010" w14:textId="77777777" w:rsidR="0061463A" w:rsidRPr="0061451C" w:rsidRDefault="0061463A" w:rsidP="00642F70">
            <w:pPr>
              <w:pStyle w:val="TableText0"/>
              <w:rPr>
                <w:b/>
                <w:iCs/>
              </w:rPr>
            </w:pPr>
            <w:r w:rsidRPr="0061451C">
              <w:rPr>
                <w:b/>
                <w:iCs/>
              </w:rPr>
              <w:t>Estrogel + micronised progesterone study</w:t>
            </w:r>
          </w:p>
        </w:tc>
      </w:tr>
      <w:tr w:rsidR="0061463A" w:rsidRPr="0098262F" w14:paraId="16D53AF8" w14:textId="77777777" w:rsidTr="00A6567C">
        <w:trPr>
          <w:cantSplit/>
        </w:trPr>
        <w:tc>
          <w:tcPr>
            <w:tcW w:w="795" w:type="pct"/>
            <w:vAlign w:val="center"/>
          </w:tcPr>
          <w:p w14:paraId="0ACB0A74" w14:textId="15992CB8" w:rsidR="0061463A" w:rsidRPr="0098262F" w:rsidRDefault="0061463A" w:rsidP="00642F70">
            <w:pPr>
              <w:pStyle w:val="TableText0"/>
            </w:pPr>
            <w:proofErr w:type="spellStart"/>
            <w:r>
              <w:t>P</w:t>
            </w:r>
            <w:r w:rsidR="002027C6">
              <w:t>é</w:t>
            </w:r>
            <w:r>
              <w:t>lissier</w:t>
            </w:r>
            <w:proofErr w:type="spellEnd"/>
            <w:r>
              <w:t xml:space="preserve"> et al. (2001)</w:t>
            </w:r>
          </w:p>
        </w:tc>
        <w:tc>
          <w:tcPr>
            <w:tcW w:w="2803" w:type="pct"/>
            <w:tcBorders>
              <w:bottom w:val="single" w:sz="4" w:space="0" w:color="auto"/>
            </w:tcBorders>
            <w:vAlign w:val="center"/>
          </w:tcPr>
          <w:p w14:paraId="2A5CC75A" w14:textId="7DAF739B" w:rsidR="0061463A" w:rsidRPr="0098262F" w:rsidRDefault="0061463A" w:rsidP="00642F70">
            <w:pPr>
              <w:pStyle w:val="TableText0"/>
              <w:rPr>
                <w:rFonts w:ascii="Times" w:hAnsi="Times"/>
              </w:rPr>
            </w:pPr>
            <w:r w:rsidRPr="00A20754">
              <w:rPr>
                <w:lang w:val="it-IT"/>
              </w:rPr>
              <w:t>P</w:t>
            </w:r>
            <w:r w:rsidR="003E5E6D" w:rsidRPr="00A20754">
              <w:rPr>
                <w:lang w:val="it-IT"/>
              </w:rPr>
              <w:t>é</w:t>
            </w:r>
            <w:r w:rsidRPr="00A20754">
              <w:rPr>
                <w:lang w:val="it-IT"/>
              </w:rPr>
              <w:t xml:space="preserve">lissier, C, Maroni M, </w:t>
            </w:r>
            <w:r w:rsidR="000756C8" w:rsidRPr="00A20754">
              <w:rPr>
                <w:lang w:val="it-IT"/>
              </w:rPr>
              <w:t xml:space="preserve">Yaneva, H, </w:t>
            </w:r>
            <w:r w:rsidRPr="00A20754">
              <w:rPr>
                <w:lang w:val="it-IT"/>
              </w:rPr>
              <w:t xml:space="preserve">et al. </w:t>
            </w:r>
            <w:r>
              <w:t>Chlormadinone acetate versus microni</w:t>
            </w:r>
            <w:r w:rsidR="00202A47">
              <w:t>z</w:t>
            </w:r>
            <w:r>
              <w:t>ed progesterone in the sequential combined hormone replacement therapy of the menopause.</w:t>
            </w:r>
          </w:p>
        </w:tc>
        <w:tc>
          <w:tcPr>
            <w:tcW w:w="1402" w:type="pct"/>
            <w:tcBorders>
              <w:bottom w:val="single" w:sz="4" w:space="0" w:color="auto"/>
            </w:tcBorders>
            <w:vAlign w:val="center"/>
          </w:tcPr>
          <w:p w14:paraId="44589EE9" w14:textId="27C99467" w:rsidR="0061463A" w:rsidRPr="0061451C" w:rsidRDefault="0061463A" w:rsidP="00642F70">
            <w:pPr>
              <w:pStyle w:val="TableText0"/>
              <w:rPr>
                <w:rFonts w:ascii="Times" w:hAnsi="Times"/>
                <w:iCs/>
              </w:rPr>
            </w:pPr>
            <w:proofErr w:type="spellStart"/>
            <w:r w:rsidRPr="0061451C">
              <w:rPr>
                <w:iCs/>
              </w:rPr>
              <w:t>Maturitas</w:t>
            </w:r>
            <w:proofErr w:type="spellEnd"/>
            <w:r w:rsidRPr="0061451C">
              <w:rPr>
                <w:iCs/>
              </w:rPr>
              <w:t xml:space="preserve"> 2001; 40(1): 85-94</w:t>
            </w:r>
            <w:r w:rsidR="001309F2" w:rsidRPr="0061451C">
              <w:rPr>
                <w:iCs/>
              </w:rPr>
              <w:t>.</w:t>
            </w:r>
          </w:p>
        </w:tc>
      </w:tr>
    </w:tbl>
    <w:p w14:paraId="0D440C45" w14:textId="05A551C3" w:rsidR="0061463A" w:rsidRDefault="0061463A" w:rsidP="0061463A">
      <w:pPr>
        <w:pStyle w:val="FooterTableFigure"/>
      </w:pPr>
      <w:r w:rsidRPr="0098262F">
        <w:t>Source: Table</w:t>
      </w:r>
      <w:r>
        <w:t xml:space="preserve"> 2-5, pp56-60</w:t>
      </w:r>
      <w:r w:rsidRPr="0098262F">
        <w:t xml:space="preserve"> of the submission</w:t>
      </w:r>
      <w:r w:rsidR="00E84838">
        <w:t xml:space="preserve"> main body</w:t>
      </w:r>
      <w:r w:rsidRPr="0098262F">
        <w:t>.</w:t>
      </w:r>
    </w:p>
    <w:p w14:paraId="2CE04180" w14:textId="2AD5CE25" w:rsidR="00A261DD" w:rsidRPr="0098262F" w:rsidRDefault="00A261DD" w:rsidP="00A261DD">
      <w:pPr>
        <w:pStyle w:val="3-BodyText"/>
        <w:rPr>
          <w:color w:val="0066FF"/>
        </w:rPr>
      </w:pPr>
      <w:r w:rsidRPr="0098262F">
        <w:t xml:space="preserve">The key features of the included </w:t>
      </w:r>
      <w:r w:rsidRPr="00642F70">
        <w:t>studies are summarised in</w:t>
      </w:r>
      <w:r w:rsidR="00642F70" w:rsidRPr="00642F70">
        <w:t xml:space="preserve"> </w:t>
      </w:r>
      <w:r w:rsidR="00642F70" w:rsidRPr="00642F70">
        <w:fldChar w:fldCharType="begin"/>
      </w:r>
      <w:r w:rsidR="00642F70" w:rsidRPr="00642F70">
        <w:instrText xml:space="preserve"> REF _Ref208065612 \h </w:instrText>
      </w:r>
      <w:r w:rsidR="00642F70">
        <w:instrText xml:space="preserve"> \* MERGEFORMAT </w:instrText>
      </w:r>
      <w:r w:rsidR="00642F70" w:rsidRPr="00642F70">
        <w:fldChar w:fldCharType="separate"/>
      </w:r>
      <w:r w:rsidR="00724077" w:rsidRPr="00724077">
        <w:t>Table 3</w:t>
      </w:r>
      <w:r w:rsidR="00642F70" w:rsidRPr="00642F70">
        <w:fldChar w:fldCharType="end"/>
      </w:r>
      <w:r w:rsidRPr="00642F70">
        <w:t>.</w:t>
      </w:r>
    </w:p>
    <w:p w14:paraId="323D8EC9" w14:textId="4028EB02" w:rsidR="00A261DD" w:rsidRPr="0098262F" w:rsidRDefault="00A261DD" w:rsidP="00A261DD">
      <w:pPr>
        <w:pStyle w:val="Caption"/>
        <w:rPr>
          <w:rStyle w:val="CommentReference"/>
          <w:rFonts w:eastAsiaTheme="majorEastAsia" w:cstheme="majorBidi"/>
          <w:b/>
          <w:szCs w:val="24"/>
        </w:rPr>
      </w:pPr>
      <w:bookmarkStart w:id="20" w:name="_Ref208065612"/>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724077">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0"/>
      <w:r w:rsidRPr="0098262F">
        <w:rPr>
          <w:rStyle w:val="CommentReference"/>
          <w:rFonts w:eastAsiaTheme="majorEastAsia" w:cstheme="majorBidi"/>
          <w:b/>
          <w:szCs w:val="24"/>
        </w:rPr>
        <w:t>: Key features of the included evidence</w:t>
      </w:r>
      <w:r>
        <w:rPr>
          <w:rStyle w:val="CommentReference"/>
          <w:rFonts w:eastAsiaTheme="majorEastAsia" w:cstheme="majorBidi"/>
          <w:b/>
          <w:szCs w:val="24"/>
        </w:rPr>
        <w:t xml:space="preserve"> </w:t>
      </w:r>
      <w:r w:rsidRPr="0098262F">
        <w:rPr>
          <w:rStyle w:val="CommentReference"/>
          <w:b/>
          <w:szCs w:val="24"/>
        </w:rPr>
        <w:t>–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986"/>
        <w:gridCol w:w="1240"/>
        <w:gridCol w:w="958"/>
        <w:gridCol w:w="749"/>
        <w:gridCol w:w="1731"/>
        <w:gridCol w:w="3353"/>
      </w:tblGrid>
      <w:tr w:rsidR="00A261DD" w:rsidRPr="0098262F" w14:paraId="34A3189F" w14:textId="77777777" w:rsidTr="00A6567C">
        <w:trPr>
          <w:cantSplit/>
          <w:tblHeader/>
        </w:trPr>
        <w:tc>
          <w:tcPr>
            <w:tcW w:w="547" w:type="pct"/>
            <w:vAlign w:val="center"/>
          </w:tcPr>
          <w:p w14:paraId="7E9B9333" w14:textId="77777777" w:rsidR="00A261DD" w:rsidRPr="0098262F" w:rsidRDefault="00A261DD">
            <w:pPr>
              <w:pStyle w:val="In-tableHeading"/>
              <w:rPr>
                <w:lang w:val="en-AU"/>
              </w:rPr>
            </w:pPr>
            <w:r w:rsidRPr="0098262F">
              <w:rPr>
                <w:lang w:val="en-AU"/>
              </w:rPr>
              <w:t>Trial</w:t>
            </w:r>
          </w:p>
        </w:tc>
        <w:tc>
          <w:tcPr>
            <w:tcW w:w="688" w:type="pct"/>
            <w:vAlign w:val="center"/>
          </w:tcPr>
          <w:p w14:paraId="316B1818" w14:textId="77777777" w:rsidR="00A261DD" w:rsidRPr="0098262F" w:rsidRDefault="00A261DD">
            <w:pPr>
              <w:pStyle w:val="In-tableHeading"/>
              <w:jc w:val="center"/>
              <w:rPr>
                <w:lang w:val="en-AU"/>
              </w:rPr>
            </w:pPr>
            <w:r w:rsidRPr="0098262F">
              <w:rPr>
                <w:lang w:val="en-AU"/>
              </w:rPr>
              <w:t>N</w:t>
            </w:r>
          </w:p>
        </w:tc>
        <w:tc>
          <w:tcPr>
            <w:tcW w:w="531" w:type="pct"/>
            <w:vAlign w:val="center"/>
          </w:tcPr>
          <w:p w14:paraId="74882144" w14:textId="77777777" w:rsidR="00A261DD" w:rsidRPr="0098262F" w:rsidRDefault="00A261DD">
            <w:pPr>
              <w:pStyle w:val="In-tableHeading"/>
              <w:jc w:val="center"/>
              <w:rPr>
                <w:lang w:val="en-AU"/>
              </w:rPr>
            </w:pPr>
            <w:r w:rsidRPr="0098262F">
              <w:rPr>
                <w:lang w:val="en-AU"/>
              </w:rPr>
              <w:t>Design/ duration</w:t>
            </w:r>
          </w:p>
        </w:tc>
        <w:tc>
          <w:tcPr>
            <w:tcW w:w="415" w:type="pct"/>
            <w:vAlign w:val="center"/>
          </w:tcPr>
          <w:p w14:paraId="257111A9" w14:textId="75E3CDBF" w:rsidR="00A261DD" w:rsidRPr="0098262F" w:rsidRDefault="00A261DD">
            <w:pPr>
              <w:pStyle w:val="In-tableHeading"/>
              <w:jc w:val="center"/>
              <w:rPr>
                <w:lang w:val="en-AU"/>
              </w:rPr>
            </w:pPr>
            <w:r w:rsidRPr="0098262F">
              <w:rPr>
                <w:lang w:val="en-AU"/>
              </w:rPr>
              <w:t>Risk of bias</w:t>
            </w:r>
            <w:r w:rsidR="00FC20C2">
              <w:rPr>
                <w:lang w:val="en-AU"/>
              </w:rPr>
              <w:t>*</w:t>
            </w:r>
          </w:p>
        </w:tc>
        <w:tc>
          <w:tcPr>
            <w:tcW w:w="960" w:type="pct"/>
            <w:vAlign w:val="center"/>
          </w:tcPr>
          <w:p w14:paraId="7DBF3FDB" w14:textId="77777777" w:rsidR="00A261DD" w:rsidRPr="0098262F" w:rsidRDefault="00A261DD">
            <w:pPr>
              <w:pStyle w:val="In-tableHeading"/>
              <w:jc w:val="center"/>
              <w:rPr>
                <w:lang w:val="en-AU"/>
              </w:rPr>
            </w:pPr>
            <w:r w:rsidRPr="0098262F">
              <w:rPr>
                <w:lang w:val="en-AU"/>
              </w:rPr>
              <w:t>Patient population</w:t>
            </w:r>
          </w:p>
        </w:tc>
        <w:tc>
          <w:tcPr>
            <w:tcW w:w="1859" w:type="pct"/>
            <w:vAlign w:val="center"/>
          </w:tcPr>
          <w:p w14:paraId="2D01AEFE" w14:textId="77777777" w:rsidR="00A261DD" w:rsidRPr="0098262F" w:rsidRDefault="00A261DD">
            <w:pPr>
              <w:pStyle w:val="In-tableHeading"/>
              <w:jc w:val="center"/>
              <w:rPr>
                <w:lang w:val="en-AU"/>
              </w:rPr>
            </w:pPr>
            <w:r w:rsidRPr="0098262F">
              <w:rPr>
                <w:lang w:val="en-AU"/>
              </w:rPr>
              <w:t>Outcome(s)</w:t>
            </w:r>
          </w:p>
        </w:tc>
      </w:tr>
      <w:tr w:rsidR="00A261DD" w:rsidRPr="0098262F" w14:paraId="0BBFCF95" w14:textId="77777777" w:rsidTr="00A6567C">
        <w:trPr>
          <w:cantSplit/>
        </w:trPr>
        <w:tc>
          <w:tcPr>
            <w:tcW w:w="5000" w:type="pct"/>
            <w:gridSpan w:val="6"/>
            <w:vAlign w:val="center"/>
          </w:tcPr>
          <w:p w14:paraId="6FF45723" w14:textId="77777777" w:rsidR="00A261DD" w:rsidRPr="0098262F" w:rsidRDefault="00A261DD">
            <w:pPr>
              <w:pStyle w:val="In-tableHeading"/>
              <w:rPr>
                <w:lang w:val="en-AU"/>
              </w:rPr>
            </w:pPr>
            <w:r>
              <w:rPr>
                <w:lang w:val="en-AU"/>
              </w:rPr>
              <w:t>Bijuva versus placebo</w:t>
            </w:r>
          </w:p>
        </w:tc>
      </w:tr>
      <w:tr w:rsidR="00A261DD" w:rsidRPr="0098262F" w14:paraId="680066D0" w14:textId="77777777" w:rsidTr="00A6567C">
        <w:trPr>
          <w:cantSplit/>
        </w:trPr>
        <w:tc>
          <w:tcPr>
            <w:tcW w:w="547" w:type="pct"/>
            <w:vAlign w:val="center"/>
          </w:tcPr>
          <w:p w14:paraId="588B2FF7" w14:textId="77777777" w:rsidR="00A261DD" w:rsidRPr="0098262F" w:rsidRDefault="00A261DD">
            <w:pPr>
              <w:pStyle w:val="TableText0"/>
            </w:pPr>
            <w:r>
              <w:t>REPLENISH</w:t>
            </w:r>
          </w:p>
        </w:tc>
        <w:tc>
          <w:tcPr>
            <w:tcW w:w="688" w:type="pct"/>
            <w:vAlign w:val="center"/>
          </w:tcPr>
          <w:p w14:paraId="3AA9E5A4" w14:textId="77777777" w:rsidR="006B19DA" w:rsidRDefault="006B19DA" w:rsidP="006B19DA">
            <w:pPr>
              <w:pStyle w:val="TableText0"/>
              <w:jc w:val="center"/>
            </w:pPr>
            <w:r>
              <w:t>ES population</w:t>
            </w:r>
          </w:p>
          <w:p w14:paraId="4F4ECC2D" w14:textId="537DCD66" w:rsidR="006B19DA" w:rsidRDefault="006B19DA" w:rsidP="006B19DA">
            <w:pPr>
              <w:pStyle w:val="TableText0"/>
              <w:jc w:val="center"/>
            </w:pPr>
            <w:proofErr w:type="gramStart"/>
            <w:r>
              <w:t>1</w:t>
            </w:r>
            <w:r w:rsidR="00152AA2">
              <w:t>,</w:t>
            </w:r>
            <w:r>
              <w:t>2</w:t>
            </w:r>
            <w:r w:rsidR="00297BB2">
              <w:t>5</w:t>
            </w:r>
            <w:r>
              <w:t>5;</w:t>
            </w:r>
            <w:proofErr w:type="gramEnd"/>
          </w:p>
          <w:p w14:paraId="22DB94D4" w14:textId="77777777" w:rsidR="006B19DA" w:rsidRDefault="006B19DA" w:rsidP="006B19DA">
            <w:pPr>
              <w:pStyle w:val="TableText0"/>
              <w:jc w:val="center"/>
            </w:pPr>
            <w:r>
              <w:t>1/100 = 280</w:t>
            </w:r>
          </w:p>
          <w:p w14:paraId="5CE95118" w14:textId="77777777" w:rsidR="006B19DA" w:rsidRDefault="006B19DA" w:rsidP="006B19DA">
            <w:pPr>
              <w:pStyle w:val="TableText0"/>
              <w:jc w:val="center"/>
            </w:pPr>
            <w:r>
              <w:t>0.5/100 = 303</w:t>
            </w:r>
          </w:p>
          <w:p w14:paraId="7DD8FBE1" w14:textId="77777777" w:rsidR="006B19DA" w:rsidRDefault="006B19DA" w:rsidP="006B19DA">
            <w:pPr>
              <w:pStyle w:val="TableText0"/>
              <w:jc w:val="center"/>
            </w:pPr>
            <w:r>
              <w:t>0.5/50 = 306</w:t>
            </w:r>
          </w:p>
          <w:p w14:paraId="0843D1BD" w14:textId="77777777" w:rsidR="006B19DA" w:rsidRDefault="006B19DA" w:rsidP="006B19DA">
            <w:pPr>
              <w:pStyle w:val="TableText0"/>
              <w:jc w:val="center"/>
            </w:pPr>
            <w:r>
              <w:t>0.25/50 = 274</w:t>
            </w:r>
          </w:p>
          <w:p w14:paraId="24D6516F" w14:textId="77777777" w:rsidR="006B19DA" w:rsidRDefault="006B19DA" w:rsidP="006B19DA">
            <w:pPr>
              <w:pStyle w:val="TableText0"/>
              <w:jc w:val="center"/>
            </w:pPr>
            <w:proofErr w:type="spellStart"/>
            <w:r>
              <w:t>Pbo</w:t>
            </w:r>
            <w:proofErr w:type="spellEnd"/>
            <w:r>
              <w:t xml:space="preserve"> = 92</w:t>
            </w:r>
          </w:p>
          <w:p w14:paraId="5549A9D3" w14:textId="77777777" w:rsidR="006B19DA" w:rsidRDefault="006B19DA" w:rsidP="006B19DA">
            <w:pPr>
              <w:pStyle w:val="TableText0"/>
              <w:jc w:val="center"/>
            </w:pPr>
          </w:p>
          <w:p w14:paraId="02B6DE92" w14:textId="1787F188" w:rsidR="00904182" w:rsidRDefault="00904182" w:rsidP="006B19DA">
            <w:pPr>
              <w:pStyle w:val="TableText0"/>
              <w:jc w:val="center"/>
            </w:pPr>
            <w:r>
              <w:t>MITT-VMS population</w:t>
            </w:r>
          </w:p>
          <w:p w14:paraId="3B004319" w14:textId="4B4DCCCE" w:rsidR="00A261DD" w:rsidRDefault="00A261DD">
            <w:pPr>
              <w:pStyle w:val="TableText0"/>
              <w:jc w:val="center"/>
            </w:pPr>
            <w:proofErr w:type="gramStart"/>
            <w:r>
              <w:t>726;</w:t>
            </w:r>
            <w:proofErr w:type="gramEnd"/>
          </w:p>
          <w:p w14:paraId="141AFBEA" w14:textId="77777777" w:rsidR="00A261DD" w:rsidRDefault="00A261DD">
            <w:pPr>
              <w:pStyle w:val="TableText0"/>
              <w:jc w:val="center"/>
            </w:pPr>
            <w:r>
              <w:t>1/100 = 141</w:t>
            </w:r>
          </w:p>
          <w:p w14:paraId="6A3EEDB6" w14:textId="77777777" w:rsidR="00A261DD" w:rsidRDefault="00A261DD">
            <w:pPr>
              <w:pStyle w:val="TableText0"/>
              <w:jc w:val="center"/>
            </w:pPr>
            <w:r>
              <w:t>0.5/100 = 149</w:t>
            </w:r>
          </w:p>
          <w:p w14:paraId="0B3257AE" w14:textId="77777777" w:rsidR="00A261DD" w:rsidRDefault="00A261DD">
            <w:pPr>
              <w:pStyle w:val="TableText0"/>
              <w:jc w:val="center"/>
            </w:pPr>
            <w:r>
              <w:t>0.5/50 = 147</w:t>
            </w:r>
          </w:p>
          <w:p w14:paraId="255A6BA7" w14:textId="77777777" w:rsidR="00A261DD" w:rsidRDefault="00A261DD">
            <w:pPr>
              <w:pStyle w:val="TableText0"/>
              <w:jc w:val="center"/>
            </w:pPr>
            <w:r>
              <w:t>0.25/50 = 154</w:t>
            </w:r>
          </w:p>
          <w:p w14:paraId="18E0BD69" w14:textId="7102855F" w:rsidR="00DC47F8" w:rsidRPr="0098262F" w:rsidRDefault="00A261DD" w:rsidP="006B19DA">
            <w:pPr>
              <w:pStyle w:val="TableText0"/>
              <w:jc w:val="center"/>
            </w:pPr>
            <w:proofErr w:type="spellStart"/>
            <w:r>
              <w:t>Pbo</w:t>
            </w:r>
            <w:proofErr w:type="spellEnd"/>
            <w:r>
              <w:t xml:space="preserve"> = 135</w:t>
            </w:r>
          </w:p>
        </w:tc>
        <w:tc>
          <w:tcPr>
            <w:tcW w:w="531" w:type="pct"/>
            <w:vAlign w:val="center"/>
          </w:tcPr>
          <w:p w14:paraId="00CF3386" w14:textId="392296C3" w:rsidR="00A261DD" w:rsidRDefault="00A261DD">
            <w:pPr>
              <w:pStyle w:val="TableText0"/>
              <w:jc w:val="center"/>
            </w:pPr>
            <w:r>
              <w:t>Phase III, R, DB, PC, MC,</w:t>
            </w:r>
          </w:p>
          <w:p w14:paraId="27F84F02" w14:textId="77777777" w:rsidR="00A261DD" w:rsidRPr="0098262F" w:rsidRDefault="00A261DD">
            <w:pPr>
              <w:pStyle w:val="TableText0"/>
              <w:jc w:val="center"/>
            </w:pPr>
            <w:r>
              <w:t>12 months</w:t>
            </w:r>
          </w:p>
        </w:tc>
        <w:tc>
          <w:tcPr>
            <w:tcW w:w="415" w:type="pct"/>
            <w:vAlign w:val="center"/>
          </w:tcPr>
          <w:p w14:paraId="7BFBC376" w14:textId="77777777" w:rsidR="00A261DD" w:rsidRPr="00FC20C2" w:rsidRDefault="00A261DD">
            <w:pPr>
              <w:pStyle w:val="TableText0"/>
              <w:jc w:val="center"/>
              <w:rPr>
                <w:iCs/>
              </w:rPr>
            </w:pPr>
            <w:r w:rsidRPr="00FC20C2">
              <w:rPr>
                <w:iCs/>
              </w:rPr>
              <w:t>Low</w:t>
            </w:r>
          </w:p>
        </w:tc>
        <w:tc>
          <w:tcPr>
            <w:tcW w:w="960" w:type="pct"/>
            <w:vAlign w:val="center"/>
          </w:tcPr>
          <w:p w14:paraId="04867301" w14:textId="119D5A45" w:rsidR="00A261DD" w:rsidRPr="00942BA6" w:rsidRDefault="00A261DD">
            <w:pPr>
              <w:pStyle w:val="TableText0"/>
              <w:jc w:val="center"/>
            </w:pPr>
            <w:r>
              <w:t>H</w:t>
            </w:r>
            <w:r w:rsidRPr="004165FB">
              <w:t xml:space="preserve">ealthy </w:t>
            </w:r>
            <w:proofErr w:type="spellStart"/>
            <w:r w:rsidRPr="004165FB">
              <w:t>postmenopausal</w:t>
            </w:r>
            <w:r>
              <w:rPr>
                <w:vertAlign w:val="superscript"/>
              </w:rPr>
              <w:t>a</w:t>
            </w:r>
            <w:proofErr w:type="spellEnd"/>
            <w:r w:rsidRPr="004165FB">
              <w:t xml:space="preserve"> </w:t>
            </w:r>
            <w:r w:rsidR="00DA258D" w:rsidRPr="004165FB">
              <w:t>woman of age</w:t>
            </w:r>
            <w:r>
              <w:t xml:space="preserve"> 40-65 </w:t>
            </w:r>
            <w:r w:rsidRPr="004165FB">
              <w:t>with an intact uterus</w:t>
            </w:r>
            <w:r>
              <w:t>; screening serum estradiol level of ≤</w:t>
            </w:r>
            <w:r w:rsidR="00C20108">
              <w:t> </w:t>
            </w:r>
            <w:r>
              <w:t>50</w:t>
            </w:r>
            <w:r w:rsidR="00C20108">
              <w:t> </w:t>
            </w:r>
            <w:proofErr w:type="spellStart"/>
            <w:r>
              <w:t>pg</w:t>
            </w:r>
            <w:proofErr w:type="spellEnd"/>
            <w:r>
              <w:t>/mL;</w:t>
            </w:r>
            <w:r w:rsidR="00CE2396">
              <w:t xml:space="preserve"> and</w:t>
            </w:r>
            <w:r>
              <w:t xml:space="preserve"> BMI ≤</w:t>
            </w:r>
            <w:r w:rsidR="00C20108">
              <w:t> </w:t>
            </w:r>
            <w:r>
              <w:t>34</w:t>
            </w:r>
            <w:r w:rsidR="00A23498">
              <w:t> </w:t>
            </w:r>
            <w:r>
              <w:t>kg/m</w:t>
            </w:r>
            <w:r w:rsidRPr="00942BA6">
              <w:rPr>
                <w:vertAlign w:val="superscript"/>
              </w:rPr>
              <w:t>2</w:t>
            </w:r>
            <w:r>
              <w:t>.</w:t>
            </w:r>
            <w:r w:rsidR="006B19DA">
              <w:t xml:space="preserve"> In addition,</w:t>
            </w:r>
            <w:r w:rsidR="00CE2396">
              <w:t xml:space="preserve"> the MITT-VMS population included women with </w:t>
            </w:r>
            <w:r w:rsidR="006B19DA" w:rsidRPr="004165FB">
              <w:t>≥ 7 moderate to severe hot flushes per day or ≥ 50 per week</w:t>
            </w:r>
            <w:r w:rsidR="00CE2396">
              <w:t>.</w:t>
            </w:r>
          </w:p>
        </w:tc>
        <w:tc>
          <w:tcPr>
            <w:tcW w:w="1859" w:type="pct"/>
            <w:vAlign w:val="center"/>
          </w:tcPr>
          <w:p w14:paraId="34F6A33D" w14:textId="1F3C2DBB" w:rsidR="00A261DD" w:rsidRDefault="00A261DD" w:rsidP="00A261DD">
            <w:pPr>
              <w:pStyle w:val="TableText0"/>
            </w:pPr>
            <w:r>
              <w:t>Primary: change in frequency and severity of moderate to severe VMS from baseline to Week 4 and</w:t>
            </w:r>
            <w:r w:rsidR="00F670F2">
              <w:t xml:space="preserve"> Week</w:t>
            </w:r>
            <w:r>
              <w:t xml:space="preserve"> 12</w:t>
            </w:r>
            <w:r w:rsidR="00BB29E5">
              <w:t xml:space="preserve"> (MITT-VMS population)</w:t>
            </w:r>
            <w:r w:rsidR="00DA258D">
              <w:t>.</w:t>
            </w:r>
          </w:p>
          <w:p w14:paraId="7C6DCD2E" w14:textId="4CB6315A" w:rsidR="00A261DD" w:rsidRDefault="00A261DD" w:rsidP="00A261DD">
            <w:pPr>
              <w:pStyle w:val="TableText0"/>
            </w:pPr>
            <w:r>
              <w:t xml:space="preserve">Secondary: </w:t>
            </w:r>
            <w:r w:rsidR="00DA258D">
              <w:t xml:space="preserve">mean </w:t>
            </w:r>
            <w:r>
              <w:t>change in frequency and severity of mild, moderate to severe VMS from baseline;</w:t>
            </w:r>
            <w:r w:rsidR="00B8364A">
              <w:t xml:space="preserve"> percentage of </w:t>
            </w:r>
            <w:r>
              <w:t>patients with 50%</w:t>
            </w:r>
            <w:r w:rsidR="00D2403D">
              <w:t xml:space="preserve"> and separately,</w:t>
            </w:r>
            <w:r>
              <w:t xml:space="preserve"> 75% reduction in frequency of moderate to severe VMS</w:t>
            </w:r>
            <w:r w:rsidR="00D2403D">
              <w:t xml:space="preserve"> </w:t>
            </w:r>
            <w:r w:rsidR="00D2403D" w:rsidRPr="00D2403D">
              <w:t xml:space="preserve">from </w:t>
            </w:r>
            <w:r w:rsidR="00D2403D">
              <w:t>b</w:t>
            </w:r>
            <w:r w:rsidR="00D2403D" w:rsidRPr="00D2403D">
              <w:t>aseline at each week up to Week 12</w:t>
            </w:r>
            <w:r>
              <w:t xml:space="preserve">; </w:t>
            </w:r>
            <w:r w:rsidR="00D2403D">
              <w:t xml:space="preserve">percentage of patients with 50% and separately, 75% reduction in frequency of mild, moderate and severe VMS </w:t>
            </w:r>
            <w:r w:rsidR="00D2403D" w:rsidRPr="00D2403D">
              <w:t xml:space="preserve">from </w:t>
            </w:r>
            <w:r w:rsidR="00D2403D">
              <w:t>b</w:t>
            </w:r>
            <w:r w:rsidR="00D2403D" w:rsidRPr="00D2403D">
              <w:t>aseline at each week up to Week 12</w:t>
            </w:r>
            <w:r w:rsidR="00D2403D">
              <w:t xml:space="preserve">; </w:t>
            </w:r>
            <w:r>
              <w:t>patients with CGI response categories; change from baseline in MENQOL; change from baseline in MOS-sleep</w:t>
            </w:r>
            <w:r w:rsidR="00421875">
              <w:t xml:space="preserve"> (MITT-VMS population)</w:t>
            </w:r>
            <w:r>
              <w:t>.</w:t>
            </w:r>
          </w:p>
          <w:p w14:paraId="1AE1EAFB" w14:textId="7544A3B0" w:rsidR="00A261DD" w:rsidRPr="0098262F" w:rsidRDefault="00A261DD" w:rsidP="00A261DD">
            <w:pPr>
              <w:pStyle w:val="TableText0"/>
            </w:pPr>
            <w:r>
              <w:t>Safety outcomes: AEs</w:t>
            </w:r>
            <w:r w:rsidR="00BB29E5">
              <w:t xml:space="preserve"> (safety population) and </w:t>
            </w:r>
            <w:r w:rsidR="00B8364A">
              <w:t>incidence of</w:t>
            </w:r>
            <w:r w:rsidR="00BB29E5">
              <w:t xml:space="preserve"> endometrial hyperplasia </w:t>
            </w:r>
            <w:r w:rsidR="00B8364A">
              <w:t>at 12 months</w:t>
            </w:r>
            <w:r w:rsidR="006B6A92">
              <w:t xml:space="preserve"> </w:t>
            </w:r>
            <w:r w:rsidR="00BB29E5">
              <w:t>(ES population)</w:t>
            </w:r>
            <w:r w:rsidR="00BE5DD8">
              <w:t>,</w:t>
            </w:r>
          </w:p>
        </w:tc>
      </w:tr>
      <w:tr w:rsidR="00A261DD" w:rsidRPr="0098262F" w14:paraId="14307D28" w14:textId="77777777" w:rsidTr="00A6567C">
        <w:trPr>
          <w:cantSplit/>
        </w:trPr>
        <w:tc>
          <w:tcPr>
            <w:tcW w:w="5000" w:type="pct"/>
            <w:gridSpan w:val="6"/>
            <w:vAlign w:val="center"/>
          </w:tcPr>
          <w:p w14:paraId="72752C46" w14:textId="77777777" w:rsidR="00A261DD" w:rsidRPr="000B0C47" w:rsidRDefault="00A261DD" w:rsidP="00A261DD">
            <w:pPr>
              <w:pStyle w:val="TableText0"/>
              <w:rPr>
                <w:b/>
                <w:bCs w:val="0"/>
              </w:rPr>
            </w:pPr>
            <w:r w:rsidRPr="000B0C47">
              <w:rPr>
                <w:b/>
                <w:bCs w:val="0"/>
              </w:rPr>
              <w:t xml:space="preserve">Estrogel versus </w:t>
            </w:r>
            <w:r w:rsidRPr="00172E2C">
              <w:rPr>
                <w:b/>
                <w:bCs w:val="0"/>
              </w:rPr>
              <w:t>placebo</w:t>
            </w:r>
          </w:p>
        </w:tc>
      </w:tr>
      <w:tr w:rsidR="00A261DD" w:rsidRPr="0098262F" w14:paraId="5B226FF9" w14:textId="77777777" w:rsidTr="00A6567C">
        <w:trPr>
          <w:cantSplit/>
        </w:trPr>
        <w:tc>
          <w:tcPr>
            <w:tcW w:w="547" w:type="pct"/>
            <w:vAlign w:val="center"/>
          </w:tcPr>
          <w:p w14:paraId="233E2799" w14:textId="4B9C06BD" w:rsidR="00A261DD" w:rsidRPr="0098262F" w:rsidRDefault="00A261DD">
            <w:pPr>
              <w:pStyle w:val="TableText0"/>
            </w:pPr>
            <w:r>
              <w:t xml:space="preserve">Archer </w:t>
            </w:r>
            <w:r w:rsidR="007705AE">
              <w:t>et al. (</w:t>
            </w:r>
            <w:r>
              <w:t>2003</w:t>
            </w:r>
            <w:r w:rsidR="007705AE">
              <w:t>)</w:t>
            </w:r>
          </w:p>
        </w:tc>
        <w:tc>
          <w:tcPr>
            <w:tcW w:w="688" w:type="pct"/>
            <w:vAlign w:val="center"/>
          </w:tcPr>
          <w:p w14:paraId="2281D7AC" w14:textId="77777777" w:rsidR="00A261DD" w:rsidRDefault="00A261DD">
            <w:pPr>
              <w:pStyle w:val="TableText0"/>
              <w:jc w:val="center"/>
            </w:pPr>
            <w:proofErr w:type="gramStart"/>
            <w:r>
              <w:t>221;</w:t>
            </w:r>
            <w:proofErr w:type="gramEnd"/>
          </w:p>
          <w:p w14:paraId="6A3BB913" w14:textId="6F2BFC34" w:rsidR="00A261DD" w:rsidRDefault="00A261DD">
            <w:pPr>
              <w:pStyle w:val="TableText0"/>
              <w:jc w:val="center"/>
            </w:pPr>
            <w:r>
              <w:t>E2 0.75</w:t>
            </w:r>
            <w:r w:rsidR="00DE3B4B">
              <w:t> </w:t>
            </w:r>
            <w:r>
              <w:t>mg = 75</w:t>
            </w:r>
          </w:p>
          <w:p w14:paraId="1037F4B5" w14:textId="43166747" w:rsidR="00A261DD" w:rsidRDefault="00A261DD">
            <w:pPr>
              <w:pStyle w:val="TableText0"/>
              <w:jc w:val="center"/>
            </w:pPr>
            <w:r>
              <w:t>E2 1.5</w:t>
            </w:r>
            <w:r w:rsidR="00DE3B4B">
              <w:t> </w:t>
            </w:r>
            <w:r>
              <w:t>mg = 73</w:t>
            </w:r>
          </w:p>
          <w:p w14:paraId="4DB37F52" w14:textId="77777777" w:rsidR="00A261DD" w:rsidRPr="0098262F" w:rsidRDefault="00A261DD">
            <w:pPr>
              <w:pStyle w:val="TableText0"/>
              <w:jc w:val="center"/>
            </w:pPr>
            <w:proofErr w:type="spellStart"/>
            <w:r>
              <w:t>Pbo</w:t>
            </w:r>
            <w:proofErr w:type="spellEnd"/>
            <w:r>
              <w:t xml:space="preserve"> = 73</w:t>
            </w:r>
          </w:p>
        </w:tc>
        <w:tc>
          <w:tcPr>
            <w:tcW w:w="531" w:type="pct"/>
            <w:vAlign w:val="center"/>
          </w:tcPr>
          <w:p w14:paraId="7A285623" w14:textId="5626FD9C" w:rsidR="00A261DD" w:rsidRDefault="00A261DD">
            <w:pPr>
              <w:pStyle w:val="TableText0"/>
              <w:jc w:val="center"/>
            </w:pPr>
            <w:r>
              <w:t>Phase III, R, DB, PC,</w:t>
            </w:r>
            <w:r w:rsidR="00D26F7D">
              <w:t xml:space="preserve"> MC</w:t>
            </w:r>
          </w:p>
          <w:p w14:paraId="787D6563" w14:textId="77777777" w:rsidR="00A261DD" w:rsidRPr="0098262F" w:rsidRDefault="00A261DD">
            <w:pPr>
              <w:pStyle w:val="TableText0"/>
              <w:jc w:val="center"/>
            </w:pPr>
            <w:r>
              <w:t>12 weeks</w:t>
            </w:r>
          </w:p>
        </w:tc>
        <w:tc>
          <w:tcPr>
            <w:tcW w:w="415" w:type="pct"/>
            <w:vAlign w:val="center"/>
          </w:tcPr>
          <w:p w14:paraId="7DA77DB9" w14:textId="77777777" w:rsidR="00A261DD" w:rsidRPr="00FC20C2" w:rsidRDefault="00A261DD">
            <w:pPr>
              <w:pStyle w:val="TableText0"/>
              <w:jc w:val="center"/>
            </w:pPr>
            <w:r w:rsidRPr="00FC20C2">
              <w:t>Low to moderate</w:t>
            </w:r>
          </w:p>
        </w:tc>
        <w:tc>
          <w:tcPr>
            <w:tcW w:w="960" w:type="pct"/>
            <w:vAlign w:val="center"/>
          </w:tcPr>
          <w:p w14:paraId="1D8F1EAA" w14:textId="521D33E2" w:rsidR="00A261DD" w:rsidRPr="0098262F" w:rsidRDefault="00A261DD">
            <w:pPr>
              <w:pStyle w:val="TableText0"/>
              <w:jc w:val="center"/>
            </w:pPr>
            <w:r>
              <w:t>H</w:t>
            </w:r>
            <w:r w:rsidRPr="004165FB">
              <w:t xml:space="preserve">ealthy </w:t>
            </w:r>
            <w:proofErr w:type="spellStart"/>
            <w:r w:rsidRPr="004165FB">
              <w:t>postmenopausal</w:t>
            </w:r>
            <w:r>
              <w:rPr>
                <w:vertAlign w:val="superscript"/>
              </w:rPr>
              <w:t>b</w:t>
            </w:r>
            <w:proofErr w:type="spellEnd"/>
            <w:r w:rsidRPr="004165FB">
              <w:t xml:space="preserve"> women with</w:t>
            </w:r>
            <w:r>
              <w:t xml:space="preserve"> </w:t>
            </w:r>
            <w:r w:rsidRPr="004165FB">
              <w:t>≥</w:t>
            </w:r>
            <w:r w:rsidR="00057A77">
              <w:t> </w:t>
            </w:r>
            <w:r w:rsidRPr="004165FB">
              <w:t>7 moderate to severe hot flushes per day or ≥</w:t>
            </w:r>
            <w:r w:rsidR="00057A77">
              <w:t> </w:t>
            </w:r>
            <w:r w:rsidRPr="004165FB">
              <w:t>60 per week</w:t>
            </w:r>
            <w:r>
              <w:t>; body weight not exceeding 130% of ideal weight</w:t>
            </w:r>
            <w:r w:rsidR="00057A77">
              <w:t>.</w:t>
            </w:r>
          </w:p>
        </w:tc>
        <w:tc>
          <w:tcPr>
            <w:tcW w:w="1859" w:type="pct"/>
            <w:vAlign w:val="center"/>
          </w:tcPr>
          <w:p w14:paraId="673747A7" w14:textId="220DA93C" w:rsidR="00A261DD" w:rsidRDefault="00A261DD" w:rsidP="00A261DD">
            <w:pPr>
              <w:pStyle w:val="TableText0"/>
            </w:pPr>
            <w:r>
              <w:t xml:space="preserve">Primary: </w:t>
            </w:r>
            <w:r w:rsidR="00B43155">
              <w:t xml:space="preserve">mean </w:t>
            </w:r>
            <w:r>
              <w:t>change in frequency of</w:t>
            </w:r>
            <w:r w:rsidR="00DA4148">
              <w:t xml:space="preserve"> </w:t>
            </w:r>
            <w:r>
              <w:t>moderate to severe hot flushes from baseline to Week 12</w:t>
            </w:r>
            <w:r w:rsidR="00DA258D">
              <w:t>.</w:t>
            </w:r>
          </w:p>
          <w:p w14:paraId="6A89E52C" w14:textId="77777777" w:rsidR="00A261DD" w:rsidRDefault="00A261DD" w:rsidP="00A261DD">
            <w:pPr>
              <w:pStyle w:val="TableText0"/>
            </w:pPr>
            <w:r>
              <w:t>Secondary: change in frequency of all hot flushes; change in severity of hot flushes; change in other estrogen-specific symptoms (vaginal bleeding and sleep disturbances) and maintenance of vaginal epithelium.</w:t>
            </w:r>
          </w:p>
          <w:p w14:paraId="49D16105" w14:textId="1B632A90" w:rsidR="00A261DD" w:rsidRDefault="00A261DD" w:rsidP="00A261DD">
            <w:pPr>
              <w:pStyle w:val="TableText0"/>
            </w:pPr>
            <w:r>
              <w:t>Safety outcomes: incidence of treatment</w:t>
            </w:r>
          </w:p>
          <w:p w14:paraId="0083CB7F" w14:textId="77777777" w:rsidR="00A261DD" w:rsidRPr="0098262F" w:rsidRDefault="00A261DD" w:rsidP="00A261DD">
            <w:pPr>
              <w:pStyle w:val="TableText0"/>
            </w:pPr>
            <w:r>
              <w:t>emergent signs and symptoms.</w:t>
            </w:r>
          </w:p>
        </w:tc>
      </w:tr>
      <w:tr w:rsidR="00A261DD" w:rsidRPr="0098262F" w14:paraId="39810A22" w14:textId="77777777" w:rsidTr="00A6567C">
        <w:trPr>
          <w:cantSplit/>
        </w:trPr>
        <w:tc>
          <w:tcPr>
            <w:tcW w:w="5000" w:type="pct"/>
            <w:gridSpan w:val="6"/>
            <w:vAlign w:val="center"/>
          </w:tcPr>
          <w:p w14:paraId="532E7D12" w14:textId="5CE9F216" w:rsidR="00A261DD" w:rsidRPr="0098262F" w:rsidRDefault="00A261DD" w:rsidP="00A261DD">
            <w:pPr>
              <w:pStyle w:val="TableText0"/>
            </w:pPr>
            <w:r w:rsidRPr="000B0C47">
              <w:rPr>
                <w:b/>
                <w:bCs w:val="0"/>
              </w:rPr>
              <w:t xml:space="preserve">Estrogel </w:t>
            </w:r>
            <w:r>
              <w:rPr>
                <w:b/>
                <w:bCs w:val="0"/>
              </w:rPr>
              <w:t xml:space="preserve">+ MP </w:t>
            </w:r>
            <w:r w:rsidRPr="000B0C47">
              <w:rPr>
                <w:b/>
                <w:bCs w:val="0"/>
              </w:rPr>
              <w:t xml:space="preserve">versus </w:t>
            </w:r>
            <w:r>
              <w:rPr>
                <w:b/>
                <w:bCs w:val="0"/>
              </w:rPr>
              <w:t>Estrogel + CA</w:t>
            </w:r>
          </w:p>
        </w:tc>
      </w:tr>
      <w:tr w:rsidR="00A261DD" w:rsidRPr="0098262F" w14:paraId="5316D58E" w14:textId="77777777" w:rsidTr="00A6567C">
        <w:trPr>
          <w:cantSplit/>
        </w:trPr>
        <w:tc>
          <w:tcPr>
            <w:tcW w:w="547" w:type="pct"/>
            <w:vAlign w:val="center"/>
          </w:tcPr>
          <w:p w14:paraId="266E9817" w14:textId="00144C51" w:rsidR="00A261DD" w:rsidRPr="0098262F" w:rsidRDefault="00A261DD">
            <w:pPr>
              <w:pStyle w:val="TableText0"/>
            </w:pPr>
            <w:proofErr w:type="spellStart"/>
            <w:r>
              <w:t>P</w:t>
            </w:r>
            <w:r w:rsidR="002027C6">
              <w:t>é</w:t>
            </w:r>
            <w:r>
              <w:t>lissier</w:t>
            </w:r>
            <w:proofErr w:type="spellEnd"/>
            <w:r>
              <w:t xml:space="preserve"> et al. (2001)</w:t>
            </w:r>
          </w:p>
        </w:tc>
        <w:tc>
          <w:tcPr>
            <w:tcW w:w="688" w:type="pct"/>
            <w:vAlign w:val="center"/>
          </w:tcPr>
          <w:p w14:paraId="7BCD66BF" w14:textId="77777777" w:rsidR="00A261DD" w:rsidRDefault="00A261DD">
            <w:pPr>
              <w:pStyle w:val="TableText0"/>
              <w:jc w:val="center"/>
            </w:pPr>
            <w:proofErr w:type="gramStart"/>
            <w:r>
              <w:t>336;</w:t>
            </w:r>
            <w:proofErr w:type="gramEnd"/>
          </w:p>
          <w:p w14:paraId="11EB96AA" w14:textId="77777777" w:rsidR="00A261DD" w:rsidRDefault="00A261DD">
            <w:pPr>
              <w:pStyle w:val="TableText0"/>
              <w:jc w:val="center"/>
            </w:pPr>
            <w:r>
              <w:t>E2+MP = 169</w:t>
            </w:r>
          </w:p>
          <w:p w14:paraId="15FFB32E" w14:textId="77777777" w:rsidR="00A261DD" w:rsidRPr="0098262F" w:rsidRDefault="00A261DD">
            <w:pPr>
              <w:pStyle w:val="TableText0"/>
              <w:jc w:val="center"/>
            </w:pPr>
            <w:r>
              <w:t>E2+CA = 167</w:t>
            </w:r>
          </w:p>
        </w:tc>
        <w:tc>
          <w:tcPr>
            <w:tcW w:w="531" w:type="pct"/>
            <w:vAlign w:val="center"/>
          </w:tcPr>
          <w:p w14:paraId="0D89A0C3" w14:textId="4735A90C" w:rsidR="00A261DD" w:rsidRDefault="00A261DD">
            <w:pPr>
              <w:pStyle w:val="TableText0"/>
              <w:jc w:val="center"/>
            </w:pPr>
            <w:r>
              <w:t>R, DB, MC,</w:t>
            </w:r>
          </w:p>
          <w:p w14:paraId="73E92364" w14:textId="77777777" w:rsidR="00A261DD" w:rsidRPr="0098262F" w:rsidRDefault="00A261DD">
            <w:pPr>
              <w:pStyle w:val="TableText0"/>
              <w:jc w:val="center"/>
            </w:pPr>
            <w:r>
              <w:t>6 months, followed by 12-month open period</w:t>
            </w:r>
          </w:p>
        </w:tc>
        <w:tc>
          <w:tcPr>
            <w:tcW w:w="415" w:type="pct"/>
            <w:vAlign w:val="center"/>
          </w:tcPr>
          <w:p w14:paraId="51FFA944" w14:textId="77777777" w:rsidR="00A261DD" w:rsidRPr="00FC20C2" w:rsidRDefault="00A261DD">
            <w:pPr>
              <w:pStyle w:val="TableText0"/>
              <w:jc w:val="center"/>
            </w:pPr>
            <w:r w:rsidRPr="00FC20C2">
              <w:t>Moderate to high</w:t>
            </w:r>
          </w:p>
        </w:tc>
        <w:tc>
          <w:tcPr>
            <w:tcW w:w="960" w:type="pct"/>
            <w:vAlign w:val="center"/>
          </w:tcPr>
          <w:p w14:paraId="580D6BF2" w14:textId="6AE8382E" w:rsidR="00A261DD" w:rsidRPr="0098262F" w:rsidRDefault="00A261DD">
            <w:pPr>
              <w:pStyle w:val="TableText0"/>
              <w:jc w:val="center"/>
            </w:pPr>
            <w:r>
              <w:t>H</w:t>
            </w:r>
            <w:r w:rsidRPr="004165FB">
              <w:t xml:space="preserve">ealthy </w:t>
            </w:r>
            <w:proofErr w:type="spellStart"/>
            <w:r w:rsidRPr="004165FB">
              <w:t>postmenopausal</w:t>
            </w:r>
            <w:r w:rsidR="00B90E2E">
              <w:rPr>
                <w:vertAlign w:val="superscript"/>
              </w:rPr>
              <w:t>c</w:t>
            </w:r>
            <w:proofErr w:type="spellEnd"/>
            <w:r w:rsidRPr="004165FB">
              <w:t xml:space="preserve"> women</w:t>
            </w:r>
            <w:r w:rsidR="00921FBE">
              <w:t xml:space="preserve">, aged </w:t>
            </w:r>
            <w:r w:rsidR="002D73FC">
              <w:t xml:space="preserve">≤ </w:t>
            </w:r>
            <w:r w:rsidR="008428E1">
              <w:t> </w:t>
            </w:r>
            <w:r w:rsidR="00921FBE">
              <w:t>57</w:t>
            </w:r>
            <w:r w:rsidR="008428E1">
              <w:t> </w:t>
            </w:r>
            <w:r w:rsidR="00921FBE">
              <w:t>years</w:t>
            </w:r>
            <w:r w:rsidRPr="004165FB">
              <w:t xml:space="preserve"> with an intact uterus.</w:t>
            </w:r>
          </w:p>
        </w:tc>
        <w:tc>
          <w:tcPr>
            <w:tcW w:w="1859" w:type="pct"/>
            <w:vAlign w:val="center"/>
          </w:tcPr>
          <w:p w14:paraId="15F2FF61" w14:textId="77777777" w:rsidR="00A261DD" w:rsidRDefault="00A261DD" w:rsidP="00A261DD">
            <w:pPr>
              <w:pStyle w:val="TableText0"/>
            </w:pPr>
            <w:r>
              <w:t xml:space="preserve">Primary: endometrium status </w:t>
            </w:r>
          </w:p>
          <w:p w14:paraId="62D6F795" w14:textId="77777777" w:rsidR="00A261DD" w:rsidRDefault="00A261DD" w:rsidP="00A261DD">
            <w:pPr>
              <w:pStyle w:val="TableText0"/>
            </w:pPr>
            <w:r>
              <w:t>Secondary: vaginal bleeding pattern; and climacteric symptoms.</w:t>
            </w:r>
          </w:p>
          <w:p w14:paraId="4803C12E" w14:textId="12A80791" w:rsidR="00A261DD" w:rsidRPr="0098262F" w:rsidRDefault="00A261DD" w:rsidP="00A261DD">
            <w:pPr>
              <w:pStyle w:val="TableText0"/>
            </w:pPr>
            <w:r>
              <w:t>Safety outcomes: AEs; metabolic and hepatic parameters</w:t>
            </w:r>
            <w:r w:rsidR="002858DB">
              <w:t>.</w:t>
            </w:r>
          </w:p>
        </w:tc>
      </w:tr>
    </w:tbl>
    <w:p w14:paraId="2E0B8C3E" w14:textId="6BE28A57" w:rsidR="00A261DD" w:rsidRDefault="00A261DD" w:rsidP="00A261DD">
      <w:pPr>
        <w:pStyle w:val="FooterTableFigure"/>
      </w:pPr>
      <w:r w:rsidRPr="0098262F">
        <w:t xml:space="preserve">Source: </w:t>
      </w:r>
      <w:r>
        <w:t xml:space="preserve">Section 2.3.1, pp63-65; Figure 2-3, p70; Figure 2-4, p71; </w:t>
      </w:r>
      <w:r w:rsidR="000C2E33">
        <w:t xml:space="preserve">Figure 2-5, p73; </w:t>
      </w:r>
      <w:r>
        <w:t>Table 2-10, pp75-77 of the submission</w:t>
      </w:r>
      <w:r w:rsidR="00E84838">
        <w:t xml:space="preserve"> main body.</w:t>
      </w:r>
    </w:p>
    <w:p w14:paraId="6E98FF17" w14:textId="0BCA3F00" w:rsidR="00FC20C2" w:rsidRDefault="00FC20C2" w:rsidP="00A261DD">
      <w:pPr>
        <w:pStyle w:val="FooterTableFigure"/>
      </w:pPr>
      <w:r>
        <w:t>*Added during evaluation</w:t>
      </w:r>
    </w:p>
    <w:p w14:paraId="0C0FF055" w14:textId="4D804797" w:rsidR="00A261DD" w:rsidRDefault="00A261DD" w:rsidP="00A261DD">
      <w:pPr>
        <w:pStyle w:val="FooterTableFigure"/>
      </w:pPr>
      <w:r>
        <w:t xml:space="preserve">1/100 = 1 mg E2/100 mg MP; 0.5/100 = 1 mg E2/100 mg MP; 0.5/50 = 0.5 mg E2/50 mg MP; 0.25/50 = 0.25 mg E2/50 mg MP; </w:t>
      </w:r>
      <w:r w:rsidR="002C39A6">
        <w:t>AE</w:t>
      </w:r>
      <w:r w:rsidR="002902A3">
        <w:t>s</w:t>
      </w:r>
      <w:r w:rsidR="00426E44">
        <w:t> </w:t>
      </w:r>
      <w:r w:rsidR="002C39A6">
        <w:t>=</w:t>
      </w:r>
      <w:r w:rsidR="00426E44">
        <w:t> </w:t>
      </w:r>
      <w:r w:rsidR="002C39A6">
        <w:t xml:space="preserve">adverse events; </w:t>
      </w:r>
      <w:r>
        <w:t>BMI = body mass index; CA =</w:t>
      </w:r>
      <w:r w:rsidRPr="00590ACD">
        <w:t xml:space="preserve"> chlormadinone acetate</w:t>
      </w:r>
      <w:r>
        <w:t xml:space="preserve">; </w:t>
      </w:r>
      <w:r w:rsidR="002902A3">
        <w:t xml:space="preserve">CGI = </w:t>
      </w:r>
      <w:r w:rsidR="002902A3" w:rsidRPr="002902A3">
        <w:t>Clinical Global Impression</w:t>
      </w:r>
      <w:r w:rsidR="002902A3">
        <w:t>;</w:t>
      </w:r>
      <w:r w:rsidR="002902A3" w:rsidRPr="002902A3">
        <w:t xml:space="preserve"> </w:t>
      </w:r>
      <w:r w:rsidRPr="0098262F">
        <w:t xml:space="preserve">DB = double blind; </w:t>
      </w:r>
      <w:r>
        <w:t>E2</w:t>
      </w:r>
      <w:r w:rsidR="005B3FB2">
        <w:t> </w:t>
      </w:r>
      <w:r>
        <w:t>=</w:t>
      </w:r>
      <w:r w:rsidR="005B3FB2">
        <w:t> </w:t>
      </w:r>
      <w:r w:rsidRPr="00690412">
        <w:t>17β-estradiol;</w:t>
      </w:r>
      <w:r>
        <w:t xml:space="preserve"> </w:t>
      </w:r>
      <w:r w:rsidR="00280848">
        <w:t>ES</w:t>
      </w:r>
      <w:r w:rsidR="00E7472B">
        <w:t> </w:t>
      </w:r>
      <w:r w:rsidR="00280848">
        <w:t>=</w:t>
      </w:r>
      <w:r w:rsidR="00E7472B">
        <w:t> </w:t>
      </w:r>
      <w:r w:rsidR="00280848">
        <w:t xml:space="preserve">endometrial safety; </w:t>
      </w:r>
      <w:r>
        <w:t>FSH = follicle-stimulating hormone</w:t>
      </w:r>
      <w:r w:rsidR="00BE5938">
        <w:t>;</w:t>
      </w:r>
      <w:r>
        <w:t xml:space="preserve"> </w:t>
      </w:r>
      <w:r w:rsidRPr="0098262F">
        <w:t>MC = multi-centre;</w:t>
      </w:r>
      <w:r>
        <w:t xml:space="preserve"> </w:t>
      </w:r>
      <w:r w:rsidR="002902A3">
        <w:t xml:space="preserve">MENQOL = </w:t>
      </w:r>
      <w:r w:rsidR="002902A3" w:rsidRPr="002902A3">
        <w:t>Menopause-specific quality of life</w:t>
      </w:r>
      <w:r w:rsidR="002902A3">
        <w:t>;</w:t>
      </w:r>
      <w:r w:rsidR="002902A3" w:rsidRPr="002902A3">
        <w:t xml:space="preserve"> MITT</w:t>
      </w:r>
      <w:r w:rsidR="00E7472B">
        <w:t> </w:t>
      </w:r>
      <w:r w:rsidR="002902A3" w:rsidRPr="002902A3">
        <w:t>=</w:t>
      </w:r>
      <w:r w:rsidR="00E7472B">
        <w:t> </w:t>
      </w:r>
      <w:r w:rsidR="002902A3" w:rsidRPr="002902A3">
        <w:t xml:space="preserve">modified intent to treat; </w:t>
      </w:r>
      <w:r w:rsidR="002902A3">
        <w:t xml:space="preserve">MOS = </w:t>
      </w:r>
      <w:r w:rsidR="002902A3" w:rsidRPr="002902A3">
        <w:t>Medical Outcome Study</w:t>
      </w:r>
      <w:r w:rsidR="002902A3">
        <w:t>;</w:t>
      </w:r>
      <w:r w:rsidR="002902A3" w:rsidRPr="002902A3">
        <w:t xml:space="preserve"> </w:t>
      </w:r>
      <w:r>
        <w:t xml:space="preserve">MP = micronised progesterone; </w:t>
      </w:r>
      <w:r w:rsidR="002902A3" w:rsidRPr="002902A3">
        <w:t xml:space="preserve">N = total participants in group; </w:t>
      </w:r>
      <w:proofErr w:type="spellStart"/>
      <w:r>
        <w:t>Pbo</w:t>
      </w:r>
      <w:proofErr w:type="spellEnd"/>
      <w:r w:rsidR="00D3650D">
        <w:t> </w:t>
      </w:r>
      <w:r>
        <w:t>=</w:t>
      </w:r>
      <w:r w:rsidR="00D3650D">
        <w:t> </w:t>
      </w:r>
      <w:r>
        <w:t xml:space="preserve">placebo; PC = placebo-controlled; </w:t>
      </w:r>
      <w:r w:rsidRPr="0098262F">
        <w:t>R = randomised</w:t>
      </w:r>
      <w:r w:rsidR="002902A3">
        <w:t>; VMS = vasomotor symptoms</w:t>
      </w:r>
      <w:r w:rsidRPr="0098262F">
        <w:t>.</w:t>
      </w:r>
    </w:p>
    <w:p w14:paraId="7CF39F0F" w14:textId="0AEB23B5" w:rsidR="00A261DD" w:rsidRDefault="00A261DD" w:rsidP="00A261DD">
      <w:pPr>
        <w:pStyle w:val="FooterTableFigure"/>
        <w:jc w:val="left"/>
      </w:pPr>
      <w:r w:rsidRPr="00A261DD">
        <w:rPr>
          <w:vertAlign w:val="superscript"/>
        </w:rPr>
        <w:t>a</w:t>
      </w:r>
      <w:r>
        <w:t xml:space="preserve"> Postmenopausal was defined herein as: i) ≥ 12 months of spontaneous amenorrhea, or ii) at least 6 months of spontaneous amenorrhea with a FSH level of &gt; 40 </w:t>
      </w:r>
      <w:proofErr w:type="spellStart"/>
      <w:r>
        <w:t>mIU</w:t>
      </w:r>
      <w:proofErr w:type="spellEnd"/>
      <w:r>
        <w:t>/m</w:t>
      </w:r>
      <w:r w:rsidR="00D3650D">
        <w:t>L</w:t>
      </w:r>
      <w:r>
        <w:t>, or iii) ≥ 6 weeks’ postsurgical bilateral oophorectomy.</w:t>
      </w:r>
    </w:p>
    <w:p w14:paraId="520F1BB1" w14:textId="77777777" w:rsidR="00B90E2E" w:rsidRDefault="00A261DD" w:rsidP="00A261DD">
      <w:pPr>
        <w:pStyle w:val="FooterTableFigure"/>
        <w:jc w:val="left"/>
      </w:pPr>
      <w:r w:rsidRPr="00A261DD">
        <w:rPr>
          <w:vertAlign w:val="superscript"/>
        </w:rPr>
        <w:t xml:space="preserve">b </w:t>
      </w:r>
      <w:r>
        <w:t>amenorrhoeic either naturally (for at least 6 months) or surgically (with bilateral oophorectomy</w:t>
      </w:r>
      <w:proofErr w:type="gramStart"/>
      <w:r>
        <w:t>), and</w:t>
      </w:r>
      <w:proofErr w:type="gramEnd"/>
      <w:r>
        <w:t xml:space="preserve"> had a serum estradiol concentration no greater than 20 </w:t>
      </w:r>
      <w:proofErr w:type="spellStart"/>
      <w:r>
        <w:t>pg</w:t>
      </w:r>
      <w:proofErr w:type="spellEnd"/>
      <w:r>
        <w:t xml:space="preserve">/mL, a serum FSH level of at least 40 </w:t>
      </w:r>
      <w:proofErr w:type="spellStart"/>
      <w:r>
        <w:t>mIU</w:t>
      </w:r>
      <w:proofErr w:type="spellEnd"/>
      <w:r>
        <w:t>/</w:t>
      </w:r>
      <w:proofErr w:type="spellStart"/>
      <w:r>
        <w:t>mL.</w:t>
      </w:r>
      <w:proofErr w:type="spellEnd"/>
    </w:p>
    <w:p w14:paraId="18190A37" w14:textId="78406C71" w:rsidR="00225CF8" w:rsidRPr="00A261DD" w:rsidRDefault="00B90E2E" w:rsidP="00A261DD">
      <w:pPr>
        <w:pStyle w:val="FooterTableFigure"/>
        <w:jc w:val="left"/>
      </w:pPr>
      <w:r w:rsidRPr="00B90E2E">
        <w:rPr>
          <w:vertAlign w:val="superscript"/>
        </w:rPr>
        <w:t>c</w:t>
      </w:r>
      <w:r>
        <w:t xml:space="preserve"> menopause was confirmed with plasma estradiol &lt; 40 </w:t>
      </w:r>
      <w:proofErr w:type="spellStart"/>
      <w:r>
        <w:t>pg</w:t>
      </w:r>
      <w:proofErr w:type="spellEnd"/>
      <w:r>
        <w:t xml:space="preserve">/mL and FSH &gt; 20 IU/I, or bilateral ovariectomy. </w:t>
      </w:r>
      <w:r w:rsidR="00A261DD">
        <w:cr/>
      </w:r>
    </w:p>
    <w:p w14:paraId="328BE4D5" w14:textId="57506D4E" w:rsidR="00F36A49" w:rsidRPr="004B0120" w:rsidRDefault="004B0120" w:rsidP="004B0120">
      <w:pPr>
        <w:pStyle w:val="3-BodyText"/>
        <w:rPr>
          <w:i/>
          <w:iCs/>
        </w:rPr>
      </w:pPr>
      <w:bookmarkStart w:id="21" w:name="_Ref207883988"/>
      <w:r w:rsidRPr="004B0120">
        <w:lastRenderedPageBreak/>
        <w:t xml:space="preserve">In REPLENISH, the safety population included all randomised women who took at least one dose of medication; this population was used for the overall safety analysis. The endometrial safety (ES) population included all women randomised to active treatment who completed 12 treatment months and had evaluable baseline and 12-month biopsies; this population was used for the primary safety endpoint analysis of endometrial safety. The modified intent-to-treat vasomotor symptoms (MITT-VMS) population included all treated participants from the </w:t>
      </w:r>
      <w:r w:rsidR="00280848">
        <w:t>VMS</w:t>
      </w:r>
      <w:r w:rsidRPr="004B0120">
        <w:t xml:space="preserve"> sub</w:t>
      </w:r>
      <w:r w:rsidR="00280848">
        <w:t>-</w:t>
      </w:r>
      <w:r w:rsidRPr="004B0120">
        <w:t>study who had measurements of frequency and severity of hot flush data at baseline and at least 1</w:t>
      </w:r>
      <w:r w:rsidR="00C31CD5">
        <w:t> </w:t>
      </w:r>
      <w:r w:rsidRPr="004B0120">
        <w:t xml:space="preserve">week during treatment; this population was used for the primary efficacy endpoint analysis. Although the efficacy analysis was 12 weeks, women in the </w:t>
      </w:r>
      <w:r w:rsidR="00280848">
        <w:t>VMS</w:t>
      </w:r>
      <w:r w:rsidRPr="004B0120">
        <w:t xml:space="preserve"> </w:t>
      </w:r>
      <w:r w:rsidR="00280848">
        <w:t>sub-</w:t>
      </w:r>
      <w:r w:rsidRPr="004B0120">
        <w:t xml:space="preserve">study continued taking medication for 12 months for their potential inclusion in the </w:t>
      </w:r>
      <w:r w:rsidR="00280848">
        <w:t>ES</w:t>
      </w:r>
      <w:r w:rsidRPr="004B0120">
        <w:t xml:space="preserve"> population. </w:t>
      </w:r>
    </w:p>
    <w:p w14:paraId="2F86202F" w14:textId="034B3D5E" w:rsidR="002C39A6" w:rsidRPr="004B410D" w:rsidRDefault="002C39A6" w:rsidP="002C39A6">
      <w:pPr>
        <w:pStyle w:val="3-BodyText"/>
      </w:pPr>
      <w:bookmarkStart w:id="22" w:name="_Ref208238979"/>
      <w:r w:rsidRPr="004B410D">
        <w:t xml:space="preserve">The eligibility criteria of the </w:t>
      </w:r>
      <w:r w:rsidR="00406A39" w:rsidRPr="004B410D">
        <w:t xml:space="preserve">included trials </w:t>
      </w:r>
      <w:r w:rsidRPr="004B410D">
        <w:t>were generally aligned with the proposed PBS population</w:t>
      </w:r>
      <w:r w:rsidR="00406A39" w:rsidRPr="004B410D">
        <w:t>. However</w:t>
      </w:r>
      <w:r w:rsidRPr="004B410D">
        <w:t>,</w:t>
      </w:r>
      <w:r w:rsidR="00406A39" w:rsidRPr="004B410D">
        <w:t xml:space="preserve"> there were</w:t>
      </w:r>
      <w:r w:rsidRPr="004B410D">
        <w:t xml:space="preserve"> differences </w:t>
      </w:r>
      <w:r w:rsidR="00AA3766" w:rsidRPr="004B410D">
        <w:t>among the</w:t>
      </w:r>
      <w:r w:rsidRPr="004B410D">
        <w:t xml:space="preserve"> trials that may impact the </w:t>
      </w:r>
      <w:r w:rsidR="00406A39" w:rsidRPr="004B410D">
        <w:t>transitivity assumptions</w:t>
      </w:r>
      <w:r w:rsidRPr="004B410D">
        <w:t xml:space="preserve"> of the ITC</w:t>
      </w:r>
      <w:r w:rsidR="00406A39" w:rsidRPr="004B410D">
        <w:t>:</w:t>
      </w:r>
      <w:bookmarkEnd w:id="21"/>
      <w:bookmarkEnd w:id="22"/>
    </w:p>
    <w:p w14:paraId="478D65D1" w14:textId="7869D108" w:rsidR="002C39A6" w:rsidRPr="004B410D" w:rsidRDefault="002C39A6" w:rsidP="002C39A6">
      <w:pPr>
        <w:pStyle w:val="ListParagraph"/>
        <w:jc w:val="both"/>
      </w:pPr>
      <w:r w:rsidRPr="004B410D">
        <w:t xml:space="preserve">REPLENISH and </w:t>
      </w:r>
      <w:proofErr w:type="spellStart"/>
      <w:r w:rsidRPr="004B410D">
        <w:t>P</w:t>
      </w:r>
      <w:r w:rsidR="002027C6">
        <w:rPr>
          <w:rFonts w:cstheme="minorHAnsi"/>
        </w:rPr>
        <w:t>é</w:t>
      </w:r>
      <w:r w:rsidRPr="004B410D">
        <w:t>lissier</w:t>
      </w:r>
      <w:proofErr w:type="spellEnd"/>
      <w:r w:rsidRPr="004B410D">
        <w:t xml:space="preserve"> et al. (2001) included postmenopausal women with intact uterus, whereas Archer et al. (2003) </w:t>
      </w:r>
      <w:r w:rsidR="003B5BF1" w:rsidRPr="004B410D">
        <w:t>appeared to include</w:t>
      </w:r>
      <w:r w:rsidR="00A22AFF" w:rsidRPr="004B410D">
        <w:t xml:space="preserve"> </w:t>
      </w:r>
      <w:r w:rsidR="00090628" w:rsidRPr="004B410D">
        <w:t xml:space="preserve">both </w:t>
      </w:r>
      <w:r w:rsidR="00A22AFF" w:rsidRPr="004B410D">
        <w:t>women with</w:t>
      </w:r>
      <w:r w:rsidR="00090628" w:rsidRPr="004B410D">
        <w:t xml:space="preserve"> and without</w:t>
      </w:r>
      <w:r w:rsidR="00A22AFF" w:rsidRPr="004B410D">
        <w:t xml:space="preserve"> </w:t>
      </w:r>
      <w:r w:rsidR="003B5BF1" w:rsidRPr="004B410D">
        <w:t>intact uterus</w:t>
      </w:r>
      <w:r w:rsidR="0034530B" w:rsidRPr="004B410D">
        <w:t>,</w:t>
      </w:r>
      <w:r w:rsidR="003B5BF1" w:rsidRPr="004B410D">
        <w:t xml:space="preserve"> </w:t>
      </w:r>
      <w:r w:rsidR="00090628" w:rsidRPr="004B410D">
        <w:t>as</w:t>
      </w:r>
      <w:r w:rsidR="00E63592" w:rsidRPr="004B410D">
        <w:t xml:space="preserve"> </w:t>
      </w:r>
      <w:r w:rsidR="005431CE" w:rsidRPr="004B410D">
        <w:t>endometrial biopsy</w:t>
      </w:r>
      <w:r w:rsidR="00535943" w:rsidRPr="004B410D">
        <w:t xml:space="preserve"> was </w:t>
      </w:r>
      <w:r w:rsidR="00A77EC0" w:rsidRPr="004B410D">
        <w:t xml:space="preserve">performed </w:t>
      </w:r>
      <w:r w:rsidR="0034530B" w:rsidRPr="004B410D">
        <w:t>in some participants</w:t>
      </w:r>
      <w:r w:rsidR="00A5476C" w:rsidRPr="004B410D">
        <w:t>.</w:t>
      </w:r>
      <w:r w:rsidR="00A22AFF" w:rsidRPr="004B410D">
        <w:t xml:space="preserve"> </w:t>
      </w:r>
      <w:r w:rsidR="00011B77" w:rsidRPr="004B410D">
        <w:t xml:space="preserve">This may reduce comparability </w:t>
      </w:r>
      <w:r w:rsidR="00007683" w:rsidRPr="004B410D">
        <w:t xml:space="preserve">for ITC between REPLENISH and Archer et al. (2003) </w:t>
      </w:r>
      <w:r w:rsidR="004E1FA8" w:rsidRPr="004B410D">
        <w:t>for</w:t>
      </w:r>
      <w:r w:rsidR="00AB433D" w:rsidRPr="004B410D">
        <w:t xml:space="preserve"> the assessment of</w:t>
      </w:r>
      <w:r w:rsidR="00282C8C" w:rsidRPr="004B410D">
        <w:t xml:space="preserve"> V</w:t>
      </w:r>
      <w:r w:rsidR="003C01D1" w:rsidRPr="004B410D">
        <w:t>MS</w:t>
      </w:r>
      <w:r w:rsidR="004E1FA8" w:rsidRPr="004B410D">
        <w:t>.</w:t>
      </w:r>
      <w:r w:rsidR="008F2E17">
        <w:t xml:space="preserve"> </w:t>
      </w:r>
      <w:r w:rsidR="008F2E17" w:rsidRPr="00D56078">
        <w:t xml:space="preserve">The PSCR stated that </w:t>
      </w:r>
      <w:r w:rsidR="00B94AA9" w:rsidRPr="00D56078">
        <w:t>while VMS may occur more frequently in patients who have had a hysterectomy</w:t>
      </w:r>
      <w:r w:rsidR="00B94AA9" w:rsidRPr="00D56078">
        <w:rPr>
          <w:rStyle w:val="FootnoteReference"/>
        </w:rPr>
        <w:footnoteReference w:id="8"/>
      </w:r>
      <w:r w:rsidR="00BB1D7E" w:rsidRPr="00D56078">
        <w:t>,</w:t>
      </w:r>
      <w:r w:rsidR="004C33BC" w:rsidRPr="00D56078">
        <w:t xml:space="preserve"> </w:t>
      </w:r>
      <w:r w:rsidR="00BF485F" w:rsidRPr="00D56078">
        <w:t xml:space="preserve">baseline weekly frequency of VMS </w:t>
      </w:r>
      <w:r w:rsidR="00905264" w:rsidRPr="00D56078">
        <w:t>was similar</w:t>
      </w:r>
      <w:r w:rsidR="00BF485F" w:rsidRPr="00D56078">
        <w:t xml:space="preserve"> between the studies. The PSCR claimed that</w:t>
      </w:r>
      <w:r w:rsidR="00DD7C0A" w:rsidRPr="00D56078">
        <w:t>,</w:t>
      </w:r>
      <w:r w:rsidR="00BF485F" w:rsidRPr="00D56078">
        <w:t xml:space="preserve"> </w:t>
      </w:r>
      <w:r w:rsidR="00C61EC6" w:rsidRPr="00D56078">
        <w:t>because of this, there is no expected impact on the ITC VMS outcomes</w:t>
      </w:r>
      <w:r w:rsidR="000938D7" w:rsidRPr="00D56078">
        <w:t xml:space="preserve">. </w:t>
      </w:r>
      <w:r w:rsidR="00BB1D7E" w:rsidRPr="00D56078">
        <w:t xml:space="preserve"> </w:t>
      </w:r>
    </w:p>
    <w:p w14:paraId="5AD19612" w14:textId="41EB87E4" w:rsidR="00235DA9" w:rsidRPr="004B410D" w:rsidRDefault="00235DA9" w:rsidP="00A12079">
      <w:pPr>
        <w:numPr>
          <w:ilvl w:val="0"/>
          <w:numId w:val="7"/>
        </w:numPr>
        <w:spacing w:after="120"/>
        <w:rPr>
          <w:rFonts w:asciiTheme="minorHAnsi" w:hAnsiTheme="minorHAnsi"/>
          <w:snapToGrid w:val="0"/>
        </w:rPr>
      </w:pPr>
      <w:r w:rsidRPr="004B410D">
        <w:rPr>
          <w:rFonts w:asciiTheme="minorHAnsi" w:hAnsiTheme="minorHAnsi"/>
          <w:snapToGrid w:val="0"/>
        </w:rPr>
        <w:t>Serum estradiol level at screening varied across the three trials (</w:t>
      </w:r>
      <w:r w:rsidRPr="004B410D">
        <w:rPr>
          <w:rFonts w:asciiTheme="minorHAnsi" w:hAnsiTheme="minorHAnsi" w:cstheme="minorBidi"/>
          <w:snapToGrid w:val="0"/>
        </w:rPr>
        <w:t>≤</w:t>
      </w:r>
      <w:r w:rsidRPr="004B410D">
        <w:rPr>
          <w:rFonts w:asciiTheme="minorHAnsi" w:hAnsiTheme="minorHAnsi"/>
          <w:snapToGrid w:val="0"/>
        </w:rPr>
        <w:t xml:space="preserve"> 50 </w:t>
      </w:r>
      <w:proofErr w:type="spellStart"/>
      <w:r w:rsidRPr="004B410D">
        <w:rPr>
          <w:rFonts w:asciiTheme="minorHAnsi" w:hAnsiTheme="minorHAnsi"/>
          <w:snapToGrid w:val="0"/>
        </w:rPr>
        <w:t>pg</w:t>
      </w:r>
      <w:proofErr w:type="spellEnd"/>
      <w:r w:rsidRPr="004B410D">
        <w:rPr>
          <w:rFonts w:asciiTheme="minorHAnsi" w:hAnsiTheme="minorHAnsi"/>
          <w:snapToGrid w:val="0"/>
        </w:rPr>
        <w:t xml:space="preserve">/mL in REPLENISH, </w:t>
      </w:r>
      <w:r w:rsidRPr="004B410D">
        <w:rPr>
          <w:rFonts w:asciiTheme="minorHAnsi" w:hAnsiTheme="minorHAnsi" w:cstheme="minorBidi"/>
          <w:snapToGrid w:val="0"/>
        </w:rPr>
        <w:t>≤</w:t>
      </w:r>
      <w:r w:rsidRPr="004B410D">
        <w:rPr>
          <w:rFonts w:asciiTheme="minorHAnsi" w:hAnsiTheme="minorHAnsi"/>
          <w:snapToGrid w:val="0"/>
        </w:rPr>
        <w:t xml:space="preserve"> 20 </w:t>
      </w:r>
      <w:proofErr w:type="spellStart"/>
      <w:r w:rsidRPr="004B410D">
        <w:rPr>
          <w:rFonts w:asciiTheme="minorHAnsi" w:hAnsiTheme="minorHAnsi"/>
          <w:snapToGrid w:val="0"/>
        </w:rPr>
        <w:t>pg</w:t>
      </w:r>
      <w:proofErr w:type="spellEnd"/>
      <w:r w:rsidRPr="004B410D">
        <w:rPr>
          <w:rFonts w:asciiTheme="minorHAnsi" w:hAnsiTheme="minorHAnsi"/>
          <w:snapToGrid w:val="0"/>
        </w:rPr>
        <w:t>/mL in Archer et al.</w:t>
      </w:r>
      <w:r w:rsidR="0034530B" w:rsidRPr="004B410D">
        <w:rPr>
          <w:rFonts w:asciiTheme="minorHAnsi" w:hAnsiTheme="minorHAnsi"/>
          <w:snapToGrid w:val="0"/>
        </w:rPr>
        <w:t>,</w:t>
      </w:r>
      <w:r w:rsidRPr="004B410D">
        <w:rPr>
          <w:rFonts w:asciiTheme="minorHAnsi" w:hAnsiTheme="minorHAnsi"/>
          <w:snapToGrid w:val="0"/>
        </w:rPr>
        <w:t xml:space="preserve"> 2003, and &lt; 40 </w:t>
      </w:r>
      <w:proofErr w:type="spellStart"/>
      <w:r w:rsidRPr="004B410D">
        <w:rPr>
          <w:rFonts w:asciiTheme="minorHAnsi" w:hAnsiTheme="minorHAnsi"/>
          <w:snapToGrid w:val="0"/>
        </w:rPr>
        <w:t>pg</w:t>
      </w:r>
      <w:proofErr w:type="spellEnd"/>
      <w:r w:rsidRPr="004B410D">
        <w:rPr>
          <w:rFonts w:asciiTheme="minorHAnsi" w:hAnsiTheme="minorHAnsi"/>
          <w:snapToGrid w:val="0"/>
        </w:rPr>
        <w:t xml:space="preserve">/mL in </w:t>
      </w:r>
      <w:proofErr w:type="spellStart"/>
      <w:r w:rsidRPr="004B410D">
        <w:rPr>
          <w:rFonts w:asciiTheme="minorHAnsi" w:hAnsiTheme="minorHAnsi"/>
          <w:snapToGrid w:val="0"/>
        </w:rPr>
        <w:t>P</w:t>
      </w:r>
      <w:r w:rsidR="002027C6">
        <w:rPr>
          <w:rFonts w:asciiTheme="minorHAnsi" w:hAnsiTheme="minorHAnsi" w:cstheme="minorHAnsi"/>
          <w:snapToGrid w:val="0"/>
        </w:rPr>
        <w:t>é</w:t>
      </w:r>
      <w:r w:rsidRPr="004B410D">
        <w:rPr>
          <w:rFonts w:asciiTheme="minorHAnsi" w:hAnsiTheme="minorHAnsi"/>
          <w:snapToGrid w:val="0"/>
        </w:rPr>
        <w:t>lissier</w:t>
      </w:r>
      <w:proofErr w:type="spellEnd"/>
      <w:r w:rsidRPr="004B410D">
        <w:rPr>
          <w:rFonts w:asciiTheme="minorHAnsi" w:hAnsiTheme="minorHAnsi"/>
          <w:snapToGrid w:val="0"/>
        </w:rPr>
        <w:t xml:space="preserve"> et al. 2001).</w:t>
      </w:r>
      <w:r w:rsidR="0004426B" w:rsidRPr="004B410D">
        <w:rPr>
          <w:rFonts w:asciiTheme="minorHAnsi" w:hAnsiTheme="minorHAnsi"/>
          <w:snapToGrid w:val="0"/>
        </w:rPr>
        <w:t xml:space="preserve"> </w:t>
      </w:r>
      <w:r w:rsidRPr="004B410D">
        <w:rPr>
          <w:rFonts w:asciiTheme="minorHAnsi" w:hAnsiTheme="minorHAnsi"/>
        </w:rPr>
        <w:t>This may favour Archer et al. (2003).</w:t>
      </w:r>
      <w:r w:rsidR="00405703">
        <w:rPr>
          <w:rFonts w:asciiTheme="minorHAnsi" w:hAnsiTheme="minorHAnsi"/>
          <w:i/>
          <w:iCs/>
        </w:rPr>
        <w:t xml:space="preserve"> </w:t>
      </w:r>
      <w:r w:rsidR="00405703" w:rsidRPr="00D56078">
        <w:rPr>
          <w:rFonts w:asciiTheme="minorHAnsi" w:hAnsiTheme="minorHAnsi"/>
        </w:rPr>
        <w:t xml:space="preserve">The PSCR </w:t>
      </w:r>
      <w:r w:rsidR="007C4E62" w:rsidRPr="00D56078">
        <w:rPr>
          <w:rFonts w:asciiTheme="minorHAnsi" w:hAnsiTheme="minorHAnsi"/>
        </w:rPr>
        <w:t xml:space="preserve">claimed that while the eligibility cutoffs differed between studies, </w:t>
      </w:r>
      <w:r w:rsidR="00580DF6" w:rsidRPr="00D56078">
        <w:rPr>
          <w:rFonts w:asciiTheme="minorHAnsi" w:hAnsiTheme="minorHAnsi"/>
        </w:rPr>
        <w:t>the actual patient baseline levels were much lower and similar between the studies</w:t>
      </w:r>
      <w:r w:rsidR="00FC29B0" w:rsidRPr="00D56078">
        <w:rPr>
          <w:rFonts w:asciiTheme="minorHAnsi" w:hAnsiTheme="minorHAnsi"/>
        </w:rPr>
        <w:t xml:space="preserve">, and therefore this patient factor is not expected to impact </w:t>
      </w:r>
      <w:r w:rsidR="00E1684F" w:rsidRPr="00D56078">
        <w:rPr>
          <w:rFonts w:asciiTheme="minorHAnsi" w:hAnsiTheme="minorHAnsi"/>
        </w:rPr>
        <w:t xml:space="preserve">transitivity assumptions around estradiol-related outcomes </w:t>
      </w:r>
      <w:r w:rsidR="00EA4F51" w:rsidRPr="00D56078">
        <w:rPr>
          <w:rFonts w:asciiTheme="minorHAnsi" w:hAnsiTheme="minorHAnsi"/>
        </w:rPr>
        <w:t>(e.g. VMS symptom frequency).</w:t>
      </w:r>
      <w:r w:rsidR="00EA4F51">
        <w:rPr>
          <w:rFonts w:asciiTheme="minorHAnsi" w:hAnsiTheme="minorHAnsi"/>
          <w:i/>
          <w:iCs/>
        </w:rPr>
        <w:t xml:space="preserve"> </w:t>
      </w:r>
    </w:p>
    <w:p w14:paraId="77EFA005" w14:textId="4203D917" w:rsidR="002C39A6" w:rsidRPr="004B410D" w:rsidRDefault="002C39A6" w:rsidP="002C39A6">
      <w:pPr>
        <w:pStyle w:val="ListParagraph"/>
        <w:jc w:val="both"/>
      </w:pPr>
      <w:r w:rsidRPr="004B410D">
        <w:t xml:space="preserve">The proportion of </w:t>
      </w:r>
      <w:r w:rsidR="006C651D" w:rsidRPr="004B410D">
        <w:t>w</w:t>
      </w:r>
      <w:r w:rsidRPr="004B410D">
        <w:t>hite women was lower in REPLENISH</w:t>
      </w:r>
      <w:r w:rsidR="00527775" w:rsidRPr="004B410D">
        <w:t xml:space="preserve"> </w:t>
      </w:r>
      <w:r w:rsidRPr="004B410D">
        <w:t xml:space="preserve">(67%), compared to Archer et al. (2003), ranging from 78% to 81% across groups. The proportion of </w:t>
      </w:r>
      <w:r w:rsidR="00397D9A" w:rsidRPr="004B410D">
        <w:t>w</w:t>
      </w:r>
      <w:r w:rsidRPr="004B410D">
        <w:t xml:space="preserve">hite women was not reported in </w:t>
      </w:r>
      <w:proofErr w:type="spellStart"/>
      <w:r w:rsidRPr="004B410D">
        <w:t>P</w:t>
      </w:r>
      <w:r w:rsidR="002027C6">
        <w:rPr>
          <w:rFonts w:cstheme="minorHAnsi"/>
        </w:rPr>
        <w:t>é</w:t>
      </w:r>
      <w:r w:rsidRPr="004B410D">
        <w:t>lissier</w:t>
      </w:r>
      <w:proofErr w:type="spellEnd"/>
      <w:r w:rsidRPr="004B410D">
        <w:t xml:space="preserve"> et al. (2001). The impact of this difference was uncertain, </w:t>
      </w:r>
      <w:r w:rsidR="0034530B" w:rsidRPr="004B410D">
        <w:t>although subgroup analyses from</w:t>
      </w:r>
      <w:r w:rsidRPr="004B410D">
        <w:t xml:space="preserve"> REPLENISH indicated more favourable outcomes among </w:t>
      </w:r>
      <w:r w:rsidR="00F73C60" w:rsidRPr="004B410D">
        <w:t>w</w:t>
      </w:r>
      <w:r w:rsidRPr="004B410D">
        <w:t>hite women compared to African American women.</w:t>
      </w:r>
    </w:p>
    <w:p w14:paraId="6C444368" w14:textId="0DEDCB7F" w:rsidR="002C39A6" w:rsidRPr="004B410D" w:rsidRDefault="002C39A6" w:rsidP="002C39A6">
      <w:pPr>
        <w:pStyle w:val="ListParagraph"/>
        <w:jc w:val="both"/>
      </w:pPr>
      <w:r w:rsidRPr="004B410D">
        <w:t>Patients in REPLENISH</w:t>
      </w:r>
      <w:r w:rsidR="00527775" w:rsidRPr="004B410D">
        <w:t xml:space="preserve"> </w:t>
      </w:r>
      <w:r w:rsidRPr="004B410D">
        <w:t xml:space="preserve">and Archer et al. (2003) had comparable </w:t>
      </w:r>
      <w:r w:rsidR="00BD45FF" w:rsidRPr="004B410D">
        <w:t>body mass index</w:t>
      </w:r>
      <w:r w:rsidRPr="004B410D">
        <w:t xml:space="preserve"> (26.</w:t>
      </w:r>
      <w:r w:rsidR="00AA5BBD" w:rsidRPr="004B410D">
        <w:t>5</w:t>
      </w:r>
      <w:r w:rsidRPr="004B410D">
        <w:t>-26.</w:t>
      </w:r>
      <w:r w:rsidR="00AA5BBD" w:rsidRPr="004B410D">
        <w:t>6</w:t>
      </w:r>
      <w:r w:rsidRPr="004B410D">
        <w:t xml:space="preserve"> kg/m</w:t>
      </w:r>
      <w:r w:rsidRPr="004B410D">
        <w:rPr>
          <w:vertAlign w:val="superscript"/>
        </w:rPr>
        <w:t>2</w:t>
      </w:r>
      <w:r w:rsidRPr="004B410D">
        <w:t xml:space="preserve"> and 26.</w:t>
      </w:r>
      <w:r w:rsidR="00AA5BBD" w:rsidRPr="004B410D">
        <w:t>5</w:t>
      </w:r>
      <w:r w:rsidRPr="004B410D">
        <w:t>-26.7 kg/m</w:t>
      </w:r>
      <w:r w:rsidRPr="004B410D">
        <w:rPr>
          <w:vertAlign w:val="superscript"/>
        </w:rPr>
        <w:t>2</w:t>
      </w:r>
      <w:r w:rsidRPr="004B410D">
        <w:t xml:space="preserve">, respectively), </w:t>
      </w:r>
      <w:r w:rsidR="0034530B" w:rsidRPr="004B410D">
        <w:t xml:space="preserve">which were </w:t>
      </w:r>
      <w:r w:rsidRPr="004B410D">
        <w:t xml:space="preserve">higher </w:t>
      </w:r>
      <w:r w:rsidRPr="004B410D">
        <w:lastRenderedPageBreak/>
        <w:t xml:space="preserve">than </w:t>
      </w:r>
      <w:r w:rsidR="0034530B" w:rsidRPr="004B410D">
        <w:t xml:space="preserve">those reported </w:t>
      </w:r>
      <w:r w:rsidRPr="004B410D">
        <w:t xml:space="preserve">in </w:t>
      </w:r>
      <w:proofErr w:type="spellStart"/>
      <w:r w:rsidRPr="004B410D">
        <w:t>P</w:t>
      </w:r>
      <w:r w:rsidR="002027C6">
        <w:rPr>
          <w:rFonts w:cstheme="minorHAnsi"/>
        </w:rPr>
        <w:t>é</w:t>
      </w:r>
      <w:r w:rsidRPr="004B410D">
        <w:t>lissier</w:t>
      </w:r>
      <w:proofErr w:type="spellEnd"/>
      <w:r w:rsidRPr="004B410D">
        <w:t xml:space="preserve"> et al. (2001) (23.3 kg/m</w:t>
      </w:r>
      <w:r w:rsidRPr="004B410D">
        <w:rPr>
          <w:vertAlign w:val="superscript"/>
        </w:rPr>
        <w:t>2</w:t>
      </w:r>
      <w:r w:rsidRPr="004B410D">
        <w:t xml:space="preserve">). This may favour </w:t>
      </w:r>
      <w:proofErr w:type="spellStart"/>
      <w:r w:rsidR="003A0CC2" w:rsidRPr="004B410D">
        <w:t>P</w:t>
      </w:r>
      <w:r w:rsidR="002027C6">
        <w:rPr>
          <w:rFonts w:cstheme="minorHAnsi"/>
        </w:rPr>
        <w:t>é</w:t>
      </w:r>
      <w:r w:rsidR="003A0CC2" w:rsidRPr="004B410D">
        <w:t>lissier</w:t>
      </w:r>
      <w:proofErr w:type="spellEnd"/>
      <w:r w:rsidR="003A0CC2" w:rsidRPr="004B410D">
        <w:t xml:space="preserve"> et al. (2001)</w:t>
      </w:r>
      <w:r w:rsidR="0034530B" w:rsidRPr="004B410D">
        <w:t>,</w:t>
      </w:r>
      <w:r w:rsidRPr="004B410D">
        <w:t xml:space="preserve"> as obesity is a risk factor for endometrial hyperplasia.</w:t>
      </w:r>
    </w:p>
    <w:p w14:paraId="1606A884" w14:textId="784989CF" w:rsidR="00C45FC3" w:rsidRPr="004B410D" w:rsidRDefault="00C45FC3" w:rsidP="00F32FB5">
      <w:pPr>
        <w:pStyle w:val="ListParagraph"/>
        <w:jc w:val="both"/>
      </w:pPr>
      <w:r w:rsidRPr="004B410D">
        <w:t xml:space="preserve">In summary, Archer et al. (2003) </w:t>
      </w:r>
      <w:r w:rsidR="00E6302D" w:rsidRPr="004B410D">
        <w:t>include</w:t>
      </w:r>
      <w:r w:rsidR="00F32FB5" w:rsidRPr="004B410D">
        <w:t>d hysterectomised women with lower serum estradiol levels, which may impact the efficacy results</w:t>
      </w:r>
      <w:r w:rsidR="0014459A" w:rsidRPr="004B410D">
        <w:t xml:space="preserve">. Additionally, the inclusion of a </w:t>
      </w:r>
      <w:r w:rsidR="00F32FB5" w:rsidRPr="004B410D">
        <w:t xml:space="preserve">hysterectomised population may </w:t>
      </w:r>
      <w:r w:rsidR="00B852EB" w:rsidRPr="004B410D">
        <w:t>underestimate AEs</w:t>
      </w:r>
      <w:r w:rsidR="00B329A3" w:rsidRPr="004B410D">
        <w:t xml:space="preserve"> </w:t>
      </w:r>
      <w:r w:rsidR="003C6302" w:rsidRPr="004B410D">
        <w:t>(</w:t>
      </w:r>
      <w:r w:rsidR="00734D67" w:rsidRPr="004B410D">
        <w:t>e.g.</w:t>
      </w:r>
      <w:r w:rsidR="003C6302" w:rsidRPr="004B410D">
        <w:t xml:space="preserve"> </w:t>
      </w:r>
      <w:r w:rsidR="005439C9" w:rsidRPr="004B410D">
        <w:t xml:space="preserve">uterine haemorrhage </w:t>
      </w:r>
      <w:r w:rsidR="00B329A3" w:rsidRPr="004B410D">
        <w:t xml:space="preserve">in </w:t>
      </w:r>
      <w:r w:rsidR="00734D67" w:rsidRPr="004B410D">
        <w:t xml:space="preserve">hysterectomised </w:t>
      </w:r>
      <w:r w:rsidR="00B329A3" w:rsidRPr="004B410D">
        <w:t>women</w:t>
      </w:r>
      <w:r w:rsidR="00734D67" w:rsidRPr="004B410D">
        <w:t>)</w:t>
      </w:r>
      <w:r w:rsidR="00B852EB" w:rsidRPr="004B410D">
        <w:t xml:space="preserve">. </w:t>
      </w:r>
      <w:r w:rsidR="002A59B8" w:rsidRPr="004B410D">
        <w:t>REPLENISH applied stricter</w:t>
      </w:r>
      <w:r w:rsidR="00A305CC" w:rsidRPr="004B410D">
        <w:t xml:space="preserve"> </w:t>
      </w:r>
      <w:r w:rsidR="002A59B8" w:rsidRPr="004B410D">
        <w:t>uterus criteria</w:t>
      </w:r>
      <w:r w:rsidR="00A66846" w:rsidRPr="004B410D">
        <w:t xml:space="preserve"> and had lower proportion of </w:t>
      </w:r>
      <w:r w:rsidR="00EF54F4" w:rsidRPr="004B410D">
        <w:t>w</w:t>
      </w:r>
      <w:r w:rsidR="00A66846" w:rsidRPr="004B410D">
        <w:t>hite women</w:t>
      </w:r>
      <w:r w:rsidR="002A59B8" w:rsidRPr="004B410D">
        <w:t>, which may affect generalisability</w:t>
      </w:r>
      <w:r w:rsidR="003D0BE0" w:rsidRPr="004B410D">
        <w:t xml:space="preserve"> to the Australian population</w:t>
      </w:r>
      <w:r w:rsidR="002A59B8" w:rsidRPr="004B410D">
        <w:t xml:space="preserve">. </w:t>
      </w:r>
    </w:p>
    <w:p w14:paraId="6DFC9CD8" w14:textId="139271BD" w:rsidR="00292739" w:rsidRPr="00D56078" w:rsidRDefault="00292739" w:rsidP="00C97D52">
      <w:pPr>
        <w:pStyle w:val="3-BodyText"/>
      </w:pPr>
      <w:r w:rsidRPr="00D56078">
        <w:t xml:space="preserve">The PSCR </w:t>
      </w:r>
      <w:r w:rsidR="00210A37" w:rsidRPr="00D56078">
        <w:t>claimed that</w:t>
      </w:r>
      <w:r w:rsidR="008771FD" w:rsidRPr="00D56078">
        <w:t xml:space="preserve"> the trial populations between the two studies were broadly similar, and</w:t>
      </w:r>
      <w:r w:rsidR="00210A37" w:rsidRPr="00D56078">
        <w:t xml:space="preserve"> none of the differences between the trials invalidated the claim that </w:t>
      </w:r>
      <w:r w:rsidR="00FF7148" w:rsidRPr="00D56078">
        <w:t xml:space="preserve">Bijuva and Estrogel Pro had non-inferior efficacy and safety. The PSCR claimed that the differences were either inconsequential </w:t>
      </w:r>
      <w:r w:rsidR="00BB32D0" w:rsidRPr="00D56078">
        <w:t>to safety and efficacy findings, or favoured Estrogel Pro (</w:t>
      </w:r>
      <w:r w:rsidR="002E692C" w:rsidRPr="00D56078">
        <w:t xml:space="preserve">e.g. serum estrogen concentration eligibility cutoff, lower </w:t>
      </w:r>
      <w:r w:rsidR="00944DB1" w:rsidRPr="00D56078">
        <w:t>body mass index</w:t>
      </w:r>
      <w:r w:rsidR="002E692C" w:rsidRPr="00D56078">
        <w:t>).</w:t>
      </w:r>
    </w:p>
    <w:p w14:paraId="030101CF" w14:textId="5209968E" w:rsidR="00C97D52" w:rsidRPr="00C42226" w:rsidRDefault="00791592" w:rsidP="00C97D52">
      <w:pPr>
        <w:pStyle w:val="3-BodyText"/>
        <w:rPr>
          <w:i/>
          <w:iCs/>
        </w:rPr>
      </w:pPr>
      <w:r w:rsidRPr="0030360B">
        <w:t>The primary efficacy outcomes</w:t>
      </w:r>
      <w:r w:rsidR="00DA4148" w:rsidRPr="0030360B">
        <w:t xml:space="preserve"> in REPLENISH were change </w:t>
      </w:r>
      <w:r w:rsidR="006C54A8" w:rsidRPr="0030360B">
        <w:t xml:space="preserve">from baseline </w:t>
      </w:r>
      <w:r w:rsidR="00DA4148" w:rsidRPr="0030360B">
        <w:t>in frequency and severity of moderate to severe VMS</w:t>
      </w:r>
      <w:r w:rsidR="0009477A" w:rsidRPr="0030360B">
        <w:t xml:space="preserve"> at Week 4 and Week 12</w:t>
      </w:r>
      <w:r w:rsidR="00C30E12" w:rsidRPr="0030360B">
        <w:t>.</w:t>
      </w:r>
      <w:r w:rsidR="00A63AA2">
        <w:t xml:space="preserve"> The primary efficacy outcome in Archer et al. (2003) was change from baseline in</w:t>
      </w:r>
      <w:r w:rsidR="0053014A">
        <w:t xml:space="preserve"> daily</w:t>
      </w:r>
      <w:r w:rsidR="00A63AA2">
        <w:t xml:space="preserve"> frequency of </w:t>
      </w:r>
      <w:r w:rsidR="0053014A">
        <w:t xml:space="preserve">moderate </w:t>
      </w:r>
      <w:r w:rsidR="00A63AA2">
        <w:t xml:space="preserve">to </w:t>
      </w:r>
      <w:r w:rsidR="0053014A">
        <w:t>severe</w:t>
      </w:r>
      <w:r w:rsidR="00A63AA2">
        <w:t xml:space="preserve"> VMS to Week 12.</w:t>
      </w:r>
      <w:r w:rsidR="004C52DF">
        <w:t xml:space="preserve"> Daily mean change value was </w:t>
      </w:r>
      <w:r w:rsidR="007933E6">
        <w:t>converted to weekly to allow</w:t>
      </w:r>
      <w:r w:rsidR="00347F3F">
        <w:t xml:space="preserve"> comparison with REPLENISH.</w:t>
      </w:r>
      <w:r w:rsidR="00C03012" w:rsidRPr="0030360B">
        <w:t xml:space="preserve"> The safety outcomes reported across trials included</w:t>
      </w:r>
      <w:r w:rsidR="00D97934" w:rsidRPr="0030360B">
        <w:t xml:space="preserve"> AEs </w:t>
      </w:r>
      <w:r w:rsidR="00DB1DCB" w:rsidRPr="0030360B">
        <w:t xml:space="preserve">and incidence of </w:t>
      </w:r>
      <w:r w:rsidR="0064245E" w:rsidRPr="0030360B">
        <w:t>endometrial hyperplasia</w:t>
      </w:r>
      <w:r w:rsidR="00042386" w:rsidRPr="0030360B">
        <w:t>.</w:t>
      </w:r>
      <w:r w:rsidR="00C30E12">
        <w:rPr>
          <w:i/>
          <w:iCs/>
        </w:rPr>
        <w:t xml:space="preserve"> </w:t>
      </w:r>
      <w:r w:rsidR="00C42226" w:rsidRPr="004B410D">
        <w:t>The</w:t>
      </w:r>
      <w:r w:rsidR="00E04384" w:rsidRPr="004B410D">
        <w:t>se</w:t>
      </w:r>
      <w:r w:rsidR="00C42226" w:rsidRPr="004B410D">
        <w:t xml:space="preserve"> outcomes </w:t>
      </w:r>
      <w:r w:rsidR="00E04384" w:rsidRPr="004B410D">
        <w:t xml:space="preserve">were consistent with the primary endpoints outlined </w:t>
      </w:r>
      <w:r w:rsidR="00C42226" w:rsidRPr="004B410D">
        <w:t xml:space="preserve">in the draft </w:t>
      </w:r>
      <w:r w:rsidR="007A09B8" w:rsidRPr="004B410D">
        <w:t>Food and Drug Administration (</w:t>
      </w:r>
      <w:r w:rsidR="00C42226" w:rsidRPr="004B410D">
        <w:t>FDA</w:t>
      </w:r>
      <w:r w:rsidR="007A09B8" w:rsidRPr="004B410D">
        <w:t>)</w:t>
      </w:r>
      <w:r w:rsidR="00C42226" w:rsidRPr="004B410D">
        <w:t xml:space="preserve"> Guidance (2003)</w:t>
      </w:r>
      <w:r w:rsidR="00C35237" w:rsidRPr="004B410D">
        <w:rPr>
          <w:rStyle w:val="FootnoteReference"/>
        </w:rPr>
        <w:footnoteReference w:id="9"/>
      </w:r>
      <w:r w:rsidR="00C42226" w:rsidRPr="004B410D">
        <w:t xml:space="preserve"> and </w:t>
      </w:r>
      <w:r w:rsidR="00E04384" w:rsidRPr="004B410D">
        <w:t xml:space="preserve">the </w:t>
      </w:r>
      <w:r w:rsidR="00687268" w:rsidRPr="004B410D">
        <w:t>European Medicines Agency (</w:t>
      </w:r>
      <w:r w:rsidR="00C42226" w:rsidRPr="004B410D">
        <w:t>EMA</w:t>
      </w:r>
      <w:r w:rsidR="00687268" w:rsidRPr="004B410D">
        <w:t>)</w:t>
      </w:r>
      <w:r w:rsidR="00C42226" w:rsidRPr="004B410D">
        <w:t xml:space="preserve"> Guideline</w:t>
      </w:r>
      <w:r w:rsidR="00E04384" w:rsidRPr="004B410D">
        <w:t xml:space="preserve"> (2005)</w:t>
      </w:r>
      <w:r w:rsidR="00C35237" w:rsidRPr="004B410D">
        <w:rPr>
          <w:rStyle w:val="FootnoteReference"/>
        </w:rPr>
        <w:footnoteReference w:id="10"/>
      </w:r>
      <w:r w:rsidR="00E04384" w:rsidRPr="004B410D">
        <w:t xml:space="preserve"> </w:t>
      </w:r>
      <w:r w:rsidR="000B6E40" w:rsidRPr="004B410D">
        <w:t xml:space="preserve">required </w:t>
      </w:r>
      <w:r w:rsidR="00E04384" w:rsidRPr="004B410D">
        <w:t xml:space="preserve">for the clinical evaluation </w:t>
      </w:r>
      <w:r w:rsidR="00C42226" w:rsidRPr="004B410D">
        <w:t xml:space="preserve">of medicinal products for MHT </w:t>
      </w:r>
      <w:r w:rsidR="00E04384" w:rsidRPr="004B410D">
        <w:t>targeting</w:t>
      </w:r>
      <w:r w:rsidR="00C42226" w:rsidRPr="004B410D">
        <w:t xml:space="preserve"> estrogen deficiency symptoms</w:t>
      </w:r>
      <w:r w:rsidR="00E04384" w:rsidRPr="004B410D">
        <w:t>.</w:t>
      </w:r>
      <w:r w:rsidR="00C42226" w:rsidRPr="004B410D">
        <w:t xml:space="preserve"> </w:t>
      </w:r>
    </w:p>
    <w:p w14:paraId="3C09C361" w14:textId="414E4ADC" w:rsidR="000B6388" w:rsidRPr="000B6388" w:rsidRDefault="000B6388" w:rsidP="000B6388">
      <w:pPr>
        <w:pStyle w:val="4-SubsectionHeading"/>
      </w:pPr>
      <w:bookmarkStart w:id="23" w:name="_Toc202884175"/>
      <w:bookmarkStart w:id="24" w:name="_Toc208998234"/>
      <w:r w:rsidRPr="0098262F">
        <w:t>Comparative effectiveness</w:t>
      </w:r>
      <w:bookmarkEnd w:id="23"/>
      <w:bookmarkEnd w:id="24"/>
    </w:p>
    <w:p w14:paraId="672B80CE" w14:textId="21115F80" w:rsidR="000B6388" w:rsidRPr="000B6388" w:rsidRDefault="000B6388" w:rsidP="000B6388">
      <w:pPr>
        <w:pStyle w:val="3-BodyText"/>
        <w:numPr>
          <w:ilvl w:val="0"/>
          <w:numId w:val="0"/>
        </w:numPr>
        <w:ind w:left="720" w:hanging="720"/>
        <w:rPr>
          <w:u w:val="single"/>
          <w:lang w:eastAsia="en-US"/>
        </w:rPr>
      </w:pPr>
      <w:r w:rsidRPr="000B6388">
        <w:rPr>
          <w:u w:val="single"/>
          <w:lang w:eastAsia="en-US"/>
        </w:rPr>
        <w:t xml:space="preserve">Vasomotor symptoms </w:t>
      </w:r>
    </w:p>
    <w:p w14:paraId="5ADC5731" w14:textId="55BE9338" w:rsidR="000B6388" w:rsidRPr="006E0825" w:rsidRDefault="000B6388" w:rsidP="000B6388">
      <w:pPr>
        <w:pStyle w:val="3-BodyText"/>
      </w:pPr>
      <w:r>
        <w:rPr>
          <w:color w:val="0066FF"/>
        </w:rPr>
        <w:fldChar w:fldCharType="begin"/>
      </w:r>
      <w:r>
        <w:rPr>
          <w:color w:val="0066FF"/>
        </w:rPr>
        <w:instrText xml:space="preserve"> REF _Ref207119032 \h </w:instrText>
      </w:r>
      <w:r>
        <w:rPr>
          <w:color w:val="0066FF"/>
        </w:rPr>
      </w:r>
      <w:r>
        <w:rPr>
          <w:color w:val="0066FF"/>
        </w:rPr>
        <w:fldChar w:fldCharType="separate"/>
      </w:r>
      <w:r w:rsidR="00724077" w:rsidRPr="0098262F">
        <w:t xml:space="preserve">Table </w:t>
      </w:r>
      <w:r w:rsidR="00724077">
        <w:rPr>
          <w:noProof/>
        </w:rPr>
        <w:t>4</w:t>
      </w:r>
      <w:r>
        <w:rPr>
          <w:color w:val="0066FF"/>
        </w:rPr>
        <w:fldChar w:fldCharType="end"/>
      </w:r>
      <w:r>
        <w:rPr>
          <w:color w:val="0066FF"/>
        </w:rPr>
        <w:t xml:space="preserve"> </w:t>
      </w:r>
      <w:r w:rsidRPr="006E0825">
        <w:t xml:space="preserve">presents the change </w:t>
      </w:r>
      <w:r w:rsidR="00E14802">
        <w:t xml:space="preserve">from baseline to Week 12 </w:t>
      </w:r>
      <w:r w:rsidRPr="006E0825">
        <w:t xml:space="preserve">in </w:t>
      </w:r>
      <w:r>
        <w:t xml:space="preserve">weekly </w:t>
      </w:r>
      <w:r w:rsidRPr="006E0825">
        <w:t xml:space="preserve">frequency of moderate to severe VMS </w:t>
      </w:r>
      <w:r>
        <w:t xml:space="preserve">for both Bijuva </w:t>
      </w:r>
      <w:r w:rsidR="00A5437F">
        <w:t xml:space="preserve">(MITT-VMS population) </w:t>
      </w:r>
      <w:r>
        <w:t>and Estrogel</w:t>
      </w:r>
      <w:r w:rsidR="00A5437F">
        <w:t xml:space="preserve"> (MITT population)</w:t>
      </w:r>
      <w:r>
        <w:t>, along with the results of the placebo-anchored unadjusted ITC.</w:t>
      </w:r>
      <w:r w:rsidR="00B22948">
        <w:t xml:space="preserve"> </w:t>
      </w:r>
    </w:p>
    <w:p w14:paraId="5209D88D" w14:textId="3D78FC69" w:rsidR="000B6388" w:rsidRPr="0098262F" w:rsidRDefault="000B6388" w:rsidP="000B6388">
      <w:pPr>
        <w:pStyle w:val="TableFigureHeading"/>
        <w:jc w:val="both"/>
        <w:rPr>
          <w:rStyle w:val="CommentReference"/>
          <w:b/>
          <w:szCs w:val="24"/>
        </w:rPr>
      </w:pPr>
      <w:bookmarkStart w:id="25" w:name="_Ref207119032"/>
      <w:r w:rsidRPr="0098262F">
        <w:lastRenderedPageBreak/>
        <w:t xml:space="preserve">Table </w:t>
      </w:r>
      <w:r w:rsidR="003A0CC2">
        <w:fldChar w:fldCharType="begin"/>
      </w:r>
      <w:r w:rsidR="003A0CC2">
        <w:instrText xml:space="preserve"> SEQ Table \* ARABIC </w:instrText>
      </w:r>
      <w:r w:rsidR="003A0CC2">
        <w:fldChar w:fldCharType="separate"/>
      </w:r>
      <w:r w:rsidR="00724077">
        <w:rPr>
          <w:noProof/>
        </w:rPr>
        <w:t>4</w:t>
      </w:r>
      <w:r w:rsidR="003A0CC2">
        <w:rPr>
          <w:noProof/>
        </w:rPr>
        <w:fldChar w:fldCharType="end"/>
      </w:r>
      <w:bookmarkEnd w:id="25"/>
      <w:r w:rsidRPr="0098262F">
        <w:t>:</w:t>
      </w:r>
      <w:r w:rsidRPr="0098262F">
        <w:rPr>
          <w:rStyle w:val="CommentReference"/>
          <w:b/>
          <w:szCs w:val="24"/>
        </w:rPr>
        <w:t xml:space="preserve"> Results of </w:t>
      </w:r>
      <w:r>
        <w:rPr>
          <w:rStyle w:val="CommentReference"/>
          <w:b/>
          <w:szCs w:val="24"/>
        </w:rPr>
        <w:t>change from baseline to Week 12 in the weekly frequency of moderate to severe VMS in REPLENISH and Archer et al. (2003)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Results of change from baseline to Week 12 in the weekly frequency of moderate to severe VMS in REPLENISH and Archer et al. (2003)"/>
      </w:tblPr>
      <w:tblGrid>
        <w:gridCol w:w="1909"/>
        <w:gridCol w:w="1910"/>
        <w:gridCol w:w="1751"/>
        <w:gridCol w:w="2866"/>
        <w:gridCol w:w="581"/>
      </w:tblGrid>
      <w:tr w:rsidR="000B6388" w:rsidRPr="0098262F" w14:paraId="62749BB7" w14:textId="77777777" w:rsidTr="008D561B">
        <w:trPr>
          <w:cantSplit/>
          <w:tblHeader/>
        </w:trPr>
        <w:tc>
          <w:tcPr>
            <w:tcW w:w="1059" w:type="pct"/>
            <w:vAlign w:val="center"/>
          </w:tcPr>
          <w:p w14:paraId="5EC58CB0" w14:textId="77777777" w:rsidR="000B6388" w:rsidRPr="0098262F" w:rsidRDefault="000B6388" w:rsidP="00B22948">
            <w:pPr>
              <w:pStyle w:val="TableFigureHeading"/>
            </w:pPr>
            <w:r>
              <w:t>Intervention</w:t>
            </w:r>
          </w:p>
        </w:tc>
        <w:tc>
          <w:tcPr>
            <w:tcW w:w="1059" w:type="pct"/>
            <w:vAlign w:val="center"/>
          </w:tcPr>
          <w:p w14:paraId="5BB31241" w14:textId="77777777" w:rsidR="000B6388" w:rsidRPr="0098262F" w:rsidRDefault="000B6388">
            <w:pPr>
              <w:pStyle w:val="TableFigureHeading"/>
              <w:jc w:val="center"/>
            </w:pPr>
            <w:r>
              <w:t>Bijuva</w:t>
            </w:r>
          </w:p>
          <w:p w14:paraId="7FD02B0A" w14:textId="77777777" w:rsidR="000B6388" w:rsidRPr="0098262F" w:rsidRDefault="000B6388">
            <w:pPr>
              <w:pStyle w:val="TableFigureHeading"/>
              <w:jc w:val="center"/>
            </w:pPr>
            <w:r>
              <w:t>N=141</w:t>
            </w:r>
          </w:p>
        </w:tc>
        <w:tc>
          <w:tcPr>
            <w:tcW w:w="971" w:type="pct"/>
            <w:vAlign w:val="center"/>
          </w:tcPr>
          <w:p w14:paraId="70102042" w14:textId="77777777" w:rsidR="000B6388" w:rsidRPr="0098262F" w:rsidRDefault="000B6388">
            <w:pPr>
              <w:pStyle w:val="TableFigureHeading"/>
              <w:jc w:val="center"/>
            </w:pPr>
            <w:r>
              <w:t>Placebo</w:t>
            </w:r>
          </w:p>
          <w:p w14:paraId="35B2671C" w14:textId="77777777" w:rsidR="000B6388" w:rsidRPr="0098262F" w:rsidRDefault="000B6388">
            <w:pPr>
              <w:pStyle w:val="TableFigureHeading"/>
              <w:jc w:val="center"/>
            </w:pPr>
            <w:r>
              <w:t>N=135</w:t>
            </w:r>
          </w:p>
        </w:tc>
        <w:tc>
          <w:tcPr>
            <w:tcW w:w="1589" w:type="pct"/>
            <w:vAlign w:val="center"/>
          </w:tcPr>
          <w:p w14:paraId="182A5CA4" w14:textId="77777777" w:rsidR="000B6388" w:rsidRPr="0098262F" w:rsidRDefault="000B6388">
            <w:pPr>
              <w:pStyle w:val="TableFigureHeading"/>
              <w:jc w:val="center"/>
            </w:pPr>
            <w:r w:rsidRPr="00106D09">
              <w:t>LS mean change from baseline vs placebo</w:t>
            </w:r>
            <w:r>
              <w:t xml:space="preserve"> </w:t>
            </w:r>
            <w:r w:rsidRPr="00106D09">
              <w:t>(95% CI)</w:t>
            </w:r>
          </w:p>
        </w:tc>
        <w:tc>
          <w:tcPr>
            <w:tcW w:w="322" w:type="pct"/>
            <w:vAlign w:val="center"/>
          </w:tcPr>
          <w:p w14:paraId="2C30AD49" w14:textId="77777777" w:rsidR="000B6388" w:rsidRPr="0098262F" w:rsidRDefault="000B6388">
            <w:pPr>
              <w:pStyle w:val="TableFigureHeading"/>
              <w:jc w:val="center"/>
            </w:pPr>
            <w:r>
              <w:t>SE</w:t>
            </w:r>
          </w:p>
        </w:tc>
      </w:tr>
      <w:tr w:rsidR="000B6388" w:rsidRPr="0098262F" w14:paraId="7D998B42" w14:textId="77777777" w:rsidTr="008D561B">
        <w:trPr>
          <w:cantSplit/>
          <w:tblHeader/>
        </w:trPr>
        <w:tc>
          <w:tcPr>
            <w:tcW w:w="5000" w:type="pct"/>
            <w:gridSpan w:val="5"/>
            <w:vAlign w:val="center"/>
          </w:tcPr>
          <w:p w14:paraId="2E869F49" w14:textId="77777777" w:rsidR="000B6388" w:rsidRDefault="000B6388">
            <w:pPr>
              <w:pStyle w:val="TableFigureHeading"/>
            </w:pPr>
            <w:r w:rsidRPr="00CB69F0">
              <w:rPr>
                <w:iCs/>
              </w:rPr>
              <w:t>REPLENISH (MITT-VM</w:t>
            </w:r>
            <w:r>
              <w:rPr>
                <w:iCs/>
              </w:rPr>
              <w:t>S</w:t>
            </w:r>
            <w:r w:rsidRPr="00CB69F0">
              <w:rPr>
                <w:iCs/>
              </w:rPr>
              <w:t>)</w:t>
            </w:r>
            <w:r>
              <w:rPr>
                <w:iCs/>
                <w:vertAlign w:val="superscript"/>
              </w:rPr>
              <w:t>a</w:t>
            </w:r>
          </w:p>
        </w:tc>
      </w:tr>
      <w:tr w:rsidR="000B6388" w:rsidRPr="0098262F" w14:paraId="0A7540A6" w14:textId="77777777" w:rsidTr="008D561B">
        <w:trPr>
          <w:cantSplit/>
        </w:trPr>
        <w:tc>
          <w:tcPr>
            <w:tcW w:w="1059" w:type="pct"/>
            <w:vAlign w:val="center"/>
          </w:tcPr>
          <w:p w14:paraId="068057B8" w14:textId="77777777" w:rsidR="000B6388" w:rsidRPr="0098262F" w:rsidRDefault="000B6388">
            <w:pPr>
              <w:pStyle w:val="TableText0"/>
            </w:pPr>
            <w:r w:rsidRPr="008D7CBD">
              <w:t>n</w:t>
            </w:r>
          </w:p>
        </w:tc>
        <w:tc>
          <w:tcPr>
            <w:tcW w:w="1059" w:type="pct"/>
            <w:vAlign w:val="center"/>
          </w:tcPr>
          <w:p w14:paraId="04B1E153" w14:textId="77777777" w:rsidR="000B6388" w:rsidRPr="0098262F" w:rsidRDefault="000B6388">
            <w:pPr>
              <w:pStyle w:val="TableText0"/>
              <w:jc w:val="center"/>
            </w:pPr>
            <w:r w:rsidRPr="00223AD6">
              <w:rPr>
                <w:iCs/>
              </w:rPr>
              <w:t>124</w:t>
            </w:r>
          </w:p>
        </w:tc>
        <w:tc>
          <w:tcPr>
            <w:tcW w:w="971" w:type="pct"/>
            <w:vAlign w:val="center"/>
          </w:tcPr>
          <w:p w14:paraId="371DD876" w14:textId="77777777" w:rsidR="000B6388" w:rsidRPr="0098262F" w:rsidRDefault="000B6388">
            <w:pPr>
              <w:pStyle w:val="TableText0"/>
              <w:jc w:val="center"/>
            </w:pPr>
            <w:r w:rsidRPr="00223AD6">
              <w:rPr>
                <w:iCs/>
              </w:rPr>
              <w:t>115</w:t>
            </w:r>
          </w:p>
        </w:tc>
        <w:tc>
          <w:tcPr>
            <w:tcW w:w="1589" w:type="pct"/>
            <w:vMerge w:val="restart"/>
            <w:vAlign w:val="center"/>
          </w:tcPr>
          <w:p w14:paraId="0F060043" w14:textId="1090A0D0" w:rsidR="000B6388" w:rsidRPr="0098262F" w:rsidRDefault="000B6388">
            <w:pPr>
              <w:pStyle w:val="TableText0"/>
              <w:jc w:val="center"/>
            </w:pPr>
            <w:r w:rsidRPr="00F2057D">
              <w:rPr>
                <w:b/>
              </w:rPr>
              <w:t>-16.</w:t>
            </w:r>
            <w:r w:rsidRPr="00641A7F">
              <w:rPr>
                <w:b/>
              </w:rPr>
              <w:t>6</w:t>
            </w:r>
            <w:r>
              <w:rPr>
                <w:b/>
              </w:rPr>
              <w:t xml:space="preserve"> (</w:t>
            </w:r>
            <w:r w:rsidRPr="00641A7F">
              <w:rPr>
                <w:b/>
              </w:rPr>
              <w:t>-23.3,</w:t>
            </w:r>
            <w:r>
              <w:rPr>
                <w:b/>
              </w:rPr>
              <w:t xml:space="preserve"> </w:t>
            </w:r>
            <w:r w:rsidRPr="00641A7F">
              <w:rPr>
                <w:b/>
              </w:rPr>
              <w:t>-9.8)</w:t>
            </w:r>
            <w:r>
              <w:rPr>
                <w:b/>
                <w:vertAlign w:val="superscript"/>
              </w:rPr>
              <w:t>a</w:t>
            </w:r>
          </w:p>
        </w:tc>
        <w:tc>
          <w:tcPr>
            <w:tcW w:w="322" w:type="pct"/>
            <w:vMerge w:val="restart"/>
            <w:vAlign w:val="center"/>
          </w:tcPr>
          <w:p w14:paraId="7444B233" w14:textId="77777777" w:rsidR="000B6388" w:rsidRPr="0098262F" w:rsidRDefault="000B6388">
            <w:pPr>
              <w:pStyle w:val="TableText0"/>
              <w:jc w:val="center"/>
            </w:pPr>
            <w:r>
              <w:t>3.4</w:t>
            </w:r>
          </w:p>
        </w:tc>
      </w:tr>
      <w:tr w:rsidR="000B6388" w:rsidRPr="0098262F" w14:paraId="518FCE60" w14:textId="77777777" w:rsidTr="008D561B">
        <w:trPr>
          <w:cantSplit/>
        </w:trPr>
        <w:tc>
          <w:tcPr>
            <w:tcW w:w="1059" w:type="pct"/>
            <w:vAlign w:val="center"/>
          </w:tcPr>
          <w:p w14:paraId="4F3DC5FE" w14:textId="77777777" w:rsidR="000B6388" w:rsidRPr="0098262F" w:rsidRDefault="000B6388">
            <w:pPr>
              <w:pStyle w:val="TableText0"/>
            </w:pPr>
            <w:r w:rsidRPr="008D7CBD">
              <w:t>Mean baseline (SD)</w:t>
            </w:r>
          </w:p>
        </w:tc>
        <w:tc>
          <w:tcPr>
            <w:tcW w:w="1059" w:type="pct"/>
            <w:vAlign w:val="center"/>
          </w:tcPr>
          <w:p w14:paraId="0FE18921" w14:textId="77777777" w:rsidR="000B6388" w:rsidRPr="0098262F" w:rsidRDefault="000B6388">
            <w:pPr>
              <w:pStyle w:val="TableText0"/>
              <w:jc w:val="center"/>
            </w:pPr>
            <w:r w:rsidRPr="00223AD6">
              <w:t>72.2 (25.0)</w:t>
            </w:r>
          </w:p>
        </w:tc>
        <w:tc>
          <w:tcPr>
            <w:tcW w:w="971" w:type="pct"/>
            <w:vAlign w:val="center"/>
          </w:tcPr>
          <w:p w14:paraId="5A566106" w14:textId="77777777" w:rsidR="000B6388" w:rsidRPr="0098262F" w:rsidRDefault="000B6388">
            <w:pPr>
              <w:pStyle w:val="TableText0"/>
              <w:jc w:val="center"/>
            </w:pPr>
            <w:r w:rsidRPr="00223AD6">
              <w:t>72.2 (22.7)</w:t>
            </w:r>
          </w:p>
        </w:tc>
        <w:tc>
          <w:tcPr>
            <w:tcW w:w="1589" w:type="pct"/>
            <w:vMerge/>
            <w:vAlign w:val="center"/>
          </w:tcPr>
          <w:p w14:paraId="3ED4F933" w14:textId="77777777" w:rsidR="000B6388" w:rsidRPr="0098262F" w:rsidRDefault="000B6388">
            <w:pPr>
              <w:pStyle w:val="TableText0"/>
              <w:jc w:val="center"/>
            </w:pPr>
          </w:p>
        </w:tc>
        <w:tc>
          <w:tcPr>
            <w:tcW w:w="322" w:type="pct"/>
            <w:vMerge/>
            <w:vAlign w:val="center"/>
          </w:tcPr>
          <w:p w14:paraId="0B68E116" w14:textId="77777777" w:rsidR="000B6388" w:rsidRPr="0098262F" w:rsidRDefault="000B6388">
            <w:pPr>
              <w:pStyle w:val="TableText0"/>
              <w:jc w:val="center"/>
            </w:pPr>
          </w:p>
        </w:tc>
      </w:tr>
      <w:tr w:rsidR="000B6388" w:rsidRPr="0098262F" w14:paraId="5EB554E1" w14:textId="77777777" w:rsidTr="008D561B">
        <w:trPr>
          <w:cantSplit/>
        </w:trPr>
        <w:tc>
          <w:tcPr>
            <w:tcW w:w="1059" w:type="pct"/>
            <w:vAlign w:val="center"/>
          </w:tcPr>
          <w:p w14:paraId="14ED1A5C" w14:textId="77777777" w:rsidR="000B6388" w:rsidRPr="0098262F" w:rsidRDefault="000B6388">
            <w:pPr>
              <w:pStyle w:val="TableText0"/>
            </w:pPr>
            <w:r w:rsidRPr="008D7CBD">
              <w:t>Mean change from baseline (SD)</w:t>
            </w:r>
          </w:p>
        </w:tc>
        <w:tc>
          <w:tcPr>
            <w:tcW w:w="1059" w:type="pct"/>
            <w:vAlign w:val="center"/>
          </w:tcPr>
          <w:p w14:paraId="6718FAF6" w14:textId="77777777" w:rsidR="000B6388" w:rsidRPr="0098262F" w:rsidRDefault="000B6388">
            <w:pPr>
              <w:pStyle w:val="TableText0"/>
              <w:jc w:val="center"/>
            </w:pPr>
            <w:r w:rsidRPr="00223AD6">
              <w:t>-55.1 (31.4)</w:t>
            </w:r>
          </w:p>
        </w:tc>
        <w:tc>
          <w:tcPr>
            <w:tcW w:w="971" w:type="pct"/>
            <w:vAlign w:val="center"/>
          </w:tcPr>
          <w:p w14:paraId="44608A68" w14:textId="77777777" w:rsidR="000B6388" w:rsidRPr="0098262F" w:rsidRDefault="000B6388">
            <w:pPr>
              <w:pStyle w:val="TableText0"/>
              <w:jc w:val="center"/>
            </w:pPr>
            <w:r w:rsidRPr="00223AD6">
              <w:t>-40.</w:t>
            </w:r>
            <w:r>
              <w:t>2</w:t>
            </w:r>
            <w:r w:rsidRPr="00223AD6">
              <w:t xml:space="preserve"> (29.8)</w:t>
            </w:r>
          </w:p>
        </w:tc>
        <w:tc>
          <w:tcPr>
            <w:tcW w:w="1589" w:type="pct"/>
            <w:vMerge/>
            <w:vAlign w:val="center"/>
          </w:tcPr>
          <w:p w14:paraId="46AA85DB" w14:textId="77777777" w:rsidR="000B6388" w:rsidRPr="0098262F" w:rsidRDefault="000B6388">
            <w:pPr>
              <w:pStyle w:val="TableText0"/>
              <w:jc w:val="center"/>
            </w:pPr>
          </w:p>
        </w:tc>
        <w:tc>
          <w:tcPr>
            <w:tcW w:w="322" w:type="pct"/>
            <w:vMerge/>
            <w:vAlign w:val="center"/>
          </w:tcPr>
          <w:p w14:paraId="16DE06BE" w14:textId="77777777" w:rsidR="000B6388" w:rsidRPr="0098262F" w:rsidRDefault="000B6388">
            <w:pPr>
              <w:pStyle w:val="TableText0"/>
              <w:jc w:val="center"/>
            </w:pPr>
          </w:p>
        </w:tc>
      </w:tr>
      <w:tr w:rsidR="000B6388" w:rsidRPr="003B54FE" w14:paraId="4CE81593" w14:textId="77777777" w:rsidTr="008D561B">
        <w:trPr>
          <w:cantSplit/>
        </w:trPr>
        <w:tc>
          <w:tcPr>
            <w:tcW w:w="5000" w:type="pct"/>
            <w:gridSpan w:val="5"/>
            <w:vAlign w:val="center"/>
          </w:tcPr>
          <w:p w14:paraId="6D861BDE" w14:textId="32C9C84A" w:rsidR="000B6388" w:rsidRPr="003B54FE" w:rsidRDefault="000B6388">
            <w:pPr>
              <w:pStyle w:val="TableText0"/>
              <w:rPr>
                <w:b/>
                <w:bCs w:val="0"/>
                <w:lang w:val="de-DE"/>
              </w:rPr>
            </w:pPr>
            <w:r w:rsidRPr="003B54FE">
              <w:rPr>
                <w:b/>
                <w:bCs w:val="0"/>
                <w:iCs/>
                <w:lang w:val="de-DE"/>
              </w:rPr>
              <w:t xml:space="preserve">Archer </w:t>
            </w:r>
            <w:r w:rsidR="0065432A" w:rsidRPr="003B54FE">
              <w:rPr>
                <w:b/>
                <w:bCs w:val="0"/>
                <w:iCs/>
                <w:lang w:val="de-DE"/>
              </w:rPr>
              <w:t xml:space="preserve">et al. </w:t>
            </w:r>
            <w:r w:rsidRPr="003B54FE">
              <w:rPr>
                <w:b/>
                <w:bCs w:val="0"/>
                <w:iCs/>
                <w:lang w:val="de-DE"/>
              </w:rPr>
              <w:t>2003</w:t>
            </w:r>
            <w:r w:rsidRPr="003B54FE">
              <w:rPr>
                <w:b/>
                <w:iCs/>
                <w:lang w:val="de-DE"/>
              </w:rPr>
              <w:t>.</w:t>
            </w:r>
            <w:r w:rsidRPr="003B54FE">
              <w:rPr>
                <w:b/>
                <w:bCs w:val="0"/>
                <w:iCs/>
                <w:lang w:val="de-DE"/>
              </w:rPr>
              <w:t xml:space="preserve"> (MITT population)</w:t>
            </w:r>
            <w:r w:rsidRPr="003B54FE">
              <w:rPr>
                <w:b/>
                <w:bCs w:val="0"/>
                <w:iCs/>
                <w:vertAlign w:val="superscript"/>
                <w:lang w:val="de-DE"/>
              </w:rPr>
              <w:t>b</w:t>
            </w:r>
          </w:p>
        </w:tc>
      </w:tr>
      <w:tr w:rsidR="000B6388" w:rsidRPr="0098262F" w14:paraId="6D22824E" w14:textId="77777777" w:rsidTr="008D561B">
        <w:trPr>
          <w:cantSplit/>
        </w:trPr>
        <w:tc>
          <w:tcPr>
            <w:tcW w:w="1059" w:type="pct"/>
            <w:vAlign w:val="center"/>
          </w:tcPr>
          <w:p w14:paraId="7E90810A" w14:textId="77777777" w:rsidR="000B6388" w:rsidRPr="00186E87" w:rsidRDefault="000B6388" w:rsidP="00B22948">
            <w:pPr>
              <w:pStyle w:val="TableFigureHeading"/>
            </w:pPr>
            <w:r w:rsidRPr="00186E87">
              <w:t>Comparator</w:t>
            </w:r>
          </w:p>
        </w:tc>
        <w:tc>
          <w:tcPr>
            <w:tcW w:w="1059" w:type="pct"/>
            <w:vAlign w:val="center"/>
          </w:tcPr>
          <w:p w14:paraId="08B35845" w14:textId="77777777" w:rsidR="000B6388" w:rsidRPr="00613FA5" w:rsidRDefault="000B6388">
            <w:pPr>
              <w:pStyle w:val="TableFigureHeading"/>
              <w:jc w:val="center"/>
              <w:rPr>
                <w:iCs/>
              </w:rPr>
            </w:pPr>
            <w:r w:rsidRPr="00186E87">
              <w:rPr>
                <w:iCs/>
              </w:rPr>
              <w:t>Estrogel 1.25 g</w:t>
            </w:r>
            <w:r>
              <w:rPr>
                <w:iCs/>
              </w:rPr>
              <w:t xml:space="preserve"> </w:t>
            </w:r>
            <w:r w:rsidRPr="00186E87">
              <w:rPr>
                <w:iCs/>
              </w:rPr>
              <w:t>N=75</w:t>
            </w:r>
          </w:p>
        </w:tc>
        <w:tc>
          <w:tcPr>
            <w:tcW w:w="971" w:type="pct"/>
            <w:vAlign w:val="center"/>
          </w:tcPr>
          <w:p w14:paraId="6FA64324" w14:textId="77777777" w:rsidR="00B22948" w:rsidRDefault="000B6388">
            <w:pPr>
              <w:pStyle w:val="TableFigureHeading"/>
              <w:jc w:val="center"/>
              <w:rPr>
                <w:iCs/>
              </w:rPr>
            </w:pPr>
            <w:r w:rsidRPr="00186E87">
              <w:rPr>
                <w:iCs/>
              </w:rPr>
              <w:t>Placebo</w:t>
            </w:r>
            <w:r>
              <w:rPr>
                <w:iCs/>
              </w:rPr>
              <w:t xml:space="preserve"> </w:t>
            </w:r>
          </w:p>
          <w:p w14:paraId="634DF773" w14:textId="524301BB" w:rsidR="000B6388" w:rsidRPr="00613FA5" w:rsidRDefault="000B6388">
            <w:pPr>
              <w:pStyle w:val="TableFigureHeading"/>
              <w:jc w:val="center"/>
              <w:rPr>
                <w:iCs/>
              </w:rPr>
            </w:pPr>
            <w:r w:rsidRPr="00186E87">
              <w:rPr>
                <w:iCs/>
              </w:rPr>
              <w:t>N=73</w:t>
            </w:r>
          </w:p>
        </w:tc>
        <w:tc>
          <w:tcPr>
            <w:tcW w:w="1589" w:type="pct"/>
            <w:vMerge w:val="restart"/>
            <w:vAlign w:val="center"/>
          </w:tcPr>
          <w:p w14:paraId="411AF34F" w14:textId="77777777" w:rsidR="000B6388" w:rsidRPr="00186E87" w:rsidRDefault="000B6388">
            <w:pPr>
              <w:pStyle w:val="TableText0"/>
              <w:jc w:val="center"/>
              <w:rPr>
                <w:b/>
              </w:rPr>
            </w:pPr>
            <w:r w:rsidRPr="00B85133">
              <w:rPr>
                <w:b/>
              </w:rPr>
              <w:t xml:space="preserve">-14.7 </w:t>
            </w:r>
            <w:r>
              <w:rPr>
                <w:b/>
              </w:rPr>
              <w:t>(</w:t>
            </w:r>
            <w:r w:rsidRPr="00B85133">
              <w:rPr>
                <w:b/>
              </w:rPr>
              <w:t>-24.9,</w:t>
            </w:r>
            <w:r>
              <w:rPr>
                <w:b/>
              </w:rPr>
              <w:t xml:space="preserve"> </w:t>
            </w:r>
            <w:r w:rsidRPr="00B85133">
              <w:rPr>
                <w:b/>
              </w:rPr>
              <w:t>-4.5)</w:t>
            </w:r>
          </w:p>
        </w:tc>
        <w:tc>
          <w:tcPr>
            <w:tcW w:w="322" w:type="pct"/>
            <w:vMerge w:val="restart"/>
            <w:vAlign w:val="center"/>
          </w:tcPr>
          <w:p w14:paraId="41F4F331" w14:textId="77777777" w:rsidR="000B6388" w:rsidRPr="00186E87" w:rsidRDefault="000B6388">
            <w:pPr>
              <w:pStyle w:val="TableText0"/>
              <w:jc w:val="center"/>
              <w:rPr>
                <w:b/>
              </w:rPr>
            </w:pPr>
            <w:r w:rsidRPr="00186E87">
              <w:rPr>
                <w:bCs w:val="0"/>
              </w:rPr>
              <w:t>5.2</w:t>
            </w:r>
          </w:p>
        </w:tc>
      </w:tr>
      <w:tr w:rsidR="000B6388" w:rsidRPr="0098262F" w14:paraId="3F7FBB8E" w14:textId="77777777" w:rsidTr="008D561B">
        <w:trPr>
          <w:cantSplit/>
        </w:trPr>
        <w:tc>
          <w:tcPr>
            <w:tcW w:w="1059" w:type="pct"/>
            <w:vAlign w:val="center"/>
          </w:tcPr>
          <w:p w14:paraId="5FEDCC91" w14:textId="77777777" w:rsidR="000B6388" w:rsidRPr="0098262F" w:rsidRDefault="000B6388">
            <w:pPr>
              <w:pStyle w:val="TableText0"/>
            </w:pPr>
            <w:r w:rsidRPr="008D7CBD">
              <w:t>n</w:t>
            </w:r>
          </w:p>
        </w:tc>
        <w:tc>
          <w:tcPr>
            <w:tcW w:w="1059" w:type="pct"/>
            <w:vAlign w:val="center"/>
          </w:tcPr>
          <w:p w14:paraId="40CDB59C" w14:textId="77777777" w:rsidR="000B6388" w:rsidRPr="0098262F" w:rsidRDefault="000B6388">
            <w:pPr>
              <w:pStyle w:val="TableText0"/>
              <w:jc w:val="center"/>
            </w:pPr>
            <w:r>
              <w:t>NR</w:t>
            </w:r>
          </w:p>
        </w:tc>
        <w:tc>
          <w:tcPr>
            <w:tcW w:w="971" w:type="pct"/>
            <w:vAlign w:val="center"/>
          </w:tcPr>
          <w:p w14:paraId="2EBD00D5" w14:textId="77777777" w:rsidR="000B6388" w:rsidRPr="0098262F" w:rsidRDefault="000B6388">
            <w:pPr>
              <w:pStyle w:val="TableText0"/>
              <w:jc w:val="center"/>
            </w:pPr>
            <w:r>
              <w:t>NR</w:t>
            </w:r>
          </w:p>
        </w:tc>
        <w:tc>
          <w:tcPr>
            <w:tcW w:w="1589" w:type="pct"/>
            <w:vMerge/>
            <w:vAlign w:val="center"/>
          </w:tcPr>
          <w:p w14:paraId="23D5B915" w14:textId="77777777" w:rsidR="000B6388" w:rsidRPr="0098262F" w:rsidRDefault="000B6388">
            <w:pPr>
              <w:pStyle w:val="TableText0"/>
              <w:jc w:val="center"/>
            </w:pPr>
          </w:p>
        </w:tc>
        <w:tc>
          <w:tcPr>
            <w:tcW w:w="322" w:type="pct"/>
            <w:vMerge/>
            <w:vAlign w:val="center"/>
          </w:tcPr>
          <w:p w14:paraId="592A1BF7" w14:textId="77777777" w:rsidR="000B6388" w:rsidRPr="0098262F" w:rsidRDefault="000B6388">
            <w:pPr>
              <w:pStyle w:val="TableText0"/>
              <w:jc w:val="center"/>
            </w:pPr>
          </w:p>
        </w:tc>
      </w:tr>
      <w:tr w:rsidR="000B6388" w:rsidRPr="0098262F" w14:paraId="43948144" w14:textId="77777777" w:rsidTr="008D561B">
        <w:trPr>
          <w:cantSplit/>
        </w:trPr>
        <w:tc>
          <w:tcPr>
            <w:tcW w:w="1059" w:type="pct"/>
            <w:vAlign w:val="center"/>
          </w:tcPr>
          <w:p w14:paraId="224B14D9" w14:textId="77777777" w:rsidR="000B6388" w:rsidRPr="0055583A" w:rsidRDefault="000B6388">
            <w:pPr>
              <w:pStyle w:val="TableText0"/>
              <w:rPr>
                <w:vertAlign w:val="superscript"/>
              </w:rPr>
            </w:pPr>
            <w:r w:rsidRPr="008D7CBD">
              <w:t>Mean baseline (SD)</w:t>
            </w:r>
            <w:r>
              <w:rPr>
                <w:vertAlign w:val="superscript"/>
              </w:rPr>
              <w:t>c</w:t>
            </w:r>
          </w:p>
        </w:tc>
        <w:tc>
          <w:tcPr>
            <w:tcW w:w="1059" w:type="pct"/>
            <w:vAlign w:val="center"/>
          </w:tcPr>
          <w:p w14:paraId="356B8FA4" w14:textId="77777777" w:rsidR="000B6388" w:rsidRPr="0098262F" w:rsidRDefault="000B6388">
            <w:pPr>
              <w:pStyle w:val="TableText0"/>
              <w:jc w:val="center"/>
            </w:pPr>
            <w:r w:rsidRPr="00506E82">
              <w:rPr>
                <w:iCs/>
              </w:rPr>
              <w:t>72.1 (21.7)</w:t>
            </w:r>
          </w:p>
        </w:tc>
        <w:tc>
          <w:tcPr>
            <w:tcW w:w="971" w:type="pct"/>
            <w:vAlign w:val="center"/>
          </w:tcPr>
          <w:p w14:paraId="7A725300" w14:textId="77777777" w:rsidR="000B6388" w:rsidRPr="0098262F" w:rsidRDefault="000B6388">
            <w:pPr>
              <w:pStyle w:val="TableText0"/>
              <w:jc w:val="center"/>
            </w:pPr>
            <w:r w:rsidRPr="00506E82">
              <w:rPr>
                <w:iCs/>
              </w:rPr>
              <w:t>77.0 (39.2)</w:t>
            </w:r>
          </w:p>
        </w:tc>
        <w:tc>
          <w:tcPr>
            <w:tcW w:w="1589" w:type="pct"/>
            <w:vMerge/>
            <w:vAlign w:val="center"/>
          </w:tcPr>
          <w:p w14:paraId="0EE731B2" w14:textId="77777777" w:rsidR="000B6388" w:rsidRPr="0098262F" w:rsidRDefault="000B6388">
            <w:pPr>
              <w:pStyle w:val="TableText0"/>
              <w:jc w:val="center"/>
            </w:pPr>
          </w:p>
        </w:tc>
        <w:tc>
          <w:tcPr>
            <w:tcW w:w="322" w:type="pct"/>
            <w:vMerge/>
            <w:vAlign w:val="center"/>
          </w:tcPr>
          <w:p w14:paraId="566A3588" w14:textId="77777777" w:rsidR="000B6388" w:rsidRPr="0098262F" w:rsidRDefault="000B6388">
            <w:pPr>
              <w:pStyle w:val="TableText0"/>
              <w:jc w:val="center"/>
            </w:pPr>
          </w:p>
        </w:tc>
      </w:tr>
      <w:tr w:rsidR="000B6388" w:rsidRPr="0098262F" w14:paraId="616FA4BF" w14:textId="77777777" w:rsidTr="008D561B">
        <w:trPr>
          <w:cantSplit/>
        </w:trPr>
        <w:tc>
          <w:tcPr>
            <w:tcW w:w="1059" w:type="pct"/>
            <w:vAlign w:val="center"/>
          </w:tcPr>
          <w:p w14:paraId="332FE5E5" w14:textId="77777777" w:rsidR="000B6388" w:rsidRPr="003A39A0" w:rsidRDefault="000B6388">
            <w:pPr>
              <w:pStyle w:val="TableText0"/>
              <w:rPr>
                <w:vertAlign w:val="superscript"/>
              </w:rPr>
            </w:pPr>
            <w:r w:rsidRPr="008D7CBD">
              <w:t>Mean change from baseline (SD)</w:t>
            </w:r>
            <w:r>
              <w:rPr>
                <w:vertAlign w:val="superscript"/>
              </w:rPr>
              <w:t>d</w:t>
            </w:r>
          </w:p>
        </w:tc>
        <w:tc>
          <w:tcPr>
            <w:tcW w:w="1059" w:type="pct"/>
            <w:vAlign w:val="center"/>
          </w:tcPr>
          <w:p w14:paraId="4F935403" w14:textId="7D081318" w:rsidR="000B6388" w:rsidRPr="007E1E93" w:rsidRDefault="000B6388">
            <w:pPr>
              <w:pStyle w:val="TableText0"/>
              <w:jc w:val="center"/>
            </w:pPr>
            <w:r w:rsidRPr="007E1E93">
              <w:t>-54.6 (SE: 3.7)</w:t>
            </w:r>
            <w:r w:rsidR="006049CD" w:rsidRPr="007E1E93">
              <w:t>*</w:t>
            </w:r>
          </w:p>
        </w:tc>
        <w:tc>
          <w:tcPr>
            <w:tcW w:w="971" w:type="pct"/>
            <w:vAlign w:val="center"/>
          </w:tcPr>
          <w:p w14:paraId="620ADE6A" w14:textId="2564F2BA" w:rsidR="000B6388" w:rsidRPr="007E1E93" w:rsidRDefault="000B6388">
            <w:pPr>
              <w:pStyle w:val="TableText0"/>
              <w:jc w:val="center"/>
            </w:pPr>
            <w:r w:rsidRPr="007E1E93">
              <w:t>-39.9 (SE: 3.6)</w:t>
            </w:r>
            <w:r w:rsidR="006049CD" w:rsidRPr="007E1E93">
              <w:t>*</w:t>
            </w:r>
          </w:p>
        </w:tc>
        <w:tc>
          <w:tcPr>
            <w:tcW w:w="1589" w:type="pct"/>
            <w:vMerge/>
            <w:vAlign w:val="center"/>
          </w:tcPr>
          <w:p w14:paraId="560374DA" w14:textId="77777777" w:rsidR="000B6388" w:rsidRPr="0098262F" w:rsidRDefault="000B6388">
            <w:pPr>
              <w:pStyle w:val="TableText0"/>
              <w:jc w:val="center"/>
            </w:pPr>
          </w:p>
        </w:tc>
        <w:tc>
          <w:tcPr>
            <w:tcW w:w="322" w:type="pct"/>
            <w:vMerge/>
            <w:vAlign w:val="center"/>
          </w:tcPr>
          <w:p w14:paraId="5DA6C20F" w14:textId="77777777" w:rsidR="000B6388" w:rsidRPr="00186E87" w:rsidRDefault="000B6388">
            <w:pPr>
              <w:pStyle w:val="TableText0"/>
              <w:jc w:val="center"/>
              <w:rPr>
                <w:bCs w:val="0"/>
              </w:rPr>
            </w:pPr>
          </w:p>
        </w:tc>
      </w:tr>
      <w:tr w:rsidR="000B6388" w:rsidRPr="0098262F" w14:paraId="5AB96E76" w14:textId="77777777" w:rsidTr="008D561B">
        <w:trPr>
          <w:cantSplit/>
        </w:trPr>
        <w:tc>
          <w:tcPr>
            <w:tcW w:w="1059" w:type="pct"/>
            <w:vAlign w:val="center"/>
          </w:tcPr>
          <w:p w14:paraId="1310116D" w14:textId="77777777" w:rsidR="000B6388" w:rsidRPr="00186E87" w:rsidRDefault="000B6388">
            <w:pPr>
              <w:pStyle w:val="TableText0"/>
              <w:jc w:val="center"/>
              <w:rPr>
                <w:b/>
                <w:bCs w:val="0"/>
              </w:rPr>
            </w:pPr>
          </w:p>
        </w:tc>
        <w:tc>
          <w:tcPr>
            <w:tcW w:w="1059" w:type="pct"/>
            <w:vAlign w:val="center"/>
          </w:tcPr>
          <w:p w14:paraId="6A79347F" w14:textId="77777777" w:rsidR="000B6388" w:rsidRPr="00613FA5" w:rsidRDefault="000B6388">
            <w:pPr>
              <w:pStyle w:val="TableFigureHeading"/>
              <w:jc w:val="center"/>
              <w:rPr>
                <w:bCs w:val="0"/>
                <w:iCs/>
              </w:rPr>
            </w:pPr>
            <w:r w:rsidRPr="00186E87">
              <w:rPr>
                <w:bCs w:val="0"/>
                <w:iCs/>
              </w:rPr>
              <w:t>Estrogel 2.5 g</w:t>
            </w:r>
            <w:r>
              <w:rPr>
                <w:bCs w:val="0"/>
                <w:iCs/>
              </w:rPr>
              <w:t xml:space="preserve"> </w:t>
            </w:r>
            <w:r w:rsidRPr="00186E87">
              <w:rPr>
                <w:bCs w:val="0"/>
                <w:iCs/>
              </w:rPr>
              <w:t>N=73</w:t>
            </w:r>
          </w:p>
        </w:tc>
        <w:tc>
          <w:tcPr>
            <w:tcW w:w="971" w:type="pct"/>
            <w:vAlign w:val="center"/>
          </w:tcPr>
          <w:p w14:paraId="1CEEF118" w14:textId="77777777" w:rsidR="00B22948" w:rsidRDefault="000B6388">
            <w:pPr>
              <w:pStyle w:val="TableFigureHeading"/>
              <w:jc w:val="center"/>
              <w:rPr>
                <w:bCs w:val="0"/>
                <w:iCs/>
              </w:rPr>
            </w:pPr>
            <w:r w:rsidRPr="00186E87">
              <w:rPr>
                <w:bCs w:val="0"/>
                <w:iCs/>
              </w:rPr>
              <w:t>Placebo</w:t>
            </w:r>
            <w:r>
              <w:rPr>
                <w:bCs w:val="0"/>
                <w:iCs/>
              </w:rPr>
              <w:t xml:space="preserve"> </w:t>
            </w:r>
          </w:p>
          <w:p w14:paraId="46DFEB4A" w14:textId="63D27C14" w:rsidR="000B6388" w:rsidRPr="00613FA5" w:rsidRDefault="000B6388">
            <w:pPr>
              <w:pStyle w:val="TableFigureHeading"/>
              <w:jc w:val="center"/>
              <w:rPr>
                <w:bCs w:val="0"/>
                <w:iCs/>
              </w:rPr>
            </w:pPr>
            <w:r w:rsidRPr="00186E87">
              <w:rPr>
                <w:bCs w:val="0"/>
                <w:iCs/>
              </w:rPr>
              <w:t>N=73</w:t>
            </w:r>
          </w:p>
        </w:tc>
        <w:tc>
          <w:tcPr>
            <w:tcW w:w="1589" w:type="pct"/>
            <w:vMerge w:val="restart"/>
            <w:vAlign w:val="center"/>
          </w:tcPr>
          <w:p w14:paraId="17525917" w14:textId="77777777" w:rsidR="000B6388" w:rsidRPr="00186E87" w:rsidRDefault="000B6388">
            <w:pPr>
              <w:pStyle w:val="TableText0"/>
              <w:jc w:val="center"/>
              <w:rPr>
                <w:b/>
                <w:bCs w:val="0"/>
                <w:i/>
                <w:iCs/>
              </w:rPr>
            </w:pPr>
            <w:r w:rsidRPr="00186E87">
              <w:rPr>
                <w:b/>
                <w:bCs w:val="0"/>
              </w:rPr>
              <w:t>-19.6 (-29.8,</w:t>
            </w:r>
            <w:r>
              <w:rPr>
                <w:b/>
                <w:bCs w:val="0"/>
              </w:rPr>
              <w:t xml:space="preserve"> </w:t>
            </w:r>
            <w:r w:rsidRPr="00186E87">
              <w:rPr>
                <w:b/>
                <w:bCs w:val="0"/>
              </w:rPr>
              <w:t>-9.4)</w:t>
            </w:r>
          </w:p>
        </w:tc>
        <w:tc>
          <w:tcPr>
            <w:tcW w:w="322" w:type="pct"/>
            <w:vMerge w:val="restart"/>
            <w:vAlign w:val="center"/>
          </w:tcPr>
          <w:p w14:paraId="4D308DB6" w14:textId="77777777" w:rsidR="000B6388" w:rsidRPr="00186E87" w:rsidRDefault="000B6388">
            <w:pPr>
              <w:pStyle w:val="TableText0"/>
              <w:jc w:val="center"/>
              <w:rPr>
                <w:b/>
                <w:bCs w:val="0"/>
              </w:rPr>
            </w:pPr>
            <w:r w:rsidRPr="00186E87">
              <w:t>5.2</w:t>
            </w:r>
          </w:p>
        </w:tc>
      </w:tr>
      <w:tr w:rsidR="000B6388" w:rsidRPr="0098262F" w14:paraId="0FC03481" w14:textId="77777777" w:rsidTr="008D561B">
        <w:trPr>
          <w:cantSplit/>
        </w:trPr>
        <w:tc>
          <w:tcPr>
            <w:tcW w:w="1059" w:type="pct"/>
            <w:vAlign w:val="center"/>
          </w:tcPr>
          <w:p w14:paraId="16CF7B90" w14:textId="77777777" w:rsidR="000B6388" w:rsidRPr="008D7CBD" w:rsidRDefault="000B6388">
            <w:pPr>
              <w:pStyle w:val="TableText0"/>
            </w:pPr>
            <w:r w:rsidRPr="008D7CBD">
              <w:t>n</w:t>
            </w:r>
          </w:p>
        </w:tc>
        <w:tc>
          <w:tcPr>
            <w:tcW w:w="1059" w:type="pct"/>
            <w:vAlign w:val="center"/>
          </w:tcPr>
          <w:p w14:paraId="30C3FCDC" w14:textId="77777777" w:rsidR="000B6388" w:rsidRDefault="000B6388">
            <w:pPr>
              <w:pStyle w:val="TableText0"/>
              <w:jc w:val="center"/>
              <w:rPr>
                <w:i/>
                <w:iCs/>
              </w:rPr>
            </w:pPr>
            <w:r>
              <w:t>NR</w:t>
            </w:r>
          </w:p>
        </w:tc>
        <w:tc>
          <w:tcPr>
            <w:tcW w:w="971" w:type="pct"/>
            <w:vAlign w:val="center"/>
          </w:tcPr>
          <w:p w14:paraId="69C84A94" w14:textId="77777777" w:rsidR="000B6388" w:rsidRDefault="000B6388">
            <w:pPr>
              <w:pStyle w:val="TableText0"/>
              <w:jc w:val="center"/>
              <w:rPr>
                <w:i/>
                <w:iCs/>
              </w:rPr>
            </w:pPr>
            <w:r>
              <w:t>NR</w:t>
            </w:r>
          </w:p>
        </w:tc>
        <w:tc>
          <w:tcPr>
            <w:tcW w:w="1589" w:type="pct"/>
            <w:vMerge/>
            <w:vAlign w:val="center"/>
          </w:tcPr>
          <w:p w14:paraId="43E1F49F" w14:textId="77777777" w:rsidR="000B6388" w:rsidRPr="00FD6404" w:rsidRDefault="000B6388">
            <w:pPr>
              <w:pStyle w:val="TableText0"/>
              <w:jc w:val="center"/>
              <w:rPr>
                <w:i/>
                <w:iCs/>
              </w:rPr>
            </w:pPr>
          </w:p>
        </w:tc>
        <w:tc>
          <w:tcPr>
            <w:tcW w:w="322" w:type="pct"/>
            <w:vMerge/>
            <w:vAlign w:val="center"/>
          </w:tcPr>
          <w:p w14:paraId="4E723DF8" w14:textId="77777777" w:rsidR="000B6388" w:rsidRPr="0098262F" w:rsidRDefault="000B6388">
            <w:pPr>
              <w:pStyle w:val="TableText0"/>
              <w:jc w:val="center"/>
            </w:pPr>
          </w:p>
        </w:tc>
      </w:tr>
      <w:tr w:rsidR="000B6388" w:rsidRPr="0098262F" w14:paraId="35746B30" w14:textId="77777777" w:rsidTr="008D561B">
        <w:trPr>
          <w:cantSplit/>
        </w:trPr>
        <w:tc>
          <w:tcPr>
            <w:tcW w:w="1059" w:type="pct"/>
            <w:vAlign w:val="center"/>
          </w:tcPr>
          <w:p w14:paraId="5BAAF16F" w14:textId="77777777" w:rsidR="000B6388" w:rsidRPr="0055583A" w:rsidRDefault="000B6388">
            <w:pPr>
              <w:pStyle w:val="TableText0"/>
              <w:rPr>
                <w:vertAlign w:val="superscript"/>
              </w:rPr>
            </w:pPr>
            <w:r w:rsidRPr="008D7CBD">
              <w:t>Mean baseline (SD)</w:t>
            </w:r>
            <w:r>
              <w:rPr>
                <w:vertAlign w:val="superscript"/>
              </w:rPr>
              <w:t>c</w:t>
            </w:r>
          </w:p>
        </w:tc>
        <w:tc>
          <w:tcPr>
            <w:tcW w:w="1059" w:type="pct"/>
            <w:vAlign w:val="center"/>
          </w:tcPr>
          <w:p w14:paraId="47FD0E7C" w14:textId="77777777" w:rsidR="000B6388" w:rsidRDefault="000B6388">
            <w:pPr>
              <w:pStyle w:val="TableText0"/>
              <w:jc w:val="center"/>
              <w:rPr>
                <w:i/>
                <w:iCs/>
              </w:rPr>
            </w:pPr>
            <w:r w:rsidRPr="00506E82">
              <w:rPr>
                <w:iCs/>
              </w:rPr>
              <w:t>73.5 (27.3)</w:t>
            </w:r>
          </w:p>
        </w:tc>
        <w:tc>
          <w:tcPr>
            <w:tcW w:w="971" w:type="pct"/>
            <w:vAlign w:val="center"/>
          </w:tcPr>
          <w:p w14:paraId="522178BF" w14:textId="77777777" w:rsidR="000B6388" w:rsidRDefault="000B6388">
            <w:pPr>
              <w:pStyle w:val="TableText0"/>
              <w:jc w:val="center"/>
              <w:rPr>
                <w:i/>
                <w:iCs/>
              </w:rPr>
            </w:pPr>
            <w:r w:rsidRPr="00506E82">
              <w:rPr>
                <w:iCs/>
              </w:rPr>
              <w:t>77.0 (39.2)</w:t>
            </w:r>
          </w:p>
        </w:tc>
        <w:tc>
          <w:tcPr>
            <w:tcW w:w="1589" w:type="pct"/>
            <w:vMerge/>
            <w:vAlign w:val="center"/>
          </w:tcPr>
          <w:p w14:paraId="69221F16" w14:textId="77777777" w:rsidR="000B6388" w:rsidRPr="00FD6404" w:rsidRDefault="000B6388">
            <w:pPr>
              <w:pStyle w:val="TableText0"/>
              <w:jc w:val="center"/>
              <w:rPr>
                <w:i/>
                <w:iCs/>
              </w:rPr>
            </w:pPr>
          </w:p>
        </w:tc>
        <w:tc>
          <w:tcPr>
            <w:tcW w:w="322" w:type="pct"/>
            <w:vMerge/>
            <w:vAlign w:val="center"/>
          </w:tcPr>
          <w:p w14:paraId="5D0F77D1" w14:textId="77777777" w:rsidR="000B6388" w:rsidRPr="0098262F" w:rsidRDefault="000B6388">
            <w:pPr>
              <w:pStyle w:val="TableText0"/>
              <w:jc w:val="center"/>
            </w:pPr>
          </w:p>
        </w:tc>
      </w:tr>
      <w:tr w:rsidR="000B6388" w:rsidRPr="0098262F" w14:paraId="69525A3D" w14:textId="77777777" w:rsidTr="008D561B">
        <w:trPr>
          <w:cantSplit/>
        </w:trPr>
        <w:tc>
          <w:tcPr>
            <w:tcW w:w="1059" w:type="pct"/>
            <w:vAlign w:val="center"/>
          </w:tcPr>
          <w:p w14:paraId="4E40D73F" w14:textId="77777777" w:rsidR="000B6388" w:rsidRPr="003A39A0" w:rsidRDefault="000B6388">
            <w:pPr>
              <w:pStyle w:val="TableText0"/>
              <w:rPr>
                <w:vertAlign w:val="superscript"/>
              </w:rPr>
            </w:pPr>
            <w:r w:rsidRPr="008D7CBD">
              <w:t>Mean change from baseline (SD)</w:t>
            </w:r>
            <w:r>
              <w:rPr>
                <w:vertAlign w:val="superscript"/>
              </w:rPr>
              <w:t>d</w:t>
            </w:r>
          </w:p>
        </w:tc>
        <w:tc>
          <w:tcPr>
            <w:tcW w:w="1059" w:type="pct"/>
            <w:vAlign w:val="center"/>
          </w:tcPr>
          <w:p w14:paraId="288E5851" w14:textId="679FD0E6" w:rsidR="000B6388" w:rsidRPr="007E1E93" w:rsidRDefault="000B6388">
            <w:pPr>
              <w:pStyle w:val="TableText0"/>
              <w:jc w:val="center"/>
            </w:pPr>
            <w:r w:rsidRPr="007E1E93">
              <w:t>-59.5 (SE: 3.7)</w:t>
            </w:r>
            <w:r w:rsidR="006049CD" w:rsidRPr="007E1E93">
              <w:t>*</w:t>
            </w:r>
          </w:p>
        </w:tc>
        <w:tc>
          <w:tcPr>
            <w:tcW w:w="971" w:type="pct"/>
            <w:vAlign w:val="center"/>
          </w:tcPr>
          <w:p w14:paraId="77DED963" w14:textId="54FBAEEC" w:rsidR="000B6388" w:rsidRPr="007E1E93" w:rsidRDefault="000B6388">
            <w:pPr>
              <w:pStyle w:val="TableText0"/>
              <w:jc w:val="center"/>
            </w:pPr>
            <w:r w:rsidRPr="007E1E93">
              <w:t>-39.9 (SE: 3.6)</w:t>
            </w:r>
            <w:r w:rsidR="006049CD" w:rsidRPr="007E1E93">
              <w:t>*</w:t>
            </w:r>
          </w:p>
        </w:tc>
        <w:tc>
          <w:tcPr>
            <w:tcW w:w="1589" w:type="pct"/>
            <w:vMerge/>
            <w:vAlign w:val="center"/>
          </w:tcPr>
          <w:p w14:paraId="3B46B37C" w14:textId="77777777" w:rsidR="000B6388" w:rsidRPr="00186E87" w:rsidRDefault="000B6388">
            <w:pPr>
              <w:pStyle w:val="TableText0"/>
              <w:jc w:val="center"/>
            </w:pPr>
          </w:p>
        </w:tc>
        <w:tc>
          <w:tcPr>
            <w:tcW w:w="322" w:type="pct"/>
            <w:vMerge/>
            <w:vAlign w:val="center"/>
          </w:tcPr>
          <w:p w14:paraId="22607417" w14:textId="77777777" w:rsidR="000B6388" w:rsidRPr="00186E87" w:rsidRDefault="000B6388">
            <w:pPr>
              <w:pStyle w:val="TableText0"/>
              <w:jc w:val="center"/>
            </w:pPr>
          </w:p>
        </w:tc>
      </w:tr>
      <w:tr w:rsidR="000B6388" w:rsidRPr="0098262F" w14:paraId="00EF8668" w14:textId="77777777" w:rsidTr="008D561B">
        <w:trPr>
          <w:cantSplit/>
        </w:trPr>
        <w:tc>
          <w:tcPr>
            <w:tcW w:w="3089" w:type="pct"/>
            <w:gridSpan w:val="3"/>
            <w:vAlign w:val="center"/>
          </w:tcPr>
          <w:p w14:paraId="175CC5BB" w14:textId="05AA6325" w:rsidR="000B6388" w:rsidRDefault="000B6388">
            <w:pPr>
              <w:pStyle w:val="TableText0"/>
              <w:jc w:val="right"/>
              <w:rPr>
                <w:i/>
                <w:iCs/>
              </w:rPr>
            </w:pPr>
            <w:r>
              <w:t>ITC between Bijuva versus Estrogel 1.25</w:t>
            </w:r>
            <w:r w:rsidR="007135A4">
              <w:t> </w:t>
            </w:r>
            <w:r>
              <w:t>g/day</w:t>
            </w:r>
          </w:p>
        </w:tc>
        <w:tc>
          <w:tcPr>
            <w:tcW w:w="1589" w:type="pct"/>
            <w:vAlign w:val="center"/>
          </w:tcPr>
          <w:p w14:paraId="5D1A5C2A" w14:textId="77777777" w:rsidR="000B6388" w:rsidRPr="004D7404" w:rsidRDefault="000B6388">
            <w:pPr>
              <w:pStyle w:val="TableText0"/>
              <w:jc w:val="center"/>
            </w:pPr>
            <w:r>
              <w:t>-1.9 (-14.1, 10.3)</w:t>
            </w:r>
          </w:p>
        </w:tc>
        <w:tc>
          <w:tcPr>
            <w:tcW w:w="322" w:type="pct"/>
            <w:vAlign w:val="center"/>
          </w:tcPr>
          <w:p w14:paraId="574EB12A" w14:textId="304D78B9" w:rsidR="000B6388" w:rsidRPr="0098262F" w:rsidRDefault="00B338BF">
            <w:pPr>
              <w:pStyle w:val="TableText0"/>
              <w:jc w:val="center"/>
            </w:pPr>
            <w:r>
              <w:t>-</w:t>
            </w:r>
          </w:p>
        </w:tc>
      </w:tr>
      <w:tr w:rsidR="000B6388" w:rsidRPr="0098262F" w14:paraId="6855A89C" w14:textId="77777777" w:rsidTr="008D561B">
        <w:trPr>
          <w:cantSplit/>
        </w:trPr>
        <w:tc>
          <w:tcPr>
            <w:tcW w:w="3089" w:type="pct"/>
            <w:gridSpan w:val="3"/>
            <w:vAlign w:val="center"/>
          </w:tcPr>
          <w:p w14:paraId="0003F7B6" w14:textId="09EFCB7F" w:rsidR="000B6388" w:rsidRDefault="000B6388">
            <w:pPr>
              <w:pStyle w:val="TableText0"/>
              <w:jc w:val="right"/>
              <w:rPr>
                <w:i/>
                <w:iCs/>
              </w:rPr>
            </w:pPr>
            <w:r>
              <w:t>ITC between Bijuva versus Estrogel 2.5</w:t>
            </w:r>
            <w:r w:rsidR="00094F0E">
              <w:t> </w:t>
            </w:r>
            <w:r>
              <w:t>g/day</w:t>
            </w:r>
          </w:p>
        </w:tc>
        <w:tc>
          <w:tcPr>
            <w:tcW w:w="1589" w:type="pct"/>
            <w:vAlign w:val="center"/>
          </w:tcPr>
          <w:p w14:paraId="3342AFE0" w14:textId="77777777" w:rsidR="000B6388" w:rsidRPr="004D7404" w:rsidRDefault="000B6388">
            <w:pPr>
              <w:pStyle w:val="TableText0"/>
              <w:jc w:val="center"/>
            </w:pPr>
            <w:r>
              <w:t>-3.0 (-9.2, 15.2)</w:t>
            </w:r>
          </w:p>
        </w:tc>
        <w:tc>
          <w:tcPr>
            <w:tcW w:w="322" w:type="pct"/>
            <w:vAlign w:val="center"/>
          </w:tcPr>
          <w:p w14:paraId="2061F08A" w14:textId="33877A8E" w:rsidR="000B6388" w:rsidRPr="0098262F" w:rsidRDefault="00B338BF">
            <w:pPr>
              <w:pStyle w:val="TableText0"/>
              <w:jc w:val="center"/>
            </w:pPr>
            <w:r>
              <w:t>-</w:t>
            </w:r>
          </w:p>
        </w:tc>
      </w:tr>
    </w:tbl>
    <w:p w14:paraId="393257A4" w14:textId="6D3D0A14" w:rsidR="000B6388" w:rsidRPr="0098262F" w:rsidRDefault="000B6388" w:rsidP="000B6388">
      <w:pPr>
        <w:pStyle w:val="FooterTableFigure"/>
        <w:rPr>
          <w:sz w:val="20"/>
        </w:rPr>
      </w:pPr>
      <w:r w:rsidRPr="0098262F">
        <w:t xml:space="preserve">Source: </w:t>
      </w:r>
      <w:r>
        <w:t xml:space="preserve">Table 2-21, p106; </w:t>
      </w:r>
      <w:r w:rsidRPr="0098262F">
        <w:t>Table</w:t>
      </w:r>
      <w:r>
        <w:t xml:space="preserve"> 2-39, p135</w:t>
      </w:r>
      <w:r w:rsidRPr="0098262F">
        <w:t xml:space="preserve"> of the submission</w:t>
      </w:r>
      <w:r w:rsidR="00E84838">
        <w:t xml:space="preserve"> main body</w:t>
      </w:r>
      <w:r w:rsidRPr="0098262F">
        <w:t>.</w:t>
      </w:r>
    </w:p>
    <w:p w14:paraId="5B5908CA" w14:textId="68CF98E4" w:rsidR="000B6388" w:rsidRDefault="000B6388" w:rsidP="000B6388">
      <w:pPr>
        <w:pStyle w:val="FooterTableFigure"/>
        <w:rPr>
          <w:rFonts w:eastAsia="Calibri"/>
        </w:rPr>
      </w:pPr>
      <w:r w:rsidRPr="0098262F">
        <w:rPr>
          <w:rFonts w:eastAsia="Calibri"/>
        </w:rPr>
        <w:t xml:space="preserve">CI = confidence interval; </w:t>
      </w:r>
      <w:r w:rsidR="00E14802">
        <w:rPr>
          <w:rFonts w:eastAsia="Calibri"/>
        </w:rPr>
        <w:t xml:space="preserve">ITC = indirect treatment comparison; </w:t>
      </w:r>
      <w:r w:rsidRPr="00E432E1">
        <w:rPr>
          <w:rFonts w:eastAsia="Calibri"/>
        </w:rPr>
        <w:t xml:space="preserve">LS = least square; MITT = modified intent to treat; </w:t>
      </w:r>
      <w:r w:rsidRPr="0098262F">
        <w:rPr>
          <w:rFonts w:eastAsia="Calibri"/>
        </w:rPr>
        <w:t xml:space="preserve">n = number of participants with event; N = total participants in group; </w:t>
      </w:r>
      <w:r>
        <w:rPr>
          <w:rFonts w:eastAsia="Calibri"/>
        </w:rPr>
        <w:t>NR = not reported;</w:t>
      </w:r>
      <w:r w:rsidRPr="00E432E1">
        <w:t xml:space="preserve"> </w:t>
      </w:r>
      <w:r w:rsidRPr="00E432E1">
        <w:rPr>
          <w:rFonts w:eastAsia="Calibri"/>
        </w:rPr>
        <w:t>SD = standard deviation; SE = standard error; VMS = vasomotor symptom</w:t>
      </w:r>
      <w:r w:rsidR="00B10B30">
        <w:rPr>
          <w:rFonts w:eastAsia="Calibri"/>
        </w:rPr>
        <w:t>s</w:t>
      </w:r>
      <w:r w:rsidRPr="00E432E1">
        <w:rPr>
          <w:rFonts w:eastAsia="Calibri"/>
        </w:rPr>
        <w:t>.</w:t>
      </w:r>
    </w:p>
    <w:p w14:paraId="01B321E7" w14:textId="30B2F448" w:rsidR="000B6388" w:rsidRDefault="000B6388" w:rsidP="000B6388">
      <w:pPr>
        <w:pStyle w:val="FooterTableFigure"/>
      </w:pPr>
      <w:r w:rsidRPr="008A3E8D">
        <w:rPr>
          <w:vertAlign w:val="superscript"/>
        </w:rPr>
        <w:t>a</w:t>
      </w:r>
      <w:r w:rsidRPr="007B5BA6">
        <w:t xml:space="preserve"> </w:t>
      </w:r>
      <w:proofErr w:type="gramStart"/>
      <w:r>
        <w:t>Mixed</w:t>
      </w:r>
      <w:proofErr w:type="gramEnd"/>
      <w:r>
        <w:t xml:space="preserve"> model repeated measure analysis (MMRM)</w:t>
      </w:r>
      <w:r w:rsidR="000239AC">
        <w:t>.</w:t>
      </w:r>
    </w:p>
    <w:p w14:paraId="50283957" w14:textId="4F023C0E" w:rsidR="000B6388" w:rsidRDefault="000B6388" w:rsidP="000B6388">
      <w:pPr>
        <w:pStyle w:val="FooterTableFigure"/>
        <w:rPr>
          <w:rFonts w:eastAsia="Calibri"/>
        </w:rPr>
      </w:pPr>
      <w:bookmarkStart w:id="26" w:name="_Hlk207612564"/>
      <w:r w:rsidRPr="00A51ADA">
        <w:rPr>
          <w:bCs/>
          <w:vertAlign w:val="superscript"/>
        </w:rPr>
        <w:t>b</w:t>
      </w:r>
      <w:r w:rsidRPr="004858E8">
        <w:rPr>
          <w:bCs/>
        </w:rPr>
        <w:t xml:space="preserve"> Analysed population is described as a modified ITT population (i.e. patients who took investigational product and had postbaseline outcome assessments). Specific N values are not reported at Week 4 and Week 12</w:t>
      </w:r>
      <w:r w:rsidR="000239AC">
        <w:rPr>
          <w:rFonts w:eastAsia="Calibri"/>
        </w:rPr>
        <w:t>.</w:t>
      </w:r>
    </w:p>
    <w:bookmarkEnd w:id="26"/>
    <w:p w14:paraId="322C8EB5" w14:textId="56F477D1" w:rsidR="000B6388" w:rsidRDefault="000B6388" w:rsidP="000B6388">
      <w:pPr>
        <w:pStyle w:val="FooterTableFigure"/>
        <w:rPr>
          <w:rFonts w:eastAsia="Calibri"/>
        </w:rPr>
      </w:pPr>
      <w:r w:rsidRPr="00A51ADA">
        <w:rPr>
          <w:rFonts w:eastAsia="Calibri"/>
          <w:vertAlign w:val="superscript"/>
        </w:rPr>
        <w:t>c</w:t>
      </w:r>
      <w:r w:rsidRPr="0055583A">
        <w:rPr>
          <w:rFonts w:eastAsia="Calibri"/>
        </w:rPr>
        <w:t xml:space="preserve"> </w:t>
      </w:r>
      <w:r w:rsidRPr="003A39A0">
        <w:rPr>
          <w:rFonts w:eastAsia="Calibri"/>
        </w:rPr>
        <w:t xml:space="preserve">Baseline values are reported as part of the patient characteristics in Archer </w:t>
      </w:r>
      <w:r w:rsidR="0065432A">
        <w:rPr>
          <w:rFonts w:eastAsia="Calibri"/>
        </w:rPr>
        <w:t>et al. (</w:t>
      </w:r>
      <w:r w:rsidRPr="003A39A0">
        <w:rPr>
          <w:rFonts w:eastAsia="Calibri"/>
        </w:rPr>
        <w:t>2003</w:t>
      </w:r>
      <w:r w:rsidR="0065432A">
        <w:rPr>
          <w:rFonts w:eastAsia="Calibri"/>
        </w:rPr>
        <w:t>)</w:t>
      </w:r>
      <w:r w:rsidRPr="003A39A0">
        <w:rPr>
          <w:rFonts w:eastAsia="Calibri"/>
        </w:rPr>
        <w:t xml:space="preserve"> which includes patients in the full randomised population, rather than specifically relating to the analysed populations </w:t>
      </w:r>
      <w:r w:rsidR="00E14250" w:rsidRPr="003A39A0">
        <w:rPr>
          <w:rFonts w:eastAsia="Calibri"/>
        </w:rPr>
        <w:t>a</w:t>
      </w:r>
      <w:r w:rsidR="00E14250">
        <w:rPr>
          <w:rFonts w:eastAsia="Calibri"/>
        </w:rPr>
        <w:t>t</w:t>
      </w:r>
      <w:r w:rsidR="00E14250" w:rsidRPr="003A39A0">
        <w:rPr>
          <w:rFonts w:eastAsia="Calibri"/>
        </w:rPr>
        <w:t xml:space="preserve"> </w:t>
      </w:r>
      <w:r w:rsidRPr="003A39A0">
        <w:rPr>
          <w:rFonts w:eastAsia="Calibri"/>
        </w:rPr>
        <w:t>Week 4 and 12.</w:t>
      </w:r>
    </w:p>
    <w:p w14:paraId="726B86E6" w14:textId="77777777" w:rsidR="000B6388" w:rsidRPr="00916256" w:rsidRDefault="000B6388" w:rsidP="000B6388">
      <w:pPr>
        <w:pStyle w:val="FooterTableFigure"/>
        <w:rPr>
          <w:rFonts w:eastAsia="Calibri"/>
        </w:rPr>
      </w:pPr>
      <w:r w:rsidRPr="00A51ADA">
        <w:rPr>
          <w:rFonts w:eastAsia="Calibri"/>
          <w:vertAlign w:val="superscript"/>
        </w:rPr>
        <w:t>d</w:t>
      </w:r>
      <w:r>
        <w:rPr>
          <w:rFonts w:eastAsia="Calibri"/>
        </w:rPr>
        <w:t xml:space="preserve"> </w:t>
      </w:r>
      <w:r w:rsidRPr="0055583A">
        <w:rPr>
          <w:rFonts w:eastAsia="Calibri"/>
        </w:rPr>
        <w:t>Weekly frequency data was estimated from the daily frequency of moderate to severe VMS as reported in Archer (2003)</w:t>
      </w:r>
    </w:p>
    <w:p w14:paraId="22231AE5" w14:textId="77777777" w:rsidR="000B6388" w:rsidRDefault="000B6388" w:rsidP="000B6388">
      <w:pPr>
        <w:pStyle w:val="FooterTableFigure"/>
        <w:rPr>
          <w:rFonts w:eastAsia="Calibri"/>
        </w:rPr>
      </w:pPr>
      <w:r w:rsidRPr="0098262F">
        <w:rPr>
          <w:rFonts w:eastAsia="Calibri"/>
          <w:b/>
          <w:bCs/>
        </w:rPr>
        <w:t>Bold</w:t>
      </w:r>
      <w:r w:rsidRPr="0098262F">
        <w:rPr>
          <w:rFonts w:eastAsia="Calibri"/>
        </w:rPr>
        <w:t xml:space="preserve"> indicates statistically significant results.</w:t>
      </w:r>
    </w:p>
    <w:p w14:paraId="37CB880D" w14:textId="70D6C2BF" w:rsidR="000B6388" w:rsidRDefault="007E1E93" w:rsidP="000B6388">
      <w:pPr>
        <w:pStyle w:val="FooterTableFigure"/>
        <w:rPr>
          <w:rStyle w:val="CommentReference"/>
          <w:b w:val="0"/>
          <w:sz w:val="18"/>
          <w:szCs w:val="18"/>
        </w:rPr>
      </w:pPr>
      <w:r>
        <w:rPr>
          <w:rStyle w:val="CommentReference"/>
          <w:b w:val="0"/>
          <w:i/>
          <w:iCs/>
          <w:sz w:val="18"/>
          <w:szCs w:val="18"/>
        </w:rPr>
        <w:t>*</w:t>
      </w:r>
      <w:proofErr w:type="gramStart"/>
      <w:r w:rsidR="000B6388" w:rsidRPr="00F65CF0">
        <w:rPr>
          <w:rStyle w:val="CommentReference"/>
          <w:b w:val="0"/>
          <w:sz w:val="18"/>
          <w:szCs w:val="18"/>
        </w:rPr>
        <w:t>added</w:t>
      </w:r>
      <w:proofErr w:type="gramEnd"/>
      <w:r w:rsidR="000B6388">
        <w:rPr>
          <w:rStyle w:val="CommentReference"/>
          <w:b w:val="0"/>
          <w:sz w:val="18"/>
          <w:szCs w:val="18"/>
        </w:rPr>
        <w:t xml:space="preserve"> </w:t>
      </w:r>
      <w:r w:rsidR="000B6388" w:rsidRPr="00F65CF0">
        <w:rPr>
          <w:rStyle w:val="CommentReference"/>
          <w:b w:val="0"/>
          <w:sz w:val="18"/>
          <w:szCs w:val="18"/>
        </w:rPr>
        <w:t xml:space="preserve">based on </w:t>
      </w:r>
      <w:r w:rsidR="000B6388" w:rsidRPr="00706D99">
        <w:rPr>
          <w:rStyle w:val="CommentReference"/>
          <w:b w:val="0"/>
          <w:sz w:val="18"/>
          <w:szCs w:val="18"/>
        </w:rPr>
        <w:t>Attachment 5</w:t>
      </w:r>
      <w:r w:rsidR="000B6388" w:rsidRPr="00F65CF0">
        <w:rPr>
          <w:rStyle w:val="CommentReference"/>
          <w:b w:val="0"/>
          <w:sz w:val="18"/>
          <w:szCs w:val="18"/>
        </w:rPr>
        <w:t xml:space="preserve"> to the submission</w:t>
      </w:r>
    </w:p>
    <w:p w14:paraId="162F31CB" w14:textId="77777777" w:rsidR="000B6388" w:rsidRDefault="000B6388" w:rsidP="000B6388">
      <w:pPr>
        <w:pStyle w:val="FooterTableFigure"/>
        <w:rPr>
          <w:rStyle w:val="CommentReference"/>
          <w:b w:val="0"/>
          <w:sz w:val="18"/>
          <w:szCs w:val="18"/>
        </w:rPr>
      </w:pPr>
    </w:p>
    <w:p w14:paraId="08BECA64" w14:textId="040021F9" w:rsidR="004F091D" w:rsidRPr="004F091D" w:rsidRDefault="000B6388" w:rsidP="00B22948">
      <w:pPr>
        <w:pStyle w:val="3-BodyText"/>
        <w:rPr>
          <w:rStyle w:val="CommentReference"/>
          <w:rFonts w:asciiTheme="minorHAnsi" w:hAnsiTheme="minorHAnsi" w:cstheme="minorHAnsi"/>
          <w:b w:val="0"/>
          <w:i/>
          <w:iCs/>
          <w:sz w:val="24"/>
          <w:szCs w:val="24"/>
        </w:rPr>
      </w:pPr>
      <w:r>
        <w:rPr>
          <w:rStyle w:val="CommentReference"/>
          <w:rFonts w:asciiTheme="minorHAnsi" w:hAnsiTheme="minorHAnsi" w:cstheme="minorHAnsi"/>
          <w:b w:val="0"/>
          <w:sz w:val="24"/>
          <w:szCs w:val="24"/>
        </w:rPr>
        <w:t xml:space="preserve">In REPLENISH, Bijuva demonstrated a </w:t>
      </w:r>
      <w:r w:rsidRPr="007E1E93">
        <w:rPr>
          <w:rStyle w:val="CommentReference"/>
          <w:rFonts w:asciiTheme="minorHAnsi" w:hAnsiTheme="minorHAnsi" w:cstheme="minorHAnsi"/>
          <w:b w:val="0"/>
          <w:sz w:val="24"/>
          <w:szCs w:val="24"/>
        </w:rPr>
        <w:t>statistically</w:t>
      </w:r>
      <w:r>
        <w:rPr>
          <w:rStyle w:val="CommentReference"/>
          <w:rFonts w:asciiTheme="minorHAnsi" w:hAnsiTheme="minorHAnsi" w:cstheme="minorHAnsi"/>
          <w:b w:val="0"/>
          <w:sz w:val="24"/>
          <w:szCs w:val="24"/>
        </w:rPr>
        <w:t xml:space="preserve"> significant reduction in the mean weekly frequency of moderate to severe VMS from baseline to Week 12, compared to placebo, </w:t>
      </w:r>
      <w:r w:rsidRPr="005451CD">
        <w:rPr>
          <w:rStyle w:val="CommentReference"/>
          <w:rFonts w:asciiTheme="minorHAnsi" w:hAnsiTheme="minorHAnsi" w:cstheme="minorHAnsi"/>
          <w:b w:val="0"/>
          <w:sz w:val="24"/>
          <w:szCs w:val="24"/>
        </w:rPr>
        <w:t xml:space="preserve">with </w:t>
      </w:r>
      <w:r w:rsidR="00B22948">
        <w:rPr>
          <w:rStyle w:val="CommentReference"/>
          <w:rFonts w:asciiTheme="minorHAnsi" w:hAnsiTheme="minorHAnsi" w:cstheme="minorHAnsi"/>
          <w:b w:val="0"/>
          <w:sz w:val="24"/>
          <w:szCs w:val="24"/>
        </w:rPr>
        <w:t>least square (LS)</w:t>
      </w:r>
      <w:r w:rsidRPr="005451CD">
        <w:rPr>
          <w:rStyle w:val="CommentReference"/>
          <w:rFonts w:asciiTheme="minorHAnsi" w:hAnsiTheme="minorHAnsi" w:cstheme="minorHAnsi"/>
          <w:b w:val="0"/>
          <w:sz w:val="24"/>
          <w:szCs w:val="24"/>
        </w:rPr>
        <w:t xml:space="preserve"> mean change of -16.6 (95% </w:t>
      </w:r>
      <w:r w:rsidR="007D3E74">
        <w:rPr>
          <w:rStyle w:val="CommentReference"/>
          <w:rFonts w:asciiTheme="minorHAnsi" w:hAnsiTheme="minorHAnsi" w:cstheme="minorHAnsi"/>
          <w:b w:val="0"/>
          <w:sz w:val="24"/>
          <w:szCs w:val="24"/>
        </w:rPr>
        <w:t>confidence interval [</w:t>
      </w:r>
      <w:r w:rsidRPr="005451CD">
        <w:rPr>
          <w:rStyle w:val="CommentReference"/>
          <w:rFonts w:asciiTheme="minorHAnsi" w:hAnsiTheme="minorHAnsi" w:cstheme="minorHAnsi"/>
          <w:b w:val="0"/>
          <w:sz w:val="24"/>
          <w:szCs w:val="24"/>
        </w:rPr>
        <w:t>CI</w:t>
      </w:r>
      <w:r w:rsidR="007D3E74">
        <w:rPr>
          <w:rStyle w:val="CommentReference"/>
          <w:rFonts w:asciiTheme="minorHAnsi" w:hAnsiTheme="minorHAnsi" w:cstheme="minorHAnsi"/>
          <w:b w:val="0"/>
          <w:sz w:val="24"/>
          <w:szCs w:val="24"/>
        </w:rPr>
        <w:t>]</w:t>
      </w:r>
      <w:r w:rsidRPr="005451CD">
        <w:rPr>
          <w:rStyle w:val="CommentReference"/>
          <w:rFonts w:asciiTheme="minorHAnsi" w:hAnsiTheme="minorHAnsi" w:cstheme="minorHAnsi"/>
          <w:b w:val="0"/>
          <w:sz w:val="24"/>
          <w:szCs w:val="24"/>
        </w:rPr>
        <w:t>: -</w:t>
      </w:r>
      <w:r w:rsidR="00D968BC">
        <w:rPr>
          <w:rStyle w:val="CommentReference"/>
          <w:rFonts w:asciiTheme="minorHAnsi" w:hAnsiTheme="minorHAnsi" w:cstheme="minorHAnsi"/>
          <w:b w:val="0"/>
          <w:sz w:val="24"/>
          <w:szCs w:val="24"/>
        </w:rPr>
        <w:t> </w:t>
      </w:r>
      <w:r w:rsidRPr="005451CD">
        <w:rPr>
          <w:rStyle w:val="CommentReference"/>
          <w:rFonts w:asciiTheme="minorHAnsi" w:hAnsiTheme="minorHAnsi" w:cstheme="minorHAnsi"/>
          <w:b w:val="0"/>
          <w:sz w:val="24"/>
          <w:szCs w:val="24"/>
        </w:rPr>
        <w:t>23.3, -9.8)</w:t>
      </w:r>
      <w:r w:rsidR="00B22948">
        <w:rPr>
          <w:rStyle w:val="CommentReference"/>
          <w:rFonts w:asciiTheme="minorHAnsi" w:hAnsiTheme="minorHAnsi" w:cstheme="minorHAnsi"/>
          <w:b w:val="0"/>
          <w:sz w:val="24"/>
          <w:szCs w:val="24"/>
        </w:rPr>
        <w:t xml:space="preserve">. </w:t>
      </w:r>
    </w:p>
    <w:p w14:paraId="721948F5" w14:textId="0308BA6C" w:rsidR="00B22948" w:rsidRPr="004B410D" w:rsidRDefault="00B22948" w:rsidP="00B22948">
      <w:pPr>
        <w:pStyle w:val="3-BodyText"/>
        <w:rPr>
          <w:rStyle w:val="CommentReference"/>
          <w:rFonts w:asciiTheme="minorHAnsi" w:hAnsiTheme="minorHAnsi" w:cstheme="minorHAnsi"/>
          <w:b w:val="0"/>
          <w:sz w:val="24"/>
          <w:szCs w:val="24"/>
        </w:rPr>
      </w:pPr>
      <w:r w:rsidRPr="008C5A6C">
        <w:rPr>
          <w:rStyle w:val="CommentReference"/>
          <w:rFonts w:asciiTheme="minorHAnsi" w:hAnsiTheme="minorHAnsi" w:cstheme="minorHAnsi"/>
          <w:b w:val="0"/>
          <w:sz w:val="24"/>
          <w:szCs w:val="24"/>
        </w:rPr>
        <w:t xml:space="preserve">The submission claimed that the level of improvement seen in the primary outcome with Bijuva was clinically meaningful, with a 75% change from baseline (from </w:t>
      </w:r>
      <w:r w:rsidRPr="00E94FFD">
        <w:rPr>
          <w:rStyle w:val="CommentReference"/>
          <w:rFonts w:asciiTheme="minorHAnsi" w:hAnsiTheme="minorHAnsi" w:cstheme="minorHAnsi"/>
          <w:b w:val="0"/>
          <w:sz w:val="24"/>
          <w:szCs w:val="24"/>
        </w:rPr>
        <w:t>7</w:t>
      </w:r>
      <w:r w:rsidR="00E94FFD" w:rsidRPr="00E94FFD">
        <w:rPr>
          <w:rStyle w:val="CommentReference"/>
          <w:rFonts w:asciiTheme="minorHAnsi" w:hAnsiTheme="minorHAnsi" w:cstheme="minorHAnsi"/>
          <w:b w:val="0"/>
          <w:sz w:val="24"/>
          <w:szCs w:val="24"/>
        </w:rPr>
        <w:t>2</w:t>
      </w:r>
      <w:r w:rsidRPr="00E94FFD">
        <w:rPr>
          <w:rStyle w:val="CommentReference"/>
          <w:rFonts w:asciiTheme="minorHAnsi" w:hAnsiTheme="minorHAnsi" w:cstheme="minorHAnsi"/>
          <w:b w:val="0"/>
          <w:sz w:val="24"/>
          <w:szCs w:val="24"/>
        </w:rPr>
        <w:t>.</w:t>
      </w:r>
      <w:r w:rsidR="00E94FFD" w:rsidRPr="00E94FFD">
        <w:rPr>
          <w:rStyle w:val="CommentReference"/>
          <w:rFonts w:asciiTheme="minorHAnsi" w:hAnsiTheme="minorHAnsi" w:cstheme="minorHAnsi"/>
          <w:b w:val="0"/>
          <w:sz w:val="24"/>
          <w:szCs w:val="24"/>
        </w:rPr>
        <w:t>2</w:t>
      </w:r>
      <w:r w:rsidRPr="008C5A6C">
        <w:rPr>
          <w:rStyle w:val="CommentReference"/>
          <w:rFonts w:asciiTheme="minorHAnsi" w:hAnsiTheme="minorHAnsi" w:cstheme="minorHAnsi"/>
          <w:b w:val="0"/>
          <w:sz w:val="24"/>
          <w:szCs w:val="24"/>
        </w:rPr>
        <w:t xml:space="preserve"> moderate to severe VMS at baseline, reducing to 17.1 at week 12). The submission cited Butt et al. (2007) that a mean 50% improvement was identified as being clinically meaningful. </w:t>
      </w:r>
      <w:r w:rsidRPr="004B410D">
        <w:rPr>
          <w:rStyle w:val="CommentReference"/>
          <w:rFonts w:asciiTheme="minorHAnsi" w:hAnsiTheme="minorHAnsi" w:cstheme="minorHAnsi"/>
          <w:b w:val="0"/>
          <w:sz w:val="24"/>
          <w:szCs w:val="24"/>
        </w:rPr>
        <w:t xml:space="preserve">This estimate was uncertain as </w:t>
      </w:r>
      <w:r w:rsidR="004E1FA8" w:rsidRPr="004B410D">
        <w:rPr>
          <w:rStyle w:val="CommentReference"/>
          <w:rFonts w:asciiTheme="minorHAnsi" w:hAnsiTheme="minorHAnsi" w:cstheme="minorHAnsi"/>
          <w:b w:val="0"/>
          <w:sz w:val="24"/>
          <w:szCs w:val="24"/>
        </w:rPr>
        <w:t xml:space="preserve">that </w:t>
      </w:r>
      <w:r w:rsidRPr="004B410D">
        <w:t xml:space="preserve">study reported a wide CI </w:t>
      </w:r>
      <w:r w:rsidR="00320767" w:rsidRPr="004B410D">
        <w:t>(</w:t>
      </w:r>
      <w:r w:rsidRPr="004B410D">
        <w:t xml:space="preserve">32-66%), which </w:t>
      </w:r>
      <w:r w:rsidR="00F670F2" w:rsidRPr="004B410D">
        <w:t xml:space="preserve">was </w:t>
      </w:r>
      <w:r w:rsidRPr="004B410D">
        <w:t>regarded clinically meaningful, and was based on a small sample size (N=17) from a single centre, limiting the generalisability of its findings.</w:t>
      </w:r>
    </w:p>
    <w:p w14:paraId="7F28A2F6" w14:textId="184D51C0" w:rsidR="008C5A6C" w:rsidRPr="008C5A6C" w:rsidRDefault="00D35CA9" w:rsidP="008C5A6C">
      <w:pPr>
        <w:pStyle w:val="3-BodyText"/>
        <w:rPr>
          <w:rStyle w:val="CommentReference"/>
          <w:rFonts w:asciiTheme="minorHAnsi" w:hAnsiTheme="minorHAnsi" w:cstheme="minorHAnsi"/>
          <w:b w:val="0"/>
          <w:i/>
          <w:iCs/>
          <w:sz w:val="24"/>
          <w:szCs w:val="24"/>
        </w:rPr>
      </w:pPr>
      <w:r w:rsidRPr="004B410D">
        <w:rPr>
          <w:rStyle w:val="CommentReference"/>
          <w:rFonts w:asciiTheme="minorHAnsi" w:hAnsiTheme="minorHAnsi" w:cstheme="minorHAnsi"/>
          <w:b w:val="0"/>
          <w:sz w:val="24"/>
          <w:szCs w:val="24"/>
        </w:rPr>
        <w:t>In addition, the submission proposed a minimal clinically important difference (MCID) of -25</w:t>
      </w:r>
      <w:r w:rsidRPr="004B410D">
        <w:t xml:space="preserve"> </w:t>
      </w:r>
      <w:r w:rsidRPr="004B410D">
        <w:rPr>
          <w:rStyle w:val="CommentReference"/>
          <w:rFonts w:asciiTheme="minorHAnsi" w:hAnsiTheme="minorHAnsi" w:cstheme="minorHAnsi"/>
          <w:b w:val="0"/>
          <w:sz w:val="24"/>
          <w:szCs w:val="24"/>
        </w:rPr>
        <w:t xml:space="preserve">for the change from baseline in the frequency of weekly moderate to severe VMS. This was based on a clinical meaningfulness analysis </w:t>
      </w:r>
      <w:r w:rsidR="00E4399F" w:rsidRPr="004B410D">
        <w:rPr>
          <w:rStyle w:val="CommentReference"/>
          <w:rFonts w:asciiTheme="minorHAnsi" w:hAnsiTheme="minorHAnsi" w:cstheme="minorHAnsi"/>
          <w:b w:val="0"/>
          <w:sz w:val="24"/>
          <w:szCs w:val="24"/>
        </w:rPr>
        <w:t>of the</w:t>
      </w:r>
      <w:r w:rsidRPr="004B410D">
        <w:rPr>
          <w:rStyle w:val="CommentReference"/>
          <w:rFonts w:asciiTheme="minorHAnsi" w:hAnsiTheme="minorHAnsi" w:cstheme="minorHAnsi"/>
          <w:b w:val="0"/>
          <w:sz w:val="24"/>
          <w:szCs w:val="24"/>
        </w:rPr>
        <w:t xml:space="preserve"> REPLENISH</w:t>
      </w:r>
      <w:r w:rsidR="00E070CF">
        <w:rPr>
          <w:rStyle w:val="CommentReference"/>
          <w:rFonts w:asciiTheme="minorHAnsi" w:hAnsiTheme="minorHAnsi" w:cstheme="minorHAnsi"/>
          <w:b w:val="0"/>
          <w:sz w:val="24"/>
          <w:szCs w:val="24"/>
        </w:rPr>
        <w:t xml:space="preserve"> trial</w:t>
      </w:r>
      <w:r w:rsidRPr="004B410D">
        <w:rPr>
          <w:rStyle w:val="CommentReference"/>
          <w:rFonts w:asciiTheme="minorHAnsi" w:hAnsiTheme="minorHAnsi" w:cstheme="minorHAnsi"/>
          <w:b w:val="0"/>
          <w:sz w:val="24"/>
          <w:szCs w:val="24"/>
        </w:rPr>
        <w:t xml:space="preserve">, based on the Clinical Global Impression (CGI) improvement. Using the CGI improvement of “minimally improved” versus “much or very much improved”, a </w:t>
      </w:r>
      <w:r w:rsidRPr="004B410D">
        <w:rPr>
          <w:rStyle w:val="CommentReference"/>
          <w:rFonts w:asciiTheme="minorHAnsi" w:hAnsiTheme="minorHAnsi" w:cstheme="minorHAnsi"/>
          <w:b w:val="0"/>
          <w:sz w:val="24"/>
          <w:szCs w:val="24"/>
        </w:rPr>
        <w:lastRenderedPageBreak/>
        <w:t>decrease of 36 (at Week 4) to 39 (at Week 12) in the frequency of moderate to severe VMS was considered meaningful. The submission argued that the MCID of -25 can be utilised as a reasonable non-inferiority margin. This was un</w:t>
      </w:r>
      <w:r w:rsidR="008C5A6C" w:rsidRPr="004B410D">
        <w:rPr>
          <w:rStyle w:val="CommentReference"/>
          <w:rFonts w:asciiTheme="minorHAnsi" w:hAnsiTheme="minorHAnsi" w:cstheme="minorHAnsi"/>
          <w:b w:val="0"/>
          <w:sz w:val="24"/>
          <w:szCs w:val="24"/>
        </w:rPr>
        <w:t>certain as the non-inferiority margin of -25 between Bijuva and placebo was determined post-hoc</w:t>
      </w:r>
      <w:r w:rsidR="000B1C4E" w:rsidRPr="004B410D">
        <w:rPr>
          <w:rStyle w:val="CommentReference"/>
          <w:rFonts w:asciiTheme="minorHAnsi" w:hAnsiTheme="minorHAnsi" w:cstheme="minorHAnsi"/>
          <w:b w:val="0"/>
          <w:sz w:val="24"/>
          <w:szCs w:val="24"/>
        </w:rPr>
        <w:t xml:space="preserve"> rather than pre-specified</w:t>
      </w:r>
      <w:r w:rsidR="008C5A6C" w:rsidRPr="004B410D">
        <w:rPr>
          <w:rStyle w:val="CommentReference"/>
          <w:rFonts w:asciiTheme="minorHAnsi" w:hAnsiTheme="minorHAnsi" w:cstheme="minorHAnsi"/>
          <w:b w:val="0"/>
          <w:sz w:val="24"/>
          <w:szCs w:val="24"/>
        </w:rPr>
        <w:t>.</w:t>
      </w:r>
      <w:r w:rsidRPr="00D35CA9">
        <w:rPr>
          <w:rStyle w:val="CommentReference"/>
          <w:rFonts w:asciiTheme="minorHAnsi" w:hAnsiTheme="minorHAnsi" w:cstheme="minorHAnsi"/>
          <w:b w:val="0"/>
          <w:i/>
          <w:iCs/>
          <w:sz w:val="24"/>
          <w:szCs w:val="24"/>
        </w:rPr>
        <w:t xml:space="preserve"> </w:t>
      </w:r>
    </w:p>
    <w:p w14:paraId="19192F4A" w14:textId="77777777" w:rsidR="00E70B3A" w:rsidRPr="00E70B3A" w:rsidRDefault="000B6388">
      <w:pPr>
        <w:pStyle w:val="3-BodyText"/>
        <w:rPr>
          <w:rStyle w:val="CommentReference"/>
          <w:rFonts w:asciiTheme="minorHAnsi" w:hAnsiTheme="minorHAnsi" w:cstheme="minorHAnsi"/>
          <w:b w:val="0"/>
          <w:i/>
          <w:iCs/>
          <w:sz w:val="24"/>
          <w:szCs w:val="24"/>
        </w:rPr>
      </w:pPr>
      <w:r w:rsidRPr="000B1C4E">
        <w:rPr>
          <w:rStyle w:val="CommentReference"/>
          <w:rFonts w:asciiTheme="minorHAnsi" w:hAnsiTheme="minorHAnsi" w:cstheme="minorHAnsi"/>
          <w:b w:val="0"/>
          <w:sz w:val="24"/>
          <w:szCs w:val="24"/>
        </w:rPr>
        <w:t xml:space="preserve">In Archer et al. (2003), Estrogel 1.25 g and 2.5 g showed a </w:t>
      </w:r>
      <w:r w:rsidRPr="007E1E93">
        <w:rPr>
          <w:rStyle w:val="CommentReference"/>
          <w:rFonts w:asciiTheme="minorHAnsi" w:hAnsiTheme="minorHAnsi" w:cstheme="minorHAnsi"/>
          <w:b w:val="0"/>
          <w:sz w:val="24"/>
          <w:szCs w:val="24"/>
        </w:rPr>
        <w:t xml:space="preserve">statistically </w:t>
      </w:r>
      <w:r w:rsidRPr="000B1C4E">
        <w:rPr>
          <w:rStyle w:val="CommentReference"/>
          <w:rFonts w:asciiTheme="minorHAnsi" w:hAnsiTheme="minorHAnsi" w:cstheme="minorHAnsi"/>
          <w:b w:val="0"/>
          <w:sz w:val="24"/>
          <w:szCs w:val="24"/>
        </w:rPr>
        <w:t>significant reduction in the mean weekly frequency of moderate to severe VMS from baseline to Week 12, compared to placebo.</w:t>
      </w:r>
      <w:r w:rsidR="000B1C4E" w:rsidRPr="000B1C4E">
        <w:rPr>
          <w:rStyle w:val="CommentReference"/>
          <w:rFonts w:asciiTheme="minorHAnsi" w:hAnsiTheme="minorHAnsi" w:cstheme="minorHAnsi"/>
          <w:b w:val="0"/>
          <w:sz w:val="24"/>
          <w:szCs w:val="24"/>
        </w:rPr>
        <w:t xml:space="preserve"> </w:t>
      </w:r>
    </w:p>
    <w:p w14:paraId="1FC5079C" w14:textId="1A325CA7" w:rsidR="000B6388" w:rsidRPr="008C62B2" w:rsidRDefault="000B1C4E">
      <w:pPr>
        <w:pStyle w:val="3-BodyText"/>
        <w:rPr>
          <w:rStyle w:val="CommentReference"/>
          <w:rFonts w:asciiTheme="minorHAnsi" w:hAnsiTheme="minorHAnsi" w:cstheme="minorHAnsi"/>
          <w:b w:val="0"/>
          <w:i/>
          <w:iCs/>
          <w:sz w:val="24"/>
          <w:szCs w:val="24"/>
        </w:rPr>
      </w:pPr>
      <w:r>
        <w:rPr>
          <w:rStyle w:val="CommentReference"/>
          <w:rFonts w:asciiTheme="minorHAnsi" w:hAnsiTheme="minorHAnsi" w:cstheme="minorHAnsi"/>
          <w:b w:val="0"/>
          <w:sz w:val="24"/>
          <w:szCs w:val="24"/>
        </w:rPr>
        <w:t xml:space="preserve">The </w:t>
      </w:r>
      <w:r w:rsidR="000B6388" w:rsidRPr="000B1C4E">
        <w:rPr>
          <w:rStyle w:val="CommentReference"/>
          <w:rFonts w:asciiTheme="minorHAnsi" w:hAnsiTheme="minorHAnsi" w:cstheme="minorHAnsi"/>
          <w:b w:val="0"/>
          <w:sz w:val="24"/>
          <w:szCs w:val="24"/>
        </w:rPr>
        <w:t>ITC results showed no significant differences in the weekly frequency of moderate to severe VMS, comparing Bijuva to Estrogel 1.25 g and 2.5 g</w:t>
      </w:r>
      <w:r w:rsidR="002C16FE" w:rsidRPr="000B1C4E">
        <w:rPr>
          <w:rStyle w:val="CommentReference"/>
          <w:rFonts w:asciiTheme="minorHAnsi" w:hAnsiTheme="minorHAnsi" w:cstheme="minorHAnsi"/>
          <w:b w:val="0"/>
          <w:sz w:val="24"/>
          <w:szCs w:val="24"/>
        </w:rPr>
        <w:t>.</w:t>
      </w:r>
      <w:r w:rsidR="000B6388" w:rsidRPr="000B1C4E">
        <w:rPr>
          <w:rStyle w:val="CommentReference"/>
          <w:rFonts w:asciiTheme="minorHAnsi" w:hAnsiTheme="minorHAnsi" w:cstheme="minorHAnsi"/>
          <w:b w:val="0"/>
          <w:sz w:val="24"/>
          <w:szCs w:val="24"/>
        </w:rPr>
        <w:t xml:space="preserve"> </w:t>
      </w:r>
    </w:p>
    <w:p w14:paraId="02115676" w14:textId="1AC12BF6" w:rsidR="008C62B2" w:rsidRPr="00D56078" w:rsidRDefault="008C62B2">
      <w:pPr>
        <w:pStyle w:val="3-BodyText"/>
        <w:rPr>
          <w:rStyle w:val="CommentReference"/>
          <w:rFonts w:asciiTheme="minorHAnsi" w:hAnsiTheme="minorHAnsi"/>
          <w:b w:val="0"/>
          <w:iCs/>
          <w:sz w:val="24"/>
          <w:szCs w:val="24"/>
        </w:rPr>
      </w:pPr>
      <w:r w:rsidRPr="00D56078">
        <w:rPr>
          <w:rStyle w:val="CommentReference"/>
          <w:rFonts w:asciiTheme="minorHAnsi" w:hAnsiTheme="minorHAnsi"/>
          <w:b w:val="0"/>
          <w:iCs/>
          <w:sz w:val="24"/>
          <w:szCs w:val="24"/>
        </w:rPr>
        <w:t xml:space="preserve">The ESC noted that </w:t>
      </w:r>
      <w:r w:rsidR="00FC72BD" w:rsidRPr="00D56078">
        <w:rPr>
          <w:rStyle w:val="CommentReference"/>
          <w:rFonts w:asciiTheme="minorHAnsi" w:hAnsiTheme="minorHAnsi"/>
          <w:b w:val="0"/>
          <w:iCs/>
          <w:sz w:val="24"/>
          <w:szCs w:val="24"/>
        </w:rPr>
        <w:t>the</w:t>
      </w:r>
      <w:r w:rsidR="001F5277" w:rsidRPr="00D56078">
        <w:rPr>
          <w:rStyle w:val="CommentReference"/>
          <w:rFonts w:asciiTheme="minorHAnsi" w:hAnsiTheme="minorHAnsi"/>
          <w:b w:val="0"/>
          <w:iCs/>
          <w:sz w:val="24"/>
          <w:szCs w:val="24"/>
        </w:rPr>
        <w:t xml:space="preserve"> findings in the REPLENISH </w:t>
      </w:r>
      <w:r w:rsidR="0006660F" w:rsidRPr="00D56078">
        <w:rPr>
          <w:rStyle w:val="CommentReference"/>
          <w:rFonts w:asciiTheme="minorHAnsi" w:hAnsiTheme="minorHAnsi"/>
          <w:b w:val="0"/>
          <w:iCs/>
          <w:sz w:val="24"/>
          <w:szCs w:val="24"/>
        </w:rPr>
        <w:t>trial</w:t>
      </w:r>
      <w:r w:rsidR="007F4AB1" w:rsidRPr="00D56078">
        <w:rPr>
          <w:rStyle w:val="CommentReference"/>
          <w:rFonts w:asciiTheme="minorHAnsi" w:hAnsiTheme="minorHAnsi"/>
          <w:b w:val="0"/>
          <w:iCs/>
          <w:sz w:val="24"/>
          <w:szCs w:val="24"/>
        </w:rPr>
        <w:t xml:space="preserve"> demonstrated that Bijuva improved VMS compared to placebo. </w:t>
      </w:r>
      <w:r w:rsidR="0082410A" w:rsidRPr="00D56078">
        <w:rPr>
          <w:rStyle w:val="CommentReference"/>
          <w:rFonts w:asciiTheme="minorHAnsi" w:hAnsiTheme="minorHAnsi"/>
          <w:b w:val="0"/>
          <w:iCs/>
          <w:sz w:val="24"/>
          <w:szCs w:val="24"/>
        </w:rPr>
        <w:t xml:space="preserve">The ESC also noted that </w:t>
      </w:r>
      <w:r w:rsidR="00A80F48" w:rsidRPr="00D56078">
        <w:rPr>
          <w:rStyle w:val="CommentReference"/>
          <w:rFonts w:asciiTheme="minorHAnsi" w:hAnsiTheme="minorHAnsi"/>
          <w:b w:val="0"/>
          <w:iCs/>
          <w:sz w:val="24"/>
          <w:szCs w:val="24"/>
        </w:rPr>
        <w:t xml:space="preserve">Bijuva reduced VMS symptoms </w:t>
      </w:r>
      <w:r w:rsidR="00B266BC" w:rsidRPr="00D56078">
        <w:rPr>
          <w:rStyle w:val="CommentReference"/>
          <w:rFonts w:asciiTheme="minorHAnsi" w:hAnsiTheme="minorHAnsi"/>
          <w:b w:val="0"/>
          <w:iCs/>
          <w:sz w:val="24"/>
          <w:szCs w:val="24"/>
        </w:rPr>
        <w:t>to a similar extent to both Estrogel 1.25 g and 2.5 g, demonstrating that Bijuva had non-inferior efficacy to</w:t>
      </w:r>
      <w:r w:rsidR="00155CA3" w:rsidRPr="00D56078">
        <w:rPr>
          <w:rStyle w:val="CommentReference"/>
          <w:rFonts w:asciiTheme="minorHAnsi" w:hAnsiTheme="minorHAnsi"/>
          <w:b w:val="0"/>
          <w:iCs/>
          <w:sz w:val="24"/>
          <w:szCs w:val="24"/>
        </w:rPr>
        <w:t xml:space="preserve"> the lower dose</w:t>
      </w:r>
      <w:r w:rsidR="00B266BC" w:rsidRPr="00D56078">
        <w:rPr>
          <w:rStyle w:val="CommentReference"/>
          <w:rFonts w:asciiTheme="minorHAnsi" w:hAnsiTheme="minorHAnsi"/>
          <w:b w:val="0"/>
          <w:iCs/>
          <w:sz w:val="24"/>
          <w:szCs w:val="24"/>
        </w:rPr>
        <w:t xml:space="preserve"> </w:t>
      </w:r>
      <w:r w:rsidR="00155CA3" w:rsidRPr="00D56078">
        <w:rPr>
          <w:rStyle w:val="CommentReference"/>
          <w:rFonts w:asciiTheme="minorHAnsi" w:hAnsiTheme="minorHAnsi"/>
          <w:b w:val="0"/>
          <w:iCs/>
          <w:sz w:val="24"/>
          <w:szCs w:val="24"/>
        </w:rPr>
        <w:t>(1 pump [1.25 g]) of Estrogel</w:t>
      </w:r>
      <w:r w:rsidR="000F4F29" w:rsidRPr="00D56078">
        <w:rPr>
          <w:rStyle w:val="CommentReference"/>
          <w:rFonts w:asciiTheme="minorHAnsi" w:hAnsiTheme="minorHAnsi"/>
          <w:b w:val="0"/>
          <w:iCs/>
          <w:sz w:val="24"/>
          <w:szCs w:val="24"/>
        </w:rPr>
        <w:t xml:space="preserve"> as well as the h</w:t>
      </w:r>
      <w:r w:rsidR="00C22935" w:rsidRPr="00D56078">
        <w:rPr>
          <w:rStyle w:val="CommentReference"/>
          <w:rFonts w:asciiTheme="minorHAnsi" w:hAnsiTheme="minorHAnsi"/>
          <w:b w:val="0"/>
          <w:iCs/>
          <w:sz w:val="24"/>
          <w:szCs w:val="24"/>
        </w:rPr>
        <w:t>igher dose (2.5 g)</w:t>
      </w:r>
      <w:r w:rsidR="00155CA3" w:rsidRPr="00D56078">
        <w:rPr>
          <w:rStyle w:val="CommentReference"/>
          <w:rFonts w:asciiTheme="minorHAnsi" w:hAnsiTheme="minorHAnsi"/>
          <w:b w:val="0"/>
          <w:iCs/>
          <w:sz w:val="24"/>
          <w:szCs w:val="24"/>
        </w:rPr>
        <w:t>.</w:t>
      </w:r>
    </w:p>
    <w:p w14:paraId="64C1B2C7" w14:textId="474FB36B" w:rsidR="000B6388" w:rsidRDefault="000B6388" w:rsidP="000B6388">
      <w:pPr>
        <w:pStyle w:val="3-BodyText"/>
        <w:rPr>
          <w:rStyle w:val="CommentReference"/>
          <w:rFonts w:asciiTheme="minorHAnsi" w:hAnsiTheme="minorHAnsi" w:cstheme="minorHAnsi"/>
          <w:b w:val="0"/>
          <w:i/>
          <w:iCs/>
          <w:sz w:val="24"/>
          <w:szCs w:val="24"/>
        </w:rPr>
      </w:pPr>
      <w:r w:rsidRPr="00C11DE1">
        <w:rPr>
          <w:rStyle w:val="CommentReference"/>
          <w:rFonts w:asciiTheme="minorHAnsi" w:hAnsiTheme="minorHAnsi" w:cstheme="minorHAnsi"/>
          <w:b w:val="0"/>
          <w:sz w:val="24"/>
          <w:szCs w:val="24"/>
        </w:rPr>
        <w:t>The submission claimed that the frequency of hot flushes symptoms varied among patients, resulting in a wide 95% CI for treatment differences; however, the magnitude of the mean difference was small, which supported the claim of non-inferiority.</w:t>
      </w:r>
      <w:r w:rsidRPr="00C11DE1">
        <w:rPr>
          <w:rStyle w:val="CommentReference"/>
          <w:rFonts w:asciiTheme="minorHAnsi" w:hAnsiTheme="minorHAnsi" w:cstheme="minorHAnsi"/>
          <w:b w:val="0"/>
          <w:i/>
          <w:iCs/>
          <w:sz w:val="24"/>
          <w:szCs w:val="24"/>
        </w:rPr>
        <w:t xml:space="preserve"> </w:t>
      </w:r>
      <w:r w:rsidRPr="007E1E93">
        <w:rPr>
          <w:rStyle w:val="CommentReference"/>
          <w:rFonts w:asciiTheme="minorHAnsi" w:hAnsiTheme="minorHAnsi" w:cstheme="minorHAnsi"/>
          <w:b w:val="0"/>
          <w:sz w:val="24"/>
          <w:szCs w:val="24"/>
        </w:rPr>
        <w:t xml:space="preserve">This was reasonable; however, </w:t>
      </w:r>
      <w:bookmarkStart w:id="27" w:name="_Hlk207788781"/>
      <w:r w:rsidR="000B1C4E" w:rsidRPr="007E1E93">
        <w:rPr>
          <w:rStyle w:val="CommentReference"/>
          <w:rFonts w:asciiTheme="minorHAnsi" w:hAnsiTheme="minorHAnsi" w:cstheme="minorHAnsi"/>
          <w:b w:val="0"/>
          <w:sz w:val="24"/>
          <w:szCs w:val="24"/>
        </w:rPr>
        <w:t>no pre-specified non-inferiority margin was available to evaluate the claim</w:t>
      </w:r>
      <w:r w:rsidRPr="007E1E93">
        <w:rPr>
          <w:rStyle w:val="CommentReference"/>
          <w:rFonts w:asciiTheme="minorHAnsi" w:hAnsiTheme="minorHAnsi" w:cstheme="minorHAnsi"/>
          <w:b w:val="0"/>
          <w:sz w:val="24"/>
          <w:szCs w:val="24"/>
        </w:rPr>
        <w:t>.</w:t>
      </w:r>
    </w:p>
    <w:p w14:paraId="7420BCFF" w14:textId="121866D0" w:rsidR="008461F8" w:rsidRPr="004B410D" w:rsidRDefault="00506803" w:rsidP="000B6388">
      <w:pPr>
        <w:pStyle w:val="3-BodyText"/>
        <w:rPr>
          <w:rStyle w:val="CommentReference"/>
          <w:rFonts w:asciiTheme="minorHAnsi" w:hAnsiTheme="minorHAnsi" w:cstheme="minorHAnsi"/>
          <w:b w:val="0"/>
          <w:sz w:val="24"/>
          <w:szCs w:val="24"/>
        </w:rPr>
      </w:pPr>
      <w:bookmarkStart w:id="28" w:name="_Ref207965689"/>
      <w:r w:rsidRPr="004B410D">
        <w:rPr>
          <w:rStyle w:val="CommentReference"/>
          <w:rFonts w:asciiTheme="minorHAnsi" w:hAnsiTheme="minorHAnsi" w:cstheme="minorHAnsi"/>
          <w:b w:val="0"/>
          <w:sz w:val="24"/>
          <w:szCs w:val="24"/>
        </w:rPr>
        <w:t xml:space="preserve">The efficacy differences between Bijuva (REPLENISH) and Estrogel (Archer et al. 2003) must be interpreted cautiously given population </w:t>
      </w:r>
      <w:r w:rsidR="00ED3DE3" w:rsidRPr="004B410D">
        <w:rPr>
          <w:rStyle w:val="CommentReference"/>
          <w:rFonts w:asciiTheme="minorHAnsi" w:hAnsiTheme="minorHAnsi" w:cstheme="minorHAnsi"/>
          <w:b w:val="0"/>
          <w:sz w:val="24"/>
          <w:szCs w:val="24"/>
        </w:rPr>
        <w:t>differences (</w:t>
      </w:r>
      <w:r w:rsidR="00664C45" w:rsidRPr="004B410D">
        <w:rPr>
          <w:rStyle w:val="CommentReference"/>
          <w:rFonts w:asciiTheme="minorHAnsi" w:hAnsiTheme="minorHAnsi" w:cstheme="minorHAnsi"/>
          <w:b w:val="0"/>
          <w:sz w:val="24"/>
          <w:szCs w:val="24"/>
        </w:rPr>
        <w:t xml:space="preserve">women with intact uterus in REPLENISH but </w:t>
      </w:r>
      <w:r w:rsidR="00907159" w:rsidRPr="004B410D">
        <w:rPr>
          <w:rStyle w:val="CommentReference"/>
          <w:rFonts w:asciiTheme="minorHAnsi" w:hAnsiTheme="minorHAnsi" w:cstheme="minorHAnsi"/>
          <w:b w:val="0"/>
          <w:sz w:val="24"/>
          <w:szCs w:val="24"/>
        </w:rPr>
        <w:t xml:space="preserve">women with and without </w:t>
      </w:r>
      <w:r w:rsidR="00ED3DE3" w:rsidRPr="004B410D">
        <w:rPr>
          <w:rStyle w:val="CommentReference"/>
          <w:rFonts w:asciiTheme="minorHAnsi" w:hAnsiTheme="minorHAnsi" w:cstheme="minorHAnsi"/>
          <w:b w:val="0"/>
          <w:sz w:val="24"/>
          <w:szCs w:val="24"/>
        </w:rPr>
        <w:t xml:space="preserve">uterus </w:t>
      </w:r>
      <w:r w:rsidR="00907159" w:rsidRPr="004B410D">
        <w:rPr>
          <w:rStyle w:val="CommentReference"/>
          <w:rFonts w:asciiTheme="minorHAnsi" w:hAnsiTheme="minorHAnsi" w:cstheme="minorHAnsi"/>
          <w:b w:val="0"/>
          <w:sz w:val="24"/>
          <w:szCs w:val="24"/>
        </w:rPr>
        <w:t>in Archer et al. 2003,</w:t>
      </w:r>
      <w:r w:rsidR="00325212" w:rsidRPr="004B410D">
        <w:rPr>
          <w:rStyle w:val="CommentReference"/>
          <w:rFonts w:asciiTheme="minorHAnsi" w:hAnsiTheme="minorHAnsi" w:cstheme="minorHAnsi"/>
          <w:b w:val="0"/>
          <w:sz w:val="24"/>
          <w:szCs w:val="24"/>
        </w:rPr>
        <w:t xml:space="preserve"> and</w:t>
      </w:r>
      <w:r w:rsidR="00ED3DE3" w:rsidRPr="004B410D">
        <w:rPr>
          <w:rStyle w:val="CommentReference"/>
          <w:rFonts w:asciiTheme="minorHAnsi" w:hAnsiTheme="minorHAnsi" w:cstheme="minorHAnsi"/>
          <w:b w:val="0"/>
          <w:sz w:val="24"/>
          <w:szCs w:val="24"/>
        </w:rPr>
        <w:t xml:space="preserve"> </w:t>
      </w:r>
      <w:r w:rsidR="00CF7052" w:rsidRPr="004B410D">
        <w:rPr>
          <w:rStyle w:val="CommentReference"/>
          <w:rFonts w:asciiTheme="minorHAnsi" w:hAnsiTheme="minorHAnsi" w:cstheme="minorHAnsi"/>
          <w:b w:val="0"/>
          <w:sz w:val="24"/>
          <w:szCs w:val="24"/>
        </w:rPr>
        <w:t xml:space="preserve">different inclusion criteria for </w:t>
      </w:r>
      <w:r w:rsidR="00ED3DE3" w:rsidRPr="004B410D">
        <w:rPr>
          <w:rStyle w:val="CommentReference"/>
          <w:rFonts w:asciiTheme="minorHAnsi" w:hAnsiTheme="minorHAnsi" w:cstheme="minorHAnsi"/>
          <w:b w:val="0"/>
          <w:sz w:val="24"/>
          <w:szCs w:val="24"/>
        </w:rPr>
        <w:t>baseline estradiol level)</w:t>
      </w:r>
      <w:r w:rsidR="00D76586" w:rsidRPr="004B410D">
        <w:rPr>
          <w:rStyle w:val="CommentReference"/>
          <w:rFonts w:asciiTheme="minorHAnsi" w:hAnsiTheme="minorHAnsi" w:cstheme="minorHAnsi"/>
          <w:b w:val="0"/>
          <w:sz w:val="24"/>
          <w:szCs w:val="24"/>
        </w:rPr>
        <w:t xml:space="preserve"> (</w:t>
      </w:r>
      <w:r w:rsidR="00D76586" w:rsidRPr="00B63C41">
        <w:rPr>
          <w:rStyle w:val="CommentReference"/>
          <w:rFonts w:asciiTheme="minorHAnsi" w:hAnsiTheme="minorHAnsi" w:cstheme="minorHAnsi"/>
          <w:b w:val="0"/>
          <w:sz w:val="24"/>
          <w:szCs w:val="24"/>
        </w:rPr>
        <w:t xml:space="preserve">for further details refer paragraph </w:t>
      </w:r>
      <w:r w:rsidR="00A16DA8" w:rsidRPr="00B63C41">
        <w:rPr>
          <w:rStyle w:val="CommentReference"/>
          <w:rFonts w:asciiTheme="minorHAnsi" w:hAnsiTheme="minorHAnsi" w:cstheme="minorHAnsi"/>
          <w:b w:val="0"/>
          <w:sz w:val="24"/>
          <w:szCs w:val="24"/>
        </w:rPr>
        <w:fldChar w:fldCharType="begin"/>
      </w:r>
      <w:r w:rsidR="00A16DA8" w:rsidRPr="00B63C41">
        <w:rPr>
          <w:rStyle w:val="CommentReference"/>
          <w:rFonts w:asciiTheme="minorHAnsi" w:hAnsiTheme="minorHAnsi" w:cstheme="minorHAnsi"/>
          <w:b w:val="0"/>
          <w:sz w:val="24"/>
          <w:szCs w:val="24"/>
        </w:rPr>
        <w:instrText xml:space="preserve"> REF _Ref208238979 \r \h </w:instrText>
      </w:r>
      <w:r w:rsidR="004B410D" w:rsidRPr="00B63C41">
        <w:rPr>
          <w:rStyle w:val="CommentReference"/>
          <w:rFonts w:asciiTheme="minorHAnsi" w:hAnsiTheme="minorHAnsi" w:cstheme="minorHAnsi"/>
          <w:b w:val="0"/>
          <w:sz w:val="24"/>
          <w:szCs w:val="24"/>
        </w:rPr>
        <w:instrText xml:space="preserve"> \* MERGEFORMAT </w:instrText>
      </w:r>
      <w:r w:rsidR="00A16DA8" w:rsidRPr="00B63C41">
        <w:rPr>
          <w:rStyle w:val="CommentReference"/>
          <w:rFonts w:asciiTheme="minorHAnsi" w:hAnsiTheme="minorHAnsi" w:cstheme="minorHAnsi"/>
          <w:b w:val="0"/>
          <w:sz w:val="24"/>
          <w:szCs w:val="24"/>
        </w:rPr>
      </w:r>
      <w:r w:rsidR="00A16DA8" w:rsidRPr="00B63C41">
        <w:rPr>
          <w:rStyle w:val="CommentReference"/>
          <w:rFonts w:asciiTheme="minorHAnsi" w:hAnsiTheme="minorHAnsi" w:cstheme="minorHAnsi"/>
          <w:b w:val="0"/>
          <w:sz w:val="24"/>
          <w:szCs w:val="24"/>
        </w:rPr>
        <w:fldChar w:fldCharType="separate"/>
      </w:r>
      <w:r w:rsidR="00724077">
        <w:rPr>
          <w:rStyle w:val="CommentReference"/>
          <w:rFonts w:asciiTheme="minorHAnsi" w:hAnsiTheme="minorHAnsi" w:cstheme="minorHAnsi"/>
          <w:b w:val="0"/>
          <w:sz w:val="24"/>
          <w:szCs w:val="24"/>
        </w:rPr>
        <w:t>6.15</w:t>
      </w:r>
      <w:r w:rsidR="00A16DA8" w:rsidRPr="00B63C41">
        <w:rPr>
          <w:rStyle w:val="CommentReference"/>
          <w:rFonts w:asciiTheme="minorHAnsi" w:hAnsiTheme="minorHAnsi" w:cstheme="minorHAnsi"/>
          <w:b w:val="0"/>
          <w:sz w:val="24"/>
          <w:szCs w:val="24"/>
        </w:rPr>
        <w:fldChar w:fldCharType="end"/>
      </w:r>
      <w:r w:rsidR="00D76586" w:rsidRPr="00B63C41">
        <w:rPr>
          <w:rStyle w:val="CommentReference"/>
          <w:rFonts w:asciiTheme="minorHAnsi" w:hAnsiTheme="minorHAnsi" w:cstheme="minorHAnsi"/>
          <w:b w:val="0"/>
          <w:sz w:val="24"/>
          <w:szCs w:val="24"/>
        </w:rPr>
        <w:fldChar w:fldCharType="begin"/>
      </w:r>
      <w:r w:rsidR="00D76586" w:rsidRPr="00B63C41">
        <w:rPr>
          <w:rStyle w:val="CommentReference"/>
          <w:rFonts w:asciiTheme="minorHAnsi" w:hAnsiTheme="minorHAnsi" w:cstheme="minorHAnsi"/>
          <w:b w:val="0"/>
          <w:sz w:val="24"/>
          <w:szCs w:val="24"/>
        </w:rPr>
        <w:instrText xml:space="preserve"> REF _Ref207883988 \r \h </w:instrText>
      </w:r>
      <w:r w:rsidR="004B410D" w:rsidRPr="00B63C41">
        <w:rPr>
          <w:rStyle w:val="CommentReference"/>
          <w:rFonts w:asciiTheme="minorHAnsi" w:hAnsiTheme="minorHAnsi" w:cstheme="minorHAnsi"/>
          <w:b w:val="0"/>
          <w:sz w:val="24"/>
          <w:szCs w:val="24"/>
        </w:rPr>
        <w:instrText xml:space="preserve"> \* MERGEFORMAT </w:instrText>
      </w:r>
      <w:r w:rsidR="00D76586" w:rsidRPr="00B63C41">
        <w:rPr>
          <w:rStyle w:val="CommentReference"/>
          <w:rFonts w:asciiTheme="minorHAnsi" w:hAnsiTheme="minorHAnsi" w:cstheme="minorHAnsi"/>
          <w:b w:val="0"/>
          <w:sz w:val="24"/>
          <w:szCs w:val="24"/>
        </w:rPr>
      </w:r>
      <w:r w:rsidR="00D76586" w:rsidRPr="00B63C41">
        <w:rPr>
          <w:rStyle w:val="CommentReference"/>
          <w:rFonts w:asciiTheme="minorHAnsi" w:hAnsiTheme="minorHAnsi" w:cstheme="minorHAnsi"/>
          <w:b w:val="0"/>
          <w:sz w:val="24"/>
          <w:szCs w:val="24"/>
        </w:rPr>
        <w:fldChar w:fldCharType="separate"/>
      </w:r>
      <w:r w:rsidR="00724077">
        <w:rPr>
          <w:rStyle w:val="CommentReference"/>
          <w:rFonts w:asciiTheme="minorHAnsi" w:hAnsiTheme="minorHAnsi" w:cstheme="minorHAnsi"/>
          <w:b w:val="0"/>
          <w:sz w:val="24"/>
          <w:szCs w:val="24"/>
        </w:rPr>
        <w:t>6.14</w:t>
      </w:r>
      <w:r w:rsidR="00D76586" w:rsidRPr="00B63C41">
        <w:rPr>
          <w:rStyle w:val="CommentReference"/>
          <w:rFonts w:asciiTheme="minorHAnsi" w:hAnsiTheme="minorHAnsi" w:cstheme="minorHAnsi"/>
          <w:b w:val="0"/>
          <w:sz w:val="24"/>
          <w:szCs w:val="24"/>
        </w:rPr>
        <w:fldChar w:fldCharType="end"/>
      </w:r>
      <w:r w:rsidR="00D76586" w:rsidRPr="00B63C41">
        <w:rPr>
          <w:rStyle w:val="CommentReference"/>
          <w:rFonts w:asciiTheme="minorHAnsi" w:hAnsiTheme="minorHAnsi" w:cstheme="minorHAnsi"/>
          <w:b w:val="0"/>
          <w:sz w:val="24"/>
          <w:szCs w:val="24"/>
        </w:rPr>
        <w:t>)</w:t>
      </w:r>
      <w:r w:rsidR="00325212" w:rsidRPr="00B63C41">
        <w:rPr>
          <w:rStyle w:val="CommentReference"/>
          <w:rFonts w:asciiTheme="minorHAnsi" w:hAnsiTheme="minorHAnsi" w:cstheme="minorHAnsi"/>
          <w:b w:val="0"/>
          <w:sz w:val="24"/>
          <w:szCs w:val="24"/>
        </w:rPr>
        <w:t>.</w:t>
      </w:r>
      <w:bookmarkEnd w:id="28"/>
    </w:p>
    <w:bookmarkEnd w:id="27"/>
    <w:p w14:paraId="261A78CB" w14:textId="418F5312" w:rsidR="009E41EA" w:rsidRPr="009E41EA" w:rsidRDefault="000B6388" w:rsidP="009E41EA">
      <w:pPr>
        <w:pStyle w:val="3-BodyText"/>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fldChar w:fldCharType="begin"/>
      </w:r>
      <w:r>
        <w:rPr>
          <w:rStyle w:val="CommentReference"/>
          <w:rFonts w:asciiTheme="minorHAnsi" w:hAnsiTheme="minorHAnsi" w:cstheme="minorHAnsi"/>
          <w:b w:val="0"/>
          <w:sz w:val="24"/>
          <w:szCs w:val="24"/>
        </w:rPr>
        <w:instrText xml:space="preserve"> REF _Ref207122591 \h </w:instrText>
      </w:r>
      <w:r>
        <w:rPr>
          <w:rStyle w:val="CommentReference"/>
          <w:rFonts w:asciiTheme="minorHAnsi" w:hAnsiTheme="minorHAnsi" w:cstheme="minorHAnsi"/>
          <w:b w:val="0"/>
          <w:sz w:val="24"/>
          <w:szCs w:val="24"/>
        </w:rPr>
      </w:r>
      <w:r>
        <w:rPr>
          <w:rStyle w:val="CommentReference"/>
          <w:rFonts w:asciiTheme="minorHAnsi" w:hAnsiTheme="minorHAnsi" w:cstheme="minorHAnsi"/>
          <w:b w:val="0"/>
          <w:sz w:val="24"/>
          <w:szCs w:val="24"/>
        </w:rPr>
        <w:fldChar w:fldCharType="separate"/>
      </w:r>
      <w:r w:rsidR="00724077" w:rsidRPr="0098262F">
        <w:t xml:space="preserve">Table </w:t>
      </w:r>
      <w:r w:rsidR="00724077">
        <w:rPr>
          <w:noProof/>
        </w:rPr>
        <w:t>5</w:t>
      </w:r>
      <w:r>
        <w:rPr>
          <w:rStyle w:val="CommentReference"/>
          <w:rFonts w:asciiTheme="minorHAnsi" w:hAnsiTheme="minorHAnsi" w:cstheme="minorHAnsi"/>
          <w:b w:val="0"/>
          <w:sz w:val="24"/>
          <w:szCs w:val="24"/>
        </w:rPr>
        <w:fldChar w:fldCharType="end"/>
      </w:r>
      <w:r w:rsidRPr="00E36E99">
        <w:rPr>
          <w:rStyle w:val="CommentReference"/>
          <w:rFonts w:asciiTheme="minorHAnsi" w:hAnsiTheme="minorHAnsi" w:cstheme="minorHAnsi"/>
          <w:b w:val="0"/>
          <w:sz w:val="24"/>
          <w:szCs w:val="24"/>
        </w:rPr>
        <w:t xml:space="preserve"> presents the change</w:t>
      </w:r>
      <w:r w:rsidR="00320767">
        <w:rPr>
          <w:rStyle w:val="CommentReference"/>
          <w:rFonts w:asciiTheme="minorHAnsi" w:hAnsiTheme="minorHAnsi" w:cstheme="minorHAnsi"/>
          <w:b w:val="0"/>
          <w:sz w:val="24"/>
          <w:szCs w:val="24"/>
        </w:rPr>
        <w:t xml:space="preserve"> from baseline to Week 12</w:t>
      </w:r>
      <w:r w:rsidRPr="00E36E99">
        <w:rPr>
          <w:rStyle w:val="CommentReference"/>
          <w:rFonts w:asciiTheme="minorHAnsi" w:hAnsiTheme="minorHAnsi" w:cstheme="minorHAnsi"/>
          <w:b w:val="0"/>
          <w:sz w:val="24"/>
          <w:szCs w:val="24"/>
        </w:rPr>
        <w:t xml:space="preserve"> in </w:t>
      </w:r>
      <w:r>
        <w:rPr>
          <w:rStyle w:val="CommentReference"/>
          <w:rFonts w:asciiTheme="minorHAnsi" w:hAnsiTheme="minorHAnsi" w:cstheme="minorHAnsi"/>
          <w:b w:val="0"/>
          <w:sz w:val="24"/>
          <w:szCs w:val="24"/>
        </w:rPr>
        <w:t>severity of mild, moderate and severe</w:t>
      </w:r>
      <w:r w:rsidRPr="00E36E99">
        <w:rPr>
          <w:rStyle w:val="CommentReference"/>
          <w:rFonts w:asciiTheme="minorHAnsi" w:hAnsiTheme="minorHAnsi" w:cstheme="minorHAnsi"/>
          <w:b w:val="0"/>
          <w:sz w:val="24"/>
          <w:szCs w:val="24"/>
        </w:rPr>
        <w:t xml:space="preserve"> VMS for Bijuva</w:t>
      </w:r>
      <w:r w:rsidR="009E41EA">
        <w:rPr>
          <w:rStyle w:val="CommentReference"/>
          <w:rFonts w:asciiTheme="minorHAnsi" w:hAnsiTheme="minorHAnsi" w:cstheme="minorHAnsi"/>
          <w:b w:val="0"/>
          <w:sz w:val="24"/>
          <w:szCs w:val="24"/>
        </w:rPr>
        <w:t xml:space="preserve"> (MITT-VMS population)</w:t>
      </w:r>
      <w:r w:rsidRPr="00E36E99">
        <w:rPr>
          <w:rStyle w:val="CommentReference"/>
          <w:rFonts w:asciiTheme="minorHAnsi" w:hAnsiTheme="minorHAnsi" w:cstheme="minorHAnsi"/>
          <w:b w:val="0"/>
          <w:sz w:val="24"/>
          <w:szCs w:val="24"/>
        </w:rPr>
        <w:t xml:space="preserve"> and Estrogel</w:t>
      </w:r>
      <w:r w:rsidR="009E41EA">
        <w:rPr>
          <w:rStyle w:val="CommentReference"/>
          <w:rFonts w:asciiTheme="minorHAnsi" w:hAnsiTheme="minorHAnsi" w:cstheme="minorHAnsi"/>
          <w:b w:val="0"/>
          <w:sz w:val="24"/>
          <w:szCs w:val="24"/>
        </w:rPr>
        <w:t xml:space="preserve"> (MITT population)</w:t>
      </w:r>
      <w:r w:rsidR="009E41EA" w:rsidRPr="009E41EA">
        <w:rPr>
          <w:rStyle w:val="CommentReference"/>
          <w:rFonts w:asciiTheme="minorHAnsi" w:hAnsiTheme="minorHAnsi" w:cstheme="minorHAnsi"/>
          <w:b w:val="0"/>
          <w:sz w:val="24"/>
          <w:szCs w:val="24"/>
        </w:rPr>
        <w:t xml:space="preserve">, along with the results of the placebo-anchored unadjusted ITC. </w:t>
      </w:r>
    </w:p>
    <w:p w14:paraId="3BC3EF10" w14:textId="552C7D3A" w:rsidR="000B6388" w:rsidRPr="0098262F" w:rsidRDefault="000B6388" w:rsidP="000732C9">
      <w:pPr>
        <w:pStyle w:val="TableFigureHeading"/>
        <w:jc w:val="both"/>
        <w:rPr>
          <w:rStyle w:val="CommentReference"/>
          <w:b/>
          <w:szCs w:val="24"/>
        </w:rPr>
      </w:pPr>
      <w:bookmarkStart w:id="29" w:name="_Ref207122591"/>
      <w:r w:rsidRPr="0098262F">
        <w:lastRenderedPageBreak/>
        <w:t xml:space="preserve">Table </w:t>
      </w:r>
      <w:r w:rsidR="003A0CC2">
        <w:fldChar w:fldCharType="begin"/>
      </w:r>
      <w:r w:rsidR="003A0CC2">
        <w:instrText xml:space="preserve"> SEQ Table \* ARABIC </w:instrText>
      </w:r>
      <w:r w:rsidR="003A0CC2">
        <w:fldChar w:fldCharType="separate"/>
      </w:r>
      <w:r w:rsidR="00724077">
        <w:rPr>
          <w:noProof/>
        </w:rPr>
        <w:t>5</w:t>
      </w:r>
      <w:r w:rsidR="003A0CC2">
        <w:rPr>
          <w:noProof/>
        </w:rPr>
        <w:fldChar w:fldCharType="end"/>
      </w:r>
      <w:bookmarkEnd w:id="29"/>
      <w:r w:rsidRPr="0098262F">
        <w:t>:</w:t>
      </w:r>
      <w:r w:rsidRPr="0098262F">
        <w:rPr>
          <w:rStyle w:val="CommentReference"/>
          <w:b/>
          <w:szCs w:val="24"/>
        </w:rPr>
        <w:t xml:space="preserve"> Results of </w:t>
      </w:r>
      <w:r>
        <w:rPr>
          <w:rStyle w:val="CommentReference"/>
          <w:b/>
          <w:szCs w:val="24"/>
        </w:rPr>
        <w:t>change from baseline to Week 12 in the severity of VMS (mild, moderate and severe)* in REPLENISH and Archer et al. (2003)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change from baseline to Week 12 in the severity of VMS (mild, moderate and severe)* in REPLENISH and Archer et al. (2003)"/>
      </w:tblPr>
      <w:tblGrid>
        <w:gridCol w:w="2829"/>
        <w:gridCol w:w="1843"/>
        <w:gridCol w:w="1843"/>
        <w:gridCol w:w="1984"/>
        <w:gridCol w:w="518"/>
      </w:tblGrid>
      <w:tr w:rsidR="000B6388" w:rsidRPr="0098262F" w14:paraId="0C4B67F5" w14:textId="77777777" w:rsidTr="00A6567C">
        <w:trPr>
          <w:cantSplit/>
          <w:tblHeader/>
        </w:trPr>
        <w:tc>
          <w:tcPr>
            <w:tcW w:w="1569" w:type="pct"/>
            <w:vAlign w:val="center"/>
          </w:tcPr>
          <w:p w14:paraId="66B71C8A" w14:textId="77777777" w:rsidR="000B6388" w:rsidRPr="0098262F" w:rsidRDefault="000B6388">
            <w:pPr>
              <w:pStyle w:val="TableFigureHeading"/>
              <w:jc w:val="center"/>
            </w:pPr>
            <w:r>
              <w:t>Intervention</w:t>
            </w:r>
          </w:p>
        </w:tc>
        <w:tc>
          <w:tcPr>
            <w:tcW w:w="1022" w:type="pct"/>
            <w:vAlign w:val="center"/>
          </w:tcPr>
          <w:p w14:paraId="19CED145" w14:textId="77777777" w:rsidR="000B6388" w:rsidRPr="0098262F" w:rsidRDefault="000B6388">
            <w:pPr>
              <w:pStyle w:val="TableFigureHeading"/>
              <w:jc w:val="center"/>
            </w:pPr>
            <w:r>
              <w:t>Bijuva</w:t>
            </w:r>
          </w:p>
          <w:p w14:paraId="2E3F1690" w14:textId="77777777" w:rsidR="000B6388" w:rsidRPr="0098262F" w:rsidRDefault="000B6388">
            <w:pPr>
              <w:pStyle w:val="TableFigureHeading"/>
              <w:jc w:val="center"/>
            </w:pPr>
            <w:r>
              <w:t>N=141</w:t>
            </w:r>
          </w:p>
        </w:tc>
        <w:tc>
          <w:tcPr>
            <w:tcW w:w="1022" w:type="pct"/>
            <w:vAlign w:val="center"/>
          </w:tcPr>
          <w:p w14:paraId="45516BA1" w14:textId="77777777" w:rsidR="000B6388" w:rsidRPr="0098262F" w:rsidRDefault="000B6388">
            <w:pPr>
              <w:pStyle w:val="TableFigureHeading"/>
              <w:jc w:val="center"/>
            </w:pPr>
            <w:r>
              <w:t>Placebo</w:t>
            </w:r>
          </w:p>
          <w:p w14:paraId="5F9AC6BE" w14:textId="77777777" w:rsidR="000B6388" w:rsidRPr="0098262F" w:rsidRDefault="000B6388">
            <w:pPr>
              <w:pStyle w:val="TableFigureHeading"/>
              <w:jc w:val="center"/>
            </w:pPr>
            <w:r>
              <w:t>N=135</w:t>
            </w:r>
          </w:p>
        </w:tc>
        <w:tc>
          <w:tcPr>
            <w:tcW w:w="1100" w:type="pct"/>
            <w:vAlign w:val="center"/>
          </w:tcPr>
          <w:p w14:paraId="4FC75D42" w14:textId="77777777" w:rsidR="000B6388" w:rsidRPr="0098262F" w:rsidRDefault="000B6388">
            <w:pPr>
              <w:pStyle w:val="TableFigureHeading"/>
              <w:jc w:val="center"/>
            </w:pPr>
            <w:r w:rsidRPr="00106D09">
              <w:t>LS mean change from baseline vs placebo</w:t>
            </w:r>
            <w:r>
              <w:t xml:space="preserve"> </w:t>
            </w:r>
            <w:r w:rsidRPr="00106D09">
              <w:t>(95% CI)</w:t>
            </w:r>
          </w:p>
        </w:tc>
        <w:tc>
          <w:tcPr>
            <w:tcW w:w="287" w:type="pct"/>
            <w:vAlign w:val="center"/>
          </w:tcPr>
          <w:p w14:paraId="2E519EF2" w14:textId="77777777" w:rsidR="000B6388" w:rsidRPr="0098262F" w:rsidRDefault="000B6388">
            <w:pPr>
              <w:pStyle w:val="TableFigureHeading"/>
              <w:jc w:val="center"/>
            </w:pPr>
            <w:r>
              <w:t>SE</w:t>
            </w:r>
          </w:p>
        </w:tc>
      </w:tr>
      <w:tr w:rsidR="000B6388" w:rsidRPr="0098262F" w14:paraId="7F5806F8" w14:textId="77777777" w:rsidTr="00A6567C">
        <w:trPr>
          <w:cantSplit/>
          <w:tblHeader/>
        </w:trPr>
        <w:tc>
          <w:tcPr>
            <w:tcW w:w="5000" w:type="pct"/>
            <w:gridSpan w:val="5"/>
            <w:vAlign w:val="center"/>
          </w:tcPr>
          <w:p w14:paraId="43DFE4C4" w14:textId="77777777" w:rsidR="000B6388" w:rsidRDefault="000B6388">
            <w:pPr>
              <w:pStyle w:val="TableFigureHeading"/>
            </w:pPr>
            <w:r w:rsidRPr="00CB69F0">
              <w:rPr>
                <w:iCs/>
              </w:rPr>
              <w:t>REPLENISH (MITT-VM</w:t>
            </w:r>
            <w:r>
              <w:rPr>
                <w:iCs/>
              </w:rPr>
              <w:t>S</w:t>
            </w:r>
            <w:r w:rsidRPr="00CB69F0">
              <w:rPr>
                <w:iCs/>
              </w:rPr>
              <w:t>)</w:t>
            </w:r>
            <w:r>
              <w:rPr>
                <w:iCs/>
                <w:vertAlign w:val="superscript"/>
              </w:rPr>
              <w:t>a</w:t>
            </w:r>
          </w:p>
        </w:tc>
      </w:tr>
      <w:tr w:rsidR="000B6388" w:rsidRPr="0098262F" w14:paraId="49189961" w14:textId="77777777" w:rsidTr="00A6567C">
        <w:trPr>
          <w:cantSplit/>
        </w:trPr>
        <w:tc>
          <w:tcPr>
            <w:tcW w:w="1569" w:type="pct"/>
            <w:vAlign w:val="center"/>
          </w:tcPr>
          <w:p w14:paraId="6F105B24" w14:textId="77777777" w:rsidR="000B6388" w:rsidRPr="0098262F" w:rsidRDefault="000B6388">
            <w:pPr>
              <w:pStyle w:val="TableText0"/>
            </w:pPr>
            <w:r w:rsidRPr="008D7CBD">
              <w:t>n</w:t>
            </w:r>
          </w:p>
        </w:tc>
        <w:tc>
          <w:tcPr>
            <w:tcW w:w="1022" w:type="pct"/>
          </w:tcPr>
          <w:p w14:paraId="61856871" w14:textId="77777777" w:rsidR="000B6388" w:rsidRPr="0098262F" w:rsidRDefault="000B6388">
            <w:pPr>
              <w:pStyle w:val="TableText0"/>
              <w:jc w:val="center"/>
            </w:pPr>
            <w:r>
              <w:rPr>
                <w:iCs/>
              </w:rPr>
              <w:t>124</w:t>
            </w:r>
          </w:p>
        </w:tc>
        <w:tc>
          <w:tcPr>
            <w:tcW w:w="1022" w:type="pct"/>
          </w:tcPr>
          <w:p w14:paraId="56049456" w14:textId="77777777" w:rsidR="000B6388" w:rsidRPr="0098262F" w:rsidRDefault="000B6388">
            <w:pPr>
              <w:pStyle w:val="TableText0"/>
              <w:jc w:val="center"/>
            </w:pPr>
            <w:r>
              <w:rPr>
                <w:iCs/>
              </w:rPr>
              <w:t>115</w:t>
            </w:r>
          </w:p>
        </w:tc>
        <w:tc>
          <w:tcPr>
            <w:tcW w:w="1100" w:type="pct"/>
            <w:vMerge w:val="restart"/>
            <w:vAlign w:val="center"/>
          </w:tcPr>
          <w:p w14:paraId="08BB868E" w14:textId="6B1411BA" w:rsidR="000B6388" w:rsidRPr="007112EF" w:rsidRDefault="000B6388">
            <w:pPr>
              <w:pStyle w:val="TableText0"/>
              <w:jc w:val="center"/>
              <w:rPr>
                <w:b/>
                <w:bCs w:val="0"/>
                <w:vertAlign w:val="superscript"/>
              </w:rPr>
            </w:pPr>
            <w:r w:rsidRPr="007112EF">
              <w:rPr>
                <w:b/>
                <w:bCs w:val="0"/>
              </w:rPr>
              <w:t xml:space="preserve">-0.6 (-0.8, -0.4) </w:t>
            </w:r>
            <w:r w:rsidRPr="007112EF">
              <w:rPr>
                <w:b/>
                <w:bCs w:val="0"/>
                <w:vertAlign w:val="superscript"/>
              </w:rPr>
              <w:t>a</w:t>
            </w:r>
            <w:r w:rsidR="004130BD">
              <w:rPr>
                <w:b/>
                <w:bCs w:val="0"/>
                <w:vertAlign w:val="superscript"/>
              </w:rPr>
              <w:t>^</w:t>
            </w:r>
          </w:p>
        </w:tc>
        <w:tc>
          <w:tcPr>
            <w:tcW w:w="287" w:type="pct"/>
            <w:vMerge w:val="restart"/>
            <w:vAlign w:val="center"/>
          </w:tcPr>
          <w:p w14:paraId="1D25AADD" w14:textId="77777777" w:rsidR="000B6388" w:rsidRPr="0098262F" w:rsidRDefault="000B6388">
            <w:pPr>
              <w:pStyle w:val="TableText0"/>
              <w:jc w:val="center"/>
            </w:pPr>
            <w:r>
              <w:t>0.1</w:t>
            </w:r>
          </w:p>
        </w:tc>
      </w:tr>
      <w:tr w:rsidR="000B6388" w:rsidRPr="0098262F" w14:paraId="7EAB31DF" w14:textId="77777777" w:rsidTr="00A6567C">
        <w:trPr>
          <w:cantSplit/>
        </w:trPr>
        <w:tc>
          <w:tcPr>
            <w:tcW w:w="1569" w:type="pct"/>
            <w:vAlign w:val="center"/>
          </w:tcPr>
          <w:p w14:paraId="4FC107D0" w14:textId="77777777" w:rsidR="000B6388" w:rsidRPr="0098262F" w:rsidRDefault="000B6388">
            <w:pPr>
              <w:pStyle w:val="TableText0"/>
            </w:pPr>
            <w:r w:rsidRPr="008D7CBD">
              <w:t>Mean baseline (SD)</w:t>
            </w:r>
          </w:p>
        </w:tc>
        <w:tc>
          <w:tcPr>
            <w:tcW w:w="1022" w:type="pct"/>
          </w:tcPr>
          <w:p w14:paraId="3B558DC8" w14:textId="77777777" w:rsidR="000B6388" w:rsidRPr="0098262F" w:rsidRDefault="000B6388">
            <w:pPr>
              <w:pStyle w:val="TableText0"/>
              <w:jc w:val="center"/>
            </w:pPr>
            <w:r>
              <w:rPr>
                <w:iCs/>
              </w:rPr>
              <w:t>2.4 (0.3)</w:t>
            </w:r>
          </w:p>
        </w:tc>
        <w:tc>
          <w:tcPr>
            <w:tcW w:w="1022" w:type="pct"/>
          </w:tcPr>
          <w:p w14:paraId="5C2CF59D" w14:textId="77777777" w:rsidR="000B6388" w:rsidRPr="0098262F" w:rsidRDefault="000B6388">
            <w:pPr>
              <w:pStyle w:val="TableText0"/>
              <w:jc w:val="center"/>
            </w:pPr>
            <w:r>
              <w:rPr>
                <w:iCs/>
              </w:rPr>
              <w:t>2.3 (0.3)</w:t>
            </w:r>
          </w:p>
        </w:tc>
        <w:tc>
          <w:tcPr>
            <w:tcW w:w="1100" w:type="pct"/>
            <w:vMerge/>
            <w:vAlign w:val="center"/>
          </w:tcPr>
          <w:p w14:paraId="43D77E92" w14:textId="77777777" w:rsidR="000B6388" w:rsidRPr="0098262F" w:rsidRDefault="000B6388">
            <w:pPr>
              <w:pStyle w:val="TableText0"/>
              <w:jc w:val="center"/>
            </w:pPr>
          </w:p>
        </w:tc>
        <w:tc>
          <w:tcPr>
            <w:tcW w:w="287" w:type="pct"/>
            <w:vMerge/>
            <w:vAlign w:val="center"/>
          </w:tcPr>
          <w:p w14:paraId="3D1F8E84" w14:textId="77777777" w:rsidR="000B6388" w:rsidRPr="0098262F" w:rsidRDefault="000B6388">
            <w:pPr>
              <w:pStyle w:val="TableText0"/>
              <w:jc w:val="center"/>
            </w:pPr>
          </w:p>
        </w:tc>
      </w:tr>
      <w:tr w:rsidR="000B6388" w:rsidRPr="0098262F" w14:paraId="7390F63C" w14:textId="77777777" w:rsidTr="00A6567C">
        <w:trPr>
          <w:cantSplit/>
        </w:trPr>
        <w:tc>
          <w:tcPr>
            <w:tcW w:w="1569" w:type="pct"/>
            <w:vAlign w:val="center"/>
          </w:tcPr>
          <w:p w14:paraId="08A522A3" w14:textId="77777777" w:rsidR="000B6388" w:rsidRPr="0098262F" w:rsidRDefault="000B6388">
            <w:pPr>
              <w:pStyle w:val="TableText0"/>
            </w:pPr>
            <w:r w:rsidRPr="008D7CBD">
              <w:t>Mean change from baseline (SD)</w:t>
            </w:r>
          </w:p>
        </w:tc>
        <w:tc>
          <w:tcPr>
            <w:tcW w:w="1022" w:type="pct"/>
            <w:vAlign w:val="center"/>
          </w:tcPr>
          <w:p w14:paraId="422E8CF9" w14:textId="77777777" w:rsidR="000B6388" w:rsidRPr="0098262F" w:rsidRDefault="000B6388">
            <w:pPr>
              <w:pStyle w:val="TableText0"/>
              <w:jc w:val="center"/>
            </w:pPr>
            <w:r>
              <w:t>-0.9 (1.0)</w:t>
            </w:r>
          </w:p>
        </w:tc>
        <w:tc>
          <w:tcPr>
            <w:tcW w:w="1022" w:type="pct"/>
            <w:vAlign w:val="center"/>
          </w:tcPr>
          <w:p w14:paraId="0EE30A6C" w14:textId="77777777" w:rsidR="000B6388" w:rsidRPr="0098262F" w:rsidRDefault="000B6388">
            <w:pPr>
              <w:pStyle w:val="TableText0"/>
              <w:jc w:val="center"/>
            </w:pPr>
            <w:r>
              <w:t>-0.4 (0.6)</w:t>
            </w:r>
          </w:p>
        </w:tc>
        <w:tc>
          <w:tcPr>
            <w:tcW w:w="1100" w:type="pct"/>
            <w:vMerge/>
            <w:vAlign w:val="center"/>
          </w:tcPr>
          <w:p w14:paraId="37137C2B" w14:textId="77777777" w:rsidR="000B6388" w:rsidRPr="0098262F" w:rsidRDefault="000B6388">
            <w:pPr>
              <w:pStyle w:val="TableText0"/>
              <w:jc w:val="center"/>
            </w:pPr>
          </w:p>
        </w:tc>
        <w:tc>
          <w:tcPr>
            <w:tcW w:w="287" w:type="pct"/>
            <w:vMerge/>
            <w:vAlign w:val="center"/>
          </w:tcPr>
          <w:p w14:paraId="018F5A89" w14:textId="77777777" w:rsidR="000B6388" w:rsidRPr="0098262F" w:rsidRDefault="000B6388">
            <w:pPr>
              <w:pStyle w:val="TableText0"/>
              <w:jc w:val="center"/>
            </w:pPr>
          </w:p>
        </w:tc>
      </w:tr>
      <w:tr w:rsidR="000B6388" w:rsidRPr="003B54FE" w14:paraId="7FC904C1" w14:textId="77777777" w:rsidTr="00A6567C">
        <w:trPr>
          <w:cantSplit/>
        </w:trPr>
        <w:tc>
          <w:tcPr>
            <w:tcW w:w="5000" w:type="pct"/>
            <w:gridSpan w:val="5"/>
            <w:vAlign w:val="center"/>
          </w:tcPr>
          <w:p w14:paraId="1B434C0B" w14:textId="77777777" w:rsidR="000B6388" w:rsidRPr="003B54FE" w:rsidRDefault="000B6388">
            <w:pPr>
              <w:pStyle w:val="TableText0"/>
              <w:rPr>
                <w:lang w:val="de-DE"/>
              </w:rPr>
            </w:pPr>
            <w:r w:rsidRPr="003B54FE">
              <w:rPr>
                <w:b/>
                <w:bCs w:val="0"/>
                <w:iCs/>
                <w:lang w:val="de-DE"/>
              </w:rPr>
              <w:t>Archer e</w:t>
            </w:r>
            <w:r w:rsidRPr="003B54FE">
              <w:rPr>
                <w:b/>
                <w:iCs/>
                <w:lang w:val="de-DE"/>
              </w:rPr>
              <w:t xml:space="preserve">t al. </w:t>
            </w:r>
            <w:r w:rsidRPr="003B54FE">
              <w:rPr>
                <w:b/>
                <w:bCs w:val="0"/>
                <w:iCs/>
                <w:lang w:val="de-DE"/>
              </w:rPr>
              <w:t>2003 (MITT population)</w:t>
            </w:r>
            <w:r w:rsidRPr="003B54FE">
              <w:rPr>
                <w:b/>
                <w:bCs w:val="0"/>
                <w:iCs/>
                <w:vertAlign w:val="superscript"/>
                <w:lang w:val="de-DE"/>
              </w:rPr>
              <w:t>b</w:t>
            </w:r>
          </w:p>
        </w:tc>
      </w:tr>
      <w:tr w:rsidR="000B6388" w:rsidRPr="0098262F" w14:paraId="038FFF2F" w14:textId="77777777" w:rsidTr="00A6567C">
        <w:trPr>
          <w:cantSplit/>
        </w:trPr>
        <w:tc>
          <w:tcPr>
            <w:tcW w:w="1569" w:type="pct"/>
            <w:vAlign w:val="center"/>
          </w:tcPr>
          <w:p w14:paraId="5DC85A3F" w14:textId="77777777" w:rsidR="000B6388" w:rsidRPr="00186E87" w:rsidRDefault="000B6388">
            <w:pPr>
              <w:pStyle w:val="TableFigureHeading"/>
              <w:jc w:val="center"/>
            </w:pPr>
            <w:r w:rsidRPr="00186E87">
              <w:t>Comparator</w:t>
            </w:r>
          </w:p>
        </w:tc>
        <w:tc>
          <w:tcPr>
            <w:tcW w:w="1022" w:type="pct"/>
            <w:vAlign w:val="center"/>
          </w:tcPr>
          <w:p w14:paraId="65871A7C" w14:textId="77777777" w:rsidR="00985B73" w:rsidRDefault="000B6388">
            <w:pPr>
              <w:pStyle w:val="TableFigureHeading"/>
              <w:jc w:val="center"/>
              <w:rPr>
                <w:iCs/>
              </w:rPr>
            </w:pPr>
            <w:r w:rsidRPr="00186E87">
              <w:rPr>
                <w:iCs/>
              </w:rPr>
              <w:t>Estrogel 1.25 g</w:t>
            </w:r>
            <w:r>
              <w:rPr>
                <w:iCs/>
              </w:rPr>
              <w:t xml:space="preserve"> </w:t>
            </w:r>
          </w:p>
          <w:p w14:paraId="6A3AFFB8" w14:textId="0E4AC57E" w:rsidR="000B6388" w:rsidRPr="00186E87" w:rsidRDefault="000B6388">
            <w:pPr>
              <w:pStyle w:val="TableFigureHeading"/>
              <w:jc w:val="center"/>
            </w:pPr>
            <w:r w:rsidRPr="00186E87">
              <w:rPr>
                <w:iCs/>
              </w:rPr>
              <w:t>N=75</w:t>
            </w:r>
          </w:p>
        </w:tc>
        <w:tc>
          <w:tcPr>
            <w:tcW w:w="1022" w:type="pct"/>
            <w:vAlign w:val="center"/>
          </w:tcPr>
          <w:p w14:paraId="3D835402" w14:textId="77777777" w:rsidR="00985B73" w:rsidRDefault="000B6388">
            <w:pPr>
              <w:pStyle w:val="TableFigureHeading"/>
              <w:jc w:val="center"/>
              <w:rPr>
                <w:iCs/>
              </w:rPr>
            </w:pPr>
            <w:r w:rsidRPr="00186E87">
              <w:rPr>
                <w:iCs/>
              </w:rPr>
              <w:t>Placebo</w:t>
            </w:r>
            <w:r>
              <w:rPr>
                <w:iCs/>
              </w:rPr>
              <w:t xml:space="preserve"> </w:t>
            </w:r>
          </w:p>
          <w:p w14:paraId="74713811" w14:textId="36E65623" w:rsidR="000B6388" w:rsidRPr="00186E87" w:rsidRDefault="000B6388">
            <w:pPr>
              <w:pStyle w:val="TableFigureHeading"/>
              <w:jc w:val="center"/>
            </w:pPr>
            <w:r w:rsidRPr="00186E87">
              <w:rPr>
                <w:iCs/>
              </w:rPr>
              <w:t>N=73</w:t>
            </w:r>
          </w:p>
        </w:tc>
        <w:tc>
          <w:tcPr>
            <w:tcW w:w="1100" w:type="pct"/>
            <w:vMerge w:val="restart"/>
            <w:vAlign w:val="center"/>
          </w:tcPr>
          <w:p w14:paraId="3680D88A" w14:textId="77777777" w:rsidR="000B6388" w:rsidRPr="00E63786" w:rsidRDefault="000B6388">
            <w:pPr>
              <w:pStyle w:val="TableText0"/>
              <w:jc w:val="center"/>
              <w:rPr>
                <w:b/>
              </w:rPr>
            </w:pPr>
            <w:r w:rsidRPr="00E63786">
              <w:rPr>
                <w:b/>
              </w:rPr>
              <w:t>-0.5 (NR)</w:t>
            </w:r>
          </w:p>
        </w:tc>
        <w:tc>
          <w:tcPr>
            <w:tcW w:w="287" w:type="pct"/>
            <w:vMerge w:val="restart"/>
            <w:vAlign w:val="center"/>
          </w:tcPr>
          <w:p w14:paraId="0800036C" w14:textId="77777777" w:rsidR="000B6388" w:rsidRPr="00786928" w:rsidRDefault="000B6388">
            <w:pPr>
              <w:pStyle w:val="TableText0"/>
              <w:jc w:val="center"/>
              <w:rPr>
                <w:bCs w:val="0"/>
              </w:rPr>
            </w:pPr>
            <w:r w:rsidRPr="00786928">
              <w:rPr>
                <w:bCs w:val="0"/>
              </w:rPr>
              <w:t>0.1</w:t>
            </w:r>
          </w:p>
        </w:tc>
      </w:tr>
      <w:tr w:rsidR="000B6388" w:rsidRPr="0098262F" w14:paraId="5C3F165E" w14:textId="77777777" w:rsidTr="00A6567C">
        <w:trPr>
          <w:cantSplit/>
        </w:trPr>
        <w:tc>
          <w:tcPr>
            <w:tcW w:w="1569" w:type="pct"/>
            <w:vAlign w:val="center"/>
          </w:tcPr>
          <w:p w14:paraId="463D6359" w14:textId="77777777" w:rsidR="000B6388" w:rsidRPr="0098262F" w:rsidRDefault="000B6388">
            <w:pPr>
              <w:pStyle w:val="TableText0"/>
            </w:pPr>
            <w:r w:rsidRPr="008D7CBD">
              <w:t>n</w:t>
            </w:r>
          </w:p>
        </w:tc>
        <w:tc>
          <w:tcPr>
            <w:tcW w:w="1022" w:type="pct"/>
          </w:tcPr>
          <w:p w14:paraId="3C192CCB" w14:textId="77777777" w:rsidR="000B6388" w:rsidRPr="0098262F" w:rsidRDefault="000B6388">
            <w:pPr>
              <w:pStyle w:val="TableText0"/>
              <w:jc w:val="center"/>
            </w:pPr>
            <w:r>
              <w:rPr>
                <w:iCs/>
              </w:rPr>
              <w:t>72</w:t>
            </w:r>
          </w:p>
        </w:tc>
        <w:tc>
          <w:tcPr>
            <w:tcW w:w="1022" w:type="pct"/>
          </w:tcPr>
          <w:p w14:paraId="2CD82AF5" w14:textId="77777777" w:rsidR="000B6388" w:rsidRPr="0098262F" w:rsidRDefault="000B6388">
            <w:pPr>
              <w:pStyle w:val="TableText0"/>
              <w:jc w:val="center"/>
            </w:pPr>
            <w:r>
              <w:rPr>
                <w:iCs/>
              </w:rPr>
              <w:t>73</w:t>
            </w:r>
          </w:p>
        </w:tc>
        <w:tc>
          <w:tcPr>
            <w:tcW w:w="1100" w:type="pct"/>
            <w:vMerge/>
            <w:vAlign w:val="center"/>
          </w:tcPr>
          <w:p w14:paraId="7BF4D038" w14:textId="77777777" w:rsidR="000B6388" w:rsidRPr="00E63786" w:rsidRDefault="000B6388">
            <w:pPr>
              <w:pStyle w:val="TableText0"/>
              <w:jc w:val="center"/>
              <w:rPr>
                <w:b/>
              </w:rPr>
            </w:pPr>
          </w:p>
        </w:tc>
        <w:tc>
          <w:tcPr>
            <w:tcW w:w="287" w:type="pct"/>
            <w:vMerge/>
            <w:vAlign w:val="center"/>
          </w:tcPr>
          <w:p w14:paraId="79E4DEAA" w14:textId="77777777" w:rsidR="000B6388" w:rsidRPr="0098262F" w:rsidRDefault="000B6388">
            <w:pPr>
              <w:pStyle w:val="TableText0"/>
              <w:jc w:val="center"/>
            </w:pPr>
          </w:p>
        </w:tc>
      </w:tr>
      <w:tr w:rsidR="000B6388" w:rsidRPr="0098262F" w14:paraId="5F61D6CF" w14:textId="77777777" w:rsidTr="00A6567C">
        <w:trPr>
          <w:cantSplit/>
        </w:trPr>
        <w:tc>
          <w:tcPr>
            <w:tcW w:w="1569" w:type="pct"/>
            <w:vAlign w:val="center"/>
          </w:tcPr>
          <w:p w14:paraId="7B4A02AA" w14:textId="77777777" w:rsidR="000B6388" w:rsidRPr="00814422" w:rsidRDefault="000B6388">
            <w:pPr>
              <w:pStyle w:val="TableText0"/>
              <w:rPr>
                <w:vertAlign w:val="superscript"/>
              </w:rPr>
            </w:pPr>
            <w:r w:rsidRPr="008D7CBD">
              <w:t>Mean baseline (SD)</w:t>
            </w:r>
          </w:p>
        </w:tc>
        <w:tc>
          <w:tcPr>
            <w:tcW w:w="1022" w:type="pct"/>
          </w:tcPr>
          <w:p w14:paraId="615530E3" w14:textId="77777777" w:rsidR="000B6388" w:rsidRPr="0098262F" w:rsidRDefault="000B6388">
            <w:pPr>
              <w:pStyle w:val="TableText0"/>
              <w:jc w:val="center"/>
            </w:pPr>
            <w:r>
              <w:t>NR</w:t>
            </w:r>
          </w:p>
        </w:tc>
        <w:tc>
          <w:tcPr>
            <w:tcW w:w="1022" w:type="pct"/>
          </w:tcPr>
          <w:p w14:paraId="1C415B7E" w14:textId="77777777" w:rsidR="000B6388" w:rsidRPr="0098262F" w:rsidRDefault="000B6388">
            <w:pPr>
              <w:pStyle w:val="TableText0"/>
              <w:jc w:val="center"/>
            </w:pPr>
            <w:r>
              <w:t>NR</w:t>
            </w:r>
          </w:p>
        </w:tc>
        <w:tc>
          <w:tcPr>
            <w:tcW w:w="1100" w:type="pct"/>
            <w:vMerge/>
            <w:vAlign w:val="center"/>
          </w:tcPr>
          <w:p w14:paraId="125FC140" w14:textId="77777777" w:rsidR="000B6388" w:rsidRPr="00E63786" w:rsidRDefault="000B6388">
            <w:pPr>
              <w:pStyle w:val="TableText0"/>
              <w:jc w:val="center"/>
              <w:rPr>
                <w:b/>
              </w:rPr>
            </w:pPr>
          </w:p>
        </w:tc>
        <w:tc>
          <w:tcPr>
            <w:tcW w:w="287" w:type="pct"/>
            <w:vMerge/>
            <w:vAlign w:val="center"/>
          </w:tcPr>
          <w:p w14:paraId="7E856ADF" w14:textId="77777777" w:rsidR="000B6388" w:rsidRPr="0098262F" w:rsidRDefault="000B6388">
            <w:pPr>
              <w:pStyle w:val="TableText0"/>
              <w:jc w:val="center"/>
            </w:pPr>
          </w:p>
        </w:tc>
      </w:tr>
      <w:tr w:rsidR="000B6388" w:rsidRPr="0098262F" w14:paraId="5D76746F" w14:textId="77777777" w:rsidTr="00A6567C">
        <w:trPr>
          <w:cantSplit/>
        </w:trPr>
        <w:tc>
          <w:tcPr>
            <w:tcW w:w="1569" w:type="pct"/>
            <w:vAlign w:val="center"/>
          </w:tcPr>
          <w:p w14:paraId="477AAF52" w14:textId="0D6C8267" w:rsidR="000B6388" w:rsidRPr="0098262F" w:rsidRDefault="000B6388">
            <w:pPr>
              <w:pStyle w:val="TableText0"/>
            </w:pPr>
            <w:r w:rsidRPr="008D7CBD">
              <w:t>Mean change from baseline (SD)</w:t>
            </w:r>
            <w:r>
              <w:rPr>
                <w:vertAlign w:val="superscript"/>
              </w:rPr>
              <w:t>c</w:t>
            </w:r>
          </w:p>
        </w:tc>
        <w:tc>
          <w:tcPr>
            <w:tcW w:w="1022" w:type="pct"/>
          </w:tcPr>
          <w:p w14:paraId="48A4BAC0" w14:textId="77777777" w:rsidR="000B6388" w:rsidRPr="0037685D" w:rsidRDefault="000B6388">
            <w:pPr>
              <w:pStyle w:val="TableText0"/>
              <w:jc w:val="center"/>
              <w:rPr>
                <w:i/>
                <w:iCs/>
              </w:rPr>
            </w:pPr>
            <w:r>
              <w:t>-1.0 (NR)</w:t>
            </w:r>
          </w:p>
        </w:tc>
        <w:tc>
          <w:tcPr>
            <w:tcW w:w="1022" w:type="pct"/>
          </w:tcPr>
          <w:p w14:paraId="729D290B" w14:textId="77777777" w:rsidR="000B6388" w:rsidRPr="0037685D" w:rsidRDefault="000B6388">
            <w:pPr>
              <w:pStyle w:val="TableText0"/>
              <w:jc w:val="center"/>
              <w:rPr>
                <w:i/>
                <w:iCs/>
              </w:rPr>
            </w:pPr>
            <w:r>
              <w:t>-0.5 (NR)</w:t>
            </w:r>
          </w:p>
        </w:tc>
        <w:tc>
          <w:tcPr>
            <w:tcW w:w="1100" w:type="pct"/>
            <w:vMerge/>
            <w:vAlign w:val="center"/>
          </w:tcPr>
          <w:p w14:paraId="123C8E46" w14:textId="77777777" w:rsidR="000B6388" w:rsidRPr="00E63786" w:rsidRDefault="000B6388">
            <w:pPr>
              <w:pStyle w:val="TableText0"/>
              <w:jc w:val="center"/>
              <w:rPr>
                <w:b/>
              </w:rPr>
            </w:pPr>
          </w:p>
        </w:tc>
        <w:tc>
          <w:tcPr>
            <w:tcW w:w="287" w:type="pct"/>
            <w:vMerge/>
            <w:vAlign w:val="center"/>
          </w:tcPr>
          <w:p w14:paraId="382ACFE6" w14:textId="77777777" w:rsidR="000B6388" w:rsidRPr="00186E87" w:rsidRDefault="000B6388">
            <w:pPr>
              <w:pStyle w:val="TableText0"/>
              <w:jc w:val="center"/>
              <w:rPr>
                <w:bCs w:val="0"/>
              </w:rPr>
            </w:pPr>
          </w:p>
        </w:tc>
      </w:tr>
      <w:tr w:rsidR="000B6388" w:rsidRPr="0098262F" w14:paraId="742D2535" w14:textId="77777777" w:rsidTr="00A6567C">
        <w:trPr>
          <w:cantSplit/>
        </w:trPr>
        <w:tc>
          <w:tcPr>
            <w:tcW w:w="1569" w:type="pct"/>
            <w:vAlign w:val="center"/>
          </w:tcPr>
          <w:p w14:paraId="245DA3E9" w14:textId="77777777" w:rsidR="000B6388" w:rsidRPr="00186E87" w:rsidRDefault="000B6388">
            <w:pPr>
              <w:pStyle w:val="TableText0"/>
              <w:jc w:val="center"/>
              <w:rPr>
                <w:b/>
                <w:bCs w:val="0"/>
              </w:rPr>
            </w:pPr>
          </w:p>
        </w:tc>
        <w:tc>
          <w:tcPr>
            <w:tcW w:w="1022" w:type="pct"/>
            <w:vAlign w:val="center"/>
          </w:tcPr>
          <w:p w14:paraId="033D9E95" w14:textId="77777777" w:rsidR="006F3541" w:rsidRDefault="000B6388">
            <w:pPr>
              <w:pStyle w:val="TableFigureHeading"/>
              <w:jc w:val="center"/>
              <w:rPr>
                <w:bCs w:val="0"/>
                <w:iCs/>
              </w:rPr>
            </w:pPr>
            <w:r w:rsidRPr="00186E87">
              <w:rPr>
                <w:bCs w:val="0"/>
                <w:iCs/>
              </w:rPr>
              <w:t>Estrogel 2.5 g</w:t>
            </w:r>
            <w:r>
              <w:rPr>
                <w:bCs w:val="0"/>
                <w:iCs/>
              </w:rPr>
              <w:t xml:space="preserve"> </w:t>
            </w:r>
          </w:p>
          <w:p w14:paraId="3765F677" w14:textId="389690CB" w:rsidR="000B6388" w:rsidRPr="00186E87" w:rsidRDefault="000B6388">
            <w:pPr>
              <w:pStyle w:val="TableFigureHeading"/>
              <w:jc w:val="center"/>
              <w:rPr>
                <w:b w:val="0"/>
                <w:bCs w:val="0"/>
                <w:i/>
                <w:iCs/>
              </w:rPr>
            </w:pPr>
            <w:r w:rsidRPr="00186E87">
              <w:rPr>
                <w:bCs w:val="0"/>
                <w:iCs/>
              </w:rPr>
              <w:t>N=73</w:t>
            </w:r>
          </w:p>
        </w:tc>
        <w:tc>
          <w:tcPr>
            <w:tcW w:w="1022" w:type="pct"/>
            <w:vAlign w:val="center"/>
          </w:tcPr>
          <w:p w14:paraId="126211C5" w14:textId="77777777" w:rsidR="006F3541" w:rsidRDefault="000B6388">
            <w:pPr>
              <w:pStyle w:val="TableFigureHeading"/>
              <w:jc w:val="center"/>
              <w:rPr>
                <w:bCs w:val="0"/>
                <w:iCs/>
              </w:rPr>
            </w:pPr>
            <w:r w:rsidRPr="00186E87">
              <w:rPr>
                <w:bCs w:val="0"/>
                <w:iCs/>
              </w:rPr>
              <w:t>Placebo</w:t>
            </w:r>
            <w:r>
              <w:rPr>
                <w:bCs w:val="0"/>
                <w:iCs/>
              </w:rPr>
              <w:t xml:space="preserve"> </w:t>
            </w:r>
          </w:p>
          <w:p w14:paraId="5DACFE62" w14:textId="6B8CC4AD" w:rsidR="000B6388" w:rsidRPr="00186E87" w:rsidRDefault="000B6388">
            <w:pPr>
              <w:pStyle w:val="TableFigureHeading"/>
              <w:jc w:val="center"/>
              <w:rPr>
                <w:b w:val="0"/>
                <w:bCs w:val="0"/>
                <w:i/>
                <w:iCs/>
              </w:rPr>
            </w:pPr>
            <w:r w:rsidRPr="00186E87">
              <w:rPr>
                <w:bCs w:val="0"/>
                <w:iCs/>
              </w:rPr>
              <w:t>N=73</w:t>
            </w:r>
          </w:p>
        </w:tc>
        <w:tc>
          <w:tcPr>
            <w:tcW w:w="1100" w:type="pct"/>
            <w:vMerge w:val="restart"/>
            <w:vAlign w:val="center"/>
          </w:tcPr>
          <w:p w14:paraId="50A7D68F" w14:textId="77777777" w:rsidR="000B6388" w:rsidRPr="00E63786" w:rsidRDefault="000B6388">
            <w:pPr>
              <w:pStyle w:val="TableText0"/>
              <w:jc w:val="center"/>
              <w:rPr>
                <w:b/>
              </w:rPr>
            </w:pPr>
            <w:r w:rsidRPr="00E63786">
              <w:rPr>
                <w:b/>
              </w:rPr>
              <w:t>-0.8 (NR)</w:t>
            </w:r>
          </w:p>
        </w:tc>
        <w:tc>
          <w:tcPr>
            <w:tcW w:w="287" w:type="pct"/>
            <w:vMerge w:val="restart"/>
            <w:vAlign w:val="center"/>
          </w:tcPr>
          <w:p w14:paraId="51DF0770" w14:textId="77777777" w:rsidR="000B6388" w:rsidRPr="00786928" w:rsidRDefault="000B6388">
            <w:pPr>
              <w:pStyle w:val="TableText0"/>
              <w:jc w:val="center"/>
            </w:pPr>
            <w:r w:rsidRPr="00786928">
              <w:t>0.2</w:t>
            </w:r>
          </w:p>
        </w:tc>
      </w:tr>
      <w:tr w:rsidR="000B6388" w:rsidRPr="0098262F" w14:paraId="5B6FAD16" w14:textId="77777777" w:rsidTr="00A6567C">
        <w:trPr>
          <w:cantSplit/>
        </w:trPr>
        <w:tc>
          <w:tcPr>
            <w:tcW w:w="1569" w:type="pct"/>
            <w:vAlign w:val="center"/>
          </w:tcPr>
          <w:p w14:paraId="02F95413" w14:textId="77777777" w:rsidR="000B6388" w:rsidRPr="008D7CBD" w:rsidRDefault="000B6388">
            <w:pPr>
              <w:pStyle w:val="TableText0"/>
            </w:pPr>
            <w:r w:rsidRPr="008D7CBD">
              <w:t>n</w:t>
            </w:r>
          </w:p>
        </w:tc>
        <w:tc>
          <w:tcPr>
            <w:tcW w:w="1022" w:type="pct"/>
          </w:tcPr>
          <w:p w14:paraId="321B0D15" w14:textId="77777777" w:rsidR="000B6388" w:rsidRDefault="000B6388">
            <w:pPr>
              <w:pStyle w:val="TableText0"/>
              <w:jc w:val="center"/>
              <w:rPr>
                <w:i/>
                <w:iCs/>
              </w:rPr>
            </w:pPr>
            <w:r>
              <w:rPr>
                <w:iCs/>
              </w:rPr>
              <w:t>71</w:t>
            </w:r>
          </w:p>
        </w:tc>
        <w:tc>
          <w:tcPr>
            <w:tcW w:w="1022" w:type="pct"/>
          </w:tcPr>
          <w:p w14:paraId="52D1B09A" w14:textId="77777777" w:rsidR="000B6388" w:rsidRDefault="000B6388">
            <w:pPr>
              <w:pStyle w:val="TableText0"/>
              <w:jc w:val="center"/>
              <w:rPr>
                <w:i/>
                <w:iCs/>
              </w:rPr>
            </w:pPr>
            <w:r>
              <w:rPr>
                <w:iCs/>
              </w:rPr>
              <w:t>73</w:t>
            </w:r>
          </w:p>
        </w:tc>
        <w:tc>
          <w:tcPr>
            <w:tcW w:w="1100" w:type="pct"/>
            <w:vMerge/>
            <w:vAlign w:val="center"/>
          </w:tcPr>
          <w:p w14:paraId="5170E9D9" w14:textId="77777777" w:rsidR="000B6388" w:rsidRPr="00FD6404" w:rsidRDefault="000B6388">
            <w:pPr>
              <w:pStyle w:val="TableText0"/>
              <w:jc w:val="center"/>
              <w:rPr>
                <w:i/>
                <w:iCs/>
              </w:rPr>
            </w:pPr>
          </w:p>
        </w:tc>
        <w:tc>
          <w:tcPr>
            <w:tcW w:w="287" w:type="pct"/>
            <w:vMerge/>
            <w:vAlign w:val="center"/>
          </w:tcPr>
          <w:p w14:paraId="73C804DE" w14:textId="77777777" w:rsidR="000B6388" w:rsidRPr="0098262F" w:rsidRDefault="000B6388">
            <w:pPr>
              <w:pStyle w:val="TableText0"/>
              <w:jc w:val="center"/>
            </w:pPr>
          </w:p>
        </w:tc>
      </w:tr>
      <w:tr w:rsidR="000B6388" w:rsidRPr="0098262F" w14:paraId="3641E319" w14:textId="77777777" w:rsidTr="00A6567C">
        <w:trPr>
          <w:cantSplit/>
        </w:trPr>
        <w:tc>
          <w:tcPr>
            <w:tcW w:w="1569" w:type="pct"/>
            <w:vAlign w:val="center"/>
          </w:tcPr>
          <w:p w14:paraId="66500952" w14:textId="77777777" w:rsidR="000B6388" w:rsidRPr="00814422" w:rsidRDefault="000B6388">
            <w:pPr>
              <w:pStyle w:val="TableText0"/>
              <w:rPr>
                <w:vertAlign w:val="superscript"/>
              </w:rPr>
            </w:pPr>
            <w:r w:rsidRPr="008D7CBD">
              <w:t>Mean baseline (SD)</w:t>
            </w:r>
          </w:p>
        </w:tc>
        <w:tc>
          <w:tcPr>
            <w:tcW w:w="1022" w:type="pct"/>
          </w:tcPr>
          <w:p w14:paraId="278270F2" w14:textId="77777777" w:rsidR="000B6388" w:rsidRDefault="000B6388">
            <w:pPr>
              <w:pStyle w:val="TableText0"/>
              <w:jc w:val="center"/>
              <w:rPr>
                <w:i/>
                <w:iCs/>
              </w:rPr>
            </w:pPr>
            <w:r>
              <w:t>NR</w:t>
            </w:r>
          </w:p>
        </w:tc>
        <w:tc>
          <w:tcPr>
            <w:tcW w:w="1022" w:type="pct"/>
          </w:tcPr>
          <w:p w14:paraId="5233CBCE" w14:textId="77777777" w:rsidR="000B6388" w:rsidRDefault="000B6388">
            <w:pPr>
              <w:pStyle w:val="TableText0"/>
              <w:jc w:val="center"/>
              <w:rPr>
                <w:i/>
                <w:iCs/>
              </w:rPr>
            </w:pPr>
            <w:r>
              <w:t>NR</w:t>
            </w:r>
          </w:p>
        </w:tc>
        <w:tc>
          <w:tcPr>
            <w:tcW w:w="1100" w:type="pct"/>
            <w:vMerge/>
            <w:vAlign w:val="center"/>
          </w:tcPr>
          <w:p w14:paraId="281E7A26" w14:textId="77777777" w:rsidR="000B6388" w:rsidRPr="00FD6404" w:rsidRDefault="000B6388">
            <w:pPr>
              <w:pStyle w:val="TableText0"/>
              <w:jc w:val="center"/>
              <w:rPr>
                <w:i/>
                <w:iCs/>
              </w:rPr>
            </w:pPr>
          </w:p>
        </w:tc>
        <w:tc>
          <w:tcPr>
            <w:tcW w:w="287" w:type="pct"/>
            <w:vMerge/>
            <w:vAlign w:val="center"/>
          </w:tcPr>
          <w:p w14:paraId="3440D541" w14:textId="77777777" w:rsidR="000B6388" w:rsidRPr="0098262F" w:rsidRDefault="000B6388">
            <w:pPr>
              <w:pStyle w:val="TableText0"/>
              <w:jc w:val="center"/>
            </w:pPr>
          </w:p>
        </w:tc>
      </w:tr>
      <w:tr w:rsidR="000B6388" w:rsidRPr="0098262F" w14:paraId="13C1F7B9" w14:textId="77777777" w:rsidTr="00A6567C">
        <w:trPr>
          <w:cantSplit/>
        </w:trPr>
        <w:tc>
          <w:tcPr>
            <w:tcW w:w="1569" w:type="pct"/>
            <w:vAlign w:val="center"/>
          </w:tcPr>
          <w:p w14:paraId="18B210AC" w14:textId="16D364B0" w:rsidR="000B6388" w:rsidRPr="008D7CBD" w:rsidRDefault="000B6388">
            <w:pPr>
              <w:pStyle w:val="TableText0"/>
            </w:pPr>
            <w:r w:rsidRPr="008D7CBD">
              <w:t>Mean change from baseline (SD)</w:t>
            </w:r>
            <w:r>
              <w:rPr>
                <w:vertAlign w:val="superscript"/>
              </w:rPr>
              <w:t>c</w:t>
            </w:r>
          </w:p>
        </w:tc>
        <w:tc>
          <w:tcPr>
            <w:tcW w:w="1022" w:type="pct"/>
          </w:tcPr>
          <w:p w14:paraId="0236611E" w14:textId="77777777" w:rsidR="000B6388" w:rsidRDefault="000B6388">
            <w:pPr>
              <w:pStyle w:val="TableText0"/>
              <w:jc w:val="center"/>
              <w:rPr>
                <w:i/>
                <w:iCs/>
              </w:rPr>
            </w:pPr>
            <w:r>
              <w:t>-1.3 (NR)</w:t>
            </w:r>
          </w:p>
        </w:tc>
        <w:tc>
          <w:tcPr>
            <w:tcW w:w="1022" w:type="pct"/>
          </w:tcPr>
          <w:p w14:paraId="7B386C13" w14:textId="77777777" w:rsidR="000B6388" w:rsidRDefault="000B6388">
            <w:pPr>
              <w:pStyle w:val="TableText0"/>
              <w:jc w:val="center"/>
              <w:rPr>
                <w:i/>
                <w:iCs/>
              </w:rPr>
            </w:pPr>
            <w:r>
              <w:t>-0.5 (NR)</w:t>
            </w:r>
          </w:p>
        </w:tc>
        <w:tc>
          <w:tcPr>
            <w:tcW w:w="1100" w:type="pct"/>
            <w:vMerge/>
            <w:vAlign w:val="center"/>
          </w:tcPr>
          <w:p w14:paraId="3E970D3D" w14:textId="77777777" w:rsidR="000B6388" w:rsidRPr="00186E87" w:rsidRDefault="000B6388">
            <w:pPr>
              <w:pStyle w:val="TableText0"/>
              <w:jc w:val="center"/>
            </w:pPr>
          </w:p>
        </w:tc>
        <w:tc>
          <w:tcPr>
            <w:tcW w:w="287" w:type="pct"/>
            <w:vMerge/>
            <w:vAlign w:val="center"/>
          </w:tcPr>
          <w:p w14:paraId="43E3C323" w14:textId="77777777" w:rsidR="000B6388" w:rsidRPr="00186E87" w:rsidRDefault="000B6388">
            <w:pPr>
              <w:pStyle w:val="TableText0"/>
              <w:jc w:val="center"/>
            </w:pPr>
          </w:p>
        </w:tc>
      </w:tr>
      <w:tr w:rsidR="000B6388" w:rsidRPr="0098262F" w14:paraId="2446B6ED" w14:textId="77777777" w:rsidTr="00A6567C">
        <w:trPr>
          <w:cantSplit/>
        </w:trPr>
        <w:tc>
          <w:tcPr>
            <w:tcW w:w="3613" w:type="pct"/>
            <w:gridSpan w:val="3"/>
            <w:vAlign w:val="center"/>
          </w:tcPr>
          <w:p w14:paraId="13493E2A" w14:textId="265776AF" w:rsidR="000B6388" w:rsidRDefault="000B6388">
            <w:pPr>
              <w:pStyle w:val="TableText0"/>
              <w:jc w:val="right"/>
              <w:rPr>
                <w:i/>
                <w:iCs/>
              </w:rPr>
            </w:pPr>
            <w:r>
              <w:t>ITC between Bijuva versus Estrogel 1.25</w:t>
            </w:r>
            <w:r w:rsidR="0024159E">
              <w:t> </w:t>
            </w:r>
            <w:r>
              <w:t>g/day</w:t>
            </w:r>
          </w:p>
        </w:tc>
        <w:tc>
          <w:tcPr>
            <w:tcW w:w="1100" w:type="pct"/>
            <w:vAlign w:val="center"/>
          </w:tcPr>
          <w:p w14:paraId="7BE28F72" w14:textId="77777777" w:rsidR="000B6388" w:rsidRPr="004D7404" w:rsidRDefault="000B6388">
            <w:pPr>
              <w:pStyle w:val="TableText0"/>
              <w:jc w:val="center"/>
            </w:pPr>
            <w:r>
              <w:t>-0.08 (-0.4, 0.3)</w:t>
            </w:r>
          </w:p>
        </w:tc>
        <w:tc>
          <w:tcPr>
            <w:tcW w:w="287" w:type="pct"/>
            <w:vAlign w:val="center"/>
          </w:tcPr>
          <w:p w14:paraId="3DA5FF7A" w14:textId="46CA816A" w:rsidR="000B6388" w:rsidRPr="0098262F" w:rsidRDefault="00E91F64">
            <w:pPr>
              <w:pStyle w:val="TableText0"/>
              <w:jc w:val="center"/>
            </w:pPr>
            <w:r>
              <w:t>-</w:t>
            </w:r>
          </w:p>
        </w:tc>
      </w:tr>
      <w:tr w:rsidR="000B6388" w:rsidRPr="0098262F" w14:paraId="5DAEEC0F" w14:textId="77777777" w:rsidTr="00A6567C">
        <w:trPr>
          <w:cantSplit/>
        </w:trPr>
        <w:tc>
          <w:tcPr>
            <w:tcW w:w="3613" w:type="pct"/>
            <w:gridSpan w:val="3"/>
            <w:vAlign w:val="center"/>
          </w:tcPr>
          <w:p w14:paraId="47E46023" w14:textId="6C37D257" w:rsidR="000B6388" w:rsidRDefault="000B6388">
            <w:pPr>
              <w:pStyle w:val="TableText0"/>
              <w:jc w:val="right"/>
              <w:rPr>
                <w:i/>
                <w:iCs/>
              </w:rPr>
            </w:pPr>
            <w:r>
              <w:t>ITC between Bijuva versus Estrogel 2.5</w:t>
            </w:r>
            <w:r w:rsidR="0024159E">
              <w:t> </w:t>
            </w:r>
            <w:r>
              <w:t>g/day</w:t>
            </w:r>
          </w:p>
        </w:tc>
        <w:tc>
          <w:tcPr>
            <w:tcW w:w="1100" w:type="pct"/>
            <w:vAlign w:val="center"/>
          </w:tcPr>
          <w:p w14:paraId="1F4907D7" w14:textId="77777777" w:rsidR="000B6388" w:rsidRPr="004D7404" w:rsidRDefault="000B6388">
            <w:pPr>
              <w:pStyle w:val="TableText0"/>
              <w:jc w:val="center"/>
            </w:pPr>
            <w:r>
              <w:t>0.2 (-0.3, 0.7)</w:t>
            </w:r>
          </w:p>
        </w:tc>
        <w:tc>
          <w:tcPr>
            <w:tcW w:w="287" w:type="pct"/>
            <w:vAlign w:val="center"/>
          </w:tcPr>
          <w:p w14:paraId="4FBE96E0" w14:textId="61D3924D" w:rsidR="000B6388" w:rsidRPr="0098262F" w:rsidRDefault="00E91F64">
            <w:pPr>
              <w:pStyle w:val="TableText0"/>
              <w:jc w:val="center"/>
            </w:pPr>
            <w:r>
              <w:t>-</w:t>
            </w:r>
          </w:p>
        </w:tc>
      </w:tr>
    </w:tbl>
    <w:p w14:paraId="1AA2EFBE" w14:textId="546F138B" w:rsidR="000B6388" w:rsidRPr="0098262F" w:rsidRDefault="000B6388" w:rsidP="000B6388">
      <w:pPr>
        <w:pStyle w:val="FooterTableFigure"/>
        <w:rPr>
          <w:sz w:val="20"/>
        </w:rPr>
      </w:pPr>
      <w:r w:rsidRPr="0098262F">
        <w:t xml:space="preserve">Source: </w:t>
      </w:r>
      <w:r>
        <w:t xml:space="preserve">Table 2-23, p109; </w:t>
      </w:r>
      <w:r w:rsidRPr="0098262F">
        <w:t>Table</w:t>
      </w:r>
      <w:r>
        <w:t xml:space="preserve"> 2-39, p135</w:t>
      </w:r>
      <w:r w:rsidRPr="0098262F">
        <w:t xml:space="preserve"> of the submission</w:t>
      </w:r>
      <w:r w:rsidR="00E84838">
        <w:t xml:space="preserve"> main body</w:t>
      </w:r>
      <w:r w:rsidRPr="0098262F">
        <w:t>.</w:t>
      </w:r>
    </w:p>
    <w:p w14:paraId="77D3FBE6" w14:textId="498280FD" w:rsidR="000B6388" w:rsidRDefault="000B6388" w:rsidP="000B6388">
      <w:pPr>
        <w:pStyle w:val="FooterTableFigure"/>
        <w:rPr>
          <w:rFonts w:eastAsia="Calibri"/>
        </w:rPr>
      </w:pPr>
      <w:r w:rsidRPr="0098262F">
        <w:rPr>
          <w:rFonts w:eastAsia="Calibri"/>
        </w:rPr>
        <w:t xml:space="preserve">CI = confidence interval; </w:t>
      </w:r>
      <w:r w:rsidR="00732E1F">
        <w:rPr>
          <w:rFonts w:eastAsia="Calibri"/>
        </w:rPr>
        <w:t xml:space="preserve">ITC = indirect treatment comparison; </w:t>
      </w:r>
      <w:r w:rsidRPr="00E432E1">
        <w:rPr>
          <w:rFonts w:eastAsia="Calibri"/>
        </w:rPr>
        <w:t xml:space="preserve">LS = least square; MITT = modified intent to treat; </w:t>
      </w:r>
      <w:r w:rsidRPr="0098262F">
        <w:rPr>
          <w:rFonts w:eastAsia="Calibri"/>
        </w:rPr>
        <w:t xml:space="preserve">n = number of participants with event; N = total participants in group; </w:t>
      </w:r>
      <w:r>
        <w:rPr>
          <w:rFonts w:eastAsia="Calibri"/>
        </w:rPr>
        <w:t>NR = not reported;</w:t>
      </w:r>
      <w:r w:rsidRPr="00E432E1">
        <w:t xml:space="preserve"> </w:t>
      </w:r>
      <w:r w:rsidRPr="00E432E1">
        <w:rPr>
          <w:rFonts w:eastAsia="Calibri"/>
        </w:rPr>
        <w:t>SD = standard deviation; SE = standard error; VMS = vasomotor symptom</w:t>
      </w:r>
      <w:r w:rsidR="00335F3F">
        <w:rPr>
          <w:rFonts w:eastAsia="Calibri"/>
        </w:rPr>
        <w:t>s</w:t>
      </w:r>
      <w:r w:rsidRPr="00E432E1">
        <w:rPr>
          <w:rFonts w:eastAsia="Calibri"/>
        </w:rPr>
        <w:t>.</w:t>
      </w:r>
    </w:p>
    <w:p w14:paraId="1A73A962" w14:textId="2F17D75F" w:rsidR="000B6388" w:rsidRDefault="000B6388" w:rsidP="000B6388">
      <w:pPr>
        <w:pStyle w:val="FooterTableFigure"/>
        <w:rPr>
          <w:rFonts w:eastAsia="Calibri"/>
        </w:rPr>
      </w:pPr>
      <w:r>
        <w:rPr>
          <w:rFonts w:eastAsia="Calibri"/>
        </w:rPr>
        <w:t>*</w:t>
      </w:r>
      <w:r w:rsidRPr="003A39A0">
        <w:t xml:space="preserve"> </w:t>
      </w:r>
      <w:r w:rsidRPr="003A39A0">
        <w:rPr>
          <w:rFonts w:eastAsia="Calibri"/>
        </w:rPr>
        <w:t>REPLENISH primary outcome include</w:t>
      </w:r>
      <w:r>
        <w:rPr>
          <w:rFonts w:eastAsia="Calibri"/>
        </w:rPr>
        <w:t>d</w:t>
      </w:r>
      <w:r w:rsidRPr="003A39A0">
        <w:rPr>
          <w:rFonts w:eastAsia="Calibri"/>
        </w:rPr>
        <w:t xml:space="preserve"> moderate and severe VMS severity, with any severity</w:t>
      </w:r>
      <w:r w:rsidR="00320767">
        <w:rPr>
          <w:rFonts w:eastAsia="Calibri"/>
        </w:rPr>
        <w:t xml:space="preserve"> (mild, moderate and severe)</w:t>
      </w:r>
      <w:r w:rsidRPr="003A39A0">
        <w:rPr>
          <w:rFonts w:eastAsia="Calibri"/>
        </w:rPr>
        <w:t xml:space="preserve"> reported as a secondary outcome. Archer</w:t>
      </w:r>
      <w:r w:rsidR="0065432A">
        <w:rPr>
          <w:rFonts w:eastAsia="Calibri"/>
        </w:rPr>
        <w:t xml:space="preserve"> et al.</w:t>
      </w:r>
      <w:r w:rsidRPr="003A39A0">
        <w:rPr>
          <w:rFonts w:eastAsia="Calibri"/>
        </w:rPr>
        <w:t xml:space="preserve"> </w:t>
      </w:r>
      <w:r>
        <w:rPr>
          <w:rFonts w:eastAsia="Calibri"/>
        </w:rPr>
        <w:t>(</w:t>
      </w:r>
      <w:r w:rsidRPr="003A39A0">
        <w:rPr>
          <w:rFonts w:eastAsia="Calibri"/>
        </w:rPr>
        <w:t>2003</w:t>
      </w:r>
      <w:r>
        <w:rPr>
          <w:rFonts w:eastAsia="Calibri"/>
        </w:rPr>
        <w:t>)</w:t>
      </w:r>
      <w:r w:rsidRPr="003A39A0">
        <w:rPr>
          <w:rFonts w:eastAsia="Calibri"/>
        </w:rPr>
        <w:t xml:space="preserve"> report</w:t>
      </w:r>
      <w:r>
        <w:rPr>
          <w:rFonts w:eastAsia="Calibri"/>
        </w:rPr>
        <w:t>ed</w:t>
      </w:r>
      <w:r w:rsidRPr="003A39A0">
        <w:rPr>
          <w:rFonts w:eastAsia="Calibri"/>
        </w:rPr>
        <w:t xml:space="preserve"> severity for any VMS only, with no published details for moderate and severe VMS severity</w:t>
      </w:r>
      <w:r>
        <w:rPr>
          <w:rFonts w:eastAsia="Calibri"/>
        </w:rPr>
        <w:t>.</w:t>
      </w:r>
    </w:p>
    <w:p w14:paraId="6235CDC5" w14:textId="77777777" w:rsidR="000B6388" w:rsidRDefault="000B6388" w:rsidP="000B6388">
      <w:pPr>
        <w:pStyle w:val="FooterTableFigure"/>
        <w:rPr>
          <w:rFonts w:eastAsia="Calibri"/>
        </w:rPr>
      </w:pPr>
      <w:r w:rsidRPr="002F626C">
        <w:rPr>
          <w:vertAlign w:val="superscript"/>
        </w:rPr>
        <w:t>a</w:t>
      </w:r>
      <w:r>
        <w:t xml:space="preserve"> </w:t>
      </w:r>
      <w:proofErr w:type="gramStart"/>
      <w:r>
        <w:t>Mixed</w:t>
      </w:r>
      <w:proofErr w:type="gramEnd"/>
      <w:r>
        <w:t xml:space="preserve"> model repeated measure analysis (MMRM)</w:t>
      </w:r>
      <w:r w:rsidRPr="00814422">
        <w:t>.</w:t>
      </w:r>
      <w:r w:rsidRPr="006E67EA">
        <w:rPr>
          <w:rFonts w:eastAsia="Calibri"/>
        </w:rPr>
        <w:t xml:space="preserve"> </w:t>
      </w:r>
    </w:p>
    <w:p w14:paraId="4523EF1C" w14:textId="63842145" w:rsidR="000B6388" w:rsidRDefault="000B6388" w:rsidP="000B6388">
      <w:pPr>
        <w:pStyle w:val="FooterTableFigure"/>
      </w:pPr>
      <w:r w:rsidRPr="002F626C">
        <w:rPr>
          <w:vertAlign w:val="superscript"/>
        </w:rPr>
        <w:t>b</w:t>
      </w:r>
      <w:r w:rsidRPr="009E7518">
        <w:t xml:space="preserve"> Analysed population is described as a modified ITT population (i.e. patients who took investigational product and had postbaseline outcome assessments). Specific N values are not reported at Week 4 and Week 12</w:t>
      </w:r>
      <w:r w:rsidR="00732E1F">
        <w:t>.</w:t>
      </w:r>
    </w:p>
    <w:p w14:paraId="0E98D845" w14:textId="76F1910E" w:rsidR="000B6388" w:rsidRPr="006E67EA" w:rsidRDefault="000B6388" w:rsidP="000B6388">
      <w:pPr>
        <w:pStyle w:val="FooterTableFigure"/>
        <w:rPr>
          <w:rFonts w:eastAsia="Calibri"/>
        </w:rPr>
      </w:pPr>
      <w:r w:rsidRPr="00FE1719">
        <w:rPr>
          <w:rFonts w:eastAsia="Calibri"/>
          <w:vertAlign w:val="superscript"/>
        </w:rPr>
        <w:t>c</w:t>
      </w:r>
      <w:r w:rsidRPr="0055583A">
        <w:rPr>
          <w:rFonts w:eastAsia="Calibri"/>
        </w:rPr>
        <w:t xml:space="preserve"> </w:t>
      </w:r>
      <w:r>
        <w:rPr>
          <w:rFonts w:eastAsia="Calibri"/>
        </w:rPr>
        <w:t>D</w:t>
      </w:r>
      <w:r w:rsidRPr="0055583A">
        <w:rPr>
          <w:rFonts w:eastAsia="Calibri"/>
        </w:rPr>
        <w:t xml:space="preserve">ata estimated </w:t>
      </w:r>
      <w:r>
        <w:rPr>
          <w:rFonts w:eastAsia="Calibri"/>
        </w:rPr>
        <w:t>in the submission based on</w:t>
      </w:r>
      <w:r w:rsidRPr="0055583A">
        <w:rPr>
          <w:rFonts w:eastAsia="Calibri"/>
        </w:rPr>
        <w:t xml:space="preserve"> </w:t>
      </w:r>
      <w:r>
        <w:rPr>
          <w:rFonts w:eastAsia="Calibri"/>
        </w:rPr>
        <w:t xml:space="preserve">Figure 2 </w:t>
      </w:r>
      <w:r w:rsidRPr="0055583A">
        <w:rPr>
          <w:rFonts w:eastAsia="Calibri"/>
        </w:rPr>
        <w:t xml:space="preserve">in Archer </w:t>
      </w:r>
      <w:r w:rsidR="0065432A">
        <w:rPr>
          <w:rFonts w:eastAsia="Calibri"/>
        </w:rPr>
        <w:t xml:space="preserve">et al. </w:t>
      </w:r>
      <w:r w:rsidRPr="0055583A">
        <w:rPr>
          <w:rFonts w:eastAsia="Calibri"/>
        </w:rPr>
        <w:t>(2003)</w:t>
      </w:r>
      <w:r>
        <w:tab/>
      </w:r>
    </w:p>
    <w:p w14:paraId="18AD9367" w14:textId="77777777" w:rsidR="000B6388" w:rsidRDefault="000B6388" w:rsidP="000B6388">
      <w:pPr>
        <w:pStyle w:val="FooterTableFigure"/>
        <w:rPr>
          <w:rFonts w:eastAsia="Calibri"/>
        </w:rPr>
      </w:pPr>
      <w:r w:rsidRPr="0098262F">
        <w:rPr>
          <w:rFonts w:eastAsia="Calibri"/>
          <w:b/>
          <w:bCs/>
        </w:rPr>
        <w:t>Bold</w:t>
      </w:r>
      <w:r w:rsidRPr="0098262F">
        <w:rPr>
          <w:rFonts w:eastAsia="Calibri"/>
        </w:rPr>
        <w:t xml:space="preserve"> indicates statistically significant results.</w:t>
      </w:r>
    </w:p>
    <w:p w14:paraId="55FCA312" w14:textId="105718E3" w:rsidR="000B6388" w:rsidRPr="00F65CF0" w:rsidRDefault="004130BD" w:rsidP="000B6388">
      <w:pPr>
        <w:pStyle w:val="FooterTableFigure"/>
        <w:rPr>
          <w:rStyle w:val="CommentReference"/>
          <w:b w:val="0"/>
          <w:sz w:val="18"/>
          <w:szCs w:val="18"/>
        </w:rPr>
      </w:pPr>
      <w:r>
        <w:rPr>
          <w:rStyle w:val="CommentReference"/>
          <w:b w:val="0"/>
          <w:i/>
          <w:iCs/>
          <w:sz w:val="18"/>
          <w:szCs w:val="18"/>
        </w:rPr>
        <w:t>^</w:t>
      </w:r>
      <w:r w:rsidR="000B6388" w:rsidRPr="00F65CF0">
        <w:rPr>
          <w:rStyle w:val="CommentReference"/>
          <w:b w:val="0"/>
          <w:sz w:val="18"/>
          <w:szCs w:val="18"/>
        </w:rPr>
        <w:t>added</w:t>
      </w:r>
      <w:r w:rsidR="000B6388">
        <w:rPr>
          <w:rStyle w:val="CommentReference"/>
          <w:b w:val="0"/>
          <w:sz w:val="18"/>
          <w:szCs w:val="18"/>
        </w:rPr>
        <w:t xml:space="preserve"> </w:t>
      </w:r>
      <w:r w:rsidR="000B6388" w:rsidRPr="00F65CF0">
        <w:rPr>
          <w:rStyle w:val="CommentReference"/>
          <w:b w:val="0"/>
          <w:sz w:val="18"/>
          <w:szCs w:val="18"/>
        </w:rPr>
        <w:t xml:space="preserve">based on </w:t>
      </w:r>
      <w:r w:rsidR="000B6388" w:rsidRPr="009A2100">
        <w:rPr>
          <w:rStyle w:val="CommentReference"/>
          <w:b w:val="0"/>
          <w:sz w:val="18"/>
          <w:szCs w:val="18"/>
        </w:rPr>
        <w:t>Attachment 3</w:t>
      </w:r>
      <w:r w:rsidR="000B6388">
        <w:rPr>
          <w:rStyle w:val="CommentReference"/>
          <w:b w:val="0"/>
          <w:sz w:val="18"/>
          <w:szCs w:val="18"/>
        </w:rPr>
        <w:t xml:space="preserve"> </w:t>
      </w:r>
      <w:r w:rsidR="000B6388" w:rsidRPr="009E7518">
        <w:rPr>
          <w:rStyle w:val="CommentReference"/>
          <w:b w:val="0"/>
          <w:sz w:val="18"/>
          <w:szCs w:val="18"/>
        </w:rPr>
        <w:t>Clinical Study Report</w:t>
      </w:r>
      <w:r w:rsidR="000B6388">
        <w:rPr>
          <w:rStyle w:val="CommentReference"/>
          <w:b w:val="0"/>
          <w:sz w:val="18"/>
          <w:szCs w:val="18"/>
        </w:rPr>
        <w:t>.</w:t>
      </w:r>
    </w:p>
    <w:p w14:paraId="5808BC69" w14:textId="55788181" w:rsidR="000B6388" w:rsidRPr="008E0791" w:rsidRDefault="000B6388" w:rsidP="000B6388">
      <w:pPr>
        <w:pStyle w:val="3-BodyText"/>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 xml:space="preserve">In REPLENISH, </w:t>
      </w:r>
      <w:r w:rsidRPr="008E0791">
        <w:rPr>
          <w:rStyle w:val="CommentReference"/>
          <w:rFonts w:asciiTheme="minorHAnsi" w:hAnsiTheme="minorHAnsi" w:cstheme="minorHAnsi"/>
          <w:b w:val="0"/>
          <w:sz w:val="24"/>
          <w:szCs w:val="24"/>
        </w:rPr>
        <w:t xml:space="preserve">Bijuva demonstrated a </w:t>
      </w:r>
      <w:r w:rsidRPr="004C4D7E">
        <w:rPr>
          <w:rStyle w:val="CommentReference"/>
          <w:rFonts w:asciiTheme="minorHAnsi" w:hAnsiTheme="minorHAnsi" w:cstheme="minorHAnsi"/>
          <w:b w:val="0"/>
          <w:sz w:val="24"/>
          <w:szCs w:val="24"/>
        </w:rPr>
        <w:t>statistically</w:t>
      </w:r>
      <w:r w:rsidRPr="008E0791">
        <w:rPr>
          <w:rStyle w:val="CommentReference"/>
          <w:rFonts w:asciiTheme="minorHAnsi" w:hAnsiTheme="minorHAnsi" w:cstheme="minorHAnsi"/>
          <w:b w:val="0"/>
          <w:sz w:val="24"/>
          <w:szCs w:val="24"/>
        </w:rPr>
        <w:t xml:space="preserve"> significant reduction in the mean severity </w:t>
      </w:r>
      <w:r>
        <w:rPr>
          <w:rStyle w:val="CommentReference"/>
          <w:rFonts w:asciiTheme="minorHAnsi" w:hAnsiTheme="minorHAnsi" w:cstheme="minorHAnsi"/>
          <w:b w:val="0"/>
          <w:sz w:val="24"/>
          <w:szCs w:val="24"/>
        </w:rPr>
        <w:t xml:space="preserve">score </w:t>
      </w:r>
      <w:r w:rsidRPr="008E0791">
        <w:rPr>
          <w:rStyle w:val="CommentReference"/>
          <w:rFonts w:asciiTheme="minorHAnsi" w:hAnsiTheme="minorHAnsi" w:cstheme="minorHAnsi"/>
          <w:b w:val="0"/>
          <w:sz w:val="24"/>
          <w:szCs w:val="24"/>
        </w:rPr>
        <w:t xml:space="preserve">of moderate to severe VMS </w:t>
      </w:r>
      <w:r>
        <w:rPr>
          <w:rStyle w:val="CommentReference"/>
          <w:rFonts w:asciiTheme="minorHAnsi" w:hAnsiTheme="minorHAnsi" w:cstheme="minorHAnsi"/>
          <w:b w:val="0"/>
          <w:sz w:val="24"/>
          <w:szCs w:val="24"/>
        </w:rPr>
        <w:t xml:space="preserve">(primary outcome in REPLENISH) </w:t>
      </w:r>
      <w:r w:rsidRPr="008E0791">
        <w:rPr>
          <w:rStyle w:val="CommentReference"/>
          <w:rFonts w:asciiTheme="minorHAnsi" w:hAnsiTheme="minorHAnsi" w:cstheme="minorHAnsi"/>
          <w:b w:val="0"/>
          <w:sz w:val="24"/>
          <w:szCs w:val="24"/>
        </w:rPr>
        <w:t>from baseline to Week 12, compared to placebo.</w:t>
      </w:r>
      <w:r>
        <w:rPr>
          <w:rStyle w:val="CommentReference"/>
          <w:rFonts w:asciiTheme="minorHAnsi" w:hAnsiTheme="minorHAnsi" w:cstheme="minorHAnsi"/>
          <w:b w:val="0"/>
          <w:sz w:val="24"/>
          <w:szCs w:val="24"/>
        </w:rPr>
        <w:t xml:space="preserve"> Likewise, </w:t>
      </w:r>
      <w:r w:rsidRPr="008E0791">
        <w:rPr>
          <w:rStyle w:val="CommentReference"/>
          <w:rFonts w:asciiTheme="minorHAnsi" w:hAnsiTheme="minorHAnsi" w:cstheme="minorHAnsi"/>
          <w:b w:val="0"/>
          <w:sz w:val="24"/>
          <w:szCs w:val="24"/>
        </w:rPr>
        <w:t xml:space="preserve">a </w:t>
      </w:r>
      <w:r w:rsidRPr="004C4D7E">
        <w:rPr>
          <w:rStyle w:val="CommentReference"/>
          <w:rFonts w:asciiTheme="minorHAnsi" w:hAnsiTheme="minorHAnsi" w:cstheme="minorHAnsi"/>
          <w:b w:val="0"/>
          <w:sz w:val="24"/>
          <w:szCs w:val="24"/>
        </w:rPr>
        <w:t>statistically</w:t>
      </w:r>
      <w:r w:rsidRPr="008E0791">
        <w:rPr>
          <w:rStyle w:val="CommentReference"/>
          <w:rFonts w:asciiTheme="minorHAnsi" w:hAnsiTheme="minorHAnsi" w:cstheme="minorHAnsi"/>
          <w:b w:val="0"/>
          <w:sz w:val="24"/>
          <w:szCs w:val="24"/>
        </w:rPr>
        <w:t xml:space="preserve"> significant reduction in the mean severity score of m</w:t>
      </w:r>
      <w:r>
        <w:rPr>
          <w:rStyle w:val="CommentReference"/>
          <w:rFonts w:asciiTheme="minorHAnsi" w:hAnsiTheme="minorHAnsi" w:cstheme="minorHAnsi"/>
          <w:b w:val="0"/>
          <w:sz w:val="24"/>
          <w:szCs w:val="24"/>
        </w:rPr>
        <w:t>ild, moderate and</w:t>
      </w:r>
      <w:r w:rsidRPr="008E0791">
        <w:rPr>
          <w:rStyle w:val="CommentReference"/>
          <w:rFonts w:asciiTheme="minorHAnsi" w:hAnsiTheme="minorHAnsi" w:cstheme="minorHAnsi"/>
          <w:b w:val="0"/>
          <w:sz w:val="24"/>
          <w:szCs w:val="24"/>
        </w:rPr>
        <w:t xml:space="preserve"> severe VMS </w:t>
      </w:r>
      <w:r>
        <w:rPr>
          <w:rStyle w:val="CommentReference"/>
          <w:rFonts w:asciiTheme="minorHAnsi" w:hAnsiTheme="minorHAnsi" w:cstheme="minorHAnsi"/>
          <w:b w:val="0"/>
          <w:sz w:val="24"/>
          <w:szCs w:val="24"/>
        </w:rPr>
        <w:t xml:space="preserve">(secondary outcome in REPLENISH) </w:t>
      </w:r>
      <w:r w:rsidRPr="008E0791">
        <w:rPr>
          <w:rStyle w:val="CommentReference"/>
          <w:rFonts w:asciiTheme="minorHAnsi" w:hAnsiTheme="minorHAnsi" w:cstheme="minorHAnsi"/>
          <w:b w:val="0"/>
          <w:sz w:val="24"/>
          <w:szCs w:val="24"/>
        </w:rPr>
        <w:t>from baseline to Week 12</w:t>
      </w:r>
      <w:r>
        <w:rPr>
          <w:rStyle w:val="CommentReference"/>
          <w:rFonts w:asciiTheme="minorHAnsi" w:hAnsiTheme="minorHAnsi" w:cstheme="minorHAnsi"/>
          <w:b w:val="0"/>
          <w:sz w:val="24"/>
          <w:szCs w:val="24"/>
        </w:rPr>
        <w:t xml:space="preserve"> was reported</w:t>
      </w:r>
      <w:r w:rsidRPr="008E0791">
        <w:rPr>
          <w:rStyle w:val="CommentReference"/>
          <w:rFonts w:asciiTheme="minorHAnsi" w:hAnsiTheme="minorHAnsi" w:cstheme="minorHAnsi"/>
          <w:b w:val="0"/>
          <w:sz w:val="24"/>
          <w:szCs w:val="24"/>
        </w:rPr>
        <w:t>, compar</w:t>
      </w:r>
      <w:r>
        <w:rPr>
          <w:rStyle w:val="CommentReference"/>
          <w:rFonts w:asciiTheme="minorHAnsi" w:hAnsiTheme="minorHAnsi" w:cstheme="minorHAnsi"/>
          <w:b w:val="0"/>
          <w:sz w:val="24"/>
          <w:szCs w:val="24"/>
        </w:rPr>
        <w:t xml:space="preserve">ing Bijuva </w:t>
      </w:r>
      <w:r w:rsidRPr="008E0791">
        <w:rPr>
          <w:rStyle w:val="CommentReference"/>
          <w:rFonts w:asciiTheme="minorHAnsi" w:hAnsiTheme="minorHAnsi" w:cstheme="minorHAnsi"/>
          <w:b w:val="0"/>
          <w:sz w:val="24"/>
          <w:szCs w:val="24"/>
        </w:rPr>
        <w:t>to placebo.</w:t>
      </w:r>
      <w:r w:rsidR="00BD7257">
        <w:rPr>
          <w:rStyle w:val="CommentReference"/>
          <w:rFonts w:asciiTheme="minorHAnsi" w:hAnsiTheme="minorHAnsi" w:cstheme="minorHAnsi"/>
          <w:b w:val="0"/>
          <w:sz w:val="24"/>
          <w:szCs w:val="24"/>
        </w:rPr>
        <w:t xml:space="preserve"> </w:t>
      </w:r>
      <w:r w:rsidR="008C1DDE" w:rsidRPr="004B410D">
        <w:rPr>
          <w:rStyle w:val="CommentReference"/>
          <w:rFonts w:asciiTheme="minorHAnsi" w:hAnsiTheme="minorHAnsi" w:cstheme="minorHAnsi"/>
          <w:b w:val="0"/>
          <w:sz w:val="24"/>
          <w:szCs w:val="24"/>
        </w:rPr>
        <w:t xml:space="preserve">The improvements </w:t>
      </w:r>
      <w:r w:rsidR="002E2B8D" w:rsidRPr="004B410D">
        <w:rPr>
          <w:rStyle w:val="CommentReference"/>
          <w:rFonts w:asciiTheme="minorHAnsi" w:hAnsiTheme="minorHAnsi" w:cstheme="minorHAnsi"/>
          <w:b w:val="0"/>
          <w:sz w:val="24"/>
          <w:szCs w:val="24"/>
        </w:rPr>
        <w:t xml:space="preserve">appear </w:t>
      </w:r>
      <w:r w:rsidR="00A30634" w:rsidRPr="004B410D">
        <w:rPr>
          <w:rStyle w:val="CommentReference"/>
          <w:rFonts w:asciiTheme="minorHAnsi" w:hAnsiTheme="minorHAnsi" w:cstheme="minorHAnsi"/>
          <w:b w:val="0"/>
          <w:sz w:val="24"/>
          <w:szCs w:val="24"/>
        </w:rPr>
        <w:t>modest</w:t>
      </w:r>
      <w:r w:rsidR="002E2B8D" w:rsidRPr="004B410D">
        <w:rPr>
          <w:rStyle w:val="CommentReference"/>
          <w:rFonts w:asciiTheme="minorHAnsi" w:hAnsiTheme="minorHAnsi" w:cstheme="minorHAnsi"/>
          <w:b w:val="0"/>
          <w:sz w:val="24"/>
          <w:szCs w:val="24"/>
        </w:rPr>
        <w:t xml:space="preserve"> and </w:t>
      </w:r>
      <w:r w:rsidR="000B1C4E" w:rsidRPr="004B410D">
        <w:rPr>
          <w:rStyle w:val="CommentReference"/>
          <w:rFonts w:asciiTheme="minorHAnsi" w:hAnsiTheme="minorHAnsi" w:cstheme="minorHAnsi"/>
          <w:b w:val="0"/>
          <w:sz w:val="24"/>
          <w:szCs w:val="24"/>
        </w:rPr>
        <w:t>may not be</w:t>
      </w:r>
      <w:r w:rsidR="002E2B8D" w:rsidRPr="004B410D">
        <w:rPr>
          <w:rStyle w:val="CommentReference"/>
          <w:rFonts w:asciiTheme="minorHAnsi" w:hAnsiTheme="minorHAnsi" w:cstheme="minorHAnsi"/>
          <w:b w:val="0"/>
          <w:sz w:val="24"/>
          <w:szCs w:val="24"/>
        </w:rPr>
        <w:t xml:space="preserve"> clinically meaningful.</w:t>
      </w:r>
    </w:p>
    <w:p w14:paraId="6230DDF0" w14:textId="4791A9FC" w:rsidR="000B6388" w:rsidRPr="008E0791" w:rsidRDefault="000B6388" w:rsidP="000B6388">
      <w:pPr>
        <w:pStyle w:val="3-BodyText"/>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 xml:space="preserve">In Archer et al. (2003), </w:t>
      </w:r>
      <w:r w:rsidRPr="008E0791">
        <w:rPr>
          <w:rStyle w:val="CommentReference"/>
          <w:rFonts w:asciiTheme="minorHAnsi" w:hAnsiTheme="minorHAnsi" w:cstheme="minorHAnsi"/>
          <w:b w:val="0"/>
          <w:sz w:val="24"/>
          <w:szCs w:val="24"/>
        </w:rPr>
        <w:t xml:space="preserve">Estrogel 1.25 g and 2.5 g showed a significant reduction in the mean </w:t>
      </w:r>
      <w:r>
        <w:rPr>
          <w:rStyle w:val="CommentReference"/>
          <w:rFonts w:asciiTheme="minorHAnsi" w:hAnsiTheme="minorHAnsi" w:cstheme="minorHAnsi"/>
          <w:b w:val="0"/>
          <w:sz w:val="24"/>
          <w:szCs w:val="24"/>
        </w:rPr>
        <w:t>severity score</w:t>
      </w:r>
      <w:r w:rsidRPr="008E0791">
        <w:rPr>
          <w:rStyle w:val="CommentReference"/>
          <w:rFonts w:asciiTheme="minorHAnsi" w:hAnsiTheme="minorHAnsi" w:cstheme="minorHAnsi"/>
          <w:b w:val="0"/>
          <w:sz w:val="24"/>
          <w:szCs w:val="24"/>
        </w:rPr>
        <w:t xml:space="preserve"> of m</w:t>
      </w:r>
      <w:r>
        <w:rPr>
          <w:rStyle w:val="CommentReference"/>
          <w:rFonts w:asciiTheme="minorHAnsi" w:hAnsiTheme="minorHAnsi" w:cstheme="minorHAnsi"/>
          <w:b w:val="0"/>
          <w:sz w:val="24"/>
          <w:szCs w:val="24"/>
        </w:rPr>
        <w:t>ild, moderate and</w:t>
      </w:r>
      <w:r w:rsidRPr="008E0791">
        <w:rPr>
          <w:rStyle w:val="CommentReference"/>
          <w:rFonts w:asciiTheme="minorHAnsi" w:hAnsiTheme="minorHAnsi" w:cstheme="minorHAnsi"/>
          <w:b w:val="0"/>
          <w:sz w:val="24"/>
          <w:szCs w:val="24"/>
        </w:rPr>
        <w:t xml:space="preserve"> severe VMS from baseline to Week</w:t>
      </w:r>
      <w:r w:rsidR="00D728C8">
        <w:rPr>
          <w:rStyle w:val="CommentReference"/>
          <w:rFonts w:asciiTheme="minorHAnsi" w:hAnsiTheme="minorHAnsi" w:cstheme="minorHAnsi"/>
          <w:b w:val="0"/>
          <w:sz w:val="24"/>
          <w:szCs w:val="24"/>
        </w:rPr>
        <w:t> </w:t>
      </w:r>
      <w:r w:rsidRPr="008E0791">
        <w:rPr>
          <w:rStyle w:val="CommentReference"/>
          <w:rFonts w:asciiTheme="minorHAnsi" w:hAnsiTheme="minorHAnsi" w:cstheme="minorHAnsi"/>
          <w:b w:val="0"/>
          <w:sz w:val="24"/>
          <w:szCs w:val="24"/>
        </w:rPr>
        <w:t>12, compared to placebo.</w:t>
      </w:r>
      <w:r w:rsidR="00701FDB">
        <w:rPr>
          <w:rStyle w:val="CommentReference"/>
          <w:rFonts w:asciiTheme="minorHAnsi" w:hAnsiTheme="minorHAnsi" w:cstheme="minorHAnsi"/>
          <w:b w:val="0"/>
          <w:sz w:val="24"/>
          <w:szCs w:val="24"/>
        </w:rPr>
        <w:t xml:space="preserve"> </w:t>
      </w:r>
      <w:r w:rsidR="009951F8" w:rsidRPr="004C4D7E">
        <w:rPr>
          <w:rStyle w:val="CommentReference"/>
          <w:rFonts w:asciiTheme="minorHAnsi" w:hAnsiTheme="minorHAnsi" w:cstheme="minorHAnsi"/>
          <w:b w:val="0"/>
          <w:sz w:val="24"/>
          <w:szCs w:val="24"/>
        </w:rPr>
        <w:t>T</w:t>
      </w:r>
      <w:r w:rsidR="00701FDB" w:rsidRPr="004C4D7E">
        <w:rPr>
          <w:rStyle w:val="CommentReference"/>
          <w:rFonts w:asciiTheme="minorHAnsi" w:hAnsiTheme="minorHAnsi" w:cstheme="minorHAnsi"/>
          <w:b w:val="0"/>
          <w:sz w:val="24"/>
          <w:szCs w:val="24"/>
        </w:rPr>
        <w:t>he baseline data was missing from the study.</w:t>
      </w:r>
      <w:r w:rsidRPr="004C4D7E">
        <w:t xml:space="preserve"> </w:t>
      </w:r>
      <w:r w:rsidR="00F110FC" w:rsidRPr="004C4D7E">
        <w:t>F</w:t>
      </w:r>
      <w:r w:rsidR="000B1C4E" w:rsidRPr="004C4D7E">
        <w:t>urthermore</w:t>
      </w:r>
      <w:r w:rsidR="00701FDB" w:rsidRPr="004C4D7E">
        <w:t>, s</w:t>
      </w:r>
      <w:r w:rsidRPr="004C4D7E">
        <w:rPr>
          <w:rStyle w:val="CommentReference"/>
          <w:rFonts w:asciiTheme="minorHAnsi" w:hAnsiTheme="minorHAnsi" w:cstheme="minorHAnsi"/>
          <w:b w:val="0"/>
          <w:sz w:val="24"/>
          <w:szCs w:val="24"/>
        </w:rPr>
        <w:t>everity of moderate to severe hot flushes was not reported in Archer</w:t>
      </w:r>
      <w:r w:rsidR="00A63AA2" w:rsidRPr="004C4D7E">
        <w:rPr>
          <w:rStyle w:val="CommentReference"/>
          <w:rFonts w:asciiTheme="minorHAnsi" w:hAnsiTheme="minorHAnsi" w:cstheme="minorHAnsi"/>
          <w:b w:val="0"/>
          <w:sz w:val="24"/>
          <w:szCs w:val="24"/>
        </w:rPr>
        <w:t xml:space="preserve"> et al.</w:t>
      </w:r>
      <w:r w:rsidRPr="004C4D7E">
        <w:rPr>
          <w:rStyle w:val="CommentReference"/>
          <w:rFonts w:asciiTheme="minorHAnsi" w:hAnsiTheme="minorHAnsi" w:cstheme="minorHAnsi"/>
          <w:b w:val="0"/>
          <w:sz w:val="24"/>
          <w:szCs w:val="24"/>
        </w:rPr>
        <w:t xml:space="preserve"> (2003).</w:t>
      </w:r>
    </w:p>
    <w:p w14:paraId="07BF1935" w14:textId="66A0C750" w:rsidR="000B6388" w:rsidRPr="00C56203" w:rsidRDefault="000B6388" w:rsidP="000B6388">
      <w:pPr>
        <w:pStyle w:val="3-BodyText"/>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 xml:space="preserve">ITC results </w:t>
      </w:r>
      <w:r w:rsidRPr="00C11DE1">
        <w:rPr>
          <w:rStyle w:val="CommentReference"/>
          <w:rFonts w:asciiTheme="minorHAnsi" w:hAnsiTheme="minorHAnsi" w:cstheme="minorHAnsi"/>
          <w:b w:val="0"/>
          <w:sz w:val="24"/>
          <w:szCs w:val="24"/>
        </w:rPr>
        <w:t xml:space="preserve">showed no significant differences in the </w:t>
      </w:r>
      <w:r>
        <w:rPr>
          <w:rStyle w:val="CommentReference"/>
          <w:rFonts w:asciiTheme="minorHAnsi" w:hAnsiTheme="minorHAnsi" w:cstheme="minorHAnsi"/>
          <w:b w:val="0"/>
          <w:sz w:val="24"/>
          <w:szCs w:val="24"/>
        </w:rPr>
        <w:t>severity score</w:t>
      </w:r>
      <w:r w:rsidRPr="00C11DE1">
        <w:rPr>
          <w:rStyle w:val="CommentReference"/>
          <w:rFonts w:asciiTheme="minorHAnsi" w:hAnsiTheme="minorHAnsi" w:cstheme="minorHAnsi"/>
          <w:b w:val="0"/>
          <w:sz w:val="24"/>
          <w:szCs w:val="24"/>
        </w:rPr>
        <w:t xml:space="preserve"> of </w:t>
      </w:r>
      <w:r>
        <w:rPr>
          <w:rStyle w:val="CommentReference"/>
          <w:rFonts w:asciiTheme="minorHAnsi" w:hAnsiTheme="minorHAnsi" w:cstheme="minorHAnsi"/>
          <w:b w:val="0"/>
          <w:sz w:val="24"/>
          <w:szCs w:val="24"/>
        </w:rPr>
        <w:t>mild, moderate and</w:t>
      </w:r>
      <w:r w:rsidRPr="00C11DE1">
        <w:rPr>
          <w:rStyle w:val="CommentReference"/>
          <w:rFonts w:asciiTheme="minorHAnsi" w:hAnsiTheme="minorHAnsi" w:cstheme="minorHAnsi"/>
          <w:b w:val="0"/>
          <w:sz w:val="24"/>
          <w:szCs w:val="24"/>
        </w:rPr>
        <w:t xml:space="preserve"> severe VMS</w:t>
      </w:r>
      <w:r>
        <w:rPr>
          <w:rStyle w:val="CommentReference"/>
          <w:rFonts w:asciiTheme="minorHAnsi" w:hAnsiTheme="minorHAnsi" w:cstheme="minorHAnsi"/>
          <w:b w:val="0"/>
          <w:sz w:val="24"/>
          <w:szCs w:val="24"/>
        </w:rPr>
        <w:t xml:space="preserve">, comparing Bijuva to Estrogel 1.25 g and 2.5 g. </w:t>
      </w:r>
      <w:r w:rsidRPr="00C56203">
        <w:rPr>
          <w:rStyle w:val="CommentReference"/>
          <w:rFonts w:asciiTheme="minorHAnsi" w:hAnsiTheme="minorHAnsi" w:cstheme="minorHAnsi"/>
          <w:b w:val="0"/>
          <w:sz w:val="24"/>
          <w:szCs w:val="24"/>
        </w:rPr>
        <w:t xml:space="preserve">There </w:t>
      </w:r>
      <w:r w:rsidR="00B116EE" w:rsidRPr="00C56203">
        <w:rPr>
          <w:rStyle w:val="CommentReference"/>
          <w:rFonts w:asciiTheme="minorHAnsi" w:hAnsiTheme="minorHAnsi" w:cstheme="minorHAnsi"/>
          <w:b w:val="0"/>
          <w:sz w:val="24"/>
          <w:szCs w:val="24"/>
        </w:rPr>
        <w:t>were</w:t>
      </w:r>
      <w:r w:rsidRPr="00C56203">
        <w:rPr>
          <w:rStyle w:val="CommentReference"/>
          <w:rFonts w:asciiTheme="minorHAnsi" w:hAnsiTheme="minorHAnsi" w:cstheme="minorHAnsi"/>
          <w:b w:val="0"/>
          <w:sz w:val="24"/>
          <w:szCs w:val="24"/>
        </w:rPr>
        <w:t xml:space="preserve"> no known </w:t>
      </w:r>
      <w:r w:rsidR="00887967" w:rsidRPr="00C56203">
        <w:rPr>
          <w:rStyle w:val="CommentReference"/>
          <w:rFonts w:asciiTheme="minorHAnsi" w:hAnsiTheme="minorHAnsi" w:cstheme="minorHAnsi"/>
          <w:b w:val="0"/>
          <w:sz w:val="24"/>
          <w:szCs w:val="24"/>
        </w:rPr>
        <w:t>non-inferiority</w:t>
      </w:r>
      <w:r w:rsidRPr="00C56203">
        <w:rPr>
          <w:rStyle w:val="CommentReference"/>
          <w:rFonts w:asciiTheme="minorHAnsi" w:hAnsiTheme="minorHAnsi" w:cstheme="minorHAnsi"/>
          <w:b w:val="0"/>
          <w:sz w:val="24"/>
          <w:szCs w:val="24"/>
        </w:rPr>
        <w:t xml:space="preserve"> margins to evaluate treatment non-inferiority</w:t>
      </w:r>
      <w:r w:rsidR="000C2F74" w:rsidRPr="00C56203">
        <w:rPr>
          <w:rStyle w:val="CommentReference"/>
          <w:rFonts w:asciiTheme="minorHAnsi" w:hAnsiTheme="minorHAnsi" w:cstheme="minorHAnsi"/>
          <w:b w:val="0"/>
          <w:sz w:val="24"/>
          <w:szCs w:val="24"/>
        </w:rPr>
        <w:t>,</w:t>
      </w:r>
      <w:r w:rsidR="000C2F74" w:rsidRPr="00C56203">
        <w:rPr>
          <w:rStyle w:val="CommentReference"/>
          <w:rFonts w:asciiTheme="minorHAnsi" w:hAnsiTheme="minorHAnsi" w:cstheme="minorHAnsi"/>
          <w:b w:val="0"/>
          <w:bCs/>
          <w:sz w:val="24"/>
          <w:szCs w:val="24"/>
        </w:rPr>
        <w:t xml:space="preserve"> and the</w:t>
      </w:r>
      <w:r w:rsidR="000C2F74" w:rsidRPr="00C56203">
        <w:t xml:space="preserve"> </w:t>
      </w:r>
      <w:r w:rsidR="000C2F74" w:rsidRPr="00C56203">
        <w:rPr>
          <w:rStyle w:val="CommentReference"/>
          <w:rFonts w:asciiTheme="minorHAnsi" w:hAnsiTheme="minorHAnsi" w:cstheme="minorHAnsi"/>
          <w:b w:val="0"/>
          <w:bCs/>
          <w:sz w:val="24"/>
          <w:szCs w:val="24"/>
        </w:rPr>
        <w:t>efficacy differences between Bijuva and Estrogel must be interpreted cautiously given population differences (</w:t>
      </w:r>
      <w:r w:rsidR="000C2F74" w:rsidRPr="009A2100">
        <w:rPr>
          <w:rStyle w:val="CommentReference"/>
          <w:rFonts w:asciiTheme="minorHAnsi" w:hAnsiTheme="minorHAnsi" w:cstheme="minorHAnsi"/>
          <w:b w:val="0"/>
          <w:bCs/>
          <w:sz w:val="24"/>
          <w:szCs w:val="24"/>
        </w:rPr>
        <w:t xml:space="preserve">for further details refer paragraph </w:t>
      </w:r>
      <w:r w:rsidR="00D76586" w:rsidRPr="009A2100">
        <w:rPr>
          <w:rStyle w:val="CommentReference"/>
          <w:rFonts w:asciiTheme="minorHAnsi" w:hAnsiTheme="minorHAnsi" w:cstheme="minorHAnsi"/>
          <w:b w:val="0"/>
          <w:sz w:val="24"/>
          <w:szCs w:val="24"/>
        </w:rPr>
        <w:fldChar w:fldCharType="begin"/>
      </w:r>
      <w:r w:rsidR="00D76586" w:rsidRPr="009A2100">
        <w:rPr>
          <w:rStyle w:val="CommentReference"/>
          <w:rFonts w:asciiTheme="minorHAnsi" w:hAnsiTheme="minorHAnsi" w:cstheme="minorHAnsi"/>
          <w:b w:val="0"/>
          <w:sz w:val="24"/>
          <w:szCs w:val="24"/>
        </w:rPr>
        <w:instrText xml:space="preserve"> REF _Ref207883988 \r \h </w:instrText>
      </w:r>
      <w:r w:rsidR="00C56203" w:rsidRPr="009A2100">
        <w:rPr>
          <w:rStyle w:val="CommentReference"/>
          <w:rFonts w:asciiTheme="minorHAnsi" w:hAnsiTheme="minorHAnsi" w:cstheme="minorHAnsi"/>
          <w:b w:val="0"/>
          <w:sz w:val="24"/>
          <w:szCs w:val="24"/>
        </w:rPr>
        <w:instrText xml:space="preserve"> \* MERGEFORMAT </w:instrText>
      </w:r>
      <w:r w:rsidR="00D76586" w:rsidRPr="009A2100">
        <w:rPr>
          <w:rStyle w:val="CommentReference"/>
          <w:rFonts w:asciiTheme="minorHAnsi" w:hAnsiTheme="minorHAnsi" w:cstheme="minorHAnsi"/>
          <w:b w:val="0"/>
          <w:sz w:val="24"/>
          <w:szCs w:val="24"/>
        </w:rPr>
      </w:r>
      <w:r w:rsidR="00D76586" w:rsidRPr="009A2100">
        <w:rPr>
          <w:rStyle w:val="CommentReference"/>
          <w:rFonts w:asciiTheme="minorHAnsi" w:hAnsiTheme="minorHAnsi" w:cstheme="minorHAnsi"/>
          <w:b w:val="0"/>
          <w:sz w:val="24"/>
          <w:szCs w:val="24"/>
        </w:rPr>
        <w:fldChar w:fldCharType="separate"/>
      </w:r>
      <w:r w:rsidR="00724077">
        <w:rPr>
          <w:rStyle w:val="CommentReference"/>
          <w:rFonts w:asciiTheme="minorHAnsi" w:hAnsiTheme="minorHAnsi" w:cstheme="minorHAnsi"/>
          <w:b w:val="0"/>
          <w:sz w:val="24"/>
          <w:szCs w:val="24"/>
        </w:rPr>
        <w:t>6.14</w:t>
      </w:r>
      <w:r w:rsidR="00D76586" w:rsidRPr="009A2100">
        <w:rPr>
          <w:rStyle w:val="CommentReference"/>
          <w:rFonts w:asciiTheme="minorHAnsi" w:hAnsiTheme="minorHAnsi" w:cstheme="minorHAnsi"/>
          <w:b w:val="0"/>
          <w:sz w:val="24"/>
          <w:szCs w:val="24"/>
        </w:rPr>
        <w:fldChar w:fldCharType="end"/>
      </w:r>
      <w:r w:rsidR="001D130A" w:rsidRPr="00C56203">
        <w:rPr>
          <w:rStyle w:val="CommentReference"/>
          <w:rFonts w:asciiTheme="minorHAnsi" w:hAnsiTheme="minorHAnsi" w:cstheme="minorHAnsi"/>
          <w:b w:val="0"/>
          <w:bCs/>
          <w:sz w:val="24"/>
          <w:szCs w:val="24"/>
        </w:rPr>
        <w:t>)</w:t>
      </w:r>
      <w:r w:rsidR="000C2F74" w:rsidRPr="00C56203">
        <w:rPr>
          <w:rStyle w:val="CommentReference"/>
          <w:rFonts w:asciiTheme="minorHAnsi" w:hAnsiTheme="minorHAnsi" w:cstheme="minorHAnsi"/>
          <w:b w:val="0"/>
          <w:bCs/>
          <w:sz w:val="24"/>
          <w:szCs w:val="24"/>
        </w:rPr>
        <w:t>.</w:t>
      </w:r>
    </w:p>
    <w:p w14:paraId="6C2EC020" w14:textId="701B0AB3" w:rsidR="00887967" w:rsidRPr="00887967" w:rsidRDefault="000B6388" w:rsidP="00887967">
      <w:pPr>
        <w:pStyle w:val="3-BodyText"/>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lastRenderedPageBreak/>
        <w:fldChar w:fldCharType="begin"/>
      </w:r>
      <w:r>
        <w:rPr>
          <w:rStyle w:val="CommentReference"/>
          <w:rFonts w:asciiTheme="minorHAnsi" w:hAnsiTheme="minorHAnsi" w:cstheme="minorHAnsi"/>
          <w:b w:val="0"/>
          <w:sz w:val="24"/>
          <w:szCs w:val="24"/>
        </w:rPr>
        <w:instrText xml:space="preserve"> REF _Ref207122784 \h </w:instrText>
      </w:r>
      <w:r>
        <w:rPr>
          <w:rStyle w:val="CommentReference"/>
          <w:rFonts w:asciiTheme="minorHAnsi" w:hAnsiTheme="minorHAnsi" w:cstheme="minorHAnsi"/>
          <w:b w:val="0"/>
          <w:sz w:val="24"/>
          <w:szCs w:val="24"/>
        </w:rPr>
      </w:r>
      <w:r>
        <w:rPr>
          <w:rStyle w:val="CommentReference"/>
          <w:rFonts w:asciiTheme="minorHAnsi" w:hAnsiTheme="minorHAnsi" w:cstheme="minorHAnsi"/>
          <w:b w:val="0"/>
          <w:sz w:val="24"/>
          <w:szCs w:val="24"/>
        </w:rPr>
        <w:fldChar w:fldCharType="separate"/>
      </w:r>
      <w:r w:rsidR="00724077" w:rsidRPr="0098262F">
        <w:t xml:space="preserve">Table </w:t>
      </w:r>
      <w:r w:rsidR="00724077">
        <w:rPr>
          <w:noProof/>
        </w:rPr>
        <w:t>6</w:t>
      </w:r>
      <w:r>
        <w:rPr>
          <w:rStyle w:val="CommentReference"/>
          <w:rFonts w:asciiTheme="minorHAnsi" w:hAnsiTheme="minorHAnsi" w:cstheme="minorHAnsi"/>
          <w:b w:val="0"/>
          <w:sz w:val="24"/>
          <w:szCs w:val="24"/>
        </w:rPr>
        <w:fldChar w:fldCharType="end"/>
      </w:r>
      <w:r>
        <w:rPr>
          <w:rStyle w:val="CommentReference"/>
          <w:rFonts w:asciiTheme="minorHAnsi" w:hAnsiTheme="minorHAnsi" w:cstheme="minorHAnsi"/>
          <w:b w:val="0"/>
          <w:sz w:val="24"/>
          <w:szCs w:val="24"/>
        </w:rPr>
        <w:t xml:space="preserve"> </w:t>
      </w:r>
      <w:r w:rsidRPr="00674226">
        <w:rPr>
          <w:rStyle w:val="CommentReference"/>
          <w:rFonts w:asciiTheme="minorHAnsi" w:hAnsiTheme="minorHAnsi" w:cstheme="minorHAnsi"/>
          <w:b w:val="0"/>
          <w:sz w:val="24"/>
          <w:szCs w:val="24"/>
        </w:rPr>
        <w:t>presents the change</w:t>
      </w:r>
      <w:r w:rsidR="00E072B4">
        <w:rPr>
          <w:rStyle w:val="CommentReference"/>
          <w:rFonts w:asciiTheme="minorHAnsi" w:hAnsiTheme="minorHAnsi" w:cstheme="minorHAnsi"/>
          <w:b w:val="0"/>
          <w:sz w:val="24"/>
          <w:szCs w:val="24"/>
        </w:rPr>
        <w:t xml:space="preserve"> from baseline to Week 12</w:t>
      </w:r>
      <w:r w:rsidRPr="00674226">
        <w:rPr>
          <w:rStyle w:val="CommentReference"/>
          <w:rFonts w:asciiTheme="minorHAnsi" w:hAnsiTheme="minorHAnsi" w:cstheme="minorHAnsi"/>
          <w:b w:val="0"/>
          <w:sz w:val="24"/>
          <w:szCs w:val="24"/>
        </w:rPr>
        <w:t xml:space="preserve"> in </w:t>
      </w:r>
      <w:r>
        <w:rPr>
          <w:rStyle w:val="CommentReference"/>
          <w:rFonts w:asciiTheme="minorHAnsi" w:hAnsiTheme="minorHAnsi" w:cstheme="minorHAnsi"/>
          <w:b w:val="0"/>
          <w:sz w:val="24"/>
          <w:szCs w:val="24"/>
        </w:rPr>
        <w:t>frequency of</w:t>
      </w:r>
      <w:r w:rsidRPr="00674226">
        <w:rPr>
          <w:rStyle w:val="CommentReference"/>
          <w:rFonts w:asciiTheme="minorHAnsi" w:hAnsiTheme="minorHAnsi" w:cstheme="minorHAnsi"/>
          <w:b w:val="0"/>
          <w:sz w:val="24"/>
          <w:szCs w:val="24"/>
        </w:rPr>
        <w:t xml:space="preserve"> mild</w:t>
      </w:r>
      <w:r>
        <w:rPr>
          <w:rStyle w:val="CommentReference"/>
          <w:rFonts w:asciiTheme="minorHAnsi" w:hAnsiTheme="minorHAnsi" w:cstheme="minorHAnsi"/>
          <w:b w:val="0"/>
          <w:sz w:val="24"/>
          <w:szCs w:val="24"/>
        </w:rPr>
        <w:t>, moderate and</w:t>
      </w:r>
      <w:r w:rsidRPr="00674226">
        <w:rPr>
          <w:rStyle w:val="CommentReference"/>
          <w:rFonts w:asciiTheme="minorHAnsi" w:hAnsiTheme="minorHAnsi" w:cstheme="minorHAnsi"/>
          <w:b w:val="0"/>
          <w:sz w:val="24"/>
          <w:szCs w:val="24"/>
        </w:rPr>
        <w:t xml:space="preserve"> severe VMS for Bijuva </w:t>
      </w:r>
      <w:r w:rsidR="00887967">
        <w:rPr>
          <w:rStyle w:val="CommentReference"/>
          <w:rFonts w:asciiTheme="minorHAnsi" w:hAnsiTheme="minorHAnsi" w:cstheme="minorHAnsi"/>
          <w:b w:val="0"/>
          <w:sz w:val="24"/>
          <w:szCs w:val="24"/>
        </w:rPr>
        <w:t>(MITT-VM</w:t>
      </w:r>
      <w:r w:rsidR="00785F4B">
        <w:rPr>
          <w:rStyle w:val="CommentReference"/>
          <w:rFonts w:asciiTheme="minorHAnsi" w:hAnsiTheme="minorHAnsi" w:cstheme="minorHAnsi"/>
          <w:b w:val="0"/>
          <w:sz w:val="24"/>
          <w:szCs w:val="24"/>
        </w:rPr>
        <w:t>S</w:t>
      </w:r>
      <w:r w:rsidR="00887967">
        <w:rPr>
          <w:rStyle w:val="CommentReference"/>
          <w:rFonts w:asciiTheme="minorHAnsi" w:hAnsiTheme="minorHAnsi" w:cstheme="minorHAnsi"/>
          <w:b w:val="0"/>
          <w:sz w:val="24"/>
          <w:szCs w:val="24"/>
        </w:rPr>
        <w:t xml:space="preserve">) </w:t>
      </w:r>
      <w:r w:rsidRPr="00674226">
        <w:rPr>
          <w:rStyle w:val="CommentReference"/>
          <w:rFonts w:asciiTheme="minorHAnsi" w:hAnsiTheme="minorHAnsi" w:cstheme="minorHAnsi"/>
          <w:b w:val="0"/>
          <w:sz w:val="24"/>
          <w:szCs w:val="24"/>
        </w:rPr>
        <w:t>and Estrogel</w:t>
      </w:r>
      <w:r w:rsidR="00887967">
        <w:rPr>
          <w:rStyle w:val="CommentReference"/>
          <w:rFonts w:asciiTheme="minorHAnsi" w:hAnsiTheme="minorHAnsi" w:cstheme="minorHAnsi"/>
          <w:b w:val="0"/>
          <w:sz w:val="24"/>
          <w:szCs w:val="24"/>
        </w:rPr>
        <w:t xml:space="preserve"> (MITT</w:t>
      </w:r>
      <w:r w:rsidR="00887967" w:rsidRPr="00887967">
        <w:rPr>
          <w:rStyle w:val="CommentReference"/>
          <w:rFonts w:asciiTheme="minorHAnsi" w:hAnsiTheme="minorHAnsi" w:cstheme="minorHAnsi"/>
          <w:b w:val="0"/>
          <w:sz w:val="24"/>
          <w:szCs w:val="24"/>
        </w:rPr>
        <w:t xml:space="preserve">), along with the results of the placebo-anchored unadjusted ITC. </w:t>
      </w:r>
    </w:p>
    <w:p w14:paraId="52499A92" w14:textId="01FD5B88" w:rsidR="000B6388" w:rsidRPr="0098262F" w:rsidRDefault="000B6388" w:rsidP="000732C9">
      <w:pPr>
        <w:pStyle w:val="TableFigureHeading"/>
        <w:jc w:val="both"/>
        <w:rPr>
          <w:rStyle w:val="CommentReference"/>
          <w:b/>
          <w:szCs w:val="24"/>
        </w:rPr>
      </w:pPr>
      <w:bookmarkStart w:id="30" w:name="_Ref207122784"/>
      <w:r w:rsidRPr="0098262F">
        <w:t xml:space="preserve">Table </w:t>
      </w:r>
      <w:r w:rsidR="003A0CC2">
        <w:fldChar w:fldCharType="begin"/>
      </w:r>
      <w:r w:rsidR="003A0CC2">
        <w:instrText xml:space="preserve"> SEQ Table \* ARABIC </w:instrText>
      </w:r>
      <w:r w:rsidR="003A0CC2">
        <w:fldChar w:fldCharType="separate"/>
      </w:r>
      <w:r w:rsidR="00724077">
        <w:rPr>
          <w:noProof/>
        </w:rPr>
        <w:t>6</w:t>
      </w:r>
      <w:r w:rsidR="003A0CC2">
        <w:rPr>
          <w:noProof/>
        </w:rPr>
        <w:fldChar w:fldCharType="end"/>
      </w:r>
      <w:bookmarkEnd w:id="30"/>
      <w:r w:rsidRPr="0098262F">
        <w:t>:</w:t>
      </w:r>
      <w:r w:rsidRPr="0098262F">
        <w:rPr>
          <w:rStyle w:val="CommentReference"/>
          <w:b/>
          <w:szCs w:val="24"/>
        </w:rPr>
        <w:t xml:space="preserve"> </w:t>
      </w:r>
      <w:r w:rsidRPr="00384A4B">
        <w:rPr>
          <w:rStyle w:val="CommentReference"/>
          <w:b/>
          <w:szCs w:val="24"/>
        </w:rPr>
        <w:t>Results of change from baseline to Week 12 in the frequency of mild, moderate to severe VMS</w:t>
      </w:r>
      <w:r>
        <w:rPr>
          <w:rStyle w:val="CommentReference"/>
          <w:b/>
          <w:szCs w:val="24"/>
        </w:rPr>
        <w:t xml:space="preserve"> in REPLENISH and Archer et al. (2003)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change from baseline to Week 12 in the frequency of mild, moderate to severe VMS in REPLENISH and Archer et al. (2003)"/>
      </w:tblPr>
      <w:tblGrid>
        <w:gridCol w:w="2829"/>
        <w:gridCol w:w="1843"/>
        <w:gridCol w:w="1843"/>
        <w:gridCol w:w="1984"/>
        <w:gridCol w:w="518"/>
      </w:tblGrid>
      <w:tr w:rsidR="000B6388" w:rsidRPr="0098262F" w14:paraId="3FC0194E" w14:textId="77777777" w:rsidTr="00A6567C">
        <w:trPr>
          <w:cantSplit/>
          <w:tblHeader/>
        </w:trPr>
        <w:tc>
          <w:tcPr>
            <w:tcW w:w="1569" w:type="pct"/>
            <w:vAlign w:val="center"/>
          </w:tcPr>
          <w:p w14:paraId="6CBBC381" w14:textId="77777777" w:rsidR="000B6388" w:rsidRPr="0098262F" w:rsidRDefault="000B6388">
            <w:pPr>
              <w:pStyle w:val="TableFigureHeading"/>
              <w:jc w:val="center"/>
            </w:pPr>
            <w:r>
              <w:t>Intervention</w:t>
            </w:r>
          </w:p>
        </w:tc>
        <w:tc>
          <w:tcPr>
            <w:tcW w:w="1022" w:type="pct"/>
            <w:vAlign w:val="center"/>
          </w:tcPr>
          <w:p w14:paraId="7A481E5A" w14:textId="77777777" w:rsidR="000B6388" w:rsidRPr="0098262F" w:rsidRDefault="000B6388">
            <w:pPr>
              <w:pStyle w:val="TableFigureHeading"/>
              <w:jc w:val="center"/>
            </w:pPr>
            <w:r>
              <w:t>Bijuva</w:t>
            </w:r>
          </w:p>
          <w:p w14:paraId="3BC15184" w14:textId="77777777" w:rsidR="000B6388" w:rsidRPr="0098262F" w:rsidRDefault="000B6388">
            <w:pPr>
              <w:pStyle w:val="TableFigureHeading"/>
              <w:jc w:val="center"/>
            </w:pPr>
            <w:r>
              <w:t>N=141</w:t>
            </w:r>
          </w:p>
        </w:tc>
        <w:tc>
          <w:tcPr>
            <w:tcW w:w="1022" w:type="pct"/>
            <w:vAlign w:val="center"/>
          </w:tcPr>
          <w:p w14:paraId="0261014F" w14:textId="77777777" w:rsidR="000B6388" w:rsidRPr="0098262F" w:rsidRDefault="000B6388">
            <w:pPr>
              <w:pStyle w:val="TableFigureHeading"/>
              <w:jc w:val="center"/>
            </w:pPr>
            <w:r>
              <w:t>Placebo</w:t>
            </w:r>
          </w:p>
          <w:p w14:paraId="5E7BEAB2" w14:textId="77777777" w:rsidR="000B6388" w:rsidRPr="0098262F" w:rsidRDefault="000B6388">
            <w:pPr>
              <w:pStyle w:val="TableFigureHeading"/>
              <w:jc w:val="center"/>
            </w:pPr>
            <w:r>
              <w:t>N=135</w:t>
            </w:r>
          </w:p>
        </w:tc>
        <w:tc>
          <w:tcPr>
            <w:tcW w:w="1100" w:type="pct"/>
            <w:vAlign w:val="center"/>
          </w:tcPr>
          <w:p w14:paraId="52E794F1" w14:textId="77777777" w:rsidR="000B6388" w:rsidRPr="0098262F" w:rsidRDefault="000B6388">
            <w:pPr>
              <w:pStyle w:val="TableFigureHeading"/>
              <w:jc w:val="center"/>
            </w:pPr>
            <w:r w:rsidRPr="00106D09">
              <w:t>LS mean change from baseline vs placebo</w:t>
            </w:r>
            <w:r>
              <w:t xml:space="preserve"> </w:t>
            </w:r>
            <w:r w:rsidRPr="00106D09">
              <w:t>(95% CI)</w:t>
            </w:r>
          </w:p>
        </w:tc>
        <w:tc>
          <w:tcPr>
            <w:tcW w:w="287" w:type="pct"/>
            <w:vAlign w:val="center"/>
          </w:tcPr>
          <w:p w14:paraId="1949D013" w14:textId="77777777" w:rsidR="000B6388" w:rsidRPr="0098262F" w:rsidRDefault="000B6388">
            <w:pPr>
              <w:pStyle w:val="TableFigureHeading"/>
              <w:jc w:val="center"/>
            </w:pPr>
            <w:r>
              <w:t>SE</w:t>
            </w:r>
          </w:p>
        </w:tc>
      </w:tr>
      <w:tr w:rsidR="000B6388" w:rsidRPr="0098262F" w14:paraId="20B67C85" w14:textId="77777777" w:rsidTr="00A6567C">
        <w:trPr>
          <w:cantSplit/>
          <w:tblHeader/>
        </w:trPr>
        <w:tc>
          <w:tcPr>
            <w:tcW w:w="5000" w:type="pct"/>
            <w:gridSpan w:val="5"/>
            <w:vAlign w:val="center"/>
          </w:tcPr>
          <w:p w14:paraId="4797AC36" w14:textId="77777777" w:rsidR="000B6388" w:rsidRDefault="000B6388">
            <w:pPr>
              <w:pStyle w:val="TableFigureHeading"/>
            </w:pPr>
            <w:r w:rsidRPr="00CB69F0">
              <w:rPr>
                <w:iCs/>
              </w:rPr>
              <w:t>REPLENISH (MITT-VM</w:t>
            </w:r>
            <w:r>
              <w:rPr>
                <w:iCs/>
              </w:rPr>
              <w:t>S</w:t>
            </w:r>
            <w:r w:rsidRPr="00CB69F0">
              <w:rPr>
                <w:iCs/>
              </w:rPr>
              <w:t>)</w:t>
            </w:r>
            <w:r>
              <w:rPr>
                <w:iCs/>
                <w:vertAlign w:val="superscript"/>
              </w:rPr>
              <w:t>a</w:t>
            </w:r>
          </w:p>
        </w:tc>
      </w:tr>
      <w:tr w:rsidR="000B6388" w:rsidRPr="0098262F" w14:paraId="53A6A7B7" w14:textId="77777777" w:rsidTr="00A6567C">
        <w:trPr>
          <w:cantSplit/>
        </w:trPr>
        <w:tc>
          <w:tcPr>
            <w:tcW w:w="1569" w:type="pct"/>
            <w:vAlign w:val="center"/>
          </w:tcPr>
          <w:p w14:paraId="13D3B92F" w14:textId="77777777" w:rsidR="000B6388" w:rsidRPr="0098262F" w:rsidRDefault="000B6388">
            <w:pPr>
              <w:pStyle w:val="TableText0"/>
            </w:pPr>
            <w:r w:rsidRPr="008D7CBD">
              <w:t>n</w:t>
            </w:r>
          </w:p>
        </w:tc>
        <w:tc>
          <w:tcPr>
            <w:tcW w:w="1022" w:type="pct"/>
            <w:vAlign w:val="center"/>
          </w:tcPr>
          <w:p w14:paraId="3C7402C3" w14:textId="77777777" w:rsidR="000B6388" w:rsidRPr="0098262F" w:rsidRDefault="000B6388">
            <w:pPr>
              <w:pStyle w:val="TableText0"/>
              <w:jc w:val="center"/>
            </w:pPr>
            <w:r w:rsidRPr="00223AD6">
              <w:rPr>
                <w:iCs/>
              </w:rPr>
              <w:t>124</w:t>
            </w:r>
          </w:p>
        </w:tc>
        <w:tc>
          <w:tcPr>
            <w:tcW w:w="1022" w:type="pct"/>
            <w:vAlign w:val="center"/>
          </w:tcPr>
          <w:p w14:paraId="499ABFA4" w14:textId="77777777" w:rsidR="000B6388" w:rsidRPr="0098262F" w:rsidRDefault="000B6388">
            <w:pPr>
              <w:pStyle w:val="TableText0"/>
              <w:jc w:val="center"/>
            </w:pPr>
            <w:r w:rsidRPr="00223AD6">
              <w:rPr>
                <w:iCs/>
              </w:rPr>
              <w:t>115</w:t>
            </w:r>
          </w:p>
        </w:tc>
        <w:tc>
          <w:tcPr>
            <w:tcW w:w="1100" w:type="pct"/>
            <w:vMerge w:val="restart"/>
            <w:vAlign w:val="center"/>
          </w:tcPr>
          <w:p w14:paraId="50B6D763" w14:textId="119832DE" w:rsidR="000B6388" w:rsidRPr="004C4D7E" w:rsidRDefault="000B6388">
            <w:pPr>
              <w:pStyle w:val="TableText0"/>
              <w:jc w:val="center"/>
              <w:rPr>
                <w:b/>
                <w:bCs w:val="0"/>
              </w:rPr>
            </w:pPr>
            <w:r w:rsidRPr="004C4D7E">
              <w:rPr>
                <w:b/>
                <w:bCs w:val="0"/>
              </w:rPr>
              <w:t>-20.6 (-28.</w:t>
            </w:r>
            <w:r w:rsidR="00B116EE" w:rsidRPr="004C4D7E">
              <w:rPr>
                <w:b/>
                <w:bCs w:val="0"/>
              </w:rPr>
              <w:t>3, -</w:t>
            </w:r>
            <w:r w:rsidRPr="004C4D7E">
              <w:rPr>
                <w:b/>
                <w:bCs w:val="0"/>
              </w:rPr>
              <w:t>12.9)</w:t>
            </w:r>
            <w:r w:rsidR="004C4D7E" w:rsidRPr="004C4D7E">
              <w:rPr>
                <w:b/>
                <w:bCs w:val="0"/>
              </w:rPr>
              <w:t>*</w:t>
            </w:r>
          </w:p>
        </w:tc>
        <w:tc>
          <w:tcPr>
            <w:tcW w:w="287" w:type="pct"/>
            <w:vMerge w:val="restart"/>
            <w:vAlign w:val="center"/>
          </w:tcPr>
          <w:p w14:paraId="1171BE85" w14:textId="77777777" w:rsidR="000B6388" w:rsidRPr="0098262F" w:rsidRDefault="000B6388">
            <w:pPr>
              <w:pStyle w:val="TableText0"/>
              <w:jc w:val="center"/>
            </w:pPr>
            <w:r>
              <w:t>3.9</w:t>
            </w:r>
          </w:p>
        </w:tc>
      </w:tr>
      <w:tr w:rsidR="000B6388" w:rsidRPr="0098262F" w14:paraId="34D65AA8" w14:textId="77777777" w:rsidTr="00A6567C">
        <w:trPr>
          <w:cantSplit/>
        </w:trPr>
        <w:tc>
          <w:tcPr>
            <w:tcW w:w="1569" w:type="pct"/>
            <w:vAlign w:val="center"/>
          </w:tcPr>
          <w:p w14:paraId="3B7D088C" w14:textId="77777777" w:rsidR="000B6388" w:rsidRPr="0098262F" w:rsidRDefault="000B6388">
            <w:pPr>
              <w:pStyle w:val="TableText0"/>
            </w:pPr>
            <w:r w:rsidRPr="008D7CBD">
              <w:t>Mean baseline (SD)</w:t>
            </w:r>
          </w:p>
        </w:tc>
        <w:tc>
          <w:tcPr>
            <w:tcW w:w="1022" w:type="pct"/>
            <w:vAlign w:val="center"/>
          </w:tcPr>
          <w:p w14:paraId="46BDC05F" w14:textId="77777777" w:rsidR="000B6388" w:rsidRPr="0098262F" w:rsidRDefault="000B6388">
            <w:pPr>
              <w:pStyle w:val="TableText0"/>
              <w:jc w:val="center"/>
            </w:pPr>
            <w:r>
              <w:t>86.2 (40.6)</w:t>
            </w:r>
          </w:p>
        </w:tc>
        <w:tc>
          <w:tcPr>
            <w:tcW w:w="1022" w:type="pct"/>
            <w:vAlign w:val="center"/>
          </w:tcPr>
          <w:p w14:paraId="7889CA5C" w14:textId="77777777" w:rsidR="000B6388" w:rsidRPr="0098262F" w:rsidRDefault="000B6388">
            <w:pPr>
              <w:pStyle w:val="TableText0"/>
              <w:jc w:val="center"/>
            </w:pPr>
            <w:r>
              <w:t>83.0 (26.5)</w:t>
            </w:r>
          </w:p>
        </w:tc>
        <w:tc>
          <w:tcPr>
            <w:tcW w:w="1100" w:type="pct"/>
            <w:vMerge/>
            <w:vAlign w:val="center"/>
          </w:tcPr>
          <w:p w14:paraId="5925210F" w14:textId="77777777" w:rsidR="000B6388" w:rsidRPr="0098262F" w:rsidRDefault="000B6388">
            <w:pPr>
              <w:pStyle w:val="TableText0"/>
              <w:jc w:val="center"/>
            </w:pPr>
          </w:p>
        </w:tc>
        <w:tc>
          <w:tcPr>
            <w:tcW w:w="287" w:type="pct"/>
            <w:vMerge/>
            <w:vAlign w:val="center"/>
          </w:tcPr>
          <w:p w14:paraId="00721D30" w14:textId="77777777" w:rsidR="000B6388" w:rsidRPr="0098262F" w:rsidRDefault="000B6388">
            <w:pPr>
              <w:pStyle w:val="TableText0"/>
              <w:jc w:val="center"/>
            </w:pPr>
          </w:p>
        </w:tc>
      </w:tr>
      <w:tr w:rsidR="000B6388" w:rsidRPr="0098262F" w14:paraId="0C6806B7" w14:textId="77777777" w:rsidTr="00A6567C">
        <w:trPr>
          <w:cantSplit/>
        </w:trPr>
        <w:tc>
          <w:tcPr>
            <w:tcW w:w="1569" w:type="pct"/>
            <w:vAlign w:val="center"/>
          </w:tcPr>
          <w:p w14:paraId="1E60BCEC" w14:textId="77777777" w:rsidR="000B6388" w:rsidRPr="0098262F" w:rsidRDefault="000B6388">
            <w:pPr>
              <w:pStyle w:val="TableText0"/>
            </w:pPr>
            <w:r w:rsidRPr="008D7CBD">
              <w:t>Mean change from baseline (SD)</w:t>
            </w:r>
          </w:p>
        </w:tc>
        <w:tc>
          <w:tcPr>
            <w:tcW w:w="1022" w:type="pct"/>
            <w:vAlign w:val="center"/>
          </w:tcPr>
          <w:p w14:paraId="003C5935" w14:textId="77777777" w:rsidR="000B6388" w:rsidRPr="0098262F" w:rsidRDefault="000B6388">
            <w:pPr>
              <w:pStyle w:val="TableText0"/>
              <w:jc w:val="center"/>
            </w:pPr>
            <w:r>
              <w:t>-60.3 (36.4)</w:t>
            </w:r>
          </w:p>
        </w:tc>
        <w:tc>
          <w:tcPr>
            <w:tcW w:w="1022" w:type="pct"/>
            <w:vAlign w:val="center"/>
          </w:tcPr>
          <w:p w14:paraId="2636E936" w14:textId="77777777" w:rsidR="000B6388" w:rsidRPr="0098262F" w:rsidRDefault="000B6388">
            <w:pPr>
              <w:pStyle w:val="TableText0"/>
              <w:jc w:val="center"/>
            </w:pPr>
            <w:r>
              <w:t>-41.7 (36.4)</w:t>
            </w:r>
          </w:p>
        </w:tc>
        <w:tc>
          <w:tcPr>
            <w:tcW w:w="1100" w:type="pct"/>
            <w:vMerge/>
            <w:vAlign w:val="center"/>
          </w:tcPr>
          <w:p w14:paraId="239D7920" w14:textId="77777777" w:rsidR="000B6388" w:rsidRPr="0098262F" w:rsidRDefault="000B6388">
            <w:pPr>
              <w:pStyle w:val="TableText0"/>
              <w:jc w:val="center"/>
            </w:pPr>
          </w:p>
        </w:tc>
        <w:tc>
          <w:tcPr>
            <w:tcW w:w="287" w:type="pct"/>
            <w:vMerge/>
            <w:vAlign w:val="center"/>
          </w:tcPr>
          <w:p w14:paraId="6B3C8931" w14:textId="77777777" w:rsidR="000B6388" w:rsidRPr="0098262F" w:rsidRDefault="000B6388">
            <w:pPr>
              <w:pStyle w:val="TableText0"/>
              <w:jc w:val="center"/>
            </w:pPr>
          </w:p>
        </w:tc>
      </w:tr>
      <w:tr w:rsidR="000B6388" w:rsidRPr="003B54FE" w14:paraId="72E9711F" w14:textId="77777777" w:rsidTr="00A6567C">
        <w:trPr>
          <w:cantSplit/>
        </w:trPr>
        <w:tc>
          <w:tcPr>
            <w:tcW w:w="5000" w:type="pct"/>
            <w:gridSpan w:val="5"/>
            <w:vAlign w:val="center"/>
          </w:tcPr>
          <w:p w14:paraId="0DD6578D" w14:textId="77777777" w:rsidR="000B6388" w:rsidRPr="003B54FE" w:rsidRDefault="000B6388">
            <w:pPr>
              <w:pStyle w:val="TableText0"/>
              <w:rPr>
                <w:lang w:val="de-DE"/>
              </w:rPr>
            </w:pPr>
            <w:r w:rsidRPr="003B54FE">
              <w:rPr>
                <w:b/>
                <w:bCs w:val="0"/>
                <w:iCs/>
                <w:lang w:val="de-DE"/>
              </w:rPr>
              <w:t>Archer e</w:t>
            </w:r>
            <w:r w:rsidRPr="003B54FE">
              <w:rPr>
                <w:b/>
                <w:iCs/>
                <w:lang w:val="de-DE"/>
              </w:rPr>
              <w:t xml:space="preserve">t al. </w:t>
            </w:r>
            <w:r w:rsidRPr="003B54FE">
              <w:rPr>
                <w:b/>
                <w:bCs w:val="0"/>
                <w:iCs/>
                <w:lang w:val="de-DE"/>
              </w:rPr>
              <w:t>2003 (MITT population)</w:t>
            </w:r>
            <w:r w:rsidRPr="003B54FE">
              <w:rPr>
                <w:b/>
                <w:bCs w:val="0"/>
                <w:iCs/>
                <w:vertAlign w:val="superscript"/>
                <w:lang w:val="de-DE"/>
              </w:rPr>
              <w:t>b</w:t>
            </w:r>
          </w:p>
        </w:tc>
      </w:tr>
      <w:tr w:rsidR="000B6388" w:rsidRPr="0098262F" w14:paraId="3AE62E31" w14:textId="77777777" w:rsidTr="00A6567C">
        <w:trPr>
          <w:cantSplit/>
        </w:trPr>
        <w:tc>
          <w:tcPr>
            <w:tcW w:w="1569" w:type="pct"/>
            <w:vAlign w:val="center"/>
          </w:tcPr>
          <w:p w14:paraId="00A5953F" w14:textId="77777777" w:rsidR="000B6388" w:rsidRPr="00186E87" w:rsidRDefault="000B6388">
            <w:pPr>
              <w:pStyle w:val="TableFigureHeading"/>
              <w:jc w:val="center"/>
            </w:pPr>
            <w:r w:rsidRPr="00186E87">
              <w:t>Comparator</w:t>
            </w:r>
          </w:p>
        </w:tc>
        <w:tc>
          <w:tcPr>
            <w:tcW w:w="1022" w:type="pct"/>
            <w:vAlign w:val="center"/>
          </w:tcPr>
          <w:p w14:paraId="20010B12" w14:textId="77777777" w:rsidR="00BE5955" w:rsidRDefault="000B6388">
            <w:pPr>
              <w:pStyle w:val="TableFigureHeading"/>
              <w:jc w:val="center"/>
              <w:rPr>
                <w:iCs/>
              </w:rPr>
            </w:pPr>
            <w:r w:rsidRPr="00186E87">
              <w:rPr>
                <w:iCs/>
              </w:rPr>
              <w:t>Estrogel 1.25 g</w:t>
            </w:r>
            <w:r>
              <w:rPr>
                <w:iCs/>
              </w:rPr>
              <w:t xml:space="preserve"> </w:t>
            </w:r>
          </w:p>
          <w:p w14:paraId="6B5B4369" w14:textId="4DB7D206" w:rsidR="000B6388" w:rsidRPr="00186E87" w:rsidRDefault="000B6388">
            <w:pPr>
              <w:pStyle w:val="TableFigureHeading"/>
              <w:jc w:val="center"/>
            </w:pPr>
            <w:r w:rsidRPr="00186E87">
              <w:rPr>
                <w:iCs/>
              </w:rPr>
              <w:t>N=75</w:t>
            </w:r>
          </w:p>
        </w:tc>
        <w:tc>
          <w:tcPr>
            <w:tcW w:w="1022" w:type="pct"/>
            <w:vAlign w:val="center"/>
          </w:tcPr>
          <w:p w14:paraId="24BF69A2" w14:textId="77777777" w:rsidR="00BE5955" w:rsidRDefault="000B6388">
            <w:pPr>
              <w:pStyle w:val="TableFigureHeading"/>
              <w:jc w:val="center"/>
              <w:rPr>
                <w:iCs/>
              </w:rPr>
            </w:pPr>
            <w:r w:rsidRPr="00186E87">
              <w:rPr>
                <w:iCs/>
              </w:rPr>
              <w:t>Placebo</w:t>
            </w:r>
            <w:r>
              <w:rPr>
                <w:iCs/>
              </w:rPr>
              <w:t xml:space="preserve"> </w:t>
            </w:r>
          </w:p>
          <w:p w14:paraId="273615D3" w14:textId="0FCF74C5" w:rsidR="000B6388" w:rsidRPr="00186E87" w:rsidRDefault="000B6388">
            <w:pPr>
              <w:pStyle w:val="TableFigureHeading"/>
              <w:jc w:val="center"/>
            </w:pPr>
            <w:r w:rsidRPr="00186E87">
              <w:rPr>
                <w:iCs/>
              </w:rPr>
              <w:t>N=73</w:t>
            </w:r>
          </w:p>
        </w:tc>
        <w:tc>
          <w:tcPr>
            <w:tcW w:w="1100" w:type="pct"/>
            <w:vMerge w:val="restart"/>
            <w:vAlign w:val="center"/>
          </w:tcPr>
          <w:p w14:paraId="60EFF646" w14:textId="77777777" w:rsidR="000B6388" w:rsidRPr="00186E87" w:rsidRDefault="000B6388">
            <w:pPr>
              <w:pStyle w:val="TableText0"/>
              <w:jc w:val="center"/>
              <w:rPr>
                <w:b/>
              </w:rPr>
            </w:pPr>
            <w:r w:rsidRPr="00947EEB">
              <w:rPr>
                <w:b/>
              </w:rPr>
              <w:t xml:space="preserve">-14.3 </w:t>
            </w:r>
            <w:r w:rsidRPr="007A09E2">
              <w:rPr>
                <w:bCs w:val="0"/>
              </w:rPr>
              <w:t>(NR)</w:t>
            </w:r>
          </w:p>
        </w:tc>
        <w:tc>
          <w:tcPr>
            <w:tcW w:w="287" w:type="pct"/>
            <w:vMerge w:val="restart"/>
            <w:vAlign w:val="center"/>
          </w:tcPr>
          <w:p w14:paraId="70C7C53A" w14:textId="77777777" w:rsidR="000B6388" w:rsidRPr="00947EEB" w:rsidRDefault="000B6388">
            <w:pPr>
              <w:pStyle w:val="TableText0"/>
              <w:jc w:val="center"/>
              <w:rPr>
                <w:bCs w:val="0"/>
              </w:rPr>
            </w:pPr>
            <w:r w:rsidRPr="00947EEB">
              <w:rPr>
                <w:bCs w:val="0"/>
              </w:rPr>
              <w:t>7.3</w:t>
            </w:r>
          </w:p>
        </w:tc>
      </w:tr>
      <w:tr w:rsidR="000B6388" w:rsidRPr="0098262F" w14:paraId="1579E47D" w14:textId="77777777" w:rsidTr="00A6567C">
        <w:trPr>
          <w:cantSplit/>
        </w:trPr>
        <w:tc>
          <w:tcPr>
            <w:tcW w:w="1569" w:type="pct"/>
            <w:vAlign w:val="center"/>
          </w:tcPr>
          <w:p w14:paraId="2B86EBD6" w14:textId="77777777" w:rsidR="000B6388" w:rsidRPr="0098262F" w:rsidRDefault="000B6388">
            <w:pPr>
              <w:pStyle w:val="TableText0"/>
            </w:pPr>
            <w:r w:rsidRPr="008D7CBD">
              <w:t>n</w:t>
            </w:r>
          </w:p>
        </w:tc>
        <w:tc>
          <w:tcPr>
            <w:tcW w:w="1022" w:type="pct"/>
            <w:vAlign w:val="center"/>
          </w:tcPr>
          <w:p w14:paraId="72124901" w14:textId="77777777" w:rsidR="000B6388" w:rsidRPr="0098262F" w:rsidRDefault="000B6388">
            <w:pPr>
              <w:pStyle w:val="TableText0"/>
              <w:jc w:val="center"/>
            </w:pPr>
            <w:r>
              <w:t>72</w:t>
            </w:r>
          </w:p>
        </w:tc>
        <w:tc>
          <w:tcPr>
            <w:tcW w:w="1022" w:type="pct"/>
            <w:vAlign w:val="center"/>
          </w:tcPr>
          <w:p w14:paraId="4287AA84" w14:textId="77777777" w:rsidR="000B6388" w:rsidRPr="0098262F" w:rsidRDefault="000B6388">
            <w:pPr>
              <w:pStyle w:val="TableText0"/>
              <w:jc w:val="center"/>
            </w:pPr>
            <w:r>
              <w:t>73</w:t>
            </w:r>
          </w:p>
        </w:tc>
        <w:tc>
          <w:tcPr>
            <w:tcW w:w="1100" w:type="pct"/>
            <w:vMerge/>
            <w:vAlign w:val="center"/>
          </w:tcPr>
          <w:p w14:paraId="69A56D3B" w14:textId="77777777" w:rsidR="000B6388" w:rsidRPr="0098262F" w:rsidRDefault="000B6388">
            <w:pPr>
              <w:pStyle w:val="TableText0"/>
              <w:jc w:val="center"/>
            </w:pPr>
          </w:p>
        </w:tc>
        <w:tc>
          <w:tcPr>
            <w:tcW w:w="287" w:type="pct"/>
            <w:vMerge/>
            <w:vAlign w:val="center"/>
          </w:tcPr>
          <w:p w14:paraId="0A5C6420" w14:textId="77777777" w:rsidR="000B6388" w:rsidRPr="00947EEB" w:rsidRDefault="000B6388">
            <w:pPr>
              <w:pStyle w:val="TableText0"/>
              <w:jc w:val="center"/>
              <w:rPr>
                <w:bCs w:val="0"/>
              </w:rPr>
            </w:pPr>
          </w:p>
        </w:tc>
      </w:tr>
      <w:tr w:rsidR="000B6388" w:rsidRPr="0098262F" w14:paraId="48CC721F" w14:textId="77777777" w:rsidTr="00A6567C">
        <w:trPr>
          <w:cantSplit/>
        </w:trPr>
        <w:tc>
          <w:tcPr>
            <w:tcW w:w="1569" w:type="pct"/>
            <w:vAlign w:val="center"/>
          </w:tcPr>
          <w:p w14:paraId="003F401E" w14:textId="77777777" w:rsidR="000B6388" w:rsidRPr="0055583A" w:rsidRDefault="000B6388">
            <w:pPr>
              <w:pStyle w:val="TableText0"/>
              <w:rPr>
                <w:vertAlign w:val="superscript"/>
              </w:rPr>
            </w:pPr>
            <w:r w:rsidRPr="008D7CBD">
              <w:t>Mean baseline (SD)</w:t>
            </w:r>
          </w:p>
        </w:tc>
        <w:tc>
          <w:tcPr>
            <w:tcW w:w="1022" w:type="pct"/>
            <w:vAlign w:val="center"/>
          </w:tcPr>
          <w:p w14:paraId="158B74ED" w14:textId="77777777" w:rsidR="000B6388" w:rsidRPr="0098262F" w:rsidRDefault="000B6388">
            <w:pPr>
              <w:pStyle w:val="TableText0"/>
              <w:jc w:val="center"/>
            </w:pPr>
            <w:r>
              <w:t>NR</w:t>
            </w:r>
          </w:p>
        </w:tc>
        <w:tc>
          <w:tcPr>
            <w:tcW w:w="1022" w:type="pct"/>
            <w:vAlign w:val="center"/>
          </w:tcPr>
          <w:p w14:paraId="22115A27" w14:textId="77777777" w:rsidR="000B6388" w:rsidRPr="0098262F" w:rsidRDefault="000B6388">
            <w:pPr>
              <w:pStyle w:val="TableText0"/>
              <w:jc w:val="center"/>
            </w:pPr>
            <w:r>
              <w:t>NR</w:t>
            </w:r>
          </w:p>
        </w:tc>
        <w:tc>
          <w:tcPr>
            <w:tcW w:w="1100" w:type="pct"/>
            <w:vMerge/>
            <w:vAlign w:val="center"/>
          </w:tcPr>
          <w:p w14:paraId="0EBC58E7" w14:textId="77777777" w:rsidR="000B6388" w:rsidRPr="0098262F" w:rsidRDefault="000B6388">
            <w:pPr>
              <w:pStyle w:val="TableText0"/>
              <w:jc w:val="center"/>
            </w:pPr>
          </w:p>
        </w:tc>
        <w:tc>
          <w:tcPr>
            <w:tcW w:w="287" w:type="pct"/>
            <w:vMerge/>
            <w:vAlign w:val="center"/>
          </w:tcPr>
          <w:p w14:paraId="6AAB4D96" w14:textId="77777777" w:rsidR="000B6388" w:rsidRPr="00947EEB" w:rsidRDefault="000B6388">
            <w:pPr>
              <w:pStyle w:val="TableText0"/>
              <w:jc w:val="center"/>
              <w:rPr>
                <w:bCs w:val="0"/>
              </w:rPr>
            </w:pPr>
          </w:p>
        </w:tc>
      </w:tr>
      <w:tr w:rsidR="000B6388" w:rsidRPr="0098262F" w14:paraId="4096F120" w14:textId="77777777" w:rsidTr="00A6567C">
        <w:trPr>
          <w:cantSplit/>
        </w:trPr>
        <w:tc>
          <w:tcPr>
            <w:tcW w:w="1569" w:type="pct"/>
            <w:vAlign w:val="center"/>
          </w:tcPr>
          <w:p w14:paraId="6642E80D" w14:textId="7FDB7EB1" w:rsidR="000B6388" w:rsidRPr="0098262F" w:rsidRDefault="000B6388">
            <w:pPr>
              <w:pStyle w:val="TableText0"/>
            </w:pPr>
            <w:r w:rsidRPr="008D7CBD">
              <w:t>Mean change from baseline (SD)</w:t>
            </w:r>
            <w:r>
              <w:rPr>
                <w:vertAlign w:val="superscript"/>
              </w:rPr>
              <w:t>c</w:t>
            </w:r>
          </w:p>
        </w:tc>
        <w:tc>
          <w:tcPr>
            <w:tcW w:w="1022" w:type="pct"/>
            <w:vAlign w:val="center"/>
          </w:tcPr>
          <w:p w14:paraId="2FCD1DEE" w14:textId="77777777" w:rsidR="000B6388" w:rsidRPr="0037685D" w:rsidRDefault="000B6388">
            <w:pPr>
              <w:pStyle w:val="TableText0"/>
              <w:jc w:val="center"/>
              <w:rPr>
                <w:i/>
                <w:iCs/>
              </w:rPr>
            </w:pPr>
            <w:r>
              <w:t>-58.5 (NR)</w:t>
            </w:r>
          </w:p>
        </w:tc>
        <w:tc>
          <w:tcPr>
            <w:tcW w:w="1022" w:type="pct"/>
            <w:vAlign w:val="center"/>
          </w:tcPr>
          <w:p w14:paraId="6B01F9D1" w14:textId="77777777" w:rsidR="000B6388" w:rsidRPr="001026C8" w:rsidRDefault="000B6388">
            <w:pPr>
              <w:pStyle w:val="TableText0"/>
              <w:jc w:val="center"/>
            </w:pPr>
            <w:r w:rsidRPr="001026C8">
              <w:t>-44.2 (NR)</w:t>
            </w:r>
          </w:p>
        </w:tc>
        <w:tc>
          <w:tcPr>
            <w:tcW w:w="1100" w:type="pct"/>
            <w:vMerge/>
            <w:vAlign w:val="center"/>
          </w:tcPr>
          <w:p w14:paraId="45D9B645" w14:textId="77777777" w:rsidR="000B6388" w:rsidRPr="0098262F" w:rsidRDefault="000B6388">
            <w:pPr>
              <w:pStyle w:val="TableText0"/>
              <w:jc w:val="center"/>
            </w:pPr>
          </w:p>
        </w:tc>
        <w:tc>
          <w:tcPr>
            <w:tcW w:w="287" w:type="pct"/>
            <w:vMerge/>
            <w:vAlign w:val="center"/>
          </w:tcPr>
          <w:p w14:paraId="4C324BE8" w14:textId="77777777" w:rsidR="000B6388" w:rsidRPr="00947EEB" w:rsidRDefault="000B6388">
            <w:pPr>
              <w:pStyle w:val="TableText0"/>
              <w:jc w:val="center"/>
              <w:rPr>
                <w:bCs w:val="0"/>
              </w:rPr>
            </w:pPr>
          </w:p>
        </w:tc>
      </w:tr>
      <w:tr w:rsidR="000B6388" w:rsidRPr="0098262F" w14:paraId="01F73984" w14:textId="77777777" w:rsidTr="00A6567C">
        <w:trPr>
          <w:cantSplit/>
        </w:trPr>
        <w:tc>
          <w:tcPr>
            <w:tcW w:w="1569" w:type="pct"/>
            <w:vAlign w:val="center"/>
          </w:tcPr>
          <w:p w14:paraId="79AD3D66" w14:textId="77777777" w:rsidR="000B6388" w:rsidRPr="00186E87" w:rsidRDefault="000B6388">
            <w:pPr>
              <w:pStyle w:val="TableText0"/>
              <w:jc w:val="center"/>
              <w:rPr>
                <w:b/>
                <w:bCs w:val="0"/>
              </w:rPr>
            </w:pPr>
          </w:p>
        </w:tc>
        <w:tc>
          <w:tcPr>
            <w:tcW w:w="1022" w:type="pct"/>
            <w:vAlign w:val="center"/>
          </w:tcPr>
          <w:p w14:paraId="3BA4875C" w14:textId="77777777" w:rsidR="00A62208" w:rsidRDefault="000B6388">
            <w:pPr>
              <w:pStyle w:val="TableFigureHeading"/>
              <w:jc w:val="center"/>
              <w:rPr>
                <w:bCs w:val="0"/>
                <w:iCs/>
              </w:rPr>
            </w:pPr>
            <w:r w:rsidRPr="00186E87">
              <w:rPr>
                <w:bCs w:val="0"/>
                <w:iCs/>
              </w:rPr>
              <w:t>Estrogel 2.5 g</w:t>
            </w:r>
            <w:r>
              <w:rPr>
                <w:bCs w:val="0"/>
                <w:iCs/>
              </w:rPr>
              <w:t xml:space="preserve"> </w:t>
            </w:r>
          </w:p>
          <w:p w14:paraId="06197E06" w14:textId="4730F144" w:rsidR="000B6388" w:rsidRPr="00186E87" w:rsidRDefault="000B6388">
            <w:pPr>
              <w:pStyle w:val="TableFigureHeading"/>
              <w:jc w:val="center"/>
              <w:rPr>
                <w:b w:val="0"/>
                <w:bCs w:val="0"/>
                <w:i/>
                <w:iCs/>
              </w:rPr>
            </w:pPr>
            <w:r w:rsidRPr="00186E87">
              <w:rPr>
                <w:bCs w:val="0"/>
                <w:iCs/>
              </w:rPr>
              <w:t>N=73</w:t>
            </w:r>
          </w:p>
        </w:tc>
        <w:tc>
          <w:tcPr>
            <w:tcW w:w="1022" w:type="pct"/>
            <w:vAlign w:val="center"/>
          </w:tcPr>
          <w:p w14:paraId="3C7A996B" w14:textId="77777777" w:rsidR="00A62208" w:rsidRDefault="000B6388">
            <w:pPr>
              <w:pStyle w:val="TableFigureHeading"/>
              <w:jc w:val="center"/>
              <w:rPr>
                <w:bCs w:val="0"/>
                <w:iCs/>
              </w:rPr>
            </w:pPr>
            <w:r w:rsidRPr="00186E87">
              <w:rPr>
                <w:bCs w:val="0"/>
                <w:iCs/>
              </w:rPr>
              <w:t>Placebo</w:t>
            </w:r>
            <w:r>
              <w:rPr>
                <w:bCs w:val="0"/>
                <w:iCs/>
              </w:rPr>
              <w:t xml:space="preserve"> </w:t>
            </w:r>
          </w:p>
          <w:p w14:paraId="1B046B59" w14:textId="5FBBA375" w:rsidR="000B6388" w:rsidRPr="00186E87" w:rsidRDefault="000B6388">
            <w:pPr>
              <w:pStyle w:val="TableFigureHeading"/>
              <w:jc w:val="center"/>
              <w:rPr>
                <w:b w:val="0"/>
                <w:bCs w:val="0"/>
                <w:i/>
                <w:iCs/>
              </w:rPr>
            </w:pPr>
            <w:r w:rsidRPr="00186E87">
              <w:rPr>
                <w:bCs w:val="0"/>
                <w:iCs/>
              </w:rPr>
              <w:t>N=73</w:t>
            </w:r>
          </w:p>
        </w:tc>
        <w:tc>
          <w:tcPr>
            <w:tcW w:w="1100" w:type="pct"/>
            <w:vMerge w:val="restart"/>
            <w:vAlign w:val="center"/>
          </w:tcPr>
          <w:p w14:paraId="1396ED88" w14:textId="77777777" w:rsidR="000B6388" w:rsidRPr="007A09E2" w:rsidRDefault="000B6388">
            <w:pPr>
              <w:pStyle w:val="TableText0"/>
              <w:jc w:val="center"/>
              <w:rPr>
                <w:b/>
                <w:bCs w:val="0"/>
              </w:rPr>
            </w:pPr>
            <w:r w:rsidRPr="007A09E2">
              <w:rPr>
                <w:b/>
                <w:bCs w:val="0"/>
              </w:rPr>
              <w:t xml:space="preserve">-22.0 </w:t>
            </w:r>
            <w:r w:rsidRPr="007A09E2">
              <w:t>(NR)</w:t>
            </w:r>
          </w:p>
        </w:tc>
        <w:tc>
          <w:tcPr>
            <w:tcW w:w="287" w:type="pct"/>
            <w:vMerge w:val="restart"/>
            <w:vAlign w:val="center"/>
          </w:tcPr>
          <w:p w14:paraId="202336BA" w14:textId="77777777" w:rsidR="000B6388" w:rsidRPr="00947EEB" w:rsidRDefault="000B6388">
            <w:pPr>
              <w:pStyle w:val="TableText0"/>
              <w:jc w:val="center"/>
              <w:rPr>
                <w:bCs w:val="0"/>
              </w:rPr>
            </w:pPr>
            <w:r w:rsidRPr="00947EEB">
              <w:rPr>
                <w:bCs w:val="0"/>
              </w:rPr>
              <w:t>6.7</w:t>
            </w:r>
          </w:p>
        </w:tc>
      </w:tr>
      <w:tr w:rsidR="000B6388" w:rsidRPr="0098262F" w14:paraId="0EF88043" w14:textId="77777777" w:rsidTr="00A6567C">
        <w:trPr>
          <w:cantSplit/>
        </w:trPr>
        <w:tc>
          <w:tcPr>
            <w:tcW w:w="1569" w:type="pct"/>
            <w:vAlign w:val="center"/>
          </w:tcPr>
          <w:p w14:paraId="04663C6C" w14:textId="77777777" w:rsidR="000B6388" w:rsidRPr="008D7CBD" w:rsidRDefault="000B6388">
            <w:pPr>
              <w:pStyle w:val="TableText0"/>
            </w:pPr>
            <w:r w:rsidRPr="008D7CBD">
              <w:t>n</w:t>
            </w:r>
          </w:p>
        </w:tc>
        <w:tc>
          <w:tcPr>
            <w:tcW w:w="1022" w:type="pct"/>
            <w:vAlign w:val="center"/>
          </w:tcPr>
          <w:p w14:paraId="6128A8F1" w14:textId="77777777" w:rsidR="000B6388" w:rsidRPr="001026C8" w:rsidRDefault="000B6388">
            <w:pPr>
              <w:pStyle w:val="TableText0"/>
              <w:jc w:val="center"/>
            </w:pPr>
            <w:r>
              <w:t>71</w:t>
            </w:r>
          </w:p>
        </w:tc>
        <w:tc>
          <w:tcPr>
            <w:tcW w:w="1022" w:type="pct"/>
            <w:vAlign w:val="center"/>
          </w:tcPr>
          <w:p w14:paraId="6FE60EBD" w14:textId="77777777" w:rsidR="000B6388" w:rsidRPr="001026C8" w:rsidRDefault="000B6388">
            <w:pPr>
              <w:pStyle w:val="TableText0"/>
              <w:jc w:val="center"/>
            </w:pPr>
            <w:r>
              <w:t>73</w:t>
            </w:r>
          </w:p>
        </w:tc>
        <w:tc>
          <w:tcPr>
            <w:tcW w:w="1100" w:type="pct"/>
            <w:vMerge/>
            <w:vAlign w:val="center"/>
          </w:tcPr>
          <w:p w14:paraId="67D05A79" w14:textId="77777777" w:rsidR="000B6388" w:rsidRPr="00FD6404" w:rsidRDefault="000B6388">
            <w:pPr>
              <w:pStyle w:val="TableText0"/>
              <w:jc w:val="center"/>
              <w:rPr>
                <w:i/>
                <w:iCs/>
              </w:rPr>
            </w:pPr>
          </w:p>
        </w:tc>
        <w:tc>
          <w:tcPr>
            <w:tcW w:w="287" w:type="pct"/>
            <w:vMerge/>
            <w:vAlign w:val="center"/>
          </w:tcPr>
          <w:p w14:paraId="3F2BD0DD" w14:textId="77777777" w:rsidR="000B6388" w:rsidRPr="0098262F" w:rsidRDefault="000B6388">
            <w:pPr>
              <w:pStyle w:val="TableText0"/>
              <w:jc w:val="center"/>
            </w:pPr>
          </w:p>
        </w:tc>
      </w:tr>
      <w:tr w:rsidR="000B6388" w:rsidRPr="0098262F" w14:paraId="4DCF8327" w14:textId="77777777" w:rsidTr="00A6567C">
        <w:trPr>
          <w:cantSplit/>
        </w:trPr>
        <w:tc>
          <w:tcPr>
            <w:tcW w:w="1569" w:type="pct"/>
            <w:vAlign w:val="center"/>
          </w:tcPr>
          <w:p w14:paraId="6E5D32E0" w14:textId="77777777" w:rsidR="000B6388" w:rsidRPr="0055583A" w:rsidRDefault="000B6388">
            <w:pPr>
              <w:pStyle w:val="TableText0"/>
              <w:rPr>
                <w:vertAlign w:val="superscript"/>
              </w:rPr>
            </w:pPr>
            <w:r w:rsidRPr="008D7CBD">
              <w:t>Mean baseline (SD)</w:t>
            </w:r>
          </w:p>
        </w:tc>
        <w:tc>
          <w:tcPr>
            <w:tcW w:w="1022" w:type="pct"/>
            <w:vAlign w:val="center"/>
          </w:tcPr>
          <w:p w14:paraId="08759F7C" w14:textId="77777777" w:rsidR="000B6388" w:rsidRDefault="000B6388">
            <w:pPr>
              <w:pStyle w:val="TableText0"/>
              <w:jc w:val="center"/>
              <w:rPr>
                <w:i/>
                <w:iCs/>
              </w:rPr>
            </w:pPr>
            <w:r>
              <w:t>NR</w:t>
            </w:r>
          </w:p>
        </w:tc>
        <w:tc>
          <w:tcPr>
            <w:tcW w:w="1022" w:type="pct"/>
            <w:vAlign w:val="center"/>
          </w:tcPr>
          <w:p w14:paraId="2373FEF0" w14:textId="77777777" w:rsidR="000B6388" w:rsidRDefault="000B6388">
            <w:pPr>
              <w:pStyle w:val="TableText0"/>
              <w:jc w:val="center"/>
              <w:rPr>
                <w:i/>
                <w:iCs/>
              </w:rPr>
            </w:pPr>
            <w:r>
              <w:t>NR</w:t>
            </w:r>
          </w:p>
        </w:tc>
        <w:tc>
          <w:tcPr>
            <w:tcW w:w="1100" w:type="pct"/>
            <w:vMerge/>
            <w:vAlign w:val="center"/>
          </w:tcPr>
          <w:p w14:paraId="3407FB14" w14:textId="77777777" w:rsidR="000B6388" w:rsidRPr="00FD6404" w:rsidRDefault="000B6388">
            <w:pPr>
              <w:pStyle w:val="TableText0"/>
              <w:jc w:val="center"/>
              <w:rPr>
                <w:i/>
                <w:iCs/>
              </w:rPr>
            </w:pPr>
          </w:p>
        </w:tc>
        <w:tc>
          <w:tcPr>
            <w:tcW w:w="287" w:type="pct"/>
            <w:vMerge/>
            <w:vAlign w:val="center"/>
          </w:tcPr>
          <w:p w14:paraId="31380974" w14:textId="77777777" w:rsidR="000B6388" w:rsidRPr="0098262F" w:rsidRDefault="000B6388">
            <w:pPr>
              <w:pStyle w:val="TableText0"/>
              <w:jc w:val="center"/>
            </w:pPr>
          </w:p>
        </w:tc>
      </w:tr>
      <w:tr w:rsidR="000B6388" w:rsidRPr="0098262F" w14:paraId="55A3553C" w14:textId="77777777" w:rsidTr="00A6567C">
        <w:trPr>
          <w:cantSplit/>
        </w:trPr>
        <w:tc>
          <w:tcPr>
            <w:tcW w:w="1569" w:type="pct"/>
            <w:vAlign w:val="center"/>
          </w:tcPr>
          <w:p w14:paraId="2CE74B1B" w14:textId="73715C83" w:rsidR="000B6388" w:rsidRPr="008D7CBD" w:rsidRDefault="000B6388">
            <w:pPr>
              <w:pStyle w:val="TableText0"/>
            </w:pPr>
            <w:r w:rsidRPr="008D7CBD">
              <w:t>Mean change from baseline (SD)</w:t>
            </w:r>
            <w:r>
              <w:rPr>
                <w:vertAlign w:val="superscript"/>
              </w:rPr>
              <w:t>c</w:t>
            </w:r>
          </w:p>
        </w:tc>
        <w:tc>
          <w:tcPr>
            <w:tcW w:w="1022" w:type="pct"/>
            <w:vAlign w:val="center"/>
          </w:tcPr>
          <w:p w14:paraId="40391FC7" w14:textId="77777777" w:rsidR="000B6388" w:rsidRDefault="000B6388">
            <w:pPr>
              <w:pStyle w:val="TableText0"/>
              <w:jc w:val="center"/>
              <w:rPr>
                <w:i/>
                <w:iCs/>
              </w:rPr>
            </w:pPr>
            <w:r>
              <w:t>-66.2 (NR)</w:t>
            </w:r>
          </w:p>
        </w:tc>
        <w:tc>
          <w:tcPr>
            <w:tcW w:w="1022" w:type="pct"/>
            <w:vAlign w:val="center"/>
          </w:tcPr>
          <w:p w14:paraId="6A84EE61" w14:textId="77777777" w:rsidR="000B6388" w:rsidRPr="001026C8" w:rsidRDefault="000B6388">
            <w:pPr>
              <w:pStyle w:val="TableText0"/>
              <w:jc w:val="center"/>
            </w:pPr>
            <w:r w:rsidRPr="001026C8">
              <w:t>-44.2 (NR)</w:t>
            </w:r>
          </w:p>
        </w:tc>
        <w:tc>
          <w:tcPr>
            <w:tcW w:w="1100" w:type="pct"/>
            <w:vMerge/>
            <w:vAlign w:val="center"/>
          </w:tcPr>
          <w:p w14:paraId="08B9FE52" w14:textId="77777777" w:rsidR="000B6388" w:rsidRPr="00186E87" w:rsidRDefault="000B6388">
            <w:pPr>
              <w:pStyle w:val="TableText0"/>
              <w:jc w:val="center"/>
            </w:pPr>
          </w:p>
        </w:tc>
        <w:tc>
          <w:tcPr>
            <w:tcW w:w="287" w:type="pct"/>
            <w:vMerge/>
            <w:vAlign w:val="center"/>
          </w:tcPr>
          <w:p w14:paraId="625E45A9" w14:textId="77777777" w:rsidR="000B6388" w:rsidRPr="00186E87" w:rsidRDefault="000B6388">
            <w:pPr>
              <w:pStyle w:val="TableText0"/>
              <w:jc w:val="center"/>
            </w:pPr>
          </w:p>
        </w:tc>
      </w:tr>
      <w:tr w:rsidR="000B6388" w:rsidRPr="0098262F" w14:paraId="3106880A" w14:textId="77777777" w:rsidTr="00A6567C">
        <w:trPr>
          <w:cantSplit/>
        </w:trPr>
        <w:tc>
          <w:tcPr>
            <w:tcW w:w="3613" w:type="pct"/>
            <w:gridSpan w:val="3"/>
            <w:vAlign w:val="center"/>
          </w:tcPr>
          <w:p w14:paraId="7609CDC3" w14:textId="671C1AC9" w:rsidR="000B6388" w:rsidRDefault="000B6388">
            <w:pPr>
              <w:pStyle w:val="TableText0"/>
              <w:jc w:val="right"/>
              <w:rPr>
                <w:i/>
                <w:iCs/>
              </w:rPr>
            </w:pPr>
            <w:r>
              <w:t>ITC between Bijuva versus Estrogel 1.25</w:t>
            </w:r>
            <w:r w:rsidR="00FA2660">
              <w:t> </w:t>
            </w:r>
            <w:r>
              <w:t>g/day</w:t>
            </w:r>
          </w:p>
        </w:tc>
        <w:tc>
          <w:tcPr>
            <w:tcW w:w="1100" w:type="pct"/>
            <w:vAlign w:val="center"/>
          </w:tcPr>
          <w:p w14:paraId="7127B26A" w14:textId="77777777" w:rsidR="000B6388" w:rsidRPr="004D7404" w:rsidRDefault="000B6388">
            <w:pPr>
              <w:pStyle w:val="TableText0"/>
              <w:jc w:val="center"/>
            </w:pPr>
            <w:r>
              <w:t>-6.3 (-22.6, 9.9)</w:t>
            </w:r>
          </w:p>
        </w:tc>
        <w:tc>
          <w:tcPr>
            <w:tcW w:w="287" w:type="pct"/>
            <w:vAlign w:val="center"/>
          </w:tcPr>
          <w:p w14:paraId="1AF48106" w14:textId="5EF70553" w:rsidR="000B6388" w:rsidRPr="0098262F" w:rsidRDefault="00B338BF">
            <w:pPr>
              <w:pStyle w:val="TableText0"/>
              <w:jc w:val="center"/>
            </w:pPr>
            <w:r>
              <w:t>-</w:t>
            </w:r>
          </w:p>
        </w:tc>
      </w:tr>
      <w:tr w:rsidR="000B6388" w:rsidRPr="0098262F" w14:paraId="2B1BF376" w14:textId="77777777" w:rsidTr="00A6567C">
        <w:trPr>
          <w:cantSplit/>
        </w:trPr>
        <w:tc>
          <w:tcPr>
            <w:tcW w:w="3613" w:type="pct"/>
            <w:gridSpan w:val="3"/>
            <w:vAlign w:val="center"/>
          </w:tcPr>
          <w:p w14:paraId="629DBEB3" w14:textId="7138ACC0" w:rsidR="000B6388" w:rsidRDefault="000B6388">
            <w:pPr>
              <w:pStyle w:val="TableText0"/>
              <w:jc w:val="right"/>
              <w:rPr>
                <w:i/>
                <w:iCs/>
              </w:rPr>
            </w:pPr>
            <w:r>
              <w:t>ITC between Bijuva versus Estrogel 2.5</w:t>
            </w:r>
            <w:r w:rsidR="00FA2660">
              <w:t> </w:t>
            </w:r>
            <w:r>
              <w:t>g/day</w:t>
            </w:r>
          </w:p>
        </w:tc>
        <w:tc>
          <w:tcPr>
            <w:tcW w:w="1100" w:type="pct"/>
            <w:vAlign w:val="center"/>
          </w:tcPr>
          <w:p w14:paraId="58A9B56A" w14:textId="77777777" w:rsidR="000B6388" w:rsidRPr="004D7404" w:rsidRDefault="000B6388">
            <w:pPr>
              <w:pStyle w:val="TableText0"/>
              <w:jc w:val="center"/>
            </w:pPr>
            <w:r>
              <w:t>1.4 (-13.8, 16.5)</w:t>
            </w:r>
          </w:p>
        </w:tc>
        <w:tc>
          <w:tcPr>
            <w:tcW w:w="287" w:type="pct"/>
            <w:vAlign w:val="center"/>
          </w:tcPr>
          <w:p w14:paraId="01A17BED" w14:textId="5F63425B" w:rsidR="000B6388" w:rsidRPr="0098262F" w:rsidRDefault="00B338BF">
            <w:pPr>
              <w:pStyle w:val="TableText0"/>
              <w:jc w:val="center"/>
            </w:pPr>
            <w:r>
              <w:t>-</w:t>
            </w:r>
          </w:p>
        </w:tc>
      </w:tr>
    </w:tbl>
    <w:p w14:paraId="6A57D0D4" w14:textId="26A48E52" w:rsidR="000B6388" w:rsidRPr="00384A4B" w:rsidRDefault="000B6388" w:rsidP="000B6388">
      <w:pPr>
        <w:pStyle w:val="FooterTableFigure"/>
        <w:rPr>
          <w:sz w:val="20"/>
        </w:rPr>
      </w:pPr>
      <w:r w:rsidRPr="00384A4B">
        <w:t>Source: Table 2-24, p111; Table 2-39, p135 of the submission</w:t>
      </w:r>
      <w:r w:rsidR="00E84838">
        <w:t xml:space="preserve"> main body</w:t>
      </w:r>
      <w:r w:rsidRPr="00384A4B">
        <w:t>.</w:t>
      </w:r>
    </w:p>
    <w:p w14:paraId="45F34DFD" w14:textId="1125DB54" w:rsidR="000B6388" w:rsidRPr="00384A4B" w:rsidRDefault="000B6388" w:rsidP="000B6388">
      <w:pPr>
        <w:pStyle w:val="FooterTableFigure"/>
        <w:rPr>
          <w:rFonts w:eastAsia="Calibri"/>
        </w:rPr>
      </w:pPr>
      <w:r w:rsidRPr="00384A4B">
        <w:rPr>
          <w:rFonts w:eastAsia="Calibri"/>
        </w:rPr>
        <w:t>CI = confidence interval;</w:t>
      </w:r>
      <w:r w:rsidR="00E072B4">
        <w:rPr>
          <w:rFonts w:eastAsia="Calibri"/>
        </w:rPr>
        <w:t xml:space="preserve"> ITC = indirect treatment comparison;</w:t>
      </w:r>
      <w:r w:rsidRPr="00384A4B">
        <w:rPr>
          <w:rFonts w:eastAsia="Calibri"/>
        </w:rPr>
        <w:t xml:space="preserve"> LS = least square;</w:t>
      </w:r>
      <w:r>
        <w:rPr>
          <w:rFonts w:eastAsia="Calibri"/>
        </w:rPr>
        <w:t xml:space="preserve"> </w:t>
      </w:r>
      <w:r w:rsidRPr="00383788">
        <w:rPr>
          <w:rFonts w:eastAsia="Calibri"/>
        </w:rPr>
        <w:t xml:space="preserve">MITT = modified intent to treat; </w:t>
      </w:r>
      <w:r w:rsidRPr="00384A4B">
        <w:rPr>
          <w:rFonts w:eastAsia="Calibri"/>
        </w:rPr>
        <w:t>n = number of participants with event; N = total participants in group; NR = not reported;</w:t>
      </w:r>
      <w:r w:rsidRPr="00384A4B">
        <w:t xml:space="preserve"> </w:t>
      </w:r>
      <w:r w:rsidRPr="00384A4B">
        <w:rPr>
          <w:rFonts w:eastAsia="Calibri"/>
        </w:rPr>
        <w:t>SD = standard deviation; SE = standard error; VMS = vasomotor symptom</w:t>
      </w:r>
      <w:r w:rsidR="009804CB">
        <w:rPr>
          <w:rFonts w:eastAsia="Calibri"/>
        </w:rPr>
        <w:t>s</w:t>
      </w:r>
      <w:r w:rsidRPr="00384A4B">
        <w:rPr>
          <w:rFonts w:eastAsia="Calibri"/>
        </w:rPr>
        <w:t>.</w:t>
      </w:r>
    </w:p>
    <w:p w14:paraId="2203B389" w14:textId="33514076" w:rsidR="000B6388" w:rsidRDefault="000B6388" w:rsidP="000B6388">
      <w:pPr>
        <w:pStyle w:val="FooterTableFigure"/>
        <w:rPr>
          <w:rFonts w:eastAsia="Calibri"/>
        </w:rPr>
      </w:pPr>
      <w:r w:rsidRPr="00C7769E">
        <w:rPr>
          <w:vertAlign w:val="superscript"/>
        </w:rPr>
        <w:t>a</w:t>
      </w:r>
      <w:r w:rsidRPr="009E7518">
        <w:t xml:space="preserve"> </w:t>
      </w:r>
      <w:proofErr w:type="gramStart"/>
      <w:r w:rsidRPr="009E7518">
        <w:t>Mixed</w:t>
      </w:r>
      <w:proofErr w:type="gramEnd"/>
      <w:r w:rsidRPr="009E7518">
        <w:t xml:space="preserve"> model repeated measure analysis (MMRM)</w:t>
      </w:r>
      <w:r w:rsidR="00F30923">
        <w:t>.</w:t>
      </w:r>
      <w:r w:rsidRPr="009E7518">
        <w:rPr>
          <w:rFonts w:eastAsia="Calibri"/>
        </w:rPr>
        <w:t xml:space="preserve"> </w:t>
      </w:r>
    </w:p>
    <w:p w14:paraId="030B5355" w14:textId="5FF1C1E7" w:rsidR="000B6388" w:rsidRPr="00AB4A50" w:rsidRDefault="000B6388" w:rsidP="000B6388">
      <w:pPr>
        <w:pStyle w:val="FooterTableFigure"/>
        <w:rPr>
          <w:rFonts w:eastAsia="Calibri"/>
        </w:rPr>
      </w:pPr>
      <w:r w:rsidRPr="00C7769E">
        <w:rPr>
          <w:rFonts w:eastAsia="Calibri"/>
          <w:vertAlign w:val="superscript"/>
        </w:rPr>
        <w:t>b</w:t>
      </w:r>
      <w:r w:rsidRPr="003A39A0">
        <w:t xml:space="preserve"> </w:t>
      </w:r>
      <w:r w:rsidRPr="003A39A0">
        <w:rPr>
          <w:rFonts w:eastAsia="Calibri"/>
        </w:rPr>
        <w:t xml:space="preserve">Analysed population is described as a modified ITT population (i.e. patients who took investigational product and had postbaseline outcome </w:t>
      </w:r>
      <w:r w:rsidRPr="00AB4A50">
        <w:rPr>
          <w:rFonts w:eastAsia="Calibri"/>
        </w:rPr>
        <w:t>assessments). Specific N values are not reported at Week 4 and Week 12</w:t>
      </w:r>
      <w:r w:rsidR="00575757">
        <w:rPr>
          <w:rFonts w:eastAsia="Calibri"/>
        </w:rPr>
        <w:t>.</w:t>
      </w:r>
    </w:p>
    <w:p w14:paraId="64889F12" w14:textId="0B0AE680" w:rsidR="000B6388" w:rsidRPr="00AB4A50" w:rsidRDefault="000B6388" w:rsidP="000B6388">
      <w:pPr>
        <w:pStyle w:val="FooterTableFigure"/>
        <w:rPr>
          <w:rFonts w:eastAsia="Calibri"/>
        </w:rPr>
      </w:pPr>
      <w:r w:rsidRPr="00AB4A50">
        <w:rPr>
          <w:rFonts w:eastAsia="Calibri"/>
          <w:vertAlign w:val="superscript"/>
        </w:rPr>
        <w:t>c</w:t>
      </w:r>
      <w:r w:rsidRPr="00AB4A50">
        <w:rPr>
          <w:rFonts w:eastAsia="Calibri"/>
        </w:rPr>
        <w:t xml:space="preserve"> Mean change data was estimated in the submission based on Figure 1 of Archer (2003)</w:t>
      </w:r>
      <w:r w:rsidR="00D75444">
        <w:rPr>
          <w:rFonts w:eastAsia="Calibri"/>
        </w:rPr>
        <w:t>.</w:t>
      </w:r>
    </w:p>
    <w:p w14:paraId="684B6269" w14:textId="77777777" w:rsidR="000B6388" w:rsidRPr="00AB4A50" w:rsidRDefault="000B6388" w:rsidP="000B6388">
      <w:pPr>
        <w:pStyle w:val="FooterTableFigure"/>
        <w:rPr>
          <w:rFonts w:eastAsia="Calibri"/>
        </w:rPr>
      </w:pPr>
      <w:r w:rsidRPr="00AB4A50">
        <w:rPr>
          <w:rFonts w:eastAsia="Calibri"/>
          <w:b/>
          <w:bCs/>
        </w:rPr>
        <w:t>Bold</w:t>
      </w:r>
      <w:r w:rsidRPr="00AB4A50">
        <w:rPr>
          <w:rFonts w:eastAsia="Calibri"/>
        </w:rPr>
        <w:t xml:space="preserve"> indicates statistically significant results.</w:t>
      </w:r>
    </w:p>
    <w:p w14:paraId="2F0B4411" w14:textId="6A1E7617" w:rsidR="000B6388" w:rsidRPr="00AB4A50" w:rsidRDefault="004C4D7E" w:rsidP="000B6388">
      <w:pPr>
        <w:pStyle w:val="FooterTableFigure"/>
        <w:rPr>
          <w:rStyle w:val="CommentReference"/>
          <w:b w:val="0"/>
          <w:sz w:val="18"/>
          <w:szCs w:val="18"/>
        </w:rPr>
      </w:pPr>
      <w:r>
        <w:rPr>
          <w:rStyle w:val="CommentReference"/>
          <w:b w:val="0"/>
          <w:i/>
          <w:iCs/>
          <w:sz w:val="18"/>
          <w:szCs w:val="18"/>
        </w:rPr>
        <w:t>*</w:t>
      </w:r>
      <w:proofErr w:type="gramStart"/>
      <w:r w:rsidR="000B6388" w:rsidRPr="00AB4A50">
        <w:rPr>
          <w:rStyle w:val="CommentReference"/>
          <w:b w:val="0"/>
          <w:sz w:val="18"/>
          <w:szCs w:val="18"/>
        </w:rPr>
        <w:t>added</w:t>
      </w:r>
      <w:proofErr w:type="gramEnd"/>
      <w:r w:rsidR="000B6388" w:rsidRPr="00AB4A50">
        <w:rPr>
          <w:rStyle w:val="CommentReference"/>
          <w:b w:val="0"/>
          <w:sz w:val="18"/>
          <w:szCs w:val="18"/>
        </w:rPr>
        <w:t xml:space="preserve"> based on </w:t>
      </w:r>
      <w:r w:rsidR="000B6388" w:rsidRPr="009A2100">
        <w:rPr>
          <w:rStyle w:val="CommentReference"/>
          <w:b w:val="0"/>
          <w:sz w:val="18"/>
          <w:szCs w:val="18"/>
        </w:rPr>
        <w:t>Attachment 3</w:t>
      </w:r>
      <w:r w:rsidR="000B6388" w:rsidRPr="00AB4A50">
        <w:t xml:space="preserve"> </w:t>
      </w:r>
      <w:r w:rsidR="000B6388" w:rsidRPr="00AB4A50">
        <w:rPr>
          <w:rStyle w:val="CommentReference"/>
          <w:b w:val="0"/>
          <w:sz w:val="18"/>
          <w:szCs w:val="18"/>
        </w:rPr>
        <w:t>Clinical Study Report to the submission</w:t>
      </w:r>
    </w:p>
    <w:p w14:paraId="5E3F058F" w14:textId="22AC8AD3" w:rsidR="000B6388" w:rsidRPr="00C56203" w:rsidRDefault="000B6388" w:rsidP="000B6388">
      <w:pPr>
        <w:pStyle w:val="3-BodyText"/>
        <w:rPr>
          <w:rStyle w:val="CommentReference"/>
          <w:rFonts w:asciiTheme="minorHAnsi" w:hAnsiTheme="minorHAnsi"/>
          <w:b w:val="0"/>
          <w:sz w:val="24"/>
          <w:szCs w:val="24"/>
        </w:rPr>
      </w:pPr>
      <w:r w:rsidRPr="00AB4A50">
        <w:rPr>
          <w:rStyle w:val="CommentReference"/>
          <w:rFonts w:asciiTheme="minorHAnsi" w:hAnsiTheme="minorHAnsi"/>
          <w:b w:val="0"/>
          <w:sz w:val="24"/>
          <w:szCs w:val="24"/>
        </w:rPr>
        <w:t>In REPLEN</w:t>
      </w:r>
      <w:r w:rsidR="00BC28F3" w:rsidRPr="00AB4A50">
        <w:rPr>
          <w:rStyle w:val="CommentReference"/>
          <w:rFonts w:asciiTheme="minorHAnsi" w:hAnsiTheme="minorHAnsi"/>
          <w:b w:val="0"/>
          <w:sz w:val="24"/>
          <w:szCs w:val="24"/>
        </w:rPr>
        <w:t>I</w:t>
      </w:r>
      <w:r w:rsidRPr="00AB4A50">
        <w:rPr>
          <w:rStyle w:val="CommentReference"/>
          <w:rFonts w:asciiTheme="minorHAnsi" w:hAnsiTheme="minorHAnsi"/>
          <w:b w:val="0"/>
          <w:sz w:val="24"/>
          <w:szCs w:val="24"/>
        </w:rPr>
        <w:t xml:space="preserve">SH, Bijuva demonstrated a </w:t>
      </w:r>
      <w:r w:rsidRPr="004C4D7E">
        <w:rPr>
          <w:rStyle w:val="CommentReference"/>
          <w:rFonts w:asciiTheme="minorHAnsi" w:hAnsiTheme="minorHAnsi"/>
          <w:b w:val="0"/>
          <w:iCs/>
          <w:sz w:val="24"/>
          <w:szCs w:val="24"/>
        </w:rPr>
        <w:t>statistically</w:t>
      </w:r>
      <w:r w:rsidRPr="00AB4A50">
        <w:rPr>
          <w:rStyle w:val="CommentReference"/>
          <w:rFonts w:asciiTheme="minorHAnsi" w:hAnsiTheme="minorHAnsi"/>
          <w:b w:val="0"/>
          <w:sz w:val="24"/>
          <w:szCs w:val="24"/>
        </w:rPr>
        <w:t xml:space="preserve"> significant reduction in the mean weekly frequency of VMS of any severity (mild, moderate and severe) from baseline to Week 12, compared to placebo</w:t>
      </w:r>
      <w:r w:rsidRPr="00C56203">
        <w:rPr>
          <w:rStyle w:val="CommentReference"/>
          <w:rFonts w:asciiTheme="minorHAnsi" w:hAnsiTheme="minorHAnsi"/>
          <w:b w:val="0"/>
          <w:sz w:val="24"/>
          <w:szCs w:val="24"/>
        </w:rPr>
        <w:t>.</w:t>
      </w:r>
      <w:r w:rsidR="000C5377" w:rsidRPr="00C56203">
        <w:rPr>
          <w:rStyle w:val="CommentReference"/>
          <w:rFonts w:asciiTheme="minorHAnsi" w:hAnsiTheme="minorHAnsi"/>
          <w:b w:val="0"/>
          <w:sz w:val="24"/>
          <w:szCs w:val="24"/>
        </w:rPr>
        <w:t xml:space="preserve"> It is uncertain if the improvement is clinically meaningful</w:t>
      </w:r>
      <w:r w:rsidR="03E858A4" w:rsidRPr="00C56203">
        <w:rPr>
          <w:rStyle w:val="CommentReference"/>
          <w:rFonts w:asciiTheme="minorHAnsi" w:hAnsiTheme="minorHAnsi"/>
          <w:b w:val="0"/>
          <w:sz w:val="24"/>
          <w:szCs w:val="24"/>
        </w:rPr>
        <w:t xml:space="preserve"> </w:t>
      </w:r>
      <w:r w:rsidR="120AFD34" w:rsidRPr="00C56203">
        <w:rPr>
          <w:rStyle w:val="CommentReference"/>
          <w:rFonts w:asciiTheme="minorHAnsi" w:hAnsiTheme="minorHAnsi"/>
          <w:b w:val="0"/>
          <w:sz w:val="24"/>
          <w:szCs w:val="24"/>
        </w:rPr>
        <w:t>because</w:t>
      </w:r>
      <w:r w:rsidR="03E858A4" w:rsidRPr="00C56203">
        <w:rPr>
          <w:rStyle w:val="CommentReference"/>
          <w:rFonts w:asciiTheme="minorHAnsi" w:hAnsiTheme="minorHAnsi"/>
          <w:b w:val="0"/>
          <w:sz w:val="24"/>
          <w:szCs w:val="24"/>
        </w:rPr>
        <w:t xml:space="preserve"> MCID </w:t>
      </w:r>
      <w:r w:rsidR="58B53D9A" w:rsidRPr="00C56203">
        <w:rPr>
          <w:rStyle w:val="CommentReference"/>
          <w:rFonts w:asciiTheme="minorHAnsi" w:hAnsiTheme="minorHAnsi"/>
          <w:b w:val="0"/>
          <w:sz w:val="24"/>
          <w:szCs w:val="24"/>
        </w:rPr>
        <w:t xml:space="preserve">for the change from baseline in the frequency of weekly </w:t>
      </w:r>
      <w:r w:rsidR="58E4ED2C" w:rsidRPr="00C56203">
        <w:rPr>
          <w:rStyle w:val="CommentReference"/>
          <w:rFonts w:asciiTheme="minorHAnsi" w:hAnsiTheme="minorHAnsi"/>
          <w:b w:val="0"/>
          <w:sz w:val="24"/>
          <w:szCs w:val="24"/>
        </w:rPr>
        <w:t xml:space="preserve">mild, </w:t>
      </w:r>
      <w:r w:rsidR="58B53D9A" w:rsidRPr="00C56203">
        <w:rPr>
          <w:rStyle w:val="CommentReference"/>
          <w:rFonts w:asciiTheme="minorHAnsi" w:hAnsiTheme="minorHAnsi"/>
          <w:b w:val="0"/>
          <w:sz w:val="24"/>
          <w:szCs w:val="24"/>
        </w:rPr>
        <w:t xml:space="preserve">moderate </w:t>
      </w:r>
      <w:r w:rsidR="42EA3486" w:rsidRPr="00C56203">
        <w:rPr>
          <w:rStyle w:val="CommentReference"/>
          <w:rFonts w:asciiTheme="minorHAnsi" w:hAnsiTheme="minorHAnsi"/>
          <w:b w:val="0"/>
          <w:sz w:val="24"/>
          <w:szCs w:val="24"/>
        </w:rPr>
        <w:t>and</w:t>
      </w:r>
      <w:r w:rsidR="58B53D9A" w:rsidRPr="00C56203">
        <w:rPr>
          <w:rStyle w:val="CommentReference"/>
          <w:rFonts w:asciiTheme="minorHAnsi" w:hAnsiTheme="minorHAnsi"/>
          <w:b w:val="0"/>
          <w:sz w:val="24"/>
          <w:szCs w:val="24"/>
        </w:rPr>
        <w:t xml:space="preserve"> severe VMS</w:t>
      </w:r>
      <w:r w:rsidR="2733D490" w:rsidRPr="00C56203">
        <w:rPr>
          <w:rStyle w:val="CommentReference"/>
          <w:rFonts w:asciiTheme="minorHAnsi" w:hAnsiTheme="minorHAnsi"/>
          <w:b w:val="0"/>
          <w:sz w:val="24"/>
          <w:szCs w:val="24"/>
        </w:rPr>
        <w:t>,</w:t>
      </w:r>
      <w:r w:rsidR="16E08383" w:rsidRPr="00C56203">
        <w:rPr>
          <w:rStyle w:val="CommentReference"/>
          <w:rFonts w:asciiTheme="minorHAnsi" w:hAnsiTheme="minorHAnsi"/>
          <w:b w:val="0"/>
          <w:sz w:val="24"/>
          <w:szCs w:val="24"/>
        </w:rPr>
        <w:t xml:space="preserve"> was </w:t>
      </w:r>
      <w:r w:rsidR="0833BA86" w:rsidRPr="00C56203">
        <w:rPr>
          <w:rStyle w:val="CommentReference"/>
          <w:rFonts w:asciiTheme="minorHAnsi" w:hAnsiTheme="minorHAnsi"/>
          <w:b w:val="0"/>
          <w:sz w:val="24"/>
          <w:szCs w:val="24"/>
        </w:rPr>
        <w:t xml:space="preserve">not </w:t>
      </w:r>
      <w:r w:rsidR="44925EE5" w:rsidRPr="00C56203">
        <w:rPr>
          <w:rStyle w:val="CommentReference"/>
          <w:rFonts w:asciiTheme="minorHAnsi" w:hAnsiTheme="minorHAnsi"/>
          <w:b w:val="0"/>
          <w:sz w:val="24"/>
          <w:szCs w:val="24"/>
        </w:rPr>
        <w:t>available to establish clinical meaningful difference.</w:t>
      </w:r>
    </w:p>
    <w:p w14:paraId="522689CE" w14:textId="1F60810D" w:rsidR="00B116EE" w:rsidRPr="00B116EE" w:rsidRDefault="000B6388" w:rsidP="00B116EE">
      <w:pPr>
        <w:pStyle w:val="3-BodyText"/>
        <w:rPr>
          <w:rStyle w:val="CommentReference"/>
          <w:rFonts w:asciiTheme="minorHAnsi" w:hAnsiTheme="minorHAnsi" w:cstheme="minorHAnsi"/>
          <w:b w:val="0"/>
          <w:bCs/>
          <w:i/>
          <w:iCs/>
          <w:sz w:val="24"/>
          <w:szCs w:val="24"/>
        </w:rPr>
      </w:pPr>
      <w:r>
        <w:rPr>
          <w:rStyle w:val="CommentReference"/>
          <w:rFonts w:asciiTheme="minorHAnsi" w:hAnsiTheme="minorHAnsi" w:cstheme="minorHAnsi"/>
          <w:b w:val="0"/>
          <w:bCs/>
          <w:sz w:val="24"/>
          <w:szCs w:val="24"/>
        </w:rPr>
        <w:t>In Archer et al. (2003)</w:t>
      </w:r>
      <w:r w:rsidRPr="008E0791">
        <w:rPr>
          <w:rStyle w:val="CommentReference"/>
          <w:rFonts w:asciiTheme="minorHAnsi" w:hAnsiTheme="minorHAnsi" w:cstheme="minorHAnsi"/>
          <w:b w:val="0"/>
          <w:bCs/>
          <w:sz w:val="24"/>
          <w:szCs w:val="24"/>
        </w:rPr>
        <w:t xml:space="preserve">, Estrogel 1.25 g and 2.5 g showed a </w:t>
      </w:r>
      <w:r w:rsidRPr="00E90A7A">
        <w:rPr>
          <w:rStyle w:val="CommentReference"/>
          <w:rFonts w:asciiTheme="minorHAnsi" w:hAnsiTheme="minorHAnsi" w:cstheme="minorHAnsi"/>
          <w:b w:val="0"/>
          <w:bCs/>
          <w:sz w:val="24"/>
          <w:szCs w:val="24"/>
        </w:rPr>
        <w:t xml:space="preserve">statistically </w:t>
      </w:r>
      <w:r w:rsidRPr="008E0791">
        <w:rPr>
          <w:rStyle w:val="CommentReference"/>
          <w:rFonts w:asciiTheme="minorHAnsi" w:hAnsiTheme="minorHAnsi" w:cstheme="minorHAnsi"/>
          <w:b w:val="0"/>
          <w:bCs/>
          <w:sz w:val="24"/>
          <w:szCs w:val="24"/>
        </w:rPr>
        <w:t xml:space="preserve">significant reduction in the mean weekly frequency of VMS </w:t>
      </w:r>
      <w:r>
        <w:rPr>
          <w:rStyle w:val="CommentReference"/>
          <w:rFonts w:asciiTheme="minorHAnsi" w:hAnsiTheme="minorHAnsi" w:cstheme="minorHAnsi"/>
          <w:b w:val="0"/>
          <w:bCs/>
          <w:sz w:val="24"/>
          <w:szCs w:val="24"/>
        </w:rPr>
        <w:t>of any severity</w:t>
      </w:r>
      <w:r w:rsidRPr="008E0791">
        <w:rPr>
          <w:rStyle w:val="CommentReference"/>
          <w:rFonts w:asciiTheme="minorHAnsi" w:hAnsiTheme="minorHAnsi" w:cstheme="minorHAnsi"/>
          <w:b w:val="0"/>
          <w:bCs/>
          <w:sz w:val="24"/>
          <w:szCs w:val="24"/>
        </w:rPr>
        <w:t xml:space="preserve"> from baseline to Week</w:t>
      </w:r>
      <w:r w:rsidR="00A6319D">
        <w:rPr>
          <w:rStyle w:val="CommentReference"/>
          <w:rFonts w:asciiTheme="minorHAnsi" w:hAnsiTheme="minorHAnsi" w:cstheme="minorHAnsi"/>
          <w:b w:val="0"/>
          <w:bCs/>
          <w:sz w:val="24"/>
          <w:szCs w:val="24"/>
        </w:rPr>
        <w:t> </w:t>
      </w:r>
      <w:r w:rsidRPr="008E0791">
        <w:rPr>
          <w:rStyle w:val="CommentReference"/>
          <w:rFonts w:asciiTheme="minorHAnsi" w:hAnsiTheme="minorHAnsi" w:cstheme="minorHAnsi"/>
          <w:b w:val="0"/>
          <w:bCs/>
          <w:sz w:val="24"/>
          <w:szCs w:val="24"/>
        </w:rPr>
        <w:t>12, compared to placebo.</w:t>
      </w:r>
      <w:r w:rsidR="00B116EE">
        <w:rPr>
          <w:rStyle w:val="CommentReference"/>
          <w:rFonts w:asciiTheme="minorHAnsi" w:hAnsiTheme="minorHAnsi" w:cstheme="minorHAnsi"/>
          <w:b w:val="0"/>
          <w:bCs/>
          <w:sz w:val="24"/>
          <w:szCs w:val="24"/>
        </w:rPr>
        <w:t xml:space="preserve"> </w:t>
      </w:r>
      <w:r w:rsidR="00B116EE" w:rsidRPr="004C4D7E">
        <w:rPr>
          <w:rStyle w:val="CommentReference"/>
          <w:rFonts w:asciiTheme="minorHAnsi" w:hAnsiTheme="minorHAnsi" w:cstheme="minorHAnsi"/>
          <w:b w:val="0"/>
          <w:bCs/>
          <w:sz w:val="24"/>
          <w:szCs w:val="24"/>
        </w:rPr>
        <w:t>It is uncertain if the improvement is clinically meaningful.</w:t>
      </w:r>
    </w:p>
    <w:p w14:paraId="7280AA53" w14:textId="2ADE5FDE" w:rsidR="000732C9" w:rsidRPr="00C56203" w:rsidRDefault="000B6388" w:rsidP="00854BC8">
      <w:pPr>
        <w:pStyle w:val="3-BodyText"/>
        <w:rPr>
          <w:rStyle w:val="CommentReference"/>
          <w:rFonts w:asciiTheme="minorHAnsi" w:hAnsiTheme="minorHAnsi" w:cstheme="minorHAnsi"/>
          <w:b w:val="0"/>
          <w:bCs/>
          <w:sz w:val="24"/>
          <w:szCs w:val="24"/>
        </w:rPr>
      </w:pPr>
      <w:r w:rsidRPr="008E0791">
        <w:rPr>
          <w:rStyle w:val="CommentReference"/>
          <w:rFonts w:asciiTheme="minorHAnsi" w:hAnsiTheme="minorHAnsi" w:cstheme="minorHAnsi"/>
          <w:b w:val="0"/>
          <w:bCs/>
          <w:sz w:val="24"/>
          <w:szCs w:val="24"/>
        </w:rPr>
        <w:t xml:space="preserve">ITC results showed no significant differences in the weekly frequency of </w:t>
      </w:r>
      <w:r>
        <w:rPr>
          <w:rStyle w:val="CommentReference"/>
          <w:rFonts w:asciiTheme="minorHAnsi" w:hAnsiTheme="minorHAnsi" w:cstheme="minorHAnsi"/>
          <w:b w:val="0"/>
          <w:bCs/>
          <w:sz w:val="24"/>
          <w:szCs w:val="24"/>
        </w:rPr>
        <w:t>mild, moderate and</w:t>
      </w:r>
      <w:r w:rsidRPr="008E0791">
        <w:rPr>
          <w:rStyle w:val="CommentReference"/>
          <w:rFonts w:asciiTheme="minorHAnsi" w:hAnsiTheme="minorHAnsi" w:cstheme="minorHAnsi"/>
          <w:b w:val="0"/>
          <w:bCs/>
          <w:sz w:val="24"/>
          <w:szCs w:val="24"/>
        </w:rPr>
        <w:t xml:space="preserve"> severe VMS, comparing Bijuva to Estrogel 1.25 g and 2.5 g</w:t>
      </w:r>
      <w:r w:rsidR="000732C9">
        <w:rPr>
          <w:rStyle w:val="CommentReference"/>
          <w:rFonts w:asciiTheme="minorHAnsi" w:hAnsiTheme="minorHAnsi" w:cstheme="minorHAnsi"/>
          <w:b w:val="0"/>
          <w:bCs/>
          <w:sz w:val="24"/>
          <w:szCs w:val="24"/>
        </w:rPr>
        <w:t>.</w:t>
      </w:r>
      <w:r w:rsidR="00854BC8" w:rsidRPr="00854BC8">
        <w:t xml:space="preserve"> </w:t>
      </w:r>
      <w:r w:rsidR="00854BC8" w:rsidRPr="00C56203">
        <w:rPr>
          <w:rStyle w:val="CommentReference"/>
          <w:rFonts w:asciiTheme="minorHAnsi" w:hAnsiTheme="minorHAnsi" w:cstheme="minorHAnsi"/>
          <w:b w:val="0"/>
          <w:bCs/>
          <w:sz w:val="24"/>
          <w:szCs w:val="24"/>
        </w:rPr>
        <w:t xml:space="preserve">There </w:t>
      </w:r>
      <w:r w:rsidR="00B116EE" w:rsidRPr="00C56203">
        <w:rPr>
          <w:rStyle w:val="CommentReference"/>
          <w:rFonts w:asciiTheme="minorHAnsi" w:hAnsiTheme="minorHAnsi" w:cstheme="minorHAnsi"/>
          <w:b w:val="0"/>
          <w:bCs/>
          <w:sz w:val="24"/>
          <w:szCs w:val="24"/>
        </w:rPr>
        <w:t>were</w:t>
      </w:r>
      <w:r w:rsidR="00854BC8" w:rsidRPr="00C56203">
        <w:rPr>
          <w:rStyle w:val="CommentReference"/>
          <w:rFonts w:asciiTheme="minorHAnsi" w:hAnsiTheme="minorHAnsi" w:cstheme="minorHAnsi"/>
          <w:b w:val="0"/>
          <w:bCs/>
          <w:sz w:val="24"/>
          <w:szCs w:val="24"/>
        </w:rPr>
        <w:t xml:space="preserve"> no known non-inferiority margins to evaluate treatment non-inferiority</w:t>
      </w:r>
      <w:r w:rsidR="00570762" w:rsidRPr="00C56203">
        <w:rPr>
          <w:rStyle w:val="CommentReference"/>
          <w:rFonts w:asciiTheme="minorHAnsi" w:hAnsiTheme="minorHAnsi" w:cstheme="minorHAnsi"/>
          <w:b w:val="0"/>
          <w:bCs/>
          <w:sz w:val="24"/>
          <w:szCs w:val="24"/>
        </w:rPr>
        <w:t>, and the</w:t>
      </w:r>
      <w:r w:rsidR="00932319" w:rsidRPr="00C56203">
        <w:t xml:space="preserve"> </w:t>
      </w:r>
      <w:r w:rsidR="00932319" w:rsidRPr="00C56203">
        <w:rPr>
          <w:rStyle w:val="CommentReference"/>
          <w:rFonts w:asciiTheme="minorHAnsi" w:hAnsiTheme="minorHAnsi" w:cstheme="minorHAnsi"/>
          <w:b w:val="0"/>
          <w:bCs/>
          <w:sz w:val="24"/>
          <w:szCs w:val="24"/>
        </w:rPr>
        <w:t>efficacy differences between Bijuva and Estrogel must be interpreted cautiously given population differences</w:t>
      </w:r>
      <w:r w:rsidR="001D130A" w:rsidRPr="00C56203">
        <w:rPr>
          <w:rStyle w:val="CommentReference"/>
          <w:rFonts w:asciiTheme="minorHAnsi" w:hAnsiTheme="minorHAnsi" w:cstheme="minorHAnsi"/>
          <w:b w:val="0"/>
          <w:bCs/>
          <w:sz w:val="24"/>
          <w:szCs w:val="24"/>
        </w:rPr>
        <w:t xml:space="preserve"> (</w:t>
      </w:r>
      <w:r w:rsidR="001D130A" w:rsidRPr="009A2100">
        <w:rPr>
          <w:rStyle w:val="CommentReference"/>
          <w:rFonts w:asciiTheme="minorHAnsi" w:hAnsiTheme="minorHAnsi" w:cstheme="minorHAnsi"/>
          <w:b w:val="0"/>
          <w:bCs/>
          <w:sz w:val="24"/>
          <w:szCs w:val="24"/>
        </w:rPr>
        <w:t xml:space="preserve">for further details refer paragraph </w:t>
      </w:r>
      <w:r w:rsidR="00D76586" w:rsidRPr="009A2100">
        <w:rPr>
          <w:rStyle w:val="CommentReference"/>
          <w:rFonts w:asciiTheme="minorHAnsi" w:hAnsiTheme="minorHAnsi" w:cstheme="minorHAnsi"/>
          <w:b w:val="0"/>
          <w:sz w:val="24"/>
          <w:szCs w:val="24"/>
        </w:rPr>
        <w:fldChar w:fldCharType="begin"/>
      </w:r>
      <w:r w:rsidR="00D76586" w:rsidRPr="009A2100">
        <w:rPr>
          <w:rStyle w:val="CommentReference"/>
          <w:rFonts w:asciiTheme="minorHAnsi" w:hAnsiTheme="minorHAnsi" w:cstheme="minorHAnsi"/>
          <w:b w:val="0"/>
          <w:sz w:val="24"/>
          <w:szCs w:val="24"/>
        </w:rPr>
        <w:instrText xml:space="preserve"> REF _Ref207883988 \r \h </w:instrText>
      </w:r>
      <w:r w:rsidR="00C56203" w:rsidRPr="009A2100">
        <w:rPr>
          <w:rStyle w:val="CommentReference"/>
          <w:rFonts w:asciiTheme="minorHAnsi" w:hAnsiTheme="minorHAnsi" w:cstheme="minorHAnsi"/>
          <w:b w:val="0"/>
          <w:sz w:val="24"/>
          <w:szCs w:val="24"/>
        </w:rPr>
        <w:instrText xml:space="preserve"> \* MERGEFORMAT </w:instrText>
      </w:r>
      <w:r w:rsidR="00D76586" w:rsidRPr="009A2100">
        <w:rPr>
          <w:rStyle w:val="CommentReference"/>
          <w:rFonts w:asciiTheme="minorHAnsi" w:hAnsiTheme="minorHAnsi" w:cstheme="minorHAnsi"/>
          <w:b w:val="0"/>
          <w:sz w:val="24"/>
          <w:szCs w:val="24"/>
        </w:rPr>
      </w:r>
      <w:r w:rsidR="00D76586" w:rsidRPr="009A2100">
        <w:rPr>
          <w:rStyle w:val="CommentReference"/>
          <w:rFonts w:asciiTheme="minorHAnsi" w:hAnsiTheme="minorHAnsi" w:cstheme="minorHAnsi"/>
          <w:b w:val="0"/>
          <w:sz w:val="24"/>
          <w:szCs w:val="24"/>
        </w:rPr>
        <w:fldChar w:fldCharType="separate"/>
      </w:r>
      <w:r w:rsidR="00724077">
        <w:rPr>
          <w:rStyle w:val="CommentReference"/>
          <w:rFonts w:asciiTheme="minorHAnsi" w:hAnsiTheme="minorHAnsi" w:cstheme="minorHAnsi"/>
          <w:b w:val="0"/>
          <w:sz w:val="24"/>
          <w:szCs w:val="24"/>
        </w:rPr>
        <w:t>6.14</w:t>
      </w:r>
      <w:r w:rsidR="00D76586" w:rsidRPr="009A2100">
        <w:rPr>
          <w:rStyle w:val="CommentReference"/>
          <w:rFonts w:asciiTheme="minorHAnsi" w:hAnsiTheme="minorHAnsi" w:cstheme="minorHAnsi"/>
          <w:b w:val="0"/>
          <w:sz w:val="24"/>
          <w:szCs w:val="24"/>
        </w:rPr>
        <w:fldChar w:fldCharType="end"/>
      </w:r>
      <w:r w:rsidR="001D130A" w:rsidRPr="00C56203">
        <w:rPr>
          <w:rStyle w:val="CommentReference"/>
          <w:rFonts w:asciiTheme="minorHAnsi" w:hAnsiTheme="minorHAnsi" w:cstheme="minorHAnsi"/>
          <w:b w:val="0"/>
          <w:bCs/>
          <w:sz w:val="24"/>
          <w:szCs w:val="24"/>
        </w:rPr>
        <w:t>).</w:t>
      </w:r>
    </w:p>
    <w:p w14:paraId="6804BD63" w14:textId="18E25FA0" w:rsidR="00B87122" w:rsidRPr="000732C9" w:rsidRDefault="000732C9" w:rsidP="000732C9">
      <w:pPr>
        <w:pStyle w:val="3-BodyText"/>
        <w:numPr>
          <w:ilvl w:val="0"/>
          <w:numId w:val="0"/>
        </w:numPr>
        <w:rPr>
          <w:rStyle w:val="CommentReference"/>
          <w:rFonts w:asciiTheme="minorHAnsi" w:hAnsiTheme="minorHAnsi" w:cstheme="minorHAnsi"/>
          <w:b w:val="0"/>
          <w:bCs/>
          <w:sz w:val="24"/>
          <w:szCs w:val="24"/>
          <w:u w:val="single"/>
        </w:rPr>
      </w:pPr>
      <w:r w:rsidRPr="000732C9">
        <w:rPr>
          <w:rStyle w:val="CommentReference"/>
          <w:rFonts w:asciiTheme="minorHAnsi" w:hAnsiTheme="minorHAnsi" w:cstheme="minorHAnsi"/>
          <w:b w:val="0"/>
          <w:bCs/>
          <w:sz w:val="24"/>
          <w:szCs w:val="24"/>
          <w:u w:val="single"/>
        </w:rPr>
        <w:t>Quality-of-life outcome</w:t>
      </w:r>
    </w:p>
    <w:p w14:paraId="4F7A01DD" w14:textId="01E0E34E" w:rsidR="000B6388" w:rsidRPr="008E0791" w:rsidRDefault="00854BC8" w:rsidP="000732C9">
      <w:pPr>
        <w:pStyle w:val="3-BodyText"/>
        <w:rPr>
          <w:rStyle w:val="CommentReference"/>
          <w:rFonts w:asciiTheme="minorHAnsi" w:hAnsiTheme="minorHAnsi" w:cstheme="minorHAnsi"/>
          <w:b w:val="0"/>
          <w:bCs/>
          <w:sz w:val="24"/>
          <w:szCs w:val="24"/>
        </w:rPr>
      </w:pPr>
      <w:r>
        <w:rPr>
          <w:rStyle w:val="CommentReference"/>
          <w:rFonts w:asciiTheme="minorHAnsi" w:hAnsiTheme="minorHAnsi" w:cstheme="minorHAnsi"/>
          <w:b w:val="0"/>
          <w:bCs/>
          <w:sz w:val="24"/>
          <w:szCs w:val="24"/>
        </w:rPr>
        <w:lastRenderedPageBreak/>
        <w:t xml:space="preserve">The quality-of-life outcome using </w:t>
      </w:r>
      <w:r w:rsidRPr="00854BC8">
        <w:rPr>
          <w:rStyle w:val="CommentReference"/>
          <w:rFonts w:asciiTheme="minorHAnsi" w:hAnsiTheme="minorHAnsi" w:cstheme="minorHAnsi"/>
          <w:b w:val="0"/>
          <w:bCs/>
          <w:sz w:val="24"/>
          <w:szCs w:val="24"/>
        </w:rPr>
        <w:t xml:space="preserve">Menopause-specific quality of life </w:t>
      </w:r>
      <w:r>
        <w:rPr>
          <w:rStyle w:val="CommentReference"/>
          <w:rFonts w:asciiTheme="minorHAnsi" w:hAnsiTheme="minorHAnsi" w:cstheme="minorHAnsi"/>
          <w:b w:val="0"/>
          <w:bCs/>
          <w:sz w:val="24"/>
          <w:szCs w:val="24"/>
        </w:rPr>
        <w:t>(MENQOL) was reported in</w:t>
      </w:r>
      <w:r w:rsidR="00981C17">
        <w:rPr>
          <w:rStyle w:val="CommentReference"/>
          <w:rFonts w:asciiTheme="minorHAnsi" w:hAnsiTheme="minorHAnsi" w:cstheme="minorHAnsi"/>
          <w:b w:val="0"/>
          <w:bCs/>
          <w:sz w:val="24"/>
          <w:szCs w:val="24"/>
        </w:rPr>
        <w:t xml:space="preserve"> the</w:t>
      </w:r>
      <w:r>
        <w:rPr>
          <w:rStyle w:val="CommentReference"/>
          <w:rFonts w:asciiTheme="minorHAnsi" w:hAnsiTheme="minorHAnsi" w:cstheme="minorHAnsi"/>
          <w:b w:val="0"/>
          <w:bCs/>
          <w:sz w:val="24"/>
          <w:szCs w:val="24"/>
        </w:rPr>
        <w:t xml:space="preserve"> REPLENISH trial.</w:t>
      </w:r>
    </w:p>
    <w:p w14:paraId="16A65653" w14:textId="2D9EBECF" w:rsidR="000B6388" w:rsidRPr="008E0791" w:rsidRDefault="000B6388" w:rsidP="000B6388">
      <w:pPr>
        <w:pStyle w:val="3-BodyText"/>
        <w:rPr>
          <w:rStyle w:val="CommentReference"/>
          <w:rFonts w:asciiTheme="minorHAnsi" w:hAnsiTheme="minorHAnsi" w:cstheme="minorHAnsi"/>
          <w:b w:val="0"/>
          <w:bCs/>
          <w:sz w:val="24"/>
          <w:szCs w:val="24"/>
        </w:rPr>
      </w:pPr>
      <w:r>
        <w:rPr>
          <w:rStyle w:val="CommentReference"/>
          <w:rFonts w:asciiTheme="minorHAnsi" w:hAnsiTheme="minorHAnsi" w:cstheme="minorHAnsi"/>
          <w:b w:val="0"/>
          <w:bCs/>
          <w:sz w:val="24"/>
          <w:szCs w:val="24"/>
        </w:rPr>
        <w:fldChar w:fldCharType="begin"/>
      </w:r>
      <w:r>
        <w:rPr>
          <w:rStyle w:val="CommentReference"/>
          <w:rFonts w:asciiTheme="minorHAnsi" w:hAnsiTheme="minorHAnsi" w:cstheme="minorHAnsi"/>
          <w:b w:val="0"/>
          <w:bCs/>
          <w:sz w:val="24"/>
          <w:szCs w:val="24"/>
        </w:rPr>
        <w:instrText xml:space="preserve"> REF _Ref207624428 \h </w:instrText>
      </w:r>
      <w:r>
        <w:rPr>
          <w:rStyle w:val="CommentReference"/>
          <w:rFonts w:asciiTheme="minorHAnsi" w:hAnsiTheme="minorHAnsi" w:cstheme="minorHAnsi"/>
          <w:b w:val="0"/>
          <w:bCs/>
          <w:sz w:val="24"/>
          <w:szCs w:val="24"/>
        </w:rPr>
      </w:r>
      <w:r>
        <w:rPr>
          <w:rStyle w:val="CommentReference"/>
          <w:rFonts w:asciiTheme="minorHAnsi" w:hAnsiTheme="minorHAnsi" w:cstheme="minorHAnsi"/>
          <w:b w:val="0"/>
          <w:bCs/>
          <w:sz w:val="24"/>
          <w:szCs w:val="24"/>
        </w:rPr>
        <w:fldChar w:fldCharType="separate"/>
      </w:r>
      <w:r w:rsidR="00724077">
        <w:t xml:space="preserve">Figure </w:t>
      </w:r>
      <w:r w:rsidR="00724077">
        <w:rPr>
          <w:noProof/>
        </w:rPr>
        <w:t>1</w:t>
      </w:r>
      <w:r>
        <w:rPr>
          <w:rStyle w:val="CommentReference"/>
          <w:rFonts w:asciiTheme="minorHAnsi" w:hAnsiTheme="minorHAnsi" w:cstheme="minorHAnsi"/>
          <w:b w:val="0"/>
          <w:bCs/>
          <w:sz w:val="24"/>
          <w:szCs w:val="24"/>
        </w:rPr>
        <w:fldChar w:fldCharType="end"/>
      </w:r>
      <w:r>
        <w:rPr>
          <w:rStyle w:val="CommentReference"/>
          <w:rFonts w:asciiTheme="minorHAnsi" w:hAnsiTheme="minorHAnsi" w:cstheme="minorHAnsi"/>
          <w:b w:val="0"/>
          <w:bCs/>
          <w:sz w:val="24"/>
          <w:szCs w:val="24"/>
        </w:rPr>
        <w:t xml:space="preserve"> </w:t>
      </w:r>
      <w:r w:rsidRPr="008E0791">
        <w:rPr>
          <w:rStyle w:val="CommentReference"/>
          <w:rFonts w:asciiTheme="minorHAnsi" w:hAnsiTheme="minorHAnsi" w:cstheme="minorHAnsi"/>
          <w:b w:val="0"/>
          <w:bCs/>
          <w:sz w:val="24"/>
          <w:szCs w:val="24"/>
        </w:rPr>
        <w:t>presents the MENQOL vasomotor domain score in the REPLENISH trial.</w:t>
      </w:r>
    </w:p>
    <w:p w14:paraId="064A7C3B" w14:textId="2DAB02E5" w:rsidR="000B6388" w:rsidRDefault="000B6388" w:rsidP="000B6388">
      <w:pPr>
        <w:pStyle w:val="Caption"/>
      </w:pPr>
      <w:bookmarkStart w:id="31" w:name="_Ref207624428"/>
      <w:r>
        <w:t xml:space="preserve">Figure </w:t>
      </w:r>
      <w:r w:rsidR="003A0CC2">
        <w:fldChar w:fldCharType="begin"/>
      </w:r>
      <w:r w:rsidR="003A0CC2">
        <w:instrText xml:space="preserve"> SEQ Figure \* ARABIC </w:instrText>
      </w:r>
      <w:r w:rsidR="003A0CC2">
        <w:fldChar w:fldCharType="separate"/>
      </w:r>
      <w:r w:rsidR="00724077">
        <w:rPr>
          <w:noProof/>
        </w:rPr>
        <w:t>1</w:t>
      </w:r>
      <w:r w:rsidR="003A0CC2">
        <w:rPr>
          <w:noProof/>
        </w:rPr>
        <w:fldChar w:fldCharType="end"/>
      </w:r>
      <w:bookmarkEnd w:id="31"/>
      <w:r>
        <w:t xml:space="preserve">: </w:t>
      </w:r>
      <w:r w:rsidRPr="006F02A2">
        <w:t>MENQOL vasomotor domain score at Months 3 and 12</w:t>
      </w:r>
    </w:p>
    <w:p w14:paraId="728CA13F" w14:textId="77777777" w:rsidR="000B6388" w:rsidRDefault="000B6388" w:rsidP="000B6388">
      <w:pPr>
        <w:pStyle w:val="3-BodyText"/>
        <w:numPr>
          <w:ilvl w:val="0"/>
          <w:numId w:val="0"/>
        </w:numPr>
        <w:rPr>
          <w:rStyle w:val="CommentReference"/>
          <w:rFonts w:asciiTheme="minorHAnsi" w:hAnsiTheme="minorHAnsi" w:cstheme="minorHAnsi"/>
          <w:b w:val="0"/>
          <w:sz w:val="24"/>
          <w:szCs w:val="24"/>
        </w:rPr>
      </w:pPr>
      <w:r>
        <w:rPr>
          <w:rFonts w:eastAsia="Calibri"/>
          <w:noProof/>
        </w:rPr>
        <w:drawing>
          <wp:inline distT="0" distB="0" distL="0" distR="0" wp14:anchorId="0F908AC0" wp14:editId="4C947622">
            <wp:extent cx="5732145" cy="2402840"/>
            <wp:effectExtent l="0" t="0" r="1905" b="0"/>
            <wp:docPr id="564245164" name="Picture 4" descr="Figure 1: MENQOL vasomotor domain score at Months 3 an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45164" name="Picture 4" descr="Figure 1: MENQOL vasomotor domain score at Months 3 and 12"/>
                    <pic:cNvPicPr/>
                  </pic:nvPicPr>
                  <pic:blipFill>
                    <a:blip r:embed="rId11"/>
                    <a:stretch>
                      <a:fillRect/>
                    </a:stretch>
                  </pic:blipFill>
                  <pic:spPr>
                    <a:xfrm>
                      <a:off x="0" y="0"/>
                      <a:ext cx="5732145" cy="2402840"/>
                    </a:xfrm>
                    <a:prstGeom prst="rect">
                      <a:avLst/>
                    </a:prstGeom>
                  </pic:spPr>
                </pic:pic>
              </a:graphicData>
            </a:graphic>
          </wp:inline>
        </w:drawing>
      </w:r>
    </w:p>
    <w:p w14:paraId="1812E879" w14:textId="7594D2C8" w:rsidR="000B6388" w:rsidRPr="006F02A2" w:rsidRDefault="000B6388" w:rsidP="000B6388">
      <w:pPr>
        <w:keepLines/>
        <w:spacing w:after="120"/>
        <w:contextualSpacing/>
        <w:jc w:val="left"/>
        <w:rPr>
          <w:rFonts w:ascii="Arial Narrow" w:eastAsia="Calibri" w:hAnsi="Arial Narrow"/>
          <w:bCs/>
          <w:snapToGrid w:val="0"/>
          <w:sz w:val="18"/>
          <w:szCs w:val="22"/>
        </w:rPr>
      </w:pPr>
      <w:r w:rsidRPr="006F02A2">
        <w:rPr>
          <w:rFonts w:ascii="Arial Narrow" w:eastAsia="Calibri" w:hAnsi="Arial Narrow"/>
          <w:bCs/>
          <w:snapToGrid w:val="0"/>
          <w:sz w:val="18"/>
          <w:szCs w:val="22"/>
        </w:rPr>
        <w:t>Source: Figure 2-10, p115 of the submission</w:t>
      </w:r>
      <w:r w:rsidR="00E84838">
        <w:rPr>
          <w:rFonts w:ascii="Arial Narrow" w:eastAsia="Calibri" w:hAnsi="Arial Narrow"/>
          <w:bCs/>
          <w:snapToGrid w:val="0"/>
          <w:sz w:val="18"/>
          <w:szCs w:val="22"/>
        </w:rPr>
        <w:t xml:space="preserve"> main body.</w:t>
      </w:r>
    </w:p>
    <w:p w14:paraId="286D23BA" w14:textId="1297E5BC" w:rsidR="000B6388" w:rsidRPr="006F02A2" w:rsidRDefault="00A63AA2" w:rsidP="000B6388">
      <w:pPr>
        <w:keepLines/>
        <w:spacing w:after="120"/>
        <w:contextualSpacing/>
        <w:jc w:val="left"/>
        <w:rPr>
          <w:rFonts w:ascii="Arial Narrow" w:hAnsi="Arial Narrow"/>
          <w:bCs/>
          <w:snapToGrid w:val="0"/>
          <w:sz w:val="18"/>
          <w:szCs w:val="22"/>
        </w:rPr>
      </w:pPr>
      <w:r>
        <w:rPr>
          <w:rFonts w:ascii="Arial Narrow" w:hAnsi="Arial Narrow"/>
          <w:bCs/>
          <w:snapToGrid w:val="0"/>
          <w:sz w:val="18"/>
          <w:szCs w:val="22"/>
        </w:rPr>
        <w:t>1/100 = 1</w:t>
      </w:r>
      <w:r w:rsidR="00D87FC5">
        <w:rPr>
          <w:rFonts w:ascii="Arial Narrow" w:hAnsi="Arial Narrow"/>
          <w:bCs/>
          <w:snapToGrid w:val="0"/>
          <w:sz w:val="18"/>
          <w:szCs w:val="22"/>
        </w:rPr>
        <w:t> </w:t>
      </w:r>
      <w:r>
        <w:rPr>
          <w:rFonts w:ascii="Arial Narrow" w:hAnsi="Arial Narrow"/>
          <w:bCs/>
          <w:snapToGrid w:val="0"/>
          <w:sz w:val="18"/>
          <w:szCs w:val="22"/>
        </w:rPr>
        <w:t>mg estradiol with 100</w:t>
      </w:r>
      <w:r w:rsidR="00D87FC5">
        <w:rPr>
          <w:rFonts w:ascii="Arial Narrow" w:hAnsi="Arial Narrow"/>
          <w:bCs/>
          <w:snapToGrid w:val="0"/>
          <w:sz w:val="18"/>
          <w:szCs w:val="22"/>
        </w:rPr>
        <w:t> </w:t>
      </w:r>
      <w:r>
        <w:rPr>
          <w:rFonts w:ascii="Arial Narrow" w:hAnsi="Arial Narrow"/>
          <w:bCs/>
          <w:snapToGrid w:val="0"/>
          <w:sz w:val="18"/>
          <w:szCs w:val="22"/>
        </w:rPr>
        <w:t xml:space="preserve">mg progesterone; </w:t>
      </w:r>
      <w:r w:rsidR="002249DE">
        <w:rPr>
          <w:rFonts w:ascii="Arial Narrow" w:hAnsi="Arial Narrow"/>
          <w:bCs/>
          <w:snapToGrid w:val="0"/>
          <w:sz w:val="18"/>
          <w:szCs w:val="22"/>
        </w:rPr>
        <w:t xml:space="preserve">MENQOL = </w:t>
      </w:r>
      <w:r w:rsidR="002249DE" w:rsidRPr="002249DE">
        <w:rPr>
          <w:rFonts w:ascii="Arial Narrow" w:hAnsi="Arial Narrow"/>
          <w:bCs/>
          <w:snapToGrid w:val="0"/>
          <w:sz w:val="18"/>
          <w:szCs w:val="22"/>
        </w:rPr>
        <w:t>Menopause-specific quality of life</w:t>
      </w:r>
      <w:r w:rsidR="002249DE">
        <w:rPr>
          <w:rFonts w:ascii="Arial Narrow" w:hAnsi="Arial Narrow"/>
          <w:bCs/>
          <w:snapToGrid w:val="0"/>
          <w:sz w:val="18"/>
          <w:szCs w:val="22"/>
        </w:rPr>
        <w:t>;</w:t>
      </w:r>
      <w:r w:rsidR="002249DE" w:rsidRPr="002249DE">
        <w:rPr>
          <w:rFonts w:ascii="Arial Narrow" w:hAnsi="Arial Narrow"/>
          <w:bCs/>
          <w:snapToGrid w:val="0"/>
          <w:sz w:val="18"/>
          <w:szCs w:val="22"/>
        </w:rPr>
        <w:t xml:space="preserve"> </w:t>
      </w:r>
      <w:r w:rsidR="002249DE" w:rsidRPr="006F02A2">
        <w:rPr>
          <w:rFonts w:ascii="Arial Narrow" w:hAnsi="Arial Narrow"/>
          <w:bCs/>
          <w:snapToGrid w:val="0"/>
          <w:sz w:val="18"/>
          <w:szCs w:val="22"/>
        </w:rPr>
        <w:t>n = number of participants with event</w:t>
      </w:r>
      <w:r w:rsidR="002249DE">
        <w:rPr>
          <w:rFonts w:ascii="Arial Narrow" w:hAnsi="Arial Narrow"/>
          <w:bCs/>
          <w:snapToGrid w:val="0"/>
          <w:sz w:val="18"/>
          <w:szCs w:val="22"/>
        </w:rPr>
        <w:t>;</w:t>
      </w:r>
      <w:r w:rsidR="002249DE" w:rsidRPr="006F02A2">
        <w:rPr>
          <w:rFonts w:ascii="Arial Narrow" w:hAnsi="Arial Narrow"/>
          <w:bCs/>
          <w:snapToGrid w:val="0"/>
          <w:sz w:val="18"/>
          <w:szCs w:val="22"/>
        </w:rPr>
        <w:t xml:space="preserve"> </w:t>
      </w:r>
      <w:r w:rsidR="000B6388" w:rsidRPr="006F02A2">
        <w:rPr>
          <w:rFonts w:ascii="Arial Narrow" w:hAnsi="Arial Narrow"/>
          <w:bCs/>
          <w:snapToGrid w:val="0"/>
          <w:sz w:val="18"/>
          <w:szCs w:val="22"/>
        </w:rPr>
        <w:t xml:space="preserve">SD = standard </w:t>
      </w:r>
      <w:r w:rsidR="00D17121" w:rsidRPr="006F02A2">
        <w:rPr>
          <w:rFonts w:ascii="Arial Narrow" w:hAnsi="Arial Narrow"/>
          <w:bCs/>
          <w:snapToGrid w:val="0"/>
          <w:sz w:val="18"/>
          <w:szCs w:val="22"/>
        </w:rPr>
        <w:t>deviation.</w:t>
      </w:r>
    </w:p>
    <w:p w14:paraId="7E007221" w14:textId="77777777" w:rsidR="000B6388" w:rsidRPr="006F02A2" w:rsidRDefault="000B6388" w:rsidP="000B6388">
      <w:pPr>
        <w:keepLines/>
        <w:spacing w:after="120"/>
        <w:contextualSpacing/>
        <w:jc w:val="left"/>
        <w:rPr>
          <w:rFonts w:ascii="Arial Narrow" w:eastAsia="Calibri" w:hAnsi="Arial Narrow"/>
          <w:bCs/>
          <w:snapToGrid w:val="0"/>
          <w:sz w:val="18"/>
          <w:szCs w:val="22"/>
        </w:rPr>
      </w:pPr>
      <w:r w:rsidRPr="006F02A2">
        <w:rPr>
          <w:rFonts w:ascii="Arial Narrow" w:hAnsi="Arial Narrow"/>
          <w:bCs/>
          <w:snapToGrid w:val="0"/>
          <w:sz w:val="18"/>
          <w:szCs w:val="22"/>
        </w:rPr>
        <w:t xml:space="preserve">Based on Simon JA et al. (2019) and results from </w:t>
      </w:r>
      <w:hyperlink r:id="rId12" w:history="1">
        <w:r w:rsidRPr="006F02A2">
          <w:rPr>
            <w:rFonts w:ascii="Arial Narrow" w:hAnsi="Arial Narrow"/>
            <w:bCs/>
            <w:snapToGrid w:val="0"/>
            <w:color w:val="0000FF" w:themeColor="hyperlink"/>
            <w:sz w:val="18"/>
            <w:szCs w:val="22"/>
            <w:u w:val="single"/>
          </w:rPr>
          <w:t>https://clinicaltrials.gov/study/NCT01942668?tab=results</w:t>
        </w:r>
      </w:hyperlink>
      <w:r w:rsidRPr="006F02A2">
        <w:rPr>
          <w:rFonts w:ascii="Arial Narrow" w:hAnsi="Arial Narrow"/>
          <w:bCs/>
          <w:snapToGrid w:val="0"/>
          <w:sz w:val="18"/>
          <w:szCs w:val="22"/>
        </w:rPr>
        <w:t xml:space="preserve"> </w:t>
      </w:r>
    </w:p>
    <w:p w14:paraId="72275AD7" w14:textId="7EF33C82" w:rsidR="000B6388" w:rsidRPr="008E0791" w:rsidRDefault="000B6388" w:rsidP="000B6388">
      <w:pPr>
        <w:pStyle w:val="3-BodyText"/>
        <w:rPr>
          <w:rStyle w:val="CommentReference"/>
          <w:rFonts w:asciiTheme="minorHAnsi" w:hAnsiTheme="minorHAnsi" w:cstheme="minorHAnsi"/>
          <w:b w:val="0"/>
          <w:bCs/>
          <w:sz w:val="24"/>
          <w:szCs w:val="24"/>
        </w:rPr>
      </w:pPr>
      <w:r w:rsidRPr="008E0791">
        <w:rPr>
          <w:rStyle w:val="CommentReference"/>
          <w:rFonts w:asciiTheme="minorHAnsi" w:hAnsiTheme="minorHAnsi" w:cstheme="minorHAnsi"/>
          <w:b w:val="0"/>
          <w:bCs/>
          <w:sz w:val="24"/>
          <w:szCs w:val="24"/>
        </w:rPr>
        <w:t xml:space="preserve">Bijuva demonstrated a </w:t>
      </w:r>
      <w:r w:rsidRPr="008E0791">
        <w:rPr>
          <w:rStyle w:val="CommentReference"/>
          <w:rFonts w:asciiTheme="minorHAnsi" w:hAnsiTheme="minorHAnsi" w:cstheme="minorHAnsi"/>
          <w:b w:val="0"/>
          <w:bCs/>
          <w:i/>
          <w:iCs/>
          <w:sz w:val="24"/>
          <w:szCs w:val="24"/>
        </w:rPr>
        <w:t>statistically</w:t>
      </w:r>
      <w:r w:rsidRPr="008E0791">
        <w:rPr>
          <w:rStyle w:val="CommentReference"/>
          <w:rFonts w:asciiTheme="minorHAnsi" w:hAnsiTheme="minorHAnsi" w:cstheme="minorHAnsi"/>
          <w:b w:val="0"/>
          <w:bCs/>
          <w:sz w:val="24"/>
          <w:szCs w:val="24"/>
        </w:rPr>
        <w:t xml:space="preserve"> significant </w:t>
      </w:r>
      <w:r>
        <w:rPr>
          <w:rStyle w:val="CommentReference"/>
          <w:rFonts w:asciiTheme="minorHAnsi" w:hAnsiTheme="minorHAnsi" w:cstheme="minorHAnsi"/>
          <w:b w:val="0"/>
          <w:bCs/>
          <w:sz w:val="24"/>
          <w:szCs w:val="24"/>
        </w:rPr>
        <w:t>improvement in MENQOL vasomotor domain and</w:t>
      </w:r>
      <w:r w:rsidR="00813F36">
        <w:rPr>
          <w:rStyle w:val="CommentReference"/>
          <w:rFonts w:asciiTheme="minorHAnsi" w:hAnsiTheme="minorHAnsi" w:cstheme="minorHAnsi"/>
          <w:b w:val="0"/>
          <w:bCs/>
          <w:sz w:val="24"/>
          <w:szCs w:val="24"/>
        </w:rPr>
        <w:t xml:space="preserve"> MENQOL</w:t>
      </w:r>
      <w:r>
        <w:rPr>
          <w:rStyle w:val="CommentReference"/>
          <w:rFonts w:asciiTheme="minorHAnsi" w:hAnsiTheme="minorHAnsi" w:cstheme="minorHAnsi"/>
          <w:b w:val="0"/>
          <w:bCs/>
          <w:sz w:val="24"/>
          <w:szCs w:val="24"/>
        </w:rPr>
        <w:t xml:space="preserve"> total scores at Month</w:t>
      </w:r>
      <w:r w:rsidR="006E3158">
        <w:rPr>
          <w:rStyle w:val="CommentReference"/>
          <w:rFonts w:asciiTheme="minorHAnsi" w:hAnsiTheme="minorHAnsi" w:cstheme="minorHAnsi"/>
          <w:b w:val="0"/>
          <w:bCs/>
          <w:sz w:val="24"/>
          <w:szCs w:val="24"/>
        </w:rPr>
        <w:t>s</w:t>
      </w:r>
      <w:r>
        <w:rPr>
          <w:rStyle w:val="CommentReference"/>
          <w:rFonts w:asciiTheme="minorHAnsi" w:hAnsiTheme="minorHAnsi" w:cstheme="minorHAnsi"/>
          <w:b w:val="0"/>
          <w:bCs/>
          <w:sz w:val="24"/>
          <w:szCs w:val="24"/>
        </w:rPr>
        <w:t xml:space="preserve"> 3, 6 and 12</w:t>
      </w:r>
      <w:r w:rsidRPr="008E0791">
        <w:rPr>
          <w:rStyle w:val="CommentReference"/>
          <w:rFonts w:asciiTheme="minorHAnsi" w:hAnsiTheme="minorHAnsi" w:cstheme="minorHAnsi"/>
          <w:b w:val="0"/>
          <w:bCs/>
          <w:sz w:val="24"/>
          <w:szCs w:val="24"/>
        </w:rPr>
        <w:t>, compared to placebo.</w:t>
      </w:r>
    </w:p>
    <w:p w14:paraId="6AD4D7E0" w14:textId="3AA8BF9C" w:rsidR="000B6388" w:rsidRPr="00C56203" w:rsidRDefault="000B6388" w:rsidP="000B6388">
      <w:pPr>
        <w:pStyle w:val="3-BodyText"/>
        <w:rPr>
          <w:rStyle w:val="CommentReference"/>
          <w:rFonts w:asciiTheme="minorHAnsi" w:hAnsiTheme="minorHAnsi" w:cstheme="minorHAnsi"/>
          <w:b w:val="0"/>
          <w:sz w:val="24"/>
          <w:szCs w:val="24"/>
        </w:rPr>
      </w:pPr>
      <w:r w:rsidRPr="00BF1509">
        <w:rPr>
          <w:rStyle w:val="CommentReference"/>
          <w:rFonts w:asciiTheme="minorHAnsi" w:hAnsiTheme="minorHAnsi" w:cstheme="minorHAnsi"/>
          <w:b w:val="0"/>
          <w:sz w:val="24"/>
          <w:szCs w:val="24"/>
        </w:rPr>
        <w:t xml:space="preserve">The submission claimed that the differences seen in the MENQOL vasomotor domain were statistically and clinically meaningful, </w:t>
      </w:r>
      <w:r w:rsidR="00852DFC">
        <w:rPr>
          <w:rStyle w:val="CommentReference"/>
          <w:rFonts w:asciiTheme="minorHAnsi" w:hAnsiTheme="minorHAnsi" w:cstheme="minorHAnsi"/>
          <w:b w:val="0"/>
          <w:sz w:val="24"/>
          <w:szCs w:val="24"/>
        </w:rPr>
        <w:t xml:space="preserve">given </w:t>
      </w:r>
      <w:r w:rsidRPr="00BF1509">
        <w:rPr>
          <w:rStyle w:val="CommentReference"/>
          <w:rFonts w:asciiTheme="minorHAnsi" w:hAnsiTheme="minorHAnsi" w:cstheme="minorHAnsi"/>
          <w:b w:val="0"/>
          <w:sz w:val="24"/>
          <w:szCs w:val="24"/>
        </w:rPr>
        <w:t xml:space="preserve">the MCID </w:t>
      </w:r>
      <w:r w:rsidR="00852DFC">
        <w:rPr>
          <w:rStyle w:val="CommentReference"/>
          <w:rFonts w:asciiTheme="minorHAnsi" w:hAnsiTheme="minorHAnsi" w:cstheme="minorHAnsi"/>
          <w:b w:val="0"/>
          <w:sz w:val="24"/>
          <w:szCs w:val="24"/>
        </w:rPr>
        <w:t xml:space="preserve">was an improvement </w:t>
      </w:r>
      <w:r w:rsidRPr="00BF1509">
        <w:rPr>
          <w:rStyle w:val="CommentReference"/>
          <w:rFonts w:asciiTheme="minorHAnsi" w:hAnsiTheme="minorHAnsi" w:cstheme="minorHAnsi"/>
          <w:b w:val="0"/>
          <w:sz w:val="24"/>
          <w:szCs w:val="24"/>
        </w:rPr>
        <w:t>of ≥1. This was based on Hilditch JR et al. (1996)</w:t>
      </w:r>
      <w:r w:rsidR="00B338BF">
        <w:rPr>
          <w:rStyle w:val="FootnoteReference"/>
          <w:rFonts w:cstheme="minorHAnsi"/>
          <w:szCs w:val="24"/>
        </w:rPr>
        <w:footnoteReference w:id="11"/>
      </w:r>
      <w:r w:rsidRPr="00BF1509">
        <w:rPr>
          <w:rStyle w:val="CommentReference"/>
          <w:rFonts w:asciiTheme="minorHAnsi" w:hAnsiTheme="minorHAnsi" w:cstheme="minorHAnsi"/>
          <w:b w:val="0"/>
          <w:sz w:val="24"/>
          <w:szCs w:val="24"/>
        </w:rPr>
        <w:t xml:space="preserve"> and </w:t>
      </w:r>
      <w:proofErr w:type="spellStart"/>
      <w:r w:rsidRPr="00BF1509">
        <w:rPr>
          <w:rStyle w:val="CommentReference"/>
          <w:rFonts w:asciiTheme="minorHAnsi" w:hAnsiTheme="minorHAnsi" w:cstheme="minorHAnsi"/>
          <w:b w:val="0"/>
          <w:sz w:val="24"/>
          <w:szCs w:val="24"/>
        </w:rPr>
        <w:t>Zöllner</w:t>
      </w:r>
      <w:proofErr w:type="spellEnd"/>
      <w:r w:rsidRPr="00BF1509">
        <w:rPr>
          <w:rStyle w:val="CommentReference"/>
          <w:rFonts w:asciiTheme="minorHAnsi" w:hAnsiTheme="minorHAnsi" w:cstheme="minorHAnsi"/>
          <w:b w:val="0"/>
          <w:sz w:val="24"/>
          <w:szCs w:val="24"/>
        </w:rPr>
        <w:t xml:space="preserve"> YF et al. (2005)</w:t>
      </w:r>
      <w:r w:rsidR="00B338BF">
        <w:rPr>
          <w:rStyle w:val="FootnoteReference"/>
          <w:rFonts w:cstheme="minorHAnsi"/>
          <w:szCs w:val="24"/>
        </w:rPr>
        <w:footnoteReference w:id="12"/>
      </w:r>
      <w:r w:rsidRPr="00BF1509">
        <w:rPr>
          <w:rStyle w:val="CommentReference"/>
          <w:rFonts w:asciiTheme="minorHAnsi" w:hAnsiTheme="minorHAnsi" w:cstheme="minorHAnsi"/>
          <w:b w:val="0"/>
          <w:sz w:val="24"/>
          <w:szCs w:val="24"/>
        </w:rPr>
        <w:t xml:space="preserve">. </w:t>
      </w:r>
      <w:r w:rsidRPr="00C56203">
        <w:rPr>
          <w:rStyle w:val="CommentReference"/>
          <w:rFonts w:asciiTheme="minorHAnsi" w:hAnsiTheme="minorHAnsi" w:cstheme="minorHAnsi"/>
          <w:b w:val="0"/>
          <w:sz w:val="24"/>
          <w:szCs w:val="24"/>
        </w:rPr>
        <w:t xml:space="preserve">This was reasonable and consistent with </w:t>
      </w:r>
      <w:r w:rsidR="002F67FB" w:rsidRPr="00C56203">
        <w:rPr>
          <w:rStyle w:val="CommentReference"/>
          <w:rFonts w:asciiTheme="minorHAnsi" w:hAnsiTheme="minorHAnsi" w:cstheme="minorHAnsi"/>
          <w:b w:val="0"/>
          <w:sz w:val="24"/>
          <w:szCs w:val="24"/>
        </w:rPr>
        <w:t xml:space="preserve">the recently published </w:t>
      </w:r>
      <w:r w:rsidRPr="00C56203">
        <w:rPr>
          <w:rStyle w:val="CommentReference"/>
          <w:rFonts w:asciiTheme="minorHAnsi" w:hAnsiTheme="minorHAnsi" w:cstheme="minorHAnsi"/>
          <w:b w:val="0"/>
          <w:sz w:val="24"/>
          <w:szCs w:val="24"/>
        </w:rPr>
        <w:t>Schultz NM et al. (2024)</w:t>
      </w:r>
      <w:r w:rsidR="002F67FB" w:rsidRPr="00C56203">
        <w:rPr>
          <w:rStyle w:val="FootnoteReference"/>
          <w:rFonts w:cstheme="minorHAnsi"/>
          <w:szCs w:val="24"/>
        </w:rPr>
        <w:footnoteReference w:id="13"/>
      </w:r>
      <w:r w:rsidRPr="00C56203">
        <w:rPr>
          <w:rStyle w:val="CommentReference"/>
          <w:rFonts w:asciiTheme="minorHAnsi" w:hAnsiTheme="minorHAnsi" w:cstheme="minorHAnsi"/>
          <w:b w:val="0"/>
          <w:sz w:val="24"/>
          <w:szCs w:val="24"/>
        </w:rPr>
        <w:t xml:space="preserve"> </w:t>
      </w:r>
      <w:r w:rsidR="00943D75" w:rsidRPr="00C56203">
        <w:rPr>
          <w:rStyle w:val="CommentReference"/>
          <w:rFonts w:asciiTheme="minorHAnsi" w:hAnsiTheme="minorHAnsi" w:cstheme="minorHAnsi"/>
          <w:b w:val="0"/>
          <w:sz w:val="24"/>
          <w:szCs w:val="24"/>
        </w:rPr>
        <w:t xml:space="preserve">paper </w:t>
      </w:r>
      <w:r w:rsidRPr="00C56203">
        <w:rPr>
          <w:rStyle w:val="CommentReference"/>
          <w:rFonts w:asciiTheme="minorHAnsi" w:hAnsiTheme="minorHAnsi" w:cstheme="minorHAnsi"/>
          <w:b w:val="0"/>
          <w:sz w:val="24"/>
          <w:szCs w:val="24"/>
        </w:rPr>
        <w:t xml:space="preserve">which identified ≥0.9 as the </w:t>
      </w:r>
      <w:r w:rsidR="00B33AC3" w:rsidRPr="00C56203">
        <w:rPr>
          <w:rStyle w:val="CommentReference"/>
          <w:rFonts w:asciiTheme="minorHAnsi" w:hAnsiTheme="minorHAnsi" w:cstheme="minorHAnsi"/>
          <w:b w:val="0"/>
          <w:sz w:val="24"/>
          <w:szCs w:val="24"/>
        </w:rPr>
        <w:t>clinically important</w:t>
      </w:r>
      <w:r w:rsidRPr="00C56203">
        <w:rPr>
          <w:rStyle w:val="CommentReference"/>
          <w:rFonts w:asciiTheme="minorHAnsi" w:hAnsiTheme="minorHAnsi" w:cstheme="minorHAnsi"/>
          <w:b w:val="0"/>
          <w:sz w:val="24"/>
          <w:szCs w:val="24"/>
        </w:rPr>
        <w:t xml:space="preserve"> threshold</w:t>
      </w:r>
      <w:r w:rsidR="00B32A2F" w:rsidRPr="00C56203">
        <w:rPr>
          <w:rStyle w:val="CommentReference"/>
          <w:rFonts w:asciiTheme="minorHAnsi" w:hAnsiTheme="minorHAnsi" w:cstheme="minorHAnsi"/>
          <w:b w:val="0"/>
          <w:sz w:val="24"/>
          <w:szCs w:val="24"/>
        </w:rPr>
        <w:t xml:space="preserve"> for MENQOL overall score</w:t>
      </w:r>
      <w:r w:rsidR="00935DE8" w:rsidRPr="00C56203">
        <w:rPr>
          <w:rStyle w:val="CommentReference"/>
          <w:rFonts w:asciiTheme="minorHAnsi" w:hAnsiTheme="minorHAnsi" w:cstheme="minorHAnsi"/>
          <w:b w:val="0"/>
          <w:sz w:val="24"/>
          <w:szCs w:val="24"/>
        </w:rPr>
        <w:t>.</w:t>
      </w:r>
      <w:r w:rsidRPr="00C56203">
        <w:rPr>
          <w:rStyle w:val="CommentReference"/>
          <w:rFonts w:asciiTheme="minorHAnsi" w:hAnsiTheme="minorHAnsi" w:cstheme="minorHAnsi"/>
          <w:b w:val="0"/>
          <w:sz w:val="24"/>
          <w:szCs w:val="24"/>
        </w:rPr>
        <w:t xml:space="preserve"> </w:t>
      </w:r>
      <w:r w:rsidR="00943D75" w:rsidRPr="00C56203">
        <w:rPr>
          <w:rStyle w:val="CommentReference"/>
          <w:rFonts w:asciiTheme="minorHAnsi" w:hAnsiTheme="minorHAnsi" w:cstheme="minorHAnsi"/>
          <w:b w:val="0"/>
          <w:sz w:val="24"/>
          <w:szCs w:val="24"/>
        </w:rPr>
        <w:t>H</w:t>
      </w:r>
      <w:r w:rsidRPr="00C56203">
        <w:rPr>
          <w:rStyle w:val="CommentReference"/>
          <w:rFonts w:asciiTheme="minorHAnsi" w:hAnsiTheme="minorHAnsi" w:cstheme="minorHAnsi"/>
          <w:b w:val="0"/>
          <w:sz w:val="24"/>
          <w:szCs w:val="24"/>
        </w:rPr>
        <w:t xml:space="preserve">owever, </w:t>
      </w:r>
      <w:r w:rsidR="002F67FB" w:rsidRPr="00C56203">
        <w:rPr>
          <w:rStyle w:val="CommentReference"/>
          <w:rFonts w:asciiTheme="minorHAnsi" w:hAnsiTheme="minorHAnsi" w:cstheme="minorHAnsi"/>
          <w:b w:val="0"/>
          <w:sz w:val="24"/>
          <w:szCs w:val="24"/>
        </w:rPr>
        <w:t xml:space="preserve">there were limitations in these studies: </w:t>
      </w:r>
      <w:r w:rsidRPr="00C56203">
        <w:rPr>
          <w:rStyle w:val="CommentReference"/>
          <w:rFonts w:asciiTheme="minorHAnsi" w:hAnsiTheme="minorHAnsi" w:cstheme="minorHAnsi"/>
          <w:b w:val="0"/>
          <w:sz w:val="24"/>
          <w:szCs w:val="24"/>
        </w:rPr>
        <w:t>Hilditch JR et al. (1996) highlighted the uncertainty in the construct validity and test-retest reliability of the vasomotor domain</w:t>
      </w:r>
      <w:r w:rsidR="002F67FB" w:rsidRPr="00C56203">
        <w:rPr>
          <w:rStyle w:val="CommentReference"/>
          <w:rFonts w:asciiTheme="minorHAnsi" w:hAnsiTheme="minorHAnsi" w:cstheme="minorHAnsi"/>
          <w:b w:val="0"/>
          <w:sz w:val="24"/>
          <w:szCs w:val="24"/>
        </w:rPr>
        <w:t xml:space="preserve">, and Schultz NM et al. (2024) </w:t>
      </w:r>
      <w:r w:rsidR="003F68C5" w:rsidRPr="00C56203">
        <w:rPr>
          <w:rStyle w:val="CommentReference"/>
          <w:rFonts w:asciiTheme="minorHAnsi" w:hAnsiTheme="minorHAnsi" w:cstheme="minorHAnsi"/>
          <w:b w:val="0"/>
          <w:sz w:val="24"/>
          <w:szCs w:val="24"/>
        </w:rPr>
        <w:t>reported moderate test-retest reliability.</w:t>
      </w:r>
    </w:p>
    <w:p w14:paraId="026A8A44" w14:textId="73832F23" w:rsidR="000B6388" w:rsidRPr="00BF1509" w:rsidRDefault="000B6388" w:rsidP="000B6388">
      <w:pPr>
        <w:pStyle w:val="3-BodyText"/>
        <w:rPr>
          <w:rStyle w:val="CommentReference"/>
          <w:rFonts w:asciiTheme="minorHAnsi" w:hAnsiTheme="minorHAnsi" w:cstheme="minorHAnsi"/>
          <w:b w:val="0"/>
          <w:i/>
          <w:iCs/>
          <w:sz w:val="24"/>
          <w:szCs w:val="24"/>
        </w:rPr>
      </w:pPr>
      <w:r>
        <w:rPr>
          <w:rStyle w:val="CommentReference"/>
          <w:rFonts w:asciiTheme="minorHAnsi" w:hAnsiTheme="minorHAnsi" w:cstheme="minorHAnsi"/>
          <w:b w:val="0"/>
          <w:sz w:val="24"/>
          <w:szCs w:val="24"/>
        </w:rPr>
        <w:t xml:space="preserve">The submission </w:t>
      </w:r>
      <w:r w:rsidR="000732C9">
        <w:rPr>
          <w:rStyle w:val="CommentReference"/>
          <w:rFonts w:asciiTheme="minorHAnsi" w:hAnsiTheme="minorHAnsi" w:cstheme="minorHAnsi"/>
          <w:b w:val="0"/>
          <w:sz w:val="24"/>
          <w:szCs w:val="24"/>
        </w:rPr>
        <w:t xml:space="preserve">also </w:t>
      </w:r>
      <w:r>
        <w:rPr>
          <w:rStyle w:val="CommentReference"/>
          <w:rFonts w:asciiTheme="minorHAnsi" w:hAnsiTheme="minorHAnsi" w:cstheme="minorHAnsi"/>
          <w:b w:val="0"/>
          <w:sz w:val="24"/>
          <w:szCs w:val="24"/>
        </w:rPr>
        <w:t xml:space="preserve">presented the results of additional secondary efficacy outcomes in </w:t>
      </w:r>
      <w:r w:rsidR="00EC034B">
        <w:rPr>
          <w:rStyle w:val="CommentReference"/>
          <w:rFonts w:asciiTheme="minorHAnsi" w:hAnsiTheme="minorHAnsi" w:cstheme="minorHAnsi"/>
          <w:b w:val="0"/>
          <w:sz w:val="24"/>
          <w:szCs w:val="24"/>
        </w:rPr>
        <w:t xml:space="preserve">the </w:t>
      </w:r>
      <w:r>
        <w:rPr>
          <w:rStyle w:val="CommentReference"/>
          <w:rFonts w:asciiTheme="minorHAnsi" w:hAnsiTheme="minorHAnsi" w:cstheme="minorHAnsi"/>
          <w:b w:val="0"/>
          <w:sz w:val="24"/>
          <w:szCs w:val="24"/>
        </w:rPr>
        <w:t>REPLENISH trial:</w:t>
      </w:r>
    </w:p>
    <w:p w14:paraId="4C46F6BE" w14:textId="0E64007D" w:rsidR="000B6388" w:rsidRPr="00200EB7" w:rsidRDefault="000B6388" w:rsidP="000B6388">
      <w:pPr>
        <w:pStyle w:val="ListParagraph"/>
        <w:jc w:val="both"/>
        <w:rPr>
          <w:rStyle w:val="CommentReference"/>
          <w:rFonts w:asciiTheme="minorHAnsi" w:hAnsiTheme="minorHAnsi" w:cstheme="minorHAnsi"/>
          <w:b w:val="0"/>
          <w:i/>
          <w:iCs/>
          <w:sz w:val="24"/>
          <w:szCs w:val="24"/>
        </w:rPr>
      </w:pPr>
      <w:r w:rsidRPr="00200EB7">
        <w:rPr>
          <w:rStyle w:val="CommentReference"/>
          <w:rFonts w:asciiTheme="minorHAnsi" w:hAnsiTheme="minorHAnsi" w:cstheme="minorHAnsi"/>
          <w:b w:val="0"/>
          <w:sz w:val="24"/>
          <w:szCs w:val="24"/>
        </w:rPr>
        <w:t>Percentage of subjects with 50% and, separately, 75% reduction in frequency of moderate to severe VMS</w:t>
      </w:r>
      <w:r>
        <w:rPr>
          <w:rStyle w:val="CommentReference"/>
          <w:rFonts w:asciiTheme="minorHAnsi" w:hAnsiTheme="minorHAnsi" w:cstheme="minorHAnsi"/>
          <w:b w:val="0"/>
          <w:sz w:val="24"/>
          <w:szCs w:val="24"/>
        </w:rPr>
        <w:t>:</w:t>
      </w:r>
      <w:r w:rsidRPr="00200EB7">
        <w:rPr>
          <w:rStyle w:val="CommentReference"/>
          <w:rFonts w:asciiTheme="minorHAnsi" w:hAnsiTheme="minorHAnsi" w:cstheme="minorHAnsi"/>
          <w:b w:val="0"/>
          <w:sz w:val="24"/>
          <w:szCs w:val="24"/>
        </w:rPr>
        <w:t xml:space="preserve"> </w:t>
      </w:r>
      <w:bookmarkStart w:id="32" w:name="_Hlk207625166"/>
      <w:r w:rsidRPr="00200EB7">
        <w:rPr>
          <w:rStyle w:val="CommentReference"/>
          <w:rFonts w:asciiTheme="minorHAnsi" w:hAnsiTheme="minorHAnsi" w:cstheme="minorHAnsi"/>
          <w:b w:val="0"/>
          <w:sz w:val="24"/>
          <w:szCs w:val="24"/>
        </w:rPr>
        <w:t xml:space="preserve">A </w:t>
      </w:r>
      <w:r w:rsidRPr="004C4D7E">
        <w:rPr>
          <w:rStyle w:val="CommentReference"/>
          <w:rFonts w:asciiTheme="minorHAnsi" w:hAnsiTheme="minorHAnsi" w:cstheme="minorHAnsi"/>
          <w:b w:val="0"/>
          <w:sz w:val="24"/>
          <w:szCs w:val="24"/>
        </w:rPr>
        <w:t xml:space="preserve">statistically </w:t>
      </w:r>
      <w:r w:rsidRPr="00200EB7">
        <w:rPr>
          <w:rStyle w:val="CommentReference"/>
          <w:rFonts w:asciiTheme="minorHAnsi" w:hAnsiTheme="minorHAnsi" w:cstheme="minorHAnsi"/>
          <w:b w:val="0"/>
          <w:sz w:val="24"/>
          <w:szCs w:val="24"/>
        </w:rPr>
        <w:t xml:space="preserve">significantly higher ≥50% response rate with Bijuva versus placebo (98% versus 67%, </w:t>
      </w:r>
      <w:r w:rsidR="007D3E74">
        <w:rPr>
          <w:rStyle w:val="CommentReference"/>
          <w:rFonts w:asciiTheme="minorHAnsi" w:hAnsiTheme="minorHAnsi" w:cstheme="minorHAnsi"/>
          <w:b w:val="0"/>
          <w:sz w:val="24"/>
          <w:szCs w:val="24"/>
        </w:rPr>
        <w:t>risk difference [</w:t>
      </w:r>
      <w:r w:rsidRPr="00200EB7">
        <w:rPr>
          <w:rStyle w:val="CommentReference"/>
          <w:rFonts w:asciiTheme="minorHAnsi" w:hAnsiTheme="minorHAnsi" w:cstheme="minorHAnsi"/>
          <w:b w:val="0"/>
          <w:sz w:val="24"/>
          <w:szCs w:val="24"/>
        </w:rPr>
        <w:t>RD</w:t>
      </w:r>
      <w:r w:rsidR="007D3E74">
        <w:rPr>
          <w:rStyle w:val="CommentReference"/>
          <w:rFonts w:asciiTheme="minorHAnsi" w:hAnsiTheme="minorHAnsi" w:cstheme="minorHAnsi"/>
          <w:b w:val="0"/>
          <w:sz w:val="24"/>
          <w:szCs w:val="24"/>
        </w:rPr>
        <w:t>]</w:t>
      </w:r>
      <w:r w:rsidRPr="00200EB7">
        <w:rPr>
          <w:rStyle w:val="CommentReference"/>
          <w:rFonts w:asciiTheme="minorHAnsi" w:hAnsiTheme="minorHAnsi" w:cstheme="minorHAnsi"/>
          <w:b w:val="0"/>
          <w:sz w:val="24"/>
          <w:szCs w:val="24"/>
        </w:rPr>
        <w:t xml:space="preserve">=21%; </w:t>
      </w:r>
      <w:r w:rsidRPr="00200EB7">
        <w:rPr>
          <w:rStyle w:val="CommentReference"/>
          <w:rFonts w:asciiTheme="minorHAnsi" w:hAnsiTheme="minorHAnsi" w:cstheme="minorHAnsi"/>
          <w:b w:val="0"/>
          <w:sz w:val="24"/>
          <w:szCs w:val="24"/>
        </w:rPr>
        <w:lastRenderedPageBreak/>
        <w:t>95% CI: 9,33) at Week 12 was reported</w:t>
      </w:r>
      <w:bookmarkEnd w:id="32"/>
      <w:r w:rsidRPr="00200EB7">
        <w:rPr>
          <w:rStyle w:val="CommentReference"/>
          <w:rFonts w:asciiTheme="minorHAnsi" w:hAnsiTheme="minorHAnsi" w:cstheme="minorHAnsi"/>
          <w:b w:val="0"/>
          <w:sz w:val="24"/>
          <w:szCs w:val="24"/>
        </w:rPr>
        <w:t>. Likewise, the results for ≥75% response rate with Bijuva versus placebo (84% versus 37%, RD=36%; 95% CI: 24,47)</w:t>
      </w:r>
      <w:r>
        <w:rPr>
          <w:rStyle w:val="CommentReference"/>
          <w:rFonts w:asciiTheme="minorHAnsi" w:hAnsiTheme="minorHAnsi" w:cstheme="minorHAnsi"/>
          <w:b w:val="0"/>
          <w:sz w:val="24"/>
          <w:szCs w:val="24"/>
        </w:rPr>
        <w:t xml:space="preserve"> at Week 12 was reported</w:t>
      </w:r>
      <w:r w:rsidRPr="00200EB7">
        <w:rPr>
          <w:rStyle w:val="CommentReference"/>
          <w:rFonts w:asciiTheme="minorHAnsi" w:hAnsiTheme="minorHAnsi" w:cstheme="minorHAnsi"/>
          <w:b w:val="0"/>
          <w:sz w:val="24"/>
          <w:szCs w:val="24"/>
        </w:rPr>
        <w:t>.</w:t>
      </w:r>
    </w:p>
    <w:p w14:paraId="5974BF06" w14:textId="69F60FA7" w:rsidR="000B6388" w:rsidRDefault="000B6388" w:rsidP="000B6388">
      <w:pPr>
        <w:pStyle w:val="ListParagraph"/>
        <w:jc w:val="both"/>
        <w:rPr>
          <w:rStyle w:val="CommentReference"/>
          <w:rFonts w:asciiTheme="minorHAnsi" w:hAnsiTheme="minorHAnsi" w:cstheme="minorHAnsi"/>
          <w:b w:val="0"/>
          <w:sz w:val="24"/>
          <w:szCs w:val="24"/>
        </w:rPr>
      </w:pPr>
      <w:r>
        <w:rPr>
          <w:rStyle w:val="CommentReference"/>
          <w:rFonts w:asciiTheme="minorHAnsi" w:hAnsiTheme="minorHAnsi" w:cstheme="minorHAnsi"/>
          <w:b w:val="0"/>
          <w:sz w:val="24"/>
          <w:szCs w:val="24"/>
        </w:rPr>
        <w:t xml:space="preserve">CGI distribution: </w:t>
      </w:r>
      <w:r w:rsidRPr="00BF1509">
        <w:rPr>
          <w:rStyle w:val="CommentReference"/>
          <w:rFonts w:asciiTheme="minorHAnsi" w:hAnsiTheme="minorHAnsi" w:cstheme="minorHAnsi"/>
          <w:b w:val="0"/>
          <w:sz w:val="24"/>
          <w:szCs w:val="24"/>
        </w:rPr>
        <w:t>82.1% of the patients in the Bijuva arm reported “very much improved/much improved”, compared to 53.4% of the patients in the placebo group, with a RD of 29% (95% CI: 17%, 40%)</w:t>
      </w:r>
      <w:r>
        <w:rPr>
          <w:rStyle w:val="CommentReference"/>
          <w:rFonts w:asciiTheme="minorHAnsi" w:hAnsiTheme="minorHAnsi" w:cstheme="minorHAnsi"/>
          <w:b w:val="0"/>
          <w:sz w:val="24"/>
          <w:szCs w:val="24"/>
        </w:rPr>
        <w:t xml:space="preserve"> at Week 12</w:t>
      </w:r>
      <w:r w:rsidRPr="00BF1509">
        <w:rPr>
          <w:rStyle w:val="CommentReference"/>
          <w:rFonts w:asciiTheme="minorHAnsi" w:hAnsiTheme="minorHAnsi" w:cstheme="minorHAnsi"/>
          <w:b w:val="0"/>
          <w:sz w:val="24"/>
          <w:szCs w:val="24"/>
        </w:rPr>
        <w:t>.</w:t>
      </w:r>
    </w:p>
    <w:p w14:paraId="6ED13E84" w14:textId="31537CD2" w:rsidR="000B6388" w:rsidRDefault="3D4E768F" w:rsidP="000B6388">
      <w:pPr>
        <w:pStyle w:val="ListParagraph"/>
        <w:jc w:val="both"/>
        <w:rPr>
          <w:rStyle w:val="CommentReference"/>
          <w:rFonts w:asciiTheme="minorHAnsi" w:hAnsiTheme="minorHAnsi" w:cstheme="minorBidi"/>
          <w:b w:val="0"/>
          <w:sz w:val="24"/>
          <w:szCs w:val="24"/>
        </w:rPr>
      </w:pPr>
      <w:r w:rsidRPr="33F40DED">
        <w:rPr>
          <w:rStyle w:val="CommentReference"/>
          <w:rFonts w:asciiTheme="minorHAnsi" w:hAnsiTheme="minorHAnsi" w:cstheme="minorBidi"/>
          <w:b w:val="0"/>
          <w:sz w:val="24"/>
          <w:szCs w:val="24"/>
        </w:rPr>
        <w:t xml:space="preserve">Clinically meaningful analysis: </w:t>
      </w:r>
      <w:r w:rsidR="7C15D838" w:rsidRPr="33F40DED">
        <w:rPr>
          <w:rStyle w:val="CommentReference"/>
          <w:rFonts w:asciiTheme="minorHAnsi" w:hAnsiTheme="minorHAnsi" w:cstheme="minorBidi"/>
          <w:b w:val="0"/>
          <w:sz w:val="24"/>
          <w:szCs w:val="24"/>
        </w:rPr>
        <w:t xml:space="preserve">Based on the nonparametric discriminant analysis, the threshold for reporting a meaningful decrease in weekly moderate to severe VMS, based on the best discrimination between women who reported ‘minimally improved’ and those who reported ‘much or very much improved’, was a decrease of 36 VMS at Week 4 and a decrease of 39 VMS at Week 12. Based on the CGI analyses, the responder definition should be based on criteria of a decrease of 36 to 39 moderate to severe VMS. </w:t>
      </w:r>
      <w:r w:rsidR="33FBF42D" w:rsidRPr="39C59CDF">
        <w:rPr>
          <w:rStyle w:val="CommentReference"/>
          <w:rFonts w:asciiTheme="minorHAnsi" w:hAnsiTheme="minorHAnsi" w:cstheme="minorBidi"/>
          <w:b w:val="0"/>
          <w:sz w:val="24"/>
          <w:szCs w:val="24"/>
        </w:rPr>
        <w:t>As per</w:t>
      </w:r>
      <w:r w:rsidR="763AE3BB" w:rsidRPr="33F40DED">
        <w:rPr>
          <w:rStyle w:val="CommentReference"/>
          <w:rFonts w:asciiTheme="minorHAnsi" w:hAnsiTheme="minorHAnsi" w:cstheme="minorBidi"/>
          <w:b w:val="0"/>
          <w:sz w:val="24"/>
          <w:szCs w:val="24"/>
        </w:rPr>
        <w:t xml:space="preserve"> </w:t>
      </w:r>
      <w:r w:rsidR="18434F48" w:rsidRPr="65E3117B">
        <w:rPr>
          <w:rStyle w:val="CommentReference"/>
          <w:rFonts w:asciiTheme="minorHAnsi" w:hAnsiTheme="minorHAnsi" w:cstheme="minorBidi"/>
          <w:b w:val="0"/>
          <w:sz w:val="24"/>
          <w:szCs w:val="24"/>
        </w:rPr>
        <w:t>above definition</w:t>
      </w:r>
      <w:r w:rsidR="00DC27D7" w:rsidRPr="33F40DED">
        <w:rPr>
          <w:rStyle w:val="CommentReference"/>
          <w:rFonts w:asciiTheme="minorHAnsi" w:hAnsiTheme="minorHAnsi" w:cstheme="minorBidi"/>
          <w:b w:val="0"/>
          <w:sz w:val="24"/>
          <w:szCs w:val="24"/>
        </w:rPr>
        <w:t xml:space="preserve">, </w:t>
      </w:r>
      <w:r w:rsidR="000B6388" w:rsidRPr="33F40DED">
        <w:rPr>
          <w:rStyle w:val="CommentReference"/>
          <w:rFonts w:asciiTheme="minorHAnsi" w:hAnsiTheme="minorHAnsi" w:cstheme="minorBidi"/>
          <w:b w:val="0"/>
          <w:sz w:val="24"/>
          <w:szCs w:val="24"/>
        </w:rPr>
        <w:t xml:space="preserve">73.4% of the patients in the Bijuva arm </w:t>
      </w:r>
      <w:r w:rsidR="00DC27D7" w:rsidRPr="33F40DED">
        <w:rPr>
          <w:rStyle w:val="CommentReference"/>
          <w:rFonts w:asciiTheme="minorHAnsi" w:hAnsiTheme="minorHAnsi" w:cstheme="minorBidi"/>
          <w:b w:val="0"/>
          <w:sz w:val="24"/>
          <w:szCs w:val="24"/>
        </w:rPr>
        <w:t>were responders</w:t>
      </w:r>
      <w:r w:rsidR="000B6388" w:rsidRPr="33F40DED">
        <w:rPr>
          <w:rStyle w:val="CommentReference"/>
          <w:rFonts w:asciiTheme="minorHAnsi" w:hAnsiTheme="minorHAnsi" w:cstheme="minorBidi"/>
          <w:b w:val="0"/>
          <w:sz w:val="24"/>
          <w:szCs w:val="24"/>
        </w:rPr>
        <w:t xml:space="preserve">, compared to 52.2% of the patients in the placebo group at Week 12. </w:t>
      </w:r>
    </w:p>
    <w:p w14:paraId="6C583906" w14:textId="3177B597" w:rsidR="000B6388" w:rsidRPr="00C56203" w:rsidRDefault="000B6388" w:rsidP="000B6388">
      <w:pPr>
        <w:pStyle w:val="ListParagraph"/>
        <w:jc w:val="both"/>
        <w:rPr>
          <w:rStyle w:val="CommentReference"/>
          <w:rFonts w:asciiTheme="minorHAnsi" w:hAnsiTheme="minorHAnsi" w:cstheme="minorHAnsi"/>
          <w:b w:val="0"/>
          <w:sz w:val="24"/>
          <w:szCs w:val="24"/>
        </w:rPr>
      </w:pPr>
      <w:bookmarkStart w:id="33" w:name="_Hlk207876460"/>
      <w:r>
        <w:rPr>
          <w:rStyle w:val="CommentReference"/>
          <w:rFonts w:asciiTheme="minorHAnsi" w:hAnsiTheme="minorHAnsi" w:cstheme="minorHAnsi"/>
          <w:b w:val="0"/>
          <w:sz w:val="24"/>
          <w:szCs w:val="24"/>
        </w:rPr>
        <w:t xml:space="preserve">Medical Outcome Study </w:t>
      </w:r>
      <w:bookmarkEnd w:id="33"/>
      <w:r>
        <w:rPr>
          <w:rStyle w:val="CommentReference"/>
          <w:rFonts w:asciiTheme="minorHAnsi" w:hAnsiTheme="minorHAnsi" w:cstheme="minorHAnsi"/>
          <w:b w:val="0"/>
          <w:sz w:val="24"/>
          <w:szCs w:val="24"/>
        </w:rPr>
        <w:t>(MOS)</w:t>
      </w:r>
      <w:r w:rsidR="00E40E12">
        <w:rPr>
          <w:rStyle w:val="CommentReference"/>
          <w:rFonts w:asciiTheme="minorHAnsi" w:hAnsiTheme="minorHAnsi" w:cstheme="minorHAnsi"/>
          <w:b w:val="0"/>
          <w:sz w:val="24"/>
          <w:szCs w:val="24"/>
        </w:rPr>
        <w:t>-</w:t>
      </w:r>
      <w:r>
        <w:rPr>
          <w:rStyle w:val="CommentReference"/>
          <w:rFonts w:asciiTheme="minorHAnsi" w:hAnsiTheme="minorHAnsi" w:cstheme="minorHAnsi"/>
          <w:b w:val="0"/>
          <w:sz w:val="24"/>
          <w:szCs w:val="24"/>
        </w:rPr>
        <w:t>Sleep questionnaire: T</w:t>
      </w:r>
      <w:r w:rsidRPr="00F86FA5">
        <w:rPr>
          <w:rStyle w:val="CommentReference"/>
          <w:rFonts w:asciiTheme="minorHAnsi" w:hAnsiTheme="minorHAnsi" w:cstheme="minorHAnsi"/>
          <w:b w:val="0"/>
          <w:sz w:val="24"/>
          <w:szCs w:val="24"/>
        </w:rPr>
        <w:t xml:space="preserve">he MOS Total Sleep Score reported statistically significant improvement with Bijuva compared to placebo at Week </w:t>
      </w:r>
      <w:r>
        <w:rPr>
          <w:rStyle w:val="CommentReference"/>
          <w:rFonts w:asciiTheme="minorHAnsi" w:hAnsiTheme="minorHAnsi" w:cstheme="minorHAnsi"/>
          <w:b w:val="0"/>
          <w:sz w:val="24"/>
          <w:szCs w:val="24"/>
        </w:rPr>
        <w:t>12</w:t>
      </w:r>
      <w:r w:rsidRPr="00F86FA5">
        <w:rPr>
          <w:rStyle w:val="CommentReference"/>
          <w:rFonts w:asciiTheme="minorHAnsi" w:hAnsiTheme="minorHAnsi" w:cstheme="minorHAnsi"/>
          <w:b w:val="0"/>
          <w:sz w:val="24"/>
          <w:szCs w:val="24"/>
        </w:rPr>
        <w:t xml:space="preserve"> and Month 6; </w:t>
      </w:r>
      <w:r w:rsidRPr="004C4D7E">
        <w:rPr>
          <w:rStyle w:val="CommentReference"/>
          <w:rFonts w:asciiTheme="minorHAnsi" w:hAnsiTheme="minorHAnsi" w:cstheme="minorHAnsi"/>
          <w:b w:val="0"/>
          <w:sz w:val="24"/>
          <w:szCs w:val="24"/>
        </w:rPr>
        <w:t>however, such improvement was not statistically significant at Month 12,</w:t>
      </w:r>
      <w:r w:rsidRPr="00F86FA5">
        <w:rPr>
          <w:rStyle w:val="CommentReference"/>
          <w:rFonts w:asciiTheme="minorHAnsi" w:hAnsiTheme="minorHAnsi" w:cstheme="minorHAnsi"/>
          <w:b w:val="0"/>
          <w:sz w:val="24"/>
          <w:szCs w:val="24"/>
        </w:rPr>
        <w:t xml:space="preserve"> with reported LS mean change from placebo of -4.6 (95% CI: -9.4,</w:t>
      </w:r>
      <w:r w:rsidR="003D6298">
        <w:rPr>
          <w:rStyle w:val="CommentReference"/>
          <w:rFonts w:asciiTheme="minorHAnsi" w:hAnsiTheme="minorHAnsi" w:cstheme="minorHAnsi"/>
          <w:b w:val="0"/>
          <w:sz w:val="24"/>
          <w:szCs w:val="24"/>
        </w:rPr>
        <w:t xml:space="preserve"> </w:t>
      </w:r>
      <w:r w:rsidRPr="00F86FA5">
        <w:rPr>
          <w:rStyle w:val="CommentReference"/>
          <w:rFonts w:asciiTheme="minorHAnsi" w:hAnsiTheme="minorHAnsi" w:cstheme="minorHAnsi"/>
          <w:b w:val="0"/>
          <w:sz w:val="24"/>
          <w:szCs w:val="24"/>
        </w:rPr>
        <w:t>0.2).</w:t>
      </w:r>
      <w:r>
        <w:rPr>
          <w:rStyle w:val="CommentReference"/>
          <w:rFonts w:asciiTheme="minorHAnsi" w:hAnsiTheme="minorHAnsi" w:cstheme="minorHAnsi"/>
          <w:b w:val="0"/>
          <w:sz w:val="24"/>
          <w:szCs w:val="24"/>
        </w:rPr>
        <w:t xml:space="preserve"> For the domain of Sleep Disturbance, MOS-Sleep scale </w:t>
      </w:r>
      <w:r w:rsidRPr="00F86FA5">
        <w:rPr>
          <w:rStyle w:val="CommentReference"/>
          <w:rFonts w:asciiTheme="minorHAnsi" w:hAnsiTheme="minorHAnsi" w:cstheme="minorHAnsi"/>
          <w:b w:val="0"/>
          <w:sz w:val="24"/>
          <w:szCs w:val="24"/>
        </w:rPr>
        <w:t xml:space="preserve">reported statistically significant improvement with Bijuva compared to placebo at Week </w:t>
      </w:r>
      <w:r>
        <w:rPr>
          <w:rStyle w:val="CommentReference"/>
          <w:rFonts w:asciiTheme="minorHAnsi" w:hAnsiTheme="minorHAnsi" w:cstheme="minorHAnsi"/>
          <w:b w:val="0"/>
          <w:sz w:val="24"/>
          <w:szCs w:val="24"/>
        </w:rPr>
        <w:t>12,</w:t>
      </w:r>
      <w:r w:rsidRPr="00F86FA5">
        <w:rPr>
          <w:rStyle w:val="CommentReference"/>
          <w:rFonts w:asciiTheme="minorHAnsi" w:hAnsiTheme="minorHAnsi" w:cstheme="minorHAnsi"/>
          <w:b w:val="0"/>
          <w:sz w:val="24"/>
          <w:szCs w:val="24"/>
        </w:rPr>
        <w:t xml:space="preserve"> Month 6</w:t>
      </w:r>
      <w:r>
        <w:rPr>
          <w:rStyle w:val="CommentReference"/>
          <w:rFonts w:asciiTheme="minorHAnsi" w:hAnsiTheme="minorHAnsi" w:cstheme="minorHAnsi"/>
          <w:b w:val="0"/>
          <w:sz w:val="24"/>
          <w:szCs w:val="24"/>
        </w:rPr>
        <w:t xml:space="preserve"> and 12.</w:t>
      </w:r>
      <w:r w:rsidRPr="00F86FA5">
        <w:t xml:space="preserve"> </w:t>
      </w:r>
      <w:r w:rsidRPr="00C56203">
        <w:rPr>
          <w:rStyle w:val="CommentReference"/>
          <w:rFonts w:asciiTheme="minorHAnsi" w:hAnsiTheme="minorHAnsi" w:cstheme="minorHAnsi"/>
          <w:b w:val="0"/>
          <w:sz w:val="24"/>
          <w:szCs w:val="24"/>
        </w:rPr>
        <w:t xml:space="preserve">No significant differences were reported for the following domains: Sleep adequacy, </w:t>
      </w:r>
      <w:r w:rsidR="002C5E34" w:rsidRPr="00C56203">
        <w:rPr>
          <w:rStyle w:val="CommentReference"/>
          <w:rFonts w:asciiTheme="minorHAnsi" w:hAnsiTheme="minorHAnsi" w:cstheme="minorHAnsi"/>
          <w:b w:val="0"/>
          <w:sz w:val="24"/>
          <w:szCs w:val="24"/>
        </w:rPr>
        <w:t xml:space="preserve">sleep </w:t>
      </w:r>
      <w:r w:rsidRPr="00C56203">
        <w:rPr>
          <w:rStyle w:val="CommentReference"/>
          <w:rFonts w:asciiTheme="minorHAnsi" w:hAnsiTheme="minorHAnsi" w:cstheme="minorHAnsi"/>
          <w:b w:val="0"/>
          <w:sz w:val="24"/>
          <w:szCs w:val="24"/>
        </w:rPr>
        <w:t xml:space="preserve">somnolence, and </w:t>
      </w:r>
      <w:r w:rsidR="002C5E34" w:rsidRPr="00C56203">
        <w:rPr>
          <w:rStyle w:val="CommentReference"/>
          <w:rFonts w:asciiTheme="minorHAnsi" w:hAnsiTheme="minorHAnsi" w:cstheme="minorHAnsi"/>
          <w:b w:val="0"/>
          <w:sz w:val="24"/>
          <w:szCs w:val="24"/>
        </w:rPr>
        <w:t xml:space="preserve">optimal </w:t>
      </w:r>
      <w:r w:rsidRPr="00C56203">
        <w:rPr>
          <w:rStyle w:val="CommentReference"/>
          <w:rFonts w:asciiTheme="minorHAnsi" w:hAnsiTheme="minorHAnsi" w:cstheme="minorHAnsi"/>
          <w:b w:val="0"/>
          <w:sz w:val="24"/>
          <w:szCs w:val="24"/>
        </w:rPr>
        <w:t>sleep, at all three time points.</w:t>
      </w:r>
    </w:p>
    <w:p w14:paraId="1452C351" w14:textId="0D19F1B0" w:rsidR="00B60939" w:rsidRPr="0098262F" w:rsidRDefault="00B60939" w:rsidP="00D86231">
      <w:pPr>
        <w:pStyle w:val="4-SubsectionHeading"/>
      </w:pPr>
      <w:bookmarkStart w:id="34" w:name="_Toc22897642"/>
      <w:bookmarkStart w:id="35" w:name="_Toc208998235"/>
      <w:r w:rsidRPr="0098262F">
        <w:t>Comparative harms</w:t>
      </w:r>
      <w:bookmarkEnd w:id="34"/>
      <w:bookmarkEnd w:id="35"/>
    </w:p>
    <w:p w14:paraId="424E5299" w14:textId="77777777" w:rsidR="000732C9" w:rsidRPr="0062546C" w:rsidRDefault="000732C9" w:rsidP="000732C9">
      <w:pPr>
        <w:pStyle w:val="3-BodyText"/>
        <w:numPr>
          <w:ilvl w:val="0"/>
          <w:numId w:val="0"/>
        </w:numPr>
        <w:ind w:left="720" w:hanging="720"/>
        <w:rPr>
          <w:u w:val="single"/>
        </w:rPr>
      </w:pPr>
      <w:r w:rsidRPr="0062546C">
        <w:rPr>
          <w:u w:val="single"/>
        </w:rPr>
        <w:t>Endometrial hyperplasia</w:t>
      </w:r>
    </w:p>
    <w:p w14:paraId="713CC26B" w14:textId="32E8588E" w:rsidR="00785F4B" w:rsidRPr="00B861BD" w:rsidRDefault="000732C9">
      <w:pPr>
        <w:pStyle w:val="3-BodyText"/>
      </w:pPr>
      <w:r w:rsidRPr="00B861BD">
        <w:rPr>
          <w:color w:val="0066FF"/>
        </w:rPr>
        <w:fldChar w:fldCharType="begin"/>
      </w:r>
      <w:r w:rsidRPr="00B861BD">
        <w:rPr>
          <w:color w:val="0066FF"/>
        </w:rPr>
        <w:instrText xml:space="preserve"> REF _Ref207626269 \h </w:instrText>
      </w:r>
      <w:r w:rsidR="00B861BD">
        <w:rPr>
          <w:color w:val="0066FF"/>
        </w:rPr>
        <w:instrText xml:space="preserve"> \* MERGEFORMAT </w:instrText>
      </w:r>
      <w:r w:rsidRPr="00B861BD">
        <w:rPr>
          <w:color w:val="0066FF"/>
        </w:rPr>
      </w:r>
      <w:r w:rsidRPr="00B861BD">
        <w:rPr>
          <w:color w:val="0066FF"/>
        </w:rPr>
        <w:fldChar w:fldCharType="separate"/>
      </w:r>
      <w:r w:rsidR="00724077" w:rsidRPr="0098262F">
        <w:t xml:space="preserve">Table </w:t>
      </w:r>
      <w:r w:rsidR="00724077">
        <w:rPr>
          <w:noProof/>
        </w:rPr>
        <w:t>7</w:t>
      </w:r>
      <w:r w:rsidRPr="00B861BD">
        <w:rPr>
          <w:color w:val="0066FF"/>
        </w:rPr>
        <w:fldChar w:fldCharType="end"/>
      </w:r>
      <w:r w:rsidRPr="00B861BD">
        <w:rPr>
          <w:color w:val="0066FF"/>
        </w:rPr>
        <w:t xml:space="preserve"> </w:t>
      </w:r>
      <w:r w:rsidRPr="00B861BD">
        <w:t xml:space="preserve">presents the incidence of endometrial hyperplasia in REPLENISH and </w:t>
      </w:r>
      <w:proofErr w:type="spellStart"/>
      <w:r w:rsidRPr="00B861BD">
        <w:t>P</w:t>
      </w:r>
      <w:r w:rsidR="002027C6">
        <w:rPr>
          <w:rFonts w:cstheme="minorHAnsi"/>
        </w:rPr>
        <w:t>é</w:t>
      </w:r>
      <w:r w:rsidRPr="00B861BD">
        <w:t>lissier</w:t>
      </w:r>
      <w:proofErr w:type="spellEnd"/>
      <w:r w:rsidRPr="00B861BD">
        <w:t xml:space="preserve"> et al. (2001)</w:t>
      </w:r>
      <w:r w:rsidR="00DC27D7" w:rsidRPr="00B861BD">
        <w:t>, along with the results of the unanchored unadjusted ITC</w:t>
      </w:r>
      <w:r w:rsidR="00E04384">
        <w:t xml:space="preserve">. </w:t>
      </w:r>
      <w:r w:rsidR="00E04384" w:rsidRPr="00E04384">
        <w:t>The results were derived from the</w:t>
      </w:r>
      <w:r w:rsidR="008F52A1">
        <w:t xml:space="preserve"> </w:t>
      </w:r>
      <w:r w:rsidR="00E04384" w:rsidRPr="00E04384">
        <w:t>E</w:t>
      </w:r>
      <w:r w:rsidR="008F52A1">
        <w:t>S</w:t>
      </w:r>
      <w:r w:rsidR="00E04384" w:rsidRPr="00E04384">
        <w:t xml:space="preserve"> population in REPLENISH, defined as participants with an acceptable baseline biopsy (i.e., at least one biopsy with evaluable tissue showing no evidence of endometrial hyperplasia, cancer, or polyps) and a follow-up biopsy at </w:t>
      </w:r>
      <w:r w:rsidR="00C73543">
        <w:t>m</w:t>
      </w:r>
      <w:r w:rsidR="00E04384" w:rsidRPr="00E04384">
        <w:t>onth 12.</w:t>
      </w:r>
      <w:r w:rsidR="006D4611" w:rsidRPr="00B861BD">
        <w:t xml:space="preserve"> In</w:t>
      </w:r>
      <w:r w:rsidR="00785F4B" w:rsidRPr="00B861BD">
        <w:t xml:space="preserve"> </w:t>
      </w:r>
      <w:proofErr w:type="spellStart"/>
      <w:r w:rsidR="00785F4B" w:rsidRPr="00B861BD">
        <w:t>P</w:t>
      </w:r>
      <w:r w:rsidR="002027C6">
        <w:rPr>
          <w:rFonts w:cstheme="minorHAnsi"/>
        </w:rPr>
        <w:t>é</w:t>
      </w:r>
      <w:r w:rsidR="00785F4B" w:rsidRPr="00B861BD">
        <w:t>lissier</w:t>
      </w:r>
      <w:proofErr w:type="spellEnd"/>
      <w:r w:rsidR="006D4611" w:rsidRPr="00B861BD">
        <w:t xml:space="preserve"> et al. (2001), </w:t>
      </w:r>
      <w:r w:rsidR="00CE66BA" w:rsidRPr="00B861BD">
        <w:t>all patients with evaluable samples for biopsies were analysed.</w:t>
      </w:r>
    </w:p>
    <w:p w14:paraId="53F14D76" w14:textId="1FA7BA86" w:rsidR="000732C9" w:rsidRPr="0098262F" w:rsidRDefault="000732C9" w:rsidP="000732C9">
      <w:pPr>
        <w:pStyle w:val="TableFigureHeading"/>
        <w:rPr>
          <w:rStyle w:val="CommentReference"/>
          <w:b/>
          <w:szCs w:val="24"/>
        </w:rPr>
      </w:pPr>
      <w:bookmarkStart w:id="36" w:name="_Ref207626269"/>
      <w:r w:rsidRPr="0098262F">
        <w:lastRenderedPageBreak/>
        <w:t xml:space="preserve">Table </w:t>
      </w:r>
      <w:r w:rsidR="003A0CC2">
        <w:fldChar w:fldCharType="begin"/>
      </w:r>
      <w:r w:rsidR="003A0CC2">
        <w:instrText xml:space="preserve"> SEQ Table \* ARABIC </w:instrText>
      </w:r>
      <w:r w:rsidR="003A0CC2">
        <w:fldChar w:fldCharType="separate"/>
      </w:r>
      <w:r w:rsidR="00724077">
        <w:rPr>
          <w:noProof/>
        </w:rPr>
        <w:t>7</w:t>
      </w:r>
      <w:r w:rsidR="003A0CC2">
        <w:rPr>
          <w:noProof/>
        </w:rPr>
        <w:fldChar w:fldCharType="end"/>
      </w:r>
      <w:bookmarkEnd w:id="36"/>
      <w:r w:rsidRPr="0098262F">
        <w:t xml:space="preserve">: </w:t>
      </w:r>
      <w:r>
        <w:rPr>
          <w:rStyle w:val="CommentReference"/>
          <w:b/>
          <w:szCs w:val="24"/>
        </w:rPr>
        <w:t xml:space="preserve">Incidence of endometrial hyperplasia in REPLENISH and </w:t>
      </w:r>
      <w:proofErr w:type="spellStart"/>
      <w:r>
        <w:rPr>
          <w:rStyle w:val="CommentReference"/>
          <w:b/>
          <w:szCs w:val="24"/>
        </w:rPr>
        <w:t>P</w:t>
      </w:r>
      <w:r w:rsidR="002027C6">
        <w:rPr>
          <w:rStyle w:val="CommentReference"/>
          <w:b/>
          <w:szCs w:val="24"/>
        </w:rPr>
        <w:t>é</w:t>
      </w:r>
      <w:r>
        <w:rPr>
          <w:rStyle w:val="CommentReference"/>
          <w:b/>
          <w:szCs w:val="24"/>
        </w:rPr>
        <w:t>lissier</w:t>
      </w:r>
      <w:proofErr w:type="spellEnd"/>
      <w:r>
        <w:rPr>
          <w:rStyle w:val="CommentReference"/>
          <w:b/>
          <w:szCs w:val="24"/>
        </w:rPr>
        <w:t xml:space="preserve"> et al. (2001)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Incidence of endometrial hyperplasia in REPLENISH and Pélissier et al. (2001)"/>
      </w:tblPr>
      <w:tblGrid>
        <w:gridCol w:w="2689"/>
        <w:gridCol w:w="2126"/>
        <w:gridCol w:w="2126"/>
        <w:gridCol w:w="2076"/>
      </w:tblGrid>
      <w:tr w:rsidR="000732C9" w:rsidRPr="0098262F" w14:paraId="4A0F629F" w14:textId="77777777" w:rsidTr="00A6567C">
        <w:trPr>
          <w:cantSplit/>
          <w:tblHeader/>
        </w:trPr>
        <w:tc>
          <w:tcPr>
            <w:tcW w:w="1491" w:type="pct"/>
            <w:vAlign w:val="center"/>
          </w:tcPr>
          <w:p w14:paraId="6B358959" w14:textId="77777777" w:rsidR="000732C9" w:rsidRPr="0098262F" w:rsidRDefault="000732C9">
            <w:pPr>
              <w:pStyle w:val="In-tableHeading"/>
              <w:rPr>
                <w:lang w:val="en-AU"/>
              </w:rPr>
            </w:pPr>
            <w:r w:rsidRPr="0098262F">
              <w:rPr>
                <w:lang w:val="en-AU"/>
              </w:rPr>
              <w:t>Trial ID</w:t>
            </w:r>
          </w:p>
        </w:tc>
        <w:tc>
          <w:tcPr>
            <w:tcW w:w="1179" w:type="pct"/>
            <w:vAlign w:val="center"/>
          </w:tcPr>
          <w:p w14:paraId="7FE3013B" w14:textId="77777777" w:rsidR="000732C9" w:rsidRPr="0098262F" w:rsidRDefault="000732C9">
            <w:pPr>
              <w:pStyle w:val="In-tableHeading"/>
              <w:jc w:val="center"/>
              <w:rPr>
                <w:lang w:val="en-AU"/>
              </w:rPr>
            </w:pPr>
            <w:r>
              <w:rPr>
                <w:lang w:val="en-AU"/>
              </w:rPr>
              <w:t>B</w:t>
            </w:r>
            <w:proofErr w:type="spellStart"/>
            <w:r>
              <w:t>ijuva</w:t>
            </w:r>
            <w:proofErr w:type="spellEnd"/>
            <w:r>
              <w:t xml:space="preserve"> </w:t>
            </w:r>
          </w:p>
          <w:p w14:paraId="42B335D6" w14:textId="77777777" w:rsidR="000732C9" w:rsidRPr="0098262F" w:rsidRDefault="000732C9">
            <w:pPr>
              <w:pStyle w:val="In-tableHeading"/>
              <w:jc w:val="center"/>
              <w:rPr>
                <w:lang w:val="en-AU"/>
              </w:rPr>
            </w:pPr>
            <w:r w:rsidRPr="0098262F">
              <w:rPr>
                <w:lang w:val="en-AU"/>
              </w:rPr>
              <w:t>n/N (%)</w:t>
            </w:r>
          </w:p>
        </w:tc>
        <w:tc>
          <w:tcPr>
            <w:tcW w:w="1179" w:type="pct"/>
            <w:vAlign w:val="center"/>
          </w:tcPr>
          <w:p w14:paraId="702520E4" w14:textId="77777777" w:rsidR="000732C9" w:rsidRPr="0098262F" w:rsidRDefault="000732C9">
            <w:pPr>
              <w:pStyle w:val="In-tableHeading"/>
              <w:jc w:val="center"/>
              <w:rPr>
                <w:lang w:val="en-AU"/>
              </w:rPr>
            </w:pPr>
            <w:r>
              <w:rPr>
                <w:lang w:val="en-AU"/>
              </w:rPr>
              <w:t>P</w:t>
            </w:r>
            <w:proofErr w:type="spellStart"/>
            <w:r>
              <w:t>lacebo</w:t>
            </w:r>
            <w:proofErr w:type="spellEnd"/>
          </w:p>
          <w:p w14:paraId="5B6BB5F9" w14:textId="77777777" w:rsidR="000732C9" w:rsidRPr="0098262F" w:rsidRDefault="000732C9">
            <w:pPr>
              <w:pStyle w:val="In-tableHeading"/>
              <w:jc w:val="center"/>
              <w:rPr>
                <w:lang w:val="en-AU"/>
              </w:rPr>
            </w:pPr>
            <w:r w:rsidRPr="0098262F">
              <w:rPr>
                <w:lang w:val="en-AU"/>
              </w:rPr>
              <w:t>n/N (%)</w:t>
            </w:r>
          </w:p>
        </w:tc>
        <w:tc>
          <w:tcPr>
            <w:tcW w:w="1151" w:type="pct"/>
            <w:vAlign w:val="center"/>
          </w:tcPr>
          <w:p w14:paraId="4E310811" w14:textId="77777777" w:rsidR="000732C9" w:rsidRPr="0098262F" w:rsidRDefault="000732C9">
            <w:pPr>
              <w:pStyle w:val="In-tableHeading"/>
              <w:jc w:val="center"/>
              <w:rPr>
                <w:lang w:val="en-AU"/>
              </w:rPr>
            </w:pPr>
            <w:r w:rsidRPr="0098262F">
              <w:rPr>
                <w:lang w:val="en-AU"/>
              </w:rPr>
              <w:t>R</w:t>
            </w:r>
            <w:r>
              <w:rPr>
                <w:lang w:val="en-AU"/>
              </w:rPr>
              <w:t>D</w:t>
            </w:r>
            <w:r w:rsidRPr="0098262F">
              <w:rPr>
                <w:lang w:val="en-AU"/>
              </w:rPr>
              <w:t xml:space="preserve"> (95% CI)</w:t>
            </w:r>
          </w:p>
        </w:tc>
      </w:tr>
      <w:tr w:rsidR="000732C9" w:rsidRPr="0098262F" w14:paraId="071181F3" w14:textId="77777777" w:rsidTr="00A6567C">
        <w:trPr>
          <w:cantSplit/>
        </w:trPr>
        <w:tc>
          <w:tcPr>
            <w:tcW w:w="5000" w:type="pct"/>
            <w:gridSpan w:val="4"/>
            <w:vAlign w:val="center"/>
          </w:tcPr>
          <w:p w14:paraId="4B473D8F" w14:textId="77777777" w:rsidR="000732C9" w:rsidRPr="008C25DF" w:rsidRDefault="000732C9">
            <w:pPr>
              <w:pStyle w:val="TableText0"/>
              <w:rPr>
                <w:b/>
                <w:bCs w:val="0"/>
              </w:rPr>
            </w:pPr>
            <w:r w:rsidRPr="008C25DF">
              <w:rPr>
                <w:b/>
                <w:bCs w:val="0"/>
              </w:rPr>
              <w:t>REPLENISH (ES population)</w:t>
            </w:r>
          </w:p>
        </w:tc>
      </w:tr>
      <w:tr w:rsidR="000732C9" w:rsidRPr="0098262F" w14:paraId="6E1B9D20" w14:textId="77777777" w:rsidTr="00A6567C">
        <w:trPr>
          <w:cantSplit/>
        </w:trPr>
        <w:tc>
          <w:tcPr>
            <w:tcW w:w="1491" w:type="pct"/>
            <w:vAlign w:val="center"/>
          </w:tcPr>
          <w:p w14:paraId="45B30970" w14:textId="77777777" w:rsidR="000732C9" w:rsidRPr="0098262F" w:rsidRDefault="000732C9">
            <w:pPr>
              <w:pStyle w:val="TableText0"/>
              <w:ind w:left="170"/>
            </w:pPr>
            <w:r w:rsidRPr="006F02A2">
              <w:t>Endometrial hyperplasia</w:t>
            </w:r>
            <w:r>
              <w:t xml:space="preserve"> at Month 12</w:t>
            </w:r>
            <w:r w:rsidRPr="006F02A2">
              <w:t xml:space="preserve"> (%)</w:t>
            </w:r>
          </w:p>
        </w:tc>
        <w:tc>
          <w:tcPr>
            <w:tcW w:w="1179" w:type="pct"/>
            <w:vAlign w:val="center"/>
          </w:tcPr>
          <w:p w14:paraId="007DF671" w14:textId="77777777" w:rsidR="000732C9" w:rsidRPr="006F02A2" w:rsidRDefault="000732C9">
            <w:pPr>
              <w:pStyle w:val="TableText0"/>
              <w:jc w:val="center"/>
              <w:rPr>
                <w:vertAlign w:val="superscript"/>
              </w:rPr>
            </w:pPr>
            <w:r>
              <w:t>1/268 (0.4%)</w:t>
            </w:r>
            <w:r>
              <w:rPr>
                <w:vertAlign w:val="superscript"/>
              </w:rPr>
              <w:t>a</w:t>
            </w:r>
          </w:p>
        </w:tc>
        <w:tc>
          <w:tcPr>
            <w:tcW w:w="1179" w:type="pct"/>
            <w:vAlign w:val="center"/>
          </w:tcPr>
          <w:p w14:paraId="7B63FDFA" w14:textId="77777777" w:rsidR="000732C9" w:rsidRPr="0098262F" w:rsidRDefault="000732C9">
            <w:pPr>
              <w:pStyle w:val="TableText0"/>
              <w:jc w:val="center"/>
            </w:pPr>
            <w:r>
              <w:t>0/85 (0%)</w:t>
            </w:r>
          </w:p>
        </w:tc>
        <w:tc>
          <w:tcPr>
            <w:tcW w:w="1151" w:type="pct"/>
            <w:vAlign w:val="center"/>
          </w:tcPr>
          <w:p w14:paraId="4613511D" w14:textId="77777777" w:rsidR="000732C9" w:rsidRPr="0098262F" w:rsidRDefault="000732C9">
            <w:pPr>
              <w:pStyle w:val="TableText0"/>
              <w:jc w:val="center"/>
            </w:pPr>
            <w:r>
              <w:t>-</w:t>
            </w:r>
          </w:p>
        </w:tc>
      </w:tr>
      <w:tr w:rsidR="000732C9" w:rsidRPr="0098262F" w14:paraId="4D3D29B0" w14:textId="77777777" w:rsidTr="00A6567C">
        <w:trPr>
          <w:cantSplit/>
        </w:trPr>
        <w:tc>
          <w:tcPr>
            <w:tcW w:w="1491" w:type="pct"/>
            <w:vAlign w:val="center"/>
          </w:tcPr>
          <w:p w14:paraId="3467BB6D" w14:textId="77777777" w:rsidR="000732C9" w:rsidRPr="006F02A2" w:rsidRDefault="000732C9">
            <w:pPr>
              <w:pStyle w:val="TableText0"/>
              <w:ind w:left="170"/>
              <w:rPr>
                <w:vertAlign w:val="superscript"/>
              </w:rPr>
            </w:pPr>
            <w:r w:rsidRPr="006F02A2">
              <w:t xml:space="preserve">Upper two-sided limit 95% </w:t>
            </w:r>
            <w:proofErr w:type="spellStart"/>
            <w:r w:rsidRPr="006F02A2">
              <w:t>CI</w:t>
            </w:r>
            <w:r>
              <w:rPr>
                <w:vertAlign w:val="superscript"/>
              </w:rPr>
              <w:t>b</w:t>
            </w:r>
            <w:proofErr w:type="spellEnd"/>
          </w:p>
        </w:tc>
        <w:tc>
          <w:tcPr>
            <w:tcW w:w="1179" w:type="pct"/>
            <w:vAlign w:val="center"/>
          </w:tcPr>
          <w:p w14:paraId="0A8E2688" w14:textId="77777777" w:rsidR="000732C9" w:rsidRPr="0098262F" w:rsidRDefault="000732C9">
            <w:pPr>
              <w:pStyle w:val="TableText0"/>
              <w:jc w:val="center"/>
            </w:pPr>
            <w:r>
              <w:t>1.8%</w:t>
            </w:r>
          </w:p>
        </w:tc>
        <w:tc>
          <w:tcPr>
            <w:tcW w:w="1179" w:type="pct"/>
            <w:vAlign w:val="center"/>
          </w:tcPr>
          <w:p w14:paraId="0A68F265" w14:textId="77777777" w:rsidR="000732C9" w:rsidRPr="0098262F" w:rsidRDefault="000732C9">
            <w:pPr>
              <w:pStyle w:val="TableText0"/>
              <w:jc w:val="center"/>
            </w:pPr>
            <w:r>
              <w:t>3.5%</w:t>
            </w:r>
          </w:p>
        </w:tc>
        <w:tc>
          <w:tcPr>
            <w:tcW w:w="1151" w:type="pct"/>
            <w:vAlign w:val="center"/>
          </w:tcPr>
          <w:p w14:paraId="7727CF00" w14:textId="77777777" w:rsidR="000732C9" w:rsidRPr="0098262F" w:rsidRDefault="000732C9">
            <w:pPr>
              <w:pStyle w:val="TableText0"/>
              <w:jc w:val="center"/>
            </w:pPr>
            <w:r>
              <w:t>-</w:t>
            </w:r>
          </w:p>
        </w:tc>
      </w:tr>
      <w:tr w:rsidR="000732C9" w:rsidRPr="0098262F" w14:paraId="43FBA370" w14:textId="77777777" w:rsidTr="00A6567C">
        <w:trPr>
          <w:cantSplit/>
        </w:trPr>
        <w:tc>
          <w:tcPr>
            <w:tcW w:w="1491" w:type="pct"/>
            <w:vAlign w:val="center"/>
          </w:tcPr>
          <w:p w14:paraId="3E7513FD" w14:textId="77777777" w:rsidR="000732C9" w:rsidRPr="0098262F" w:rsidRDefault="000732C9">
            <w:pPr>
              <w:pStyle w:val="TableText0"/>
            </w:pPr>
          </w:p>
        </w:tc>
        <w:tc>
          <w:tcPr>
            <w:tcW w:w="1179" w:type="pct"/>
            <w:vAlign w:val="center"/>
          </w:tcPr>
          <w:p w14:paraId="2C8C9C97" w14:textId="77777777" w:rsidR="000732C9" w:rsidRPr="006F02A2" w:rsidRDefault="000732C9">
            <w:pPr>
              <w:pStyle w:val="TableText0"/>
              <w:jc w:val="center"/>
              <w:rPr>
                <w:b/>
                <w:bCs w:val="0"/>
                <w:vertAlign w:val="superscript"/>
              </w:rPr>
            </w:pPr>
            <w:r w:rsidRPr="006F02A2">
              <w:rPr>
                <w:b/>
                <w:bCs w:val="0"/>
              </w:rPr>
              <w:t xml:space="preserve">1.5 mg E2 + </w:t>
            </w:r>
            <w:proofErr w:type="spellStart"/>
            <w:r w:rsidRPr="006F02A2">
              <w:rPr>
                <w:b/>
                <w:bCs w:val="0"/>
              </w:rPr>
              <w:t>MP</w:t>
            </w:r>
            <w:r w:rsidRPr="006F02A2">
              <w:rPr>
                <w:b/>
                <w:bCs w:val="0"/>
                <w:vertAlign w:val="superscript"/>
              </w:rPr>
              <w:t>c</w:t>
            </w:r>
            <w:proofErr w:type="spellEnd"/>
          </w:p>
          <w:p w14:paraId="296011DE" w14:textId="77777777" w:rsidR="000732C9" w:rsidRPr="006F02A2" w:rsidRDefault="000732C9">
            <w:pPr>
              <w:pStyle w:val="TableText0"/>
              <w:jc w:val="center"/>
              <w:rPr>
                <w:b/>
                <w:bCs w:val="0"/>
              </w:rPr>
            </w:pPr>
            <w:r w:rsidRPr="006F02A2">
              <w:rPr>
                <w:b/>
                <w:bCs w:val="0"/>
              </w:rPr>
              <w:t>n/N (%)</w:t>
            </w:r>
          </w:p>
        </w:tc>
        <w:tc>
          <w:tcPr>
            <w:tcW w:w="1179" w:type="pct"/>
            <w:vAlign w:val="center"/>
          </w:tcPr>
          <w:p w14:paraId="659A3049" w14:textId="77777777" w:rsidR="000732C9" w:rsidRPr="006F02A2" w:rsidRDefault="000732C9">
            <w:pPr>
              <w:pStyle w:val="TableText0"/>
              <w:jc w:val="center"/>
              <w:rPr>
                <w:b/>
                <w:bCs w:val="0"/>
              </w:rPr>
            </w:pPr>
            <w:r w:rsidRPr="006F02A2">
              <w:rPr>
                <w:b/>
                <w:bCs w:val="0"/>
              </w:rPr>
              <w:t xml:space="preserve">1.5 mg E2 + </w:t>
            </w:r>
            <w:proofErr w:type="spellStart"/>
            <w:r w:rsidRPr="006F02A2">
              <w:rPr>
                <w:b/>
                <w:bCs w:val="0"/>
              </w:rPr>
              <w:t>CA</w:t>
            </w:r>
            <w:r w:rsidRPr="006F02A2">
              <w:rPr>
                <w:b/>
                <w:bCs w:val="0"/>
                <w:vertAlign w:val="superscript"/>
              </w:rPr>
              <w:t>d</w:t>
            </w:r>
            <w:proofErr w:type="spellEnd"/>
          </w:p>
          <w:p w14:paraId="673B5B06" w14:textId="77777777" w:rsidR="000732C9" w:rsidRPr="006F02A2" w:rsidRDefault="000732C9">
            <w:pPr>
              <w:pStyle w:val="TableText0"/>
              <w:jc w:val="center"/>
              <w:rPr>
                <w:b/>
                <w:bCs w:val="0"/>
              </w:rPr>
            </w:pPr>
            <w:r w:rsidRPr="006F02A2">
              <w:rPr>
                <w:b/>
                <w:bCs w:val="0"/>
              </w:rPr>
              <w:t>n/N (%)</w:t>
            </w:r>
          </w:p>
        </w:tc>
        <w:tc>
          <w:tcPr>
            <w:tcW w:w="1151" w:type="pct"/>
            <w:vAlign w:val="center"/>
          </w:tcPr>
          <w:p w14:paraId="6B1FF4B5" w14:textId="77777777" w:rsidR="000732C9" w:rsidRPr="006F02A2" w:rsidRDefault="000732C9">
            <w:pPr>
              <w:pStyle w:val="TableText0"/>
              <w:jc w:val="center"/>
              <w:rPr>
                <w:b/>
                <w:bCs w:val="0"/>
              </w:rPr>
            </w:pPr>
            <w:r>
              <w:rPr>
                <w:b/>
                <w:bCs w:val="0"/>
              </w:rPr>
              <w:t>-</w:t>
            </w:r>
          </w:p>
        </w:tc>
      </w:tr>
      <w:tr w:rsidR="000732C9" w:rsidRPr="0098262F" w14:paraId="1F9BA490" w14:textId="77777777" w:rsidTr="00A6567C">
        <w:trPr>
          <w:cantSplit/>
        </w:trPr>
        <w:tc>
          <w:tcPr>
            <w:tcW w:w="5000" w:type="pct"/>
            <w:gridSpan w:val="4"/>
            <w:vAlign w:val="center"/>
          </w:tcPr>
          <w:p w14:paraId="27B9D7E1" w14:textId="02C2E7ED" w:rsidR="000732C9" w:rsidRPr="008C25DF" w:rsidRDefault="000732C9">
            <w:pPr>
              <w:pStyle w:val="TableText0"/>
              <w:rPr>
                <w:b/>
                <w:bCs w:val="0"/>
              </w:rPr>
            </w:pPr>
            <w:proofErr w:type="spellStart"/>
            <w:r w:rsidRPr="008C25DF">
              <w:rPr>
                <w:b/>
                <w:bCs w:val="0"/>
              </w:rPr>
              <w:t>P</w:t>
            </w:r>
            <w:r w:rsidR="00DA4746">
              <w:rPr>
                <w:b/>
                <w:bCs w:val="0"/>
              </w:rPr>
              <w:t>é</w:t>
            </w:r>
            <w:r w:rsidRPr="008C25DF">
              <w:rPr>
                <w:b/>
                <w:bCs w:val="0"/>
              </w:rPr>
              <w:t>lissier</w:t>
            </w:r>
            <w:proofErr w:type="spellEnd"/>
            <w:r w:rsidRPr="008C25DF">
              <w:rPr>
                <w:b/>
                <w:bCs w:val="0"/>
              </w:rPr>
              <w:t xml:space="preserve"> et al. (2001)</w:t>
            </w:r>
          </w:p>
        </w:tc>
      </w:tr>
      <w:tr w:rsidR="000732C9" w:rsidRPr="0098262F" w14:paraId="11117309" w14:textId="77777777" w:rsidTr="00A6567C">
        <w:trPr>
          <w:cantSplit/>
        </w:trPr>
        <w:tc>
          <w:tcPr>
            <w:tcW w:w="1491" w:type="pct"/>
            <w:vAlign w:val="center"/>
          </w:tcPr>
          <w:p w14:paraId="3104E947" w14:textId="77777777" w:rsidR="000732C9" w:rsidRDefault="000732C9">
            <w:pPr>
              <w:pStyle w:val="TableText0"/>
              <w:ind w:left="170"/>
            </w:pPr>
            <w:r w:rsidRPr="006F02A2">
              <w:t>Endometrial hyperplasia (%)</w:t>
            </w:r>
            <w:r>
              <w:t xml:space="preserve"> at Month 6</w:t>
            </w:r>
          </w:p>
        </w:tc>
        <w:tc>
          <w:tcPr>
            <w:tcW w:w="1179" w:type="pct"/>
            <w:vAlign w:val="center"/>
          </w:tcPr>
          <w:p w14:paraId="24760EC7" w14:textId="77777777" w:rsidR="000732C9" w:rsidRPr="006F02A2" w:rsidRDefault="000732C9">
            <w:pPr>
              <w:pStyle w:val="TableText0"/>
              <w:jc w:val="center"/>
            </w:pPr>
            <w:r>
              <w:t>0/146 (0)</w:t>
            </w:r>
          </w:p>
        </w:tc>
        <w:tc>
          <w:tcPr>
            <w:tcW w:w="1179" w:type="pct"/>
            <w:vAlign w:val="center"/>
          </w:tcPr>
          <w:p w14:paraId="6021B4CB" w14:textId="77777777" w:rsidR="000732C9" w:rsidRPr="006F02A2" w:rsidRDefault="000732C9">
            <w:pPr>
              <w:pStyle w:val="TableText0"/>
              <w:jc w:val="center"/>
            </w:pPr>
            <w:r>
              <w:t>0/148 (0)</w:t>
            </w:r>
          </w:p>
        </w:tc>
        <w:tc>
          <w:tcPr>
            <w:tcW w:w="1151" w:type="pct"/>
            <w:vAlign w:val="center"/>
          </w:tcPr>
          <w:p w14:paraId="0821BB0C" w14:textId="77777777" w:rsidR="000732C9" w:rsidRDefault="000732C9">
            <w:pPr>
              <w:pStyle w:val="TableText0"/>
              <w:jc w:val="center"/>
            </w:pPr>
            <w:r>
              <w:t>-</w:t>
            </w:r>
          </w:p>
        </w:tc>
      </w:tr>
      <w:tr w:rsidR="000732C9" w:rsidRPr="0098262F" w14:paraId="79B75BE1" w14:textId="77777777" w:rsidTr="00A6567C">
        <w:trPr>
          <w:cantSplit/>
        </w:trPr>
        <w:tc>
          <w:tcPr>
            <w:tcW w:w="1491" w:type="pct"/>
            <w:vAlign w:val="center"/>
          </w:tcPr>
          <w:p w14:paraId="6576D22B" w14:textId="77777777" w:rsidR="000732C9" w:rsidRPr="0098262F" w:rsidRDefault="000732C9">
            <w:pPr>
              <w:pStyle w:val="TableText0"/>
              <w:ind w:left="170"/>
            </w:pPr>
            <w:r w:rsidRPr="006F02A2">
              <w:t>Endometrial hyperplasia (%)</w:t>
            </w:r>
            <w:r>
              <w:t xml:space="preserve"> at Month 18</w:t>
            </w:r>
          </w:p>
        </w:tc>
        <w:tc>
          <w:tcPr>
            <w:tcW w:w="1179" w:type="pct"/>
            <w:vAlign w:val="center"/>
          </w:tcPr>
          <w:p w14:paraId="1A69BAC7" w14:textId="77777777" w:rsidR="000732C9" w:rsidRPr="0098262F" w:rsidRDefault="000732C9">
            <w:pPr>
              <w:pStyle w:val="TableText0"/>
              <w:jc w:val="center"/>
            </w:pPr>
            <w:r w:rsidRPr="006F02A2">
              <w:t>0/131 (0)</w:t>
            </w:r>
            <w:r w:rsidRPr="006F02A2">
              <w:tab/>
            </w:r>
          </w:p>
        </w:tc>
        <w:tc>
          <w:tcPr>
            <w:tcW w:w="1179" w:type="pct"/>
            <w:vAlign w:val="center"/>
          </w:tcPr>
          <w:p w14:paraId="652F2122" w14:textId="77777777" w:rsidR="000732C9" w:rsidRPr="0098262F" w:rsidRDefault="000732C9">
            <w:pPr>
              <w:pStyle w:val="TableText0"/>
              <w:jc w:val="center"/>
            </w:pPr>
            <w:r w:rsidRPr="006F02A2">
              <w:t>0/134 (0)</w:t>
            </w:r>
          </w:p>
        </w:tc>
        <w:tc>
          <w:tcPr>
            <w:tcW w:w="1151" w:type="pct"/>
            <w:vAlign w:val="center"/>
          </w:tcPr>
          <w:p w14:paraId="5C170212" w14:textId="77777777" w:rsidR="000732C9" w:rsidRPr="0098262F" w:rsidRDefault="000732C9">
            <w:pPr>
              <w:pStyle w:val="TableText0"/>
              <w:jc w:val="center"/>
            </w:pPr>
            <w:r>
              <w:t>-</w:t>
            </w:r>
          </w:p>
        </w:tc>
      </w:tr>
      <w:tr w:rsidR="000732C9" w:rsidRPr="0098262F" w14:paraId="26412D90" w14:textId="77777777" w:rsidTr="00A6567C">
        <w:trPr>
          <w:cantSplit/>
        </w:trPr>
        <w:tc>
          <w:tcPr>
            <w:tcW w:w="3849" w:type="pct"/>
            <w:gridSpan w:val="3"/>
            <w:vAlign w:val="center"/>
          </w:tcPr>
          <w:p w14:paraId="0A4CC3CC" w14:textId="77777777" w:rsidR="000732C9" w:rsidRPr="006F02A2" w:rsidRDefault="000732C9">
            <w:pPr>
              <w:pStyle w:val="TableText0"/>
              <w:jc w:val="right"/>
            </w:pPr>
            <w:r w:rsidRPr="0057159B">
              <w:t>ITC between Bijuva</w:t>
            </w:r>
            <w:r>
              <w:t xml:space="preserve"> (at Month 12)</w:t>
            </w:r>
            <w:r w:rsidRPr="0057159B">
              <w:t xml:space="preserve"> versus </w:t>
            </w:r>
            <w:r>
              <w:t>1.5 mg E2 + MP (at Month 6)</w:t>
            </w:r>
          </w:p>
        </w:tc>
        <w:tc>
          <w:tcPr>
            <w:tcW w:w="1151" w:type="pct"/>
            <w:vAlign w:val="center"/>
          </w:tcPr>
          <w:p w14:paraId="3E0022BB" w14:textId="77777777" w:rsidR="000732C9" w:rsidRDefault="000732C9">
            <w:pPr>
              <w:pStyle w:val="TableText0"/>
              <w:jc w:val="center"/>
            </w:pPr>
            <w:r>
              <w:t>0.4% (-2.2%, 2.1%)</w:t>
            </w:r>
          </w:p>
        </w:tc>
      </w:tr>
      <w:tr w:rsidR="000732C9" w:rsidRPr="0098262F" w14:paraId="5730FB6A" w14:textId="77777777" w:rsidTr="00A6567C">
        <w:trPr>
          <w:cantSplit/>
        </w:trPr>
        <w:tc>
          <w:tcPr>
            <w:tcW w:w="3849" w:type="pct"/>
            <w:gridSpan w:val="3"/>
            <w:vAlign w:val="center"/>
          </w:tcPr>
          <w:p w14:paraId="2D7DA7AF" w14:textId="77777777" w:rsidR="000732C9" w:rsidRPr="006F02A2" w:rsidRDefault="000732C9">
            <w:pPr>
              <w:pStyle w:val="TableText0"/>
              <w:jc w:val="right"/>
            </w:pPr>
            <w:r w:rsidRPr="0057159B">
              <w:t xml:space="preserve">ITC between Bijuva </w:t>
            </w:r>
            <w:r>
              <w:t xml:space="preserve">(at Month 12) </w:t>
            </w:r>
            <w:r w:rsidRPr="0057159B">
              <w:t xml:space="preserve">versus </w:t>
            </w:r>
            <w:r>
              <w:t>1.5 mg E2 + MP (at Month 18)</w:t>
            </w:r>
          </w:p>
        </w:tc>
        <w:tc>
          <w:tcPr>
            <w:tcW w:w="1151" w:type="pct"/>
            <w:vAlign w:val="center"/>
          </w:tcPr>
          <w:p w14:paraId="4896AB28" w14:textId="77777777" w:rsidR="000732C9" w:rsidRDefault="000732C9">
            <w:pPr>
              <w:pStyle w:val="TableText0"/>
              <w:jc w:val="center"/>
            </w:pPr>
            <w:r>
              <w:t>0.4% (-2.5%, 2.1%)</w:t>
            </w:r>
          </w:p>
        </w:tc>
      </w:tr>
    </w:tbl>
    <w:p w14:paraId="0D2A0234" w14:textId="5909B006" w:rsidR="000732C9" w:rsidRDefault="000732C9" w:rsidP="000732C9">
      <w:pPr>
        <w:pStyle w:val="FooterTableFigure"/>
      </w:pPr>
      <w:r>
        <w:t xml:space="preserve">Source: Table 2-31, p120; </w:t>
      </w:r>
      <w:r w:rsidR="00C35237">
        <w:t xml:space="preserve">Table 2-41, p138; </w:t>
      </w:r>
      <w:r>
        <w:t>Table 2-42, p121 of the submission</w:t>
      </w:r>
      <w:r w:rsidR="00E84838">
        <w:t xml:space="preserve"> main body.</w:t>
      </w:r>
    </w:p>
    <w:p w14:paraId="1FA33F90" w14:textId="1A77EB87" w:rsidR="000732C9" w:rsidRDefault="000732C9" w:rsidP="000732C9">
      <w:pPr>
        <w:pStyle w:val="FooterTableFigure"/>
      </w:pPr>
      <w:r>
        <w:t xml:space="preserve">CA = chlormadinone acetate; CI = confidence interval; E2 =17β-estradiol; ES = endometrial safety; </w:t>
      </w:r>
      <w:r w:rsidR="007A09B8">
        <w:t xml:space="preserve">ITC = indirect treatment comparison; </w:t>
      </w:r>
      <w:r>
        <w:t>MP = micronised progesterone; n = number of participants with event; N = total participants in group</w:t>
      </w:r>
      <w:r w:rsidR="00DC27D7">
        <w:t>; RD = risk difference</w:t>
      </w:r>
      <w:r>
        <w:t>.</w:t>
      </w:r>
    </w:p>
    <w:p w14:paraId="54CA3367" w14:textId="77777777" w:rsidR="000732C9" w:rsidRDefault="000732C9" w:rsidP="000732C9">
      <w:pPr>
        <w:pStyle w:val="FooterTableFigure"/>
      </w:pPr>
      <w:r w:rsidRPr="008468F1">
        <w:rPr>
          <w:vertAlign w:val="superscript"/>
        </w:rPr>
        <w:t>a</w:t>
      </w:r>
      <w:r>
        <w:t xml:space="preserve"> One case of simple endometrial hyperplasia without atypia, based on the TGA Product Information</w:t>
      </w:r>
    </w:p>
    <w:p w14:paraId="6C22EA2E" w14:textId="77777777" w:rsidR="000732C9" w:rsidRDefault="000732C9" w:rsidP="000732C9">
      <w:pPr>
        <w:pStyle w:val="FooterTableFigure"/>
      </w:pPr>
      <w:r w:rsidRPr="008468F1">
        <w:rPr>
          <w:vertAlign w:val="superscript"/>
        </w:rPr>
        <w:t>b</w:t>
      </w:r>
      <w:r>
        <w:t xml:space="preserve"> Lower limit not reported</w:t>
      </w:r>
    </w:p>
    <w:p w14:paraId="127ED8E8" w14:textId="57831666" w:rsidR="000732C9" w:rsidRDefault="000732C9" w:rsidP="000732C9">
      <w:pPr>
        <w:pStyle w:val="FooterTableFigure"/>
      </w:pPr>
      <w:r w:rsidRPr="008468F1">
        <w:rPr>
          <w:vertAlign w:val="superscript"/>
        </w:rPr>
        <w:t>c</w:t>
      </w:r>
      <w:r>
        <w:t xml:space="preserve"> percutaneous 1.5 mg E2 on day</w:t>
      </w:r>
      <w:r w:rsidR="00D21EF8">
        <w:t>s</w:t>
      </w:r>
      <w:r>
        <w:t xml:space="preserve"> 1-24 and oral 200 mg micronised progesterone daily on day</w:t>
      </w:r>
      <w:r w:rsidR="002D3E50">
        <w:t>s</w:t>
      </w:r>
      <w:r>
        <w:t xml:space="preserve"> 11-24.</w:t>
      </w:r>
    </w:p>
    <w:p w14:paraId="2753E8DE" w14:textId="1F22054A" w:rsidR="000732C9" w:rsidRDefault="000732C9" w:rsidP="000732C9">
      <w:pPr>
        <w:pStyle w:val="FooterTableFigure"/>
      </w:pPr>
      <w:r w:rsidRPr="008468F1">
        <w:rPr>
          <w:vertAlign w:val="superscript"/>
        </w:rPr>
        <w:t>d</w:t>
      </w:r>
      <w:r>
        <w:t xml:space="preserve"> percutaneous 1.5 mg E2 on day</w:t>
      </w:r>
      <w:r w:rsidR="00D21EF8">
        <w:t>s</w:t>
      </w:r>
      <w:r>
        <w:t xml:space="preserve"> 1-24 and oral 10 mg chlormadinone acetate daily on day</w:t>
      </w:r>
      <w:r w:rsidR="002D3E50">
        <w:t>s</w:t>
      </w:r>
      <w:r>
        <w:t xml:space="preserve"> 11-24.</w:t>
      </w:r>
    </w:p>
    <w:p w14:paraId="5919430C" w14:textId="14A04D64" w:rsidR="000732C9" w:rsidRDefault="000732C9" w:rsidP="000732C9">
      <w:pPr>
        <w:pStyle w:val="3-BodyText"/>
        <w:rPr>
          <w:i/>
          <w:iCs/>
        </w:rPr>
      </w:pPr>
      <w:r w:rsidRPr="00C3017E">
        <w:t xml:space="preserve">At Month 12 of the REPLENISH trial, there was one case </w:t>
      </w:r>
      <w:r w:rsidR="00AD6098" w:rsidRPr="00C3017E">
        <w:t>of endometrial</w:t>
      </w:r>
      <w:r w:rsidRPr="00C3017E">
        <w:t xml:space="preserve"> hyperplasia without atypia, and no endometrial cancer was detected in the Bijuva arm. The incidence of endometrial hyperplasia with Bijuva was 0.4% (two-sided upper limit 95% CI: 1.8%), which was below the 95% CI upper limit </w:t>
      </w:r>
      <w:r w:rsidR="002C5E34">
        <w:t xml:space="preserve">of the </w:t>
      </w:r>
      <w:r w:rsidRPr="00C3017E">
        <w:t xml:space="preserve">FDA threshold of 4% and EMA threshold of &lt;2%. </w:t>
      </w:r>
    </w:p>
    <w:p w14:paraId="3399A7BC" w14:textId="27C5016C" w:rsidR="000732C9" w:rsidRDefault="000732C9" w:rsidP="000732C9">
      <w:pPr>
        <w:pStyle w:val="3-BodyText"/>
      </w:pPr>
      <w:r w:rsidRPr="000B19C8">
        <w:t xml:space="preserve">In </w:t>
      </w:r>
      <w:proofErr w:type="spellStart"/>
      <w:r w:rsidRPr="000B19C8">
        <w:t>P</w:t>
      </w:r>
      <w:r w:rsidR="00DA4746">
        <w:rPr>
          <w:rFonts w:cstheme="minorHAnsi"/>
        </w:rPr>
        <w:t>é</w:t>
      </w:r>
      <w:r w:rsidRPr="000B19C8">
        <w:t>lissier</w:t>
      </w:r>
      <w:proofErr w:type="spellEnd"/>
      <w:r w:rsidRPr="000B19C8">
        <w:t xml:space="preserve"> et al. (2001), there w</w:t>
      </w:r>
      <w:r w:rsidR="00A61B87">
        <w:t>ere</w:t>
      </w:r>
      <w:r w:rsidRPr="000B19C8">
        <w:t xml:space="preserve"> no cases of endometrial hyperplasia reported at Month</w:t>
      </w:r>
      <w:r w:rsidR="004E3D86">
        <w:t>s</w:t>
      </w:r>
      <w:r w:rsidRPr="000B19C8">
        <w:t xml:space="preserve"> 6 and 18 among women who used Estrogel and progesterone.</w:t>
      </w:r>
    </w:p>
    <w:p w14:paraId="602BAC48" w14:textId="0464E0BF" w:rsidR="006E4637" w:rsidRPr="00C56203" w:rsidRDefault="000732C9" w:rsidP="00B3489B">
      <w:pPr>
        <w:pStyle w:val="3-BodyText"/>
      </w:pPr>
      <w:r>
        <w:t xml:space="preserve">ITC results showed that </w:t>
      </w:r>
      <w:r w:rsidRPr="004D41E7">
        <w:t>the</w:t>
      </w:r>
      <w:r>
        <w:t xml:space="preserve"> </w:t>
      </w:r>
      <w:r w:rsidR="00641B01">
        <w:t>RD</w:t>
      </w:r>
      <w:r w:rsidRPr="004D41E7">
        <w:t xml:space="preserve"> in the incidence of endometrial </w:t>
      </w:r>
      <w:r>
        <w:t>h</w:t>
      </w:r>
      <w:r w:rsidRPr="004D41E7">
        <w:t>yperplasia</w:t>
      </w:r>
      <w:r>
        <w:t xml:space="preserve"> of Bijuva versus Estrogel</w:t>
      </w:r>
      <w:r w:rsidR="001E2125">
        <w:t xml:space="preserve"> and progesterone</w:t>
      </w:r>
      <w:r>
        <w:t xml:space="preserve"> was 0.4%.</w:t>
      </w:r>
      <w:r w:rsidRPr="004D41E7">
        <w:t xml:space="preserve"> The submission claimed that </w:t>
      </w:r>
      <w:r w:rsidR="002C5E34">
        <w:t xml:space="preserve">the </w:t>
      </w:r>
      <w:r w:rsidRPr="004D41E7">
        <w:t xml:space="preserve">95% CI </w:t>
      </w:r>
      <w:r w:rsidR="002C5E34">
        <w:t>was</w:t>
      </w:r>
      <w:r w:rsidR="002C5E34" w:rsidRPr="004D41E7">
        <w:t xml:space="preserve"> </w:t>
      </w:r>
      <w:r w:rsidRPr="004D41E7">
        <w:t>narro</w:t>
      </w:r>
      <w:r w:rsidRPr="00DD388C">
        <w:t xml:space="preserve">w, implying good precision of the unanchored ITC. </w:t>
      </w:r>
      <w:r w:rsidRPr="00C56203">
        <w:t xml:space="preserve">This was </w:t>
      </w:r>
      <w:r w:rsidR="00F71D8E" w:rsidRPr="00C56203">
        <w:t>inappropriate a</w:t>
      </w:r>
      <w:r w:rsidRPr="00C56203">
        <w:t xml:space="preserve">s the presented 95% CI of -2.5% to 2.1% </w:t>
      </w:r>
      <w:r w:rsidR="00F71D8E" w:rsidRPr="00C56203">
        <w:t>was relatively wide compared to the ITC estimate of 0.4%</w:t>
      </w:r>
      <w:r w:rsidRPr="00C56203">
        <w:t xml:space="preserve">. </w:t>
      </w:r>
      <w:r w:rsidR="002E4F42" w:rsidRPr="00C56203">
        <w:t>T</w:t>
      </w:r>
      <w:r w:rsidRPr="00C56203">
        <w:t xml:space="preserve">he </w:t>
      </w:r>
      <w:r w:rsidR="002E4F42" w:rsidRPr="00C56203">
        <w:t xml:space="preserve">results were uncertain due to </w:t>
      </w:r>
      <w:r w:rsidR="00DD388C" w:rsidRPr="00C56203">
        <w:t xml:space="preserve">the </w:t>
      </w:r>
      <w:r w:rsidRPr="00C56203">
        <w:t xml:space="preserve">unanchored unadjusted ITC of Bijuva versus Estrogel Pro </w:t>
      </w:r>
      <w:r w:rsidR="00DD388C" w:rsidRPr="00C56203">
        <w:t>with</w:t>
      </w:r>
      <w:r w:rsidR="002E4F42" w:rsidRPr="00C56203">
        <w:t xml:space="preserve"> </w:t>
      </w:r>
      <w:r w:rsidR="00641B01" w:rsidRPr="00C56203">
        <w:t xml:space="preserve">several </w:t>
      </w:r>
      <w:r w:rsidR="00321240" w:rsidRPr="00C56203">
        <w:t xml:space="preserve">study </w:t>
      </w:r>
      <w:r w:rsidR="002E4F42" w:rsidRPr="00C56203">
        <w:t>differences</w:t>
      </w:r>
      <w:r w:rsidR="00641B01" w:rsidRPr="00C56203">
        <w:t>:</w:t>
      </w:r>
      <w:r w:rsidRPr="00C56203">
        <w:t xml:space="preserve"> study duration</w:t>
      </w:r>
      <w:r w:rsidR="00E31E6A" w:rsidRPr="00C56203">
        <w:t xml:space="preserve"> (</w:t>
      </w:r>
      <w:r w:rsidR="00DD388C" w:rsidRPr="00C56203">
        <w:t xml:space="preserve">12 months in REPLENISH versus 18 months in </w:t>
      </w:r>
      <w:proofErr w:type="spellStart"/>
      <w:r w:rsidR="00DD388C" w:rsidRPr="00C56203">
        <w:t>P</w:t>
      </w:r>
      <w:r w:rsidR="00DA4746">
        <w:rPr>
          <w:rFonts w:cstheme="minorHAnsi"/>
        </w:rPr>
        <w:t>é</w:t>
      </w:r>
      <w:r w:rsidR="00DD388C" w:rsidRPr="00C56203">
        <w:t>lissier</w:t>
      </w:r>
      <w:proofErr w:type="spellEnd"/>
      <w:r w:rsidR="00DD388C" w:rsidRPr="00C56203">
        <w:t xml:space="preserve"> et al. 2001)</w:t>
      </w:r>
      <w:r w:rsidRPr="00C56203">
        <w:t xml:space="preserve">, </w:t>
      </w:r>
      <w:r w:rsidR="00E31E6A" w:rsidRPr="00C56203">
        <w:t xml:space="preserve">timepoints of </w:t>
      </w:r>
      <w:r w:rsidRPr="00C56203">
        <w:t xml:space="preserve">outcome measures </w:t>
      </w:r>
      <w:r w:rsidR="00DD388C" w:rsidRPr="00C56203">
        <w:t>(12 months in REPLENISH,</w:t>
      </w:r>
      <w:r w:rsidR="000D5E4C" w:rsidRPr="00C56203">
        <w:t xml:space="preserve"> versus</w:t>
      </w:r>
      <w:r w:rsidR="00DD388C" w:rsidRPr="00C56203">
        <w:t xml:space="preserve"> 6 months and 1</w:t>
      </w:r>
      <w:r w:rsidR="00641B01" w:rsidRPr="00C56203">
        <w:t>8</w:t>
      </w:r>
      <w:r w:rsidR="00807831">
        <w:t> </w:t>
      </w:r>
      <w:r w:rsidR="00DD388C" w:rsidRPr="00C56203">
        <w:t xml:space="preserve">months in </w:t>
      </w:r>
      <w:proofErr w:type="spellStart"/>
      <w:r w:rsidR="00DD388C" w:rsidRPr="00C56203">
        <w:t>P</w:t>
      </w:r>
      <w:r w:rsidR="00DA4746">
        <w:rPr>
          <w:rFonts w:cstheme="minorHAnsi"/>
        </w:rPr>
        <w:t>é</w:t>
      </w:r>
      <w:r w:rsidR="00DD388C" w:rsidRPr="00C56203">
        <w:t>lissier</w:t>
      </w:r>
      <w:proofErr w:type="spellEnd"/>
      <w:r w:rsidR="00DD388C" w:rsidRPr="00C56203">
        <w:t xml:space="preserve"> et al. 2001), and study design (</w:t>
      </w:r>
      <w:r w:rsidR="00974FAC" w:rsidRPr="00C56203">
        <w:t>randomised controlled trial [</w:t>
      </w:r>
      <w:r w:rsidR="00DD388C" w:rsidRPr="00C56203">
        <w:t>RCT</w:t>
      </w:r>
      <w:r w:rsidR="00974FAC" w:rsidRPr="00C56203">
        <w:t>]</w:t>
      </w:r>
      <w:r w:rsidR="00DD388C" w:rsidRPr="00C56203">
        <w:t xml:space="preserve"> in REPLENISH, </w:t>
      </w:r>
      <w:r w:rsidR="000D5E4C" w:rsidRPr="00C56203">
        <w:t>versus</w:t>
      </w:r>
      <w:r w:rsidR="00DD388C" w:rsidRPr="00C56203">
        <w:t xml:space="preserve"> </w:t>
      </w:r>
      <w:r w:rsidR="00F14883" w:rsidRPr="00C56203">
        <w:t xml:space="preserve">6-month </w:t>
      </w:r>
      <w:r w:rsidR="00DD388C" w:rsidRPr="00C56203">
        <w:t xml:space="preserve">RCT, followed by </w:t>
      </w:r>
      <w:r w:rsidR="00757599" w:rsidRPr="00C56203">
        <w:t xml:space="preserve">open label study for </w:t>
      </w:r>
      <w:r w:rsidR="00DD388C" w:rsidRPr="00C56203">
        <w:t xml:space="preserve">12 months in </w:t>
      </w:r>
      <w:proofErr w:type="spellStart"/>
      <w:r w:rsidR="00DD388C" w:rsidRPr="00C56203">
        <w:t>P</w:t>
      </w:r>
      <w:r w:rsidR="00DA4746">
        <w:rPr>
          <w:rFonts w:cstheme="minorHAnsi"/>
        </w:rPr>
        <w:t>é</w:t>
      </w:r>
      <w:r w:rsidR="00DD388C" w:rsidRPr="00C56203">
        <w:t>lissier</w:t>
      </w:r>
      <w:proofErr w:type="spellEnd"/>
      <w:r w:rsidR="00DD388C" w:rsidRPr="00C56203">
        <w:t xml:space="preserve"> et al. 2001).</w:t>
      </w:r>
      <w:bookmarkStart w:id="37" w:name="_Ref207886559"/>
    </w:p>
    <w:bookmarkEnd w:id="37"/>
    <w:p w14:paraId="1D3F5837" w14:textId="4BDB8685" w:rsidR="000732C9" w:rsidRPr="006E4637" w:rsidRDefault="000732C9" w:rsidP="006E4637">
      <w:pPr>
        <w:rPr>
          <w:u w:val="single"/>
        </w:rPr>
      </w:pPr>
      <w:r w:rsidRPr="006E4637">
        <w:rPr>
          <w:u w:val="single"/>
        </w:rPr>
        <w:t>Treatment-emergent adverse events (TEAE</w:t>
      </w:r>
      <w:r w:rsidR="00B3489B" w:rsidRPr="006E4637">
        <w:rPr>
          <w:u w:val="single"/>
        </w:rPr>
        <w:t>s</w:t>
      </w:r>
      <w:r w:rsidRPr="006E4637">
        <w:rPr>
          <w:u w:val="single"/>
        </w:rPr>
        <w:t>)</w:t>
      </w:r>
    </w:p>
    <w:p w14:paraId="4DC02D4F" w14:textId="6B9877D5" w:rsidR="00C95126" w:rsidRDefault="00C95126" w:rsidP="000732C9">
      <w:pPr>
        <w:pStyle w:val="3-BodyText"/>
      </w:pPr>
      <w:r>
        <w:rPr>
          <w:rFonts w:ascii="Calibri" w:eastAsia="Times New Roman" w:hAnsi="Calibri" w:cs="Arial"/>
          <w:szCs w:val="24"/>
        </w:rPr>
        <w:t xml:space="preserve">The submission presented </w:t>
      </w:r>
      <w:r w:rsidR="00E31E6A">
        <w:rPr>
          <w:rFonts w:ascii="Calibri" w:eastAsia="Times New Roman" w:hAnsi="Calibri" w:cs="Arial"/>
          <w:szCs w:val="24"/>
        </w:rPr>
        <w:t>estrogen-related TEAEs from REPLENISH and Archer et al. (2003).</w:t>
      </w:r>
      <w:r w:rsidRPr="00C95126">
        <w:rPr>
          <w:rFonts w:ascii="Calibri" w:eastAsia="Times New Roman" w:hAnsi="Calibri" w:cs="Arial"/>
          <w:szCs w:val="24"/>
        </w:rPr>
        <w:t xml:space="preserve"> </w:t>
      </w:r>
    </w:p>
    <w:p w14:paraId="222803FC" w14:textId="401C32DC" w:rsidR="000732C9" w:rsidRDefault="000732C9" w:rsidP="000732C9">
      <w:pPr>
        <w:pStyle w:val="3-BodyText"/>
      </w:pPr>
      <w:r>
        <w:t>In REPLENISH, t</w:t>
      </w:r>
      <w:r w:rsidRPr="0062546C">
        <w:t>he most common TEAEs</w:t>
      </w:r>
      <w:r w:rsidR="003D6673">
        <w:t xml:space="preserve"> reported in </w:t>
      </w:r>
      <w:r w:rsidR="00F03CF3">
        <w:rPr>
          <w:rFonts w:cstheme="minorHAnsi"/>
        </w:rPr>
        <w:t>≥</w:t>
      </w:r>
      <w:r w:rsidR="003D6673">
        <w:t>5% of patients</w:t>
      </w:r>
      <w:r w:rsidRPr="0062546C">
        <w:t xml:space="preserve"> </w:t>
      </w:r>
      <w:r w:rsidR="001157ED">
        <w:t>for</w:t>
      </w:r>
      <w:r w:rsidRPr="0062546C">
        <w:t xml:space="preserve"> Bijuva were breast tenderness (10.</w:t>
      </w:r>
      <w:r w:rsidR="001157ED">
        <w:t>8</w:t>
      </w:r>
      <w:r w:rsidRPr="0062546C">
        <w:t>%), headache (</w:t>
      </w:r>
      <w:r w:rsidR="002C6B8C">
        <w:t>7.5</w:t>
      </w:r>
      <w:r w:rsidRPr="0062546C">
        <w:t xml:space="preserve">%), </w:t>
      </w:r>
      <w:r w:rsidR="002C6B8C">
        <w:t>nasopharyngitis (6.0%), upper respiratory tract infection</w:t>
      </w:r>
      <w:r w:rsidR="00326F48">
        <w:t xml:space="preserve"> (5.3%), back pain (5.3%) and abdominal pain (5.3%).</w:t>
      </w:r>
      <w:r w:rsidRPr="0062546C">
        <w:t xml:space="preserve"> </w:t>
      </w:r>
      <w:r w:rsidR="001B0C88">
        <w:t>The most common treatment-re</w:t>
      </w:r>
      <w:r w:rsidR="00375D7B">
        <w:t xml:space="preserve">lated TEAEs reported for Bijuva </w:t>
      </w:r>
      <w:r w:rsidR="00127620" w:rsidRPr="0062546C">
        <w:t>were breast tenderness (10.</w:t>
      </w:r>
      <w:r w:rsidR="00127620">
        <w:t>4</w:t>
      </w:r>
      <w:r w:rsidR="00127620" w:rsidRPr="0062546C">
        <w:t>%), headache (</w:t>
      </w:r>
      <w:r w:rsidR="00F945DD">
        <w:t>3.4</w:t>
      </w:r>
      <w:r w:rsidR="00127620" w:rsidRPr="0062546C">
        <w:t>%), vaginal haemorrhage (3.4%) and vaginal discharge (3.4</w:t>
      </w:r>
      <w:r w:rsidR="00127620">
        <w:t xml:space="preserve"> </w:t>
      </w:r>
      <w:r w:rsidR="00127620" w:rsidRPr="0062546C">
        <w:t xml:space="preserve">%). </w:t>
      </w:r>
      <w:r w:rsidR="00127620" w:rsidRPr="0062546C">
        <w:lastRenderedPageBreak/>
        <w:t>The most common treatment-related TEAEs with placebo were breast tenderness (0.7%), headache (0.7%), and vaginal discharge (0.7%).</w:t>
      </w:r>
      <w:r w:rsidR="00C03E25">
        <w:t xml:space="preserve"> </w:t>
      </w:r>
      <w:r>
        <w:t>There were more patients with at least one treatment-related TEAE in the Bijuva arm, compared to placebo (41.0% versus 17.9%).</w:t>
      </w:r>
    </w:p>
    <w:p w14:paraId="742D9164" w14:textId="16FB298D" w:rsidR="000732C9" w:rsidRDefault="000732C9" w:rsidP="000732C9">
      <w:pPr>
        <w:pStyle w:val="3-BodyText"/>
      </w:pPr>
      <w:r w:rsidRPr="0062546C">
        <w:t xml:space="preserve">In Archer </w:t>
      </w:r>
      <w:r>
        <w:t xml:space="preserve">et al. </w:t>
      </w:r>
      <w:r w:rsidRPr="0062546C">
        <w:t xml:space="preserve">(2003), </w:t>
      </w:r>
      <w:r>
        <w:t>t</w:t>
      </w:r>
      <w:r w:rsidRPr="0062546C">
        <w:t>he most common TEAEs with Estrogel 2.5</w:t>
      </w:r>
      <w:r w:rsidR="00AE350D">
        <w:t> </w:t>
      </w:r>
      <w:r w:rsidRPr="0062546C">
        <w:t xml:space="preserve">g were headache (19.2%), nausea (12.3%), breast pain (11.0%) and endometrial disorder (8.2%). </w:t>
      </w:r>
      <w:r w:rsidR="00B36CCC">
        <w:t>The most common TEAEs with Estrogel 1.25 g were</w:t>
      </w:r>
      <w:r w:rsidR="00820042">
        <w:t xml:space="preserve"> headache (17.3%), infection (16.0%), </w:t>
      </w:r>
      <w:r w:rsidR="00A537DD">
        <w:t>breast pain (10.7%) and vaginitis (10.7%).</w:t>
      </w:r>
      <w:r w:rsidR="00B36CCC">
        <w:t xml:space="preserve"> </w:t>
      </w:r>
      <w:r>
        <w:t>There were more patients with at least one treatment-related TEAE in the Estrogel 2.5 g arm, compared to placebo (45.2% versus 30.1%).</w:t>
      </w:r>
    </w:p>
    <w:p w14:paraId="264E1ABE" w14:textId="29616002" w:rsidR="000732C9" w:rsidRDefault="000732C9" w:rsidP="000732C9">
      <w:pPr>
        <w:pStyle w:val="3-BodyText"/>
      </w:pPr>
      <w:r w:rsidRPr="0062546C">
        <w:t>Study discontinuation due to TEAE</w:t>
      </w:r>
      <w:r w:rsidR="002C5E34">
        <w:t>s</w:t>
      </w:r>
      <w:r w:rsidRPr="0062546C">
        <w:t xml:space="preserve"> was higher with Bijuva, compared to placebo (10.8% versus 6.6%). Based on the C</w:t>
      </w:r>
      <w:r w:rsidR="00784A36">
        <w:t>linica</w:t>
      </w:r>
      <w:r w:rsidR="00947AEE">
        <w:t>l</w:t>
      </w:r>
      <w:r w:rsidR="00784A36">
        <w:t xml:space="preserve"> </w:t>
      </w:r>
      <w:r w:rsidRPr="0062546C">
        <w:t>S</w:t>
      </w:r>
      <w:r w:rsidR="00784A36">
        <w:t xml:space="preserve">tudy </w:t>
      </w:r>
      <w:r w:rsidRPr="0062546C">
        <w:t>R</w:t>
      </w:r>
      <w:r w:rsidR="00784A36">
        <w:t>eport for Bijuva</w:t>
      </w:r>
      <w:r w:rsidRPr="0062546C">
        <w:t xml:space="preserve">, the reasons for study discontinuation due to TEAE with Bijuva were </w:t>
      </w:r>
      <w:r w:rsidR="00784A36">
        <w:t>gastrointestinal</w:t>
      </w:r>
      <w:r w:rsidRPr="0062546C">
        <w:t xml:space="preserve"> disorders (1.9%), breast tenderness/swelling (1.6%), and vaginal/uterine haemorrhage (1.</w:t>
      </w:r>
      <w:r w:rsidR="002F61FA">
        <w:t>2</w:t>
      </w:r>
      <w:r w:rsidRPr="0062546C">
        <w:t xml:space="preserve">%). In contrast, the reasons for study discontinuation due to TEAE with placebo were palpitation/tachycardia (1.3%) and </w:t>
      </w:r>
      <w:r w:rsidR="00784A36">
        <w:t>gastrointestinal</w:t>
      </w:r>
      <w:r w:rsidRPr="0062546C">
        <w:t xml:space="preserve"> disorders (1.3%). No death or life-threatening AEs were reported in both arms</w:t>
      </w:r>
      <w:r w:rsidR="00CA0420">
        <w:t>; however</w:t>
      </w:r>
      <w:r w:rsidR="00BE5BA8">
        <w:t>,</w:t>
      </w:r>
      <w:r w:rsidR="00CA0420">
        <w:t xml:space="preserve"> there were four life-threatening events experienced in the </w:t>
      </w:r>
      <w:r w:rsidR="001C35B1">
        <w:t>treatment groups</w:t>
      </w:r>
      <w:r w:rsidR="003F3282">
        <w:t xml:space="preserve"> o</w:t>
      </w:r>
      <w:r w:rsidR="008D5011">
        <w:t xml:space="preserve">f </w:t>
      </w:r>
      <w:r w:rsidR="00BE5BA8">
        <w:t xml:space="preserve">0.5 mg estradiol/100 mg MP, </w:t>
      </w:r>
      <w:r w:rsidR="00EA5509">
        <w:t>0.5 mg estradiol/50 mg MP</w:t>
      </w:r>
      <w:r w:rsidR="00BE5BA8">
        <w:t>, and</w:t>
      </w:r>
      <w:r w:rsidR="00EA5509">
        <w:t xml:space="preserve"> 0.25 mg estradiol/50 mg MP</w:t>
      </w:r>
      <w:r w:rsidRPr="0062546C">
        <w:t>.</w:t>
      </w:r>
      <w:r w:rsidR="00CA0420" w:rsidRPr="0062546C" w:rsidDel="00CA0420">
        <w:t xml:space="preserve"> </w:t>
      </w:r>
    </w:p>
    <w:p w14:paraId="1D64AAB7" w14:textId="2F5A0CAE" w:rsidR="000732C9" w:rsidRPr="00674548" w:rsidRDefault="000732C9" w:rsidP="000732C9">
      <w:pPr>
        <w:pStyle w:val="3-BodyText"/>
        <w:rPr>
          <w:i/>
          <w:iCs/>
        </w:rPr>
      </w:pPr>
      <w:bookmarkStart w:id="38" w:name="_Ref207982993"/>
      <w:r>
        <w:t>In the 12-month REPLENISH trial,</w:t>
      </w:r>
      <w:r w:rsidRPr="0062546C">
        <w:t xml:space="preserve"> there were two cases of breast cancer reported in the Bijuva arm, with a case leading to study discontinuation</w:t>
      </w:r>
      <w:r>
        <w:t>. No breast cancer was reported in the placebo arm.</w:t>
      </w:r>
      <w:r w:rsidRPr="00674548">
        <w:t xml:space="preserve"> </w:t>
      </w:r>
      <w:r w:rsidRPr="00C56203">
        <w:t xml:space="preserve">The comparative risk of breast cancer </w:t>
      </w:r>
      <w:r w:rsidR="003A3E34" w:rsidRPr="00C56203">
        <w:t xml:space="preserve">with </w:t>
      </w:r>
      <w:r w:rsidRPr="00C56203">
        <w:t xml:space="preserve">Bijuva versus Estrogel Pro </w:t>
      </w:r>
      <w:r w:rsidR="003A3E34" w:rsidRPr="00C56203">
        <w:t xml:space="preserve">is </w:t>
      </w:r>
      <w:r w:rsidRPr="00C56203">
        <w:t xml:space="preserve">unknown due to lack of </w:t>
      </w:r>
      <w:r w:rsidR="008C25DF" w:rsidRPr="00C56203">
        <w:t>long-term</w:t>
      </w:r>
      <w:r w:rsidRPr="00C56203">
        <w:t xml:space="preserve"> safety data. Based on the TGA P</w:t>
      </w:r>
      <w:r w:rsidR="00D718F2" w:rsidRPr="00C56203">
        <w:t>roduct Information</w:t>
      </w:r>
      <w:r w:rsidRPr="00C56203">
        <w:t xml:space="preserve"> for </w:t>
      </w:r>
      <w:r w:rsidR="003A3E34" w:rsidRPr="00C56203">
        <w:t xml:space="preserve">both </w:t>
      </w:r>
      <w:r w:rsidRPr="00C56203">
        <w:t xml:space="preserve">Bijuva and Estrogel, the overall evidence </w:t>
      </w:r>
      <w:r w:rsidR="003A3E34" w:rsidRPr="00C56203">
        <w:t>indicates that combined estrogen and progesterone therapy increases the risk of breast cancer, with the risk becoming apparent after approximately three years of use and increasing with longer duration.</w:t>
      </w:r>
      <w:r w:rsidR="001D4531" w:rsidRPr="00C56203">
        <w:t xml:space="preserve"> Continuous </w:t>
      </w:r>
      <w:r w:rsidR="00345A4A" w:rsidRPr="00C56203">
        <w:t xml:space="preserve">combined MHT may offer more consistent </w:t>
      </w:r>
      <w:r w:rsidR="00CA5D28" w:rsidRPr="00C56203">
        <w:t>protection against irre</w:t>
      </w:r>
      <w:r w:rsidR="00DC5239" w:rsidRPr="00C56203">
        <w:t>g</w:t>
      </w:r>
      <w:r w:rsidR="00CA5D28" w:rsidRPr="00C56203">
        <w:t>ular and unscheduled breakthrough bleeding</w:t>
      </w:r>
      <w:r w:rsidR="00DC5239" w:rsidRPr="00C56203">
        <w:t>, but it has been linked in some observational studies</w:t>
      </w:r>
      <w:bookmarkStart w:id="39" w:name="_Ref208477473"/>
      <w:r w:rsidR="00381D78" w:rsidRPr="00C56203">
        <w:rPr>
          <w:rStyle w:val="FootnoteReference"/>
        </w:rPr>
        <w:footnoteReference w:id="14"/>
      </w:r>
      <w:bookmarkEnd w:id="39"/>
      <w:r w:rsidR="00DC5239" w:rsidRPr="00C56203">
        <w:t xml:space="preserve"> to a slightly higher breast cancer risk</w:t>
      </w:r>
      <w:r w:rsidR="00F12257" w:rsidRPr="00C56203">
        <w:t xml:space="preserve">, compared to </w:t>
      </w:r>
      <w:bookmarkEnd w:id="38"/>
      <w:r w:rsidR="00E869BC" w:rsidRPr="00C56203">
        <w:t xml:space="preserve">cyclical </w:t>
      </w:r>
      <w:r w:rsidR="00F12257" w:rsidRPr="00C56203">
        <w:t>MHT.</w:t>
      </w:r>
      <w:r w:rsidR="00F851BB" w:rsidRPr="00C56203">
        <w:t xml:space="preserve"> In a meta-analysis </w:t>
      </w:r>
      <w:r w:rsidR="009439C1" w:rsidRPr="00C56203">
        <w:t xml:space="preserve">which included </w:t>
      </w:r>
      <w:r w:rsidR="008262DE" w:rsidRPr="00C56203">
        <w:t xml:space="preserve">prospective observational studies, </w:t>
      </w:r>
      <w:r w:rsidR="00D82684" w:rsidRPr="00C56203">
        <w:t>there were only a small number of women using micronised progesterone</w:t>
      </w:r>
      <w:r w:rsidR="0039247D" w:rsidRPr="00C56203">
        <w:t xml:space="preserve">, and </w:t>
      </w:r>
      <w:r w:rsidR="00662C42" w:rsidRPr="00C56203">
        <w:t>it</w:t>
      </w:r>
      <w:r w:rsidR="0089489F" w:rsidRPr="00C56203">
        <w:t>s</w:t>
      </w:r>
      <w:r w:rsidR="00662C42" w:rsidRPr="00C56203">
        <w:t xml:space="preserve"> effect on breast cancer</w:t>
      </w:r>
      <w:r w:rsidR="006F3856" w:rsidRPr="00C56203">
        <w:t xml:space="preserve"> risk</w:t>
      </w:r>
      <w:r w:rsidR="00662C42" w:rsidRPr="00C56203">
        <w:t xml:space="preserve"> could not be determined.</w:t>
      </w:r>
      <w:r w:rsidR="006F3856" w:rsidRPr="00C56203">
        <w:rPr>
          <w:vertAlign w:val="superscript"/>
        </w:rPr>
        <w:fldChar w:fldCharType="begin"/>
      </w:r>
      <w:r w:rsidR="006F3856" w:rsidRPr="00C56203">
        <w:rPr>
          <w:vertAlign w:val="superscript"/>
        </w:rPr>
        <w:instrText xml:space="preserve"> NOTEREF _Ref208477473 \h  \* MERGEFORMAT </w:instrText>
      </w:r>
      <w:r w:rsidR="006F3856" w:rsidRPr="00C56203">
        <w:rPr>
          <w:vertAlign w:val="superscript"/>
        </w:rPr>
      </w:r>
      <w:r w:rsidR="006F3856" w:rsidRPr="00C56203">
        <w:rPr>
          <w:vertAlign w:val="superscript"/>
        </w:rPr>
        <w:fldChar w:fldCharType="separate"/>
      </w:r>
      <w:r w:rsidR="00724077">
        <w:rPr>
          <w:vertAlign w:val="superscript"/>
        </w:rPr>
        <w:t>14</w:t>
      </w:r>
      <w:r w:rsidR="006F3856" w:rsidRPr="00C56203">
        <w:rPr>
          <w:vertAlign w:val="superscript"/>
        </w:rPr>
        <w:fldChar w:fldCharType="end"/>
      </w:r>
    </w:p>
    <w:p w14:paraId="39F5F118" w14:textId="0A2D2B8A" w:rsidR="000732C9" w:rsidRPr="000B19C8" w:rsidRDefault="000732C9" w:rsidP="000732C9">
      <w:pPr>
        <w:pStyle w:val="3-BodyText"/>
      </w:pPr>
      <w:r>
        <w:fldChar w:fldCharType="begin"/>
      </w:r>
      <w:r>
        <w:instrText xml:space="preserve"> REF _Ref207626685 \h </w:instrText>
      </w:r>
      <w:r>
        <w:fldChar w:fldCharType="separate"/>
      </w:r>
      <w:r w:rsidR="00724077">
        <w:t xml:space="preserve">Table </w:t>
      </w:r>
      <w:r w:rsidR="00724077">
        <w:rPr>
          <w:noProof/>
        </w:rPr>
        <w:t>8</w:t>
      </w:r>
      <w:r>
        <w:fldChar w:fldCharType="end"/>
      </w:r>
      <w:r>
        <w:t xml:space="preserve"> </w:t>
      </w:r>
      <w:r w:rsidRPr="0062546C">
        <w:t xml:space="preserve">presents the results of </w:t>
      </w:r>
      <w:r w:rsidR="002C5E34">
        <w:t xml:space="preserve">the </w:t>
      </w:r>
      <w:r w:rsidRPr="0062546C">
        <w:t xml:space="preserve">ITC of Bijuva versus Estrogel, using placebo as the common comparator, on TEAE and treatment-related TEAE reported in REPLENISH and Archer </w:t>
      </w:r>
      <w:r w:rsidR="0065432A">
        <w:t xml:space="preserve">et al. </w:t>
      </w:r>
      <w:r w:rsidRPr="0062546C">
        <w:t>(2003).</w:t>
      </w:r>
    </w:p>
    <w:p w14:paraId="2B2EEB8E" w14:textId="7CDBBEF8" w:rsidR="000732C9" w:rsidRPr="002E0A44" w:rsidRDefault="000732C9" w:rsidP="000732C9">
      <w:pPr>
        <w:pStyle w:val="TableFigureHeading"/>
        <w:rPr>
          <w:b w:val="0"/>
        </w:rPr>
      </w:pPr>
      <w:bookmarkStart w:id="40" w:name="_Ref207626685"/>
      <w:r>
        <w:lastRenderedPageBreak/>
        <w:t xml:space="preserve">Table </w:t>
      </w:r>
      <w:r w:rsidR="003A0CC2">
        <w:fldChar w:fldCharType="begin"/>
      </w:r>
      <w:r w:rsidR="003A0CC2">
        <w:instrText xml:space="preserve"> SEQ Table \* ARABIC </w:instrText>
      </w:r>
      <w:r w:rsidR="003A0CC2">
        <w:fldChar w:fldCharType="separate"/>
      </w:r>
      <w:r w:rsidR="00724077">
        <w:rPr>
          <w:noProof/>
        </w:rPr>
        <w:t>8</w:t>
      </w:r>
      <w:r w:rsidR="003A0CC2">
        <w:rPr>
          <w:noProof/>
        </w:rPr>
        <w:fldChar w:fldCharType="end"/>
      </w:r>
      <w:bookmarkEnd w:id="40"/>
      <w:r w:rsidRPr="0098262F">
        <w:rPr>
          <w:rStyle w:val="CommentReference"/>
          <w:b/>
          <w:szCs w:val="24"/>
        </w:rPr>
        <w:t xml:space="preserve">: </w:t>
      </w:r>
      <w:r>
        <w:rPr>
          <w:rStyle w:val="CommentReference"/>
          <w:b/>
          <w:szCs w:val="24"/>
        </w:rPr>
        <w:t>R</w:t>
      </w:r>
      <w:r w:rsidRPr="0098262F">
        <w:rPr>
          <w:rStyle w:val="CommentReference"/>
          <w:b/>
          <w:szCs w:val="24"/>
        </w:rPr>
        <w:t xml:space="preserve">esults of the indirect comparison </w:t>
      </w:r>
      <w:r>
        <w:rPr>
          <w:rStyle w:val="CommentReference"/>
          <w:b/>
          <w:szCs w:val="24"/>
        </w:rPr>
        <w:t>of Bijuva versus Estrogel</w:t>
      </w:r>
      <w:r w:rsidRPr="00AC53E6">
        <w:rPr>
          <w:rStyle w:val="CommentReference"/>
          <w:b/>
          <w:szCs w:val="24"/>
        </w:rPr>
        <w:t xml:space="preserve"> </w:t>
      </w:r>
      <w:r>
        <w:rPr>
          <w:rStyle w:val="CommentReference"/>
          <w:b/>
          <w:szCs w:val="24"/>
        </w:rPr>
        <w:t>on TEAE and treatment-related TEAE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indirect comparison of Bijuva versus Estrogel on TEAE and treatment-related TEAE"/>
      </w:tblPr>
      <w:tblGrid>
        <w:gridCol w:w="1837"/>
        <w:gridCol w:w="1277"/>
        <w:gridCol w:w="1773"/>
        <w:gridCol w:w="1773"/>
        <w:gridCol w:w="2357"/>
      </w:tblGrid>
      <w:tr w:rsidR="000732C9" w:rsidRPr="0098262F" w14:paraId="0224DBED" w14:textId="77777777" w:rsidTr="00A6567C">
        <w:trPr>
          <w:trHeight w:val="623"/>
          <w:tblHeader/>
        </w:trPr>
        <w:tc>
          <w:tcPr>
            <w:tcW w:w="1727" w:type="pct"/>
            <w:gridSpan w:val="2"/>
            <w:vAlign w:val="center"/>
          </w:tcPr>
          <w:p w14:paraId="420F6527" w14:textId="77777777" w:rsidR="000732C9" w:rsidRPr="0098262F" w:rsidRDefault="000732C9">
            <w:pPr>
              <w:pStyle w:val="TableFigureHeading"/>
              <w:jc w:val="center"/>
            </w:pPr>
            <w:r>
              <w:t>Treatment groups</w:t>
            </w:r>
          </w:p>
        </w:tc>
        <w:tc>
          <w:tcPr>
            <w:tcW w:w="1965" w:type="pct"/>
            <w:gridSpan w:val="2"/>
            <w:vAlign w:val="center"/>
          </w:tcPr>
          <w:p w14:paraId="63A85658" w14:textId="77777777" w:rsidR="000732C9" w:rsidRPr="0098262F" w:rsidRDefault="000732C9">
            <w:pPr>
              <w:pStyle w:val="TableFigureHeading"/>
              <w:jc w:val="center"/>
            </w:pPr>
            <w:r>
              <w:t>Risk ratio</w:t>
            </w:r>
          </w:p>
        </w:tc>
        <w:tc>
          <w:tcPr>
            <w:tcW w:w="1308" w:type="pct"/>
            <w:vMerge w:val="restart"/>
            <w:vAlign w:val="center"/>
          </w:tcPr>
          <w:p w14:paraId="4C054B41" w14:textId="77777777" w:rsidR="000732C9" w:rsidRPr="0098262F" w:rsidRDefault="000732C9">
            <w:pPr>
              <w:pStyle w:val="TableFigureHeading"/>
              <w:jc w:val="center"/>
            </w:pPr>
            <w:r>
              <w:t>Indirect comparison of Bijuva versus Estrogel (95% CI)</w:t>
            </w:r>
          </w:p>
        </w:tc>
      </w:tr>
      <w:tr w:rsidR="000732C9" w:rsidRPr="0098262F" w14:paraId="375D331A" w14:textId="77777777" w:rsidTr="00A6567C">
        <w:trPr>
          <w:trHeight w:val="227"/>
        </w:trPr>
        <w:tc>
          <w:tcPr>
            <w:tcW w:w="1019" w:type="pct"/>
            <w:vAlign w:val="center"/>
          </w:tcPr>
          <w:p w14:paraId="5B15C85F" w14:textId="77777777" w:rsidR="000732C9" w:rsidRPr="0018313F" w:rsidRDefault="000732C9">
            <w:pPr>
              <w:pStyle w:val="TableText0"/>
              <w:rPr>
                <w:b/>
                <w:bCs w:val="0"/>
              </w:rPr>
            </w:pPr>
            <w:r w:rsidRPr="0018313F">
              <w:rPr>
                <w:b/>
                <w:bCs w:val="0"/>
              </w:rPr>
              <w:t>Bijuva</w:t>
            </w:r>
          </w:p>
        </w:tc>
        <w:tc>
          <w:tcPr>
            <w:tcW w:w="708" w:type="pct"/>
            <w:vAlign w:val="center"/>
          </w:tcPr>
          <w:p w14:paraId="6DB4C3F8" w14:textId="77777777" w:rsidR="000732C9" w:rsidRPr="0018313F" w:rsidRDefault="000732C9">
            <w:pPr>
              <w:pStyle w:val="TableText0"/>
              <w:rPr>
                <w:b/>
                <w:bCs w:val="0"/>
              </w:rPr>
            </w:pPr>
            <w:r w:rsidRPr="0018313F">
              <w:rPr>
                <w:b/>
                <w:bCs w:val="0"/>
              </w:rPr>
              <w:t>Estrogel</w:t>
            </w:r>
          </w:p>
        </w:tc>
        <w:tc>
          <w:tcPr>
            <w:tcW w:w="983" w:type="pct"/>
            <w:vAlign w:val="center"/>
          </w:tcPr>
          <w:p w14:paraId="4ACF01AC" w14:textId="77777777" w:rsidR="000732C9" w:rsidRPr="0018313F" w:rsidRDefault="000732C9">
            <w:pPr>
              <w:pStyle w:val="TableText0"/>
              <w:rPr>
                <w:b/>
                <w:bCs w:val="0"/>
              </w:rPr>
            </w:pPr>
            <w:r w:rsidRPr="0018313F">
              <w:rPr>
                <w:b/>
                <w:bCs w:val="0"/>
              </w:rPr>
              <w:t>Bijuva vs placebo</w:t>
            </w:r>
          </w:p>
        </w:tc>
        <w:tc>
          <w:tcPr>
            <w:tcW w:w="983" w:type="pct"/>
            <w:vAlign w:val="center"/>
          </w:tcPr>
          <w:p w14:paraId="027FF1A3" w14:textId="77777777" w:rsidR="000732C9" w:rsidRPr="0018313F" w:rsidRDefault="000732C9">
            <w:pPr>
              <w:pStyle w:val="TableText0"/>
              <w:rPr>
                <w:b/>
                <w:bCs w:val="0"/>
              </w:rPr>
            </w:pPr>
            <w:r w:rsidRPr="0018313F">
              <w:rPr>
                <w:b/>
                <w:bCs w:val="0"/>
              </w:rPr>
              <w:t>Estrogel vs placebo</w:t>
            </w:r>
          </w:p>
        </w:tc>
        <w:tc>
          <w:tcPr>
            <w:tcW w:w="1308" w:type="pct"/>
            <w:vMerge/>
            <w:vAlign w:val="center"/>
          </w:tcPr>
          <w:p w14:paraId="0165BF01" w14:textId="77777777" w:rsidR="000732C9" w:rsidRPr="0098262F" w:rsidRDefault="000732C9">
            <w:pPr>
              <w:pStyle w:val="TableText0"/>
            </w:pPr>
          </w:p>
        </w:tc>
      </w:tr>
      <w:tr w:rsidR="000732C9" w:rsidRPr="0098262F" w14:paraId="3F0D85B9" w14:textId="77777777" w:rsidTr="00A6567C">
        <w:trPr>
          <w:trHeight w:val="227"/>
        </w:trPr>
        <w:tc>
          <w:tcPr>
            <w:tcW w:w="5000" w:type="pct"/>
            <w:gridSpan w:val="5"/>
            <w:vAlign w:val="center"/>
          </w:tcPr>
          <w:p w14:paraId="0D7E3D97" w14:textId="77777777" w:rsidR="000732C9" w:rsidRPr="00C839F6" w:rsidRDefault="000732C9">
            <w:pPr>
              <w:pStyle w:val="TableText0"/>
              <w:rPr>
                <w:b/>
                <w:bCs w:val="0"/>
              </w:rPr>
            </w:pPr>
            <w:r>
              <w:rPr>
                <w:b/>
              </w:rPr>
              <w:t xml:space="preserve">TEAE </w:t>
            </w:r>
          </w:p>
        </w:tc>
      </w:tr>
      <w:tr w:rsidR="000732C9" w:rsidRPr="0098262F" w14:paraId="7C3666D8" w14:textId="77777777" w:rsidTr="00A6567C">
        <w:trPr>
          <w:trHeight w:val="227"/>
        </w:trPr>
        <w:tc>
          <w:tcPr>
            <w:tcW w:w="1019" w:type="pct"/>
          </w:tcPr>
          <w:p w14:paraId="04CFE912" w14:textId="2E956318" w:rsidR="000732C9" w:rsidRPr="00C839F6" w:rsidRDefault="000732C9">
            <w:pPr>
              <w:pStyle w:val="TableText0"/>
              <w:rPr>
                <w:b/>
                <w:bCs w:val="0"/>
              </w:rPr>
            </w:pPr>
            <w:r w:rsidRPr="00FA032E">
              <w:t>1</w:t>
            </w:r>
            <w:r w:rsidR="006F21D6">
              <w:t> </w:t>
            </w:r>
            <w:r w:rsidRPr="00FA032E">
              <w:t>mg E2 / 100</w:t>
            </w:r>
            <w:r w:rsidR="006F21D6">
              <w:t> </w:t>
            </w:r>
            <w:r w:rsidRPr="00FA032E">
              <w:t xml:space="preserve">mg </w:t>
            </w:r>
            <w:r w:rsidR="00B57368">
              <w:t>M</w:t>
            </w:r>
            <w:r w:rsidRPr="00FA032E">
              <w:t>P</w:t>
            </w:r>
          </w:p>
        </w:tc>
        <w:tc>
          <w:tcPr>
            <w:tcW w:w="708" w:type="pct"/>
          </w:tcPr>
          <w:p w14:paraId="372D095E" w14:textId="6015FD5E" w:rsidR="000732C9" w:rsidRPr="00C839F6" w:rsidRDefault="000732C9">
            <w:pPr>
              <w:pStyle w:val="TableText0"/>
              <w:rPr>
                <w:b/>
                <w:bCs w:val="0"/>
              </w:rPr>
            </w:pPr>
            <w:r w:rsidRPr="00FA032E">
              <w:t>1.25</w:t>
            </w:r>
            <w:r w:rsidR="00E64352">
              <w:t xml:space="preserve"> </w:t>
            </w:r>
            <w:r w:rsidRPr="00FA032E">
              <w:t>g/day</w:t>
            </w:r>
          </w:p>
        </w:tc>
        <w:tc>
          <w:tcPr>
            <w:tcW w:w="983" w:type="pct"/>
          </w:tcPr>
          <w:p w14:paraId="55CD2CF8" w14:textId="77777777" w:rsidR="000732C9" w:rsidRPr="00AE3F93" w:rsidRDefault="000732C9">
            <w:pPr>
              <w:pStyle w:val="TableText0"/>
            </w:pPr>
            <w:r w:rsidRPr="00AE3F93">
              <w:t>1.4</w:t>
            </w:r>
          </w:p>
        </w:tc>
        <w:tc>
          <w:tcPr>
            <w:tcW w:w="983" w:type="pct"/>
          </w:tcPr>
          <w:p w14:paraId="3B430D6C" w14:textId="77777777" w:rsidR="000732C9" w:rsidRPr="00AE3F93" w:rsidRDefault="000732C9">
            <w:pPr>
              <w:pStyle w:val="TableText0"/>
            </w:pPr>
            <w:r w:rsidRPr="00AE3F93">
              <w:t>1.1</w:t>
            </w:r>
          </w:p>
        </w:tc>
        <w:tc>
          <w:tcPr>
            <w:tcW w:w="1308" w:type="pct"/>
          </w:tcPr>
          <w:p w14:paraId="1666AE38" w14:textId="77777777" w:rsidR="000732C9" w:rsidRPr="00AE3F93" w:rsidRDefault="000732C9">
            <w:pPr>
              <w:pStyle w:val="TableText0"/>
            </w:pPr>
            <w:r w:rsidRPr="00AE3F93">
              <w:t>1.2 (1.0,1.6)</w:t>
            </w:r>
          </w:p>
        </w:tc>
      </w:tr>
      <w:tr w:rsidR="000732C9" w:rsidRPr="0098262F" w14:paraId="2417A8FF" w14:textId="77777777" w:rsidTr="00A6567C">
        <w:trPr>
          <w:trHeight w:val="227"/>
        </w:trPr>
        <w:tc>
          <w:tcPr>
            <w:tcW w:w="1019" w:type="pct"/>
          </w:tcPr>
          <w:p w14:paraId="4E1457C4" w14:textId="50D673D1" w:rsidR="000732C9" w:rsidRPr="00C839F6" w:rsidRDefault="000732C9">
            <w:pPr>
              <w:pStyle w:val="TableText0"/>
              <w:rPr>
                <w:b/>
                <w:bCs w:val="0"/>
              </w:rPr>
            </w:pPr>
            <w:r w:rsidRPr="00FA032E">
              <w:t>1</w:t>
            </w:r>
            <w:r w:rsidR="006F21D6">
              <w:t> </w:t>
            </w:r>
            <w:r w:rsidRPr="00FA032E">
              <w:t>mg E2 / 100</w:t>
            </w:r>
            <w:r w:rsidR="006F21D6">
              <w:t> </w:t>
            </w:r>
            <w:r w:rsidRPr="00FA032E">
              <w:t xml:space="preserve">mg </w:t>
            </w:r>
            <w:r w:rsidR="00B57368">
              <w:t>M</w:t>
            </w:r>
            <w:r w:rsidRPr="00FA032E">
              <w:t>P</w:t>
            </w:r>
          </w:p>
        </w:tc>
        <w:tc>
          <w:tcPr>
            <w:tcW w:w="708" w:type="pct"/>
          </w:tcPr>
          <w:p w14:paraId="7D77D83C" w14:textId="29C6A8D3" w:rsidR="000732C9" w:rsidRPr="00C839F6" w:rsidRDefault="000732C9">
            <w:pPr>
              <w:pStyle w:val="TableText0"/>
              <w:rPr>
                <w:b/>
                <w:bCs w:val="0"/>
              </w:rPr>
            </w:pPr>
            <w:r w:rsidRPr="00FA032E">
              <w:t>2.5</w:t>
            </w:r>
            <w:r w:rsidR="00E64352">
              <w:t xml:space="preserve"> </w:t>
            </w:r>
            <w:r w:rsidRPr="00FA032E">
              <w:t>g/day</w:t>
            </w:r>
          </w:p>
        </w:tc>
        <w:tc>
          <w:tcPr>
            <w:tcW w:w="983" w:type="pct"/>
          </w:tcPr>
          <w:p w14:paraId="79AF746C" w14:textId="77777777" w:rsidR="000732C9" w:rsidRPr="00AE3F93" w:rsidRDefault="000732C9">
            <w:pPr>
              <w:pStyle w:val="TableText0"/>
            </w:pPr>
            <w:r w:rsidRPr="00AE3F93">
              <w:t>1.4</w:t>
            </w:r>
          </w:p>
        </w:tc>
        <w:tc>
          <w:tcPr>
            <w:tcW w:w="983" w:type="pct"/>
          </w:tcPr>
          <w:p w14:paraId="5B125289" w14:textId="77777777" w:rsidR="000732C9" w:rsidRPr="00AE3F93" w:rsidRDefault="000732C9">
            <w:pPr>
              <w:pStyle w:val="TableText0"/>
            </w:pPr>
            <w:r w:rsidRPr="00AE3F93">
              <w:t>1.2</w:t>
            </w:r>
          </w:p>
        </w:tc>
        <w:tc>
          <w:tcPr>
            <w:tcW w:w="1308" w:type="pct"/>
          </w:tcPr>
          <w:p w14:paraId="68F542FC" w14:textId="77777777" w:rsidR="000732C9" w:rsidRPr="00AE3F93" w:rsidRDefault="000732C9">
            <w:pPr>
              <w:pStyle w:val="TableText0"/>
            </w:pPr>
            <w:r w:rsidRPr="00AE3F93">
              <w:t>1.2 (1.0,1.5)</w:t>
            </w:r>
          </w:p>
        </w:tc>
      </w:tr>
      <w:tr w:rsidR="000732C9" w:rsidRPr="0098262F" w14:paraId="339EB4E9" w14:textId="77777777" w:rsidTr="00A6567C">
        <w:trPr>
          <w:trHeight w:val="227"/>
        </w:trPr>
        <w:tc>
          <w:tcPr>
            <w:tcW w:w="5000" w:type="pct"/>
            <w:gridSpan w:val="5"/>
            <w:vAlign w:val="center"/>
          </w:tcPr>
          <w:p w14:paraId="3ABB043F" w14:textId="77777777" w:rsidR="000732C9" w:rsidRPr="00C839F6" w:rsidRDefault="000732C9">
            <w:pPr>
              <w:pStyle w:val="TableText0"/>
              <w:rPr>
                <w:b/>
                <w:bCs w:val="0"/>
              </w:rPr>
            </w:pPr>
            <w:r>
              <w:rPr>
                <w:b/>
              </w:rPr>
              <w:t xml:space="preserve">Treatment-related TEAE </w:t>
            </w:r>
          </w:p>
        </w:tc>
      </w:tr>
      <w:tr w:rsidR="000732C9" w:rsidRPr="0098262F" w14:paraId="044E742E" w14:textId="77777777" w:rsidTr="00A6567C">
        <w:trPr>
          <w:trHeight w:val="227"/>
        </w:trPr>
        <w:tc>
          <w:tcPr>
            <w:tcW w:w="1019" w:type="pct"/>
            <w:vAlign w:val="center"/>
          </w:tcPr>
          <w:p w14:paraId="6A8F282E" w14:textId="5AFD8F31" w:rsidR="000732C9" w:rsidRPr="0098262F" w:rsidRDefault="000732C9">
            <w:pPr>
              <w:pStyle w:val="TableText0"/>
            </w:pPr>
            <w:r w:rsidRPr="004B552B">
              <w:t>1</w:t>
            </w:r>
            <w:r w:rsidR="00BE4A04">
              <w:t> </w:t>
            </w:r>
            <w:r w:rsidRPr="004B552B">
              <w:t>mg E2 / 100</w:t>
            </w:r>
            <w:r w:rsidR="00BE4A04">
              <w:t> </w:t>
            </w:r>
            <w:r w:rsidRPr="004B552B">
              <w:t xml:space="preserve">mg </w:t>
            </w:r>
            <w:r w:rsidR="00B57368">
              <w:t>M</w:t>
            </w:r>
            <w:r w:rsidRPr="004B552B">
              <w:t>P</w:t>
            </w:r>
          </w:p>
        </w:tc>
        <w:tc>
          <w:tcPr>
            <w:tcW w:w="708" w:type="pct"/>
            <w:vAlign w:val="center"/>
          </w:tcPr>
          <w:p w14:paraId="11056F3D" w14:textId="1D746117" w:rsidR="000732C9" w:rsidRPr="0098262F" w:rsidRDefault="000732C9">
            <w:pPr>
              <w:pStyle w:val="TableText0"/>
            </w:pPr>
            <w:r w:rsidRPr="004B552B">
              <w:t>1.25</w:t>
            </w:r>
            <w:r w:rsidR="00E64352">
              <w:t xml:space="preserve"> </w:t>
            </w:r>
            <w:r w:rsidRPr="004B552B">
              <w:t>g</w:t>
            </w:r>
            <w:r>
              <w:t>/day</w:t>
            </w:r>
          </w:p>
        </w:tc>
        <w:tc>
          <w:tcPr>
            <w:tcW w:w="983" w:type="pct"/>
            <w:vAlign w:val="center"/>
          </w:tcPr>
          <w:p w14:paraId="18893AAC" w14:textId="77777777" w:rsidR="000732C9" w:rsidRPr="00AE3F93" w:rsidRDefault="000732C9">
            <w:pPr>
              <w:pStyle w:val="TableText0"/>
            </w:pPr>
            <w:r>
              <w:t>2.3</w:t>
            </w:r>
          </w:p>
        </w:tc>
        <w:tc>
          <w:tcPr>
            <w:tcW w:w="983" w:type="pct"/>
            <w:vAlign w:val="center"/>
          </w:tcPr>
          <w:p w14:paraId="639CA536" w14:textId="77777777" w:rsidR="000732C9" w:rsidRPr="00AE3F93" w:rsidRDefault="000732C9">
            <w:pPr>
              <w:pStyle w:val="TableText0"/>
            </w:pPr>
            <w:r>
              <w:t>1.2</w:t>
            </w:r>
          </w:p>
        </w:tc>
        <w:tc>
          <w:tcPr>
            <w:tcW w:w="1308" w:type="pct"/>
            <w:vAlign w:val="center"/>
          </w:tcPr>
          <w:p w14:paraId="0B7AE276" w14:textId="77777777" w:rsidR="000732C9" w:rsidRPr="00B21D9C" w:rsidRDefault="000732C9">
            <w:pPr>
              <w:pStyle w:val="TableText0"/>
              <w:rPr>
                <w:b/>
                <w:bCs w:val="0"/>
              </w:rPr>
            </w:pPr>
            <w:r w:rsidRPr="00B21D9C">
              <w:rPr>
                <w:b/>
              </w:rPr>
              <w:t>2.0 (1.1,3.6)</w:t>
            </w:r>
          </w:p>
        </w:tc>
      </w:tr>
      <w:tr w:rsidR="000732C9" w:rsidRPr="0098262F" w14:paraId="2E6C9BBF" w14:textId="77777777" w:rsidTr="00A6567C">
        <w:trPr>
          <w:trHeight w:val="227"/>
        </w:trPr>
        <w:tc>
          <w:tcPr>
            <w:tcW w:w="1019" w:type="pct"/>
            <w:vAlign w:val="center"/>
          </w:tcPr>
          <w:p w14:paraId="50CBBBBD" w14:textId="36DCBBD7" w:rsidR="000732C9" w:rsidRPr="0098262F" w:rsidRDefault="000732C9">
            <w:pPr>
              <w:pStyle w:val="TableText0"/>
            </w:pPr>
            <w:r w:rsidRPr="004B552B">
              <w:t>1</w:t>
            </w:r>
            <w:r w:rsidR="00BE4A04">
              <w:t> </w:t>
            </w:r>
            <w:r w:rsidRPr="004B552B">
              <w:t>mg E2 / 100</w:t>
            </w:r>
            <w:r w:rsidR="00BE4A04">
              <w:t> </w:t>
            </w:r>
            <w:r w:rsidRPr="004B552B">
              <w:t xml:space="preserve">mg </w:t>
            </w:r>
            <w:r w:rsidR="00B57368">
              <w:t>M</w:t>
            </w:r>
            <w:r w:rsidRPr="004B552B">
              <w:t>P</w:t>
            </w:r>
          </w:p>
        </w:tc>
        <w:tc>
          <w:tcPr>
            <w:tcW w:w="708" w:type="pct"/>
            <w:vAlign w:val="center"/>
          </w:tcPr>
          <w:p w14:paraId="32EE0FE3" w14:textId="550E35E1" w:rsidR="000732C9" w:rsidRPr="0098262F" w:rsidRDefault="000732C9">
            <w:pPr>
              <w:pStyle w:val="TableText0"/>
            </w:pPr>
            <w:r w:rsidRPr="004B552B">
              <w:t>2.5</w:t>
            </w:r>
            <w:r w:rsidR="00E64352">
              <w:t xml:space="preserve"> </w:t>
            </w:r>
            <w:r w:rsidRPr="004B552B">
              <w:t>g</w:t>
            </w:r>
            <w:r>
              <w:t>/day</w:t>
            </w:r>
          </w:p>
        </w:tc>
        <w:tc>
          <w:tcPr>
            <w:tcW w:w="983" w:type="pct"/>
            <w:vAlign w:val="center"/>
          </w:tcPr>
          <w:p w14:paraId="71E44337" w14:textId="77777777" w:rsidR="000732C9" w:rsidRPr="00AE3F93" w:rsidRDefault="000732C9">
            <w:pPr>
              <w:pStyle w:val="TableText0"/>
            </w:pPr>
            <w:r>
              <w:t>2.3</w:t>
            </w:r>
          </w:p>
        </w:tc>
        <w:tc>
          <w:tcPr>
            <w:tcW w:w="983" w:type="pct"/>
            <w:vAlign w:val="center"/>
          </w:tcPr>
          <w:p w14:paraId="5CF38752" w14:textId="77777777" w:rsidR="000732C9" w:rsidRPr="00AE3F93" w:rsidRDefault="000732C9">
            <w:pPr>
              <w:pStyle w:val="TableText0"/>
            </w:pPr>
            <w:r>
              <w:t>1.5</w:t>
            </w:r>
          </w:p>
        </w:tc>
        <w:tc>
          <w:tcPr>
            <w:tcW w:w="1308" w:type="pct"/>
            <w:vAlign w:val="center"/>
          </w:tcPr>
          <w:p w14:paraId="059B35D3" w14:textId="77777777" w:rsidR="000732C9" w:rsidRPr="00AE3F93" w:rsidRDefault="000732C9">
            <w:pPr>
              <w:pStyle w:val="TableText0"/>
            </w:pPr>
            <w:r>
              <w:t>1.5 (0.9,2.7)</w:t>
            </w:r>
          </w:p>
        </w:tc>
      </w:tr>
    </w:tbl>
    <w:p w14:paraId="179FBBCA" w14:textId="7A842F8F" w:rsidR="000732C9" w:rsidRPr="003819A8" w:rsidRDefault="000732C9" w:rsidP="000732C9">
      <w:pPr>
        <w:pStyle w:val="FooterTableFigure"/>
        <w:rPr>
          <w:szCs w:val="18"/>
        </w:rPr>
      </w:pPr>
      <w:r w:rsidRPr="003819A8">
        <w:rPr>
          <w:szCs w:val="18"/>
        </w:rPr>
        <w:t>Source: Table 2-</w:t>
      </w:r>
      <w:r>
        <w:rPr>
          <w:szCs w:val="18"/>
        </w:rPr>
        <w:t>40</w:t>
      </w:r>
      <w:r w:rsidRPr="003819A8">
        <w:rPr>
          <w:szCs w:val="18"/>
        </w:rPr>
        <w:t>, p13</w:t>
      </w:r>
      <w:r>
        <w:rPr>
          <w:szCs w:val="18"/>
        </w:rPr>
        <w:t>7</w:t>
      </w:r>
      <w:r w:rsidRPr="003819A8">
        <w:rPr>
          <w:szCs w:val="18"/>
        </w:rPr>
        <w:t xml:space="preserve"> of the of the submission</w:t>
      </w:r>
      <w:r w:rsidR="00E84838">
        <w:rPr>
          <w:szCs w:val="18"/>
        </w:rPr>
        <w:t xml:space="preserve"> main body</w:t>
      </w:r>
      <w:r w:rsidRPr="003819A8">
        <w:rPr>
          <w:szCs w:val="18"/>
        </w:rPr>
        <w:t>.</w:t>
      </w:r>
    </w:p>
    <w:p w14:paraId="65F40035" w14:textId="746523E4" w:rsidR="000732C9" w:rsidRDefault="000732C9" w:rsidP="000732C9">
      <w:pPr>
        <w:pStyle w:val="FooterTableFigure"/>
      </w:pPr>
      <w:r>
        <w:rPr>
          <w:szCs w:val="18"/>
        </w:rPr>
        <w:t xml:space="preserve">CI = confidence interval; </w:t>
      </w:r>
      <w:r w:rsidRPr="003819A8">
        <w:rPr>
          <w:szCs w:val="18"/>
        </w:rPr>
        <w:t>E2 = 17</w:t>
      </w:r>
      <w:r w:rsidR="008D6442" w:rsidRPr="008D6442">
        <w:rPr>
          <w:szCs w:val="18"/>
        </w:rPr>
        <w:t>β</w:t>
      </w:r>
      <w:r w:rsidRPr="003819A8">
        <w:rPr>
          <w:szCs w:val="18"/>
        </w:rPr>
        <w:t>-estradiol</w:t>
      </w:r>
      <w:r w:rsidR="00E64352">
        <w:rPr>
          <w:szCs w:val="18"/>
        </w:rPr>
        <w:t>;</w:t>
      </w:r>
      <w:r w:rsidRPr="003819A8">
        <w:rPr>
          <w:szCs w:val="18"/>
        </w:rPr>
        <w:t xml:space="preserve"> </w:t>
      </w:r>
      <w:r w:rsidR="00FC2C2E">
        <w:rPr>
          <w:szCs w:val="18"/>
        </w:rPr>
        <w:t>M</w:t>
      </w:r>
      <w:r>
        <w:rPr>
          <w:szCs w:val="18"/>
        </w:rPr>
        <w:t>P</w:t>
      </w:r>
      <w:r w:rsidRPr="003819A8">
        <w:rPr>
          <w:szCs w:val="18"/>
        </w:rPr>
        <w:t xml:space="preserve"> = </w:t>
      </w:r>
      <w:r w:rsidR="00FC2C2E">
        <w:rPr>
          <w:szCs w:val="18"/>
        </w:rPr>
        <w:t xml:space="preserve">micronised </w:t>
      </w:r>
      <w:r w:rsidRPr="003819A8">
        <w:rPr>
          <w:szCs w:val="18"/>
        </w:rPr>
        <w:t>progesterone</w:t>
      </w:r>
      <w:r>
        <w:rPr>
          <w:szCs w:val="18"/>
        </w:rPr>
        <w:t xml:space="preserve">; TEAE = </w:t>
      </w:r>
      <w:r w:rsidRPr="002270EB">
        <w:rPr>
          <w:szCs w:val="18"/>
        </w:rPr>
        <w:t>treatment emergent adverse event</w:t>
      </w:r>
      <w:r w:rsidRPr="00B21D9C">
        <w:t xml:space="preserve"> </w:t>
      </w:r>
    </w:p>
    <w:p w14:paraId="5CB8EA90" w14:textId="77777777" w:rsidR="000732C9" w:rsidRDefault="000732C9" w:rsidP="000732C9">
      <w:pPr>
        <w:pStyle w:val="FooterTableFigure"/>
      </w:pPr>
      <w:r w:rsidRPr="00B21D9C">
        <w:rPr>
          <w:b/>
          <w:bCs/>
        </w:rPr>
        <w:t>Bold</w:t>
      </w:r>
      <w:r w:rsidRPr="00B21D9C">
        <w:t xml:space="preserve"> indicates statistically significant results</w:t>
      </w:r>
    </w:p>
    <w:p w14:paraId="3D0B7313" w14:textId="3128F4FC" w:rsidR="000732C9" w:rsidRPr="00D56078" w:rsidRDefault="003A3E34" w:rsidP="000732C9">
      <w:pPr>
        <w:pStyle w:val="3-BodyText"/>
      </w:pPr>
      <w:bookmarkStart w:id="41" w:name="_Ref207883032"/>
      <w:r>
        <w:t xml:space="preserve">The </w:t>
      </w:r>
      <w:r w:rsidR="000732C9" w:rsidRPr="000077C8">
        <w:t xml:space="preserve">ITC results showed no significant differences </w:t>
      </w:r>
      <w:r w:rsidR="000732C9">
        <w:t xml:space="preserve">between </w:t>
      </w:r>
      <w:r w:rsidR="000732C9" w:rsidRPr="000077C8">
        <w:t xml:space="preserve">Bijuva </w:t>
      </w:r>
      <w:r w:rsidR="009B4649">
        <w:t>and</w:t>
      </w:r>
      <w:r w:rsidR="009B4649" w:rsidRPr="000077C8">
        <w:t xml:space="preserve"> </w:t>
      </w:r>
      <w:r w:rsidR="000732C9" w:rsidRPr="000077C8">
        <w:t xml:space="preserve">Estrogel 2.5 g in </w:t>
      </w:r>
      <w:r w:rsidR="000732C9">
        <w:t>TEAE</w:t>
      </w:r>
      <w:r w:rsidR="002C5E34">
        <w:t>s</w:t>
      </w:r>
      <w:r w:rsidR="000732C9">
        <w:t xml:space="preserve"> and treatment-related TEAE</w:t>
      </w:r>
      <w:r w:rsidR="002C5E34">
        <w:t>s</w:t>
      </w:r>
      <w:r w:rsidR="000732C9" w:rsidRPr="000077C8">
        <w:t>, noting the limitations in such comparison, which include</w:t>
      </w:r>
      <w:r w:rsidR="00943080">
        <w:t>d</w:t>
      </w:r>
      <w:r w:rsidR="000732C9" w:rsidRPr="000077C8">
        <w:t xml:space="preserve"> different study reporting period</w:t>
      </w:r>
      <w:r w:rsidR="00012251">
        <w:t>s</w:t>
      </w:r>
      <w:r w:rsidR="000732C9" w:rsidRPr="000077C8">
        <w:t xml:space="preserve"> (1</w:t>
      </w:r>
      <w:r w:rsidR="00D86E75">
        <w:t>2 months</w:t>
      </w:r>
      <w:r w:rsidR="000732C9" w:rsidRPr="000077C8">
        <w:t xml:space="preserve"> in REPLENISH and 12</w:t>
      </w:r>
      <w:r w:rsidR="00C13634">
        <w:t> </w:t>
      </w:r>
      <w:r w:rsidR="000732C9" w:rsidRPr="000077C8">
        <w:t xml:space="preserve">weeks in Archer </w:t>
      </w:r>
      <w:r w:rsidR="00DD388C">
        <w:t xml:space="preserve">et al. </w:t>
      </w:r>
      <w:r w:rsidR="000732C9" w:rsidRPr="000077C8">
        <w:t xml:space="preserve">2003), patient eligibility criteria (safety population was analysed in REPLENISH, whereas all patients were considered in safety analysis in Archer </w:t>
      </w:r>
      <w:r>
        <w:t xml:space="preserve">et al., </w:t>
      </w:r>
      <w:r w:rsidR="000732C9" w:rsidRPr="000077C8">
        <w:t xml:space="preserve">2003), and </w:t>
      </w:r>
      <w:r w:rsidR="002F3BC3">
        <w:t>treatment composition</w:t>
      </w:r>
      <w:r w:rsidR="00E42DF8">
        <w:t xml:space="preserve"> (</w:t>
      </w:r>
      <w:r w:rsidR="000732C9" w:rsidRPr="0056647F">
        <w:t xml:space="preserve">oral estradiol </w:t>
      </w:r>
      <w:r w:rsidR="00754D94">
        <w:t>plus</w:t>
      </w:r>
      <w:r w:rsidR="000732C9" w:rsidRPr="0056647F">
        <w:t xml:space="preserve"> progesterone</w:t>
      </w:r>
      <w:r w:rsidR="00754D94">
        <w:t xml:space="preserve"> in Bijuva</w:t>
      </w:r>
      <w:r w:rsidR="000732C9" w:rsidRPr="0056647F">
        <w:t>,</w:t>
      </w:r>
      <w:r w:rsidR="00754D94">
        <w:t xml:space="preserve"> versus transdermal estradiol alone in</w:t>
      </w:r>
      <w:r w:rsidR="000732C9" w:rsidRPr="0056647F">
        <w:t xml:space="preserve"> Estrogel</w:t>
      </w:r>
      <w:r w:rsidR="00754D94">
        <w:t>).</w:t>
      </w:r>
      <w:r w:rsidR="000732C9" w:rsidRPr="0056647F">
        <w:t xml:space="preserve"> </w:t>
      </w:r>
      <w:r w:rsidR="0090329B" w:rsidRPr="00C56203">
        <w:t>T</w:t>
      </w:r>
      <w:r w:rsidR="009B6EA7" w:rsidRPr="00C56203">
        <w:t>he</w:t>
      </w:r>
      <w:r w:rsidR="000732C9" w:rsidRPr="00C56203">
        <w:t xml:space="preserve"> ITC was </w:t>
      </w:r>
      <w:r w:rsidR="009B6EA7" w:rsidRPr="00C56203">
        <w:t>conducted against</w:t>
      </w:r>
      <w:r w:rsidR="000732C9" w:rsidRPr="00C56203">
        <w:t xml:space="preserve"> Estrogel, </w:t>
      </w:r>
      <w:r w:rsidR="00A4621F" w:rsidRPr="00C56203">
        <w:t>due to lack of evidence for</w:t>
      </w:r>
      <w:r w:rsidR="000732C9" w:rsidRPr="00C56203">
        <w:t xml:space="preserve"> Estrogel Pro (the nominated comparator).</w:t>
      </w:r>
      <w:bookmarkEnd w:id="41"/>
      <w:r w:rsidR="000733C0">
        <w:t xml:space="preserve"> </w:t>
      </w:r>
      <w:r w:rsidR="000733C0" w:rsidRPr="00D56078">
        <w:t xml:space="preserve">The PSCR </w:t>
      </w:r>
      <w:r w:rsidR="002F4BA5" w:rsidRPr="00D56078">
        <w:t>stated</w:t>
      </w:r>
      <w:r w:rsidR="000733C0" w:rsidRPr="00D56078">
        <w:t xml:space="preserve"> that </w:t>
      </w:r>
      <w:r w:rsidR="001938BA" w:rsidRPr="00D56078">
        <w:t xml:space="preserve">the </w:t>
      </w:r>
      <w:proofErr w:type="gramStart"/>
      <w:r w:rsidR="001938BA" w:rsidRPr="00D56078">
        <w:t>12 month</w:t>
      </w:r>
      <w:proofErr w:type="gramEnd"/>
      <w:r w:rsidR="001938BA" w:rsidRPr="00D56078">
        <w:t xml:space="preserve"> reporting period in the REPLENISH </w:t>
      </w:r>
      <w:r w:rsidR="00437951" w:rsidRPr="00D56078">
        <w:t>study is an advantage in establishing the safety profile for Bijuva over an extended period.</w:t>
      </w:r>
    </w:p>
    <w:p w14:paraId="0AE415AE" w14:textId="64AD36B4" w:rsidR="004B2162" w:rsidRPr="00D56078" w:rsidRDefault="004B2162" w:rsidP="000732C9">
      <w:pPr>
        <w:pStyle w:val="3-BodyText"/>
      </w:pPr>
      <w:r w:rsidRPr="00D56078">
        <w:t xml:space="preserve">The ESC considered </w:t>
      </w:r>
      <w:r w:rsidR="0093215A" w:rsidRPr="00D56078">
        <w:t xml:space="preserve">it was unknown what the </w:t>
      </w:r>
      <w:proofErr w:type="gramStart"/>
      <w:r w:rsidR="0093215A" w:rsidRPr="00D56078">
        <w:t>long term</w:t>
      </w:r>
      <w:proofErr w:type="gramEnd"/>
      <w:r w:rsidR="0093215A" w:rsidRPr="00D56078">
        <w:t xml:space="preserve"> effects of treatment </w:t>
      </w:r>
      <w:r w:rsidR="00360E56" w:rsidRPr="00D56078">
        <w:t>are</w:t>
      </w:r>
      <w:r w:rsidR="0093215A" w:rsidRPr="00D56078">
        <w:t xml:space="preserve">, given the shorter </w:t>
      </w:r>
      <w:r w:rsidR="007A762C" w:rsidRPr="00D56078">
        <w:t>reporting periods for the trials used.</w:t>
      </w:r>
    </w:p>
    <w:p w14:paraId="6176756B" w14:textId="6890F180" w:rsidR="00E31E6A" w:rsidRPr="00C56203" w:rsidRDefault="00E31E6A" w:rsidP="000732C9">
      <w:pPr>
        <w:pStyle w:val="3-BodyText"/>
      </w:pPr>
      <w:bookmarkStart w:id="42" w:name="_Ref207963715"/>
      <w:r w:rsidRPr="00C56203">
        <w:t>As discussed in para</w:t>
      </w:r>
      <w:r w:rsidR="003A35C3" w:rsidRPr="00C56203">
        <w:t xml:space="preserve">graph </w:t>
      </w:r>
      <w:r w:rsidR="003A35C3" w:rsidRPr="00C56203">
        <w:fldChar w:fldCharType="begin"/>
      </w:r>
      <w:r w:rsidR="003A35C3" w:rsidRPr="00C56203">
        <w:instrText xml:space="preserve"> REF _Ref207884960 \r \h </w:instrText>
      </w:r>
      <w:r w:rsidR="00C56203">
        <w:instrText xml:space="preserve"> \* MERGEFORMAT </w:instrText>
      </w:r>
      <w:r w:rsidR="003A35C3" w:rsidRPr="00C56203">
        <w:fldChar w:fldCharType="separate"/>
      </w:r>
      <w:r w:rsidR="00724077">
        <w:t>5.2</w:t>
      </w:r>
      <w:r w:rsidR="003A35C3" w:rsidRPr="00C56203">
        <w:fldChar w:fldCharType="end"/>
      </w:r>
      <w:r w:rsidRPr="00C56203">
        <w:t>, oral estrogen carries a higher risk of VTE than transdermal estrogen; however, the submission did not provide any evidence regarding the risk of VTE with Bijuva (oral estradiol) compared to Estrogel Pro (transdermal estradiol).</w:t>
      </w:r>
      <w:r w:rsidR="003A35C3" w:rsidRPr="00C56203">
        <w:t xml:space="preserve"> A meta-analysis by Mohammed et al (2015)</w:t>
      </w:r>
      <w:r w:rsidR="003A35C3" w:rsidRPr="00C56203">
        <w:rPr>
          <w:rStyle w:val="FootnoteReference"/>
        </w:rPr>
        <w:footnoteReference w:id="15"/>
      </w:r>
      <w:r w:rsidR="003A35C3" w:rsidRPr="00C56203">
        <w:t xml:space="preserve"> reported that oral estrogen was associated with </w:t>
      </w:r>
      <w:r w:rsidR="002C5E34" w:rsidRPr="00C56203">
        <w:t xml:space="preserve">an </w:t>
      </w:r>
      <w:r w:rsidR="003A35C3" w:rsidRPr="00C56203">
        <w:t>increased risk of VTE (</w:t>
      </w:r>
      <w:r w:rsidR="007D3E74" w:rsidRPr="00C56203">
        <w:t>relative risk [</w:t>
      </w:r>
      <w:r w:rsidR="003A35C3" w:rsidRPr="00C56203">
        <w:t>RR</w:t>
      </w:r>
      <w:r w:rsidR="007D3E74" w:rsidRPr="00C56203">
        <w:t>]</w:t>
      </w:r>
      <w:r w:rsidR="003A35C3" w:rsidRPr="00C56203">
        <w:t>=1.63, 95% CI: 1.4,</w:t>
      </w:r>
      <w:r w:rsidR="00214A3C" w:rsidRPr="00C56203">
        <w:t xml:space="preserve"> </w:t>
      </w:r>
      <w:r w:rsidR="003A35C3" w:rsidRPr="00C56203">
        <w:t>1.9), compared to transdermal estrogen. Vinogradova et al. (2019)</w:t>
      </w:r>
      <w:r w:rsidR="003A35C3" w:rsidRPr="00C56203">
        <w:rPr>
          <w:rStyle w:val="FootnoteReference"/>
        </w:rPr>
        <w:footnoteReference w:id="16"/>
      </w:r>
      <w:r w:rsidR="003A35C3" w:rsidRPr="00C56203">
        <w:t xml:space="preserve">, a retrospective analysis with approximately 80,000 women in </w:t>
      </w:r>
      <w:r w:rsidR="00D17121" w:rsidRPr="00C56203">
        <w:t xml:space="preserve">the </w:t>
      </w:r>
      <w:r w:rsidR="003A35C3" w:rsidRPr="00C56203">
        <w:t xml:space="preserve">UK, reported that oral estrogen therapy was associated with a significantly increased risk for VTE (adjusted </w:t>
      </w:r>
      <w:r w:rsidR="007D4569" w:rsidRPr="00C56203">
        <w:t>odds ratio [</w:t>
      </w:r>
      <w:r w:rsidR="003A35C3" w:rsidRPr="00C56203">
        <w:t>OR</w:t>
      </w:r>
      <w:r w:rsidR="007D4569" w:rsidRPr="00C56203">
        <w:t>]</w:t>
      </w:r>
      <w:r w:rsidR="003A35C3" w:rsidRPr="00C56203">
        <w:t xml:space="preserve">=1.6, 95% CI: 1.5, 1.6), and this increased risk remained significant for combined oral estrogen + progestogen (adjusted OR=1.7, 95% CI: 1.7,1.8) compared with no exposure. Vinogradova et al. (2019) concluded that </w:t>
      </w:r>
      <w:r w:rsidR="00674CF5" w:rsidRPr="00C56203">
        <w:t xml:space="preserve">in the present study, </w:t>
      </w:r>
      <w:r w:rsidR="003A35C3" w:rsidRPr="00C56203">
        <w:t xml:space="preserve">transdermal treatment was the safest type of </w:t>
      </w:r>
      <w:r w:rsidR="000810B8" w:rsidRPr="00C56203">
        <w:t>MH</w:t>
      </w:r>
      <w:r w:rsidR="003A35C3" w:rsidRPr="00C56203">
        <w:t>T</w:t>
      </w:r>
      <w:r w:rsidR="00674CF5" w:rsidRPr="00C56203">
        <w:t xml:space="preserve"> when risk of VTE was assessed</w:t>
      </w:r>
      <w:r w:rsidR="003A35C3" w:rsidRPr="00C56203">
        <w:t>.</w:t>
      </w:r>
      <w:bookmarkEnd w:id="42"/>
    </w:p>
    <w:p w14:paraId="04908C7F" w14:textId="415B9B7D" w:rsidR="007F1017" w:rsidRPr="0098262F" w:rsidRDefault="007F1017" w:rsidP="00D86231">
      <w:pPr>
        <w:pStyle w:val="4-SubsectionHeading"/>
      </w:pPr>
      <w:bookmarkStart w:id="43" w:name="_Toc22897643"/>
      <w:bookmarkStart w:id="44" w:name="_Toc208998236"/>
      <w:r w:rsidRPr="0098262F">
        <w:lastRenderedPageBreak/>
        <w:t>Benefits/harms</w:t>
      </w:r>
      <w:bookmarkEnd w:id="43"/>
      <w:bookmarkEnd w:id="44"/>
    </w:p>
    <w:p w14:paraId="3B653B96" w14:textId="4DCA9D2D" w:rsidR="00FC1884" w:rsidRPr="0098262F" w:rsidRDefault="00311D9B" w:rsidP="00B6532E">
      <w:pPr>
        <w:pStyle w:val="3-BodyText"/>
      </w:pPr>
      <w:r w:rsidRPr="0098262F">
        <w:t>A benefits and harms table is not presented as the submission made a claim of non-inferiority.</w:t>
      </w:r>
      <w:r w:rsidR="00E926A5" w:rsidRPr="0098262F">
        <w:t xml:space="preserve"> </w:t>
      </w:r>
    </w:p>
    <w:p w14:paraId="7A1772B6" w14:textId="23BB3145" w:rsidR="00B60939" w:rsidRPr="0098262F" w:rsidRDefault="00B60939" w:rsidP="00E9094A">
      <w:pPr>
        <w:pStyle w:val="4-SubsectionHeading"/>
      </w:pPr>
      <w:bookmarkStart w:id="45" w:name="_Toc22897644"/>
      <w:bookmarkStart w:id="46" w:name="_Toc208998237"/>
      <w:r w:rsidRPr="0098262F">
        <w:t>Clinical claim</w:t>
      </w:r>
      <w:bookmarkEnd w:id="45"/>
      <w:bookmarkEnd w:id="46"/>
    </w:p>
    <w:p w14:paraId="243DF323" w14:textId="3C2221D8" w:rsidR="00AA4DBC" w:rsidRPr="00C56203" w:rsidRDefault="008C25DF">
      <w:pPr>
        <w:pStyle w:val="3-BodyText"/>
      </w:pPr>
      <w:r w:rsidRPr="004D41E7">
        <w:t xml:space="preserve">The submission described </w:t>
      </w:r>
      <w:r>
        <w:t>Bijuva</w:t>
      </w:r>
      <w:r w:rsidRPr="004D41E7">
        <w:t xml:space="preserve"> as non-inferior</w:t>
      </w:r>
      <w:r w:rsidR="00E034E0">
        <w:t xml:space="preserve"> to Estrogel Pro</w:t>
      </w:r>
      <w:r w:rsidRPr="004D41E7">
        <w:t xml:space="preserve"> in terms of effectiveness </w:t>
      </w:r>
      <w:r w:rsidR="00E034E0">
        <w:t>at improving estrogen-</w:t>
      </w:r>
      <w:r w:rsidR="00EF411B">
        <w:t xml:space="preserve">deficiency </w:t>
      </w:r>
      <w:r w:rsidR="00E034E0">
        <w:t>menopause symptoms</w:t>
      </w:r>
      <w:r w:rsidR="008814C0">
        <w:t xml:space="preserve"> and </w:t>
      </w:r>
      <w:r w:rsidR="00AA4DBC" w:rsidRPr="00AA4DBC">
        <w:t>that both products provided comparable protection against endometrial hyperplasia</w:t>
      </w:r>
      <w:r w:rsidR="008814C0">
        <w:t>.</w:t>
      </w:r>
      <w:r w:rsidRPr="004D41E7">
        <w:t xml:space="preserve"> </w:t>
      </w:r>
      <w:r w:rsidR="000274D2" w:rsidRPr="00C56203">
        <w:t>This claim was uncertain for the following reasons</w:t>
      </w:r>
      <w:r w:rsidR="00AA4DBC" w:rsidRPr="00C56203">
        <w:t>:</w:t>
      </w:r>
    </w:p>
    <w:p w14:paraId="4959E504" w14:textId="71CF1D33" w:rsidR="000C214E" w:rsidRPr="00C56203" w:rsidRDefault="00AA4DBC" w:rsidP="00F965E1">
      <w:pPr>
        <w:pStyle w:val="ListParagraph"/>
        <w:jc w:val="both"/>
      </w:pPr>
      <w:r w:rsidRPr="00C56203">
        <w:t xml:space="preserve">The comparison </w:t>
      </w:r>
      <w:r w:rsidR="00904E60" w:rsidRPr="00C56203">
        <w:t>was based on an unadjusted anchored ITC of Bijuva versus Estrogel (for VMS)</w:t>
      </w:r>
      <w:r w:rsidR="008A13A9" w:rsidRPr="00C56203">
        <w:t>, using placebo as a common comparator, and an unadjusted unanchored ITC of Bijuva versus</w:t>
      </w:r>
      <w:r w:rsidR="00904E60" w:rsidRPr="00C56203">
        <w:t xml:space="preserve"> Estrogel Pro</w:t>
      </w:r>
      <w:r w:rsidR="008E1D82" w:rsidRPr="00C56203">
        <w:t xml:space="preserve"> (for endometrial hyperplasia)</w:t>
      </w:r>
      <w:r w:rsidR="00214A3C" w:rsidRPr="00C56203">
        <w:t>.</w:t>
      </w:r>
    </w:p>
    <w:p w14:paraId="00909609" w14:textId="43FBCEBD" w:rsidR="008C25DF" w:rsidRPr="00C56203" w:rsidRDefault="00030AB6" w:rsidP="00F965E1">
      <w:pPr>
        <w:pStyle w:val="ListParagraph"/>
        <w:jc w:val="both"/>
      </w:pPr>
      <w:r>
        <w:t xml:space="preserve">The </w:t>
      </w:r>
      <w:r w:rsidR="008A13A9" w:rsidRPr="00C56203">
        <w:t xml:space="preserve">Bijuva trial (REPLENISH), Estrogel </w:t>
      </w:r>
      <w:r w:rsidR="003C21E2" w:rsidRPr="00C56203">
        <w:t>study</w:t>
      </w:r>
      <w:r w:rsidR="008A13A9" w:rsidRPr="00C56203">
        <w:t xml:space="preserve"> (Archer et al. 2003), and Estrogel Pro </w:t>
      </w:r>
      <w:r w:rsidR="003C21E2" w:rsidRPr="00C56203">
        <w:t>study</w:t>
      </w:r>
      <w:r w:rsidR="008A13A9" w:rsidRPr="00C56203">
        <w:t xml:space="preserve"> (</w:t>
      </w:r>
      <w:proofErr w:type="spellStart"/>
      <w:r w:rsidR="008A13A9" w:rsidRPr="00C56203">
        <w:t>P</w:t>
      </w:r>
      <w:r w:rsidR="00DA4746">
        <w:rPr>
          <w:rFonts w:cstheme="minorHAnsi"/>
        </w:rPr>
        <w:t>é</w:t>
      </w:r>
      <w:r w:rsidR="008A13A9" w:rsidRPr="00C56203">
        <w:t>lissier</w:t>
      </w:r>
      <w:proofErr w:type="spellEnd"/>
      <w:r w:rsidR="008A13A9" w:rsidRPr="00C56203">
        <w:t xml:space="preserve"> et al. 2001) had differences in study population, designs, durations, and </w:t>
      </w:r>
      <w:r w:rsidR="004B3CDF" w:rsidRPr="00C56203">
        <w:t>outcome measures</w:t>
      </w:r>
      <w:r w:rsidR="00264F2B" w:rsidRPr="00C56203">
        <w:t xml:space="preserve"> </w:t>
      </w:r>
      <w:r w:rsidR="000810B8" w:rsidRPr="00C56203">
        <w:t>(</w:t>
      </w:r>
      <w:r w:rsidR="000810B8" w:rsidRPr="009A2100">
        <w:t xml:space="preserve">for further details refer paragraph </w:t>
      </w:r>
      <w:r w:rsidR="000810B8" w:rsidRPr="009A2100">
        <w:fldChar w:fldCharType="begin"/>
      </w:r>
      <w:r w:rsidR="000810B8" w:rsidRPr="009A2100">
        <w:instrText xml:space="preserve"> REF _Ref207886559 \r \h </w:instrText>
      </w:r>
      <w:r w:rsidR="00641D04" w:rsidRPr="009A2100">
        <w:instrText xml:space="preserve"> \* MERGEFORMAT </w:instrText>
      </w:r>
      <w:r w:rsidR="000810B8" w:rsidRPr="009A2100">
        <w:fldChar w:fldCharType="separate"/>
      </w:r>
      <w:r w:rsidR="00724077">
        <w:t>6.43</w:t>
      </w:r>
      <w:r w:rsidR="000810B8" w:rsidRPr="009A2100">
        <w:fldChar w:fldCharType="end"/>
      </w:r>
      <w:r w:rsidR="00984AAA" w:rsidRPr="00C56203">
        <w:t>)</w:t>
      </w:r>
      <w:r w:rsidR="008C25DF" w:rsidRPr="00C56203">
        <w:t>.</w:t>
      </w:r>
    </w:p>
    <w:p w14:paraId="20F33B44" w14:textId="4BC12348" w:rsidR="00F965E1" w:rsidRPr="00C56203" w:rsidRDefault="00F965E1" w:rsidP="00F965E1">
      <w:pPr>
        <w:pStyle w:val="ListParagraph"/>
        <w:jc w:val="both"/>
      </w:pPr>
      <w:r w:rsidRPr="00C56203">
        <w:t>No pre-specified non-inferiority margins were provided to formally test</w:t>
      </w:r>
      <w:r w:rsidR="00FD3792" w:rsidRPr="00C56203">
        <w:t xml:space="preserve"> efficacy and safety</w:t>
      </w:r>
      <w:r w:rsidRPr="00C56203">
        <w:t xml:space="preserve"> claims.</w:t>
      </w:r>
    </w:p>
    <w:p w14:paraId="170CE9B4" w14:textId="070900D0" w:rsidR="0082204B" w:rsidRPr="00D56078" w:rsidRDefault="0082204B" w:rsidP="00523E9D">
      <w:pPr>
        <w:pStyle w:val="3-BodyText"/>
        <w:rPr>
          <w:rFonts w:cstheme="minorHAnsi"/>
          <w:szCs w:val="24"/>
        </w:rPr>
      </w:pPr>
      <w:r w:rsidRPr="00D56078">
        <w:rPr>
          <w:rStyle w:val="CommentReference"/>
          <w:rFonts w:asciiTheme="minorHAnsi" w:hAnsiTheme="minorHAnsi" w:cstheme="minorHAnsi"/>
          <w:b w:val="0"/>
          <w:sz w:val="24"/>
          <w:szCs w:val="24"/>
        </w:rPr>
        <w:t xml:space="preserve">The PSCR argued that it was not possible to provide pre-specified non-inferiority margins to formally test efficacy and safety outcomes, and that these are rarely available for safety claims. There is limited published information available on acceptable non-inferiority margins for VMS outcomes. </w:t>
      </w:r>
    </w:p>
    <w:p w14:paraId="45D88128" w14:textId="337127B4" w:rsidR="008C25DF" w:rsidRPr="00C56203" w:rsidRDefault="008C25DF" w:rsidP="008C25DF">
      <w:pPr>
        <w:pStyle w:val="3-BodyText"/>
      </w:pPr>
      <w:r w:rsidRPr="00C56203">
        <w:t>The submission described Bijuva as non-inferior</w:t>
      </w:r>
      <w:r w:rsidR="00B419C9" w:rsidRPr="00C56203">
        <w:t xml:space="preserve"> to Estrogel Pro</w:t>
      </w:r>
      <w:r w:rsidRPr="00C56203">
        <w:t xml:space="preserve"> in terms of safety on the estrogen-associated AEs. This claim was uncertain because:</w:t>
      </w:r>
    </w:p>
    <w:p w14:paraId="17316C17" w14:textId="7FC2A462" w:rsidR="00435C96" w:rsidRPr="00C56203" w:rsidRDefault="0058354F" w:rsidP="008C25DF">
      <w:pPr>
        <w:pStyle w:val="ListParagraph"/>
        <w:jc w:val="both"/>
      </w:pPr>
      <w:r>
        <w:t>There was a l</w:t>
      </w:r>
      <w:r w:rsidR="008C25DF" w:rsidRPr="00C56203">
        <w:t xml:space="preserve">ack of </w:t>
      </w:r>
      <w:r w:rsidR="00B419C9" w:rsidRPr="00C56203">
        <w:t xml:space="preserve">head-to-head </w:t>
      </w:r>
      <w:r w:rsidR="008C25DF" w:rsidRPr="00C56203">
        <w:t xml:space="preserve">comparative AE data of Bijuva versus Estrogel Pro. </w:t>
      </w:r>
    </w:p>
    <w:p w14:paraId="1DDFA39E" w14:textId="6FA53580" w:rsidR="008C25DF" w:rsidRPr="00C56203" w:rsidRDefault="008C25DF" w:rsidP="00641D04">
      <w:pPr>
        <w:pStyle w:val="ListParagraph"/>
        <w:jc w:val="both"/>
      </w:pPr>
      <w:r w:rsidRPr="00C56203">
        <w:t>The presented ITC of Bijuva versus Estrogel</w:t>
      </w:r>
      <w:r w:rsidR="00435C96" w:rsidRPr="00C56203">
        <w:t xml:space="preserve"> (not Estrogel Pro)</w:t>
      </w:r>
      <w:r w:rsidRPr="00C56203">
        <w:t xml:space="preserve"> on AE profile was based on studies with different reporting period</w:t>
      </w:r>
      <w:r w:rsidR="006D7900" w:rsidRPr="00C56203">
        <w:t>s</w:t>
      </w:r>
      <w:r w:rsidRPr="00C56203">
        <w:t xml:space="preserve"> (1</w:t>
      </w:r>
      <w:r w:rsidR="00435C96" w:rsidRPr="00C56203">
        <w:t>2</w:t>
      </w:r>
      <w:r w:rsidRPr="00C56203">
        <w:t xml:space="preserve"> </w:t>
      </w:r>
      <w:r w:rsidR="00435C96" w:rsidRPr="00C56203">
        <w:t>months</w:t>
      </w:r>
      <w:r w:rsidRPr="00C56203">
        <w:t xml:space="preserve"> in REPLENISH and 12 weeks in Archer et al. 2003). </w:t>
      </w:r>
    </w:p>
    <w:p w14:paraId="7CFBE667" w14:textId="0A78ECAC" w:rsidR="00435C96" w:rsidRPr="00C56203" w:rsidRDefault="00F0500E" w:rsidP="00641D04">
      <w:pPr>
        <w:pStyle w:val="ListParagraph"/>
        <w:jc w:val="both"/>
      </w:pPr>
      <w:r w:rsidRPr="00C56203">
        <w:t xml:space="preserve">No evidence was presented on the comparative risk of VTE </w:t>
      </w:r>
      <w:r w:rsidR="002C12A8" w:rsidRPr="00C56203">
        <w:t xml:space="preserve">and breast cancer </w:t>
      </w:r>
      <w:r w:rsidR="000A6005" w:rsidRPr="00C56203">
        <w:t>of</w:t>
      </w:r>
      <w:r w:rsidRPr="00C56203">
        <w:t xml:space="preserve"> Bijuva versus Estrogel Pro, to assess the risk of VTE of oral versus transdermal estradiol</w:t>
      </w:r>
      <w:r w:rsidR="00940CE9" w:rsidRPr="00C56203">
        <w:t xml:space="preserve">, and the risk of breast cancer of continuous combined MHT versus </w:t>
      </w:r>
      <w:r w:rsidR="00E869BC" w:rsidRPr="00C56203">
        <w:t xml:space="preserve">cyclical </w:t>
      </w:r>
      <w:r w:rsidR="00940CE9" w:rsidRPr="00C56203">
        <w:t>MHT</w:t>
      </w:r>
      <w:r w:rsidR="00506292" w:rsidRPr="00C56203">
        <w:t>, noting that Estrogel Pro has both cyclical and continuous regimens</w:t>
      </w:r>
      <w:r w:rsidRPr="00C56203">
        <w:t>.</w:t>
      </w:r>
    </w:p>
    <w:p w14:paraId="0AC9DB98" w14:textId="0D5F7195" w:rsidR="008C25DF" w:rsidRPr="00C56203" w:rsidRDefault="00F0500E" w:rsidP="00641D04">
      <w:pPr>
        <w:pStyle w:val="ListParagraph"/>
        <w:jc w:val="both"/>
      </w:pPr>
      <w:r w:rsidRPr="00C56203">
        <w:t>External evidence (Mohammed et al. 20</w:t>
      </w:r>
      <w:r w:rsidR="001C5177" w:rsidRPr="00C56203">
        <w:t>1</w:t>
      </w:r>
      <w:r w:rsidRPr="00C56203">
        <w:t>5</w:t>
      </w:r>
      <w:r w:rsidR="001B7EA1" w:rsidRPr="00C56203">
        <w:rPr>
          <w:vertAlign w:val="superscript"/>
        </w:rPr>
        <w:t>13</w:t>
      </w:r>
      <w:r w:rsidRPr="00C56203">
        <w:t xml:space="preserve"> </w:t>
      </w:r>
      <w:r w:rsidR="00220AF1" w:rsidRPr="00C56203">
        <w:t>and Vinogradova et al. 2019</w:t>
      </w:r>
      <w:r w:rsidR="001B7EA1" w:rsidRPr="00C56203">
        <w:rPr>
          <w:vertAlign w:val="superscript"/>
        </w:rPr>
        <w:t>14</w:t>
      </w:r>
      <w:r w:rsidR="00220AF1" w:rsidRPr="00C56203">
        <w:t>) consistently suggests that o</w:t>
      </w:r>
      <w:r w:rsidR="008C25DF" w:rsidRPr="00C56203">
        <w:t xml:space="preserve">ral estradiol is associated with </w:t>
      </w:r>
      <w:r w:rsidR="00FF0A02" w:rsidRPr="00C56203">
        <w:t xml:space="preserve">a </w:t>
      </w:r>
      <w:r w:rsidR="008C25DF" w:rsidRPr="00C56203">
        <w:t>higher risk of VTE, compared to transdermal estradiol</w:t>
      </w:r>
      <w:r w:rsidR="00220AF1" w:rsidRPr="00C56203">
        <w:t xml:space="preserve"> </w:t>
      </w:r>
      <w:r w:rsidR="00826592" w:rsidRPr="00C56203">
        <w:t>(</w:t>
      </w:r>
      <w:r w:rsidR="00826592" w:rsidRPr="00697BF7">
        <w:t xml:space="preserve">for further details refer paragraph </w:t>
      </w:r>
      <w:r w:rsidR="00826592" w:rsidRPr="00697BF7">
        <w:fldChar w:fldCharType="begin"/>
      </w:r>
      <w:r w:rsidR="00826592" w:rsidRPr="00697BF7">
        <w:instrText xml:space="preserve"> REF _Ref207963715 \r \h </w:instrText>
      </w:r>
      <w:r w:rsidR="00641D04" w:rsidRPr="00697BF7">
        <w:instrText xml:space="preserve"> \* MERGEFORMAT </w:instrText>
      </w:r>
      <w:r w:rsidR="00826592" w:rsidRPr="00697BF7">
        <w:fldChar w:fldCharType="separate"/>
      </w:r>
      <w:r w:rsidR="00724077">
        <w:t>6.52</w:t>
      </w:r>
      <w:r w:rsidR="00826592" w:rsidRPr="00697BF7">
        <w:fldChar w:fldCharType="end"/>
      </w:r>
      <w:r w:rsidR="00826592" w:rsidRPr="00C56203">
        <w:t>)</w:t>
      </w:r>
      <w:r w:rsidR="00697BF7">
        <w:t>.</w:t>
      </w:r>
    </w:p>
    <w:p w14:paraId="7595BBAF" w14:textId="71BF9366" w:rsidR="002C12A8" w:rsidRPr="00C92205" w:rsidRDefault="002C12A8" w:rsidP="00641D04">
      <w:pPr>
        <w:pStyle w:val="ListParagraph"/>
        <w:jc w:val="both"/>
        <w:rPr>
          <w:i/>
          <w:iCs/>
        </w:rPr>
      </w:pPr>
      <w:r w:rsidRPr="00C56203">
        <w:t xml:space="preserve">Continuous combined MHT </w:t>
      </w:r>
      <w:r w:rsidR="00820352" w:rsidRPr="00C56203">
        <w:t>such as</w:t>
      </w:r>
      <w:r w:rsidR="00B80DB7" w:rsidRPr="00C56203">
        <w:t xml:space="preserve"> Bijuva </w:t>
      </w:r>
      <w:r w:rsidRPr="00C56203">
        <w:t xml:space="preserve">may be associated with a higher breast cancer risk, compared to </w:t>
      </w:r>
      <w:r w:rsidR="00E869BC" w:rsidRPr="00C56203">
        <w:t xml:space="preserve">cyclical </w:t>
      </w:r>
      <w:r w:rsidRPr="00C56203">
        <w:t>MHT</w:t>
      </w:r>
      <w:r w:rsidR="001C1D17" w:rsidRPr="00C56203">
        <w:t xml:space="preserve"> such as Estrogel Pro</w:t>
      </w:r>
      <w:r w:rsidRPr="00C56203">
        <w:t xml:space="preserve"> (</w:t>
      </w:r>
      <w:r w:rsidRPr="00697BF7">
        <w:t xml:space="preserve">for further details refer paragraph </w:t>
      </w:r>
      <w:r w:rsidRPr="00697BF7">
        <w:fldChar w:fldCharType="begin"/>
      </w:r>
      <w:r w:rsidRPr="00697BF7">
        <w:instrText xml:space="preserve"> REF _Ref207982993 \r \h </w:instrText>
      </w:r>
      <w:r w:rsidR="00641D04" w:rsidRPr="00697BF7">
        <w:instrText xml:space="preserve"> \* MERGEFORMAT </w:instrText>
      </w:r>
      <w:r w:rsidRPr="00697BF7">
        <w:fldChar w:fldCharType="separate"/>
      </w:r>
      <w:r w:rsidR="00724077">
        <w:t>6.48</w:t>
      </w:r>
      <w:r w:rsidRPr="00697BF7">
        <w:fldChar w:fldCharType="end"/>
      </w:r>
      <w:r w:rsidRPr="00C56203">
        <w:t>).</w:t>
      </w:r>
    </w:p>
    <w:p w14:paraId="73AE4BC3" w14:textId="0C28B17B" w:rsidR="00C92205" w:rsidRPr="00D56078" w:rsidRDefault="00C92205" w:rsidP="00C92205">
      <w:pPr>
        <w:pStyle w:val="3-BodyText"/>
      </w:pPr>
      <w:r w:rsidRPr="00D56078">
        <w:lastRenderedPageBreak/>
        <w:t xml:space="preserve">The PSCR </w:t>
      </w:r>
      <w:r w:rsidR="00D2788B">
        <w:t xml:space="preserve">and pre-PBAC response </w:t>
      </w:r>
      <w:r w:rsidRPr="00D56078">
        <w:t>claimed that the use of an anchored, naïve ITC for the submission was generally consistent with the methodology used for the consideration of Estrogel Pro by the PBAC. The PSCR</w:t>
      </w:r>
      <w:r w:rsidR="00D2788B">
        <w:t xml:space="preserve"> and pre-PBAC response</w:t>
      </w:r>
      <w:r w:rsidRPr="00D56078">
        <w:t xml:space="preserve"> claimed that a more rigorous approach was taken in this submission, as a formal ITC was conducted and reported for Bijuva versus Estrogel Pro, which demonstrated comparable efficacy and safety, and the two patient populations were broadly similar. </w:t>
      </w:r>
    </w:p>
    <w:p w14:paraId="1616CA4B" w14:textId="00672CE4" w:rsidR="003E403D" w:rsidRDefault="00125334" w:rsidP="00C92205">
      <w:pPr>
        <w:pStyle w:val="3-BodyText"/>
      </w:pPr>
      <w:r w:rsidRPr="00D56078">
        <w:t xml:space="preserve">The ESC considered the clinical claim was </w:t>
      </w:r>
      <w:r w:rsidR="00BD7686" w:rsidRPr="00D56078">
        <w:t xml:space="preserve">reasonable but uncertain, </w:t>
      </w:r>
      <w:r w:rsidR="00376B00" w:rsidRPr="00D56078">
        <w:t xml:space="preserve">due to smaller, older studies being used, no head-to-head </w:t>
      </w:r>
      <w:r w:rsidR="00EA7702" w:rsidRPr="00D56078">
        <w:t>comparisons</w:t>
      </w:r>
      <w:r w:rsidR="00376B00" w:rsidRPr="00D56078">
        <w:t xml:space="preserve">, and a lack of </w:t>
      </w:r>
      <w:r w:rsidR="00FE3502" w:rsidRPr="00D56078">
        <w:t>non-inferiority margins.</w:t>
      </w:r>
    </w:p>
    <w:p w14:paraId="7F0993DF" w14:textId="559C31D1" w:rsidR="00317F2E" w:rsidRPr="00CE42B4" w:rsidRDefault="00317F2E" w:rsidP="00317F2E">
      <w:pPr>
        <w:pStyle w:val="3-BodyText"/>
        <w:rPr>
          <w:snapToGrid w:val="0"/>
        </w:rPr>
      </w:pPr>
      <w:bookmarkStart w:id="47" w:name="_Hlk76376200"/>
      <w:r w:rsidRPr="00CE42B4">
        <w:rPr>
          <w:iCs/>
          <w:snapToGrid w:val="0"/>
        </w:rPr>
        <w:t>The</w:t>
      </w:r>
      <w:r w:rsidRPr="00CE42B4">
        <w:rPr>
          <w:snapToGrid w:val="0"/>
        </w:rPr>
        <w:t xml:space="preserve"> PBAC considered that the claim of non-inferior comparative effectiveness was reasonable</w:t>
      </w:r>
      <w:r w:rsidR="004E272F">
        <w:rPr>
          <w:snapToGrid w:val="0"/>
        </w:rPr>
        <w:t>.</w:t>
      </w:r>
    </w:p>
    <w:p w14:paraId="018FD904" w14:textId="104A83AC" w:rsidR="00317F2E" w:rsidRPr="00317F2E" w:rsidRDefault="00317F2E" w:rsidP="00317F2E">
      <w:pPr>
        <w:pStyle w:val="3-BodyText"/>
        <w:rPr>
          <w:snapToGrid w:val="0"/>
        </w:rPr>
      </w:pPr>
      <w:r w:rsidRPr="00CE42B4">
        <w:rPr>
          <w:snapToGrid w:val="0"/>
        </w:rPr>
        <w:t>The PBAC considered that the claim of non-inferior comparative safety was not adequately supported by the data.</w:t>
      </w:r>
      <w:bookmarkEnd w:id="47"/>
    </w:p>
    <w:p w14:paraId="74A1172E" w14:textId="128C170E" w:rsidR="00B60939" w:rsidRPr="0098262F" w:rsidRDefault="00B60939" w:rsidP="00E9094A">
      <w:pPr>
        <w:pStyle w:val="4-SubsectionHeading"/>
      </w:pPr>
      <w:bookmarkStart w:id="48" w:name="_Toc22897645"/>
      <w:bookmarkStart w:id="49" w:name="_Toc208998238"/>
      <w:r w:rsidRPr="0098262F">
        <w:t>Economic analysis</w:t>
      </w:r>
      <w:bookmarkEnd w:id="48"/>
      <w:bookmarkEnd w:id="49"/>
      <w:r w:rsidR="00491B3A" w:rsidRPr="0098262F">
        <w:t xml:space="preserve"> </w:t>
      </w:r>
    </w:p>
    <w:p w14:paraId="2BDE82D3" w14:textId="0ED1F798" w:rsidR="008A6FE6" w:rsidRPr="00C56203" w:rsidRDefault="00BA785A" w:rsidP="00016644">
      <w:pPr>
        <w:pStyle w:val="3-BodyText"/>
      </w:pPr>
      <w:r>
        <w:t xml:space="preserve">The submission </w:t>
      </w:r>
      <w:r w:rsidR="00C22C7A">
        <w:t>presented a</w:t>
      </w:r>
      <w:r w:rsidR="000D71C9">
        <w:t xml:space="preserve"> cost-minimisation approach</w:t>
      </w:r>
      <w:r w:rsidR="004935FB">
        <w:t xml:space="preserve"> </w:t>
      </w:r>
      <w:r w:rsidR="000D71C9">
        <w:t>(</w:t>
      </w:r>
      <w:r w:rsidR="00C22C7A">
        <w:t>CMA</w:t>
      </w:r>
      <w:r w:rsidR="000D71C9">
        <w:t>)</w:t>
      </w:r>
      <w:r w:rsidR="00C22C7A">
        <w:t xml:space="preserve"> of Bijuva versus Estrogel P</w:t>
      </w:r>
      <w:r w:rsidR="00924D35">
        <w:t xml:space="preserve">ro, </w:t>
      </w:r>
      <w:r w:rsidR="00016644" w:rsidRPr="00016644">
        <w:t xml:space="preserve">based on the assumption that Estrogel Pro is the </w:t>
      </w:r>
      <w:r w:rsidR="00926F96">
        <w:t>product that will</w:t>
      </w:r>
      <w:r w:rsidR="00016644" w:rsidRPr="00016644">
        <w:t xml:space="preserve"> most likely be displaced in clinical practice. </w:t>
      </w:r>
      <w:r w:rsidR="00F37370" w:rsidRPr="00C56203">
        <w:t xml:space="preserve">As stated in paragraph </w:t>
      </w:r>
      <w:r w:rsidR="00F37370" w:rsidRPr="00C56203">
        <w:fldChar w:fldCharType="begin"/>
      </w:r>
      <w:r w:rsidR="00F37370" w:rsidRPr="00C56203">
        <w:instrText xml:space="preserve"> REF _Ref207884960 \r \h </w:instrText>
      </w:r>
      <w:r w:rsidR="00C56203">
        <w:instrText xml:space="preserve"> \* MERGEFORMAT </w:instrText>
      </w:r>
      <w:r w:rsidR="00F37370" w:rsidRPr="00C56203">
        <w:fldChar w:fldCharType="separate"/>
      </w:r>
      <w:r w:rsidR="00724077">
        <w:t>5.2</w:t>
      </w:r>
      <w:r w:rsidR="00F37370" w:rsidRPr="00C56203">
        <w:fldChar w:fldCharType="end"/>
      </w:r>
      <w:r w:rsidR="00F37370" w:rsidRPr="00C56203">
        <w:t xml:space="preserve">, </w:t>
      </w:r>
      <w:r w:rsidR="002F42BB" w:rsidRPr="00C56203">
        <w:t xml:space="preserve">estradiol </w:t>
      </w:r>
      <w:r w:rsidR="00AA4DBC" w:rsidRPr="00C56203">
        <w:t>gel</w:t>
      </w:r>
      <w:r w:rsidR="00DC501F" w:rsidRPr="00C56203">
        <w:t xml:space="preserve"> </w:t>
      </w:r>
      <w:r w:rsidR="00AA4DBC" w:rsidRPr="00C56203">
        <w:t>may not be</w:t>
      </w:r>
      <w:r w:rsidR="002F42BB" w:rsidRPr="00C56203">
        <w:t xml:space="preserve"> </w:t>
      </w:r>
      <w:r w:rsidR="00AA4DBC" w:rsidRPr="00C56203">
        <w:t>an a</w:t>
      </w:r>
      <w:r w:rsidR="002F42BB" w:rsidRPr="00C56203">
        <w:t xml:space="preserve">ppropriate comparator for estradiol </w:t>
      </w:r>
      <w:r w:rsidR="00AA4DBC" w:rsidRPr="00C56203">
        <w:t>oral tablets</w:t>
      </w:r>
      <w:r w:rsidR="002F42BB" w:rsidRPr="00C56203">
        <w:t xml:space="preserve">. </w:t>
      </w:r>
    </w:p>
    <w:p w14:paraId="1E868827" w14:textId="562E7026" w:rsidR="008A6FE6" w:rsidRPr="00C56203" w:rsidRDefault="008A6FE6">
      <w:pPr>
        <w:pStyle w:val="3-BodyText"/>
      </w:pPr>
      <w:r w:rsidRPr="00C56203">
        <w:t>For the requested population, i.e., postmenopausal women with an intact uterus experiencing estrogen deficiency symptoms, the following PBS-listed medicines may be considered alternative therapies because they could be replaced in practice: oral combination MHT</w:t>
      </w:r>
      <w:r w:rsidR="006C7B12" w:rsidRPr="00C56203">
        <w:t>, such as</w:t>
      </w:r>
      <w:r w:rsidRPr="00C56203">
        <w:t xml:space="preserve"> </w:t>
      </w:r>
      <w:r w:rsidR="006C7B12" w:rsidRPr="00C56203">
        <w:t xml:space="preserve">concomitant PBS-listed oral </w:t>
      </w:r>
      <w:r w:rsidR="0073513E" w:rsidRPr="00C56203">
        <w:t>estradiol</w:t>
      </w:r>
      <w:r w:rsidR="006C7B12" w:rsidRPr="00C56203">
        <w:t xml:space="preserve"> </w:t>
      </w:r>
      <w:r w:rsidR="0021743F" w:rsidRPr="00C56203">
        <w:t xml:space="preserve">tablets </w:t>
      </w:r>
      <w:r w:rsidR="006C7B12" w:rsidRPr="00C56203">
        <w:t>and MP</w:t>
      </w:r>
      <w:r w:rsidR="0021743F" w:rsidRPr="00C56203">
        <w:t xml:space="preserve"> capsules</w:t>
      </w:r>
      <w:r w:rsidR="006C7B12" w:rsidRPr="00C56203">
        <w:t>.</w:t>
      </w:r>
      <w:r w:rsidR="008B7609">
        <w:rPr>
          <w:i/>
          <w:iCs/>
        </w:rPr>
        <w:t xml:space="preserve"> </w:t>
      </w:r>
      <w:r w:rsidR="008B7609" w:rsidRPr="00D56078">
        <w:t xml:space="preserve">The PSCR argued that </w:t>
      </w:r>
      <w:r w:rsidR="00FD367A" w:rsidRPr="00D56078">
        <w:t xml:space="preserve">oral estradiol tablets + MP capsules </w:t>
      </w:r>
      <w:r w:rsidR="008B7609" w:rsidRPr="00D56078">
        <w:t>was an inappropriate comparator as it would require patients to make two co-payments for two different medicine</w:t>
      </w:r>
      <w:r w:rsidR="00EC05B4" w:rsidRPr="00D56078">
        <w:t>s, reducing the financial benefits for patients from a fixed dose combination therapy</w:t>
      </w:r>
      <w:r w:rsidR="00F45C93" w:rsidRPr="00D56078">
        <w:t xml:space="preserve"> listed on the PBS</w:t>
      </w:r>
      <w:r w:rsidR="00EC05B4" w:rsidRPr="00D56078">
        <w:t xml:space="preserve">. </w:t>
      </w:r>
      <w:r w:rsidR="00352494" w:rsidRPr="00D56078">
        <w:t>The PSCR stated that Recommendation 18 from the Senate inquiry</w:t>
      </w:r>
      <w:r w:rsidR="00043AEE" w:rsidRPr="00D56078">
        <w:t xml:space="preserve"> </w:t>
      </w:r>
      <w:r w:rsidR="00F44C9E" w:rsidRPr="00D56078">
        <w:t>recommended that</w:t>
      </w:r>
      <w:r w:rsidR="00043AEE" w:rsidRPr="00D56078">
        <w:t xml:space="preserve"> MHT products should be made </w:t>
      </w:r>
      <w:r w:rsidR="00705A96" w:rsidRPr="00D56078">
        <w:t xml:space="preserve">more affordable to patients. </w:t>
      </w:r>
      <w:r w:rsidR="006250D9" w:rsidRPr="00D56078">
        <w:t xml:space="preserve">The PSCR further claimed that taking one capsule </w:t>
      </w:r>
      <w:r w:rsidR="00F03346" w:rsidRPr="00D56078">
        <w:t xml:space="preserve">would be preferred </w:t>
      </w:r>
      <w:r w:rsidR="00CF4155" w:rsidRPr="00D56078">
        <w:t xml:space="preserve">by patients </w:t>
      </w:r>
      <w:r w:rsidR="00F03346" w:rsidRPr="00D56078">
        <w:t>rather than taking two separate capsules</w:t>
      </w:r>
      <w:r w:rsidR="00CF4155" w:rsidRPr="00D56078">
        <w:t>/tablets</w:t>
      </w:r>
      <w:r w:rsidR="00F03346" w:rsidRPr="00D56078">
        <w:t xml:space="preserve">. </w:t>
      </w:r>
      <w:r w:rsidR="00EA7702" w:rsidRPr="00D56078">
        <w:t>The ESC noted that no data was provided</w:t>
      </w:r>
      <w:r w:rsidR="00454445" w:rsidRPr="00D56078">
        <w:t xml:space="preserve"> in the PSCR</w:t>
      </w:r>
      <w:r w:rsidR="00EA7702" w:rsidRPr="00D56078">
        <w:t xml:space="preserve"> to support or refute this claim, or whether this would influe</w:t>
      </w:r>
      <w:r w:rsidR="00454445" w:rsidRPr="00D56078">
        <w:t>nce uptake or adherence.</w:t>
      </w:r>
    </w:p>
    <w:p w14:paraId="4976EF09" w14:textId="4FDB950D" w:rsidR="00DC2CBA" w:rsidRPr="00C56203" w:rsidRDefault="00DC2CBA">
      <w:pPr>
        <w:pStyle w:val="3-BodyText"/>
      </w:pPr>
      <w:r w:rsidRPr="00C56203">
        <w:t>In the context of the cost-minimisation approach taken by the submission, a further consideration for</w:t>
      </w:r>
      <w:r w:rsidR="005967A9">
        <w:t xml:space="preserve"> the</w:t>
      </w:r>
      <w:r w:rsidRPr="00C56203">
        <w:t xml:space="preserve"> PBAC is that, under Section 101(3B) of the </w:t>
      </w:r>
      <w:r w:rsidRPr="00CF4155">
        <w:rPr>
          <w:i/>
          <w:iCs/>
        </w:rPr>
        <w:t>National Health Act 1953</w:t>
      </w:r>
      <w:r w:rsidRPr="00C56203">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p>
    <w:p w14:paraId="7DA3A49B" w14:textId="53196D12" w:rsidR="007B58AE" w:rsidRPr="00C56203" w:rsidRDefault="007B58AE" w:rsidP="007B58AE">
      <w:pPr>
        <w:pStyle w:val="3-BodyText"/>
      </w:pPr>
      <w:r w:rsidRPr="00C56203">
        <w:t xml:space="preserve">The submission </w:t>
      </w:r>
      <w:r w:rsidR="001C4E18" w:rsidRPr="00C56203">
        <w:t xml:space="preserve">claimed </w:t>
      </w:r>
      <w:r w:rsidRPr="00C56203">
        <w:t xml:space="preserve">that one capsule of Bijuva containing 1 mg of </w:t>
      </w:r>
      <w:r w:rsidR="0073513E" w:rsidRPr="00C56203">
        <w:t>estradiol</w:t>
      </w:r>
      <w:r w:rsidRPr="00C56203">
        <w:t xml:space="preserve"> (oral) together with 100 mg of M</w:t>
      </w:r>
      <w:r w:rsidR="002909EF" w:rsidRPr="00C56203">
        <w:t xml:space="preserve">P </w:t>
      </w:r>
      <w:r w:rsidR="002C707F" w:rsidRPr="00C56203">
        <w:t>daily</w:t>
      </w:r>
      <w:r w:rsidR="002909EF" w:rsidRPr="00C56203">
        <w:t xml:space="preserve"> for </w:t>
      </w:r>
      <w:r w:rsidR="002C707F" w:rsidRPr="00C56203">
        <w:t>28 days</w:t>
      </w:r>
      <w:r w:rsidR="00A921A8" w:rsidRPr="00C56203">
        <w:t xml:space="preserve"> </w:t>
      </w:r>
      <w:r w:rsidRPr="00C56203">
        <w:t xml:space="preserve">is equi-effective to 1.5 mg of </w:t>
      </w:r>
      <w:r w:rsidR="0073513E" w:rsidRPr="00C56203">
        <w:t>estradiol</w:t>
      </w:r>
      <w:r w:rsidRPr="00C56203">
        <w:t xml:space="preserve"> (</w:t>
      </w:r>
      <w:r w:rsidR="003C1ADA" w:rsidRPr="00C56203">
        <w:t>t</w:t>
      </w:r>
      <w:r w:rsidR="002C707F" w:rsidRPr="00C56203">
        <w:t>wo pumps of Estrogel</w:t>
      </w:r>
      <w:r w:rsidRPr="00C56203">
        <w:t>) with 100 mg of MP</w:t>
      </w:r>
      <w:r w:rsidR="002909EF" w:rsidRPr="00C56203">
        <w:t xml:space="preserve"> </w:t>
      </w:r>
      <w:r w:rsidR="003C1ADA" w:rsidRPr="00C56203">
        <w:t>daily</w:t>
      </w:r>
      <w:r w:rsidR="002909EF" w:rsidRPr="00C56203">
        <w:t xml:space="preserve"> for </w:t>
      </w:r>
      <w:r w:rsidR="003C1ADA" w:rsidRPr="00C56203">
        <w:t>30 days</w:t>
      </w:r>
      <w:r w:rsidRPr="00C56203">
        <w:t xml:space="preserve"> </w:t>
      </w:r>
      <w:r w:rsidR="002909EF" w:rsidRPr="00C56203">
        <w:t>with</w:t>
      </w:r>
      <w:r w:rsidRPr="00C56203">
        <w:t xml:space="preserve"> Estrogel Pro. </w:t>
      </w:r>
    </w:p>
    <w:p w14:paraId="58A385BF" w14:textId="1ECDD907" w:rsidR="00103DBA" w:rsidRPr="00C56203" w:rsidRDefault="00103DBA" w:rsidP="00971D08">
      <w:pPr>
        <w:pStyle w:val="3-BodyText"/>
      </w:pPr>
      <w:bookmarkStart w:id="50" w:name="_Ref207455655"/>
      <w:r w:rsidRPr="00C56203">
        <w:lastRenderedPageBreak/>
        <w:t xml:space="preserve">The CMA </w:t>
      </w:r>
      <w:r w:rsidR="0028009E" w:rsidRPr="00C56203">
        <w:t>assumed</w:t>
      </w:r>
      <w:r w:rsidRPr="00C56203">
        <w:t xml:space="preserve"> each pack of Bijuva provides 28 days of therapy, </w:t>
      </w:r>
      <w:r w:rsidR="0028009E" w:rsidRPr="00C56203">
        <w:t xml:space="preserve">which was appropriate given it is a fixed-dose combination of </w:t>
      </w:r>
      <w:r w:rsidR="0073513E" w:rsidRPr="00C56203">
        <w:t>estradiol</w:t>
      </w:r>
      <w:r w:rsidR="00B845A6" w:rsidRPr="00C56203">
        <w:t xml:space="preserve"> </w:t>
      </w:r>
      <w:r w:rsidR="0028009E" w:rsidRPr="00C56203">
        <w:t>and MP supplied in 28-capsule packs</w:t>
      </w:r>
      <w:r w:rsidR="00A8159E" w:rsidRPr="00C56203">
        <w:t>, with a recommended dose of 1 capsule daily</w:t>
      </w:r>
      <w:r w:rsidR="0028009E" w:rsidRPr="00C56203">
        <w:t xml:space="preserve">. </w:t>
      </w:r>
      <w:r w:rsidR="00B845A6" w:rsidRPr="00C56203">
        <w:t>In contrast, the estimated 30 days of therapy with each pack of Estrogel Pro may be inaccurate:</w:t>
      </w:r>
      <w:bookmarkEnd w:id="50"/>
    </w:p>
    <w:p w14:paraId="12521061" w14:textId="1D83D191" w:rsidR="00961C44" w:rsidRPr="00C56203" w:rsidRDefault="00961C44" w:rsidP="00F762B7">
      <w:pPr>
        <w:pStyle w:val="ListParagraph"/>
        <w:jc w:val="both"/>
      </w:pPr>
      <w:r w:rsidRPr="00961C44">
        <w:t xml:space="preserve">For the </w:t>
      </w:r>
      <w:r w:rsidR="0073513E">
        <w:t>estradiol</w:t>
      </w:r>
      <w:r w:rsidRPr="00961C44">
        <w:t xml:space="preserve"> component of Estrogel Pro, most patients require two pumps</w:t>
      </w:r>
      <w:r w:rsidR="000140BD">
        <w:t xml:space="preserve"> of Estrogel</w:t>
      </w:r>
      <w:r>
        <w:t xml:space="preserve"> </w:t>
      </w:r>
      <w:r w:rsidR="00576378">
        <w:t xml:space="preserve">daily </w:t>
      </w:r>
      <w:r>
        <w:t xml:space="preserve">(containing 1.5 mg of </w:t>
      </w:r>
      <w:r w:rsidR="0073513E">
        <w:t>estradiol</w:t>
      </w:r>
      <w:r>
        <w:t>)</w:t>
      </w:r>
      <w:r w:rsidRPr="00961C44">
        <w:t xml:space="preserve">. Given that each pack contains 64 pumps of Estrogel, a single pack would provide </w:t>
      </w:r>
      <w:r w:rsidR="005F47EC">
        <w:t xml:space="preserve">up to </w:t>
      </w:r>
      <w:r w:rsidRPr="00961C44">
        <w:t>32 days of t</w:t>
      </w:r>
      <w:r w:rsidR="005F47EC">
        <w:t>herapy</w:t>
      </w:r>
      <w:r w:rsidRPr="00961C44">
        <w:t>.</w:t>
      </w:r>
      <w:r w:rsidR="00AB440B">
        <w:t xml:space="preserve"> </w:t>
      </w:r>
      <w:r w:rsidR="006C5460">
        <w:t xml:space="preserve">The submission further stated that </w:t>
      </w:r>
      <w:r w:rsidR="006C5460" w:rsidRPr="006C5460">
        <w:t xml:space="preserve">being a pumped gel there is greater potential for wastage compared </w:t>
      </w:r>
      <w:r w:rsidR="008211C6">
        <w:t>with</w:t>
      </w:r>
      <w:r w:rsidR="00CB2807">
        <w:t xml:space="preserve"> a</w:t>
      </w:r>
      <w:r w:rsidR="006C5460" w:rsidRPr="006C5460">
        <w:t xml:space="preserve"> strictly metered dose</w:t>
      </w:r>
      <w:r w:rsidR="008211C6">
        <w:t>,</w:t>
      </w:r>
      <w:r w:rsidR="006C5460" w:rsidRPr="006C5460">
        <w:t xml:space="preserve"> such as tablet</w:t>
      </w:r>
      <w:r w:rsidR="008211C6">
        <w:t>s</w:t>
      </w:r>
      <w:r w:rsidR="006C5460" w:rsidRPr="006C5460">
        <w:t xml:space="preserve"> or capsule</w:t>
      </w:r>
      <w:r w:rsidR="008211C6">
        <w:t xml:space="preserve">s, </w:t>
      </w:r>
      <w:r w:rsidR="006C5460" w:rsidRPr="006C5460">
        <w:t>and greater potential for dosage creep</w:t>
      </w:r>
      <w:r w:rsidR="006C5460" w:rsidRPr="00C56203">
        <w:t>.</w:t>
      </w:r>
      <w:r w:rsidR="006E6B02" w:rsidRPr="00C56203">
        <w:t xml:space="preserve"> </w:t>
      </w:r>
      <w:r w:rsidR="001A7AF2" w:rsidRPr="00C56203">
        <w:t xml:space="preserve">While </w:t>
      </w:r>
      <w:r w:rsidR="005D716C">
        <w:t xml:space="preserve">one pack of Estrogel </w:t>
      </w:r>
      <w:r w:rsidR="000F049C">
        <w:t xml:space="preserve">lasting 32 days is </w:t>
      </w:r>
      <w:r w:rsidRPr="00C56203">
        <w:t xml:space="preserve">consistent with the duration used in the </w:t>
      </w:r>
      <w:r w:rsidR="000F049C">
        <w:t>consideration</w:t>
      </w:r>
      <w:r w:rsidR="000F049C" w:rsidRPr="00C56203">
        <w:t xml:space="preserve"> </w:t>
      </w:r>
      <w:r w:rsidR="000F049C">
        <w:t>of</w:t>
      </w:r>
      <w:r w:rsidR="000F049C" w:rsidRPr="00C56203">
        <w:t xml:space="preserve"> </w:t>
      </w:r>
      <w:r w:rsidRPr="00C56203">
        <w:t>Estrogel (para</w:t>
      </w:r>
      <w:r w:rsidR="00C53D3E" w:rsidRPr="00C56203">
        <w:t>graph</w:t>
      </w:r>
      <w:r w:rsidRPr="00C56203">
        <w:t xml:space="preserve"> 6.119, </w:t>
      </w:r>
      <w:r w:rsidR="003822A3">
        <w:t>e</w:t>
      </w:r>
      <w:r w:rsidR="003822A3" w:rsidRPr="00C56203">
        <w:t xml:space="preserve">stradiol </w:t>
      </w:r>
      <w:r w:rsidR="00BF5FB2" w:rsidRPr="00C56203">
        <w:t>and progesterone</w:t>
      </w:r>
      <w:r w:rsidRPr="00C56203">
        <w:t xml:space="preserve">, PSD, November 2024 PBAC </w:t>
      </w:r>
      <w:r w:rsidR="00BF5FB2" w:rsidRPr="00C56203">
        <w:t>meeting</w:t>
      </w:r>
      <w:r w:rsidRPr="00C56203">
        <w:t>)</w:t>
      </w:r>
      <w:r w:rsidR="001A7AF2" w:rsidRPr="00C56203">
        <w:t xml:space="preserve">, some </w:t>
      </w:r>
      <w:r w:rsidR="00C50479" w:rsidRPr="00C56203">
        <w:t xml:space="preserve">women </w:t>
      </w:r>
      <w:r w:rsidR="001A7AF2" w:rsidRPr="00C56203">
        <w:t xml:space="preserve">may respond to </w:t>
      </w:r>
      <w:r w:rsidR="00A37547" w:rsidRPr="00C56203">
        <w:t>1 pump (</w:t>
      </w:r>
      <w:r w:rsidR="001A7AF2" w:rsidRPr="00C56203">
        <w:t>1.25</w:t>
      </w:r>
      <w:r w:rsidR="00C50479" w:rsidRPr="00C56203">
        <w:t xml:space="preserve"> </w:t>
      </w:r>
      <w:r w:rsidR="001A7AF2" w:rsidRPr="00C56203">
        <w:t>g</w:t>
      </w:r>
      <w:r w:rsidR="00A37547" w:rsidRPr="00C56203">
        <w:t>)</w:t>
      </w:r>
      <w:r w:rsidR="001A7AF2" w:rsidRPr="00C56203">
        <w:t xml:space="preserve"> daily, </w:t>
      </w:r>
      <w:r w:rsidR="00A37547" w:rsidRPr="00C56203">
        <w:t>in which case a pack would last longer than 32 days.</w:t>
      </w:r>
    </w:p>
    <w:p w14:paraId="279A43F5" w14:textId="08755188" w:rsidR="004D4557" w:rsidRPr="00C56203" w:rsidRDefault="00916860" w:rsidP="00F762B7">
      <w:pPr>
        <w:pStyle w:val="ListParagraph"/>
        <w:jc w:val="both"/>
      </w:pPr>
      <w:r w:rsidRPr="00FF0BF9">
        <w:t>For the MP component</w:t>
      </w:r>
      <w:r w:rsidRPr="00C56203">
        <w:t xml:space="preserve"> of Estrogel Pro, </w:t>
      </w:r>
      <w:r w:rsidR="00576378" w:rsidRPr="00C56203">
        <w:t xml:space="preserve">each pack contains </w:t>
      </w:r>
      <w:r w:rsidR="002A29DD" w:rsidRPr="00C56203">
        <w:t>30 capsules</w:t>
      </w:r>
      <w:r w:rsidR="005F47EC" w:rsidRPr="00C56203">
        <w:t xml:space="preserve">, </w:t>
      </w:r>
      <w:r w:rsidR="00E16EA5" w:rsidRPr="00C56203">
        <w:t xml:space="preserve">with most patients advised to take one capsule daily, providing up to 30 days of therapy. </w:t>
      </w:r>
      <w:r w:rsidR="00C705F7" w:rsidRPr="00C56203">
        <w:t xml:space="preserve">However, this assumption </w:t>
      </w:r>
      <w:r w:rsidR="00F976AA" w:rsidRPr="00C56203">
        <w:t>wa</w:t>
      </w:r>
      <w:r w:rsidR="00C705F7" w:rsidRPr="00C56203">
        <w:t>s not consistent with the recommended dosing regimens, or the approach adopted in the submission for MP</w:t>
      </w:r>
      <w:r w:rsidRPr="00C56203">
        <w:t xml:space="preserve"> (para</w:t>
      </w:r>
      <w:r w:rsidR="00A3074B">
        <w:t>graph</w:t>
      </w:r>
      <w:r w:rsidRPr="00C56203">
        <w:t xml:space="preserve"> 6.120, </w:t>
      </w:r>
      <w:r w:rsidR="007D2BED">
        <w:t>e</w:t>
      </w:r>
      <w:r w:rsidR="00386E26" w:rsidRPr="00C56203">
        <w:t>stradiol and progesterone</w:t>
      </w:r>
      <w:r w:rsidRPr="00C56203">
        <w:t xml:space="preserve">, PSD, November 2024 PBAC </w:t>
      </w:r>
      <w:r w:rsidR="00386E26" w:rsidRPr="00C56203">
        <w:t>meeting</w:t>
      </w:r>
      <w:r w:rsidRPr="00C56203">
        <w:t xml:space="preserve">). According to the </w:t>
      </w:r>
      <w:r w:rsidR="000D1557" w:rsidRPr="00C56203">
        <w:t xml:space="preserve">Australian Menopause Society </w:t>
      </w:r>
      <w:r w:rsidRPr="00C56203">
        <w:t>guideline</w:t>
      </w:r>
      <w:r w:rsidR="000B13C2" w:rsidRPr="00C56203">
        <w:t>s</w:t>
      </w:r>
      <w:r w:rsidR="000B13C2" w:rsidRPr="00C56203">
        <w:rPr>
          <w:rStyle w:val="FootnoteReference"/>
        </w:rPr>
        <w:footnoteReference w:id="17"/>
      </w:r>
      <w:r w:rsidR="000B13C2" w:rsidRPr="00C56203">
        <w:t xml:space="preserve">, </w:t>
      </w:r>
      <w:r w:rsidRPr="00C56203">
        <w:t>MP is recommended as either continuous dosing (100 mg</w:t>
      </w:r>
      <w:r w:rsidR="00386E26" w:rsidRPr="00C56203">
        <w:t xml:space="preserve"> daily</w:t>
      </w:r>
      <w:r w:rsidRPr="00C56203">
        <w:t xml:space="preserve"> for 25 days of</w:t>
      </w:r>
      <w:r w:rsidR="00386E26" w:rsidRPr="00C56203">
        <w:t xml:space="preserve"> a</w:t>
      </w:r>
      <w:r w:rsidRPr="00C56203">
        <w:t xml:space="preserve"> 28-day cycle) or cyclical dosing (200 mg</w:t>
      </w:r>
      <w:r w:rsidR="00386E26" w:rsidRPr="00C56203">
        <w:t xml:space="preserve"> daily</w:t>
      </w:r>
      <w:r w:rsidRPr="00C56203">
        <w:t xml:space="preserve"> for 12 days of 28-day cycle</w:t>
      </w:r>
      <w:r w:rsidR="00AA4DBC" w:rsidRPr="00C56203">
        <w:t>) and</w:t>
      </w:r>
      <w:r w:rsidR="00F353F8" w:rsidRPr="00C56203">
        <w:t xml:space="preserve"> may </w:t>
      </w:r>
      <w:r w:rsidR="002653D8" w:rsidRPr="00C56203">
        <w:t>be given daily if adherence is an issue</w:t>
      </w:r>
      <w:r w:rsidRPr="00C56203">
        <w:t xml:space="preserve">. </w:t>
      </w:r>
    </w:p>
    <w:p w14:paraId="3AC70CBC" w14:textId="03FC8ABB" w:rsidR="00F026E2" w:rsidRPr="00C56203" w:rsidRDefault="00916860" w:rsidP="00A32517">
      <w:pPr>
        <w:pStyle w:val="ListParagraph"/>
        <w:jc w:val="both"/>
      </w:pPr>
      <w:r w:rsidRPr="00C56203">
        <w:t xml:space="preserve">Assuming 32 days with </w:t>
      </w:r>
      <w:r w:rsidR="0073513E" w:rsidRPr="00C56203">
        <w:t>estradiol</w:t>
      </w:r>
      <w:r w:rsidRPr="00C56203">
        <w:t>, the Estrogel Pro pack would provide up to 32</w:t>
      </w:r>
      <w:r w:rsidR="0075639B">
        <w:t> </w:t>
      </w:r>
      <w:r w:rsidRPr="00C56203">
        <w:t>days of treatment, with a small wastage of MP</w:t>
      </w:r>
      <w:r w:rsidR="009C7EE2" w:rsidRPr="00C56203">
        <w:t xml:space="preserve">. This </w:t>
      </w:r>
      <w:r w:rsidR="006F4AE9" w:rsidRPr="00C56203">
        <w:t xml:space="preserve">estimate </w:t>
      </w:r>
      <w:r w:rsidR="009C7EE2" w:rsidRPr="00C56203">
        <w:t>contrasts w</w:t>
      </w:r>
      <w:r w:rsidR="006F4AE9" w:rsidRPr="00C56203">
        <w:t>ith the 30</w:t>
      </w:r>
      <w:r w:rsidR="00A32517" w:rsidRPr="00C56203">
        <w:t>-</w:t>
      </w:r>
      <w:r w:rsidR="006F4AE9" w:rsidRPr="00C56203">
        <w:t>day</w:t>
      </w:r>
      <w:r w:rsidR="00A32517" w:rsidRPr="00C56203">
        <w:t xml:space="preserve"> </w:t>
      </w:r>
      <w:r w:rsidR="006F4AE9" w:rsidRPr="00C56203">
        <w:t xml:space="preserve">treatment per pack proposed in the </w:t>
      </w:r>
      <w:proofErr w:type="gramStart"/>
      <w:r w:rsidR="006F4AE9" w:rsidRPr="00C56203">
        <w:t>submission, but</w:t>
      </w:r>
      <w:proofErr w:type="gramEnd"/>
      <w:r w:rsidR="006F4AE9" w:rsidRPr="00C56203">
        <w:t xml:space="preserve"> </w:t>
      </w:r>
      <w:r w:rsidR="00A32517" w:rsidRPr="00C56203">
        <w:t>was</w:t>
      </w:r>
      <w:r w:rsidRPr="00C56203">
        <w:t xml:space="preserve"> consistent</w:t>
      </w:r>
      <w:r w:rsidR="00EA4CBC" w:rsidRPr="00C56203">
        <w:t xml:space="preserve"> with the duration </w:t>
      </w:r>
      <w:r w:rsidR="00073B84" w:rsidRPr="00C56203">
        <w:t>of treatment per pack</w:t>
      </w:r>
      <w:r w:rsidR="00EA4CBC" w:rsidRPr="00C56203">
        <w:t xml:space="preserve"> used </w:t>
      </w:r>
      <w:r w:rsidRPr="00C56203">
        <w:t xml:space="preserve">in the </w:t>
      </w:r>
      <w:r w:rsidR="00073B84" w:rsidRPr="00C56203">
        <w:t>consideration of</w:t>
      </w:r>
      <w:r w:rsidRPr="00C56203">
        <w:t xml:space="preserve"> Estrogel Pro (para</w:t>
      </w:r>
      <w:r w:rsidR="00073B84" w:rsidRPr="00C56203">
        <w:t>graph</w:t>
      </w:r>
      <w:r w:rsidRPr="00C56203">
        <w:t xml:space="preserve"> 6.121, </w:t>
      </w:r>
      <w:r w:rsidR="00C5123D">
        <w:t>e</w:t>
      </w:r>
      <w:r w:rsidR="00073B84" w:rsidRPr="00C56203">
        <w:t>stradiol and progesterone</w:t>
      </w:r>
      <w:r w:rsidRPr="00C56203">
        <w:t xml:space="preserve">, PSD, November 2024 PBAC </w:t>
      </w:r>
      <w:r w:rsidR="00073B84" w:rsidRPr="00C56203">
        <w:t>meeting</w:t>
      </w:r>
      <w:r w:rsidRPr="00C56203">
        <w:t xml:space="preserve">). </w:t>
      </w:r>
    </w:p>
    <w:p w14:paraId="3BD1EF08" w14:textId="6A374626" w:rsidR="006817FC" w:rsidRPr="00D56078" w:rsidRDefault="006817FC" w:rsidP="001F147E">
      <w:pPr>
        <w:pStyle w:val="3-BodyText"/>
      </w:pPr>
      <w:r w:rsidRPr="00D56078">
        <w:t xml:space="preserve">The PSCR </w:t>
      </w:r>
      <w:r w:rsidR="00532217" w:rsidRPr="00D56078">
        <w:t xml:space="preserve">argued that as </w:t>
      </w:r>
      <w:r w:rsidR="00870963" w:rsidRPr="00D56078">
        <w:t>Estrogel contains 64 pumps of gel and most patients require 2 pumps</w:t>
      </w:r>
      <w:r w:rsidR="0056136A" w:rsidRPr="00D56078">
        <w:t xml:space="preserve"> daily, each pack of Estrogel Pro is expected to provide a maximum of 32 days of therapy. </w:t>
      </w:r>
      <w:r w:rsidR="00370B6A" w:rsidRPr="00D56078">
        <w:t>A</w:t>
      </w:r>
      <w:r w:rsidR="006B6DA3" w:rsidRPr="00D56078">
        <w:t>s the gel is measured with a pump device, there is greater potential for wastage and dosage creep</w:t>
      </w:r>
      <w:r w:rsidR="00B73214" w:rsidRPr="00D56078">
        <w:t xml:space="preserve"> compared to a capsule which has a strictly metered dose. The PSCR</w:t>
      </w:r>
      <w:r w:rsidR="00370B6A" w:rsidRPr="00D56078">
        <w:t xml:space="preserve"> also</w:t>
      </w:r>
      <w:r w:rsidR="00B73214" w:rsidRPr="00D56078">
        <w:t xml:space="preserve"> argued that </w:t>
      </w:r>
      <w:r w:rsidR="00370B6A" w:rsidRPr="00D56078">
        <w:t xml:space="preserve">the Prometrium component provides a maximum of 30 days </w:t>
      </w:r>
      <w:r w:rsidR="004346C4" w:rsidRPr="00D56078">
        <w:t>of therapy as there are 30 capsules in a pack</w:t>
      </w:r>
      <w:r w:rsidR="00890812" w:rsidRPr="00D56078">
        <w:t>.</w:t>
      </w:r>
    </w:p>
    <w:p w14:paraId="36673F0A" w14:textId="3566778D" w:rsidR="00A44358" w:rsidRPr="00D56078" w:rsidRDefault="00A44358" w:rsidP="001F147E">
      <w:pPr>
        <w:pStyle w:val="3-BodyText"/>
      </w:pPr>
      <w:r w:rsidRPr="00D56078">
        <w:t xml:space="preserve">The ESC noted that </w:t>
      </w:r>
      <w:r w:rsidR="00F12393" w:rsidRPr="00D56078">
        <w:t>the dose of Estrogel is titrated to its effective dose, which can range from 1 pump daily (</w:t>
      </w:r>
      <w:r w:rsidR="00F153BD" w:rsidRPr="00D56078">
        <w:t xml:space="preserve">with one pack lasting </w:t>
      </w:r>
      <w:r w:rsidR="00924EA9" w:rsidRPr="00D56078">
        <w:t>64 days, approximately 2 months</w:t>
      </w:r>
      <w:r w:rsidR="00F153BD" w:rsidRPr="00D56078">
        <w:t xml:space="preserve">) </w:t>
      </w:r>
      <w:r w:rsidR="00963185" w:rsidRPr="00D56078">
        <w:t>to 4 pumps daily (with one pack lasting approximately</w:t>
      </w:r>
      <w:r w:rsidR="00924EA9" w:rsidRPr="00D56078">
        <w:t xml:space="preserve"> 16 days, approximately</w:t>
      </w:r>
      <w:r w:rsidR="00963185" w:rsidRPr="00D56078">
        <w:t xml:space="preserve"> 2 weeks).</w:t>
      </w:r>
      <w:r w:rsidR="00DF126A" w:rsidRPr="00D56078">
        <w:t xml:space="preserve"> The ESC advised that </w:t>
      </w:r>
      <w:r w:rsidR="00B22615" w:rsidRPr="00D56078">
        <w:t xml:space="preserve">there may not be wastage of MP in practice, as patients may </w:t>
      </w:r>
      <w:r w:rsidR="00B22615" w:rsidRPr="00D56078">
        <w:lastRenderedPageBreak/>
        <w:t xml:space="preserve">‘carry over’ </w:t>
      </w:r>
      <w:r w:rsidR="00183CAF" w:rsidRPr="00D56078">
        <w:t xml:space="preserve">remaining MP capsules to the next cycle. </w:t>
      </w:r>
      <w:r w:rsidR="00C25EC1" w:rsidRPr="00D56078">
        <w:t xml:space="preserve">However, as </w:t>
      </w:r>
      <w:r w:rsidR="00BA0C3D" w:rsidRPr="00D56078">
        <w:t xml:space="preserve">Estrogel Pro was only listed on the PBS in March 2025, </w:t>
      </w:r>
      <w:r w:rsidR="003B697F" w:rsidRPr="00D56078">
        <w:t>there is a lack of data o</w:t>
      </w:r>
      <w:r w:rsidR="00307686" w:rsidRPr="00D56078">
        <w:t>n</w:t>
      </w:r>
      <w:r w:rsidR="003B697F" w:rsidRPr="00D56078">
        <w:t xml:space="preserve"> </w:t>
      </w:r>
      <w:r w:rsidR="00733925" w:rsidRPr="00D56078">
        <w:t>how long one dispensing of Estrogel Pro on the PBS lasts on average.</w:t>
      </w:r>
    </w:p>
    <w:p w14:paraId="0613CA04" w14:textId="3ADEF97E" w:rsidR="0088494B" w:rsidRPr="00C56203" w:rsidRDefault="0088494B" w:rsidP="001F147E">
      <w:pPr>
        <w:pStyle w:val="3-BodyText"/>
      </w:pPr>
      <w:r>
        <w:t xml:space="preserve">The CMA was conducted over a two-year time </w:t>
      </w:r>
      <w:r w:rsidR="00AA4DBC">
        <w:t>horizon</w:t>
      </w:r>
      <w:r w:rsidR="00386A61">
        <w:t xml:space="preserve"> </w:t>
      </w:r>
      <w:r w:rsidR="00AD4334">
        <w:t>with</w:t>
      </w:r>
      <w:r w:rsidR="00386A61">
        <w:t>out</w:t>
      </w:r>
      <w:r w:rsidR="00AD4334">
        <w:t xml:space="preserve"> discounting</w:t>
      </w:r>
      <w:r w:rsidR="00AA4DBC">
        <w:t xml:space="preserve"> </w:t>
      </w:r>
      <w:r w:rsidR="008C3921" w:rsidRPr="008C3921">
        <w:t xml:space="preserve">to estimate the cost-minimised AEMP for </w:t>
      </w:r>
      <w:proofErr w:type="spellStart"/>
      <w:r w:rsidR="008C3921" w:rsidRPr="008C3921">
        <w:t>Bijuva</w:t>
      </w:r>
      <w:proofErr w:type="spellEnd"/>
      <w:r w:rsidR="001F147E">
        <w:t xml:space="preserve"> </w:t>
      </w:r>
      <w:r w:rsidR="00386A61">
        <w:t>(</w:t>
      </w:r>
      <w:r>
        <w:fldChar w:fldCharType="begin"/>
      </w:r>
      <w:r>
        <w:instrText xml:space="preserve"> REF _Ref207375968 \h </w:instrText>
      </w:r>
      <w:r>
        <w:fldChar w:fldCharType="separate"/>
      </w:r>
      <w:r w:rsidR="00724077">
        <w:t xml:space="preserve">Table </w:t>
      </w:r>
      <w:r w:rsidR="00724077">
        <w:rPr>
          <w:noProof/>
        </w:rPr>
        <w:t>9</w:t>
      </w:r>
      <w:r>
        <w:fldChar w:fldCharType="end"/>
      </w:r>
      <w:r w:rsidR="00386A61">
        <w:t>)</w:t>
      </w:r>
      <w:r w:rsidR="001F147E" w:rsidRPr="008C3921">
        <w:t xml:space="preserve">. </w:t>
      </w:r>
      <w:r w:rsidR="001F147E" w:rsidRPr="00C56203">
        <w:t>The resulting AEMP remain</w:t>
      </w:r>
      <w:r w:rsidR="00386A61" w:rsidRPr="00C56203">
        <w:t>ed</w:t>
      </w:r>
      <w:r w:rsidR="001F147E" w:rsidRPr="00C56203">
        <w:t xml:space="preserve"> unchanged when recalculated over a one-year treatment period.</w:t>
      </w:r>
    </w:p>
    <w:p w14:paraId="4039A962" w14:textId="16D0A9DE" w:rsidR="0088494B" w:rsidRDefault="0088494B" w:rsidP="0088494B">
      <w:pPr>
        <w:pStyle w:val="Caption"/>
      </w:pPr>
      <w:bookmarkStart w:id="51" w:name="_Ref207375968"/>
      <w:r>
        <w:t xml:space="preserve">Table </w:t>
      </w:r>
      <w:r w:rsidR="003A0CC2">
        <w:fldChar w:fldCharType="begin"/>
      </w:r>
      <w:r w:rsidR="003A0CC2">
        <w:instrText xml:space="preserve"> SEQ Table \* ARABIC </w:instrText>
      </w:r>
      <w:r w:rsidR="003A0CC2">
        <w:fldChar w:fldCharType="separate"/>
      </w:r>
      <w:r w:rsidR="00724077">
        <w:rPr>
          <w:noProof/>
        </w:rPr>
        <w:t>9</w:t>
      </w:r>
      <w:r w:rsidR="003A0CC2">
        <w:rPr>
          <w:noProof/>
        </w:rPr>
        <w:fldChar w:fldCharType="end"/>
      </w:r>
      <w:bookmarkEnd w:id="51"/>
      <w:r>
        <w:t xml:space="preserve">: </w:t>
      </w:r>
      <w:r w:rsidRPr="00F469AD">
        <w:t>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cost-minimisation approach"/>
      </w:tblPr>
      <w:tblGrid>
        <w:gridCol w:w="3964"/>
        <w:gridCol w:w="2409"/>
        <w:gridCol w:w="2644"/>
      </w:tblGrid>
      <w:tr w:rsidR="0088494B" w:rsidRPr="0098262F" w14:paraId="7F127F90" w14:textId="77777777" w:rsidTr="00A6567C">
        <w:tc>
          <w:tcPr>
            <w:tcW w:w="2198" w:type="pct"/>
          </w:tcPr>
          <w:p w14:paraId="7F23FBB3" w14:textId="77777777" w:rsidR="0088494B" w:rsidRPr="0098262F" w:rsidRDefault="0088494B">
            <w:pPr>
              <w:pStyle w:val="In-tableHeading"/>
              <w:rPr>
                <w:lang w:val="en-AU"/>
              </w:rPr>
            </w:pPr>
            <w:r w:rsidRPr="0098262F">
              <w:rPr>
                <w:lang w:val="en-AU"/>
              </w:rPr>
              <w:t>Component</w:t>
            </w:r>
          </w:p>
        </w:tc>
        <w:tc>
          <w:tcPr>
            <w:tcW w:w="1336" w:type="pct"/>
          </w:tcPr>
          <w:p w14:paraId="227BFFD6" w14:textId="77777777" w:rsidR="0088494B" w:rsidRPr="0098262F" w:rsidRDefault="0088494B">
            <w:pPr>
              <w:pStyle w:val="In-tableHeading"/>
              <w:jc w:val="center"/>
              <w:rPr>
                <w:lang w:val="en-AU"/>
              </w:rPr>
            </w:pPr>
            <w:r>
              <w:rPr>
                <w:lang w:val="en-AU"/>
              </w:rPr>
              <w:t>Bijuva</w:t>
            </w:r>
          </w:p>
        </w:tc>
        <w:tc>
          <w:tcPr>
            <w:tcW w:w="1466" w:type="pct"/>
          </w:tcPr>
          <w:p w14:paraId="0A126753" w14:textId="77777777" w:rsidR="0088494B" w:rsidRPr="0098262F" w:rsidRDefault="0088494B">
            <w:pPr>
              <w:pStyle w:val="In-tableHeading"/>
              <w:jc w:val="center"/>
              <w:rPr>
                <w:lang w:val="en-AU"/>
              </w:rPr>
            </w:pPr>
            <w:r>
              <w:rPr>
                <w:lang w:val="en-AU"/>
              </w:rPr>
              <w:t>Estrogel Pro</w:t>
            </w:r>
          </w:p>
        </w:tc>
      </w:tr>
      <w:tr w:rsidR="0088494B" w:rsidRPr="0098262F" w14:paraId="4C7AD7DC" w14:textId="77777777" w:rsidTr="00A6567C">
        <w:tc>
          <w:tcPr>
            <w:tcW w:w="2198" w:type="pct"/>
          </w:tcPr>
          <w:p w14:paraId="03B4C229" w14:textId="34128ABA" w:rsidR="0088494B" w:rsidRPr="0098262F" w:rsidRDefault="00D844AC">
            <w:pPr>
              <w:pStyle w:val="TableText0"/>
            </w:pPr>
            <w:r>
              <w:t>AEMP per pack</w:t>
            </w:r>
          </w:p>
        </w:tc>
        <w:tc>
          <w:tcPr>
            <w:tcW w:w="1336" w:type="pct"/>
          </w:tcPr>
          <w:p w14:paraId="48894256" w14:textId="77777777" w:rsidR="0088494B" w:rsidRPr="0098262F" w:rsidRDefault="0088494B">
            <w:pPr>
              <w:pStyle w:val="TableText0"/>
              <w:jc w:val="center"/>
            </w:pPr>
            <w:r w:rsidRPr="0098262F">
              <w:t>$</w:t>
            </w:r>
            <w:r>
              <w:t>39.28</w:t>
            </w:r>
          </w:p>
        </w:tc>
        <w:tc>
          <w:tcPr>
            <w:tcW w:w="1466" w:type="pct"/>
          </w:tcPr>
          <w:p w14:paraId="54C2B3DC" w14:textId="77777777" w:rsidR="0088494B" w:rsidRPr="0098262F" w:rsidRDefault="0088494B">
            <w:pPr>
              <w:pStyle w:val="TableText0"/>
              <w:jc w:val="center"/>
            </w:pPr>
            <w:r w:rsidRPr="0098262F">
              <w:t>$</w:t>
            </w:r>
            <w:r>
              <w:t>42.09</w:t>
            </w:r>
          </w:p>
        </w:tc>
      </w:tr>
      <w:tr w:rsidR="0088494B" w:rsidRPr="0098262F" w14:paraId="702BA277" w14:textId="77777777" w:rsidTr="00A6567C">
        <w:tc>
          <w:tcPr>
            <w:tcW w:w="2198" w:type="pct"/>
          </w:tcPr>
          <w:p w14:paraId="1FB80411" w14:textId="0B21FAC0" w:rsidR="0088494B" w:rsidRPr="0098262F" w:rsidRDefault="00D844AC">
            <w:pPr>
              <w:pStyle w:val="TableText0"/>
            </w:pPr>
            <w:r>
              <w:t>Days of coverage per prescription</w:t>
            </w:r>
          </w:p>
        </w:tc>
        <w:tc>
          <w:tcPr>
            <w:tcW w:w="1336" w:type="pct"/>
          </w:tcPr>
          <w:p w14:paraId="7180BE4A" w14:textId="77777777" w:rsidR="0088494B" w:rsidRPr="0098262F" w:rsidRDefault="0088494B">
            <w:pPr>
              <w:pStyle w:val="TableText0"/>
              <w:jc w:val="center"/>
            </w:pPr>
            <w:r>
              <w:t xml:space="preserve">28 </w:t>
            </w:r>
            <w:r w:rsidRPr="0098262F">
              <w:t>days</w:t>
            </w:r>
          </w:p>
        </w:tc>
        <w:tc>
          <w:tcPr>
            <w:tcW w:w="1466" w:type="pct"/>
          </w:tcPr>
          <w:p w14:paraId="73110CF9" w14:textId="77777777" w:rsidR="0088494B" w:rsidRPr="0098262F" w:rsidRDefault="0088494B">
            <w:pPr>
              <w:pStyle w:val="TableText0"/>
              <w:jc w:val="center"/>
            </w:pPr>
            <w:r>
              <w:t xml:space="preserve">30 </w:t>
            </w:r>
            <w:r w:rsidRPr="0098262F">
              <w:t>days</w:t>
            </w:r>
          </w:p>
        </w:tc>
      </w:tr>
      <w:tr w:rsidR="0088494B" w:rsidRPr="0098262F" w14:paraId="74349394" w14:textId="77777777" w:rsidTr="00A6567C">
        <w:tc>
          <w:tcPr>
            <w:tcW w:w="2198" w:type="pct"/>
          </w:tcPr>
          <w:p w14:paraId="5504B2BB" w14:textId="77777777" w:rsidR="0088494B" w:rsidRPr="0098262F" w:rsidRDefault="0088494B">
            <w:pPr>
              <w:pStyle w:val="TableText0"/>
            </w:pPr>
            <w:r>
              <w:t>Number of scripts over 2 years</w:t>
            </w:r>
          </w:p>
        </w:tc>
        <w:tc>
          <w:tcPr>
            <w:tcW w:w="1336" w:type="pct"/>
          </w:tcPr>
          <w:p w14:paraId="30498162" w14:textId="37894264" w:rsidR="0088494B" w:rsidRDefault="000C7D3E">
            <w:pPr>
              <w:pStyle w:val="TableText0"/>
              <w:jc w:val="center"/>
            </w:pPr>
            <w:r>
              <w:t>26.07</w:t>
            </w:r>
          </w:p>
        </w:tc>
        <w:tc>
          <w:tcPr>
            <w:tcW w:w="1466" w:type="pct"/>
          </w:tcPr>
          <w:p w14:paraId="0EF55117" w14:textId="0D5C91FF" w:rsidR="0088494B" w:rsidRPr="0098262F" w:rsidDel="00F60172" w:rsidRDefault="000C7D3E">
            <w:pPr>
              <w:pStyle w:val="TableText0"/>
              <w:jc w:val="center"/>
            </w:pPr>
            <w:r>
              <w:t>24.33</w:t>
            </w:r>
          </w:p>
        </w:tc>
      </w:tr>
      <w:tr w:rsidR="0088494B" w:rsidRPr="0098262F" w14:paraId="25BC4B49" w14:textId="77777777" w:rsidTr="00A6567C">
        <w:tc>
          <w:tcPr>
            <w:tcW w:w="2198" w:type="pct"/>
          </w:tcPr>
          <w:p w14:paraId="200E85C2" w14:textId="77777777" w:rsidR="0088494B" w:rsidRPr="0098262F" w:rsidRDefault="0088494B">
            <w:pPr>
              <w:pStyle w:val="TableText0"/>
            </w:pPr>
            <w:r>
              <w:t>Total cost of 2 years of treatment (based on AEMP)</w:t>
            </w:r>
          </w:p>
        </w:tc>
        <w:tc>
          <w:tcPr>
            <w:tcW w:w="1336" w:type="pct"/>
          </w:tcPr>
          <w:p w14:paraId="682E3A04" w14:textId="77777777" w:rsidR="0088494B" w:rsidRDefault="0088494B">
            <w:pPr>
              <w:pStyle w:val="TableText0"/>
              <w:jc w:val="center"/>
            </w:pPr>
            <w:r>
              <w:t>$1,024.19</w:t>
            </w:r>
          </w:p>
        </w:tc>
        <w:tc>
          <w:tcPr>
            <w:tcW w:w="1466" w:type="pct"/>
          </w:tcPr>
          <w:p w14:paraId="5074A3CA" w14:textId="77777777" w:rsidR="0088494B" w:rsidRPr="0098262F" w:rsidDel="00F60172" w:rsidRDefault="0088494B">
            <w:pPr>
              <w:pStyle w:val="TableText0"/>
              <w:jc w:val="center"/>
            </w:pPr>
            <w:r>
              <w:t>$1,024.19</w:t>
            </w:r>
          </w:p>
        </w:tc>
      </w:tr>
    </w:tbl>
    <w:p w14:paraId="43A0ED43" w14:textId="0B3F96B6" w:rsidR="0088494B" w:rsidRDefault="0088494B" w:rsidP="0088494B">
      <w:pPr>
        <w:pStyle w:val="FooterTableFigure"/>
      </w:pPr>
      <w:r>
        <w:t>Source: Table 3-2, p150 of the submission</w:t>
      </w:r>
      <w:r w:rsidR="00234372">
        <w:t xml:space="preserve"> main body</w:t>
      </w:r>
      <w:r>
        <w:t xml:space="preserve">. </w:t>
      </w:r>
    </w:p>
    <w:p w14:paraId="0FBAF098" w14:textId="77777777" w:rsidR="0088494B" w:rsidRDefault="0088494B" w:rsidP="0088494B">
      <w:pPr>
        <w:pStyle w:val="FooterTableFigure"/>
      </w:pPr>
      <w:r>
        <w:t xml:space="preserve">AEMP = approved ex-manufacturer price. </w:t>
      </w:r>
    </w:p>
    <w:p w14:paraId="11ACB51D" w14:textId="3BF22939" w:rsidR="0088494B" w:rsidRDefault="0088494B" w:rsidP="0088494B">
      <w:pPr>
        <w:pStyle w:val="3-BodyText"/>
      </w:pPr>
      <w:r>
        <w:t xml:space="preserve">The submission calculated </w:t>
      </w:r>
      <w:r w:rsidR="00F965E1">
        <w:t>the approved ex-manufacturer price (</w:t>
      </w:r>
      <w:r>
        <w:t>AEMP</w:t>
      </w:r>
      <w:r w:rsidR="00F965E1">
        <w:t>)</w:t>
      </w:r>
      <w:r>
        <w:t xml:space="preserve"> of $39.28 for Bijuva based on </w:t>
      </w:r>
      <w:r w:rsidR="00DA78FC">
        <w:t xml:space="preserve">the AEMP of </w:t>
      </w:r>
      <w:r>
        <w:t xml:space="preserve">Estrogel Pro. </w:t>
      </w:r>
      <w:r w:rsidR="00833147">
        <w:t>T</w:t>
      </w:r>
      <w:r w:rsidR="004444E4">
        <w:t>he submission</w:t>
      </w:r>
      <w:r>
        <w:t xml:space="preserve"> </w:t>
      </w:r>
      <w:r w:rsidR="00833147">
        <w:t xml:space="preserve">requested </w:t>
      </w:r>
      <w:r w:rsidR="004444E4">
        <w:t xml:space="preserve">a </w:t>
      </w:r>
      <w:r>
        <w:t xml:space="preserve">DPMQ </w:t>
      </w:r>
      <w:r w:rsidR="004444E4">
        <w:t xml:space="preserve">of </w:t>
      </w:r>
      <w:r>
        <w:t xml:space="preserve">$55.69 for 1-pack </w:t>
      </w:r>
      <w:r w:rsidR="00DB1885">
        <w:t>of Bijuva 28 capsules,</w:t>
      </w:r>
      <w:r>
        <w:t xml:space="preserve"> and $97.93 for the 2-pack (i.e., 60-day </w:t>
      </w:r>
      <w:r w:rsidR="00C91E39">
        <w:t>maximum dispensed qua</w:t>
      </w:r>
      <w:r w:rsidR="00490AC1">
        <w:t>ntit</w:t>
      </w:r>
      <w:r w:rsidR="00FA3E38">
        <w:t>y listing</w:t>
      </w:r>
      <w:r>
        <w:t xml:space="preserve">). </w:t>
      </w:r>
      <w:r w:rsidRPr="00C56203">
        <w:t xml:space="preserve">However, the mark-ups, administration and handling fee, and dispensing fees were updated since July 2025, resulting in </w:t>
      </w:r>
      <w:r w:rsidR="00F878AF" w:rsidRPr="00C56203">
        <w:t xml:space="preserve">a corresponding </w:t>
      </w:r>
      <w:r w:rsidRPr="00C56203">
        <w:t>DPMQ of $56.02 for 1-pack and $98.26 for the 2-pack.</w:t>
      </w:r>
      <w:r w:rsidRPr="00F469AD">
        <w:rPr>
          <w:i/>
          <w:iCs/>
        </w:rPr>
        <w:t xml:space="preserve"> </w:t>
      </w:r>
    </w:p>
    <w:p w14:paraId="29ACCE5C" w14:textId="1F5F16AD" w:rsidR="0088494B" w:rsidRPr="00C56203" w:rsidRDefault="0088494B" w:rsidP="0088494B">
      <w:pPr>
        <w:pStyle w:val="3-BodyText"/>
      </w:pPr>
      <w:bookmarkStart w:id="52" w:name="_Ref207552556"/>
      <w:r w:rsidRPr="00C56203">
        <w:t>As stated in paragraph</w:t>
      </w:r>
      <w:r w:rsidR="000E7CA8">
        <w:t xml:space="preserve"> </w:t>
      </w:r>
      <w:r w:rsidR="009250CD">
        <w:t>6.65</w:t>
      </w:r>
      <w:r w:rsidRPr="00C56203">
        <w:t xml:space="preserve">, the treatment duration </w:t>
      </w:r>
      <w:r w:rsidR="00BA7D35" w:rsidRPr="00C56203">
        <w:t xml:space="preserve">in the submission for </w:t>
      </w:r>
      <w:r w:rsidR="00C15EF3" w:rsidRPr="00C56203">
        <w:t xml:space="preserve">a pack of </w:t>
      </w:r>
      <w:r w:rsidRPr="00C56203">
        <w:t>Estrogel Pro</w:t>
      </w:r>
      <w:r w:rsidR="00BA7D35" w:rsidRPr="00C56203">
        <w:t xml:space="preserve"> was underestimate</w:t>
      </w:r>
      <w:r w:rsidR="00ED7A34" w:rsidRPr="00C56203">
        <w:t xml:space="preserve">d, </w:t>
      </w:r>
      <w:r w:rsidR="0022583C" w:rsidRPr="00C56203">
        <w:t xml:space="preserve">and inconsistent with the </w:t>
      </w:r>
      <w:r w:rsidR="00D04110" w:rsidRPr="00C56203">
        <w:t xml:space="preserve">treatment duration </w:t>
      </w:r>
      <w:r w:rsidR="00C87AD1" w:rsidRPr="00C56203">
        <w:t>used in the November 2024 PBAC consideration of Estrogel Pro</w:t>
      </w:r>
      <w:r w:rsidRPr="00C56203">
        <w:t>. Assuming a pack of Estrogel Pro provides a treatment duration of 32 days, the cost-minimised AEMP for Bijuva decreases by 6%, from $39.28 to $36.83. Based on the revised AEMP</w:t>
      </w:r>
      <w:r w:rsidR="00A14BAF" w:rsidRPr="00C56203">
        <w:t xml:space="preserve"> </w:t>
      </w:r>
      <w:r w:rsidRPr="00C56203">
        <w:t xml:space="preserve">for Bijuva, the revised DPMQ was calculated as $53.39 for 1-pack </w:t>
      </w:r>
      <w:r w:rsidR="009C427B" w:rsidRPr="00C56203">
        <w:t xml:space="preserve">of Bijuva </w:t>
      </w:r>
      <w:r w:rsidRPr="00C56203">
        <w:t xml:space="preserve">and $93.00 for the 2-pack (i.e., </w:t>
      </w:r>
      <w:bookmarkEnd w:id="52"/>
      <w:r w:rsidRPr="00C56203">
        <w:t xml:space="preserve">60-day </w:t>
      </w:r>
      <w:r w:rsidR="009C427B" w:rsidRPr="00C56203">
        <w:t>maximum dispensed quantity listing</w:t>
      </w:r>
      <w:r w:rsidRPr="00C56203">
        <w:t>).</w:t>
      </w:r>
    </w:p>
    <w:p w14:paraId="57BF8CBD" w14:textId="4962EE05" w:rsidR="00DE4273" w:rsidRPr="00C56203" w:rsidRDefault="001E2F24">
      <w:pPr>
        <w:pStyle w:val="3-BodyText"/>
        <w:rPr>
          <w:iCs/>
          <w:color w:val="0066FF"/>
        </w:rPr>
      </w:pPr>
      <w:r w:rsidRPr="00C56203">
        <w:rPr>
          <w:iCs/>
        </w:rPr>
        <w:t xml:space="preserve">Should the PBAC accept the clinical claim of overall non-inferior effectiveness and safety, the cost-minimisation approach must establish that the cost per patient for treatment with </w:t>
      </w:r>
      <w:r w:rsidR="001C1238" w:rsidRPr="00C56203">
        <w:rPr>
          <w:iCs/>
        </w:rPr>
        <w:t>Bijuva</w:t>
      </w:r>
      <w:r w:rsidRPr="00C56203">
        <w:rPr>
          <w:iCs/>
        </w:rPr>
        <w:t xml:space="preserve"> would be no more than the cost per patient of </w:t>
      </w:r>
      <w:r w:rsidR="00462A9F" w:rsidRPr="00C56203">
        <w:rPr>
          <w:iCs/>
        </w:rPr>
        <w:t>appropriate comparators</w:t>
      </w:r>
      <w:r w:rsidRPr="00C56203">
        <w:rPr>
          <w:iCs/>
        </w:rPr>
        <w:t>. 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2A7943" w:rsidRPr="00C56203">
        <w:rPr>
          <w:iCs/>
        </w:rPr>
        <w:t xml:space="preserve"> </w:t>
      </w:r>
    </w:p>
    <w:p w14:paraId="472842D7" w14:textId="4D25CC56" w:rsidR="00C25D9C" w:rsidRDefault="00C25D9C" w:rsidP="00BB732D">
      <w:pPr>
        <w:pStyle w:val="4-SubsectionHeading"/>
      </w:pPr>
      <w:bookmarkStart w:id="53" w:name="_Toc22897646"/>
      <w:bookmarkStart w:id="54" w:name="_Toc208998239"/>
      <w:r w:rsidRPr="0098262F">
        <w:t>Drug</w:t>
      </w:r>
      <w:r w:rsidR="00B6532E">
        <w:t xml:space="preserve"> </w:t>
      </w:r>
      <w:r w:rsidRPr="0098262F">
        <w:t>cost/patient/year</w:t>
      </w:r>
      <w:bookmarkEnd w:id="53"/>
      <w:r w:rsidR="005D77D7">
        <w:t>: $696.45</w:t>
      </w:r>
      <w:bookmarkEnd w:id="54"/>
    </w:p>
    <w:p w14:paraId="36928D3D" w14:textId="38B6F497" w:rsidR="00BA3955" w:rsidRPr="00C56203" w:rsidRDefault="00BA3955" w:rsidP="00684E38">
      <w:pPr>
        <w:pStyle w:val="3-BodyText"/>
        <w:rPr>
          <w:lang w:eastAsia="en-US"/>
        </w:rPr>
      </w:pPr>
      <w:r w:rsidRPr="00C56203">
        <w:rPr>
          <w:lang w:eastAsia="en-US"/>
        </w:rPr>
        <w:t xml:space="preserve">Bijuva (a single fixed dose capsule containing both </w:t>
      </w:r>
      <w:r w:rsidR="0073513E" w:rsidRPr="00C56203">
        <w:rPr>
          <w:lang w:eastAsia="en-US"/>
        </w:rPr>
        <w:t>estradiol</w:t>
      </w:r>
      <w:r w:rsidRPr="00C56203">
        <w:rPr>
          <w:lang w:eastAsia="en-US"/>
        </w:rPr>
        <w:t xml:space="preserve"> and MP) with 28</w:t>
      </w:r>
      <w:r w:rsidR="0023383A">
        <w:rPr>
          <w:lang w:eastAsia="en-US"/>
        </w:rPr>
        <w:t> </w:t>
      </w:r>
      <w:r w:rsidRPr="00C56203">
        <w:rPr>
          <w:lang w:eastAsia="en-US"/>
        </w:rPr>
        <w:t>capsules per pack, provide</w:t>
      </w:r>
      <w:r w:rsidR="003A6DAD" w:rsidRPr="00C56203">
        <w:rPr>
          <w:lang w:eastAsia="en-US"/>
        </w:rPr>
        <w:t>s</w:t>
      </w:r>
      <w:r w:rsidRPr="00C56203">
        <w:rPr>
          <w:lang w:eastAsia="en-US"/>
        </w:rPr>
        <w:t xml:space="preserve"> 28 days </w:t>
      </w:r>
      <w:r w:rsidR="00A73AED" w:rsidRPr="00C56203">
        <w:rPr>
          <w:lang w:eastAsia="en-US"/>
        </w:rPr>
        <w:t xml:space="preserve">of </w:t>
      </w:r>
      <w:r w:rsidRPr="00C56203">
        <w:rPr>
          <w:lang w:eastAsia="en-US"/>
        </w:rPr>
        <w:t xml:space="preserve">therapy. Based on the proposed DPMQ of </w:t>
      </w:r>
      <w:r w:rsidR="00606DD8" w:rsidRPr="00C56203">
        <w:rPr>
          <w:lang w:eastAsia="en-US"/>
        </w:rPr>
        <w:t>$</w:t>
      </w:r>
      <w:r w:rsidR="0036244B" w:rsidRPr="00C56203">
        <w:rPr>
          <w:lang w:eastAsia="en-US"/>
        </w:rPr>
        <w:t>56.02</w:t>
      </w:r>
      <w:r w:rsidR="00C4605E" w:rsidRPr="00C56203">
        <w:rPr>
          <w:lang w:eastAsia="en-US"/>
        </w:rPr>
        <w:t>,</w:t>
      </w:r>
      <w:r w:rsidR="0036244B" w:rsidRPr="00C56203">
        <w:rPr>
          <w:lang w:eastAsia="en-US"/>
        </w:rPr>
        <w:t xml:space="preserve"> </w:t>
      </w:r>
      <w:r w:rsidR="00C4605E" w:rsidRPr="00C56203">
        <w:rPr>
          <w:lang w:eastAsia="en-US"/>
        </w:rPr>
        <w:t>the estimated cost per patient per year of treatment with Bijuva was $</w:t>
      </w:r>
      <w:r w:rsidR="007F6B32" w:rsidRPr="00C56203">
        <w:rPr>
          <w:lang w:eastAsia="en-US"/>
        </w:rPr>
        <w:t>7</w:t>
      </w:r>
      <w:r w:rsidR="009F366D" w:rsidRPr="00C56203">
        <w:rPr>
          <w:lang w:eastAsia="en-US"/>
        </w:rPr>
        <w:t>30.76</w:t>
      </w:r>
      <w:r w:rsidR="00C4605E" w:rsidRPr="00C56203">
        <w:rPr>
          <w:lang w:eastAsia="en-US"/>
        </w:rPr>
        <w:t xml:space="preserve"> ($</w:t>
      </w:r>
      <w:r w:rsidR="007F6B32" w:rsidRPr="00C56203">
        <w:rPr>
          <w:lang w:eastAsia="en-US"/>
        </w:rPr>
        <w:t>56.02</w:t>
      </w:r>
      <w:r w:rsidR="00C4605E" w:rsidRPr="00C56203">
        <w:rPr>
          <w:lang w:eastAsia="en-US"/>
        </w:rPr>
        <w:t xml:space="preserve"> x [365.25/</w:t>
      </w:r>
      <w:r w:rsidR="007F6B32" w:rsidRPr="00C56203">
        <w:rPr>
          <w:lang w:eastAsia="en-US"/>
        </w:rPr>
        <w:t>28</w:t>
      </w:r>
      <w:r w:rsidR="00C4605E" w:rsidRPr="00C56203">
        <w:rPr>
          <w:lang w:eastAsia="en-US"/>
        </w:rPr>
        <w:t xml:space="preserve">]). </w:t>
      </w:r>
      <w:r w:rsidR="00E91505" w:rsidRPr="00C56203">
        <w:rPr>
          <w:lang w:eastAsia="en-US"/>
        </w:rPr>
        <w:t xml:space="preserve">Based on the revised DPMQ of </w:t>
      </w:r>
      <w:r w:rsidR="00536F33" w:rsidRPr="00C56203">
        <w:rPr>
          <w:lang w:eastAsia="en-US"/>
        </w:rPr>
        <w:t>$53.39</w:t>
      </w:r>
      <w:r w:rsidR="00E45251" w:rsidRPr="00C56203">
        <w:rPr>
          <w:lang w:eastAsia="en-US"/>
        </w:rPr>
        <w:t>,</w:t>
      </w:r>
      <w:r w:rsidR="00DD19A9" w:rsidRPr="00C56203">
        <w:rPr>
          <w:lang w:eastAsia="en-US"/>
        </w:rPr>
        <w:t xml:space="preserve"> as described in paragraph </w:t>
      </w:r>
      <w:r w:rsidR="00234372" w:rsidRPr="00C56203">
        <w:rPr>
          <w:lang w:eastAsia="en-US"/>
        </w:rPr>
        <w:fldChar w:fldCharType="begin"/>
      </w:r>
      <w:r w:rsidR="00234372" w:rsidRPr="00C56203">
        <w:rPr>
          <w:lang w:eastAsia="en-US"/>
        </w:rPr>
        <w:instrText xml:space="preserve"> REF _Ref207552556 \r \h </w:instrText>
      </w:r>
      <w:r w:rsidR="008F6D4D" w:rsidRPr="00C56203">
        <w:rPr>
          <w:lang w:eastAsia="en-US"/>
        </w:rPr>
        <w:instrText xml:space="preserve"> \* MERGEFORMAT </w:instrText>
      </w:r>
      <w:r w:rsidR="00234372" w:rsidRPr="00C56203">
        <w:rPr>
          <w:lang w:eastAsia="en-US"/>
        </w:rPr>
      </w:r>
      <w:r w:rsidR="00234372" w:rsidRPr="00C56203">
        <w:rPr>
          <w:lang w:eastAsia="en-US"/>
        </w:rPr>
        <w:fldChar w:fldCharType="separate"/>
      </w:r>
      <w:r w:rsidR="00724077">
        <w:rPr>
          <w:lang w:eastAsia="en-US"/>
        </w:rPr>
        <w:t>6.70</w:t>
      </w:r>
      <w:r w:rsidR="00234372" w:rsidRPr="00C56203">
        <w:rPr>
          <w:lang w:eastAsia="en-US"/>
        </w:rPr>
        <w:fldChar w:fldCharType="end"/>
      </w:r>
      <w:r w:rsidR="00DD19A9" w:rsidRPr="00C56203">
        <w:rPr>
          <w:lang w:eastAsia="en-US"/>
        </w:rPr>
        <w:t xml:space="preserve">, </w:t>
      </w:r>
      <w:r w:rsidR="00E45251" w:rsidRPr="00C56203">
        <w:rPr>
          <w:lang w:eastAsia="en-US"/>
        </w:rPr>
        <w:t>the estimated cost per patient per year of treatment with Bijuva was $</w:t>
      </w:r>
      <w:r w:rsidR="00DD19A9" w:rsidRPr="00C56203">
        <w:rPr>
          <w:lang w:eastAsia="en-US"/>
        </w:rPr>
        <w:t>696.45</w:t>
      </w:r>
      <w:r w:rsidR="00E45251" w:rsidRPr="00C56203">
        <w:rPr>
          <w:lang w:eastAsia="en-US"/>
        </w:rPr>
        <w:t xml:space="preserve"> ($5</w:t>
      </w:r>
      <w:r w:rsidR="00DD19A9" w:rsidRPr="00C56203">
        <w:rPr>
          <w:lang w:eastAsia="en-US"/>
        </w:rPr>
        <w:t>3.39</w:t>
      </w:r>
      <w:r w:rsidR="00E45251" w:rsidRPr="00C56203">
        <w:rPr>
          <w:lang w:eastAsia="en-US"/>
        </w:rPr>
        <w:t xml:space="preserve"> x [365.25/28])</w:t>
      </w:r>
      <w:r w:rsidR="005D77D7" w:rsidRPr="00C56203">
        <w:rPr>
          <w:lang w:eastAsia="en-US"/>
        </w:rPr>
        <w:t>.</w:t>
      </w:r>
    </w:p>
    <w:p w14:paraId="14312C83" w14:textId="51C06D72" w:rsidR="00684E38" w:rsidRPr="00C56203" w:rsidRDefault="00684E38" w:rsidP="00684E38">
      <w:pPr>
        <w:pStyle w:val="3-BodyText"/>
        <w:rPr>
          <w:lang w:eastAsia="en-US"/>
        </w:rPr>
      </w:pPr>
      <w:r w:rsidRPr="00C56203">
        <w:rPr>
          <w:lang w:eastAsia="en-US"/>
        </w:rPr>
        <w:t xml:space="preserve">For Estrogel Pro, the duration of treatment was 32 days based on the individual component of Estrogel in the pack. Based on the </w:t>
      </w:r>
      <w:r w:rsidR="00742F77" w:rsidRPr="00C56203">
        <w:rPr>
          <w:lang w:eastAsia="en-US"/>
        </w:rPr>
        <w:t>published</w:t>
      </w:r>
      <w:r w:rsidRPr="00C56203">
        <w:rPr>
          <w:lang w:eastAsia="en-US"/>
        </w:rPr>
        <w:t xml:space="preserve"> DPMQ of $</w:t>
      </w:r>
      <w:r w:rsidR="00882070" w:rsidRPr="00C56203">
        <w:rPr>
          <w:lang w:eastAsia="en-US"/>
        </w:rPr>
        <w:t>59.05</w:t>
      </w:r>
      <w:r w:rsidRPr="00C56203">
        <w:rPr>
          <w:lang w:eastAsia="en-US"/>
        </w:rPr>
        <w:t xml:space="preserve">, the </w:t>
      </w:r>
      <w:r w:rsidRPr="00C56203">
        <w:rPr>
          <w:lang w:eastAsia="en-US"/>
        </w:rPr>
        <w:lastRenderedPageBreak/>
        <w:t>estimated cost per patient per year of treatment with Estrogel Pro was $67</w:t>
      </w:r>
      <w:r w:rsidR="005D06E2" w:rsidRPr="00C56203">
        <w:rPr>
          <w:lang w:eastAsia="en-US"/>
        </w:rPr>
        <w:t xml:space="preserve">4 </w:t>
      </w:r>
      <w:r w:rsidRPr="00C56203">
        <w:rPr>
          <w:lang w:eastAsia="en-US"/>
        </w:rPr>
        <w:t>($</w:t>
      </w:r>
      <w:r w:rsidR="008758DB" w:rsidRPr="00C56203">
        <w:rPr>
          <w:lang w:eastAsia="en-US"/>
        </w:rPr>
        <w:t>59.05</w:t>
      </w:r>
      <w:r w:rsidRPr="00C56203">
        <w:rPr>
          <w:lang w:eastAsia="en-US"/>
        </w:rPr>
        <w:t xml:space="preserve"> x [365.25/32] days)</w:t>
      </w:r>
      <w:r w:rsidR="00D42B92" w:rsidRPr="00C56203">
        <w:rPr>
          <w:lang w:eastAsia="en-US"/>
        </w:rPr>
        <w:t xml:space="preserve">, with </w:t>
      </w:r>
      <w:r w:rsidRPr="00C56203">
        <w:rPr>
          <w:lang w:eastAsia="en-US"/>
        </w:rPr>
        <w:t>a small amount of wastage associated with MP</w:t>
      </w:r>
      <w:r w:rsidR="0066556E" w:rsidRPr="00C56203">
        <w:rPr>
          <w:lang w:eastAsia="en-US"/>
        </w:rPr>
        <w:t>.</w:t>
      </w:r>
      <w:r w:rsidRPr="00C56203">
        <w:rPr>
          <w:lang w:eastAsia="en-US"/>
        </w:rPr>
        <w:t xml:space="preserve"> </w:t>
      </w:r>
    </w:p>
    <w:p w14:paraId="268768EF" w14:textId="3626F292" w:rsidR="00B60939" w:rsidRPr="0098262F" w:rsidRDefault="00B60939" w:rsidP="002B05A1">
      <w:pPr>
        <w:pStyle w:val="4-SubsectionHeading"/>
      </w:pPr>
      <w:bookmarkStart w:id="55" w:name="_Toc22897647"/>
      <w:bookmarkStart w:id="56" w:name="_Toc208998240"/>
      <w:r w:rsidRPr="0098262F">
        <w:t>Estimated PBS usage &amp; financial implications</w:t>
      </w:r>
      <w:bookmarkEnd w:id="55"/>
      <w:bookmarkEnd w:id="56"/>
    </w:p>
    <w:p w14:paraId="322D7CD8" w14:textId="2CF9C2B5" w:rsidR="00AA3866" w:rsidRDefault="00C25D9C" w:rsidP="00AA3866">
      <w:pPr>
        <w:pStyle w:val="3-BodyText"/>
        <w:rPr>
          <w:color w:val="0066FF"/>
        </w:rPr>
      </w:pPr>
      <w:r w:rsidRPr="0098262F">
        <w:t xml:space="preserve">This submission </w:t>
      </w:r>
      <w:r w:rsidR="007E1C3E">
        <w:t>was not</w:t>
      </w:r>
      <w:r w:rsidR="00D23D11" w:rsidRPr="0098262F">
        <w:t xml:space="preserve"> </w:t>
      </w:r>
      <w:r w:rsidRPr="0098262F">
        <w:t>considered by DUSC</w:t>
      </w:r>
      <w:r w:rsidRPr="00AA3866">
        <w:rPr>
          <w:color w:val="0070C0"/>
        </w:rPr>
        <w:t>.</w:t>
      </w:r>
      <w:r w:rsidR="00BC591F" w:rsidRPr="00AA3866">
        <w:rPr>
          <w:color w:val="0070C0"/>
        </w:rPr>
        <w:t xml:space="preserve"> </w:t>
      </w:r>
    </w:p>
    <w:p w14:paraId="04B31D2D" w14:textId="2E3B82DF" w:rsidR="0072416F" w:rsidRPr="00AA3866" w:rsidRDefault="006412DA" w:rsidP="006412DA">
      <w:pPr>
        <w:pStyle w:val="3-BodyText"/>
      </w:pPr>
      <w:r w:rsidRPr="006412DA">
        <w:t>The submission</w:t>
      </w:r>
      <w:r w:rsidR="002531BF">
        <w:t xml:space="preserve"> </w:t>
      </w:r>
      <w:r w:rsidRPr="006412DA">
        <w:t>used a</w:t>
      </w:r>
      <w:r>
        <w:t xml:space="preserve"> combined </w:t>
      </w:r>
      <w:r w:rsidR="008A4AEA">
        <w:t xml:space="preserve">abridged </w:t>
      </w:r>
      <w:r>
        <w:t xml:space="preserve">epidemiological </w:t>
      </w:r>
      <w:r w:rsidR="00BD0195">
        <w:t>approach</w:t>
      </w:r>
      <w:r>
        <w:t xml:space="preserve"> and</w:t>
      </w:r>
      <w:r w:rsidRPr="006412DA">
        <w:t xml:space="preserve"> market share approach to estimate the use and financial impact of listing </w:t>
      </w:r>
      <w:r>
        <w:t>Bijuva</w:t>
      </w:r>
      <w:r w:rsidRPr="006412DA">
        <w:t xml:space="preserve"> </w:t>
      </w:r>
      <w:r w:rsidR="00E37C06">
        <w:t>on the PBS</w:t>
      </w:r>
      <w:r w:rsidRPr="006412DA">
        <w:t xml:space="preserve">. </w:t>
      </w:r>
      <w:r w:rsidR="00347393" w:rsidRPr="00347393">
        <w:t xml:space="preserve">The sources of data used in the financial estimates are presented in </w:t>
      </w:r>
      <w:r w:rsidR="00E16AD8" w:rsidRPr="00AA3866">
        <w:fldChar w:fldCharType="begin"/>
      </w:r>
      <w:r w:rsidR="00E16AD8" w:rsidRPr="00AA3866">
        <w:instrText xml:space="preserve"> REF _Ref104805262 \h  \* MERGEFORMAT </w:instrText>
      </w:r>
      <w:r w:rsidR="00E16AD8" w:rsidRPr="00AA3866">
        <w:fldChar w:fldCharType="separate"/>
      </w:r>
      <w:r w:rsidR="00724077" w:rsidRPr="0098262F">
        <w:t xml:space="preserve">Table </w:t>
      </w:r>
      <w:r w:rsidR="00724077">
        <w:t>10</w:t>
      </w:r>
      <w:r w:rsidR="00E16AD8" w:rsidRPr="00AA3866">
        <w:fldChar w:fldCharType="end"/>
      </w:r>
      <w:r w:rsidR="002C3D35">
        <w:t>,</w:t>
      </w:r>
      <w:r w:rsidR="00E16AD8" w:rsidRPr="00AA3866">
        <w:t xml:space="preserve"> </w:t>
      </w:r>
      <w:r w:rsidR="004658B5" w:rsidRPr="00AA3866">
        <w:t>outlining the key inputs relied on in the financial estimates.</w:t>
      </w:r>
    </w:p>
    <w:p w14:paraId="3393BCE7" w14:textId="0DA36E05" w:rsidR="00E42F73" w:rsidRPr="0098262F" w:rsidRDefault="00E16AD8" w:rsidP="00E16AD8">
      <w:pPr>
        <w:pStyle w:val="Caption"/>
        <w:rPr>
          <w:rStyle w:val="CommentReference"/>
          <w:b/>
          <w:szCs w:val="24"/>
        </w:rPr>
      </w:pPr>
      <w:bookmarkStart w:id="57" w:name="_Ref104805262"/>
      <w:bookmarkStart w:id="58" w:name="_Ref207465513"/>
      <w:r w:rsidRPr="0098262F">
        <w:lastRenderedPageBreak/>
        <w:t xml:space="preserve">Table </w:t>
      </w:r>
      <w:r w:rsidR="003A0CC2">
        <w:fldChar w:fldCharType="begin"/>
      </w:r>
      <w:r w:rsidR="003A0CC2">
        <w:instrText xml:space="preserve"> SEQ Table \* ARABIC </w:instrText>
      </w:r>
      <w:r w:rsidR="003A0CC2">
        <w:fldChar w:fldCharType="separate"/>
      </w:r>
      <w:r w:rsidR="00724077">
        <w:rPr>
          <w:noProof/>
        </w:rPr>
        <w:t>10</w:t>
      </w:r>
      <w:r w:rsidR="003A0CC2">
        <w:rPr>
          <w:noProof/>
        </w:rPr>
        <w:fldChar w:fldCharType="end"/>
      </w:r>
      <w:bookmarkEnd w:id="57"/>
      <w:r w:rsidRPr="0098262F">
        <w:t>:</w:t>
      </w:r>
      <w:r w:rsidR="00E42F73" w:rsidRPr="0098262F">
        <w:rPr>
          <w:rStyle w:val="CommentReference"/>
          <w:b/>
          <w:szCs w:val="24"/>
        </w:rPr>
        <w:t xml:space="preserve"> Key inputs for financial estimates</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inputs for financial estimates"/>
      </w:tblPr>
      <w:tblGrid>
        <w:gridCol w:w="1414"/>
        <w:gridCol w:w="3967"/>
        <w:gridCol w:w="3636"/>
      </w:tblGrid>
      <w:tr w:rsidR="00E42F73" w:rsidRPr="0098262F" w14:paraId="7AFD013A" w14:textId="77777777" w:rsidTr="00A6567C">
        <w:trPr>
          <w:tblHeader/>
        </w:trPr>
        <w:tc>
          <w:tcPr>
            <w:tcW w:w="784" w:type="pct"/>
            <w:vAlign w:val="center"/>
          </w:tcPr>
          <w:p w14:paraId="45C2C4CE" w14:textId="370E9AAB" w:rsidR="00E42F73" w:rsidRPr="00C56203" w:rsidRDefault="004658B5" w:rsidP="007925DF">
            <w:pPr>
              <w:pStyle w:val="In-tableHeading"/>
              <w:rPr>
                <w:lang w:val="en-AU"/>
              </w:rPr>
            </w:pPr>
            <w:r w:rsidRPr="00C56203">
              <w:rPr>
                <w:lang w:val="en-AU"/>
              </w:rPr>
              <w:t>Parameter</w:t>
            </w:r>
          </w:p>
        </w:tc>
        <w:tc>
          <w:tcPr>
            <w:tcW w:w="2200" w:type="pct"/>
            <w:vAlign w:val="center"/>
          </w:tcPr>
          <w:p w14:paraId="5C04F956" w14:textId="559E8DB1" w:rsidR="00E42F73" w:rsidRPr="00C56203" w:rsidRDefault="004658B5" w:rsidP="007925DF">
            <w:pPr>
              <w:pStyle w:val="In-tableHeading"/>
              <w:rPr>
                <w:lang w:val="en-AU"/>
              </w:rPr>
            </w:pPr>
            <w:r w:rsidRPr="00C56203">
              <w:rPr>
                <w:lang w:val="en-AU"/>
              </w:rPr>
              <w:t>Value applied and source</w:t>
            </w:r>
          </w:p>
        </w:tc>
        <w:tc>
          <w:tcPr>
            <w:tcW w:w="2016" w:type="pct"/>
            <w:vAlign w:val="center"/>
          </w:tcPr>
          <w:p w14:paraId="45DE44AA" w14:textId="006D2CF3" w:rsidR="00E42F73" w:rsidRPr="00C56203" w:rsidRDefault="004658B5" w:rsidP="007925DF">
            <w:pPr>
              <w:pStyle w:val="In-tableHeading"/>
              <w:rPr>
                <w:lang w:val="en-AU"/>
              </w:rPr>
            </w:pPr>
            <w:r w:rsidRPr="00C56203">
              <w:rPr>
                <w:lang w:val="en-AU"/>
              </w:rPr>
              <w:t>Comment</w:t>
            </w:r>
            <w:r w:rsidR="00074E2B">
              <w:rPr>
                <w:lang w:val="en-AU"/>
              </w:rPr>
              <w:t>*</w:t>
            </w:r>
          </w:p>
        </w:tc>
      </w:tr>
      <w:tr w:rsidR="00EE4B69" w:rsidRPr="0098262F" w14:paraId="4BEF206D" w14:textId="77777777" w:rsidTr="00A6567C">
        <w:tc>
          <w:tcPr>
            <w:tcW w:w="784" w:type="pct"/>
            <w:vAlign w:val="center"/>
          </w:tcPr>
          <w:p w14:paraId="5724F53F" w14:textId="0646FB0D" w:rsidR="00EE4B69" w:rsidRPr="00C56203" w:rsidRDefault="00DF49D7" w:rsidP="007925DF">
            <w:pPr>
              <w:pStyle w:val="TableText0"/>
            </w:pPr>
            <w:r w:rsidRPr="00C56203">
              <w:t>Number of patients</w:t>
            </w:r>
          </w:p>
        </w:tc>
        <w:tc>
          <w:tcPr>
            <w:tcW w:w="2200" w:type="pct"/>
            <w:vAlign w:val="center"/>
          </w:tcPr>
          <w:p w14:paraId="2974F923" w14:textId="03D9373D" w:rsidR="00EE4B69" w:rsidRPr="00C56203" w:rsidRDefault="00C371AB" w:rsidP="007925DF">
            <w:pPr>
              <w:pStyle w:val="TableText0"/>
            </w:pPr>
            <w:r w:rsidRPr="00C371AB">
              <w:rPr>
                <w:highlight w:val="black"/>
              </w:rPr>
              <w:t>&amp;&amp;&amp;&amp;</w:t>
            </w:r>
            <w:r w:rsidR="00662DC8">
              <w:rPr>
                <w:vertAlign w:val="superscript"/>
              </w:rPr>
              <w:t>1</w:t>
            </w:r>
            <w:r w:rsidR="00EE4B69" w:rsidRPr="00C56203">
              <w:t xml:space="preserve"> in Year 1, increasing to </w:t>
            </w:r>
            <w:r w:rsidRPr="00C371AB">
              <w:rPr>
                <w:highlight w:val="black"/>
              </w:rPr>
              <w:t>&amp;&amp;&amp;&amp;</w:t>
            </w:r>
            <w:r w:rsidR="00B74F4E">
              <w:rPr>
                <w:vertAlign w:val="superscript"/>
              </w:rPr>
              <w:t>2</w:t>
            </w:r>
            <w:r w:rsidR="00EE4B69" w:rsidRPr="00C56203">
              <w:t xml:space="preserve"> in Year </w:t>
            </w:r>
            <w:r w:rsidR="00E86092" w:rsidRPr="00C56203">
              <w:t>5 (</w:t>
            </w:r>
            <w:r w:rsidR="00DB5A01" w:rsidRPr="00C56203">
              <w:t xml:space="preserve">patient numbers for </w:t>
            </w:r>
            <w:r w:rsidR="00E86092" w:rsidRPr="00C56203">
              <w:t>Year</w:t>
            </w:r>
            <w:r w:rsidR="003B0C9B" w:rsidRPr="00C56203">
              <w:t> </w:t>
            </w:r>
            <w:r w:rsidR="00EE4B69" w:rsidRPr="00C56203">
              <w:t>6</w:t>
            </w:r>
            <w:r w:rsidR="00E86092" w:rsidRPr="00C56203">
              <w:t xml:space="preserve"> not </w:t>
            </w:r>
            <w:r w:rsidR="00DB5A01" w:rsidRPr="00C56203">
              <w:t>included, however</w:t>
            </w:r>
            <w:r w:rsidR="00C02157" w:rsidRPr="00C56203">
              <w:t xml:space="preserve"> number of scripts for Year 6 is included [</w:t>
            </w:r>
            <w:r w:rsidR="00C02157" w:rsidRPr="00697BF7">
              <w:t>see below</w:t>
            </w:r>
            <w:r w:rsidR="00C02157" w:rsidRPr="00C56203">
              <w:t>]</w:t>
            </w:r>
            <w:r w:rsidR="00E86092" w:rsidRPr="00C56203">
              <w:t>)</w:t>
            </w:r>
            <w:r w:rsidR="00E13C7B" w:rsidRPr="00C56203">
              <w:t xml:space="preserve">. </w:t>
            </w:r>
            <w:r w:rsidR="00071854" w:rsidRPr="00C56203">
              <w:t>B</w:t>
            </w:r>
            <w:r w:rsidR="00EE4B69" w:rsidRPr="00C56203">
              <w:t xml:space="preserve">ased on the patient range data reported in the PSD for </w:t>
            </w:r>
            <w:r w:rsidR="00966F05" w:rsidRPr="00C56203">
              <w:t xml:space="preserve">estradiol and progesterone </w:t>
            </w:r>
            <w:r w:rsidR="00EE4B69" w:rsidRPr="00C56203">
              <w:t>from the November 2024 PBAC meeting.</w:t>
            </w:r>
          </w:p>
        </w:tc>
        <w:tc>
          <w:tcPr>
            <w:tcW w:w="2016" w:type="pct"/>
            <w:vMerge w:val="restart"/>
            <w:vAlign w:val="center"/>
          </w:tcPr>
          <w:p w14:paraId="73AB6E83" w14:textId="230933DF" w:rsidR="00245FE3" w:rsidRPr="00C56203" w:rsidRDefault="00777E06" w:rsidP="007925DF">
            <w:pPr>
              <w:pStyle w:val="TableText0"/>
            </w:pPr>
            <w:r w:rsidRPr="00C56203">
              <w:t xml:space="preserve">This was </w:t>
            </w:r>
            <w:r w:rsidR="00931A5B" w:rsidRPr="00C56203">
              <w:t>uncertain</w:t>
            </w:r>
            <w:r w:rsidRPr="00C56203">
              <w:t xml:space="preserve">, as </w:t>
            </w:r>
            <w:r w:rsidR="00D939F7" w:rsidRPr="00C56203">
              <w:t>estimates were based on ranges</w:t>
            </w:r>
            <w:r w:rsidRPr="00C56203">
              <w:t xml:space="preserve"> in the </w:t>
            </w:r>
            <w:r w:rsidR="00D939F7" w:rsidRPr="00C56203">
              <w:t>estradiol and progesterone</w:t>
            </w:r>
            <w:r w:rsidRPr="00C56203">
              <w:t xml:space="preserve"> PSD</w:t>
            </w:r>
            <w:r w:rsidR="00D939F7" w:rsidRPr="00C56203">
              <w:t>, and not exact numbers</w:t>
            </w:r>
            <w:r w:rsidRPr="00C56203">
              <w:t xml:space="preserve">. </w:t>
            </w:r>
            <w:r w:rsidR="00E367ED" w:rsidRPr="00C56203">
              <w:t>Additionally, these patient numbers were based on the private market of Estrogel Pro</w:t>
            </w:r>
            <w:r w:rsidR="004C6601" w:rsidRPr="00C56203">
              <w:t xml:space="preserve">, and no evidence was provided to </w:t>
            </w:r>
            <w:r w:rsidR="00FF33D9" w:rsidRPr="00C56203">
              <w:t xml:space="preserve">support the assumption in </w:t>
            </w:r>
            <w:r w:rsidR="003F354E" w:rsidRPr="00C56203">
              <w:t>market growth</w:t>
            </w:r>
            <w:r w:rsidR="00472A1D" w:rsidRPr="00C56203">
              <w:t xml:space="preserve"> rate</w:t>
            </w:r>
            <w:r w:rsidR="003F354E" w:rsidRPr="00C56203">
              <w:t xml:space="preserve"> (</w:t>
            </w:r>
            <w:r w:rsidR="007E1586" w:rsidRPr="00C56203">
              <w:t>paragraph 6.136, estradiol and progesterone PSD, November 2024 PBAC meeting)</w:t>
            </w:r>
            <w:r w:rsidR="00E367ED" w:rsidRPr="00C56203">
              <w:t xml:space="preserve">. </w:t>
            </w:r>
            <w:r w:rsidR="00245FE3" w:rsidRPr="00C56203">
              <w:t>The number of prescriptions per year was based on a 32-day treatment duration per Estrogel Pro pack, which does not align with the 30-day duration assumed in the CMA.</w:t>
            </w:r>
          </w:p>
          <w:p w14:paraId="672E9FBE" w14:textId="77777777" w:rsidR="009712C9" w:rsidRPr="00C56203" w:rsidRDefault="009712C9" w:rsidP="007925DF">
            <w:pPr>
              <w:pStyle w:val="TableText0"/>
            </w:pPr>
          </w:p>
          <w:p w14:paraId="078672CF" w14:textId="7D720B25" w:rsidR="00EE4B69" w:rsidRPr="00C56203" w:rsidRDefault="00635CD4" w:rsidP="007925DF">
            <w:pPr>
              <w:pStyle w:val="TableText0"/>
            </w:pPr>
            <w:r w:rsidRPr="00C56203">
              <w:t xml:space="preserve">Furthermore, the additional 30% growth adjustment likely overestimated utilisation compared to the 2024 </w:t>
            </w:r>
            <w:proofErr w:type="spellStart"/>
            <w:r w:rsidRPr="00C56203">
              <w:t>iQvia</w:t>
            </w:r>
            <w:proofErr w:type="spellEnd"/>
            <w:r w:rsidRPr="00C56203">
              <w:t xml:space="preserve"> sales data for Estrogel </w:t>
            </w:r>
            <w:r w:rsidR="00C15EF3" w:rsidRPr="00C56203">
              <w:t>Pro</w:t>
            </w:r>
            <w:r w:rsidR="009E00B6" w:rsidRPr="00C56203">
              <w:t>.</w:t>
            </w:r>
          </w:p>
        </w:tc>
      </w:tr>
      <w:tr w:rsidR="00EE4B69" w:rsidRPr="0098262F" w14:paraId="273D05F4" w14:textId="77777777" w:rsidTr="00A6567C">
        <w:tc>
          <w:tcPr>
            <w:tcW w:w="784" w:type="pct"/>
            <w:vAlign w:val="center"/>
          </w:tcPr>
          <w:p w14:paraId="0152C8AA" w14:textId="32A96792" w:rsidR="00EE4B69" w:rsidRPr="00C56203" w:rsidRDefault="00EE4B69" w:rsidP="007925DF">
            <w:pPr>
              <w:pStyle w:val="TableText0"/>
            </w:pPr>
            <w:r w:rsidRPr="00C56203">
              <w:t>Total number of prescriptions for Estrogel Pro</w:t>
            </w:r>
          </w:p>
        </w:tc>
        <w:tc>
          <w:tcPr>
            <w:tcW w:w="2200" w:type="pct"/>
            <w:vAlign w:val="center"/>
          </w:tcPr>
          <w:p w14:paraId="05EEEF30" w14:textId="1D0E5E6A" w:rsidR="00E13C7B" w:rsidRPr="00C56203" w:rsidRDefault="00C371AB" w:rsidP="007925DF">
            <w:pPr>
              <w:pStyle w:val="TableText0"/>
            </w:pPr>
            <w:r w:rsidRPr="00C371AB">
              <w:rPr>
                <w:highlight w:val="black"/>
              </w:rPr>
              <w:t>&amp;&amp;&amp;&amp;</w:t>
            </w:r>
            <w:r w:rsidR="007816BD">
              <w:rPr>
                <w:vertAlign w:val="superscript"/>
              </w:rPr>
              <w:t>3</w:t>
            </w:r>
            <w:r w:rsidR="00EE4B69" w:rsidRPr="00C56203">
              <w:t xml:space="preserve"> in Year 1, increasing to </w:t>
            </w:r>
            <w:r w:rsidRPr="00C371AB">
              <w:rPr>
                <w:highlight w:val="black"/>
              </w:rPr>
              <w:t>&amp;&amp;&amp;&amp;</w:t>
            </w:r>
            <w:r w:rsidR="002B27AC">
              <w:rPr>
                <w:vertAlign w:val="superscript"/>
              </w:rPr>
              <w:t>4</w:t>
            </w:r>
            <w:r w:rsidR="00EE4B69" w:rsidRPr="00C56203">
              <w:t xml:space="preserve"> in Year 6</w:t>
            </w:r>
            <w:r w:rsidR="00E13C7B" w:rsidRPr="00C56203">
              <w:t>.</w:t>
            </w:r>
          </w:p>
          <w:p w14:paraId="5FE8DC6D" w14:textId="5735FCFF" w:rsidR="00EE4B69" w:rsidRPr="00C56203" w:rsidRDefault="00071854" w:rsidP="007925DF">
            <w:pPr>
              <w:pStyle w:val="TableText0"/>
            </w:pPr>
            <w:r w:rsidRPr="00C56203">
              <w:t>D</w:t>
            </w:r>
            <w:r w:rsidR="00E13C7B" w:rsidRPr="00C56203">
              <w:t>erived by multiplying the estimated number of patients by the annual</w:t>
            </w:r>
            <w:r w:rsidR="00C754E3">
              <w:t xml:space="preserve"> number of</w:t>
            </w:r>
            <w:r w:rsidR="00E13C7B" w:rsidRPr="00C56203">
              <w:t xml:space="preserve"> prescription</w:t>
            </w:r>
            <w:r w:rsidR="00C754E3">
              <w:t>s</w:t>
            </w:r>
            <w:r w:rsidR="00E13C7B" w:rsidRPr="00C56203">
              <w:t xml:space="preserve"> per patient for Estrogel Pro (11.41), then adjusted</w:t>
            </w:r>
            <w:r w:rsidR="001E1C3A" w:rsidRPr="00C56203">
              <w:t xml:space="preserve"> </w:t>
            </w:r>
            <w:r w:rsidR="00E13C7B" w:rsidRPr="00C56203">
              <w:t xml:space="preserve">by 30% to account for uncertainty, as noted by the ESC in the </w:t>
            </w:r>
            <w:r w:rsidR="000373DA" w:rsidRPr="00C56203">
              <w:t>estradiol and progesterone</w:t>
            </w:r>
            <w:r w:rsidR="00E13C7B" w:rsidRPr="00C56203">
              <w:t xml:space="preserve"> PSD from the November 2024 PBAC meeting.</w:t>
            </w:r>
          </w:p>
        </w:tc>
        <w:tc>
          <w:tcPr>
            <w:tcW w:w="2016" w:type="pct"/>
            <w:vMerge/>
            <w:vAlign w:val="center"/>
          </w:tcPr>
          <w:p w14:paraId="035D240F" w14:textId="77777777" w:rsidR="00EE4B69" w:rsidRPr="00C56203" w:rsidRDefault="00EE4B69" w:rsidP="007925DF">
            <w:pPr>
              <w:pStyle w:val="TableText0"/>
            </w:pPr>
          </w:p>
        </w:tc>
      </w:tr>
      <w:tr w:rsidR="00E42F73" w:rsidRPr="0098262F" w14:paraId="72C9FBDD" w14:textId="77777777" w:rsidTr="00A6567C">
        <w:tc>
          <w:tcPr>
            <w:tcW w:w="784" w:type="pct"/>
            <w:vAlign w:val="center"/>
          </w:tcPr>
          <w:p w14:paraId="2FBBDC67" w14:textId="63556A1C" w:rsidR="00E42F73" w:rsidRPr="00C56203" w:rsidRDefault="004658B5" w:rsidP="007925DF">
            <w:pPr>
              <w:pStyle w:val="TableText0"/>
            </w:pPr>
            <w:r w:rsidRPr="00C56203">
              <w:t>Uptake rate</w:t>
            </w:r>
          </w:p>
        </w:tc>
        <w:tc>
          <w:tcPr>
            <w:tcW w:w="2200" w:type="pct"/>
            <w:vAlign w:val="center"/>
          </w:tcPr>
          <w:p w14:paraId="550316FC" w14:textId="42071135" w:rsidR="00E42F73" w:rsidRPr="00C56203" w:rsidRDefault="00C371AB" w:rsidP="007925DF">
            <w:pPr>
              <w:pStyle w:val="TableText0"/>
            </w:pPr>
            <w:r w:rsidRPr="00C371AB">
              <w:rPr>
                <w:highlight w:val="black"/>
              </w:rPr>
              <w:t>&amp;&amp;&amp;&amp;</w:t>
            </w:r>
            <w:r w:rsidR="001E1C3A" w:rsidRPr="00C56203">
              <w:t>%</w:t>
            </w:r>
            <w:r w:rsidR="004658B5" w:rsidRPr="00C56203">
              <w:t xml:space="preserve"> in Year 1 increasing to </w:t>
            </w:r>
            <w:r w:rsidRPr="00C371AB">
              <w:rPr>
                <w:highlight w:val="black"/>
              </w:rPr>
              <w:t>&amp;&amp;&amp;&amp;</w:t>
            </w:r>
            <w:r w:rsidR="004658B5" w:rsidRPr="00C56203">
              <w:t xml:space="preserve">% in Year 6. Based on </w:t>
            </w:r>
            <w:r w:rsidR="003C3575">
              <w:t>s</w:t>
            </w:r>
            <w:r w:rsidR="00DF49D7" w:rsidRPr="00C56203">
              <w:t>ponsor’s assumption</w:t>
            </w:r>
            <w:r w:rsidR="00C93E88" w:rsidRPr="00C56203">
              <w:t>.</w:t>
            </w:r>
          </w:p>
        </w:tc>
        <w:tc>
          <w:tcPr>
            <w:tcW w:w="2016" w:type="pct"/>
            <w:vAlign w:val="center"/>
          </w:tcPr>
          <w:p w14:paraId="7295AAE5" w14:textId="31115198" w:rsidR="00E42F73" w:rsidRPr="00C56203" w:rsidRDefault="00DF49D7" w:rsidP="007925DF">
            <w:pPr>
              <w:pStyle w:val="TableText0"/>
            </w:pPr>
            <w:r w:rsidRPr="00C56203">
              <w:t xml:space="preserve">This </w:t>
            </w:r>
            <w:r w:rsidR="001E1C3A" w:rsidRPr="00C56203">
              <w:t xml:space="preserve">was </w:t>
            </w:r>
            <w:r w:rsidR="00AA4DBC" w:rsidRPr="00C56203">
              <w:t>uncertain and</w:t>
            </w:r>
            <w:r w:rsidR="00472090" w:rsidRPr="00C56203">
              <w:t xml:space="preserve"> is not supported by any evidence.</w:t>
            </w:r>
            <w:r w:rsidR="001E1C3A" w:rsidRPr="00C56203">
              <w:t xml:space="preserve"> </w:t>
            </w:r>
            <w:r w:rsidRPr="00C56203">
              <w:t xml:space="preserve">Bijuva may substitute </w:t>
            </w:r>
            <w:r w:rsidR="005A712A" w:rsidRPr="00C56203">
              <w:t>for</w:t>
            </w:r>
            <w:r w:rsidRPr="00C56203">
              <w:t xml:space="preserve"> other PBS-listed MHTs</w:t>
            </w:r>
            <w:r w:rsidR="00472090" w:rsidRPr="00C56203">
              <w:t xml:space="preserve">, particularly oral MHTs including </w:t>
            </w:r>
            <w:proofErr w:type="spellStart"/>
            <w:r w:rsidR="00472090" w:rsidRPr="00C56203">
              <w:t>Femoston</w:t>
            </w:r>
            <w:proofErr w:type="spellEnd"/>
            <w:r w:rsidR="000E7497" w:rsidRPr="00C56203">
              <w:t>.</w:t>
            </w:r>
            <w:r w:rsidR="00472090" w:rsidRPr="00C56203">
              <w:t xml:space="preserve"> </w:t>
            </w:r>
          </w:p>
        </w:tc>
      </w:tr>
      <w:tr w:rsidR="008D0D37" w:rsidRPr="0098262F" w14:paraId="184CA30F" w14:textId="77777777" w:rsidTr="00A6567C">
        <w:tc>
          <w:tcPr>
            <w:tcW w:w="784" w:type="pct"/>
          </w:tcPr>
          <w:p w14:paraId="222F527C" w14:textId="5589AF9A" w:rsidR="008D0D37" w:rsidRPr="00C56203" w:rsidRDefault="008D0D37" w:rsidP="008D0D37">
            <w:pPr>
              <w:pStyle w:val="TableText0"/>
            </w:pPr>
            <w:r w:rsidRPr="00C56203">
              <w:t xml:space="preserve">Substitution rate </w:t>
            </w:r>
          </w:p>
        </w:tc>
        <w:tc>
          <w:tcPr>
            <w:tcW w:w="2200" w:type="pct"/>
          </w:tcPr>
          <w:p w14:paraId="0C7C36DE" w14:textId="426A5B76" w:rsidR="008D0D37" w:rsidRPr="00C56203" w:rsidRDefault="008D0D37" w:rsidP="008D0D37">
            <w:pPr>
              <w:pStyle w:val="TableText0"/>
            </w:pPr>
            <w:r w:rsidRPr="00C56203">
              <w:t>1</w:t>
            </w:r>
            <w:r w:rsidR="00B8036A" w:rsidRPr="00C56203">
              <w:t xml:space="preserve"> </w:t>
            </w:r>
            <w:r w:rsidR="006F50A6" w:rsidRPr="00C56203">
              <w:t>x</w:t>
            </w:r>
            <w:r w:rsidR="00B8036A" w:rsidRPr="00C56203">
              <w:t xml:space="preserve"> Estrogel Pro </w:t>
            </w:r>
            <w:r w:rsidR="00670F1E" w:rsidRPr="00C56203">
              <w:t xml:space="preserve">prescription </w:t>
            </w:r>
            <w:r w:rsidR="00B8036A" w:rsidRPr="00C56203">
              <w:t xml:space="preserve">is equivalent </w:t>
            </w:r>
            <w:r w:rsidR="00670F1E" w:rsidRPr="00C56203">
              <w:t>to</w:t>
            </w:r>
            <w:r w:rsidR="00B8036A" w:rsidRPr="00C56203">
              <w:t xml:space="preserve"> </w:t>
            </w:r>
            <w:r w:rsidR="00403B57" w:rsidRPr="00C56203">
              <w:t xml:space="preserve">1.07 </w:t>
            </w:r>
            <w:r w:rsidR="006F50A6" w:rsidRPr="00C56203">
              <w:t xml:space="preserve">x </w:t>
            </w:r>
            <w:r w:rsidR="00403B57" w:rsidRPr="00C56203">
              <w:t xml:space="preserve">Bijuva </w:t>
            </w:r>
            <w:r w:rsidR="00670F1E" w:rsidRPr="00C56203">
              <w:t>prescription</w:t>
            </w:r>
            <w:r w:rsidR="006F50A6" w:rsidRPr="00C56203">
              <w:t>s</w:t>
            </w:r>
            <w:r w:rsidR="00071854" w:rsidRPr="00C56203">
              <w:t>. B</w:t>
            </w:r>
            <w:r w:rsidR="00403B57" w:rsidRPr="00C56203">
              <w:t xml:space="preserve">ased on duration of therapy </w:t>
            </w:r>
            <w:r w:rsidR="00E405C4" w:rsidRPr="00C56203">
              <w:t xml:space="preserve">of </w:t>
            </w:r>
            <w:r w:rsidR="00806A50" w:rsidRPr="00C56203">
              <w:t>30 days for Estrogel Pro and 28 days for Bijuva</w:t>
            </w:r>
            <w:r w:rsidR="006E2843">
              <w:t>.</w:t>
            </w:r>
          </w:p>
        </w:tc>
        <w:tc>
          <w:tcPr>
            <w:tcW w:w="2016" w:type="pct"/>
            <w:vAlign w:val="center"/>
          </w:tcPr>
          <w:p w14:paraId="145191A2" w14:textId="4FB9E699" w:rsidR="008D0D37" w:rsidRPr="00C56203" w:rsidRDefault="00EE3EB2" w:rsidP="008D0D37">
            <w:pPr>
              <w:pStyle w:val="TableText0"/>
            </w:pPr>
            <w:r w:rsidRPr="00C56203">
              <w:t xml:space="preserve">While this was consistent with the assumption used in the </w:t>
            </w:r>
            <w:r w:rsidR="00C979BC" w:rsidRPr="00C56203">
              <w:t xml:space="preserve">submission’s </w:t>
            </w:r>
            <w:r w:rsidRPr="00C56203">
              <w:t xml:space="preserve">CMA, </w:t>
            </w:r>
            <w:r w:rsidR="00857CD8" w:rsidRPr="00C56203">
              <w:t xml:space="preserve">Estrogel Pro </w:t>
            </w:r>
            <w:r w:rsidR="00D7126C" w:rsidRPr="00C56203">
              <w:t xml:space="preserve">provides </w:t>
            </w:r>
            <w:r w:rsidR="00996062" w:rsidRPr="00C56203">
              <w:t>32 days of therapy (</w:t>
            </w:r>
            <w:r w:rsidR="00922A9B" w:rsidRPr="00C56203">
              <w:t>paragraph</w:t>
            </w:r>
            <w:r w:rsidR="005B420A" w:rsidRPr="00C56203">
              <w:t> </w:t>
            </w:r>
            <w:r w:rsidR="005B420A" w:rsidRPr="00C56203">
              <w:fldChar w:fldCharType="begin"/>
            </w:r>
            <w:r w:rsidR="005B420A" w:rsidRPr="00C56203">
              <w:instrText xml:space="preserve"> REF _Ref207455655 \r \h </w:instrText>
            </w:r>
            <w:r w:rsidR="00C56203" w:rsidRPr="00C56203">
              <w:instrText xml:space="preserve"> \* MERGEFORMAT </w:instrText>
            </w:r>
            <w:r w:rsidR="005B420A" w:rsidRPr="00C56203">
              <w:fldChar w:fldCharType="separate"/>
            </w:r>
            <w:r w:rsidR="00724077">
              <w:t>6.65</w:t>
            </w:r>
            <w:r w:rsidR="005B420A" w:rsidRPr="00C56203">
              <w:fldChar w:fldCharType="end"/>
            </w:r>
            <w:r w:rsidR="005B420A" w:rsidRPr="00C56203">
              <w:t>)</w:t>
            </w:r>
            <w:r w:rsidR="00323309">
              <w:t>.</w:t>
            </w:r>
          </w:p>
        </w:tc>
      </w:tr>
      <w:tr w:rsidR="00B7366E" w:rsidRPr="0098262F" w14:paraId="72C95886" w14:textId="77777777" w:rsidTr="00A6567C">
        <w:tc>
          <w:tcPr>
            <w:tcW w:w="784" w:type="pct"/>
            <w:vAlign w:val="center"/>
          </w:tcPr>
          <w:p w14:paraId="4F7DBA7B" w14:textId="385DCF2E" w:rsidR="00B7366E" w:rsidRPr="00C56203" w:rsidRDefault="0001577E" w:rsidP="007925DF">
            <w:pPr>
              <w:pStyle w:val="TableText0"/>
            </w:pPr>
            <w:r w:rsidRPr="00C56203">
              <w:t>%</w:t>
            </w:r>
            <w:r w:rsidR="00643137" w:rsidRPr="00C56203">
              <w:t xml:space="preserve"> of use in postmenopausal women</w:t>
            </w:r>
          </w:p>
        </w:tc>
        <w:tc>
          <w:tcPr>
            <w:tcW w:w="2200" w:type="pct"/>
            <w:vAlign w:val="center"/>
          </w:tcPr>
          <w:p w14:paraId="2567E3D1" w14:textId="71FDF716" w:rsidR="00B7366E" w:rsidRPr="00C56203" w:rsidRDefault="004F5084" w:rsidP="007925DF">
            <w:pPr>
              <w:pStyle w:val="TableText0"/>
            </w:pPr>
            <w:r w:rsidRPr="00C56203">
              <w:t>85.3%</w:t>
            </w:r>
            <w:r w:rsidR="00FF38F6" w:rsidRPr="00C56203">
              <w:t xml:space="preserve">. </w:t>
            </w:r>
            <w:r w:rsidR="00071854" w:rsidRPr="00C56203">
              <w:t>D</w:t>
            </w:r>
            <w:r w:rsidR="00417579" w:rsidRPr="00C56203">
              <w:t>erived from</w:t>
            </w:r>
            <w:r w:rsidR="00A72BD3" w:rsidRPr="00C56203">
              <w:t xml:space="preserve"> Worsley R., et al. (2016)</w:t>
            </w:r>
            <w:r w:rsidR="0060507F" w:rsidRPr="00C56203">
              <w:rPr>
                <w:rStyle w:val="FootnoteReference"/>
              </w:rPr>
              <w:footnoteReference w:id="18"/>
            </w:r>
            <w:r w:rsidR="00417579" w:rsidRPr="00C56203">
              <w:t xml:space="preserve"> based on the assumption that </w:t>
            </w:r>
            <w:r w:rsidR="00FF38F6" w:rsidRPr="00C56203">
              <w:t xml:space="preserve">Estrogel Pro may be used for both perimenopausal and postmenopausal women due to transdermal </w:t>
            </w:r>
            <w:proofErr w:type="spellStart"/>
            <w:r w:rsidR="00FF38F6" w:rsidRPr="00C56203">
              <w:t>estrogel</w:t>
            </w:r>
            <w:proofErr w:type="spellEnd"/>
            <w:r w:rsidR="00FF38F6" w:rsidRPr="00C56203">
              <w:t xml:space="preserve">, whereas </w:t>
            </w:r>
            <w:proofErr w:type="spellStart"/>
            <w:r w:rsidR="00FF38F6" w:rsidRPr="00C56203">
              <w:t>Bijuva</w:t>
            </w:r>
            <w:proofErr w:type="spellEnd"/>
            <w:r w:rsidR="00FF38F6" w:rsidRPr="00C56203">
              <w:t xml:space="preserve"> is indicated for postmenopausal use only</w:t>
            </w:r>
            <w:r w:rsidR="00A34310" w:rsidRPr="00C56203">
              <w:t>.</w:t>
            </w:r>
          </w:p>
        </w:tc>
        <w:tc>
          <w:tcPr>
            <w:tcW w:w="2016" w:type="pct"/>
            <w:vAlign w:val="center"/>
          </w:tcPr>
          <w:p w14:paraId="1D9B8851" w14:textId="3C24CE43" w:rsidR="00B7366E" w:rsidRPr="00C56203" w:rsidRDefault="00BE194E" w:rsidP="007925DF">
            <w:pPr>
              <w:pStyle w:val="TableText0"/>
            </w:pPr>
            <w:r w:rsidRPr="00C56203">
              <w:t>This was not appropriate given</w:t>
            </w:r>
            <w:r w:rsidR="00AF434F" w:rsidRPr="00C56203">
              <w:t xml:space="preserve"> </w:t>
            </w:r>
            <w:r w:rsidRPr="00C56203">
              <w:t xml:space="preserve">the </w:t>
            </w:r>
            <w:r w:rsidR="00BE1733" w:rsidRPr="00C56203">
              <w:t xml:space="preserve">TGA </w:t>
            </w:r>
            <w:r w:rsidR="00F1302A" w:rsidRPr="00C56203">
              <w:t xml:space="preserve">indication for </w:t>
            </w:r>
            <w:r w:rsidRPr="00C56203">
              <w:t xml:space="preserve">Estrogel Pro is </w:t>
            </w:r>
            <w:proofErr w:type="gramStart"/>
            <w:r w:rsidR="00F1302A" w:rsidRPr="00C56203">
              <w:t>similar to</w:t>
            </w:r>
            <w:proofErr w:type="gramEnd"/>
            <w:r w:rsidR="00F1302A" w:rsidRPr="00C56203">
              <w:t xml:space="preserve"> Bijuva.</w:t>
            </w:r>
          </w:p>
        </w:tc>
      </w:tr>
      <w:tr w:rsidR="00B7366E" w:rsidRPr="0098262F" w14:paraId="247C69C8" w14:textId="77777777" w:rsidTr="00A6567C">
        <w:tc>
          <w:tcPr>
            <w:tcW w:w="784" w:type="pct"/>
            <w:vAlign w:val="center"/>
          </w:tcPr>
          <w:p w14:paraId="2658196D" w14:textId="00310893" w:rsidR="00B7366E" w:rsidRPr="00C56203" w:rsidRDefault="0001577E" w:rsidP="007925DF">
            <w:pPr>
              <w:pStyle w:val="TableText0"/>
            </w:pPr>
            <w:r w:rsidRPr="00C56203">
              <w:t>% of prescriptions dispensed as part of 60-day MDQ</w:t>
            </w:r>
          </w:p>
        </w:tc>
        <w:tc>
          <w:tcPr>
            <w:tcW w:w="2200" w:type="pct"/>
            <w:vAlign w:val="center"/>
          </w:tcPr>
          <w:p w14:paraId="1CD426FE" w14:textId="72B27FE3" w:rsidR="00B7366E" w:rsidRPr="00C56203" w:rsidRDefault="00AC08E4" w:rsidP="007925DF">
            <w:pPr>
              <w:pStyle w:val="TableText0"/>
            </w:pPr>
            <w:r w:rsidRPr="00C56203">
              <w:t xml:space="preserve">27%. </w:t>
            </w:r>
            <w:r w:rsidR="00071854" w:rsidRPr="00C56203">
              <w:t>Based on</w:t>
            </w:r>
            <w:r w:rsidR="006C2BFB" w:rsidRPr="00C56203">
              <w:t xml:space="preserve"> number of services</w:t>
            </w:r>
            <w:r w:rsidR="00071854" w:rsidRPr="00C56203">
              <w:t xml:space="preserve"> PBS item number</w:t>
            </w:r>
            <w:r w:rsidR="006C2BFB" w:rsidRPr="00C56203">
              <w:t>s</w:t>
            </w:r>
            <w:r w:rsidR="00071854" w:rsidRPr="00C56203">
              <w:t xml:space="preserve"> 14721T and 14720R</w:t>
            </w:r>
            <w:r w:rsidR="00E24924" w:rsidRPr="00C56203">
              <w:t xml:space="preserve"> for Estrogel Pro from </w:t>
            </w:r>
            <w:r w:rsidR="001D7FD2" w:rsidRPr="00C56203">
              <w:t>March – April 2025</w:t>
            </w:r>
            <w:r w:rsidR="00071854" w:rsidRPr="00C56203">
              <w:t xml:space="preserve">. </w:t>
            </w:r>
          </w:p>
        </w:tc>
        <w:tc>
          <w:tcPr>
            <w:tcW w:w="2016" w:type="pct"/>
            <w:vAlign w:val="center"/>
          </w:tcPr>
          <w:p w14:paraId="11E8A130" w14:textId="6B09A9EB" w:rsidR="00B7366E" w:rsidRPr="00C56203" w:rsidRDefault="00071854" w:rsidP="007925DF">
            <w:pPr>
              <w:pStyle w:val="TableText0"/>
            </w:pPr>
            <w:r w:rsidRPr="00C56203">
              <w:t xml:space="preserve">This </w:t>
            </w:r>
            <w:r w:rsidR="001D7FD2" w:rsidRPr="00C56203">
              <w:t xml:space="preserve">may be </w:t>
            </w:r>
            <w:r w:rsidRPr="00C56203">
              <w:t>reasonable</w:t>
            </w:r>
            <w:r w:rsidR="001D7FD2" w:rsidRPr="00C56203">
              <w:t xml:space="preserve">, however </w:t>
            </w:r>
            <w:r w:rsidR="009D360F" w:rsidRPr="00C56203">
              <w:t xml:space="preserve">as this is only based on 2 </w:t>
            </w:r>
            <w:proofErr w:type="gramStart"/>
            <w:r w:rsidR="009D360F" w:rsidRPr="00C56203">
              <w:t>months’</w:t>
            </w:r>
            <w:proofErr w:type="gramEnd"/>
            <w:r w:rsidR="009D360F" w:rsidRPr="00C56203">
              <w:t xml:space="preserve"> of services for Estrogel Pro, </w:t>
            </w:r>
            <w:r w:rsidR="00E93966" w:rsidRPr="00C56203">
              <w:t xml:space="preserve">the proportion of prescriptions dispensed as 60-Day MDQ may </w:t>
            </w:r>
            <w:r w:rsidR="00CB05F0" w:rsidRPr="00C56203">
              <w:t xml:space="preserve">change </w:t>
            </w:r>
            <w:r w:rsidR="00CD68BF" w:rsidRPr="00C56203">
              <w:t>with a longer duration of listing</w:t>
            </w:r>
            <w:r w:rsidRPr="00C56203">
              <w:t>.</w:t>
            </w:r>
          </w:p>
        </w:tc>
      </w:tr>
      <w:tr w:rsidR="000143E4" w:rsidRPr="0098262F" w14:paraId="7D22B91C" w14:textId="77777777" w:rsidTr="00A6567C">
        <w:tc>
          <w:tcPr>
            <w:tcW w:w="5000" w:type="pct"/>
            <w:gridSpan w:val="3"/>
            <w:vAlign w:val="center"/>
          </w:tcPr>
          <w:p w14:paraId="72BAA396" w14:textId="78FDA4DF" w:rsidR="000143E4" w:rsidRPr="00C56203" w:rsidRDefault="000143E4" w:rsidP="007925DF">
            <w:pPr>
              <w:pStyle w:val="TableText0"/>
              <w:rPr>
                <w:b/>
                <w:bCs w:val="0"/>
              </w:rPr>
            </w:pPr>
            <w:r w:rsidRPr="00C56203">
              <w:rPr>
                <w:b/>
                <w:bCs w:val="0"/>
              </w:rPr>
              <w:t>Costs</w:t>
            </w:r>
          </w:p>
        </w:tc>
      </w:tr>
      <w:tr w:rsidR="00D244B6" w:rsidRPr="0098262F" w14:paraId="18F4FF1F" w14:textId="77777777" w:rsidTr="00A6567C">
        <w:tc>
          <w:tcPr>
            <w:tcW w:w="784" w:type="pct"/>
            <w:vAlign w:val="center"/>
          </w:tcPr>
          <w:p w14:paraId="09A388E2" w14:textId="0AAFB8B9" w:rsidR="00D244B6" w:rsidRPr="00C56203" w:rsidRDefault="00CA1A5A" w:rsidP="007925DF">
            <w:pPr>
              <w:pStyle w:val="TableText0"/>
            </w:pPr>
            <w:r w:rsidRPr="00C56203">
              <w:t>Bijuva</w:t>
            </w:r>
          </w:p>
        </w:tc>
        <w:tc>
          <w:tcPr>
            <w:tcW w:w="2200" w:type="pct"/>
            <w:vAlign w:val="center"/>
          </w:tcPr>
          <w:p w14:paraId="61C6F202" w14:textId="5581EFA0" w:rsidR="00D244B6" w:rsidRPr="00C56203" w:rsidRDefault="0017722B" w:rsidP="0017722B">
            <w:pPr>
              <w:pStyle w:val="TableText0"/>
            </w:pPr>
            <w:r w:rsidRPr="00C56203">
              <w:t>$55.69 for 30-day and $97.93 for 60-day</w:t>
            </w:r>
            <w:r w:rsidR="00035DD2" w:rsidRPr="00C56203">
              <w:t>. Based on requested DPMQ</w:t>
            </w:r>
            <w:r w:rsidR="00DE3047" w:rsidRPr="00C56203">
              <w:t>.</w:t>
            </w:r>
          </w:p>
        </w:tc>
        <w:tc>
          <w:tcPr>
            <w:tcW w:w="2016" w:type="pct"/>
            <w:vAlign w:val="center"/>
          </w:tcPr>
          <w:p w14:paraId="283F2180" w14:textId="6CC88472" w:rsidR="00D244B6" w:rsidRPr="00C56203" w:rsidRDefault="00D104F4" w:rsidP="007925DF">
            <w:pPr>
              <w:pStyle w:val="TableText0"/>
            </w:pPr>
            <w:r w:rsidRPr="00C56203">
              <w:t>The DPMQs were revised during the evaluation as the mark-up fees for drugs was updated on July 2025, resulting in a DPMQ of $56.02 for 30-day and $98.26 for 60-day</w:t>
            </w:r>
            <w:r w:rsidR="002D3343" w:rsidRPr="00C56203">
              <w:t>.</w:t>
            </w:r>
          </w:p>
        </w:tc>
      </w:tr>
      <w:tr w:rsidR="00E42F73" w:rsidRPr="0098262F" w14:paraId="0C865763" w14:textId="77777777" w:rsidTr="00A6567C">
        <w:tc>
          <w:tcPr>
            <w:tcW w:w="784" w:type="pct"/>
            <w:vAlign w:val="center"/>
          </w:tcPr>
          <w:p w14:paraId="49D0440C" w14:textId="476696B2" w:rsidR="00E42F73" w:rsidRPr="00C56203" w:rsidRDefault="00CA1A5A" w:rsidP="007925DF">
            <w:pPr>
              <w:pStyle w:val="TableText0"/>
            </w:pPr>
            <w:r w:rsidRPr="00C56203">
              <w:t>Estrogel Pro</w:t>
            </w:r>
          </w:p>
        </w:tc>
        <w:tc>
          <w:tcPr>
            <w:tcW w:w="2200" w:type="pct"/>
            <w:vAlign w:val="center"/>
          </w:tcPr>
          <w:p w14:paraId="55CF5673" w14:textId="4C068E5C" w:rsidR="00E42F73" w:rsidRPr="00C56203" w:rsidRDefault="00035DD2" w:rsidP="00035DD2">
            <w:pPr>
              <w:pStyle w:val="TableText0"/>
            </w:pPr>
            <w:r w:rsidRPr="00C56203">
              <w:t>$</w:t>
            </w:r>
            <w:r w:rsidR="00A364C5" w:rsidRPr="00C56203">
              <w:t>58.72</w:t>
            </w:r>
            <w:r w:rsidRPr="00C56203">
              <w:t xml:space="preserve"> for 30-day and $10</w:t>
            </w:r>
            <w:r w:rsidR="00A364C5" w:rsidRPr="00C56203">
              <w:t>3.99</w:t>
            </w:r>
            <w:r w:rsidRPr="00C56203">
              <w:t xml:space="preserve"> for 60-day. Based on published DPMQ for </w:t>
            </w:r>
            <w:r w:rsidR="00ED72AC" w:rsidRPr="00C56203">
              <w:t>PBS item number 14721T and 14720R</w:t>
            </w:r>
            <w:r w:rsidR="009B13D8" w:rsidRPr="00C56203">
              <w:t xml:space="preserve"> (Estrogel Pro)</w:t>
            </w:r>
            <w:r w:rsidR="00755B1E" w:rsidRPr="00C56203">
              <w:t>.</w:t>
            </w:r>
          </w:p>
        </w:tc>
        <w:tc>
          <w:tcPr>
            <w:tcW w:w="2016" w:type="pct"/>
            <w:vAlign w:val="center"/>
          </w:tcPr>
          <w:p w14:paraId="0E346EAB" w14:textId="09D0A81E" w:rsidR="00E42F73" w:rsidRPr="00C56203" w:rsidRDefault="00A364C5" w:rsidP="00D244B6">
            <w:pPr>
              <w:pStyle w:val="TableText0"/>
            </w:pPr>
            <w:r w:rsidRPr="00C56203">
              <w:t xml:space="preserve">The DPMQs were revised during the evaluation as the mark-up fees for drugs was updated </w:t>
            </w:r>
            <w:r w:rsidR="00E428F8">
              <w:t>i</w:t>
            </w:r>
            <w:r w:rsidRPr="00C56203">
              <w:t>n July 2025, resulting in a DPMQ of $</w:t>
            </w:r>
            <w:r w:rsidR="00BA3F5C" w:rsidRPr="00C56203">
              <w:t>59.05</w:t>
            </w:r>
            <w:r w:rsidRPr="00C56203">
              <w:t xml:space="preserve"> for 30-day and $</w:t>
            </w:r>
            <w:r w:rsidR="00BA3F5C" w:rsidRPr="00C56203">
              <w:t>104.32</w:t>
            </w:r>
            <w:r w:rsidRPr="00C56203">
              <w:t xml:space="preserve"> for 60-day</w:t>
            </w:r>
            <w:r w:rsidR="00775C91" w:rsidRPr="00C56203">
              <w:t xml:space="preserve"> ma</w:t>
            </w:r>
            <w:r w:rsidR="00296E40" w:rsidRPr="00C56203">
              <w:t xml:space="preserve">ximum </w:t>
            </w:r>
            <w:r w:rsidR="00285ACC" w:rsidRPr="00C56203">
              <w:t>dispensed quantity</w:t>
            </w:r>
            <w:r w:rsidRPr="00C56203">
              <w:t>.</w:t>
            </w:r>
          </w:p>
        </w:tc>
      </w:tr>
      <w:tr w:rsidR="004658B5" w:rsidRPr="0098262F" w14:paraId="7DA05E57" w14:textId="77777777" w:rsidTr="00A6567C">
        <w:tc>
          <w:tcPr>
            <w:tcW w:w="784" w:type="pct"/>
            <w:vAlign w:val="center"/>
          </w:tcPr>
          <w:p w14:paraId="38021BE8" w14:textId="0819C376" w:rsidR="004658B5" w:rsidRPr="00C56203" w:rsidRDefault="00090131" w:rsidP="007925DF">
            <w:pPr>
              <w:pStyle w:val="TableText0"/>
            </w:pPr>
            <w:r w:rsidRPr="00C56203">
              <w:t>Patient copayment</w:t>
            </w:r>
          </w:p>
        </w:tc>
        <w:tc>
          <w:tcPr>
            <w:tcW w:w="2200" w:type="pct"/>
            <w:vAlign w:val="center"/>
          </w:tcPr>
          <w:p w14:paraId="43F57750" w14:textId="3864C3B9" w:rsidR="004658B5" w:rsidRPr="00C56203" w:rsidRDefault="00AF7281" w:rsidP="00AF7281">
            <w:pPr>
              <w:pStyle w:val="TableText0"/>
            </w:pPr>
            <w:r w:rsidRPr="00C56203">
              <w:t xml:space="preserve">PBS: $29.07 and RPBS: $7.46. </w:t>
            </w:r>
            <w:r w:rsidR="00BB3FB3" w:rsidRPr="00C56203">
              <w:t>Based on a distribution of 99.</w:t>
            </w:r>
            <w:r w:rsidR="00F842C2" w:rsidRPr="00C56203">
              <w:t>79</w:t>
            </w:r>
            <w:r w:rsidR="00BB3FB3" w:rsidRPr="00C56203">
              <w:t>% PBS and 0.</w:t>
            </w:r>
            <w:r w:rsidR="00F842C2" w:rsidRPr="00C56203">
              <w:t>21</w:t>
            </w:r>
            <w:r w:rsidR="00BB3FB3" w:rsidRPr="00C56203">
              <w:t xml:space="preserve">% RPBS, as per PBS item </w:t>
            </w:r>
            <w:r w:rsidR="009B13D8" w:rsidRPr="00C56203">
              <w:t>number 14721T and 14720R (Estrogel Pro)</w:t>
            </w:r>
            <w:r w:rsidR="00C25AE1">
              <w:t>.</w:t>
            </w:r>
          </w:p>
        </w:tc>
        <w:tc>
          <w:tcPr>
            <w:tcW w:w="2016" w:type="pct"/>
            <w:vAlign w:val="center"/>
          </w:tcPr>
          <w:p w14:paraId="3AEEFE59" w14:textId="7B0E9465" w:rsidR="004658B5" w:rsidRPr="00C56203" w:rsidRDefault="009B13D8" w:rsidP="00D244B6">
            <w:pPr>
              <w:pStyle w:val="TableText0"/>
            </w:pPr>
            <w:r w:rsidRPr="00C56203">
              <w:t>This was reasonable.</w:t>
            </w:r>
          </w:p>
        </w:tc>
      </w:tr>
    </w:tbl>
    <w:p w14:paraId="72343E40" w14:textId="77777777" w:rsidR="008678C5" w:rsidRDefault="00E42F73" w:rsidP="007925DF">
      <w:pPr>
        <w:pStyle w:val="FooterTableFigure"/>
      </w:pPr>
      <w:r w:rsidRPr="0098262F">
        <w:t xml:space="preserve">Source: </w:t>
      </w:r>
      <w:r w:rsidR="00023B0B">
        <w:t xml:space="preserve">Table </w:t>
      </w:r>
      <w:r w:rsidR="00BD3CED">
        <w:t xml:space="preserve">4-2, p156; Table 4-3, p156; </w:t>
      </w:r>
      <w:r w:rsidR="00F47B76">
        <w:t>T</w:t>
      </w:r>
      <w:r w:rsidR="00BD3CED">
        <w:t>able 4-4, p158</w:t>
      </w:r>
      <w:r w:rsidR="00F47B76">
        <w:t>, Table 4-6, p160</w:t>
      </w:r>
      <w:r w:rsidR="00BD3CED">
        <w:t xml:space="preserve"> </w:t>
      </w:r>
      <w:r w:rsidR="00BD4B22">
        <w:t xml:space="preserve">and </w:t>
      </w:r>
      <w:r w:rsidR="00B871A8">
        <w:t xml:space="preserve">Section </w:t>
      </w:r>
      <w:r w:rsidR="00023B0B">
        <w:t>4</w:t>
      </w:r>
      <w:r w:rsidR="00BD4B22">
        <w:t>.2.3, pp160-161 of the submission</w:t>
      </w:r>
      <w:r w:rsidR="00234372">
        <w:t xml:space="preserve"> main body</w:t>
      </w:r>
      <w:r w:rsidR="00BD4B22">
        <w:t>.</w:t>
      </w:r>
    </w:p>
    <w:p w14:paraId="0AB508B6" w14:textId="380041AC" w:rsidR="00074E2B" w:rsidRDefault="00074E2B" w:rsidP="007925DF">
      <w:pPr>
        <w:pStyle w:val="FooterTableFigure"/>
      </w:pPr>
      <w:r>
        <w:t>*Added during evaluation</w:t>
      </w:r>
    </w:p>
    <w:p w14:paraId="4397713D" w14:textId="77777777" w:rsidR="00363159" w:rsidRDefault="008678C5" w:rsidP="00363159">
      <w:pPr>
        <w:pStyle w:val="FooterTableFigure"/>
        <w:rPr>
          <w:i/>
          <w:szCs w:val="18"/>
        </w:rPr>
      </w:pPr>
      <w:r w:rsidRPr="008678C5">
        <w:t xml:space="preserve">CMA = cost-minimisation approach; DPMQ = Dispensed price for maximum quantity; ESC = Economics Sub-Committee; </w:t>
      </w:r>
      <w:r w:rsidR="002531BF">
        <w:t xml:space="preserve">MDQ = maximum </w:t>
      </w:r>
      <w:r w:rsidR="0061438A">
        <w:t xml:space="preserve">dispensed </w:t>
      </w:r>
      <w:r w:rsidR="002531BF">
        <w:t xml:space="preserve">quantity; </w:t>
      </w:r>
      <w:r w:rsidRPr="008678C5">
        <w:t>MHT = menopaus</w:t>
      </w:r>
      <w:r w:rsidR="00E07B36">
        <w:t>al</w:t>
      </w:r>
      <w:r w:rsidRPr="008678C5">
        <w:t xml:space="preserve"> hormone therapy; MP = micronised progesterone; </w:t>
      </w:r>
      <w:r w:rsidR="00804258">
        <w:t xml:space="preserve">PBAC = Pharmaceutical Benefits Advisory Committee; </w:t>
      </w:r>
      <w:r w:rsidRPr="008678C5">
        <w:t>PBS = Pharmaceutical Benefits Scheme; PSD</w:t>
      </w:r>
      <w:r w:rsidR="00D909D0">
        <w:t> </w:t>
      </w:r>
      <w:r w:rsidRPr="008678C5">
        <w:t>=</w:t>
      </w:r>
      <w:r w:rsidR="00D909D0">
        <w:t> </w:t>
      </w:r>
      <w:r w:rsidRPr="008678C5">
        <w:t>Public Summary Document; RPBS = Repatriation Pharmaceutical Benefits Scheme; TGA = Therapeutic Goods Administration.</w:t>
      </w:r>
      <w:bookmarkStart w:id="59" w:name="_Hlk218761266"/>
      <w:bookmarkStart w:id="60" w:name="_Hlk218782700"/>
      <w:r w:rsidR="00363159" w:rsidRPr="00363159">
        <w:rPr>
          <w:i/>
          <w:szCs w:val="18"/>
        </w:rPr>
        <w:t xml:space="preserve"> </w:t>
      </w:r>
    </w:p>
    <w:p w14:paraId="632B2851" w14:textId="20BB1167" w:rsidR="00363159" w:rsidRPr="00363159" w:rsidRDefault="00363159" w:rsidP="00363159">
      <w:pPr>
        <w:pStyle w:val="FooterTableFigure"/>
        <w:rPr>
          <w:i/>
        </w:rPr>
      </w:pPr>
      <w:r w:rsidRPr="00363159">
        <w:rPr>
          <w:i/>
        </w:rPr>
        <w:t xml:space="preserve">The redacted values correspond to the following ranges: </w:t>
      </w:r>
    </w:p>
    <w:p w14:paraId="09B6A821" w14:textId="1BCDDB3E" w:rsidR="00363159" w:rsidRPr="00363159" w:rsidRDefault="00363159" w:rsidP="00363159">
      <w:pPr>
        <w:pStyle w:val="FooterTableFigure"/>
        <w:rPr>
          <w:i/>
        </w:rPr>
      </w:pPr>
      <w:r w:rsidRPr="00363159">
        <w:rPr>
          <w:i/>
          <w:vertAlign w:val="superscript"/>
        </w:rPr>
        <w:lastRenderedPageBreak/>
        <w:t>1</w:t>
      </w:r>
      <w:r w:rsidRPr="00363159">
        <w:rPr>
          <w:i/>
        </w:rPr>
        <w:t xml:space="preserve"> </w:t>
      </w:r>
      <w:bookmarkStart w:id="61" w:name="_Hlk218766179"/>
      <w:r w:rsidR="00662DC8" w:rsidRPr="00662DC8">
        <w:rPr>
          <w:i/>
        </w:rPr>
        <w:t>50,000 to &lt; 60,000</w:t>
      </w:r>
      <w:bookmarkEnd w:id="61"/>
    </w:p>
    <w:bookmarkEnd w:id="59"/>
    <w:p w14:paraId="3F5CAF30" w14:textId="291E9847" w:rsidR="00363159" w:rsidRPr="00363159" w:rsidRDefault="00363159" w:rsidP="00363159">
      <w:pPr>
        <w:pStyle w:val="FooterTableFigure"/>
        <w:rPr>
          <w:i/>
        </w:rPr>
      </w:pPr>
      <w:r w:rsidRPr="00363159">
        <w:rPr>
          <w:i/>
          <w:vertAlign w:val="superscript"/>
        </w:rPr>
        <w:t>2</w:t>
      </w:r>
      <w:r w:rsidRPr="00363159">
        <w:rPr>
          <w:i/>
        </w:rPr>
        <w:t xml:space="preserve"> </w:t>
      </w:r>
      <w:r w:rsidR="00B74F4E" w:rsidRPr="00B74F4E">
        <w:rPr>
          <w:i/>
        </w:rPr>
        <w:t>60,000 to &lt; 70,000</w:t>
      </w:r>
    </w:p>
    <w:bookmarkEnd w:id="60"/>
    <w:p w14:paraId="61B99CED" w14:textId="7DCA8EF6" w:rsidR="00363159" w:rsidRDefault="00363159" w:rsidP="00363159">
      <w:pPr>
        <w:pStyle w:val="FooterTableFigure"/>
        <w:rPr>
          <w:i/>
        </w:rPr>
      </w:pPr>
      <w:r w:rsidRPr="00363159">
        <w:rPr>
          <w:i/>
          <w:vertAlign w:val="superscript"/>
        </w:rPr>
        <w:t>3</w:t>
      </w:r>
      <w:r w:rsidRPr="00363159">
        <w:rPr>
          <w:i/>
        </w:rPr>
        <w:t xml:space="preserve"> </w:t>
      </w:r>
      <w:bookmarkStart w:id="62" w:name="_Hlk218766240"/>
      <w:r w:rsidR="007816BD" w:rsidRPr="007816BD">
        <w:rPr>
          <w:i/>
        </w:rPr>
        <w:t>700,000 to &lt; 800,000</w:t>
      </w:r>
      <w:bookmarkEnd w:id="62"/>
    </w:p>
    <w:p w14:paraId="27B65095" w14:textId="27BCB8B5" w:rsidR="007816BD" w:rsidRPr="00363159" w:rsidRDefault="007816BD" w:rsidP="00363159">
      <w:pPr>
        <w:pStyle w:val="FooterTableFigure"/>
        <w:rPr>
          <w:i/>
        </w:rPr>
      </w:pPr>
      <w:r>
        <w:rPr>
          <w:i/>
          <w:vertAlign w:val="superscript"/>
        </w:rPr>
        <w:t>4</w:t>
      </w:r>
      <w:r>
        <w:rPr>
          <w:i/>
        </w:rPr>
        <w:t xml:space="preserve"> </w:t>
      </w:r>
      <w:r w:rsidR="00DC3A0D" w:rsidRPr="00DC3A0D">
        <w:rPr>
          <w:i/>
        </w:rPr>
        <w:t>1,000,000 to &lt; 2,000,000</w:t>
      </w:r>
    </w:p>
    <w:p w14:paraId="18D32C76" w14:textId="28C61DCB" w:rsidR="00E42F73" w:rsidRPr="0098262F" w:rsidRDefault="00E42F73" w:rsidP="007925DF">
      <w:pPr>
        <w:pStyle w:val="FooterTableFigure"/>
      </w:pPr>
    </w:p>
    <w:p w14:paraId="26FB6670" w14:textId="7D258365" w:rsidR="00B505C8" w:rsidRPr="00D3081C" w:rsidRDefault="00E16AD8" w:rsidP="00B505C8">
      <w:pPr>
        <w:pStyle w:val="3-BodyText"/>
      </w:pPr>
      <w:r w:rsidRPr="00D3081C">
        <w:fldChar w:fldCharType="begin"/>
      </w:r>
      <w:r w:rsidRPr="00D3081C">
        <w:instrText xml:space="preserve"> REF _Ref104805295 \h  \* MERGEFORMAT </w:instrText>
      </w:r>
      <w:r w:rsidRPr="00D3081C">
        <w:fldChar w:fldCharType="separate"/>
      </w:r>
      <w:r w:rsidR="00724077" w:rsidRPr="0098262F">
        <w:t xml:space="preserve">Table </w:t>
      </w:r>
      <w:r w:rsidR="00724077">
        <w:t>11</w:t>
      </w:r>
      <w:r w:rsidRPr="00D3081C">
        <w:fldChar w:fldCharType="end"/>
      </w:r>
      <w:r w:rsidR="00B201A4" w:rsidRPr="00D3081C">
        <w:t xml:space="preserve"> </w:t>
      </w:r>
      <w:r w:rsidR="003D25F3" w:rsidRPr="00D3081C">
        <w:t>presents the estimated financial implications of listing Bijuva.</w:t>
      </w:r>
    </w:p>
    <w:p w14:paraId="38EC053C" w14:textId="51F6B4F1" w:rsidR="00C25D9C" w:rsidRPr="0098262F" w:rsidRDefault="00E16AD8" w:rsidP="00E16AD8">
      <w:pPr>
        <w:pStyle w:val="Caption"/>
      </w:pPr>
      <w:bookmarkStart w:id="63" w:name="_Ref104805295"/>
      <w:r w:rsidRPr="0098262F">
        <w:t xml:space="preserve">Table </w:t>
      </w:r>
      <w:r w:rsidR="003A0CC2">
        <w:fldChar w:fldCharType="begin"/>
      </w:r>
      <w:r w:rsidR="003A0CC2">
        <w:instrText xml:space="preserve"> SEQ Table \* ARABIC </w:instrText>
      </w:r>
      <w:r w:rsidR="003A0CC2">
        <w:fldChar w:fldCharType="separate"/>
      </w:r>
      <w:r w:rsidR="00724077">
        <w:rPr>
          <w:noProof/>
        </w:rPr>
        <w:t>11</w:t>
      </w:r>
      <w:r w:rsidR="003A0CC2">
        <w:rPr>
          <w:noProof/>
        </w:rPr>
        <w:fldChar w:fldCharType="end"/>
      </w:r>
      <w:bookmarkEnd w:id="63"/>
      <w:r w:rsidRPr="0098262F">
        <w:t>:</w:t>
      </w:r>
      <w:r w:rsidR="002A2F50" w:rsidRPr="0098262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Estimated use and financial implications"/>
      </w:tblPr>
      <w:tblGrid>
        <w:gridCol w:w="2689"/>
        <w:gridCol w:w="1053"/>
        <w:gridCol w:w="1055"/>
        <w:gridCol w:w="1055"/>
        <w:gridCol w:w="1055"/>
        <w:gridCol w:w="1055"/>
        <w:gridCol w:w="1055"/>
      </w:tblGrid>
      <w:tr w:rsidR="00385A9D" w:rsidRPr="0098262F" w14:paraId="43A2A3A1" w14:textId="77777777" w:rsidTr="00A6567C">
        <w:trPr>
          <w:tblHeader/>
        </w:trPr>
        <w:tc>
          <w:tcPr>
            <w:tcW w:w="1491" w:type="pct"/>
            <w:vAlign w:val="center"/>
          </w:tcPr>
          <w:p w14:paraId="0A4E41E1" w14:textId="77777777" w:rsidR="00385A9D" w:rsidRPr="0098262F" w:rsidRDefault="00385A9D" w:rsidP="00606FBA">
            <w:pPr>
              <w:pStyle w:val="In-tableHeading"/>
              <w:jc w:val="center"/>
              <w:rPr>
                <w:lang w:val="en-AU"/>
              </w:rPr>
            </w:pPr>
          </w:p>
        </w:tc>
        <w:tc>
          <w:tcPr>
            <w:tcW w:w="584" w:type="pct"/>
            <w:vAlign w:val="center"/>
          </w:tcPr>
          <w:p w14:paraId="77420B6F" w14:textId="77777777" w:rsidR="00385A9D" w:rsidRPr="0098262F" w:rsidRDefault="00385A9D" w:rsidP="00606FBA">
            <w:pPr>
              <w:pStyle w:val="In-tableHeading"/>
              <w:jc w:val="center"/>
              <w:rPr>
                <w:lang w:val="en-AU"/>
              </w:rPr>
            </w:pPr>
            <w:r w:rsidRPr="0098262F">
              <w:rPr>
                <w:lang w:val="en-AU"/>
              </w:rPr>
              <w:t>Year 1</w:t>
            </w:r>
          </w:p>
        </w:tc>
        <w:tc>
          <w:tcPr>
            <w:tcW w:w="585" w:type="pct"/>
            <w:vAlign w:val="center"/>
          </w:tcPr>
          <w:p w14:paraId="3BBD9218" w14:textId="77777777" w:rsidR="00385A9D" w:rsidRPr="0098262F" w:rsidRDefault="00385A9D" w:rsidP="00606FBA">
            <w:pPr>
              <w:pStyle w:val="In-tableHeading"/>
              <w:jc w:val="center"/>
              <w:rPr>
                <w:lang w:val="en-AU"/>
              </w:rPr>
            </w:pPr>
            <w:r w:rsidRPr="0098262F">
              <w:rPr>
                <w:lang w:val="en-AU"/>
              </w:rPr>
              <w:t>Year 2</w:t>
            </w:r>
          </w:p>
        </w:tc>
        <w:tc>
          <w:tcPr>
            <w:tcW w:w="585" w:type="pct"/>
            <w:vAlign w:val="center"/>
          </w:tcPr>
          <w:p w14:paraId="729A646E" w14:textId="77777777" w:rsidR="00385A9D" w:rsidRPr="0098262F" w:rsidRDefault="00385A9D" w:rsidP="00606FBA">
            <w:pPr>
              <w:pStyle w:val="In-tableHeading"/>
              <w:jc w:val="center"/>
              <w:rPr>
                <w:lang w:val="en-AU"/>
              </w:rPr>
            </w:pPr>
            <w:r w:rsidRPr="0098262F">
              <w:rPr>
                <w:lang w:val="en-AU"/>
              </w:rPr>
              <w:t>Year 3</w:t>
            </w:r>
          </w:p>
        </w:tc>
        <w:tc>
          <w:tcPr>
            <w:tcW w:w="585" w:type="pct"/>
            <w:vAlign w:val="center"/>
          </w:tcPr>
          <w:p w14:paraId="280BB544" w14:textId="77777777" w:rsidR="00385A9D" w:rsidRPr="0098262F" w:rsidRDefault="00385A9D" w:rsidP="00606FBA">
            <w:pPr>
              <w:pStyle w:val="In-tableHeading"/>
              <w:jc w:val="center"/>
              <w:rPr>
                <w:lang w:val="en-AU"/>
              </w:rPr>
            </w:pPr>
            <w:r w:rsidRPr="0098262F">
              <w:rPr>
                <w:lang w:val="en-AU"/>
              </w:rPr>
              <w:t>Year 4</w:t>
            </w:r>
          </w:p>
        </w:tc>
        <w:tc>
          <w:tcPr>
            <w:tcW w:w="585" w:type="pct"/>
            <w:vAlign w:val="center"/>
          </w:tcPr>
          <w:p w14:paraId="6435BB5B" w14:textId="77777777" w:rsidR="00385A9D" w:rsidRPr="0098262F" w:rsidRDefault="00385A9D" w:rsidP="00606FBA">
            <w:pPr>
              <w:pStyle w:val="In-tableHeading"/>
              <w:jc w:val="center"/>
              <w:rPr>
                <w:lang w:val="en-AU"/>
              </w:rPr>
            </w:pPr>
            <w:r w:rsidRPr="0098262F">
              <w:rPr>
                <w:lang w:val="en-AU"/>
              </w:rPr>
              <w:t>Year 5</w:t>
            </w:r>
          </w:p>
        </w:tc>
        <w:tc>
          <w:tcPr>
            <w:tcW w:w="585" w:type="pct"/>
          </w:tcPr>
          <w:p w14:paraId="7C618119" w14:textId="77777777" w:rsidR="00385A9D" w:rsidRPr="0098262F" w:rsidRDefault="00385A9D" w:rsidP="00606FBA">
            <w:pPr>
              <w:pStyle w:val="In-tableHeading"/>
              <w:jc w:val="center"/>
              <w:rPr>
                <w:lang w:val="en-AU"/>
              </w:rPr>
            </w:pPr>
            <w:r w:rsidRPr="0098262F">
              <w:rPr>
                <w:lang w:val="en-AU"/>
              </w:rPr>
              <w:t>Year 6</w:t>
            </w:r>
          </w:p>
        </w:tc>
      </w:tr>
      <w:tr w:rsidR="00385A9D" w:rsidRPr="0098262F" w14:paraId="3C519059" w14:textId="77777777" w:rsidTr="00A6567C">
        <w:tc>
          <w:tcPr>
            <w:tcW w:w="5000" w:type="pct"/>
            <w:gridSpan w:val="7"/>
            <w:vAlign w:val="center"/>
          </w:tcPr>
          <w:p w14:paraId="516C2197" w14:textId="77777777" w:rsidR="00385A9D" w:rsidRPr="0098262F" w:rsidRDefault="00385A9D" w:rsidP="00606FBA">
            <w:pPr>
              <w:pStyle w:val="In-tableHeading"/>
              <w:rPr>
                <w:bCs/>
                <w:color w:val="000000"/>
                <w:lang w:val="en-AU"/>
              </w:rPr>
            </w:pPr>
            <w:r w:rsidRPr="0098262F">
              <w:rPr>
                <w:bCs/>
                <w:color w:val="000000"/>
                <w:lang w:val="en-AU"/>
              </w:rPr>
              <w:t>Estimated extent of use</w:t>
            </w:r>
          </w:p>
        </w:tc>
      </w:tr>
      <w:tr w:rsidR="00EA351B" w:rsidRPr="0098262F" w14:paraId="1CEE4D09" w14:textId="77777777" w:rsidTr="00A6567C">
        <w:tc>
          <w:tcPr>
            <w:tcW w:w="1491" w:type="pct"/>
          </w:tcPr>
          <w:p w14:paraId="229A1EDF" w14:textId="4894D2E0" w:rsidR="00EA351B" w:rsidRPr="0098262F" w:rsidRDefault="00EA351B" w:rsidP="00EA351B">
            <w:pPr>
              <w:pStyle w:val="TableText0"/>
              <w:rPr>
                <w:rFonts w:ascii="Times" w:hAnsi="Times"/>
              </w:rPr>
            </w:pPr>
            <w:r w:rsidRPr="00764740">
              <w:t>Total prescription numbers – Bijuva</w:t>
            </w:r>
          </w:p>
        </w:tc>
        <w:tc>
          <w:tcPr>
            <w:tcW w:w="584" w:type="pct"/>
          </w:tcPr>
          <w:p w14:paraId="0D9F25C2" w14:textId="242BFFAA" w:rsidR="00EA351B" w:rsidRPr="00A24576" w:rsidRDefault="00C371AB" w:rsidP="00EA351B">
            <w:pPr>
              <w:pStyle w:val="TableText0"/>
              <w:jc w:val="center"/>
              <w:rPr>
                <w:color w:val="000000"/>
                <w:vertAlign w:val="superscript"/>
              </w:rPr>
            </w:pPr>
            <w:r w:rsidRPr="00C371AB">
              <w:rPr>
                <w:highlight w:val="black"/>
              </w:rPr>
              <w:t>&amp;&amp;&amp;&amp;</w:t>
            </w:r>
            <w:r w:rsidR="00A24576">
              <w:rPr>
                <w:vertAlign w:val="superscript"/>
              </w:rPr>
              <w:t>1</w:t>
            </w:r>
          </w:p>
        </w:tc>
        <w:tc>
          <w:tcPr>
            <w:tcW w:w="585" w:type="pct"/>
          </w:tcPr>
          <w:p w14:paraId="2D7847AA" w14:textId="46FBD554" w:rsidR="00EA351B" w:rsidRPr="00CC4027" w:rsidRDefault="00C371AB" w:rsidP="00EA351B">
            <w:pPr>
              <w:pStyle w:val="TableText0"/>
              <w:jc w:val="center"/>
              <w:rPr>
                <w:color w:val="000000"/>
                <w:vertAlign w:val="superscript"/>
              </w:rPr>
            </w:pPr>
            <w:r w:rsidRPr="00C371AB">
              <w:rPr>
                <w:highlight w:val="black"/>
              </w:rPr>
              <w:t>&amp;&amp;&amp;&amp;</w:t>
            </w:r>
            <w:r w:rsidR="00CC4027">
              <w:rPr>
                <w:vertAlign w:val="superscript"/>
              </w:rPr>
              <w:t>2</w:t>
            </w:r>
          </w:p>
        </w:tc>
        <w:tc>
          <w:tcPr>
            <w:tcW w:w="585" w:type="pct"/>
          </w:tcPr>
          <w:p w14:paraId="7A620378" w14:textId="4633D6AD" w:rsidR="00EA351B" w:rsidRPr="009205E2" w:rsidRDefault="00C371AB" w:rsidP="00EA351B">
            <w:pPr>
              <w:pStyle w:val="TableText0"/>
              <w:jc w:val="center"/>
              <w:rPr>
                <w:color w:val="000000"/>
                <w:vertAlign w:val="superscript"/>
              </w:rPr>
            </w:pPr>
            <w:r w:rsidRPr="00C371AB">
              <w:rPr>
                <w:highlight w:val="black"/>
              </w:rPr>
              <w:t>&amp;&amp;&amp;&amp;</w:t>
            </w:r>
            <w:r w:rsidR="009205E2">
              <w:rPr>
                <w:vertAlign w:val="superscript"/>
              </w:rPr>
              <w:t>3</w:t>
            </w:r>
          </w:p>
        </w:tc>
        <w:tc>
          <w:tcPr>
            <w:tcW w:w="585" w:type="pct"/>
          </w:tcPr>
          <w:p w14:paraId="1D2C1413" w14:textId="4DBF788C" w:rsidR="00EA351B" w:rsidRPr="00765CD4" w:rsidRDefault="00C371AB" w:rsidP="00EA351B">
            <w:pPr>
              <w:pStyle w:val="TableText0"/>
              <w:jc w:val="center"/>
              <w:rPr>
                <w:color w:val="000000"/>
                <w:vertAlign w:val="superscript"/>
              </w:rPr>
            </w:pPr>
            <w:r w:rsidRPr="00C371AB">
              <w:rPr>
                <w:highlight w:val="black"/>
              </w:rPr>
              <w:t>&amp;&amp;&amp;&amp;</w:t>
            </w:r>
            <w:r w:rsidR="00765CD4">
              <w:rPr>
                <w:vertAlign w:val="superscript"/>
              </w:rPr>
              <w:t>4</w:t>
            </w:r>
          </w:p>
        </w:tc>
        <w:tc>
          <w:tcPr>
            <w:tcW w:w="585" w:type="pct"/>
          </w:tcPr>
          <w:p w14:paraId="3F0ACB95" w14:textId="45807A8F" w:rsidR="00EA351B" w:rsidRPr="00CA774C" w:rsidRDefault="00C371AB" w:rsidP="00EA351B">
            <w:pPr>
              <w:pStyle w:val="TableText0"/>
              <w:jc w:val="center"/>
              <w:rPr>
                <w:color w:val="000000"/>
                <w:vertAlign w:val="superscript"/>
              </w:rPr>
            </w:pPr>
            <w:r w:rsidRPr="00C371AB">
              <w:rPr>
                <w:highlight w:val="black"/>
              </w:rPr>
              <w:t>&amp;&amp;&amp;&amp;</w:t>
            </w:r>
            <w:r w:rsidR="00CA774C">
              <w:rPr>
                <w:vertAlign w:val="superscript"/>
              </w:rPr>
              <w:t>5</w:t>
            </w:r>
          </w:p>
        </w:tc>
        <w:tc>
          <w:tcPr>
            <w:tcW w:w="585" w:type="pct"/>
          </w:tcPr>
          <w:p w14:paraId="1C30F331" w14:textId="6CEAA8C5" w:rsidR="00EA351B" w:rsidRPr="00CA774C" w:rsidRDefault="00C371AB" w:rsidP="00EA351B">
            <w:pPr>
              <w:pStyle w:val="TableText0"/>
              <w:jc w:val="center"/>
              <w:rPr>
                <w:color w:val="000000"/>
                <w:vertAlign w:val="superscript"/>
              </w:rPr>
            </w:pPr>
            <w:r w:rsidRPr="00C371AB">
              <w:rPr>
                <w:highlight w:val="black"/>
              </w:rPr>
              <w:t>&amp;&amp;&amp;&amp;</w:t>
            </w:r>
            <w:r w:rsidR="00CA774C">
              <w:rPr>
                <w:vertAlign w:val="superscript"/>
              </w:rPr>
              <w:t>5</w:t>
            </w:r>
          </w:p>
        </w:tc>
      </w:tr>
      <w:tr w:rsidR="00385A9D" w:rsidRPr="0098262F" w14:paraId="1E699D47" w14:textId="77777777" w:rsidTr="00A6567C">
        <w:tc>
          <w:tcPr>
            <w:tcW w:w="5000" w:type="pct"/>
            <w:gridSpan w:val="7"/>
            <w:vAlign w:val="center"/>
          </w:tcPr>
          <w:p w14:paraId="7D0E0884" w14:textId="5CA2E0D5" w:rsidR="00385A9D" w:rsidRPr="0098262F" w:rsidRDefault="00385A9D" w:rsidP="00606FBA">
            <w:pPr>
              <w:pStyle w:val="In-tableHeading"/>
              <w:rPr>
                <w:lang w:val="en-AU"/>
              </w:rPr>
            </w:pPr>
            <w:r w:rsidRPr="0098262F">
              <w:rPr>
                <w:lang w:val="en-AU"/>
              </w:rPr>
              <w:t xml:space="preserve">Estimated financial implications of </w:t>
            </w:r>
            <w:r w:rsidR="006D1366">
              <w:rPr>
                <w:lang w:val="en-AU"/>
              </w:rPr>
              <w:t>Bijuva</w:t>
            </w:r>
          </w:p>
        </w:tc>
      </w:tr>
      <w:tr w:rsidR="00403AEB" w:rsidRPr="0098262F" w14:paraId="4B4ACF1A" w14:textId="77777777" w:rsidTr="00A6567C">
        <w:tc>
          <w:tcPr>
            <w:tcW w:w="1491" w:type="pct"/>
            <w:vAlign w:val="center"/>
          </w:tcPr>
          <w:p w14:paraId="467993BD" w14:textId="2DE23176" w:rsidR="00403AEB" w:rsidRPr="0098262F" w:rsidRDefault="00403AEB" w:rsidP="00403AEB">
            <w:pPr>
              <w:pStyle w:val="TableText0"/>
              <w:rPr>
                <w:sz w:val="19"/>
                <w:szCs w:val="19"/>
              </w:rPr>
            </w:pPr>
            <w:r w:rsidRPr="0098262F">
              <w:rPr>
                <w:sz w:val="19"/>
                <w:szCs w:val="19"/>
              </w:rPr>
              <w:t>Cost to PBS/RPBS less copayments</w:t>
            </w:r>
            <w:r w:rsidR="00860DC5">
              <w:rPr>
                <w:sz w:val="19"/>
                <w:szCs w:val="19"/>
              </w:rPr>
              <w:t>*</w:t>
            </w:r>
          </w:p>
        </w:tc>
        <w:tc>
          <w:tcPr>
            <w:tcW w:w="584" w:type="pct"/>
            <w:vAlign w:val="center"/>
          </w:tcPr>
          <w:p w14:paraId="4125A2B6" w14:textId="01599232" w:rsidR="00403AEB" w:rsidRPr="00AE4A0D" w:rsidRDefault="00403AEB" w:rsidP="00403AEB">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5BDFECEB" w14:textId="644A28C2" w:rsidR="00403AEB" w:rsidRPr="00AE4A0D" w:rsidRDefault="00403AEB" w:rsidP="00403AEB">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3890D42E" w14:textId="0C0A74D8" w:rsidR="00403AEB" w:rsidRPr="00AE4A0D" w:rsidRDefault="00403AEB" w:rsidP="00403AEB">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2728B643" w14:textId="083143A9" w:rsidR="00403AEB" w:rsidRPr="00AE4A0D" w:rsidRDefault="00403AEB" w:rsidP="00403AEB">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5FE5021A" w14:textId="64FD5EEB" w:rsidR="00403AEB" w:rsidRPr="00AE4A0D" w:rsidRDefault="00403AEB" w:rsidP="00403AEB">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6F8E9082" w14:textId="672F43DF" w:rsidR="00403AEB" w:rsidRPr="00AE4A0D" w:rsidRDefault="00403AEB" w:rsidP="00403AEB">
            <w:pPr>
              <w:pStyle w:val="TableText0"/>
              <w:jc w:val="center"/>
              <w:rPr>
                <w:vertAlign w:val="superscript"/>
              </w:rPr>
            </w:pPr>
            <w:r w:rsidRPr="00860DC5">
              <w:t>$</w:t>
            </w:r>
            <w:r w:rsidR="00C371AB" w:rsidRPr="00C371AB">
              <w:rPr>
                <w:highlight w:val="black"/>
              </w:rPr>
              <w:t>&amp;&amp;&amp;&amp;</w:t>
            </w:r>
            <w:r w:rsidR="00AE4A0D">
              <w:rPr>
                <w:vertAlign w:val="superscript"/>
              </w:rPr>
              <w:t>6</w:t>
            </w:r>
          </w:p>
        </w:tc>
      </w:tr>
      <w:tr w:rsidR="00385A9D" w:rsidRPr="0098262F" w14:paraId="344AC0E2" w14:textId="77777777" w:rsidTr="00A6567C">
        <w:tc>
          <w:tcPr>
            <w:tcW w:w="5000" w:type="pct"/>
            <w:gridSpan w:val="7"/>
            <w:vAlign w:val="center"/>
          </w:tcPr>
          <w:p w14:paraId="0FF7E64D" w14:textId="1638B39F" w:rsidR="00385A9D" w:rsidRPr="006D1366" w:rsidRDefault="00385A9D" w:rsidP="00606FBA">
            <w:pPr>
              <w:pStyle w:val="TableText0"/>
              <w:rPr>
                <w:b/>
                <w:bCs w:val="0"/>
              </w:rPr>
            </w:pPr>
            <w:r w:rsidRPr="006D1366">
              <w:rPr>
                <w:b/>
                <w:bCs w:val="0"/>
              </w:rPr>
              <w:t xml:space="preserve">Estimated financial implications for </w:t>
            </w:r>
            <w:r w:rsidR="006D1366">
              <w:rPr>
                <w:b/>
                <w:bCs w:val="0"/>
              </w:rPr>
              <w:t>Estrogel Pro</w:t>
            </w:r>
          </w:p>
        </w:tc>
      </w:tr>
      <w:tr w:rsidR="00C91208" w:rsidRPr="0098262F" w14:paraId="0CE077D9" w14:textId="77777777" w:rsidTr="00A6567C">
        <w:tc>
          <w:tcPr>
            <w:tcW w:w="1491" w:type="pct"/>
            <w:vAlign w:val="center"/>
          </w:tcPr>
          <w:p w14:paraId="40F6A2C5" w14:textId="330020D6" w:rsidR="00C91208" w:rsidRPr="0098262F" w:rsidRDefault="00C91208" w:rsidP="00C91208">
            <w:pPr>
              <w:pStyle w:val="TableText0"/>
              <w:rPr>
                <w:sz w:val="19"/>
                <w:szCs w:val="19"/>
              </w:rPr>
            </w:pPr>
            <w:r w:rsidRPr="0098262F">
              <w:rPr>
                <w:sz w:val="19"/>
                <w:szCs w:val="19"/>
              </w:rPr>
              <w:t>Cost to PBS/RPBS less copayments</w:t>
            </w:r>
            <w:r w:rsidR="00860DC5">
              <w:rPr>
                <w:sz w:val="19"/>
                <w:szCs w:val="19"/>
              </w:rPr>
              <w:t>*</w:t>
            </w:r>
          </w:p>
        </w:tc>
        <w:tc>
          <w:tcPr>
            <w:tcW w:w="584" w:type="pct"/>
            <w:vAlign w:val="center"/>
          </w:tcPr>
          <w:p w14:paraId="50CF2446" w14:textId="1B4BAE6F" w:rsidR="00C91208" w:rsidRPr="00AE4A0D" w:rsidRDefault="00C91208" w:rsidP="00C91208">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35AF80ED" w14:textId="416FABCB" w:rsidR="00C91208" w:rsidRPr="00AE4A0D" w:rsidRDefault="00C91208" w:rsidP="00C91208">
            <w:pPr>
              <w:pStyle w:val="TableText0"/>
              <w:jc w:val="center"/>
              <w:rPr>
                <w:vertAlign w:val="superscript"/>
              </w:rPr>
            </w:pPr>
            <w:r w:rsidRPr="00860DC5">
              <w:t>-$</w:t>
            </w:r>
            <w:r w:rsidR="00C371AB" w:rsidRPr="00C371AB">
              <w:rPr>
                <w:highlight w:val="black"/>
              </w:rPr>
              <w:t>&amp;&amp;&amp;&amp;</w:t>
            </w:r>
            <w:r w:rsidR="00AE4A0D">
              <w:rPr>
                <w:vertAlign w:val="superscript"/>
              </w:rPr>
              <w:t>6</w:t>
            </w:r>
          </w:p>
        </w:tc>
        <w:tc>
          <w:tcPr>
            <w:tcW w:w="585" w:type="pct"/>
            <w:vAlign w:val="center"/>
          </w:tcPr>
          <w:p w14:paraId="28F1C25D" w14:textId="741E71EB"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vAlign w:val="center"/>
          </w:tcPr>
          <w:p w14:paraId="5DBA4173" w14:textId="4F054925"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vAlign w:val="center"/>
          </w:tcPr>
          <w:p w14:paraId="4D6DC68C" w14:textId="18D3E530"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vAlign w:val="center"/>
          </w:tcPr>
          <w:p w14:paraId="0766C6AC" w14:textId="313286D7"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r>
      <w:tr w:rsidR="00385A9D" w:rsidRPr="0098262F" w14:paraId="4FA07BD8" w14:textId="77777777" w:rsidTr="00A6567C">
        <w:tc>
          <w:tcPr>
            <w:tcW w:w="5000" w:type="pct"/>
            <w:gridSpan w:val="7"/>
            <w:vAlign w:val="center"/>
          </w:tcPr>
          <w:p w14:paraId="1A627EA0" w14:textId="10F28D88" w:rsidR="00385A9D" w:rsidRPr="0098262F" w:rsidRDefault="00385A9D" w:rsidP="00606FBA">
            <w:pPr>
              <w:pStyle w:val="In-tableHeading"/>
              <w:rPr>
                <w:lang w:val="en-AU"/>
              </w:rPr>
            </w:pPr>
            <w:r w:rsidRPr="0098262F">
              <w:rPr>
                <w:lang w:val="en-AU"/>
              </w:rPr>
              <w:t>Net financial implications</w:t>
            </w:r>
          </w:p>
        </w:tc>
      </w:tr>
      <w:tr w:rsidR="00C91208" w:rsidRPr="0098262F" w14:paraId="3F33D4C6" w14:textId="77777777" w:rsidTr="00A6567C">
        <w:tc>
          <w:tcPr>
            <w:tcW w:w="1491" w:type="pct"/>
            <w:vAlign w:val="center"/>
          </w:tcPr>
          <w:p w14:paraId="5ABBDE64" w14:textId="2103F1E5" w:rsidR="00C91208" w:rsidRPr="0098262F" w:rsidRDefault="00C91208" w:rsidP="00C91208">
            <w:pPr>
              <w:pStyle w:val="TableText0"/>
              <w:rPr>
                <w:sz w:val="19"/>
                <w:szCs w:val="19"/>
              </w:rPr>
            </w:pPr>
            <w:r w:rsidRPr="0098262F">
              <w:rPr>
                <w:sz w:val="19"/>
                <w:szCs w:val="19"/>
              </w:rPr>
              <w:t>Net cost to PBS/RPBS</w:t>
            </w:r>
            <w:r w:rsidR="00860DC5">
              <w:rPr>
                <w:sz w:val="19"/>
                <w:szCs w:val="19"/>
              </w:rPr>
              <w:t>*</w:t>
            </w:r>
          </w:p>
        </w:tc>
        <w:tc>
          <w:tcPr>
            <w:tcW w:w="584" w:type="pct"/>
          </w:tcPr>
          <w:p w14:paraId="744F82C2" w14:textId="7A6BC137"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tcPr>
          <w:p w14:paraId="295843EA" w14:textId="12E05664"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tcPr>
          <w:p w14:paraId="3A32302A" w14:textId="435EF419"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tcPr>
          <w:p w14:paraId="326E9207" w14:textId="2CC73EA5"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tcPr>
          <w:p w14:paraId="56E4D70E" w14:textId="72BB186E"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c>
          <w:tcPr>
            <w:tcW w:w="585" w:type="pct"/>
          </w:tcPr>
          <w:p w14:paraId="241B1CFD" w14:textId="0EA521A9" w:rsidR="00C91208" w:rsidRPr="00BE1427" w:rsidRDefault="00C91208" w:rsidP="00C91208">
            <w:pPr>
              <w:pStyle w:val="TableText0"/>
              <w:jc w:val="center"/>
              <w:rPr>
                <w:vertAlign w:val="superscript"/>
              </w:rPr>
            </w:pPr>
            <w:r w:rsidRPr="00860DC5">
              <w:t>-$</w:t>
            </w:r>
            <w:r w:rsidR="00C371AB" w:rsidRPr="00C371AB">
              <w:rPr>
                <w:highlight w:val="black"/>
              </w:rPr>
              <w:t>&amp;&amp;&amp;&amp;</w:t>
            </w:r>
            <w:r w:rsidR="00BE1427">
              <w:rPr>
                <w:vertAlign w:val="superscript"/>
              </w:rPr>
              <w:t>6</w:t>
            </w:r>
          </w:p>
        </w:tc>
      </w:tr>
    </w:tbl>
    <w:p w14:paraId="02DE853A" w14:textId="77777777" w:rsidR="00B472E7" w:rsidRDefault="00B472E7" w:rsidP="00B472E7">
      <w:pPr>
        <w:pStyle w:val="FooterTableFigure"/>
      </w:pPr>
      <w:r>
        <w:t>Source: Table 4-13, p164 of the submission main body.</w:t>
      </w:r>
    </w:p>
    <w:p w14:paraId="65E99FBE" w14:textId="16E501D8" w:rsidR="00E466F3" w:rsidRDefault="00B472E7" w:rsidP="00B472E7">
      <w:pPr>
        <w:pStyle w:val="FooterTableFigure"/>
      </w:pPr>
      <w:r>
        <w:t>PBS = Pharmaceutical Benefits Scheme; RPBS = Repatriation Pharmaceutical Benefits Scheme.</w:t>
      </w:r>
    </w:p>
    <w:p w14:paraId="765063B2" w14:textId="24CE3E0C" w:rsidR="00B472E7" w:rsidRDefault="00860DC5" w:rsidP="00B472E7">
      <w:pPr>
        <w:pStyle w:val="FooterTableFigure"/>
      </w:pPr>
      <w:r w:rsidRPr="005B6704">
        <w:t>*</w:t>
      </w:r>
      <w:proofErr w:type="gramStart"/>
      <w:r w:rsidR="00B472E7" w:rsidRPr="005B6704">
        <w:t>corrected</w:t>
      </w:r>
      <w:proofErr w:type="gramEnd"/>
      <w:r w:rsidR="00B472E7" w:rsidRPr="005B6704">
        <w:t xml:space="preserve"> during </w:t>
      </w:r>
      <w:r w:rsidR="00BA3F5C" w:rsidRPr="005B6704">
        <w:t>evaluation</w:t>
      </w:r>
      <w:r w:rsidR="00B472E7" w:rsidRPr="005B6704">
        <w:t xml:space="preserve"> </w:t>
      </w:r>
      <w:r w:rsidR="00BA3F5C" w:rsidRPr="005B6704">
        <w:t xml:space="preserve">by using updated </w:t>
      </w:r>
      <w:r w:rsidR="00545D70" w:rsidRPr="005B6704">
        <w:t>mark-up fees for drugs as of July 2025.</w:t>
      </w:r>
    </w:p>
    <w:p w14:paraId="17641F6D" w14:textId="77777777" w:rsidR="009D5291" w:rsidRPr="009D5291" w:rsidRDefault="009D5291" w:rsidP="009D5291">
      <w:pPr>
        <w:pStyle w:val="FooterTableFigure"/>
        <w:rPr>
          <w:i/>
        </w:rPr>
      </w:pPr>
      <w:bookmarkStart w:id="64" w:name="_Hlk218786543"/>
      <w:bookmarkStart w:id="65" w:name="_Hlk218771933"/>
      <w:bookmarkStart w:id="66" w:name="_Hlk218762753"/>
      <w:bookmarkStart w:id="67" w:name="_Hlk218764868"/>
      <w:r w:rsidRPr="009D5291">
        <w:rPr>
          <w:i/>
        </w:rPr>
        <w:t xml:space="preserve">The redacted values correspond to the following ranges: </w:t>
      </w:r>
    </w:p>
    <w:p w14:paraId="77165B5B" w14:textId="15B81F23" w:rsidR="009D5291" w:rsidRPr="009D5291" w:rsidRDefault="009D5291" w:rsidP="009D5291">
      <w:pPr>
        <w:pStyle w:val="FooterTableFigure"/>
        <w:rPr>
          <w:i/>
        </w:rPr>
      </w:pPr>
      <w:r w:rsidRPr="009D5291">
        <w:rPr>
          <w:i/>
          <w:vertAlign w:val="superscript"/>
        </w:rPr>
        <w:t>1</w:t>
      </w:r>
      <w:r w:rsidRPr="009D5291">
        <w:rPr>
          <w:i/>
        </w:rPr>
        <w:t xml:space="preserve"> </w:t>
      </w:r>
      <w:bookmarkStart w:id="68" w:name="_Hlk218765030"/>
      <w:bookmarkStart w:id="69" w:name="_Hlk218775766"/>
      <w:r w:rsidR="00A24576" w:rsidRPr="00A24576">
        <w:rPr>
          <w:i/>
        </w:rPr>
        <w:t>20,000 to &lt; 30,000</w:t>
      </w:r>
      <w:bookmarkEnd w:id="68"/>
      <w:bookmarkEnd w:id="69"/>
    </w:p>
    <w:p w14:paraId="2FBBAC31" w14:textId="69372A53" w:rsidR="009D5291" w:rsidRPr="009D5291" w:rsidRDefault="009D5291" w:rsidP="009D5291">
      <w:pPr>
        <w:pStyle w:val="FooterTableFigure"/>
        <w:rPr>
          <w:i/>
        </w:rPr>
      </w:pPr>
      <w:r w:rsidRPr="009D5291">
        <w:rPr>
          <w:i/>
          <w:vertAlign w:val="superscript"/>
        </w:rPr>
        <w:t>2</w:t>
      </w:r>
      <w:r w:rsidRPr="009D5291">
        <w:rPr>
          <w:i/>
        </w:rPr>
        <w:t xml:space="preserve"> </w:t>
      </w:r>
      <w:r w:rsidR="00CC4027" w:rsidRPr="00CC4027">
        <w:rPr>
          <w:i/>
        </w:rPr>
        <w:t>40,000 to &lt; 50,000</w:t>
      </w:r>
    </w:p>
    <w:p w14:paraId="4DC9B0A3" w14:textId="78674319" w:rsidR="009D5291" w:rsidRPr="009D5291" w:rsidRDefault="009D5291" w:rsidP="009D5291">
      <w:pPr>
        <w:pStyle w:val="FooterTableFigure"/>
        <w:rPr>
          <w:i/>
        </w:rPr>
      </w:pPr>
      <w:r w:rsidRPr="009D5291">
        <w:rPr>
          <w:i/>
          <w:vertAlign w:val="superscript"/>
        </w:rPr>
        <w:t>3</w:t>
      </w:r>
      <w:r w:rsidRPr="009D5291">
        <w:rPr>
          <w:i/>
        </w:rPr>
        <w:t xml:space="preserve"> </w:t>
      </w:r>
      <w:bookmarkStart w:id="70" w:name="_Hlk218786618"/>
      <w:r w:rsidR="009205E2" w:rsidRPr="009205E2">
        <w:rPr>
          <w:i/>
        </w:rPr>
        <w:t>60,000 to &lt; 70,000</w:t>
      </w:r>
      <w:bookmarkEnd w:id="70"/>
    </w:p>
    <w:bookmarkEnd w:id="64"/>
    <w:p w14:paraId="4D8A3914" w14:textId="0207D2A8" w:rsidR="009D5291" w:rsidRPr="009D5291" w:rsidRDefault="009D5291" w:rsidP="009D5291">
      <w:pPr>
        <w:pStyle w:val="FooterTableFigure"/>
        <w:rPr>
          <w:i/>
        </w:rPr>
      </w:pPr>
      <w:r w:rsidRPr="009D5291">
        <w:rPr>
          <w:i/>
          <w:vertAlign w:val="superscript"/>
        </w:rPr>
        <w:t>4</w:t>
      </w:r>
      <w:r w:rsidRPr="009D5291">
        <w:rPr>
          <w:i/>
        </w:rPr>
        <w:t xml:space="preserve"> </w:t>
      </w:r>
      <w:r w:rsidR="00765CD4" w:rsidRPr="00765CD4">
        <w:rPr>
          <w:i/>
        </w:rPr>
        <w:t>80,000 to &lt; 90,000</w:t>
      </w:r>
    </w:p>
    <w:bookmarkEnd w:id="65"/>
    <w:p w14:paraId="4ABC8244" w14:textId="2EE2BBE7" w:rsidR="009D5291" w:rsidRPr="009D5291" w:rsidRDefault="009D5291" w:rsidP="009D5291">
      <w:pPr>
        <w:pStyle w:val="FooterTableFigure"/>
        <w:rPr>
          <w:i/>
        </w:rPr>
      </w:pPr>
      <w:r w:rsidRPr="009D5291">
        <w:rPr>
          <w:i/>
          <w:vertAlign w:val="superscript"/>
        </w:rPr>
        <w:t>5</w:t>
      </w:r>
      <w:r w:rsidRPr="009D5291">
        <w:rPr>
          <w:i/>
        </w:rPr>
        <w:t xml:space="preserve"> </w:t>
      </w:r>
      <w:bookmarkStart w:id="71" w:name="_Hlk218766095"/>
      <w:r w:rsidR="00CA774C" w:rsidRPr="00CA774C">
        <w:rPr>
          <w:i/>
        </w:rPr>
        <w:t>100,000 to &lt; 200,000</w:t>
      </w:r>
      <w:bookmarkEnd w:id="71"/>
    </w:p>
    <w:bookmarkEnd w:id="66"/>
    <w:p w14:paraId="3CDE47EA" w14:textId="7385AFC1" w:rsidR="009D5291" w:rsidRPr="009D5291" w:rsidRDefault="009D5291" w:rsidP="009D5291">
      <w:pPr>
        <w:pStyle w:val="FooterTableFigure"/>
        <w:rPr>
          <w:i/>
        </w:rPr>
      </w:pPr>
      <w:r w:rsidRPr="009D5291">
        <w:rPr>
          <w:i/>
          <w:vertAlign w:val="superscript"/>
        </w:rPr>
        <w:t>6</w:t>
      </w:r>
      <w:r w:rsidRPr="009D5291">
        <w:rPr>
          <w:i/>
        </w:rPr>
        <w:t xml:space="preserve"> </w:t>
      </w:r>
      <w:bookmarkStart w:id="72" w:name="_Hlk218768209"/>
      <w:bookmarkStart w:id="73" w:name="_Hlk218769862"/>
      <w:r w:rsidR="004E3655" w:rsidRPr="004E3655">
        <w:rPr>
          <w:i/>
        </w:rPr>
        <w:t>$0 to &lt; $10 million</w:t>
      </w:r>
      <w:bookmarkEnd w:id="72"/>
      <w:bookmarkEnd w:id="73"/>
    </w:p>
    <w:bookmarkEnd w:id="67"/>
    <w:p w14:paraId="44493983" w14:textId="77777777" w:rsidR="009D5291" w:rsidRPr="005B6704" w:rsidRDefault="009D5291" w:rsidP="00B472E7">
      <w:pPr>
        <w:pStyle w:val="FooterTableFigure"/>
      </w:pPr>
    </w:p>
    <w:p w14:paraId="4FDCFAF1" w14:textId="58C6FEF6" w:rsidR="00CE3234" w:rsidRPr="009251B3" w:rsidRDefault="000902D9">
      <w:pPr>
        <w:pStyle w:val="3-BodyText"/>
        <w:rPr>
          <w:color w:val="0066FF"/>
        </w:rPr>
      </w:pPr>
      <w:r w:rsidRPr="0098262F">
        <w:t>The total</w:t>
      </w:r>
      <w:r w:rsidR="00CC63C7">
        <w:t xml:space="preserve"> saving</w:t>
      </w:r>
      <w:r w:rsidRPr="0098262F">
        <w:t xml:space="preserve"> to the PBS/RPBS of listing </w:t>
      </w:r>
      <w:r w:rsidR="00CC63C7">
        <w:t>Bijuva</w:t>
      </w:r>
      <w:r w:rsidRPr="0098262F">
        <w:t xml:space="preserve"> was estimated </w:t>
      </w:r>
      <w:r w:rsidR="00A05C32" w:rsidRPr="0098262F">
        <w:t>to be</w:t>
      </w:r>
      <w:r w:rsidRPr="0098262F">
        <w:t xml:space="preserve"> </w:t>
      </w:r>
      <w:r w:rsidR="00D329C9" w:rsidRPr="00D329C9">
        <w:t>$0 to &lt; $10 million</w:t>
      </w:r>
      <w:r w:rsidR="00E62A99">
        <w:t xml:space="preserve"> </w:t>
      </w:r>
      <w:r w:rsidRPr="0098262F">
        <w:t>in Year</w:t>
      </w:r>
      <w:r w:rsidR="00860DC5">
        <w:t> </w:t>
      </w:r>
      <w:r w:rsidRPr="0098262F">
        <w:t xml:space="preserve">6, and a total of </w:t>
      </w:r>
      <w:r w:rsidR="00D329C9" w:rsidRPr="00D329C9">
        <w:t>$0 to &lt; $10 million</w:t>
      </w:r>
      <w:r w:rsidR="00CE3234">
        <w:t xml:space="preserve"> </w:t>
      </w:r>
      <w:r w:rsidRPr="0098262F">
        <w:t>in the first 6 years of listing</w:t>
      </w:r>
      <w:r w:rsidR="00CE3234">
        <w:t>.</w:t>
      </w:r>
    </w:p>
    <w:p w14:paraId="6A7CF104" w14:textId="2A55988F" w:rsidR="006F36F7" w:rsidRPr="006F36F7" w:rsidRDefault="00F83F81">
      <w:pPr>
        <w:pStyle w:val="3-BodyText"/>
        <w:rPr>
          <w:color w:val="0066FF"/>
        </w:rPr>
      </w:pPr>
      <w:r>
        <w:t xml:space="preserve">The submission estimated </w:t>
      </w:r>
      <w:r w:rsidR="00432372">
        <w:t xml:space="preserve">listing </w:t>
      </w:r>
      <w:r w:rsidR="00C01F51">
        <w:t xml:space="preserve">Bijuva on the PBS would result in a cost saving, </w:t>
      </w:r>
      <w:r w:rsidR="00B10EB3">
        <w:t xml:space="preserve">due to the higher number of patient </w:t>
      </w:r>
      <w:r w:rsidR="00790B6E">
        <w:t xml:space="preserve">co-payments as 1 pack of Bijuva </w:t>
      </w:r>
      <w:r w:rsidR="00DE22D0">
        <w:t xml:space="preserve">provides </w:t>
      </w:r>
      <w:r w:rsidR="006C1B78">
        <w:t>fewer</w:t>
      </w:r>
      <w:r w:rsidR="00DE22D0">
        <w:t xml:space="preserve"> days of therapy compared to </w:t>
      </w:r>
      <w:r w:rsidR="006C1B78">
        <w:t xml:space="preserve">1 pack of Estrogel Pro (paragraph </w:t>
      </w:r>
      <w:r w:rsidR="006C1B78">
        <w:fldChar w:fldCharType="begin"/>
      </w:r>
      <w:r w:rsidR="006C1B78">
        <w:instrText xml:space="preserve"> REF _Ref207455655 \r \h </w:instrText>
      </w:r>
      <w:r w:rsidR="006C1B78">
        <w:fldChar w:fldCharType="separate"/>
      </w:r>
      <w:r w:rsidR="00724077">
        <w:t>6.65</w:t>
      </w:r>
      <w:r w:rsidR="006C1B78">
        <w:fldChar w:fldCharType="end"/>
      </w:r>
      <w:r w:rsidR="006C1B78">
        <w:t xml:space="preserve">). </w:t>
      </w:r>
    </w:p>
    <w:p w14:paraId="68FAA280" w14:textId="6371D9AD" w:rsidR="006F36F7" w:rsidRPr="00B74A1A" w:rsidRDefault="006F36F7">
      <w:pPr>
        <w:pStyle w:val="3-BodyText"/>
      </w:pPr>
      <w:bookmarkStart w:id="74" w:name="_Ref211246553"/>
      <w:r w:rsidRPr="00B74A1A">
        <w:t>The total savings to the PBS/RPBS of listing Bijuva were likely overestimated due to following reasons:</w:t>
      </w:r>
      <w:bookmarkEnd w:id="74"/>
    </w:p>
    <w:p w14:paraId="30EBDC19" w14:textId="6AC33CDD" w:rsidR="00F83F81" w:rsidRPr="00B74A1A" w:rsidRDefault="00066392" w:rsidP="006F36F7">
      <w:pPr>
        <w:pStyle w:val="ListParagraph"/>
        <w:jc w:val="both"/>
      </w:pPr>
      <w:r w:rsidRPr="00B74A1A">
        <w:t>Th</w:t>
      </w:r>
      <w:r w:rsidR="006F36F7" w:rsidRPr="00B74A1A">
        <w:t>e</w:t>
      </w:r>
      <w:r w:rsidRPr="00B74A1A">
        <w:t xml:space="preserve"> </w:t>
      </w:r>
      <w:r w:rsidR="006F36F7" w:rsidRPr="00B74A1A">
        <w:t xml:space="preserve">submission assumed </w:t>
      </w:r>
      <w:r w:rsidRPr="00B74A1A">
        <w:t xml:space="preserve">that Bijuva would only substitute for Estrogel </w:t>
      </w:r>
      <w:proofErr w:type="gramStart"/>
      <w:r w:rsidRPr="00B74A1A">
        <w:t xml:space="preserve">Pro, </w:t>
      </w:r>
      <w:r w:rsidR="00411755" w:rsidRPr="00B74A1A">
        <w:t>and</w:t>
      </w:r>
      <w:proofErr w:type="gramEnd"/>
      <w:r w:rsidR="00411755" w:rsidRPr="00B74A1A">
        <w:t xml:space="preserve"> </w:t>
      </w:r>
      <w:r w:rsidR="006F36F7" w:rsidRPr="00B74A1A">
        <w:t xml:space="preserve">did </w:t>
      </w:r>
      <w:r w:rsidR="00411755" w:rsidRPr="00B74A1A">
        <w:t xml:space="preserve">not account for patients using other forms for MHT (both PBS and non-PBS listed) </w:t>
      </w:r>
      <w:r w:rsidR="009B3CE2" w:rsidRPr="00B74A1A">
        <w:t>who may switch to using Bijuva if PBS-listed.</w:t>
      </w:r>
    </w:p>
    <w:p w14:paraId="28D6233A" w14:textId="77777777" w:rsidR="006F36F7" w:rsidRPr="00B74A1A" w:rsidRDefault="009C06A8" w:rsidP="006F36F7">
      <w:pPr>
        <w:pStyle w:val="ListParagraph"/>
        <w:jc w:val="both"/>
      </w:pPr>
      <w:r w:rsidRPr="00B74A1A">
        <w:t>T</w:t>
      </w:r>
      <w:r w:rsidR="0023586C" w:rsidRPr="00B74A1A">
        <w:t xml:space="preserve">he key inputs for Estrogel Pro (e.g. the number of patients and prescriptions) were uncertain as they were based on utilisation of Estrogel Pro in the private market and adjusted by 30% to account for uncertainty. </w:t>
      </w:r>
    </w:p>
    <w:p w14:paraId="5D79EFB2" w14:textId="7DFC1C82" w:rsidR="000F1A7B" w:rsidRDefault="009C06A8" w:rsidP="00555887">
      <w:pPr>
        <w:pStyle w:val="ListParagraph"/>
        <w:jc w:val="both"/>
      </w:pPr>
      <w:r w:rsidRPr="00B74A1A">
        <w:t>Furthermore, t</w:t>
      </w:r>
      <w:r w:rsidR="0023586C" w:rsidRPr="00B74A1A">
        <w:t xml:space="preserve">he number of prescriptions per year </w:t>
      </w:r>
      <w:r w:rsidR="00021EA9" w:rsidRPr="00B74A1A">
        <w:t>was calculated assuming a 32-day treatment duration per pack, which is inconsistent with the 30-day duration used in the CMA</w:t>
      </w:r>
      <w:r w:rsidR="0007686A" w:rsidRPr="00B74A1A">
        <w:t>.</w:t>
      </w:r>
    </w:p>
    <w:p w14:paraId="05C1F9EC" w14:textId="75417988" w:rsidR="00A31631" w:rsidRPr="00D56078" w:rsidRDefault="00A31631" w:rsidP="00A31631">
      <w:pPr>
        <w:pStyle w:val="3-BodyText"/>
      </w:pPr>
      <w:r w:rsidRPr="00D56078">
        <w:lastRenderedPageBreak/>
        <w:t xml:space="preserve">The PSCR </w:t>
      </w:r>
      <w:r w:rsidR="007A2A9F" w:rsidRPr="00D56078">
        <w:t>argued that it was irrelevant to includ</w:t>
      </w:r>
      <w:r w:rsidR="00455C97" w:rsidRPr="00D56078">
        <w:t xml:space="preserve">e non-PBS listed forms of MHT that </w:t>
      </w:r>
      <w:r w:rsidR="00D469A4" w:rsidRPr="00D56078">
        <w:t xml:space="preserve">may be substituted for Bijuva in the financial estimates, as these medicines are not </w:t>
      </w:r>
      <w:r w:rsidR="00E93D86" w:rsidRPr="00D56078">
        <w:t xml:space="preserve">Government subsidised. The PSCR </w:t>
      </w:r>
      <w:r w:rsidR="00C232AF" w:rsidRPr="00D56078">
        <w:t xml:space="preserve">claimed that the financial estimates for Estrogel Pro already account for patients using non-PBS subsidised medicines who may switch to medicines newly listed on the PBS, </w:t>
      </w:r>
      <w:r w:rsidR="00557205" w:rsidRPr="00D56078">
        <w:t xml:space="preserve">and the listing of Bijuva is unlikely to meaningfully impact this trend. </w:t>
      </w:r>
      <w:r w:rsidR="008F1319" w:rsidRPr="00D56078">
        <w:t xml:space="preserve">The PSCR claimed that </w:t>
      </w:r>
      <w:r w:rsidR="00835FFC" w:rsidRPr="00D56078">
        <w:t xml:space="preserve">estradiol valerate listed on the PBS is different to the estradiol in </w:t>
      </w:r>
      <w:proofErr w:type="spellStart"/>
      <w:r w:rsidR="00835FFC" w:rsidRPr="00D56078">
        <w:t>Bijuva</w:t>
      </w:r>
      <w:proofErr w:type="spellEnd"/>
      <w:r w:rsidR="00835FFC" w:rsidRPr="00D56078">
        <w:t xml:space="preserve">, and </w:t>
      </w:r>
      <w:r w:rsidR="00626AF6" w:rsidRPr="00D56078">
        <w:t xml:space="preserve">that </w:t>
      </w:r>
      <w:proofErr w:type="spellStart"/>
      <w:r w:rsidR="00626AF6" w:rsidRPr="00D56078">
        <w:t>Femoston</w:t>
      </w:r>
      <w:proofErr w:type="spellEnd"/>
      <w:r w:rsidR="00626AF6" w:rsidRPr="00D56078">
        <w:t xml:space="preserve"> that is PBS-listed contains synthetic d</w:t>
      </w:r>
      <w:r w:rsidR="009376C1" w:rsidRPr="00D56078">
        <w:t xml:space="preserve">ydrogesterone and uses a cyclical dosing regimen, therefore these are not appropriate alternatives to Bijuva. </w:t>
      </w:r>
    </w:p>
    <w:p w14:paraId="388F4F4D" w14:textId="3CCA6D2B" w:rsidR="00401814" w:rsidRPr="00D56078" w:rsidRDefault="00401814" w:rsidP="00A31631">
      <w:pPr>
        <w:pStyle w:val="3-BodyText"/>
      </w:pPr>
      <w:bookmarkStart w:id="75" w:name="_Ref211261838"/>
      <w:r>
        <w:t xml:space="preserve">The ESC considered </w:t>
      </w:r>
      <w:r w:rsidR="00264E11">
        <w:t xml:space="preserve">the financial estimates </w:t>
      </w:r>
      <w:r w:rsidR="007D3608">
        <w:t xml:space="preserve">and inputs were uncertain. The ESC </w:t>
      </w:r>
      <w:r w:rsidR="00AA1FC1">
        <w:t>advised</w:t>
      </w:r>
      <w:r w:rsidR="007D3608">
        <w:t xml:space="preserve"> </w:t>
      </w:r>
      <w:r w:rsidR="00607E6F">
        <w:t xml:space="preserve">that patients currently using other MHT products who may switch to Bijuva if PBS-listed should be included in the </w:t>
      </w:r>
      <w:r w:rsidR="001B0D88">
        <w:t xml:space="preserve">financial estimates, especially </w:t>
      </w:r>
      <w:proofErr w:type="gramStart"/>
      <w:r w:rsidR="001B0D88">
        <w:t>in light of</w:t>
      </w:r>
      <w:proofErr w:type="gramEnd"/>
      <w:r w:rsidR="001B0D88">
        <w:t xml:space="preserve"> MHT shortages</w:t>
      </w:r>
      <w:r w:rsidR="00B9630E">
        <w:t>, and noted that some patients may prefer using an oral rather than topical medicine.</w:t>
      </w:r>
      <w:r w:rsidR="00D0121E">
        <w:t xml:space="preserve"> The ESC advised that as Estrogel Pro is currently PBS-listed, </w:t>
      </w:r>
      <w:r w:rsidR="00375C56">
        <w:t>the financial estimates should incorporate utilisation</w:t>
      </w:r>
      <w:r w:rsidR="008B7226">
        <w:t xml:space="preserve"> data</w:t>
      </w:r>
      <w:r w:rsidR="00375C56">
        <w:t xml:space="preserve"> of Estrogel Pro since its listing on the PBS.</w:t>
      </w:r>
      <w:bookmarkEnd w:id="75"/>
      <w:r w:rsidR="00375C56">
        <w:t xml:space="preserve"> </w:t>
      </w:r>
    </w:p>
    <w:p w14:paraId="1975ED9E" w14:textId="33B56FE8" w:rsidR="007778E4" w:rsidRDefault="007778E4" w:rsidP="007778E4">
      <w:pPr>
        <w:pStyle w:val="3-BodyText"/>
      </w:pPr>
      <w:r w:rsidRPr="00D56078">
        <w:t>The ESC</w:t>
      </w:r>
      <w:r w:rsidR="0042743D" w:rsidRPr="00D56078">
        <w:t xml:space="preserve"> advised</w:t>
      </w:r>
      <w:r w:rsidRPr="00D56078">
        <w:t xml:space="preserve"> that in practice patients using MHT patches may switch to an oral formulation of MHT such as Bijuva if they were unable to tolerate topical application</w:t>
      </w:r>
      <w:r w:rsidR="00065D6E" w:rsidRPr="00D56078">
        <w:t>.</w:t>
      </w:r>
      <w:r w:rsidRPr="00D56078">
        <w:rPr>
          <w:strike/>
        </w:rPr>
        <w:t xml:space="preserve"> </w:t>
      </w:r>
      <w:r w:rsidRPr="00D56078">
        <w:t>The ESC considered patients were more likely to switch from a topical MHT patch to an oral formulation, rather than switching to a topical gel (such as Estrogel Pro).</w:t>
      </w:r>
    </w:p>
    <w:p w14:paraId="250781CD" w14:textId="3E602689" w:rsidR="00463031" w:rsidRPr="00463031" w:rsidRDefault="00463031" w:rsidP="00463031">
      <w:pPr>
        <w:pStyle w:val="3-BodyText"/>
        <w:numPr>
          <w:ilvl w:val="0"/>
          <w:numId w:val="0"/>
        </w:numPr>
        <w:ind w:left="720"/>
        <w:rPr>
          <w:i/>
          <w:iCs/>
        </w:rPr>
      </w:pPr>
      <w:r w:rsidRPr="00463031">
        <w:rPr>
          <w:i/>
          <w:iCs/>
        </w:rPr>
        <w:t>For more detail on PBAC’s view, see section 7 PBAC outcome.</w:t>
      </w:r>
    </w:p>
    <w:p w14:paraId="7501047A" w14:textId="77777777" w:rsidR="00580CC8" w:rsidRPr="0090150D" w:rsidRDefault="00580CC8" w:rsidP="00580CC8">
      <w:pPr>
        <w:pStyle w:val="2-SectionHeading"/>
        <w:numPr>
          <w:ilvl w:val="0"/>
          <w:numId w:val="1"/>
        </w:numPr>
      </w:pPr>
      <w:r w:rsidRPr="0090150D">
        <w:t>PBAC Outcome</w:t>
      </w:r>
    </w:p>
    <w:p w14:paraId="5A896847" w14:textId="18B6B1D5" w:rsidR="00246FF5" w:rsidRDefault="00246FF5" w:rsidP="00580CC8">
      <w:pPr>
        <w:widowControl w:val="0"/>
        <w:numPr>
          <w:ilvl w:val="1"/>
          <w:numId w:val="1"/>
        </w:numPr>
        <w:spacing w:after="120"/>
        <w:rPr>
          <w:rFonts w:asciiTheme="minorHAnsi" w:hAnsiTheme="minorHAnsi"/>
          <w:snapToGrid w:val="0"/>
          <w:lang w:val="en-GB"/>
        </w:rPr>
      </w:pPr>
      <w:bookmarkStart w:id="76" w:name="_Hlk111543188"/>
      <w:r>
        <w:rPr>
          <w:rFonts w:asciiTheme="minorHAnsi" w:hAnsiTheme="minorHAnsi"/>
          <w:snapToGrid w:val="0"/>
          <w:lang w:val="en-GB"/>
        </w:rPr>
        <w:t>The PBAC recommended the listing of estradiol with progesterone</w:t>
      </w:r>
      <w:r w:rsidR="00390EE9">
        <w:rPr>
          <w:rFonts w:asciiTheme="minorHAnsi" w:hAnsiTheme="minorHAnsi"/>
          <w:snapToGrid w:val="0"/>
          <w:lang w:val="en-GB"/>
        </w:rPr>
        <w:t xml:space="preserve"> (</w:t>
      </w:r>
      <w:proofErr w:type="spellStart"/>
      <w:r w:rsidR="00390EE9">
        <w:rPr>
          <w:rFonts w:asciiTheme="minorHAnsi" w:hAnsiTheme="minorHAnsi"/>
          <w:snapToGrid w:val="0"/>
          <w:lang w:val="en-GB"/>
        </w:rPr>
        <w:t>Bijuva</w:t>
      </w:r>
      <w:proofErr w:type="spellEnd"/>
      <w:r w:rsidR="00390EE9">
        <w:rPr>
          <w:rFonts w:asciiTheme="minorHAnsi" w:hAnsiTheme="minorHAnsi"/>
          <w:snapToGrid w:val="0"/>
          <w:lang w:val="en-GB"/>
        </w:rPr>
        <w:t xml:space="preserve">) </w:t>
      </w:r>
      <w:r>
        <w:rPr>
          <w:rFonts w:asciiTheme="minorHAnsi" w:hAnsiTheme="minorHAnsi"/>
          <w:snapToGrid w:val="0"/>
          <w:lang w:val="en-GB"/>
        </w:rPr>
        <w:t xml:space="preserve">as a General Schedule unrestricted benefit listing, and </w:t>
      </w:r>
      <w:r w:rsidR="00D84422">
        <w:rPr>
          <w:rFonts w:asciiTheme="minorHAnsi" w:hAnsiTheme="minorHAnsi"/>
          <w:snapToGrid w:val="0"/>
          <w:lang w:val="en-GB"/>
        </w:rPr>
        <w:t xml:space="preserve">a </w:t>
      </w:r>
      <w:r>
        <w:rPr>
          <w:rFonts w:asciiTheme="minorHAnsi" w:hAnsiTheme="minorHAnsi"/>
          <w:snapToGrid w:val="0"/>
          <w:lang w:val="en-GB"/>
        </w:rPr>
        <w:t>corresponding General Schedule restricted benefit listing for 60-day maximum dispensed quantity.</w:t>
      </w:r>
    </w:p>
    <w:p w14:paraId="11E6AAF5" w14:textId="581C19F3" w:rsidR="009B7401" w:rsidRPr="009B7401" w:rsidRDefault="0099698F" w:rsidP="009B7401">
      <w:pPr>
        <w:widowControl w:val="0"/>
        <w:numPr>
          <w:ilvl w:val="1"/>
          <w:numId w:val="1"/>
        </w:numPr>
        <w:spacing w:after="120"/>
        <w:rPr>
          <w:rFonts w:asciiTheme="minorHAnsi" w:hAnsiTheme="minorHAnsi"/>
          <w:bCs/>
          <w:snapToGrid w:val="0"/>
        </w:rPr>
      </w:pPr>
      <w:r w:rsidRPr="0099698F">
        <w:rPr>
          <w:rFonts w:asciiTheme="minorHAnsi" w:hAnsiTheme="minorHAnsi"/>
          <w:snapToGrid w:val="0"/>
        </w:rPr>
        <w:t>The PBAC noted th</w:t>
      </w:r>
      <w:r>
        <w:rPr>
          <w:rFonts w:asciiTheme="minorHAnsi" w:hAnsiTheme="minorHAnsi"/>
          <w:snapToGrid w:val="0"/>
        </w:rPr>
        <w:t>is</w:t>
      </w:r>
      <w:r w:rsidRPr="0099698F">
        <w:rPr>
          <w:rFonts w:asciiTheme="minorHAnsi" w:hAnsiTheme="minorHAnsi"/>
          <w:snapToGrid w:val="0"/>
        </w:rPr>
        <w:t xml:space="preserve"> product </w:t>
      </w:r>
      <w:r>
        <w:rPr>
          <w:rFonts w:asciiTheme="minorHAnsi" w:hAnsiTheme="minorHAnsi"/>
          <w:snapToGrid w:val="0"/>
        </w:rPr>
        <w:t>is</w:t>
      </w:r>
      <w:r w:rsidRPr="0099698F">
        <w:rPr>
          <w:rFonts w:asciiTheme="minorHAnsi" w:hAnsiTheme="minorHAnsi"/>
          <w:snapToGrid w:val="0"/>
        </w:rPr>
        <w:t xml:space="preserve"> currently available on the private market, however cost is a barrier to access. The PBAC noted consumer </w:t>
      </w:r>
      <w:r>
        <w:rPr>
          <w:rFonts w:asciiTheme="minorHAnsi" w:hAnsiTheme="minorHAnsi"/>
          <w:snapToGrid w:val="0"/>
        </w:rPr>
        <w:t>input</w:t>
      </w:r>
      <w:r w:rsidRPr="0099698F">
        <w:rPr>
          <w:rFonts w:asciiTheme="minorHAnsi" w:hAnsiTheme="minorHAnsi"/>
          <w:snapToGrid w:val="0"/>
        </w:rPr>
        <w:t xml:space="preserve"> stated </w:t>
      </w:r>
      <w:r>
        <w:rPr>
          <w:rFonts w:asciiTheme="minorHAnsi" w:hAnsiTheme="minorHAnsi"/>
          <w:snapToGrid w:val="0"/>
        </w:rPr>
        <w:t xml:space="preserve">that </w:t>
      </w:r>
      <w:r w:rsidRPr="0099698F">
        <w:rPr>
          <w:rFonts w:asciiTheme="minorHAnsi" w:hAnsiTheme="minorHAnsi"/>
          <w:snapToGrid w:val="0"/>
        </w:rPr>
        <w:t>it was important to have a range of MHT options available on the PBS, particularly in the context of shortages of other MHT products.</w:t>
      </w:r>
      <w:r w:rsidR="000F1886" w:rsidRPr="000F1886">
        <w:rPr>
          <w:rFonts w:asciiTheme="minorHAnsi" w:hAnsiTheme="minorHAnsi"/>
          <w:bCs/>
          <w:snapToGrid w:val="0"/>
        </w:rPr>
        <w:t xml:space="preserve"> </w:t>
      </w:r>
      <w:r w:rsidR="000F1886">
        <w:rPr>
          <w:rFonts w:asciiTheme="minorHAnsi" w:hAnsiTheme="minorHAnsi"/>
          <w:bCs/>
          <w:snapToGrid w:val="0"/>
        </w:rPr>
        <w:t xml:space="preserve">The PBAC noted comments that PBS listing of </w:t>
      </w:r>
      <w:r w:rsidR="00390EE9">
        <w:rPr>
          <w:rFonts w:asciiTheme="minorHAnsi" w:hAnsiTheme="minorHAnsi"/>
          <w:bCs/>
          <w:snapToGrid w:val="0"/>
        </w:rPr>
        <w:t>Bijuva would</w:t>
      </w:r>
      <w:r w:rsidR="000F1886">
        <w:rPr>
          <w:rFonts w:asciiTheme="minorHAnsi" w:hAnsiTheme="minorHAnsi"/>
          <w:bCs/>
          <w:snapToGrid w:val="0"/>
        </w:rPr>
        <w:t xml:space="preserve"> support equitable access to a range of MHT options, particularly for individuals who require </w:t>
      </w:r>
      <w:proofErr w:type="gramStart"/>
      <w:r w:rsidR="000F1886">
        <w:rPr>
          <w:rFonts w:asciiTheme="minorHAnsi" w:hAnsiTheme="minorHAnsi"/>
          <w:bCs/>
          <w:snapToGrid w:val="0"/>
        </w:rPr>
        <w:t>MHT</w:t>
      </w:r>
      <w:proofErr w:type="gramEnd"/>
      <w:r w:rsidR="000F1886">
        <w:rPr>
          <w:rFonts w:asciiTheme="minorHAnsi" w:hAnsiTheme="minorHAnsi"/>
          <w:bCs/>
          <w:snapToGrid w:val="0"/>
        </w:rPr>
        <w:t xml:space="preserve"> but where transdermal or synthetic hormones are not appropriate or not preferred</w:t>
      </w:r>
      <w:r w:rsidR="00A84CD9">
        <w:rPr>
          <w:rFonts w:asciiTheme="minorHAnsi" w:hAnsiTheme="minorHAnsi"/>
          <w:bCs/>
          <w:snapToGrid w:val="0"/>
        </w:rPr>
        <w:t xml:space="preserve">, and </w:t>
      </w:r>
      <w:r w:rsidR="00EC4F6F">
        <w:rPr>
          <w:rFonts w:asciiTheme="minorHAnsi" w:hAnsiTheme="minorHAnsi"/>
          <w:bCs/>
          <w:snapToGrid w:val="0"/>
        </w:rPr>
        <w:t>that</w:t>
      </w:r>
      <w:r w:rsidR="00A84CD9">
        <w:rPr>
          <w:rFonts w:asciiTheme="minorHAnsi" w:hAnsiTheme="minorHAnsi"/>
          <w:bCs/>
          <w:snapToGrid w:val="0"/>
        </w:rPr>
        <w:t xml:space="preserve"> a </w:t>
      </w:r>
      <w:r w:rsidR="000871AF">
        <w:rPr>
          <w:rFonts w:asciiTheme="minorHAnsi" w:hAnsiTheme="minorHAnsi"/>
          <w:bCs/>
          <w:snapToGrid w:val="0"/>
        </w:rPr>
        <w:t>combination</w:t>
      </w:r>
      <w:r w:rsidR="00A84CD9">
        <w:rPr>
          <w:rFonts w:asciiTheme="minorHAnsi" w:hAnsiTheme="minorHAnsi"/>
          <w:bCs/>
          <w:snapToGrid w:val="0"/>
        </w:rPr>
        <w:t xml:space="preserve"> capsule presentation</w:t>
      </w:r>
      <w:r w:rsidR="00EC4F6F">
        <w:rPr>
          <w:rFonts w:asciiTheme="minorHAnsi" w:hAnsiTheme="minorHAnsi"/>
          <w:bCs/>
          <w:snapToGrid w:val="0"/>
        </w:rPr>
        <w:t xml:space="preserve"> offers convenience</w:t>
      </w:r>
      <w:r w:rsidR="000F1886">
        <w:rPr>
          <w:rFonts w:asciiTheme="minorHAnsi" w:hAnsiTheme="minorHAnsi"/>
          <w:bCs/>
          <w:snapToGrid w:val="0"/>
        </w:rPr>
        <w:t>.</w:t>
      </w:r>
      <w:r w:rsidR="009B7401">
        <w:rPr>
          <w:rFonts w:asciiTheme="minorHAnsi" w:hAnsiTheme="minorHAnsi"/>
          <w:bCs/>
          <w:snapToGrid w:val="0"/>
        </w:rPr>
        <w:t xml:space="preserve"> The PBAC</w:t>
      </w:r>
      <w:r w:rsidR="009B7401" w:rsidRPr="009B7401">
        <w:rPr>
          <w:rFonts w:asciiTheme="minorHAnsi" w:hAnsiTheme="minorHAnsi"/>
          <w:bCs/>
          <w:snapToGrid w:val="0"/>
        </w:rPr>
        <w:t xml:space="preserve"> noted that </w:t>
      </w:r>
      <w:r w:rsidR="00A94D66">
        <w:rPr>
          <w:rFonts w:asciiTheme="minorHAnsi" w:hAnsiTheme="minorHAnsi"/>
          <w:bCs/>
          <w:snapToGrid w:val="0"/>
        </w:rPr>
        <w:t xml:space="preserve"> a </w:t>
      </w:r>
      <w:r w:rsidR="00A57BAD">
        <w:rPr>
          <w:rFonts w:asciiTheme="minorHAnsi" w:hAnsiTheme="minorHAnsi"/>
          <w:bCs/>
          <w:snapToGrid w:val="0"/>
        </w:rPr>
        <w:t xml:space="preserve"> prescription for estradiol with progesterone would</w:t>
      </w:r>
      <w:r w:rsidR="009B7401" w:rsidRPr="009B7401">
        <w:rPr>
          <w:rFonts w:asciiTheme="minorHAnsi" w:hAnsiTheme="minorHAnsi"/>
          <w:bCs/>
          <w:snapToGrid w:val="0"/>
        </w:rPr>
        <w:t xml:space="preserve"> reduce co-payments and out-of-pocket expenses</w:t>
      </w:r>
      <w:r w:rsidR="00A57BAD">
        <w:rPr>
          <w:rFonts w:asciiTheme="minorHAnsi" w:hAnsiTheme="minorHAnsi"/>
          <w:bCs/>
          <w:snapToGrid w:val="0"/>
        </w:rPr>
        <w:t xml:space="preserve"> </w:t>
      </w:r>
      <w:r w:rsidR="00417D05">
        <w:rPr>
          <w:rFonts w:asciiTheme="minorHAnsi" w:hAnsiTheme="minorHAnsi"/>
          <w:bCs/>
          <w:snapToGrid w:val="0"/>
        </w:rPr>
        <w:t xml:space="preserve">compared to oral estradiol and progesterone prescribed separately. </w:t>
      </w:r>
    </w:p>
    <w:p w14:paraId="5005F586" w14:textId="725CD97F" w:rsidR="00204A3C" w:rsidRPr="00A07412" w:rsidRDefault="00204A3C" w:rsidP="00580CC8">
      <w:pPr>
        <w:widowControl w:val="0"/>
        <w:numPr>
          <w:ilvl w:val="1"/>
          <w:numId w:val="1"/>
        </w:numPr>
        <w:spacing w:after="120"/>
        <w:rPr>
          <w:rFonts w:asciiTheme="minorHAnsi" w:hAnsiTheme="minorHAnsi"/>
          <w:snapToGrid w:val="0"/>
          <w:lang w:val="en-GB"/>
        </w:rPr>
      </w:pPr>
      <w:r w:rsidRPr="00204A3C">
        <w:rPr>
          <w:rFonts w:asciiTheme="minorHAnsi" w:hAnsiTheme="minorHAnsi"/>
          <w:snapToGrid w:val="0"/>
        </w:rPr>
        <w:t>The PBAC also noted priority area actions in the National Women’s Health Strategy, including removing barriers to support equitable access to timely, appropriate and affordable care for all women, and to support women and health care providers to manage the effects of menopause; and recommendations from the report from the Senate inquiry into issues related to menopause and perimenopause.</w:t>
      </w:r>
    </w:p>
    <w:p w14:paraId="7E8A29C4" w14:textId="023AACDB" w:rsidR="00053F28" w:rsidRPr="00890D17" w:rsidRDefault="00A07412">
      <w:pPr>
        <w:widowControl w:val="0"/>
        <w:numPr>
          <w:ilvl w:val="1"/>
          <w:numId w:val="1"/>
        </w:numPr>
        <w:spacing w:after="120"/>
        <w:rPr>
          <w:rFonts w:asciiTheme="minorHAnsi" w:hAnsiTheme="minorHAnsi"/>
          <w:snapToGrid w:val="0"/>
          <w:lang w:val="en-GB"/>
        </w:rPr>
      </w:pPr>
      <w:r w:rsidRPr="00D152E3">
        <w:rPr>
          <w:rFonts w:asciiTheme="minorHAnsi" w:hAnsiTheme="minorHAnsi"/>
          <w:snapToGrid w:val="0"/>
          <w:lang w:val="en-GB"/>
        </w:rPr>
        <w:t xml:space="preserve">The PBAC advised that there is a need to maintain a diverse range of </w:t>
      </w:r>
      <w:r w:rsidR="00784707">
        <w:rPr>
          <w:rFonts w:asciiTheme="minorHAnsi" w:hAnsiTheme="minorHAnsi"/>
          <w:snapToGrid w:val="0"/>
          <w:lang w:val="en-GB"/>
        </w:rPr>
        <w:t>MHT options</w:t>
      </w:r>
      <w:r w:rsidRPr="00D152E3">
        <w:rPr>
          <w:rFonts w:asciiTheme="minorHAnsi" w:hAnsiTheme="minorHAnsi"/>
          <w:snapToGrid w:val="0"/>
          <w:lang w:val="en-GB"/>
        </w:rPr>
        <w:t xml:space="preserve"> on </w:t>
      </w:r>
      <w:r w:rsidRPr="00D152E3">
        <w:rPr>
          <w:rFonts w:asciiTheme="minorHAnsi" w:hAnsiTheme="minorHAnsi"/>
          <w:snapToGrid w:val="0"/>
          <w:lang w:val="en-GB"/>
        </w:rPr>
        <w:lastRenderedPageBreak/>
        <w:t xml:space="preserve">the PBS. </w:t>
      </w:r>
      <w:r w:rsidR="00A01E4E" w:rsidRPr="00D152E3">
        <w:rPr>
          <w:rFonts w:asciiTheme="minorHAnsi" w:hAnsiTheme="minorHAnsi"/>
          <w:snapToGrid w:val="0"/>
        </w:rPr>
        <w:t xml:space="preserve">The PBAC noted that there is currently no oral fixed dose combination product containing </w:t>
      </w:r>
      <w:r w:rsidR="000E39C6">
        <w:rPr>
          <w:rFonts w:asciiTheme="minorHAnsi" w:hAnsiTheme="minorHAnsi"/>
          <w:snapToGrid w:val="0"/>
        </w:rPr>
        <w:t>estradiol</w:t>
      </w:r>
      <w:r w:rsidR="00053F28" w:rsidRPr="00D152E3">
        <w:rPr>
          <w:rFonts w:asciiTheme="minorHAnsi" w:hAnsiTheme="minorHAnsi"/>
          <w:snapToGrid w:val="0"/>
        </w:rPr>
        <w:t xml:space="preserve"> and progesterone (or a progestogen) for continuous MHT</w:t>
      </w:r>
      <w:r w:rsidR="00F2762A">
        <w:rPr>
          <w:rFonts w:asciiTheme="minorHAnsi" w:hAnsiTheme="minorHAnsi"/>
          <w:snapToGrid w:val="0"/>
        </w:rPr>
        <w:t xml:space="preserve"> listed on the PBS</w:t>
      </w:r>
      <w:r w:rsidR="000E39C6">
        <w:rPr>
          <w:rFonts w:asciiTheme="minorHAnsi" w:hAnsiTheme="minorHAnsi"/>
          <w:snapToGrid w:val="0"/>
        </w:rPr>
        <w:t>,</w:t>
      </w:r>
      <w:r w:rsidR="00D152E3">
        <w:rPr>
          <w:rFonts w:asciiTheme="minorHAnsi" w:hAnsiTheme="minorHAnsi"/>
          <w:snapToGrid w:val="0"/>
        </w:rPr>
        <w:t xml:space="preserve"> </w:t>
      </w:r>
      <w:r w:rsidR="000E39C6">
        <w:rPr>
          <w:rFonts w:asciiTheme="minorHAnsi" w:hAnsiTheme="minorHAnsi"/>
          <w:snapToGrid w:val="0"/>
        </w:rPr>
        <w:t>h</w:t>
      </w:r>
      <w:r w:rsidR="00D152E3">
        <w:rPr>
          <w:rFonts w:asciiTheme="minorHAnsi" w:hAnsiTheme="minorHAnsi"/>
          <w:snapToGrid w:val="0"/>
        </w:rPr>
        <w:t>owever,</w:t>
      </w:r>
      <w:r w:rsidR="00053F28" w:rsidRPr="00D152E3">
        <w:rPr>
          <w:rFonts w:asciiTheme="minorHAnsi" w:hAnsiTheme="minorHAnsi"/>
          <w:snapToGrid w:val="0"/>
        </w:rPr>
        <w:t xml:space="preserve"> estradiol and progesterone</w:t>
      </w:r>
      <w:r w:rsidR="000E39C6">
        <w:rPr>
          <w:rFonts w:asciiTheme="minorHAnsi" w:hAnsiTheme="minorHAnsi"/>
          <w:snapToGrid w:val="0"/>
        </w:rPr>
        <w:t xml:space="preserve"> (or a progestogen) are</w:t>
      </w:r>
      <w:r w:rsidR="00053F28" w:rsidRPr="00D152E3">
        <w:rPr>
          <w:rFonts w:asciiTheme="minorHAnsi" w:hAnsiTheme="minorHAnsi"/>
          <w:snapToGrid w:val="0"/>
        </w:rPr>
        <w:t xml:space="preserve"> </w:t>
      </w:r>
      <w:r w:rsidR="000E39C6">
        <w:rPr>
          <w:rFonts w:asciiTheme="minorHAnsi" w:hAnsiTheme="minorHAnsi"/>
          <w:snapToGrid w:val="0"/>
        </w:rPr>
        <w:t>available</w:t>
      </w:r>
      <w:r w:rsidR="00053F28" w:rsidRPr="00D152E3">
        <w:rPr>
          <w:rFonts w:asciiTheme="minorHAnsi" w:hAnsiTheme="minorHAnsi"/>
          <w:snapToGrid w:val="0"/>
        </w:rPr>
        <w:t xml:space="preserve"> separately.</w:t>
      </w:r>
      <w:r w:rsidR="00D152E3">
        <w:rPr>
          <w:rFonts w:asciiTheme="minorHAnsi" w:hAnsiTheme="minorHAnsi"/>
          <w:snapToGrid w:val="0"/>
        </w:rPr>
        <w:t xml:space="preserve"> </w:t>
      </w:r>
      <w:r w:rsidR="009B5DFE" w:rsidRPr="00D73954">
        <w:rPr>
          <w:rFonts w:asciiTheme="minorHAnsi" w:hAnsiTheme="minorHAnsi"/>
          <w:snapToGrid w:val="0"/>
        </w:rPr>
        <w:t>The PBAC noted that there are</w:t>
      </w:r>
      <w:r w:rsidR="00010837">
        <w:rPr>
          <w:rFonts w:asciiTheme="minorHAnsi" w:hAnsiTheme="minorHAnsi"/>
          <w:snapToGrid w:val="0"/>
        </w:rPr>
        <w:t xml:space="preserve"> </w:t>
      </w:r>
      <w:r w:rsidR="00C83D0B">
        <w:rPr>
          <w:rFonts w:asciiTheme="minorHAnsi" w:hAnsiTheme="minorHAnsi"/>
          <w:snapToGrid w:val="0"/>
        </w:rPr>
        <w:t xml:space="preserve">also </w:t>
      </w:r>
      <w:r w:rsidR="00B54307">
        <w:rPr>
          <w:rFonts w:asciiTheme="minorHAnsi" w:hAnsiTheme="minorHAnsi"/>
          <w:snapToGrid w:val="0"/>
        </w:rPr>
        <w:t>MHT products</w:t>
      </w:r>
      <w:r w:rsidR="00C62ADF" w:rsidRPr="00D73954">
        <w:rPr>
          <w:rFonts w:asciiTheme="minorHAnsi" w:hAnsiTheme="minorHAnsi"/>
          <w:snapToGrid w:val="0"/>
        </w:rPr>
        <w:t xml:space="preserve"> </w:t>
      </w:r>
      <w:r w:rsidR="00F2762A">
        <w:rPr>
          <w:rFonts w:asciiTheme="minorHAnsi" w:hAnsiTheme="minorHAnsi"/>
          <w:snapToGrid w:val="0"/>
        </w:rPr>
        <w:t xml:space="preserve"> </w:t>
      </w:r>
      <w:r w:rsidR="00C62ADF" w:rsidRPr="00D73954">
        <w:rPr>
          <w:rFonts w:asciiTheme="minorHAnsi" w:hAnsiTheme="minorHAnsi"/>
          <w:snapToGrid w:val="0"/>
        </w:rPr>
        <w:t xml:space="preserve">that </w:t>
      </w:r>
      <w:r w:rsidR="00753920">
        <w:rPr>
          <w:rFonts w:asciiTheme="minorHAnsi" w:hAnsiTheme="minorHAnsi"/>
          <w:snapToGrid w:val="0"/>
        </w:rPr>
        <w:t>combine</w:t>
      </w:r>
      <w:r w:rsidR="0040037D">
        <w:rPr>
          <w:rFonts w:asciiTheme="minorHAnsi" w:hAnsiTheme="minorHAnsi"/>
          <w:snapToGrid w:val="0"/>
        </w:rPr>
        <w:t xml:space="preserve"> topical</w:t>
      </w:r>
      <w:r w:rsidR="00C62ADF" w:rsidRPr="00D73954">
        <w:rPr>
          <w:rFonts w:asciiTheme="minorHAnsi" w:hAnsiTheme="minorHAnsi"/>
          <w:snapToGrid w:val="0"/>
        </w:rPr>
        <w:t xml:space="preserve"> e</w:t>
      </w:r>
      <w:r w:rsidR="00010207">
        <w:rPr>
          <w:rFonts w:asciiTheme="minorHAnsi" w:hAnsiTheme="minorHAnsi"/>
          <w:snapToGrid w:val="0"/>
        </w:rPr>
        <w:t>stradiol</w:t>
      </w:r>
      <w:r w:rsidR="00C62ADF" w:rsidRPr="00D73954">
        <w:rPr>
          <w:rFonts w:asciiTheme="minorHAnsi" w:hAnsiTheme="minorHAnsi"/>
          <w:snapToGrid w:val="0"/>
        </w:rPr>
        <w:t xml:space="preserve"> and</w:t>
      </w:r>
      <w:r w:rsidR="00F2762A">
        <w:rPr>
          <w:rFonts w:asciiTheme="minorHAnsi" w:hAnsiTheme="minorHAnsi"/>
          <w:snapToGrid w:val="0"/>
        </w:rPr>
        <w:t xml:space="preserve"> </w:t>
      </w:r>
      <w:r w:rsidR="00E9596A">
        <w:rPr>
          <w:rFonts w:asciiTheme="minorHAnsi" w:hAnsiTheme="minorHAnsi"/>
          <w:snapToGrid w:val="0"/>
        </w:rPr>
        <w:t xml:space="preserve">oral </w:t>
      </w:r>
      <w:r w:rsidR="00F2762A">
        <w:rPr>
          <w:rFonts w:asciiTheme="minorHAnsi" w:hAnsiTheme="minorHAnsi"/>
          <w:snapToGrid w:val="0"/>
        </w:rPr>
        <w:t xml:space="preserve">progesterone or </w:t>
      </w:r>
      <w:r w:rsidR="00B94ABA">
        <w:rPr>
          <w:rFonts w:asciiTheme="minorHAnsi" w:hAnsiTheme="minorHAnsi"/>
          <w:snapToGrid w:val="0"/>
        </w:rPr>
        <w:t xml:space="preserve">a topical </w:t>
      </w:r>
      <w:r w:rsidR="00C62ADF" w:rsidRPr="00D73954">
        <w:rPr>
          <w:rFonts w:asciiTheme="minorHAnsi" w:hAnsiTheme="minorHAnsi"/>
          <w:snapToGrid w:val="0"/>
        </w:rPr>
        <w:t>progestogen available on the PBS that can be used as continuous MHT</w:t>
      </w:r>
      <w:r w:rsidR="00010207">
        <w:rPr>
          <w:rFonts w:asciiTheme="minorHAnsi" w:hAnsiTheme="minorHAnsi"/>
          <w:snapToGrid w:val="0"/>
        </w:rPr>
        <w:t>. It is generally accepted that transdermal estradiol has a lower risk of VTE than oral estradiol</w:t>
      </w:r>
      <w:r w:rsidR="00C62ADF" w:rsidRPr="00D73954">
        <w:rPr>
          <w:rFonts w:asciiTheme="minorHAnsi" w:hAnsiTheme="minorHAnsi"/>
          <w:snapToGrid w:val="0"/>
        </w:rPr>
        <w:t>.</w:t>
      </w:r>
      <w:r w:rsidR="00010207">
        <w:rPr>
          <w:rFonts w:asciiTheme="minorHAnsi" w:hAnsiTheme="minorHAnsi"/>
          <w:snapToGrid w:val="0"/>
        </w:rPr>
        <w:t xml:space="preserve"> </w:t>
      </w:r>
    </w:p>
    <w:p w14:paraId="0C085F50" w14:textId="382E89E6" w:rsidR="00890D17" w:rsidRPr="006F5F9D" w:rsidRDefault="00890D17">
      <w:pPr>
        <w:widowControl w:val="0"/>
        <w:numPr>
          <w:ilvl w:val="1"/>
          <w:numId w:val="1"/>
        </w:numPr>
        <w:spacing w:after="120"/>
        <w:rPr>
          <w:rFonts w:asciiTheme="minorHAnsi" w:hAnsiTheme="minorHAnsi"/>
          <w:snapToGrid w:val="0"/>
          <w:lang w:val="en-GB"/>
        </w:rPr>
      </w:pPr>
      <w:r w:rsidRPr="006F5F9D">
        <w:rPr>
          <w:rFonts w:asciiTheme="minorHAnsi" w:hAnsiTheme="minorHAnsi"/>
          <w:snapToGrid w:val="0"/>
        </w:rPr>
        <w:t>The PBAC advised that the claim of non-inferior efficacy</w:t>
      </w:r>
      <w:r w:rsidR="00784707" w:rsidRPr="006F5F9D">
        <w:rPr>
          <w:rFonts w:asciiTheme="minorHAnsi" w:hAnsiTheme="minorHAnsi"/>
          <w:snapToGrid w:val="0"/>
        </w:rPr>
        <w:t xml:space="preserve"> for </w:t>
      </w:r>
      <w:proofErr w:type="spellStart"/>
      <w:r w:rsidR="00784707" w:rsidRPr="006F5F9D">
        <w:rPr>
          <w:rFonts w:asciiTheme="minorHAnsi" w:hAnsiTheme="minorHAnsi"/>
          <w:snapToGrid w:val="0"/>
        </w:rPr>
        <w:t>Bjiuva</w:t>
      </w:r>
      <w:proofErr w:type="spellEnd"/>
      <w:r w:rsidRPr="006F5F9D">
        <w:rPr>
          <w:rFonts w:asciiTheme="minorHAnsi" w:hAnsiTheme="minorHAnsi"/>
          <w:snapToGrid w:val="0"/>
        </w:rPr>
        <w:t xml:space="preserve"> against Estrogel Pro was adequately supported by the evidence provided.</w:t>
      </w:r>
      <w:r w:rsidR="000E39C6" w:rsidRPr="006F5F9D">
        <w:rPr>
          <w:rFonts w:asciiTheme="minorHAnsi" w:hAnsiTheme="minorHAnsi"/>
          <w:snapToGrid w:val="0"/>
        </w:rPr>
        <w:t xml:space="preserve"> T</w:t>
      </w:r>
      <w:r w:rsidR="001150D3" w:rsidRPr="006F5F9D">
        <w:rPr>
          <w:rFonts w:asciiTheme="minorHAnsi" w:hAnsiTheme="minorHAnsi"/>
          <w:snapToGrid w:val="0"/>
        </w:rPr>
        <w:t>he PBAC</w:t>
      </w:r>
      <w:r w:rsidR="00784707" w:rsidRPr="006F5F9D">
        <w:rPr>
          <w:rFonts w:asciiTheme="minorHAnsi" w:hAnsiTheme="minorHAnsi"/>
          <w:snapToGrid w:val="0"/>
        </w:rPr>
        <w:t xml:space="preserve"> </w:t>
      </w:r>
      <w:r w:rsidR="000E39C6" w:rsidRPr="006F5F9D">
        <w:rPr>
          <w:rFonts w:asciiTheme="minorHAnsi" w:hAnsiTheme="minorHAnsi"/>
          <w:snapToGrid w:val="0"/>
        </w:rPr>
        <w:t xml:space="preserve">also </w:t>
      </w:r>
      <w:r w:rsidR="001150D3" w:rsidRPr="006F5F9D">
        <w:rPr>
          <w:rFonts w:asciiTheme="minorHAnsi" w:hAnsiTheme="minorHAnsi"/>
          <w:snapToGrid w:val="0"/>
        </w:rPr>
        <w:t xml:space="preserve">advised that </w:t>
      </w:r>
      <w:r w:rsidR="001150D3" w:rsidRPr="006F5F9D">
        <w:rPr>
          <w:iCs/>
        </w:rPr>
        <w:t xml:space="preserve">there is </w:t>
      </w:r>
      <w:r w:rsidR="000E39C6" w:rsidRPr="006F5F9D">
        <w:rPr>
          <w:iCs/>
        </w:rPr>
        <w:t xml:space="preserve">currently </w:t>
      </w:r>
      <w:r w:rsidR="001150D3" w:rsidRPr="006F5F9D">
        <w:rPr>
          <w:iCs/>
        </w:rPr>
        <w:t xml:space="preserve">no evidence that any estradiol is more bioidentical or provides an added benefit over another. </w:t>
      </w:r>
      <w:r w:rsidR="00CE2469" w:rsidRPr="006F5F9D">
        <w:rPr>
          <w:rFonts w:asciiTheme="minorHAnsi" w:hAnsiTheme="minorHAnsi"/>
          <w:snapToGrid w:val="0"/>
        </w:rPr>
        <w:t>The PBAC noted that</w:t>
      </w:r>
      <w:r w:rsidR="00010207" w:rsidRPr="006F5F9D">
        <w:rPr>
          <w:rFonts w:asciiTheme="minorHAnsi" w:hAnsiTheme="minorHAnsi"/>
          <w:snapToGrid w:val="0"/>
        </w:rPr>
        <w:t xml:space="preserve"> evidence was provided </w:t>
      </w:r>
      <w:r w:rsidR="006F5F9D" w:rsidRPr="006F5F9D">
        <w:rPr>
          <w:rFonts w:asciiTheme="minorHAnsi" w:hAnsiTheme="minorHAnsi"/>
          <w:snapToGrid w:val="0"/>
        </w:rPr>
        <w:t>comparing the incidence of endometrial hyperplasia and bleeding, however</w:t>
      </w:r>
      <w:r w:rsidRPr="006F5F9D">
        <w:rPr>
          <w:rFonts w:asciiTheme="minorHAnsi" w:hAnsiTheme="minorHAnsi"/>
          <w:snapToGrid w:val="0"/>
        </w:rPr>
        <w:t xml:space="preserve"> no evidence was provided regarding the risk of VTE with Bijuva compared to Estrogel pro</w:t>
      </w:r>
      <w:r w:rsidR="00CE2469" w:rsidRPr="006F5F9D">
        <w:rPr>
          <w:rFonts w:asciiTheme="minorHAnsi" w:hAnsiTheme="minorHAnsi"/>
          <w:snapToGrid w:val="0"/>
        </w:rPr>
        <w:t>.</w:t>
      </w:r>
      <w:r w:rsidR="00010207" w:rsidRPr="006F5F9D">
        <w:rPr>
          <w:rFonts w:asciiTheme="minorHAnsi" w:hAnsiTheme="minorHAnsi"/>
          <w:snapToGrid w:val="0"/>
        </w:rPr>
        <w:t xml:space="preserve"> The PBAC advised that current evidence indicates that oral estradiol increases the risk </w:t>
      </w:r>
      <w:r w:rsidR="00075FE2">
        <w:rPr>
          <w:rFonts w:asciiTheme="minorHAnsi" w:hAnsiTheme="minorHAnsi"/>
          <w:snapToGrid w:val="0"/>
        </w:rPr>
        <w:t>of VTE</w:t>
      </w:r>
      <w:r w:rsidR="00010207" w:rsidRPr="006F5F9D">
        <w:rPr>
          <w:rFonts w:asciiTheme="minorHAnsi" w:hAnsiTheme="minorHAnsi"/>
          <w:snapToGrid w:val="0"/>
        </w:rPr>
        <w:t xml:space="preserve"> compared to transdermal estradiol.  </w:t>
      </w:r>
      <w:r w:rsidR="001150D3" w:rsidRPr="006F5F9D">
        <w:rPr>
          <w:rFonts w:asciiTheme="minorHAnsi" w:hAnsiTheme="minorHAnsi"/>
          <w:snapToGrid w:val="0"/>
        </w:rPr>
        <w:t>The PBAC advised</w:t>
      </w:r>
      <w:r w:rsidRPr="006F5F9D">
        <w:rPr>
          <w:rFonts w:asciiTheme="minorHAnsi" w:hAnsiTheme="minorHAnsi"/>
          <w:snapToGrid w:val="0"/>
        </w:rPr>
        <w:t xml:space="preserve"> the claim of non-inferior safety </w:t>
      </w:r>
      <w:r w:rsidR="001150D3" w:rsidRPr="006F5F9D">
        <w:rPr>
          <w:rFonts w:asciiTheme="minorHAnsi" w:hAnsiTheme="minorHAnsi"/>
          <w:snapToGrid w:val="0"/>
        </w:rPr>
        <w:t xml:space="preserve">against Estrogel Pro </w:t>
      </w:r>
      <w:r w:rsidRPr="006F5F9D">
        <w:rPr>
          <w:rFonts w:asciiTheme="minorHAnsi" w:hAnsiTheme="minorHAnsi"/>
          <w:snapToGrid w:val="0"/>
        </w:rPr>
        <w:t>was not adequately supported.</w:t>
      </w:r>
    </w:p>
    <w:p w14:paraId="3487779B" w14:textId="27D253AF" w:rsidR="00D73954" w:rsidRPr="001150D3" w:rsidRDefault="000E1D15">
      <w:pPr>
        <w:widowControl w:val="0"/>
        <w:numPr>
          <w:ilvl w:val="1"/>
          <w:numId w:val="1"/>
        </w:numPr>
        <w:spacing w:after="120"/>
        <w:rPr>
          <w:rFonts w:asciiTheme="minorHAnsi" w:hAnsiTheme="minorHAnsi"/>
          <w:snapToGrid w:val="0"/>
          <w:lang w:val="en-GB"/>
        </w:rPr>
      </w:pPr>
      <w:r w:rsidRPr="001150D3">
        <w:rPr>
          <w:rFonts w:asciiTheme="minorHAnsi" w:hAnsiTheme="minorHAnsi"/>
          <w:snapToGrid w:val="0"/>
          <w:lang w:val="en-GB"/>
        </w:rPr>
        <w:t>The PBAC noted that the main basis for the choice of Estr</w:t>
      </w:r>
      <w:r w:rsidR="00DE1147">
        <w:rPr>
          <w:rFonts w:asciiTheme="minorHAnsi" w:hAnsiTheme="minorHAnsi"/>
          <w:snapToGrid w:val="0"/>
          <w:lang w:val="en-GB"/>
        </w:rPr>
        <w:t>o</w:t>
      </w:r>
      <w:r w:rsidRPr="001150D3">
        <w:rPr>
          <w:rFonts w:asciiTheme="minorHAnsi" w:hAnsiTheme="minorHAnsi"/>
          <w:snapToGrid w:val="0"/>
          <w:lang w:val="en-GB"/>
        </w:rPr>
        <w:t xml:space="preserve">gel Pro </w:t>
      </w:r>
      <w:r w:rsidR="006F5F9D">
        <w:rPr>
          <w:rFonts w:asciiTheme="minorHAnsi" w:hAnsiTheme="minorHAnsi"/>
          <w:snapToGrid w:val="0"/>
          <w:lang w:val="en-GB"/>
        </w:rPr>
        <w:t>(</w:t>
      </w:r>
      <w:r w:rsidRPr="001150D3">
        <w:rPr>
          <w:rFonts w:asciiTheme="minorHAnsi" w:hAnsiTheme="minorHAnsi"/>
          <w:snapToGrid w:val="0"/>
        </w:rPr>
        <w:t xml:space="preserve">estradiol (as hemihydrate) </w:t>
      </w:r>
      <w:r w:rsidRPr="001150D3">
        <w:rPr>
          <w:bCs/>
        </w:rPr>
        <w:t>0.06% transdermal gel with progesterone 100 mg capsule</w:t>
      </w:r>
      <w:r w:rsidR="006F5F9D">
        <w:rPr>
          <w:bCs/>
        </w:rPr>
        <w:t>)</w:t>
      </w:r>
      <w:r w:rsidR="00E305E8" w:rsidRPr="001150D3">
        <w:rPr>
          <w:bCs/>
        </w:rPr>
        <w:t xml:space="preserve"> </w:t>
      </w:r>
      <w:r w:rsidRPr="001150D3">
        <w:rPr>
          <w:rFonts w:asciiTheme="minorHAnsi" w:hAnsiTheme="minorHAnsi"/>
          <w:snapToGrid w:val="0"/>
          <w:lang w:val="en-GB"/>
        </w:rPr>
        <w:t>as the comparator</w:t>
      </w:r>
      <w:r w:rsidR="00D152E3" w:rsidRPr="001150D3">
        <w:rPr>
          <w:rFonts w:asciiTheme="minorHAnsi" w:hAnsiTheme="minorHAnsi"/>
          <w:snapToGrid w:val="0"/>
          <w:lang w:val="en-GB"/>
        </w:rPr>
        <w:t xml:space="preserve"> </w:t>
      </w:r>
      <w:r w:rsidRPr="001150D3">
        <w:rPr>
          <w:rFonts w:asciiTheme="minorHAnsi" w:hAnsiTheme="minorHAnsi"/>
          <w:snapToGrid w:val="0"/>
          <w:lang w:val="en-GB"/>
        </w:rPr>
        <w:t xml:space="preserve">was that it </w:t>
      </w:r>
      <w:r w:rsidR="00D152E3" w:rsidRPr="001150D3">
        <w:rPr>
          <w:rFonts w:asciiTheme="minorHAnsi" w:hAnsiTheme="minorHAnsi"/>
          <w:snapToGrid w:val="0"/>
          <w:lang w:val="en-GB"/>
        </w:rPr>
        <w:t>was</w:t>
      </w:r>
      <w:r w:rsidRPr="001150D3">
        <w:rPr>
          <w:iCs/>
        </w:rPr>
        <w:t xml:space="preserve"> the only combination bioidentical MHT that contain</w:t>
      </w:r>
      <w:r w:rsidR="00D152E3" w:rsidRPr="001150D3">
        <w:rPr>
          <w:iCs/>
        </w:rPr>
        <w:t>ed</w:t>
      </w:r>
      <w:r w:rsidRPr="001150D3">
        <w:rPr>
          <w:iCs/>
        </w:rPr>
        <w:t xml:space="preserve"> the same active ingredients as Bijuva listed on the PBS</w:t>
      </w:r>
      <w:r w:rsidR="00D152E3" w:rsidRPr="001150D3">
        <w:rPr>
          <w:iCs/>
        </w:rPr>
        <w:t xml:space="preserve">. </w:t>
      </w:r>
      <w:r w:rsidR="00203369" w:rsidRPr="001150D3">
        <w:rPr>
          <w:rFonts w:asciiTheme="minorHAnsi" w:hAnsiTheme="minorHAnsi"/>
          <w:snapToGrid w:val="0"/>
        </w:rPr>
        <w:t xml:space="preserve">The PBAC </w:t>
      </w:r>
      <w:r w:rsidR="007F799D" w:rsidRPr="001150D3">
        <w:rPr>
          <w:rFonts w:asciiTheme="minorHAnsi" w:hAnsiTheme="minorHAnsi"/>
          <w:snapToGrid w:val="0"/>
        </w:rPr>
        <w:t xml:space="preserve">recalled from its </w:t>
      </w:r>
      <w:r w:rsidR="00EA4B22" w:rsidRPr="001150D3">
        <w:rPr>
          <w:rFonts w:asciiTheme="minorHAnsi" w:hAnsiTheme="minorHAnsi"/>
          <w:snapToGrid w:val="0"/>
        </w:rPr>
        <w:t xml:space="preserve">November 2024 consideration of estradiol and progesterone </w:t>
      </w:r>
      <w:r w:rsidR="00075FE2">
        <w:rPr>
          <w:rFonts w:asciiTheme="minorHAnsi" w:hAnsiTheme="minorHAnsi"/>
          <w:snapToGrid w:val="0"/>
        </w:rPr>
        <w:t xml:space="preserve">that </w:t>
      </w:r>
      <w:r w:rsidR="00EA4B22" w:rsidRPr="001150D3">
        <w:rPr>
          <w:rFonts w:asciiTheme="minorHAnsi" w:hAnsiTheme="minorHAnsi"/>
          <w:snapToGrid w:val="0"/>
        </w:rPr>
        <w:t>oral estradiol tablets were previously considered to be inappropriate comparators for transdermal estradiol gels</w:t>
      </w:r>
      <w:r w:rsidR="00B109D2">
        <w:rPr>
          <w:rFonts w:asciiTheme="minorHAnsi" w:hAnsiTheme="minorHAnsi"/>
          <w:snapToGrid w:val="0"/>
        </w:rPr>
        <w:t xml:space="preserve"> (</w:t>
      </w:r>
      <w:r w:rsidR="00B109D2" w:rsidRPr="007B6BC1">
        <w:rPr>
          <w:iCs/>
        </w:rPr>
        <w:t xml:space="preserve">paragraph 5.2, </w:t>
      </w:r>
      <w:r w:rsidR="00B109D2">
        <w:rPr>
          <w:iCs/>
        </w:rPr>
        <w:t>e</w:t>
      </w:r>
      <w:r w:rsidR="00B109D2" w:rsidRPr="007B6BC1">
        <w:rPr>
          <w:iCs/>
        </w:rPr>
        <w:t>stradiol and progesterone, Public Summary Document [PSD], November 2024 PBAC Meeting</w:t>
      </w:r>
      <w:r w:rsidR="00B109D2">
        <w:rPr>
          <w:iCs/>
        </w:rPr>
        <w:t>)</w:t>
      </w:r>
      <w:r w:rsidR="007864A0" w:rsidRPr="001150D3">
        <w:rPr>
          <w:rFonts w:asciiTheme="minorHAnsi" w:hAnsiTheme="minorHAnsi"/>
          <w:snapToGrid w:val="0"/>
        </w:rPr>
        <w:t xml:space="preserve">. </w:t>
      </w:r>
    </w:p>
    <w:p w14:paraId="209B8670" w14:textId="0463E519" w:rsidR="00C70FA9" w:rsidRPr="00C70FA9" w:rsidRDefault="002F43DD">
      <w:pPr>
        <w:widowControl w:val="0"/>
        <w:numPr>
          <w:ilvl w:val="1"/>
          <w:numId w:val="1"/>
        </w:numPr>
        <w:spacing w:after="120"/>
        <w:rPr>
          <w:rFonts w:asciiTheme="minorHAnsi" w:hAnsiTheme="minorHAnsi"/>
          <w:snapToGrid w:val="0"/>
          <w:lang w:val="en-GB"/>
        </w:rPr>
      </w:pPr>
      <w:r>
        <w:rPr>
          <w:rFonts w:asciiTheme="minorHAnsi" w:hAnsiTheme="minorHAnsi"/>
          <w:snapToGrid w:val="0"/>
        </w:rPr>
        <w:t xml:space="preserve">The PBAC advised that although there is a need to maintain a range of MHT options on the PBS, insufficient evidence was provided to justify a price premium for Bijuva, as a fixed dose combination product, over the sum of the </w:t>
      </w:r>
      <w:r w:rsidR="008C216A">
        <w:rPr>
          <w:rFonts w:asciiTheme="minorHAnsi" w:hAnsiTheme="minorHAnsi"/>
          <w:snapToGrid w:val="0"/>
        </w:rPr>
        <w:t xml:space="preserve">individual </w:t>
      </w:r>
      <w:r>
        <w:rPr>
          <w:rFonts w:asciiTheme="minorHAnsi" w:hAnsiTheme="minorHAnsi"/>
          <w:snapToGrid w:val="0"/>
        </w:rPr>
        <w:t>pric</w:t>
      </w:r>
      <w:r w:rsidR="000E39C6">
        <w:rPr>
          <w:rFonts w:asciiTheme="minorHAnsi" w:hAnsiTheme="minorHAnsi"/>
          <w:snapToGrid w:val="0"/>
        </w:rPr>
        <w:t>es</w:t>
      </w:r>
      <w:r>
        <w:rPr>
          <w:rFonts w:asciiTheme="minorHAnsi" w:hAnsiTheme="minorHAnsi"/>
          <w:snapToGrid w:val="0"/>
        </w:rPr>
        <w:t xml:space="preserve"> </w:t>
      </w:r>
      <w:r w:rsidR="00075FE2">
        <w:rPr>
          <w:rFonts w:asciiTheme="minorHAnsi" w:hAnsiTheme="minorHAnsi"/>
          <w:snapToGrid w:val="0"/>
        </w:rPr>
        <w:t>of</w:t>
      </w:r>
      <w:r>
        <w:rPr>
          <w:rFonts w:asciiTheme="minorHAnsi" w:hAnsiTheme="minorHAnsi"/>
          <w:snapToGrid w:val="0"/>
        </w:rPr>
        <w:t xml:space="preserve"> an existing oral estradiol product and progesterone</w:t>
      </w:r>
      <w:r w:rsidR="002D2FFE">
        <w:rPr>
          <w:rFonts w:asciiTheme="minorHAnsi" w:hAnsiTheme="minorHAnsi"/>
          <w:snapToGrid w:val="0"/>
        </w:rPr>
        <w:t>.</w:t>
      </w:r>
      <w:r>
        <w:rPr>
          <w:rFonts w:asciiTheme="minorHAnsi" w:hAnsiTheme="minorHAnsi"/>
          <w:snapToGrid w:val="0"/>
        </w:rPr>
        <w:t xml:space="preserve">  The PBAC advised </w:t>
      </w:r>
      <w:r w:rsidR="001748C9">
        <w:rPr>
          <w:rFonts w:asciiTheme="minorHAnsi" w:hAnsiTheme="minorHAnsi"/>
          <w:snapToGrid w:val="0"/>
        </w:rPr>
        <w:t xml:space="preserve">that </w:t>
      </w:r>
      <w:r w:rsidR="00C70FA9">
        <w:rPr>
          <w:rFonts w:asciiTheme="minorHAnsi" w:hAnsiTheme="minorHAnsi"/>
          <w:snapToGrid w:val="0"/>
        </w:rPr>
        <w:t xml:space="preserve">oral estradiol and progesterone would be </w:t>
      </w:r>
      <w:r w:rsidR="000E39C6">
        <w:rPr>
          <w:rFonts w:asciiTheme="minorHAnsi" w:hAnsiTheme="minorHAnsi"/>
          <w:snapToGrid w:val="0"/>
        </w:rPr>
        <w:t xml:space="preserve">a </w:t>
      </w:r>
      <w:r w:rsidR="00C70FA9">
        <w:rPr>
          <w:rFonts w:asciiTheme="minorHAnsi" w:hAnsiTheme="minorHAnsi"/>
          <w:snapToGrid w:val="0"/>
        </w:rPr>
        <w:t xml:space="preserve">more appropriate comparator. The PBAC advised that </w:t>
      </w:r>
      <w:r w:rsidR="00C91C77">
        <w:rPr>
          <w:rFonts w:asciiTheme="minorHAnsi" w:hAnsiTheme="minorHAnsi"/>
          <w:snapToGrid w:val="0"/>
        </w:rPr>
        <w:t xml:space="preserve">listing should be on a cost minimisation basis against </w:t>
      </w:r>
      <w:r w:rsidR="00C70FA9">
        <w:rPr>
          <w:rFonts w:asciiTheme="minorHAnsi" w:hAnsiTheme="minorHAnsi"/>
          <w:snapToGrid w:val="0"/>
        </w:rPr>
        <w:t xml:space="preserve">estradiol </w:t>
      </w:r>
      <w:r w:rsidR="00C91C77">
        <w:rPr>
          <w:rFonts w:asciiTheme="minorHAnsi" w:hAnsiTheme="minorHAnsi"/>
          <w:snapToGrid w:val="0"/>
        </w:rPr>
        <w:t xml:space="preserve">valerate </w:t>
      </w:r>
      <w:r w:rsidR="00C4165E">
        <w:rPr>
          <w:rFonts w:asciiTheme="minorHAnsi" w:hAnsiTheme="minorHAnsi"/>
          <w:snapToGrid w:val="0"/>
        </w:rPr>
        <w:t>1</w:t>
      </w:r>
      <w:r w:rsidR="00C91C77">
        <w:rPr>
          <w:rFonts w:asciiTheme="minorHAnsi" w:hAnsiTheme="minorHAnsi"/>
          <w:snapToGrid w:val="0"/>
        </w:rPr>
        <w:t xml:space="preserve"> mg</w:t>
      </w:r>
      <w:r w:rsidR="008C433F">
        <w:rPr>
          <w:rFonts w:asciiTheme="minorHAnsi" w:hAnsiTheme="minorHAnsi"/>
          <w:snapToGrid w:val="0"/>
        </w:rPr>
        <w:t xml:space="preserve"> tablet</w:t>
      </w:r>
      <w:r w:rsidR="00C91C77">
        <w:rPr>
          <w:rFonts w:asciiTheme="minorHAnsi" w:hAnsiTheme="minorHAnsi"/>
          <w:snapToGrid w:val="0"/>
        </w:rPr>
        <w:t xml:space="preserve"> (28 days) and progesterone 100 mg </w:t>
      </w:r>
      <w:r w:rsidR="008C433F">
        <w:rPr>
          <w:rFonts w:asciiTheme="minorHAnsi" w:hAnsiTheme="minorHAnsi"/>
          <w:snapToGrid w:val="0"/>
        </w:rPr>
        <w:t xml:space="preserve">capsule </w:t>
      </w:r>
      <w:r w:rsidR="00C91C77">
        <w:rPr>
          <w:rFonts w:asciiTheme="minorHAnsi" w:hAnsiTheme="minorHAnsi"/>
          <w:snapToGrid w:val="0"/>
        </w:rPr>
        <w:t xml:space="preserve">(25 days out of a </w:t>
      </w:r>
      <w:r w:rsidR="000E39C6">
        <w:rPr>
          <w:rFonts w:asciiTheme="minorHAnsi" w:hAnsiTheme="minorHAnsi"/>
          <w:snapToGrid w:val="0"/>
        </w:rPr>
        <w:t>28-day</w:t>
      </w:r>
      <w:r w:rsidR="00C91C77">
        <w:rPr>
          <w:rFonts w:asciiTheme="minorHAnsi" w:hAnsiTheme="minorHAnsi"/>
          <w:snapToGrid w:val="0"/>
        </w:rPr>
        <w:t xml:space="preserve"> cycle). </w:t>
      </w:r>
      <w:r w:rsidR="00C70FA9">
        <w:rPr>
          <w:rFonts w:asciiTheme="minorHAnsi" w:hAnsiTheme="minorHAnsi"/>
          <w:snapToGrid w:val="0"/>
        </w:rPr>
        <w:t xml:space="preserve"> </w:t>
      </w:r>
      <w:r w:rsidR="00F677E2">
        <w:rPr>
          <w:rFonts w:asciiTheme="minorHAnsi" w:hAnsiTheme="minorHAnsi"/>
          <w:snapToGrid w:val="0"/>
        </w:rPr>
        <w:t xml:space="preserve">The PBAC advised that </w:t>
      </w:r>
      <w:r w:rsidR="00625AFE">
        <w:rPr>
          <w:rFonts w:asciiTheme="minorHAnsi" w:hAnsiTheme="minorHAnsi"/>
          <w:snapToGrid w:val="0"/>
        </w:rPr>
        <w:t xml:space="preserve">Bijuva, i.e. </w:t>
      </w:r>
      <w:r w:rsidR="00C227AC">
        <w:rPr>
          <w:rFonts w:asciiTheme="minorHAnsi" w:hAnsiTheme="minorHAnsi"/>
          <w:snapToGrid w:val="0"/>
        </w:rPr>
        <w:t>estradiol 1mg with progesterone 100 mg</w:t>
      </w:r>
      <w:r w:rsidR="00625AFE">
        <w:rPr>
          <w:rFonts w:asciiTheme="minorHAnsi" w:hAnsiTheme="minorHAnsi"/>
          <w:snapToGrid w:val="0"/>
        </w:rPr>
        <w:t>,</w:t>
      </w:r>
      <w:r w:rsidR="00C227AC">
        <w:rPr>
          <w:rFonts w:asciiTheme="minorHAnsi" w:hAnsiTheme="minorHAnsi"/>
          <w:snapToGrid w:val="0"/>
        </w:rPr>
        <w:t xml:space="preserve"> </w:t>
      </w:r>
      <w:r w:rsidR="009135B0">
        <w:rPr>
          <w:rFonts w:asciiTheme="minorHAnsi" w:hAnsiTheme="minorHAnsi"/>
          <w:snapToGrid w:val="0"/>
        </w:rPr>
        <w:t>is</w:t>
      </w:r>
      <w:r w:rsidR="00C227AC">
        <w:rPr>
          <w:rFonts w:asciiTheme="minorHAnsi" w:hAnsiTheme="minorHAnsi"/>
          <w:snapToGrid w:val="0"/>
        </w:rPr>
        <w:t xml:space="preserve"> equi-effective to 1 mg estradiol</w:t>
      </w:r>
      <w:r w:rsidR="00F054A0">
        <w:rPr>
          <w:rFonts w:asciiTheme="minorHAnsi" w:hAnsiTheme="minorHAnsi"/>
          <w:snapToGrid w:val="0"/>
        </w:rPr>
        <w:t xml:space="preserve"> </w:t>
      </w:r>
      <w:r w:rsidR="00B90BFF">
        <w:rPr>
          <w:rFonts w:asciiTheme="minorHAnsi" w:hAnsiTheme="minorHAnsi"/>
          <w:snapToGrid w:val="0"/>
        </w:rPr>
        <w:t xml:space="preserve">valerate and progesterone 100 mg. </w:t>
      </w:r>
    </w:p>
    <w:p w14:paraId="60F09F3F" w14:textId="447B0E6A" w:rsidR="007A3580" w:rsidRPr="007A3580" w:rsidRDefault="00C70FA9" w:rsidP="36D98BBF">
      <w:pPr>
        <w:widowControl w:val="0"/>
        <w:numPr>
          <w:ilvl w:val="1"/>
          <w:numId w:val="1"/>
        </w:numPr>
        <w:spacing w:after="120"/>
        <w:rPr>
          <w:rFonts w:asciiTheme="minorHAnsi" w:hAnsiTheme="minorHAnsi"/>
          <w:snapToGrid w:val="0"/>
          <w:lang w:val="en-GB"/>
        </w:rPr>
      </w:pPr>
      <w:r w:rsidRPr="36D98BBF">
        <w:rPr>
          <w:rFonts w:asciiTheme="minorHAnsi" w:hAnsiTheme="minorHAnsi"/>
        </w:rPr>
        <w:t xml:space="preserve">The PBAC </w:t>
      </w:r>
      <w:r w:rsidR="00F645E0" w:rsidRPr="36D98BBF">
        <w:rPr>
          <w:rFonts w:asciiTheme="minorHAnsi" w:hAnsiTheme="minorHAnsi"/>
        </w:rPr>
        <w:t>noted that the financial estimates only accounted for substitution of Bijuva for Estrogel Pro</w:t>
      </w:r>
      <w:r w:rsidR="007A3580" w:rsidRPr="36D98BBF">
        <w:rPr>
          <w:rFonts w:asciiTheme="minorHAnsi" w:hAnsiTheme="minorHAnsi"/>
        </w:rPr>
        <w:t xml:space="preserve"> and did not include other MHT products</w:t>
      </w:r>
      <w:r w:rsidR="00F645E0" w:rsidRPr="36D98BBF">
        <w:rPr>
          <w:rFonts w:asciiTheme="minorHAnsi" w:hAnsiTheme="minorHAnsi"/>
        </w:rPr>
        <w:t xml:space="preserve">. The PBAC advised that it was likely that </w:t>
      </w:r>
      <w:proofErr w:type="spellStart"/>
      <w:r w:rsidR="00F645E0" w:rsidRPr="36D98BBF">
        <w:rPr>
          <w:rFonts w:asciiTheme="minorHAnsi" w:hAnsiTheme="minorHAnsi"/>
        </w:rPr>
        <w:t>Bjiu</w:t>
      </w:r>
      <w:r w:rsidR="00DE1147">
        <w:rPr>
          <w:rFonts w:asciiTheme="minorHAnsi" w:hAnsiTheme="minorHAnsi"/>
        </w:rPr>
        <w:t>v</w:t>
      </w:r>
      <w:r w:rsidR="00F645E0" w:rsidRPr="36D98BBF">
        <w:rPr>
          <w:rFonts w:asciiTheme="minorHAnsi" w:hAnsiTheme="minorHAnsi"/>
        </w:rPr>
        <w:t>a</w:t>
      </w:r>
      <w:proofErr w:type="spellEnd"/>
      <w:r w:rsidR="00F645E0" w:rsidRPr="36D98BBF">
        <w:rPr>
          <w:rFonts w:asciiTheme="minorHAnsi" w:hAnsiTheme="minorHAnsi"/>
        </w:rPr>
        <w:t xml:space="preserve"> would</w:t>
      </w:r>
      <w:r w:rsidR="007A3580" w:rsidRPr="36D98BBF">
        <w:rPr>
          <w:rFonts w:asciiTheme="minorHAnsi" w:hAnsiTheme="minorHAnsi"/>
        </w:rPr>
        <w:t xml:space="preserve"> also</w:t>
      </w:r>
      <w:r w:rsidR="00F645E0" w:rsidRPr="36D98BBF">
        <w:rPr>
          <w:rFonts w:asciiTheme="minorHAnsi" w:hAnsiTheme="minorHAnsi"/>
        </w:rPr>
        <w:t xml:space="preserve"> substitute</w:t>
      </w:r>
      <w:r w:rsidR="00C75C8C" w:rsidRPr="36D98BBF">
        <w:rPr>
          <w:rFonts w:asciiTheme="minorHAnsi" w:hAnsiTheme="minorHAnsi"/>
        </w:rPr>
        <w:t xml:space="preserve"> for</w:t>
      </w:r>
      <w:r w:rsidR="00F645E0" w:rsidRPr="36D98BBF">
        <w:rPr>
          <w:rFonts w:asciiTheme="minorHAnsi" w:hAnsiTheme="minorHAnsi"/>
        </w:rPr>
        <w:t xml:space="preserve"> other</w:t>
      </w:r>
      <w:r w:rsidR="00C75C8C" w:rsidRPr="36D98BBF">
        <w:rPr>
          <w:rFonts w:asciiTheme="minorHAnsi" w:hAnsiTheme="minorHAnsi"/>
        </w:rPr>
        <w:t xml:space="preserve"> </w:t>
      </w:r>
      <w:r w:rsidR="007A3580" w:rsidRPr="36D98BBF">
        <w:rPr>
          <w:rFonts w:asciiTheme="minorHAnsi" w:hAnsiTheme="minorHAnsi"/>
        </w:rPr>
        <w:t xml:space="preserve">less expensive </w:t>
      </w:r>
      <w:r w:rsidR="00C75C8C" w:rsidRPr="36D98BBF">
        <w:rPr>
          <w:rFonts w:asciiTheme="minorHAnsi" w:hAnsiTheme="minorHAnsi"/>
        </w:rPr>
        <w:t xml:space="preserve">oral </w:t>
      </w:r>
      <w:r w:rsidR="006F5F9D" w:rsidRPr="36D98BBF">
        <w:rPr>
          <w:rFonts w:asciiTheme="minorHAnsi" w:hAnsiTheme="minorHAnsi"/>
        </w:rPr>
        <w:t>estradiol</w:t>
      </w:r>
      <w:r w:rsidR="00F645E0" w:rsidRPr="36D98BBF">
        <w:rPr>
          <w:rFonts w:asciiTheme="minorHAnsi" w:hAnsiTheme="minorHAnsi"/>
        </w:rPr>
        <w:t xml:space="preserve"> and progesterone (and progestogen) products</w:t>
      </w:r>
      <w:r w:rsidR="007A3580" w:rsidRPr="36D98BBF">
        <w:rPr>
          <w:rFonts w:asciiTheme="minorHAnsi" w:hAnsiTheme="minorHAnsi"/>
        </w:rPr>
        <w:t xml:space="preserve"> that are prescribed separately</w:t>
      </w:r>
      <w:r w:rsidR="00F645E0" w:rsidRPr="36D98BBF">
        <w:rPr>
          <w:rFonts w:asciiTheme="minorHAnsi" w:hAnsiTheme="minorHAnsi"/>
        </w:rPr>
        <w:t>.</w:t>
      </w:r>
      <w:r w:rsidR="007A3580" w:rsidRPr="36D98BBF">
        <w:rPr>
          <w:rFonts w:asciiTheme="minorHAnsi" w:hAnsiTheme="minorHAnsi"/>
        </w:rPr>
        <w:t xml:space="preserve"> The</w:t>
      </w:r>
      <w:r w:rsidR="00C75C8C" w:rsidRPr="36D98BBF">
        <w:rPr>
          <w:rFonts w:asciiTheme="minorHAnsi" w:hAnsiTheme="minorHAnsi"/>
        </w:rPr>
        <w:t xml:space="preserve"> P</w:t>
      </w:r>
      <w:r w:rsidR="007A3580" w:rsidRPr="36D98BBF">
        <w:rPr>
          <w:rFonts w:asciiTheme="minorHAnsi" w:hAnsiTheme="minorHAnsi"/>
        </w:rPr>
        <w:t xml:space="preserve">BAC noted </w:t>
      </w:r>
      <w:r w:rsidR="006F5F9D" w:rsidRPr="36D98BBF">
        <w:rPr>
          <w:rFonts w:asciiTheme="minorHAnsi" w:hAnsiTheme="minorHAnsi"/>
        </w:rPr>
        <w:t xml:space="preserve">where Bijuva substituted for </w:t>
      </w:r>
      <w:r w:rsidR="00075FE2" w:rsidRPr="36D98BBF">
        <w:rPr>
          <w:rFonts w:asciiTheme="minorHAnsi" w:hAnsiTheme="minorHAnsi"/>
        </w:rPr>
        <w:t>two</w:t>
      </w:r>
      <w:r w:rsidR="006F5F9D" w:rsidRPr="36D98BBF">
        <w:rPr>
          <w:rFonts w:asciiTheme="minorHAnsi" w:hAnsiTheme="minorHAnsi"/>
        </w:rPr>
        <w:t xml:space="preserve"> individual products, </w:t>
      </w:r>
      <w:r w:rsidR="007A3580" w:rsidRPr="36D98BBF">
        <w:rPr>
          <w:rFonts w:asciiTheme="minorHAnsi" w:hAnsiTheme="minorHAnsi"/>
        </w:rPr>
        <w:t xml:space="preserve">that </w:t>
      </w:r>
      <w:r w:rsidR="000871AF" w:rsidRPr="36D98BBF">
        <w:rPr>
          <w:rFonts w:asciiTheme="minorHAnsi" w:hAnsiTheme="minorHAnsi"/>
        </w:rPr>
        <w:t xml:space="preserve">a reduction in the number of patient co-payments would also </w:t>
      </w:r>
      <w:r w:rsidR="00075FE2" w:rsidRPr="36D98BBF">
        <w:rPr>
          <w:rFonts w:asciiTheme="minorHAnsi" w:hAnsiTheme="minorHAnsi"/>
        </w:rPr>
        <w:t xml:space="preserve">impact </w:t>
      </w:r>
      <w:r w:rsidR="000871AF" w:rsidRPr="36D98BBF">
        <w:rPr>
          <w:rFonts w:asciiTheme="minorHAnsi" w:hAnsiTheme="minorHAnsi"/>
        </w:rPr>
        <w:t xml:space="preserve">the financial estimates. </w:t>
      </w:r>
      <w:r w:rsidR="00B45D54" w:rsidRPr="36D98BBF">
        <w:rPr>
          <w:rFonts w:asciiTheme="minorHAnsi" w:hAnsiTheme="minorHAnsi"/>
        </w:rPr>
        <w:t>The PBAC advised that patients prescribed MHT patches, which are less costly, may also switch to Bij</w:t>
      </w:r>
      <w:r w:rsidR="47D15D35" w:rsidRPr="36D98BBF">
        <w:rPr>
          <w:rFonts w:asciiTheme="minorHAnsi" w:hAnsiTheme="minorHAnsi"/>
        </w:rPr>
        <w:t>uv</w:t>
      </w:r>
      <w:r w:rsidR="00B45D54" w:rsidRPr="36D98BBF">
        <w:rPr>
          <w:rFonts w:asciiTheme="minorHAnsi" w:hAnsiTheme="minorHAnsi"/>
        </w:rPr>
        <w:t xml:space="preserve">a.  </w:t>
      </w:r>
      <w:r w:rsidR="00F645E0" w:rsidRPr="36D98BBF">
        <w:rPr>
          <w:rFonts w:asciiTheme="minorHAnsi" w:hAnsiTheme="minorHAnsi"/>
        </w:rPr>
        <w:t>The PBAC advised that</w:t>
      </w:r>
      <w:r w:rsidR="000C63CF" w:rsidRPr="36D98BBF">
        <w:rPr>
          <w:rFonts w:asciiTheme="minorHAnsi" w:hAnsiTheme="minorHAnsi"/>
        </w:rPr>
        <w:t xml:space="preserve"> </w:t>
      </w:r>
      <w:r w:rsidR="207AE2CD" w:rsidRPr="36D98BBF">
        <w:rPr>
          <w:rFonts w:asciiTheme="minorHAnsi" w:hAnsiTheme="minorHAnsi"/>
        </w:rPr>
        <w:t xml:space="preserve">the </w:t>
      </w:r>
      <w:r w:rsidR="000C63CF" w:rsidRPr="36D98BBF">
        <w:rPr>
          <w:rFonts w:asciiTheme="minorHAnsi" w:hAnsiTheme="minorHAnsi"/>
        </w:rPr>
        <w:t>cost saving proposed w</w:t>
      </w:r>
      <w:r w:rsidR="00B45D54" w:rsidRPr="36D98BBF">
        <w:rPr>
          <w:rFonts w:asciiTheme="minorHAnsi" w:hAnsiTheme="minorHAnsi"/>
        </w:rPr>
        <w:t>as</w:t>
      </w:r>
      <w:r w:rsidR="000C63CF" w:rsidRPr="36D98BBF">
        <w:rPr>
          <w:rFonts w:asciiTheme="minorHAnsi" w:hAnsiTheme="minorHAnsi"/>
        </w:rPr>
        <w:t xml:space="preserve"> likely overestimated.</w:t>
      </w:r>
    </w:p>
    <w:p w14:paraId="21F8572B" w14:textId="75727714" w:rsidR="001748C9" w:rsidRPr="00B75C7E" w:rsidRDefault="007A3580">
      <w:pPr>
        <w:widowControl w:val="0"/>
        <w:numPr>
          <w:ilvl w:val="1"/>
          <w:numId w:val="1"/>
        </w:numPr>
        <w:spacing w:after="120"/>
        <w:rPr>
          <w:rFonts w:asciiTheme="minorHAnsi" w:hAnsiTheme="minorHAnsi"/>
          <w:snapToGrid w:val="0"/>
          <w:lang w:val="en-GB"/>
        </w:rPr>
      </w:pPr>
      <w:r>
        <w:rPr>
          <w:rFonts w:asciiTheme="minorHAnsi" w:hAnsiTheme="minorHAnsi"/>
          <w:snapToGrid w:val="0"/>
        </w:rPr>
        <w:t xml:space="preserve">The </w:t>
      </w:r>
      <w:r w:rsidR="00676834">
        <w:rPr>
          <w:rFonts w:asciiTheme="minorHAnsi" w:hAnsiTheme="minorHAnsi"/>
          <w:snapToGrid w:val="0"/>
        </w:rPr>
        <w:t xml:space="preserve">PBAC advised that </w:t>
      </w:r>
      <w:proofErr w:type="spellStart"/>
      <w:r w:rsidR="00676834">
        <w:rPr>
          <w:rFonts w:asciiTheme="minorHAnsi" w:hAnsiTheme="minorHAnsi"/>
          <w:snapToGrid w:val="0"/>
        </w:rPr>
        <w:t>Bijvua</w:t>
      </w:r>
      <w:proofErr w:type="spellEnd"/>
      <w:r w:rsidR="00676834">
        <w:rPr>
          <w:rFonts w:asciiTheme="minorHAnsi" w:hAnsiTheme="minorHAnsi"/>
          <w:snapToGrid w:val="0"/>
        </w:rPr>
        <w:t xml:space="preserve"> was suitable for prescribing by nurse practitioners, for </w:t>
      </w:r>
      <w:r w:rsidR="00676834">
        <w:rPr>
          <w:rFonts w:asciiTheme="minorHAnsi" w:hAnsiTheme="minorHAnsi"/>
          <w:snapToGrid w:val="0"/>
        </w:rPr>
        <w:lastRenderedPageBreak/>
        <w:t>initial and continuing therapy.</w:t>
      </w:r>
    </w:p>
    <w:p w14:paraId="604F72C0" w14:textId="20728174" w:rsidR="00B75C7E" w:rsidRPr="00B75C7E" w:rsidRDefault="00B75C7E" w:rsidP="00B75C7E">
      <w:pPr>
        <w:pStyle w:val="3-BodyText"/>
        <w:rPr>
          <w:rFonts w:eastAsia="Times New Roman" w:cs="Arial"/>
          <w:snapToGrid w:val="0"/>
          <w:szCs w:val="24"/>
          <w:lang w:val="en-GB"/>
        </w:rPr>
      </w:pPr>
      <w:r w:rsidRPr="00B75C7E">
        <w:rPr>
          <w:rFonts w:eastAsia="Times New Roman" w:cs="Arial"/>
          <w:snapToGrid w:val="0"/>
          <w:szCs w:val="24"/>
          <w:lang w:val="en-GB"/>
        </w:rPr>
        <w:t xml:space="preserve">The PBAC advise </w:t>
      </w:r>
      <w:r>
        <w:rPr>
          <w:rFonts w:eastAsia="Times New Roman" w:cs="Arial"/>
          <w:snapToGrid w:val="0"/>
          <w:szCs w:val="24"/>
          <w:lang w:val="en-GB"/>
        </w:rPr>
        <w:t>that</w:t>
      </w:r>
      <w:r w:rsidRPr="00B75C7E">
        <w:rPr>
          <w:rFonts w:eastAsia="Times New Roman" w:cs="Arial"/>
          <w:snapToGrid w:val="0"/>
          <w:szCs w:val="24"/>
          <w:lang w:val="en-GB"/>
        </w:rPr>
        <w:t xml:space="preserve"> C</w:t>
      </w:r>
      <w:r>
        <w:rPr>
          <w:rFonts w:eastAsia="Times New Roman" w:cs="Arial"/>
          <w:snapToGrid w:val="0"/>
          <w:szCs w:val="24"/>
          <w:lang w:val="en-GB"/>
        </w:rPr>
        <w:t xml:space="preserve">ontinued </w:t>
      </w:r>
      <w:r w:rsidRPr="00B75C7E">
        <w:rPr>
          <w:rFonts w:eastAsia="Times New Roman" w:cs="Arial"/>
          <w:snapToGrid w:val="0"/>
          <w:szCs w:val="24"/>
          <w:lang w:val="en-GB"/>
        </w:rPr>
        <w:t>D</w:t>
      </w:r>
      <w:r>
        <w:rPr>
          <w:rFonts w:eastAsia="Times New Roman" w:cs="Arial"/>
          <w:snapToGrid w:val="0"/>
          <w:szCs w:val="24"/>
          <w:lang w:val="en-GB"/>
        </w:rPr>
        <w:t>ispensing</w:t>
      </w:r>
      <w:r w:rsidRPr="00B75C7E">
        <w:rPr>
          <w:rFonts w:eastAsia="Times New Roman" w:cs="Arial"/>
          <w:snapToGrid w:val="0"/>
          <w:szCs w:val="24"/>
          <w:lang w:val="en-GB"/>
        </w:rPr>
        <w:t xml:space="preserve"> arrangements should not apply for </w:t>
      </w:r>
      <w:proofErr w:type="spellStart"/>
      <w:r w:rsidRPr="00B75C7E">
        <w:rPr>
          <w:rFonts w:eastAsia="Times New Roman" w:cs="Arial"/>
          <w:snapToGrid w:val="0"/>
          <w:szCs w:val="24"/>
          <w:lang w:val="en-GB"/>
        </w:rPr>
        <w:t>Bijuva</w:t>
      </w:r>
      <w:proofErr w:type="spellEnd"/>
      <w:r w:rsidRPr="00B75C7E">
        <w:rPr>
          <w:rFonts w:eastAsia="Times New Roman" w:cs="Arial"/>
          <w:snapToGrid w:val="0"/>
          <w:szCs w:val="24"/>
          <w:lang w:val="en-GB"/>
        </w:rPr>
        <w:t>.</w:t>
      </w:r>
    </w:p>
    <w:p w14:paraId="339D32CE" w14:textId="19456B30" w:rsidR="00B109D2" w:rsidRPr="00B109D2" w:rsidRDefault="00B109D2" w:rsidP="00B109D2">
      <w:pPr>
        <w:pStyle w:val="3-BodyText"/>
        <w:rPr>
          <w:rFonts w:eastAsia="Times New Roman" w:cs="Arial"/>
          <w:snapToGrid w:val="0"/>
          <w:szCs w:val="24"/>
          <w:lang w:val="en-GB"/>
        </w:rPr>
      </w:pPr>
      <w:r>
        <w:rPr>
          <w:rFonts w:eastAsia="Times New Roman" w:cs="Arial"/>
          <w:snapToGrid w:val="0"/>
          <w:szCs w:val="24"/>
          <w:lang w:val="en-GB"/>
        </w:rPr>
        <w:t xml:space="preserve">The PBAC advised that </w:t>
      </w:r>
      <w:proofErr w:type="spellStart"/>
      <w:r w:rsidRPr="00B109D2">
        <w:rPr>
          <w:rFonts w:eastAsia="Times New Roman" w:cs="Arial"/>
          <w:snapToGrid w:val="0"/>
          <w:szCs w:val="24"/>
          <w:lang w:val="en-GB"/>
        </w:rPr>
        <w:t>Bijuva</w:t>
      </w:r>
      <w:proofErr w:type="spellEnd"/>
      <w:r w:rsidRPr="00B109D2">
        <w:rPr>
          <w:rFonts w:eastAsia="Times New Roman" w:cs="Arial"/>
          <w:snapToGrid w:val="0"/>
          <w:szCs w:val="24"/>
          <w:lang w:val="en-GB"/>
        </w:rPr>
        <w:t xml:space="preserve"> should not be exempt from the Early Supply Rule as it currently applies to Estrogel Pro and other PBS-listed MHT medicines.</w:t>
      </w:r>
    </w:p>
    <w:p w14:paraId="0E49527B" w14:textId="77777777" w:rsidR="00B937AD" w:rsidRPr="00B937AD" w:rsidRDefault="008C433F" w:rsidP="008C433F">
      <w:pPr>
        <w:widowControl w:val="0"/>
        <w:numPr>
          <w:ilvl w:val="1"/>
          <w:numId w:val="1"/>
        </w:numPr>
        <w:spacing w:after="120"/>
        <w:rPr>
          <w:rFonts w:asciiTheme="minorHAnsi" w:hAnsiTheme="minorHAnsi"/>
          <w:snapToGrid w:val="0"/>
          <w:lang w:val="en-GB"/>
        </w:rPr>
      </w:pPr>
      <w:r w:rsidRPr="36D98BBF">
        <w:rPr>
          <w:rFonts w:asciiTheme="minorHAnsi" w:hAnsiTheme="minorHAnsi" w:cstheme="minorBidi"/>
          <w:lang w:val="en-GB"/>
        </w:rPr>
        <w:t xml:space="preserve">The PBAC noted that its recommendation was on a cost-minimisation basis and advised that, because </w:t>
      </w:r>
      <w:proofErr w:type="spellStart"/>
      <w:r w:rsidRPr="36D98BBF">
        <w:rPr>
          <w:rFonts w:asciiTheme="minorHAnsi" w:hAnsiTheme="minorHAnsi" w:cstheme="minorBidi"/>
          <w:lang w:val="en-GB"/>
        </w:rPr>
        <w:t>Bijuva</w:t>
      </w:r>
      <w:proofErr w:type="spellEnd"/>
      <w:r w:rsidRPr="36D98BBF">
        <w:rPr>
          <w:rFonts w:asciiTheme="minorHAnsi" w:hAnsiTheme="minorHAnsi" w:cstheme="minorBidi"/>
          <w:lang w:val="en-GB"/>
        </w:rPr>
        <w:t xml:space="preserve"> is not expected to provide a substantial</w:t>
      </w:r>
      <w:r w:rsidRPr="36D98BBF">
        <w:rPr>
          <w:rFonts w:asciiTheme="minorHAnsi" w:hAnsiTheme="minorHAnsi"/>
          <w:lang w:val="en-GB"/>
        </w:rPr>
        <w:t xml:space="preserve"> and clinically relevant improvement in efficacy, or reduction of toxicity, over estradiol (as valerate) 2 mg tablet and progesterone 100 mg capsule, or not expected to address a high and urgent unmet clinical need given the presence of an alternative therapy, the criteria prescribed by the </w:t>
      </w:r>
      <w:r w:rsidRPr="36D98BBF">
        <w:rPr>
          <w:rFonts w:asciiTheme="minorHAnsi" w:hAnsiTheme="minorHAnsi"/>
          <w:i/>
          <w:iCs/>
          <w:lang w:val="en-GB"/>
        </w:rPr>
        <w:t>National Health (Pharmaceuticals and Vaccines – Cost Recovery) Regulations 2022</w:t>
      </w:r>
      <w:r w:rsidRPr="36D98BBF">
        <w:rPr>
          <w:rFonts w:asciiTheme="minorHAnsi" w:hAnsiTheme="minorHAnsi"/>
          <w:lang w:val="en-GB"/>
        </w:rPr>
        <w:t xml:space="preserve"> for Pricing Pathway A were not met</w:t>
      </w:r>
      <w:r w:rsidR="1679A3F2" w:rsidRPr="36D98BBF">
        <w:rPr>
          <w:rFonts w:asciiTheme="minorHAnsi" w:hAnsiTheme="minorHAnsi"/>
          <w:lang w:val="en-GB"/>
        </w:rPr>
        <w:t xml:space="preserve">. </w:t>
      </w:r>
    </w:p>
    <w:p w14:paraId="77EAC9F5" w14:textId="12562800" w:rsidR="00787F69" w:rsidRPr="001748C9" w:rsidRDefault="00787F69" w:rsidP="008C433F">
      <w:pPr>
        <w:widowControl w:val="0"/>
        <w:numPr>
          <w:ilvl w:val="1"/>
          <w:numId w:val="1"/>
        </w:numPr>
        <w:spacing w:after="120"/>
        <w:rPr>
          <w:rFonts w:asciiTheme="minorHAnsi" w:hAnsiTheme="minorHAnsi"/>
          <w:snapToGrid w:val="0"/>
          <w:lang w:val="en-GB"/>
        </w:rPr>
      </w:pPr>
      <w:r w:rsidRPr="00787F69">
        <w:rPr>
          <w:rFonts w:asciiTheme="minorHAnsi" w:hAnsiTheme="minorHAnsi"/>
          <w:snapToGrid w:val="0"/>
        </w:rPr>
        <w:t>The PBAC noted that th</w:t>
      </w:r>
      <w:r>
        <w:rPr>
          <w:rFonts w:asciiTheme="minorHAnsi" w:hAnsiTheme="minorHAnsi"/>
          <w:snapToGrid w:val="0"/>
        </w:rPr>
        <w:t>is</w:t>
      </w:r>
      <w:r w:rsidRPr="00787F69">
        <w:rPr>
          <w:rFonts w:asciiTheme="minorHAnsi" w:hAnsiTheme="minorHAnsi"/>
          <w:snapToGrid w:val="0"/>
        </w:rPr>
        <w:t xml:space="preserve"> submission</w:t>
      </w:r>
      <w:r>
        <w:rPr>
          <w:rFonts w:asciiTheme="minorHAnsi" w:hAnsiTheme="minorHAnsi"/>
          <w:snapToGrid w:val="0"/>
        </w:rPr>
        <w:t xml:space="preserve"> is</w:t>
      </w:r>
      <w:r w:rsidRPr="00787F69">
        <w:rPr>
          <w:rFonts w:asciiTheme="minorHAnsi" w:hAnsiTheme="minorHAnsi"/>
          <w:snapToGrid w:val="0"/>
        </w:rPr>
        <w:t xml:space="preserve"> not eligible for an Independent Review because </w:t>
      </w:r>
      <w:r>
        <w:rPr>
          <w:rFonts w:asciiTheme="minorHAnsi" w:hAnsiTheme="minorHAnsi"/>
          <w:snapToGrid w:val="0"/>
        </w:rPr>
        <w:t>it</w:t>
      </w:r>
      <w:r w:rsidRPr="00787F69">
        <w:rPr>
          <w:rFonts w:asciiTheme="minorHAnsi" w:hAnsiTheme="minorHAnsi"/>
          <w:snapToGrid w:val="0"/>
        </w:rPr>
        <w:t xml:space="preserve"> received a positive recommendation.</w:t>
      </w:r>
    </w:p>
    <w:bookmarkEnd w:id="76"/>
    <w:p w14:paraId="17827BD6" w14:textId="77777777" w:rsidR="00580CC8" w:rsidRPr="007D4707" w:rsidRDefault="00580CC8" w:rsidP="00580CC8">
      <w:pPr>
        <w:widowControl w:val="0"/>
        <w:contextualSpacing/>
        <w:rPr>
          <w:rFonts w:asciiTheme="minorHAnsi" w:hAnsiTheme="minorHAnsi"/>
          <w:bCs/>
          <w:snapToGrid w:val="0"/>
          <w:lang w:val="en-GB"/>
        </w:rPr>
      </w:pPr>
    </w:p>
    <w:p w14:paraId="03D589CD" w14:textId="3D5744CF" w:rsidR="00580CC8" w:rsidRPr="00525B39" w:rsidRDefault="00580CC8" w:rsidP="00D22BA4">
      <w:pPr>
        <w:tabs>
          <w:tab w:val="right" w:pos="9027"/>
        </w:tabs>
        <w:spacing w:before="240"/>
        <w:rPr>
          <w:rFonts w:asciiTheme="minorHAnsi" w:hAnsiTheme="minorHAnsi"/>
          <w:b/>
          <w:bCs/>
          <w:snapToGrid w:val="0"/>
          <w:lang w:val="en-GB"/>
        </w:rPr>
      </w:pPr>
      <w:r w:rsidRPr="00525B39">
        <w:rPr>
          <w:rFonts w:asciiTheme="minorHAnsi" w:hAnsiTheme="minorHAnsi"/>
          <w:b/>
          <w:bCs/>
          <w:snapToGrid w:val="0"/>
          <w:lang w:val="en-GB"/>
        </w:rPr>
        <w:t>Outcome:</w:t>
      </w:r>
      <w:r w:rsidR="00D22BA4">
        <w:rPr>
          <w:rFonts w:asciiTheme="minorHAnsi" w:hAnsiTheme="minorHAnsi"/>
          <w:b/>
          <w:bCs/>
          <w:snapToGrid w:val="0"/>
          <w:lang w:val="en-GB"/>
        </w:rPr>
        <w:tab/>
      </w:r>
    </w:p>
    <w:p w14:paraId="10453F6C" w14:textId="20C60902" w:rsidR="00B109D2" w:rsidRPr="00A859B9" w:rsidRDefault="00580CC8" w:rsidP="00A859B9">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6932916C" w14:textId="77777777" w:rsidR="005C0E25" w:rsidRPr="00907671" w:rsidRDefault="005C0E25" w:rsidP="005C0E25">
      <w:pPr>
        <w:pStyle w:val="2-SectionHeading"/>
        <w:numPr>
          <w:ilvl w:val="0"/>
          <w:numId w:val="1"/>
        </w:numPr>
      </w:pPr>
      <w:r w:rsidRPr="00907671">
        <w:t>Recommended listing</w:t>
      </w:r>
    </w:p>
    <w:p w14:paraId="6586D0F6" w14:textId="77777777" w:rsidR="005C0E25" w:rsidRPr="00E87602" w:rsidRDefault="005C0E25" w:rsidP="00E87602">
      <w:pPr>
        <w:widowControl w:val="0"/>
        <w:numPr>
          <w:ilvl w:val="1"/>
          <w:numId w:val="1"/>
        </w:numPr>
        <w:spacing w:after="120"/>
        <w:rPr>
          <w:rFonts w:asciiTheme="minorHAnsi" w:hAnsiTheme="minorHAnsi"/>
          <w:snapToGrid w:val="0"/>
        </w:rPr>
      </w:pPr>
      <w:r w:rsidRPr="00E87602">
        <w:rPr>
          <w:rFonts w:asciiTheme="minorHAnsi" w:hAnsiTheme="minorHAnsi"/>
          <w:snapToGrid w:val="0"/>
        </w:rPr>
        <w:t>Add new item:</w:t>
      </w:r>
    </w:p>
    <w:p w14:paraId="2A480FEF" w14:textId="77777777" w:rsidR="008625C6" w:rsidRPr="0011181B" w:rsidRDefault="008625C6" w:rsidP="008625C6">
      <w:pPr>
        <w:rPr>
          <w:rFonts w:cs="Calibri"/>
          <w:b/>
        </w:rPr>
      </w:pPr>
      <w:r w:rsidRPr="0011181B">
        <w:rPr>
          <w:rFonts w:cs="Calibri"/>
          <w:b/>
        </w:rPr>
        <w:t>30-day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30 day listing"/>
      </w:tblPr>
      <w:tblGrid>
        <w:gridCol w:w="1270"/>
        <w:gridCol w:w="2669"/>
        <w:gridCol w:w="812"/>
        <w:gridCol w:w="812"/>
        <w:gridCol w:w="812"/>
        <w:gridCol w:w="812"/>
        <w:gridCol w:w="1830"/>
      </w:tblGrid>
      <w:tr w:rsidR="008625C6" w:rsidRPr="00357CA5" w14:paraId="73259346" w14:textId="77777777" w:rsidTr="00A6567C">
        <w:trPr>
          <w:cantSplit/>
          <w:trHeight w:val="20"/>
        </w:trPr>
        <w:tc>
          <w:tcPr>
            <w:tcW w:w="2185" w:type="pct"/>
            <w:gridSpan w:val="2"/>
            <w:vAlign w:val="center"/>
          </w:tcPr>
          <w:p w14:paraId="29980949" w14:textId="77777777" w:rsidR="008625C6" w:rsidRPr="00357CA5" w:rsidRDefault="008625C6">
            <w:pPr>
              <w:keepLines/>
              <w:rPr>
                <w:rFonts w:ascii="Arial Narrow" w:hAnsi="Arial Narrow" w:cs="Calibri"/>
                <w:b/>
                <w:bCs/>
                <w:sz w:val="20"/>
                <w:szCs w:val="20"/>
              </w:rPr>
            </w:pPr>
            <w:r w:rsidRPr="00357CA5">
              <w:rPr>
                <w:rFonts w:ascii="Arial Narrow" w:hAnsi="Arial Narrow" w:cs="Calibri"/>
                <w:b/>
                <w:bCs/>
                <w:sz w:val="20"/>
                <w:szCs w:val="20"/>
              </w:rPr>
              <w:t>MEDICINAL PRODUCT</w:t>
            </w:r>
          </w:p>
          <w:p w14:paraId="48A8F79B" w14:textId="77777777" w:rsidR="008625C6" w:rsidRPr="00357CA5" w:rsidRDefault="008625C6">
            <w:pPr>
              <w:keepLines/>
              <w:rPr>
                <w:rFonts w:ascii="Arial Narrow" w:hAnsi="Arial Narrow" w:cs="Calibri"/>
                <w:b/>
                <w:sz w:val="20"/>
                <w:szCs w:val="20"/>
              </w:rPr>
            </w:pPr>
            <w:r w:rsidRPr="00357CA5">
              <w:rPr>
                <w:rFonts w:ascii="Arial Narrow" w:hAnsi="Arial Narrow" w:cs="Calibri"/>
                <w:b/>
                <w:bCs/>
                <w:sz w:val="20"/>
                <w:szCs w:val="20"/>
              </w:rPr>
              <w:t>medicinal product pack</w:t>
            </w:r>
          </w:p>
        </w:tc>
        <w:tc>
          <w:tcPr>
            <w:tcW w:w="450" w:type="pct"/>
            <w:vAlign w:val="center"/>
          </w:tcPr>
          <w:p w14:paraId="152FD718" w14:textId="77777777" w:rsidR="008625C6" w:rsidRPr="00357CA5" w:rsidRDefault="008625C6">
            <w:pPr>
              <w:keepLines/>
              <w:jc w:val="center"/>
              <w:rPr>
                <w:rFonts w:ascii="Arial Narrow" w:hAnsi="Arial Narrow" w:cs="Calibri"/>
                <w:b/>
                <w:sz w:val="20"/>
                <w:szCs w:val="20"/>
              </w:rPr>
            </w:pPr>
            <w:r w:rsidRPr="00357CA5">
              <w:rPr>
                <w:rFonts w:ascii="Arial Narrow" w:hAnsi="Arial Narrow" w:cs="Calibri"/>
                <w:b/>
                <w:sz w:val="20"/>
                <w:szCs w:val="20"/>
              </w:rPr>
              <w:t>PBS item code</w:t>
            </w:r>
          </w:p>
        </w:tc>
        <w:tc>
          <w:tcPr>
            <w:tcW w:w="450" w:type="pct"/>
            <w:vAlign w:val="center"/>
          </w:tcPr>
          <w:p w14:paraId="675B68C4" w14:textId="77777777" w:rsidR="008625C6" w:rsidRPr="00357CA5" w:rsidRDefault="008625C6">
            <w:pPr>
              <w:keepLines/>
              <w:jc w:val="center"/>
              <w:rPr>
                <w:rFonts w:ascii="Arial Narrow" w:hAnsi="Arial Narrow" w:cs="Calibri"/>
                <w:b/>
                <w:sz w:val="20"/>
                <w:szCs w:val="20"/>
              </w:rPr>
            </w:pPr>
            <w:r w:rsidRPr="00357CA5">
              <w:rPr>
                <w:rFonts w:ascii="Arial Narrow" w:hAnsi="Arial Narrow" w:cs="Calibri"/>
                <w:b/>
                <w:sz w:val="20"/>
                <w:szCs w:val="20"/>
              </w:rPr>
              <w:t>Max. qty packs</w:t>
            </w:r>
          </w:p>
        </w:tc>
        <w:tc>
          <w:tcPr>
            <w:tcW w:w="450" w:type="pct"/>
            <w:vAlign w:val="center"/>
          </w:tcPr>
          <w:p w14:paraId="38CF181F" w14:textId="77777777" w:rsidR="008625C6" w:rsidRPr="00916920" w:rsidRDefault="008625C6">
            <w:pPr>
              <w:keepLines/>
              <w:jc w:val="center"/>
              <w:rPr>
                <w:rFonts w:ascii="Arial Narrow" w:hAnsi="Arial Narrow" w:cs="Calibri"/>
                <w:sz w:val="20"/>
                <w:szCs w:val="20"/>
              </w:rPr>
            </w:pPr>
            <w:r w:rsidRPr="00357CA5">
              <w:rPr>
                <w:rFonts w:ascii="Arial Narrow" w:hAnsi="Arial Narrow" w:cs="Calibri"/>
                <w:b/>
                <w:sz w:val="20"/>
                <w:szCs w:val="20"/>
              </w:rPr>
              <w:t>Max. qty units</w:t>
            </w:r>
          </w:p>
        </w:tc>
        <w:tc>
          <w:tcPr>
            <w:tcW w:w="450" w:type="pct"/>
            <w:vAlign w:val="center"/>
          </w:tcPr>
          <w:p w14:paraId="7BDD2CD5" w14:textId="77777777" w:rsidR="008625C6" w:rsidRPr="00357CA5" w:rsidRDefault="008625C6">
            <w:pPr>
              <w:keepLines/>
              <w:jc w:val="center"/>
              <w:rPr>
                <w:rFonts w:ascii="Arial Narrow" w:hAnsi="Arial Narrow" w:cs="Calibri"/>
                <w:b/>
                <w:sz w:val="20"/>
                <w:szCs w:val="20"/>
              </w:rPr>
            </w:pPr>
            <w:r w:rsidRPr="00357CA5">
              <w:rPr>
                <w:rFonts w:ascii="Arial Narrow" w:hAnsi="Arial Narrow" w:cs="Calibri"/>
                <w:b/>
                <w:sz w:val="20"/>
                <w:szCs w:val="20"/>
              </w:rPr>
              <w:t>№.of</w:t>
            </w:r>
          </w:p>
          <w:p w14:paraId="6F0DE3D5" w14:textId="77777777" w:rsidR="008625C6" w:rsidRPr="00357CA5" w:rsidRDefault="008625C6">
            <w:pPr>
              <w:keepLines/>
              <w:jc w:val="center"/>
              <w:rPr>
                <w:rFonts w:ascii="Arial Narrow" w:hAnsi="Arial Narrow" w:cs="Calibri"/>
                <w:b/>
                <w:sz w:val="20"/>
                <w:szCs w:val="20"/>
              </w:rPr>
            </w:pPr>
            <w:proofErr w:type="spellStart"/>
            <w:r w:rsidRPr="00357CA5">
              <w:rPr>
                <w:rFonts w:ascii="Arial Narrow" w:hAnsi="Arial Narrow" w:cs="Calibri"/>
                <w:b/>
                <w:sz w:val="20"/>
                <w:szCs w:val="20"/>
              </w:rPr>
              <w:t>Rpts</w:t>
            </w:r>
            <w:proofErr w:type="spellEnd"/>
          </w:p>
        </w:tc>
        <w:tc>
          <w:tcPr>
            <w:tcW w:w="1015" w:type="pct"/>
            <w:vAlign w:val="center"/>
          </w:tcPr>
          <w:p w14:paraId="02EA5759" w14:textId="77777777" w:rsidR="008625C6" w:rsidRPr="00357CA5" w:rsidRDefault="008625C6">
            <w:pPr>
              <w:keepLines/>
              <w:rPr>
                <w:rFonts w:ascii="Arial Narrow" w:hAnsi="Arial Narrow" w:cs="Calibri"/>
                <w:b/>
                <w:sz w:val="20"/>
                <w:szCs w:val="20"/>
                <w:lang w:val="fr-FR"/>
              </w:rPr>
            </w:pPr>
            <w:r w:rsidRPr="00357CA5">
              <w:rPr>
                <w:rFonts w:ascii="Arial Narrow" w:hAnsi="Arial Narrow" w:cs="Calibri"/>
                <w:b/>
                <w:sz w:val="20"/>
                <w:szCs w:val="20"/>
              </w:rPr>
              <w:t>Available brands</w:t>
            </w:r>
          </w:p>
        </w:tc>
      </w:tr>
      <w:tr w:rsidR="008625C6" w:rsidRPr="00E6252B" w14:paraId="3E241310" w14:textId="77777777" w:rsidTr="00A6567C">
        <w:trPr>
          <w:cantSplit/>
          <w:trHeight w:val="20"/>
        </w:trPr>
        <w:tc>
          <w:tcPr>
            <w:tcW w:w="5000" w:type="pct"/>
            <w:gridSpan w:val="7"/>
            <w:vAlign w:val="center"/>
          </w:tcPr>
          <w:p w14:paraId="038FC924" w14:textId="77777777" w:rsidR="008625C6" w:rsidRPr="00E6252B" w:rsidRDefault="008625C6">
            <w:pPr>
              <w:keepLines/>
              <w:rPr>
                <w:rFonts w:ascii="Arial Narrow" w:hAnsi="Arial Narrow" w:cs="Calibri"/>
                <w:sz w:val="20"/>
                <w:szCs w:val="20"/>
              </w:rPr>
            </w:pPr>
            <w:r w:rsidRPr="00F4362E">
              <w:rPr>
                <w:rFonts w:ascii="Arial Narrow" w:hAnsi="Arial Narrow" w:cs="Calibri"/>
                <w:sz w:val="20"/>
                <w:szCs w:val="20"/>
              </w:rPr>
              <w:t>E</w:t>
            </w:r>
            <w:r>
              <w:rPr>
                <w:rFonts w:ascii="Arial Narrow" w:hAnsi="Arial Narrow" w:cs="Calibri"/>
                <w:sz w:val="20"/>
                <w:szCs w:val="20"/>
              </w:rPr>
              <w:t>STRADIOL</w:t>
            </w:r>
            <w:r w:rsidRPr="00F4362E">
              <w:rPr>
                <w:rFonts w:ascii="Arial Narrow" w:hAnsi="Arial Narrow" w:cs="Calibri"/>
                <w:sz w:val="20"/>
                <w:szCs w:val="20"/>
              </w:rPr>
              <w:t xml:space="preserve"> + </w:t>
            </w:r>
            <w:r>
              <w:rPr>
                <w:rFonts w:ascii="Arial Narrow" w:hAnsi="Arial Narrow" w:cs="Calibri"/>
                <w:sz w:val="20"/>
                <w:szCs w:val="20"/>
              </w:rPr>
              <w:t>PROGESTERONE</w:t>
            </w:r>
          </w:p>
        </w:tc>
      </w:tr>
      <w:tr w:rsidR="008625C6" w:rsidRPr="00357CA5" w14:paraId="4BE0EBC1" w14:textId="77777777" w:rsidTr="00A6567C">
        <w:trPr>
          <w:cantSplit/>
          <w:trHeight w:val="20"/>
        </w:trPr>
        <w:tc>
          <w:tcPr>
            <w:tcW w:w="2185" w:type="pct"/>
            <w:gridSpan w:val="2"/>
            <w:vAlign w:val="center"/>
          </w:tcPr>
          <w:p w14:paraId="4E71AEAC" w14:textId="77777777" w:rsidR="008625C6" w:rsidRPr="00A20754" w:rsidRDefault="008625C6">
            <w:pPr>
              <w:keepLines/>
              <w:rPr>
                <w:rFonts w:ascii="Arial Narrow" w:hAnsi="Arial Narrow" w:cs="Calibri"/>
                <w:sz w:val="20"/>
                <w:szCs w:val="20"/>
                <w:lang w:val="it-IT"/>
              </w:rPr>
            </w:pPr>
            <w:r w:rsidRPr="00A20754">
              <w:rPr>
                <w:rFonts w:ascii="Arial Narrow" w:hAnsi="Arial Narrow" w:cs="Calibri"/>
                <w:sz w:val="20"/>
                <w:szCs w:val="20"/>
                <w:lang w:val="it-IT"/>
              </w:rPr>
              <w:t>estradiol 1 mg + progesterone 100 mg capsule, 28</w:t>
            </w:r>
          </w:p>
        </w:tc>
        <w:tc>
          <w:tcPr>
            <w:tcW w:w="450" w:type="pct"/>
            <w:vAlign w:val="center"/>
          </w:tcPr>
          <w:p w14:paraId="7A46E2FC" w14:textId="77777777" w:rsidR="008625C6" w:rsidRDefault="008625C6">
            <w:pPr>
              <w:keepLines/>
              <w:jc w:val="center"/>
              <w:rPr>
                <w:rFonts w:ascii="Arial Narrow" w:hAnsi="Arial Narrow" w:cs="Calibri"/>
                <w:sz w:val="20"/>
                <w:szCs w:val="20"/>
              </w:rPr>
            </w:pPr>
            <w:r w:rsidRPr="00357CA5">
              <w:rPr>
                <w:rFonts w:ascii="Arial Narrow" w:hAnsi="Arial Narrow" w:cs="Calibri"/>
                <w:sz w:val="20"/>
                <w:szCs w:val="20"/>
              </w:rPr>
              <w:t>NEW</w:t>
            </w:r>
          </w:p>
          <w:p w14:paraId="0C7EC9F9" w14:textId="77777777" w:rsidR="008625C6" w:rsidRPr="00357CA5" w:rsidRDefault="008625C6">
            <w:pPr>
              <w:keepLines/>
              <w:jc w:val="center"/>
              <w:rPr>
                <w:rFonts w:ascii="Arial Narrow" w:hAnsi="Arial Narrow" w:cs="Calibri"/>
                <w:sz w:val="20"/>
                <w:szCs w:val="20"/>
              </w:rPr>
            </w:pPr>
            <w:r w:rsidRPr="003B3E19">
              <w:rPr>
                <w:rFonts w:ascii="Arial Narrow" w:hAnsi="Arial Narrow" w:cs="Calibri"/>
                <w:sz w:val="14"/>
                <w:szCs w:val="14"/>
              </w:rPr>
              <w:t>MP NP</w:t>
            </w:r>
          </w:p>
        </w:tc>
        <w:tc>
          <w:tcPr>
            <w:tcW w:w="450" w:type="pct"/>
            <w:vAlign w:val="center"/>
          </w:tcPr>
          <w:p w14:paraId="771702A3" w14:textId="77777777" w:rsidR="008625C6" w:rsidRPr="00357CA5" w:rsidRDefault="008625C6">
            <w:pPr>
              <w:keepLines/>
              <w:jc w:val="center"/>
              <w:rPr>
                <w:rFonts w:ascii="Arial Narrow" w:hAnsi="Arial Narrow" w:cs="Calibri"/>
                <w:sz w:val="20"/>
                <w:szCs w:val="20"/>
              </w:rPr>
            </w:pPr>
            <w:r w:rsidRPr="00357CA5">
              <w:rPr>
                <w:rFonts w:ascii="Arial Narrow" w:hAnsi="Arial Narrow" w:cs="Calibri"/>
                <w:sz w:val="20"/>
                <w:szCs w:val="20"/>
              </w:rPr>
              <w:t>1</w:t>
            </w:r>
          </w:p>
        </w:tc>
        <w:tc>
          <w:tcPr>
            <w:tcW w:w="450" w:type="pct"/>
            <w:vAlign w:val="center"/>
          </w:tcPr>
          <w:p w14:paraId="48CD155C" w14:textId="77777777" w:rsidR="008625C6" w:rsidRPr="00357CA5" w:rsidRDefault="008625C6">
            <w:pPr>
              <w:keepLines/>
              <w:jc w:val="center"/>
              <w:rPr>
                <w:rFonts w:ascii="Arial Narrow" w:hAnsi="Arial Narrow" w:cs="Calibri"/>
                <w:sz w:val="20"/>
                <w:szCs w:val="20"/>
              </w:rPr>
            </w:pPr>
            <w:r>
              <w:rPr>
                <w:rFonts w:ascii="Arial Narrow" w:hAnsi="Arial Narrow" w:cs="Calibri"/>
                <w:sz w:val="20"/>
                <w:szCs w:val="20"/>
              </w:rPr>
              <w:t>28</w:t>
            </w:r>
          </w:p>
        </w:tc>
        <w:tc>
          <w:tcPr>
            <w:tcW w:w="450" w:type="pct"/>
            <w:vAlign w:val="center"/>
          </w:tcPr>
          <w:p w14:paraId="7EB944DB" w14:textId="77777777" w:rsidR="008625C6" w:rsidRPr="00357CA5" w:rsidRDefault="008625C6">
            <w:pPr>
              <w:keepLines/>
              <w:jc w:val="center"/>
              <w:rPr>
                <w:rFonts w:ascii="Arial Narrow" w:hAnsi="Arial Narrow" w:cs="Calibri"/>
                <w:sz w:val="20"/>
                <w:szCs w:val="20"/>
              </w:rPr>
            </w:pPr>
            <w:r>
              <w:rPr>
                <w:rFonts w:ascii="Arial Narrow" w:hAnsi="Arial Narrow" w:cs="Calibri"/>
                <w:sz w:val="20"/>
                <w:szCs w:val="20"/>
              </w:rPr>
              <w:t>5</w:t>
            </w:r>
          </w:p>
        </w:tc>
        <w:tc>
          <w:tcPr>
            <w:tcW w:w="1015" w:type="pct"/>
            <w:vAlign w:val="center"/>
          </w:tcPr>
          <w:p w14:paraId="24938EFB" w14:textId="77777777" w:rsidR="008625C6" w:rsidRPr="00357CA5" w:rsidRDefault="008625C6">
            <w:pPr>
              <w:keepLines/>
              <w:rPr>
                <w:rFonts w:ascii="Arial Narrow" w:hAnsi="Arial Narrow" w:cs="Calibri"/>
                <w:sz w:val="20"/>
                <w:szCs w:val="20"/>
              </w:rPr>
            </w:pPr>
            <w:r w:rsidRPr="002266ED">
              <w:rPr>
                <w:rFonts w:ascii="Arial Narrow" w:hAnsi="Arial Narrow" w:cs="Calibri"/>
                <w:sz w:val="20"/>
                <w:szCs w:val="20"/>
              </w:rPr>
              <w:t xml:space="preserve">Bijuva </w:t>
            </w:r>
          </w:p>
        </w:tc>
      </w:tr>
      <w:tr w:rsidR="008625C6" w:rsidRPr="00357CA5" w14:paraId="237F8D22" w14:textId="77777777" w:rsidTr="00A6567C">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0EC12A47" w14:textId="77777777" w:rsidR="008625C6" w:rsidRPr="00357CA5" w:rsidRDefault="008625C6">
            <w:pPr>
              <w:rPr>
                <w:rFonts w:ascii="Arial Narrow" w:hAnsi="Arial Narrow" w:cs="Calibri"/>
                <w:sz w:val="20"/>
                <w:szCs w:val="20"/>
              </w:rPr>
            </w:pPr>
          </w:p>
        </w:tc>
      </w:tr>
      <w:tr w:rsidR="008625C6" w:rsidRPr="00357CA5" w14:paraId="0385C921" w14:textId="77777777" w:rsidTr="00A6567C">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6F5612B0" w14:textId="77777777" w:rsidR="008625C6" w:rsidRPr="00357CA5" w:rsidRDefault="008625C6">
            <w:pPr>
              <w:jc w:val="center"/>
              <w:rPr>
                <w:rFonts w:ascii="Arial Narrow" w:hAnsi="Arial Narrow" w:cs="Calibri"/>
                <w:b/>
                <w:sz w:val="20"/>
                <w:szCs w:val="20"/>
              </w:rPr>
            </w:pPr>
            <w:r w:rsidRPr="00357CA5">
              <w:rPr>
                <w:rFonts w:ascii="Arial Narrow" w:hAnsi="Arial Narrow" w:cs="Calibri"/>
                <w:b/>
                <w:sz w:val="20"/>
                <w:szCs w:val="20"/>
              </w:rPr>
              <w:t>Concept ID</w:t>
            </w:r>
          </w:p>
          <w:p w14:paraId="5417D2C3" w14:textId="77777777" w:rsidR="008625C6" w:rsidRPr="00357CA5" w:rsidRDefault="008625C6">
            <w:pPr>
              <w:jc w:val="center"/>
              <w:rPr>
                <w:rFonts w:ascii="Arial Narrow" w:hAnsi="Arial Narrow" w:cs="Calibri"/>
                <w:b/>
                <w:sz w:val="20"/>
                <w:szCs w:val="20"/>
              </w:rPr>
            </w:pPr>
            <w:r w:rsidRPr="00357CA5">
              <w:rPr>
                <w:rFonts w:ascii="Arial Narrow" w:hAnsi="Arial Narrow"/>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0FD612D" w14:textId="77777777" w:rsidR="008625C6" w:rsidRPr="00357CA5" w:rsidRDefault="008625C6">
            <w:pPr>
              <w:keepLines/>
              <w:rPr>
                <w:rFonts w:ascii="Arial Narrow" w:hAnsi="Arial Narrow" w:cs="Calibri"/>
                <w:sz w:val="20"/>
                <w:szCs w:val="20"/>
              </w:rPr>
            </w:pPr>
            <w:r w:rsidRPr="00357CA5">
              <w:rPr>
                <w:rFonts w:ascii="Arial Narrow" w:hAnsi="Arial Narrow" w:cs="Calibri"/>
                <w:b/>
                <w:sz w:val="20"/>
                <w:szCs w:val="20"/>
              </w:rPr>
              <w:t>Category / Program:</w:t>
            </w:r>
            <w:r w:rsidRPr="00357CA5">
              <w:rPr>
                <w:rFonts w:ascii="Arial Narrow" w:hAnsi="Arial Narrow" w:cs="Calibri"/>
                <w:sz w:val="20"/>
                <w:szCs w:val="20"/>
              </w:rPr>
              <w:t xml:space="preserve"> </w:t>
            </w:r>
            <w:r w:rsidRPr="00357CA5">
              <w:rPr>
                <w:rFonts w:ascii="Arial Narrow" w:eastAsia="Calibri" w:hAnsi="Arial Narrow" w:cs="Calibri"/>
                <w:sz w:val="20"/>
                <w:szCs w:val="20"/>
              </w:rPr>
              <w:fldChar w:fldCharType="begin">
                <w:ffData>
                  <w:name w:val="Check1"/>
                  <w:enabled/>
                  <w:calcOnExit w:val="0"/>
                  <w:checkBox>
                    <w:sizeAuto/>
                    <w:default w:val="1"/>
                  </w:checkBox>
                </w:ffData>
              </w:fldChar>
            </w:r>
            <w:bookmarkStart w:id="77" w:name="Check1"/>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bookmarkEnd w:id="77"/>
            <w:r w:rsidRPr="00357CA5">
              <w:rPr>
                <w:rFonts w:ascii="Arial Narrow" w:eastAsia="Calibri" w:hAnsi="Arial Narrow" w:cs="Calibri"/>
                <w:sz w:val="20"/>
                <w:szCs w:val="20"/>
              </w:rPr>
              <w:t xml:space="preserve"> GENERAL - General Schedule (Code GE) </w:t>
            </w:r>
          </w:p>
        </w:tc>
      </w:tr>
      <w:tr w:rsidR="008625C6" w:rsidRPr="00357CA5" w14:paraId="59E974E4" w14:textId="77777777" w:rsidTr="00A6567C">
        <w:tblPrEx>
          <w:tblCellMar>
            <w:top w:w="15" w:type="dxa"/>
            <w:bottom w:w="15" w:type="dxa"/>
          </w:tblCellMar>
          <w:tblLook w:val="04A0" w:firstRow="1" w:lastRow="0" w:firstColumn="1" w:lastColumn="0" w:noHBand="0" w:noVBand="1"/>
        </w:tblPrEx>
        <w:trPr>
          <w:trHeight w:val="20"/>
        </w:trPr>
        <w:tc>
          <w:tcPr>
            <w:tcW w:w="705" w:type="pct"/>
            <w:vMerge/>
          </w:tcPr>
          <w:p w14:paraId="3E8198EE" w14:textId="77777777" w:rsidR="008625C6" w:rsidRPr="00357CA5" w:rsidRDefault="008625C6">
            <w:pPr>
              <w:jc w:val="center"/>
              <w:rPr>
                <w:rFonts w:ascii="Arial Narrow" w:hAnsi="Arial Narrow" w:cs="Calibri"/>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CD4C72B" w14:textId="77777777" w:rsidR="008625C6" w:rsidRPr="00357CA5" w:rsidRDefault="008625C6">
            <w:pPr>
              <w:keepLines/>
              <w:rPr>
                <w:rFonts w:ascii="Arial Narrow" w:hAnsi="Arial Narrow" w:cs="Calibri"/>
                <w:b/>
                <w:bCs/>
                <w:sz w:val="20"/>
                <w:szCs w:val="20"/>
              </w:rPr>
            </w:pPr>
            <w:r w:rsidRPr="15AA05B7">
              <w:rPr>
                <w:rFonts w:ascii="Arial Narrow" w:hAnsi="Arial Narrow" w:cs="Calibri"/>
                <w:b/>
                <w:bCs/>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 xml:space="preserve">Medical Practitioners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Nurse practitioners</w:t>
            </w:r>
          </w:p>
        </w:tc>
      </w:tr>
      <w:tr w:rsidR="008625C6" w:rsidRPr="00357CA5" w14:paraId="5AFF0124" w14:textId="77777777" w:rsidTr="00A6567C">
        <w:tblPrEx>
          <w:tblCellMar>
            <w:top w:w="15" w:type="dxa"/>
            <w:bottom w:w="15" w:type="dxa"/>
          </w:tblCellMar>
        </w:tblPrEx>
        <w:trPr>
          <w:trHeight w:val="220"/>
        </w:trPr>
        <w:tc>
          <w:tcPr>
            <w:tcW w:w="705" w:type="pct"/>
            <w:vMerge/>
          </w:tcPr>
          <w:p w14:paraId="6C36387A" w14:textId="77777777" w:rsidR="008625C6" w:rsidRPr="00357CA5" w:rsidRDefault="008625C6">
            <w:pPr>
              <w:jc w:val="center"/>
              <w:rPr>
                <w:rFonts w:ascii="Arial Narrow" w:hAnsi="Arial Narrow" w:cs="Calibri"/>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77217E81" w14:textId="77777777" w:rsidR="008625C6" w:rsidRPr="00357CA5" w:rsidRDefault="008625C6">
            <w:pPr>
              <w:keepLines/>
              <w:rPr>
                <w:rFonts w:ascii="Arial Narrow" w:hAnsi="Arial Narrow" w:cs="Calibri"/>
                <w:sz w:val="20"/>
                <w:szCs w:val="20"/>
              </w:rPr>
            </w:pPr>
            <w:r w:rsidRPr="15AA05B7">
              <w:rPr>
                <w:rFonts w:ascii="Arial Narrow" w:hAnsi="Arial Narrow" w:cs="Calibri"/>
                <w:b/>
                <w:bCs/>
                <w:sz w:val="20"/>
                <w:szCs w:val="20"/>
              </w:rPr>
              <w:t xml:space="preserve">Restriction type: </w:t>
            </w:r>
            <w:r w:rsidRPr="00357CA5">
              <w:rPr>
                <w:rFonts w:ascii="Arial Narrow" w:eastAsia="Calibri" w:hAnsi="Arial Narrow" w:cs="Calibri"/>
                <w:sz w:val="20"/>
                <w:szCs w:val="20"/>
              </w:rPr>
              <w:fldChar w:fldCharType="begin">
                <w:ffData>
                  <w:name w:val=""/>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sidRPr="006372A0">
              <w:rPr>
                <w:rFonts w:ascii="Arial Narrow" w:eastAsia="Calibri" w:hAnsi="Arial Narrow" w:cs="Calibri"/>
                <w:sz w:val="20"/>
                <w:szCs w:val="20"/>
              </w:rPr>
              <w:t>unrestricted benefit</w:t>
            </w:r>
            <w:r>
              <w:rPr>
                <w:rFonts w:ascii="Arial Narrow" w:eastAsia="Calibri" w:hAnsi="Arial Narrow" w:cs="Calibri"/>
                <w:sz w:val="20"/>
                <w:szCs w:val="20"/>
              </w:rPr>
              <w:t xml:space="preserve"> </w:t>
            </w:r>
          </w:p>
        </w:tc>
      </w:tr>
    </w:tbl>
    <w:p w14:paraId="30298158" w14:textId="77777777" w:rsidR="008625C6" w:rsidRDefault="008625C6" w:rsidP="008625C6">
      <w:pPr>
        <w:rPr>
          <w:rFonts w:cs="Calibri"/>
          <w:b/>
        </w:rPr>
      </w:pPr>
    </w:p>
    <w:p w14:paraId="4353D965" w14:textId="77777777" w:rsidR="008625C6" w:rsidRPr="00C771F8" w:rsidRDefault="008625C6" w:rsidP="008625C6">
      <w:pPr>
        <w:rPr>
          <w:rFonts w:cs="Calibri"/>
          <w:b/>
        </w:rPr>
      </w:pPr>
      <w:r>
        <w:rPr>
          <w:rFonts w:cs="Calibri"/>
          <w:b/>
        </w:rPr>
        <w:t>6</w:t>
      </w:r>
      <w:r w:rsidRPr="0011181B">
        <w:rPr>
          <w:rFonts w:cs="Calibri"/>
          <w:b/>
        </w:rPr>
        <w:t>0-day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60 day listing "/>
      </w:tblPr>
      <w:tblGrid>
        <w:gridCol w:w="1270"/>
        <w:gridCol w:w="2669"/>
        <w:gridCol w:w="812"/>
        <w:gridCol w:w="812"/>
        <w:gridCol w:w="812"/>
        <w:gridCol w:w="812"/>
        <w:gridCol w:w="1830"/>
      </w:tblGrid>
      <w:tr w:rsidR="008625C6" w:rsidRPr="00357CA5" w14:paraId="3C3832EE" w14:textId="77777777" w:rsidTr="00A6567C">
        <w:trPr>
          <w:cantSplit/>
          <w:trHeight w:val="20"/>
        </w:trPr>
        <w:tc>
          <w:tcPr>
            <w:tcW w:w="2185" w:type="pct"/>
            <w:gridSpan w:val="2"/>
            <w:vAlign w:val="center"/>
          </w:tcPr>
          <w:p w14:paraId="02C7DC06" w14:textId="77777777" w:rsidR="008625C6" w:rsidRPr="00357CA5" w:rsidRDefault="008625C6">
            <w:pPr>
              <w:keepLines/>
              <w:rPr>
                <w:rFonts w:ascii="Arial Narrow" w:hAnsi="Arial Narrow" w:cs="Calibri"/>
                <w:b/>
                <w:bCs/>
                <w:sz w:val="20"/>
                <w:szCs w:val="20"/>
              </w:rPr>
            </w:pPr>
            <w:r w:rsidRPr="00357CA5">
              <w:rPr>
                <w:rFonts w:ascii="Arial Narrow" w:hAnsi="Arial Narrow" w:cs="Calibri"/>
                <w:b/>
                <w:bCs/>
                <w:sz w:val="20"/>
                <w:szCs w:val="20"/>
              </w:rPr>
              <w:t>MEDICINAL PRODUCT</w:t>
            </w:r>
          </w:p>
          <w:p w14:paraId="48508DF9" w14:textId="77777777" w:rsidR="008625C6" w:rsidRPr="00357CA5" w:rsidRDefault="008625C6">
            <w:pPr>
              <w:keepLines/>
              <w:rPr>
                <w:rFonts w:ascii="Arial Narrow" w:hAnsi="Arial Narrow" w:cs="Calibri"/>
                <w:b/>
                <w:sz w:val="20"/>
                <w:szCs w:val="20"/>
              </w:rPr>
            </w:pPr>
            <w:r w:rsidRPr="00357CA5">
              <w:rPr>
                <w:rFonts w:ascii="Arial Narrow" w:hAnsi="Arial Narrow" w:cs="Calibri"/>
                <w:b/>
                <w:bCs/>
                <w:sz w:val="20"/>
                <w:szCs w:val="20"/>
              </w:rPr>
              <w:t>medicinal product pack</w:t>
            </w:r>
          </w:p>
        </w:tc>
        <w:tc>
          <w:tcPr>
            <w:tcW w:w="450" w:type="pct"/>
            <w:vAlign w:val="center"/>
          </w:tcPr>
          <w:p w14:paraId="55636159" w14:textId="77777777" w:rsidR="008625C6" w:rsidRPr="00357CA5" w:rsidRDefault="008625C6">
            <w:pPr>
              <w:keepLines/>
              <w:jc w:val="center"/>
              <w:rPr>
                <w:rFonts w:ascii="Arial Narrow" w:hAnsi="Arial Narrow" w:cs="Calibri"/>
                <w:b/>
                <w:sz w:val="20"/>
                <w:szCs w:val="20"/>
              </w:rPr>
            </w:pPr>
            <w:r w:rsidRPr="00357CA5">
              <w:rPr>
                <w:rFonts w:ascii="Arial Narrow" w:hAnsi="Arial Narrow" w:cs="Calibri"/>
                <w:b/>
                <w:sz w:val="20"/>
                <w:szCs w:val="20"/>
              </w:rPr>
              <w:t>PBS item code</w:t>
            </w:r>
          </w:p>
        </w:tc>
        <w:tc>
          <w:tcPr>
            <w:tcW w:w="450" w:type="pct"/>
            <w:vAlign w:val="center"/>
          </w:tcPr>
          <w:p w14:paraId="609A86A5" w14:textId="77777777" w:rsidR="008625C6" w:rsidRPr="00357CA5" w:rsidRDefault="008625C6">
            <w:pPr>
              <w:keepLines/>
              <w:jc w:val="center"/>
              <w:rPr>
                <w:rFonts w:ascii="Arial Narrow" w:hAnsi="Arial Narrow" w:cs="Calibri"/>
                <w:b/>
                <w:sz w:val="20"/>
                <w:szCs w:val="20"/>
              </w:rPr>
            </w:pPr>
            <w:r w:rsidRPr="00357CA5">
              <w:rPr>
                <w:rFonts w:ascii="Arial Narrow" w:hAnsi="Arial Narrow" w:cs="Calibri"/>
                <w:b/>
                <w:sz w:val="20"/>
                <w:szCs w:val="20"/>
              </w:rPr>
              <w:t>Max. qty packs</w:t>
            </w:r>
          </w:p>
        </w:tc>
        <w:tc>
          <w:tcPr>
            <w:tcW w:w="450" w:type="pct"/>
            <w:vAlign w:val="center"/>
          </w:tcPr>
          <w:p w14:paraId="232C56B0" w14:textId="77777777" w:rsidR="008625C6" w:rsidRPr="00916920" w:rsidRDefault="008625C6">
            <w:pPr>
              <w:keepLines/>
              <w:jc w:val="center"/>
              <w:rPr>
                <w:rFonts w:ascii="Arial Narrow" w:hAnsi="Arial Narrow" w:cs="Calibri"/>
                <w:sz w:val="20"/>
                <w:szCs w:val="20"/>
              </w:rPr>
            </w:pPr>
            <w:r w:rsidRPr="00357CA5">
              <w:rPr>
                <w:rFonts w:ascii="Arial Narrow" w:hAnsi="Arial Narrow" w:cs="Calibri"/>
                <w:b/>
                <w:sz w:val="20"/>
                <w:szCs w:val="20"/>
              </w:rPr>
              <w:t>Max. qty units</w:t>
            </w:r>
          </w:p>
        </w:tc>
        <w:tc>
          <w:tcPr>
            <w:tcW w:w="450" w:type="pct"/>
            <w:vAlign w:val="center"/>
          </w:tcPr>
          <w:p w14:paraId="7706633E" w14:textId="77777777" w:rsidR="008625C6" w:rsidRPr="00357CA5" w:rsidRDefault="008625C6">
            <w:pPr>
              <w:keepLines/>
              <w:jc w:val="center"/>
              <w:rPr>
                <w:rFonts w:ascii="Arial Narrow" w:hAnsi="Arial Narrow" w:cs="Calibri"/>
                <w:b/>
                <w:sz w:val="20"/>
                <w:szCs w:val="20"/>
              </w:rPr>
            </w:pPr>
            <w:r w:rsidRPr="00357CA5">
              <w:rPr>
                <w:rFonts w:ascii="Arial Narrow" w:hAnsi="Arial Narrow" w:cs="Calibri"/>
                <w:b/>
                <w:sz w:val="20"/>
                <w:szCs w:val="20"/>
              </w:rPr>
              <w:t>№.of</w:t>
            </w:r>
          </w:p>
          <w:p w14:paraId="4B1A4266" w14:textId="77777777" w:rsidR="008625C6" w:rsidRPr="00357CA5" w:rsidRDefault="008625C6">
            <w:pPr>
              <w:keepLines/>
              <w:jc w:val="center"/>
              <w:rPr>
                <w:rFonts w:ascii="Arial Narrow" w:hAnsi="Arial Narrow" w:cs="Calibri"/>
                <w:b/>
                <w:sz w:val="20"/>
                <w:szCs w:val="20"/>
              </w:rPr>
            </w:pPr>
            <w:proofErr w:type="spellStart"/>
            <w:r w:rsidRPr="00357CA5">
              <w:rPr>
                <w:rFonts w:ascii="Arial Narrow" w:hAnsi="Arial Narrow" w:cs="Calibri"/>
                <w:b/>
                <w:sz w:val="20"/>
                <w:szCs w:val="20"/>
              </w:rPr>
              <w:t>Rpts</w:t>
            </w:r>
            <w:proofErr w:type="spellEnd"/>
          </w:p>
        </w:tc>
        <w:tc>
          <w:tcPr>
            <w:tcW w:w="1015" w:type="pct"/>
            <w:vAlign w:val="center"/>
          </w:tcPr>
          <w:p w14:paraId="49722D14" w14:textId="77777777" w:rsidR="008625C6" w:rsidRPr="00357CA5" w:rsidRDefault="008625C6">
            <w:pPr>
              <w:keepLines/>
              <w:rPr>
                <w:rFonts w:ascii="Arial Narrow" w:hAnsi="Arial Narrow" w:cs="Calibri"/>
                <w:b/>
                <w:sz w:val="20"/>
                <w:szCs w:val="20"/>
                <w:lang w:val="fr-FR"/>
              </w:rPr>
            </w:pPr>
            <w:r w:rsidRPr="00357CA5">
              <w:rPr>
                <w:rFonts w:ascii="Arial Narrow" w:hAnsi="Arial Narrow" w:cs="Calibri"/>
                <w:b/>
                <w:sz w:val="20"/>
                <w:szCs w:val="20"/>
              </w:rPr>
              <w:t>Available brands</w:t>
            </w:r>
          </w:p>
        </w:tc>
      </w:tr>
      <w:tr w:rsidR="008625C6" w:rsidRPr="00E6252B" w14:paraId="411D5FDF" w14:textId="77777777" w:rsidTr="00A6567C">
        <w:trPr>
          <w:cantSplit/>
          <w:trHeight w:val="20"/>
        </w:trPr>
        <w:tc>
          <w:tcPr>
            <w:tcW w:w="5000" w:type="pct"/>
            <w:gridSpan w:val="7"/>
            <w:vAlign w:val="center"/>
          </w:tcPr>
          <w:p w14:paraId="5306A60F" w14:textId="77777777" w:rsidR="008625C6" w:rsidRPr="00E6252B" w:rsidRDefault="008625C6">
            <w:pPr>
              <w:keepLines/>
              <w:rPr>
                <w:rFonts w:ascii="Arial Narrow" w:hAnsi="Arial Narrow" w:cs="Calibri"/>
                <w:sz w:val="20"/>
                <w:szCs w:val="20"/>
              </w:rPr>
            </w:pPr>
            <w:r w:rsidRPr="00F4362E">
              <w:rPr>
                <w:rFonts w:ascii="Arial Narrow" w:hAnsi="Arial Narrow" w:cs="Calibri"/>
                <w:sz w:val="20"/>
                <w:szCs w:val="20"/>
              </w:rPr>
              <w:t>E</w:t>
            </w:r>
            <w:r>
              <w:rPr>
                <w:rFonts w:ascii="Arial Narrow" w:hAnsi="Arial Narrow" w:cs="Calibri"/>
                <w:sz w:val="20"/>
                <w:szCs w:val="20"/>
              </w:rPr>
              <w:t>STRADIOL</w:t>
            </w:r>
            <w:r w:rsidRPr="00F4362E">
              <w:rPr>
                <w:rFonts w:ascii="Arial Narrow" w:hAnsi="Arial Narrow" w:cs="Calibri"/>
                <w:sz w:val="20"/>
                <w:szCs w:val="20"/>
              </w:rPr>
              <w:t xml:space="preserve"> + </w:t>
            </w:r>
            <w:r>
              <w:rPr>
                <w:rFonts w:ascii="Arial Narrow" w:hAnsi="Arial Narrow" w:cs="Calibri"/>
                <w:sz w:val="20"/>
                <w:szCs w:val="20"/>
              </w:rPr>
              <w:t>PROGESTERONE</w:t>
            </w:r>
          </w:p>
        </w:tc>
      </w:tr>
      <w:tr w:rsidR="008625C6" w:rsidRPr="00357CA5" w14:paraId="727E809C" w14:textId="77777777" w:rsidTr="00A6567C">
        <w:trPr>
          <w:cantSplit/>
          <w:trHeight w:val="20"/>
        </w:trPr>
        <w:tc>
          <w:tcPr>
            <w:tcW w:w="2185" w:type="pct"/>
            <w:gridSpan w:val="2"/>
            <w:vAlign w:val="center"/>
          </w:tcPr>
          <w:p w14:paraId="082754CE" w14:textId="77777777" w:rsidR="008625C6" w:rsidRPr="00A20754" w:rsidRDefault="008625C6">
            <w:pPr>
              <w:keepLines/>
              <w:rPr>
                <w:rFonts w:ascii="Arial Narrow" w:hAnsi="Arial Narrow" w:cs="Calibri"/>
                <w:sz w:val="20"/>
                <w:szCs w:val="20"/>
                <w:lang w:val="it-IT"/>
              </w:rPr>
            </w:pPr>
            <w:r w:rsidRPr="00A20754">
              <w:rPr>
                <w:rFonts w:ascii="Arial Narrow" w:hAnsi="Arial Narrow" w:cs="Calibri"/>
                <w:sz w:val="20"/>
                <w:szCs w:val="20"/>
                <w:lang w:val="it-IT"/>
              </w:rPr>
              <w:t>estradiol 1 mg + progesterone 100 mg capsule, 28</w:t>
            </w:r>
          </w:p>
        </w:tc>
        <w:tc>
          <w:tcPr>
            <w:tcW w:w="450" w:type="pct"/>
            <w:vAlign w:val="center"/>
          </w:tcPr>
          <w:p w14:paraId="67ED0BF8" w14:textId="77777777" w:rsidR="008625C6" w:rsidRDefault="008625C6">
            <w:pPr>
              <w:keepLines/>
              <w:jc w:val="center"/>
              <w:rPr>
                <w:rFonts w:ascii="Arial Narrow" w:hAnsi="Arial Narrow" w:cs="Calibri"/>
                <w:sz w:val="20"/>
                <w:szCs w:val="20"/>
              </w:rPr>
            </w:pPr>
            <w:r w:rsidRPr="00357CA5">
              <w:rPr>
                <w:rFonts w:ascii="Arial Narrow" w:hAnsi="Arial Narrow" w:cs="Calibri"/>
                <w:sz w:val="20"/>
                <w:szCs w:val="20"/>
              </w:rPr>
              <w:t>NEW</w:t>
            </w:r>
          </w:p>
          <w:p w14:paraId="0BF11E96" w14:textId="77777777" w:rsidR="008625C6" w:rsidRPr="00357CA5" w:rsidRDefault="008625C6">
            <w:pPr>
              <w:keepLines/>
              <w:jc w:val="center"/>
              <w:rPr>
                <w:rFonts w:ascii="Arial Narrow" w:hAnsi="Arial Narrow" w:cs="Calibri"/>
                <w:sz w:val="20"/>
                <w:szCs w:val="20"/>
              </w:rPr>
            </w:pPr>
            <w:r w:rsidRPr="003B3E19">
              <w:rPr>
                <w:rFonts w:ascii="Arial Narrow" w:hAnsi="Arial Narrow" w:cs="Calibri"/>
                <w:sz w:val="14"/>
                <w:szCs w:val="14"/>
              </w:rPr>
              <w:t>MP NP</w:t>
            </w:r>
          </w:p>
        </w:tc>
        <w:tc>
          <w:tcPr>
            <w:tcW w:w="450" w:type="pct"/>
            <w:vAlign w:val="center"/>
          </w:tcPr>
          <w:p w14:paraId="3C2F0CC6" w14:textId="77777777" w:rsidR="008625C6" w:rsidRPr="00357CA5" w:rsidRDefault="008625C6">
            <w:pPr>
              <w:keepLines/>
              <w:jc w:val="center"/>
              <w:rPr>
                <w:rFonts w:ascii="Arial Narrow" w:hAnsi="Arial Narrow" w:cs="Calibri"/>
                <w:sz w:val="20"/>
                <w:szCs w:val="20"/>
              </w:rPr>
            </w:pPr>
            <w:r>
              <w:rPr>
                <w:rFonts w:ascii="Arial Narrow" w:hAnsi="Arial Narrow" w:cs="Calibri"/>
                <w:sz w:val="20"/>
                <w:szCs w:val="20"/>
              </w:rPr>
              <w:t>2</w:t>
            </w:r>
          </w:p>
        </w:tc>
        <w:tc>
          <w:tcPr>
            <w:tcW w:w="450" w:type="pct"/>
            <w:vAlign w:val="center"/>
          </w:tcPr>
          <w:p w14:paraId="7409EF2E" w14:textId="77777777" w:rsidR="008625C6" w:rsidRPr="00357CA5" w:rsidRDefault="008625C6">
            <w:pPr>
              <w:keepLines/>
              <w:jc w:val="center"/>
              <w:rPr>
                <w:rFonts w:ascii="Arial Narrow" w:hAnsi="Arial Narrow" w:cs="Calibri"/>
                <w:sz w:val="20"/>
                <w:szCs w:val="20"/>
              </w:rPr>
            </w:pPr>
            <w:r>
              <w:rPr>
                <w:rFonts w:ascii="Arial Narrow" w:hAnsi="Arial Narrow" w:cs="Calibri"/>
                <w:sz w:val="20"/>
                <w:szCs w:val="20"/>
              </w:rPr>
              <w:t>56</w:t>
            </w:r>
          </w:p>
        </w:tc>
        <w:tc>
          <w:tcPr>
            <w:tcW w:w="450" w:type="pct"/>
            <w:vAlign w:val="center"/>
          </w:tcPr>
          <w:p w14:paraId="3C299D17" w14:textId="77777777" w:rsidR="008625C6" w:rsidRPr="00357CA5" w:rsidRDefault="008625C6">
            <w:pPr>
              <w:keepLines/>
              <w:jc w:val="center"/>
              <w:rPr>
                <w:rFonts w:ascii="Arial Narrow" w:hAnsi="Arial Narrow" w:cs="Calibri"/>
                <w:sz w:val="20"/>
                <w:szCs w:val="20"/>
              </w:rPr>
            </w:pPr>
            <w:r>
              <w:rPr>
                <w:rFonts w:ascii="Arial Narrow" w:hAnsi="Arial Narrow" w:cs="Calibri"/>
                <w:sz w:val="20"/>
                <w:szCs w:val="20"/>
              </w:rPr>
              <w:t>5</w:t>
            </w:r>
          </w:p>
        </w:tc>
        <w:tc>
          <w:tcPr>
            <w:tcW w:w="1015" w:type="pct"/>
            <w:vAlign w:val="center"/>
          </w:tcPr>
          <w:p w14:paraId="237C4C0E" w14:textId="77777777" w:rsidR="008625C6" w:rsidRPr="00357CA5" w:rsidRDefault="008625C6">
            <w:pPr>
              <w:keepLines/>
              <w:rPr>
                <w:rFonts w:ascii="Arial Narrow" w:hAnsi="Arial Narrow" w:cs="Calibri"/>
                <w:sz w:val="20"/>
                <w:szCs w:val="20"/>
              </w:rPr>
            </w:pPr>
            <w:r w:rsidRPr="002266ED">
              <w:rPr>
                <w:rFonts w:ascii="Arial Narrow" w:hAnsi="Arial Narrow" w:cs="Calibri"/>
                <w:sz w:val="20"/>
                <w:szCs w:val="20"/>
              </w:rPr>
              <w:t xml:space="preserve">Bijuva </w:t>
            </w:r>
          </w:p>
        </w:tc>
      </w:tr>
      <w:tr w:rsidR="008625C6" w:rsidRPr="00357CA5" w14:paraId="2801BCEA" w14:textId="77777777" w:rsidTr="00A6567C">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7A18E478" w14:textId="77777777" w:rsidR="008625C6" w:rsidRPr="00357CA5" w:rsidRDefault="008625C6">
            <w:pPr>
              <w:rPr>
                <w:rFonts w:ascii="Arial Narrow" w:hAnsi="Arial Narrow" w:cs="Calibri"/>
                <w:sz w:val="20"/>
                <w:szCs w:val="20"/>
              </w:rPr>
            </w:pPr>
          </w:p>
        </w:tc>
      </w:tr>
      <w:tr w:rsidR="008625C6" w:rsidRPr="00357CA5" w14:paraId="00E25777" w14:textId="77777777" w:rsidTr="00A6567C">
        <w:tblPrEx>
          <w:tblCellMar>
            <w:top w:w="15" w:type="dxa"/>
            <w:bottom w:w="15" w:type="dxa"/>
          </w:tblCellMar>
          <w:tblLook w:val="04A0" w:firstRow="1" w:lastRow="0" w:firstColumn="1" w:lastColumn="0" w:noHBand="0" w:noVBand="1"/>
        </w:tblPrEx>
        <w:trPr>
          <w:trHeight w:val="20"/>
        </w:trPr>
        <w:tc>
          <w:tcPr>
            <w:tcW w:w="705" w:type="pct"/>
            <w:vMerge w:val="restart"/>
            <w:tcBorders>
              <w:top w:val="single" w:sz="4" w:space="0" w:color="auto"/>
              <w:left w:val="single" w:sz="4" w:space="0" w:color="auto"/>
              <w:right w:val="single" w:sz="4" w:space="0" w:color="auto"/>
            </w:tcBorders>
          </w:tcPr>
          <w:p w14:paraId="65B93772" w14:textId="77777777" w:rsidR="008625C6" w:rsidRPr="00357CA5" w:rsidRDefault="008625C6">
            <w:pPr>
              <w:jc w:val="center"/>
              <w:rPr>
                <w:rFonts w:ascii="Arial Narrow" w:hAnsi="Arial Narrow" w:cs="Calibri"/>
                <w:b/>
                <w:sz w:val="20"/>
                <w:szCs w:val="20"/>
              </w:rPr>
            </w:pPr>
            <w:r w:rsidRPr="00357CA5">
              <w:rPr>
                <w:rFonts w:ascii="Arial Narrow" w:hAnsi="Arial Narrow" w:cs="Calibri"/>
                <w:b/>
                <w:sz w:val="20"/>
                <w:szCs w:val="20"/>
              </w:rPr>
              <w:t>Concept ID</w:t>
            </w:r>
          </w:p>
          <w:p w14:paraId="0D90F379" w14:textId="77777777" w:rsidR="008625C6" w:rsidRPr="00357CA5" w:rsidRDefault="008625C6">
            <w:pPr>
              <w:jc w:val="center"/>
              <w:rPr>
                <w:rFonts w:ascii="Arial Narrow" w:hAnsi="Arial Narrow" w:cs="Calibri"/>
                <w:b/>
                <w:sz w:val="20"/>
                <w:szCs w:val="20"/>
              </w:rPr>
            </w:pPr>
            <w:r w:rsidRPr="00357CA5">
              <w:rPr>
                <w:rFonts w:ascii="Arial Narrow" w:hAnsi="Arial Narrow"/>
                <w:sz w:val="20"/>
                <w:szCs w:val="20"/>
              </w:rPr>
              <w:t>(for internal Dept. use)</w:t>
            </w: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0CD92162" w14:textId="77777777" w:rsidR="008625C6" w:rsidRPr="00357CA5" w:rsidRDefault="008625C6">
            <w:pPr>
              <w:keepLines/>
              <w:rPr>
                <w:rFonts w:ascii="Arial Narrow" w:hAnsi="Arial Narrow" w:cs="Calibri"/>
                <w:sz w:val="20"/>
                <w:szCs w:val="20"/>
              </w:rPr>
            </w:pPr>
            <w:r w:rsidRPr="00357CA5">
              <w:rPr>
                <w:rFonts w:ascii="Arial Narrow" w:hAnsi="Arial Narrow" w:cs="Calibri"/>
                <w:b/>
                <w:sz w:val="20"/>
                <w:szCs w:val="20"/>
              </w:rPr>
              <w:t>Category / Program:</w:t>
            </w:r>
            <w:r w:rsidRPr="00357CA5">
              <w:rPr>
                <w:rFonts w:ascii="Arial Narrow" w:hAnsi="Arial Narrow" w:cs="Calibri"/>
                <w:sz w:val="20"/>
                <w:szCs w:val="20"/>
              </w:rPr>
              <w:t xml:space="preserve"> </w:t>
            </w:r>
            <w:r w:rsidRPr="00357CA5">
              <w:rPr>
                <w:rFonts w:ascii="Arial Narrow" w:eastAsia="Calibri" w:hAnsi="Arial Narrow" w:cs="Calibri"/>
                <w:sz w:val="20"/>
                <w:szCs w:val="20"/>
              </w:rPr>
              <w:fldChar w:fldCharType="begin">
                <w:ffData>
                  <w:name w:val="Check1"/>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sidRPr="00357CA5">
              <w:rPr>
                <w:rFonts w:ascii="Arial Narrow" w:eastAsia="Calibri" w:hAnsi="Arial Narrow" w:cs="Calibri"/>
                <w:sz w:val="20"/>
                <w:szCs w:val="20"/>
              </w:rPr>
              <w:t xml:space="preserve"> GENERAL - General Schedule (Code GE) </w:t>
            </w:r>
          </w:p>
        </w:tc>
      </w:tr>
      <w:tr w:rsidR="008625C6" w:rsidRPr="00357CA5" w14:paraId="5ADCC02B" w14:textId="77777777" w:rsidTr="00A6567C">
        <w:tblPrEx>
          <w:tblCellMar>
            <w:top w:w="15" w:type="dxa"/>
            <w:bottom w:w="15" w:type="dxa"/>
          </w:tblCellMar>
          <w:tblLook w:val="04A0" w:firstRow="1" w:lastRow="0" w:firstColumn="1" w:lastColumn="0" w:noHBand="0" w:noVBand="1"/>
        </w:tblPrEx>
        <w:trPr>
          <w:trHeight w:val="20"/>
        </w:trPr>
        <w:tc>
          <w:tcPr>
            <w:tcW w:w="705" w:type="pct"/>
            <w:vMerge/>
          </w:tcPr>
          <w:p w14:paraId="06421FD0" w14:textId="77777777" w:rsidR="008625C6" w:rsidRPr="00357CA5" w:rsidRDefault="008625C6">
            <w:pPr>
              <w:jc w:val="center"/>
              <w:rPr>
                <w:rFonts w:ascii="Arial Narrow" w:hAnsi="Arial Narrow" w:cs="Calibri"/>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1CB2F27" w14:textId="77777777" w:rsidR="008625C6" w:rsidRPr="00357CA5" w:rsidRDefault="008625C6">
            <w:pPr>
              <w:keepLines/>
              <w:rPr>
                <w:rFonts w:ascii="Arial Narrow" w:hAnsi="Arial Narrow" w:cs="Calibri"/>
                <w:b/>
                <w:bCs/>
                <w:sz w:val="20"/>
                <w:szCs w:val="20"/>
              </w:rPr>
            </w:pPr>
            <w:r w:rsidRPr="15AA05B7">
              <w:rPr>
                <w:rFonts w:ascii="Arial Narrow" w:hAnsi="Arial Narrow" w:cs="Calibri"/>
                <w:b/>
                <w:bCs/>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 xml:space="preserve">Medical Practitioners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Nurse practitioners</w:t>
            </w:r>
          </w:p>
        </w:tc>
      </w:tr>
      <w:tr w:rsidR="008625C6" w:rsidRPr="00357CA5" w14:paraId="7D6F06C1" w14:textId="77777777" w:rsidTr="00A6567C">
        <w:tblPrEx>
          <w:tblCellMar>
            <w:top w:w="15" w:type="dxa"/>
            <w:bottom w:w="15" w:type="dxa"/>
          </w:tblCellMar>
        </w:tblPrEx>
        <w:trPr>
          <w:trHeight w:val="220"/>
        </w:trPr>
        <w:tc>
          <w:tcPr>
            <w:tcW w:w="705" w:type="pct"/>
            <w:vMerge/>
          </w:tcPr>
          <w:p w14:paraId="61C519BB" w14:textId="77777777" w:rsidR="008625C6" w:rsidRPr="00357CA5" w:rsidRDefault="008625C6">
            <w:pPr>
              <w:jc w:val="center"/>
              <w:rPr>
                <w:rFonts w:ascii="Arial Narrow" w:hAnsi="Arial Narrow" w:cs="Calibri"/>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17916DD" w14:textId="77777777" w:rsidR="008625C6" w:rsidRPr="00357CA5" w:rsidRDefault="008625C6">
            <w:pPr>
              <w:keepLines/>
              <w:rPr>
                <w:rFonts w:ascii="Arial Narrow" w:hAnsi="Arial Narrow" w:cs="Calibri"/>
                <w:sz w:val="20"/>
                <w:szCs w:val="20"/>
              </w:rPr>
            </w:pPr>
            <w:r w:rsidRPr="15AA05B7">
              <w:rPr>
                <w:rFonts w:ascii="Arial Narrow" w:hAnsi="Arial Narrow" w:cs="Calibri"/>
                <w:b/>
                <w:bCs/>
                <w:sz w:val="20"/>
                <w:szCs w:val="20"/>
              </w:rPr>
              <w:t xml:space="preserve">Restriction type: </w:t>
            </w:r>
            <w:r w:rsidRPr="00357CA5">
              <w:rPr>
                <w:rFonts w:ascii="Arial Narrow" w:eastAsia="Calibri" w:hAnsi="Arial Narrow" w:cs="Calibri"/>
                <w:sz w:val="20"/>
                <w:szCs w:val="20"/>
              </w:rPr>
              <w:fldChar w:fldCharType="begin">
                <w:ffData>
                  <w:name w:val=""/>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Pr>
                <w:rFonts w:ascii="Arial Narrow" w:eastAsia="Calibri" w:hAnsi="Arial Narrow" w:cs="Calibri"/>
                <w:sz w:val="20"/>
                <w:szCs w:val="20"/>
              </w:rPr>
              <w:t xml:space="preserve"> </w:t>
            </w:r>
            <w:r w:rsidRPr="001F3FC5">
              <w:rPr>
                <w:rFonts w:ascii="Arial Narrow" w:eastAsia="Calibri" w:hAnsi="Arial Narrow" w:cs="Calibri"/>
                <w:sz w:val="20"/>
                <w:szCs w:val="20"/>
              </w:rPr>
              <w:t>Restricted benefit</w:t>
            </w:r>
          </w:p>
        </w:tc>
      </w:tr>
      <w:tr w:rsidR="008625C6" w:rsidRPr="00804BE9" w14:paraId="244DCD54" w14:textId="77777777" w:rsidTr="00A6567C">
        <w:tblPrEx>
          <w:tblCellMar>
            <w:top w:w="15" w:type="dxa"/>
            <w:bottom w:w="15" w:type="dxa"/>
          </w:tblCellMar>
          <w:tblLook w:val="04A0" w:firstRow="1" w:lastRow="0" w:firstColumn="1" w:lastColumn="0" w:noHBand="0" w:noVBand="1"/>
        </w:tblPrEx>
        <w:trPr>
          <w:trHeight w:val="20"/>
        </w:trPr>
        <w:tc>
          <w:tcPr>
            <w:tcW w:w="705" w:type="pct"/>
          </w:tcPr>
          <w:p w14:paraId="299632F6" w14:textId="04116AD6" w:rsidR="008625C6" w:rsidRPr="00162165" w:rsidRDefault="008625C6">
            <w:pPr>
              <w:jc w:val="center"/>
              <w:rPr>
                <w:rFonts w:ascii="Arial Narrow" w:hAnsi="Arial Narrow" w:cs="Calibri"/>
                <w:sz w:val="20"/>
                <w:szCs w:val="20"/>
              </w:rPr>
            </w:pPr>
          </w:p>
        </w:tc>
        <w:tc>
          <w:tcPr>
            <w:tcW w:w="4295" w:type="pct"/>
            <w:gridSpan w:val="6"/>
            <w:tcBorders>
              <w:top w:val="single" w:sz="4" w:space="0" w:color="auto"/>
              <w:left w:val="single" w:sz="4" w:space="0" w:color="auto"/>
              <w:bottom w:val="single" w:sz="4" w:space="0" w:color="auto"/>
              <w:right w:val="single" w:sz="4" w:space="0" w:color="auto"/>
            </w:tcBorders>
          </w:tcPr>
          <w:p w14:paraId="022DD5AC" w14:textId="0896C767" w:rsidR="008625C6" w:rsidRPr="008625C6" w:rsidRDefault="008625C6">
            <w:pPr>
              <w:rPr>
                <w:rFonts w:ascii="Arial Narrow" w:hAnsi="Arial Narrow"/>
                <w:b/>
                <w:bCs/>
                <w:sz w:val="20"/>
                <w:szCs w:val="20"/>
              </w:rPr>
            </w:pPr>
            <w:r w:rsidRPr="008625C6">
              <w:rPr>
                <w:rFonts w:ascii="Arial Narrow" w:hAnsi="Arial Narrow"/>
                <w:b/>
                <w:bCs/>
                <w:sz w:val="20"/>
                <w:szCs w:val="20"/>
              </w:rPr>
              <w:t>Indication:</w:t>
            </w:r>
          </w:p>
          <w:p w14:paraId="336AD3D8" w14:textId="77777777" w:rsidR="008625C6" w:rsidRPr="00D4405C" w:rsidRDefault="008625C6">
            <w:pPr>
              <w:rPr>
                <w:rFonts w:ascii="Arial Narrow" w:hAnsi="Arial Narrow"/>
                <w:b/>
                <w:bCs/>
                <w:strike/>
                <w:sz w:val="20"/>
                <w:szCs w:val="20"/>
              </w:rPr>
            </w:pPr>
            <w:r w:rsidRPr="000344A0">
              <w:rPr>
                <w:rFonts w:ascii="Arial Narrow" w:hAnsi="Arial Narrow"/>
                <w:sz w:val="20"/>
                <w:szCs w:val="20"/>
              </w:rPr>
              <w:t>The condition must be stable for the prescriber to consider the listed maximum quantity of this medicine suitable for this patient</w:t>
            </w:r>
            <w:r w:rsidRPr="00D4405C">
              <w:rPr>
                <w:rFonts w:ascii="Arial Narrow" w:hAnsi="Arial Narrow"/>
                <w:b/>
                <w:bCs/>
                <w:sz w:val="20"/>
                <w:szCs w:val="20"/>
              </w:rPr>
              <w:t>.</w:t>
            </w:r>
          </w:p>
        </w:tc>
      </w:tr>
    </w:tbl>
    <w:p w14:paraId="49E29860" w14:textId="77777777" w:rsidR="008D5DD2" w:rsidRPr="00525B39" w:rsidRDefault="008D5DD2" w:rsidP="005C0E25">
      <w:pPr>
        <w:widowControl w:val="0"/>
        <w:ind w:firstLine="720"/>
        <w:contextualSpacing/>
        <w:rPr>
          <w:rFonts w:asciiTheme="minorHAnsi" w:hAnsiTheme="minorHAnsi"/>
          <w:bCs/>
          <w:snapToGrid w:val="0"/>
        </w:rPr>
      </w:pPr>
    </w:p>
    <w:p w14:paraId="716A41BE" w14:textId="616796DC" w:rsidR="00F962F8" w:rsidRDefault="005C0E25" w:rsidP="0036066F">
      <w:pPr>
        <w:spacing w:before="120"/>
        <w:rPr>
          <w:rFonts w:asciiTheme="minorHAnsi" w:hAnsiTheme="minorHAnsi"/>
          <w:b/>
          <w:i/>
          <w:iCs/>
          <w:snapToGrid w:val="0"/>
          <w:lang w:val="en-GB"/>
        </w:rPr>
      </w:pPr>
      <w:bookmarkStart w:id="78" w:name="_Hlk214353222"/>
      <w:r w:rsidRPr="00907671">
        <w:rPr>
          <w:rFonts w:asciiTheme="minorHAnsi" w:hAnsiTheme="minorHAnsi"/>
          <w:b/>
          <w:i/>
          <w:iCs/>
          <w:snapToGrid w:val="0"/>
          <w:lang w:val="en-GB"/>
        </w:rPr>
        <w:t>These restrictions may be subject to further review. Should there be any changes made to the restriction the sponsor will be informed.</w:t>
      </w:r>
      <w:bookmarkStart w:id="79" w:name="_Toc202884188"/>
      <w:bookmarkEnd w:id="78"/>
      <w:bookmarkEnd w:id="79"/>
    </w:p>
    <w:p w14:paraId="50AC9DAA" w14:textId="77777777" w:rsidR="006C128D" w:rsidRPr="006C128D" w:rsidRDefault="006C128D" w:rsidP="006C128D">
      <w:pPr>
        <w:keepNext/>
        <w:spacing w:before="240" w:after="120"/>
        <w:ind w:left="720" w:hanging="720"/>
        <w:jc w:val="left"/>
        <w:outlineLvl w:val="0"/>
        <w:rPr>
          <w:rFonts w:asciiTheme="minorHAnsi" w:hAnsiTheme="minorHAnsi"/>
          <w:b/>
          <w:bCs/>
          <w:snapToGrid w:val="0"/>
          <w:sz w:val="32"/>
          <w:szCs w:val="32"/>
          <w:lang w:val="en-GB"/>
        </w:rPr>
      </w:pPr>
      <w:bookmarkStart w:id="80" w:name="_Hlk218759984"/>
      <w:r w:rsidRPr="006C128D">
        <w:rPr>
          <w:rFonts w:asciiTheme="minorHAnsi" w:hAnsiTheme="minorHAnsi"/>
          <w:b/>
          <w:snapToGrid w:val="0"/>
          <w:sz w:val="32"/>
          <w:szCs w:val="32"/>
        </w:rPr>
        <w:t>9</w:t>
      </w:r>
      <w:r w:rsidRPr="006C128D">
        <w:rPr>
          <w:rFonts w:asciiTheme="minorHAnsi" w:hAnsiTheme="minorHAnsi"/>
          <w:b/>
          <w:snapToGrid w:val="0"/>
          <w:sz w:val="32"/>
          <w:szCs w:val="32"/>
        </w:rPr>
        <w:tab/>
        <w:t>Context for Decision</w:t>
      </w:r>
    </w:p>
    <w:p w14:paraId="0929576E" w14:textId="77777777" w:rsidR="006C128D" w:rsidRPr="006C128D" w:rsidRDefault="006C128D" w:rsidP="006C128D">
      <w:pPr>
        <w:spacing w:after="120"/>
        <w:ind w:left="720"/>
        <w:rPr>
          <w:rFonts w:asciiTheme="minorHAnsi" w:hAnsiTheme="minorHAnsi"/>
          <w:bCs/>
          <w:lang w:val="en-GB"/>
        </w:rPr>
      </w:pPr>
      <w:r w:rsidRPr="006C128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BFDD613" w14:textId="77777777" w:rsidR="007E0A0C" w:rsidRPr="007E0A0C" w:rsidRDefault="007E0A0C" w:rsidP="007E0A0C">
      <w:pPr>
        <w:keepNext/>
        <w:spacing w:before="240" w:after="120"/>
        <w:ind w:left="720" w:hanging="720"/>
        <w:jc w:val="left"/>
        <w:outlineLvl w:val="0"/>
        <w:rPr>
          <w:rFonts w:asciiTheme="minorHAnsi" w:hAnsiTheme="minorHAnsi"/>
          <w:b/>
          <w:snapToGrid w:val="0"/>
          <w:sz w:val="32"/>
          <w:szCs w:val="32"/>
        </w:rPr>
      </w:pPr>
      <w:bookmarkStart w:id="81" w:name="_Hlk218771395"/>
      <w:bookmarkEnd w:id="80"/>
      <w:r w:rsidRPr="007E0A0C">
        <w:rPr>
          <w:rFonts w:asciiTheme="minorHAnsi" w:hAnsiTheme="minorHAnsi"/>
          <w:b/>
          <w:snapToGrid w:val="0"/>
          <w:sz w:val="32"/>
          <w:szCs w:val="32"/>
        </w:rPr>
        <w:t>10</w:t>
      </w:r>
      <w:r w:rsidRPr="007E0A0C">
        <w:rPr>
          <w:rFonts w:asciiTheme="minorHAnsi" w:hAnsiTheme="minorHAnsi"/>
          <w:b/>
          <w:snapToGrid w:val="0"/>
          <w:sz w:val="32"/>
          <w:szCs w:val="32"/>
        </w:rPr>
        <w:tab/>
        <w:t>Sponsor’s Comment</w:t>
      </w:r>
    </w:p>
    <w:bookmarkEnd w:id="81"/>
    <w:p w14:paraId="0A5CAFE5" w14:textId="77777777" w:rsidR="00BF56B2" w:rsidRPr="00C15108" w:rsidRDefault="00BF56B2" w:rsidP="00BF56B2">
      <w:pPr>
        <w:spacing w:before="120"/>
        <w:ind w:left="720"/>
        <w:rPr>
          <w:rFonts w:asciiTheme="minorHAnsi" w:eastAsiaTheme="minorHAnsi" w:hAnsiTheme="minorHAnsi"/>
          <w:bCs/>
          <w:lang w:eastAsia="en-US"/>
        </w:rPr>
      </w:pPr>
      <w:r w:rsidRPr="00C15108">
        <w:rPr>
          <w:rFonts w:asciiTheme="minorHAnsi" w:eastAsiaTheme="minorHAnsi" w:hAnsiTheme="minorHAnsi"/>
          <w:bCs/>
          <w:lang w:eastAsia="en-US"/>
        </w:rPr>
        <w:t>The sponsor had no comment.</w:t>
      </w:r>
    </w:p>
    <w:p w14:paraId="172CC8F6" w14:textId="77777777" w:rsidR="00BF56B2" w:rsidRPr="0036066F" w:rsidRDefault="00BF56B2" w:rsidP="007E0A0C">
      <w:pPr>
        <w:spacing w:before="120"/>
        <w:ind w:left="720"/>
        <w:rPr>
          <w:rFonts w:asciiTheme="minorHAnsi" w:hAnsiTheme="minorHAnsi"/>
          <w:b/>
          <w:i/>
          <w:iCs/>
          <w:snapToGrid w:val="0"/>
          <w:lang w:val="en-GB"/>
        </w:rPr>
      </w:pPr>
    </w:p>
    <w:sectPr w:rsidR="00BF56B2" w:rsidRPr="0036066F" w:rsidSect="006D28DF">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A6CB" w14:textId="77777777" w:rsidR="00EC1090" w:rsidRDefault="00EC1090" w:rsidP="00124A51">
      <w:r>
        <w:separator/>
      </w:r>
    </w:p>
    <w:p w14:paraId="257B99E2" w14:textId="77777777" w:rsidR="00EC1090" w:rsidRDefault="00EC1090"/>
  </w:endnote>
  <w:endnote w:type="continuationSeparator" w:id="0">
    <w:p w14:paraId="39D5EA77" w14:textId="77777777" w:rsidR="00EC1090" w:rsidRDefault="00EC1090" w:rsidP="00124A51">
      <w:r>
        <w:continuationSeparator/>
      </w:r>
    </w:p>
    <w:p w14:paraId="5E909E90" w14:textId="77777777" w:rsidR="00EC1090" w:rsidRDefault="00EC1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7E84" w14:textId="4C1307CD" w:rsidR="005C76C1" w:rsidRDefault="005C76C1">
    <w:pPr>
      <w:pStyle w:val="Footer"/>
    </w:pPr>
    <w:r>
      <w:rPr>
        <w:noProof/>
      </w:rPr>
      <mc:AlternateContent>
        <mc:Choice Requires="wps">
          <w:drawing>
            <wp:anchor distT="0" distB="0" distL="0" distR="0" simplePos="0" relativeHeight="251658244" behindDoc="0" locked="0" layoutInCell="1" allowOverlap="1" wp14:anchorId="111F299A" wp14:editId="098B946E">
              <wp:simplePos x="635" y="635"/>
              <wp:positionH relativeFrom="page">
                <wp:align>center</wp:align>
              </wp:positionH>
              <wp:positionV relativeFrom="page">
                <wp:align>bottom</wp:align>
              </wp:positionV>
              <wp:extent cx="622300" cy="376555"/>
              <wp:effectExtent l="0" t="0" r="6350" b="0"/>
              <wp:wrapNone/>
              <wp:docPr id="1725031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82AF7F" w14:textId="30934566"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F299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082AF7F" w14:textId="30934566"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5BDB" w14:textId="77777777" w:rsidR="00480B93" w:rsidRDefault="005C76C1">
    <w:pPr>
      <w:pStyle w:val="Footer"/>
      <w:jc w:val="center"/>
    </w:pPr>
    <w:r>
      <w:rPr>
        <w:noProof/>
      </w:rPr>
      <mc:AlternateContent>
        <mc:Choice Requires="wps">
          <w:drawing>
            <wp:anchor distT="0" distB="0" distL="0" distR="0" simplePos="0" relativeHeight="251658245" behindDoc="0" locked="0" layoutInCell="1" allowOverlap="1" wp14:anchorId="22BD1C4A" wp14:editId="2B4CDAF3">
              <wp:simplePos x="635" y="635"/>
              <wp:positionH relativeFrom="page">
                <wp:align>center</wp:align>
              </wp:positionH>
              <wp:positionV relativeFrom="page">
                <wp:align>bottom</wp:align>
              </wp:positionV>
              <wp:extent cx="622300" cy="376555"/>
              <wp:effectExtent l="0" t="0" r="6350" b="0"/>
              <wp:wrapNone/>
              <wp:docPr id="9321151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F1B067" w14:textId="0E09641F"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D1C4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7F1B067" w14:textId="0E09641F"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v:textbox>
              <w10:wrap anchorx="page" anchory="page"/>
            </v:shape>
          </w:pict>
        </mc:Fallback>
      </mc:AlternateContent>
    </w:r>
  </w:p>
  <w:sdt>
    <w:sdtPr>
      <w:id w:val="199743824"/>
      <w:docPartObj>
        <w:docPartGallery w:val="Page Numbers (Bottom of Page)"/>
        <w:docPartUnique/>
      </w:docPartObj>
    </w:sdtPr>
    <w:sdtEndPr>
      <w:rPr>
        <w:b/>
        <w:bCs/>
        <w:noProof/>
      </w:rPr>
    </w:sdtEndPr>
    <w:sdtContent>
      <w:p w14:paraId="3F925014" w14:textId="4912A0DF" w:rsidR="00D56078" w:rsidRDefault="00D56078">
        <w:pPr>
          <w:pStyle w:val="Footer"/>
          <w:jc w:val="center"/>
        </w:pPr>
      </w:p>
      <w:p w14:paraId="135E7BBC" w14:textId="03993D35" w:rsidR="004B591C" w:rsidRPr="00D56078" w:rsidRDefault="00D56078" w:rsidP="00D56078">
        <w:pPr>
          <w:pStyle w:val="Footer"/>
          <w:jc w:val="center"/>
          <w:rPr>
            <w:b/>
            <w:bCs/>
          </w:rPr>
        </w:pPr>
        <w:r w:rsidRPr="00D56078">
          <w:rPr>
            <w:b/>
            <w:bCs/>
          </w:rPr>
          <w:fldChar w:fldCharType="begin"/>
        </w:r>
        <w:r w:rsidRPr="00D56078">
          <w:rPr>
            <w:b/>
            <w:bCs/>
          </w:rPr>
          <w:instrText xml:space="preserve"> PAGE   \* MERGEFORMAT </w:instrText>
        </w:r>
        <w:r w:rsidRPr="00D56078">
          <w:rPr>
            <w:b/>
            <w:bCs/>
          </w:rPr>
          <w:fldChar w:fldCharType="separate"/>
        </w:r>
        <w:r w:rsidRPr="00D56078">
          <w:rPr>
            <w:b/>
            <w:bCs/>
            <w:noProof/>
          </w:rPr>
          <w:t>2</w:t>
        </w:r>
        <w:r w:rsidRPr="00D5607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9C78" w14:textId="14A63366" w:rsidR="005C76C1" w:rsidRDefault="005C76C1">
    <w:pPr>
      <w:pStyle w:val="Footer"/>
    </w:pPr>
    <w:r>
      <w:rPr>
        <w:noProof/>
      </w:rPr>
      <mc:AlternateContent>
        <mc:Choice Requires="wps">
          <w:drawing>
            <wp:anchor distT="0" distB="0" distL="0" distR="0" simplePos="0" relativeHeight="251658243" behindDoc="0" locked="0" layoutInCell="1" allowOverlap="1" wp14:anchorId="470E816F" wp14:editId="17F9DC5B">
              <wp:simplePos x="635" y="635"/>
              <wp:positionH relativeFrom="page">
                <wp:align>center</wp:align>
              </wp:positionH>
              <wp:positionV relativeFrom="page">
                <wp:align>bottom</wp:align>
              </wp:positionV>
              <wp:extent cx="622300" cy="376555"/>
              <wp:effectExtent l="0" t="0" r="6350" b="0"/>
              <wp:wrapNone/>
              <wp:docPr id="16560512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F74793" w14:textId="3581DA66"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E816F"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CF74793" w14:textId="3581DA66"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804F" w14:textId="77777777" w:rsidR="00EC1090" w:rsidRDefault="00EC1090" w:rsidP="00124A51">
      <w:r>
        <w:separator/>
      </w:r>
    </w:p>
    <w:p w14:paraId="11DB0BAD" w14:textId="77777777" w:rsidR="00EC1090" w:rsidRDefault="00EC1090"/>
  </w:footnote>
  <w:footnote w:type="continuationSeparator" w:id="0">
    <w:p w14:paraId="27660905" w14:textId="77777777" w:rsidR="00EC1090" w:rsidRDefault="00EC1090" w:rsidP="00124A51">
      <w:r>
        <w:continuationSeparator/>
      </w:r>
    </w:p>
    <w:p w14:paraId="1074DA8A" w14:textId="77777777" w:rsidR="00EC1090" w:rsidRDefault="00EC1090"/>
  </w:footnote>
  <w:footnote w:id="1">
    <w:p w14:paraId="569E633C" w14:textId="228A4BDB" w:rsidR="004A1685" w:rsidRDefault="004A1685" w:rsidP="004A1685">
      <w:pPr>
        <w:pStyle w:val="FootnoteText"/>
        <w:jc w:val="left"/>
      </w:pPr>
      <w:r>
        <w:rPr>
          <w:rStyle w:val="FootnoteReference"/>
        </w:rPr>
        <w:footnoteRef/>
      </w:r>
      <w:r>
        <w:t xml:space="preserve"> </w:t>
      </w:r>
      <w:r w:rsidRPr="004A1685">
        <w:t>Commonwealth of Australia, (2024), ‘The Senate Community Affairs Reference Committee: Issues related to</w:t>
      </w:r>
      <w:r>
        <w:t xml:space="preserve"> </w:t>
      </w:r>
      <w:r w:rsidRPr="004A1685">
        <w:t>menopause and perimenopause’</w:t>
      </w:r>
      <w:r w:rsidR="00BD45FF">
        <w:t>.</w:t>
      </w:r>
      <w:r w:rsidRPr="004A1685">
        <w:t xml:space="preserve"> </w:t>
      </w:r>
      <w:r w:rsidR="00BD45FF">
        <w:t>A</w:t>
      </w:r>
      <w:r w:rsidRPr="004A1685">
        <w:t>vailable at:</w:t>
      </w:r>
      <w:r>
        <w:t xml:space="preserve"> </w:t>
      </w:r>
      <w:hyperlink r:id="rId1" w:history="1">
        <w:r w:rsidRPr="002941F9">
          <w:rPr>
            <w:rStyle w:val="Hyperlink"/>
          </w:rPr>
          <w:t>www.aph.gov.au/Parliamentary_Business/Committees/Senate/Community_Affairs/Menopause/Report</w:t>
        </w:r>
      </w:hyperlink>
      <w:r w:rsidR="004A7786">
        <w:t xml:space="preserve"> </w:t>
      </w:r>
      <w:r>
        <w:t xml:space="preserve"> </w:t>
      </w:r>
    </w:p>
  </w:footnote>
  <w:footnote w:id="2">
    <w:p w14:paraId="24BEB03A" w14:textId="52A65C39" w:rsidR="00EE0A2F" w:rsidRDefault="00EE0A2F">
      <w:pPr>
        <w:pStyle w:val="FootnoteText"/>
      </w:pPr>
      <w:r>
        <w:rPr>
          <w:rStyle w:val="FootnoteReference"/>
        </w:rPr>
        <w:footnoteRef/>
      </w:r>
      <w:r>
        <w:t xml:space="preserve"> </w:t>
      </w:r>
      <w:r w:rsidR="0023617A" w:rsidRPr="0023617A">
        <w:t>Department of Health, (2018), ‘National Women’s Health Strategy 2020-2030’, Department of Health,</w:t>
      </w:r>
      <w:r w:rsidR="0099504F">
        <w:t xml:space="preserve"> </w:t>
      </w:r>
      <w:r w:rsidR="0023617A" w:rsidRPr="0023617A">
        <w:t xml:space="preserve">Canberra. Available at: </w:t>
      </w:r>
      <w:hyperlink r:id="rId2" w:history="1">
        <w:r w:rsidR="0023617A" w:rsidRPr="002941F9">
          <w:rPr>
            <w:rStyle w:val="Hyperlink"/>
          </w:rPr>
          <w:t>www.health.gov.au/resources/publications/national-womens-health-strategy-2020-2030?language=en</w:t>
        </w:r>
      </w:hyperlink>
      <w:r w:rsidR="0023617A">
        <w:t xml:space="preserve"> </w:t>
      </w:r>
    </w:p>
  </w:footnote>
  <w:footnote w:id="3">
    <w:p w14:paraId="5925ED7B" w14:textId="34D03F68" w:rsidR="00FB063B" w:rsidRDefault="00FB063B" w:rsidP="00FB063B">
      <w:pPr>
        <w:pStyle w:val="FootnoteText"/>
      </w:pPr>
      <w:r>
        <w:rPr>
          <w:rStyle w:val="FootnoteReference"/>
        </w:rPr>
        <w:footnoteRef/>
      </w:r>
      <w:r>
        <w:t xml:space="preserve"> Davis et al. (2015), ‘Menopause’, </w:t>
      </w:r>
      <w:r w:rsidRPr="0061451C">
        <w:t>Nature Reviews Disease Primers,</w:t>
      </w:r>
      <w:r>
        <w:t xml:space="preserve"> vol 1 (15004), doi:10.1038/nrdp.2015</w:t>
      </w:r>
      <w:r w:rsidR="00254BC0">
        <w:t>.</w:t>
      </w:r>
    </w:p>
  </w:footnote>
  <w:footnote w:id="4">
    <w:p w14:paraId="4DE1A5C5" w14:textId="4A34CD2C" w:rsidR="00AC1F78" w:rsidRDefault="00AC1F78" w:rsidP="00AC1F78">
      <w:pPr>
        <w:pStyle w:val="FootnoteText"/>
      </w:pPr>
      <w:r>
        <w:rPr>
          <w:rStyle w:val="FootnoteReference"/>
        </w:rPr>
        <w:footnoteRef/>
      </w:r>
      <w:r>
        <w:t xml:space="preserve"> Herson &amp; Kulkarni, (2022), ‘Hormonal Agents for the Treatment of Depression Associated with the Menopause’, </w:t>
      </w:r>
      <w:r w:rsidRPr="001840A7">
        <w:t>Drugs &amp; Aging,</w:t>
      </w:r>
      <w:r>
        <w:t xml:space="preserve"> vol 39, https://doi.org/10.1007/s40266-022-00962-x</w:t>
      </w:r>
      <w:r w:rsidR="00254BC0">
        <w:t>.</w:t>
      </w:r>
    </w:p>
  </w:footnote>
  <w:footnote w:id="5">
    <w:p w14:paraId="64A164A2" w14:textId="06809115" w:rsidR="00AC1F78" w:rsidRDefault="00AC1F78" w:rsidP="00AC1F78">
      <w:pPr>
        <w:pStyle w:val="FootnoteText"/>
      </w:pPr>
      <w:r>
        <w:rPr>
          <w:rStyle w:val="FootnoteReference"/>
        </w:rPr>
        <w:footnoteRef/>
      </w:r>
      <w:r>
        <w:t xml:space="preserve"> </w:t>
      </w:r>
      <w:proofErr w:type="spellStart"/>
      <w:r>
        <w:t>Gartoulla</w:t>
      </w:r>
      <w:proofErr w:type="spellEnd"/>
      <w:r>
        <w:t xml:space="preserve">, et al. (2015), ‘Moderate to severe vasomotor and sexual symptoms remain problematic for women aged 60 to 65 years’, </w:t>
      </w:r>
      <w:r w:rsidRPr="0061451C">
        <w:t>The Journal of the North American Menopause Society</w:t>
      </w:r>
      <w:r>
        <w:t>, vol 22 (7), 10.1097/GME.0000000000000383</w:t>
      </w:r>
      <w:r w:rsidR="00254BC0">
        <w:t>.</w:t>
      </w:r>
    </w:p>
  </w:footnote>
  <w:footnote w:id="6">
    <w:p w14:paraId="12454491" w14:textId="6D841E54" w:rsidR="004254A7" w:rsidRDefault="004254A7">
      <w:pPr>
        <w:pStyle w:val="FootnoteText"/>
      </w:pPr>
      <w:r>
        <w:rPr>
          <w:rStyle w:val="FootnoteReference"/>
        </w:rPr>
        <w:footnoteRef/>
      </w:r>
      <w:r>
        <w:t xml:space="preserve"> </w:t>
      </w:r>
      <w:r w:rsidR="00170DFF" w:rsidRPr="00170DFF">
        <w:t>The Royal Australian and New Zealand College of Obstetricians and Gynaecologists</w:t>
      </w:r>
      <w:r w:rsidR="00170DFF">
        <w:t xml:space="preserve">, </w:t>
      </w:r>
      <w:r w:rsidR="00170DFF" w:rsidRPr="00170DFF">
        <w:t>2023</w:t>
      </w:r>
      <w:r w:rsidR="00170DFF">
        <w:t>, ‘</w:t>
      </w:r>
      <w:r w:rsidR="00170DFF" w:rsidRPr="00170DFF">
        <w:t>Managing Menopausal Symptoms</w:t>
      </w:r>
      <w:r w:rsidR="00170DFF">
        <w:t>’,</w:t>
      </w:r>
      <w:r w:rsidR="00170DFF" w:rsidRPr="00170DFF">
        <w:t xml:space="preserve"> C</w:t>
      </w:r>
      <w:r w:rsidR="00170DFF">
        <w:t>l</w:t>
      </w:r>
      <w:r w:rsidR="00170DFF" w:rsidRPr="00170DFF">
        <w:t>inical Guidance.</w:t>
      </w:r>
    </w:p>
  </w:footnote>
  <w:footnote w:id="7">
    <w:p w14:paraId="2AE387AA" w14:textId="60AE5A01" w:rsidR="00FB6D75" w:rsidRDefault="00FB6D75">
      <w:pPr>
        <w:pStyle w:val="FootnoteText"/>
      </w:pPr>
      <w:r>
        <w:rPr>
          <w:rStyle w:val="FootnoteReference"/>
        </w:rPr>
        <w:footnoteRef/>
      </w:r>
      <w:r>
        <w:t xml:space="preserve"> </w:t>
      </w:r>
      <w:r w:rsidR="00045AA0">
        <w:t>Black, D., 2020, ‘The safety of oral versus transdermal estrogen’</w:t>
      </w:r>
      <w:r w:rsidR="0036048A">
        <w:t xml:space="preserve">, available at </w:t>
      </w:r>
      <w:r w:rsidR="0064575A" w:rsidRPr="0064575A">
        <w:t>https://menopause.org.au/images/stories/education/docs/nams/nams-practice-pearl-oral-vs-transdermal-estrogen.pdf</w:t>
      </w:r>
    </w:p>
  </w:footnote>
  <w:footnote w:id="8">
    <w:p w14:paraId="6DC0EC4E" w14:textId="15A811AE" w:rsidR="00B94AA9" w:rsidRDefault="00B94AA9" w:rsidP="00273078">
      <w:pPr>
        <w:pStyle w:val="FootnoteText"/>
      </w:pPr>
      <w:r>
        <w:rPr>
          <w:rStyle w:val="FootnoteReference"/>
        </w:rPr>
        <w:footnoteRef/>
      </w:r>
      <w:r>
        <w:t xml:space="preserve"> </w:t>
      </w:r>
      <w:r w:rsidR="00273078">
        <w:t>Wilson, L.F., Pandeya, N., Byles, J., et al.</w:t>
      </w:r>
      <w:r w:rsidR="00113721">
        <w:t>,</w:t>
      </w:r>
      <w:r w:rsidR="00273078">
        <w:t xml:space="preserve"> 2016</w:t>
      </w:r>
      <w:r w:rsidR="00113721">
        <w:t>,</w:t>
      </w:r>
      <w:r w:rsidR="00273078">
        <w:t xml:space="preserve"> ‘Hot flushes and night sweats symptom profiles over a 17-year period in mid-aged women: The role of hysterectomy with ovarian conservation</w:t>
      </w:r>
      <w:r w:rsidR="00BB1D7E">
        <w:t xml:space="preserve">’. </w:t>
      </w:r>
      <w:proofErr w:type="spellStart"/>
      <w:r w:rsidR="00BB1D7E">
        <w:t>Maturitas</w:t>
      </w:r>
      <w:proofErr w:type="spellEnd"/>
      <w:r w:rsidR="00BB1D7E">
        <w:t xml:space="preserve"> 91, pp.1-7.</w:t>
      </w:r>
    </w:p>
  </w:footnote>
  <w:footnote w:id="9">
    <w:p w14:paraId="3F13E9C3" w14:textId="77777777" w:rsidR="00C35237" w:rsidRPr="0081736C" w:rsidRDefault="00C35237" w:rsidP="00C35237">
      <w:pPr>
        <w:pStyle w:val="FootnoteText"/>
        <w:rPr>
          <w:lang w:val="en-US"/>
        </w:rPr>
      </w:pPr>
      <w:r>
        <w:rPr>
          <w:rStyle w:val="FootnoteReference"/>
        </w:rPr>
        <w:footnoteRef/>
      </w:r>
      <w:r>
        <w:t xml:space="preserve"> </w:t>
      </w:r>
      <w:r>
        <w:rPr>
          <w:lang w:val="en-US"/>
        </w:rPr>
        <w:t xml:space="preserve">Food and Drug Administration, (2003), ‘Draft Guidance for Industry. </w:t>
      </w:r>
      <w:r w:rsidRPr="0081736C">
        <w:rPr>
          <w:lang w:val="en-US"/>
        </w:rPr>
        <w:t>Estrogen and Estrogen/Progestin Drug</w:t>
      </w:r>
    </w:p>
    <w:p w14:paraId="79FBC3AA" w14:textId="77777777" w:rsidR="00C35237" w:rsidRPr="0081736C" w:rsidRDefault="00C35237" w:rsidP="00C35237">
      <w:pPr>
        <w:pStyle w:val="FootnoteText"/>
        <w:rPr>
          <w:lang w:val="en-US"/>
        </w:rPr>
      </w:pPr>
      <w:r w:rsidRPr="0081736C">
        <w:rPr>
          <w:lang w:val="en-US"/>
        </w:rPr>
        <w:t xml:space="preserve"> Products to Treat Vasomotor Symptoms and Vulvar and Vaginal Atrophy</w:t>
      </w:r>
      <w:r>
        <w:rPr>
          <w:lang w:val="en-US"/>
        </w:rPr>
        <w:t xml:space="preserve"> </w:t>
      </w:r>
      <w:r w:rsidRPr="0081736C">
        <w:rPr>
          <w:lang w:val="en-US"/>
        </w:rPr>
        <w:t>Symptoms — Recommendations for</w:t>
      </w:r>
    </w:p>
    <w:p w14:paraId="4A8E4B31" w14:textId="54E1AF89" w:rsidR="00C35237" w:rsidRPr="0081736C" w:rsidRDefault="00C35237" w:rsidP="00C35237">
      <w:pPr>
        <w:pStyle w:val="FootnoteText"/>
        <w:rPr>
          <w:lang w:val="en-US"/>
        </w:rPr>
      </w:pPr>
      <w:r w:rsidRPr="0081736C">
        <w:rPr>
          <w:lang w:val="en-US"/>
        </w:rPr>
        <w:t xml:space="preserve"> Clinical Evaluation</w:t>
      </w:r>
      <w:r>
        <w:rPr>
          <w:lang w:val="en-US"/>
        </w:rPr>
        <w:t>,’</w:t>
      </w:r>
      <w:r w:rsidR="00E94D55">
        <w:rPr>
          <w:lang w:val="en-US"/>
        </w:rPr>
        <w:t xml:space="preserve"> Available at: </w:t>
      </w:r>
      <w:hyperlink r:id="rId3" w:history="1">
        <w:r w:rsidR="00E94D55" w:rsidRPr="003D14C8">
          <w:rPr>
            <w:rStyle w:val="Hyperlink"/>
            <w:lang w:val="en-US"/>
          </w:rPr>
          <w:t>www.fda.gov/media/71359/download</w:t>
        </w:r>
      </w:hyperlink>
      <w:r w:rsidR="00E94D55">
        <w:rPr>
          <w:lang w:val="en-US"/>
        </w:rPr>
        <w:t xml:space="preserve"> </w:t>
      </w:r>
    </w:p>
  </w:footnote>
  <w:footnote w:id="10">
    <w:p w14:paraId="57FA4361" w14:textId="71180577" w:rsidR="00C35237" w:rsidRPr="0081736C" w:rsidRDefault="00C35237" w:rsidP="00C35237">
      <w:pPr>
        <w:pStyle w:val="FootnoteText"/>
        <w:rPr>
          <w:lang w:val="en-US"/>
        </w:rPr>
      </w:pPr>
      <w:r>
        <w:rPr>
          <w:rStyle w:val="FootnoteReference"/>
        </w:rPr>
        <w:footnoteRef/>
      </w:r>
      <w:r>
        <w:t xml:space="preserve"> </w:t>
      </w:r>
      <w:r>
        <w:rPr>
          <w:lang w:val="en-US"/>
        </w:rPr>
        <w:t xml:space="preserve">European Medicines Agency, (2005), ‘Guideline on Clinical Investigation of Medicinal Products for Hormone Replacement Therapy of </w:t>
      </w:r>
      <w:proofErr w:type="spellStart"/>
      <w:r>
        <w:rPr>
          <w:lang w:val="en-US"/>
        </w:rPr>
        <w:t>Oestrogen</w:t>
      </w:r>
      <w:proofErr w:type="spellEnd"/>
      <w:r>
        <w:rPr>
          <w:lang w:val="en-US"/>
        </w:rPr>
        <w:t xml:space="preserve"> Deficiency Symptoms in Postmenopausal Women,’</w:t>
      </w:r>
      <w:r w:rsidR="00647AFA">
        <w:rPr>
          <w:lang w:val="en-US"/>
        </w:rPr>
        <w:t xml:space="preserve"> Available at: </w:t>
      </w:r>
      <w:hyperlink r:id="rId4" w:history="1">
        <w:r w:rsidR="007E1E93" w:rsidRPr="00C64FA1">
          <w:rPr>
            <w:rStyle w:val="Hyperlink"/>
            <w:lang w:val="en-US"/>
          </w:rPr>
          <w:t>www.tga.gov.au/sites/default/files/2024-04/guideline-clinical-investigation-medicinal-products-hormone-replacement-therapy-oestrogen-deficiency-symptoms-postmenopausal-women.pdf</w:t>
        </w:r>
      </w:hyperlink>
      <w:r w:rsidR="00647AFA">
        <w:rPr>
          <w:lang w:val="en-US"/>
        </w:rPr>
        <w:t xml:space="preserve"> </w:t>
      </w:r>
    </w:p>
  </w:footnote>
  <w:footnote w:id="11">
    <w:p w14:paraId="6B120169" w14:textId="213CF717" w:rsidR="00B338BF" w:rsidRPr="00B338BF" w:rsidRDefault="00B338BF">
      <w:pPr>
        <w:pStyle w:val="FootnoteText"/>
        <w:rPr>
          <w:lang w:val="en-US"/>
        </w:rPr>
      </w:pPr>
      <w:r>
        <w:rPr>
          <w:rStyle w:val="FootnoteReference"/>
        </w:rPr>
        <w:footnoteRef/>
      </w:r>
      <w:r>
        <w:t xml:space="preserve"> </w:t>
      </w:r>
      <w:r w:rsidRPr="00B338BF">
        <w:t xml:space="preserve">Hilditch JR, Lewis J, </w:t>
      </w:r>
      <w:r>
        <w:t>et al. (1996),</w:t>
      </w:r>
      <w:r w:rsidRPr="00B338BF">
        <w:t xml:space="preserve"> </w:t>
      </w:r>
      <w:r>
        <w:t>‘</w:t>
      </w:r>
      <w:r w:rsidRPr="00B338BF">
        <w:t>A menopause-specific quality of life questionnaire: development and psychometric properties</w:t>
      </w:r>
      <w:r>
        <w:t>’,</w:t>
      </w:r>
      <w:r w:rsidRPr="00B338BF">
        <w:t xml:space="preserve"> </w:t>
      </w:r>
      <w:proofErr w:type="spellStart"/>
      <w:r w:rsidRPr="00415590">
        <w:t>Maturitas</w:t>
      </w:r>
      <w:proofErr w:type="spellEnd"/>
      <w:r>
        <w:rPr>
          <w:i/>
          <w:iCs/>
        </w:rPr>
        <w:t xml:space="preserve"> </w:t>
      </w:r>
      <w:r w:rsidRPr="00B338BF">
        <w:t xml:space="preserve">24(3):161-75. </w:t>
      </w:r>
      <w:proofErr w:type="spellStart"/>
      <w:r w:rsidRPr="00B338BF">
        <w:t>doi</w:t>
      </w:r>
      <w:proofErr w:type="spellEnd"/>
      <w:r w:rsidRPr="00B338BF">
        <w:t>: 10.1016/s0378-5122(96)82006-8.</w:t>
      </w:r>
    </w:p>
  </w:footnote>
  <w:footnote w:id="12">
    <w:p w14:paraId="6370F777" w14:textId="09800F92" w:rsidR="00B338BF" w:rsidRPr="00B338BF" w:rsidRDefault="00B338BF">
      <w:pPr>
        <w:pStyle w:val="FootnoteText"/>
        <w:rPr>
          <w:lang w:val="en-US"/>
        </w:rPr>
      </w:pPr>
      <w:r>
        <w:rPr>
          <w:rStyle w:val="FootnoteReference"/>
        </w:rPr>
        <w:footnoteRef/>
      </w:r>
      <w:r w:rsidRPr="00A20754">
        <w:rPr>
          <w:lang w:val="it-IT"/>
        </w:rPr>
        <w:t xml:space="preserve"> Zöllner YF, Acquadro C, et al. </w:t>
      </w:r>
      <w:r>
        <w:t>(2005)</w:t>
      </w:r>
      <w:r w:rsidRPr="00B338BF">
        <w:t xml:space="preserve"> </w:t>
      </w:r>
      <w:r>
        <w:t>‘</w:t>
      </w:r>
      <w:r w:rsidRPr="00B338BF">
        <w:t>Literature review of instruments to assess health-related quality of life during and after menopause</w:t>
      </w:r>
      <w:r>
        <w:t>’,</w:t>
      </w:r>
      <w:r w:rsidRPr="00B338BF">
        <w:t xml:space="preserve"> </w:t>
      </w:r>
      <w:r w:rsidRPr="005F5E09">
        <w:t>Qual Life Res 14</w:t>
      </w:r>
      <w:r w:rsidRPr="00B338BF">
        <w:t xml:space="preserve">(2):309-27. </w:t>
      </w:r>
      <w:proofErr w:type="spellStart"/>
      <w:r w:rsidRPr="00B338BF">
        <w:t>doi</w:t>
      </w:r>
      <w:proofErr w:type="spellEnd"/>
      <w:r w:rsidRPr="00B338BF">
        <w:t>: 10.1007/s11136-004-0688-z. PMID: 15892422.</w:t>
      </w:r>
    </w:p>
  </w:footnote>
  <w:footnote w:id="13">
    <w:p w14:paraId="0C1482AA" w14:textId="6EE53EAB" w:rsidR="002F67FB" w:rsidRDefault="002F67FB">
      <w:pPr>
        <w:pStyle w:val="FootnoteText"/>
      </w:pPr>
      <w:r>
        <w:rPr>
          <w:rStyle w:val="FootnoteReference"/>
        </w:rPr>
        <w:footnoteRef/>
      </w:r>
      <w:r>
        <w:t xml:space="preserve"> </w:t>
      </w:r>
      <w:r w:rsidRPr="002F67FB">
        <w:t xml:space="preserve">Schultz NM, Morga A, </w:t>
      </w:r>
      <w:r>
        <w:t>et al. (2024),</w:t>
      </w:r>
      <w:r w:rsidRPr="002F67FB">
        <w:t xml:space="preserve"> </w:t>
      </w:r>
      <w:r>
        <w:t>‘</w:t>
      </w:r>
      <w:r w:rsidRPr="002F67FB">
        <w:t>Psychometric Evaluation of the MENQOL Instrument in Women Experiencing Vasomotor Symptoms Associated with Menopause</w:t>
      </w:r>
      <w:r>
        <w:t>’,</w:t>
      </w:r>
      <w:r w:rsidRPr="002F67FB">
        <w:t xml:space="preserve"> </w:t>
      </w:r>
      <w:r w:rsidRPr="00111E81">
        <w:t>Adv Ther</w:t>
      </w:r>
      <w:r w:rsidR="003D6298" w:rsidRPr="00111E81">
        <w:t>,</w:t>
      </w:r>
      <w:r w:rsidRPr="002F67FB">
        <w:t xml:space="preserve"> 41(6):2233-2252. </w:t>
      </w:r>
      <w:proofErr w:type="spellStart"/>
      <w:r w:rsidRPr="002F67FB">
        <w:t>doi</w:t>
      </w:r>
      <w:proofErr w:type="spellEnd"/>
      <w:r w:rsidRPr="002F67FB">
        <w:t>: 10.1007/s12325-024-02787-z.</w:t>
      </w:r>
    </w:p>
  </w:footnote>
  <w:footnote w:id="14">
    <w:p w14:paraId="0B324661" w14:textId="5511D56A" w:rsidR="00381D78" w:rsidRDefault="00381D78" w:rsidP="00CF1225">
      <w:pPr>
        <w:pStyle w:val="FootnoteText"/>
      </w:pPr>
      <w:r>
        <w:rPr>
          <w:rStyle w:val="FootnoteReference"/>
        </w:rPr>
        <w:footnoteRef/>
      </w:r>
      <w:r>
        <w:t xml:space="preserve"> </w:t>
      </w:r>
      <w:r w:rsidR="00584B1D">
        <w:t>British Menopause Society</w:t>
      </w:r>
      <w:r w:rsidR="006D7993">
        <w:t xml:space="preserve"> (BMS)</w:t>
      </w:r>
      <w:r w:rsidR="0059792F">
        <w:t>, (2020),</w:t>
      </w:r>
      <w:r w:rsidR="002E0F9E">
        <w:t xml:space="preserve"> </w:t>
      </w:r>
      <w:r w:rsidR="0059792F">
        <w:t>‘</w:t>
      </w:r>
      <w:r w:rsidR="00CF1225">
        <w:t xml:space="preserve">BMS, </w:t>
      </w:r>
      <w:r w:rsidR="007728F9">
        <w:t>International</w:t>
      </w:r>
      <w:r w:rsidR="006D7993">
        <w:t xml:space="preserve"> Menopause Society, European Menopause and Andropause Society, Royal College of Obstetricians and Gynaecologists</w:t>
      </w:r>
      <w:r w:rsidR="007728F9">
        <w:t xml:space="preserve"> and Australasian Menopause Society,</w:t>
      </w:r>
      <w:r w:rsidR="00CF1225">
        <w:t xml:space="preserve"> (May 2020) Joint Statement on menopausal hormone therapy and breast cancer risk in response to EMA Pharmacovigilance Risk Assessment Committee </w:t>
      </w:r>
      <w:proofErr w:type="gramStart"/>
      <w:r w:rsidR="00CF1225">
        <w:t>recommendations</w:t>
      </w:r>
      <w:r w:rsidR="0059792F">
        <w:t>’</w:t>
      </w:r>
      <w:proofErr w:type="gramEnd"/>
      <w:r w:rsidR="0059792F">
        <w:t>.</w:t>
      </w:r>
      <w:r w:rsidR="002E0F9E" w:rsidRPr="002E0F9E">
        <w:t xml:space="preserve"> </w:t>
      </w:r>
      <w:r w:rsidR="0059792F">
        <w:t xml:space="preserve">Available at: </w:t>
      </w:r>
      <w:hyperlink r:id="rId5" w:history="1">
        <w:r w:rsidR="00317A11" w:rsidRPr="00BF4990">
          <w:rPr>
            <w:rStyle w:val="Hyperlink"/>
          </w:rPr>
          <w:t>https://thebms.org.uk/wp-content/uploads/2020/09/HRT_and_breast_cancer_statement_in_response_to_EMA_PRAC_recommendations_10.9.20.pdf</w:t>
        </w:r>
      </w:hyperlink>
      <w:r w:rsidR="00317A11">
        <w:t xml:space="preserve"> </w:t>
      </w:r>
    </w:p>
  </w:footnote>
  <w:footnote w:id="15">
    <w:p w14:paraId="5C3FE1A4" w14:textId="77777777" w:rsidR="003A35C3" w:rsidRDefault="003A35C3" w:rsidP="003A35C3">
      <w:pPr>
        <w:pStyle w:val="FootnoteText"/>
        <w:jc w:val="left"/>
      </w:pPr>
      <w:r>
        <w:rPr>
          <w:rStyle w:val="FootnoteReference"/>
        </w:rPr>
        <w:footnoteRef/>
      </w:r>
      <w:r>
        <w:t xml:space="preserve"> </w:t>
      </w:r>
      <w:r w:rsidRPr="009361AC">
        <w:t xml:space="preserve">Mohammed, K., Abu Dabrh, A.M., et al. (2015), ‘Oral vs Transdermal Estrogen Therapy and Vascular Events: A Systematic Review and Meta-Analysis’, </w:t>
      </w:r>
      <w:r w:rsidRPr="00A05FE7">
        <w:t>J Clin Endocrinol Metab,</w:t>
      </w:r>
      <w:r w:rsidRPr="009361AC">
        <w:t xml:space="preserve"> 100(11):4012-20. </w:t>
      </w:r>
      <w:proofErr w:type="spellStart"/>
      <w:r w:rsidRPr="009361AC">
        <w:t>doi</w:t>
      </w:r>
      <w:proofErr w:type="spellEnd"/>
      <w:r w:rsidRPr="009361AC">
        <w:t>: 10.1210/jc.2015-2237.</w:t>
      </w:r>
    </w:p>
  </w:footnote>
  <w:footnote w:id="16">
    <w:p w14:paraId="19C02879" w14:textId="77777777" w:rsidR="003A35C3" w:rsidRDefault="003A35C3" w:rsidP="003A35C3">
      <w:pPr>
        <w:pStyle w:val="FootnoteText"/>
        <w:jc w:val="left"/>
      </w:pPr>
      <w:r>
        <w:rPr>
          <w:rStyle w:val="FootnoteReference"/>
        </w:rPr>
        <w:footnoteRef/>
      </w:r>
      <w:r>
        <w:t xml:space="preserve"> </w:t>
      </w:r>
      <w:r w:rsidRPr="009361AC">
        <w:t xml:space="preserve">Vinogradova Y., Coupland C., et al. (2019), ‘Use of hormone replacement therapy and risk of venous thromboembolism: nested case-control studies using the QResearch and CPRD databases’, </w:t>
      </w:r>
      <w:r w:rsidRPr="00A05FE7">
        <w:t>BMJ,</w:t>
      </w:r>
      <w:r w:rsidRPr="009361AC">
        <w:t xml:space="preserve"> 364:k4810 doi:10.1136/bmj.k4810</w:t>
      </w:r>
    </w:p>
  </w:footnote>
  <w:footnote w:id="17">
    <w:p w14:paraId="58658D47" w14:textId="2C2CCA08" w:rsidR="000B13C2" w:rsidRPr="0015650C" w:rsidRDefault="000B13C2" w:rsidP="000B13C2">
      <w:pPr>
        <w:pStyle w:val="CaptionFootnote"/>
        <w:rPr>
          <w:sz w:val="18"/>
          <w:szCs w:val="18"/>
        </w:rPr>
      </w:pPr>
      <w:r w:rsidRPr="0015650C">
        <w:rPr>
          <w:rStyle w:val="FootnoteReference"/>
          <w:sz w:val="18"/>
          <w:szCs w:val="18"/>
        </w:rPr>
        <w:footnoteRef/>
      </w:r>
      <w:r w:rsidRPr="0015650C">
        <w:rPr>
          <w:sz w:val="18"/>
          <w:szCs w:val="18"/>
        </w:rPr>
        <w:t>Australian Menopause Society (2023, October). AMS Guide to MHT/HRT Doses. Retrieved from https://</w:t>
      </w:r>
      <w:r w:rsidR="005C078B" w:rsidRPr="0015650C">
        <w:rPr>
          <w:sz w:val="18"/>
          <w:szCs w:val="18"/>
        </w:rPr>
        <w:t>menopause.org.au/hp/information-sheets/ams-guide-to-mht-hrt-doses</w:t>
      </w:r>
      <w:r w:rsidR="005C078B" w:rsidRPr="0015650C" w:rsidDel="005C078B">
        <w:rPr>
          <w:sz w:val="18"/>
          <w:szCs w:val="18"/>
        </w:rPr>
        <w:t xml:space="preserve"> </w:t>
      </w:r>
    </w:p>
  </w:footnote>
  <w:footnote w:id="18">
    <w:p w14:paraId="36FD02C6" w14:textId="5E5F4ECF" w:rsidR="0060507F" w:rsidRDefault="0060507F">
      <w:pPr>
        <w:pStyle w:val="FootnoteText"/>
      </w:pPr>
      <w:r>
        <w:rPr>
          <w:rStyle w:val="FootnoteReference"/>
        </w:rPr>
        <w:footnoteRef/>
      </w:r>
      <w:r>
        <w:t xml:space="preserve"> </w:t>
      </w:r>
      <w:r w:rsidR="00C17E4E" w:rsidRPr="00C17E4E">
        <w:t>Worsley, R., et al.</w:t>
      </w:r>
      <w:r w:rsidR="00C17E4E">
        <w:t>,</w:t>
      </w:r>
      <w:r w:rsidR="00C17E4E" w:rsidRPr="00C17E4E">
        <w:t xml:space="preserve"> 2016</w:t>
      </w:r>
      <w:r w:rsidR="00C17E4E">
        <w:t>, ‘</w:t>
      </w:r>
      <w:r w:rsidR="00C17E4E" w:rsidRPr="00C17E4E">
        <w:t>Low use of effective and safe therapies for moderate to severe menopausal symptoms: a cross-sectional community study of Australian women</w:t>
      </w:r>
      <w:r w:rsidR="00C17E4E">
        <w:t>’,</w:t>
      </w:r>
      <w:r w:rsidR="00C17E4E" w:rsidRPr="00C17E4E">
        <w:t xml:space="preserve"> Menopause 23 (1): 11–7</w:t>
      </w:r>
      <w:r w:rsidR="00C17E4E">
        <w:t>,</w:t>
      </w:r>
      <w:r w:rsidR="00C17E4E" w:rsidRPr="00C17E4E">
        <w:t xml:space="preserve"> https://doi.org/10.1097/gme.0000000000000495.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C2CA" w14:textId="483FDF59" w:rsidR="005C76C1" w:rsidRDefault="005C76C1">
    <w:pPr>
      <w:pStyle w:val="Header"/>
    </w:pPr>
    <w:r>
      <w:rPr>
        <w:noProof/>
      </w:rPr>
      <mc:AlternateContent>
        <mc:Choice Requires="wps">
          <w:drawing>
            <wp:anchor distT="0" distB="0" distL="0" distR="0" simplePos="0" relativeHeight="251658241" behindDoc="0" locked="0" layoutInCell="1" allowOverlap="1" wp14:anchorId="55683BC9" wp14:editId="3F240797">
              <wp:simplePos x="635" y="635"/>
              <wp:positionH relativeFrom="page">
                <wp:align>center</wp:align>
              </wp:positionH>
              <wp:positionV relativeFrom="page">
                <wp:align>top</wp:align>
              </wp:positionV>
              <wp:extent cx="622300" cy="376555"/>
              <wp:effectExtent l="0" t="0" r="6350" b="4445"/>
              <wp:wrapNone/>
              <wp:docPr id="159879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BCA2C8" w14:textId="5CBD890E"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83BC9"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1BCA2C8" w14:textId="5CBD890E"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C1FD" w14:textId="7FEA2617" w:rsidR="004B591C" w:rsidRPr="00195452" w:rsidRDefault="005C76C1" w:rsidP="36D98BBF">
    <w:pPr>
      <w:pStyle w:val="Header"/>
      <w:rPr>
        <w:rFonts w:asciiTheme="minorHAnsi" w:hAnsiTheme="minorHAnsi"/>
        <w:i w:val="0"/>
        <w:iCs w:val="0"/>
        <w:color w:val="808080"/>
      </w:rPr>
    </w:pPr>
    <w:r>
      <w:rPr>
        <w:rFonts w:asciiTheme="minorHAnsi" w:hAnsiTheme="minorHAnsi"/>
        <w:noProof/>
        <w:color w:val="808080" w:themeColor="background1" w:themeShade="80"/>
      </w:rPr>
      <mc:AlternateContent>
        <mc:Choice Requires="wps">
          <w:drawing>
            <wp:anchor distT="0" distB="0" distL="0" distR="0" simplePos="0" relativeHeight="251658242" behindDoc="0" locked="0" layoutInCell="1" allowOverlap="1" wp14:anchorId="63BF29D1" wp14:editId="3D85A2DB">
              <wp:simplePos x="635" y="635"/>
              <wp:positionH relativeFrom="page">
                <wp:align>center</wp:align>
              </wp:positionH>
              <wp:positionV relativeFrom="page">
                <wp:align>top</wp:align>
              </wp:positionV>
              <wp:extent cx="622300" cy="376555"/>
              <wp:effectExtent l="0" t="0" r="6350" b="4445"/>
              <wp:wrapNone/>
              <wp:docPr id="17727440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82B8AB" w14:textId="6AF33389"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F29D1"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D82B8AB" w14:textId="6AF33389"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v:textbox>
              <w10:wrap anchorx="page" anchory="page"/>
            </v:shape>
          </w:pict>
        </mc:Fallback>
      </mc:AlternateContent>
    </w:r>
    <w:r w:rsidR="00F760FF">
      <w:rPr>
        <w:rFonts w:asciiTheme="minorHAnsi" w:hAnsiTheme="minorHAnsi"/>
        <w:color w:val="808080" w:themeColor="background1" w:themeShade="80"/>
      </w:rPr>
      <w:t>Public Summary Document</w:t>
    </w:r>
    <w:r w:rsidR="00B937AD" w:rsidRPr="36D98BBF">
      <w:rPr>
        <w:rFonts w:asciiTheme="minorHAnsi" w:hAnsiTheme="minorHAnsi"/>
        <w:color w:val="808080" w:themeColor="background1" w:themeShade="80"/>
      </w:rPr>
      <w:t xml:space="preserve"> –</w:t>
    </w:r>
    <w:r w:rsidR="36D98BBF" w:rsidRPr="36D98BBF">
      <w:rPr>
        <w:rFonts w:asciiTheme="minorHAnsi" w:hAnsiTheme="minorHAnsi"/>
        <w:color w:val="808080" w:themeColor="background1" w:themeShade="80"/>
      </w:rPr>
      <w:t xml:space="preserve"> November 2025 PBAC Meeting</w:t>
    </w:r>
  </w:p>
  <w:p w14:paraId="416A75CC" w14:textId="77777777" w:rsidR="00480B93" w:rsidRPr="008C7ECB" w:rsidRDefault="00480B93" w:rsidP="00480B93">
    <w:pPr>
      <w:tabs>
        <w:tab w:val="center" w:pos="4513"/>
        <w:tab w:val="right" w:pos="902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CFB" w14:textId="499BAFAB" w:rsidR="005C76C1" w:rsidRDefault="005C76C1">
    <w:pPr>
      <w:pStyle w:val="Header"/>
    </w:pPr>
    <w:r>
      <w:rPr>
        <w:noProof/>
      </w:rPr>
      <mc:AlternateContent>
        <mc:Choice Requires="wps">
          <w:drawing>
            <wp:anchor distT="0" distB="0" distL="0" distR="0" simplePos="0" relativeHeight="251658240" behindDoc="0" locked="0" layoutInCell="1" allowOverlap="1" wp14:anchorId="74AF1041" wp14:editId="2D0AB9E5">
              <wp:simplePos x="635" y="635"/>
              <wp:positionH relativeFrom="page">
                <wp:align>center</wp:align>
              </wp:positionH>
              <wp:positionV relativeFrom="page">
                <wp:align>top</wp:align>
              </wp:positionV>
              <wp:extent cx="622300" cy="376555"/>
              <wp:effectExtent l="0" t="0" r="6350" b="4445"/>
              <wp:wrapNone/>
              <wp:docPr id="4221286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9E3525" w14:textId="7B69956B"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AF104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79E3525" w14:textId="7B69956B" w:rsidR="005C76C1" w:rsidRPr="005C76C1" w:rsidRDefault="005C76C1" w:rsidP="005C76C1">
                    <w:pPr>
                      <w:rPr>
                        <w:rFonts w:ascii="Aptos" w:eastAsia="Aptos" w:hAnsi="Aptos" w:cs="Aptos"/>
                        <w:noProof/>
                        <w:color w:val="FF0000"/>
                      </w:rPr>
                    </w:pPr>
                    <w:r w:rsidRPr="005C76C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DC69DA"/>
    <w:multiLevelType w:val="hybridMultilevel"/>
    <w:tmpl w:val="263AF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6F5EDD"/>
    <w:multiLevelType w:val="hybridMultilevel"/>
    <w:tmpl w:val="053E58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6C846D3A">
      <w:start w:val="20"/>
      <w:numFmt w:val="bullet"/>
      <w:lvlText w:val="-"/>
      <w:lvlJc w:val="left"/>
      <w:pPr>
        <w:ind w:left="1800" w:hanging="360"/>
      </w:pPr>
      <w:rPr>
        <w:rFonts w:ascii="Arial Narrow" w:eastAsia="Times New Roman" w:hAnsi="Arial Narrow" w:cs="Arial"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C0E1A28"/>
    <w:multiLevelType w:val="hybridMultilevel"/>
    <w:tmpl w:val="67F8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E79B2"/>
    <w:multiLevelType w:val="hybridMultilevel"/>
    <w:tmpl w:val="0B0AF0F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0CB80F89"/>
    <w:multiLevelType w:val="hybridMultilevel"/>
    <w:tmpl w:val="4B403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16838"/>
    <w:multiLevelType w:val="hybridMultilevel"/>
    <w:tmpl w:val="01684884"/>
    <w:lvl w:ilvl="0" w:tplc="7870E99A">
      <w:start w:val="1"/>
      <w:numFmt w:val="bullet"/>
      <w:lvlText w:val=""/>
      <w:lvlJc w:val="left"/>
      <w:pPr>
        <w:ind w:left="720" w:hanging="360"/>
      </w:pPr>
      <w:rPr>
        <w:rFonts w:ascii="Symbol" w:hAnsi="Symbol"/>
      </w:rPr>
    </w:lvl>
    <w:lvl w:ilvl="1" w:tplc="4920D166">
      <w:start w:val="1"/>
      <w:numFmt w:val="bullet"/>
      <w:lvlText w:val=""/>
      <w:lvlJc w:val="left"/>
      <w:pPr>
        <w:ind w:left="720" w:hanging="360"/>
      </w:pPr>
      <w:rPr>
        <w:rFonts w:ascii="Symbol" w:hAnsi="Symbol"/>
      </w:rPr>
    </w:lvl>
    <w:lvl w:ilvl="2" w:tplc="E5849448">
      <w:start w:val="1"/>
      <w:numFmt w:val="bullet"/>
      <w:lvlText w:val=""/>
      <w:lvlJc w:val="left"/>
      <w:pPr>
        <w:ind w:left="720" w:hanging="360"/>
      </w:pPr>
      <w:rPr>
        <w:rFonts w:ascii="Symbol" w:hAnsi="Symbol"/>
      </w:rPr>
    </w:lvl>
    <w:lvl w:ilvl="3" w:tplc="056C6A30">
      <w:start w:val="1"/>
      <w:numFmt w:val="bullet"/>
      <w:lvlText w:val=""/>
      <w:lvlJc w:val="left"/>
      <w:pPr>
        <w:ind w:left="720" w:hanging="360"/>
      </w:pPr>
      <w:rPr>
        <w:rFonts w:ascii="Symbol" w:hAnsi="Symbol"/>
      </w:rPr>
    </w:lvl>
    <w:lvl w:ilvl="4" w:tplc="1CE6F874">
      <w:start w:val="1"/>
      <w:numFmt w:val="bullet"/>
      <w:lvlText w:val=""/>
      <w:lvlJc w:val="left"/>
      <w:pPr>
        <w:ind w:left="720" w:hanging="360"/>
      </w:pPr>
      <w:rPr>
        <w:rFonts w:ascii="Symbol" w:hAnsi="Symbol"/>
      </w:rPr>
    </w:lvl>
    <w:lvl w:ilvl="5" w:tplc="3B9C20F2">
      <w:start w:val="1"/>
      <w:numFmt w:val="bullet"/>
      <w:lvlText w:val=""/>
      <w:lvlJc w:val="left"/>
      <w:pPr>
        <w:ind w:left="720" w:hanging="360"/>
      </w:pPr>
      <w:rPr>
        <w:rFonts w:ascii="Symbol" w:hAnsi="Symbol"/>
      </w:rPr>
    </w:lvl>
    <w:lvl w:ilvl="6" w:tplc="349221CA">
      <w:start w:val="1"/>
      <w:numFmt w:val="bullet"/>
      <w:lvlText w:val=""/>
      <w:lvlJc w:val="left"/>
      <w:pPr>
        <w:ind w:left="720" w:hanging="360"/>
      </w:pPr>
      <w:rPr>
        <w:rFonts w:ascii="Symbol" w:hAnsi="Symbol"/>
      </w:rPr>
    </w:lvl>
    <w:lvl w:ilvl="7" w:tplc="889E984A">
      <w:start w:val="1"/>
      <w:numFmt w:val="bullet"/>
      <w:lvlText w:val=""/>
      <w:lvlJc w:val="left"/>
      <w:pPr>
        <w:ind w:left="720" w:hanging="360"/>
      </w:pPr>
      <w:rPr>
        <w:rFonts w:ascii="Symbol" w:hAnsi="Symbol"/>
      </w:rPr>
    </w:lvl>
    <w:lvl w:ilvl="8" w:tplc="FE324CFA">
      <w:start w:val="1"/>
      <w:numFmt w:val="bullet"/>
      <w:lvlText w:val=""/>
      <w:lvlJc w:val="left"/>
      <w:pPr>
        <w:ind w:left="720" w:hanging="360"/>
      </w:pPr>
      <w:rPr>
        <w:rFonts w:ascii="Symbol" w:hAnsi="Symbol"/>
      </w:rPr>
    </w:lvl>
  </w:abstractNum>
  <w:abstractNum w:abstractNumId="9" w15:restartNumberingAfterBreak="0">
    <w:nsid w:val="10B05C70"/>
    <w:multiLevelType w:val="hybridMultilevel"/>
    <w:tmpl w:val="F75C2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056D9"/>
    <w:multiLevelType w:val="hybridMultilevel"/>
    <w:tmpl w:val="9F562B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DD3989"/>
    <w:multiLevelType w:val="hybridMultilevel"/>
    <w:tmpl w:val="07C8F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D7176"/>
    <w:multiLevelType w:val="hybridMultilevel"/>
    <w:tmpl w:val="F8F2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B5D204E"/>
    <w:multiLevelType w:val="hybridMultilevel"/>
    <w:tmpl w:val="21786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9A4E4C"/>
    <w:multiLevelType w:val="hybridMultilevel"/>
    <w:tmpl w:val="01EAEC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C57BD"/>
    <w:multiLevelType w:val="hybridMultilevel"/>
    <w:tmpl w:val="73062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313B60"/>
    <w:multiLevelType w:val="hybridMultilevel"/>
    <w:tmpl w:val="05120424"/>
    <w:lvl w:ilvl="0" w:tplc="2BE8E996">
      <w:start w:val="1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3E334FB"/>
    <w:multiLevelType w:val="hybridMultilevel"/>
    <w:tmpl w:val="7DE4FAEC"/>
    <w:lvl w:ilvl="0" w:tplc="B7A265BE">
      <w:start w:val="1"/>
      <w:numFmt w:val="bullet"/>
      <w:lvlText w:val=""/>
      <w:lvlJc w:val="left"/>
      <w:pPr>
        <w:ind w:left="720" w:hanging="360"/>
      </w:pPr>
      <w:rPr>
        <w:rFonts w:ascii="Symbol" w:hAnsi="Symbol"/>
      </w:rPr>
    </w:lvl>
    <w:lvl w:ilvl="1" w:tplc="845C5DD0">
      <w:start w:val="1"/>
      <w:numFmt w:val="bullet"/>
      <w:lvlText w:val=""/>
      <w:lvlJc w:val="left"/>
      <w:pPr>
        <w:ind w:left="720" w:hanging="360"/>
      </w:pPr>
      <w:rPr>
        <w:rFonts w:ascii="Symbol" w:hAnsi="Symbol"/>
      </w:rPr>
    </w:lvl>
    <w:lvl w:ilvl="2" w:tplc="5EDEEF2A">
      <w:start w:val="1"/>
      <w:numFmt w:val="bullet"/>
      <w:lvlText w:val=""/>
      <w:lvlJc w:val="left"/>
      <w:pPr>
        <w:ind w:left="720" w:hanging="360"/>
      </w:pPr>
      <w:rPr>
        <w:rFonts w:ascii="Symbol" w:hAnsi="Symbol"/>
      </w:rPr>
    </w:lvl>
    <w:lvl w:ilvl="3" w:tplc="AA84285C">
      <w:start w:val="1"/>
      <w:numFmt w:val="bullet"/>
      <w:lvlText w:val=""/>
      <w:lvlJc w:val="left"/>
      <w:pPr>
        <w:ind w:left="720" w:hanging="360"/>
      </w:pPr>
      <w:rPr>
        <w:rFonts w:ascii="Symbol" w:hAnsi="Symbol"/>
      </w:rPr>
    </w:lvl>
    <w:lvl w:ilvl="4" w:tplc="DD1CF828">
      <w:start w:val="1"/>
      <w:numFmt w:val="bullet"/>
      <w:lvlText w:val=""/>
      <w:lvlJc w:val="left"/>
      <w:pPr>
        <w:ind w:left="720" w:hanging="360"/>
      </w:pPr>
      <w:rPr>
        <w:rFonts w:ascii="Symbol" w:hAnsi="Symbol"/>
      </w:rPr>
    </w:lvl>
    <w:lvl w:ilvl="5" w:tplc="B55044EE">
      <w:start w:val="1"/>
      <w:numFmt w:val="bullet"/>
      <w:lvlText w:val=""/>
      <w:lvlJc w:val="left"/>
      <w:pPr>
        <w:ind w:left="720" w:hanging="360"/>
      </w:pPr>
      <w:rPr>
        <w:rFonts w:ascii="Symbol" w:hAnsi="Symbol"/>
      </w:rPr>
    </w:lvl>
    <w:lvl w:ilvl="6" w:tplc="B5EE0332">
      <w:start w:val="1"/>
      <w:numFmt w:val="bullet"/>
      <w:lvlText w:val=""/>
      <w:lvlJc w:val="left"/>
      <w:pPr>
        <w:ind w:left="720" w:hanging="360"/>
      </w:pPr>
      <w:rPr>
        <w:rFonts w:ascii="Symbol" w:hAnsi="Symbol"/>
      </w:rPr>
    </w:lvl>
    <w:lvl w:ilvl="7" w:tplc="D04A3BD4">
      <w:start w:val="1"/>
      <w:numFmt w:val="bullet"/>
      <w:lvlText w:val=""/>
      <w:lvlJc w:val="left"/>
      <w:pPr>
        <w:ind w:left="720" w:hanging="360"/>
      </w:pPr>
      <w:rPr>
        <w:rFonts w:ascii="Symbol" w:hAnsi="Symbol"/>
      </w:rPr>
    </w:lvl>
    <w:lvl w:ilvl="8" w:tplc="A6AA47B0">
      <w:start w:val="1"/>
      <w:numFmt w:val="bullet"/>
      <w:lvlText w:val=""/>
      <w:lvlJc w:val="left"/>
      <w:pPr>
        <w:ind w:left="720" w:hanging="360"/>
      </w:pPr>
      <w:rPr>
        <w:rFonts w:ascii="Symbol" w:hAnsi="Symbol"/>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9B22816"/>
    <w:multiLevelType w:val="hybridMultilevel"/>
    <w:tmpl w:val="28A4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485F58"/>
    <w:multiLevelType w:val="hybridMultilevel"/>
    <w:tmpl w:val="DA34A55E"/>
    <w:lvl w:ilvl="0" w:tplc="A8042564">
      <w:start w:val="1"/>
      <w:numFmt w:val="decimal"/>
      <w:lvlText w:val="%1."/>
      <w:lvlJc w:val="left"/>
      <w:pPr>
        <w:ind w:left="720" w:hanging="360"/>
      </w:pPr>
      <w:rPr>
        <w:rFonts w:ascii="Calibri" w:hAnsi="Calibri" w:cs="Calibri"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C62709"/>
    <w:multiLevelType w:val="hybridMultilevel"/>
    <w:tmpl w:val="8056C6D0"/>
    <w:lvl w:ilvl="0" w:tplc="13F27866">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860E70"/>
    <w:multiLevelType w:val="hybridMultilevel"/>
    <w:tmpl w:val="4D2E4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958ED39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127B7F"/>
    <w:multiLevelType w:val="hybridMultilevel"/>
    <w:tmpl w:val="FD72AC28"/>
    <w:lvl w:ilvl="0" w:tplc="2B50E25A">
      <w:start w:val="1"/>
      <w:numFmt w:val="bullet"/>
      <w:lvlText w:val=""/>
      <w:lvlJc w:val="left"/>
      <w:pPr>
        <w:ind w:left="720" w:hanging="360"/>
      </w:pPr>
      <w:rPr>
        <w:rFonts w:ascii="Symbol" w:hAnsi="Symbol"/>
      </w:rPr>
    </w:lvl>
    <w:lvl w:ilvl="1" w:tplc="4EC428D0">
      <w:start w:val="1"/>
      <w:numFmt w:val="bullet"/>
      <w:lvlText w:val=""/>
      <w:lvlJc w:val="left"/>
      <w:pPr>
        <w:ind w:left="720" w:hanging="360"/>
      </w:pPr>
      <w:rPr>
        <w:rFonts w:ascii="Symbol" w:hAnsi="Symbol"/>
      </w:rPr>
    </w:lvl>
    <w:lvl w:ilvl="2" w:tplc="3BDA9D3A">
      <w:start w:val="1"/>
      <w:numFmt w:val="bullet"/>
      <w:lvlText w:val=""/>
      <w:lvlJc w:val="left"/>
      <w:pPr>
        <w:ind w:left="720" w:hanging="360"/>
      </w:pPr>
      <w:rPr>
        <w:rFonts w:ascii="Symbol" w:hAnsi="Symbol"/>
      </w:rPr>
    </w:lvl>
    <w:lvl w:ilvl="3" w:tplc="3FB0AE98">
      <w:start w:val="1"/>
      <w:numFmt w:val="bullet"/>
      <w:lvlText w:val=""/>
      <w:lvlJc w:val="left"/>
      <w:pPr>
        <w:ind w:left="720" w:hanging="360"/>
      </w:pPr>
      <w:rPr>
        <w:rFonts w:ascii="Symbol" w:hAnsi="Symbol"/>
      </w:rPr>
    </w:lvl>
    <w:lvl w:ilvl="4" w:tplc="AE441B52">
      <w:start w:val="1"/>
      <w:numFmt w:val="bullet"/>
      <w:lvlText w:val=""/>
      <w:lvlJc w:val="left"/>
      <w:pPr>
        <w:ind w:left="720" w:hanging="360"/>
      </w:pPr>
      <w:rPr>
        <w:rFonts w:ascii="Symbol" w:hAnsi="Symbol"/>
      </w:rPr>
    </w:lvl>
    <w:lvl w:ilvl="5" w:tplc="9432EE10">
      <w:start w:val="1"/>
      <w:numFmt w:val="bullet"/>
      <w:lvlText w:val=""/>
      <w:lvlJc w:val="left"/>
      <w:pPr>
        <w:ind w:left="720" w:hanging="360"/>
      </w:pPr>
      <w:rPr>
        <w:rFonts w:ascii="Symbol" w:hAnsi="Symbol"/>
      </w:rPr>
    </w:lvl>
    <w:lvl w:ilvl="6" w:tplc="878CA810">
      <w:start w:val="1"/>
      <w:numFmt w:val="bullet"/>
      <w:lvlText w:val=""/>
      <w:lvlJc w:val="left"/>
      <w:pPr>
        <w:ind w:left="720" w:hanging="360"/>
      </w:pPr>
      <w:rPr>
        <w:rFonts w:ascii="Symbol" w:hAnsi="Symbol"/>
      </w:rPr>
    </w:lvl>
    <w:lvl w:ilvl="7" w:tplc="169CDC88">
      <w:start w:val="1"/>
      <w:numFmt w:val="bullet"/>
      <w:lvlText w:val=""/>
      <w:lvlJc w:val="left"/>
      <w:pPr>
        <w:ind w:left="720" w:hanging="360"/>
      </w:pPr>
      <w:rPr>
        <w:rFonts w:ascii="Symbol" w:hAnsi="Symbol"/>
      </w:rPr>
    </w:lvl>
    <w:lvl w:ilvl="8" w:tplc="0C8CB452">
      <w:start w:val="1"/>
      <w:numFmt w:val="bullet"/>
      <w:lvlText w:val=""/>
      <w:lvlJc w:val="left"/>
      <w:pPr>
        <w:ind w:left="720" w:hanging="360"/>
      </w:pPr>
      <w:rPr>
        <w:rFonts w:ascii="Symbol" w:hAnsi="Symbol"/>
      </w:rPr>
    </w:lvl>
  </w:abstractNum>
  <w:abstractNum w:abstractNumId="36" w15:restartNumberingAfterBreak="0">
    <w:nsid w:val="79AD2272"/>
    <w:multiLevelType w:val="hybridMultilevel"/>
    <w:tmpl w:val="5B14A5A6"/>
    <w:lvl w:ilvl="0" w:tplc="3E106814">
      <w:start w:val="1"/>
      <w:numFmt w:val="bullet"/>
      <w:lvlText w:val=""/>
      <w:lvlJc w:val="left"/>
      <w:pPr>
        <w:ind w:left="720" w:hanging="360"/>
      </w:pPr>
      <w:rPr>
        <w:rFonts w:ascii="Symbol" w:hAnsi="Symbol"/>
      </w:rPr>
    </w:lvl>
    <w:lvl w:ilvl="1" w:tplc="34B2F332">
      <w:start w:val="1"/>
      <w:numFmt w:val="bullet"/>
      <w:lvlText w:val=""/>
      <w:lvlJc w:val="left"/>
      <w:pPr>
        <w:ind w:left="720" w:hanging="360"/>
      </w:pPr>
      <w:rPr>
        <w:rFonts w:ascii="Symbol" w:hAnsi="Symbol"/>
      </w:rPr>
    </w:lvl>
    <w:lvl w:ilvl="2" w:tplc="771E4D50">
      <w:start w:val="1"/>
      <w:numFmt w:val="bullet"/>
      <w:lvlText w:val=""/>
      <w:lvlJc w:val="left"/>
      <w:pPr>
        <w:ind w:left="720" w:hanging="360"/>
      </w:pPr>
      <w:rPr>
        <w:rFonts w:ascii="Symbol" w:hAnsi="Symbol"/>
      </w:rPr>
    </w:lvl>
    <w:lvl w:ilvl="3" w:tplc="57248B2C">
      <w:start w:val="1"/>
      <w:numFmt w:val="bullet"/>
      <w:lvlText w:val=""/>
      <w:lvlJc w:val="left"/>
      <w:pPr>
        <w:ind w:left="720" w:hanging="360"/>
      </w:pPr>
      <w:rPr>
        <w:rFonts w:ascii="Symbol" w:hAnsi="Symbol"/>
      </w:rPr>
    </w:lvl>
    <w:lvl w:ilvl="4" w:tplc="B69C3246">
      <w:start w:val="1"/>
      <w:numFmt w:val="bullet"/>
      <w:lvlText w:val=""/>
      <w:lvlJc w:val="left"/>
      <w:pPr>
        <w:ind w:left="720" w:hanging="360"/>
      </w:pPr>
      <w:rPr>
        <w:rFonts w:ascii="Symbol" w:hAnsi="Symbol"/>
      </w:rPr>
    </w:lvl>
    <w:lvl w:ilvl="5" w:tplc="2242BB44">
      <w:start w:val="1"/>
      <w:numFmt w:val="bullet"/>
      <w:lvlText w:val=""/>
      <w:lvlJc w:val="left"/>
      <w:pPr>
        <w:ind w:left="720" w:hanging="360"/>
      </w:pPr>
      <w:rPr>
        <w:rFonts w:ascii="Symbol" w:hAnsi="Symbol"/>
      </w:rPr>
    </w:lvl>
    <w:lvl w:ilvl="6" w:tplc="B9F69C1E">
      <w:start w:val="1"/>
      <w:numFmt w:val="bullet"/>
      <w:lvlText w:val=""/>
      <w:lvlJc w:val="left"/>
      <w:pPr>
        <w:ind w:left="720" w:hanging="360"/>
      </w:pPr>
      <w:rPr>
        <w:rFonts w:ascii="Symbol" w:hAnsi="Symbol"/>
      </w:rPr>
    </w:lvl>
    <w:lvl w:ilvl="7" w:tplc="B516A22C">
      <w:start w:val="1"/>
      <w:numFmt w:val="bullet"/>
      <w:lvlText w:val=""/>
      <w:lvlJc w:val="left"/>
      <w:pPr>
        <w:ind w:left="720" w:hanging="360"/>
      </w:pPr>
      <w:rPr>
        <w:rFonts w:ascii="Symbol" w:hAnsi="Symbol"/>
      </w:rPr>
    </w:lvl>
    <w:lvl w:ilvl="8" w:tplc="F1D62886">
      <w:start w:val="1"/>
      <w:numFmt w:val="bullet"/>
      <w:lvlText w:val=""/>
      <w:lvlJc w:val="left"/>
      <w:pPr>
        <w:ind w:left="720" w:hanging="360"/>
      </w:pPr>
      <w:rPr>
        <w:rFonts w:ascii="Symbol" w:hAnsi="Symbol"/>
      </w:rPr>
    </w:lvl>
  </w:abstractNum>
  <w:abstractNum w:abstractNumId="37" w15:restartNumberingAfterBreak="0">
    <w:nsid w:val="7A8A6540"/>
    <w:multiLevelType w:val="hybridMultilevel"/>
    <w:tmpl w:val="4DF40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34"/>
  </w:num>
  <w:num w:numId="2" w16cid:durableId="917793048">
    <w:abstractNumId w:val="20"/>
  </w:num>
  <w:num w:numId="3" w16cid:durableId="263461728">
    <w:abstractNumId w:val="0"/>
  </w:num>
  <w:num w:numId="4" w16cid:durableId="989216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592879">
    <w:abstractNumId w:val="13"/>
  </w:num>
  <w:num w:numId="6" w16cid:durableId="220360847">
    <w:abstractNumId w:val="27"/>
  </w:num>
  <w:num w:numId="7" w16cid:durableId="268196418">
    <w:abstractNumId w:val="17"/>
  </w:num>
  <w:num w:numId="8" w16cid:durableId="1048839230">
    <w:abstractNumId w:val="34"/>
  </w:num>
  <w:num w:numId="9" w16cid:durableId="1585529648">
    <w:abstractNumId w:val="18"/>
  </w:num>
  <w:num w:numId="10" w16cid:durableId="188470779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044379">
    <w:abstractNumId w:val="11"/>
  </w:num>
  <w:num w:numId="12" w16cid:durableId="950353987">
    <w:abstractNumId w:val="9"/>
  </w:num>
  <w:num w:numId="13" w16cid:durableId="361831825">
    <w:abstractNumId w:val="28"/>
  </w:num>
  <w:num w:numId="14" w16cid:durableId="397477130">
    <w:abstractNumId w:val="24"/>
  </w:num>
  <w:num w:numId="15" w16cid:durableId="137385949">
    <w:abstractNumId w:val="2"/>
  </w:num>
  <w:num w:numId="16" w16cid:durableId="1385834498">
    <w:abstractNumId w:val="12"/>
  </w:num>
  <w:num w:numId="17" w16cid:durableId="755903537">
    <w:abstractNumId w:val="5"/>
  </w:num>
  <w:num w:numId="18" w16cid:durableId="945236090">
    <w:abstractNumId w:val="7"/>
  </w:num>
  <w:num w:numId="19" w16cid:durableId="1043552504">
    <w:abstractNumId w:val="33"/>
  </w:num>
  <w:num w:numId="20" w16cid:durableId="431630171">
    <w:abstractNumId w:val="37"/>
  </w:num>
  <w:num w:numId="21" w16cid:durableId="1733625524">
    <w:abstractNumId w:val="21"/>
  </w:num>
  <w:num w:numId="22" w16cid:durableId="743840923">
    <w:abstractNumId w:val="4"/>
  </w:num>
  <w:num w:numId="23" w16cid:durableId="223681578">
    <w:abstractNumId w:val="19"/>
  </w:num>
  <w:num w:numId="24" w16cid:durableId="355349127">
    <w:abstractNumId w:val="35"/>
  </w:num>
  <w:num w:numId="25" w16cid:durableId="971985446">
    <w:abstractNumId w:val="8"/>
  </w:num>
  <w:num w:numId="26" w16cid:durableId="1610891865">
    <w:abstractNumId w:val="26"/>
  </w:num>
  <w:num w:numId="27" w16cid:durableId="2063871410">
    <w:abstractNumId w:val="36"/>
  </w:num>
  <w:num w:numId="28" w16cid:durableId="476728416">
    <w:abstractNumId w:val="30"/>
  </w:num>
  <w:num w:numId="29" w16cid:durableId="1754818857">
    <w:abstractNumId w:val="17"/>
  </w:num>
  <w:num w:numId="30" w16cid:durableId="1253857129">
    <w:abstractNumId w:val="17"/>
  </w:num>
  <w:num w:numId="31" w16cid:durableId="1647200761">
    <w:abstractNumId w:val="17"/>
  </w:num>
  <w:num w:numId="32" w16cid:durableId="1568875033">
    <w:abstractNumId w:val="17"/>
  </w:num>
  <w:num w:numId="33" w16cid:durableId="138306036">
    <w:abstractNumId w:val="10"/>
  </w:num>
  <w:num w:numId="34" w16cid:durableId="2112622680">
    <w:abstractNumId w:val="17"/>
  </w:num>
  <w:num w:numId="35" w16cid:durableId="1322660484">
    <w:abstractNumId w:val="17"/>
  </w:num>
  <w:num w:numId="36" w16cid:durableId="126240624">
    <w:abstractNumId w:val="29"/>
  </w:num>
  <w:num w:numId="37" w16cid:durableId="1573005167">
    <w:abstractNumId w:val="22"/>
  </w:num>
  <w:num w:numId="38" w16cid:durableId="1569418770">
    <w:abstractNumId w:val="3"/>
  </w:num>
  <w:num w:numId="39" w16cid:durableId="705176722">
    <w:abstractNumId w:val="1"/>
  </w:num>
  <w:num w:numId="40" w16cid:durableId="1926569401">
    <w:abstractNumId w:val="15"/>
  </w:num>
  <w:num w:numId="41" w16cid:durableId="1979457665">
    <w:abstractNumId w:val="16"/>
  </w:num>
  <w:num w:numId="42" w16cid:durableId="2038313566">
    <w:abstractNumId w:val="14"/>
  </w:num>
  <w:num w:numId="43" w16cid:durableId="209997201">
    <w:abstractNumId w:val="31"/>
  </w:num>
  <w:num w:numId="44" w16cid:durableId="408699874">
    <w:abstractNumId w:val="23"/>
  </w:num>
  <w:num w:numId="45"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5134970">
    <w:abstractNumId w:val="6"/>
  </w:num>
  <w:num w:numId="47" w16cid:durableId="1042440952">
    <w:abstractNumId w:val="17"/>
  </w:num>
  <w:num w:numId="48" w16cid:durableId="635573438">
    <w:abstractNumId w:val="34"/>
  </w:num>
  <w:num w:numId="49" w16cid:durableId="1932425681">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E3B"/>
    <w:rsid w:val="00001E8A"/>
    <w:rsid w:val="00003499"/>
    <w:rsid w:val="000039B7"/>
    <w:rsid w:val="000044AE"/>
    <w:rsid w:val="000048A2"/>
    <w:rsid w:val="00004D77"/>
    <w:rsid w:val="0000529C"/>
    <w:rsid w:val="000056B9"/>
    <w:rsid w:val="00005F5C"/>
    <w:rsid w:val="0000639A"/>
    <w:rsid w:val="0000679E"/>
    <w:rsid w:val="00007683"/>
    <w:rsid w:val="00007858"/>
    <w:rsid w:val="00007E5F"/>
    <w:rsid w:val="00010207"/>
    <w:rsid w:val="000105E2"/>
    <w:rsid w:val="00010837"/>
    <w:rsid w:val="000110CB"/>
    <w:rsid w:val="00011B77"/>
    <w:rsid w:val="00012251"/>
    <w:rsid w:val="00012A7E"/>
    <w:rsid w:val="00013247"/>
    <w:rsid w:val="000140BD"/>
    <w:rsid w:val="000143E4"/>
    <w:rsid w:val="00014FC5"/>
    <w:rsid w:val="0001563D"/>
    <w:rsid w:val="0001577E"/>
    <w:rsid w:val="00015886"/>
    <w:rsid w:val="00015AE3"/>
    <w:rsid w:val="000162EF"/>
    <w:rsid w:val="00016644"/>
    <w:rsid w:val="00016AC3"/>
    <w:rsid w:val="000179DE"/>
    <w:rsid w:val="00017D28"/>
    <w:rsid w:val="000201A0"/>
    <w:rsid w:val="000202AC"/>
    <w:rsid w:val="00020356"/>
    <w:rsid w:val="000207C9"/>
    <w:rsid w:val="00020963"/>
    <w:rsid w:val="00020CB8"/>
    <w:rsid w:val="00020DB5"/>
    <w:rsid w:val="00020E15"/>
    <w:rsid w:val="00021999"/>
    <w:rsid w:val="00021DE1"/>
    <w:rsid w:val="00021EA9"/>
    <w:rsid w:val="00021F29"/>
    <w:rsid w:val="0002225F"/>
    <w:rsid w:val="0002281A"/>
    <w:rsid w:val="000236A5"/>
    <w:rsid w:val="00023763"/>
    <w:rsid w:val="00023814"/>
    <w:rsid w:val="000239AC"/>
    <w:rsid w:val="00023B0B"/>
    <w:rsid w:val="00023C62"/>
    <w:rsid w:val="00023CFD"/>
    <w:rsid w:val="00023FFC"/>
    <w:rsid w:val="00024892"/>
    <w:rsid w:val="00024EB5"/>
    <w:rsid w:val="00025A4C"/>
    <w:rsid w:val="00025BB7"/>
    <w:rsid w:val="00026A41"/>
    <w:rsid w:val="000274B8"/>
    <w:rsid w:val="000274D2"/>
    <w:rsid w:val="00027F6E"/>
    <w:rsid w:val="00030242"/>
    <w:rsid w:val="00030A90"/>
    <w:rsid w:val="00030AB6"/>
    <w:rsid w:val="00030B7C"/>
    <w:rsid w:val="00030F59"/>
    <w:rsid w:val="00031176"/>
    <w:rsid w:val="00031DD3"/>
    <w:rsid w:val="0003285D"/>
    <w:rsid w:val="00032C2B"/>
    <w:rsid w:val="00032CB6"/>
    <w:rsid w:val="00033863"/>
    <w:rsid w:val="000339F6"/>
    <w:rsid w:val="00033BAF"/>
    <w:rsid w:val="00034E7B"/>
    <w:rsid w:val="00034F62"/>
    <w:rsid w:val="00035BAC"/>
    <w:rsid w:val="00035CF5"/>
    <w:rsid w:val="00035DC0"/>
    <w:rsid w:val="00035DD2"/>
    <w:rsid w:val="000364B2"/>
    <w:rsid w:val="00036829"/>
    <w:rsid w:val="00036CBC"/>
    <w:rsid w:val="000373DA"/>
    <w:rsid w:val="00037822"/>
    <w:rsid w:val="000378B8"/>
    <w:rsid w:val="000401BB"/>
    <w:rsid w:val="00040285"/>
    <w:rsid w:val="00040895"/>
    <w:rsid w:val="000410A0"/>
    <w:rsid w:val="000412AD"/>
    <w:rsid w:val="000414AF"/>
    <w:rsid w:val="00041A1A"/>
    <w:rsid w:val="00042205"/>
    <w:rsid w:val="00042341"/>
    <w:rsid w:val="00042386"/>
    <w:rsid w:val="000424E4"/>
    <w:rsid w:val="000429AF"/>
    <w:rsid w:val="00042D07"/>
    <w:rsid w:val="000435EE"/>
    <w:rsid w:val="00043A15"/>
    <w:rsid w:val="00043AEE"/>
    <w:rsid w:val="00043C37"/>
    <w:rsid w:val="000441CE"/>
    <w:rsid w:val="0004426B"/>
    <w:rsid w:val="00044D14"/>
    <w:rsid w:val="00045017"/>
    <w:rsid w:val="00045712"/>
    <w:rsid w:val="00045A2B"/>
    <w:rsid w:val="00045AA0"/>
    <w:rsid w:val="00045DC6"/>
    <w:rsid w:val="0004698F"/>
    <w:rsid w:val="00046D64"/>
    <w:rsid w:val="00047C11"/>
    <w:rsid w:val="00050688"/>
    <w:rsid w:val="000508C2"/>
    <w:rsid w:val="00051645"/>
    <w:rsid w:val="000522CC"/>
    <w:rsid w:val="000522E8"/>
    <w:rsid w:val="0005264C"/>
    <w:rsid w:val="000536B2"/>
    <w:rsid w:val="0005399E"/>
    <w:rsid w:val="000539D0"/>
    <w:rsid w:val="00053F28"/>
    <w:rsid w:val="00054621"/>
    <w:rsid w:val="000546D7"/>
    <w:rsid w:val="000547C1"/>
    <w:rsid w:val="000549BC"/>
    <w:rsid w:val="00054A8D"/>
    <w:rsid w:val="00054D40"/>
    <w:rsid w:val="00054FC6"/>
    <w:rsid w:val="00055AEC"/>
    <w:rsid w:val="00055C1C"/>
    <w:rsid w:val="00055F14"/>
    <w:rsid w:val="000564E0"/>
    <w:rsid w:val="00056ECF"/>
    <w:rsid w:val="00057808"/>
    <w:rsid w:val="000579A8"/>
    <w:rsid w:val="00057A77"/>
    <w:rsid w:val="00057E39"/>
    <w:rsid w:val="0006035E"/>
    <w:rsid w:val="000604DF"/>
    <w:rsid w:val="000605FF"/>
    <w:rsid w:val="00060909"/>
    <w:rsid w:val="00061C1D"/>
    <w:rsid w:val="00062324"/>
    <w:rsid w:val="000627FE"/>
    <w:rsid w:val="000629A1"/>
    <w:rsid w:val="00063486"/>
    <w:rsid w:val="00063859"/>
    <w:rsid w:val="00063DB4"/>
    <w:rsid w:val="00063E22"/>
    <w:rsid w:val="00064B49"/>
    <w:rsid w:val="000653B5"/>
    <w:rsid w:val="00065D6E"/>
    <w:rsid w:val="00066251"/>
    <w:rsid w:val="00066360"/>
    <w:rsid w:val="00066392"/>
    <w:rsid w:val="0006660F"/>
    <w:rsid w:val="00066AF8"/>
    <w:rsid w:val="00066F1C"/>
    <w:rsid w:val="00067C08"/>
    <w:rsid w:val="00067EE6"/>
    <w:rsid w:val="00071248"/>
    <w:rsid w:val="00071854"/>
    <w:rsid w:val="00071CE4"/>
    <w:rsid w:val="000720B9"/>
    <w:rsid w:val="0007293D"/>
    <w:rsid w:val="00072B3C"/>
    <w:rsid w:val="000732C9"/>
    <w:rsid w:val="000733C0"/>
    <w:rsid w:val="000734E4"/>
    <w:rsid w:val="00073500"/>
    <w:rsid w:val="000737F7"/>
    <w:rsid w:val="00073B84"/>
    <w:rsid w:val="00073C93"/>
    <w:rsid w:val="00074271"/>
    <w:rsid w:val="00074A5A"/>
    <w:rsid w:val="00074CFF"/>
    <w:rsid w:val="00074D68"/>
    <w:rsid w:val="00074E2B"/>
    <w:rsid w:val="00074EA4"/>
    <w:rsid w:val="000756C8"/>
    <w:rsid w:val="00075DB9"/>
    <w:rsid w:val="00075FE2"/>
    <w:rsid w:val="0007672F"/>
    <w:rsid w:val="0007686A"/>
    <w:rsid w:val="0007696C"/>
    <w:rsid w:val="00076B54"/>
    <w:rsid w:val="00076D87"/>
    <w:rsid w:val="00077240"/>
    <w:rsid w:val="000773BE"/>
    <w:rsid w:val="000774F0"/>
    <w:rsid w:val="000777E3"/>
    <w:rsid w:val="00077C0A"/>
    <w:rsid w:val="00077F9C"/>
    <w:rsid w:val="000807D9"/>
    <w:rsid w:val="00080909"/>
    <w:rsid w:val="000810B8"/>
    <w:rsid w:val="000812CA"/>
    <w:rsid w:val="00081D4F"/>
    <w:rsid w:val="00081E63"/>
    <w:rsid w:val="0008212C"/>
    <w:rsid w:val="0008258D"/>
    <w:rsid w:val="00082D3C"/>
    <w:rsid w:val="00082FC5"/>
    <w:rsid w:val="000830F6"/>
    <w:rsid w:val="00083E95"/>
    <w:rsid w:val="00083E99"/>
    <w:rsid w:val="00084FA8"/>
    <w:rsid w:val="0008544F"/>
    <w:rsid w:val="000856C5"/>
    <w:rsid w:val="00085C31"/>
    <w:rsid w:val="0008632C"/>
    <w:rsid w:val="00086C61"/>
    <w:rsid w:val="000871AF"/>
    <w:rsid w:val="00087447"/>
    <w:rsid w:val="00087917"/>
    <w:rsid w:val="00087FF4"/>
    <w:rsid w:val="00090131"/>
    <w:rsid w:val="000902D9"/>
    <w:rsid w:val="0009043B"/>
    <w:rsid w:val="00090628"/>
    <w:rsid w:val="00090BDA"/>
    <w:rsid w:val="00090C7E"/>
    <w:rsid w:val="000911AC"/>
    <w:rsid w:val="00091430"/>
    <w:rsid w:val="00092600"/>
    <w:rsid w:val="0009262B"/>
    <w:rsid w:val="00092CC8"/>
    <w:rsid w:val="00093310"/>
    <w:rsid w:val="000938D7"/>
    <w:rsid w:val="000940D0"/>
    <w:rsid w:val="000942F1"/>
    <w:rsid w:val="0009445C"/>
    <w:rsid w:val="000946C4"/>
    <w:rsid w:val="0009475E"/>
    <w:rsid w:val="0009477A"/>
    <w:rsid w:val="00094F0E"/>
    <w:rsid w:val="000951A7"/>
    <w:rsid w:val="00095200"/>
    <w:rsid w:val="00095E7A"/>
    <w:rsid w:val="00095FE5"/>
    <w:rsid w:val="00096284"/>
    <w:rsid w:val="000966E5"/>
    <w:rsid w:val="00097078"/>
    <w:rsid w:val="0009709E"/>
    <w:rsid w:val="00097358"/>
    <w:rsid w:val="000976FC"/>
    <w:rsid w:val="00097E2D"/>
    <w:rsid w:val="00097F75"/>
    <w:rsid w:val="000A0131"/>
    <w:rsid w:val="000A0E66"/>
    <w:rsid w:val="000A1915"/>
    <w:rsid w:val="000A1BC0"/>
    <w:rsid w:val="000A2401"/>
    <w:rsid w:val="000A2BFB"/>
    <w:rsid w:val="000A2EF1"/>
    <w:rsid w:val="000A2F9E"/>
    <w:rsid w:val="000A33AD"/>
    <w:rsid w:val="000A369B"/>
    <w:rsid w:val="000A3E47"/>
    <w:rsid w:val="000A522B"/>
    <w:rsid w:val="000A6005"/>
    <w:rsid w:val="000A6039"/>
    <w:rsid w:val="000A6C17"/>
    <w:rsid w:val="000A742D"/>
    <w:rsid w:val="000A7453"/>
    <w:rsid w:val="000A79EE"/>
    <w:rsid w:val="000A7D08"/>
    <w:rsid w:val="000B0121"/>
    <w:rsid w:val="000B0670"/>
    <w:rsid w:val="000B0E75"/>
    <w:rsid w:val="000B13C2"/>
    <w:rsid w:val="000B169C"/>
    <w:rsid w:val="000B1814"/>
    <w:rsid w:val="000B1BB8"/>
    <w:rsid w:val="000B1C4E"/>
    <w:rsid w:val="000B21D3"/>
    <w:rsid w:val="000B2DCB"/>
    <w:rsid w:val="000B3A0D"/>
    <w:rsid w:val="000B41A2"/>
    <w:rsid w:val="000B46E4"/>
    <w:rsid w:val="000B5CE0"/>
    <w:rsid w:val="000B6388"/>
    <w:rsid w:val="000B6915"/>
    <w:rsid w:val="000B6CAC"/>
    <w:rsid w:val="000B6E40"/>
    <w:rsid w:val="000B705F"/>
    <w:rsid w:val="000B7612"/>
    <w:rsid w:val="000B78AE"/>
    <w:rsid w:val="000B7D57"/>
    <w:rsid w:val="000C102D"/>
    <w:rsid w:val="000C16CD"/>
    <w:rsid w:val="000C1E59"/>
    <w:rsid w:val="000C2059"/>
    <w:rsid w:val="000C214E"/>
    <w:rsid w:val="000C2634"/>
    <w:rsid w:val="000C2BEF"/>
    <w:rsid w:val="000C2E33"/>
    <w:rsid w:val="000C2F74"/>
    <w:rsid w:val="000C34AD"/>
    <w:rsid w:val="000C35BC"/>
    <w:rsid w:val="000C3DF9"/>
    <w:rsid w:val="000C4CF2"/>
    <w:rsid w:val="000C5377"/>
    <w:rsid w:val="000C5E5F"/>
    <w:rsid w:val="000C63CF"/>
    <w:rsid w:val="000C66DC"/>
    <w:rsid w:val="000C6713"/>
    <w:rsid w:val="000C7511"/>
    <w:rsid w:val="000C7D3E"/>
    <w:rsid w:val="000D09D2"/>
    <w:rsid w:val="000D13C6"/>
    <w:rsid w:val="000D1555"/>
    <w:rsid w:val="000D1557"/>
    <w:rsid w:val="000D1BFC"/>
    <w:rsid w:val="000D1D5D"/>
    <w:rsid w:val="000D281A"/>
    <w:rsid w:val="000D2848"/>
    <w:rsid w:val="000D326A"/>
    <w:rsid w:val="000D455B"/>
    <w:rsid w:val="000D47A9"/>
    <w:rsid w:val="000D51FB"/>
    <w:rsid w:val="000D5228"/>
    <w:rsid w:val="000D549D"/>
    <w:rsid w:val="000D5E4C"/>
    <w:rsid w:val="000D6C2D"/>
    <w:rsid w:val="000D71C9"/>
    <w:rsid w:val="000D731B"/>
    <w:rsid w:val="000E03D0"/>
    <w:rsid w:val="000E0640"/>
    <w:rsid w:val="000E135D"/>
    <w:rsid w:val="000E1BB8"/>
    <w:rsid w:val="000E1D15"/>
    <w:rsid w:val="000E1F60"/>
    <w:rsid w:val="000E27AD"/>
    <w:rsid w:val="000E39C6"/>
    <w:rsid w:val="000E4005"/>
    <w:rsid w:val="000E4459"/>
    <w:rsid w:val="000E4F83"/>
    <w:rsid w:val="000E5A31"/>
    <w:rsid w:val="000E6126"/>
    <w:rsid w:val="000E731C"/>
    <w:rsid w:val="000E7497"/>
    <w:rsid w:val="000E7CA8"/>
    <w:rsid w:val="000E7F02"/>
    <w:rsid w:val="000F00BA"/>
    <w:rsid w:val="000F049C"/>
    <w:rsid w:val="000F0AC6"/>
    <w:rsid w:val="000F0C14"/>
    <w:rsid w:val="000F1408"/>
    <w:rsid w:val="000F1886"/>
    <w:rsid w:val="000F1A7B"/>
    <w:rsid w:val="000F2B1D"/>
    <w:rsid w:val="000F2D6C"/>
    <w:rsid w:val="000F2DF9"/>
    <w:rsid w:val="000F3064"/>
    <w:rsid w:val="000F316A"/>
    <w:rsid w:val="000F3BB7"/>
    <w:rsid w:val="000F3C74"/>
    <w:rsid w:val="000F41C6"/>
    <w:rsid w:val="000F4BB8"/>
    <w:rsid w:val="000F4CB3"/>
    <w:rsid w:val="000F4F29"/>
    <w:rsid w:val="000F4FA9"/>
    <w:rsid w:val="000F52E9"/>
    <w:rsid w:val="000F53FB"/>
    <w:rsid w:val="000F69C2"/>
    <w:rsid w:val="000F6DD7"/>
    <w:rsid w:val="000F7127"/>
    <w:rsid w:val="000F73CD"/>
    <w:rsid w:val="000F7B0A"/>
    <w:rsid w:val="000F7B54"/>
    <w:rsid w:val="000F7C37"/>
    <w:rsid w:val="001000B3"/>
    <w:rsid w:val="001007ED"/>
    <w:rsid w:val="00100C46"/>
    <w:rsid w:val="00100F58"/>
    <w:rsid w:val="00100F8A"/>
    <w:rsid w:val="00101507"/>
    <w:rsid w:val="00101676"/>
    <w:rsid w:val="00101689"/>
    <w:rsid w:val="00102B8C"/>
    <w:rsid w:val="00102D16"/>
    <w:rsid w:val="00103B56"/>
    <w:rsid w:val="00103DBA"/>
    <w:rsid w:val="0010414F"/>
    <w:rsid w:val="0010452E"/>
    <w:rsid w:val="00105A65"/>
    <w:rsid w:val="00105AE2"/>
    <w:rsid w:val="00105D38"/>
    <w:rsid w:val="001060C6"/>
    <w:rsid w:val="00106B0C"/>
    <w:rsid w:val="00106B80"/>
    <w:rsid w:val="0011032E"/>
    <w:rsid w:val="0011074C"/>
    <w:rsid w:val="00110964"/>
    <w:rsid w:val="00111C26"/>
    <w:rsid w:val="00111DDA"/>
    <w:rsid w:val="00111E81"/>
    <w:rsid w:val="001122D8"/>
    <w:rsid w:val="001123EF"/>
    <w:rsid w:val="0011262C"/>
    <w:rsid w:val="001128B2"/>
    <w:rsid w:val="00112F19"/>
    <w:rsid w:val="00112F2F"/>
    <w:rsid w:val="0011348B"/>
    <w:rsid w:val="00113721"/>
    <w:rsid w:val="00113F78"/>
    <w:rsid w:val="001143FF"/>
    <w:rsid w:val="00114C75"/>
    <w:rsid w:val="00114E69"/>
    <w:rsid w:val="00115055"/>
    <w:rsid w:val="001150D3"/>
    <w:rsid w:val="001154AC"/>
    <w:rsid w:val="001157ED"/>
    <w:rsid w:val="00115861"/>
    <w:rsid w:val="00115982"/>
    <w:rsid w:val="00115985"/>
    <w:rsid w:val="00115EEB"/>
    <w:rsid w:val="00116B72"/>
    <w:rsid w:val="00116C53"/>
    <w:rsid w:val="00116E57"/>
    <w:rsid w:val="00116EEB"/>
    <w:rsid w:val="00117066"/>
    <w:rsid w:val="001171AE"/>
    <w:rsid w:val="00117BA7"/>
    <w:rsid w:val="00117EEF"/>
    <w:rsid w:val="00117F14"/>
    <w:rsid w:val="0012016D"/>
    <w:rsid w:val="0012084E"/>
    <w:rsid w:val="00120A49"/>
    <w:rsid w:val="00121799"/>
    <w:rsid w:val="00121CC2"/>
    <w:rsid w:val="001222FC"/>
    <w:rsid w:val="0012290D"/>
    <w:rsid w:val="00123902"/>
    <w:rsid w:val="00123A64"/>
    <w:rsid w:val="001242C1"/>
    <w:rsid w:val="00124A51"/>
    <w:rsid w:val="00125334"/>
    <w:rsid w:val="00125559"/>
    <w:rsid w:val="0012573A"/>
    <w:rsid w:val="00126621"/>
    <w:rsid w:val="00126B1D"/>
    <w:rsid w:val="00127620"/>
    <w:rsid w:val="001301E9"/>
    <w:rsid w:val="0013062D"/>
    <w:rsid w:val="00130902"/>
    <w:rsid w:val="001309F2"/>
    <w:rsid w:val="00131225"/>
    <w:rsid w:val="00131A87"/>
    <w:rsid w:val="00131D82"/>
    <w:rsid w:val="00132AED"/>
    <w:rsid w:val="00132B22"/>
    <w:rsid w:val="00132C9C"/>
    <w:rsid w:val="00133D36"/>
    <w:rsid w:val="00134088"/>
    <w:rsid w:val="00134225"/>
    <w:rsid w:val="00134C13"/>
    <w:rsid w:val="00134FC0"/>
    <w:rsid w:val="00135F0A"/>
    <w:rsid w:val="001364DF"/>
    <w:rsid w:val="00136AE1"/>
    <w:rsid w:val="00137645"/>
    <w:rsid w:val="00137766"/>
    <w:rsid w:val="00137CD5"/>
    <w:rsid w:val="00137D27"/>
    <w:rsid w:val="00137F02"/>
    <w:rsid w:val="0014015A"/>
    <w:rsid w:val="001402FE"/>
    <w:rsid w:val="001409F4"/>
    <w:rsid w:val="00140B70"/>
    <w:rsid w:val="00140E99"/>
    <w:rsid w:val="00140F61"/>
    <w:rsid w:val="00141071"/>
    <w:rsid w:val="00141814"/>
    <w:rsid w:val="001419A7"/>
    <w:rsid w:val="00141DA9"/>
    <w:rsid w:val="00142B4C"/>
    <w:rsid w:val="00142C1D"/>
    <w:rsid w:val="00142DCA"/>
    <w:rsid w:val="00143A16"/>
    <w:rsid w:val="00143E96"/>
    <w:rsid w:val="00143F67"/>
    <w:rsid w:val="0014459A"/>
    <w:rsid w:val="00144B31"/>
    <w:rsid w:val="00144DA4"/>
    <w:rsid w:val="00145234"/>
    <w:rsid w:val="00145540"/>
    <w:rsid w:val="0014560C"/>
    <w:rsid w:val="001456B0"/>
    <w:rsid w:val="00145DD2"/>
    <w:rsid w:val="001467DE"/>
    <w:rsid w:val="0015076C"/>
    <w:rsid w:val="00151157"/>
    <w:rsid w:val="001511EE"/>
    <w:rsid w:val="00152AA2"/>
    <w:rsid w:val="0015303D"/>
    <w:rsid w:val="0015351A"/>
    <w:rsid w:val="001537D6"/>
    <w:rsid w:val="00153C89"/>
    <w:rsid w:val="001547AB"/>
    <w:rsid w:val="00155831"/>
    <w:rsid w:val="00155CA3"/>
    <w:rsid w:val="00155DE6"/>
    <w:rsid w:val="0015650C"/>
    <w:rsid w:val="00156F8F"/>
    <w:rsid w:val="00157130"/>
    <w:rsid w:val="001576B1"/>
    <w:rsid w:val="00157B79"/>
    <w:rsid w:val="00157CDD"/>
    <w:rsid w:val="00157EAF"/>
    <w:rsid w:val="0016047B"/>
    <w:rsid w:val="00160811"/>
    <w:rsid w:val="00160A4C"/>
    <w:rsid w:val="0016157B"/>
    <w:rsid w:val="00162193"/>
    <w:rsid w:val="00162913"/>
    <w:rsid w:val="00162EA2"/>
    <w:rsid w:val="00163063"/>
    <w:rsid w:val="0016313E"/>
    <w:rsid w:val="00163E6D"/>
    <w:rsid w:val="00163EFF"/>
    <w:rsid w:val="00163F66"/>
    <w:rsid w:val="001645D7"/>
    <w:rsid w:val="0016478E"/>
    <w:rsid w:val="0016581D"/>
    <w:rsid w:val="00165EC4"/>
    <w:rsid w:val="001660F4"/>
    <w:rsid w:val="0016613B"/>
    <w:rsid w:val="001661FB"/>
    <w:rsid w:val="001666A5"/>
    <w:rsid w:val="0016712C"/>
    <w:rsid w:val="001671A0"/>
    <w:rsid w:val="0016767F"/>
    <w:rsid w:val="00167A45"/>
    <w:rsid w:val="00170C03"/>
    <w:rsid w:val="00170DFF"/>
    <w:rsid w:val="00171260"/>
    <w:rsid w:val="00172517"/>
    <w:rsid w:val="0017263D"/>
    <w:rsid w:val="00172E2C"/>
    <w:rsid w:val="001733AD"/>
    <w:rsid w:val="001734E8"/>
    <w:rsid w:val="00173565"/>
    <w:rsid w:val="00173684"/>
    <w:rsid w:val="001737BE"/>
    <w:rsid w:val="00173B07"/>
    <w:rsid w:val="00173D45"/>
    <w:rsid w:val="001748C9"/>
    <w:rsid w:val="001750AC"/>
    <w:rsid w:val="0017515E"/>
    <w:rsid w:val="00175191"/>
    <w:rsid w:val="001751FA"/>
    <w:rsid w:val="0017567F"/>
    <w:rsid w:val="00175B3F"/>
    <w:rsid w:val="00175EF9"/>
    <w:rsid w:val="00176675"/>
    <w:rsid w:val="00176788"/>
    <w:rsid w:val="0017722B"/>
    <w:rsid w:val="00177A94"/>
    <w:rsid w:val="0018031F"/>
    <w:rsid w:val="0018070B"/>
    <w:rsid w:val="0018076E"/>
    <w:rsid w:val="001810BE"/>
    <w:rsid w:val="00181476"/>
    <w:rsid w:val="00181C10"/>
    <w:rsid w:val="00181D9C"/>
    <w:rsid w:val="001829E1"/>
    <w:rsid w:val="0018313F"/>
    <w:rsid w:val="001831B4"/>
    <w:rsid w:val="00183737"/>
    <w:rsid w:val="001837FF"/>
    <w:rsid w:val="00183BE8"/>
    <w:rsid w:val="00183C05"/>
    <w:rsid w:val="00183CAF"/>
    <w:rsid w:val="00183F77"/>
    <w:rsid w:val="001840A7"/>
    <w:rsid w:val="00184B0E"/>
    <w:rsid w:val="001853BA"/>
    <w:rsid w:val="0018588D"/>
    <w:rsid w:val="00186909"/>
    <w:rsid w:val="00187405"/>
    <w:rsid w:val="0018752F"/>
    <w:rsid w:val="00192127"/>
    <w:rsid w:val="001929C6"/>
    <w:rsid w:val="00192ADE"/>
    <w:rsid w:val="00192D85"/>
    <w:rsid w:val="001930A4"/>
    <w:rsid w:val="00193235"/>
    <w:rsid w:val="00193838"/>
    <w:rsid w:val="001938BA"/>
    <w:rsid w:val="00194AD8"/>
    <w:rsid w:val="00195222"/>
    <w:rsid w:val="001952D2"/>
    <w:rsid w:val="00195452"/>
    <w:rsid w:val="00195BD0"/>
    <w:rsid w:val="001969F7"/>
    <w:rsid w:val="00197265"/>
    <w:rsid w:val="001975D8"/>
    <w:rsid w:val="00197C79"/>
    <w:rsid w:val="001A035E"/>
    <w:rsid w:val="001A0D62"/>
    <w:rsid w:val="001A0ECE"/>
    <w:rsid w:val="001A132F"/>
    <w:rsid w:val="001A1374"/>
    <w:rsid w:val="001A178E"/>
    <w:rsid w:val="001A28C7"/>
    <w:rsid w:val="001A43FA"/>
    <w:rsid w:val="001A47C5"/>
    <w:rsid w:val="001A4B32"/>
    <w:rsid w:val="001A55C6"/>
    <w:rsid w:val="001A59FB"/>
    <w:rsid w:val="001A5E9E"/>
    <w:rsid w:val="001A6354"/>
    <w:rsid w:val="001A6366"/>
    <w:rsid w:val="001A77CC"/>
    <w:rsid w:val="001A7AE8"/>
    <w:rsid w:val="001A7AF2"/>
    <w:rsid w:val="001A7F07"/>
    <w:rsid w:val="001B0288"/>
    <w:rsid w:val="001B03B6"/>
    <w:rsid w:val="001B0C88"/>
    <w:rsid w:val="001B0D88"/>
    <w:rsid w:val="001B1957"/>
    <w:rsid w:val="001B1D8A"/>
    <w:rsid w:val="001B204E"/>
    <w:rsid w:val="001B2372"/>
    <w:rsid w:val="001B26D4"/>
    <w:rsid w:val="001B3443"/>
    <w:rsid w:val="001B4AC3"/>
    <w:rsid w:val="001B4C9C"/>
    <w:rsid w:val="001B4D20"/>
    <w:rsid w:val="001B6651"/>
    <w:rsid w:val="001B6F4E"/>
    <w:rsid w:val="001B7EA1"/>
    <w:rsid w:val="001B7F84"/>
    <w:rsid w:val="001C1238"/>
    <w:rsid w:val="001C1D17"/>
    <w:rsid w:val="001C2A9B"/>
    <w:rsid w:val="001C347C"/>
    <w:rsid w:val="001C35B1"/>
    <w:rsid w:val="001C3DD6"/>
    <w:rsid w:val="001C4299"/>
    <w:rsid w:val="001C4874"/>
    <w:rsid w:val="001C48E6"/>
    <w:rsid w:val="001C4E18"/>
    <w:rsid w:val="001C5027"/>
    <w:rsid w:val="001C509F"/>
    <w:rsid w:val="001C5177"/>
    <w:rsid w:val="001C570B"/>
    <w:rsid w:val="001C5902"/>
    <w:rsid w:val="001C5A13"/>
    <w:rsid w:val="001C5A82"/>
    <w:rsid w:val="001C5F94"/>
    <w:rsid w:val="001C6143"/>
    <w:rsid w:val="001C6E66"/>
    <w:rsid w:val="001C6F79"/>
    <w:rsid w:val="001C705A"/>
    <w:rsid w:val="001C7480"/>
    <w:rsid w:val="001C797F"/>
    <w:rsid w:val="001C7B25"/>
    <w:rsid w:val="001C7C78"/>
    <w:rsid w:val="001C7ECC"/>
    <w:rsid w:val="001D1100"/>
    <w:rsid w:val="001D130A"/>
    <w:rsid w:val="001D1391"/>
    <w:rsid w:val="001D16C1"/>
    <w:rsid w:val="001D2229"/>
    <w:rsid w:val="001D25D7"/>
    <w:rsid w:val="001D2C69"/>
    <w:rsid w:val="001D2EEB"/>
    <w:rsid w:val="001D331E"/>
    <w:rsid w:val="001D38DD"/>
    <w:rsid w:val="001D400E"/>
    <w:rsid w:val="001D44C7"/>
    <w:rsid w:val="001D4531"/>
    <w:rsid w:val="001D4BBB"/>
    <w:rsid w:val="001D50B2"/>
    <w:rsid w:val="001D5813"/>
    <w:rsid w:val="001D6865"/>
    <w:rsid w:val="001D6A30"/>
    <w:rsid w:val="001D71F4"/>
    <w:rsid w:val="001D7645"/>
    <w:rsid w:val="001D7FD2"/>
    <w:rsid w:val="001E003F"/>
    <w:rsid w:val="001E0FD6"/>
    <w:rsid w:val="001E1C3A"/>
    <w:rsid w:val="001E1E86"/>
    <w:rsid w:val="001E2125"/>
    <w:rsid w:val="001E212C"/>
    <w:rsid w:val="001E238E"/>
    <w:rsid w:val="001E2483"/>
    <w:rsid w:val="001E2711"/>
    <w:rsid w:val="001E2B1E"/>
    <w:rsid w:val="001E2CFF"/>
    <w:rsid w:val="001E2F24"/>
    <w:rsid w:val="001E301A"/>
    <w:rsid w:val="001E30D4"/>
    <w:rsid w:val="001E3350"/>
    <w:rsid w:val="001E34DF"/>
    <w:rsid w:val="001E4292"/>
    <w:rsid w:val="001E4442"/>
    <w:rsid w:val="001E5245"/>
    <w:rsid w:val="001E52EB"/>
    <w:rsid w:val="001E55FC"/>
    <w:rsid w:val="001E61D2"/>
    <w:rsid w:val="001E6EA9"/>
    <w:rsid w:val="001E6ECD"/>
    <w:rsid w:val="001E740C"/>
    <w:rsid w:val="001E7526"/>
    <w:rsid w:val="001F0CF6"/>
    <w:rsid w:val="001F1235"/>
    <w:rsid w:val="001F147E"/>
    <w:rsid w:val="001F1AED"/>
    <w:rsid w:val="001F1CB3"/>
    <w:rsid w:val="001F1CC3"/>
    <w:rsid w:val="001F2127"/>
    <w:rsid w:val="001F216B"/>
    <w:rsid w:val="001F237D"/>
    <w:rsid w:val="001F2457"/>
    <w:rsid w:val="001F33AC"/>
    <w:rsid w:val="001F347C"/>
    <w:rsid w:val="001F38B5"/>
    <w:rsid w:val="001F3BEC"/>
    <w:rsid w:val="001F4081"/>
    <w:rsid w:val="001F4118"/>
    <w:rsid w:val="001F45BC"/>
    <w:rsid w:val="001F4720"/>
    <w:rsid w:val="001F4D07"/>
    <w:rsid w:val="001F4F13"/>
    <w:rsid w:val="001F51F3"/>
    <w:rsid w:val="001F5277"/>
    <w:rsid w:val="001F58EF"/>
    <w:rsid w:val="001F5C12"/>
    <w:rsid w:val="001F7056"/>
    <w:rsid w:val="001F7361"/>
    <w:rsid w:val="001F7FD3"/>
    <w:rsid w:val="00200074"/>
    <w:rsid w:val="00200780"/>
    <w:rsid w:val="00200C30"/>
    <w:rsid w:val="002011B0"/>
    <w:rsid w:val="00201A02"/>
    <w:rsid w:val="00201F21"/>
    <w:rsid w:val="002027C6"/>
    <w:rsid w:val="00202A47"/>
    <w:rsid w:val="00203181"/>
    <w:rsid w:val="00203369"/>
    <w:rsid w:val="00203783"/>
    <w:rsid w:val="0020385F"/>
    <w:rsid w:val="002047A1"/>
    <w:rsid w:val="002047DA"/>
    <w:rsid w:val="00204A3C"/>
    <w:rsid w:val="00204C53"/>
    <w:rsid w:val="0020521D"/>
    <w:rsid w:val="002055F0"/>
    <w:rsid w:val="00205B2D"/>
    <w:rsid w:val="002068A0"/>
    <w:rsid w:val="00207021"/>
    <w:rsid w:val="0020732F"/>
    <w:rsid w:val="002075B7"/>
    <w:rsid w:val="00207D00"/>
    <w:rsid w:val="002100F4"/>
    <w:rsid w:val="00210336"/>
    <w:rsid w:val="002105C1"/>
    <w:rsid w:val="00210A37"/>
    <w:rsid w:val="00210B15"/>
    <w:rsid w:val="00210FE8"/>
    <w:rsid w:val="0021110D"/>
    <w:rsid w:val="002116FD"/>
    <w:rsid w:val="00211729"/>
    <w:rsid w:val="002122F3"/>
    <w:rsid w:val="0021264B"/>
    <w:rsid w:val="00213123"/>
    <w:rsid w:val="00213D9B"/>
    <w:rsid w:val="00213E29"/>
    <w:rsid w:val="00213EF5"/>
    <w:rsid w:val="0021430B"/>
    <w:rsid w:val="00214A3C"/>
    <w:rsid w:val="00215905"/>
    <w:rsid w:val="00215DA2"/>
    <w:rsid w:val="00215E55"/>
    <w:rsid w:val="00216BF5"/>
    <w:rsid w:val="00216C81"/>
    <w:rsid w:val="0021743F"/>
    <w:rsid w:val="002207CA"/>
    <w:rsid w:val="00220AF1"/>
    <w:rsid w:val="00221144"/>
    <w:rsid w:val="00221E22"/>
    <w:rsid w:val="002229EE"/>
    <w:rsid w:val="00222E2E"/>
    <w:rsid w:val="00223073"/>
    <w:rsid w:val="00223B49"/>
    <w:rsid w:val="00223C0C"/>
    <w:rsid w:val="00223D5A"/>
    <w:rsid w:val="0022458B"/>
    <w:rsid w:val="002249DE"/>
    <w:rsid w:val="00224DD4"/>
    <w:rsid w:val="002257EF"/>
    <w:rsid w:val="0022583C"/>
    <w:rsid w:val="00225CF8"/>
    <w:rsid w:val="00226512"/>
    <w:rsid w:val="0022658F"/>
    <w:rsid w:val="002278A0"/>
    <w:rsid w:val="00227B57"/>
    <w:rsid w:val="002309CC"/>
    <w:rsid w:val="00230E20"/>
    <w:rsid w:val="0023111E"/>
    <w:rsid w:val="002315BB"/>
    <w:rsid w:val="00231BA9"/>
    <w:rsid w:val="0023209F"/>
    <w:rsid w:val="00232385"/>
    <w:rsid w:val="0023383A"/>
    <w:rsid w:val="00233A38"/>
    <w:rsid w:val="00233C01"/>
    <w:rsid w:val="0023413C"/>
    <w:rsid w:val="00234372"/>
    <w:rsid w:val="002346F0"/>
    <w:rsid w:val="00234C0B"/>
    <w:rsid w:val="00234DAC"/>
    <w:rsid w:val="00235352"/>
    <w:rsid w:val="0023586C"/>
    <w:rsid w:val="00235DA9"/>
    <w:rsid w:val="00236083"/>
    <w:rsid w:val="0023617A"/>
    <w:rsid w:val="002361B4"/>
    <w:rsid w:val="002361BD"/>
    <w:rsid w:val="0023629D"/>
    <w:rsid w:val="00236547"/>
    <w:rsid w:val="00236E88"/>
    <w:rsid w:val="00237255"/>
    <w:rsid w:val="00237B7D"/>
    <w:rsid w:val="002406B5"/>
    <w:rsid w:val="00240AE8"/>
    <w:rsid w:val="0024159E"/>
    <w:rsid w:val="00241904"/>
    <w:rsid w:val="0024213C"/>
    <w:rsid w:val="002424AF"/>
    <w:rsid w:val="00243963"/>
    <w:rsid w:val="002439DC"/>
    <w:rsid w:val="002441D2"/>
    <w:rsid w:val="00244B18"/>
    <w:rsid w:val="00244BAC"/>
    <w:rsid w:val="00244DC8"/>
    <w:rsid w:val="00244DFD"/>
    <w:rsid w:val="00244FBC"/>
    <w:rsid w:val="002458BA"/>
    <w:rsid w:val="00245CE9"/>
    <w:rsid w:val="00245FE3"/>
    <w:rsid w:val="0024636C"/>
    <w:rsid w:val="002467E7"/>
    <w:rsid w:val="0024696F"/>
    <w:rsid w:val="00246FF5"/>
    <w:rsid w:val="00247680"/>
    <w:rsid w:val="00247925"/>
    <w:rsid w:val="00250250"/>
    <w:rsid w:val="00250424"/>
    <w:rsid w:val="00250830"/>
    <w:rsid w:val="00250B9B"/>
    <w:rsid w:val="00251006"/>
    <w:rsid w:val="00251358"/>
    <w:rsid w:val="00251D27"/>
    <w:rsid w:val="002523D1"/>
    <w:rsid w:val="002524D5"/>
    <w:rsid w:val="00252649"/>
    <w:rsid w:val="00252841"/>
    <w:rsid w:val="002531BF"/>
    <w:rsid w:val="002535AE"/>
    <w:rsid w:val="00253ABC"/>
    <w:rsid w:val="00253B1D"/>
    <w:rsid w:val="00254B66"/>
    <w:rsid w:val="00254BC0"/>
    <w:rsid w:val="00254DCF"/>
    <w:rsid w:val="00254FFF"/>
    <w:rsid w:val="0025534B"/>
    <w:rsid w:val="00255BB7"/>
    <w:rsid w:val="002566B3"/>
    <w:rsid w:val="00257541"/>
    <w:rsid w:val="00257585"/>
    <w:rsid w:val="00257A39"/>
    <w:rsid w:val="00257AC4"/>
    <w:rsid w:val="00257BBE"/>
    <w:rsid w:val="00260C26"/>
    <w:rsid w:val="002612E3"/>
    <w:rsid w:val="00261364"/>
    <w:rsid w:val="00261EEF"/>
    <w:rsid w:val="00262986"/>
    <w:rsid w:val="00262A1A"/>
    <w:rsid w:val="00262A87"/>
    <w:rsid w:val="00262D2C"/>
    <w:rsid w:val="00262FA9"/>
    <w:rsid w:val="002631D3"/>
    <w:rsid w:val="002646AF"/>
    <w:rsid w:val="00264D26"/>
    <w:rsid w:val="00264E11"/>
    <w:rsid w:val="00264F2B"/>
    <w:rsid w:val="002653D8"/>
    <w:rsid w:val="002663D9"/>
    <w:rsid w:val="0026720E"/>
    <w:rsid w:val="00267642"/>
    <w:rsid w:val="00267AEA"/>
    <w:rsid w:val="002700E6"/>
    <w:rsid w:val="00270257"/>
    <w:rsid w:val="0027109F"/>
    <w:rsid w:val="00271432"/>
    <w:rsid w:val="002714C9"/>
    <w:rsid w:val="00271C78"/>
    <w:rsid w:val="0027235D"/>
    <w:rsid w:val="0027294B"/>
    <w:rsid w:val="00272C2A"/>
    <w:rsid w:val="00272DAF"/>
    <w:rsid w:val="00273078"/>
    <w:rsid w:val="00273EB4"/>
    <w:rsid w:val="00273EF5"/>
    <w:rsid w:val="002744EF"/>
    <w:rsid w:val="0027457B"/>
    <w:rsid w:val="00274682"/>
    <w:rsid w:val="00274C75"/>
    <w:rsid w:val="00275158"/>
    <w:rsid w:val="00275BC0"/>
    <w:rsid w:val="00275C5A"/>
    <w:rsid w:val="0027611B"/>
    <w:rsid w:val="002761AF"/>
    <w:rsid w:val="002769FF"/>
    <w:rsid w:val="00276E0A"/>
    <w:rsid w:val="00277D92"/>
    <w:rsid w:val="00277E04"/>
    <w:rsid w:val="0028009E"/>
    <w:rsid w:val="00280432"/>
    <w:rsid w:val="00280632"/>
    <w:rsid w:val="00280847"/>
    <w:rsid w:val="00280848"/>
    <w:rsid w:val="00280919"/>
    <w:rsid w:val="00280AFE"/>
    <w:rsid w:val="00281014"/>
    <w:rsid w:val="002810D5"/>
    <w:rsid w:val="00281363"/>
    <w:rsid w:val="0028141C"/>
    <w:rsid w:val="00281D3D"/>
    <w:rsid w:val="002820B7"/>
    <w:rsid w:val="00282C8C"/>
    <w:rsid w:val="00282F13"/>
    <w:rsid w:val="00283AF0"/>
    <w:rsid w:val="00285184"/>
    <w:rsid w:val="002858DB"/>
    <w:rsid w:val="00285ACC"/>
    <w:rsid w:val="00285BCE"/>
    <w:rsid w:val="0028665D"/>
    <w:rsid w:val="00286ADA"/>
    <w:rsid w:val="00287727"/>
    <w:rsid w:val="002902A3"/>
    <w:rsid w:val="0029074D"/>
    <w:rsid w:val="00290931"/>
    <w:rsid w:val="002909EF"/>
    <w:rsid w:val="00291A40"/>
    <w:rsid w:val="00292136"/>
    <w:rsid w:val="00292739"/>
    <w:rsid w:val="002927A0"/>
    <w:rsid w:val="00292A69"/>
    <w:rsid w:val="00292CFC"/>
    <w:rsid w:val="002932EF"/>
    <w:rsid w:val="00293985"/>
    <w:rsid w:val="002948E3"/>
    <w:rsid w:val="00294E64"/>
    <w:rsid w:val="002951D2"/>
    <w:rsid w:val="00295979"/>
    <w:rsid w:val="00295990"/>
    <w:rsid w:val="00296542"/>
    <w:rsid w:val="00296B1C"/>
    <w:rsid w:val="00296E40"/>
    <w:rsid w:val="00296FB0"/>
    <w:rsid w:val="00297466"/>
    <w:rsid w:val="00297BB2"/>
    <w:rsid w:val="00297EAE"/>
    <w:rsid w:val="002A09AF"/>
    <w:rsid w:val="002A0C28"/>
    <w:rsid w:val="002A14AB"/>
    <w:rsid w:val="002A1625"/>
    <w:rsid w:val="002A24F7"/>
    <w:rsid w:val="002A29DD"/>
    <w:rsid w:val="002A2ADE"/>
    <w:rsid w:val="002A2CD3"/>
    <w:rsid w:val="002A2F50"/>
    <w:rsid w:val="002A3491"/>
    <w:rsid w:val="002A37DB"/>
    <w:rsid w:val="002A399B"/>
    <w:rsid w:val="002A59B8"/>
    <w:rsid w:val="002A716C"/>
    <w:rsid w:val="002A71D4"/>
    <w:rsid w:val="002A75B5"/>
    <w:rsid w:val="002A7943"/>
    <w:rsid w:val="002A7B00"/>
    <w:rsid w:val="002A7B6C"/>
    <w:rsid w:val="002A7D35"/>
    <w:rsid w:val="002B0528"/>
    <w:rsid w:val="002B05A1"/>
    <w:rsid w:val="002B08A2"/>
    <w:rsid w:val="002B09A4"/>
    <w:rsid w:val="002B1733"/>
    <w:rsid w:val="002B1C1F"/>
    <w:rsid w:val="002B1E36"/>
    <w:rsid w:val="002B1FA3"/>
    <w:rsid w:val="002B27AC"/>
    <w:rsid w:val="002B36A6"/>
    <w:rsid w:val="002B37CF"/>
    <w:rsid w:val="002B3923"/>
    <w:rsid w:val="002B3989"/>
    <w:rsid w:val="002B432F"/>
    <w:rsid w:val="002B4571"/>
    <w:rsid w:val="002B52E5"/>
    <w:rsid w:val="002B54C0"/>
    <w:rsid w:val="002B594E"/>
    <w:rsid w:val="002B5F63"/>
    <w:rsid w:val="002B604D"/>
    <w:rsid w:val="002B62B3"/>
    <w:rsid w:val="002B6754"/>
    <w:rsid w:val="002B6CCE"/>
    <w:rsid w:val="002B6E8C"/>
    <w:rsid w:val="002B6F0B"/>
    <w:rsid w:val="002C0B12"/>
    <w:rsid w:val="002C12A8"/>
    <w:rsid w:val="002C16FE"/>
    <w:rsid w:val="002C1F8A"/>
    <w:rsid w:val="002C2510"/>
    <w:rsid w:val="002C2775"/>
    <w:rsid w:val="002C27C1"/>
    <w:rsid w:val="002C2D3B"/>
    <w:rsid w:val="002C36E3"/>
    <w:rsid w:val="002C39A6"/>
    <w:rsid w:val="002C3D35"/>
    <w:rsid w:val="002C3E6B"/>
    <w:rsid w:val="002C44D9"/>
    <w:rsid w:val="002C452C"/>
    <w:rsid w:val="002C48E0"/>
    <w:rsid w:val="002C48F0"/>
    <w:rsid w:val="002C49A8"/>
    <w:rsid w:val="002C4DC9"/>
    <w:rsid w:val="002C5099"/>
    <w:rsid w:val="002C56C9"/>
    <w:rsid w:val="002C5889"/>
    <w:rsid w:val="002C588B"/>
    <w:rsid w:val="002C5E34"/>
    <w:rsid w:val="002C67FC"/>
    <w:rsid w:val="002C6B8C"/>
    <w:rsid w:val="002C707F"/>
    <w:rsid w:val="002C71CE"/>
    <w:rsid w:val="002C7E5A"/>
    <w:rsid w:val="002C7ECA"/>
    <w:rsid w:val="002C7FB5"/>
    <w:rsid w:val="002D08F8"/>
    <w:rsid w:val="002D0F7C"/>
    <w:rsid w:val="002D19EA"/>
    <w:rsid w:val="002D2554"/>
    <w:rsid w:val="002D2B3D"/>
    <w:rsid w:val="002D2FFE"/>
    <w:rsid w:val="002D3250"/>
    <w:rsid w:val="002D3323"/>
    <w:rsid w:val="002D3343"/>
    <w:rsid w:val="002D341E"/>
    <w:rsid w:val="002D3E50"/>
    <w:rsid w:val="002D55AE"/>
    <w:rsid w:val="002D577C"/>
    <w:rsid w:val="002D72CC"/>
    <w:rsid w:val="002D73FC"/>
    <w:rsid w:val="002D7832"/>
    <w:rsid w:val="002E00FA"/>
    <w:rsid w:val="002E0371"/>
    <w:rsid w:val="002E0379"/>
    <w:rsid w:val="002E05F9"/>
    <w:rsid w:val="002E0F9E"/>
    <w:rsid w:val="002E1071"/>
    <w:rsid w:val="002E10BD"/>
    <w:rsid w:val="002E137C"/>
    <w:rsid w:val="002E15B9"/>
    <w:rsid w:val="002E1936"/>
    <w:rsid w:val="002E1C55"/>
    <w:rsid w:val="002E2158"/>
    <w:rsid w:val="002E28D6"/>
    <w:rsid w:val="002E2B8D"/>
    <w:rsid w:val="002E2E8B"/>
    <w:rsid w:val="002E337A"/>
    <w:rsid w:val="002E3595"/>
    <w:rsid w:val="002E48DF"/>
    <w:rsid w:val="002E4F02"/>
    <w:rsid w:val="002E4F42"/>
    <w:rsid w:val="002E692C"/>
    <w:rsid w:val="002E6DB3"/>
    <w:rsid w:val="002E7128"/>
    <w:rsid w:val="002E7722"/>
    <w:rsid w:val="002E7F72"/>
    <w:rsid w:val="002F0060"/>
    <w:rsid w:val="002F07BA"/>
    <w:rsid w:val="002F0DA9"/>
    <w:rsid w:val="002F1014"/>
    <w:rsid w:val="002F1DD2"/>
    <w:rsid w:val="002F1E3B"/>
    <w:rsid w:val="002F2645"/>
    <w:rsid w:val="002F2929"/>
    <w:rsid w:val="002F3463"/>
    <w:rsid w:val="002F3731"/>
    <w:rsid w:val="002F378F"/>
    <w:rsid w:val="002F385E"/>
    <w:rsid w:val="002F3BC3"/>
    <w:rsid w:val="002F3C94"/>
    <w:rsid w:val="002F3EA9"/>
    <w:rsid w:val="002F4266"/>
    <w:rsid w:val="002F42BB"/>
    <w:rsid w:val="002F43DD"/>
    <w:rsid w:val="002F4BA5"/>
    <w:rsid w:val="002F5AD5"/>
    <w:rsid w:val="002F5F7B"/>
    <w:rsid w:val="002F61FA"/>
    <w:rsid w:val="002F626C"/>
    <w:rsid w:val="002F643C"/>
    <w:rsid w:val="002F667C"/>
    <w:rsid w:val="002F67FB"/>
    <w:rsid w:val="002F6ACC"/>
    <w:rsid w:val="002F71C0"/>
    <w:rsid w:val="002F74F1"/>
    <w:rsid w:val="002F77A9"/>
    <w:rsid w:val="002F7C58"/>
    <w:rsid w:val="0030065F"/>
    <w:rsid w:val="00301017"/>
    <w:rsid w:val="00301297"/>
    <w:rsid w:val="0030155F"/>
    <w:rsid w:val="00301843"/>
    <w:rsid w:val="00301AAF"/>
    <w:rsid w:val="00301EB7"/>
    <w:rsid w:val="00301EE6"/>
    <w:rsid w:val="0030279D"/>
    <w:rsid w:val="00302DDB"/>
    <w:rsid w:val="00302ED0"/>
    <w:rsid w:val="0030360B"/>
    <w:rsid w:val="00303A24"/>
    <w:rsid w:val="00303BA5"/>
    <w:rsid w:val="00303F36"/>
    <w:rsid w:val="003041D9"/>
    <w:rsid w:val="0030513B"/>
    <w:rsid w:val="00305425"/>
    <w:rsid w:val="0030587B"/>
    <w:rsid w:val="00306D45"/>
    <w:rsid w:val="00306D98"/>
    <w:rsid w:val="00307314"/>
    <w:rsid w:val="00307686"/>
    <w:rsid w:val="0030786C"/>
    <w:rsid w:val="0031031A"/>
    <w:rsid w:val="00310981"/>
    <w:rsid w:val="0031100C"/>
    <w:rsid w:val="0031185D"/>
    <w:rsid w:val="00311D9B"/>
    <w:rsid w:val="003124D9"/>
    <w:rsid w:val="00312594"/>
    <w:rsid w:val="00312C26"/>
    <w:rsid w:val="00313584"/>
    <w:rsid w:val="00313E0A"/>
    <w:rsid w:val="003146B2"/>
    <w:rsid w:val="00314902"/>
    <w:rsid w:val="00314FA9"/>
    <w:rsid w:val="00315498"/>
    <w:rsid w:val="00316474"/>
    <w:rsid w:val="00316675"/>
    <w:rsid w:val="00316BE5"/>
    <w:rsid w:val="00317456"/>
    <w:rsid w:val="00317569"/>
    <w:rsid w:val="00317737"/>
    <w:rsid w:val="00317A11"/>
    <w:rsid w:val="00317B11"/>
    <w:rsid w:val="00317EFC"/>
    <w:rsid w:val="00317F2E"/>
    <w:rsid w:val="0032067F"/>
    <w:rsid w:val="00320767"/>
    <w:rsid w:val="00321240"/>
    <w:rsid w:val="00321605"/>
    <w:rsid w:val="00321722"/>
    <w:rsid w:val="00321854"/>
    <w:rsid w:val="0032205D"/>
    <w:rsid w:val="00322107"/>
    <w:rsid w:val="003221E4"/>
    <w:rsid w:val="00322355"/>
    <w:rsid w:val="003226EE"/>
    <w:rsid w:val="00322846"/>
    <w:rsid w:val="003229F6"/>
    <w:rsid w:val="00322B2E"/>
    <w:rsid w:val="00322F89"/>
    <w:rsid w:val="00323309"/>
    <w:rsid w:val="0032450E"/>
    <w:rsid w:val="00325212"/>
    <w:rsid w:val="00325ADB"/>
    <w:rsid w:val="00326DA7"/>
    <w:rsid w:val="00326F48"/>
    <w:rsid w:val="003270E4"/>
    <w:rsid w:val="00327B7E"/>
    <w:rsid w:val="00327E54"/>
    <w:rsid w:val="00330A47"/>
    <w:rsid w:val="00330D2E"/>
    <w:rsid w:val="00330D4D"/>
    <w:rsid w:val="00330DAA"/>
    <w:rsid w:val="00330F5C"/>
    <w:rsid w:val="003325D9"/>
    <w:rsid w:val="003327E3"/>
    <w:rsid w:val="00332979"/>
    <w:rsid w:val="00332A43"/>
    <w:rsid w:val="00332B3F"/>
    <w:rsid w:val="00332EB4"/>
    <w:rsid w:val="0033369B"/>
    <w:rsid w:val="003336B7"/>
    <w:rsid w:val="0033380C"/>
    <w:rsid w:val="00333A95"/>
    <w:rsid w:val="00335F3F"/>
    <w:rsid w:val="003366C9"/>
    <w:rsid w:val="003371B0"/>
    <w:rsid w:val="00337A99"/>
    <w:rsid w:val="00337BA6"/>
    <w:rsid w:val="00340652"/>
    <w:rsid w:val="00340872"/>
    <w:rsid w:val="00340DF1"/>
    <w:rsid w:val="003412FD"/>
    <w:rsid w:val="00341885"/>
    <w:rsid w:val="00341F32"/>
    <w:rsid w:val="00342019"/>
    <w:rsid w:val="00343301"/>
    <w:rsid w:val="00343660"/>
    <w:rsid w:val="00343EF1"/>
    <w:rsid w:val="003449A1"/>
    <w:rsid w:val="00344C88"/>
    <w:rsid w:val="00344F5F"/>
    <w:rsid w:val="0034530B"/>
    <w:rsid w:val="00345A4A"/>
    <w:rsid w:val="00346CF5"/>
    <w:rsid w:val="003471E1"/>
    <w:rsid w:val="00347393"/>
    <w:rsid w:val="00347ADE"/>
    <w:rsid w:val="00347F3F"/>
    <w:rsid w:val="0035066B"/>
    <w:rsid w:val="00350E5F"/>
    <w:rsid w:val="003516C2"/>
    <w:rsid w:val="003517F9"/>
    <w:rsid w:val="00351BA9"/>
    <w:rsid w:val="00352494"/>
    <w:rsid w:val="00352647"/>
    <w:rsid w:val="00352902"/>
    <w:rsid w:val="00352FB4"/>
    <w:rsid w:val="00353DDF"/>
    <w:rsid w:val="0035458D"/>
    <w:rsid w:val="00354634"/>
    <w:rsid w:val="00354DC1"/>
    <w:rsid w:val="00354E4A"/>
    <w:rsid w:val="00354F64"/>
    <w:rsid w:val="0035582F"/>
    <w:rsid w:val="0035620E"/>
    <w:rsid w:val="003573FB"/>
    <w:rsid w:val="003575BE"/>
    <w:rsid w:val="003576E1"/>
    <w:rsid w:val="00360035"/>
    <w:rsid w:val="00360345"/>
    <w:rsid w:val="0036048A"/>
    <w:rsid w:val="0036050B"/>
    <w:rsid w:val="0036066F"/>
    <w:rsid w:val="0036078A"/>
    <w:rsid w:val="00360E56"/>
    <w:rsid w:val="003610DD"/>
    <w:rsid w:val="00361A05"/>
    <w:rsid w:val="0036227D"/>
    <w:rsid w:val="0036244B"/>
    <w:rsid w:val="003624C4"/>
    <w:rsid w:val="00363159"/>
    <w:rsid w:val="003631AE"/>
    <w:rsid w:val="00363769"/>
    <w:rsid w:val="0036381D"/>
    <w:rsid w:val="00363B00"/>
    <w:rsid w:val="00363E5A"/>
    <w:rsid w:val="00364F92"/>
    <w:rsid w:val="003654AC"/>
    <w:rsid w:val="003658E0"/>
    <w:rsid w:val="00365906"/>
    <w:rsid w:val="00365B78"/>
    <w:rsid w:val="00365BBE"/>
    <w:rsid w:val="00365F14"/>
    <w:rsid w:val="00367275"/>
    <w:rsid w:val="003674E6"/>
    <w:rsid w:val="00370B6A"/>
    <w:rsid w:val="003710CF"/>
    <w:rsid w:val="003717BA"/>
    <w:rsid w:val="00371B0F"/>
    <w:rsid w:val="00371DDF"/>
    <w:rsid w:val="003726C4"/>
    <w:rsid w:val="0037277C"/>
    <w:rsid w:val="0037358A"/>
    <w:rsid w:val="00373718"/>
    <w:rsid w:val="00374A8D"/>
    <w:rsid w:val="0037500A"/>
    <w:rsid w:val="003750F6"/>
    <w:rsid w:val="003752DD"/>
    <w:rsid w:val="00375C56"/>
    <w:rsid w:val="00375D7B"/>
    <w:rsid w:val="00375FFA"/>
    <w:rsid w:val="003760FC"/>
    <w:rsid w:val="003766AB"/>
    <w:rsid w:val="00376B00"/>
    <w:rsid w:val="00376F54"/>
    <w:rsid w:val="003802EA"/>
    <w:rsid w:val="00380EF8"/>
    <w:rsid w:val="00380F47"/>
    <w:rsid w:val="00381126"/>
    <w:rsid w:val="003811A0"/>
    <w:rsid w:val="00381265"/>
    <w:rsid w:val="00381D78"/>
    <w:rsid w:val="0038203E"/>
    <w:rsid w:val="003822A3"/>
    <w:rsid w:val="00382313"/>
    <w:rsid w:val="0038365C"/>
    <w:rsid w:val="0038369B"/>
    <w:rsid w:val="00383B78"/>
    <w:rsid w:val="00383DD3"/>
    <w:rsid w:val="003840F0"/>
    <w:rsid w:val="003845EC"/>
    <w:rsid w:val="00384B4B"/>
    <w:rsid w:val="00384E3B"/>
    <w:rsid w:val="00385419"/>
    <w:rsid w:val="00385913"/>
    <w:rsid w:val="003859C2"/>
    <w:rsid w:val="00385A9D"/>
    <w:rsid w:val="00385FFB"/>
    <w:rsid w:val="0038688E"/>
    <w:rsid w:val="00386A61"/>
    <w:rsid w:val="00386DF5"/>
    <w:rsid w:val="00386E26"/>
    <w:rsid w:val="00387121"/>
    <w:rsid w:val="00387166"/>
    <w:rsid w:val="003902B1"/>
    <w:rsid w:val="00390792"/>
    <w:rsid w:val="00390EE9"/>
    <w:rsid w:val="003913EB"/>
    <w:rsid w:val="003914AD"/>
    <w:rsid w:val="00391570"/>
    <w:rsid w:val="0039179C"/>
    <w:rsid w:val="00391B21"/>
    <w:rsid w:val="00391B5D"/>
    <w:rsid w:val="0039247D"/>
    <w:rsid w:val="00393DBC"/>
    <w:rsid w:val="003952B9"/>
    <w:rsid w:val="00396760"/>
    <w:rsid w:val="00396896"/>
    <w:rsid w:val="00396B74"/>
    <w:rsid w:val="00396F09"/>
    <w:rsid w:val="00396FD0"/>
    <w:rsid w:val="00397946"/>
    <w:rsid w:val="00397D9A"/>
    <w:rsid w:val="003A00F0"/>
    <w:rsid w:val="003A0CC2"/>
    <w:rsid w:val="003A0FF4"/>
    <w:rsid w:val="003A188D"/>
    <w:rsid w:val="003A1A4D"/>
    <w:rsid w:val="003A1A7A"/>
    <w:rsid w:val="003A1E62"/>
    <w:rsid w:val="003A2230"/>
    <w:rsid w:val="003A229D"/>
    <w:rsid w:val="003A2392"/>
    <w:rsid w:val="003A2831"/>
    <w:rsid w:val="003A35C3"/>
    <w:rsid w:val="003A3CB6"/>
    <w:rsid w:val="003A3E34"/>
    <w:rsid w:val="003A3ED1"/>
    <w:rsid w:val="003A44DB"/>
    <w:rsid w:val="003A4761"/>
    <w:rsid w:val="003A4C14"/>
    <w:rsid w:val="003A4E67"/>
    <w:rsid w:val="003A5EE5"/>
    <w:rsid w:val="003A5F0E"/>
    <w:rsid w:val="003A6DAD"/>
    <w:rsid w:val="003B0607"/>
    <w:rsid w:val="003B07C6"/>
    <w:rsid w:val="003B0C9B"/>
    <w:rsid w:val="003B1D32"/>
    <w:rsid w:val="003B247F"/>
    <w:rsid w:val="003B27CB"/>
    <w:rsid w:val="003B2880"/>
    <w:rsid w:val="003B3971"/>
    <w:rsid w:val="003B3F29"/>
    <w:rsid w:val="003B47AB"/>
    <w:rsid w:val="003B4F30"/>
    <w:rsid w:val="003B5184"/>
    <w:rsid w:val="003B531F"/>
    <w:rsid w:val="003B54FE"/>
    <w:rsid w:val="003B55D1"/>
    <w:rsid w:val="003B5B61"/>
    <w:rsid w:val="003B5BF1"/>
    <w:rsid w:val="003B697F"/>
    <w:rsid w:val="003B71CF"/>
    <w:rsid w:val="003B7589"/>
    <w:rsid w:val="003B75FD"/>
    <w:rsid w:val="003B7D4C"/>
    <w:rsid w:val="003C013D"/>
    <w:rsid w:val="003C01D1"/>
    <w:rsid w:val="003C1654"/>
    <w:rsid w:val="003C1ADA"/>
    <w:rsid w:val="003C2185"/>
    <w:rsid w:val="003C21E2"/>
    <w:rsid w:val="003C25A3"/>
    <w:rsid w:val="003C280A"/>
    <w:rsid w:val="003C2B7B"/>
    <w:rsid w:val="003C2D0F"/>
    <w:rsid w:val="003C321C"/>
    <w:rsid w:val="003C3575"/>
    <w:rsid w:val="003C369A"/>
    <w:rsid w:val="003C5542"/>
    <w:rsid w:val="003C6302"/>
    <w:rsid w:val="003C6DA9"/>
    <w:rsid w:val="003C6E3D"/>
    <w:rsid w:val="003C6E80"/>
    <w:rsid w:val="003C7C15"/>
    <w:rsid w:val="003C7C9F"/>
    <w:rsid w:val="003C7D19"/>
    <w:rsid w:val="003C7D2F"/>
    <w:rsid w:val="003D0BE0"/>
    <w:rsid w:val="003D0C5A"/>
    <w:rsid w:val="003D15F4"/>
    <w:rsid w:val="003D1828"/>
    <w:rsid w:val="003D1DE4"/>
    <w:rsid w:val="003D1E9A"/>
    <w:rsid w:val="003D1FDD"/>
    <w:rsid w:val="003D2422"/>
    <w:rsid w:val="003D2484"/>
    <w:rsid w:val="003D249E"/>
    <w:rsid w:val="003D25F3"/>
    <w:rsid w:val="003D32BB"/>
    <w:rsid w:val="003D38D1"/>
    <w:rsid w:val="003D39A1"/>
    <w:rsid w:val="003D3FBF"/>
    <w:rsid w:val="003D48D0"/>
    <w:rsid w:val="003D4A30"/>
    <w:rsid w:val="003D4A6D"/>
    <w:rsid w:val="003D526D"/>
    <w:rsid w:val="003D60CC"/>
    <w:rsid w:val="003D6298"/>
    <w:rsid w:val="003D6673"/>
    <w:rsid w:val="003D7452"/>
    <w:rsid w:val="003D79BB"/>
    <w:rsid w:val="003D7C98"/>
    <w:rsid w:val="003D7D9D"/>
    <w:rsid w:val="003E03A1"/>
    <w:rsid w:val="003E0543"/>
    <w:rsid w:val="003E1351"/>
    <w:rsid w:val="003E164C"/>
    <w:rsid w:val="003E1F95"/>
    <w:rsid w:val="003E2143"/>
    <w:rsid w:val="003E2D89"/>
    <w:rsid w:val="003E30B0"/>
    <w:rsid w:val="003E3B07"/>
    <w:rsid w:val="003E3C71"/>
    <w:rsid w:val="003E3CDD"/>
    <w:rsid w:val="003E3D52"/>
    <w:rsid w:val="003E403D"/>
    <w:rsid w:val="003E43B3"/>
    <w:rsid w:val="003E536C"/>
    <w:rsid w:val="003E53A6"/>
    <w:rsid w:val="003E5603"/>
    <w:rsid w:val="003E5E6D"/>
    <w:rsid w:val="003E64EC"/>
    <w:rsid w:val="003E6D02"/>
    <w:rsid w:val="003E730A"/>
    <w:rsid w:val="003E749E"/>
    <w:rsid w:val="003E76A8"/>
    <w:rsid w:val="003F0D67"/>
    <w:rsid w:val="003F13B0"/>
    <w:rsid w:val="003F2166"/>
    <w:rsid w:val="003F2F2B"/>
    <w:rsid w:val="003F3282"/>
    <w:rsid w:val="003F354E"/>
    <w:rsid w:val="003F3CF0"/>
    <w:rsid w:val="003F4156"/>
    <w:rsid w:val="003F4B4E"/>
    <w:rsid w:val="003F5ADF"/>
    <w:rsid w:val="003F5B34"/>
    <w:rsid w:val="003F68C5"/>
    <w:rsid w:val="003F6B7E"/>
    <w:rsid w:val="003F6CA6"/>
    <w:rsid w:val="0040037D"/>
    <w:rsid w:val="00400B29"/>
    <w:rsid w:val="004012AC"/>
    <w:rsid w:val="0040141B"/>
    <w:rsid w:val="00401814"/>
    <w:rsid w:val="00401847"/>
    <w:rsid w:val="004022CF"/>
    <w:rsid w:val="00402812"/>
    <w:rsid w:val="0040283D"/>
    <w:rsid w:val="004030D9"/>
    <w:rsid w:val="00403163"/>
    <w:rsid w:val="00403AEB"/>
    <w:rsid w:val="00403B57"/>
    <w:rsid w:val="00404A63"/>
    <w:rsid w:val="00404F06"/>
    <w:rsid w:val="0040504B"/>
    <w:rsid w:val="00405703"/>
    <w:rsid w:val="00405849"/>
    <w:rsid w:val="004059F4"/>
    <w:rsid w:val="00405A18"/>
    <w:rsid w:val="004064E4"/>
    <w:rsid w:val="00406A39"/>
    <w:rsid w:val="00407FE5"/>
    <w:rsid w:val="004101B0"/>
    <w:rsid w:val="00410326"/>
    <w:rsid w:val="00410708"/>
    <w:rsid w:val="00410EC7"/>
    <w:rsid w:val="004112BE"/>
    <w:rsid w:val="00411755"/>
    <w:rsid w:val="00411AB2"/>
    <w:rsid w:val="00411B39"/>
    <w:rsid w:val="004127A7"/>
    <w:rsid w:val="00412AFA"/>
    <w:rsid w:val="004130BD"/>
    <w:rsid w:val="0041317C"/>
    <w:rsid w:val="0041335F"/>
    <w:rsid w:val="00413A1E"/>
    <w:rsid w:val="00414476"/>
    <w:rsid w:val="00414C2E"/>
    <w:rsid w:val="00414E60"/>
    <w:rsid w:val="004151CF"/>
    <w:rsid w:val="00415590"/>
    <w:rsid w:val="00415702"/>
    <w:rsid w:val="00415756"/>
    <w:rsid w:val="0041616E"/>
    <w:rsid w:val="004162A9"/>
    <w:rsid w:val="00416364"/>
    <w:rsid w:val="00416F9B"/>
    <w:rsid w:val="00417579"/>
    <w:rsid w:val="00417D05"/>
    <w:rsid w:val="0042047F"/>
    <w:rsid w:val="00420AA6"/>
    <w:rsid w:val="00420B9F"/>
    <w:rsid w:val="00421367"/>
    <w:rsid w:val="00421496"/>
    <w:rsid w:val="00421875"/>
    <w:rsid w:val="0042192C"/>
    <w:rsid w:val="00422192"/>
    <w:rsid w:val="00422260"/>
    <w:rsid w:val="0042241A"/>
    <w:rsid w:val="004233BC"/>
    <w:rsid w:val="00423845"/>
    <w:rsid w:val="0042413F"/>
    <w:rsid w:val="00424255"/>
    <w:rsid w:val="004254A7"/>
    <w:rsid w:val="0042557E"/>
    <w:rsid w:val="00425E78"/>
    <w:rsid w:val="00426384"/>
    <w:rsid w:val="0042658F"/>
    <w:rsid w:val="00426E44"/>
    <w:rsid w:val="00426E7E"/>
    <w:rsid w:val="00426F75"/>
    <w:rsid w:val="0042743D"/>
    <w:rsid w:val="00427E69"/>
    <w:rsid w:val="00430045"/>
    <w:rsid w:val="0043071A"/>
    <w:rsid w:val="004313F4"/>
    <w:rsid w:val="004319F8"/>
    <w:rsid w:val="00431E55"/>
    <w:rsid w:val="004321F6"/>
    <w:rsid w:val="00432372"/>
    <w:rsid w:val="00433044"/>
    <w:rsid w:val="00433764"/>
    <w:rsid w:val="00434088"/>
    <w:rsid w:val="004346C4"/>
    <w:rsid w:val="00434C4C"/>
    <w:rsid w:val="00435862"/>
    <w:rsid w:val="004358B2"/>
    <w:rsid w:val="00435C96"/>
    <w:rsid w:val="004361B5"/>
    <w:rsid w:val="00436534"/>
    <w:rsid w:val="0043702F"/>
    <w:rsid w:val="00437119"/>
    <w:rsid w:val="004375B9"/>
    <w:rsid w:val="00437951"/>
    <w:rsid w:val="00440750"/>
    <w:rsid w:val="00441824"/>
    <w:rsid w:val="00441E90"/>
    <w:rsid w:val="004428D0"/>
    <w:rsid w:val="00442DC5"/>
    <w:rsid w:val="00443952"/>
    <w:rsid w:val="00444185"/>
    <w:rsid w:val="004443A7"/>
    <w:rsid w:val="00444413"/>
    <w:rsid w:val="0044442C"/>
    <w:rsid w:val="004444E4"/>
    <w:rsid w:val="00444557"/>
    <w:rsid w:val="0044471B"/>
    <w:rsid w:val="0044495B"/>
    <w:rsid w:val="00444AAF"/>
    <w:rsid w:val="004450FF"/>
    <w:rsid w:val="0044515B"/>
    <w:rsid w:val="004454C3"/>
    <w:rsid w:val="00445941"/>
    <w:rsid w:val="00445EE2"/>
    <w:rsid w:val="004463CE"/>
    <w:rsid w:val="0044640A"/>
    <w:rsid w:val="004464EB"/>
    <w:rsid w:val="00447C90"/>
    <w:rsid w:val="00447D26"/>
    <w:rsid w:val="00447DFC"/>
    <w:rsid w:val="00447F26"/>
    <w:rsid w:val="004511EC"/>
    <w:rsid w:val="00451603"/>
    <w:rsid w:val="0045274F"/>
    <w:rsid w:val="00453D5A"/>
    <w:rsid w:val="00453DF1"/>
    <w:rsid w:val="00454445"/>
    <w:rsid w:val="00454D1B"/>
    <w:rsid w:val="00455422"/>
    <w:rsid w:val="00455A49"/>
    <w:rsid w:val="00455C97"/>
    <w:rsid w:val="00455D45"/>
    <w:rsid w:val="00456718"/>
    <w:rsid w:val="004578B1"/>
    <w:rsid w:val="00457921"/>
    <w:rsid w:val="00457A78"/>
    <w:rsid w:val="0046061C"/>
    <w:rsid w:val="004609E3"/>
    <w:rsid w:val="00460EDC"/>
    <w:rsid w:val="00462051"/>
    <w:rsid w:val="004623D6"/>
    <w:rsid w:val="00462A9F"/>
    <w:rsid w:val="00462FB9"/>
    <w:rsid w:val="00463031"/>
    <w:rsid w:val="004633A4"/>
    <w:rsid w:val="00464595"/>
    <w:rsid w:val="004658B5"/>
    <w:rsid w:val="0046607D"/>
    <w:rsid w:val="00466C04"/>
    <w:rsid w:val="004672F0"/>
    <w:rsid w:val="00471C55"/>
    <w:rsid w:val="00471EA5"/>
    <w:rsid w:val="00472090"/>
    <w:rsid w:val="004721E2"/>
    <w:rsid w:val="004725F1"/>
    <w:rsid w:val="00472936"/>
    <w:rsid w:val="00472A1D"/>
    <w:rsid w:val="00472A79"/>
    <w:rsid w:val="00472CEA"/>
    <w:rsid w:val="00473D7A"/>
    <w:rsid w:val="00473F19"/>
    <w:rsid w:val="00474073"/>
    <w:rsid w:val="00474336"/>
    <w:rsid w:val="00474380"/>
    <w:rsid w:val="00474973"/>
    <w:rsid w:val="00474EAD"/>
    <w:rsid w:val="00475C47"/>
    <w:rsid w:val="00475E22"/>
    <w:rsid w:val="0047667C"/>
    <w:rsid w:val="004773BA"/>
    <w:rsid w:val="004776BA"/>
    <w:rsid w:val="004778A3"/>
    <w:rsid w:val="004779FF"/>
    <w:rsid w:val="004806A9"/>
    <w:rsid w:val="0048088E"/>
    <w:rsid w:val="00480B93"/>
    <w:rsid w:val="00480F2B"/>
    <w:rsid w:val="00481E18"/>
    <w:rsid w:val="00481EAB"/>
    <w:rsid w:val="004824C8"/>
    <w:rsid w:val="0048253B"/>
    <w:rsid w:val="00482720"/>
    <w:rsid w:val="004835E7"/>
    <w:rsid w:val="004859E1"/>
    <w:rsid w:val="004867E2"/>
    <w:rsid w:val="00486FB4"/>
    <w:rsid w:val="00487799"/>
    <w:rsid w:val="004877A0"/>
    <w:rsid w:val="00487CCA"/>
    <w:rsid w:val="00487E7F"/>
    <w:rsid w:val="00490082"/>
    <w:rsid w:val="00490AC1"/>
    <w:rsid w:val="00490B17"/>
    <w:rsid w:val="00490F20"/>
    <w:rsid w:val="0049136E"/>
    <w:rsid w:val="00491A88"/>
    <w:rsid w:val="00491B3A"/>
    <w:rsid w:val="00492CCA"/>
    <w:rsid w:val="00492CFD"/>
    <w:rsid w:val="004933BB"/>
    <w:rsid w:val="004935F8"/>
    <w:rsid w:val="004935FB"/>
    <w:rsid w:val="004937A8"/>
    <w:rsid w:val="004939C3"/>
    <w:rsid w:val="00493ECC"/>
    <w:rsid w:val="00494207"/>
    <w:rsid w:val="00494DD5"/>
    <w:rsid w:val="00496234"/>
    <w:rsid w:val="004962D2"/>
    <w:rsid w:val="004965B9"/>
    <w:rsid w:val="00496FF7"/>
    <w:rsid w:val="004A0B46"/>
    <w:rsid w:val="004A0DA1"/>
    <w:rsid w:val="004A13D6"/>
    <w:rsid w:val="004A1685"/>
    <w:rsid w:val="004A1CB2"/>
    <w:rsid w:val="004A1E08"/>
    <w:rsid w:val="004A33D1"/>
    <w:rsid w:val="004A348A"/>
    <w:rsid w:val="004A3EBE"/>
    <w:rsid w:val="004A4FCE"/>
    <w:rsid w:val="004A52E9"/>
    <w:rsid w:val="004A52F4"/>
    <w:rsid w:val="004A6040"/>
    <w:rsid w:val="004A6282"/>
    <w:rsid w:val="004A64CF"/>
    <w:rsid w:val="004A6597"/>
    <w:rsid w:val="004A695A"/>
    <w:rsid w:val="004A6E98"/>
    <w:rsid w:val="004A7786"/>
    <w:rsid w:val="004A7848"/>
    <w:rsid w:val="004A793B"/>
    <w:rsid w:val="004B0100"/>
    <w:rsid w:val="004B0120"/>
    <w:rsid w:val="004B015A"/>
    <w:rsid w:val="004B0858"/>
    <w:rsid w:val="004B121D"/>
    <w:rsid w:val="004B17FE"/>
    <w:rsid w:val="004B1B2E"/>
    <w:rsid w:val="004B1CB4"/>
    <w:rsid w:val="004B2162"/>
    <w:rsid w:val="004B28BE"/>
    <w:rsid w:val="004B2F18"/>
    <w:rsid w:val="004B36AB"/>
    <w:rsid w:val="004B3CDF"/>
    <w:rsid w:val="004B3DDB"/>
    <w:rsid w:val="004B410D"/>
    <w:rsid w:val="004B44FD"/>
    <w:rsid w:val="004B591C"/>
    <w:rsid w:val="004B5CFC"/>
    <w:rsid w:val="004B6458"/>
    <w:rsid w:val="004B676C"/>
    <w:rsid w:val="004B68CA"/>
    <w:rsid w:val="004B69DB"/>
    <w:rsid w:val="004B6DFC"/>
    <w:rsid w:val="004B6F0B"/>
    <w:rsid w:val="004B6F79"/>
    <w:rsid w:val="004B774D"/>
    <w:rsid w:val="004C00F7"/>
    <w:rsid w:val="004C012E"/>
    <w:rsid w:val="004C0733"/>
    <w:rsid w:val="004C2610"/>
    <w:rsid w:val="004C2AC2"/>
    <w:rsid w:val="004C33BC"/>
    <w:rsid w:val="004C3466"/>
    <w:rsid w:val="004C351F"/>
    <w:rsid w:val="004C3917"/>
    <w:rsid w:val="004C3A5E"/>
    <w:rsid w:val="004C3B02"/>
    <w:rsid w:val="004C4AED"/>
    <w:rsid w:val="004C4B37"/>
    <w:rsid w:val="004C4D7E"/>
    <w:rsid w:val="004C52DF"/>
    <w:rsid w:val="004C5BCB"/>
    <w:rsid w:val="004C5E7C"/>
    <w:rsid w:val="004C6365"/>
    <w:rsid w:val="004C6601"/>
    <w:rsid w:val="004C66BE"/>
    <w:rsid w:val="004C6722"/>
    <w:rsid w:val="004C6E19"/>
    <w:rsid w:val="004C75E4"/>
    <w:rsid w:val="004C76C8"/>
    <w:rsid w:val="004D041B"/>
    <w:rsid w:val="004D052F"/>
    <w:rsid w:val="004D0975"/>
    <w:rsid w:val="004D133D"/>
    <w:rsid w:val="004D2631"/>
    <w:rsid w:val="004D2C2D"/>
    <w:rsid w:val="004D3F6B"/>
    <w:rsid w:val="004D4557"/>
    <w:rsid w:val="004D4EB9"/>
    <w:rsid w:val="004D57BE"/>
    <w:rsid w:val="004D5D15"/>
    <w:rsid w:val="004D69B5"/>
    <w:rsid w:val="004D70C2"/>
    <w:rsid w:val="004D7227"/>
    <w:rsid w:val="004D7B5E"/>
    <w:rsid w:val="004E0072"/>
    <w:rsid w:val="004E0B28"/>
    <w:rsid w:val="004E0B64"/>
    <w:rsid w:val="004E0BD4"/>
    <w:rsid w:val="004E0E7F"/>
    <w:rsid w:val="004E0EB8"/>
    <w:rsid w:val="004E18E9"/>
    <w:rsid w:val="004E1FA8"/>
    <w:rsid w:val="004E2106"/>
    <w:rsid w:val="004E2685"/>
    <w:rsid w:val="004E272F"/>
    <w:rsid w:val="004E2ADC"/>
    <w:rsid w:val="004E30F0"/>
    <w:rsid w:val="004E3655"/>
    <w:rsid w:val="004E382E"/>
    <w:rsid w:val="004E3D86"/>
    <w:rsid w:val="004E3D9E"/>
    <w:rsid w:val="004E3F3C"/>
    <w:rsid w:val="004E43B2"/>
    <w:rsid w:val="004E5460"/>
    <w:rsid w:val="004E548F"/>
    <w:rsid w:val="004E5ED3"/>
    <w:rsid w:val="004E6E28"/>
    <w:rsid w:val="004F091D"/>
    <w:rsid w:val="004F16FF"/>
    <w:rsid w:val="004F1A1C"/>
    <w:rsid w:val="004F1D02"/>
    <w:rsid w:val="004F2679"/>
    <w:rsid w:val="004F27F0"/>
    <w:rsid w:val="004F2F21"/>
    <w:rsid w:val="004F3CB4"/>
    <w:rsid w:val="004F3DE5"/>
    <w:rsid w:val="004F4668"/>
    <w:rsid w:val="004F4895"/>
    <w:rsid w:val="004F5084"/>
    <w:rsid w:val="004F50C2"/>
    <w:rsid w:val="004F54FC"/>
    <w:rsid w:val="004F5810"/>
    <w:rsid w:val="004F5E34"/>
    <w:rsid w:val="004F6913"/>
    <w:rsid w:val="004F71B0"/>
    <w:rsid w:val="004F7865"/>
    <w:rsid w:val="004F7DB8"/>
    <w:rsid w:val="0050174E"/>
    <w:rsid w:val="00501854"/>
    <w:rsid w:val="005019F5"/>
    <w:rsid w:val="0050219B"/>
    <w:rsid w:val="0050364F"/>
    <w:rsid w:val="00503862"/>
    <w:rsid w:val="00503F17"/>
    <w:rsid w:val="00503F29"/>
    <w:rsid w:val="00503F3A"/>
    <w:rsid w:val="00504037"/>
    <w:rsid w:val="005045A8"/>
    <w:rsid w:val="00505217"/>
    <w:rsid w:val="005058A7"/>
    <w:rsid w:val="00506292"/>
    <w:rsid w:val="00506803"/>
    <w:rsid w:val="00506928"/>
    <w:rsid w:val="00507463"/>
    <w:rsid w:val="005077EF"/>
    <w:rsid w:val="0050797F"/>
    <w:rsid w:val="00507B59"/>
    <w:rsid w:val="00507CDC"/>
    <w:rsid w:val="00507E2B"/>
    <w:rsid w:val="00507FA7"/>
    <w:rsid w:val="00511A76"/>
    <w:rsid w:val="00511AD5"/>
    <w:rsid w:val="00511BC3"/>
    <w:rsid w:val="00511DC7"/>
    <w:rsid w:val="00511EAA"/>
    <w:rsid w:val="0051276F"/>
    <w:rsid w:val="00512E36"/>
    <w:rsid w:val="005131A3"/>
    <w:rsid w:val="00513320"/>
    <w:rsid w:val="005142C5"/>
    <w:rsid w:val="00514456"/>
    <w:rsid w:val="00514D8C"/>
    <w:rsid w:val="0051501B"/>
    <w:rsid w:val="005152B5"/>
    <w:rsid w:val="00515886"/>
    <w:rsid w:val="00515F82"/>
    <w:rsid w:val="00516E33"/>
    <w:rsid w:val="005171D9"/>
    <w:rsid w:val="0051723C"/>
    <w:rsid w:val="00517313"/>
    <w:rsid w:val="0051760B"/>
    <w:rsid w:val="00520E39"/>
    <w:rsid w:val="0052123C"/>
    <w:rsid w:val="00521319"/>
    <w:rsid w:val="0052181A"/>
    <w:rsid w:val="005218CF"/>
    <w:rsid w:val="005225C2"/>
    <w:rsid w:val="00522BC8"/>
    <w:rsid w:val="00522F63"/>
    <w:rsid w:val="005236FD"/>
    <w:rsid w:val="00523C28"/>
    <w:rsid w:val="00523E9D"/>
    <w:rsid w:val="005256D1"/>
    <w:rsid w:val="00525CEB"/>
    <w:rsid w:val="00525D1B"/>
    <w:rsid w:val="00526611"/>
    <w:rsid w:val="00527455"/>
    <w:rsid w:val="00527775"/>
    <w:rsid w:val="005278FF"/>
    <w:rsid w:val="00527ACA"/>
    <w:rsid w:val="00527DEC"/>
    <w:rsid w:val="0053014A"/>
    <w:rsid w:val="0053092A"/>
    <w:rsid w:val="0053137D"/>
    <w:rsid w:val="0053176B"/>
    <w:rsid w:val="00532007"/>
    <w:rsid w:val="00532217"/>
    <w:rsid w:val="00532545"/>
    <w:rsid w:val="0053256D"/>
    <w:rsid w:val="00532782"/>
    <w:rsid w:val="005327AE"/>
    <w:rsid w:val="00532AD8"/>
    <w:rsid w:val="00532FD7"/>
    <w:rsid w:val="00533407"/>
    <w:rsid w:val="005337E5"/>
    <w:rsid w:val="005341B3"/>
    <w:rsid w:val="0053431D"/>
    <w:rsid w:val="005357CC"/>
    <w:rsid w:val="00535943"/>
    <w:rsid w:val="00535C48"/>
    <w:rsid w:val="005364D4"/>
    <w:rsid w:val="00536F33"/>
    <w:rsid w:val="00536F42"/>
    <w:rsid w:val="00537182"/>
    <w:rsid w:val="005374F4"/>
    <w:rsid w:val="00537CF3"/>
    <w:rsid w:val="0054037E"/>
    <w:rsid w:val="005405E8"/>
    <w:rsid w:val="00541403"/>
    <w:rsid w:val="00541A0A"/>
    <w:rsid w:val="00541EDD"/>
    <w:rsid w:val="00542659"/>
    <w:rsid w:val="00542743"/>
    <w:rsid w:val="00542C2D"/>
    <w:rsid w:val="00542E46"/>
    <w:rsid w:val="00542F35"/>
    <w:rsid w:val="005431CE"/>
    <w:rsid w:val="005439C9"/>
    <w:rsid w:val="00544145"/>
    <w:rsid w:val="00545D67"/>
    <w:rsid w:val="00545D70"/>
    <w:rsid w:val="00546E7A"/>
    <w:rsid w:val="0054737E"/>
    <w:rsid w:val="0054789F"/>
    <w:rsid w:val="005478BD"/>
    <w:rsid w:val="005479E3"/>
    <w:rsid w:val="00550A5F"/>
    <w:rsid w:val="00550C05"/>
    <w:rsid w:val="005515DB"/>
    <w:rsid w:val="005516CA"/>
    <w:rsid w:val="005518D6"/>
    <w:rsid w:val="00551985"/>
    <w:rsid w:val="00552BD3"/>
    <w:rsid w:val="00553287"/>
    <w:rsid w:val="005532A0"/>
    <w:rsid w:val="005550E5"/>
    <w:rsid w:val="00555109"/>
    <w:rsid w:val="00555855"/>
    <w:rsid w:val="00555887"/>
    <w:rsid w:val="00555AC5"/>
    <w:rsid w:val="00556B35"/>
    <w:rsid w:val="00556C6C"/>
    <w:rsid w:val="00557125"/>
    <w:rsid w:val="00557205"/>
    <w:rsid w:val="0055727A"/>
    <w:rsid w:val="0055741A"/>
    <w:rsid w:val="00557E3E"/>
    <w:rsid w:val="00560747"/>
    <w:rsid w:val="00560852"/>
    <w:rsid w:val="005611B7"/>
    <w:rsid w:val="0056136A"/>
    <w:rsid w:val="005618D4"/>
    <w:rsid w:val="00561C95"/>
    <w:rsid w:val="00564132"/>
    <w:rsid w:val="00564867"/>
    <w:rsid w:val="00565C79"/>
    <w:rsid w:val="00565DF0"/>
    <w:rsid w:val="00566410"/>
    <w:rsid w:val="0056650E"/>
    <w:rsid w:val="0056667B"/>
    <w:rsid w:val="0056696F"/>
    <w:rsid w:val="00566C23"/>
    <w:rsid w:val="00570169"/>
    <w:rsid w:val="005701AE"/>
    <w:rsid w:val="005704E7"/>
    <w:rsid w:val="0057053E"/>
    <w:rsid w:val="00570762"/>
    <w:rsid w:val="00570B9D"/>
    <w:rsid w:val="00570DEC"/>
    <w:rsid w:val="00570F58"/>
    <w:rsid w:val="00571A24"/>
    <w:rsid w:val="00572269"/>
    <w:rsid w:val="0057244A"/>
    <w:rsid w:val="00572CC5"/>
    <w:rsid w:val="00572F26"/>
    <w:rsid w:val="00574D53"/>
    <w:rsid w:val="005750C5"/>
    <w:rsid w:val="005752DE"/>
    <w:rsid w:val="00575757"/>
    <w:rsid w:val="00575D60"/>
    <w:rsid w:val="00575D8D"/>
    <w:rsid w:val="00576378"/>
    <w:rsid w:val="00576972"/>
    <w:rsid w:val="005771DB"/>
    <w:rsid w:val="00577244"/>
    <w:rsid w:val="00577248"/>
    <w:rsid w:val="00577536"/>
    <w:rsid w:val="005778AF"/>
    <w:rsid w:val="005803BB"/>
    <w:rsid w:val="00580722"/>
    <w:rsid w:val="00580CC8"/>
    <w:rsid w:val="00580DF6"/>
    <w:rsid w:val="00580E30"/>
    <w:rsid w:val="00581219"/>
    <w:rsid w:val="00581BF8"/>
    <w:rsid w:val="00581DBD"/>
    <w:rsid w:val="0058293D"/>
    <w:rsid w:val="00582A01"/>
    <w:rsid w:val="00582B1F"/>
    <w:rsid w:val="00582D1F"/>
    <w:rsid w:val="0058354F"/>
    <w:rsid w:val="00583699"/>
    <w:rsid w:val="00583BB9"/>
    <w:rsid w:val="00584B1D"/>
    <w:rsid w:val="0058512E"/>
    <w:rsid w:val="005856E3"/>
    <w:rsid w:val="00585CDD"/>
    <w:rsid w:val="00586031"/>
    <w:rsid w:val="005862D5"/>
    <w:rsid w:val="00586478"/>
    <w:rsid w:val="00586600"/>
    <w:rsid w:val="00587058"/>
    <w:rsid w:val="0058742C"/>
    <w:rsid w:val="00590C10"/>
    <w:rsid w:val="00590F43"/>
    <w:rsid w:val="0059173F"/>
    <w:rsid w:val="00591957"/>
    <w:rsid w:val="00592059"/>
    <w:rsid w:val="00592FDE"/>
    <w:rsid w:val="00593E29"/>
    <w:rsid w:val="005943DF"/>
    <w:rsid w:val="0059490E"/>
    <w:rsid w:val="00594EC5"/>
    <w:rsid w:val="0059533D"/>
    <w:rsid w:val="00595493"/>
    <w:rsid w:val="005967A9"/>
    <w:rsid w:val="00597875"/>
    <w:rsid w:val="005978C5"/>
    <w:rsid w:val="0059792F"/>
    <w:rsid w:val="00597BF9"/>
    <w:rsid w:val="005A0021"/>
    <w:rsid w:val="005A0C11"/>
    <w:rsid w:val="005A17D1"/>
    <w:rsid w:val="005A1F73"/>
    <w:rsid w:val="005A2644"/>
    <w:rsid w:val="005A2775"/>
    <w:rsid w:val="005A309A"/>
    <w:rsid w:val="005A373D"/>
    <w:rsid w:val="005A373F"/>
    <w:rsid w:val="005A3D5D"/>
    <w:rsid w:val="005A3DF9"/>
    <w:rsid w:val="005A4D47"/>
    <w:rsid w:val="005A5A6B"/>
    <w:rsid w:val="005A61E0"/>
    <w:rsid w:val="005A6598"/>
    <w:rsid w:val="005A672C"/>
    <w:rsid w:val="005A6DF0"/>
    <w:rsid w:val="005A712A"/>
    <w:rsid w:val="005A732F"/>
    <w:rsid w:val="005A7870"/>
    <w:rsid w:val="005A79AC"/>
    <w:rsid w:val="005A7D2E"/>
    <w:rsid w:val="005B0B58"/>
    <w:rsid w:val="005B126C"/>
    <w:rsid w:val="005B1C77"/>
    <w:rsid w:val="005B230D"/>
    <w:rsid w:val="005B2429"/>
    <w:rsid w:val="005B2BC5"/>
    <w:rsid w:val="005B2C34"/>
    <w:rsid w:val="005B2F15"/>
    <w:rsid w:val="005B314A"/>
    <w:rsid w:val="005B34C0"/>
    <w:rsid w:val="005B3B5F"/>
    <w:rsid w:val="005B3FB2"/>
    <w:rsid w:val="005B420A"/>
    <w:rsid w:val="005B4E53"/>
    <w:rsid w:val="005B5554"/>
    <w:rsid w:val="005B580F"/>
    <w:rsid w:val="005B5857"/>
    <w:rsid w:val="005B5E97"/>
    <w:rsid w:val="005B6251"/>
    <w:rsid w:val="005B6704"/>
    <w:rsid w:val="005C078B"/>
    <w:rsid w:val="005C0AB6"/>
    <w:rsid w:val="005C0E25"/>
    <w:rsid w:val="005C10D6"/>
    <w:rsid w:val="005C1220"/>
    <w:rsid w:val="005C15D8"/>
    <w:rsid w:val="005C19C4"/>
    <w:rsid w:val="005C1B83"/>
    <w:rsid w:val="005C237D"/>
    <w:rsid w:val="005C25FF"/>
    <w:rsid w:val="005C27B4"/>
    <w:rsid w:val="005C2CC7"/>
    <w:rsid w:val="005C2D55"/>
    <w:rsid w:val="005C33B2"/>
    <w:rsid w:val="005C346B"/>
    <w:rsid w:val="005C3811"/>
    <w:rsid w:val="005C48BE"/>
    <w:rsid w:val="005C4C1E"/>
    <w:rsid w:val="005C4F8C"/>
    <w:rsid w:val="005C5280"/>
    <w:rsid w:val="005C5691"/>
    <w:rsid w:val="005C5ABC"/>
    <w:rsid w:val="005C6862"/>
    <w:rsid w:val="005C6FB5"/>
    <w:rsid w:val="005C7234"/>
    <w:rsid w:val="005C76C1"/>
    <w:rsid w:val="005D044D"/>
    <w:rsid w:val="005D06E2"/>
    <w:rsid w:val="005D0ABD"/>
    <w:rsid w:val="005D18AD"/>
    <w:rsid w:val="005D18C1"/>
    <w:rsid w:val="005D20B3"/>
    <w:rsid w:val="005D20FE"/>
    <w:rsid w:val="005D220E"/>
    <w:rsid w:val="005D26B4"/>
    <w:rsid w:val="005D501F"/>
    <w:rsid w:val="005D635E"/>
    <w:rsid w:val="005D6C6E"/>
    <w:rsid w:val="005D716C"/>
    <w:rsid w:val="005D76D6"/>
    <w:rsid w:val="005D77D7"/>
    <w:rsid w:val="005D7BE1"/>
    <w:rsid w:val="005D7BF2"/>
    <w:rsid w:val="005E0392"/>
    <w:rsid w:val="005E0722"/>
    <w:rsid w:val="005E0FBB"/>
    <w:rsid w:val="005E0FDB"/>
    <w:rsid w:val="005E150A"/>
    <w:rsid w:val="005E15A6"/>
    <w:rsid w:val="005E1995"/>
    <w:rsid w:val="005E2BCF"/>
    <w:rsid w:val="005E2ED9"/>
    <w:rsid w:val="005E33AB"/>
    <w:rsid w:val="005E3AAC"/>
    <w:rsid w:val="005E4E39"/>
    <w:rsid w:val="005E5705"/>
    <w:rsid w:val="005E6902"/>
    <w:rsid w:val="005E6CBC"/>
    <w:rsid w:val="005E72FF"/>
    <w:rsid w:val="005E73C0"/>
    <w:rsid w:val="005E7ABB"/>
    <w:rsid w:val="005F042D"/>
    <w:rsid w:val="005F07ED"/>
    <w:rsid w:val="005F0AE3"/>
    <w:rsid w:val="005F2706"/>
    <w:rsid w:val="005F2879"/>
    <w:rsid w:val="005F2B9A"/>
    <w:rsid w:val="005F2DCB"/>
    <w:rsid w:val="005F4147"/>
    <w:rsid w:val="005F47EC"/>
    <w:rsid w:val="005F49A4"/>
    <w:rsid w:val="005F5E09"/>
    <w:rsid w:val="005F6A8F"/>
    <w:rsid w:val="005F6BB7"/>
    <w:rsid w:val="005F712C"/>
    <w:rsid w:val="005F7588"/>
    <w:rsid w:val="005F7C11"/>
    <w:rsid w:val="005F7D74"/>
    <w:rsid w:val="00600074"/>
    <w:rsid w:val="00600157"/>
    <w:rsid w:val="00601BCA"/>
    <w:rsid w:val="006024D3"/>
    <w:rsid w:val="006028D3"/>
    <w:rsid w:val="00602AC0"/>
    <w:rsid w:val="006038B6"/>
    <w:rsid w:val="00603C67"/>
    <w:rsid w:val="00603DB9"/>
    <w:rsid w:val="006049CD"/>
    <w:rsid w:val="00604B79"/>
    <w:rsid w:val="00604ECA"/>
    <w:rsid w:val="00604EF3"/>
    <w:rsid w:val="0060507F"/>
    <w:rsid w:val="006051ED"/>
    <w:rsid w:val="00605E91"/>
    <w:rsid w:val="00605E9C"/>
    <w:rsid w:val="00606995"/>
    <w:rsid w:val="00606A31"/>
    <w:rsid w:val="00606D86"/>
    <w:rsid w:val="00606DD8"/>
    <w:rsid w:val="00606FBA"/>
    <w:rsid w:val="006075F2"/>
    <w:rsid w:val="00607669"/>
    <w:rsid w:val="006076F4"/>
    <w:rsid w:val="00607AFD"/>
    <w:rsid w:val="00607D31"/>
    <w:rsid w:val="00607E6F"/>
    <w:rsid w:val="0061016F"/>
    <w:rsid w:val="006101B6"/>
    <w:rsid w:val="00610616"/>
    <w:rsid w:val="006113DA"/>
    <w:rsid w:val="0061149E"/>
    <w:rsid w:val="0061185D"/>
    <w:rsid w:val="00611B12"/>
    <w:rsid w:val="00611D26"/>
    <w:rsid w:val="00611E07"/>
    <w:rsid w:val="00612F97"/>
    <w:rsid w:val="00613183"/>
    <w:rsid w:val="0061345D"/>
    <w:rsid w:val="0061371D"/>
    <w:rsid w:val="00613C9D"/>
    <w:rsid w:val="00613D34"/>
    <w:rsid w:val="0061438A"/>
    <w:rsid w:val="0061451C"/>
    <w:rsid w:val="0061463A"/>
    <w:rsid w:val="0061501E"/>
    <w:rsid w:val="00615164"/>
    <w:rsid w:val="0061549B"/>
    <w:rsid w:val="00616254"/>
    <w:rsid w:val="006165E7"/>
    <w:rsid w:val="00616802"/>
    <w:rsid w:val="00616B96"/>
    <w:rsid w:val="00617CA2"/>
    <w:rsid w:val="00617E12"/>
    <w:rsid w:val="00620BA0"/>
    <w:rsid w:val="00620C25"/>
    <w:rsid w:val="00621477"/>
    <w:rsid w:val="006217D4"/>
    <w:rsid w:val="006217F1"/>
    <w:rsid w:val="00621ADA"/>
    <w:rsid w:val="00622685"/>
    <w:rsid w:val="006226AA"/>
    <w:rsid w:val="00623122"/>
    <w:rsid w:val="006239CC"/>
    <w:rsid w:val="00623F7B"/>
    <w:rsid w:val="0062408E"/>
    <w:rsid w:val="00624A40"/>
    <w:rsid w:val="00624B5C"/>
    <w:rsid w:val="00624BD4"/>
    <w:rsid w:val="00624ED6"/>
    <w:rsid w:val="006250D9"/>
    <w:rsid w:val="00625448"/>
    <w:rsid w:val="0062549D"/>
    <w:rsid w:val="00625AFE"/>
    <w:rsid w:val="00625B07"/>
    <w:rsid w:val="00626AF6"/>
    <w:rsid w:val="006270E4"/>
    <w:rsid w:val="006300A4"/>
    <w:rsid w:val="0063090B"/>
    <w:rsid w:val="00630BF3"/>
    <w:rsid w:val="00630FCD"/>
    <w:rsid w:val="0063158F"/>
    <w:rsid w:val="0063193F"/>
    <w:rsid w:val="00631D63"/>
    <w:rsid w:val="00631D6B"/>
    <w:rsid w:val="00632183"/>
    <w:rsid w:val="00632DC3"/>
    <w:rsid w:val="006330A1"/>
    <w:rsid w:val="0063384F"/>
    <w:rsid w:val="00633ABD"/>
    <w:rsid w:val="00633F08"/>
    <w:rsid w:val="0063456F"/>
    <w:rsid w:val="0063479F"/>
    <w:rsid w:val="006353F0"/>
    <w:rsid w:val="006357B5"/>
    <w:rsid w:val="00635CD4"/>
    <w:rsid w:val="006364A1"/>
    <w:rsid w:val="0063678E"/>
    <w:rsid w:val="00637BFD"/>
    <w:rsid w:val="00637C5C"/>
    <w:rsid w:val="006408A0"/>
    <w:rsid w:val="00640DC9"/>
    <w:rsid w:val="006412DA"/>
    <w:rsid w:val="00641B01"/>
    <w:rsid w:val="00641C4E"/>
    <w:rsid w:val="00641D04"/>
    <w:rsid w:val="00641FB3"/>
    <w:rsid w:val="0064245E"/>
    <w:rsid w:val="00642F70"/>
    <w:rsid w:val="00643137"/>
    <w:rsid w:val="0064434C"/>
    <w:rsid w:val="0064476A"/>
    <w:rsid w:val="00645240"/>
    <w:rsid w:val="006453DC"/>
    <w:rsid w:val="0064575A"/>
    <w:rsid w:val="00645B30"/>
    <w:rsid w:val="00645F80"/>
    <w:rsid w:val="00646922"/>
    <w:rsid w:val="00646957"/>
    <w:rsid w:val="00646B8E"/>
    <w:rsid w:val="006471CC"/>
    <w:rsid w:val="006472FE"/>
    <w:rsid w:val="00647496"/>
    <w:rsid w:val="00647A29"/>
    <w:rsid w:val="00647AFA"/>
    <w:rsid w:val="0065079F"/>
    <w:rsid w:val="00651605"/>
    <w:rsid w:val="0065228D"/>
    <w:rsid w:val="00652A28"/>
    <w:rsid w:val="0065379F"/>
    <w:rsid w:val="0065432A"/>
    <w:rsid w:val="0065438C"/>
    <w:rsid w:val="00654DF0"/>
    <w:rsid w:val="0065505D"/>
    <w:rsid w:val="00656188"/>
    <w:rsid w:val="0065715A"/>
    <w:rsid w:val="006577C4"/>
    <w:rsid w:val="00660C37"/>
    <w:rsid w:val="00660D03"/>
    <w:rsid w:val="00660F50"/>
    <w:rsid w:val="006610F1"/>
    <w:rsid w:val="006619D0"/>
    <w:rsid w:val="00661C6B"/>
    <w:rsid w:val="00661E28"/>
    <w:rsid w:val="006627E0"/>
    <w:rsid w:val="00662A93"/>
    <w:rsid w:val="00662C42"/>
    <w:rsid w:val="00662D3E"/>
    <w:rsid w:val="00662DC8"/>
    <w:rsid w:val="00662E34"/>
    <w:rsid w:val="00663C1D"/>
    <w:rsid w:val="006643BE"/>
    <w:rsid w:val="00664C45"/>
    <w:rsid w:val="0066556E"/>
    <w:rsid w:val="006661FF"/>
    <w:rsid w:val="00666977"/>
    <w:rsid w:val="006669B0"/>
    <w:rsid w:val="0066722E"/>
    <w:rsid w:val="006673A8"/>
    <w:rsid w:val="00667771"/>
    <w:rsid w:val="00667BE3"/>
    <w:rsid w:val="00667DB3"/>
    <w:rsid w:val="00667EB5"/>
    <w:rsid w:val="00670574"/>
    <w:rsid w:val="006706AF"/>
    <w:rsid w:val="00670F1E"/>
    <w:rsid w:val="00671004"/>
    <w:rsid w:val="00671AD0"/>
    <w:rsid w:val="00672646"/>
    <w:rsid w:val="00672BBC"/>
    <w:rsid w:val="006733FE"/>
    <w:rsid w:val="006740C6"/>
    <w:rsid w:val="00674CF5"/>
    <w:rsid w:val="00674E42"/>
    <w:rsid w:val="00675688"/>
    <w:rsid w:val="00676563"/>
    <w:rsid w:val="00676834"/>
    <w:rsid w:val="00676B5A"/>
    <w:rsid w:val="006813F8"/>
    <w:rsid w:val="006817FC"/>
    <w:rsid w:val="00681CDB"/>
    <w:rsid w:val="00681E28"/>
    <w:rsid w:val="00682112"/>
    <w:rsid w:val="006823DE"/>
    <w:rsid w:val="006826DC"/>
    <w:rsid w:val="00682BA6"/>
    <w:rsid w:val="006839EB"/>
    <w:rsid w:val="00683C6A"/>
    <w:rsid w:val="00684E38"/>
    <w:rsid w:val="00685C8B"/>
    <w:rsid w:val="00686357"/>
    <w:rsid w:val="006868CB"/>
    <w:rsid w:val="00686957"/>
    <w:rsid w:val="00687268"/>
    <w:rsid w:val="006872BA"/>
    <w:rsid w:val="0068751E"/>
    <w:rsid w:val="006876E7"/>
    <w:rsid w:val="00687B40"/>
    <w:rsid w:val="00687F87"/>
    <w:rsid w:val="00687FF8"/>
    <w:rsid w:val="00690795"/>
    <w:rsid w:val="00690E09"/>
    <w:rsid w:val="006911AE"/>
    <w:rsid w:val="00691648"/>
    <w:rsid w:val="006917D7"/>
    <w:rsid w:val="00691890"/>
    <w:rsid w:val="00691DFA"/>
    <w:rsid w:val="00692D55"/>
    <w:rsid w:val="0069434C"/>
    <w:rsid w:val="00694523"/>
    <w:rsid w:val="00694F44"/>
    <w:rsid w:val="00696DC1"/>
    <w:rsid w:val="00696EF9"/>
    <w:rsid w:val="00696F51"/>
    <w:rsid w:val="006979A5"/>
    <w:rsid w:val="00697BF7"/>
    <w:rsid w:val="006A016F"/>
    <w:rsid w:val="006A043B"/>
    <w:rsid w:val="006A052D"/>
    <w:rsid w:val="006A0DF7"/>
    <w:rsid w:val="006A1498"/>
    <w:rsid w:val="006A1AB3"/>
    <w:rsid w:val="006A1B88"/>
    <w:rsid w:val="006A2C4C"/>
    <w:rsid w:val="006A3C6E"/>
    <w:rsid w:val="006A3D02"/>
    <w:rsid w:val="006A4321"/>
    <w:rsid w:val="006A43D9"/>
    <w:rsid w:val="006A4768"/>
    <w:rsid w:val="006A4C76"/>
    <w:rsid w:val="006A5519"/>
    <w:rsid w:val="006A5AA9"/>
    <w:rsid w:val="006A5E8A"/>
    <w:rsid w:val="006A5EAA"/>
    <w:rsid w:val="006A6B99"/>
    <w:rsid w:val="006A7E5F"/>
    <w:rsid w:val="006B0031"/>
    <w:rsid w:val="006B0568"/>
    <w:rsid w:val="006B0EAD"/>
    <w:rsid w:val="006B0F44"/>
    <w:rsid w:val="006B0FA0"/>
    <w:rsid w:val="006B13F5"/>
    <w:rsid w:val="006B19DA"/>
    <w:rsid w:val="006B261B"/>
    <w:rsid w:val="006B281D"/>
    <w:rsid w:val="006B2C41"/>
    <w:rsid w:val="006B2C68"/>
    <w:rsid w:val="006B2C90"/>
    <w:rsid w:val="006B2D9D"/>
    <w:rsid w:val="006B3168"/>
    <w:rsid w:val="006B34A0"/>
    <w:rsid w:val="006B35E6"/>
    <w:rsid w:val="006B465A"/>
    <w:rsid w:val="006B513A"/>
    <w:rsid w:val="006B522D"/>
    <w:rsid w:val="006B5AE2"/>
    <w:rsid w:val="006B5C90"/>
    <w:rsid w:val="006B6627"/>
    <w:rsid w:val="006B6A92"/>
    <w:rsid w:val="006B6DA3"/>
    <w:rsid w:val="006B6DD0"/>
    <w:rsid w:val="006C0399"/>
    <w:rsid w:val="006C128D"/>
    <w:rsid w:val="006C1294"/>
    <w:rsid w:val="006C192E"/>
    <w:rsid w:val="006C1B78"/>
    <w:rsid w:val="006C1CF3"/>
    <w:rsid w:val="006C1D59"/>
    <w:rsid w:val="006C1F03"/>
    <w:rsid w:val="006C20EC"/>
    <w:rsid w:val="006C26E5"/>
    <w:rsid w:val="006C2797"/>
    <w:rsid w:val="006C27F1"/>
    <w:rsid w:val="006C2A8E"/>
    <w:rsid w:val="006C2BFB"/>
    <w:rsid w:val="006C3099"/>
    <w:rsid w:val="006C320D"/>
    <w:rsid w:val="006C3255"/>
    <w:rsid w:val="006C3F26"/>
    <w:rsid w:val="006C4B64"/>
    <w:rsid w:val="006C4C23"/>
    <w:rsid w:val="006C4EEE"/>
    <w:rsid w:val="006C5460"/>
    <w:rsid w:val="006C54A8"/>
    <w:rsid w:val="006C5C34"/>
    <w:rsid w:val="006C5D4B"/>
    <w:rsid w:val="006C642C"/>
    <w:rsid w:val="006C651D"/>
    <w:rsid w:val="006C6D1A"/>
    <w:rsid w:val="006C6F41"/>
    <w:rsid w:val="006C7B12"/>
    <w:rsid w:val="006D030F"/>
    <w:rsid w:val="006D0D17"/>
    <w:rsid w:val="006D11F8"/>
    <w:rsid w:val="006D1366"/>
    <w:rsid w:val="006D13B0"/>
    <w:rsid w:val="006D1C18"/>
    <w:rsid w:val="006D28DF"/>
    <w:rsid w:val="006D3C7D"/>
    <w:rsid w:val="006D3F3A"/>
    <w:rsid w:val="006D40D8"/>
    <w:rsid w:val="006D4611"/>
    <w:rsid w:val="006D4659"/>
    <w:rsid w:val="006D4D55"/>
    <w:rsid w:val="006D5D5F"/>
    <w:rsid w:val="006D5E5C"/>
    <w:rsid w:val="006D638C"/>
    <w:rsid w:val="006D68FB"/>
    <w:rsid w:val="006D70CD"/>
    <w:rsid w:val="006D7900"/>
    <w:rsid w:val="006D7993"/>
    <w:rsid w:val="006E190D"/>
    <w:rsid w:val="006E197D"/>
    <w:rsid w:val="006E1FBC"/>
    <w:rsid w:val="006E2843"/>
    <w:rsid w:val="006E2868"/>
    <w:rsid w:val="006E3158"/>
    <w:rsid w:val="006E357C"/>
    <w:rsid w:val="006E3652"/>
    <w:rsid w:val="006E3C5D"/>
    <w:rsid w:val="006E44B9"/>
    <w:rsid w:val="006E4637"/>
    <w:rsid w:val="006E4A48"/>
    <w:rsid w:val="006E5638"/>
    <w:rsid w:val="006E5E50"/>
    <w:rsid w:val="006E66E6"/>
    <w:rsid w:val="006E6B02"/>
    <w:rsid w:val="006E6D98"/>
    <w:rsid w:val="006E710A"/>
    <w:rsid w:val="006E759D"/>
    <w:rsid w:val="006E7D4D"/>
    <w:rsid w:val="006E7FBE"/>
    <w:rsid w:val="006F02AE"/>
    <w:rsid w:val="006F03B6"/>
    <w:rsid w:val="006F0E1A"/>
    <w:rsid w:val="006F1277"/>
    <w:rsid w:val="006F1AC6"/>
    <w:rsid w:val="006F21D6"/>
    <w:rsid w:val="006F2880"/>
    <w:rsid w:val="006F2A22"/>
    <w:rsid w:val="006F306C"/>
    <w:rsid w:val="006F33F6"/>
    <w:rsid w:val="006F3541"/>
    <w:rsid w:val="006F36F7"/>
    <w:rsid w:val="006F3856"/>
    <w:rsid w:val="006F3B62"/>
    <w:rsid w:val="006F4A74"/>
    <w:rsid w:val="006F4A80"/>
    <w:rsid w:val="006F4AE9"/>
    <w:rsid w:val="006F4C5F"/>
    <w:rsid w:val="006F50A6"/>
    <w:rsid w:val="006F5C16"/>
    <w:rsid w:val="006F5F9D"/>
    <w:rsid w:val="006F63A5"/>
    <w:rsid w:val="006F70FB"/>
    <w:rsid w:val="006F73E8"/>
    <w:rsid w:val="007000E5"/>
    <w:rsid w:val="00700B51"/>
    <w:rsid w:val="0070139A"/>
    <w:rsid w:val="0070142B"/>
    <w:rsid w:val="00701FDB"/>
    <w:rsid w:val="0070276E"/>
    <w:rsid w:val="0070286A"/>
    <w:rsid w:val="00702F8F"/>
    <w:rsid w:val="00703512"/>
    <w:rsid w:val="0070412D"/>
    <w:rsid w:val="00705A96"/>
    <w:rsid w:val="00705E84"/>
    <w:rsid w:val="00706193"/>
    <w:rsid w:val="00706C69"/>
    <w:rsid w:val="00706D99"/>
    <w:rsid w:val="007079FC"/>
    <w:rsid w:val="00707A03"/>
    <w:rsid w:val="00707AD8"/>
    <w:rsid w:val="00710360"/>
    <w:rsid w:val="007112EF"/>
    <w:rsid w:val="00711A36"/>
    <w:rsid w:val="00711D96"/>
    <w:rsid w:val="00711DDD"/>
    <w:rsid w:val="00711FA8"/>
    <w:rsid w:val="007121A1"/>
    <w:rsid w:val="0071232F"/>
    <w:rsid w:val="007125D3"/>
    <w:rsid w:val="00712E9E"/>
    <w:rsid w:val="007130A7"/>
    <w:rsid w:val="007135A4"/>
    <w:rsid w:val="00714C26"/>
    <w:rsid w:val="0071529C"/>
    <w:rsid w:val="00715694"/>
    <w:rsid w:val="00715BB4"/>
    <w:rsid w:val="00715C59"/>
    <w:rsid w:val="007170DA"/>
    <w:rsid w:val="007172AD"/>
    <w:rsid w:val="00717546"/>
    <w:rsid w:val="00717E36"/>
    <w:rsid w:val="00717E61"/>
    <w:rsid w:val="00720801"/>
    <w:rsid w:val="007208D3"/>
    <w:rsid w:val="00720AF0"/>
    <w:rsid w:val="00720C83"/>
    <w:rsid w:val="00720CB3"/>
    <w:rsid w:val="00720D5E"/>
    <w:rsid w:val="00721C7F"/>
    <w:rsid w:val="00722B1B"/>
    <w:rsid w:val="00722D00"/>
    <w:rsid w:val="00724077"/>
    <w:rsid w:val="0072416F"/>
    <w:rsid w:val="00724835"/>
    <w:rsid w:val="00724F91"/>
    <w:rsid w:val="00725369"/>
    <w:rsid w:val="00725956"/>
    <w:rsid w:val="00725B7C"/>
    <w:rsid w:val="00727231"/>
    <w:rsid w:val="00727710"/>
    <w:rsid w:val="007279CF"/>
    <w:rsid w:val="00727BC0"/>
    <w:rsid w:val="00727C94"/>
    <w:rsid w:val="00727F07"/>
    <w:rsid w:val="00731B0A"/>
    <w:rsid w:val="00731BBD"/>
    <w:rsid w:val="00731C4D"/>
    <w:rsid w:val="00731EAE"/>
    <w:rsid w:val="007322AF"/>
    <w:rsid w:val="007322FA"/>
    <w:rsid w:val="00732E1F"/>
    <w:rsid w:val="00733073"/>
    <w:rsid w:val="007338F8"/>
    <w:rsid w:val="00733925"/>
    <w:rsid w:val="00734D67"/>
    <w:rsid w:val="00734F00"/>
    <w:rsid w:val="00735033"/>
    <w:rsid w:val="0073510C"/>
    <w:rsid w:val="0073513E"/>
    <w:rsid w:val="00735328"/>
    <w:rsid w:val="0073584E"/>
    <w:rsid w:val="00735C3D"/>
    <w:rsid w:val="007361A4"/>
    <w:rsid w:val="007364C6"/>
    <w:rsid w:val="0073685B"/>
    <w:rsid w:val="0074028A"/>
    <w:rsid w:val="007406AC"/>
    <w:rsid w:val="00740BA6"/>
    <w:rsid w:val="00740EAA"/>
    <w:rsid w:val="0074122B"/>
    <w:rsid w:val="007428EB"/>
    <w:rsid w:val="00742912"/>
    <w:rsid w:val="00742D7C"/>
    <w:rsid w:val="00742F77"/>
    <w:rsid w:val="007430AB"/>
    <w:rsid w:val="00743D8A"/>
    <w:rsid w:val="007449BF"/>
    <w:rsid w:val="00744D6D"/>
    <w:rsid w:val="00744E3A"/>
    <w:rsid w:val="00744FF3"/>
    <w:rsid w:val="0074609E"/>
    <w:rsid w:val="007462F9"/>
    <w:rsid w:val="007463FE"/>
    <w:rsid w:val="007464FC"/>
    <w:rsid w:val="00746BC0"/>
    <w:rsid w:val="007478DD"/>
    <w:rsid w:val="00747A8E"/>
    <w:rsid w:val="00747CB1"/>
    <w:rsid w:val="00750248"/>
    <w:rsid w:val="007510B4"/>
    <w:rsid w:val="00751C5B"/>
    <w:rsid w:val="00752142"/>
    <w:rsid w:val="007523F9"/>
    <w:rsid w:val="007529F9"/>
    <w:rsid w:val="00753500"/>
    <w:rsid w:val="0075357E"/>
    <w:rsid w:val="007535FB"/>
    <w:rsid w:val="00753651"/>
    <w:rsid w:val="007538B3"/>
    <w:rsid w:val="00753920"/>
    <w:rsid w:val="00753B29"/>
    <w:rsid w:val="007540F3"/>
    <w:rsid w:val="007546E1"/>
    <w:rsid w:val="00754D94"/>
    <w:rsid w:val="00755886"/>
    <w:rsid w:val="00755B1E"/>
    <w:rsid w:val="0075639B"/>
    <w:rsid w:val="007573E8"/>
    <w:rsid w:val="00757599"/>
    <w:rsid w:val="007606EE"/>
    <w:rsid w:val="00760992"/>
    <w:rsid w:val="00760A50"/>
    <w:rsid w:val="00760B20"/>
    <w:rsid w:val="00760C4E"/>
    <w:rsid w:val="00760F9E"/>
    <w:rsid w:val="00761256"/>
    <w:rsid w:val="007615E7"/>
    <w:rsid w:val="007616D2"/>
    <w:rsid w:val="007616E6"/>
    <w:rsid w:val="00761A19"/>
    <w:rsid w:val="00761FCA"/>
    <w:rsid w:val="007627BE"/>
    <w:rsid w:val="00763444"/>
    <w:rsid w:val="0076352F"/>
    <w:rsid w:val="00764058"/>
    <w:rsid w:val="007647B3"/>
    <w:rsid w:val="0076481A"/>
    <w:rsid w:val="0076485B"/>
    <w:rsid w:val="00764B82"/>
    <w:rsid w:val="00764C35"/>
    <w:rsid w:val="00764CEB"/>
    <w:rsid w:val="00764F03"/>
    <w:rsid w:val="00765B1A"/>
    <w:rsid w:val="00765CD4"/>
    <w:rsid w:val="00765DC1"/>
    <w:rsid w:val="00765FE4"/>
    <w:rsid w:val="00767D04"/>
    <w:rsid w:val="007705AE"/>
    <w:rsid w:val="00771642"/>
    <w:rsid w:val="00771939"/>
    <w:rsid w:val="00771B7A"/>
    <w:rsid w:val="0077235D"/>
    <w:rsid w:val="007728F9"/>
    <w:rsid w:val="0077309C"/>
    <w:rsid w:val="0077387A"/>
    <w:rsid w:val="00773E64"/>
    <w:rsid w:val="007740C8"/>
    <w:rsid w:val="007742E0"/>
    <w:rsid w:val="00775C91"/>
    <w:rsid w:val="007768B2"/>
    <w:rsid w:val="00776A29"/>
    <w:rsid w:val="00777335"/>
    <w:rsid w:val="007776E1"/>
    <w:rsid w:val="007778E4"/>
    <w:rsid w:val="00777DBA"/>
    <w:rsid w:val="00777E06"/>
    <w:rsid w:val="00781254"/>
    <w:rsid w:val="007816BD"/>
    <w:rsid w:val="00781F8A"/>
    <w:rsid w:val="00782145"/>
    <w:rsid w:val="007821EB"/>
    <w:rsid w:val="007827A8"/>
    <w:rsid w:val="007834E4"/>
    <w:rsid w:val="007835C9"/>
    <w:rsid w:val="00783DF9"/>
    <w:rsid w:val="00783F5D"/>
    <w:rsid w:val="007843F2"/>
    <w:rsid w:val="007843FF"/>
    <w:rsid w:val="007845E3"/>
    <w:rsid w:val="00784618"/>
    <w:rsid w:val="007846FA"/>
    <w:rsid w:val="00784707"/>
    <w:rsid w:val="00784A36"/>
    <w:rsid w:val="0078598C"/>
    <w:rsid w:val="00785A9F"/>
    <w:rsid w:val="00785F4B"/>
    <w:rsid w:val="007861C3"/>
    <w:rsid w:val="0078649B"/>
    <w:rsid w:val="007864A0"/>
    <w:rsid w:val="00786643"/>
    <w:rsid w:val="00787D1E"/>
    <w:rsid w:val="00787F69"/>
    <w:rsid w:val="007902A0"/>
    <w:rsid w:val="00790782"/>
    <w:rsid w:val="00790B6E"/>
    <w:rsid w:val="00791592"/>
    <w:rsid w:val="00791657"/>
    <w:rsid w:val="007917F5"/>
    <w:rsid w:val="00791B5D"/>
    <w:rsid w:val="007925DF"/>
    <w:rsid w:val="007933E6"/>
    <w:rsid w:val="007938E4"/>
    <w:rsid w:val="00793BE7"/>
    <w:rsid w:val="0079475A"/>
    <w:rsid w:val="007947EA"/>
    <w:rsid w:val="007948D4"/>
    <w:rsid w:val="00795740"/>
    <w:rsid w:val="00795810"/>
    <w:rsid w:val="007965CC"/>
    <w:rsid w:val="00796763"/>
    <w:rsid w:val="007976AE"/>
    <w:rsid w:val="00797E64"/>
    <w:rsid w:val="007A08AA"/>
    <w:rsid w:val="007A09B8"/>
    <w:rsid w:val="007A0A12"/>
    <w:rsid w:val="007A0FBF"/>
    <w:rsid w:val="007A132D"/>
    <w:rsid w:val="007A1345"/>
    <w:rsid w:val="007A1733"/>
    <w:rsid w:val="007A24B4"/>
    <w:rsid w:val="007A2A9F"/>
    <w:rsid w:val="007A2D80"/>
    <w:rsid w:val="007A2DDB"/>
    <w:rsid w:val="007A2E1F"/>
    <w:rsid w:val="007A3580"/>
    <w:rsid w:val="007A3693"/>
    <w:rsid w:val="007A3E7B"/>
    <w:rsid w:val="007A4295"/>
    <w:rsid w:val="007A4D45"/>
    <w:rsid w:val="007A5E32"/>
    <w:rsid w:val="007A5F1B"/>
    <w:rsid w:val="007A6A7F"/>
    <w:rsid w:val="007A6D23"/>
    <w:rsid w:val="007A7019"/>
    <w:rsid w:val="007A70BA"/>
    <w:rsid w:val="007A762C"/>
    <w:rsid w:val="007B00D8"/>
    <w:rsid w:val="007B04A4"/>
    <w:rsid w:val="007B08B6"/>
    <w:rsid w:val="007B0D68"/>
    <w:rsid w:val="007B1575"/>
    <w:rsid w:val="007B199F"/>
    <w:rsid w:val="007B1CBE"/>
    <w:rsid w:val="007B251D"/>
    <w:rsid w:val="007B2FD7"/>
    <w:rsid w:val="007B3533"/>
    <w:rsid w:val="007B3899"/>
    <w:rsid w:val="007B3B6B"/>
    <w:rsid w:val="007B4752"/>
    <w:rsid w:val="007B4BD2"/>
    <w:rsid w:val="007B4F58"/>
    <w:rsid w:val="007B528D"/>
    <w:rsid w:val="007B58AE"/>
    <w:rsid w:val="007B6085"/>
    <w:rsid w:val="007B63CA"/>
    <w:rsid w:val="007B6BC1"/>
    <w:rsid w:val="007B714E"/>
    <w:rsid w:val="007B771F"/>
    <w:rsid w:val="007B7752"/>
    <w:rsid w:val="007B77D1"/>
    <w:rsid w:val="007C07C7"/>
    <w:rsid w:val="007C0F59"/>
    <w:rsid w:val="007C11B9"/>
    <w:rsid w:val="007C1CD9"/>
    <w:rsid w:val="007C1D24"/>
    <w:rsid w:val="007C1E72"/>
    <w:rsid w:val="007C2231"/>
    <w:rsid w:val="007C23C2"/>
    <w:rsid w:val="007C264F"/>
    <w:rsid w:val="007C2AE6"/>
    <w:rsid w:val="007C2CB6"/>
    <w:rsid w:val="007C32EF"/>
    <w:rsid w:val="007C361D"/>
    <w:rsid w:val="007C499F"/>
    <w:rsid w:val="007C4B84"/>
    <w:rsid w:val="007C4E62"/>
    <w:rsid w:val="007C5069"/>
    <w:rsid w:val="007C5670"/>
    <w:rsid w:val="007C5A1D"/>
    <w:rsid w:val="007C5BCA"/>
    <w:rsid w:val="007C67B7"/>
    <w:rsid w:val="007C687C"/>
    <w:rsid w:val="007C6C18"/>
    <w:rsid w:val="007C70FF"/>
    <w:rsid w:val="007C7295"/>
    <w:rsid w:val="007C74BC"/>
    <w:rsid w:val="007C785C"/>
    <w:rsid w:val="007C78DC"/>
    <w:rsid w:val="007C7C25"/>
    <w:rsid w:val="007D004F"/>
    <w:rsid w:val="007D035F"/>
    <w:rsid w:val="007D06B2"/>
    <w:rsid w:val="007D0B38"/>
    <w:rsid w:val="007D13FC"/>
    <w:rsid w:val="007D2ACD"/>
    <w:rsid w:val="007D2BED"/>
    <w:rsid w:val="007D351E"/>
    <w:rsid w:val="007D3608"/>
    <w:rsid w:val="007D3E74"/>
    <w:rsid w:val="007D4569"/>
    <w:rsid w:val="007D4602"/>
    <w:rsid w:val="007D5440"/>
    <w:rsid w:val="007D54A8"/>
    <w:rsid w:val="007D649B"/>
    <w:rsid w:val="007D69EB"/>
    <w:rsid w:val="007D7658"/>
    <w:rsid w:val="007E0033"/>
    <w:rsid w:val="007E094E"/>
    <w:rsid w:val="007E0A0C"/>
    <w:rsid w:val="007E0D1A"/>
    <w:rsid w:val="007E119C"/>
    <w:rsid w:val="007E128F"/>
    <w:rsid w:val="007E1586"/>
    <w:rsid w:val="007E1C3E"/>
    <w:rsid w:val="007E1E93"/>
    <w:rsid w:val="007E2A7E"/>
    <w:rsid w:val="007E31EC"/>
    <w:rsid w:val="007E3B96"/>
    <w:rsid w:val="007E3D2D"/>
    <w:rsid w:val="007E49C0"/>
    <w:rsid w:val="007E4CE8"/>
    <w:rsid w:val="007E4FF1"/>
    <w:rsid w:val="007E72F9"/>
    <w:rsid w:val="007E73CA"/>
    <w:rsid w:val="007F056C"/>
    <w:rsid w:val="007F0C0F"/>
    <w:rsid w:val="007F0D0E"/>
    <w:rsid w:val="007F1017"/>
    <w:rsid w:val="007F11C5"/>
    <w:rsid w:val="007F1A63"/>
    <w:rsid w:val="007F2A70"/>
    <w:rsid w:val="007F3671"/>
    <w:rsid w:val="007F3DD0"/>
    <w:rsid w:val="007F4084"/>
    <w:rsid w:val="007F4746"/>
    <w:rsid w:val="007F4A3F"/>
    <w:rsid w:val="007F4A61"/>
    <w:rsid w:val="007F4AB1"/>
    <w:rsid w:val="007F4BB6"/>
    <w:rsid w:val="007F5255"/>
    <w:rsid w:val="007F56CC"/>
    <w:rsid w:val="007F60F7"/>
    <w:rsid w:val="007F61C2"/>
    <w:rsid w:val="007F6876"/>
    <w:rsid w:val="007F6B32"/>
    <w:rsid w:val="007F75CB"/>
    <w:rsid w:val="007F799D"/>
    <w:rsid w:val="007F7CAF"/>
    <w:rsid w:val="0080042C"/>
    <w:rsid w:val="00800582"/>
    <w:rsid w:val="0080086A"/>
    <w:rsid w:val="00801436"/>
    <w:rsid w:val="00801748"/>
    <w:rsid w:val="008020AD"/>
    <w:rsid w:val="00804258"/>
    <w:rsid w:val="00804D86"/>
    <w:rsid w:val="00805142"/>
    <w:rsid w:val="0080566B"/>
    <w:rsid w:val="00805FCE"/>
    <w:rsid w:val="008063EC"/>
    <w:rsid w:val="0080648B"/>
    <w:rsid w:val="00806A50"/>
    <w:rsid w:val="00806DA7"/>
    <w:rsid w:val="008070A3"/>
    <w:rsid w:val="00807205"/>
    <w:rsid w:val="008073AC"/>
    <w:rsid w:val="00807735"/>
    <w:rsid w:val="00807831"/>
    <w:rsid w:val="00807A8B"/>
    <w:rsid w:val="00807FD6"/>
    <w:rsid w:val="00810618"/>
    <w:rsid w:val="00811383"/>
    <w:rsid w:val="008113B2"/>
    <w:rsid w:val="00811480"/>
    <w:rsid w:val="00812149"/>
    <w:rsid w:val="00812767"/>
    <w:rsid w:val="00812CAC"/>
    <w:rsid w:val="00813A19"/>
    <w:rsid w:val="00813C8E"/>
    <w:rsid w:val="00813F36"/>
    <w:rsid w:val="008149AA"/>
    <w:rsid w:val="00814BDE"/>
    <w:rsid w:val="00814F3B"/>
    <w:rsid w:val="0081541D"/>
    <w:rsid w:val="0081587E"/>
    <w:rsid w:val="008158C2"/>
    <w:rsid w:val="00816167"/>
    <w:rsid w:val="00816361"/>
    <w:rsid w:val="008166EF"/>
    <w:rsid w:val="00816FEF"/>
    <w:rsid w:val="00817176"/>
    <w:rsid w:val="0081736C"/>
    <w:rsid w:val="0081759C"/>
    <w:rsid w:val="00820042"/>
    <w:rsid w:val="00820352"/>
    <w:rsid w:val="00820425"/>
    <w:rsid w:val="00820A8C"/>
    <w:rsid w:val="008211C6"/>
    <w:rsid w:val="008215FB"/>
    <w:rsid w:val="0082204B"/>
    <w:rsid w:val="008220CC"/>
    <w:rsid w:val="008224EE"/>
    <w:rsid w:val="00822D9E"/>
    <w:rsid w:val="00823174"/>
    <w:rsid w:val="008231A8"/>
    <w:rsid w:val="008235C5"/>
    <w:rsid w:val="0082378F"/>
    <w:rsid w:val="0082410A"/>
    <w:rsid w:val="00824F85"/>
    <w:rsid w:val="008256D4"/>
    <w:rsid w:val="00825751"/>
    <w:rsid w:val="008262DE"/>
    <w:rsid w:val="008264EB"/>
    <w:rsid w:val="00826592"/>
    <w:rsid w:val="008268CE"/>
    <w:rsid w:val="008270C9"/>
    <w:rsid w:val="008272E4"/>
    <w:rsid w:val="00827C23"/>
    <w:rsid w:val="0083008B"/>
    <w:rsid w:val="00830EEF"/>
    <w:rsid w:val="008313AA"/>
    <w:rsid w:val="00831A1F"/>
    <w:rsid w:val="00831F22"/>
    <w:rsid w:val="00832109"/>
    <w:rsid w:val="00832198"/>
    <w:rsid w:val="008330B8"/>
    <w:rsid w:val="00833147"/>
    <w:rsid w:val="00833B05"/>
    <w:rsid w:val="00834159"/>
    <w:rsid w:val="0083488D"/>
    <w:rsid w:val="00835FFC"/>
    <w:rsid w:val="008362B4"/>
    <w:rsid w:val="00836352"/>
    <w:rsid w:val="008363CC"/>
    <w:rsid w:val="008366E3"/>
    <w:rsid w:val="00836D4C"/>
    <w:rsid w:val="00837E35"/>
    <w:rsid w:val="00840CA2"/>
    <w:rsid w:val="008428E1"/>
    <w:rsid w:val="00842E62"/>
    <w:rsid w:val="0084331E"/>
    <w:rsid w:val="00843726"/>
    <w:rsid w:val="0084374F"/>
    <w:rsid w:val="008437D6"/>
    <w:rsid w:val="00843D5A"/>
    <w:rsid w:val="00843FA4"/>
    <w:rsid w:val="0084442B"/>
    <w:rsid w:val="00844A22"/>
    <w:rsid w:val="00844AC8"/>
    <w:rsid w:val="00844EAD"/>
    <w:rsid w:val="00845612"/>
    <w:rsid w:val="008461F8"/>
    <w:rsid w:val="008465ED"/>
    <w:rsid w:val="008468F1"/>
    <w:rsid w:val="00847703"/>
    <w:rsid w:val="00847DF5"/>
    <w:rsid w:val="00847E7F"/>
    <w:rsid w:val="0085098B"/>
    <w:rsid w:val="00850C74"/>
    <w:rsid w:val="008515F5"/>
    <w:rsid w:val="00852DFC"/>
    <w:rsid w:val="0085309D"/>
    <w:rsid w:val="00853448"/>
    <w:rsid w:val="00854BC8"/>
    <w:rsid w:val="00856789"/>
    <w:rsid w:val="00856897"/>
    <w:rsid w:val="00856E9A"/>
    <w:rsid w:val="00857A0F"/>
    <w:rsid w:val="00857CD8"/>
    <w:rsid w:val="0086057E"/>
    <w:rsid w:val="0086075D"/>
    <w:rsid w:val="00860DC5"/>
    <w:rsid w:val="008611E8"/>
    <w:rsid w:val="008622B2"/>
    <w:rsid w:val="00862502"/>
    <w:rsid w:val="008625C6"/>
    <w:rsid w:val="008629DD"/>
    <w:rsid w:val="00862CC1"/>
    <w:rsid w:val="0086336F"/>
    <w:rsid w:val="008637E5"/>
    <w:rsid w:val="00864115"/>
    <w:rsid w:val="008642A7"/>
    <w:rsid w:val="00865692"/>
    <w:rsid w:val="008656DF"/>
    <w:rsid w:val="008660D4"/>
    <w:rsid w:val="00866508"/>
    <w:rsid w:val="00866B36"/>
    <w:rsid w:val="008670F0"/>
    <w:rsid w:val="008678C5"/>
    <w:rsid w:val="00867959"/>
    <w:rsid w:val="00870025"/>
    <w:rsid w:val="00870327"/>
    <w:rsid w:val="00870963"/>
    <w:rsid w:val="008710B6"/>
    <w:rsid w:val="00871251"/>
    <w:rsid w:val="00871C05"/>
    <w:rsid w:val="00871FA9"/>
    <w:rsid w:val="008728E9"/>
    <w:rsid w:val="00873831"/>
    <w:rsid w:val="00874046"/>
    <w:rsid w:val="00874187"/>
    <w:rsid w:val="008741E8"/>
    <w:rsid w:val="008743C1"/>
    <w:rsid w:val="00874EC5"/>
    <w:rsid w:val="0087510B"/>
    <w:rsid w:val="00875173"/>
    <w:rsid w:val="0087585C"/>
    <w:rsid w:val="008758DB"/>
    <w:rsid w:val="0087636E"/>
    <w:rsid w:val="008771FD"/>
    <w:rsid w:val="008772E3"/>
    <w:rsid w:val="008772EF"/>
    <w:rsid w:val="00881436"/>
    <w:rsid w:val="008814C0"/>
    <w:rsid w:val="00881D29"/>
    <w:rsid w:val="00882070"/>
    <w:rsid w:val="00882771"/>
    <w:rsid w:val="00882874"/>
    <w:rsid w:val="00882D6A"/>
    <w:rsid w:val="00882E3C"/>
    <w:rsid w:val="00882F94"/>
    <w:rsid w:val="0088308A"/>
    <w:rsid w:val="0088365C"/>
    <w:rsid w:val="00883787"/>
    <w:rsid w:val="008840CE"/>
    <w:rsid w:val="0088494B"/>
    <w:rsid w:val="00885335"/>
    <w:rsid w:val="008855E4"/>
    <w:rsid w:val="0088653D"/>
    <w:rsid w:val="00886CD2"/>
    <w:rsid w:val="0088714D"/>
    <w:rsid w:val="00887967"/>
    <w:rsid w:val="008900DA"/>
    <w:rsid w:val="00890217"/>
    <w:rsid w:val="00890812"/>
    <w:rsid w:val="00890D17"/>
    <w:rsid w:val="00890D53"/>
    <w:rsid w:val="0089165B"/>
    <w:rsid w:val="00891877"/>
    <w:rsid w:val="00891D27"/>
    <w:rsid w:val="00891E6F"/>
    <w:rsid w:val="0089275D"/>
    <w:rsid w:val="00892A36"/>
    <w:rsid w:val="00893239"/>
    <w:rsid w:val="00893801"/>
    <w:rsid w:val="0089420E"/>
    <w:rsid w:val="00894489"/>
    <w:rsid w:val="0089489F"/>
    <w:rsid w:val="008948CD"/>
    <w:rsid w:val="00894CD6"/>
    <w:rsid w:val="0089501B"/>
    <w:rsid w:val="00895485"/>
    <w:rsid w:val="0089576F"/>
    <w:rsid w:val="008958A7"/>
    <w:rsid w:val="008963A5"/>
    <w:rsid w:val="008969DB"/>
    <w:rsid w:val="00896A00"/>
    <w:rsid w:val="00896D5D"/>
    <w:rsid w:val="008978FD"/>
    <w:rsid w:val="008A0968"/>
    <w:rsid w:val="008A0972"/>
    <w:rsid w:val="008A13A9"/>
    <w:rsid w:val="008A29FB"/>
    <w:rsid w:val="008A3158"/>
    <w:rsid w:val="008A3363"/>
    <w:rsid w:val="008A3371"/>
    <w:rsid w:val="008A3533"/>
    <w:rsid w:val="008A3C3E"/>
    <w:rsid w:val="008A3E8D"/>
    <w:rsid w:val="008A3FAE"/>
    <w:rsid w:val="008A4AEA"/>
    <w:rsid w:val="008A5CAF"/>
    <w:rsid w:val="008A6B27"/>
    <w:rsid w:val="008A6FE6"/>
    <w:rsid w:val="008A7761"/>
    <w:rsid w:val="008A79DE"/>
    <w:rsid w:val="008B1757"/>
    <w:rsid w:val="008B1C33"/>
    <w:rsid w:val="008B1D01"/>
    <w:rsid w:val="008B28C0"/>
    <w:rsid w:val="008B491A"/>
    <w:rsid w:val="008B4B6F"/>
    <w:rsid w:val="008B5194"/>
    <w:rsid w:val="008B5211"/>
    <w:rsid w:val="008B52B8"/>
    <w:rsid w:val="008B53EF"/>
    <w:rsid w:val="008B65AB"/>
    <w:rsid w:val="008B67EF"/>
    <w:rsid w:val="008B6932"/>
    <w:rsid w:val="008B6C0E"/>
    <w:rsid w:val="008B6F89"/>
    <w:rsid w:val="008B7226"/>
    <w:rsid w:val="008B7609"/>
    <w:rsid w:val="008B7992"/>
    <w:rsid w:val="008B7D7E"/>
    <w:rsid w:val="008C003B"/>
    <w:rsid w:val="008C1DDE"/>
    <w:rsid w:val="008C216A"/>
    <w:rsid w:val="008C24D9"/>
    <w:rsid w:val="008C25DF"/>
    <w:rsid w:val="008C3015"/>
    <w:rsid w:val="008C38F0"/>
    <w:rsid w:val="008C3921"/>
    <w:rsid w:val="008C3FF4"/>
    <w:rsid w:val="008C433F"/>
    <w:rsid w:val="008C4C1C"/>
    <w:rsid w:val="008C5003"/>
    <w:rsid w:val="008C5610"/>
    <w:rsid w:val="008C56A3"/>
    <w:rsid w:val="008C5739"/>
    <w:rsid w:val="008C5998"/>
    <w:rsid w:val="008C5A6C"/>
    <w:rsid w:val="008C5CD8"/>
    <w:rsid w:val="008C5D21"/>
    <w:rsid w:val="008C620F"/>
    <w:rsid w:val="008C62B2"/>
    <w:rsid w:val="008C7282"/>
    <w:rsid w:val="008C7C64"/>
    <w:rsid w:val="008C7ECB"/>
    <w:rsid w:val="008D0BB9"/>
    <w:rsid w:val="008D0D37"/>
    <w:rsid w:val="008D1484"/>
    <w:rsid w:val="008D1BFF"/>
    <w:rsid w:val="008D2AC5"/>
    <w:rsid w:val="008D2E88"/>
    <w:rsid w:val="008D2F63"/>
    <w:rsid w:val="008D33C6"/>
    <w:rsid w:val="008D3B86"/>
    <w:rsid w:val="008D43FD"/>
    <w:rsid w:val="008D472C"/>
    <w:rsid w:val="008D4755"/>
    <w:rsid w:val="008D487E"/>
    <w:rsid w:val="008D4B14"/>
    <w:rsid w:val="008D4C3D"/>
    <w:rsid w:val="008D4C9E"/>
    <w:rsid w:val="008D4CD4"/>
    <w:rsid w:val="008D5011"/>
    <w:rsid w:val="008D5065"/>
    <w:rsid w:val="008D561B"/>
    <w:rsid w:val="008D5DD2"/>
    <w:rsid w:val="008D619F"/>
    <w:rsid w:val="008D6442"/>
    <w:rsid w:val="008D6622"/>
    <w:rsid w:val="008D6788"/>
    <w:rsid w:val="008D690E"/>
    <w:rsid w:val="008D69F1"/>
    <w:rsid w:val="008D6E5D"/>
    <w:rsid w:val="008D734F"/>
    <w:rsid w:val="008D743C"/>
    <w:rsid w:val="008D7842"/>
    <w:rsid w:val="008E0695"/>
    <w:rsid w:val="008E078A"/>
    <w:rsid w:val="008E0D3C"/>
    <w:rsid w:val="008E0EA5"/>
    <w:rsid w:val="008E0EC6"/>
    <w:rsid w:val="008E10BC"/>
    <w:rsid w:val="008E1840"/>
    <w:rsid w:val="008E1851"/>
    <w:rsid w:val="008E1B9E"/>
    <w:rsid w:val="008E1D82"/>
    <w:rsid w:val="008E1E64"/>
    <w:rsid w:val="008E1FF4"/>
    <w:rsid w:val="008E26BD"/>
    <w:rsid w:val="008E2C3C"/>
    <w:rsid w:val="008E2D79"/>
    <w:rsid w:val="008E3890"/>
    <w:rsid w:val="008E3C40"/>
    <w:rsid w:val="008E55AB"/>
    <w:rsid w:val="008E5628"/>
    <w:rsid w:val="008E5AA8"/>
    <w:rsid w:val="008E6479"/>
    <w:rsid w:val="008E6AB3"/>
    <w:rsid w:val="008E7139"/>
    <w:rsid w:val="008E71C6"/>
    <w:rsid w:val="008E7617"/>
    <w:rsid w:val="008E7CEF"/>
    <w:rsid w:val="008F07CB"/>
    <w:rsid w:val="008F106D"/>
    <w:rsid w:val="008F120A"/>
    <w:rsid w:val="008F1319"/>
    <w:rsid w:val="008F27E0"/>
    <w:rsid w:val="008F2E17"/>
    <w:rsid w:val="008F2F3C"/>
    <w:rsid w:val="008F3940"/>
    <w:rsid w:val="008F3BFE"/>
    <w:rsid w:val="008F41C1"/>
    <w:rsid w:val="008F44AE"/>
    <w:rsid w:val="008F48EB"/>
    <w:rsid w:val="008F4B57"/>
    <w:rsid w:val="008F4F0B"/>
    <w:rsid w:val="008F4FAD"/>
    <w:rsid w:val="008F505F"/>
    <w:rsid w:val="008F52A1"/>
    <w:rsid w:val="008F5569"/>
    <w:rsid w:val="008F58A0"/>
    <w:rsid w:val="008F6D36"/>
    <w:rsid w:val="008F6D4D"/>
    <w:rsid w:val="008F72B1"/>
    <w:rsid w:val="008F7F5B"/>
    <w:rsid w:val="009000A4"/>
    <w:rsid w:val="00900AE4"/>
    <w:rsid w:val="009010E6"/>
    <w:rsid w:val="009027BA"/>
    <w:rsid w:val="009028E0"/>
    <w:rsid w:val="0090329B"/>
    <w:rsid w:val="00903C39"/>
    <w:rsid w:val="00904182"/>
    <w:rsid w:val="009046C4"/>
    <w:rsid w:val="00904C2B"/>
    <w:rsid w:val="00904D93"/>
    <w:rsid w:val="00904E60"/>
    <w:rsid w:val="00905264"/>
    <w:rsid w:val="009055E9"/>
    <w:rsid w:val="009062A5"/>
    <w:rsid w:val="009066AA"/>
    <w:rsid w:val="009066EA"/>
    <w:rsid w:val="00906DA7"/>
    <w:rsid w:val="00907159"/>
    <w:rsid w:val="00907699"/>
    <w:rsid w:val="009100C7"/>
    <w:rsid w:val="00910FA7"/>
    <w:rsid w:val="009110A3"/>
    <w:rsid w:val="00911272"/>
    <w:rsid w:val="00911339"/>
    <w:rsid w:val="00911B11"/>
    <w:rsid w:val="00911D06"/>
    <w:rsid w:val="00912F1F"/>
    <w:rsid w:val="00913198"/>
    <w:rsid w:val="009135B0"/>
    <w:rsid w:val="009135D6"/>
    <w:rsid w:val="00913F3E"/>
    <w:rsid w:val="0091430C"/>
    <w:rsid w:val="00914389"/>
    <w:rsid w:val="00914853"/>
    <w:rsid w:val="00914A45"/>
    <w:rsid w:val="00914AD7"/>
    <w:rsid w:val="00914C77"/>
    <w:rsid w:val="00916086"/>
    <w:rsid w:val="009163AF"/>
    <w:rsid w:val="00916650"/>
    <w:rsid w:val="00916716"/>
    <w:rsid w:val="00916772"/>
    <w:rsid w:val="00916860"/>
    <w:rsid w:val="00916991"/>
    <w:rsid w:val="00916C9B"/>
    <w:rsid w:val="00916F32"/>
    <w:rsid w:val="009175E6"/>
    <w:rsid w:val="00917790"/>
    <w:rsid w:val="00920029"/>
    <w:rsid w:val="009205E2"/>
    <w:rsid w:val="00920F95"/>
    <w:rsid w:val="00921A12"/>
    <w:rsid w:val="00921ACB"/>
    <w:rsid w:val="00921FBE"/>
    <w:rsid w:val="0092206E"/>
    <w:rsid w:val="00922545"/>
    <w:rsid w:val="0092278A"/>
    <w:rsid w:val="00922A9B"/>
    <w:rsid w:val="0092369B"/>
    <w:rsid w:val="00923756"/>
    <w:rsid w:val="00923B62"/>
    <w:rsid w:val="0092435B"/>
    <w:rsid w:val="00924D35"/>
    <w:rsid w:val="00924EA9"/>
    <w:rsid w:val="00924EC8"/>
    <w:rsid w:val="009250CD"/>
    <w:rsid w:val="009251B3"/>
    <w:rsid w:val="00925263"/>
    <w:rsid w:val="00925335"/>
    <w:rsid w:val="00925936"/>
    <w:rsid w:val="00926024"/>
    <w:rsid w:val="0092619D"/>
    <w:rsid w:val="00926C86"/>
    <w:rsid w:val="00926F96"/>
    <w:rsid w:val="00927883"/>
    <w:rsid w:val="00927B76"/>
    <w:rsid w:val="00927E3A"/>
    <w:rsid w:val="00930B75"/>
    <w:rsid w:val="00930C6F"/>
    <w:rsid w:val="00930C9C"/>
    <w:rsid w:val="00931A5B"/>
    <w:rsid w:val="0093215A"/>
    <w:rsid w:val="00932319"/>
    <w:rsid w:val="0093249B"/>
    <w:rsid w:val="0093269F"/>
    <w:rsid w:val="009329DB"/>
    <w:rsid w:val="00932DFA"/>
    <w:rsid w:val="0093315F"/>
    <w:rsid w:val="00934758"/>
    <w:rsid w:val="00934988"/>
    <w:rsid w:val="00934E0C"/>
    <w:rsid w:val="00935DE8"/>
    <w:rsid w:val="00937089"/>
    <w:rsid w:val="00937542"/>
    <w:rsid w:val="009376A2"/>
    <w:rsid w:val="009376C1"/>
    <w:rsid w:val="009401EA"/>
    <w:rsid w:val="0094076A"/>
    <w:rsid w:val="009409A1"/>
    <w:rsid w:val="00940C60"/>
    <w:rsid w:val="00940CE9"/>
    <w:rsid w:val="00942624"/>
    <w:rsid w:val="009428B5"/>
    <w:rsid w:val="00943080"/>
    <w:rsid w:val="009432A3"/>
    <w:rsid w:val="00943386"/>
    <w:rsid w:val="009439C1"/>
    <w:rsid w:val="00943C08"/>
    <w:rsid w:val="00943D75"/>
    <w:rsid w:val="00944DB1"/>
    <w:rsid w:val="00944F8A"/>
    <w:rsid w:val="00945335"/>
    <w:rsid w:val="00945E10"/>
    <w:rsid w:val="00946239"/>
    <w:rsid w:val="0094651B"/>
    <w:rsid w:val="00946E4E"/>
    <w:rsid w:val="00946FB5"/>
    <w:rsid w:val="0094741F"/>
    <w:rsid w:val="009478B4"/>
    <w:rsid w:val="00947AEE"/>
    <w:rsid w:val="00950227"/>
    <w:rsid w:val="009510A2"/>
    <w:rsid w:val="00952BEE"/>
    <w:rsid w:val="00953239"/>
    <w:rsid w:val="00953257"/>
    <w:rsid w:val="0095471D"/>
    <w:rsid w:val="0095474C"/>
    <w:rsid w:val="009547EF"/>
    <w:rsid w:val="009548B9"/>
    <w:rsid w:val="009549AB"/>
    <w:rsid w:val="00954CD8"/>
    <w:rsid w:val="00955B36"/>
    <w:rsid w:val="00955BDE"/>
    <w:rsid w:val="00956227"/>
    <w:rsid w:val="0095742F"/>
    <w:rsid w:val="00957C7A"/>
    <w:rsid w:val="00957D92"/>
    <w:rsid w:val="00960D0E"/>
    <w:rsid w:val="009611E3"/>
    <w:rsid w:val="00961C44"/>
    <w:rsid w:val="00962CB9"/>
    <w:rsid w:val="00963185"/>
    <w:rsid w:val="00963D12"/>
    <w:rsid w:val="0096430B"/>
    <w:rsid w:val="00964312"/>
    <w:rsid w:val="009648B6"/>
    <w:rsid w:val="0096521E"/>
    <w:rsid w:val="00965B8A"/>
    <w:rsid w:val="00965D8F"/>
    <w:rsid w:val="00965F0B"/>
    <w:rsid w:val="0096667E"/>
    <w:rsid w:val="009666B6"/>
    <w:rsid w:val="00966F05"/>
    <w:rsid w:val="0096710F"/>
    <w:rsid w:val="00967292"/>
    <w:rsid w:val="00967651"/>
    <w:rsid w:val="00967936"/>
    <w:rsid w:val="00967F0A"/>
    <w:rsid w:val="00970434"/>
    <w:rsid w:val="009706D0"/>
    <w:rsid w:val="0097071F"/>
    <w:rsid w:val="009712C9"/>
    <w:rsid w:val="0097172D"/>
    <w:rsid w:val="009717AC"/>
    <w:rsid w:val="00971879"/>
    <w:rsid w:val="00971D08"/>
    <w:rsid w:val="0097286C"/>
    <w:rsid w:val="0097391D"/>
    <w:rsid w:val="00973D1A"/>
    <w:rsid w:val="00974FAC"/>
    <w:rsid w:val="009751C1"/>
    <w:rsid w:val="009764A1"/>
    <w:rsid w:val="00976A52"/>
    <w:rsid w:val="00976B65"/>
    <w:rsid w:val="009773C2"/>
    <w:rsid w:val="00977B3B"/>
    <w:rsid w:val="00977C7C"/>
    <w:rsid w:val="00977D8D"/>
    <w:rsid w:val="009800DE"/>
    <w:rsid w:val="009804CB"/>
    <w:rsid w:val="009810A5"/>
    <w:rsid w:val="009811F1"/>
    <w:rsid w:val="00981455"/>
    <w:rsid w:val="009815E5"/>
    <w:rsid w:val="009816DF"/>
    <w:rsid w:val="00981882"/>
    <w:rsid w:val="00981C17"/>
    <w:rsid w:val="0098248B"/>
    <w:rsid w:val="0098262F"/>
    <w:rsid w:val="00982D26"/>
    <w:rsid w:val="00983A99"/>
    <w:rsid w:val="00983E57"/>
    <w:rsid w:val="00984860"/>
    <w:rsid w:val="00984A8D"/>
    <w:rsid w:val="00984AAA"/>
    <w:rsid w:val="00984AC9"/>
    <w:rsid w:val="00984B70"/>
    <w:rsid w:val="00984BA2"/>
    <w:rsid w:val="009850BB"/>
    <w:rsid w:val="009853D1"/>
    <w:rsid w:val="00985769"/>
    <w:rsid w:val="00985922"/>
    <w:rsid w:val="00985B73"/>
    <w:rsid w:val="00985DE2"/>
    <w:rsid w:val="0098675D"/>
    <w:rsid w:val="00986D3A"/>
    <w:rsid w:val="00987BA4"/>
    <w:rsid w:val="00990554"/>
    <w:rsid w:val="00990B1C"/>
    <w:rsid w:val="00991A19"/>
    <w:rsid w:val="00991A4C"/>
    <w:rsid w:val="00992446"/>
    <w:rsid w:val="009926E0"/>
    <w:rsid w:val="0099301A"/>
    <w:rsid w:val="00993C62"/>
    <w:rsid w:val="0099451E"/>
    <w:rsid w:val="00994610"/>
    <w:rsid w:val="00994C0C"/>
    <w:rsid w:val="00995002"/>
    <w:rsid w:val="0099504F"/>
    <w:rsid w:val="009951F8"/>
    <w:rsid w:val="00996062"/>
    <w:rsid w:val="0099698F"/>
    <w:rsid w:val="00996B1A"/>
    <w:rsid w:val="00996B2B"/>
    <w:rsid w:val="00997B5E"/>
    <w:rsid w:val="009A0F3D"/>
    <w:rsid w:val="009A16F7"/>
    <w:rsid w:val="009A18F6"/>
    <w:rsid w:val="009A2100"/>
    <w:rsid w:val="009A211B"/>
    <w:rsid w:val="009A28A3"/>
    <w:rsid w:val="009A2DCC"/>
    <w:rsid w:val="009A2FA3"/>
    <w:rsid w:val="009A43CC"/>
    <w:rsid w:val="009A4D56"/>
    <w:rsid w:val="009A4F82"/>
    <w:rsid w:val="009A5453"/>
    <w:rsid w:val="009A5ABC"/>
    <w:rsid w:val="009A6C7C"/>
    <w:rsid w:val="009A7182"/>
    <w:rsid w:val="009A738F"/>
    <w:rsid w:val="009A7F10"/>
    <w:rsid w:val="009B0327"/>
    <w:rsid w:val="009B0B95"/>
    <w:rsid w:val="009B0C25"/>
    <w:rsid w:val="009B1090"/>
    <w:rsid w:val="009B13D8"/>
    <w:rsid w:val="009B26F7"/>
    <w:rsid w:val="009B2817"/>
    <w:rsid w:val="009B2A5A"/>
    <w:rsid w:val="009B3CE2"/>
    <w:rsid w:val="009B3E23"/>
    <w:rsid w:val="009B3E26"/>
    <w:rsid w:val="009B4140"/>
    <w:rsid w:val="009B4649"/>
    <w:rsid w:val="009B5336"/>
    <w:rsid w:val="009B566C"/>
    <w:rsid w:val="009B5986"/>
    <w:rsid w:val="009B5DFE"/>
    <w:rsid w:val="009B69EA"/>
    <w:rsid w:val="009B6D76"/>
    <w:rsid w:val="009B6EA7"/>
    <w:rsid w:val="009B73AC"/>
    <w:rsid w:val="009B7401"/>
    <w:rsid w:val="009B7C8B"/>
    <w:rsid w:val="009C040E"/>
    <w:rsid w:val="009C06A8"/>
    <w:rsid w:val="009C092F"/>
    <w:rsid w:val="009C0CD3"/>
    <w:rsid w:val="009C11F7"/>
    <w:rsid w:val="009C1263"/>
    <w:rsid w:val="009C1271"/>
    <w:rsid w:val="009C180A"/>
    <w:rsid w:val="009C1978"/>
    <w:rsid w:val="009C2307"/>
    <w:rsid w:val="009C2E11"/>
    <w:rsid w:val="009C31EB"/>
    <w:rsid w:val="009C3706"/>
    <w:rsid w:val="009C3A3A"/>
    <w:rsid w:val="009C426B"/>
    <w:rsid w:val="009C427B"/>
    <w:rsid w:val="009C430C"/>
    <w:rsid w:val="009C4BA3"/>
    <w:rsid w:val="009C4FEF"/>
    <w:rsid w:val="009C5555"/>
    <w:rsid w:val="009C5A31"/>
    <w:rsid w:val="009C66DF"/>
    <w:rsid w:val="009C6CEA"/>
    <w:rsid w:val="009C7B85"/>
    <w:rsid w:val="009C7EE2"/>
    <w:rsid w:val="009D0254"/>
    <w:rsid w:val="009D09DE"/>
    <w:rsid w:val="009D0D98"/>
    <w:rsid w:val="009D111C"/>
    <w:rsid w:val="009D1A64"/>
    <w:rsid w:val="009D2033"/>
    <w:rsid w:val="009D2795"/>
    <w:rsid w:val="009D34CB"/>
    <w:rsid w:val="009D360F"/>
    <w:rsid w:val="009D46D5"/>
    <w:rsid w:val="009D50D8"/>
    <w:rsid w:val="009D5291"/>
    <w:rsid w:val="009D5B91"/>
    <w:rsid w:val="009D5C6C"/>
    <w:rsid w:val="009D601F"/>
    <w:rsid w:val="009D6B14"/>
    <w:rsid w:val="009D71CD"/>
    <w:rsid w:val="009D76D7"/>
    <w:rsid w:val="009D792E"/>
    <w:rsid w:val="009E00B6"/>
    <w:rsid w:val="009E0ACE"/>
    <w:rsid w:val="009E0B2A"/>
    <w:rsid w:val="009E0DFE"/>
    <w:rsid w:val="009E1621"/>
    <w:rsid w:val="009E213A"/>
    <w:rsid w:val="009E2FD1"/>
    <w:rsid w:val="009E3127"/>
    <w:rsid w:val="009E31F6"/>
    <w:rsid w:val="009E4116"/>
    <w:rsid w:val="009E41EA"/>
    <w:rsid w:val="009E4C07"/>
    <w:rsid w:val="009E4E64"/>
    <w:rsid w:val="009E5E8C"/>
    <w:rsid w:val="009E649C"/>
    <w:rsid w:val="009E703B"/>
    <w:rsid w:val="009E777F"/>
    <w:rsid w:val="009F0444"/>
    <w:rsid w:val="009F15F7"/>
    <w:rsid w:val="009F2210"/>
    <w:rsid w:val="009F366D"/>
    <w:rsid w:val="009F37B9"/>
    <w:rsid w:val="009F3B47"/>
    <w:rsid w:val="009F3E9A"/>
    <w:rsid w:val="009F3EF2"/>
    <w:rsid w:val="009F4020"/>
    <w:rsid w:val="009F4554"/>
    <w:rsid w:val="009F4A60"/>
    <w:rsid w:val="009F4CF5"/>
    <w:rsid w:val="009F526B"/>
    <w:rsid w:val="009F5A38"/>
    <w:rsid w:val="009F5B81"/>
    <w:rsid w:val="009F60C8"/>
    <w:rsid w:val="009F6120"/>
    <w:rsid w:val="009F638A"/>
    <w:rsid w:val="009F6521"/>
    <w:rsid w:val="009F70D5"/>
    <w:rsid w:val="00A00191"/>
    <w:rsid w:val="00A00BA2"/>
    <w:rsid w:val="00A00D76"/>
    <w:rsid w:val="00A01184"/>
    <w:rsid w:val="00A01449"/>
    <w:rsid w:val="00A01E4E"/>
    <w:rsid w:val="00A0240D"/>
    <w:rsid w:val="00A02F6E"/>
    <w:rsid w:val="00A0326A"/>
    <w:rsid w:val="00A037C2"/>
    <w:rsid w:val="00A03D43"/>
    <w:rsid w:val="00A04253"/>
    <w:rsid w:val="00A04380"/>
    <w:rsid w:val="00A04484"/>
    <w:rsid w:val="00A04786"/>
    <w:rsid w:val="00A05472"/>
    <w:rsid w:val="00A05C32"/>
    <w:rsid w:val="00A05FE7"/>
    <w:rsid w:val="00A060E1"/>
    <w:rsid w:val="00A06148"/>
    <w:rsid w:val="00A0653F"/>
    <w:rsid w:val="00A0669B"/>
    <w:rsid w:val="00A06A20"/>
    <w:rsid w:val="00A07412"/>
    <w:rsid w:val="00A104E5"/>
    <w:rsid w:val="00A11CD0"/>
    <w:rsid w:val="00A12079"/>
    <w:rsid w:val="00A1343B"/>
    <w:rsid w:val="00A13948"/>
    <w:rsid w:val="00A13A82"/>
    <w:rsid w:val="00A14BAF"/>
    <w:rsid w:val="00A14BEC"/>
    <w:rsid w:val="00A14F9C"/>
    <w:rsid w:val="00A1555B"/>
    <w:rsid w:val="00A155C5"/>
    <w:rsid w:val="00A157BA"/>
    <w:rsid w:val="00A16336"/>
    <w:rsid w:val="00A167C8"/>
    <w:rsid w:val="00A1688C"/>
    <w:rsid w:val="00A16AD8"/>
    <w:rsid w:val="00A16D37"/>
    <w:rsid w:val="00A16DA8"/>
    <w:rsid w:val="00A17085"/>
    <w:rsid w:val="00A17AC3"/>
    <w:rsid w:val="00A2021E"/>
    <w:rsid w:val="00A20728"/>
    <w:rsid w:val="00A20754"/>
    <w:rsid w:val="00A20967"/>
    <w:rsid w:val="00A20995"/>
    <w:rsid w:val="00A209C0"/>
    <w:rsid w:val="00A21166"/>
    <w:rsid w:val="00A21954"/>
    <w:rsid w:val="00A21C95"/>
    <w:rsid w:val="00A21CF3"/>
    <w:rsid w:val="00A21E1C"/>
    <w:rsid w:val="00A222D7"/>
    <w:rsid w:val="00A229F1"/>
    <w:rsid w:val="00A22AFF"/>
    <w:rsid w:val="00A23498"/>
    <w:rsid w:val="00A239FB"/>
    <w:rsid w:val="00A23E0E"/>
    <w:rsid w:val="00A24230"/>
    <w:rsid w:val="00A24247"/>
    <w:rsid w:val="00A243AD"/>
    <w:rsid w:val="00A24576"/>
    <w:rsid w:val="00A24813"/>
    <w:rsid w:val="00A259E4"/>
    <w:rsid w:val="00A261DD"/>
    <w:rsid w:val="00A26891"/>
    <w:rsid w:val="00A26920"/>
    <w:rsid w:val="00A26AAA"/>
    <w:rsid w:val="00A26D4A"/>
    <w:rsid w:val="00A27AEC"/>
    <w:rsid w:val="00A303E6"/>
    <w:rsid w:val="00A30423"/>
    <w:rsid w:val="00A305CC"/>
    <w:rsid w:val="00A30634"/>
    <w:rsid w:val="00A3074B"/>
    <w:rsid w:val="00A31631"/>
    <w:rsid w:val="00A317E0"/>
    <w:rsid w:val="00A31E7E"/>
    <w:rsid w:val="00A320DB"/>
    <w:rsid w:val="00A32517"/>
    <w:rsid w:val="00A333A1"/>
    <w:rsid w:val="00A3389D"/>
    <w:rsid w:val="00A34310"/>
    <w:rsid w:val="00A35D16"/>
    <w:rsid w:val="00A364C5"/>
    <w:rsid w:val="00A37547"/>
    <w:rsid w:val="00A37BCD"/>
    <w:rsid w:val="00A41689"/>
    <w:rsid w:val="00A41D1C"/>
    <w:rsid w:val="00A42592"/>
    <w:rsid w:val="00A425A7"/>
    <w:rsid w:val="00A42B59"/>
    <w:rsid w:val="00A42C47"/>
    <w:rsid w:val="00A430F4"/>
    <w:rsid w:val="00A43B21"/>
    <w:rsid w:val="00A43B39"/>
    <w:rsid w:val="00A43C59"/>
    <w:rsid w:val="00A44358"/>
    <w:rsid w:val="00A44EF5"/>
    <w:rsid w:val="00A4575A"/>
    <w:rsid w:val="00A45F2A"/>
    <w:rsid w:val="00A4621F"/>
    <w:rsid w:val="00A46554"/>
    <w:rsid w:val="00A46866"/>
    <w:rsid w:val="00A46B1A"/>
    <w:rsid w:val="00A46DBE"/>
    <w:rsid w:val="00A47853"/>
    <w:rsid w:val="00A47B0A"/>
    <w:rsid w:val="00A47BF9"/>
    <w:rsid w:val="00A5044E"/>
    <w:rsid w:val="00A50ECD"/>
    <w:rsid w:val="00A51162"/>
    <w:rsid w:val="00A512CF"/>
    <w:rsid w:val="00A518F3"/>
    <w:rsid w:val="00A51ADA"/>
    <w:rsid w:val="00A51BC1"/>
    <w:rsid w:val="00A51D7A"/>
    <w:rsid w:val="00A526C7"/>
    <w:rsid w:val="00A52729"/>
    <w:rsid w:val="00A52BEE"/>
    <w:rsid w:val="00A5305C"/>
    <w:rsid w:val="00A53675"/>
    <w:rsid w:val="00A537DD"/>
    <w:rsid w:val="00A5437F"/>
    <w:rsid w:val="00A5476C"/>
    <w:rsid w:val="00A54AE8"/>
    <w:rsid w:val="00A54D40"/>
    <w:rsid w:val="00A54E59"/>
    <w:rsid w:val="00A5610A"/>
    <w:rsid w:val="00A5648B"/>
    <w:rsid w:val="00A564D7"/>
    <w:rsid w:val="00A5690D"/>
    <w:rsid w:val="00A56A5A"/>
    <w:rsid w:val="00A56B6A"/>
    <w:rsid w:val="00A578DC"/>
    <w:rsid w:val="00A579BD"/>
    <w:rsid w:val="00A57AF8"/>
    <w:rsid w:val="00A57BAD"/>
    <w:rsid w:val="00A60352"/>
    <w:rsid w:val="00A6039F"/>
    <w:rsid w:val="00A61B87"/>
    <w:rsid w:val="00A61E4A"/>
    <w:rsid w:val="00A62208"/>
    <w:rsid w:val="00A62A58"/>
    <w:rsid w:val="00A62B71"/>
    <w:rsid w:val="00A62EC8"/>
    <w:rsid w:val="00A6319D"/>
    <w:rsid w:val="00A63AA2"/>
    <w:rsid w:val="00A640E2"/>
    <w:rsid w:val="00A64247"/>
    <w:rsid w:val="00A64D65"/>
    <w:rsid w:val="00A6567C"/>
    <w:rsid w:val="00A657E9"/>
    <w:rsid w:val="00A66846"/>
    <w:rsid w:val="00A66B95"/>
    <w:rsid w:val="00A6725B"/>
    <w:rsid w:val="00A67931"/>
    <w:rsid w:val="00A7008B"/>
    <w:rsid w:val="00A70605"/>
    <w:rsid w:val="00A71068"/>
    <w:rsid w:val="00A71EDF"/>
    <w:rsid w:val="00A722E6"/>
    <w:rsid w:val="00A725A1"/>
    <w:rsid w:val="00A72BC3"/>
    <w:rsid w:val="00A72BD3"/>
    <w:rsid w:val="00A73134"/>
    <w:rsid w:val="00A7365A"/>
    <w:rsid w:val="00A73AED"/>
    <w:rsid w:val="00A74168"/>
    <w:rsid w:val="00A742A3"/>
    <w:rsid w:val="00A74AB7"/>
    <w:rsid w:val="00A7555E"/>
    <w:rsid w:val="00A76001"/>
    <w:rsid w:val="00A760AB"/>
    <w:rsid w:val="00A765C9"/>
    <w:rsid w:val="00A7680E"/>
    <w:rsid w:val="00A76B67"/>
    <w:rsid w:val="00A772D0"/>
    <w:rsid w:val="00A777B2"/>
    <w:rsid w:val="00A77A51"/>
    <w:rsid w:val="00A77EC0"/>
    <w:rsid w:val="00A802E9"/>
    <w:rsid w:val="00A80529"/>
    <w:rsid w:val="00A80E5E"/>
    <w:rsid w:val="00A80F48"/>
    <w:rsid w:val="00A8159E"/>
    <w:rsid w:val="00A81A13"/>
    <w:rsid w:val="00A825D4"/>
    <w:rsid w:val="00A828F6"/>
    <w:rsid w:val="00A82B73"/>
    <w:rsid w:val="00A82FA8"/>
    <w:rsid w:val="00A8467F"/>
    <w:rsid w:val="00A84CD3"/>
    <w:rsid w:val="00A84CD9"/>
    <w:rsid w:val="00A85054"/>
    <w:rsid w:val="00A859B9"/>
    <w:rsid w:val="00A85D11"/>
    <w:rsid w:val="00A86B11"/>
    <w:rsid w:val="00A86E8B"/>
    <w:rsid w:val="00A87164"/>
    <w:rsid w:val="00A871A9"/>
    <w:rsid w:val="00A8791D"/>
    <w:rsid w:val="00A87A8B"/>
    <w:rsid w:val="00A90A09"/>
    <w:rsid w:val="00A910B0"/>
    <w:rsid w:val="00A915F7"/>
    <w:rsid w:val="00A916C8"/>
    <w:rsid w:val="00A91F7C"/>
    <w:rsid w:val="00A92034"/>
    <w:rsid w:val="00A921A8"/>
    <w:rsid w:val="00A93072"/>
    <w:rsid w:val="00A93149"/>
    <w:rsid w:val="00A938BD"/>
    <w:rsid w:val="00A93953"/>
    <w:rsid w:val="00A939D8"/>
    <w:rsid w:val="00A93AD4"/>
    <w:rsid w:val="00A94B3F"/>
    <w:rsid w:val="00A94D1A"/>
    <w:rsid w:val="00A94D66"/>
    <w:rsid w:val="00A959D8"/>
    <w:rsid w:val="00A96187"/>
    <w:rsid w:val="00A96509"/>
    <w:rsid w:val="00A968CB"/>
    <w:rsid w:val="00A969B0"/>
    <w:rsid w:val="00A97457"/>
    <w:rsid w:val="00A97DF5"/>
    <w:rsid w:val="00AA072C"/>
    <w:rsid w:val="00AA08FF"/>
    <w:rsid w:val="00AA10E0"/>
    <w:rsid w:val="00AA113D"/>
    <w:rsid w:val="00AA192C"/>
    <w:rsid w:val="00AA1FC1"/>
    <w:rsid w:val="00AA312E"/>
    <w:rsid w:val="00AA3527"/>
    <w:rsid w:val="00AA368A"/>
    <w:rsid w:val="00AA3766"/>
    <w:rsid w:val="00AA3866"/>
    <w:rsid w:val="00AA38D2"/>
    <w:rsid w:val="00AA3C4C"/>
    <w:rsid w:val="00AA4DBC"/>
    <w:rsid w:val="00AA4FF3"/>
    <w:rsid w:val="00AA5BBD"/>
    <w:rsid w:val="00AA6BD5"/>
    <w:rsid w:val="00AA6BD8"/>
    <w:rsid w:val="00AA6C7D"/>
    <w:rsid w:val="00AA71AC"/>
    <w:rsid w:val="00AA7FD6"/>
    <w:rsid w:val="00AB042A"/>
    <w:rsid w:val="00AB04AE"/>
    <w:rsid w:val="00AB11AD"/>
    <w:rsid w:val="00AB16D7"/>
    <w:rsid w:val="00AB172E"/>
    <w:rsid w:val="00AB19EF"/>
    <w:rsid w:val="00AB1B42"/>
    <w:rsid w:val="00AB2495"/>
    <w:rsid w:val="00AB2D34"/>
    <w:rsid w:val="00AB2DB5"/>
    <w:rsid w:val="00AB300C"/>
    <w:rsid w:val="00AB3430"/>
    <w:rsid w:val="00AB34E5"/>
    <w:rsid w:val="00AB37B9"/>
    <w:rsid w:val="00AB3D7B"/>
    <w:rsid w:val="00AB3DE2"/>
    <w:rsid w:val="00AB433D"/>
    <w:rsid w:val="00AB440B"/>
    <w:rsid w:val="00AB44F2"/>
    <w:rsid w:val="00AB4A50"/>
    <w:rsid w:val="00AB4AD1"/>
    <w:rsid w:val="00AB5AAB"/>
    <w:rsid w:val="00AB5BA3"/>
    <w:rsid w:val="00AB5E07"/>
    <w:rsid w:val="00AB6139"/>
    <w:rsid w:val="00AB630C"/>
    <w:rsid w:val="00AB692A"/>
    <w:rsid w:val="00AB6A54"/>
    <w:rsid w:val="00AB6BBD"/>
    <w:rsid w:val="00AB7015"/>
    <w:rsid w:val="00AB7957"/>
    <w:rsid w:val="00AB7CFA"/>
    <w:rsid w:val="00AC0472"/>
    <w:rsid w:val="00AC08E4"/>
    <w:rsid w:val="00AC122C"/>
    <w:rsid w:val="00AC127B"/>
    <w:rsid w:val="00AC1B2B"/>
    <w:rsid w:val="00AC1D26"/>
    <w:rsid w:val="00AC1E09"/>
    <w:rsid w:val="00AC1E0F"/>
    <w:rsid w:val="00AC1F78"/>
    <w:rsid w:val="00AC4BEA"/>
    <w:rsid w:val="00AC57FA"/>
    <w:rsid w:val="00AC5A81"/>
    <w:rsid w:val="00AC5B42"/>
    <w:rsid w:val="00AC5B48"/>
    <w:rsid w:val="00AC6C99"/>
    <w:rsid w:val="00AC7C79"/>
    <w:rsid w:val="00AC7DBA"/>
    <w:rsid w:val="00AD0C81"/>
    <w:rsid w:val="00AD0E77"/>
    <w:rsid w:val="00AD1450"/>
    <w:rsid w:val="00AD147F"/>
    <w:rsid w:val="00AD15E8"/>
    <w:rsid w:val="00AD231C"/>
    <w:rsid w:val="00AD2A8A"/>
    <w:rsid w:val="00AD356D"/>
    <w:rsid w:val="00AD40D1"/>
    <w:rsid w:val="00AD417F"/>
    <w:rsid w:val="00AD4334"/>
    <w:rsid w:val="00AD465A"/>
    <w:rsid w:val="00AD4B23"/>
    <w:rsid w:val="00AD4F15"/>
    <w:rsid w:val="00AD5A6E"/>
    <w:rsid w:val="00AD6098"/>
    <w:rsid w:val="00AD6502"/>
    <w:rsid w:val="00AD6ECC"/>
    <w:rsid w:val="00AD7899"/>
    <w:rsid w:val="00AD7B4A"/>
    <w:rsid w:val="00AE01A1"/>
    <w:rsid w:val="00AE0695"/>
    <w:rsid w:val="00AE0C5F"/>
    <w:rsid w:val="00AE1596"/>
    <w:rsid w:val="00AE28D2"/>
    <w:rsid w:val="00AE350D"/>
    <w:rsid w:val="00AE3E7E"/>
    <w:rsid w:val="00AE4705"/>
    <w:rsid w:val="00AE4840"/>
    <w:rsid w:val="00AE4968"/>
    <w:rsid w:val="00AE4A0D"/>
    <w:rsid w:val="00AE4A27"/>
    <w:rsid w:val="00AE673F"/>
    <w:rsid w:val="00AE7292"/>
    <w:rsid w:val="00AE7BED"/>
    <w:rsid w:val="00AE7E53"/>
    <w:rsid w:val="00AF0356"/>
    <w:rsid w:val="00AF117F"/>
    <w:rsid w:val="00AF1315"/>
    <w:rsid w:val="00AF19BF"/>
    <w:rsid w:val="00AF1B98"/>
    <w:rsid w:val="00AF20DE"/>
    <w:rsid w:val="00AF2184"/>
    <w:rsid w:val="00AF2714"/>
    <w:rsid w:val="00AF2D51"/>
    <w:rsid w:val="00AF2DC3"/>
    <w:rsid w:val="00AF366F"/>
    <w:rsid w:val="00AF3D71"/>
    <w:rsid w:val="00AF434F"/>
    <w:rsid w:val="00AF4DCE"/>
    <w:rsid w:val="00AF5429"/>
    <w:rsid w:val="00AF5483"/>
    <w:rsid w:val="00AF612A"/>
    <w:rsid w:val="00AF6677"/>
    <w:rsid w:val="00AF6800"/>
    <w:rsid w:val="00AF69DC"/>
    <w:rsid w:val="00AF7184"/>
    <w:rsid w:val="00AF7281"/>
    <w:rsid w:val="00AF76DF"/>
    <w:rsid w:val="00B00432"/>
    <w:rsid w:val="00B00794"/>
    <w:rsid w:val="00B00A30"/>
    <w:rsid w:val="00B020B7"/>
    <w:rsid w:val="00B02172"/>
    <w:rsid w:val="00B024E2"/>
    <w:rsid w:val="00B0266D"/>
    <w:rsid w:val="00B026BD"/>
    <w:rsid w:val="00B02786"/>
    <w:rsid w:val="00B033E5"/>
    <w:rsid w:val="00B037DB"/>
    <w:rsid w:val="00B03A63"/>
    <w:rsid w:val="00B04463"/>
    <w:rsid w:val="00B05DF8"/>
    <w:rsid w:val="00B05EEF"/>
    <w:rsid w:val="00B069E6"/>
    <w:rsid w:val="00B06AD2"/>
    <w:rsid w:val="00B109D2"/>
    <w:rsid w:val="00B10B30"/>
    <w:rsid w:val="00B10EB3"/>
    <w:rsid w:val="00B11107"/>
    <w:rsid w:val="00B11451"/>
    <w:rsid w:val="00B116E4"/>
    <w:rsid w:val="00B116EE"/>
    <w:rsid w:val="00B129A4"/>
    <w:rsid w:val="00B12F04"/>
    <w:rsid w:val="00B135A0"/>
    <w:rsid w:val="00B135D2"/>
    <w:rsid w:val="00B13C29"/>
    <w:rsid w:val="00B14B05"/>
    <w:rsid w:val="00B14DE5"/>
    <w:rsid w:val="00B15EE0"/>
    <w:rsid w:val="00B167FF"/>
    <w:rsid w:val="00B16B9C"/>
    <w:rsid w:val="00B16C38"/>
    <w:rsid w:val="00B17008"/>
    <w:rsid w:val="00B17417"/>
    <w:rsid w:val="00B176E1"/>
    <w:rsid w:val="00B17770"/>
    <w:rsid w:val="00B201A4"/>
    <w:rsid w:val="00B201D1"/>
    <w:rsid w:val="00B20DEF"/>
    <w:rsid w:val="00B213A6"/>
    <w:rsid w:val="00B21B10"/>
    <w:rsid w:val="00B21E50"/>
    <w:rsid w:val="00B220C7"/>
    <w:rsid w:val="00B224B1"/>
    <w:rsid w:val="00B22615"/>
    <w:rsid w:val="00B22948"/>
    <w:rsid w:val="00B22FCE"/>
    <w:rsid w:val="00B235B0"/>
    <w:rsid w:val="00B2371D"/>
    <w:rsid w:val="00B24DF6"/>
    <w:rsid w:val="00B266BC"/>
    <w:rsid w:val="00B26C23"/>
    <w:rsid w:val="00B26DE0"/>
    <w:rsid w:val="00B2764B"/>
    <w:rsid w:val="00B27A61"/>
    <w:rsid w:val="00B27FAD"/>
    <w:rsid w:val="00B303ED"/>
    <w:rsid w:val="00B31AD9"/>
    <w:rsid w:val="00B31B5A"/>
    <w:rsid w:val="00B31F80"/>
    <w:rsid w:val="00B329A3"/>
    <w:rsid w:val="00B32A2F"/>
    <w:rsid w:val="00B335A5"/>
    <w:rsid w:val="00B3377A"/>
    <w:rsid w:val="00B338BF"/>
    <w:rsid w:val="00B33AC3"/>
    <w:rsid w:val="00B33EFB"/>
    <w:rsid w:val="00B3489B"/>
    <w:rsid w:val="00B34FE2"/>
    <w:rsid w:val="00B35166"/>
    <w:rsid w:val="00B357D8"/>
    <w:rsid w:val="00B360F4"/>
    <w:rsid w:val="00B36A00"/>
    <w:rsid w:val="00B36CCC"/>
    <w:rsid w:val="00B3792B"/>
    <w:rsid w:val="00B37BFC"/>
    <w:rsid w:val="00B40358"/>
    <w:rsid w:val="00B41614"/>
    <w:rsid w:val="00B419C9"/>
    <w:rsid w:val="00B41C60"/>
    <w:rsid w:val="00B41D12"/>
    <w:rsid w:val="00B4264D"/>
    <w:rsid w:val="00B42851"/>
    <w:rsid w:val="00B42F80"/>
    <w:rsid w:val="00B43155"/>
    <w:rsid w:val="00B435CB"/>
    <w:rsid w:val="00B43AFA"/>
    <w:rsid w:val="00B442EB"/>
    <w:rsid w:val="00B44551"/>
    <w:rsid w:val="00B44606"/>
    <w:rsid w:val="00B44B96"/>
    <w:rsid w:val="00B45178"/>
    <w:rsid w:val="00B4548D"/>
    <w:rsid w:val="00B45D54"/>
    <w:rsid w:val="00B465EC"/>
    <w:rsid w:val="00B466C6"/>
    <w:rsid w:val="00B46926"/>
    <w:rsid w:val="00B46D17"/>
    <w:rsid w:val="00B46D5C"/>
    <w:rsid w:val="00B472E7"/>
    <w:rsid w:val="00B477B4"/>
    <w:rsid w:val="00B505C8"/>
    <w:rsid w:val="00B50AA3"/>
    <w:rsid w:val="00B50DB8"/>
    <w:rsid w:val="00B51968"/>
    <w:rsid w:val="00B53654"/>
    <w:rsid w:val="00B5375F"/>
    <w:rsid w:val="00B53905"/>
    <w:rsid w:val="00B53BB2"/>
    <w:rsid w:val="00B54307"/>
    <w:rsid w:val="00B546DB"/>
    <w:rsid w:val="00B547A8"/>
    <w:rsid w:val="00B54B5B"/>
    <w:rsid w:val="00B5518E"/>
    <w:rsid w:val="00B5562E"/>
    <w:rsid w:val="00B5568B"/>
    <w:rsid w:val="00B55862"/>
    <w:rsid w:val="00B558C9"/>
    <w:rsid w:val="00B55D65"/>
    <w:rsid w:val="00B55F0D"/>
    <w:rsid w:val="00B56305"/>
    <w:rsid w:val="00B56762"/>
    <w:rsid w:val="00B56981"/>
    <w:rsid w:val="00B569F7"/>
    <w:rsid w:val="00B56DE5"/>
    <w:rsid w:val="00B57000"/>
    <w:rsid w:val="00B57253"/>
    <w:rsid w:val="00B57368"/>
    <w:rsid w:val="00B5794D"/>
    <w:rsid w:val="00B606CA"/>
    <w:rsid w:val="00B60939"/>
    <w:rsid w:val="00B60AFD"/>
    <w:rsid w:val="00B62715"/>
    <w:rsid w:val="00B63B2D"/>
    <w:rsid w:val="00B63C17"/>
    <w:rsid w:val="00B63C41"/>
    <w:rsid w:val="00B64C00"/>
    <w:rsid w:val="00B64F0A"/>
    <w:rsid w:val="00B6532E"/>
    <w:rsid w:val="00B65611"/>
    <w:rsid w:val="00B65AEE"/>
    <w:rsid w:val="00B66012"/>
    <w:rsid w:val="00B66503"/>
    <w:rsid w:val="00B66586"/>
    <w:rsid w:val="00B66863"/>
    <w:rsid w:val="00B66E56"/>
    <w:rsid w:val="00B70E8E"/>
    <w:rsid w:val="00B711D6"/>
    <w:rsid w:val="00B7156C"/>
    <w:rsid w:val="00B71AC8"/>
    <w:rsid w:val="00B7227C"/>
    <w:rsid w:val="00B731BB"/>
    <w:rsid w:val="00B731D2"/>
    <w:rsid w:val="00B73214"/>
    <w:rsid w:val="00B735A2"/>
    <w:rsid w:val="00B7366E"/>
    <w:rsid w:val="00B7459F"/>
    <w:rsid w:val="00B747F7"/>
    <w:rsid w:val="00B74A1A"/>
    <w:rsid w:val="00B74C88"/>
    <w:rsid w:val="00B74D3D"/>
    <w:rsid w:val="00B74F4E"/>
    <w:rsid w:val="00B75546"/>
    <w:rsid w:val="00B7575E"/>
    <w:rsid w:val="00B75C7E"/>
    <w:rsid w:val="00B75F2E"/>
    <w:rsid w:val="00B767D8"/>
    <w:rsid w:val="00B76C92"/>
    <w:rsid w:val="00B76CB3"/>
    <w:rsid w:val="00B76D4A"/>
    <w:rsid w:val="00B7796C"/>
    <w:rsid w:val="00B8036A"/>
    <w:rsid w:val="00B80373"/>
    <w:rsid w:val="00B80DB7"/>
    <w:rsid w:val="00B80EFD"/>
    <w:rsid w:val="00B813A4"/>
    <w:rsid w:val="00B818A4"/>
    <w:rsid w:val="00B818CA"/>
    <w:rsid w:val="00B81D8F"/>
    <w:rsid w:val="00B820CC"/>
    <w:rsid w:val="00B82C73"/>
    <w:rsid w:val="00B82C98"/>
    <w:rsid w:val="00B8364A"/>
    <w:rsid w:val="00B83739"/>
    <w:rsid w:val="00B83DF0"/>
    <w:rsid w:val="00B84117"/>
    <w:rsid w:val="00B845A6"/>
    <w:rsid w:val="00B851C6"/>
    <w:rsid w:val="00B852EB"/>
    <w:rsid w:val="00B858F0"/>
    <w:rsid w:val="00B85AA2"/>
    <w:rsid w:val="00B861BD"/>
    <w:rsid w:val="00B862BB"/>
    <w:rsid w:val="00B8649C"/>
    <w:rsid w:val="00B8695D"/>
    <w:rsid w:val="00B87122"/>
    <w:rsid w:val="00B871A8"/>
    <w:rsid w:val="00B87F0A"/>
    <w:rsid w:val="00B902C7"/>
    <w:rsid w:val="00B907DD"/>
    <w:rsid w:val="00B90BFF"/>
    <w:rsid w:val="00B90E2E"/>
    <w:rsid w:val="00B90F24"/>
    <w:rsid w:val="00B91151"/>
    <w:rsid w:val="00B91EE2"/>
    <w:rsid w:val="00B9257F"/>
    <w:rsid w:val="00B928ED"/>
    <w:rsid w:val="00B92D0B"/>
    <w:rsid w:val="00B92E64"/>
    <w:rsid w:val="00B93507"/>
    <w:rsid w:val="00B937AD"/>
    <w:rsid w:val="00B93F78"/>
    <w:rsid w:val="00B943AB"/>
    <w:rsid w:val="00B94945"/>
    <w:rsid w:val="00B94AA9"/>
    <w:rsid w:val="00B94ABA"/>
    <w:rsid w:val="00B94B83"/>
    <w:rsid w:val="00B94DD6"/>
    <w:rsid w:val="00B96008"/>
    <w:rsid w:val="00B96057"/>
    <w:rsid w:val="00B9630E"/>
    <w:rsid w:val="00B96B9A"/>
    <w:rsid w:val="00B96C2F"/>
    <w:rsid w:val="00B9721B"/>
    <w:rsid w:val="00B97264"/>
    <w:rsid w:val="00B97B7E"/>
    <w:rsid w:val="00B97BC7"/>
    <w:rsid w:val="00B97F02"/>
    <w:rsid w:val="00BA00BF"/>
    <w:rsid w:val="00BA03AF"/>
    <w:rsid w:val="00BA054B"/>
    <w:rsid w:val="00BA0C3D"/>
    <w:rsid w:val="00BA1846"/>
    <w:rsid w:val="00BA1E04"/>
    <w:rsid w:val="00BA266E"/>
    <w:rsid w:val="00BA2A39"/>
    <w:rsid w:val="00BA322D"/>
    <w:rsid w:val="00BA3955"/>
    <w:rsid w:val="00BA3F5C"/>
    <w:rsid w:val="00BA41EA"/>
    <w:rsid w:val="00BA464D"/>
    <w:rsid w:val="00BA4730"/>
    <w:rsid w:val="00BA537E"/>
    <w:rsid w:val="00BA63FA"/>
    <w:rsid w:val="00BA6AAA"/>
    <w:rsid w:val="00BA72AA"/>
    <w:rsid w:val="00BA7475"/>
    <w:rsid w:val="00BA785A"/>
    <w:rsid w:val="00BA7C7F"/>
    <w:rsid w:val="00BA7D35"/>
    <w:rsid w:val="00BA7D80"/>
    <w:rsid w:val="00BB0038"/>
    <w:rsid w:val="00BB00B3"/>
    <w:rsid w:val="00BB0353"/>
    <w:rsid w:val="00BB0BDD"/>
    <w:rsid w:val="00BB176C"/>
    <w:rsid w:val="00BB1D7E"/>
    <w:rsid w:val="00BB2107"/>
    <w:rsid w:val="00BB25FB"/>
    <w:rsid w:val="00BB296D"/>
    <w:rsid w:val="00BB29E5"/>
    <w:rsid w:val="00BB2A73"/>
    <w:rsid w:val="00BB2A79"/>
    <w:rsid w:val="00BB2FA8"/>
    <w:rsid w:val="00BB32D0"/>
    <w:rsid w:val="00BB3A45"/>
    <w:rsid w:val="00BB3FB3"/>
    <w:rsid w:val="00BB4179"/>
    <w:rsid w:val="00BB4ACC"/>
    <w:rsid w:val="00BB51DF"/>
    <w:rsid w:val="00BB541A"/>
    <w:rsid w:val="00BB6947"/>
    <w:rsid w:val="00BB6ADD"/>
    <w:rsid w:val="00BB6D19"/>
    <w:rsid w:val="00BB703E"/>
    <w:rsid w:val="00BB72FD"/>
    <w:rsid w:val="00BB732D"/>
    <w:rsid w:val="00BB7405"/>
    <w:rsid w:val="00BB79BD"/>
    <w:rsid w:val="00BC0177"/>
    <w:rsid w:val="00BC0347"/>
    <w:rsid w:val="00BC06FB"/>
    <w:rsid w:val="00BC0A06"/>
    <w:rsid w:val="00BC1FF7"/>
    <w:rsid w:val="00BC26FF"/>
    <w:rsid w:val="00BC28F3"/>
    <w:rsid w:val="00BC3631"/>
    <w:rsid w:val="00BC4DC9"/>
    <w:rsid w:val="00BC591F"/>
    <w:rsid w:val="00BC601C"/>
    <w:rsid w:val="00BC623A"/>
    <w:rsid w:val="00BC6AFB"/>
    <w:rsid w:val="00BC6EEF"/>
    <w:rsid w:val="00BC746F"/>
    <w:rsid w:val="00BC7D6D"/>
    <w:rsid w:val="00BD0195"/>
    <w:rsid w:val="00BD1E4D"/>
    <w:rsid w:val="00BD2108"/>
    <w:rsid w:val="00BD2660"/>
    <w:rsid w:val="00BD30A8"/>
    <w:rsid w:val="00BD31F4"/>
    <w:rsid w:val="00BD32C0"/>
    <w:rsid w:val="00BD3CED"/>
    <w:rsid w:val="00BD41C0"/>
    <w:rsid w:val="00BD45FF"/>
    <w:rsid w:val="00BD462F"/>
    <w:rsid w:val="00BD4B22"/>
    <w:rsid w:val="00BD52CE"/>
    <w:rsid w:val="00BD5B01"/>
    <w:rsid w:val="00BD5FB8"/>
    <w:rsid w:val="00BD68A3"/>
    <w:rsid w:val="00BD6938"/>
    <w:rsid w:val="00BD6CF3"/>
    <w:rsid w:val="00BD6D01"/>
    <w:rsid w:val="00BD7257"/>
    <w:rsid w:val="00BD7686"/>
    <w:rsid w:val="00BD7CAE"/>
    <w:rsid w:val="00BD7F72"/>
    <w:rsid w:val="00BE0870"/>
    <w:rsid w:val="00BE0ECA"/>
    <w:rsid w:val="00BE1427"/>
    <w:rsid w:val="00BE1733"/>
    <w:rsid w:val="00BE194E"/>
    <w:rsid w:val="00BE1A00"/>
    <w:rsid w:val="00BE1BEE"/>
    <w:rsid w:val="00BE2180"/>
    <w:rsid w:val="00BE21F2"/>
    <w:rsid w:val="00BE2F3D"/>
    <w:rsid w:val="00BE2FD8"/>
    <w:rsid w:val="00BE2FE5"/>
    <w:rsid w:val="00BE34AA"/>
    <w:rsid w:val="00BE3501"/>
    <w:rsid w:val="00BE3E9B"/>
    <w:rsid w:val="00BE4008"/>
    <w:rsid w:val="00BE4275"/>
    <w:rsid w:val="00BE4A04"/>
    <w:rsid w:val="00BE5174"/>
    <w:rsid w:val="00BE52A8"/>
    <w:rsid w:val="00BE5598"/>
    <w:rsid w:val="00BE58F1"/>
    <w:rsid w:val="00BE5938"/>
    <w:rsid w:val="00BE5955"/>
    <w:rsid w:val="00BE59EF"/>
    <w:rsid w:val="00BE5BA8"/>
    <w:rsid w:val="00BE5DD8"/>
    <w:rsid w:val="00BE5F22"/>
    <w:rsid w:val="00BE5F85"/>
    <w:rsid w:val="00BE71B6"/>
    <w:rsid w:val="00BE73F7"/>
    <w:rsid w:val="00BE79A5"/>
    <w:rsid w:val="00BE7D98"/>
    <w:rsid w:val="00BE7DD8"/>
    <w:rsid w:val="00BE7F0E"/>
    <w:rsid w:val="00BF06AE"/>
    <w:rsid w:val="00BF0F95"/>
    <w:rsid w:val="00BF1C22"/>
    <w:rsid w:val="00BF1D01"/>
    <w:rsid w:val="00BF21FA"/>
    <w:rsid w:val="00BF2433"/>
    <w:rsid w:val="00BF2E6E"/>
    <w:rsid w:val="00BF42E0"/>
    <w:rsid w:val="00BF42FE"/>
    <w:rsid w:val="00BF441C"/>
    <w:rsid w:val="00BF47FC"/>
    <w:rsid w:val="00BF485F"/>
    <w:rsid w:val="00BF4958"/>
    <w:rsid w:val="00BF4B4C"/>
    <w:rsid w:val="00BF4D9B"/>
    <w:rsid w:val="00BF56B2"/>
    <w:rsid w:val="00BF5AB5"/>
    <w:rsid w:val="00BF5C0B"/>
    <w:rsid w:val="00BF5FB2"/>
    <w:rsid w:val="00BF60F5"/>
    <w:rsid w:val="00BF61C9"/>
    <w:rsid w:val="00BF67CD"/>
    <w:rsid w:val="00BF6C94"/>
    <w:rsid w:val="00BF7059"/>
    <w:rsid w:val="00BF73A6"/>
    <w:rsid w:val="00BF78B8"/>
    <w:rsid w:val="00C00205"/>
    <w:rsid w:val="00C00424"/>
    <w:rsid w:val="00C008CB"/>
    <w:rsid w:val="00C00BB0"/>
    <w:rsid w:val="00C01853"/>
    <w:rsid w:val="00C01F51"/>
    <w:rsid w:val="00C02157"/>
    <w:rsid w:val="00C02387"/>
    <w:rsid w:val="00C025C9"/>
    <w:rsid w:val="00C028DF"/>
    <w:rsid w:val="00C03012"/>
    <w:rsid w:val="00C035A6"/>
    <w:rsid w:val="00C037D9"/>
    <w:rsid w:val="00C0382F"/>
    <w:rsid w:val="00C03933"/>
    <w:rsid w:val="00C03E25"/>
    <w:rsid w:val="00C04398"/>
    <w:rsid w:val="00C04A21"/>
    <w:rsid w:val="00C04C5A"/>
    <w:rsid w:val="00C0516D"/>
    <w:rsid w:val="00C067F8"/>
    <w:rsid w:val="00C06AEF"/>
    <w:rsid w:val="00C06F40"/>
    <w:rsid w:val="00C109E0"/>
    <w:rsid w:val="00C116A5"/>
    <w:rsid w:val="00C1179F"/>
    <w:rsid w:val="00C11E88"/>
    <w:rsid w:val="00C127B9"/>
    <w:rsid w:val="00C128FA"/>
    <w:rsid w:val="00C12C14"/>
    <w:rsid w:val="00C13634"/>
    <w:rsid w:val="00C1377E"/>
    <w:rsid w:val="00C15108"/>
    <w:rsid w:val="00C15882"/>
    <w:rsid w:val="00C15EF3"/>
    <w:rsid w:val="00C15F04"/>
    <w:rsid w:val="00C15F4B"/>
    <w:rsid w:val="00C162D9"/>
    <w:rsid w:val="00C16A0E"/>
    <w:rsid w:val="00C16FFA"/>
    <w:rsid w:val="00C17165"/>
    <w:rsid w:val="00C179B3"/>
    <w:rsid w:val="00C17E3F"/>
    <w:rsid w:val="00C17E4E"/>
    <w:rsid w:val="00C200AA"/>
    <w:rsid w:val="00C20108"/>
    <w:rsid w:val="00C207EB"/>
    <w:rsid w:val="00C20D52"/>
    <w:rsid w:val="00C20F6F"/>
    <w:rsid w:val="00C21B1E"/>
    <w:rsid w:val="00C21D0A"/>
    <w:rsid w:val="00C227AC"/>
    <w:rsid w:val="00C22935"/>
    <w:rsid w:val="00C22C0B"/>
    <w:rsid w:val="00C22C7A"/>
    <w:rsid w:val="00C232AF"/>
    <w:rsid w:val="00C237ED"/>
    <w:rsid w:val="00C23BA3"/>
    <w:rsid w:val="00C23CD2"/>
    <w:rsid w:val="00C23D2F"/>
    <w:rsid w:val="00C24547"/>
    <w:rsid w:val="00C24632"/>
    <w:rsid w:val="00C24A50"/>
    <w:rsid w:val="00C24A53"/>
    <w:rsid w:val="00C252A7"/>
    <w:rsid w:val="00C25418"/>
    <w:rsid w:val="00C25768"/>
    <w:rsid w:val="00C25AE1"/>
    <w:rsid w:val="00C25D9C"/>
    <w:rsid w:val="00C25EC1"/>
    <w:rsid w:val="00C26341"/>
    <w:rsid w:val="00C2738C"/>
    <w:rsid w:val="00C2778B"/>
    <w:rsid w:val="00C27C94"/>
    <w:rsid w:val="00C27FA2"/>
    <w:rsid w:val="00C30E12"/>
    <w:rsid w:val="00C31649"/>
    <w:rsid w:val="00C31656"/>
    <w:rsid w:val="00C31AFB"/>
    <w:rsid w:val="00C31CD5"/>
    <w:rsid w:val="00C321EF"/>
    <w:rsid w:val="00C32F9D"/>
    <w:rsid w:val="00C3336B"/>
    <w:rsid w:val="00C33F43"/>
    <w:rsid w:val="00C3434C"/>
    <w:rsid w:val="00C34E83"/>
    <w:rsid w:val="00C35237"/>
    <w:rsid w:val="00C35876"/>
    <w:rsid w:val="00C36B5C"/>
    <w:rsid w:val="00C36C18"/>
    <w:rsid w:val="00C371AB"/>
    <w:rsid w:val="00C376DB"/>
    <w:rsid w:val="00C40385"/>
    <w:rsid w:val="00C4165E"/>
    <w:rsid w:val="00C41768"/>
    <w:rsid w:val="00C418C3"/>
    <w:rsid w:val="00C42226"/>
    <w:rsid w:val="00C426A7"/>
    <w:rsid w:val="00C43362"/>
    <w:rsid w:val="00C435AC"/>
    <w:rsid w:val="00C435F0"/>
    <w:rsid w:val="00C43933"/>
    <w:rsid w:val="00C43ACB"/>
    <w:rsid w:val="00C447CB"/>
    <w:rsid w:val="00C453F6"/>
    <w:rsid w:val="00C45B6D"/>
    <w:rsid w:val="00C45FC3"/>
    <w:rsid w:val="00C4605E"/>
    <w:rsid w:val="00C4688B"/>
    <w:rsid w:val="00C46DBE"/>
    <w:rsid w:val="00C475AA"/>
    <w:rsid w:val="00C47729"/>
    <w:rsid w:val="00C47A20"/>
    <w:rsid w:val="00C50354"/>
    <w:rsid w:val="00C50479"/>
    <w:rsid w:val="00C50A50"/>
    <w:rsid w:val="00C50C57"/>
    <w:rsid w:val="00C5123D"/>
    <w:rsid w:val="00C5131F"/>
    <w:rsid w:val="00C5140E"/>
    <w:rsid w:val="00C516E0"/>
    <w:rsid w:val="00C5193E"/>
    <w:rsid w:val="00C51D33"/>
    <w:rsid w:val="00C527C7"/>
    <w:rsid w:val="00C52868"/>
    <w:rsid w:val="00C52C81"/>
    <w:rsid w:val="00C52D7C"/>
    <w:rsid w:val="00C53965"/>
    <w:rsid w:val="00C53C98"/>
    <w:rsid w:val="00C53D3E"/>
    <w:rsid w:val="00C53E7C"/>
    <w:rsid w:val="00C5476C"/>
    <w:rsid w:val="00C54C58"/>
    <w:rsid w:val="00C54E18"/>
    <w:rsid w:val="00C553C0"/>
    <w:rsid w:val="00C55448"/>
    <w:rsid w:val="00C56203"/>
    <w:rsid w:val="00C56AB4"/>
    <w:rsid w:val="00C56C62"/>
    <w:rsid w:val="00C56E0A"/>
    <w:rsid w:val="00C56E66"/>
    <w:rsid w:val="00C56FCF"/>
    <w:rsid w:val="00C572F6"/>
    <w:rsid w:val="00C57605"/>
    <w:rsid w:val="00C57B6C"/>
    <w:rsid w:val="00C57B87"/>
    <w:rsid w:val="00C57C2D"/>
    <w:rsid w:val="00C61568"/>
    <w:rsid w:val="00C61A59"/>
    <w:rsid w:val="00C61EC6"/>
    <w:rsid w:val="00C620D0"/>
    <w:rsid w:val="00C623FD"/>
    <w:rsid w:val="00C624EE"/>
    <w:rsid w:val="00C628A6"/>
    <w:rsid w:val="00C62ADF"/>
    <w:rsid w:val="00C638DB"/>
    <w:rsid w:val="00C63F5D"/>
    <w:rsid w:val="00C64344"/>
    <w:rsid w:val="00C64D4B"/>
    <w:rsid w:val="00C65108"/>
    <w:rsid w:val="00C651D0"/>
    <w:rsid w:val="00C65576"/>
    <w:rsid w:val="00C655DA"/>
    <w:rsid w:val="00C65FBB"/>
    <w:rsid w:val="00C66165"/>
    <w:rsid w:val="00C6676B"/>
    <w:rsid w:val="00C67269"/>
    <w:rsid w:val="00C705F7"/>
    <w:rsid w:val="00C7060A"/>
    <w:rsid w:val="00C70AFE"/>
    <w:rsid w:val="00C70FA9"/>
    <w:rsid w:val="00C71322"/>
    <w:rsid w:val="00C7151A"/>
    <w:rsid w:val="00C71582"/>
    <w:rsid w:val="00C717E3"/>
    <w:rsid w:val="00C71F60"/>
    <w:rsid w:val="00C72241"/>
    <w:rsid w:val="00C72797"/>
    <w:rsid w:val="00C73543"/>
    <w:rsid w:val="00C736F2"/>
    <w:rsid w:val="00C73DD7"/>
    <w:rsid w:val="00C741A8"/>
    <w:rsid w:val="00C7431B"/>
    <w:rsid w:val="00C750C8"/>
    <w:rsid w:val="00C754E3"/>
    <w:rsid w:val="00C755FB"/>
    <w:rsid w:val="00C7560F"/>
    <w:rsid w:val="00C75827"/>
    <w:rsid w:val="00C75C8C"/>
    <w:rsid w:val="00C76048"/>
    <w:rsid w:val="00C76D64"/>
    <w:rsid w:val="00C77208"/>
    <w:rsid w:val="00C7769E"/>
    <w:rsid w:val="00C77C16"/>
    <w:rsid w:val="00C800BC"/>
    <w:rsid w:val="00C80A0E"/>
    <w:rsid w:val="00C81E2C"/>
    <w:rsid w:val="00C8213F"/>
    <w:rsid w:val="00C8296E"/>
    <w:rsid w:val="00C8303F"/>
    <w:rsid w:val="00C83D0B"/>
    <w:rsid w:val="00C84E87"/>
    <w:rsid w:val="00C85154"/>
    <w:rsid w:val="00C85A70"/>
    <w:rsid w:val="00C873FE"/>
    <w:rsid w:val="00C8797A"/>
    <w:rsid w:val="00C87AD1"/>
    <w:rsid w:val="00C900B7"/>
    <w:rsid w:val="00C900B8"/>
    <w:rsid w:val="00C90197"/>
    <w:rsid w:val="00C90507"/>
    <w:rsid w:val="00C9053C"/>
    <w:rsid w:val="00C90C71"/>
    <w:rsid w:val="00C90E45"/>
    <w:rsid w:val="00C91208"/>
    <w:rsid w:val="00C91269"/>
    <w:rsid w:val="00C91485"/>
    <w:rsid w:val="00C915DC"/>
    <w:rsid w:val="00C91C77"/>
    <w:rsid w:val="00C91E39"/>
    <w:rsid w:val="00C91FD1"/>
    <w:rsid w:val="00C92205"/>
    <w:rsid w:val="00C922CF"/>
    <w:rsid w:val="00C931CF"/>
    <w:rsid w:val="00C938CF"/>
    <w:rsid w:val="00C93D50"/>
    <w:rsid w:val="00C93E88"/>
    <w:rsid w:val="00C94053"/>
    <w:rsid w:val="00C94A3C"/>
    <w:rsid w:val="00C95126"/>
    <w:rsid w:val="00C96221"/>
    <w:rsid w:val="00C9624D"/>
    <w:rsid w:val="00C96491"/>
    <w:rsid w:val="00C9650F"/>
    <w:rsid w:val="00C966EC"/>
    <w:rsid w:val="00C969DA"/>
    <w:rsid w:val="00C96FCD"/>
    <w:rsid w:val="00C97280"/>
    <w:rsid w:val="00C9766A"/>
    <w:rsid w:val="00C978D8"/>
    <w:rsid w:val="00C979BC"/>
    <w:rsid w:val="00C97D52"/>
    <w:rsid w:val="00CA0420"/>
    <w:rsid w:val="00CA094B"/>
    <w:rsid w:val="00CA1A5A"/>
    <w:rsid w:val="00CA2886"/>
    <w:rsid w:val="00CA2C77"/>
    <w:rsid w:val="00CA3250"/>
    <w:rsid w:val="00CA3831"/>
    <w:rsid w:val="00CA3D01"/>
    <w:rsid w:val="00CA3F4C"/>
    <w:rsid w:val="00CA444F"/>
    <w:rsid w:val="00CA4E2F"/>
    <w:rsid w:val="00CA4FC4"/>
    <w:rsid w:val="00CA5245"/>
    <w:rsid w:val="00CA5515"/>
    <w:rsid w:val="00CA59B5"/>
    <w:rsid w:val="00CA5D28"/>
    <w:rsid w:val="00CA671A"/>
    <w:rsid w:val="00CA6894"/>
    <w:rsid w:val="00CA6AA4"/>
    <w:rsid w:val="00CA6DA3"/>
    <w:rsid w:val="00CA71F4"/>
    <w:rsid w:val="00CA774C"/>
    <w:rsid w:val="00CA7B09"/>
    <w:rsid w:val="00CB037F"/>
    <w:rsid w:val="00CB05F0"/>
    <w:rsid w:val="00CB112A"/>
    <w:rsid w:val="00CB12A5"/>
    <w:rsid w:val="00CB165C"/>
    <w:rsid w:val="00CB1CAC"/>
    <w:rsid w:val="00CB22EC"/>
    <w:rsid w:val="00CB24DE"/>
    <w:rsid w:val="00CB2807"/>
    <w:rsid w:val="00CB2BB8"/>
    <w:rsid w:val="00CB2F2A"/>
    <w:rsid w:val="00CB393A"/>
    <w:rsid w:val="00CB5802"/>
    <w:rsid w:val="00CB5B1A"/>
    <w:rsid w:val="00CB61A5"/>
    <w:rsid w:val="00CB6531"/>
    <w:rsid w:val="00CB6B22"/>
    <w:rsid w:val="00CB74D7"/>
    <w:rsid w:val="00CB7F5F"/>
    <w:rsid w:val="00CC02FF"/>
    <w:rsid w:val="00CC0872"/>
    <w:rsid w:val="00CC0C6B"/>
    <w:rsid w:val="00CC1B39"/>
    <w:rsid w:val="00CC1BFA"/>
    <w:rsid w:val="00CC20D9"/>
    <w:rsid w:val="00CC2429"/>
    <w:rsid w:val="00CC2E9F"/>
    <w:rsid w:val="00CC32EC"/>
    <w:rsid w:val="00CC35EA"/>
    <w:rsid w:val="00CC3848"/>
    <w:rsid w:val="00CC3B1E"/>
    <w:rsid w:val="00CC3DA3"/>
    <w:rsid w:val="00CC3F75"/>
    <w:rsid w:val="00CC4027"/>
    <w:rsid w:val="00CC48F2"/>
    <w:rsid w:val="00CC4BA0"/>
    <w:rsid w:val="00CC4BAE"/>
    <w:rsid w:val="00CC5081"/>
    <w:rsid w:val="00CC53FE"/>
    <w:rsid w:val="00CC551D"/>
    <w:rsid w:val="00CC5DD3"/>
    <w:rsid w:val="00CC63C7"/>
    <w:rsid w:val="00CC6C2D"/>
    <w:rsid w:val="00CC6D0B"/>
    <w:rsid w:val="00CC6D5E"/>
    <w:rsid w:val="00CC75C1"/>
    <w:rsid w:val="00CD0200"/>
    <w:rsid w:val="00CD064D"/>
    <w:rsid w:val="00CD0811"/>
    <w:rsid w:val="00CD0A5C"/>
    <w:rsid w:val="00CD0D49"/>
    <w:rsid w:val="00CD0E83"/>
    <w:rsid w:val="00CD16E0"/>
    <w:rsid w:val="00CD1AB4"/>
    <w:rsid w:val="00CD260A"/>
    <w:rsid w:val="00CD2A2E"/>
    <w:rsid w:val="00CD3F77"/>
    <w:rsid w:val="00CD4102"/>
    <w:rsid w:val="00CD43D6"/>
    <w:rsid w:val="00CD4588"/>
    <w:rsid w:val="00CD5C1D"/>
    <w:rsid w:val="00CD68BF"/>
    <w:rsid w:val="00CD6ADC"/>
    <w:rsid w:val="00CD7193"/>
    <w:rsid w:val="00CD746F"/>
    <w:rsid w:val="00CE0BAD"/>
    <w:rsid w:val="00CE0DD8"/>
    <w:rsid w:val="00CE17F6"/>
    <w:rsid w:val="00CE2396"/>
    <w:rsid w:val="00CE2469"/>
    <w:rsid w:val="00CE2ACA"/>
    <w:rsid w:val="00CE2F36"/>
    <w:rsid w:val="00CE3234"/>
    <w:rsid w:val="00CE3453"/>
    <w:rsid w:val="00CE3499"/>
    <w:rsid w:val="00CE3620"/>
    <w:rsid w:val="00CE376B"/>
    <w:rsid w:val="00CE38C8"/>
    <w:rsid w:val="00CE3EBE"/>
    <w:rsid w:val="00CE4A84"/>
    <w:rsid w:val="00CE524F"/>
    <w:rsid w:val="00CE58CC"/>
    <w:rsid w:val="00CE5992"/>
    <w:rsid w:val="00CE6274"/>
    <w:rsid w:val="00CE6432"/>
    <w:rsid w:val="00CE6437"/>
    <w:rsid w:val="00CE66BA"/>
    <w:rsid w:val="00CE6A63"/>
    <w:rsid w:val="00CE77B6"/>
    <w:rsid w:val="00CE7959"/>
    <w:rsid w:val="00CE7A91"/>
    <w:rsid w:val="00CF01D2"/>
    <w:rsid w:val="00CF0F4A"/>
    <w:rsid w:val="00CF1225"/>
    <w:rsid w:val="00CF219E"/>
    <w:rsid w:val="00CF21CC"/>
    <w:rsid w:val="00CF2240"/>
    <w:rsid w:val="00CF248E"/>
    <w:rsid w:val="00CF2B8D"/>
    <w:rsid w:val="00CF3A1B"/>
    <w:rsid w:val="00CF4155"/>
    <w:rsid w:val="00CF4236"/>
    <w:rsid w:val="00CF456B"/>
    <w:rsid w:val="00CF51D6"/>
    <w:rsid w:val="00CF5A22"/>
    <w:rsid w:val="00CF5ABC"/>
    <w:rsid w:val="00CF5B1D"/>
    <w:rsid w:val="00CF5B77"/>
    <w:rsid w:val="00CF5DF7"/>
    <w:rsid w:val="00CF7052"/>
    <w:rsid w:val="00D00512"/>
    <w:rsid w:val="00D00A41"/>
    <w:rsid w:val="00D0121E"/>
    <w:rsid w:val="00D0157A"/>
    <w:rsid w:val="00D01798"/>
    <w:rsid w:val="00D0262E"/>
    <w:rsid w:val="00D02E33"/>
    <w:rsid w:val="00D03679"/>
    <w:rsid w:val="00D03B15"/>
    <w:rsid w:val="00D04110"/>
    <w:rsid w:val="00D042CC"/>
    <w:rsid w:val="00D04EE8"/>
    <w:rsid w:val="00D050AF"/>
    <w:rsid w:val="00D05E3D"/>
    <w:rsid w:val="00D060E8"/>
    <w:rsid w:val="00D06139"/>
    <w:rsid w:val="00D06313"/>
    <w:rsid w:val="00D06327"/>
    <w:rsid w:val="00D069E2"/>
    <w:rsid w:val="00D06CB1"/>
    <w:rsid w:val="00D07E00"/>
    <w:rsid w:val="00D104F4"/>
    <w:rsid w:val="00D10D2F"/>
    <w:rsid w:val="00D11058"/>
    <w:rsid w:val="00D110BD"/>
    <w:rsid w:val="00D11642"/>
    <w:rsid w:val="00D12103"/>
    <w:rsid w:val="00D13675"/>
    <w:rsid w:val="00D13CAE"/>
    <w:rsid w:val="00D13F12"/>
    <w:rsid w:val="00D141E1"/>
    <w:rsid w:val="00D152E3"/>
    <w:rsid w:val="00D15314"/>
    <w:rsid w:val="00D15B48"/>
    <w:rsid w:val="00D16338"/>
    <w:rsid w:val="00D16A1B"/>
    <w:rsid w:val="00D17121"/>
    <w:rsid w:val="00D1767C"/>
    <w:rsid w:val="00D17B59"/>
    <w:rsid w:val="00D17D6C"/>
    <w:rsid w:val="00D20B3C"/>
    <w:rsid w:val="00D2155B"/>
    <w:rsid w:val="00D21C8C"/>
    <w:rsid w:val="00D21EF8"/>
    <w:rsid w:val="00D21F47"/>
    <w:rsid w:val="00D22231"/>
    <w:rsid w:val="00D22BA4"/>
    <w:rsid w:val="00D23849"/>
    <w:rsid w:val="00D23D11"/>
    <w:rsid w:val="00D2403D"/>
    <w:rsid w:val="00D244B6"/>
    <w:rsid w:val="00D246E9"/>
    <w:rsid w:val="00D24B8C"/>
    <w:rsid w:val="00D25644"/>
    <w:rsid w:val="00D26A75"/>
    <w:rsid w:val="00D26F0E"/>
    <w:rsid w:val="00D26F7D"/>
    <w:rsid w:val="00D2754D"/>
    <w:rsid w:val="00D27800"/>
    <w:rsid w:val="00D2788B"/>
    <w:rsid w:val="00D27B27"/>
    <w:rsid w:val="00D306DD"/>
    <w:rsid w:val="00D306EA"/>
    <w:rsid w:val="00D3081C"/>
    <w:rsid w:val="00D30D5B"/>
    <w:rsid w:val="00D30F0B"/>
    <w:rsid w:val="00D31409"/>
    <w:rsid w:val="00D329C9"/>
    <w:rsid w:val="00D33AD5"/>
    <w:rsid w:val="00D33BE9"/>
    <w:rsid w:val="00D33F93"/>
    <w:rsid w:val="00D357FF"/>
    <w:rsid w:val="00D35CA9"/>
    <w:rsid w:val="00D35FB2"/>
    <w:rsid w:val="00D3650D"/>
    <w:rsid w:val="00D376D7"/>
    <w:rsid w:val="00D37E41"/>
    <w:rsid w:val="00D41BFA"/>
    <w:rsid w:val="00D424C7"/>
    <w:rsid w:val="00D42B92"/>
    <w:rsid w:val="00D43966"/>
    <w:rsid w:val="00D43B2A"/>
    <w:rsid w:val="00D43CF1"/>
    <w:rsid w:val="00D43D83"/>
    <w:rsid w:val="00D442E5"/>
    <w:rsid w:val="00D4500B"/>
    <w:rsid w:val="00D450E1"/>
    <w:rsid w:val="00D451E6"/>
    <w:rsid w:val="00D45E15"/>
    <w:rsid w:val="00D46661"/>
    <w:rsid w:val="00D469A4"/>
    <w:rsid w:val="00D46A13"/>
    <w:rsid w:val="00D46DA5"/>
    <w:rsid w:val="00D46E2D"/>
    <w:rsid w:val="00D46FD6"/>
    <w:rsid w:val="00D4708B"/>
    <w:rsid w:val="00D47575"/>
    <w:rsid w:val="00D478BF"/>
    <w:rsid w:val="00D47E0A"/>
    <w:rsid w:val="00D50711"/>
    <w:rsid w:val="00D514A9"/>
    <w:rsid w:val="00D5243B"/>
    <w:rsid w:val="00D5330D"/>
    <w:rsid w:val="00D533EC"/>
    <w:rsid w:val="00D53A0E"/>
    <w:rsid w:val="00D55B2A"/>
    <w:rsid w:val="00D55D6C"/>
    <w:rsid w:val="00D56078"/>
    <w:rsid w:val="00D565AC"/>
    <w:rsid w:val="00D56916"/>
    <w:rsid w:val="00D56A53"/>
    <w:rsid w:val="00D56A95"/>
    <w:rsid w:val="00D57BC9"/>
    <w:rsid w:val="00D6076E"/>
    <w:rsid w:val="00D607A5"/>
    <w:rsid w:val="00D609A7"/>
    <w:rsid w:val="00D6120A"/>
    <w:rsid w:val="00D6140F"/>
    <w:rsid w:val="00D61D9F"/>
    <w:rsid w:val="00D61DD8"/>
    <w:rsid w:val="00D61EC8"/>
    <w:rsid w:val="00D623B0"/>
    <w:rsid w:val="00D6399C"/>
    <w:rsid w:val="00D63C81"/>
    <w:rsid w:val="00D644DD"/>
    <w:rsid w:val="00D644F1"/>
    <w:rsid w:val="00D665FE"/>
    <w:rsid w:val="00D70110"/>
    <w:rsid w:val="00D70187"/>
    <w:rsid w:val="00D707F6"/>
    <w:rsid w:val="00D70CFC"/>
    <w:rsid w:val="00D70F16"/>
    <w:rsid w:val="00D7126C"/>
    <w:rsid w:val="00D718F2"/>
    <w:rsid w:val="00D71BD1"/>
    <w:rsid w:val="00D71E7A"/>
    <w:rsid w:val="00D72617"/>
    <w:rsid w:val="00D728C8"/>
    <w:rsid w:val="00D729F6"/>
    <w:rsid w:val="00D72F57"/>
    <w:rsid w:val="00D73780"/>
    <w:rsid w:val="00D738DA"/>
    <w:rsid w:val="00D73954"/>
    <w:rsid w:val="00D73F92"/>
    <w:rsid w:val="00D745A9"/>
    <w:rsid w:val="00D75444"/>
    <w:rsid w:val="00D75A8A"/>
    <w:rsid w:val="00D76586"/>
    <w:rsid w:val="00D76A44"/>
    <w:rsid w:val="00D778B9"/>
    <w:rsid w:val="00D80620"/>
    <w:rsid w:val="00D815EF"/>
    <w:rsid w:val="00D8191A"/>
    <w:rsid w:val="00D81949"/>
    <w:rsid w:val="00D81F26"/>
    <w:rsid w:val="00D81F61"/>
    <w:rsid w:val="00D82029"/>
    <w:rsid w:val="00D822E2"/>
    <w:rsid w:val="00D8260B"/>
    <w:rsid w:val="00D82684"/>
    <w:rsid w:val="00D82D23"/>
    <w:rsid w:val="00D83F64"/>
    <w:rsid w:val="00D843F2"/>
    <w:rsid w:val="00D84422"/>
    <w:rsid w:val="00D844AC"/>
    <w:rsid w:val="00D84819"/>
    <w:rsid w:val="00D852A1"/>
    <w:rsid w:val="00D85DD6"/>
    <w:rsid w:val="00D86231"/>
    <w:rsid w:val="00D8684F"/>
    <w:rsid w:val="00D869B8"/>
    <w:rsid w:val="00D86E75"/>
    <w:rsid w:val="00D87FC5"/>
    <w:rsid w:val="00D9040C"/>
    <w:rsid w:val="00D90902"/>
    <w:rsid w:val="00D909D0"/>
    <w:rsid w:val="00D90A3B"/>
    <w:rsid w:val="00D912AB"/>
    <w:rsid w:val="00D91923"/>
    <w:rsid w:val="00D925ED"/>
    <w:rsid w:val="00D92654"/>
    <w:rsid w:val="00D92D9D"/>
    <w:rsid w:val="00D93396"/>
    <w:rsid w:val="00D93753"/>
    <w:rsid w:val="00D93808"/>
    <w:rsid w:val="00D939F7"/>
    <w:rsid w:val="00D94244"/>
    <w:rsid w:val="00D94693"/>
    <w:rsid w:val="00D95500"/>
    <w:rsid w:val="00D95E4C"/>
    <w:rsid w:val="00D968BC"/>
    <w:rsid w:val="00D96B63"/>
    <w:rsid w:val="00D976DC"/>
    <w:rsid w:val="00D97934"/>
    <w:rsid w:val="00DA2002"/>
    <w:rsid w:val="00DA258D"/>
    <w:rsid w:val="00DA27F3"/>
    <w:rsid w:val="00DA2DBD"/>
    <w:rsid w:val="00DA2EFD"/>
    <w:rsid w:val="00DA3167"/>
    <w:rsid w:val="00DA32C7"/>
    <w:rsid w:val="00DA3781"/>
    <w:rsid w:val="00DA4148"/>
    <w:rsid w:val="00DA4746"/>
    <w:rsid w:val="00DA4BFF"/>
    <w:rsid w:val="00DA4DC3"/>
    <w:rsid w:val="00DA562C"/>
    <w:rsid w:val="00DA77A5"/>
    <w:rsid w:val="00DA78B2"/>
    <w:rsid w:val="00DA78FC"/>
    <w:rsid w:val="00DB0132"/>
    <w:rsid w:val="00DB0B13"/>
    <w:rsid w:val="00DB0E36"/>
    <w:rsid w:val="00DB1885"/>
    <w:rsid w:val="00DB1A96"/>
    <w:rsid w:val="00DB1DCB"/>
    <w:rsid w:val="00DB1F33"/>
    <w:rsid w:val="00DB227B"/>
    <w:rsid w:val="00DB2439"/>
    <w:rsid w:val="00DB2723"/>
    <w:rsid w:val="00DB3DBF"/>
    <w:rsid w:val="00DB412E"/>
    <w:rsid w:val="00DB484F"/>
    <w:rsid w:val="00DB4886"/>
    <w:rsid w:val="00DB4CBF"/>
    <w:rsid w:val="00DB53F9"/>
    <w:rsid w:val="00DB58EC"/>
    <w:rsid w:val="00DB5A01"/>
    <w:rsid w:val="00DB646C"/>
    <w:rsid w:val="00DB67AD"/>
    <w:rsid w:val="00DB67F0"/>
    <w:rsid w:val="00DB766A"/>
    <w:rsid w:val="00DB7B49"/>
    <w:rsid w:val="00DB7FDE"/>
    <w:rsid w:val="00DC04F6"/>
    <w:rsid w:val="00DC0690"/>
    <w:rsid w:val="00DC10CD"/>
    <w:rsid w:val="00DC17B0"/>
    <w:rsid w:val="00DC1D65"/>
    <w:rsid w:val="00DC2206"/>
    <w:rsid w:val="00DC27D7"/>
    <w:rsid w:val="00DC2AAE"/>
    <w:rsid w:val="00DC2CB6"/>
    <w:rsid w:val="00DC2CBA"/>
    <w:rsid w:val="00DC3421"/>
    <w:rsid w:val="00DC3775"/>
    <w:rsid w:val="00DC3A0D"/>
    <w:rsid w:val="00DC3A6D"/>
    <w:rsid w:val="00DC3C57"/>
    <w:rsid w:val="00DC3D8E"/>
    <w:rsid w:val="00DC435D"/>
    <w:rsid w:val="00DC47F8"/>
    <w:rsid w:val="00DC48AF"/>
    <w:rsid w:val="00DC4EC2"/>
    <w:rsid w:val="00DC501F"/>
    <w:rsid w:val="00DC5239"/>
    <w:rsid w:val="00DC5501"/>
    <w:rsid w:val="00DC5DE4"/>
    <w:rsid w:val="00DC655A"/>
    <w:rsid w:val="00DC7154"/>
    <w:rsid w:val="00DC7649"/>
    <w:rsid w:val="00DC76C7"/>
    <w:rsid w:val="00DC7E8A"/>
    <w:rsid w:val="00DD0566"/>
    <w:rsid w:val="00DD0938"/>
    <w:rsid w:val="00DD0F78"/>
    <w:rsid w:val="00DD126D"/>
    <w:rsid w:val="00DD163E"/>
    <w:rsid w:val="00DD19A9"/>
    <w:rsid w:val="00DD273C"/>
    <w:rsid w:val="00DD27BE"/>
    <w:rsid w:val="00DD284C"/>
    <w:rsid w:val="00DD388C"/>
    <w:rsid w:val="00DD3F28"/>
    <w:rsid w:val="00DD4446"/>
    <w:rsid w:val="00DD4537"/>
    <w:rsid w:val="00DD4E15"/>
    <w:rsid w:val="00DD4EB7"/>
    <w:rsid w:val="00DD5C17"/>
    <w:rsid w:val="00DD6CED"/>
    <w:rsid w:val="00DD7151"/>
    <w:rsid w:val="00DD7AB4"/>
    <w:rsid w:val="00DD7C0A"/>
    <w:rsid w:val="00DE0552"/>
    <w:rsid w:val="00DE06DA"/>
    <w:rsid w:val="00DE0FC8"/>
    <w:rsid w:val="00DE1147"/>
    <w:rsid w:val="00DE1F2B"/>
    <w:rsid w:val="00DE22D0"/>
    <w:rsid w:val="00DE2304"/>
    <w:rsid w:val="00DE2F83"/>
    <w:rsid w:val="00DE3047"/>
    <w:rsid w:val="00DE3138"/>
    <w:rsid w:val="00DE3534"/>
    <w:rsid w:val="00DE37F8"/>
    <w:rsid w:val="00DE3960"/>
    <w:rsid w:val="00DE3A4F"/>
    <w:rsid w:val="00DE3B4B"/>
    <w:rsid w:val="00DE3C6A"/>
    <w:rsid w:val="00DE4273"/>
    <w:rsid w:val="00DE42FD"/>
    <w:rsid w:val="00DE490B"/>
    <w:rsid w:val="00DE4FCB"/>
    <w:rsid w:val="00DE5102"/>
    <w:rsid w:val="00DE5A90"/>
    <w:rsid w:val="00DE5D07"/>
    <w:rsid w:val="00DE5FD4"/>
    <w:rsid w:val="00DE60AF"/>
    <w:rsid w:val="00DE6453"/>
    <w:rsid w:val="00DE6E7C"/>
    <w:rsid w:val="00DE6FAC"/>
    <w:rsid w:val="00DE7132"/>
    <w:rsid w:val="00DE72A7"/>
    <w:rsid w:val="00DE7832"/>
    <w:rsid w:val="00DE7893"/>
    <w:rsid w:val="00DE79E0"/>
    <w:rsid w:val="00DF095D"/>
    <w:rsid w:val="00DF0BF1"/>
    <w:rsid w:val="00DF0D54"/>
    <w:rsid w:val="00DF126A"/>
    <w:rsid w:val="00DF18FC"/>
    <w:rsid w:val="00DF1ADB"/>
    <w:rsid w:val="00DF1D02"/>
    <w:rsid w:val="00DF2224"/>
    <w:rsid w:val="00DF23AE"/>
    <w:rsid w:val="00DF2C53"/>
    <w:rsid w:val="00DF3271"/>
    <w:rsid w:val="00DF3F55"/>
    <w:rsid w:val="00DF4314"/>
    <w:rsid w:val="00DF49D7"/>
    <w:rsid w:val="00DF5D2B"/>
    <w:rsid w:val="00DF6341"/>
    <w:rsid w:val="00DF6893"/>
    <w:rsid w:val="00DF68B5"/>
    <w:rsid w:val="00DF698A"/>
    <w:rsid w:val="00DF6B2D"/>
    <w:rsid w:val="00DF702B"/>
    <w:rsid w:val="00DF70F2"/>
    <w:rsid w:val="00DF7789"/>
    <w:rsid w:val="00DF7C17"/>
    <w:rsid w:val="00E0072C"/>
    <w:rsid w:val="00E0073D"/>
    <w:rsid w:val="00E00753"/>
    <w:rsid w:val="00E00E8E"/>
    <w:rsid w:val="00E0173A"/>
    <w:rsid w:val="00E0254C"/>
    <w:rsid w:val="00E02A3A"/>
    <w:rsid w:val="00E02D41"/>
    <w:rsid w:val="00E034E0"/>
    <w:rsid w:val="00E037F9"/>
    <w:rsid w:val="00E03DC8"/>
    <w:rsid w:val="00E03E69"/>
    <w:rsid w:val="00E04384"/>
    <w:rsid w:val="00E045C7"/>
    <w:rsid w:val="00E0470F"/>
    <w:rsid w:val="00E04978"/>
    <w:rsid w:val="00E05161"/>
    <w:rsid w:val="00E05630"/>
    <w:rsid w:val="00E05B68"/>
    <w:rsid w:val="00E05D9A"/>
    <w:rsid w:val="00E060E7"/>
    <w:rsid w:val="00E066F2"/>
    <w:rsid w:val="00E06DBB"/>
    <w:rsid w:val="00E06F5B"/>
    <w:rsid w:val="00E06FD1"/>
    <w:rsid w:val="00E070CF"/>
    <w:rsid w:val="00E072B4"/>
    <w:rsid w:val="00E07B36"/>
    <w:rsid w:val="00E10149"/>
    <w:rsid w:val="00E10509"/>
    <w:rsid w:val="00E1124A"/>
    <w:rsid w:val="00E11340"/>
    <w:rsid w:val="00E122A1"/>
    <w:rsid w:val="00E124C4"/>
    <w:rsid w:val="00E132D6"/>
    <w:rsid w:val="00E13645"/>
    <w:rsid w:val="00E13C40"/>
    <w:rsid w:val="00E13C7B"/>
    <w:rsid w:val="00E14250"/>
    <w:rsid w:val="00E14802"/>
    <w:rsid w:val="00E1541D"/>
    <w:rsid w:val="00E16136"/>
    <w:rsid w:val="00E16372"/>
    <w:rsid w:val="00E1684F"/>
    <w:rsid w:val="00E16AD8"/>
    <w:rsid w:val="00E16EA5"/>
    <w:rsid w:val="00E17B82"/>
    <w:rsid w:val="00E17D01"/>
    <w:rsid w:val="00E17E9C"/>
    <w:rsid w:val="00E17FFA"/>
    <w:rsid w:val="00E205B7"/>
    <w:rsid w:val="00E2096B"/>
    <w:rsid w:val="00E20E4D"/>
    <w:rsid w:val="00E20ED6"/>
    <w:rsid w:val="00E21358"/>
    <w:rsid w:val="00E215DA"/>
    <w:rsid w:val="00E22086"/>
    <w:rsid w:val="00E22231"/>
    <w:rsid w:val="00E2249B"/>
    <w:rsid w:val="00E22A0D"/>
    <w:rsid w:val="00E240C0"/>
    <w:rsid w:val="00E244F6"/>
    <w:rsid w:val="00E24924"/>
    <w:rsid w:val="00E25495"/>
    <w:rsid w:val="00E255B4"/>
    <w:rsid w:val="00E258DB"/>
    <w:rsid w:val="00E25CB7"/>
    <w:rsid w:val="00E2634D"/>
    <w:rsid w:val="00E271EF"/>
    <w:rsid w:val="00E2771E"/>
    <w:rsid w:val="00E27A7F"/>
    <w:rsid w:val="00E30279"/>
    <w:rsid w:val="00E305E8"/>
    <w:rsid w:val="00E311EF"/>
    <w:rsid w:val="00E31841"/>
    <w:rsid w:val="00E31CB1"/>
    <w:rsid w:val="00E31E6A"/>
    <w:rsid w:val="00E32180"/>
    <w:rsid w:val="00E33A69"/>
    <w:rsid w:val="00E34807"/>
    <w:rsid w:val="00E34948"/>
    <w:rsid w:val="00E35225"/>
    <w:rsid w:val="00E35DAB"/>
    <w:rsid w:val="00E361FD"/>
    <w:rsid w:val="00E3624A"/>
    <w:rsid w:val="00E3663F"/>
    <w:rsid w:val="00E367ED"/>
    <w:rsid w:val="00E36AEC"/>
    <w:rsid w:val="00E37569"/>
    <w:rsid w:val="00E37C06"/>
    <w:rsid w:val="00E401B2"/>
    <w:rsid w:val="00E405C4"/>
    <w:rsid w:val="00E40636"/>
    <w:rsid w:val="00E40E12"/>
    <w:rsid w:val="00E411C9"/>
    <w:rsid w:val="00E4190F"/>
    <w:rsid w:val="00E41E30"/>
    <w:rsid w:val="00E427DF"/>
    <w:rsid w:val="00E428F8"/>
    <w:rsid w:val="00E42DF8"/>
    <w:rsid w:val="00E42F73"/>
    <w:rsid w:val="00E4399F"/>
    <w:rsid w:val="00E43D70"/>
    <w:rsid w:val="00E44AC7"/>
    <w:rsid w:val="00E4504F"/>
    <w:rsid w:val="00E45251"/>
    <w:rsid w:val="00E45BE1"/>
    <w:rsid w:val="00E46196"/>
    <w:rsid w:val="00E46264"/>
    <w:rsid w:val="00E466F3"/>
    <w:rsid w:val="00E47A3A"/>
    <w:rsid w:val="00E47B2C"/>
    <w:rsid w:val="00E5044B"/>
    <w:rsid w:val="00E51560"/>
    <w:rsid w:val="00E51821"/>
    <w:rsid w:val="00E5210C"/>
    <w:rsid w:val="00E5220A"/>
    <w:rsid w:val="00E526F9"/>
    <w:rsid w:val="00E536B3"/>
    <w:rsid w:val="00E536E3"/>
    <w:rsid w:val="00E53BA5"/>
    <w:rsid w:val="00E53FC8"/>
    <w:rsid w:val="00E54347"/>
    <w:rsid w:val="00E5537D"/>
    <w:rsid w:val="00E55424"/>
    <w:rsid w:val="00E55915"/>
    <w:rsid w:val="00E55BB5"/>
    <w:rsid w:val="00E55FE0"/>
    <w:rsid w:val="00E56710"/>
    <w:rsid w:val="00E569ED"/>
    <w:rsid w:val="00E57271"/>
    <w:rsid w:val="00E57553"/>
    <w:rsid w:val="00E60136"/>
    <w:rsid w:val="00E60835"/>
    <w:rsid w:val="00E6086A"/>
    <w:rsid w:val="00E60AD6"/>
    <w:rsid w:val="00E611DF"/>
    <w:rsid w:val="00E61525"/>
    <w:rsid w:val="00E61C1A"/>
    <w:rsid w:val="00E61C68"/>
    <w:rsid w:val="00E622B5"/>
    <w:rsid w:val="00E6278A"/>
    <w:rsid w:val="00E62A99"/>
    <w:rsid w:val="00E6302D"/>
    <w:rsid w:val="00E63441"/>
    <w:rsid w:val="00E63592"/>
    <w:rsid w:val="00E63607"/>
    <w:rsid w:val="00E640B1"/>
    <w:rsid w:val="00E64112"/>
    <w:rsid w:val="00E64207"/>
    <w:rsid w:val="00E64352"/>
    <w:rsid w:val="00E65C75"/>
    <w:rsid w:val="00E65E79"/>
    <w:rsid w:val="00E66938"/>
    <w:rsid w:val="00E66BA2"/>
    <w:rsid w:val="00E67029"/>
    <w:rsid w:val="00E672A4"/>
    <w:rsid w:val="00E67416"/>
    <w:rsid w:val="00E67485"/>
    <w:rsid w:val="00E67757"/>
    <w:rsid w:val="00E67C93"/>
    <w:rsid w:val="00E70478"/>
    <w:rsid w:val="00E70B3A"/>
    <w:rsid w:val="00E71899"/>
    <w:rsid w:val="00E718B6"/>
    <w:rsid w:val="00E718EB"/>
    <w:rsid w:val="00E723BA"/>
    <w:rsid w:val="00E73464"/>
    <w:rsid w:val="00E73581"/>
    <w:rsid w:val="00E73BA9"/>
    <w:rsid w:val="00E7472B"/>
    <w:rsid w:val="00E747D2"/>
    <w:rsid w:val="00E748AD"/>
    <w:rsid w:val="00E74BDA"/>
    <w:rsid w:val="00E75314"/>
    <w:rsid w:val="00E75E2F"/>
    <w:rsid w:val="00E77469"/>
    <w:rsid w:val="00E779B2"/>
    <w:rsid w:val="00E77F2C"/>
    <w:rsid w:val="00E8005C"/>
    <w:rsid w:val="00E80077"/>
    <w:rsid w:val="00E81041"/>
    <w:rsid w:val="00E81179"/>
    <w:rsid w:val="00E8157B"/>
    <w:rsid w:val="00E819EC"/>
    <w:rsid w:val="00E81DBB"/>
    <w:rsid w:val="00E81F66"/>
    <w:rsid w:val="00E82F4F"/>
    <w:rsid w:val="00E833F7"/>
    <w:rsid w:val="00E837B1"/>
    <w:rsid w:val="00E83B9F"/>
    <w:rsid w:val="00E83BDF"/>
    <w:rsid w:val="00E84657"/>
    <w:rsid w:val="00E84838"/>
    <w:rsid w:val="00E85933"/>
    <w:rsid w:val="00E86084"/>
    <w:rsid w:val="00E86092"/>
    <w:rsid w:val="00E869BC"/>
    <w:rsid w:val="00E86FCC"/>
    <w:rsid w:val="00E873A5"/>
    <w:rsid w:val="00E87602"/>
    <w:rsid w:val="00E87A1D"/>
    <w:rsid w:val="00E87D52"/>
    <w:rsid w:val="00E90551"/>
    <w:rsid w:val="00E90803"/>
    <w:rsid w:val="00E9094A"/>
    <w:rsid w:val="00E90A7A"/>
    <w:rsid w:val="00E90BEA"/>
    <w:rsid w:val="00E91505"/>
    <w:rsid w:val="00E91D21"/>
    <w:rsid w:val="00E91D35"/>
    <w:rsid w:val="00E91F64"/>
    <w:rsid w:val="00E921D4"/>
    <w:rsid w:val="00E926A5"/>
    <w:rsid w:val="00E92870"/>
    <w:rsid w:val="00E93966"/>
    <w:rsid w:val="00E93B5D"/>
    <w:rsid w:val="00E93B85"/>
    <w:rsid w:val="00E93D86"/>
    <w:rsid w:val="00E93F70"/>
    <w:rsid w:val="00E944BE"/>
    <w:rsid w:val="00E9467A"/>
    <w:rsid w:val="00E9493D"/>
    <w:rsid w:val="00E94D55"/>
    <w:rsid w:val="00E94E28"/>
    <w:rsid w:val="00E94FFD"/>
    <w:rsid w:val="00E950B2"/>
    <w:rsid w:val="00E9596A"/>
    <w:rsid w:val="00E95A00"/>
    <w:rsid w:val="00E95D96"/>
    <w:rsid w:val="00E96235"/>
    <w:rsid w:val="00E962CC"/>
    <w:rsid w:val="00E970EC"/>
    <w:rsid w:val="00EA0340"/>
    <w:rsid w:val="00EA0C06"/>
    <w:rsid w:val="00EA121E"/>
    <w:rsid w:val="00EA13EF"/>
    <w:rsid w:val="00EA17C3"/>
    <w:rsid w:val="00EA2041"/>
    <w:rsid w:val="00EA213E"/>
    <w:rsid w:val="00EA2CAA"/>
    <w:rsid w:val="00EA351B"/>
    <w:rsid w:val="00EA3864"/>
    <w:rsid w:val="00EA3E3B"/>
    <w:rsid w:val="00EA4458"/>
    <w:rsid w:val="00EA4841"/>
    <w:rsid w:val="00EA4AE8"/>
    <w:rsid w:val="00EA4B22"/>
    <w:rsid w:val="00EA4CBC"/>
    <w:rsid w:val="00EA4F51"/>
    <w:rsid w:val="00EA5509"/>
    <w:rsid w:val="00EA7702"/>
    <w:rsid w:val="00EA7F1C"/>
    <w:rsid w:val="00EB08E1"/>
    <w:rsid w:val="00EB0C4F"/>
    <w:rsid w:val="00EB15B6"/>
    <w:rsid w:val="00EB1C4A"/>
    <w:rsid w:val="00EB1CB8"/>
    <w:rsid w:val="00EB2ED5"/>
    <w:rsid w:val="00EB2EFE"/>
    <w:rsid w:val="00EB30AE"/>
    <w:rsid w:val="00EB3181"/>
    <w:rsid w:val="00EB3D06"/>
    <w:rsid w:val="00EB43D7"/>
    <w:rsid w:val="00EB45B6"/>
    <w:rsid w:val="00EB4916"/>
    <w:rsid w:val="00EB4F65"/>
    <w:rsid w:val="00EB7655"/>
    <w:rsid w:val="00EB7EEB"/>
    <w:rsid w:val="00EC00C9"/>
    <w:rsid w:val="00EC034B"/>
    <w:rsid w:val="00EC05B4"/>
    <w:rsid w:val="00EC0C51"/>
    <w:rsid w:val="00EC0DD9"/>
    <w:rsid w:val="00EC0F37"/>
    <w:rsid w:val="00EC1090"/>
    <w:rsid w:val="00EC189D"/>
    <w:rsid w:val="00EC19DB"/>
    <w:rsid w:val="00EC1C39"/>
    <w:rsid w:val="00EC252B"/>
    <w:rsid w:val="00EC2649"/>
    <w:rsid w:val="00EC31ED"/>
    <w:rsid w:val="00EC3B43"/>
    <w:rsid w:val="00EC499C"/>
    <w:rsid w:val="00EC4F6F"/>
    <w:rsid w:val="00EC5826"/>
    <w:rsid w:val="00EC5836"/>
    <w:rsid w:val="00EC6600"/>
    <w:rsid w:val="00EC688C"/>
    <w:rsid w:val="00EC6BA3"/>
    <w:rsid w:val="00ED021A"/>
    <w:rsid w:val="00ED076C"/>
    <w:rsid w:val="00ED0937"/>
    <w:rsid w:val="00ED0CBB"/>
    <w:rsid w:val="00ED0D73"/>
    <w:rsid w:val="00ED12E3"/>
    <w:rsid w:val="00ED15B4"/>
    <w:rsid w:val="00ED16E9"/>
    <w:rsid w:val="00ED1A85"/>
    <w:rsid w:val="00ED2CB5"/>
    <w:rsid w:val="00ED33F9"/>
    <w:rsid w:val="00ED3DE3"/>
    <w:rsid w:val="00ED4B04"/>
    <w:rsid w:val="00ED57EA"/>
    <w:rsid w:val="00ED5BD4"/>
    <w:rsid w:val="00ED72AC"/>
    <w:rsid w:val="00ED7A34"/>
    <w:rsid w:val="00EE07D3"/>
    <w:rsid w:val="00EE0A2F"/>
    <w:rsid w:val="00EE155A"/>
    <w:rsid w:val="00EE15B2"/>
    <w:rsid w:val="00EE1996"/>
    <w:rsid w:val="00EE1C01"/>
    <w:rsid w:val="00EE22AF"/>
    <w:rsid w:val="00EE233B"/>
    <w:rsid w:val="00EE2D7B"/>
    <w:rsid w:val="00EE3DB5"/>
    <w:rsid w:val="00EE3EB2"/>
    <w:rsid w:val="00EE4329"/>
    <w:rsid w:val="00EE4B69"/>
    <w:rsid w:val="00EE500A"/>
    <w:rsid w:val="00EE54A5"/>
    <w:rsid w:val="00EE5AFE"/>
    <w:rsid w:val="00EE5E54"/>
    <w:rsid w:val="00EE68A2"/>
    <w:rsid w:val="00EE71BF"/>
    <w:rsid w:val="00EE7434"/>
    <w:rsid w:val="00EE755E"/>
    <w:rsid w:val="00EF0171"/>
    <w:rsid w:val="00EF0D04"/>
    <w:rsid w:val="00EF0E79"/>
    <w:rsid w:val="00EF12BB"/>
    <w:rsid w:val="00EF12C1"/>
    <w:rsid w:val="00EF1B25"/>
    <w:rsid w:val="00EF1BEA"/>
    <w:rsid w:val="00EF1DA0"/>
    <w:rsid w:val="00EF2173"/>
    <w:rsid w:val="00EF2B98"/>
    <w:rsid w:val="00EF3E3A"/>
    <w:rsid w:val="00EF411B"/>
    <w:rsid w:val="00EF4747"/>
    <w:rsid w:val="00EF49A3"/>
    <w:rsid w:val="00EF4BF8"/>
    <w:rsid w:val="00EF54F4"/>
    <w:rsid w:val="00EF5A17"/>
    <w:rsid w:val="00EF642D"/>
    <w:rsid w:val="00EF66BD"/>
    <w:rsid w:val="00EF6FC3"/>
    <w:rsid w:val="00EF7B60"/>
    <w:rsid w:val="00EF7E4E"/>
    <w:rsid w:val="00EF7E80"/>
    <w:rsid w:val="00F0098B"/>
    <w:rsid w:val="00F01216"/>
    <w:rsid w:val="00F01C16"/>
    <w:rsid w:val="00F01D80"/>
    <w:rsid w:val="00F02253"/>
    <w:rsid w:val="00F026E2"/>
    <w:rsid w:val="00F03346"/>
    <w:rsid w:val="00F03510"/>
    <w:rsid w:val="00F03955"/>
    <w:rsid w:val="00F03C2E"/>
    <w:rsid w:val="00F03CF3"/>
    <w:rsid w:val="00F0486A"/>
    <w:rsid w:val="00F04A66"/>
    <w:rsid w:val="00F04B4B"/>
    <w:rsid w:val="00F04C14"/>
    <w:rsid w:val="00F0500E"/>
    <w:rsid w:val="00F0516C"/>
    <w:rsid w:val="00F0540F"/>
    <w:rsid w:val="00F054A0"/>
    <w:rsid w:val="00F05DD1"/>
    <w:rsid w:val="00F067A2"/>
    <w:rsid w:val="00F07A6C"/>
    <w:rsid w:val="00F07B9E"/>
    <w:rsid w:val="00F07DC0"/>
    <w:rsid w:val="00F07ECF"/>
    <w:rsid w:val="00F10373"/>
    <w:rsid w:val="00F10B48"/>
    <w:rsid w:val="00F110FC"/>
    <w:rsid w:val="00F1116F"/>
    <w:rsid w:val="00F114B2"/>
    <w:rsid w:val="00F1158E"/>
    <w:rsid w:val="00F118B8"/>
    <w:rsid w:val="00F11C82"/>
    <w:rsid w:val="00F120A6"/>
    <w:rsid w:val="00F12257"/>
    <w:rsid w:val="00F12393"/>
    <w:rsid w:val="00F1263A"/>
    <w:rsid w:val="00F12EDF"/>
    <w:rsid w:val="00F1302A"/>
    <w:rsid w:val="00F13410"/>
    <w:rsid w:val="00F135B6"/>
    <w:rsid w:val="00F1383B"/>
    <w:rsid w:val="00F139C5"/>
    <w:rsid w:val="00F13A89"/>
    <w:rsid w:val="00F14883"/>
    <w:rsid w:val="00F14B7C"/>
    <w:rsid w:val="00F153BD"/>
    <w:rsid w:val="00F1552A"/>
    <w:rsid w:val="00F15B77"/>
    <w:rsid w:val="00F173B6"/>
    <w:rsid w:val="00F1786B"/>
    <w:rsid w:val="00F17D59"/>
    <w:rsid w:val="00F17FFA"/>
    <w:rsid w:val="00F20B44"/>
    <w:rsid w:val="00F21236"/>
    <w:rsid w:val="00F21699"/>
    <w:rsid w:val="00F21BE2"/>
    <w:rsid w:val="00F22110"/>
    <w:rsid w:val="00F225C6"/>
    <w:rsid w:val="00F22C0C"/>
    <w:rsid w:val="00F23763"/>
    <w:rsid w:val="00F239DF"/>
    <w:rsid w:val="00F23FA3"/>
    <w:rsid w:val="00F24837"/>
    <w:rsid w:val="00F24F93"/>
    <w:rsid w:val="00F2575F"/>
    <w:rsid w:val="00F26FA9"/>
    <w:rsid w:val="00F270F3"/>
    <w:rsid w:val="00F27565"/>
    <w:rsid w:val="00F2762A"/>
    <w:rsid w:val="00F3030E"/>
    <w:rsid w:val="00F30923"/>
    <w:rsid w:val="00F30BEB"/>
    <w:rsid w:val="00F310D4"/>
    <w:rsid w:val="00F31293"/>
    <w:rsid w:val="00F316A4"/>
    <w:rsid w:val="00F31D5A"/>
    <w:rsid w:val="00F31E95"/>
    <w:rsid w:val="00F32360"/>
    <w:rsid w:val="00F32738"/>
    <w:rsid w:val="00F3281F"/>
    <w:rsid w:val="00F32B5B"/>
    <w:rsid w:val="00F32CAF"/>
    <w:rsid w:val="00F32FB5"/>
    <w:rsid w:val="00F3381E"/>
    <w:rsid w:val="00F33975"/>
    <w:rsid w:val="00F33B04"/>
    <w:rsid w:val="00F33DE9"/>
    <w:rsid w:val="00F34F64"/>
    <w:rsid w:val="00F353F8"/>
    <w:rsid w:val="00F3546E"/>
    <w:rsid w:val="00F35644"/>
    <w:rsid w:val="00F35798"/>
    <w:rsid w:val="00F35D50"/>
    <w:rsid w:val="00F35E6D"/>
    <w:rsid w:val="00F3619A"/>
    <w:rsid w:val="00F3625B"/>
    <w:rsid w:val="00F36A49"/>
    <w:rsid w:val="00F36C13"/>
    <w:rsid w:val="00F36D23"/>
    <w:rsid w:val="00F37370"/>
    <w:rsid w:val="00F37F8C"/>
    <w:rsid w:val="00F40AAA"/>
    <w:rsid w:val="00F40BA7"/>
    <w:rsid w:val="00F40F9D"/>
    <w:rsid w:val="00F416B2"/>
    <w:rsid w:val="00F419DE"/>
    <w:rsid w:val="00F41ACD"/>
    <w:rsid w:val="00F42E29"/>
    <w:rsid w:val="00F42EF6"/>
    <w:rsid w:val="00F42FD2"/>
    <w:rsid w:val="00F442B8"/>
    <w:rsid w:val="00F442E0"/>
    <w:rsid w:val="00F4464D"/>
    <w:rsid w:val="00F447C8"/>
    <w:rsid w:val="00F44C9E"/>
    <w:rsid w:val="00F452FE"/>
    <w:rsid w:val="00F45C93"/>
    <w:rsid w:val="00F45CA0"/>
    <w:rsid w:val="00F46291"/>
    <w:rsid w:val="00F46482"/>
    <w:rsid w:val="00F468A6"/>
    <w:rsid w:val="00F46A4B"/>
    <w:rsid w:val="00F46CB6"/>
    <w:rsid w:val="00F46F62"/>
    <w:rsid w:val="00F4725B"/>
    <w:rsid w:val="00F47528"/>
    <w:rsid w:val="00F4756D"/>
    <w:rsid w:val="00F47AC7"/>
    <w:rsid w:val="00F47B76"/>
    <w:rsid w:val="00F47DE8"/>
    <w:rsid w:val="00F51E47"/>
    <w:rsid w:val="00F53003"/>
    <w:rsid w:val="00F5343C"/>
    <w:rsid w:val="00F53DD9"/>
    <w:rsid w:val="00F542C1"/>
    <w:rsid w:val="00F54364"/>
    <w:rsid w:val="00F544CF"/>
    <w:rsid w:val="00F550E3"/>
    <w:rsid w:val="00F5579D"/>
    <w:rsid w:val="00F55DFF"/>
    <w:rsid w:val="00F55E73"/>
    <w:rsid w:val="00F55EDA"/>
    <w:rsid w:val="00F56C80"/>
    <w:rsid w:val="00F5717B"/>
    <w:rsid w:val="00F57381"/>
    <w:rsid w:val="00F57413"/>
    <w:rsid w:val="00F5791E"/>
    <w:rsid w:val="00F57DC3"/>
    <w:rsid w:val="00F57F5E"/>
    <w:rsid w:val="00F60092"/>
    <w:rsid w:val="00F601EA"/>
    <w:rsid w:val="00F60950"/>
    <w:rsid w:val="00F60A56"/>
    <w:rsid w:val="00F61573"/>
    <w:rsid w:val="00F61C18"/>
    <w:rsid w:val="00F61F87"/>
    <w:rsid w:val="00F61FD2"/>
    <w:rsid w:val="00F62516"/>
    <w:rsid w:val="00F62780"/>
    <w:rsid w:val="00F62A6C"/>
    <w:rsid w:val="00F645E0"/>
    <w:rsid w:val="00F64735"/>
    <w:rsid w:val="00F64AEC"/>
    <w:rsid w:val="00F65548"/>
    <w:rsid w:val="00F656F9"/>
    <w:rsid w:val="00F65F4B"/>
    <w:rsid w:val="00F66286"/>
    <w:rsid w:val="00F66384"/>
    <w:rsid w:val="00F66485"/>
    <w:rsid w:val="00F6684D"/>
    <w:rsid w:val="00F668F6"/>
    <w:rsid w:val="00F670F2"/>
    <w:rsid w:val="00F677E2"/>
    <w:rsid w:val="00F678D4"/>
    <w:rsid w:val="00F67930"/>
    <w:rsid w:val="00F67A69"/>
    <w:rsid w:val="00F7063F"/>
    <w:rsid w:val="00F706B1"/>
    <w:rsid w:val="00F70776"/>
    <w:rsid w:val="00F70BFF"/>
    <w:rsid w:val="00F70C9D"/>
    <w:rsid w:val="00F71C7D"/>
    <w:rsid w:val="00F71D8E"/>
    <w:rsid w:val="00F71E26"/>
    <w:rsid w:val="00F72EB4"/>
    <w:rsid w:val="00F730D1"/>
    <w:rsid w:val="00F73C60"/>
    <w:rsid w:val="00F73E08"/>
    <w:rsid w:val="00F7462B"/>
    <w:rsid w:val="00F74AD3"/>
    <w:rsid w:val="00F74CD9"/>
    <w:rsid w:val="00F74FE8"/>
    <w:rsid w:val="00F75183"/>
    <w:rsid w:val="00F75967"/>
    <w:rsid w:val="00F760FF"/>
    <w:rsid w:val="00F762B7"/>
    <w:rsid w:val="00F7716D"/>
    <w:rsid w:val="00F77A25"/>
    <w:rsid w:val="00F80244"/>
    <w:rsid w:val="00F80A2F"/>
    <w:rsid w:val="00F80A7B"/>
    <w:rsid w:val="00F80E5D"/>
    <w:rsid w:val="00F81E78"/>
    <w:rsid w:val="00F822D5"/>
    <w:rsid w:val="00F82422"/>
    <w:rsid w:val="00F82DCF"/>
    <w:rsid w:val="00F82F58"/>
    <w:rsid w:val="00F8359F"/>
    <w:rsid w:val="00F83791"/>
    <w:rsid w:val="00F83889"/>
    <w:rsid w:val="00F83916"/>
    <w:rsid w:val="00F83F81"/>
    <w:rsid w:val="00F84203"/>
    <w:rsid w:val="00F842C2"/>
    <w:rsid w:val="00F84317"/>
    <w:rsid w:val="00F851BB"/>
    <w:rsid w:val="00F851CE"/>
    <w:rsid w:val="00F852E7"/>
    <w:rsid w:val="00F854A7"/>
    <w:rsid w:val="00F8550E"/>
    <w:rsid w:val="00F86750"/>
    <w:rsid w:val="00F8687E"/>
    <w:rsid w:val="00F87366"/>
    <w:rsid w:val="00F878AF"/>
    <w:rsid w:val="00F87B71"/>
    <w:rsid w:val="00F9067A"/>
    <w:rsid w:val="00F908F3"/>
    <w:rsid w:val="00F90FCF"/>
    <w:rsid w:val="00F91219"/>
    <w:rsid w:val="00F914EE"/>
    <w:rsid w:val="00F923A6"/>
    <w:rsid w:val="00F92444"/>
    <w:rsid w:val="00F92773"/>
    <w:rsid w:val="00F92F58"/>
    <w:rsid w:val="00F92F78"/>
    <w:rsid w:val="00F93162"/>
    <w:rsid w:val="00F93411"/>
    <w:rsid w:val="00F9343F"/>
    <w:rsid w:val="00F93500"/>
    <w:rsid w:val="00F9393E"/>
    <w:rsid w:val="00F939C6"/>
    <w:rsid w:val="00F93AEF"/>
    <w:rsid w:val="00F9441A"/>
    <w:rsid w:val="00F945DD"/>
    <w:rsid w:val="00F94A3E"/>
    <w:rsid w:val="00F94EFA"/>
    <w:rsid w:val="00F951DB"/>
    <w:rsid w:val="00F95460"/>
    <w:rsid w:val="00F95463"/>
    <w:rsid w:val="00F954BF"/>
    <w:rsid w:val="00F9575A"/>
    <w:rsid w:val="00F962F8"/>
    <w:rsid w:val="00F965E1"/>
    <w:rsid w:val="00F969FE"/>
    <w:rsid w:val="00F96FD0"/>
    <w:rsid w:val="00F972F5"/>
    <w:rsid w:val="00F976AA"/>
    <w:rsid w:val="00F97A78"/>
    <w:rsid w:val="00F97C8D"/>
    <w:rsid w:val="00FA00CA"/>
    <w:rsid w:val="00FA0786"/>
    <w:rsid w:val="00FA0B20"/>
    <w:rsid w:val="00FA0B4B"/>
    <w:rsid w:val="00FA0C54"/>
    <w:rsid w:val="00FA0F44"/>
    <w:rsid w:val="00FA11EB"/>
    <w:rsid w:val="00FA15BC"/>
    <w:rsid w:val="00FA1E8D"/>
    <w:rsid w:val="00FA24E7"/>
    <w:rsid w:val="00FA2660"/>
    <w:rsid w:val="00FA3117"/>
    <w:rsid w:val="00FA380A"/>
    <w:rsid w:val="00FA3E38"/>
    <w:rsid w:val="00FA47D7"/>
    <w:rsid w:val="00FA4AED"/>
    <w:rsid w:val="00FA5799"/>
    <w:rsid w:val="00FA5EE6"/>
    <w:rsid w:val="00FA7956"/>
    <w:rsid w:val="00FB063B"/>
    <w:rsid w:val="00FB0824"/>
    <w:rsid w:val="00FB0DFC"/>
    <w:rsid w:val="00FB127C"/>
    <w:rsid w:val="00FB18A6"/>
    <w:rsid w:val="00FB27CF"/>
    <w:rsid w:val="00FB28D0"/>
    <w:rsid w:val="00FB28E7"/>
    <w:rsid w:val="00FB2FCB"/>
    <w:rsid w:val="00FB3029"/>
    <w:rsid w:val="00FB355D"/>
    <w:rsid w:val="00FB38D1"/>
    <w:rsid w:val="00FB406B"/>
    <w:rsid w:val="00FB4C9C"/>
    <w:rsid w:val="00FB61C8"/>
    <w:rsid w:val="00FB648E"/>
    <w:rsid w:val="00FB6D75"/>
    <w:rsid w:val="00FB6E0F"/>
    <w:rsid w:val="00FB6FCA"/>
    <w:rsid w:val="00FB7C55"/>
    <w:rsid w:val="00FC0DB6"/>
    <w:rsid w:val="00FC106E"/>
    <w:rsid w:val="00FC1074"/>
    <w:rsid w:val="00FC1106"/>
    <w:rsid w:val="00FC12FE"/>
    <w:rsid w:val="00FC1884"/>
    <w:rsid w:val="00FC20C2"/>
    <w:rsid w:val="00FC20C8"/>
    <w:rsid w:val="00FC2454"/>
    <w:rsid w:val="00FC29B0"/>
    <w:rsid w:val="00FC2C2E"/>
    <w:rsid w:val="00FC2F1D"/>
    <w:rsid w:val="00FC32E3"/>
    <w:rsid w:val="00FC371D"/>
    <w:rsid w:val="00FC495E"/>
    <w:rsid w:val="00FC4E1C"/>
    <w:rsid w:val="00FC4F39"/>
    <w:rsid w:val="00FC53E6"/>
    <w:rsid w:val="00FC5F0B"/>
    <w:rsid w:val="00FC6555"/>
    <w:rsid w:val="00FC6D62"/>
    <w:rsid w:val="00FC72BD"/>
    <w:rsid w:val="00FC7C8F"/>
    <w:rsid w:val="00FC7DBC"/>
    <w:rsid w:val="00FD0561"/>
    <w:rsid w:val="00FD062D"/>
    <w:rsid w:val="00FD07C4"/>
    <w:rsid w:val="00FD1636"/>
    <w:rsid w:val="00FD2100"/>
    <w:rsid w:val="00FD29F3"/>
    <w:rsid w:val="00FD2CDA"/>
    <w:rsid w:val="00FD3164"/>
    <w:rsid w:val="00FD35FE"/>
    <w:rsid w:val="00FD367A"/>
    <w:rsid w:val="00FD3792"/>
    <w:rsid w:val="00FD3DA6"/>
    <w:rsid w:val="00FD436C"/>
    <w:rsid w:val="00FD446D"/>
    <w:rsid w:val="00FD4BF6"/>
    <w:rsid w:val="00FD4F2C"/>
    <w:rsid w:val="00FD510F"/>
    <w:rsid w:val="00FD6130"/>
    <w:rsid w:val="00FD6394"/>
    <w:rsid w:val="00FD7259"/>
    <w:rsid w:val="00FD72A2"/>
    <w:rsid w:val="00FD7846"/>
    <w:rsid w:val="00FE0A7E"/>
    <w:rsid w:val="00FE0E6C"/>
    <w:rsid w:val="00FE13B3"/>
    <w:rsid w:val="00FE1719"/>
    <w:rsid w:val="00FE1CDC"/>
    <w:rsid w:val="00FE201B"/>
    <w:rsid w:val="00FE3502"/>
    <w:rsid w:val="00FE3664"/>
    <w:rsid w:val="00FE387D"/>
    <w:rsid w:val="00FE3EA0"/>
    <w:rsid w:val="00FE3F51"/>
    <w:rsid w:val="00FE5218"/>
    <w:rsid w:val="00FE5C41"/>
    <w:rsid w:val="00FE5EC9"/>
    <w:rsid w:val="00FE5FCF"/>
    <w:rsid w:val="00FE63B5"/>
    <w:rsid w:val="00FE668D"/>
    <w:rsid w:val="00FE69C4"/>
    <w:rsid w:val="00FE6FE8"/>
    <w:rsid w:val="00FE70C3"/>
    <w:rsid w:val="00FE75B5"/>
    <w:rsid w:val="00FF0A02"/>
    <w:rsid w:val="00FF0BF9"/>
    <w:rsid w:val="00FF1153"/>
    <w:rsid w:val="00FF1A8B"/>
    <w:rsid w:val="00FF2AD9"/>
    <w:rsid w:val="00FF2EB6"/>
    <w:rsid w:val="00FF33D9"/>
    <w:rsid w:val="00FF359F"/>
    <w:rsid w:val="00FF38F6"/>
    <w:rsid w:val="00FF3A02"/>
    <w:rsid w:val="00FF3A6A"/>
    <w:rsid w:val="00FF3DCF"/>
    <w:rsid w:val="00FF403F"/>
    <w:rsid w:val="00FF492C"/>
    <w:rsid w:val="00FF4A21"/>
    <w:rsid w:val="00FF5065"/>
    <w:rsid w:val="00FF56F4"/>
    <w:rsid w:val="00FF5AA3"/>
    <w:rsid w:val="00FF5AD8"/>
    <w:rsid w:val="00FF70CB"/>
    <w:rsid w:val="00FF7148"/>
    <w:rsid w:val="03E858A4"/>
    <w:rsid w:val="05281D4A"/>
    <w:rsid w:val="05309814"/>
    <w:rsid w:val="06B898CD"/>
    <w:rsid w:val="06C92247"/>
    <w:rsid w:val="0833BA86"/>
    <w:rsid w:val="0C769D52"/>
    <w:rsid w:val="0D46D995"/>
    <w:rsid w:val="0EB1FB7D"/>
    <w:rsid w:val="0FCB1ECC"/>
    <w:rsid w:val="10573960"/>
    <w:rsid w:val="1099B7EB"/>
    <w:rsid w:val="120AFD34"/>
    <w:rsid w:val="1679A3F2"/>
    <w:rsid w:val="16E08383"/>
    <w:rsid w:val="16E7CB8A"/>
    <w:rsid w:val="183E82AE"/>
    <w:rsid w:val="18434F48"/>
    <w:rsid w:val="1A91E662"/>
    <w:rsid w:val="1C232E9D"/>
    <w:rsid w:val="1CD668EE"/>
    <w:rsid w:val="207AE2CD"/>
    <w:rsid w:val="2733D490"/>
    <w:rsid w:val="28B34AEF"/>
    <w:rsid w:val="2DA04B8C"/>
    <w:rsid w:val="2E982935"/>
    <w:rsid w:val="2EC4CD8E"/>
    <w:rsid w:val="2EF0DCA6"/>
    <w:rsid w:val="2F4DB86D"/>
    <w:rsid w:val="33F40DED"/>
    <w:rsid w:val="33FBF42D"/>
    <w:rsid w:val="34402777"/>
    <w:rsid w:val="36D98BBF"/>
    <w:rsid w:val="39C59CDF"/>
    <w:rsid w:val="3D4E768F"/>
    <w:rsid w:val="3DA68A0B"/>
    <w:rsid w:val="3DC66E87"/>
    <w:rsid w:val="40F6274E"/>
    <w:rsid w:val="42EA3486"/>
    <w:rsid w:val="43FD7EEB"/>
    <w:rsid w:val="44925EE5"/>
    <w:rsid w:val="450E17D5"/>
    <w:rsid w:val="4569C5A1"/>
    <w:rsid w:val="459BD028"/>
    <w:rsid w:val="4782ACB9"/>
    <w:rsid w:val="47D15D35"/>
    <w:rsid w:val="4D5BA800"/>
    <w:rsid w:val="4DEBDC84"/>
    <w:rsid w:val="54D26D8A"/>
    <w:rsid w:val="5538EF03"/>
    <w:rsid w:val="564B1802"/>
    <w:rsid w:val="56C76715"/>
    <w:rsid w:val="56F7F903"/>
    <w:rsid w:val="58193C05"/>
    <w:rsid w:val="58B53D9A"/>
    <w:rsid w:val="58E4ED2C"/>
    <w:rsid w:val="597D08D1"/>
    <w:rsid w:val="5AB11E0D"/>
    <w:rsid w:val="5DC5F061"/>
    <w:rsid w:val="5E18F2E6"/>
    <w:rsid w:val="60863E6C"/>
    <w:rsid w:val="622B34B0"/>
    <w:rsid w:val="6581B34C"/>
    <w:rsid w:val="65E3117B"/>
    <w:rsid w:val="66FF833F"/>
    <w:rsid w:val="6C453B1E"/>
    <w:rsid w:val="6CBDAE54"/>
    <w:rsid w:val="6CC76050"/>
    <w:rsid w:val="6D788018"/>
    <w:rsid w:val="726615D2"/>
    <w:rsid w:val="73522F3A"/>
    <w:rsid w:val="763AE3BB"/>
    <w:rsid w:val="7672CCEF"/>
    <w:rsid w:val="76CFCE93"/>
    <w:rsid w:val="7B95DEDA"/>
    <w:rsid w:val="7C15D838"/>
    <w:rsid w:val="7CB0BE58"/>
    <w:rsid w:val="7D533509"/>
    <w:rsid w:val="7EEF4C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7"/>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uiPriority w:val="99"/>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uiPriority w:val="99"/>
    <w:qFormat/>
    <w:rsid w:val="004C3B02"/>
    <w:pPr>
      <w:numPr>
        <w:ilvl w:val="1"/>
        <w:numId w:val="8"/>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uiPriority w:val="99"/>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2761AF"/>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2761AF"/>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uiPriority w:val="99"/>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uiPriority w:val="99"/>
    <w:rsid w:val="00D30D5B"/>
    <w:rPr>
      <w:rFonts w:ascii="Calibri" w:hAnsi="Calibri" w:cstheme="minorBidi"/>
      <w:i/>
      <w:sz w:val="22"/>
      <w:szCs w:val="22"/>
      <w:lang w:eastAsia="en-US"/>
    </w:rPr>
  </w:style>
  <w:style w:type="paragraph" w:customStyle="1" w:styleId="Default">
    <w:name w:val="Default"/>
    <w:uiPriority w:val="99"/>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customStyle="1" w:styleId="CaptionFootnoteChar">
    <w:name w:val="Caption Footnote Char"/>
    <w:basedOn w:val="DefaultParagraphFont"/>
    <w:link w:val="CaptionFootnote"/>
    <w:locked/>
    <w:rsid w:val="000B13C2"/>
    <w:rPr>
      <w:rFonts w:asciiTheme="minorHAnsi" w:hAnsiTheme="minorHAnsi" w:cs="Calibri"/>
      <w:kern w:val="28"/>
      <w:sz w:val="16"/>
      <w:szCs w:val="24"/>
      <w:lang w:eastAsia="en-GB"/>
    </w:rPr>
  </w:style>
  <w:style w:type="paragraph" w:customStyle="1" w:styleId="CaptionFootnote">
    <w:name w:val="Caption Footnote"/>
    <w:basedOn w:val="Normal"/>
    <w:link w:val="CaptionFootnoteChar"/>
    <w:rsid w:val="000B13C2"/>
    <w:rPr>
      <w:rFonts w:asciiTheme="minorHAnsi" w:hAnsiTheme="minorHAnsi" w:cs="Calibri"/>
      <w:kern w:val="28"/>
      <w:sz w:val="16"/>
      <w:lang w:eastAsia="en-GB"/>
    </w:rPr>
  </w:style>
  <w:style w:type="character" w:styleId="FootnoteReference">
    <w:name w:val="footnote reference"/>
    <w:basedOn w:val="DefaultParagraphFont"/>
    <w:semiHidden/>
    <w:unhideWhenUsed/>
    <w:rsid w:val="000B13C2"/>
    <w:rPr>
      <w:vertAlign w:val="superscript"/>
    </w:rPr>
  </w:style>
  <w:style w:type="paragraph" w:customStyle="1" w:styleId="KMC16-Tablecontent">
    <w:name w:val="KMC16 - Table content"/>
    <w:basedOn w:val="Normal"/>
    <w:link w:val="KMC16-TablecontentChar"/>
    <w:qFormat/>
    <w:rsid w:val="00557125"/>
    <w:pPr>
      <w:spacing w:before="40" w:after="40"/>
      <w:jc w:val="left"/>
    </w:pPr>
    <w:rPr>
      <w:rFonts w:ascii="Arial Narrow" w:hAnsi="Arial Narrow"/>
      <w:color w:val="000000"/>
      <w:sz w:val="20"/>
      <w:lang w:val="en-GB" w:eastAsia="en-GB"/>
    </w:rPr>
  </w:style>
  <w:style w:type="character" w:customStyle="1" w:styleId="KMC16-TablecontentChar">
    <w:name w:val="KMC16 - Table content Char"/>
    <w:basedOn w:val="DefaultParagraphFont"/>
    <w:link w:val="KMC16-Tablecontent"/>
    <w:rsid w:val="00557125"/>
    <w:rPr>
      <w:rFonts w:ascii="Arial Narrow" w:hAnsi="Arial Narrow" w:cs="Arial"/>
      <w:color w:val="000000"/>
      <w:szCs w:val="24"/>
      <w:lang w:val="en-GB" w:eastAsia="en-GB"/>
    </w:rPr>
  </w:style>
  <w:style w:type="paragraph" w:customStyle="1" w:styleId="KMC16-TFNotes">
    <w:name w:val="KMC16 - TF Notes"/>
    <w:basedOn w:val="Normal"/>
    <w:rsid w:val="00557125"/>
    <w:pPr>
      <w:spacing w:before="45" w:after="240"/>
      <w:contextualSpacing/>
    </w:pPr>
    <w:rPr>
      <w:rFonts w:cs="Times New Roman"/>
      <w:color w:val="000000" w:themeColor="text1"/>
      <w:sz w:val="16"/>
      <w:lang w:eastAsia="en-GB"/>
    </w:rPr>
  </w:style>
  <w:style w:type="paragraph" w:styleId="FootnoteText">
    <w:name w:val="footnote text"/>
    <w:basedOn w:val="Normal"/>
    <w:link w:val="FootnoteTextChar"/>
    <w:uiPriority w:val="99"/>
    <w:semiHidden/>
    <w:unhideWhenUsed/>
    <w:rsid w:val="00BB6947"/>
    <w:rPr>
      <w:sz w:val="20"/>
      <w:szCs w:val="20"/>
    </w:rPr>
  </w:style>
  <w:style w:type="character" w:customStyle="1" w:styleId="FootnoteTextChar">
    <w:name w:val="Footnote Text Char"/>
    <w:basedOn w:val="DefaultParagraphFont"/>
    <w:link w:val="FootnoteText"/>
    <w:uiPriority w:val="99"/>
    <w:semiHidden/>
    <w:rsid w:val="00BB6947"/>
    <w:rPr>
      <w:rFonts w:ascii="Calibri" w:hAnsi="Calibri" w:cs="Arial"/>
    </w:rPr>
  </w:style>
  <w:style w:type="character" w:styleId="UnresolvedMention">
    <w:name w:val="Unresolved Mention"/>
    <w:basedOn w:val="DefaultParagraphFont"/>
    <w:uiPriority w:val="99"/>
    <w:semiHidden/>
    <w:unhideWhenUsed/>
    <w:rsid w:val="0023617A"/>
    <w:rPr>
      <w:color w:val="605E5C"/>
      <w:shd w:val="clear" w:color="auto" w:fill="E1DFDD"/>
    </w:rPr>
  </w:style>
  <w:style w:type="paragraph" w:customStyle="1" w:styleId="KMC-TFNotes">
    <w:name w:val="KMC - TF Notes"/>
    <w:basedOn w:val="Normal"/>
    <w:link w:val="KMC-TFNotesChar"/>
    <w:qFormat/>
    <w:locked/>
    <w:rsid w:val="00A12079"/>
    <w:pPr>
      <w:keepNext/>
      <w:spacing w:before="45" w:after="240"/>
      <w:contextualSpacing/>
    </w:pPr>
    <w:rPr>
      <w:rFonts w:eastAsiaTheme="minorHAnsi" w:cstheme="minorBidi"/>
      <w:color w:val="000000" w:themeColor="text1"/>
      <w:sz w:val="16"/>
      <w:szCs w:val="22"/>
      <w:lang w:eastAsia="en-US"/>
    </w:rPr>
  </w:style>
  <w:style w:type="character" w:customStyle="1" w:styleId="KMC-TFNotesChar">
    <w:name w:val="KMC - TF Notes Char"/>
    <w:basedOn w:val="DefaultParagraphFont"/>
    <w:link w:val="KMC-TFNotes"/>
    <w:rsid w:val="00A12079"/>
    <w:rPr>
      <w:rFonts w:ascii="Calibri" w:eastAsiaTheme="minorHAnsi" w:hAnsi="Calibri" w:cstheme="minorBidi"/>
      <w:color w:val="000000" w:themeColor="text1"/>
      <w:sz w:val="16"/>
      <w:szCs w:val="22"/>
      <w:lang w:eastAsia="en-US"/>
    </w:rPr>
  </w:style>
  <w:style w:type="paragraph" w:customStyle="1" w:styleId="KMC16-TableHeading">
    <w:name w:val="KMC16 - Table Heading"/>
    <w:basedOn w:val="Normal"/>
    <w:uiPriority w:val="99"/>
    <w:qFormat/>
    <w:rsid w:val="00A12079"/>
    <w:pPr>
      <w:spacing w:before="40" w:after="40"/>
      <w:jc w:val="center"/>
    </w:pPr>
    <w:rPr>
      <w:rFonts w:ascii="Arial Narrow" w:hAnsi="Arial Narrow"/>
      <w:b/>
      <w:color w:val="000000"/>
      <w:sz w:val="20"/>
      <w:lang w:eastAsia="en-GB"/>
    </w:rPr>
  </w:style>
  <w:style w:type="character" w:customStyle="1" w:styleId="Heading1Char">
    <w:name w:val="Heading 1 Char"/>
    <w:basedOn w:val="DefaultParagraphFont"/>
    <w:link w:val="Heading1"/>
    <w:uiPriority w:val="1"/>
    <w:rsid w:val="00A12079"/>
    <w:rPr>
      <w:rFonts w:ascii="Calibri" w:hAnsi="Calibri" w:cs="Arial"/>
      <w:b/>
      <w:caps/>
      <w:sz w:val="32"/>
      <w:szCs w:val="24"/>
    </w:rPr>
  </w:style>
  <w:style w:type="character" w:customStyle="1" w:styleId="Heading3Char">
    <w:name w:val="Heading 3 Char"/>
    <w:basedOn w:val="DefaultParagraphFont"/>
    <w:link w:val="Heading3"/>
    <w:rsid w:val="00A12079"/>
    <w:rPr>
      <w:rFonts w:ascii="Calibri" w:hAnsi="Calibri" w:cs="Arial"/>
      <w:sz w:val="24"/>
      <w:szCs w:val="24"/>
      <w:u w:val="single"/>
    </w:rPr>
  </w:style>
  <w:style w:type="character" w:customStyle="1" w:styleId="Heading4Char">
    <w:name w:val="Heading 4 Char"/>
    <w:basedOn w:val="DefaultParagraphFont"/>
    <w:link w:val="Heading4"/>
    <w:rsid w:val="00A12079"/>
    <w:rPr>
      <w:rFonts w:ascii="Calibri" w:hAnsi="Calibri" w:cs="Arial"/>
      <w:b/>
      <w:bCs/>
      <w:i/>
      <w:sz w:val="26"/>
      <w:szCs w:val="28"/>
    </w:rPr>
  </w:style>
  <w:style w:type="character" w:customStyle="1" w:styleId="Heading5Char">
    <w:name w:val="Heading 5 Char"/>
    <w:basedOn w:val="DefaultParagraphFont"/>
    <w:link w:val="Heading5"/>
    <w:rsid w:val="00A12079"/>
    <w:rPr>
      <w:rFonts w:ascii="Calibri" w:hAnsi="Calibri" w:cs="Arial"/>
      <w:b/>
      <w:bCs/>
      <w:iCs/>
      <w:sz w:val="26"/>
      <w:szCs w:val="26"/>
    </w:rPr>
  </w:style>
  <w:style w:type="character" w:customStyle="1" w:styleId="Heading6Char">
    <w:name w:val="Heading 6 Char"/>
    <w:basedOn w:val="DefaultParagraphFont"/>
    <w:link w:val="Heading6"/>
    <w:rsid w:val="00A12079"/>
    <w:rPr>
      <w:rFonts w:ascii="Calibri" w:hAnsi="Calibri" w:cs="Arial"/>
      <w:b/>
      <w:bCs/>
      <w:i/>
      <w:sz w:val="24"/>
      <w:szCs w:val="24"/>
    </w:rPr>
  </w:style>
  <w:style w:type="paragraph" w:customStyle="1" w:styleId="msonormal0">
    <w:name w:val="msonormal"/>
    <w:basedOn w:val="Normal"/>
    <w:uiPriority w:val="99"/>
    <w:rsid w:val="00A12079"/>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A12079"/>
    <w:rPr>
      <w:rFonts w:ascii="Calibri" w:hAnsi="Calibri" w:cs="Arial"/>
      <w:sz w:val="24"/>
      <w:szCs w:val="24"/>
    </w:rPr>
  </w:style>
  <w:style w:type="paragraph" w:customStyle="1" w:styleId="3-SubsectionHeading">
    <w:name w:val="3-Subsection Heading"/>
    <w:basedOn w:val="Heading2"/>
    <w:next w:val="Normal"/>
    <w:link w:val="3-SubsectionHeadingChar"/>
    <w:qFormat/>
    <w:rsid w:val="00CC508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C5081"/>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005">
      <w:bodyDiv w:val="1"/>
      <w:marLeft w:val="0"/>
      <w:marRight w:val="0"/>
      <w:marTop w:val="0"/>
      <w:marBottom w:val="0"/>
      <w:divBdr>
        <w:top w:val="none" w:sz="0" w:space="0" w:color="auto"/>
        <w:left w:val="none" w:sz="0" w:space="0" w:color="auto"/>
        <w:bottom w:val="none" w:sz="0" w:space="0" w:color="auto"/>
        <w:right w:val="none" w:sz="0" w:space="0" w:color="auto"/>
      </w:divBdr>
    </w:div>
    <w:div w:id="8369592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222812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124544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1378855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6320440">
      <w:bodyDiv w:val="1"/>
      <w:marLeft w:val="0"/>
      <w:marRight w:val="0"/>
      <w:marTop w:val="0"/>
      <w:marBottom w:val="0"/>
      <w:divBdr>
        <w:top w:val="none" w:sz="0" w:space="0" w:color="auto"/>
        <w:left w:val="none" w:sz="0" w:space="0" w:color="auto"/>
        <w:bottom w:val="none" w:sz="0" w:space="0" w:color="auto"/>
        <w:right w:val="none" w:sz="0" w:space="0" w:color="auto"/>
      </w:divBdr>
    </w:div>
    <w:div w:id="21081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nicaltrials.gov/study/NCT01942668?tab=resul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a/71359/download" TargetMode="External"/><Relationship Id="rId2" Type="http://schemas.openxmlformats.org/officeDocument/2006/relationships/hyperlink" Target="http://www.health.gov.au/resources/publications/national-womens-health-strategy-2020-2030?language=en" TargetMode="External"/><Relationship Id="rId1" Type="http://schemas.openxmlformats.org/officeDocument/2006/relationships/hyperlink" Target="http://www.aph.gov.au/Parliamentary_Business/Committees/Senate/Community_Affairs/Menopause/Report" TargetMode="External"/><Relationship Id="rId5" Type="http://schemas.openxmlformats.org/officeDocument/2006/relationships/hyperlink" Target="https://thebms.org.uk/wp-content/uploads/2020/09/HRT_and_breast_cancer_statement_in_response_to_EMA_PRAC_recommendations_10.9.20.pdf" TargetMode="External"/><Relationship Id="rId4" Type="http://schemas.openxmlformats.org/officeDocument/2006/relationships/hyperlink" Target="https://www.tga.gov.au/sites/default/files/2024-04/guideline-clinical-investigation-medicinal-products-hormone-replacement-therapy-oestrogen-deficiency-symptoms-postmenopausal-wo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317CD-062D-4DA8-8A64-C9BE782C8528}">
  <ds:schemaRefs>
    <ds:schemaRef ds:uri="http://schemas.microsoft.com/sharepoint/v3/contenttype/forms"/>
  </ds:schemaRefs>
</ds:datastoreItem>
</file>

<file path=customXml/itemProps2.xml><?xml version="1.0" encoding="utf-8"?>
<ds:datastoreItem xmlns:ds="http://schemas.openxmlformats.org/officeDocument/2006/customXml" ds:itemID="{2BEBDC57-2148-46CB-AD9B-56A7DB8A1AF2}">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832D0BD1-0395-48D9-8F7E-45E48AB08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13688</Words>
  <Characters>74193</Characters>
  <Application>Microsoft Office Word</Application>
  <DocSecurity>0</DocSecurity>
  <Lines>1809</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86947</CharactersWithSpaces>
  <SharedDoc>false</SharedDoc>
  <HLinks>
    <vt:vector size="36" baseType="variant">
      <vt:variant>
        <vt:i4>720907</vt:i4>
      </vt:variant>
      <vt:variant>
        <vt:i4>84</vt:i4>
      </vt:variant>
      <vt:variant>
        <vt:i4>0</vt:i4>
      </vt:variant>
      <vt:variant>
        <vt:i4>5</vt:i4>
      </vt:variant>
      <vt:variant>
        <vt:lpwstr>https://clinicaltrials.gov/study/NCT01942668?tab=results</vt:lpwstr>
      </vt:variant>
      <vt:variant>
        <vt:lpwstr/>
      </vt:variant>
      <vt:variant>
        <vt:i4>5046326</vt:i4>
      </vt:variant>
      <vt:variant>
        <vt:i4>12</vt:i4>
      </vt:variant>
      <vt:variant>
        <vt:i4>0</vt:i4>
      </vt:variant>
      <vt:variant>
        <vt:i4>5</vt:i4>
      </vt:variant>
      <vt:variant>
        <vt:lpwstr>https://thebms.org.uk/wp-content/uploads/2020/09/HRT_and_breast_cancer_statement_in_response_to_EMA_PRAC_recommendations_10.9.20.pdf</vt:lpwstr>
      </vt:variant>
      <vt:variant>
        <vt:lpwstr/>
      </vt:variant>
      <vt:variant>
        <vt:i4>5505050</vt:i4>
      </vt:variant>
      <vt:variant>
        <vt:i4>9</vt:i4>
      </vt:variant>
      <vt:variant>
        <vt:i4>0</vt:i4>
      </vt:variant>
      <vt:variant>
        <vt:i4>5</vt:i4>
      </vt:variant>
      <vt:variant>
        <vt:lpwstr>https://www.tga.gov.au/sites/default/files/2024-04/guideline-clinical-investigation-medicinal-products-hormone-replacement-therapy-oestrogen-deficiency-symptoms-postmenopausal-women.pdf</vt:lpwstr>
      </vt:variant>
      <vt:variant>
        <vt:lpwstr/>
      </vt:variant>
      <vt:variant>
        <vt:i4>4194333</vt:i4>
      </vt:variant>
      <vt:variant>
        <vt:i4>6</vt:i4>
      </vt:variant>
      <vt:variant>
        <vt:i4>0</vt:i4>
      </vt:variant>
      <vt:variant>
        <vt:i4>5</vt:i4>
      </vt:variant>
      <vt:variant>
        <vt:lpwstr>https://www.fda.gov/media/71359/download</vt:lpwstr>
      </vt:variant>
      <vt:variant>
        <vt:lpwstr/>
      </vt:variant>
      <vt:variant>
        <vt:i4>5111895</vt:i4>
      </vt:variant>
      <vt:variant>
        <vt:i4>3</vt:i4>
      </vt:variant>
      <vt:variant>
        <vt:i4>0</vt:i4>
      </vt:variant>
      <vt:variant>
        <vt:i4>5</vt:i4>
      </vt:variant>
      <vt:variant>
        <vt:lpwstr>http://www.health.gov.au/resources/publications/national-womens-health-strategy-2020-2030?language=en</vt:lpwstr>
      </vt:variant>
      <vt:variant>
        <vt:lpwstr/>
      </vt:variant>
      <vt:variant>
        <vt:i4>7995503</vt:i4>
      </vt:variant>
      <vt:variant>
        <vt:i4>0</vt:i4>
      </vt:variant>
      <vt:variant>
        <vt:i4>0</vt:i4>
      </vt:variant>
      <vt:variant>
        <vt:i4>5</vt:i4>
      </vt:variant>
      <vt:variant>
        <vt:lpwstr>http://www.aph.gov.au/Parliamentary_Business/Committees/Senate/Community_Affairs/Menopause/Report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2026-02-04T04:16:00Z</dcterms:created>
  <dcterms:modified xsi:type="dcterms:W3CDTF">2026-02-25T09:32:00Z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19292c06,5f4bbbca,69a9ed60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62b55609,66d1e431,378ef2d3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2025-11-28T00:50:02Z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f8cbddb6-89de-428d-8ae3-2c9439fc8407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SIP_Label_0f488380-630a-4f55-a077-a19445e3f360_ActionId">
    <vt:lpwstr>fdb5e2ff-10e8-4db1-9025-e9512dead66b</vt:lpwstr>
  </property>
  <property fmtid="{D5CDD505-2E9C-101B-9397-08002B2CF9AE}" pid="18" name="MSIP_Label_0f488380-630a-4f55-a077-a19445e3f360_ContentBits">
    <vt:lpwstr>0</vt:lpwstr>
  </property>
  <property fmtid="{D5CDD505-2E9C-101B-9397-08002B2CF9AE}" pid="19" name="MediaServiceImageTags">
    <vt:lpwstr/>
  </property>
  <property fmtid="{D5CDD505-2E9C-101B-9397-08002B2CF9AE}" pid="20" name="MSIP_Label_0f488380-630a-4f55-a077-a19445e3f360_SiteId">
    <vt:lpwstr>b6e377cf-9db3-46cb-91a2-fad9605bb15c</vt:lpwstr>
  </property>
  <property fmtid="{D5CDD505-2E9C-101B-9397-08002B2CF9AE}" pid="21" name="ContentTypeId">
    <vt:lpwstr>0x0101007FED174C5281F747A8037A05221D6DBD</vt:lpwstr>
  </property>
  <property fmtid="{D5CDD505-2E9C-101B-9397-08002B2CF9AE}" pid="22" name="MSIP_Label_0f488380-630a-4f55-a077-a19445e3f360_Method">
    <vt:lpwstr>Standard</vt:lpwstr>
  </property>
  <property fmtid="{D5CDD505-2E9C-101B-9397-08002B2CF9AE}" pid="23" name="MSIP_Label_0f488380-630a-4f55-a077-a19445e3f360_SetDate">
    <vt:lpwstr>2025-09-12T23:42:32Z</vt:lpwstr>
  </property>
  <property fmtid="{D5CDD505-2E9C-101B-9397-08002B2CF9AE}" pid="24" name="MSIP_Label_0f488380-630a-4f55-a077-a19445e3f360_Name">
    <vt:lpwstr>OFFICIAL - INTERNAL</vt:lpwstr>
  </property>
  <property fmtid="{D5CDD505-2E9C-101B-9397-08002B2CF9AE}" pid="25" name="MSIP_Label_0f488380-630a-4f55-a077-a19445e3f360_Tag">
    <vt:lpwstr>10, 3, 0, 1</vt:lpwstr>
  </property>
  <property fmtid="{D5CDD505-2E9C-101B-9397-08002B2CF9AE}" pid="26" name="docLang">
    <vt:lpwstr>en</vt:lpwstr>
  </property>
  <property fmtid="{D5CDD505-2E9C-101B-9397-08002B2CF9AE}" pid="27" name="MSIP_Label_7cd3e8b9-ffed-43a8-b7f4-cc2fa0382d36_Extended_MSFT_Method">
    <vt:lpwstr>Standard</vt:lpwstr>
  </property>
  <property fmtid="{D5CDD505-2E9C-101B-9397-08002B2CF9AE}" pid="28" name="MSIP_Label_0f488380-630a-4f55-a077-a19445e3f360_Enabled">
    <vt:lpwstr>true</vt:lpwstr>
  </property>
</Properties>
</file>