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48C3F755" w:rsidR="00B60939" w:rsidRPr="0098262F" w:rsidRDefault="00100A58" w:rsidP="003A3A7B">
      <w:pPr>
        <w:pStyle w:val="1-MainHeading"/>
      </w:pPr>
      <w:bookmarkStart w:id="0" w:name="_Toc208925838"/>
      <w:r>
        <w:t>5.04</w:t>
      </w:r>
      <w:r w:rsidR="00163F66" w:rsidRPr="0098262F">
        <w:tab/>
      </w:r>
      <w:r w:rsidR="00F30578" w:rsidRPr="00F30578">
        <w:t>ENCORAFENIB</w:t>
      </w:r>
      <w:r w:rsidR="00163F66" w:rsidRPr="0098262F">
        <w:t>,</w:t>
      </w:r>
      <w:r w:rsidR="00163F66" w:rsidRPr="0098262F">
        <w:br/>
      </w:r>
      <w:r w:rsidR="00F30578">
        <w:t>Capsule 75 mg</w:t>
      </w:r>
      <w:r w:rsidR="00163F66" w:rsidRPr="0098262F">
        <w:t>,</w:t>
      </w:r>
      <w:r w:rsidR="00163F66" w:rsidRPr="0098262F">
        <w:br/>
      </w:r>
      <w:r w:rsidR="00344563" w:rsidRPr="00344563">
        <w:t>Braftovi®</w:t>
      </w:r>
      <w:r w:rsidR="00163F66" w:rsidRPr="0098262F">
        <w:t>,</w:t>
      </w:r>
      <w:r w:rsidR="00344563" w:rsidRPr="0098262F">
        <w:br/>
      </w:r>
      <w:r w:rsidR="00344563">
        <w:t>BINI</w:t>
      </w:r>
      <w:r w:rsidR="006B28E2">
        <w:t>ME</w:t>
      </w:r>
      <w:r w:rsidR="00344563">
        <w:t>TINIB</w:t>
      </w:r>
      <w:r w:rsidR="006B28E2">
        <w:t>,</w:t>
      </w:r>
      <w:r w:rsidR="00344563" w:rsidRPr="0098262F">
        <w:br/>
      </w:r>
      <w:r w:rsidR="006B28E2">
        <w:t>Tablet 15 mg</w:t>
      </w:r>
      <w:r w:rsidR="00AE0230">
        <w:t>,</w:t>
      </w:r>
      <w:r w:rsidR="006B28E2" w:rsidRPr="0098262F">
        <w:br/>
      </w:r>
      <w:r w:rsidR="006B28E2">
        <w:t>Table</w:t>
      </w:r>
      <w:r w:rsidR="00DD45CE">
        <w:t>t</w:t>
      </w:r>
      <w:r w:rsidR="006B28E2">
        <w:t xml:space="preserve"> 45 mg</w:t>
      </w:r>
      <w:r w:rsidR="00AE0230">
        <w:t>,</w:t>
      </w:r>
      <w:r w:rsidR="006B28E2" w:rsidRPr="0098262F">
        <w:br/>
      </w:r>
      <w:r w:rsidR="006B28E2">
        <w:t>Mek</w:t>
      </w:r>
      <w:r w:rsidR="00AE0230">
        <w:t>tovi</w:t>
      </w:r>
      <w:r w:rsidR="00344563" w:rsidRPr="00344563">
        <w:t>®</w:t>
      </w:r>
      <w:r w:rsidR="00344563" w:rsidRPr="0098262F">
        <w:t>,</w:t>
      </w:r>
      <w:r w:rsidR="004A6040" w:rsidRPr="0098262F">
        <w:br/>
      </w:r>
      <w:r w:rsidR="00AE0230">
        <w:t>PIERRE FABRE AUSTRALIA PTY LTD</w:t>
      </w:r>
      <w:r w:rsidR="00B60939" w:rsidRPr="0098262F">
        <w:t>.</w:t>
      </w:r>
      <w:bookmarkEnd w:id="0"/>
      <w:r w:rsidR="00F73E08" w:rsidRPr="0098262F">
        <w:t xml:space="preserve"> </w:t>
      </w:r>
    </w:p>
    <w:p w14:paraId="11C00795" w14:textId="3DFB6D23" w:rsidR="00B50DB8" w:rsidRPr="00B31860" w:rsidRDefault="00B50DB8" w:rsidP="003A3A7B">
      <w:pPr>
        <w:pStyle w:val="2-SectionHeading"/>
      </w:pPr>
      <w:bookmarkStart w:id="1" w:name="_Toc208925841"/>
      <w:r w:rsidRPr="00B31860">
        <w:t xml:space="preserve">Purpose of </w:t>
      </w:r>
      <w:r w:rsidR="00CD7193" w:rsidRPr="00B31860">
        <w:t>s</w:t>
      </w:r>
      <w:r w:rsidR="00BB3A45" w:rsidRPr="00B31860">
        <w:t>ubmission</w:t>
      </w:r>
      <w:bookmarkEnd w:id="1"/>
    </w:p>
    <w:p w14:paraId="6E896473" w14:textId="25D0336F" w:rsidR="00E10F1D" w:rsidRPr="00B31860" w:rsidRDefault="00E10F1D" w:rsidP="003A3A7B">
      <w:pPr>
        <w:pStyle w:val="3-BodyText"/>
      </w:pPr>
      <w:r w:rsidRPr="00B31860">
        <w:t>The Category 2 submission requested a General Schedule</w:t>
      </w:r>
      <w:r w:rsidR="00B911EB">
        <w:t>,</w:t>
      </w:r>
      <w:r w:rsidRPr="00B31860">
        <w:t xml:space="preserve"> Authority Required (STREAMLINED) listing for </w:t>
      </w:r>
      <w:proofErr w:type="spellStart"/>
      <w:r w:rsidRPr="00B31860">
        <w:t>encorafenib</w:t>
      </w:r>
      <w:proofErr w:type="spellEnd"/>
      <w:r w:rsidRPr="00B31860">
        <w:t xml:space="preserve"> for use in combination with </w:t>
      </w:r>
      <w:proofErr w:type="spellStart"/>
      <w:r w:rsidRPr="00B31860">
        <w:t>binimetinib</w:t>
      </w:r>
      <w:proofErr w:type="spellEnd"/>
      <w:r w:rsidRPr="00B31860">
        <w:t xml:space="preserve"> (hereafter E+B) for the treatment of advanced or metastatic non</w:t>
      </w:r>
      <w:r w:rsidR="003A3A7B">
        <w:noBreakHyphen/>
      </w:r>
      <w:r w:rsidRPr="00B31860">
        <w:t>small cell lung cancer (</w:t>
      </w:r>
      <w:proofErr w:type="spellStart"/>
      <w:r w:rsidRPr="00B31860">
        <w:t>mNSCLC</w:t>
      </w:r>
      <w:proofErr w:type="spellEnd"/>
      <w:r w:rsidRPr="00B31860">
        <w:t>) with a BRAF V600E mutation (BRAF V600E</w:t>
      </w:r>
      <w:r w:rsidR="003A3A7B">
        <w:noBreakHyphen/>
      </w:r>
      <w:r w:rsidRPr="00B31860">
        <w:t>MT) who have not received prior systemic treatment in the metastatic setting.</w:t>
      </w:r>
    </w:p>
    <w:p w14:paraId="4E9FBCB5" w14:textId="4B92C57C" w:rsidR="00C2778B" w:rsidRPr="00B31860" w:rsidRDefault="00E10F1D" w:rsidP="003A3A7B">
      <w:pPr>
        <w:pStyle w:val="3-BodyText"/>
      </w:pPr>
      <w:r w:rsidRPr="00B31860">
        <w:t>Listing was requested on the basis of a cost</w:t>
      </w:r>
      <w:r w:rsidR="003A3A7B">
        <w:noBreakHyphen/>
      </w:r>
      <w:r w:rsidRPr="00B31860">
        <w:t>utility analysis versus pembrolizumab in combination with platinum</w:t>
      </w:r>
      <w:r w:rsidR="003A3A7B">
        <w:noBreakHyphen/>
      </w:r>
      <w:r w:rsidRPr="00B31860">
        <w:t xml:space="preserve">based </w:t>
      </w:r>
      <w:r w:rsidR="00936D3E">
        <w:t xml:space="preserve">doublet </w:t>
      </w:r>
      <w:r w:rsidRPr="00B31860">
        <w:t xml:space="preserve">chemotherapy (hereafter </w:t>
      </w:r>
      <w:proofErr w:type="spellStart"/>
      <w:r w:rsidRPr="00B31860">
        <w:t>pembrolizumab+PDC</w:t>
      </w:r>
      <w:proofErr w:type="spellEnd"/>
      <w:r w:rsidRPr="00B31860">
        <w:t>).</w:t>
      </w:r>
      <w:r w:rsidR="00177597" w:rsidRPr="00B31860">
        <w:t xml:space="preserve"> </w:t>
      </w:r>
    </w:p>
    <w:p w14:paraId="65B962C1" w14:textId="3052181A" w:rsidR="000C5E7E" w:rsidRPr="00B31860" w:rsidRDefault="000C5E7E" w:rsidP="003A3A7B">
      <w:pPr>
        <w:pStyle w:val="TableFigureHeading"/>
        <w:rPr>
          <w:rStyle w:val="CommentReference"/>
          <w:b/>
          <w:szCs w:val="24"/>
        </w:rPr>
      </w:pPr>
      <w:bookmarkStart w:id="2" w:name="_Ref208396246"/>
      <w:r w:rsidRPr="00B31860">
        <w:lastRenderedPageBreak/>
        <w:t xml:space="preserve">Table </w:t>
      </w:r>
      <w:r w:rsidR="00745925">
        <w:fldChar w:fldCharType="begin"/>
      </w:r>
      <w:r w:rsidR="00745925">
        <w:instrText xml:space="preserve"> SEQ Table \* ARABIC </w:instrText>
      </w:r>
      <w:r w:rsidR="00745925">
        <w:fldChar w:fldCharType="separate"/>
      </w:r>
      <w:r w:rsidR="00894EC9">
        <w:rPr>
          <w:noProof/>
        </w:rPr>
        <w:t>1</w:t>
      </w:r>
      <w:r w:rsidR="00745925">
        <w:rPr>
          <w:noProof/>
        </w:rPr>
        <w:fldChar w:fldCharType="end"/>
      </w:r>
      <w:bookmarkEnd w:id="2"/>
      <w:r w:rsidRPr="00B31860">
        <w:t>:</w:t>
      </w:r>
      <w:r w:rsidRPr="00B31860">
        <w:rPr>
          <w:rStyle w:val="CommentReference"/>
          <w:b/>
          <w:szCs w:val="24"/>
        </w:rPr>
        <w:t xml:space="preserve"> Key components of the clinical issue addressed by the submissio</w:t>
      </w:r>
      <w:r w:rsidR="00320DF2" w:rsidRPr="00B31860">
        <w:rPr>
          <w:rStyle w:val="CommentReference"/>
          <w:b/>
          <w:szCs w:val="24"/>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436"/>
        <w:gridCol w:w="7581"/>
      </w:tblGrid>
      <w:tr w:rsidR="00B31860" w:rsidRPr="00B31860" w14:paraId="382EE109" w14:textId="77777777" w:rsidTr="00936D3E">
        <w:trPr>
          <w:cantSplit/>
          <w:tblHeader/>
        </w:trPr>
        <w:tc>
          <w:tcPr>
            <w:tcW w:w="796" w:type="pct"/>
          </w:tcPr>
          <w:p w14:paraId="140E65BA" w14:textId="77777777" w:rsidR="000C5E7E" w:rsidRPr="00B31860" w:rsidRDefault="000C5E7E" w:rsidP="003A3A7B">
            <w:pPr>
              <w:pStyle w:val="In-tableHeading"/>
              <w:rPr>
                <w:szCs w:val="20"/>
                <w:lang w:val="en-AU"/>
              </w:rPr>
            </w:pPr>
            <w:r w:rsidRPr="00B31860">
              <w:rPr>
                <w:lang w:val="en-AU"/>
              </w:rPr>
              <w:t>Component</w:t>
            </w:r>
          </w:p>
        </w:tc>
        <w:tc>
          <w:tcPr>
            <w:tcW w:w="4204" w:type="pct"/>
          </w:tcPr>
          <w:p w14:paraId="07613B5C" w14:textId="77777777" w:rsidR="000C5E7E" w:rsidRPr="00B31860" w:rsidRDefault="000C5E7E" w:rsidP="003A3A7B">
            <w:pPr>
              <w:pStyle w:val="In-tableHeading"/>
              <w:rPr>
                <w:lang w:val="en-AU"/>
              </w:rPr>
            </w:pPr>
            <w:r w:rsidRPr="00B31860">
              <w:rPr>
                <w:lang w:val="en-AU"/>
              </w:rPr>
              <w:t>Description</w:t>
            </w:r>
          </w:p>
        </w:tc>
      </w:tr>
      <w:tr w:rsidR="00B31860" w:rsidRPr="00B31860" w14:paraId="6FBC19B0" w14:textId="77777777" w:rsidTr="00936D3E">
        <w:trPr>
          <w:cantSplit/>
        </w:trPr>
        <w:tc>
          <w:tcPr>
            <w:tcW w:w="796" w:type="pct"/>
          </w:tcPr>
          <w:p w14:paraId="797BDAFA" w14:textId="77777777" w:rsidR="000C5E7E" w:rsidRPr="00B31860" w:rsidRDefault="000C5E7E" w:rsidP="003A3A7B">
            <w:pPr>
              <w:pStyle w:val="TableText0"/>
            </w:pPr>
            <w:r w:rsidRPr="00B31860">
              <w:t>Population</w:t>
            </w:r>
          </w:p>
        </w:tc>
        <w:tc>
          <w:tcPr>
            <w:tcW w:w="4204" w:type="pct"/>
          </w:tcPr>
          <w:p w14:paraId="1F8C9851" w14:textId="7D6AEC95" w:rsidR="000C5E7E" w:rsidRPr="00B31860" w:rsidRDefault="00890BD8" w:rsidP="003A3A7B">
            <w:pPr>
              <w:pStyle w:val="TableText0"/>
              <w:rPr>
                <w:szCs w:val="20"/>
              </w:rPr>
            </w:pPr>
            <w:r>
              <w:t>P</w:t>
            </w:r>
            <w:r w:rsidR="000C5E7E" w:rsidRPr="00B31860">
              <w:t xml:space="preserve">atients with advanced </w:t>
            </w:r>
            <w:r w:rsidR="00CD47CB" w:rsidRPr="00B31860">
              <w:t>or meta</w:t>
            </w:r>
            <w:r w:rsidR="003F2FF4" w:rsidRPr="00B31860">
              <w:t xml:space="preserve">static (Stage IV) </w:t>
            </w:r>
            <w:r w:rsidR="000C5E7E" w:rsidRPr="00B31860">
              <w:t>NSCLC with a BRAF V600E mutation who have not received prior systemic treatment in the metastatic setting.</w:t>
            </w:r>
          </w:p>
        </w:tc>
      </w:tr>
      <w:tr w:rsidR="00B31860" w:rsidRPr="00B31860" w14:paraId="7C3CF1C8" w14:textId="77777777" w:rsidTr="00936D3E">
        <w:trPr>
          <w:cantSplit/>
        </w:trPr>
        <w:tc>
          <w:tcPr>
            <w:tcW w:w="796" w:type="pct"/>
          </w:tcPr>
          <w:p w14:paraId="1E3272F8" w14:textId="77777777" w:rsidR="000C5E7E" w:rsidRPr="00B31860" w:rsidRDefault="000C5E7E" w:rsidP="003A3A7B">
            <w:pPr>
              <w:pStyle w:val="TableText0"/>
            </w:pPr>
            <w:r w:rsidRPr="00B31860">
              <w:t>Intervention</w:t>
            </w:r>
          </w:p>
        </w:tc>
        <w:tc>
          <w:tcPr>
            <w:tcW w:w="4204" w:type="pct"/>
          </w:tcPr>
          <w:p w14:paraId="10715BA7" w14:textId="77777777" w:rsidR="000C5E7E" w:rsidRPr="00B31860" w:rsidRDefault="000C5E7E" w:rsidP="003A3A7B">
            <w:pPr>
              <w:pStyle w:val="TableText0"/>
            </w:pPr>
            <w:r w:rsidRPr="00B31860">
              <w:t xml:space="preserve">Encorafenib in combination with </w:t>
            </w:r>
            <w:proofErr w:type="spellStart"/>
            <w:r w:rsidRPr="00B31860">
              <w:t>binimetinib</w:t>
            </w:r>
            <w:proofErr w:type="spellEnd"/>
            <w:r w:rsidRPr="00B31860">
              <w:t xml:space="preserve"> (E+B) administered orally until disease progression or unacceptable toxicity.</w:t>
            </w:r>
          </w:p>
          <w:p w14:paraId="67D5DB0D" w14:textId="77777777" w:rsidR="000C5E7E" w:rsidRPr="00B31860" w:rsidRDefault="000C5E7E" w:rsidP="003A3A7B">
            <w:pPr>
              <w:pStyle w:val="TableText0"/>
            </w:pPr>
            <w:r w:rsidRPr="00B31860">
              <w:t>The recommended dose is:</w:t>
            </w:r>
          </w:p>
          <w:p w14:paraId="12416335" w14:textId="77777777" w:rsidR="000C5E7E" w:rsidRPr="00B31860" w:rsidRDefault="000C5E7E" w:rsidP="003A3A7B">
            <w:pPr>
              <w:pStyle w:val="TableText0"/>
              <w:numPr>
                <w:ilvl w:val="0"/>
                <w:numId w:val="12"/>
              </w:numPr>
              <w:ind w:left="360"/>
            </w:pPr>
            <w:proofErr w:type="spellStart"/>
            <w:r w:rsidRPr="00B31860">
              <w:t>encorafenib</w:t>
            </w:r>
            <w:proofErr w:type="spellEnd"/>
            <w:r w:rsidRPr="00B31860">
              <w:t xml:space="preserve"> 450 mg (six 75 mg capsules) once daily; PLUS </w:t>
            </w:r>
          </w:p>
          <w:p w14:paraId="7187A7CA" w14:textId="77777777" w:rsidR="000C5E7E" w:rsidRPr="00B31860" w:rsidRDefault="000C5E7E" w:rsidP="003A3A7B">
            <w:pPr>
              <w:pStyle w:val="TableText0"/>
              <w:numPr>
                <w:ilvl w:val="0"/>
                <w:numId w:val="12"/>
              </w:numPr>
              <w:ind w:left="360"/>
            </w:pPr>
            <w:proofErr w:type="spellStart"/>
            <w:r w:rsidRPr="00B31860">
              <w:t>binimetinib</w:t>
            </w:r>
            <w:proofErr w:type="spellEnd"/>
            <w:r w:rsidRPr="00B31860">
              <w:t xml:space="preserve"> 45 mg (three 15 mg tablets or one 45 mg tablet) twice daily (corresponding to a total dose of 90 mg)</w:t>
            </w:r>
          </w:p>
        </w:tc>
      </w:tr>
      <w:tr w:rsidR="00B31860" w:rsidRPr="00B31860" w14:paraId="6C7E9CBB" w14:textId="77777777" w:rsidTr="00936D3E">
        <w:trPr>
          <w:cantSplit/>
        </w:trPr>
        <w:tc>
          <w:tcPr>
            <w:tcW w:w="796" w:type="pct"/>
          </w:tcPr>
          <w:p w14:paraId="49147A2B" w14:textId="77777777" w:rsidR="000C5E7E" w:rsidRPr="00B31860" w:rsidRDefault="000C5E7E" w:rsidP="003A3A7B">
            <w:pPr>
              <w:pStyle w:val="TableText0"/>
            </w:pPr>
            <w:r w:rsidRPr="00B31860">
              <w:t>Comparator</w:t>
            </w:r>
          </w:p>
        </w:tc>
        <w:tc>
          <w:tcPr>
            <w:tcW w:w="4204" w:type="pct"/>
          </w:tcPr>
          <w:p w14:paraId="319FAED8" w14:textId="4CE635C6" w:rsidR="000C5E7E" w:rsidRPr="00B31860" w:rsidRDefault="000C5E7E" w:rsidP="003A3A7B">
            <w:pPr>
              <w:pStyle w:val="TableText0"/>
            </w:pPr>
            <w:r w:rsidRPr="00B31860">
              <w:rPr>
                <w:u w:val="single"/>
              </w:rPr>
              <w:t>Primary comparator</w:t>
            </w:r>
            <w:r w:rsidRPr="00B31860">
              <w:t>: Pembrolizumab in combination with platinum</w:t>
            </w:r>
            <w:r w:rsidR="003A3A7B">
              <w:noBreakHyphen/>
            </w:r>
            <w:r w:rsidRPr="00B31860">
              <w:t>based doublet chemotherapy (</w:t>
            </w:r>
            <w:proofErr w:type="spellStart"/>
            <w:r w:rsidRPr="00B31860">
              <w:t>pembrolizumab+PDC</w:t>
            </w:r>
            <w:proofErr w:type="spellEnd"/>
            <w:r w:rsidRPr="00B31860">
              <w:t>)</w:t>
            </w:r>
            <w:r w:rsidRPr="00B31860">
              <w:rPr>
                <w:vertAlign w:val="superscript"/>
              </w:rPr>
              <w:t>a</w:t>
            </w:r>
            <w:r w:rsidRPr="00B31860">
              <w:t>, administered intravenously for up to 24 months or until disease progression or unacceptable toxicity.</w:t>
            </w:r>
          </w:p>
          <w:p w14:paraId="56036B89" w14:textId="77777777" w:rsidR="000C5E7E" w:rsidRPr="00B31860" w:rsidRDefault="000C5E7E" w:rsidP="003A3A7B">
            <w:pPr>
              <w:pStyle w:val="TableText0"/>
            </w:pPr>
            <w:r w:rsidRPr="00B31860">
              <w:t>The recommended dose is:</w:t>
            </w:r>
          </w:p>
          <w:p w14:paraId="5C414328" w14:textId="2B5AB84F" w:rsidR="000C5E7E" w:rsidRPr="00B31860" w:rsidRDefault="000C5E7E" w:rsidP="003A3A7B">
            <w:pPr>
              <w:pStyle w:val="TableText0"/>
            </w:pPr>
            <w:r w:rsidRPr="00B31860">
              <w:t>Cycles 1</w:t>
            </w:r>
            <w:r w:rsidR="003A3A7B">
              <w:noBreakHyphen/>
            </w:r>
            <w:r w:rsidRPr="00B31860">
              <w:t>4: pembrolizumab 200mg + pemetrexed 500mg/m</w:t>
            </w:r>
            <w:r w:rsidRPr="00B31860">
              <w:rPr>
                <w:vertAlign w:val="superscript"/>
              </w:rPr>
              <w:t>2</w:t>
            </w:r>
            <w:r w:rsidRPr="00B31860">
              <w:t xml:space="preserve"> + cisplatin 75mg/m</w:t>
            </w:r>
            <w:r w:rsidRPr="00B31860">
              <w:rPr>
                <w:vertAlign w:val="superscript"/>
              </w:rPr>
              <w:t>2</w:t>
            </w:r>
            <w:r w:rsidRPr="00B31860">
              <w:t xml:space="preserve"> or carboplatin 5 mg/mL/min AUC once every 3 weeks (21 days)</w:t>
            </w:r>
          </w:p>
          <w:p w14:paraId="4EBA2DF2" w14:textId="64F659B9" w:rsidR="000C5E7E" w:rsidRPr="00B31860" w:rsidRDefault="000C5E7E" w:rsidP="003A3A7B">
            <w:pPr>
              <w:pStyle w:val="TableText0"/>
            </w:pPr>
            <w:r w:rsidRPr="00B31860">
              <w:t>Cycle 5</w:t>
            </w:r>
            <w:r w:rsidR="003A3A7B">
              <w:noBreakHyphen/>
            </w:r>
            <w:r w:rsidRPr="00B31860">
              <w:t>35: pembrolizumab 200mg + pemetrexed 500mg/m</w:t>
            </w:r>
            <w:r w:rsidRPr="00B31860">
              <w:rPr>
                <w:vertAlign w:val="superscript"/>
              </w:rPr>
              <w:t>2</w:t>
            </w:r>
            <w:r w:rsidRPr="00B31860">
              <w:t xml:space="preserve"> once every 3 weeks (21 days) </w:t>
            </w:r>
          </w:p>
          <w:p w14:paraId="578183A4" w14:textId="77777777" w:rsidR="000C5E7E" w:rsidRPr="00B31860" w:rsidRDefault="000C5E7E" w:rsidP="003A3A7B">
            <w:pPr>
              <w:pStyle w:val="TableText0"/>
            </w:pPr>
          </w:p>
          <w:p w14:paraId="1EA4058B" w14:textId="0D59C808" w:rsidR="000C5E7E" w:rsidRPr="00B31860" w:rsidRDefault="000C5E7E" w:rsidP="003A3A7B">
            <w:pPr>
              <w:pStyle w:val="TableText0"/>
            </w:pPr>
            <w:r w:rsidRPr="00B31860">
              <w:rPr>
                <w:u w:val="single"/>
              </w:rPr>
              <w:t>Near</w:t>
            </w:r>
            <w:r w:rsidR="003A3A7B">
              <w:rPr>
                <w:u w:val="single"/>
              </w:rPr>
              <w:noBreakHyphen/>
            </w:r>
            <w:r w:rsidRPr="00B31860">
              <w:rPr>
                <w:u w:val="single"/>
              </w:rPr>
              <w:t>market comparator</w:t>
            </w:r>
            <w:r w:rsidRPr="00B31860">
              <w:t>: Dabrafenib in combination with trametinib (D+T) administered orally until disease progression or unacceptable toxicity.</w:t>
            </w:r>
          </w:p>
          <w:p w14:paraId="15756C9B" w14:textId="77777777" w:rsidR="000C5E7E" w:rsidRPr="00B31860" w:rsidRDefault="000C5E7E" w:rsidP="003A3A7B">
            <w:pPr>
              <w:pStyle w:val="TableText0"/>
              <w:numPr>
                <w:ilvl w:val="0"/>
                <w:numId w:val="15"/>
              </w:numPr>
              <w:ind w:left="360"/>
            </w:pPr>
            <w:r w:rsidRPr="00B31860">
              <w:t>dabrafenib 150 mg twice daily; PLUS</w:t>
            </w:r>
          </w:p>
          <w:p w14:paraId="54D4383F" w14:textId="77777777" w:rsidR="000C5E7E" w:rsidRPr="00B31860" w:rsidRDefault="000C5E7E" w:rsidP="003A3A7B">
            <w:pPr>
              <w:pStyle w:val="TableText0"/>
              <w:numPr>
                <w:ilvl w:val="0"/>
                <w:numId w:val="15"/>
              </w:numPr>
              <w:ind w:left="360"/>
            </w:pPr>
            <w:r w:rsidRPr="00B31860">
              <w:t>trametinib 2 mg once daily</w:t>
            </w:r>
          </w:p>
        </w:tc>
      </w:tr>
      <w:tr w:rsidR="00B31860" w:rsidRPr="00B31860" w14:paraId="15B984D0" w14:textId="77777777" w:rsidTr="00936D3E">
        <w:trPr>
          <w:cantSplit/>
        </w:trPr>
        <w:tc>
          <w:tcPr>
            <w:tcW w:w="796" w:type="pct"/>
          </w:tcPr>
          <w:p w14:paraId="504F9596" w14:textId="77777777" w:rsidR="000C5E7E" w:rsidRPr="00B31860" w:rsidRDefault="000C5E7E" w:rsidP="003A3A7B">
            <w:pPr>
              <w:pStyle w:val="TableText0"/>
            </w:pPr>
            <w:r w:rsidRPr="00B31860">
              <w:t>Outcomes</w:t>
            </w:r>
          </w:p>
        </w:tc>
        <w:tc>
          <w:tcPr>
            <w:tcW w:w="4204" w:type="pct"/>
          </w:tcPr>
          <w:p w14:paraId="182A8BD0" w14:textId="77777777" w:rsidR="000C5E7E" w:rsidRPr="00B31860" w:rsidRDefault="000C5E7E" w:rsidP="003A3A7B">
            <w:pPr>
              <w:pStyle w:val="TableText0"/>
            </w:pPr>
            <w:r w:rsidRPr="00B31860">
              <w:t>ORR, PFS, OS, disease control rate, duration of response, time to response.</w:t>
            </w:r>
          </w:p>
          <w:p w14:paraId="334268C1" w14:textId="77777777" w:rsidR="000C5E7E" w:rsidRPr="00B31860" w:rsidRDefault="000C5E7E" w:rsidP="003A3A7B">
            <w:pPr>
              <w:pStyle w:val="TableText0"/>
              <w:rPr>
                <w:rFonts w:eastAsia="Times New Roman" w:cs="Arial"/>
                <w:snapToGrid w:val="0"/>
                <w:szCs w:val="20"/>
              </w:rPr>
            </w:pPr>
            <w:r w:rsidRPr="00B31860">
              <w:t>Safety</w:t>
            </w:r>
          </w:p>
        </w:tc>
      </w:tr>
      <w:tr w:rsidR="000C5E7E" w:rsidRPr="0098262F" w14:paraId="4A960F20" w14:textId="77777777" w:rsidTr="00936D3E">
        <w:trPr>
          <w:cantSplit/>
        </w:trPr>
        <w:tc>
          <w:tcPr>
            <w:tcW w:w="796" w:type="pct"/>
          </w:tcPr>
          <w:p w14:paraId="0928EB18" w14:textId="77777777" w:rsidR="000C5E7E" w:rsidRPr="0098262F" w:rsidRDefault="000C5E7E" w:rsidP="003A3A7B">
            <w:pPr>
              <w:pStyle w:val="TableText0"/>
            </w:pPr>
            <w:r w:rsidRPr="0098262F">
              <w:t>Clinical claim</w:t>
            </w:r>
          </w:p>
        </w:tc>
        <w:tc>
          <w:tcPr>
            <w:tcW w:w="4204" w:type="pct"/>
          </w:tcPr>
          <w:p w14:paraId="01CFAECC" w14:textId="77777777" w:rsidR="000C5E7E" w:rsidRDefault="000C5E7E" w:rsidP="003A3A7B">
            <w:pPr>
              <w:pStyle w:val="TableText0"/>
            </w:pPr>
            <w:r>
              <w:t xml:space="preserve">In adult patients with </w:t>
            </w:r>
            <w:proofErr w:type="spellStart"/>
            <w:r>
              <w:t>mNSCLC</w:t>
            </w:r>
            <w:proofErr w:type="spellEnd"/>
            <w:r>
              <w:t xml:space="preserve"> with a BRAF V600E mutation who have not received prior treatment in the metastatic setting:</w:t>
            </w:r>
          </w:p>
          <w:p w14:paraId="177168A2" w14:textId="77777777" w:rsidR="000C5E7E" w:rsidRDefault="000C5E7E" w:rsidP="003A3A7B">
            <w:pPr>
              <w:pStyle w:val="TableText0"/>
            </w:pPr>
            <w:r>
              <w:t>Compared to the primary comparator</w:t>
            </w:r>
          </w:p>
          <w:p w14:paraId="74C7BBE2" w14:textId="77777777" w:rsidR="000C5E7E" w:rsidRDefault="000C5E7E" w:rsidP="003A3A7B">
            <w:pPr>
              <w:pStyle w:val="TableText0"/>
              <w:numPr>
                <w:ilvl w:val="0"/>
                <w:numId w:val="13"/>
              </w:numPr>
              <w:ind w:left="360"/>
            </w:pPr>
            <w:r>
              <w:t xml:space="preserve">E+B has superior efficacy and a different, but clinically manageable safety profile compared to </w:t>
            </w:r>
            <w:proofErr w:type="spellStart"/>
            <w:r>
              <w:t>pembrolizumab+PDC</w:t>
            </w:r>
            <w:proofErr w:type="spellEnd"/>
          </w:p>
          <w:p w14:paraId="2D7FC450" w14:textId="77777777" w:rsidR="000C5E7E" w:rsidRDefault="000C5E7E" w:rsidP="003A3A7B">
            <w:pPr>
              <w:pStyle w:val="TableText0"/>
              <w:numPr>
                <w:ilvl w:val="1"/>
                <w:numId w:val="13"/>
              </w:numPr>
              <w:ind w:left="720"/>
            </w:pPr>
            <w:r>
              <w:t xml:space="preserve">E+B has superior efficacy compared to </w:t>
            </w:r>
            <w:proofErr w:type="spellStart"/>
            <w:r>
              <w:t>pembrolizumab+PDC</w:t>
            </w:r>
            <w:proofErr w:type="spellEnd"/>
            <w:r>
              <w:t xml:space="preserve"> in terms of ORR, PFS and OS. </w:t>
            </w:r>
          </w:p>
          <w:p w14:paraId="199B0A9B" w14:textId="7BD3D2DF" w:rsidR="000C5E7E" w:rsidRDefault="000C5E7E" w:rsidP="003A3A7B">
            <w:pPr>
              <w:pStyle w:val="TableText0"/>
              <w:numPr>
                <w:ilvl w:val="1"/>
                <w:numId w:val="13"/>
              </w:numPr>
              <w:ind w:left="720"/>
            </w:pPr>
            <w:r>
              <w:t xml:space="preserve">E+B has a different safety profile to </w:t>
            </w:r>
            <w:proofErr w:type="spellStart"/>
            <w:r>
              <w:t>pembrolizumab+PDC</w:t>
            </w:r>
            <w:proofErr w:type="spellEnd"/>
            <w:r>
              <w:t xml:space="preserve">, which is not significantly worse than </w:t>
            </w:r>
            <w:proofErr w:type="spellStart"/>
            <w:r>
              <w:t>pembrolizumab+PDC</w:t>
            </w:r>
            <w:proofErr w:type="spellEnd"/>
            <w:r>
              <w:t xml:space="preserve"> in terms of grade 3</w:t>
            </w:r>
            <w:r w:rsidR="003A3A7B">
              <w:noBreakHyphen/>
            </w:r>
            <w:r>
              <w:t>5 AEs, SAEs or discontinuations due to AEs.</w:t>
            </w:r>
          </w:p>
          <w:p w14:paraId="6BF2921B" w14:textId="2A1C3A7C" w:rsidR="000C5E7E" w:rsidRDefault="000C5E7E" w:rsidP="003A3A7B">
            <w:pPr>
              <w:pStyle w:val="TableText0"/>
            </w:pPr>
            <w:r>
              <w:t>Compared to the near</w:t>
            </w:r>
            <w:r w:rsidR="003A3A7B">
              <w:noBreakHyphen/>
            </w:r>
            <w:r>
              <w:t>market comparator</w:t>
            </w:r>
          </w:p>
          <w:p w14:paraId="53DBFFAE" w14:textId="77777777" w:rsidR="000C5E7E" w:rsidRDefault="000C5E7E" w:rsidP="003A3A7B">
            <w:pPr>
              <w:pStyle w:val="TableText0"/>
              <w:numPr>
                <w:ilvl w:val="0"/>
                <w:numId w:val="14"/>
              </w:numPr>
              <w:ind w:left="360"/>
            </w:pPr>
            <w:r>
              <w:t>E+B has superior efficacy and safety compared to D+T</w:t>
            </w:r>
          </w:p>
          <w:p w14:paraId="39ECA960" w14:textId="77777777" w:rsidR="000C5E7E" w:rsidRDefault="000C5E7E" w:rsidP="003A3A7B">
            <w:pPr>
              <w:pStyle w:val="TableText0"/>
              <w:numPr>
                <w:ilvl w:val="1"/>
                <w:numId w:val="14"/>
              </w:numPr>
              <w:ind w:left="720"/>
            </w:pPr>
            <w:r>
              <w:t>E+B has superior efficacy compared to D+T in terms of PFS and OS, with a trend to increased odds (&gt;80%) of achieving ORR.</w:t>
            </w:r>
          </w:p>
          <w:p w14:paraId="472AA8AF" w14:textId="4B260A71" w:rsidR="000C5E7E" w:rsidRPr="007C50B6" w:rsidRDefault="000C5E7E" w:rsidP="003A3A7B">
            <w:pPr>
              <w:pStyle w:val="TableText0"/>
              <w:numPr>
                <w:ilvl w:val="1"/>
                <w:numId w:val="14"/>
              </w:numPr>
              <w:ind w:left="720"/>
            </w:pPr>
            <w:r>
              <w:t>E+B was superior to D+T on SAEs and was favoured for Grade 3</w:t>
            </w:r>
            <w:r w:rsidR="003A3A7B">
              <w:noBreakHyphen/>
            </w:r>
            <w:r>
              <w:t>4 AEs and discontinuations due to AEs.</w:t>
            </w:r>
          </w:p>
        </w:tc>
      </w:tr>
    </w:tbl>
    <w:p w14:paraId="79CF1863" w14:textId="77777777" w:rsidR="000C5E7E" w:rsidRPr="003F2FF4" w:rsidRDefault="000C5E7E" w:rsidP="003A3A7B">
      <w:pPr>
        <w:pStyle w:val="FooterTableFigure"/>
      </w:pPr>
      <w:r w:rsidRPr="003F2FF4">
        <w:t>Source: Table 1.1, p20 of the submission.</w:t>
      </w:r>
    </w:p>
    <w:p w14:paraId="18E77F09" w14:textId="5DDC93E1" w:rsidR="000C5E7E" w:rsidRPr="003F2FF4" w:rsidRDefault="000C5E7E" w:rsidP="003A3A7B">
      <w:pPr>
        <w:pStyle w:val="FooterTableFigure"/>
      </w:pPr>
      <w:r w:rsidRPr="003F2FF4">
        <w:t xml:space="preserve">AE = adverse event; AUC = area under curve; D+T = dabrafenib and trametinib; E+B = </w:t>
      </w:r>
      <w:proofErr w:type="spellStart"/>
      <w:r w:rsidRPr="003F2FF4">
        <w:t>encorafenib</w:t>
      </w:r>
      <w:proofErr w:type="spellEnd"/>
      <w:r w:rsidRPr="003F2FF4">
        <w:t xml:space="preserve"> and </w:t>
      </w:r>
      <w:proofErr w:type="spellStart"/>
      <w:r w:rsidRPr="003F2FF4">
        <w:t>binimetinib</w:t>
      </w:r>
      <w:proofErr w:type="spellEnd"/>
      <w:r w:rsidRPr="003F2FF4">
        <w:t xml:space="preserve">; </w:t>
      </w:r>
      <w:proofErr w:type="spellStart"/>
      <w:r w:rsidR="007106BD">
        <w:t>m</w:t>
      </w:r>
      <w:r w:rsidRPr="003F2FF4">
        <w:t>NSCLC</w:t>
      </w:r>
      <w:proofErr w:type="spellEnd"/>
      <w:r w:rsidRPr="003F2FF4">
        <w:t xml:space="preserve"> = </w:t>
      </w:r>
      <w:r w:rsidR="007106BD">
        <w:t xml:space="preserve">metastatic </w:t>
      </w:r>
      <w:r w:rsidRPr="003F2FF4">
        <w:t>non</w:t>
      </w:r>
      <w:r w:rsidR="003A3A7B">
        <w:noBreakHyphen/>
      </w:r>
      <w:r w:rsidRPr="003F2FF4">
        <w:t xml:space="preserve">small cell lung cancer; ORR = overall response rate; OS = overall survival; </w:t>
      </w:r>
      <w:proofErr w:type="spellStart"/>
      <w:r w:rsidRPr="003F2FF4">
        <w:t>pembrolizumab+PDC</w:t>
      </w:r>
      <w:proofErr w:type="spellEnd"/>
      <w:r w:rsidRPr="003F2FF4">
        <w:t xml:space="preserve"> = pembrolizumab in combination with platinum</w:t>
      </w:r>
      <w:r w:rsidR="003A3A7B">
        <w:noBreakHyphen/>
      </w:r>
      <w:r w:rsidRPr="003F2FF4">
        <w:t>based doublet chemotherapy; PFS = progression</w:t>
      </w:r>
      <w:r w:rsidR="003A3A7B">
        <w:noBreakHyphen/>
      </w:r>
      <w:r w:rsidRPr="003F2FF4">
        <w:t xml:space="preserve">free survival; SAE = </w:t>
      </w:r>
      <w:r w:rsidR="007106BD" w:rsidRPr="003F2FF4">
        <w:t>s</w:t>
      </w:r>
      <w:r w:rsidR="007106BD">
        <w:t>erious</w:t>
      </w:r>
      <w:r w:rsidR="007106BD" w:rsidRPr="003F2FF4">
        <w:t xml:space="preserve"> </w:t>
      </w:r>
      <w:r w:rsidRPr="003F2FF4">
        <w:t>adverse event.</w:t>
      </w:r>
    </w:p>
    <w:p w14:paraId="0401337F" w14:textId="519949B0" w:rsidR="000C5E7E" w:rsidRDefault="000C5E7E" w:rsidP="003A3A7B">
      <w:pPr>
        <w:pStyle w:val="FooterTableFigure"/>
      </w:pPr>
      <w:r w:rsidRPr="003F2FF4">
        <w:rPr>
          <w:vertAlign w:val="superscript"/>
        </w:rPr>
        <w:t>a</w:t>
      </w:r>
      <w:r w:rsidR="00177597">
        <w:rPr>
          <w:vertAlign w:val="superscript"/>
        </w:rPr>
        <w:t xml:space="preserve"> </w:t>
      </w:r>
      <w:r w:rsidRPr="003F2FF4">
        <w:t>Pemetrexed with either cisplatin or carboplatin.</w:t>
      </w:r>
    </w:p>
    <w:p w14:paraId="2C9F2201" w14:textId="77777777" w:rsidR="00B7554A" w:rsidRDefault="00B7554A" w:rsidP="003A3A7B">
      <w:pPr>
        <w:pStyle w:val="FooterTableFigure"/>
      </w:pPr>
    </w:p>
    <w:p w14:paraId="3FE7ADEB" w14:textId="004F9EA3" w:rsidR="00B7554A" w:rsidRPr="0098262F" w:rsidRDefault="00BA4467" w:rsidP="003A3A7B">
      <w:pPr>
        <w:pStyle w:val="3-BodyText"/>
      </w:pPr>
      <w:r>
        <w:t>As the recommended dosing is the same, t</w:t>
      </w:r>
      <w:r w:rsidR="00DF42A3">
        <w:t xml:space="preserve">he submission also requested </w:t>
      </w:r>
      <w:r w:rsidR="009C79B6">
        <w:t xml:space="preserve">a listing of the new 45 mg strength of </w:t>
      </w:r>
      <w:proofErr w:type="spellStart"/>
      <w:r w:rsidR="009C79B6">
        <w:t>binimetinib</w:t>
      </w:r>
      <w:proofErr w:type="spellEnd"/>
      <w:r w:rsidR="009C79B6">
        <w:t xml:space="preserve"> for the treatment of melanoma as clinicians have highlighted the need </w:t>
      </w:r>
      <w:r w:rsidR="00FA453A">
        <w:t xml:space="preserve">to reduce pill burden in this population (daily dose would be 2 x 45 mg tablets instead of </w:t>
      </w:r>
      <w:r w:rsidR="004F7377">
        <w:t>6 x 15 mg tablets).</w:t>
      </w:r>
    </w:p>
    <w:p w14:paraId="6B4AB6C2" w14:textId="7F01D731" w:rsidR="005C25FF" w:rsidRPr="0098262F" w:rsidRDefault="005C25FF" w:rsidP="003A3A7B">
      <w:pPr>
        <w:pStyle w:val="2-SectionHeading"/>
      </w:pPr>
      <w:bookmarkStart w:id="3" w:name="_Toc208925842"/>
      <w:r w:rsidRPr="0098262F">
        <w:lastRenderedPageBreak/>
        <w:t>Background</w:t>
      </w:r>
      <w:bookmarkEnd w:id="3"/>
    </w:p>
    <w:p w14:paraId="2C521D6D" w14:textId="78CF03EE" w:rsidR="005C25FF" w:rsidRPr="0098262F" w:rsidRDefault="005C25FF" w:rsidP="003A3A7B">
      <w:pPr>
        <w:pStyle w:val="4-SubsectionHeading"/>
      </w:pPr>
      <w:bookmarkStart w:id="4" w:name="_Toc22897638"/>
      <w:bookmarkStart w:id="5" w:name="_Toc208925843"/>
      <w:r w:rsidRPr="0098262F">
        <w:t>Registration status</w:t>
      </w:r>
      <w:bookmarkEnd w:id="4"/>
      <w:bookmarkEnd w:id="5"/>
    </w:p>
    <w:p w14:paraId="1FA7CEED" w14:textId="1F66539E" w:rsidR="004123A1" w:rsidRPr="009B3CF3" w:rsidRDefault="004123A1" w:rsidP="003A3A7B">
      <w:pPr>
        <w:pStyle w:val="3-BodyText"/>
        <w:rPr>
          <w:i/>
          <w:iCs/>
        </w:rPr>
      </w:pPr>
      <w:r w:rsidRPr="009B3CF3">
        <w:t xml:space="preserve">The submission was made under the TGA/PBAC Parallel Process. At the time of </w:t>
      </w:r>
      <w:r w:rsidR="00A96538" w:rsidRPr="009B3CF3">
        <w:t>PBAC</w:t>
      </w:r>
      <w:r w:rsidRPr="009B3CF3">
        <w:t xml:space="preserve"> consideration, </w:t>
      </w:r>
      <w:r w:rsidR="00071C01" w:rsidRPr="009B3CF3">
        <w:t xml:space="preserve">the </w:t>
      </w:r>
      <w:r w:rsidRPr="009B3CF3">
        <w:t xml:space="preserve">TGA Delegate’s Overview </w:t>
      </w:r>
      <w:r w:rsidR="009B3CF3" w:rsidRPr="009B3CF3">
        <w:t>was available</w:t>
      </w:r>
      <w:r w:rsidR="005729E5" w:rsidRPr="009B3CF3">
        <w:t>.</w:t>
      </w:r>
      <w:r w:rsidR="009B3CF3" w:rsidRPr="009B3CF3">
        <w:t xml:space="preserve"> The TGA Delegate proposed to </w:t>
      </w:r>
      <w:r w:rsidR="00D000A6">
        <w:t xml:space="preserve">approve E+B </w:t>
      </w:r>
      <w:r w:rsidR="00C36D61" w:rsidRPr="00C36D61">
        <w:t>for the treatment of adult patients with metastatic non</w:t>
      </w:r>
      <w:r w:rsidR="003A3A7B">
        <w:noBreakHyphen/>
      </w:r>
      <w:r w:rsidR="00C36D61" w:rsidRPr="00C36D61">
        <w:t>small cell lung cancer with a BRAF V600E mutation</w:t>
      </w:r>
      <w:r w:rsidR="00D000A6">
        <w:t>.</w:t>
      </w:r>
    </w:p>
    <w:p w14:paraId="3E2A6EAB" w14:textId="469C8C0C" w:rsidR="005C25FF" w:rsidRPr="0098262F" w:rsidRDefault="005C25FF" w:rsidP="003A3A7B">
      <w:pPr>
        <w:pStyle w:val="4-SubsectionHeading"/>
      </w:pPr>
      <w:bookmarkStart w:id="6" w:name="_Toc22897639"/>
      <w:bookmarkStart w:id="7" w:name="_Toc208925844"/>
      <w:r w:rsidRPr="0098262F">
        <w:t>Previous PBAC consideration</w:t>
      </w:r>
      <w:bookmarkEnd w:id="6"/>
      <w:bookmarkEnd w:id="7"/>
    </w:p>
    <w:p w14:paraId="28E0FD12" w14:textId="442D58EC" w:rsidR="009D428E" w:rsidRPr="00E910AC" w:rsidRDefault="009D428E" w:rsidP="003A3A7B">
      <w:pPr>
        <w:pStyle w:val="3-BodyText"/>
        <w:rPr>
          <w:i/>
          <w:iCs/>
        </w:rPr>
      </w:pPr>
      <w:r>
        <w:t xml:space="preserve">E+B </w:t>
      </w:r>
      <w:r w:rsidR="00101571">
        <w:t>is</w:t>
      </w:r>
      <w:r>
        <w:t xml:space="preserve"> list</w:t>
      </w:r>
      <w:r w:rsidR="009D745A">
        <w:t>ed on the PB</w:t>
      </w:r>
      <w:r w:rsidR="00101571">
        <w:t>S</w:t>
      </w:r>
      <w:r w:rsidR="00CA237E">
        <w:t xml:space="preserve"> for the treatment of </w:t>
      </w:r>
      <w:r w:rsidR="00917348" w:rsidRPr="00917348">
        <w:t xml:space="preserve">unresectable or metastatic melanoma with a </w:t>
      </w:r>
      <w:r w:rsidR="00D13416" w:rsidRPr="00D13416">
        <w:t>B</w:t>
      </w:r>
      <w:r w:rsidR="003A3A7B">
        <w:noBreakHyphen/>
      </w:r>
      <w:r w:rsidR="00D13416" w:rsidRPr="00D13416">
        <w:t>Raf proto</w:t>
      </w:r>
      <w:r w:rsidR="003A3A7B">
        <w:noBreakHyphen/>
      </w:r>
      <w:r w:rsidR="00D13416" w:rsidRPr="00D13416">
        <w:t>oncogene (BRAF)</w:t>
      </w:r>
      <w:r w:rsidR="00D13416">
        <w:t xml:space="preserve"> </w:t>
      </w:r>
      <w:r w:rsidR="00917348" w:rsidRPr="00917348">
        <w:t>V600</w:t>
      </w:r>
      <w:r w:rsidR="003A3A7B">
        <w:noBreakHyphen/>
      </w:r>
      <w:r w:rsidR="00443666">
        <w:t xml:space="preserve">MT. Additionally, </w:t>
      </w:r>
      <w:proofErr w:type="spellStart"/>
      <w:r w:rsidR="00101571">
        <w:t>encorafenib</w:t>
      </w:r>
      <w:proofErr w:type="spellEnd"/>
      <w:r w:rsidR="00101571">
        <w:t xml:space="preserve"> in </w:t>
      </w:r>
      <w:r w:rsidR="00B65AF5">
        <w:t xml:space="preserve">combination with cetuximab is </w:t>
      </w:r>
      <w:r w:rsidR="00443666">
        <w:t>PBS</w:t>
      </w:r>
      <w:r w:rsidR="003A3A7B">
        <w:noBreakHyphen/>
      </w:r>
      <w:r w:rsidR="00B65AF5">
        <w:t>listed for</w:t>
      </w:r>
      <w:r w:rsidR="00BB0B70">
        <w:t xml:space="preserve"> </w:t>
      </w:r>
      <w:r w:rsidR="00443666">
        <w:t xml:space="preserve">the treatment of </w:t>
      </w:r>
      <w:r w:rsidR="00BB0B70" w:rsidRPr="00BB0B70">
        <w:t xml:space="preserve">patients with BRAF V600 variant </w:t>
      </w:r>
      <w:r w:rsidR="00BB0B70">
        <w:t>metastatic colorectal cancer</w:t>
      </w:r>
      <w:r w:rsidR="00BB0B70" w:rsidRPr="00BB0B70">
        <w:t>, who have received prior</w:t>
      </w:r>
      <w:r w:rsidR="00BB0B70">
        <w:t xml:space="preserve"> </w:t>
      </w:r>
      <w:r w:rsidR="00BB0B70" w:rsidRPr="00E910AC">
        <w:t>systemic therapy</w:t>
      </w:r>
      <w:r w:rsidR="009D745A" w:rsidRPr="00E910AC">
        <w:t>.</w:t>
      </w:r>
    </w:p>
    <w:p w14:paraId="346B36CE" w14:textId="312DE1CE" w:rsidR="000B4A93" w:rsidRPr="00D76CFE" w:rsidRDefault="007B2C42" w:rsidP="003A3A7B">
      <w:pPr>
        <w:pStyle w:val="3-BodyText"/>
        <w:rPr>
          <w:i/>
          <w:iCs/>
        </w:rPr>
      </w:pPr>
      <w:r w:rsidRPr="00E910AC">
        <w:t>Dabrafeni</w:t>
      </w:r>
      <w:r w:rsidR="00394E85" w:rsidRPr="00E910AC">
        <w:t>b in combination with trametinib</w:t>
      </w:r>
      <w:r w:rsidR="004D7110" w:rsidRPr="00E910AC">
        <w:t xml:space="preserve"> (hereafter D+T)</w:t>
      </w:r>
      <w:r w:rsidR="009C4C86" w:rsidRPr="00E910AC">
        <w:t xml:space="preserve"> </w:t>
      </w:r>
      <w:r w:rsidR="00394E85" w:rsidRPr="00E910AC">
        <w:t xml:space="preserve">was recommended </w:t>
      </w:r>
      <w:r w:rsidR="00D6606A" w:rsidRPr="00E910AC">
        <w:t xml:space="preserve">for listing at the March 2025 PBAC </w:t>
      </w:r>
      <w:r w:rsidR="003574EE" w:rsidRPr="00E910AC">
        <w:t xml:space="preserve">meeting for the </w:t>
      </w:r>
      <w:r w:rsidR="00D13416" w:rsidRPr="00E910AC">
        <w:t>‘</w:t>
      </w:r>
      <w:r w:rsidR="003574EE" w:rsidRPr="00E910AC">
        <w:t xml:space="preserve">treatment of </w:t>
      </w:r>
      <w:r w:rsidR="001073D3" w:rsidRPr="00E910AC">
        <w:t>adult patients with BRAF V600E</w:t>
      </w:r>
      <w:r w:rsidR="00D13416" w:rsidRPr="00E910AC">
        <w:t xml:space="preserve"> mutation</w:t>
      </w:r>
      <w:r w:rsidR="0067440A" w:rsidRPr="00E910AC">
        <w:t xml:space="preserve"> positive </w:t>
      </w:r>
      <w:r w:rsidR="001073D3" w:rsidRPr="00E910AC">
        <w:t>advanced or metastatic (Stage IV) NSCLC</w:t>
      </w:r>
      <w:r w:rsidR="00D13416" w:rsidRPr="00E910AC">
        <w:t>’</w:t>
      </w:r>
      <w:r w:rsidR="001073D3" w:rsidRPr="00E910AC">
        <w:t>.</w:t>
      </w:r>
      <w:r w:rsidR="004770D0" w:rsidRPr="00E910AC">
        <w:t xml:space="preserve"> </w:t>
      </w:r>
      <w:r w:rsidR="000B4A93" w:rsidRPr="00E910AC">
        <w:t>The PBAC considered that D+T would be acceptably cost effective if it w</w:t>
      </w:r>
      <w:r w:rsidR="00E910AC">
        <w:t>as</w:t>
      </w:r>
      <w:r w:rsidR="000B4A93" w:rsidRPr="00E910AC">
        <w:t xml:space="preserve"> cost</w:t>
      </w:r>
      <w:r w:rsidR="003A3A7B">
        <w:noBreakHyphen/>
      </w:r>
      <w:r w:rsidR="000B4A93" w:rsidRPr="00E910AC">
        <w:t xml:space="preserve">minimised against </w:t>
      </w:r>
      <w:proofErr w:type="spellStart"/>
      <w:r w:rsidR="000B4A93" w:rsidRPr="00E910AC">
        <w:t>pembrolizumab</w:t>
      </w:r>
      <w:r w:rsidR="00307BB2" w:rsidRPr="00E910AC">
        <w:t>+PDC</w:t>
      </w:r>
      <w:proofErr w:type="spellEnd"/>
      <w:r w:rsidR="00307BB2" w:rsidRPr="00E910AC">
        <w:t xml:space="preserve"> </w:t>
      </w:r>
      <w:r w:rsidR="002F3C80" w:rsidRPr="00E910AC">
        <w:t>(paragraph 7.1, D+T</w:t>
      </w:r>
      <w:r w:rsidR="0067440A" w:rsidRPr="00E910AC">
        <w:t>,</w:t>
      </w:r>
      <w:r w:rsidR="002F3C80" w:rsidRPr="000A11C1">
        <w:t xml:space="preserve"> </w:t>
      </w:r>
      <w:r w:rsidR="00643DE8">
        <w:t xml:space="preserve">Public Summary Document </w:t>
      </w:r>
      <w:r w:rsidR="0029485E">
        <w:t>[</w:t>
      </w:r>
      <w:r w:rsidR="002F3C80" w:rsidRPr="000A11C1">
        <w:t>PSD</w:t>
      </w:r>
      <w:r w:rsidR="0029485E">
        <w:t>]</w:t>
      </w:r>
      <w:r w:rsidR="002F3C80" w:rsidRPr="000A11C1">
        <w:t>, March 2025 PBAC meeting).</w:t>
      </w:r>
      <w:r w:rsidR="000B4A93" w:rsidRPr="000A11C1">
        <w:t xml:space="preserve"> </w:t>
      </w:r>
      <w:r w:rsidR="002422D2" w:rsidRPr="0065749F">
        <w:t xml:space="preserve">The ESC noted that </w:t>
      </w:r>
      <w:r w:rsidR="004D7110" w:rsidRPr="0065749F">
        <w:t xml:space="preserve">D+T </w:t>
      </w:r>
      <w:r w:rsidR="00BA6BE2" w:rsidRPr="0065749F">
        <w:t>listed on the</w:t>
      </w:r>
      <w:r w:rsidR="002422D2" w:rsidRPr="0065749F">
        <w:t xml:space="preserve"> </w:t>
      </w:r>
      <w:r w:rsidR="00D10611" w:rsidRPr="0065749F">
        <w:t>PBS</w:t>
      </w:r>
      <w:r w:rsidR="00BA6BE2" w:rsidRPr="0065749F">
        <w:t xml:space="preserve"> on</w:t>
      </w:r>
      <w:r w:rsidR="002422D2" w:rsidRPr="0065749F">
        <w:t xml:space="preserve"> 1 October 2025</w:t>
      </w:r>
      <w:r w:rsidR="0067440A" w:rsidRPr="0065749F">
        <w:t xml:space="preserve">. </w:t>
      </w:r>
      <w:r w:rsidR="00064B51" w:rsidRPr="0065749F">
        <w:t>The ESC noted that b</w:t>
      </w:r>
      <w:r w:rsidR="00B56829" w:rsidRPr="0065749F">
        <w:t>oth</w:t>
      </w:r>
      <w:r w:rsidR="00B56829" w:rsidRPr="00EF4005">
        <w:t xml:space="preserve"> E+B and D+T have the same mechanism of action, i.e. </w:t>
      </w:r>
      <w:r w:rsidR="00B5464C">
        <w:t xml:space="preserve">they are </w:t>
      </w:r>
      <w:r w:rsidR="00B56829" w:rsidRPr="00EF4005">
        <w:t xml:space="preserve">BRAF and mitogen activated protein kinase (MEK) inhibitors. </w:t>
      </w:r>
    </w:p>
    <w:p w14:paraId="24E58286" w14:textId="77777777" w:rsidR="00D40463" w:rsidRDefault="00D40463" w:rsidP="003A3A7B">
      <w:pPr>
        <w:jc w:val="left"/>
        <w:rPr>
          <w:rFonts w:asciiTheme="minorHAnsi" w:hAnsiTheme="minorHAnsi"/>
          <w:b/>
          <w:snapToGrid w:val="0"/>
          <w:sz w:val="32"/>
          <w:szCs w:val="32"/>
        </w:rPr>
      </w:pPr>
      <w:bookmarkStart w:id="8" w:name="_Toc107902078"/>
      <w:bookmarkStart w:id="9" w:name="_Toc208925845"/>
      <w:bookmarkEnd w:id="8"/>
      <w:r>
        <w:br w:type="page"/>
      </w:r>
    </w:p>
    <w:p w14:paraId="76E4EF3C" w14:textId="736C82DE" w:rsidR="00B60939" w:rsidRPr="0098262F" w:rsidRDefault="00B50DB8" w:rsidP="003A3A7B">
      <w:pPr>
        <w:pStyle w:val="2-SectionHeading"/>
      </w:pPr>
      <w:r w:rsidRPr="0098262F">
        <w:lastRenderedPageBreak/>
        <w:t>Requested listing</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547"/>
        <w:gridCol w:w="2204"/>
        <w:gridCol w:w="914"/>
        <w:gridCol w:w="993"/>
        <w:gridCol w:w="708"/>
        <w:gridCol w:w="1651"/>
      </w:tblGrid>
      <w:tr w:rsidR="00286304" w:rsidRPr="0059006D" w14:paraId="466C8FA1" w14:textId="77777777" w:rsidTr="00082583">
        <w:trPr>
          <w:cantSplit/>
          <w:trHeight w:val="20"/>
        </w:trPr>
        <w:tc>
          <w:tcPr>
            <w:tcW w:w="2547" w:type="dxa"/>
            <w:vAlign w:val="center"/>
          </w:tcPr>
          <w:p w14:paraId="5548119D" w14:textId="77777777" w:rsidR="00286304" w:rsidRPr="0059006D" w:rsidRDefault="00286304" w:rsidP="003A3A7B">
            <w:pPr>
              <w:keepNext/>
              <w:keepLines/>
              <w:jc w:val="left"/>
              <w:rPr>
                <w:rFonts w:ascii="Arial Narrow" w:eastAsiaTheme="majorEastAsia" w:hAnsi="Arial Narrow" w:cs="Times New Roman"/>
                <w:b/>
                <w:sz w:val="20"/>
                <w:lang w:val="en-US"/>
              </w:rPr>
            </w:pPr>
            <w:r w:rsidRPr="0059006D">
              <w:rPr>
                <w:rFonts w:ascii="Arial Narrow" w:eastAsiaTheme="majorEastAsia" w:hAnsi="Arial Narrow" w:cs="Times New Roman"/>
                <w:b/>
                <w:sz w:val="20"/>
                <w:lang w:val="en-US"/>
              </w:rPr>
              <w:t>MEDICINAL PRODUCT</w:t>
            </w:r>
          </w:p>
          <w:p w14:paraId="48D898D0" w14:textId="77777777" w:rsidR="00286304" w:rsidRPr="0059006D" w:rsidRDefault="00286304" w:rsidP="003A3A7B">
            <w:pPr>
              <w:keepNext/>
              <w:keepLines/>
              <w:jc w:val="left"/>
              <w:rPr>
                <w:rFonts w:ascii="Arial Narrow" w:eastAsiaTheme="majorEastAsia" w:hAnsi="Arial Narrow" w:cs="Times New Roman"/>
                <w:b/>
                <w:sz w:val="20"/>
                <w:lang w:val="en-US"/>
              </w:rPr>
            </w:pPr>
            <w:r w:rsidRPr="0059006D">
              <w:rPr>
                <w:rFonts w:ascii="Arial Narrow" w:eastAsiaTheme="majorEastAsia" w:hAnsi="Arial Narrow" w:cs="Times New Roman"/>
                <w:b/>
                <w:sz w:val="20"/>
                <w:lang w:val="en-US"/>
              </w:rPr>
              <w:t>medicinal product pack</w:t>
            </w:r>
          </w:p>
        </w:tc>
        <w:tc>
          <w:tcPr>
            <w:tcW w:w="2204" w:type="dxa"/>
            <w:vAlign w:val="center"/>
          </w:tcPr>
          <w:p w14:paraId="386B492B" w14:textId="674AB358" w:rsidR="00286304" w:rsidRPr="0059006D" w:rsidRDefault="00082583" w:rsidP="003A3A7B">
            <w:pPr>
              <w:keepNext/>
              <w:keepLines/>
              <w:jc w:val="left"/>
              <w:rPr>
                <w:rFonts w:ascii="Arial Narrow" w:eastAsiaTheme="majorEastAsia" w:hAnsi="Arial Narrow" w:cs="Times New Roman"/>
                <w:b/>
                <w:sz w:val="20"/>
                <w:lang w:val="en-US"/>
              </w:rPr>
            </w:pPr>
            <w:r>
              <w:rPr>
                <w:rFonts w:ascii="Arial Narrow" w:eastAsiaTheme="majorEastAsia" w:hAnsi="Arial Narrow" w:cs="Times New Roman"/>
                <w:b/>
                <w:snapToGrid w:val="0"/>
                <w:sz w:val="20"/>
                <w:lang w:val="en-US"/>
              </w:rPr>
              <w:t>DPMQ</w:t>
            </w:r>
            <w:r w:rsidR="00286304" w:rsidRPr="0059006D">
              <w:rPr>
                <w:rFonts w:ascii="Arial Narrow" w:eastAsiaTheme="majorEastAsia" w:hAnsi="Arial Narrow" w:cs="Times New Roman"/>
                <w:b/>
                <w:snapToGrid w:val="0"/>
                <w:sz w:val="20"/>
                <w:lang w:val="en-US"/>
              </w:rPr>
              <w:t xml:space="preserve"> </w:t>
            </w:r>
          </w:p>
        </w:tc>
        <w:tc>
          <w:tcPr>
            <w:tcW w:w="914" w:type="dxa"/>
            <w:vAlign w:val="center"/>
          </w:tcPr>
          <w:p w14:paraId="06E2B5CA" w14:textId="77777777" w:rsidR="00286304" w:rsidRPr="0059006D" w:rsidRDefault="00286304" w:rsidP="003A3A7B">
            <w:pPr>
              <w:keepNext/>
              <w:keepLines/>
              <w:jc w:val="center"/>
              <w:rPr>
                <w:rFonts w:ascii="Arial Narrow" w:eastAsiaTheme="majorEastAsia" w:hAnsi="Arial Narrow" w:cs="Times New Roman"/>
                <w:b/>
                <w:sz w:val="20"/>
                <w:lang w:val="en-US"/>
              </w:rPr>
            </w:pPr>
            <w:r w:rsidRPr="0059006D">
              <w:rPr>
                <w:rFonts w:ascii="Arial Narrow" w:eastAsiaTheme="majorEastAsia" w:hAnsi="Arial Narrow" w:cs="Times New Roman"/>
                <w:b/>
                <w:sz w:val="20"/>
                <w:lang w:val="en-US"/>
              </w:rPr>
              <w:t>Max. qty packs</w:t>
            </w:r>
          </w:p>
        </w:tc>
        <w:tc>
          <w:tcPr>
            <w:tcW w:w="993" w:type="dxa"/>
            <w:vAlign w:val="center"/>
          </w:tcPr>
          <w:p w14:paraId="4264BE94" w14:textId="77777777" w:rsidR="00286304" w:rsidRPr="0059006D" w:rsidRDefault="00286304" w:rsidP="003A3A7B">
            <w:pPr>
              <w:keepNext/>
              <w:keepLines/>
              <w:jc w:val="center"/>
              <w:rPr>
                <w:rFonts w:ascii="Arial Narrow" w:eastAsiaTheme="majorEastAsia" w:hAnsi="Arial Narrow" w:cs="Times New Roman"/>
                <w:b/>
                <w:sz w:val="20"/>
                <w:lang w:val="en-US"/>
              </w:rPr>
            </w:pPr>
            <w:r w:rsidRPr="0059006D">
              <w:rPr>
                <w:rFonts w:ascii="Arial Narrow" w:eastAsiaTheme="majorEastAsia" w:hAnsi="Arial Narrow" w:cs="Times New Roman"/>
                <w:b/>
                <w:sz w:val="20"/>
                <w:lang w:val="en-US"/>
              </w:rPr>
              <w:t>Max. qty units</w:t>
            </w:r>
          </w:p>
        </w:tc>
        <w:tc>
          <w:tcPr>
            <w:tcW w:w="708" w:type="dxa"/>
            <w:vAlign w:val="center"/>
          </w:tcPr>
          <w:p w14:paraId="2DF01673" w14:textId="33AA12EE" w:rsidR="00286304" w:rsidRPr="0059006D" w:rsidRDefault="00AC3C83" w:rsidP="003A3A7B">
            <w:pPr>
              <w:keepNext/>
              <w:keepLines/>
              <w:jc w:val="center"/>
              <w:rPr>
                <w:rFonts w:ascii="Arial Narrow" w:eastAsiaTheme="majorEastAsia" w:hAnsi="Arial Narrow" w:cs="Times New Roman"/>
                <w:b/>
                <w:sz w:val="20"/>
                <w:lang w:val="en-US"/>
              </w:rPr>
            </w:pPr>
            <w:r w:rsidRPr="0059006D">
              <w:rPr>
                <w:rFonts w:ascii="Arial Narrow" w:eastAsiaTheme="majorEastAsia" w:hAnsi="Arial Narrow" w:cs="Times New Roman"/>
                <w:b/>
                <w:sz w:val="20"/>
                <w:lang w:val="en-US"/>
              </w:rPr>
              <w:t>№. of</w:t>
            </w:r>
          </w:p>
          <w:p w14:paraId="6E99F5B8" w14:textId="77777777" w:rsidR="00286304" w:rsidRPr="0059006D" w:rsidRDefault="00286304" w:rsidP="003A3A7B">
            <w:pPr>
              <w:keepNext/>
              <w:keepLines/>
              <w:jc w:val="center"/>
              <w:rPr>
                <w:rFonts w:ascii="Arial Narrow" w:eastAsiaTheme="majorEastAsia" w:hAnsi="Arial Narrow" w:cs="Times New Roman"/>
                <w:b/>
                <w:sz w:val="20"/>
                <w:lang w:val="en-US"/>
              </w:rPr>
            </w:pPr>
            <w:proofErr w:type="spellStart"/>
            <w:r w:rsidRPr="0059006D">
              <w:rPr>
                <w:rFonts w:ascii="Arial Narrow" w:eastAsiaTheme="majorEastAsia" w:hAnsi="Arial Narrow" w:cs="Times New Roman"/>
                <w:b/>
                <w:sz w:val="20"/>
                <w:lang w:val="en-US"/>
              </w:rPr>
              <w:t>Rpts</w:t>
            </w:r>
            <w:proofErr w:type="spellEnd"/>
          </w:p>
        </w:tc>
        <w:tc>
          <w:tcPr>
            <w:tcW w:w="1651" w:type="dxa"/>
            <w:vAlign w:val="center"/>
          </w:tcPr>
          <w:p w14:paraId="237479AC" w14:textId="77777777" w:rsidR="00286304" w:rsidRPr="0059006D" w:rsidRDefault="00286304" w:rsidP="003A3A7B">
            <w:pPr>
              <w:keepNext/>
              <w:keepLines/>
              <w:jc w:val="left"/>
              <w:rPr>
                <w:rFonts w:ascii="Arial Narrow" w:eastAsiaTheme="majorEastAsia" w:hAnsi="Arial Narrow" w:cs="Times New Roman"/>
                <w:b/>
                <w:sz w:val="20"/>
                <w:lang w:val="en-US"/>
              </w:rPr>
            </w:pPr>
            <w:r w:rsidRPr="0059006D">
              <w:rPr>
                <w:rFonts w:ascii="Arial Narrow" w:eastAsiaTheme="majorEastAsia" w:hAnsi="Arial Narrow" w:cs="Times New Roman"/>
                <w:b/>
                <w:sz w:val="20"/>
                <w:lang w:val="en-US"/>
              </w:rPr>
              <w:t>Available brands</w:t>
            </w:r>
          </w:p>
        </w:tc>
      </w:tr>
      <w:tr w:rsidR="00286304" w:rsidRPr="0059006D" w14:paraId="1659A25B" w14:textId="77777777">
        <w:trPr>
          <w:cantSplit/>
          <w:trHeight w:val="20"/>
        </w:trPr>
        <w:tc>
          <w:tcPr>
            <w:tcW w:w="9017" w:type="dxa"/>
            <w:gridSpan w:val="6"/>
            <w:vAlign w:val="center"/>
          </w:tcPr>
          <w:p w14:paraId="4DCEECA7" w14:textId="77777777" w:rsidR="00286304" w:rsidRPr="0059006D" w:rsidRDefault="00286304" w:rsidP="003A3A7B">
            <w:pPr>
              <w:keepNext/>
              <w:keepLines/>
              <w:jc w:val="left"/>
              <w:rPr>
                <w:rFonts w:ascii="Arial Narrow" w:eastAsiaTheme="majorEastAsia" w:hAnsi="Arial Narrow"/>
                <w:b/>
                <w:sz w:val="20"/>
              </w:rPr>
            </w:pPr>
            <w:r w:rsidRPr="0059006D">
              <w:rPr>
                <w:rFonts w:ascii="Arial Narrow" w:eastAsiaTheme="majorEastAsia" w:hAnsi="Arial Narrow" w:cstheme="majorBidi"/>
                <w:b/>
                <w:sz w:val="20"/>
              </w:rPr>
              <w:t>ENCORAFENIB</w:t>
            </w:r>
            <w:r w:rsidRPr="0059006D">
              <w:rPr>
                <w:rFonts w:ascii="Arial Narrow" w:eastAsiaTheme="majorEastAsia" w:hAnsi="Arial Narrow"/>
                <w:b/>
                <w:color w:val="0066FF"/>
                <w:sz w:val="20"/>
              </w:rPr>
              <w:t xml:space="preserve"> </w:t>
            </w:r>
          </w:p>
        </w:tc>
      </w:tr>
      <w:tr w:rsidR="00286304" w:rsidRPr="0059006D" w14:paraId="15C26916" w14:textId="77777777" w:rsidTr="00082583">
        <w:trPr>
          <w:cantSplit/>
          <w:trHeight w:val="20"/>
        </w:trPr>
        <w:tc>
          <w:tcPr>
            <w:tcW w:w="2547" w:type="dxa"/>
            <w:vAlign w:val="center"/>
          </w:tcPr>
          <w:p w14:paraId="07B62ED1" w14:textId="77777777" w:rsidR="00286304" w:rsidRPr="0059006D" w:rsidRDefault="00286304" w:rsidP="003A3A7B">
            <w:pPr>
              <w:keepNext/>
              <w:keepLines/>
              <w:jc w:val="left"/>
              <w:rPr>
                <w:rFonts w:ascii="Arial Narrow" w:eastAsiaTheme="majorEastAsia" w:hAnsi="Arial Narrow" w:cstheme="majorBidi"/>
                <w:bCs/>
                <w:sz w:val="20"/>
              </w:rPr>
            </w:pPr>
            <w:proofErr w:type="spellStart"/>
            <w:r w:rsidRPr="0059006D">
              <w:rPr>
                <w:rFonts w:ascii="Arial Narrow" w:eastAsiaTheme="majorEastAsia" w:hAnsi="Arial Narrow" w:cstheme="majorBidi"/>
                <w:bCs/>
                <w:sz w:val="20"/>
              </w:rPr>
              <w:t>encorafenib</w:t>
            </w:r>
            <w:proofErr w:type="spellEnd"/>
            <w:r w:rsidRPr="0059006D">
              <w:rPr>
                <w:rFonts w:ascii="Arial Narrow" w:eastAsiaTheme="majorEastAsia" w:hAnsi="Arial Narrow" w:cstheme="majorBidi"/>
                <w:bCs/>
                <w:sz w:val="20"/>
              </w:rPr>
              <w:t xml:space="preserve"> 75 mg capsule, 42</w:t>
            </w:r>
          </w:p>
        </w:tc>
        <w:tc>
          <w:tcPr>
            <w:tcW w:w="2204" w:type="dxa"/>
          </w:tcPr>
          <w:p w14:paraId="732EAC6A" w14:textId="04F8820C"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$6,863.68 published price</w:t>
            </w:r>
          </w:p>
          <w:p w14:paraId="609949F4" w14:textId="35E77106"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w:t>
            </w:r>
            <w:r w:rsidR="00D97164" w:rsidRPr="00D97164">
              <w:rPr>
                <w:rFonts w:ascii="Arial Narrow" w:eastAsiaTheme="majorEastAsia" w:hAnsi="Arial Narrow" w:cstheme="majorBidi"/>
                <w:bCs/>
                <w:sz w:val="20"/>
                <w:highlight w:val="black"/>
              </w:rPr>
              <w:t>&amp;&amp;&amp;&amp;</w:t>
            </w:r>
            <w:r w:rsidRPr="0059006D">
              <w:rPr>
                <w:rFonts w:ascii="Arial Narrow" w:eastAsiaTheme="majorEastAsia" w:hAnsi="Arial Narrow" w:cstheme="majorBidi"/>
                <w:bCs/>
                <w:sz w:val="20"/>
              </w:rPr>
              <w:t xml:space="preserve"> effective price</w:t>
            </w:r>
          </w:p>
        </w:tc>
        <w:tc>
          <w:tcPr>
            <w:tcW w:w="914" w:type="dxa"/>
            <w:vAlign w:val="center"/>
          </w:tcPr>
          <w:p w14:paraId="73B701C2"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4</w:t>
            </w:r>
          </w:p>
        </w:tc>
        <w:tc>
          <w:tcPr>
            <w:tcW w:w="993" w:type="dxa"/>
            <w:vAlign w:val="center"/>
          </w:tcPr>
          <w:p w14:paraId="4ECB73CD"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168</w:t>
            </w:r>
          </w:p>
        </w:tc>
        <w:tc>
          <w:tcPr>
            <w:tcW w:w="708" w:type="dxa"/>
            <w:vAlign w:val="center"/>
          </w:tcPr>
          <w:p w14:paraId="6E2650EB"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5</w:t>
            </w:r>
          </w:p>
        </w:tc>
        <w:tc>
          <w:tcPr>
            <w:tcW w:w="1651" w:type="dxa"/>
            <w:vAlign w:val="center"/>
          </w:tcPr>
          <w:p w14:paraId="4EFB3238" w14:textId="77777777" w:rsidR="00286304" w:rsidRPr="0059006D" w:rsidRDefault="00286304" w:rsidP="003A3A7B">
            <w:pPr>
              <w:keepNext/>
              <w:keepLines/>
              <w:jc w:val="left"/>
              <w:rPr>
                <w:rFonts w:ascii="Arial Narrow" w:eastAsiaTheme="majorEastAsia" w:hAnsi="Arial Narrow" w:cstheme="majorBidi"/>
                <w:bCs/>
                <w:sz w:val="20"/>
              </w:rPr>
            </w:pPr>
            <w:r w:rsidRPr="0059006D">
              <w:rPr>
                <w:rFonts w:ascii="Arial Narrow" w:eastAsiaTheme="majorEastAsia" w:hAnsi="Arial Narrow" w:cstheme="majorBidi"/>
                <w:bCs/>
                <w:sz w:val="20"/>
              </w:rPr>
              <w:t>Braftovi</w:t>
            </w:r>
          </w:p>
        </w:tc>
      </w:tr>
      <w:tr w:rsidR="00286304" w:rsidRPr="0059006D" w14:paraId="43C10377" w14:textId="77777777">
        <w:trPr>
          <w:cantSplit/>
          <w:trHeight w:val="20"/>
        </w:trPr>
        <w:tc>
          <w:tcPr>
            <w:tcW w:w="9017" w:type="dxa"/>
            <w:gridSpan w:val="6"/>
            <w:vAlign w:val="center"/>
          </w:tcPr>
          <w:p w14:paraId="5E462331" w14:textId="77777777" w:rsidR="00286304" w:rsidRPr="0059006D" w:rsidRDefault="00286304" w:rsidP="003A3A7B">
            <w:pPr>
              <w:keepNext/>
              <w:keepLines/>
              <w:jc w:val="left"/>
              <w:rPr>
                <w:rFonts w:ascii="Arial Narrow" w:eastAsiaTheme="majorEastAsia" w:hAnsi="Arial Narrow" w:cstheme="majorBidi"/>
                <w:b/>
                <w:sz w:val="20"/>
              </w:rPr>
            </w:pPr>
            <w:r w:rsidRPr="0059006D">
              <w:rPr>
                <w:rFonts w:ascii="Arial Narrow" w:eastAsiaTheme="majorEastAsia" w:hAnsi="Arial Narrow" w:cstheme="majorBidi"/>
                <w:b/>
                <w:sz w:val="20"/>
              </w:rPr>
              <w:t>BINIMETINIB</w:t>
            </w:r>
          </w:p>
        </w:tc>
      </w:tr>
      <w:tr w:rsidR="00286304" w:rsidRPr="0059006D" w14:paraId="2AD67DED" w14:textId="77777777" w:rsidTr="00082583">
        <w:trPr>
          <w:cantSplit/>
          <w:trHeight w:val="20"/>
        </w:trPr>
        <w:tc>
          <w:tcPr>
            <w:tcW w:w="2547" w:type="dxa"/>
            <w:vAlign w:val="center"/>
          </w:tcPr>
          <w:p w14:paraId="5EAEBEF3" w14:textId="77777777" w:rsidR="00286304" w:rsidRPr="0059006D" w:rsidRDefault="00286304" w:rsidP="003A3A7B">
            <w:pPr>
              <w:keepNext/>
              <w:keepLines/>
              <w:jc w:val="left"/>
              <w:rPr>
                <w:rFonts w:ascii="Arial Narrow" w:eastAsiaTheme="majorEastAsia" w:hAnsi="Arial Narrow" w:cstheme="majorBidi"/>
                <w:bCs/>
                <w:sz w:val="20"/>
              </w:rPr>
            </w:pPr>
            <w:proofErr w:type="spellStart"/>
            <w:r w:rsidRPr="0059006D">
              <w:rPr>
                <w:rFonts w:ascii="Arial Narrow" w:eastAsiaTheme="majorEastAsia" w:hAnsi="Arial Narrow" w:cstheme="majorBidi"/>
                <w:bCs/>
                <w:sz w:val="20"/>
              </w:rPr>
              <w:t>binimetinib</w:t>
            </w:r>
            <w:proofErr w:type="spellEnd"/>
            <w:r w:rsidRPr="0059006D">
              <w:rPr>
                <w:rFonts w:ascii="Arial Narrow" w:eastAsiaTheme="majorEastAsia" w:hAnsi="Arial Narrow" w:cstheme="majorBidi"/>
                <w:bCs/>
                <w:sz w:val="20"/>
              </w:rPr>
              <w:t xml:space="preserve"> 15 mg tablet, 84</w:t>
            </w:r>
          </w:p>
        </w:tc>
        <w:tc>
          <w:tcPr>
            <w:tcW w:w="2204" w:type="dxa"/>
          </w:tcPr>
          <w:p w14:paraId="70E05E7F"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$7,216.30 published price</w:t>
            </w:r>
          </w:p>
          <w:p w14:paraId="6A960F64" w14:textId="76E54AB0"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w:t>
            </w:r>
            <w:r w:rsidR="00D97164" w:rsidRPr="00D97164">
              <w:rPr>
                <w:rFonts w:ascii="Arial Narrow" w:eastAsiaTheme="majorEastAsia" w:hAnsi="Arial Narrow" w:cstheme="majorBidi"/>
                <w:bCs/>
                <w:sz w:val="20"/>
                <w:highlight w:val="black"/>
              </w:rPr>
              <w:t>&amp;&amp;&amp;&amp;</w:t>
            </w:r>
            <w:r w:rsidRPr="0059006D">
              <w:rPr>
                <w:rFonts w:ascii="Arial Narrow" w:eastAsiaTheme="majorEastAsia" w:hAnsi="Arial Narrow" w:cstheme="majorBidi"/>
                <w:bCs/>
                <w:sz w:val="20"/>
              </w:rPr>
              <w:t xml:space="preserve"> effective price</w:t>
            </w:r>
          </w:p>
        </w:tc>
        <w:tc>
          <w:tcPr>
            <w:tcW w:w="914" w:type="dxa"/>
            <w:vAlign w:val="center"/>
          </w:tcPr>
          <w:p w14:paraId="19D966D7"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2</w:t>
            </w:r>
          </w:p>
        </w:tc>
        <w:tc>
          <w:tcPr>
            <w:tcW w:w="993" w:type="dxa"/>
            <w:vAlign w:val="center"/>
          </w:tcPr>
          <w:p w14:paraId="444B1514"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168</w:t>
            </w:r>
          </w:p>
        </w:tc>
        <w:tc>
          <w:tcPr>
            <w:tcW w:w="708" w:type="dxa"/>
            <w:vAlign w:val="center"/>
          </w:tcPr>
          <w:p w14:paraId="0F748B57"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5</w:t>
            </w:r>
          </w:p>
        </w:tc>
        <w:tc>
          <w:tcPr>
            <w:tcW w:w="1651" w:type="dxa"/>
            <w:vAlign w:val="center"/>
          </w:tcPr>
          <w:p w14:paraId="051251BD" w14:textId="77777777" w:rsidR="00286304" w:rsidRPr="0059006D" w:rsidRDefault="00286304" w:rsidP="003A3A7B">
            <w:pPr>
              <w:keepNext/>
              <w:keepLines/>
              <w:jc w:val="left"/>
              <w:rPr>
                <w:rFonts w:ascii="Arial Narrow" w:eastAsiaTheme="majorEastAsia" w:hAnsi="Arial Narrow" w:cstheme="majorBidi"/>
                <w:bCs/>
                <w:sz w:val="20"/>
              </w:rPr>
            </w:pPr>
            <w:r w:rsidRPr="0059006D">
              <w:rPr>
                <w:rFonts w:ascii="Arial Narrow" w:eastAsiaTheme="majorEastAsia" w:hAnsi="Arial Narrow" w:cstheme="majorBidi"/>
                <w:bCs/>
                <w:sz w:val="20"/>
              </w:rPr>
              <w:t>Mektovi</w:t>
            </w:r>
          </w:p>
        </w:tc>
      </w:tr>
      <w:tr w:rsidR="00286304" w:rsidRPr="0059006D" w14:paraId="3E9BAFDB" w14:textId="77777777" w:rsidTr="00082583">
        <w:trPr>
          <w:cantSplit/>
          <w:trHeight w:val="20"/>
        </w:trPr>
        <w:tc>
          <w:tcPr>
            <w:tcW w:w="2547" w:type="dxa"/>
            <w:vAlign w:val="center"/>
          </w:tcPr>
          <w:p w14:paraId="01A9C4C5" w14:textId="4CA1AA66" w:rsidR="00286304" w:rsidRPr="0059006D" w:rsidRDefault="00286304" w:rsidP="003A3A7B">
            <w:pPr>
              <w:keepNext/>
              <w:keepLines/>
              <w:jc w:val="left"/>
              <w:rPr>
                <w:rFonts w:ascii="Arial Narrow" w:eastAsiaTheme="majorEastAsia" w:hAnsi="Arial Narrow" w:cstheme="majorBidi"/>
                <w:bCs/>
                <w:sz w:val="20"/>
              </w:rPr>
            </w:pPr>
            <w:proofErr w:type="spellStart"/>
            <w:r w:rsidRPr="0059006D">
              <w:rPr>
                <w:rFonts w:ascii="Arial Narrow" w:eastAsiaTheme="majorEastAsia" w:hAnsi="Arial Narrow" w:cstheme="majorBidi"/>
                <w:bCs/>
                <w:sz w:val="20"/>
              </w:rPr>
              <w:t>binimetinib</w:t>
            </w:r>
            <w:proofErr w:type="spellEnd"/>
            <w:r w:rsidRPr="0059006D">
              <w:rPr>
                <w:rFonts w:ascii="Arial Narrow" w:eastAsiaTheme="majorEastAsia" w:hAnsi="Arial Narrow" w:cstheme="majorBidi"/>
                <w:bCs/>
                <w:sz w:val="20"/>
              </w:rPr>
              <w:t xml:space="preserve"> 45 mg tablet, 56</w:t>
            </w:r>
            <w:r w:rsidR="007428D9">
              <w:rPr>
                <w:rFonts w:ascii="Arial Narrow" w:eastAsiaTheme="majorEastAsia" w:hAnsi="Arial Narrow" w:cstheme="majorBidi"/>
                <w:bCs/>
                <w:sz w:val="20"/>
                <w:vertAlign w:val="superscript"/>
              </w:rPr>
              <w:t>a</w:t>
            </w:r>
          </w:p>
        </w:tc>
        <w:tc>
          <w:tcPr>
            <w:tcW w:w="2204" w:type="dxa"/>
          </w:tcPr>
          <w:p w14:paraId="68EE5A9C"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$7,216.30 published price</w:t>
            </w:r>
          </w:p>
          <w:p w14:paraId="1B16F07C" w14:textId="26C52236"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w:t>
            </w:r>
            <w:r w:rsidR="00D97164" w:rsidRPr="00D97164">
              <w:rPr>
                <w:rFonts w:ascii="Arial Narrow" w:eastAsiaTheme="majorEastAsia" w:hAnsi="Arial Narrow" w:cstheme="majorBidi"/>
                <w:bCs/>
                <w:sz w:val="20"/>
                <w:highlight w:val="black"/>
              </w:rPr>
              <w:t>&amp;&amp;&amp;&amp;</w:t>
            </w:r>
            <w:r w:rsidRPr="0059006D">
              <w:rPr>
                <w:rFonts w:ascii="Arial Narrow" w:eastAsiaTheme="majorEastAsia" w:hAnsi="Arial Narrow" w:cstheme="majorBidi"/>
                <w:bCs/>
                <w:sz w:val="20"/>
              </w:rPr>
              <w:t xml:space="preserve"> effective price</w:t>
            </w:r>
          </w:p>
        </w:tc>
        <w:tc>
          <w:tcPr>
            <w:tcW w:w="914" w:type="dxa"/>
            <w:vAlign w:val="center"/>
          </w:tcPr>
          <w:p w14:paraId="5A1493DF"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1</w:t>
            </w:r>
          </w:p>
        </w:tc>
        <w:tc>
          <w:tcPr>
            <w:tcW w:w="993" w:type="dxa"/>
            <w:vAlign w:val="center"/>
          </w:tcPr>
          <w:p w14:paraId="6279AF25"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56</w:t>
            </w:r>
          </w:p>
        </w:tc>
        <w:tc>
          <w:tcPr>
            <w:tcW w:w="708" w:type="dxa"/>
            <w:vAlign w:val="center"/>
          </w:tcPr>
          <w:p w14:paraId="7141162D"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5</w:t>
            </w:r>
          </w:p>
        </w:tc>
        <w:tc>
          <w:tcPr>
            <w:tcW w:w="1651" w:type="dxa"/>
            <w:vAlign w:val="center"/>
          </w:tcPr>
          <w:p w14:paraId="68FCA03A" w14:textId="77777777" w:rsidR="00286304" w:rsidRPr="0059006D" w:rsidRDefault="00286304" w:rsidP="003A3A7B">
            <w:pPr>
              <w:keepNext/>
              <w:keepLines/>
              <w:jc w:val="left"/>
              <w:rPr>
                <w:rFonts w:ascii="Arial Narrow" w:eastAsiaTheme="majorEastAsia" w:hAnsi="Arial Narrow" w:cstheme="majorBidi"/>
                <w:bCs/>
                <w:sz w:val="20"/>
              </w:rPr>
            </w:pPr>
            <w:r w:rsidRPr="0059006D">
              <w:rPr>
                <w:rFonts w:ascii="Arial Narrow" w:eastAsiaTheme="majorEastAsia" w:hAnsi="Arial Narrow" w:cstheme="majorBidi"/>
                <w:bCs/>
                <w:sz w:val="20"/>
              </w:rPr>
              <w:t>Mektovi</w:t>
            </w:r>
          </w:p>
        </w:tc>
      </w:tr>
      <w:tr w:rsidR="00286304" w:rsidRPr="0059006D" w14:paraId="58805A99" w14:textId="77777777" w:rsidTr="00082583">
        <w:trPr>
          <w:cantSplit/>
          <w:trHeight w:val="20"/>
        </w:trPr>
        <w:tc>
          <w:tcPr>
            <w:tcW w:w="2547" w:type="dxa"/>
            <w:vAlign w:val="center"/>
          </w:tcPr>
          <w:p w14:paraId="75B635C7" w14:textId="7112F30D" w:rsidR="00286304" w:rsidRPr="0059006D" w:rsidRDefault="00286304" w:rsidP="003A3A7B">
            <w:pPr>
              <w:keepNext/>
              <w:keepLines/>
              <w:jc w:val="left"/>
              <w:rPr>
                <w:rFonts w:ascii="Arial Narrow" w:eastAsiaTheme="majorEastAsia" w:hAnsi="Arial Narrow" w:cstheme="majorBidi"/>
                <w:bCs/>
                <w:sz w:val="20"/>
              </w:rPr>
            </w:pPr>
            <w:proofErr w:type="spellStart"/>
            <w:r w:rsidRPr="0059006D">
              <w:rPr>
                <w:rFonts w:ascii="Arial Narrow" w:eastAsiaTheme="majorEastAsia" w:hAnsi="Arial Narrow" w:cstheme="majorBidi"/>
                <w:bCs/>
                <w:sz w:val="20"/>
              </w:rPr>
              <w:t>binimetinib</w:t>
            </w:r>
            <w:proofErr w:type="spellEnd"/>
            <w:r w:rsidRPr="0059006D">
              <w:rPr>
                <w:rFonts w:ascii="Arial Narrow" w:eastAsiaTheme="majorEastAsia" w:hAnsi="Arial Narrow" w:cstheme="majorBidi"/>
                <w:bCs/>
                <w:sz w:val="20"/>
              </w:rPr>
              <w:t xml:space="preserve"> 45 mg tablet, 28</w:t>
            </w:r>
            <w:r w:rsidR="007428D9">
              <w:rPr>
                <w:rFonts w:ascii="Arial Narrow" w:eastAsiaTheme="majorEastAsia" w:hAnsi="Arial Narrow" w:cstheme="majorBidi"/>
                <w:bCs/>
                <w:sz w:val="20"/>
                <w:vertAlign w:val="superscript"/>
              </w:rPr>
              <w:t>a</w:t>
            </w:r>
          </w:p>
        </w:tc>
        <w:tc>
          <w:tcPr>
            <w:tcW w:w="2204" w:type="dxa"/>
          </w:tcPr>
          <w:p w14:paraId="6A3A0F99"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$7,216.30 published price</w:t>
            </w:r>
          </w:p>
          <w:p w14:paraId="5075479C" w14:textId="63735AEE"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w:t>
            </w:r>
            <w:r w:rsidR="00D97164" w:rsidRPr="00D97164">
              <w:rPr>
                <w:rFonts w:ascii="Arial Narrow" w:eastAsiaTheme="majorEastAsia" w:hAnsi="Arial Narrow" w:cstheme="majorBidi"/>
                <w:bCs/>
                <w:sz w:val="20"/>
                <w:highlight w:val="black"/>
              </w:rPr>
              <w:t>&amp;&amp;&amp;&amp;</w:t>
            </w:r>
            <w:r w:rsidRPr="0059006D">
              <w:rPr>
                <w:rFonts w:ascii="Arial Narrow" w:eastAsiaTheme="majorEastAsia" w:hAnsi="Arial Narrow" w:cstheme="majorBidi"/>
                <w:bCs/>
                <w:sz w:val="20"/>
              </w:rPr>
              <w:t xml:space="preserve"> effective price</w:t>
            </w:r>
          </w:p>
        </w:tc>
        <w:tc>
          <w:tcPr>
            <w:tcW w:w="914" w:type="dxa"/>
            <w:vAlign w:val="center"/>
          </w:tcPr>
          <w:p w14:paraId="3E48FC25"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2</w:t>
            </w:r>
          </w:p>
        </w:tc>
        <w:tc>
          <w:tcPr>
            <w:tcW w:w="993" w:type="dxa"/>
            <w:vAlign w:val="center"/>
          </w:tcPr>
          <w:p w14:paraId="10FDF46E" w14:textId="0CBEDF61"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56</w:t>
            </w:r>
          </w:p>
        </w:tc>
        <w:tc>
          <w:tcPr>
            <w:tcW w:w="708" w:type="dxa"/>
            <w:vAlign w:val="center"/>
          </w:tcPr>
          <w:p w14:paraId="7996E365" w14:textId="77777777" w:rsidR="00286304" w:rsidRPr="0059006D" w:rsidRDefault="00286304" w:rsidP="003A3A7B">
            <w:pPr>
              <w:keepNext/>
              <w:keepLines/>
              <w:jc w:val="center"/>
              <w:rPr>
                <w:rFonts w:ascii="Arial Narrow" w:eastAsiaTheme="majorEastAsia" w:hAnsi="Arial Narrow" w:cstheme="majorBidi"/>
                <w:bCs/>
                <w:sz w:val="20"/>
              </w:rPr>
            </w:pPr>
            <w:r w:rsidRPr="0059006D">
              <w:rPr>
                <w:rFonts w:ascii="Arial Narrow" w:eastAsiaTheme="majorEastAsia" w:hAnsi="Arial Narrow" w:cstheme="majorBidi"/>
                <w:bCs/>
                <w:sz w:val="20"/>
              </w:rPr>
              <w:t>5</w:t>
            </w:r>
          </w:p>
        </w:tc>
        <w:tc>
          <w:tcPr>
            <w:tcW w:w="1651" w:type="dxa"/>
            <w:vAlign w:val="center"/>
          </w:tcPr>
          <w:p w14:paraId="2C9E85D0" w14:textId="77777777" w:rsidR="00286304" w:rsidRPr="0059006D" w:rsidRDefault="00286304" w:rsidP="003A3A7B">
            <w:pPr>
              <w:keepNext/>
              <w:keepLines/>
              <w:jc w:val="left"/>
              <w:rPr>
                <w:rFonts w:ascii="Arial Narrow" w:eastAsiaTheme="majorEastAsia" w:hAnsi="Arial Narrow" w:cstheme="majorBidi"/>
                <w:bCs/>
                <w:sz w:val="20"/>
              </w:rPr>
            </w:pPr>
            <w:r w:rsidRPr="0059006D">
              <w:rPr>
                <w:rFonts w:ascii="Arial Narrow" w:eastAsiaTheme="majorEastAsia" w:hAnsi="Arial Narrow" w:cstheme="majorBidi"/>
                <w:bCs/>
                <w:sz w:val="20"/>
              </w:rPr>
              <w:t>Mektovi</w:t>
            </w:r>
          </w:p>
        </w:tc>
      </w:tr>
    </w:tbl>
    <w:p w14:paraId="0FEFAFF3" w14:textId="37891A99" w:rsidR="00EC5B38" w:rsidRPr="00286304" w:rsidRDefault="00EC5B38" w:rsidP="003A3A7B">
      <w:pPr>
        <w:keepLines/>
        <w:spacing w:after="120"/>
        <w:contextualSpacing/>
        <w:rPr>
          <w:rFonts w:ascii="Arial Narrow" w:hAnsi="Arial Narrow"/>
          <w:snapToGrid w:val="0"/>
          <w:sz w:val="18"/>
          <w:szCs w:val="22"/>
        </w:rPr>
      </w:pPr>
      <w:r w:rsidRPr="00286304">
        <w:rPr>
          <w:rFonts w:ascii="Arial Narrow" w:hAnsi="Arial Narrow"/>
          <w:snapToGrid w:val="0"/>
          <w:sz w:val="18"/>
          <w:szCs w:val="22"/>
          <w:vertAlign w:val="superscript"/>
        </w:rPr>
        <w:t>b</w:t>
      </w:r>
      <w:r w:rsidRPr="00286304">
        <w:rPr>
          <w:rFonts w:ascii="Arial Narrow" w:hAnsi="Arial Narrow"/>
          <w:snapToGrid w:val="0"/>
          <w:sz w:val="18"/>
          <w:szCs w:val="22"/>
        </w:rPr>
        <w:t xml:space="preserve"> </w:t>
      </w:r>
      <w:proofErr w:type="spellStart"/>
      <w:r w:rsidRPr="00286304">
        <w:rPr>
          <w:rFonts w:ascii="Arial Narrow" w:hAnsi="Arial Narrow"/>
          <w:snapToGrid w:val="0"/>
          <w:sz w:val="18"/>
          <w:szCs w:val="22"/>
        </w:rPr>
        <w:t>Binimetinib</w:t>
      </w:r>
      <w:proofErr w:type="spellEnd"/>
      <w:r w:rsidRPr="00286304">
        <w:rPr>
          <w:rFonts w:ascii="Arial Narrow" w:hAnsi="Arial Narrow"/>
          <w:snapToGrid w:val="0"/>
          <w:sz w:val="18"/>
          <w:szCs w:val="22"/>
        </w:rPr>
        <w:t xml:space="preserve"> 45 mg is a new strength, currently not PBS</w:t>
      </w:r>
      <w:r w:rsidR="003A3A7B">
        <w:rPr>
          <w:rFonts w:ascii="Arial Narrow" w:hAnsi="Arial Narrow"/>
          <w:snapToGrid w:val="0"/>
          <w:sz w:val="18"/>
          <w:szCs w:val="22"/>
        </w:rPr>
        <w:noBreakHyphen/>
      </w:r>
      <w:r w:rsidRPr="00286304">
        <w:rPr>
          <w:rFonts w:ascii="Arial Narrow" w:hAnsi="Arial Narrow"/>
          <w:snapToGrid w:val="0"/>
          <w:sz w:val="18"/>
          <w:szCs w:val="22"/>
        </w:rPr>
        <w:t>listed.</w:t>
      </w:r>
    </w:p>
    <w:p w14:paraId="12BD59CF" w14:textId="77777777" w:rsidR="00286304" w:rsidRDefault="00286304" w:rsidP="003A3A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7"/>
      </w:tblGrid>
      <w:tr w:rsidR="00286304" w:rsidRPr="00286304" w14:paraId="2BA298A0" w14:textId="77777777">
        <w:trPr>
          <w:cantSplit/>
          <w:trHeight w:val="20"/>
        </w:trPr>
        <w:tc>
          <w:tcPr>
            <w:tcW w:w="9017" w:type="dxa"/>
          </w:tcPr>
          <w:p w14:paraId="4F2077D9" w14:textId="77777777"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
                <w:sz w:val="20"/>
              </w:rPr>
              <w:t>Category / Program:</w:t>
            </w:r>
            <w:r w:rsidRPr="00286304">
              <w:rPr>
                <w:rFonts w:ascii="Arial Narrow" w:eastAsiaTheme="majorEastAsia" w:hAnsi="Arial Narrow" w:cstheme="majorBidi"/>
                <w:bCs/>
                <w:sz w:val="20"/>
              </w:rPr>
              <w:t xml:space="preserve"> General Schedule</w:t>
            </w:r>
          </w:p>
        </w:tc>
      </w:tr>
      <w:tr w:rsidR="00286304" w:rsidRPr="00286304" w14:paraId="1F6D6674" w14:textId="77777777">
        <w:trPr>
          <w:cantSplit/>
          <w:trHeight w:val="20"/>
        </w:trPr>
        <w:tc>
          <w:tcPr>
            <w:tcW w:w="9017" w:type="dxa"/>
          </w:tcPr>
          <w:p w14:paraId="17C5EEF8" w14:textId="77777777" w:rsidR="00286304" w:rsidRPr="00286304" w:rsidRDefault="00286304" w:rsidP="003A3A7B">
            <w:pPr>
              <w:keepNext/>
              <w:keepLines/>
              <w:jc w:val="left"/>
              <w:rPr>
                <w:rFonts w:ascii="Arial Narrow" w:eastAsiaTheme="majorEastAsia" w:hAnsi="Arial Narrow" w:cstheme="majorBidi"/>
                <w:b/>
                <w:bCs/>
                <w:sz w:val="20"/>
              </w:rPr>
            </w:pPr>
            <w:r w:rsidRPr="00286304">
              <w:rPr>
                <w:rFonts w:ascii="Arial Narrow" w:eastAsiaTheme="majorEastAsia" w:hAnsi="Arial Narrow" w:cstheme="majorBidi"/>
                <w:b/>
                <w:bCs/>
                <w:sz w:val="20"/>
              </w:rPr>
              <w:t xml:space="preserve">Prescriber type: </w:t>
            </w:r>
            <w:r w:rsidRPr="00286304">
              <w:rPr>
                <w:rFonts w:ascii="Arial Narrow" w:eastAsiaTheme="majorEastAsia" w:hAnsi="Arial Narrow" w:cstheme="majorBidi"/>
                <w:bCs/>
                <w:sz w:val="20"/>
              </w:rPr>
              <w:fldChar w:fldCharType="begin">
                <w:ffData>
                  <w:name w:val="Check1"/>
                  <w:enabled/>
                  <w:calcOnExit w:val="0"/>
                  <w:checkBox>
                    <w:sizeAuto/>
                    <w:default w:val="0"/>
                  </w:checkBox>
                </w:ffData>
              </w:fldChar>
            </w:r>
            <w:r w:rsidRPr="00286304">
              <w:rPr>
                <w:rFonts w:ascii="Arial Narrow" w:eastAsiaTheme="majorEastAsia" w:hAnsi="Arial Narrow" w:cstheme="majorBidi"/>
                <w:bCs/>
                <w:sz w:val="20"/>
              </w:rPr>
              <w:instrText xml:space="preserve"> FORMCHECKBOX </w:instrText>
            </w:r>
            <w:r w:rsidRPr="00286304">
              <w:rPr>
                <w:rFonts w:ascii="Arial Narrow" w:eastAsiaTheme="majorEastAsia" w:hAnsi="Arial Narrow" w:cstheme="majorBidi"/>
                <w:bCs/>
                <w:sz w:val="20"/>
              </w:rPr>
            </w:r>
            <w:r w:rsidRPr="00286304">
              <w:rPr>
                <w:rFonts w:ascii="Arial Narrow" w:eastAsiaTheme="majorEastAsia" w:hAnsi="Arial Narrow" w:cstheme="majorBidi"/>
                <w:bCs/>
                <w:sz w:val="20"/>
              </w:rPr>
              <w:fldChar w:fldCharType="separate"/>
            </w:r>
            <w:r w:rsidRPr="00286304">
              <w:rPr>
                <w:rFonts w:ascii="Arial Narrow" w:eastAsiaTheme="majorEastAsia" w:hAnsi="Arial Narrow" w:cstheme="majorBidi"/>
                <w:bCs/>
                <w:sz w:val="20"/>
              </w:rPr>
              <w:fldChar w:fldCharType="end"/>
            </w:r>
            <w:r w:rsidRPr="00286304">
              <w:rPr>
                <w:rFonts w:ascii="Arial Narrow" w:eastAsiaTheme="majorEastAsia" w:hAnsi="Arial Narrow" w:cstheme="majorBidi"/>
                <w:bCs/>
                <w:sz w:val="20"/>
              </w:rPr>
              <w:t xml:space="preserve">Dental </w:t>
            </w:r>
            <w:r w:rsidRPr="00286304">
              <w:rPr>
                <w:rFonts w:ascii="Arial Narrow" w:eastAsiaTheme="majorEastAsia" w:hAnsi="Arial Narrow" w:cstheme="majorBidi"/>
                <w:bCs/>
                <w:sz w:val="20"/>
              </w:rPr>
              <w:fldChar w:fldCharType="begin">
                <w:ffData>
                  <w:name w:val=""/>
                  <w:enabled/>
                  <w:calcOnExit w:val="0"/>
                  <w:checkBox>
                    <w:sizeAuto/>
                    <w:default w:val="1"/>
                  </w:checkBox>
                </w:ffData>
              </w:fldChar>
            </w:r>
            <w:r w:rsidRPr="00286304">
              <w:rPr>
                <w:rFonts w:ascii="Arial Narrow" w:eastAsiaTheme="majorEastAsia" w:hAnsi="Arial Narrow" w:cstheme="majorBidi"/>
                <w:bCs/>
                <w:sz w:val="20"/>
              </w:rPr>
              <w:instrText xml:space="preserve"> FORMCHECKBOX </w:instrText>
            </w:r>
            <w:r w:rsidRPr="00286304">
              <w:rPr>
                <w:rFonts w:ascii="Arial Narrow" w:eastAsiaTheme="majorEastAsia" w:hAnsi="Arial Narrow" w:cstheme="majorBidi"/>
                <w:bCs/>
                <w:sz w:val="20"/>
              </w:rPr>
            </w:r>
            <w:r w:rsidRPr="00286304">
              <w:rPr>
                <w:rFonts w:ascii="Arial Narrow" w:eastAsiaTheme="majorEastAsia" w:hAnsi="Arial Narrow" w:cstheme="majorBidi"/>
                <w:bCs/>
                <w:sz w:val="20"/>
              </w:rPr>
              <w:fldChar w:fldCharType="separate"/>
            </w:r>
            <w:r w:rsidRPr="00286304">
              <w:rPr>
                <w:rFonts w:ascii="Arial Narrow" w:eastAsiaTheme="majorEastAsia" w:hAnsi="Arial Narrow" w:cstheme="majorBidi"/>
                <w:bCs/>
                <w:sz w:val="20"/>
              </w:rPr>
              <w:fldChar w:fldCharType="end"/>
            </w:r>
            <w:r w:rsidRPr="00286304">
              <w:rPr>
                <w:rFonts w:ascii="Arial Narrow" w:eastAsiaTheme="majorEastAsia" w:hAnsi="Arial Narrow" w:cstheme="majorBidi"/>
                <w:bCs/>
                <w:sz w:val="20"/>
              </w:rPr>
              <w:t xml:space="preserve">Medical Practitioners </w:t>
            </w:r>
            <w:r w:rsidRPr="00286304">
              <w:rPr>
                <w:rFonts w:ascii="Arial Narrow" w:eastAsiaTheme="majorEastAsia" w:hAnsi="Arial Narrow" w:cstheme="majorBidi"/>
                <w:bCs/>
                <w:sz w:val="20"/>
              </w:rPr>
              <w:fldChar w:fldCharType="begin">
                <w:ffData>
                  <w:name w:val="Check3"/>
                  <w:enabled/>
                  <w:calcOnExit w:val="0"/>
                  <w:checkBox>
                    <w:sizeAuto/>
                    <w:default w:val="0"/>
                  </w:checkBox>
                </w:ffData>
              </w:fldChar>
            </w:r>
            <w:r w:rsidRPr="00286304">
              <w:rPr>
                <w:rFonts w:ascii="Arial Narrow" w:eastAsiaTheme="majorEastAsia" w:hAnsi="Arial Narrow" w:cstheme="majorBidi"/>
                <w:bCs/>
                <w:sz w:val="20"/>
              </w:rPr>
              <w:instrText xml:space="preserve"> FORMCHECKBOX </w:instrText>
            </w:r>
            <w:r w:rsidRPr="00286304">
              <w:rPr>
                <w:rFonts w:ascii="Arial Narrow" w:eastAsiaTheme="majorEastAsia" w:hAnsi="Arial Narrow" w:cstheme="majorBidi"/>
                <w:bCs/>
                <w:sz w:val="20"/>
              </w:rPr>
            </w:r>
            <w:r w:rsidRPr="00286304">
              <w:rPr>
                <w:rFonts w:ascii="Arial Narrow" w:eastAsiaTheme="majorEastAsia" w:hAnsi="Arial Narrow" w:cstheme="majorBidi"/>
                <w:bCs/>
                <w:sz w:val="20"/>
              </w:rPr>
              <w:fldChar w:fldCharType="separate"/>
            </w:r>
            <w:r w:rsidRPr="00286304">
              <w:rPr>
                <w:rFonts w:ascii="Arial Narrow" w:eastAsiaTheme="majorEastAsia" w:hAnsi="Arial Narrow" w:cstheme="majorBidi"/>
                <w:bCs/>
                <w:sz w:val="20"/>
              </w:rPr>
              <w:fldChar w:fldCharType="end"/>
            </w:r>
            <w:r w:rsidRPr="00286304">
              <w:rPr>
                <w:rFonts w:ascii="Arial Narrow" w:eastAsiaTheme="majorEastAsia" w:hAnsi="Arial Narrow" w:cstheme="majorBidi"/>
                <w:bCs/>
                <w:sz w:val="20"/>
              </w:rPr>
              <w:t xml:space="preserve">Nurse practitioners </w:t>
            </w:r>
            <w:r w:rsidRPr="00286304">
              <w:rPr>
                <w:rFonts w:ascii="Arial Narrow" w:eastAsiaTheme="majorEastAsia" w:hAnsi="Arial Narrow" w:cstheme="majorBidi"/>
                <w:bCs/>
                <w:sz w:val="20"/>
              </w:rPr>
              <w:fldChar w:fldCharType="begin">
                <w:ffData>
                  <w:name w:val=""/>
                  <w:enabled/>
                  <w:calcOnExit w:val="0"/>
                  <w:checkBox>
                    <w:sizeAuto/>
                    <w:default w:val="0"/>
                  </w:checkBox>
                </w:ffData>
              </w:fldChar>
            </w:r>
            <w:r w:rsidRPr="00286304">
              <w:rPr>
                <w:rFonts w:ascii="Arial Narrow" w:eastAsiaTheme="majorEastAsia" w:hAnsi="Arial Narrow" w:cstheme="majorBidi"/>
                <w:bCs/>
                <w:sz w:val="20"/>
              </w:rPr>
              <w:instrText xml:space="preserve"> FORMCHECKBOX </w:instrText>
            </w:r>
            <w:r w:rsidRPr="00286304">
              <w:rPr>
                <w:rFonts w:ascii="Arial Narrow" w:eastAsiaTheme="majorEastAsia" w:hAnsi="Arial Narrow" w:cstheme="majorBidi"/>
                <w:bCs/>
                <w:sz w:val="20"/>
              </w:rPr>
            </w:r>
            <w:r w:rsidRPr="00286304">
              <w:rPr>
                <w:rFonts w:ascii="Arial Narrow" w:eastAsiaTheme="majorEastAsia" w:hAnsi="Arial Narrow" w:cstheme="majorBidi"/>
                <w:bCs/>
                <w:sz w:val="20"/>
              </w:rPr>
              <w:fldChar w:fldCharType="separate"/>
            </w:r>
            <w:r w:rsidRPr="00286304">
              <w:rPr>
                <w:rFonts w:ascii="Arial Narrow" w:eastAsiaTheme="majorEastAsia" w:hAnsi="Arial Narrow" w:cstheme="majorBidi"/>
                <w:bCs/>
                <w:sz w:val="20"/>
              </w:rPr>
              <w:fldChar w:fldCharType="end"/>
            </w:r>
            <w:r w:rsidRPr="00286304">
              <w:rPr>
                <w:rFonts w:ascii="Arial Narrow" w:eastAsiaTheme="majorEastAsia" w:hAnsi="Arial Narrow" w:cstheme="majorBidi"/>
                <w:bCs/>
                <w:sz w:val="20"/>
              </w:rPr>
              <w:t xml:space="preserve">Optometrists </w:t>
            </w:r>
            <w:r w:rsidRPr="00286304">
              <w:rPr>
                <w:rFonts w:ascii="Arial Narrow" w:eastAsiaTheme="majorEastAsia" w:hAnsi="Arial Narrow" w:cstheme="majorBidi"/>
                <w:bCs/>
                <w:sz w:val="20"/>
              </w:rPr>
              <w:fldChar w:fldCharType="begin">
                <w:ffData>
                  <w:name w:val="Check5"/>
                  <w:enabled/>
                  <w:calcOnExit w:val="0"/>
                  <w:checkBox>
                    <w:sizeAuto/>
                    <w:default w:val="0"/>
                  </w:checkBox>
                </w:ffData>
              </w:fldChar>
            </w:r>
            <w:r w:rsidRPr="00286304">
              <w:rPr>
                <w:rFonts w:ascii="Arial Narrow" w:eastAsiaTheme="majorEastAsia" w:hAnsi="Arial Narrow" w:cstheme="majorBidi"/>
                <w:bCs/>
                <w:sz w:val="20"/>
              </w:rPr>
              <w:instrText xml:space="preserve"> FORMCHECKBOX </w:instrText>
            </w:r>
            <w:r w:rsidRPr="00286304">
              <w:rPr>
                <w:rFonts w:ascii="Arial Narrow" w:eastAsiaTheme="majorEastAsia" w:hAnsi="Arial Narrow" w:cstheme="majorBidi"/>
                <w:bCs/>
                <w:sz w:val="20"/>
              </w:rPr>
            </w:r>
            <w:r w:rsidRPr="00286304">
              <w:rPr>
                <w:rFonts w:ascii="Arial Narrow" w:eastAsiaTheme="majorEastAsia" w:hAnsi="Arial Narrow" w:cstheme="majorBidi"/>
                <w:bCs/>
                <w:sz w:val="20"/>
              </w:rPr>
              <w:fldChar w:fldCharType="separate"/>
            </w:r>
            <w:r w:rsidRPr="00286304">
              <w:rPr>
                <w:rFonts w:ascii="Arial Narrow" w:eastAsiaTheme="majorEastAsia" w:hAnsi="Arial Narrow" w:cstheme="majorBidi"/>
                <w:bCs/>
                <w:sz w:val="20"/>
              </w:rPr>
              <w:fldChar w:fldCharType="end"/>
            </w:r>
          </w:p>
        </w:tc>
      </w:tr>
      <w:tr w:rsidR="00286304" w:rsidRPr="00286304" w14:paraId="7A9C30F3" w14:textId="77777777">
        <w:trPr>
          <w:cantSplit/>
          <w:trHeight w:val="20"/>
        </w:trPr>
        <w:tc>
          <w:tcPr>
            <w:tcW w:w="9017" w:type="dxa"/>
          </w:tcPr>
          <w:p w14:paraId="4300391F" w14:textId="77777777"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
                <w:bCs/>
                <w:sz w:val="20"/>
              </w:rPr>
              <w:t xml:space="preserve">Restriction type: </w:t>
            </w:r>
            <w:r w:rsidRPr="00286304">
              <w:rPr>
                <w:rFonts w:ascii="Arial Narrow" w:eastAsiaTheme="majorEastAsia" w:hAnsi="Arial Narrow" w:cstheme="majorBidi"/>
                <w:bCs/>
                <w:sz w:val="20"/>
              </w:rPr>
              <w:fldChar w:fldCharType="begin">
                <w:ffData>
                  <w:name w:val=""/>
                  <w:enabled/>
                  <w:calcOnExit w:val="0"/>
                  <w:checkBox>
                    <w:sizeAuto/>
                    <w:default w:val="1"/>
                  </w:checkBox>
                </w:ffData>
              </w:fldChar>
            </w:r>
            <w:r w:rsidRPr="00286304">
              <w:rPr>
                <w:rFonts w:ascii="Arial Narrow" w:eastAsiaTheme="majorEastAsia" w:hAnsi="Arial Narrow" w:cstheme="majorBidi"/>
                <w:bCs/>
                <w:sz w:val="20"/>
              </w:rPr>
              <w:instrText xml:space="preserve"> FORMCHECKBOX </w:instrText>
            </w:r>
            <w:r w:rsidRPr="00286304">
              <w:rPr>
                <w:rFonts w:ascii="Arial Narrow" w:eastAsiaTheme="majorEastAsia" w:hAnsi="Arial Narrow" w:cstheme="majorBidi"/>
                <w:bCs/>
                <w:sz w:val="20"/>
              </w:rPr>
            </w:r>
            <w:r w:rsidRPr="00286304">
              <w:rPr>
                <w:rFonts w:ascii="Arial Narrow" w:eastAsiaTheme="majorEastAsia" w:hAnsi="Arial Narrow" w:cstheme="majorBidi"/>
                <w:bCs/>
                <w:sz w:val="20"/>
              </w:rPr>
              <w:fldChar w:fldCharType="separate"/>
            </w:r>
            <w:r w:rsidRPr="00286304">
              <w:rPr>
                <w:rFonts w:ascii="Arial Narrow" w:eastAsiaTheme="majorEastAsia" w:hAnsi="Arial Narrow" w:cstheme="majorBidi"/>
                <w:bCs/>
                <w:sz w:val="20"/>
              </w:rPr>
              <w:fldChar w:fldCharType="end"/>
            </w:r>
            <w:r w:rsidRPr="00286304">
              <w:rPr>
                <w:rFonts w:ascii="Arial Narrow" w:eastAsiaTheme="majorEastAsia" w:hAnsi="Arial Narrow" w:cstheme="majorBidi"/>
                <w:bCs/>
                <w:sz w:val="20"/>
              </w:rPr>
              <w:t xml:space="preserve">Authority Required (STREAMLINED) </w:t>
            </w:r>
          </w:p>
        </w:tc>
      </w:tr>
      <w:tr w:rsidR="00286304" w:rsidRPr="00286304" w14:paraId="36C947E2" w14:textId="77777777">
        <w:trPr>
          <w:cantSplit/>
          <w:trHeight w:val="20"/>
        </w:trPr>
        <w:tc>
          <w:tcPr>
            <w:tcW w:w="9017" w:type="dxa"/>
            <w:vAlign w:val="center"/>
            <w:hideMark/>
          </w:tcPr>
          <w:p w14:paraId="550EE08C" w14:textId="7CA0B6E2"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
                <w:bCs/>
                <w:sz w:val="20"/>
              </w:rPr>
              <w:t>Indication:</w:t>
            </w:r>
            <w:r w:rsidRPr="00286304">
              <w:rPr>
                <w:rFonts w:ascii="Arial Narrow" w:eastAsiaTheme="majorEastAsia" w:hAnsi="Arial Narrow" w:cstheme="majorBidi"/>
                <w:bCs/>
                <w:sz w:val="20"/>
              </w:rPr>
              <w:t xml:space="preserve"> Stage IV (metastatic) non</w:t>
            </w:r>
            <w:r w:rsidR="003A3A7B">
              <w:rPr>
                <w:rFonts w:ascii="Arial Narrow" w:eastAsiaTheme="majorEastAsia" w:hAnsi="Arial Narrow" w:cstheme="majorBidi"/>
                <w:bCs/>
                <w:sz w:val="20"/>
              </w:rPr>
              <w:noBreakHyphen/>
            </w:r>
            <w:r w:rsidRPr="00286304">
              <w:rPr>
                <w:rFonts w:ascii="Arial Narrow" w:eastAsiaTheme="majorEastAsia" w:hAnsi="Arial Narrow" w:cstheme="majorBidi"/>
                <w:bCs/>
                <w:sz w:val="20"/>
              </w:rPr>
              <w:t>small cell lung cancer (NSCLC)</w:t>
            </w:r>
          </w:p>
        </w:tc>
      </w:tr>
      <w:tr w:rsidR="00286304" w:rsidRPr="00286304" w14:paraId="7CADF86C" w14:textId="77777777">
        <w:trPr>
          <w:cantSplit/>
          <w:trHeight w:val="20"/>
        </w:trPr>
        <w:tc>
          <w:tcPr>
            <w:tcW w:w="9017" w:type="dxa"/>
            <w:vAlign w:val="center"/>
            <w:hideMark/>
          </w:tcPr>
          <w:p w14:paraId="62D76797" w14:textId="77777777" w:rsidR="00286304" w:rsidRPr="00286304" w:rsidRDefault="00286304" w:rsidP="003A3A7B">
            <w:pPr>
              <w:keepNext/>
              <w:keepLines/>
              <w:jc w:val="left"/>
              <w:rPr>
                <w:rFonts w:ascii="Arial Narrow" w:eastAsiaTheme="majorEastAsia" w:hAnsi="Arial Narrow" w:cstheme="majorBidi"/>
                <w:b/>
                <w:sz w:val="20"/>
              </w:rPr>
            </w:pPr>
            <w:r w:rsidRPr="00286304">
              <w:rPr>
                <w:rFonts w:ascii="Arial Narrow" w:eastAsiaTheme="majorEastAsia" w:hAnsi="Arial Narrow" w:cstheme="majorBidi"/>
                <w:b/>
                <w:sz w:val="20"/>
              </w:rPr>
              <w:t>Clinical criteria:</w:t>
            </w:r>
          </w:p>
        </w:tc>
      </w:tr>
      <w:tr w:rsidR="00286304" w:rsidRPr="00286304" w14:paraId="2783B84D" w14:textId="77777777">
        <w:trPr>
          <w:cantSplit/>
          <w:trHeight w:val="20"/>
        </w:trPr>
        <w:tc>
          <w:tcPr>
            <w:tcW w:w="9017" w:type="dxa"/>
            <w:vAlign w:val="center"/>
            <w:hideMark/>
          </w:tcPr>
          <w:p w14:paraId="39204F01" w14:textId="77777777"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Cs/>
                <w:sz w:val="20"/>
              </w:rPr>
              <w:t>The condition must be positive for a BRAF V600E mutation</w:t>
            </w:r>
          </w:p>
        </w:tc>
      </w:tr>
      <w:tr w:rsidR="00286304" w:rsidRPr="00286304" w14:paraId="1A09C545" w14:textId="77777777">
        <w:trPr>
          <w:cantSplit/>
          <w:trHeight w:val="20"/>
        </w:trPr>
        <w:tc>
          <w:tcPr>
            <w:tcW w:w="9017" w:type="dxa"/>
            <w:vAlign w:val="center"/>
            <w:hideMark/>
          </w:tcPr>
          <w:p w14:paraId="03421AC6" w14:textId="77777777" w:rsidR="00286304" w:rsidRPr="00286304" w:rsidRDefault="00286304" w:rsidP="003A3A7B">
            <w:pPr>
              <w:keepNext/>
              <w:keepLines/>
              <w:jc w:val="left"/>
              <w:rPr>
                <w:rFonts w:ascii="Arial Narrow" w:eastAsiaTheme="majorEastAsia" w:hAnsi="Arial Narrow" w:cstheme="majorBidi"/>
                <w:b/>
                <w:sz w:val="20"/>
              </w:rPr>
            </w:pPr>
            <w:r w:rsidRPr="00286304">
              <w:rPr>
                <w:rFonts w:ascii="Arial Narrow" w:eastAsiaTheme="majorEastAsia" w:hAnsi="Arial Narrow" w:cstheme="majorBidi"/>
                <w:b/>
                <w:sz w:val="20"/>
              </w:rPr>
              <w:t>AND</w:t>
            </w:r>
          </w:p>
        </w:tc>
      </w:tr>
      <w:tr w:rsidR="00286304" w:rsidRPr="00286304" w14:paraId="032CD440" w14:textId="77777777">
        <w:trPr>
          <w:cantSplit/>
          <w:trHeight w:val="20"/>
        </w:trPr>
        <w:tc>
          <w:tcPr>
            <w:tcW w:w="9017" w:type="dxa"/>
            <w:vAlign w:val="center"/>
            <w:hideMark/>
          </w:tcPr>
          <w:p w14:paraId="03E1A969" w14:textId="77777777" w:rsidR="00286304" w:rsidRPr="00286304" w:rsidRDefault="00286304" w:rsidP="003A3A7B">
            <w:pPr>
              <w:keepNext/>
              <w:keepLines/>
              <w:jc w:val="left"/>
              <w:rPr>
                <w:rFonts w:ascii="Arial Narrow" w:eastAsiaTheme="majorEastAsia" w:hAnsi="Arial Narrow" w:cstheme="majorBidi"/>
                <w:b/>
                <w:sz w:val="20"/>
              </w:rPr>
            </w:pPr>
            <w:r w:rsidRPr="00286304">
              <w:rPr>
                <w:rFonts w:ascii="Arial Narrow" w:eastAsiaTheme="majorEastAsia" w:hAnsi="Arial Narrow" w:cstheme="majorBidi"/>
                <w:b/>
                <w:sz w:val="20"/>
              </w:rPr>
              <w:t>Clinical criteria:</w:t>
            </w:r>
          </w:p>
        </w:tc>
      </w:tr>
      <w:tr w:rsidR="00286304" w:rsidRPr="00286304" w14:paraId="0341CF44" w14:textId="77777777">
        <w:trPr>
          <w:cantSplit/>
          <w:trHeight w:val="20"/>
        </w:trPr>
        <w:tc>
          <w:tcPr>
            <w:tcW w:w="9017" w:type="dxa"/>
            <w:vAlign w:val="center"/>
            <w:hideMark/>
          </w:tcPr>
          <w:p w14:paraId="69D74A14" w14:textId="77777777" w:rsidR="00286304" w:rsidRPr="00286304" w:rsidRDefault="00286304" w:rsidP="003A3A7B">
            <w:pPr>
              <w:keepNext/>
              <w:keepLines/>
              <w:jc w:val="left"/>
              <w:rPr>
                <w:rFonts w:ascii="Arial Narrow" w:eastAsiaTheme="majorEastAsia" w:hAnsi="Arial Narrow" w:cstheme="majorBidi"/>
                <w:bCs/>
                <w:color w:val="0066FF"/>
                <w:sz w:val="20"/>
              </w:rPr>
            </w:pPr>
            <w:r w:rsidRPr="00286304">
              <w:rPr>
                <w:rFonts w:ascii="Arial Narrow" w:eastAsiaTheme="majorEastAsia" w:hAnsi="Arial Narrow" w:cstheme="majorBidi"/>
                <w:bCs/>
                <w:sz w:val="20"/>
              </w:rPr>
              <w:t xml:space="preserve">Patient must be receiving </w:t>
            </w:r>
            <w:proofErr w:type="spellStart"/>
            <w:r w:rsidRPr="00286304">
              <w:rPr>
                <w:rFonts w:ascii="Arial Narrow" w:eastAsiaTheme="majorEastAsia" w:hAnsi="Arial Narrow" w:cstheme="majorBidi"/>
                <w:bCs/>
                <w:sz w:val="20"/>
              </w:rPr>
              <w:t>encorafenib</w:t>
            </w:r>
            <w:proofErr w:type="spellEnd"/>
            <w:r w:rsidRPr="00286304">
              <w:rPr>
                <w:rFonts w:ascii="Arial Narrow" w:eastAsiaTheme="majorEastAsia" w:hAnsi="Arial Narrow" w:cstheme="majorBidi"/>
                <w:bCs/>
                <w:sz w:val="20"/>
              </w:rPr>
              <w:t xml:space="preserve"> and </w:t>
            </w:r>
            <w:proofErr w:type="spellStart"/>
            <w:r w:rsidRPr="00286304">
              <w:rPr>
                <w:rFonts w:ascii="Arial Narrow" w:eastAsiaTheme="majorEastAsia" w:hAnsi="Arial Narrow" w:cstheme="majorBidi"/>
                <w:bCs/>
                <w:sz w:val="20"/>
              </w:rPr>
              <w:t>binimetinib</w:t>
            </w:r>
            <w:proofErr w:type="spellEnd"/>
            <w:r w:rsidRPr="00286304">
              <w:rPr>
                <w:rFonts w:ascii="Arial Narrow" w:eastAsiaTheme="majorEastAsia" w:hAnsi="Arial Narrow" w:cstheme="majorBidi"/>
                <w:bCs/>
                <w:sz w:val="20"/>
              </w:rPr>
              <w:t xml:space="preserve"> concomitantly for this condition</w:t>
            </w:r>
          </w:p>
        </w:tc>
      </w:tr>
      <w:tr w:rsidR="00286304" w:rsidRPr="00286304" w14:paraId="6F2820F5" w14:textId="77777777">
        <w:trPr>
          <w:cantSplit/>
          <w:trHeight w:val="20"/>
        </w:trPr>
        <w:tc>
          <w:tcPr>
            <w:tcW w:w="9017" w:type="dxa"/>
            <w:vAlign w:val="center"/>
          </w:tcPr>
          <w:p w14:paraId="0EB920B3" w14:textId="77777777" w:rsidR="00286304" w:rsidRPr="00286304" w:rsidRDefault="00286304" w:rsidP="003A3A7B">
            <w:pPr>
              <w:keepNext/>
              <w:keepLines/>
              <w:jc w:val="left"/>
              <w:rPr>
                <w:rFonts w:ascii="Arial Narrow" w:eastAsiaTheme="majorEastAsia" w:hAnsi="Arial Narrow" w:cstheme="majorBidi"/>
                <w:b/>
                <w:color w:val="0066FF"/>
                <w:sz w:val="20"/>
              </w:rPr>
            </w:pPr>
            <w:r w:rsidRPr="00286304">
              <w:rPr>
                <w:rFonts w:ascii="Arial Narrow" w:eastAsiaTheme="majorEastAsia" w:hAnsi="Arial Narrow" w:cstheme="majorBidi"/>
                <w:b/>
                <w:sz w:val="20"/>
              </w:rPr>
              <w:t>AND</w:t>
            </w:r>
          </w:p>
        </w:tc>
      </w:tr>
      <w:tr w:rsidR="00286304" w:rsidRPr="00286304" w14:paraId="231EE1A0" w14:textId="77777777">
        <w:trPr>
          <w:cantSplit/>
          <w:trHeight w:val="20"/>
        </w:trPr>
        <w:tc>
          <w:tcPr>
            <w:tcW w:w="9017" w:type="dxa"/>
            <w:vAlign w:val="center"/>
          </w:tcPr>
          <w:p w14:paraId="7185551B" w14:textId="77777777" w:rsidR="00286304" w:rsidRPr="00286304" w:rsidRDefault="00286304" w:rsidP="003A3A7B">
            <w:pPr>
              <w:keepNext/>
              <w:keepLines/>
              <w:jc w:val="left"/>
              <w:rPr>
                <w:rFonts w:ascii="Arial Narrow" w:eastAsiaTheme="majorEastAsia" w:hAnsi="Arial Narrow" w:cstheme="majorBidi"/>
                <w:b/>
                <w:color w:val="0066FF"/>
                <w:sz w:val="20"/>
              </w:rPr>
            </w:pPr>
            <w:r w:rsidRPr="00286304">
              <w:rPr>
                <w:rFonts w:ascii="Arial Narrow" w:eastAsiaTheme="majorEastAsia" w:hAnsi="Arial Narrow" w:cstheme="majorBidi"/>
                <w:b/>
                <w:sz w:val="20"/>
              </w:rPr>
              <w:t>Clinical criteria:</w:t>
            </w:r>
          </w:p>
        </w:tc>
      </w:tr>
      <w:tr w:rsidR="00286304" w:rsidRPr="00286304" w14:paraId="2888DBB9" w14:textId="77777777">
        <w:trPr>
          <w:cantSplit/>
          <w:trHeight w:val="20"/>
        </w:trPr>
        <w:tc>
          <w:tcPr>
            <w:tcW w:w="9017" w:type="dxa"/>
            <w:vAlign w:val="center"/>
          </w:tcPr>
          <w:p w14:paraId="72C2717E" w14:textId="77777777" w:rsidR="00286304" w:rsidRPr="00286304" w:rsidRDefault="00286304" w:rsidP="003A3A7B">
            <w:pPr>
              <w:keepNext/>
              <w:keepLines/>
              <w:jc w:val="left"/>
              <w:rPr>
                <w:rFonts w:ascii="Arial Narrow" w:eastAsiaTheme="majorEastAsia" w:hAnsi="Arial Narrow" w:cstheme="majorBidi"/>
                <w:bCs/>
                <w:color w:val="0066FF"/>
                <w:sz w:val="20"/>
              </w:rPr>
            </w:pPr>
            <w:r w:rsidRPr="00286304">
              <w:rPr>
                <w:rFonts w:ascii="Arial Narrow" w:eastAsiaTheme="majorEastAsia" w:hAnsi="Arial Narrow" w:cstheme="majorBidi"/>
                <w:bCs/>
                <w:sz w:val="20"/>
              </w:rPr>
              <w:t>Patient must have/have had a WHO performance status of no greater than 2 at treatment initiation with this drug for this condition.</w:t>
            </w:r>
          </w:p>
        </w:tc>
      </w:tr>
      <w:tr w:rsidR="00286304" w:rsidRPr="00286304" w14:paraId="3BA23301" w14:textId="77777777">
        <w:trPr>
          <w:cantSplit/>
          <w:trHeight w:val="20"/>
        </w:trPr>
        <w:tc>
          <w:tcPr>
            <w:tcW w:w="9017" w:type="dxa"/>
            <w:vAlign w:val="center"/>
          </w:tcPr>
          <w:p w14:paraId="2561FFE1" w14:textId="77777777" w:rsidR="00286304" w:rsidRPr="00286304" w:rsidRDefault="00286304" w:rsidP="003A3A7B">
            <w:pPr>
              <w:keepNext/>
              <w:keepLines/>
              <w:jc w:val="left"/>
              <w:rPr>
                <w:rFonts w:ascii="Arial Narrow" w:eastAsiaTheme="majorEastAsia" w:hAnsi="Arial Narrow" w:cstheme="majorBidi"/>
                <w:b/>
                <w:color w:val="0066FF"/>
                <w:sz w:val="20"/>
              </w:rPr>
            </w:pPr>
            <w:r w:rsidRPr="00286304">
              <w:rPr>
                <w:rFonts w:ascii="Arial Narrow" w:eastAsiaTheme="majorEastAsia" w:hAnsi="Arial Narrow" w:cstheme="majorBidi"/>
                <w:b/>
                <w:sz w:val="20"/>
              </w:rPr>
              <w:t>AND</w:t>
            </w:r>
          </w:p>
        </w:tc>
      </w:tr>
      <w:tr w:rsidR="00286304" w:rsidRPr="00286304" w14:paraId="7BA6695F" w14:textId="77777777">
        <w:trPr>
          <w:cantSplit/>
          <w:trHeight w:val="20"/>
        </w:trPr>
        <w:tc>
          <w:tcPr>
            <w:tcW w:w="9017" w:type="dxa"/>
            <w:vAlign w:val="center"/>
          </w:tcPr>
          <w:p w14:paraId="588B8627" w14:textId="77777777" w:rsidR="00286304" w:rsidRPr="00286304" w:rsidRDefault="00286304" w:rsidP="003A3A7B">
            <w:pPr>
              <w:keepNext/>
              <w:keepLines/>
              <w:jc w:val="left"/>
              <w:rPr>
                <w:rFonts w:ascii="Arial Narrow" w:eastAsiaTheme="majorEastAsia" w:hAnsi="Arial Narrow" w:cstheme="majorBidi"/>
                <w:b/>
                <w:color w:val="0066FF"/>
                <w:sz w:val="20"/>
              </w:rPr>
            </w:pPr>
            <w:r w:rsidRPr="00286304">
              <w:rPr>
                <w:rFonts w:ascii="Arial Narrow" w:eastAsiaTheme="majorEastAsia" w:hAnsi="Arial Narrow" w:cstheme="majorBidi"/>
                <w:b/>
                <w:sz w:val="20"/>
              </w:rPr>
              <w:t>Clinical criteria:</w:t>
            </w:r>
          </w:p>
        </w:tc>
      </w:tr>
      <w:tr w:rsidR="00286304" w:rsidRPr="00286304" w14:paraId="44371CDA" w14:textId="77777777">
        <w:trPr>
          <w:cantSplit/>
          <w:trHeight w:val="20"/>
        </w:trPr>
        <w:tc>
          <w:tcPr>
            <w:tcW w:w="9017" w:type="dxa"/>
            <w:vAlign w:val="center"/>
          </w:tcPr>
          <w:p w14:paraId="3A254E3C" w14:textId="77777777"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Cs/>
                <w:sz w:val="20"/>
              </w:rPr>
              <w:t xml:space="preserve">Patient must be undergoing initial treatment with this drug; or </w:t>
            </w:r>
          </w:p>
        </w:tc>
      </w:tr>
      <w:tr w:rsidR="00286304" w:rsidRPr="00286304" w14:paraId="5FD91158" w14:textId="77777777">
        <w:trPr>
          <w:cantSplit/>
          <w:trHeight w:val="20"/>
        </w:trPr>
        <w:tc>
          <w:tcPr>
            <w:tcW w:w="9017" w:type="dxa"/>
            <w:vAlign w:val="center"/>
          </w:tcPr>
          <w:p w14:paraId="115AB4DC" w14:textId="77777777"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Cs/>
                <w:sz w:val="20"/>
              </w:rPr>
              <w:t>Patient must be undergoing continuing treatment with this drug, with an absence of further disease progression while being treated with this drug; or</w:t>
            </w:r>
          </w:p>
        </w:tc>
      </w:tr>
      <w:tr w:rsidR="00286304" w:rsidRPr="00286304" w14:paraId="05E0B31F" w14:textId="77777777">
        <w:trPr>
          <w:cantSplit/>
          <w:trHeight w:val="20"/>
        </w:trPr>
        <w:tc>
          <w:tcPr>
            <w:tcW w:w="9017" w:type="dxa"/>
            <w:vAlign w:val="center"/>
          </w:tcPr>
          <w:p w14:paraId="257B4A5E" w14:textId="4D8A9CA1"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Cs/>
                <w:sz w:val="20"/>
              </w:rPr>
              <w:t>Patient must be undergoing non</w:t>
            </w:r>
            <w:r w:rsidR="003A3A7B">
              <w:rPr>
                <w:rFonts w:ascii="Arial Narrow" w:eastAsiaTheme="majorEastAsia" w:hAnsi="Arial Narrow" w:cstheme="majorBidi"/>
                <w:bCs/>
                <w:sz w:val="20"/>
              </w:rPr>
              <w:noBreakHyphen/>
            </w:r>
            <w:r w:rsidRPr="00286304">
              <w:rPr>
                <w:rFonts w:ascii="Arial Narrow" w:eastAsiaTheme="majorEastAsia" w:hAnsi="Arial Narrow" w:cstheme="majorBidi"/>
                <w:bCs/>
                <w:sz w:val="20"/>
              </w:rPr>
              <w:t>PBS subsidised treatment with this drug for this PBS indication, with an absence of further disease progression since commencing non</w:t>
            </w:r>
            <w:r w:rsidR="003A3A7B">
              <w:rPr>
                <w:rFonts w:ascii="Arial Narrow" w:eastAsiaTheme="majorEastAsia" w:hAnsi="Arial Narrow" w:cstheme="majorBidi"/>
                <w:bCs/>
                <w:sz w:val="20"/>
              </w:rPr>
              <w:noBreakHyphen/>
            </w:r>
            <w:r w:rsidRPr="00286304">
              <w:rPr>
                <w:rFonts w:ascii="Arial Narrow" w:eastAsiaTheme="majorEastAsia" w:hAnsi="Arial Narrow" w:cstheme="majorBidi"/>
                <w:bCs/>
                <w:sz w:val="20"/>
              </w:rPr>
              <w:t>PBS subsidised supply.</w:t>
            </w:r>
          </w:p>
        </w:tc>
      </w:tr>
      <w:tr w:rsidR="00286304" w:rsidRPr="00286304" w14:paraId="3854EA01" w14:textId="77777777">
        <w:trPr>
          <w:cantSplit/>
          <w:trHeight w:val="20"/>
        </w:trPr>
        <w:tc>
          <w:tcPr>
            <w:tcW w:w="9017" w:type="dxa"/>
            <w:vAlign w:val="center"/>
            <w:hideMark/>
          </w:tcPr>
          <w:p w14:paraId="11D1CA91" w14:textId="1C92B1CE" w:rsidR="00286304" w:rsidRPr="00286304" w:rsidRDefault="00286304" w:rsidP="003A3A7B">
            <w:pPr>
              <w:keepNext/>
              <w:keepLines/>
              <w:jc w:val="left"/>
              <w:rPr>
                <w:rFonts w:ascii="Arial Narrow" w:eastAsiaTheme="majorEastAsia" w:hAnsi="Arial Narrow" w:cstheme="majorBidi"/>
                <w:bCs/>
                <w:sz w:val="20"/>
              </w:rPr>
            </w:pPr>
            <w:r w:rsidRPr="00286304">
              <w:rPr>
                <w:rFonts w:ascii="Arial Narrow" w:eastAsiaTheme="majorEastAsia" w:hAnsi="Arial Narrow" w:cstheme="majorBidi"/>
                <w:b/>
                <w:bCs/>
                <w:sz w:val="20"/>
              </w:rPr>
              <w:t xml:space="preserve">Administrative Advice: </w:t>
            </w:r>
            <w:r w:rsidRPr="00286304">
              <w:rPr>
                <w:rFonts w:ascii="Arial Narrow" w:eastAsiaTheme="majorEastAsia" w:hAnsi="Arial Narrow" w:cstheme="majorBidi"/>
                <w:bCs/>
                <w:sz w:val="20"/>
              </w:rPr>
              <w:t>No increase in the maximum amount or number of units may be authorised.</w:t>
            </w:r>
          </w:p>
        </w:tc>
      </w:tr>
      <w:tr w:rsidR="00286304" w:rsidRPr="00286304" w14:paraId="5B167AC6" w14:textId="77777777">
        <w:trPr>
          <w:cantSplit/>
          <w:trHeight w:val="20"/>
        </w:trPr>
        <w:tc>
          <w:tcPr>
            <w:tcW w:w="9017" w:type="dxa"/>
            <w:vAlign w:val="center"/>
          </w:tcPr>
          <w:p w14:paraId="2CA1ED39" w14:textId="77777777" w:rsidR="00286304" w:rsidRPr="00286304" w:rsidRDefault="00286304" w:rsidP="003A3A7B">
            <w:pPr>
              <w:keepNext/>
              <w:keepLines/>
              <w:jc w:val="left"/>
              <w:rPr>
                <w:rFonts w:ascii="Arial Narrow" w:eastAsiaTheme="majorEastAsia" w:hAnsi="Arial Narrow" w:cstheme="majorBidi"/>
                <w:b/>
                <w:bCs/>
                <w:sz w:val="20"/>
              </w:rPr>
            </w:pPr>
            <w:r w:rsidRPr="00286304">
              <w:rPr>
                <w:rFonts w:ascii="Arial Narrow" w:eastAsiaTheme="majorEastAsia" w:hAnsi="Arial Narrow" w:cstheme="majorBidi"/>
                <w:b/>
                <w:bCs/>
                <w:sz w:val="20"/>
              </w:rPr>
              <w:t xml:space="preserve">Administrative Advice: </w:t>
            </w:r>
            <w:r w:rsidRPr="00286304">
              <w:rPr>
                <w:rFonts w:ascii="Arial Narrow" w:eastAsiaTheme="majorEastAsia" w:hAnsi="Arial Narrow" w:cstheme="majorBidi"/>
                <w:bCs/>
                <w:sz w:val="20"/>
              </w:rPr>
              <w:t>No increase in the maximum number of repeats may be authorised.</w:t>
            </w:r>
          </w:p>
        </w:tc>
      </w:tr>
      <w:tr w:rsidR="00286304" w:rsidRPr="00286304" w14:paraId="6C742DD7" w14:textId="77777777">
        <w:trPr>
          <w:cantSplit/>
          <w:trHeight w:val="20"/>
        </w:trPr>
        <w:tc>
          <w:tcPr>
            <w:tcW w:w="9017" w:type="dxa"/>
            <w:vAlign w:val="center"/>
          </w:tcPr>
          <w:p w14:paraId="0870DA52" w14:textId="77777777" w:rsidR="00286304" w:rsidRPr="00286304" w:rsidRDefault="00286304" w:rsidP="003A3A7B">
            <w:pPr>
              <w:keepNext/>
              <w:keepLines/>
              <w:jc w:val="left"/>
              <w:rPr>
                <w:rFonts w:ascii="Arial Narrow" w:eastAsiaTheme="majorEastAsia" w:hAnsi="Arial Narrow" w:cstheme="majorBidi"/>
                <w:b/>
                <w:bCs/>
                <w:sz w:val="20"/>
              </w:rPr>
            </w:pPr>
            <w:r w:rsidRPr="00286304">
              <w:rPr>
                <w:rFonts w:ascii="Arial Narrow" w:eastAsiaTheme="majorEastAsia" w:hAnsi="Arial Narrow" w:cstheme="majorBidi"/>
                <w:b/>
                <w:bCs/>
                <w:sz w:val="20"/>
              </w:rPr>
              <w:t xml:space="preserve">Administrative Advice: </w:t>
            </w:r>
            <w:r w:rsidRPr="00286304">
              <w:rPr>
                <w:rFonts w:ascii="Arial Narrow" w:eastAsiaTheme="majorEastAsia" w:hAnsi="Arial Narrow" w:cstheme="majorBidi"/>
                <w:bCs/>
                <w:sz w:val="20"/>
              </w:rPr>
              <w:t>Special Pricing Arrangements apply.</w:t>
            </w:r>
          </w:p>
        </w:tc>
      </w:tr>
    </w:tbl>
    <w:p w14:paraId="0D86431F" w14:textId="72136FA6" w:rsidR="000F491D" w:rsidRPr="0059006D" w:rsidRDefault="000F491D" w:rsidP="003A3A7B">
      <w:pPr>
        <w:pStyle w:val="3-BodyText"/>
      </w:pPr>
      <w:r w:rsidRPr="000F491D">
        <w:t>A single, line agnostic restriction criteria for initial, continuing and grandfather</w:t>
      </w:r>
      <w:r w:rsidR="003D1805">
        <w:t>ed</w:t>
      </w:r>
      <w:r w:rsidRPr="000F491D">
        <w:t xml:space="preserve"> treatment that allows patients to transition from non</w:t>
      </w:r>
      <w:r w:rsidR="003A3A7B">
        <w:noBreakHyphen/>
      </w:r>
      <w:r w:rsidRPr="000F491D">
        <w:t xml:space="preserve">PBS subsidised treatment was requested by the submission. </w:t>
      </w:r>
      <w:r w:rsidRPr="0059006D">
        <w:t>The proposed line</w:t>
      </w:r>
      <w:r w:rsidR="003A3A7B">
        <w:noBreakHyphen/>
      </w:r>
      <w:r w:rsidRPr="0059006D">
        <w:t xml:space="preserve">agnostic use of E+B aligns with the recommendations from the European Society </w:t>
      </w:r>
      <w:r w:rsidR="00C0297A">
        <w:t>f</w:t>
      </w:r>
      <w:r w:rsidRPr="0059006D">
        <w:t>or Medical Oncology (ESMO) and the National Comprehensive Cancer Network (NCCN)</w:t>
      </w:r>
      <w:r w:rsidR="00B31665" w:rsidRPr="0059006D">
        <w:t xml:space="preserve"> NSCLC (v7.2025)</w:t>
      </w:r>
      <w:r w:rsidRPr="0059006D">
        <w:t xml:space="preserve"> guidelines, and </w:t>
      </w:r>
      <w:r w:rsidR="00A1370F" w:rsidRPr="0059006D">
        <w:t>wa</w:t>
      </w:r>
      <w:r w:rsidRPr="0059006D">
        <w:t>s also consistent with the restriction for D+T for BRAF V600E</w:t>
      </w:r>
      <w:r w:rsidR="003A3A7B">
        <w:noBreakHyphen/>
      </w:r>
      <w:r w:rsidRPr="0059006D">
        <w:t xml:space="preserve">MT </w:t>
      </w:r>
      <w:proofErr w:type="spellStart"/>
      <w:r w:rsidRPr="0059006D">
        <w:t>mNSCLC</w:t>
      </w:r>
      <w:proofErr w:type="spellEnd"/>
      <w:r w:rsidRPr="0059006D">
        <w:t xml:space="preserve">. </w:t>
      </w:r>
    </w:p>
    <w:p w14:paraId="3420CF2C" w14:textId="08B3C125" w:rsidR="00CE7DA0" w:rsidRPr="0059006D" w:rsidRDefault="00CE7DA0" w:rsidP="003A3A7B">
      <w:pPr>
        <w:pStyle w:val="3-BodyText"/>
      </w:pPr>
      <w:r w:rsidRPr="0059006D">
        <w:t>The requested restriction was for patients with World Health Organi</w:t>
      </w:r>
      <w:r w:rsidR="00280F67">
        <w:t>z</w:t>
      </w:r>
      <w:r w:rsidRPr="0059006D">
        <w:t>ation</w:t>
      </w:r>
      <w:r w:rsidR="003D1805" w:rsidRPr="0059006D">
        <w:t xml:space="preserve"> (WHO)</w:t>
      </w:r>
      <w:r w:rsidRPr="0059006D">
        <w:t xml:space="preserve"> performance status</w:t>
      </w:r>
      <w:r w:rsidR="00E910AC" w:rsidRPr="0059006D">
        <w:t xml:space="preserve"> (PS)</w:t>
      </w:r>
      <w:r w:rsidRPr="0059006D">
        <w:t xml:space="preserve"> of 0</w:t>
      </w:r>
      <w:r w:rsidR="003A3A7B">
        <w:noBreakHyphen/>
      </w:r>
      <w:r w:rsidRPr="0059006D">
        <w:t>2;</w:t>
      </w:r>
      <w:r w:rsidR="00177597" w:rsidRPr="0059006D">
        <w:t xml:space="preserve"> </w:t>
      </w:r>
      <w:r w:rsidRPr="0059006D">
        <w:t xml:space="preserve">however, the clinical evidence for E+B (PHAROS trial) </w:t>
      </w:r>
      <w:r w:rsidRPr="0059006D">
        <w:lastRenderedPageBreak/>
        <w:t>only included patients with ECOG PS of 0</w:t>
      </w:r>
      <w:r w:rsidR="003A3A7B">
        <w:noBreakHyphen/>
      </w:r>
      <w:r w:rsidRPr="0059006D">
        <w:t xml:space="preserve">1. </w:t>
      </w:r>
      <w:r w:rsidR="007106BD" w:rsidRPr="0059006D">
        <w:t xml:space="preserve">The </w:t>
      </w:r>
      <w:r w:rsidR="002273A9">
        <w:t xml:space="preserve">WHO PS in the </w:t>
      </w:r>
      <w:r w:rsidR="007106BD" w:rsidRPr="0059006D">
        <w:t xml:space="preserve">requested restriction was consistent with the D+T </w:t>
      </w:r>
      <w:r w:rsidR="00541C35">
        <w:t>listing</w:t>
      </w:r>
      <w:r w:rsidR="00541C35" w:rsidRPr="0059006D">
        <w:t xml:space="preserve"> </w:t>
      </w:r>
      <w:r w:rsidR="007106BD" w:rsidRPr="0059006D">
        <w:t>for BRAF V600E</w:t>
      </w:r>
      <w:r w:rsidR="003A3A7B">
        <w:noBreakHyphen/>
      </w:r>
      <w:r w:rsidR="007106BD" w:rsidRPr="0059006D">
        <w:t xml:space="preserve">MT </w:t>
      </w:r>
      <w:proofErr w:type="spellStart"/>
      <w:r w:rsidR="007106BD" w:rsidRPr="0059006D">
        <w:t>mNSCLC</w:t>
      </w:r>
      <w:proofErr w:type="spellEnd"/>
      <w:r w:rsidR="007106BD" w:rsidRPr="0059006D">
        <w:t xml:space="preserve">. </w:t>
      </w:r>
    </w:p>
    <w:p w14:paraId="5FF31F01" w14:textId="1F6BD759" w:rsidR="000C2118" w:rsidRPr="0059006D" w:rsidRDefault="000C2118" w:rsidP="003A3A7B">
      <w:pPr>
        <w:pStyle w:val="3-BodyText"/>
      </w:pPr>
      <w:bookmarkStart w:id="10" w:name="_Ref213919353"/>
      <w:r w:rsidRPr="0059006D">
        <w:t xml:space="preserve">The requested restriction </w:t>
      </w:r>
      <w:r w:rsidR="006351A4">
        <w:t>would</w:t>
      </w:r>
      <w:r w:rsidRPr="0059006D">
        <w:t xml:space="preserve"> not preclude patients who have previously received treatment with a BRAF inhibitor from accessing E+B. This was inconsistent with the inclusion criteria of the </w:t>
      </w:r>
      <w:r w:rsidR="007106BD" w:rsidRPr="0059006D">
        <w:t>key clinical trial (</w:t>
      </w:r>
      <w:r w:rsidRPr="0059006D">
        <w:t>PHAROS</w:t>
      </w:r>
      <w:r w:rsidR="007106BD" w:rsidRPr="0059006D">
        <w:t>)</w:t>
      </w:r>
      <w:r w:rsidRPr="0059006D">
        <w:t xml:space="preserve">, which excluded patients with prior exposure to any BRAF or </w:t>
      </w:r>
      <w:r w:rsidR="00D13416" w:rsidRPr="0059006D">
        <w:t>MEK</w:t>
      </w:r>
      <w:r w:rsidRPr="0059006D">
        <w:t xml:space="preserve"> inhibitor therapy. </w:t>
      </w:r>
      <w:r w:rsidR="008859C9">
        <w:t>As</w:t>
      </w:r>
      <w:r w:rsidRPr="0059006D">
        <w:t xml:space="preserve"> D+T </w:t>
      </w:r>
      <w:r w:rsidR="00292CF1">
        <w:t>is now</w:t>
      </w:r>
      <w:r w:rsidR="008859C9" w:rsidRPr="0059006D">
        <w:t xml:space="preserve"> </w:t>
      </w:r>
      <w:r w:rsidRPr="0059006D">
        <w:t xml:space="preserve">listed on the PBS, there is </w:t>
      </w:r>
      <w:r w:rsidR="004F2348" w:rsidRPr="0059006D">
        <w:t xml:space="preserve">a </w:t>
      </w:r>
      <w:r w:rsidRPr="0059006D">
        <w:t xml:space="preserve">potential for patients to switch between treatments due to </w:t>
      </w:r>
      <w:r w:rsidR="00252E86" w:rsidRPr="0059006D">
        <w:t xml:space="preserve">intolerance or </w:t>
      </w:r>
      <w:r w:rsidRPr="0059006D">
        <w:t>toxicity</w:t>
      </w:r>
      <w:r w:rsidR="000A3342" w:rsidRPr="0059006D">
        <w:t xml:space="preserve">. </w:t>
      </w:r>
      <w:r w:rsidR="002617B6" w:rsidRPr="0059006D">
        <w:t>Given that there is no evidence of sequential use of BRAF inhibitors</w:t>
      </w:r>
      <w:r w:rsidRPr="0059006D">
        <w:t>, the evaluation suggest</w:t>
      </w:r>
      <w:r w:rsidR="008667BE">
        <w:t>ed</w:t>
      </w:r>
      <w:r w:rsidRPr="0059006D">
        <w:t xml:space="preserve"> incorporating the following clinical criteria, consistent with the restriction for </w:t>
      </w:r>
      <w:proofErr w:type="spellStart"/>
      <w:r w:rsidRPr="0059006D">
        <w:t>encorafenib</w:t>
      </w:r>
      <w:proofErr w:type="spellEnd"/>
      <w:r w:rsidRPr="0059006D">
        <w:t xml:space="preserve"> </w:t>
      </w:r>
      <w:r w:rsidR="003945F3" w:rsidRPr="0059006D">
        <w:t xml:space="preserve">for </w:t>
      </w:r>
      <w:r w:rsidR="00F11786" w:rsidRPr="0059006D">
        <w:t xml:space="preserve">unresectable Stage III or IV malignant </w:t>
      </w:r>
      <w:r w:rsidR="003945F3" w:rsidRPr="0059006D">
        <w:t>melanoma:</w:t>
      </w:r>
      <w:bookmarkEnd w:id="10"/>
    </w:p>
    <w:p w14:paraId="74CB3706" w14:textId="2D3733FB" w:rsidR="00841ECF" w:rsidRPr="0059006D" w:rsidRDefault="000C2118" w:rsidP="003A3A7B">
      <w:pPr>
        <w:pStyle w:val="ListParagraph"/>
        <w:ind w:left="1080"/>
        <w:jc w:val="both"/>
      </w:pPr>
      <w:r w:rsidRPr="0059006D">
        <w:t>“The condition must not have been treated previously with PBS</w:t>
      </w:r>
      <w:r w:rsidR="003A3A7B">
        <w:noBreakHyphen/>
      </w:r>
      <w:r w:rsidRPr="0059006D">
        <w:t>subsidised BRAF inhibitor therapy for Stage IV disease” OR</w:t>
      </w:r>
    </w:p>
    <w:p w14:paraId="41558BED" w14:textId="639F63F9" w:rsidR="00841ECF" w:rsidRDefault="000C2118" w:rsidP="003A3A7B">
      <w:pPr>
        <w:pStyle w:val="ListParagraph"/>
        <w:ind w:left="1080"/>
        <w:jc w:val="both"/>
      </w:pPr>
      <w:r w:rsidRPr="0059006D">
        <w:t>“Patient must have developed intolerance to other BRAF inhibitors of a severity necessitating permanent treatment withdrawal”</w:t>
      </w:r>
      <w:r w:rsidR="003D1805" w:rsidRPr="0059006D">
        <w:t>.</w:t>
      </w:r>
    </w:p>
    <w:p w14:paraId="1E262EF5" w14:textId="3EE4E4E5" w:rsidR="00A01198" w:rsidRDefault="00A01198" w:rsidP="003A3A7B">
      <w:pPr>
        <w:ind w:left="720"/>
      </w:pPr>
      <w:r w:rsidRPr="0065749F">
        <w:t>The Pre</w:t>
      </w:r>
      <w:r w:rsidR="003A3A7B">
        <w:noBreakHyphen/>
      </w:r>
      <w:r w:rsidRPr="0065749F">
        <w:t>Sub</w:t>
      </w:r>
      <w:r w:rsidR="003A3A7B">
        <w:noBreakHyphen/>
      </w:r>
      <w:r w:rsidRPr="0065749F">
        <w:t xml:space="preserve">Committee Response (PSCR) </w:t>
      </w:r>
      <w:r w:rsidR="0041308A" w:rsidRPr="0065749F">
        <w:t xml:space="preserve">agreed with the </w:t>
      </w:r>
      <w:r w:rsidR="000C5FEA" w:rsidRPr="0065749F">
        <w:t>additional clinical criteria proposed by the evaluation</w:t>
      </w:r>
      <w:r w:rsidR="008F4E1D" w:rsidRPr="0065749F">
        <w:t>.</w:t>
      </w:r>
      <w:r w:rsidR="00A07068" w:rsidRPr="0065749F">
        <w:t xml:space="preserve"> </w:t>
      </w:r>
    </w:p>
    <w:p w14:paraId="268505DC" w14:textId="591B72CC" w:rsidR="0015615C" w:rsidRPr="0015615C" w:rsidRDefault="0015615C" w:rsidP="003A3A7B">
      <w:pPr>
        <w:spacing w:before="120" w:after="120"/>
        <w:ind w:firstLine="709"/>
        <w:rPr>
          <w:rFonts w:asciiTheme="minorHAnsi" w:hAnsiTheme="minorHAnsi" w:cs="Times New Roman"/>
          <w:i/>
          <w:lang w:eastAsia="en-US"/>
        </w:rPr>
      </w:pPr>
      <w:bookmarkStart w:id="11" w:name="_Hlk76375324"/>
      <w:r w:rsidRPr="0015615C">
        <w:rPr>
          <w:rFonts w:asciiTheme="minorHAnsi" w:hAnsiTheme="minorHAnsi" w:cs="Times New Roman"/>
          <w:i/>
          <w:lang w:eastAsia="en-US"/>
        </w:rPr>
        <w:t>For more detail on PBAC’s view, see section 7 PBAC outcome.</w:t>
      </w:r>
    </w:p>
    <w:p w14:paraId="7075B85C" w14:textId="55F55F4A" w:rsidR="00B50DB8" w:rsidRPr="0098262F" w:rsidDel="00195452" w:rsidRDefault="00203181" w:rsidP="003A3A7B">
      <w:pPr>
        <w:pStyle w:val="2-SectionHeading"/>
      </w:pPr>
      <w:bookmarkStart w:id="12" w:name="_Toc208925846"/>
      <w:bookmarkEnd w:id="11"/>
      <w:r w:rsidRPr="0098262F" w:rsidDel="00195452">
        <w:t xml:space="preserve">Population and </w:t>
      </w:r>
      <w:r w:rsidR="008E0D3C" w:rsidRPr="0098262F" w:rsidDel="00195452">
        <w:t>d</w:t>
      </w:r>
      <w:r w:rsidRPr="0098262F" w:rsidDel="00195452">
        <w:t>isease</w:t>
      </w:r>
      <w:bookmarkEnd w:id="12"/>
    </w:p>
    <w:p w14:paraId="1471250F" w14:textId="71314350" w:rsidR="005C25B3" w:rsidRDefault="005C25B3" w:rsidP="003A3A7B">
      <w:pPr>
        <w:pStyle w:val="3-BodyText"/>
      </w:pPr>
      <w:r>
        <w:t>L</w:t>
      </w:r>
      <w:r w:rsidRPr="00C97949">
        <w:t xml:space="preserve">ung cancer is the fifth most diagnosed cancer </w:t>
      </w:r>
      <w:r>
        <w:t xml:space="preserve">in Australia </w:t>
      </w:r>
      <w:r w:rsidRPr="00C97949">
        <w:t xml:space="preserve">and </w:t>
      </w:r>
      <w:r>
        <w:t>remains the</w:t>
      </w:r>
      <w:r w:rsidRPr="00C97949">
        <w:t xml:space="preserve"> </w:t>
      </w:r>
      <w:r>
        <w:t xml:space="preserve">leading </w:t>
      </w:r>
      <w:r w:rsidRPr="00C97949">
        <w:t>cause of canc</w:t>
      </w:r>
      <w:r>
        <w:t>er</w:t>
      </w:r>
      <w:r w:rsidR="003A3A7B">
        <w:noBreakHyphen/>
      </w:r>
      <w:r>
        <w:t>related mortality, with a</w:t>
      </w:r>
      <w:r w:rsidRPr="00C97949">
        <w:t xml:space="preserve"> median age at diagnosis </w:t>
      </w:r>
      <w:r>
        <w:t>of</w:t>
      </w:r>
      <w:r w:rsidRPr="00C97949">
        <w:t xml:space="preserve"> 72 years</w:t>
      </w:r>
      <w:r>
        <w:t>.</w:t>
      </w:r>
      <w:r w:rsidR="00CA0357" w:rsidRPr="009F000C">
        <w:t xml:space="preserve"> </w:t>
      </w:r>
      <w:r w:rsidRPr="00C97949">
        <w:t>NSCLC</w:t>
      </w:r>
      <w:r>
        <w:t xml:space="preserve"> </w:t>
      </w:r>
      <w:r w:rsidRPr="00C97949">
        <w:t xml:space="preserve">accounts for </w:t>
      </w:r>
      <w:r>
        <w:t xml:space="preserve">approximately </w:t>
      </w:r>
      <w:r w:rsidRPr="00C97949">
        <w:t>85</w:t>
      </w:r>
      <w:r w:rsidR="003A3A7B">
        <w:noBreakHyphen/>
      </w:r>
      <w:r w:rsidRPr="00C97949">
        <w:t>90% of lung cancer cases, with</w:t>
      </w:r>
      <w:r>
        <w:t xml:space="preserve"> </w:t>
      </w:r>
      <w:r w:rsidRPr="00C97949">
        <w:t>30</w:t>
      </w:r>
      <w:r w:rsidR="003A3A7B">
        <w:noBreakHyphen/>
      </w:r>
      <w:r w:rsidRPr="00C97949">
        <w:t>40%</w:t>
      </w:r>
      <w:r>
        <w:t xml:space="preserve"> of patients presenting with Stage IV disease at </w:t>
      </w:r>
      <w:r w:rsidRPr="00C97949">
        <w:t>diagnos</w:t>
      </w:r>
      <w:r>
        <w:t>is</w:t>
      </w:r>
      <w:r w:rsidRPr="00C97949">
        <w:t>.</w:t>
      </w:r>
      <w:r>
        <w:t xml:space="preserve"> </w:t>
      </w:r>
      <w:r w:rsidRPr="00C97949">
        <w:t xml:space="preserve">The prognosis of </w:t>
      </w:r>
      <w:r>
        <w:t xml:space="preserve">Stage IV </w:t>
      </w:r>
      <w:r w:rsidRPr="00C97949">
        <w:t>lung cancer is poor</w:t>
      </w:r>
      <w:r>
        <w:t>,</w:t>
      </w:r>
      <w:r w:rsidRPr="00C97949">
        <w:t xml:space="preserve"> with a five</w:t>
      </w:r>
      <w:r w:rsidR="003A3A7B">
        <w:noBreakHyphen/>
      </w:r>
      <w:r w:rsidRPr="00C97949">
        <w:t xml:space="preserve">year relative survival rate of </w:t>
      </w:r>
      <w:r>
        <w:t>3.2</w:t>
      </w:r>
      <w:r w:rsidRPr="00C97949">
        <w:t>%</w:t>
      </w:r>
      <w:r>
        <w:t>.</w:t>
      </w:r>
      <w:r w:rsidR="00684F2E">
        <w:rPr>
          <w:rStyle w:val="FootnoteReference"/>
        </w:rPr>
        <w:footnoteReference w:id="1"/>
      </w:r>
      <w:r>
        <w:t xml:space="preserve"> </w:t>
      </w:r>
      <w:r w:rsidRPr="008E4F5E">
        <w:t>Patients experience a significantly reduced quality of life and a high disease burden due to severe symptoms.</w:t>
      </w:r>
    </w:p>
    <w:p w14:paraId="6D695119" w14:textId="638D0A12" w:rsidR="00012C02" w:rsidRPr="0059006D" w:rsidRDefault="00643DE8" w:rsidP="003A3A7B">
      <w:pPr>
        <w:pStyle w:val="3-BodyText"/>
      </w:pPr>
      <w:r w:rsidRPr="00643DE8">
        <w:t>BRAF mutations are genetic alterations identified in approximately 3</w:t>
      </w:r>
      <w:r w:rsidR="003A3A7B">
        <w:noBreakHyphen/>
      </w:r>
      <w:r w:rsidRPr="00643DE8">
        <w:t xml:space="preserve">5% of </w:t>
      </w:r>
      <w:r>
        <w:t xml:space="preserve">NSCLC </w:t>
      </w:r>
      <w:r w:rsidRPr="00643DE8">
        <w:t xml:space="preserve">cases, with the BRAF V600E variant found in approximately half of these cases. </w:t>
      </w:r>
      <w:r w:rsidR="005C25B3" w:rsidRPr="0059006D">
        <w:t xml:space="preserve">The PBAC </w:t>
      </w:r>
      <w:r w:rsidR="00296340" w:rsidRPr="0059006D">
        <w:t xml:space="preserve">has previously </w:t>
      </w:r>
      <w:r w:rsidR="005C25B3" w:rsidRPr="0059006D">
        <w:t>considered that BRAF mutations are not strongly prognostic in NSCLC (paragraph 6.15, D+T</w:t>
      </w:r>
      <w:r w:rsidRPr="0059006D">
        <w:t>,</w:t>
      </w:r>
      <w:r w:rsidR="005C25B3" w:rsidRPr="0059006D">
        <w:t xml:space="preserve"> PSD, March 2025 PBAC meeting).</w:t>
      </w:r>
    </w:p>
    <w:p w14:paraId="6F06AC99" w14:textId="34656DF3" w:rsidR="00882E96" w:rsidRPr="0059006D" w:rsidRDefault="00E97355" w:rsidP="003A3A7B">
      <w:pPr>
        <w:pStyle w:val="3-BodyText"/>
      </w:pPr>
      <w:proofErr w:type="spellStart"/>
      <w:r w:rsidRPr="0059006D">
        <w:t>Encorafenib</w:t>
      </w:r>
      <w:proofErr w:type="spellEnd"/>
      <w:r w:rsidRPr="0059006D">
        <w:t xml:space="preserve"> and </w:t>
      </w:r>
      <w:proofErr w:type="spellStart"/>
      <w:r w:rsidRPr="0059006D">
        <w:t>binimetinib</w:t>
      </w:r>
      <w:proofErr w:type="spellEnd"/>
      <w:r w:rsidRPr="0059006D">
        <w:t xml:space="preserve"> are oral, selective, reversible, and potent inhibitors of </w:t>
      </w:r>
      <w:r w:rsidR="00D13416" w:rsidRPr="0059006D">
        <w:t>BRAF and MEK</w:t>
      </w:r>
      <w:r w:rsidRPr="0059006D">
        <w:t>, respectively. The double inhibition of BRAF and MEK kinases suppresses the mitogen</w:t>
      </w:r>
      <w:r w:rsidR="003A3A7B">
        <w:noBreakHyphen/>
      </w:r>
      <w:r w:rsidRPr="0059006D">
        <w:t>activated protein kinase (MAPK) signalling pathway involved in aggressive manifestations of BRAF V600E</w:t>
      </w:r>
      <w:r w:rsidR="003A3A7B">
        <w:noBreakHyphen/>
      </w:r>
      <w:r w:rsidRPr="0059006D">
        <w:t xml:space="preserve">MT </w:t>
      </w:r>
      <w:proofErr w:type="spellStart"/>
      <w:r w:rsidRPr="0059006D">
        <w:t>mNSCLC</w:t>
      </w:r>
      <w:proofErr w:type="spellEnd"/>
      <w:r w:rsidRPr="0059006D">
        <w:t xml:space="preserve">. </w:t>
      </w:r>
    </w:p>
    <w:p w14:paraId="60E4EB23" w14:textId="6E73414D" w:rsidR="0020061A" w:rsidRDefault="003D1805" w:rsidP="003A3A7B">
      <w:pPr>
        <w:pStyle w:val="3-BodyText"/>
      </w:pPr>
      <w:r>
        <w:t xml:space="preserve">The submission claimed that </w:t>
      </w:r>
      <w:proofErr w:type="spellStart"/>
      <w:r>
        <w:t>e</w:t>
      </w:r>
      <w:r w:rsidR="00A016B0" w:rsidRPr="00A016B0">
        <w:t>ncorafenib</w:t>
      </w:r>
      <w:proofErr w:type="spellEnd"/>
      <w:r w:rsidR="00A016B0" w:rsidRPr="00A016B0">
        <w:t xml:space="preserve"> has a </w:t>
      </w:r>
      <w:r w:rsidR="00FD0DF9">
        <w:t>prolonged</w:t>
      </w:r>
      <w:r w:rsidR="00A016B0" w:rsidRPr="00A016B0">
        <w:t xml:space="preserve"> on</w:t>
      </w:r>
      <w:r w:rsidR="003A3A7B">
        <w:noBreakHyphen/>
      </w:r>
      <w:r w:rsidR="00A016B0" w:rsidRPr="00A016B0">
        <w:t xml:space="preserve">target binding time of &gt;30 hours compared to other BRAF inhibitors (dabrafenib: 2.0 hours; vemurafenib: 0.5 </w:t>
      </w:r>
      <w:r w:rsidR="00A016B0" w:rsidRPr="00A016B0">
        <w:lastRenderedPageBreak/>
        <w:t>hou</w:t>
      </w:r>
      <w:r w:rsidR="002D0693">
        <w:t>r</w:t>
      </w:r>
      <w:r w:rsidR="00FD0DF9">
        <w:t>)</w:t>
      </w:r>
      <w:r w:rsidR="00FD57CE">
        <w:rPr>
          <w:rStyle w:val="FootnoteReference"/>
        </w:rPr>
        <w:footnoteReference w:id="2"/>
      </w:r>
      <w:r w:rsidR="00FD57CE" w:rsidRPr="00FD57CE">
        <w:rPr>
          <w:vertAlign w:val="superscript"/>
        </w:rPr>
        <w:t>,</w:t>
      </w:r>
      <w:r w:rsidR="00FD57CE">
        <w:rPr>
          <w:rStyle w:val="FootnoteReference"/>
        </w:rPr>
        <w:footnoteReference w:id="3"/>
      </w:r>
      <w:r w:rsidR="00FD0DF9">
        <w:t xml:space="preserve">, while </w:t>
      </w:r>
      <w:proofErr w:type="spellStart"/>
      <w:r w:rsidR="00DD3DD0">
        <w:t>b</w:t>
      </w:r>
      <w:r w:rsidR="00DD3DD0" w:rsidRPr="00DD3DD0">
        <w:t>inimetinib</w:t>
      </w:r>
      <w:proofErr w:type="spellEnd"/>
      <w:r w:rsidR="00DD3DD0" w:rsidRPr="00DD3DD0">
        <w:t xml:space="preserve"> has a shorter elimination half</w:t>
      </w:r>
      <w:r w:rsidR="003A3A7B">
        <w:noBreakHyphen/>
      </w:r>
      <w:r w:rsidR="00DD3DD0" w:rsidRPr="00DD3DD0">
        <w:t xml:space="preserve">life (8.7 hours) compared to the other MEK inhibitors (trametinib: 90 hours; </w:t>
      </w:r>
      <w:proofErr w:type="spellStart"/>
      <w:r w:rsidR="00DD3DD0" w:rsidRPr="00DD3DD0">
        <w:t>cobimetinib</w:t>
      </w:r>
      <w:proofErr w:type="spellEnd"/>
      <w:r w:rsidR="00DD3DD0" w:rsidRPr="00DD3DD0">
        <w:t>: 44 hours)</w:t>
      </w:r>
      <w:r w:rsidR="007C5D53">
        <w:rPr>
          <w:rStyle w:val="FootnoteReference"/>
        </w:rPr>
        <w:footnoteReference w:id="4"/>
      </w:r>
      <w:r w:rsidR="002D0693">
        <w:t>.</w:t>
      </w:r>
      <w:r w:rsidR="00DD3DD0" w:rsidRPr="00DD3DD0">
        <w:t xml:space="preserve"> </w:t>
      </w:r>
      <w:r w:rsidR="00FD0DF9" w:rsidRPr="00FD0DF9">
        <w:t>The submission suggested that longer binding time may support sustained clinical activity and broader therapeutic selectivity, and that shorter half</w:t>
      </w:r>
      <w:r w:rsidR="003A3A7B">
        <w:noBreakHyphen/>
      </w:r>
      <w:r w:rsidR="00FD0DF9" w:rsidRPr="00FD0DF9">
        <w:t xml:space="preserve">life may aid in managing adverse events. </w:t>
      </w:r>
      <w:r w:rsidR="00FD0DF9" w:rsidRPr="0059006D">
        <w:t xml:space="preserve">However, the cited evidence was general to drug </w:t>
      </w:r>
      <w:r w:rsidR="005325B4" w:rsidRPr="0059006D">
        <w:t>design,</w:t>
      </w:r>
      <w:r w:rsidR="00FD0DF9" w:rsidRPr="0059006D">
        <w:t xml:space="preserve"> and</w:t>
      </w:r>
      <w:r w:rsidR="00D23A89" w:rsidRPr="0059006D">
        <w:t xml:space="preserve"> the submission did not present evidence to support this correlation in </w:t>
      </w:r>
      <w:r w:rsidR="00FD0DF9" w:rsidRPr="0059006D">
        <w:t>BRAF or MEK inhibition</w:t>
      </w:r>
      <w:r w:rsidR="00985487" w:rsidRPr="0059006D">
        <w:t xml:space="preserve"> in NSCLC</w:t>
      </w:r>
      <w:r w:rsidR="00FD0DF9" w:rsidRPr="0059006D">
        <w:t>.</w:t>
      </w:r>
    </w:p>
    <w:p w14:paraId="6DFE742A" w14:textId="7E731DBC" w:rsidR="000971A8" w:rsidRPr="005613A6" w:rsidRDefault="000971A8" w:rsidP="003A3A7B">
      <w:pPr>
        <w:pStyle w:val="3-BodyText"/>
      </w:pPr>
      <w:r w:rsidRPr="005613A6">
        <w:t>The ESC noted that the recommended dose</w:t>
      </w:r>
      <w:r w:rsidR="0035181F" w:rsidRPr="005613A6">
        <w:t xml:space="preserve">s for </w:t>
      </w:r>
      <w:proofErr w:type="spellStart"/>
      <w:r w:rsidR="0035181F" w:rsidRPr="005613A6">
        <w:t>encorafenib</w:t>
      </w:r>
      <w:proofErr w:type="spellEnd"/>
      <w:r w:rsidR="0035181F" w:rsidRPr="005613A6">
        <w:t xml:space="preserve"> (6 x 75 mg capsules once daily) and </w:t>
      </w:r>
      <w:proofErr w:type="spellStart"/>
      <w:r w:rsidR="0035181F" w:rsidRPr="005613A6">
        <w:t>bi</w:t>
      </w:r>
      <w:r w:rsidR="00652486" w:rsidRPr="005613A6">
        <w:t>n</w:t>
      </w:r>
      <w:r w:rsidR="0035181F" w:rsidRPr="005613A6">
        <w:t>imetinib</w:t>
      </w:r>
      <w:proofErr w:type="spellEnd"/>
      <w:r w:rsidR="0035181F" w:rsidRPr="005613A6">
        <w:t xml:space="preserve"> (</w:t>
      </w:r>
      <w:r w:rsidR="00652486" w:rsidRPr="005613A6">
        <w:t>3 x 15 mg or 1 x 45 mg tablet twice daily) resulted in a high pill burden for patients.</w:t>
      </w:r>
    </w:p>
    <w:p w14:paraId="66C66237" w14:textId="7FD16CD3" w:rsidR="00962E79" w:rsidRDefault="00962E79" w:rsidP="003A3A7B">
      <w:pPr>
        <w:pStyle w:val="3-BodyText"/>
      </w:pPr>
      <w:r w:rsidRPr="005613A6">
        <w:t xml:space="preserve">The ESC considered that there was </w:t>
      </w:r>
      <w:r w:rsidR="00A404AB" w:rsidRPr="005613A6">
        <w:t>a</w:t>
      </w:r>
      <w:r w:rsidRPr="005613A6">
        <w:t xml:space="preserve"> need for </w:t>
      </w:r>
      <w:r w:rsidR="00A404AB" w:rsidRPr="005613A6">
        <w:t xml:space="preserve">further </w:t>
      </w:r>
      <w:r w:rsidR="00C87899" w:rsidRPr="005613A6">
        <w:t>reimbursed targeted therap</w:t>
      </w:r>
      <w:r w:rsidR="00A404AB" w:rsidRPr="005613A6">
        <w:t>ies</w:t>
      </w:r>
      <w:r w:rsidR="00C87899" w:rsidRPr="005613A6">
        <w:t xml:space="preserve"> for patients with BRAF </w:t>
      </w:r>
      <w:r w:rsidR="00D651D7" w:rsidRPr="005613A6">
        <w:t xml:space="preserve">V600E </w:t>
      </w:r>
      <w:r w:rsidR="00C87899" w:rsidRPr="005613A6">
        <w:t>MT</w:t>
      </w:r>
      <w:r w:rsidR="00827EE1" w:rsidRPr="005613A6">
        <w:t xml:space="preserve"> in patients with metastatic NSCLC.</w:t>
      </w:r>
    </w:p>
    <w:p w14:paraId="35F09E23" w14:textId="3EA43A5E" w:rsidR="005613A6" w:rsidRPr="005613A6" w:rsidRDefault="005613A6" w:rsidP="003A3A7B">
      <w:pPr>
        <w:pStyle w:val="3-BodyText"/>
        <w:numPr>
          <w:ilvl w:val="0"/>
          <w:numId w:val="0"/>
        </w:numPr>
        <w:ind w:left="720"/>
        <w:rPr>
          <w:i/>
          <w:iCs/>
        </w:rPr>
      </w:pPr>
      <w:r w:rsidRPr="005613A6">
        <w:rPr>
          <w:i/>
          <w:iCs/>
        </w:rPr>
        <w:t>For more detail on PBAC’s view, see section 7 PBAC outcome.</w:t>
      </w:r>
    </w:p>
    <w:p w14:paraId="51E5AE96" w14:textId="136A63B1" w:rsidR="00B50DB8" w:rsidRPr="0098262F" w:rsidRDefault="00B50DB8" w:rsidP="003A3A7B">
      <w:pPr>
        <w:pStyle w:val="2-SectionHeading"/>
      </w:pPr>
      <w:bookmarkStart w:id="13" w:name="_Toc208925847"/>
      <w:r w:rsidRPr="0098262F">
        <w:t>Comparator</w:t>
      </w:r>
      <w:bookmarkEnd w:id="13"/>
    </w:p>
    <w:p w14:paraId="3DD42D89" w14:textId="33A760E6" w:rsidR="00B946C7" w:rsidRPr="0059006D" w:rsidRDefault="00B946C7" w:rsidP="003A3A7B">
      <w:pPr>
        <w:pStyle w:val="3-BodyText"/>
      </w:pPr>
      <w:r w:rsidRPr="00B946C7">
        <w:t xml:space="preserve">The submission nominated </w:t>
      </w:r>
      <w:proofErr w:type="spellStart"/>
      <w:r w:rsidRPr="00B946C7">
        <w:t>pembrolizumab+PDC</w:t>
      </w:r>
      <w:proofErr w:type="spellEnd"/>
      <w:r w:rsidRPr="00B946C7">
        <w:t xml:space="preserve"> as the main comparator. The main argument provided in support of this nomination w</w:t>
      </w:r>
      <w:r w:rsidR="008E4AE0">
        <w:t>as</w:t>
      </w:r>
      <w:r w:rsidRPr="00B946C7">
        <w:t xml:space="preserve"> </w:t>
      </w:r>
      <w:r w:rsidR="00FA6D61">
        <w:t xml:space="preserve">that </w:t>
      </w:r>
      <w:proofErr w:type="spellStart"/>
      <w:r w:rsidRPr="00B946C7">
        <w:t>pembrolizumab+PDC</w:t>
      </w:r>
      <w:proofErr w:type="spellEnd"/>
      <w:r w:rsidRPr="00B946C7">
        <w:t xml:space="preserve"> is the most commonly used PBS</w:t>
      </w:r>
      <w:r w:rsidR="003A3A7B">
        <w:noBreakHyphen/>
      </w:r>
      <w:r w:rsidRPr="00B946C7">
        <w:t xml:space="preserve">listed standard of care for </w:t>
      </w:r>
      <w:proofErr w:type="spellStart"/>
      <w:r w:rsidRPr="00B946C7">
        <w:t>mNSCLC</w:t>
      </w:r>
      <w:proofErr w:type="spellEnd"/>
      <w:r w:rsidRPr="00B946C7">
        <w:t xml:space="preserve"> in the absence of a subsidised targeted treatment for BRAF V600E</w:t>
      </w:r>
      <w:r w:rsidR="003A3A7B">
        <w:noBreakHyphen/>
      </w:r>
      <w:r w:rsidR="00FA6D61">
        <w:t>MT</w:t>
      </w:r>
      <w:r w:rsidR="008E4AE0">
        <w:t xml:space="preserve">. Additionally, </w:t>
      </w:r>
      <w:r w:rsidR="00F62EC0" w:rsidRPr="00F62EC0">
        <w:t xml:space="preserve">PBAC has previously accepted </w:t>
      </w:r>
      <w:proofErr w:type="spellStart"/>
      <w:r w:rsidR="00F62EC0" w:rsidRPr="00F62EC0">
        <w:t>pembrolizumab+PD</w:t>
      </w:r>
      <w:r w:rsidR="00F62EC0">
        <w:t>C</w:t>
      </w:r>
      <w:proofErr w:type="spellEnd"/>
      <w:r w:rsidR="00F62EC0">
        <w:t xml:space="preserve"> as</w:t>
      </w:r>
      <w:r w:rsidRPr="00B946C7">
        <w:t xml:space="preserve"> an appropriate comparator </w:t>
      </w:r>
      <w:r w:rsidR="00F62EC0">
        <w:t xml:space="preserve">for </w:t>
      </w:r>
      <w:r w:rsidRPr="00B946C7">
        <w:t xml:space="preserve">other targeted therapies in </w:t>
      </w:r>
      <w:proofErr w:type="spellStart"/>
      <w:r w:rsidRPr="00B946C7">
        <w:t>mNSCLC</w:t>
      </w:r>
      <w:proofErr w:type="spellEnd"/>
      <w:r w:rsidRPr="00B946C7">
        <w:t>, including selpercatinib (paragraph 7.5, selpercatinib</w:t>
      </w:r>
      <w:r w:rsidR="000976BE">
        <w:t>,</w:t>
      </w:r>
      <w:r w:rsidRPr="00B946C7">
        <w:t xml:space="preserve"> PSD, July 2023) and D+T (paragraph 7.4, D+T</w:t>
      </w:r>
      <w:r w:rsidR="000976BE">
        <w:t>,</w:t>
      </w:r>
      <w:r w:rsidRPr="00B946C7">
        <w:t xml:space="preserve"> PSD, March 2025). </w:t>
      </w:r>
    </w:p>
    <w:p w14:paraId="65F469A7" w14:textId="0E2E1EA7" w:rsidR="00E441E0" w:rsidRDefault="003F22B3" w:rsidP="003A3A7B">
      <w:pPr>
        <w:pStyle w:val="3-BodyText"/>
      </w:pPr>
      <w:r w:rsidRPr="0059006D">
        <w:t xml:space="preserve">The submission also nominated D+T, another BRAF and MEK inhibitor, as a near market comparator. </w:t>
      </w:r>
      <w:r w:rsidR="00940B1A" w:rsidRPr="0059006D">
        <w:t>In March 2025, t</w:t>
      </w:r>
      <w:r w:rsidR="00E441E0" w:rsidRPr="0059006D">
        <w:rPr>
          <w:lang w:val="en-GB"/>
        </w:rPr>
        <w:t xml:space="preserve">he PBAC considered that, despite the uncertainties associated with the indirect comparisons, on balance, it was likely </w:t>
      </w:r>
      <w:r w:rsidR="00002E6E" w:rsidRPr="0059006D">
        <w:rPr>
          <w:lang w:val="en-GB"/>
        </w:rPr>
        <w:t xml:space="preserve">that </w:t>
      </w:r>
      <w:r w:rsidR="00E441E0" w:rsidRPr="0059006D">
        <w:rPr>
          <w:lang w:val="en-GB"/>
        </w:rPr>
        <w:t xml:space="preserve">D+T provided similar health outcomes to </w:t>
      </w:r>
      <w:proofErr w:type="spellStart"/>
      <w:r w:rsidR="00E441E0" w:rsidRPr="0059006D">
        <w:rPr>
          <w:lang w:val="en-GB"/>
        </w:rPr>
        <w:t>pembrolizumab+PDC</w:t>
      </w:r>
      <w:proofErr w:type="spellEnd"/>
      <w:r w:rsidR="00E441E0" w:rsidRPr="0059006D">
        <w:rPr>
          <w:lang w:val="en-GB"/>
        </w:rPr>
        <w:t xml:space="preserve"> in the proposed population </w:t>
      </w:r>
      <w:r w:rsidR="00E441E0" w:rsidRPr="0059006D">
        <w:t>(paragraph 7.1, D+T, PSD, March 2025 PBAC meeting).</w:t>
      </w:r>
      <w:r w:rsidR="00DA1543" w:rsidRPr="0059006D">
        <w:t xml:space="preserve"> Additionally, the PBAC noted that while D+T would replace pembrolizumab in combination with chemotherapy in the first line setting, </w:t>
      </w:r>
      <w:r w:rsidR="00745925">
        <w:t xml:space="preserve">it </w:t>
      </w:r>
      <w:r w:rsidR="004A61A4">
        <w:t xml:space="preserve">considered </w:t>
      </w:r>
      <w:r w:rsidR="00DA1543" w:rsidRPr="0059006D">
        <w:t>it likely</w:t>
      </w:r>
      <w:r w:rsidR="004A61A4">
        <w:t xml:space="preserve"> that</w:t>
      </w:r>
      <w:r w:rsidR="00DA1543" w:rsidRPr="0059006D">
        <w:t xml:space="preserve"> immunotherapy would be displaced to second</w:t>
      </w:r>
      <w:r w:rsidR="003A3A7B">
        <w:noBreakHyphen/>
      </w:r>
      <w:r w:rsidR="00DA1543" w:rsidRPr="0059006D">
        <w:t>line treatment (paragraph 7.</w:t>
      </w:r>
      <w:r w:rsidR="008C6750" w:rsidRPr="0059006D">
        <w:t>4</w:t>
      </w:r>
      <w:r w:rsidR="00DA1543" w:rsidRPr="0059006D">
        <w:t xml:space="preserve">, D+T PSD, March 2025 PBAC meeting). </w:t>
      </w:r>
      <w:r w:rsidR="00A769DB" w:rsidRPr="004D0B0D">
        <w:t>The ESC, noting that D+T has the same mechanism of action as E+B</w:t>
      </w:r>
      <w:r w:rsidR="006E06D8" w:rsidRPr="004D0B0D">
        <w:t xml:space="preserve"> </w:t>
      </w:r>
      <w:r w:rsidR="00A769DB" w:rsidRPr="004D0B0D">
        <w:t xml:space="preserve">and </w:t>
      </w:r>
      <w:r w:rsidR="00745925" w:rsidRPr="004D0B0D">
        <w:t xml:space="preserve">D+T </w:t>
      </w:r>
      <w:r w:rsidR="00A769DB" w:rsidRPr="004D0B0D">
        <w:t xml:space="preserve">was listed on the PBS on 1 October 2025, considered that D+T </w:t>
      </w:r>
      <w:r w:rsidR="009C52E0" w:rsidRPr="004D0B0D">
        <w:t xml:space="preserve">was </w:t>
      </w:r>
      <w:r w:rsidR="00B10083" w:rsidRPr="004D0B0D">
        <w:t xml:space="preserve">the </w:t>
      </w:r>
      <w:r w:rsidR="00B10083" w:rsidRPr="004D0B0D">
        <w:lastRenderedPageBreak/>
        <w:t xml:space="preserve">appropriate </w:t>
      </w:r>
      <w:r w:rsidR="00A769DB" w:rsidRPr="004D0B0D">
        <w:t xml:space="preserve">comparator.  </w:t>
      </w:r>
      <w:r w:rsidR="00EA63F4" w:rsidRPr="00051DEC">
        <w:t xml:space="preserve">The </w:t>
      </w:r>
      <w:r w:rsidR="0033414B">
        <w:t>p</w:t>
      </w:r>
      <w:r w:rsidR="00EA63F4" w:rsidRPr="00051DEC">
        <w:t>re</w:t>
      </w:r>
      <w:r w:rsidR="003A3A7B">
        <w:noBreakHyphen/>
      </w:r>
      <w:r w:rsidR="00EA63F4" w:rsidRPr="00051DEC">
        <w:t xml:space="preserve">PBAC Response </w:t>
      </w:r>
      <w:r w:rsidR="00051DEC" w:rsidRPr="00051DEC">
        <w:t>agreed with the ESC</w:t>
      </w:r>
      <w:r w:rsidR="00156466">
        <w:t xml:space="preserve">, stating </w:t>
      </w:r>
      <w:r w:rsidR="00051DEC" w:rsidRPr="00051DEC">
        <w:t>that the nominated near</w:t>
      </w:r>
      <w:r w:rsidR="003A3A7B">
        <w:noBreakHyphen/>
      </w:r>
      <w:r w:rsidR="00051DEC" w:rsidRPr="00051DEC">
        <w:t xml:space="preserve">market comparator D+T should become the </w:t>
      </w:r>
      <w:r w:rsidR="00156466">
        <w:t xml:space="preserve">main </w:t>
      </w:r>
      <w:r w:rsidR="00051DEC" w:rsidRPr="00051DEC">
        <w:t>comparator.</w:t>
      </w:r>
    </w:p>
    <w:p w14:paraId="39E6AF2E" w14:textId="3F2D2DFE" w:rsidR="004D0B0D" w:rsidRPr="004D0B0D" w:rsidRDefault="004D0B0D" w:rsidP="003A3A7B">
      <w:pPr>
        <w:pStyle w:val="3-BodyText"/>
        <w:numPr>
          <w:ilvl w:val="0"/>
          <w:numId w:val="0"/>
        </w:numPr>
        <w:ind w:left="720"/>
        <w:rPr>
          <w:i/>
          <w:iCs/>
        </w:rPr>
      </w:pPr>
      <w:r w:rsidRPr="004D0B0D">
        <w:rPr>
          <w:i/>
          <w:iCs/>
        </w:rPr>
        <w:t>For more detail on PBAC’s view, see section 7 PBAC outcome.</w:t>
      </w:r>
    </w:p>
    <w:p w14:paraId="7F9C27C8" w14:textId="77777777" w:rsidR="00223D5A" w:rsidRPr="0098262F" w:rsidRDefault="00223D5A" w:rsidP="003A3A7B">
      <w:pPr>
        <w:pStyle w:val="2-SectionHeading"/>
        <w:numPr>
          <w:ilvl w:val="0"/>
          <w:numId w:val="1"/>
        </w:numPr>
      </w:pPr>
      <w:bookmarkStart w:id="14" w:name="_Toc208925848"/>
      <w:bookmarkStart w:id="15" w:name="_Toc22897640"/>
      <w:r w:rsidRPr="0098262F">
        <w:t>Consideration of the evidence</w:t>
      </w:r>
      <w:bookmarkEnd w:id="14"/>
    </w:p>
    <w:p w14:paraId="4DB6ABCF" w14:textId="77777777" w:rsidR="007F5DE8" w:rsidRPr="007F5DE8" w:rsidRDefault="007F5DE8" w:rsidP="003A3A7B">
      <w:pPr>
        <w:pStyle w:val="4-SubsectionHeading"/>
      </w:pPr>
      <w:bookmarkStart w:id="16" w:name="_Hlk76375935"/>
      <w:bookmarkStart w:id="17" w:name="_Toc208925849"/>
      <w:r w:rsidRPr="007F5DE8">
        <w:t>Sponsor hearing</w:t>
      </w:r>
    </w:p>
    <w:p w14:paraId="73EA07C7" w14:textId="21628141" w:rsidR="007F5DE8" w:rsidRPr="00E2341A" w:rsidRDefault="007F5DE8" w:rsidP="003A3A7B">
      <w:pPr>
        <w:numPr>
          <w:ilvl w:val="1"/>
          <w:numId w:val="1"/>
        </w:numPr>
        <w:spacing w:after="120"/>
        <w:rPr>
          <w:rFonts w:asciiTheme="minorHAnsi" w:hAnsiTheme="minorHAnsi"/>
          <w:bCs/>
          <w:snapToGrid w:val="0"/>
          <w:lang w:eastAsia="en-US"/>
        </w:rPr>
      </w:pPr>
      <w:bookmarkStart w:id="18" w:name="_Hlk76382586"/>
      <w:r w:rsidRPr="00E2341A">
        <w:rPr>
          <w:rFonts w:asciiTheme="minorHAnsi" w:hAnsiTheme="minorHAnsi"/>
          <w:bCs/>
          <w:snapToGrid w:val="0"/>
          <w:lang w:eastAsia="en-US"/>
        </w:rPr>
        <w:t xml:space="preserve">The sponsor requested a hearing for this item.  The clinician discussed the </w:t>
      </w:r>
      <w:r w:rsidR="00071724" w:rsidRPr="00E2341A">
        <w:rPr>
          <w:rFonts w:asciiTheme="minorHAnsi" w:hAnsiTheme="minorHAnsi"/>
          <w:bCs/>
          <w:snapToGrid w:val="0"/>
          <w:lang w:eastAsia="en-US"/>
        </w:rPr>
        <w:t>updated</w:t>
      </w:r>
      <w:r w:rsidR="00F66419" w:rsidRPr="00E2341A">
        <w:rPr>
          <w:rFonts w:asciiTheme="minorHAnsi" w:hAnsiTheme="minorHAnsi"/>
          <w:bCs/>
          <w:snapToGrid w:val="0"/>
          <w:lang w:eastAsia="en-US"/>
        </w:rPr>
        <w:t xml:space="preserve"> results from the</w:t>
      </w:r>
      <w:r w:rsidR="000939C3" w:rsidRPr="00E2341A">
        <w:rPr>
          <w:rFonts w:asciiTheme="minorHAnsi" w:hAnsiTheme="minorHAnsi"/>
          <w:bCs/>
          <w:snapToGrid w:val="0"/>
          <w:lang w:eastAsia="en-US"/>
        </w:rPr>
        <w:t xml:space="preserve"> </w:t>
      </w:r>
      <w:r w:rsidR="00071724" w:rsidRPr="00E2341A">
        <w:rPr>
          <w:rFonts w:asciiTheme="minorHAnsi" w:hAnsiTheme="minorHAnsi"/>
          <w:bCs/>
          <w:snapToGrid w:val="0"/>
          <w:lang w:eastAsia="en-US"/>
        </w:rPr>
        <w:t>PHAROS trial</w:t>
      </w:r>
      <w:r w:rsidR="002B072F">
        <w:rPr>
          <w:rFonts w:asciiTheme="minorHAnsi" w:hAnsiTheme="minorHAnsi"/>
          <w:bCs/>
          <w:snapToGrid w:val="0"/>
          <w:lang w:eastAsia="en-US"/>
        </w:rPr>
        <w:t xml:space="preserve"> which were presented in the </w:t>
      </w:r>
      <w:r w:rsidR="00727F6B">
        <w:rPr>
          <w:rFonts w:asciiTheme="minorHAnsi" w:hAnsiTheme="minorHAnsi"/>
          <w:bCs/>
          <w:snapToGrid w:val="0"/>
          <w:lang w:eastAsia="en-US"/>
        </w:rPr>
        <w:t>PSCR</w:t>
      </w:r>
      <w:r w:rsidR="00071724" w:rsidRPr="00E2341A">
        <w:rPr>
          <w:rFonts w:asciiTheme="minorHAnsi" w:hAnsiTheme="minorHAnsi"/>
          <w:bCs/>
          <w:snapToGrid w:val="0"/>
          <w:lang w:eastAsia="en-US"/>
        </w:rPr>
        <w:t xml:space="preserve">, </w:t>
      </w:r>
      <w:r w:rsidR="000939C3" w:rsidRPr="00E2341A">
        <w:rPr>
          <w:rFonts w:asciiTheme="minorHAnsi" w:hAnsiTheme="minorHAnsi"/>
          <w:bCs/>
          <w:snapToGrid w:val="0"/>
          <w:lang w:eastAsia="en-US"/>
        </w:rPr>
        <w:t>and</w:t>
      </w:r>
      <w:r w:rsidRPr="00E2341A">
        <w:rPr>
          <w:rFonts w:asciiTheme="minorHAnsi" w:hAnsiTheme="minorHAnsi"/>
          <w:bCs/>
          <w:snapToGrid w:val="0"/>
          <w:lang w:eastAsia="en-US"/>
        </w:rPr>
        <w:t xml:space="preserve"> </w:t>
      </w:r>
      <w:r w:rsidR="00314A72" w:rsidRPr="00E2341A">
        <w:rPr>
          <w:rFonts w:asciiTheme="minorHAnsi" w:hAnsiTheme="minorHAnsi"/>
          <w:bCs/>
          <w:snapToGrid w:val="0"/>
          <w:lang w:eastAsia="en-US"/>
        </w:rPr>
        <w:t xml:space="preserve">their experience </w:t>
      </w:r>
      <w:r w:rsidR="00602B51" w:rsidRPr="00E2341A">
        <w:rPr>
          <w:rFonts w:asciiTheme="minorHAnsi" w:hAnsiTheme="minorHAnsi"/>
          <w:bCs/>
          <w:snapToGrid w:val="0"/>
          <w:lang w:eastAsia="en-US"/>
        </w:rPr>
        <w:t>with</w:t>
      </w:r>
      <w:r w:rsidR="00915507">
        <w:rPr>
          <w:rFonts w:asciiTheme="minorHAnsi" w:hAnsiTheme="minorHAnsi"/>
          <w:bCs/>
          <w:snapToGrid w:val="0"/>
          <w:lang w:eastAsia="en-US"/>
        </w:rPr>
        <w:t>,</w:t>
      </w:r>
      <w:r w:rsidR="00602B51" w:rsidRPr="00E2341A">
        <w:rPr>
          <w:rFonts w:asciiTheme="minorHAnsi" w:hAnsiTheme="minorHAnsi"/>
          <w:bCs/>
          <w:snapToGrid w:val="0"/>
          <w:lang w:eastAsia="en-US"/>
        </w:rPr>
        <w:t xml:space="preserve"> </w:t>
      </w:r>
      <w:r w:rsidR="00314A72" w:rsidRPr="00E2341A">
        <w:rPr>
          <w:rFonts w:asciiTheme="minorHAnsi" w:hAnsiTheme="minorHAnsi"/>
          <w:bCs/>
          <w:snapToGrid w:val="0"/>
          <w:lang w:eastAsia="en-US"/>
        </w:rPr>
        <w:t>and preference for</w:t>
      </w:r>
      <w:r w:rsidR="00915507">
        <w:rPr>
          <w:rFonts w:asciiTheme="minorHAnsi" w:hAnsiTheme="minorHAnsi"/>
          <w:bCs/>
          <w:snapToGrid w:val="0"/>
          <w:lang w:eastAsia="en-US"/>
        </w:rPr>
        <w:t>,</w:t>
      </w:r>
      <w:r w:rsidR="00314A72" w:rsidRPr="00E2341A">
        <w:rPr>
          <w:rFonts w:asciiTheme="minorHAnsi" w:hAnsiTheme="minorHAnsi"/>
          <w:bCs/>
          <w:snapToGrid w:val="0"/>
          <w:lang w:eastAsia="en-US"/>
        </w:rPr>
        <w:t xml:space="preserve"> using</w:t>
      </w:r>
      <w:r w:rsidRPr="00E2341A">
        <w:rPr>
          <w:rFonts w:asciiTheme="minorHAnsi" w:hAnsiTheme="minorHAnsi"/>
          <w:bCs/>
          <w:snapToGrid w:val="0"/>
          <w:lang w:eastAsia="en-US"/>
        </w:rPr>
        <w:t xml:space="preserve"> </w:t>
      </w:r>
      <w:r w:rsidR="00071724" w:rsidRPr="00E2341A">
        <w:rPr>
          <w:rFonts w:asciiTheme="minorHAnsi" w:hAnsiTheme="minorHAnsi"/>
          <w:bCs/>
          <w:snapToGrid w:val="0"/>
          <w:lang w:eastAsia="en-US"/>
        </w:rPr>
        <w:t>E+B</w:t>
      </w:r>
      <w:r w:rsidRPr="00E2341A">
        <w:rPr>
          <w:rFonts w:asciiTheme="minorHAnsi" w:hAnsiTheme="minorHAnsi"/>
          <w:bCs/>
          <w:snapToGrid w:val="0"/>
          <w:lang w:eastAsia="en-US"/>
        </w:rPr>
        <w:t xml:space="preserve"> </w:t>
      </w:r>
      <w:r w:rsidR="00F33D5C">
        <w:rPr>
          <w:rFonts w:asciiTheme="minorHAnsi" w:hAnsiTheme="minorHAnsi"/>
          <w:bCs/>
          <w:snapToGrid w:val="0"/>
          <w:lang w:eastAsia="en-US"/>
        </w:rPr>
        <w:t>first</w:t>
      </w:r>
      <w:r w:rsidR="003A3A7B">
        <w:rPr>
          <w:rFonts w:asciiTheme="minorHAnsi" w:hAnsiTheme="minorHAnsi"/>
          <w:bCs/>
          <w:snapToGrid w:val="0"/>
          <w:lang w:eastAsia="en-US"/>
        </w:rPr>
        <w:noBreakHyphen/>
      </w:r>
      <w:r w:rsidR="00F33D5C">
        <w:rPr>
          <w:rFonts w:asciiTheme="minorHAnsi" w:hAnsiTheme="minorHAnsi"/>
          <w:bCs/>
          <w:snapToGrid w:val="0"/>
          <w:lang w:eastAsia="en-US"/>
        </w:rPr>
        <w:t xml:space="preserve">line </w:t>
      </w:r>
      <w:r w:rsidRPr="00E2341A">
        <w:rPr>
          <w:rFonts w:asciiTheme="minorHAnsi" w:hAnsiTheme="minorHAnsi"/>
          <w:bCs/>
          <w:snapToGrid w:val="0"/>
          <w:lang w:eastAsia="en-US"/>
        </w:rPr>
        <w:t>in p</w:t>
      </w:r>
      <w:r w:rsidR="003F6400" w:rsidRPr="00E2341A">
        <w:rPr>
          <w:rFonts w:asciiTheme="minorHAnsi" w:hAnsiTheme="minorHAnsi"/>
          <w:bCs/>
          <w:snapToGrid w:val="0"/>
          <w:lang w:eastAsia="en-US"/>
        </w:rPr>
        <w:t xml:space="preserve">atients who would </w:t>
      </w:r>
      <w:r w:rsidR="00122DD4" w:rsidRPr="00E2341A">
        <w:rPr>
          <w:rFonts w:asciiTheme="minorHAnsi" w:hAnsiTheme="minorHAnsi"/>
          <w:bCs/>
          <w:snapToGrid w:val="0"/>
          <w:lang w:eastAsia="en-US"/>
        </w:rPr>
        <w:t xml:space="preserve">qualify for </w:t>
      </w:r>
      <w:r w:rsidR="00D4452E">
        <w:rPr>
          <w:rFonts w:asciiTheme="minorHAnsi" w:hAnsiTheme="minorHAnsi"/>
          <w:bCs/>
          <w:snapToGrid w:val="0"/>
          <w:lang w:eastAsia="en-US"/>
        </w:rPr>
        <w:t xml:space="preserve">E+B under </w:t>
      </w:r>
      <w:r w:rsidR="00122DD4" w:rsidRPr="00E2341A">
        <w:rPr>
          <w:rFonts w:asciiTheme="minorHAnsi" w:hAnsiTheme="minorHAnsi"/>
          <w:bCs/>
          <w:snapToGrid w:val="0"/>
          <w:lang w:eastAsia="en-US"/>
        </w:rPr>
        <w:t xml:space="preserve">the proposed PBS </w:t>
      </w:r>
      <w:r w:rsidR="00D4452E">
        <w:rPr>
          <w:rFonts w:asciiTheme="minorHAnsi" w:hAnsiTheme="minorHAnsi"/>
          <w:bCs/>
          <w:snapToGrid w:val="0"/>
          <w:lang w:eastAsia="en-US"/>
        </w:rPr>
        <w:t>restriction</w:t>
      </w:r>
      <w:r w:rsidR="005D2502">
        <w:rPr>
          <w:rFonts w:asciiTheme="minorHAnsi" w:hAnsiTheme="minorHAnsi"/>
          <w:bCs/>
          <w:snapToGrid w:val="0"/>
          <w:lang w:eastAsia="en-US"/>
        </w:rPr>
        <w:t xml:space="preserve"> due to the results of the PHAROS trial and the </w:t>
      </w:r>
      <w:r w:rsidR="00FE0C55">
        <w:rPr>
          <w:rFonts w:asciiTheme="minorHAnsi" w:hAnsiTheme="minorHAnsi"/>
          <w:bCs/>
          <w:snapToGrid w:val="0"/>
          <w:lang w:eastAsia="en-US"/>
        </w:rPr>
        <w:t xml:space="preserve">perceived </w:t>
      </w:r>
      <w:r w:rsidR="00DC25A7">
        <w:rPr>
          <w:rFonts w:asciiTheme="minorHAnsi" w:hAnsiTheme="minorHAnsi"/>
          <w:bCs/>
          <w:snapToGrid w:val="0"/>
          <w:lang w:eastAsia="en-US"/>
        </w:rPr>
        <w:t>improved safety profile</w:t>
      </w:r>
      <w:r w:rsidR="005D2502">
        <w:rPr>
          <w:rFonts w:asciiTheme="minorHAnsi" w:hAnsiTheme="minorHAnsi"/>
          <w:bCs/>
          <w:snapToGrid w:val="0"/>
          <w:lang w:eastAsia="en-US"/>
        </w:rPr>
        <w:t xml:space="preserve"> compared to D+T</w:t>
      </w:r>
      <w:r w:rsidR="00570CEC">
        <w:rPr>
          <w:rFonts w:asciiTheme="minorHAnsi" w:hAnsiTheme="minorHAnsi"/>
          <w:bCs/>
          <w:snapToGrid w:val="0"/>
          <w:lang w:eastAsia="en-US"/>
        </w:rPr>
        <w:t xml:space="preserve">, </w:t>
      </w:r>
      <w:r w:rsidR="00032D96">
        <w:rPr>
          <w:rFonts w:asciiTheme="minorHAnsi" w:hAnsiTheme="minorHAnsi"/>
          <w:bCs/>
          <w:snapToGrid w:val="0"/>
          <w:lang w:eastAsia="en-US"/>
        </w:rPr>
        <w:t xml:space="preserve">including reduced </w:t>
      </w:r>
      <w:r w:rsidR="00FA7924">
        <w:rPr>
          <w:rFonts w:asciiTheme="minorHAnsi" w:hAnsiTheme="minorHAnsi"/>
          <w:bCs/>
          <w:snapToGrid w:val="0"/>
          <w:lang w:eastAsia="en-US"/>
        </w:rPr>
        <w:t>pyrexia</w:t>
      </w:r>
      <w:r w:rsidR="00032D96">
        <w:rPr>
          <w:rFonts w:asciiTheme="minorHAnsi" w:hAnsiTheme="minorHAnsi"/>
          <w:bCs/>
          <w:snapToGrid w:val="0"/>
          <w:lang w:eastAsia="en-US"/>
        </w:rPr>
        <w:t xml:space="preserve"> </w:t>
      </w:r>
      <w:r w:rsidR="006F7E08">
        <w:rPr>
          <w:rFonts w:asciiTheme="minorHAnsi" w:hAnsiTheme="minorHAnsi"/>
          <w:bCs/>
          <w:snapToGrid w:val="0"/>
          <w:lang w:eastAsia="en-US"/>
        </w:rPr>
        <w:t xml:space="preserve">(fever) </w:t>
      </w:r>
      <w:r w:rsidR="00032D96">
        <w:rPr>
          <w:rFonts w:asciiTheme="minorHAnsi" w:hAnsiTheme="minorHAnsi"/>
          <w:bCs/>
          <w:snapToGrid w:val="0"/>
          <w:lang w:eastAsia="en-US"/>
        </w:rPr>
        <w:t>and cutaneous toxicities</w:t>
      </w:r>
      <w:r w:rsidR="00FA7924">
        <w:rPr>
          <w:rFonts w:asciiTheme="minorHAnsi" w:hAnsiTheme="minorHAnsi"/>
          <w:bCs/>
          <w:snapToGrid w:val="0"/>
          <w:lang w:eastAsia="en-US"/>
        </w:rPr>
        <w:t xml:space="preserve"> (e.g. rash)</w:t>
      </w:r>
      <w:r w:rsidR="000939C3" w:rsidRPr="00E2341A">
        <w:rPr>
          <w:rFonts w:asciiTheme="minorHAnsi" w:hAnsiTheme="minorHAnsi"/>
          <w:bCs/>
          <w:snapToGrid w:val="0"/>
          <w:lang w:eastAsia="en-US"/>
        </w:rPr>
        <w:t>.</w:t>
      </w:r>
      <w:r w:rsidR="00B95DE9">
        <w:rPr>
          <w:rFonts w:asciiTheme="minorHAnsi" w:hAnsiTheme="minorHAnsi"/>
          <w:bCs/>
          <w:snapToGrid w:val="0"/>
          <w:lang w:eastAsia="en-US"/>
        </w:rPr>
        <w:t xml:space="preserve"> The clinician noted that </w:t>
      </w:r>
      <w:r w:rsidR="00B72E4C">
        <w:rPr>
          <w:rFonts w:asciiTheme="minorHAnsi" w:hAnsiTheme="minorHAnsi"/>
          <w:bCs/>
          <w:snapToGrid w:val="0"/>
          <w:lang w:eastAsia="en-US"/>
        </w:rPr>
        <w:t xml:space="preserve">it would also be appropriate for E+B to be </w:t>
      </w:r>
      <w:r w:rsidR="00152711">
        <w:rPr>
          <w:rFonts w:asciiTheme="minorHAnsi" w:hAnsiTheme="minorHAnsi"/>
          <w:bCs/>
          <w:snapToGrid w:val="0"/>
          <w:lang w:eastAsia="en-US"/>
        </w:rPr>
        <w:t xml:space="preserve">available </w:t>
      </w:r>
      <w:r w:rsidR="002133E3">
        <w:rPr>
          <w:rFonts w:asciiTheme="minorHAnsi" w:hAnsiTheme="minorHAnsi"/>
          <w:bCs/>
          <w:snapToGrid w:val="0"/>
          <w:lang w:eastAsia="en-US"/>
        </w:rPr>
        <w:t>for the</w:t>
      </w:r>
      <w:r w:rsidR="00B72E4C">
        <w:rPr>
          <w:rFonts w:asciiTheme="minorHAnsi" w:hAnsiTheme="minorHAnsi"/>
          <w:bCs/>
          <w:snapToGrid w:val="0"/>
          <w:lang w:eastAsia="en-US"/>
        </w:rPr>
        <w:t xml:space="preserve"> </w:t>
      </w:r>
      <w:r w:rsidR="00B95DE9">
        <w:rPr>
          <w:rFonts w:asciiTheme="minorHAnsi" w:hAnsiTheme="minorHAnsi"/>
          <w:bCs/>
          <w:snapToGrid w:val="0"/>
          <w:lang w:eastAsia="en-US"/>
        </w:rPr>
        <w:t xml:space="preserve">small number of </w:t>
      </w:r>
      <w:r w:rsidR="00CC06D2">
        <w:rPr>
          <w:rFonts w:asciiTheme="minorHAnsi" w:hAnsiTheme="minorHAnsi"/>
          <w:bCs/>
          <w:snapToGrid w:val="0"/>
          <w:lang w:eastAsia="en-US"/>
        </w:rPr>
        <w:t xml:space="preserve">prevalent </w:t>
      </w:r>
      <w:r w:rsidR="00B95DE9">
        <w:rPr>
          <w:rFonts w:asciiTheme="minorHAnsi" w:hAnsiTheme="minorHAnsi"/>
          <w:bCs/>
          <w:snapToGrid w:val="0"/>
          <w:lang w:eastAsia="en-US"/>
        </w:rPr>
        <w:t xml:space="preserve">patients who </w:t>
      </w:r>
      <w:r w:rsidR="00B72E4C">
        <w:rPr>
          <w:rFonts w:asciiTheme="minorHAnsi" w:hAnsiTheme="minorHAnsi"/>
          <w:bCs/>
          <w:snapToGrid w:val="0"/>
          <w:lang w:eastAsia="en-US"/>
        </w:rPr>
        <w:t>haven’t yet received a targeted therapy.</w:t>
      </w:r>
      <w:r w:rsidR="000939C3" w:rsidRPr="00E2341A">
        <w:rPr>
          <w:rFonts w:asciiTheme="minorHAnsi" w:hAnsiTheme="minorHAnsi"/>
          <w:bCs/>
          <w:snapToGrid w:val="0"/>
          <w:lang w:eastAsia="en-US"/>
        </w:rPr>
        <w:t xml:space="preserve"> </w:t>
      </w:r>
    </w:p>
    <w:bookmarkEnd w:id="18"/>
    <w:p w14:paraId="6F35BC3A" w14:textId="77777777" w:rsidR="007F5DE8" w:rsidRPr="007F5DE8" w:rsidRDefault="007F5DE8" w:rsidP="003A3A7B">
      <w:pPr>
        <w:pStyle w:val="4-SubsectionHeading"/>
      </w:pPr>
      <w:r w:rsidRPr="007F5DE8">
        <w:t>Consumer comments</w:t>
      </w:r>
    </w:p>
    <w:p w14:paraId="6D44E6D7" w14:textId="78F9BF81" w:rsidR="00531E00" w:rsidRDefault="00CD25D7" w:rsidP="003A3A7B">
      <w:pPr>
        <w:numPr>
          <w:ilvl w:val="1"/>
          <w:numId w:val="1"/>
        </w:numPr>
        <w:spacing w:after="120"/>
        <w:rPr>
          <w:rFonts w:asciiTheme="minorHAnsi" w:hAnsiTheme="minorHAnsi"/>
          <w:bCs/>
          <w:snapToGrid w:val="0"/>
          <w:lang w:eastAsia="en-US"/>
        </w:rPr>
      </w:pPr>
      <w:bookmarkStart w:id="19" w:name="_Hlk76382618"/>
      <w:r w:rsidRPr="00CD25D7">
        <w:rPr>
          <w:rFonts w:asciiTheme="minorHAnsi" w:hAnsiTheme="minorHAnsi"/>
          <w:bCs/>
          <w:snapToGrid w:val="0"/>
          <w:lang w:eastAsia="en-US"/>
        </w:rPr>
        <w:t>The PBAC noted and welcomed the input from individuals (</w:t>
      </w:r>
      <w:r>
        <w:rPr>
          <w:rFonts w:asciiTheme="minorHAnsi" w:hAnsiTheme="minorHAnsi"/>
          <w:bCs/>
          <w:snapToGrid w:val="0"/>
          <w:lang w:eastAsia="en-US"/>
        </w:rPr>
        <w:t>1</w:t>
      </w:r>
      <w:r w:rsidRPr="00CD25D7">
        <w:rPr>
          <w:rFonts w:asciiTheme="minorHAnsi" w:hAnsiTheme="minorHAnsi"/>
          <w:bCs/>
          <w:snapToGrid w:val="0"/>
          <w:lang w:eastAsia="en-US"/>
        </w:rPr>
        <w:t>), health care professional</w:t>
      </w:r>
      <w:r>
        <w:rPr>
          <w:rFonts w:asciiTheme="minorHAnsi" w:hAnsiTheme="minorHAnsi"/>
          <w:bCs/>
          <w:snapToGrid w:val="0"/>
          <w:lang w:eastAsia="en-US"/>
        </w:rPr>
        <w:t>s (2)</w:t>
      </w:r>
      <w:r w:rsidR="00531E00">
        <w:rPr>
          <w:rFonts w:asciiTheme="minorHAnsi" w:hAnsiTheme="minorHAnsi"/>
          <w:bCs/>
          <w:snapToGrid w:val="0"/>
          <w:lang w:eastAsia="en-US"/>
        </w:rPr>
        <w:t xml:space="preserve"> </w:t>
      </w:r>
      <w:r w:rsidRPr="00CD25D7">
        <w:rPr>
          <w:rFonts w:asciiTheme="minorHAnsi" w:hAnsiTheme="minorHAnsi"/>
          <w:bCs/>
          <w:snapToGrid w:val="0"/>
          <w:lang w:eastAsia="en-US"/>
        </w:rPr>
        <w:t>and organisations (</w:t>
      </w:r>
      <w:r w:rsidR="00531E00">
        <w:rPr>
          <w:rFonts w:asciiTheme="minorHAnsi" w:hAnsiTheme="minorHAnsi"/>
          <w:bCs/>
          <w:snapToGrid w:val="0"/>
          <w:lang w:eastAsia="en-US"/>
        </w:rPr>
        <w:t>4</w:t>
      </w:r>
      <w:r w:rsidRPr="00CD25D7">
        <w:rPr>
          <w:rFonts w:asciiTheme="minorHAnsi" w:hAnsiTheme="minorHAnsi"/>
          <w:bCs/>
          <w:snapToGrid w:val="0"/>
          <w:lang w:eastAsia="en-US"/>
        </w:rPr>
        <w:t>) via the Consumer Comments facility on the PBS website. The comments from the health care professional</w:t>
      </w:r>
      <w:r w:rsidR="00531E00">
        <w:rPr>
          <w:rFonts w:asciiTheme="minorHAnsi" w:hAnsiTheme="minorHAnsi"/>
          <w:bCs/>
          <w:snapToGrid w:val="0"/>
          <w:lang w:eastAsia="en-US"/>
        </w:rPr>
        <w:t xml:space="preserve">s </w:t>
      </w:r>
      <w:r w:rsidRPr="00CD25D7">
        <w:rPr>
          <w:rFonts w:asciiTheme="minorHAnsi" w:hAnsiTheme="minorHAnsi"/>
          <w:bCs/>
          <w:snapToGrid w:val="0"/>
          <w:lang w:eastAsia="en-US"/>
        </w:rPr>
        <w:t>noted</w:t>
      </w:r>
      <w:r w:rsidR="00531E00">
        <w:rPr>
          <w:rFonts w:asciiTheme="minorHAnsi" w:hAnsiTheme="minorHAnsi"/>
          <w:bCs/>
          <w:snapToGrid w:val="0"/>
          <w:lang w:eastAsia="en-US"/>
        </w:rPr>
        <w:t xml:space="preserve"> </w:t>
      </w:r>
      <w:r w:rsidR="00730FB7">
        <w:rPr>
          <w:rFonts w:asciiTheme="minorHAnsi" w:hAnsiTheme="minorHAnsi"/>
          <w:bCs/>
          <w:snapToGrid w:val="0"/>
          <w:lang w:eastAsia="en-US"/>
        </w:rPr>
        <w:t>the good overall response rate observed with E+B</w:t>
      </w:r>
      <w:r w:rsidR="00B5360F">
        <w:rPr>
          <w:rFonts w:asciiTheme="minorHAnsi" w:hAnsiTheme="minorHAnsi"/>
          <w:bCs/>
          <w:snapToGrid w:val="0"/>
          <w:lang w:eastAsia="en-US"/>
        </w:rPr>
        <w:t xml:space="preserve"> and </w:t>
      </w:r>
      <w:r w:rsidR="00325087">
        <w:rPr>
          <w:rFonts w:asciiTheme="minorHAnsi" w:hAnsiTheme="minorHAnsi"/>
          <w:bCs/>
          <w:snapToGrid w:val="0"/>
          <w:lang w:eastAsia="en-US"/>
        </w:rPr>
        <w:t xml:space="preserve">familiarity with the adverse effect profile </w:t>
      </w:r>
      <w:r w:rsidR="00AE4EDF">
        <w:rPr>
          <w:rFonts w:asciiTheme="minorHAnsi" w:hAnsiTheme="minorHAnsi"/>
          <w:bCs/>
          <w:snapToGrid w:val="0"/>
          <w:lang w:eastAsia="en-US"/>
        </w:rPr>
        <w:t>from its current use in the melanoma and colorectal cancer settings</w:t>
      </w:r>
      <w:r w:rsidR="00730FB7">
        <w:rPr>
          <w:rFonts w:asciiTheme="minorHAnsi" w:hAnsiTheme="minorHAnsi"/>
          <w:bCs/>
          <w:snapToGrid w:val="0"/>
          <w:lang w:eastAsia="en-US"/>
        </w:rPr>
        <w:t>.</w:t>
      </w:r>
      <w:r w:rsidR="00730FB7" w:rsidRPr="00730FB7">
        <w:t xml:space="preserve"> </w:t>
      </w:r>
      <w:r w:rsidR="00730FB7" w:rsidRPr="00730FB7">
        <w:rPr>
          <w:rFonts w:asciiTheme="minorHAnsi" w:hAnsiTheme="minorHAnsi"/>
          <w:bCs/>
          <w:snapToGrid w:val="0"/>
          <w:lang w:eastAsia="en-US"/>
        </w:rPr>
        <w:t xml:space="preserve">Comments from </w:t>
      </w:r>
      <w:r w:rsidR="00420891">
        <w:rPr>
          <w:rFonts w:asciiTheme="minorHAnsi" w:hAnsiTheme="minorHAnsi"/>
          <w:bCs/>
          <w:snapToGrid w:val="0"/>
          <w:lang w:eastAsia="en-US"/>
        </w:rPr>
        <w:t xml:space="preserve">the </w:t>
      </w:r>
      <w:r w:rsidR="00730FB7" w:rsidRPr="00730FB7">
        <w:rPr>
          <w:rFonts w:asciiTheme="minorHAnsi" w:hAnsiTheme="minorHAnsi"/>
          <w:bCs/>
          <w:snapToGrid w:val="0"/>
          <w:lang w:eastAsia="en-US"/>
        </w:rPr>
        <w:t xml:space="preserve">individual noted the high burden of NSCLC on patients and their families and the high </w:t>
      </w:r>
      <w:r w:rsidR="00C3452B">
        <w:rPr>
          <w:rFonts w:asciiTheme="minorHAnsi" w:hAnsiTheme="minorHAnsi"/>
          <w:bCs/>
          <w:snapToGrid w:val="0"/>
          <w:lang w:eastAsia="en-US"/>
        </w:rPr>
        <w:t xml:space="preserve">financial </w:t>
      </w:r>
      <w:r w:rsidR="00730FB7" w:rsidRPr="00730FB7">
        <w:rPr>
          <w:rFonts w:asciiTheme="minorHAnsi" w:hAnsiTheme="minorHAnsi"/>
          <w:bCs/>
          <w:snapToGrid w:val="0"/>
          <w:lang w:eastAsia="en-US"/>
        </w:rPr>
        <w:t>cost of</w:t>
      </w:r>
      <w:r w:rsidR="00730FB7">
        <w:rPr>
          <w:rFonts w:asciiTheme="minorHAnsi" w:hAnsiTheme="minorHAnsi"/>
          <w:bCs/>
          <w:snapToGrid w:val="0"/>
          <w:lang w:eastAsia="en-US"/>
        </w:rPr>
        <w:t xml:space="preserve"> E+B.</w:t>
      </w:r>
    </w:p>
    <w:p w14:paraId="2E7B33D5" w14:textId="023B0655" w:rsidR="00AF2BFC" w:rsidRDefault="0035631D" w:rsidP="003A3A7B">
      <w:pPr>
        <w:numPr>
          <w:ilvl w:val="1"/>
          <w:numId w:val="1"/>
        </w:numPr>
        <w:spacing w:after="120"/>
        <w:rPr>
          <w:rFonts w:asciiTheme="minorHAnsi" w:hAnsiTheme="minorHAnsi"/>
          <w:bCs/>
          <w:snapToGrid w:val="0"/>
          <w:lang w:eastAsia="en-US"/>
        </w:rPr>
      </w:pPr>
      <w:r w:rsidRPr="00AF2BFC">
        <w:rPr>
          <w:rFonts w:asciiTheme="minorHAnsi" w:hAnsiTheme="minorHAnsi"/>
          <w:bCs/>
          <w:snapToGrid w:val="0"/>
          <w:lang w:eastAsia="en-US"/>
        </w:rPr>
        <w:t>The PBAC noted the Lung Foundation Australia</w:t>
      </w:r>
      <w:r w:rsidR="00300F6F" w:rsidRPr="00AF2BFC">
        <w:rPr>
          <w:rFonts w:asciiTheme="minorHAnsi" w:hAnsiTheme="minorHAnsi"/>
          <w:bCs/>
          <w:snapToGrid w:val="0"/>
          <w:lang w:eastAsia="en-US"/>
        </w:rPr>
        <w:t>, the Thoracic Group of Australas</w:t>
      </w:r>
      <w:r w:rsidR="009B3BEF" w:rsidRPr="00AF2BFC">
        <w:rPr>
          <w:rFonts w:asciiTheme="minorHAnsi" w:hAnsiTheme="minorHAnsi"/>
          <w:bCs/>
          <w:snapToGrid w:val="0"/>
          <w:lang w:eastAsia="en-US"/>
        </w:rPr>
        <w:t>ia</w:t>
      </w:r>
      <w:r w:rsidRPr="00AF2BFC">
        <w:rPr>
          <w:rFonts w:asciiTheme="minorHAnsi" w:hAnsiTheme="minorHAnsi"/>
          <w:bCs/>
          <w:snapToGrid w:val="0"/>
          <w:lang w:eastAsia="en-US"/>
        </w:rPr>
        <w:t xml:space="preserve"> and Rare Cancers Australia commented on the importance of</w:t>
      </w:r>
      <w:r w:rsidR="009B3BEF" w:rsidRPr="00AF2BFC">
        <w:rPr>
          <w:rFonts w:asciiTheme="minorHAnsi" w:hAnsiTheme="minorHAnsi"/>
          <w:bCs/>
          <w:snapToGrid w:val="0"/>
          <w:lang w:eastAsia="en-US"/>
        </w:rPr>
        <w:t xml:space="preserve"> </w:t>
      </w:r>
      <w:r w:rsidR="00E7675C" w:rsidRPr="00AF2BFC">
        <w:rPr>
          <w:rFonts w:asciiTheme="minorHAnsi" w:hAnsiTheme="minorHAnsi"/>
          <w:bCs/>
          <w:snapToGrid w:val="0"/>
          <w:lang w:eastAsia="en-US"/>
        </w:rPr>
        <w:t>having access to targeted therapies for NSCLC.</w:t>
      </w:r>
      <w:r w:rsidR="009B3BEF" w:rsidRPr="00AF2BFC">
        <w:rPr>
          <w:rFonts w:asciiTheme="minorHAnsi" w:hAnsiTheme="minorHAnsi"/>
          <w:bCs/>
          <w:snapToGrid w:val="0"/>
          <w:lang w:eastAsia="en-US"/>
        </w:rPr>
        <w:t xml:space="preserve"> The Lung Foundation Australia </w:t>
      </w:r>
      <w:r w:rsidR="0089229A" w:rsidRPr="00AF2BFC">
        <w:rPr>
          <w:rFonts w:asciiTheme="minorHAnsi" w:hAnsiTheme="minorHAnsi"/>
          <w:bCs/>
          <w:snapToGrid w:val="0"/>
          <w:lang w:eastAsia="en-US"/>
        </w:rPr>
        <w:t xml:space="preserve">and Rare Cancers Australia </w:t>
      </w:r>
      <w:r w:rsidR="005E1072" w:rsidRPr="00AF2BFC">
        <w:rPr>
          <w:rFonts w:asciiTheme="minorHAnsi" w:hAnsiTheme="minorHAnsi"/>
          <w:bCs/>
          <w:snapToGrid w:val="0"/>
          <w:lang w:eastAsia="en-US"/>
        </w:rPr>
        <w:t xml:space="preserve">highlighted the benefit of </w:t>
      </w:r>
      <w:r w:rsidR="008479B3" w:rsidRPr="00AF2BFC">
        <w:rPr>
          <w:rFonts w:asciiTheme="minorHAnsi" w:hAnsiTheme="minorHAnsi"/>
          <w:bCs/>
          <w:snapToGrid w:val="0"/>
          <w:lang w:eastAsia="en-US"/>
        </w:rPr>
        <w:t>oral therapy in allowing patients to be treated at home</w:t>
      </w:r>
      <w:r w:rsidR="008961EB">
        <w:rPr>
          <w:rFonts w:asciiTheme="minorHAnsi" w:hAnsiTheme="minorHAnsi"/>
          <w:bCs/>
          <w:snapToGrid w:val="0"/>
          <w:lang w:eastAsia="en-US"/>
        </w:rPr>
        <w:t xml:space="preserve"> and</w:t>
      </w:r>
      <w:r w:rsidR="007C048D">
        <w:rPr>
          <w:rFonts w:asciiTheme="minorHAnsi" w:hAnsiTheme="minorHAnsi"/>
          <w:bCs/>
          <w:snapToGrid w:val="0"/>
          <w:lang w:eastAsia="en-US"/>
        </w:rPr>
        <w:t xml:space="preserve"> noted </w:t>
      </w:r>
      <w:r w:rsidR="0089229A" w:rsidRPr="00AF2BFC">
        <w:rPr>
          <w:rFonts w:asciiTheme="minorHAnsi" w:hAnsiTheme="minorHAnsi"/>
          <w:bCs/>
          <w:snapToGrid w:val="0"/>
          <w:lang w:eastAsia="en-US"/>
        </w:rPr>
        <w:t xml:space="preserve">the high burden of NSCLC. </w:t>
      </w:r>
      <w:r w:rsidR="008961EB">
        <w:rPr>
          <w:rFonts w:asciiTheme="minorHAnsi" w:hAnsiTheme="minorHAnsi"/>
          <w:bCs/>
          <w:snapToGrid w:val="0"/>
          <w:lang w:eastAsia="en-US"/>
        </w:rPr>
        <w:t xml:space="preserve"> </w:t>
      </w:r>
      <w:r w:rsidR="00317D9B" w:rsidRPr="00AF2BFC">
        <w:rPr>
          <w:rFonts w:asciiTheme="minorHAnsi" w:hAnsiTheme="minorHAnsi"/>
          <w:bCs/>
          <w:snapToGrid w:val="0"/>
          <w:lang w:eastAsia="en-US"/>
        </w:rPr>
        <w:t xml:space="preserve">Additionally, the Thoracic Group of Australasia noted the </w:t>
      </w:r>
      <w:r w:rsidR="00491299" w:rsidRPr="00AF2BFC">
        <w:rPr>
          <w:rFonts w:asciiTheme="minorHAnsi" w:hAnsiTheme="minorHAnsi"/>
          <w:bCs/>
          <w:snapToGrid w:val="0"/>
          <w:lang w:eastAsia="en-US"/>
        </w:rPr>
        <w:t xml:space="preserve">modest overall </w:t>
      </w:r>
      <w:r w:rsidR="00317D9B" w:rsidRPr="00AF2BFC">
        <w:rPr>
          <w:rFonts w:asciiTheme="minorHAnsi" w:hAnsiTheme="minorHAnsi"/>
          <w:bCs/>
          <w:snapToGrid w:val="0"/>
          <w:lang w:eastAsia="en-US"/>
        </w:rPr>
        <w:t xml:space="preserve">benefit of </w:t>
      </w:r>
      <w:r w:rsidR="00027F28" w:rsidRPr="00AF2BFC">
        <w:rPr>
          <w:rFonts w:asciiTheme="minorHAnsi" w:hAnsiTheme="minorHAnsi"/>
          <w:bCs/>
          <w:snapToGrid w:val="0"/>
          <w:lang w:eastAsia="en-US"/>
        </w:rPr>
        <w:t>non</w:t>
      </w:r>
      <w:r w:rsidR="003A3A7B">
        <w:rPr>
          <w:rFonts w:asciiTheme="minorHAnsi" w:hAnsiTheme="minorHAnsi"/>
          <w:bCs/>
          <w:snapToGrid w:val="0"/>
          <w:lang w:eastAsia="en-US"/>
        </w:rPr>
        <w:noBreakHyphen/>
      </w:r>
      <w:r w:rsidR="00027F28" w:rsidRPr="00AF2BFC">
        <w:rPr>
          <w:rFonts w:asciiTheme="minorHAnsi" w:hAnsiTheme="minorHAnsi"/>
          <w:bCs/>
          <w:snapToGrid w:val="0"/>
          <w:lang w:eastAsia="en-US"/>
        </w:rPr>
        <w:t>targeted therapies</w:t>
      </w:r>
      <w:r w:rsidR="00087B89">
        <w:rPr>
          <w:rFonts w:asciiTheme="minorHAnsi" w:hAnsiTheme="minorHAnsi"/>
          <w:bCs/>
          <w:snapToGrid w:val="0"/>
          <w:lang w:eastAsia="en-US"/>
        </w:rPr>
        <w:t xml:space="preserve"> and stated tha</w:t>
      </w:r>
      <w:r w:rsidR="00027F28" w:rsidRPr="00AF2BFC">
        <w:rPr>
          <w:rFonts w:asciiTheme="minorHAnsi" w:hAnsiTheme="minorHAnsi"/>
          <w:bCs/>
          <w:snapToGrid w:val="0"/>
          <w:lang w:eastAsia="en-US"/>
        </w:rPr>
        <w:t xml:space="preserve">t </w:t>
      </w:r>
      <w:r w:rsidR="00313D2A">
        <w:rPr>
          <w:rFonts w:asciiTheme="minorHAnsi" w:hAnsiTheme="minorHAnsi"/>
          <w:bCs/>
          <w:snapToGrid w:val="0"/>
          <w:lang w:eastAsia="en-US"/>
        </w:rPr>
        <w:t xml:space="preserve">some </w:t>
      </w:r>
      <w:r w:rsidR="00027F28" w:rsidRPr="00AF2BFC">
        <w:rPr>
          <w:rFonts w:asciiTheme="minorHAnsi" w:hAnsiTheme="minorHAnsi"/>
          <w:bCs/>
          <w:snapToGrid w:val="0"/>
          <w:lang w:eastAsia="en-US"/>
        </w:rPr>
        <w:t xml:space="preserve">patients </w:t>
      </w:r>
      <w:r w:rsidR="00313D2A">
        <w:rPr>
          <w:rFonts w:asciiTheme="minorHAnsi" w:hAnsiTheme="minorHAnsi"/>
          <w:bCs/>
          <w:snapToGrid w:val="0"/>
          <w:lang w:eastAsia="en-US"/>
        </w:rPr>
        <w:t>may not b</w:t>
      </w:r>
      <w:r w:rsidR="00027F28" w:rsidRPr="00AF2BFC">
        <w:rPr>
          <w:rFonts w:asciiTheme="minorHAnsi" w:hAnsiTheme="minorHAnsi"/>
          <w:bCs/>
          <w:snapToGrid w:val="0"/>
          <w:lang w:eastAsia="en-US"/>
        </w:rPr>
        <w:t>e well and ambulant enough to receive intravenous chemo</w:t>
      </w:r>
      <w:r w:rsidR="003A3A7B">
        <w:rPr>
          <w:rFonts w:asciiTheme="minorHAnsi" w:hAnsiTheme="minorHAnsi"/>
          <w:bCs/>
          <w:snapToGrid w:val="0"/>
          <w:lang w:eastAsia="en-US"/>
        </w:rPr>
        <w:noBreakHyphen/>
      </w:r>
      <w:r w:rsidR="00AF2BFC" w:rsidRPr="00AF2BFC">
        <w:rPr>
          <w:rFonts w:asciiTheme="minorHAnsi" w:hAnsiTheme="minorHAnsi"/>
          <w:bCs/>
          <w:snapToGrid w:val="0"/>
          <w:lang w:eastAsia="en-US"/>
        </w:rPr>
        <w:t>immun</w:t>
      </w:r>
      <w:r w:rsidR="00B14ADE">
        <w:rPr>
          <w:rFonts w:asciiTheme="minorHAnsi" w:hAnsiTheme="minorHAnsi"/>
          <w:bCs/>
          <w:snapToGrid w:val="0"/>
          <w:lang w:eastAsia="en-US"/>
        </w:rPr>
        <w:t>o</w:t>
      </w:r>
      <w:r w:rsidR="00AF2BFC" w:rsidRPr="00AF2BFC">
        <w:rPr>
          <w:rFonts w:asciiTheme="minorHAnsi" w:hAnsiTheme="minorHAnsi"/>
          <w:bCs/>
          <w:snapToGrid w:val="0"/>
          <w:lang w:eastAsia="en-US"/>
        </w:rPr>
        <w:t>therapy.</w:t>
      </w:r>
      <w:bookmarkEnd w:id="16"/>
      <w:bookmarkEnd w:id="19"/>
      <w:r w:rsidR="008961EB">
        <w:rPr>
          <w:rFonts w:asciiTheme="minorHAnsi" w:hAnsiTheme="minorHAnsi"/>
          <w:bCs/>
          <w:snapToGrid w:val="0"/>
          <w:lang w:eastAsia="en-US"/>
        </w:rPr>
        <w:t xml:space="preserve"> </w:t>
      </w:r>
    </w:p>
    <w:p w14:paraId="1CAB1D0E" w14:textId="069B87CC" w:rsidR="007F5DE8" w:rsidRPr="00AF2BFC" w:rsidRDefault="007F5DE8" w:rsidP="003A3A7B">
      <w:pPr>
        <w:numPr>
          <w:ilvl w:val="1"/>
          <w:numId w:val="1"/>
        </w:numPr>
        <w:spacing w:after="120"/>
        <w:rPr>
          <w:rFonts w:asciiTheme="minorHAnsi" w:hAnsiTheme="minorHAnsi"/>
          <w:bCs/>
          <w:snapToGrid w:val="0"/>
          <w:lang w:eastAsia="en-US"/>
        </w:rPr>
      </w:pPr>
      <w:r w:rsidRPr="00AF2BFC">
        <w:rPr>
          <w:rFonts w:asciiTheme="minorHAnsi" w:hAnsiTheme="minorHAnsi"/>
          <w:bCs/>
          <w:snapToGrid w:val="0"/>
          <w:lang w:eastAsia="en-US"/>
        </w:rPr>
        <w:t xml:space="preserve">The Medical Oncology Group of Australia (MOGA) expressed its strong support for the </w:t>
      </w:r>
      <w:r w:rsidR="001F0025" w:rsidRPr="00AF2BFC">
        <w:rPr>
          <w:rFonts w:asciiTheme="minorHAnsi" w:hAnsiTheme="minorHAnsi"/>
          <w:bCs/>
          <w:snapToGrid w:val="0"/>
          <w:lang w:eastAsia="en-US"/>
        </w:rPr>
        <w:t>E+B</w:t>
      </w:r>
      <w:r w:rsidRPr="00AF2BFC">
        <w:rPr>
          <w:rFonts w:asciiTheme="minorHAnsi" w:hAnsiTheme="minorHAnsi"/>
          <w:bCs/>
          <w:snapToGrid w:val="0"/>
          <w:lang w:eastAsia="en-US"/>
        </w:rPr>
        <w:t xml:space="preserve"> submission, categorising it as one of the therapies of “high priority for PBS listing” on the basis of the </w:t>
      </w:r>
      <w:r w:rsidR="008660C8" w:rsidRPr="00AF2BFC">
        <w:rPr>
          <w:rFonts w:asciiTheme="minorHAnsi" w:hAnsiTheme="minorHAnsi"/>
          <w:bCs/>
          <w:snapToGrid w:val="0"/>
          <w:lang w:eastAsia="en-US"/>
        </w:rPr>
        <w:t>PHAROS</w:t>
      </w:r>
      <w:r w:rsidRPr="00AF2BFC">
        <w:rPr>
          <w:rFonts w:asciiTheme="minorHAnsi" w:hAnsiTheme="minorHAnsi"/>
          <w:bCs/>
          <w:snapToGrid w:val="0"/>
          <w:lang w:eastAsia="en-US"/>
        </w:rPr>
        <w:t xml:space="preserve"> trial. The PBAC noted that the MOGA presented a European Society for Medical Oncology Magnitude of Clinical Benefit Scale (ESMO</w:t>
      </w:r>
      <w:r w:rsidR="003A3A7B">
        <w:rPr>
          <w:rFonts w:asciiTheme="minorHAnsi" w:hAnsiTheme="minorHAnsi"/>
          <w:bCs/>
          <w:snapToGrid w:val="0"/>
          <w:lang w:eastAsia="en-US"/>
        </w:rPr>
        <w:noBreakHyphen/>
      </w:r>
      <w:r w:rsidRPr="00AF2BFC">
        <w:rPr>
          <w:rFonts w:asciiTheme="minorHAnsi" w:hAnsiTheme="minorHAnsi"/>
          <w:bCs/>
          <w:snapToGrid w:val="0"/>
          <w:lang w:eastAsia="en-US"/>
        </w:rPr>
        <w:t xml:space="preserve">MCBS) for </w:t>
      </w:r>
      <w:r w:rsidR="001F0025" w:rsidRPr="00AF2BFC">
        <w:rPr>
          <w:rFonts w:asciiTheme="minorHAnsi" w:hAnsiTheme="minorHAnsi"/>
          <w:bCs/>
          <w:snapToGrid w:val="0"/>
          <w:lang w:eastAsia="en-US"/>
        </w:rPr>
        <w:t>E+B</w:t>
      </w:r>
      <w:r w:rsidRPr="00AF2BFC">
        <w:rPr>
          <w:rFonts w:asciiTheme="minorHAnsi" w:hAnsiTheme="minorHAnsi"/>
          <w:bCs/>
          <w:snapToGrid w:val="0"/>
          <w:lang w:eastAsia="en-US"/>
        </w:rPr>
        <w:t xml:space="preserve">, which was limited to </w:t>
      </w:r>
      <w:r w:rsidR="007C7EE7" w:rsidRPr="00AF2BFC">
        <w:rPr>
          <w:rFonts w:asciiTheme="minorHAnsi" w:hAnsiTheme="minorHAnsi"/>
          <w:bCs/>
          <w:snapToGrid w:val="0"/>
          <w:lang w:eastAsia="en-US"/>
        </w:rPr>
        <w:t>3</w:t>
      </w:r>
      <w:r w:rsidRPr="00AF2BFC">
        <w:rPr>
          <w:rFonts w:asciiTheme="minorHAnsi" w:hAnsiTheme="minorHAnsi"/>
          <w:bCs/>
          <w:snapToGrid w:val="0"/>
          <w:lang w:eastAsia="en-US"/>
        </w:rPr>
        <w:t xml:space="preserve"> (out of a maximum of 5, where 5 and 4 represent the grades with substantial improvement)</w:t>
      </w:r>
      <w:r w:rsidR="008555BC" w:rsidRPr="00AF2BFC">
        <w:rPr>
          <w:rFonts w:asciiTheme="minorHAnsi" w:hAnsiTheme="minorHAnsi"/>
          <w:bCs/>
          <w:snapToGrid w:val="0"/>
          <w:lang w:eastAsia="en-US"/>
        </w:rPr>
        <w:t>, based on single arm data</w:t>
      </w:r>
      <w:r w:rsidR="008D7375">
        <w:rPr>
          <w:rFonts w:asciiTheme="minorHAnsi" w:hAnsiTheme="minorHAnsi"/>
          <w:bCs/>
          <w:snapToGrid w:val="0"/>
          <w:lang w:eastAsia="en-US"/>
        </w:rPr>
        <w:t>.</w:t>
      </w:r>
      <w:r w:rsidR="00A9201B">
        <w:rPr>
          <w:rStyle w:val="FootnoteReference"/>
          <w:rFonts w:asciiTheme="minorHAnsi" w:hAnsiTheme="minorHAnsi"/>
          <w:bCs/>
          <w:snapToGrid w:val="0"/>
          <w:lang w:eastAsia="en-US"/>
        </w:rPr>
        <w:footnoteReference w:id="5"/>
      </w:r>
      <w:r w:rsidRPr="00AF2BFC">
        <w:rPr>
          <w:rFonts w:asciiTheme="minorHAnsi" w:hAnsiTheme="minorHAnsi"/>
          <w:bCs/>
          <w:snapToGrid w:val="0"/>
          <w:lang w:eastAsia="en-US"/>
        </w:rPr>
        <w:t xml:space="preserve">  </w:t>
      </w:r>
      <w:r w:rsidRPr="00AF2BFC">
        <w:rPr>
          <w:rFonts w:asciiTheme="minorHAnsi" w:hAnsiTheme="minorHAnsi"/>
          <w:bCs/>
          <w:snapToGrid w:val="0"/>
          <w:sz w:val="16"/>
          <w:lang w:eastAsia="en-US"/>
        </w:rPr>
        <w:t xml:space="preserve"> </w:t>
      </w:r>
    </w:p>
    <w:p w14:paraId="609C0765" w14:textId="5BE9793A" w:rsidR="00B60939" w:rsidRPr="0098262F" w:rsidRDefault="00B60939" w:rsidP="003A3A7B">
      <w:pPr>
        <w:pStyle w:val="4-SubsectionHeading"/>
      </w:pPr>
      <w:r w:rsidRPr="0098262F">
        <w:lastRenderedPageBreak/>
        <w:t xml:space="preserve">Clinical </w:t>
      </w:r>
      <w:bookmarkEnd w:id="15"/>
      <w:r w:rsidR="007E4ADC">
        <w:t>studies</w:t>
      </w:r>
      <w:bookmarkEnd w:id="17"/>
    </w:p>
    <w:p w14:paraId="20AC1693" w14:textId="059371FC" w:rsidR="00E6613B" w:rsidRDefault="00E6613B" w:rsidP="003A3A7B">
      <w:pPr>
        <w:pStyle w:val="3-BodyText"/>
      </w:pPr>
      <w:bookmarkStart w:id="20" w:name="_Ref206153149"/>
      <w:r w:rsidRPr="0059006D">
        <w:t>The submission presented an indirect sing</w:t>
      </w:r>
      <w:r>
        <w:t>l</w:t>
      </w:r>
      <w:r w:rsidRPr="0059006D">
        <w:t>e arm comparison between E+B and D+T</w:t>
      </w:r>
      <w:r>
        <w:t xml:space="preserve"> using the following trials:</w:t>
      </w:r>
    </w:p>
    <w:p w14:paraId="7BB82E0E" w14:textId="1A8F996D" w:rsidR="00E6613B" w:rsidRPr="0059006D" w:rsidRDefault="00E6613B" w:rsidP="003A3A7B">
      <w:pPr>
        <w:pStyle w:val="3-BodyText"/>
        <w:numPr>
          <w:ilvl w:val="1"/>
          <w:numId w:val="45"/>
        </w:numPr>
        <w:ind w:left="1077" w:hanging="357"/>
      </w:pPr>
      <w:r w:rsidRPr="000154CF">
        <w:t>PHAROS (N=98): An ongoing, open</w:t>
      </w:r>
      <w:r w:rsidR="003A3A7B">
        <w:noBreakHyphen/>
      </w:r>
      <w:r w:rsidRPr="000154CF">
        <w:t>label, single</w:t>
      </w:r>
      <w:r w:rsidR="003A3A7B">
        <w:noBreakHyphen/>
      </w:r>
      <w:r w:rsidRPr="000154CF">
        <w:t xml:space="preserve">arm, phase II </w:t>
      </w:r>
      <w:r>
        <w:t>trial</w:t>
      </w:r>
      <w:r w:rsidRPr="000154CF">
        <w:t xml:space="preserve"> of E+B in adult patients (≥18 years of age) with BRAF V600E</w:t>
      </w:r>
      <w:r w:rsidR="003A3A7B">
        <w:noBreakHyphen/>
      </w:r>
      <w:r w:rsidRPr="000154CF">
        <w:t xml:space="preserve">MT </w:t>
      </w:r>
      <w:proofErr w:type="spellStart"/>
      <w:r w:rsidRPr="000154CF">
        <w:t>mNSCLC</w:t>
      </w:r>
      <w:proofErr w:type="spellEnd"/>
      <w:r w:rsidRPr="000154CF">
        <w:t>, given as first</w:t>
      </w:r>
      <w:r w:rsidR="003A3A7B">
        <w:noBreakHyphen/>
      </w:r>
      <w:r w:rsidRPr="000154CF">
        <w:t>line (N=59) or second</w:t>
      </w:r>
      <w:r w:rsidR="003A3A7B">
        <w:noBreakHyphen/>
      </w:r>
      <w:r w:rsidRPr="000154CF">
        <w:t xml:space="preserve">line treatment (N=39). </w:t>
      </w:r>
      <w:r w:rsidRPr="00AB522B">
        <w:t>The</w:t>
      </w:r>
      <w:r>
        <w:t xml:space="preserve"> submission stated that</w:t>
      </w:r>
      <w:r w:rsidRPr="00AB522B">
        <w:t xml:space="preserve"> cohort of patients </w:t>
      </w:r>
      <w:r>
        <w:t>receiving E+B as first</w:t>
      </w:r>
      <w:r w:rsidR="003A3A7B">
        <w:noBreakHyphen/>
      </w:r>
      <w:r>
        <w:t xml:space="preserve">line therapy (hereafter untreated patients) </w:t>
      </w:r>
      <w:r w:rsidRPr="00AB522B">
        <w:t>was the population of interest for this submission</w:t>
      </w:r>
      <w:r>
        <w:t xml:space="preserve">. </w:t>
      </w:r>
      <w:r w:rsidRPr="004D0B0D">
        <w:t>The presentation of E+B data for treatment naïve patients did not align with line</w:t>
      </w:r>
      <w:r w:rsidR="003A3A7B">
        <w:noBreakHyphen/>
      </w:r>
      <w:r w:rsidRPr="004D0B0D">
        <w:t xml:space="preserve">agnostic restriction requested in the submission. </w:t>
      </w:r>
    </w:p>
    <w:p w14:paraId="11D7D766" w14:textId="1C06CBD3" w:rsidR="00E6613B" w:rsidRPr="0059006D" w:rsidRDefault="00E6613B" w:rsidP="003A3A7B">
      <w:pPr>
        <w:pStyle w:val="3-BodyText"/>
        <w:numPr>
          <w:ilvl w:val="1"/>
          <w:numId w:val="45"/>
        </w:numPr>
        <w:ind w:left="1077" w:hanging="357"/>
      </w:pPr>
      <w:r w:rsidRPr="0059006D">
        <w:t>BRF113928 (N=93)</w:t>
      </w:r>
      <w:r w:rsidR="009133A9">
        <w:t>: A</w:t>
      </w:r>
      <w:r w:rsidRPr="0059006D">
        <w:t xml:space="preserve"> completed, open</w:t>
      </w:r>
      <w:r w:rsidR="003A3A7B">
        <w:noBreakHyphen/>
      </w:r>
      <w:r w:rsidRPr="0059006D">
        <w:t>label, single</w:t>
      </w:r>
      <w:r w:rsidR="003A3A7B">
        <w:noBreakHyphen/>
      </w:r>
      <w:r w:rsidRPr="0059006D">
        <w:t>arm, phase II trial of D+T in adult patients with BRAF V600E</w:t>
      </w:r>
      <w:r w:rsidR="003A3A7B">
        <w:noBreakHyphen/>
      </w:r>
      <w:r w:rsidRPr="0059006D">
        <w:t xml:space="preserve">MT </w:t>
      </w:r>
      <w:proofErr w:type="spellStart"/>
      <w:r w:rsidRPr="0059006D">
        <w:t>mNSCLC</w:t>
      </w:r>
      <w:proofErr w:type="spellEnd"/>
      <w:r w:rsidRPr="0059006D">
        <w:t>. The BRF113928 trial enrolled both untreated and previously treated patients; however, the cohort of untreated patients (Cohort C; N=36) was the population of interest for this submission and is the population used in the indirect comparisons. The PBAC had previously considered the results of BRF113928 (referenced as E2201 study) in the March 2025 consideration of D+T for BRAF V600E</w:t>
      </w:r>
      <w:r w:rsidR="003A3A7B">
        <w:noBreakHyphen/>
      </w:r>
      <w:r w:rsidRPr="0059006D">
        <w:t xml:space="preserve">MT </w:t>
      </w:r>
      <w:proofErr w:type="spellStart"/>
      <w:r w:rsidRPr="0059006D">
        <w:t>mNSCLC</w:t>
      </w:r>
      <w:proofErr w:type="spellEnd"/>
      <w:r w:rsidRPr="0059006D">
        <w:t>.</w:t>
      </w:r>
    </w:p>
    <w:p w14:paraId="6619D233" w14:textId="04A85F59" w:rsidR="00291984" w:rsidRPr="0059006D" w:rsidRDefault="00B74B20" w:rsidP="003A3A7B">
      <w:pPr>
        <w:pStyle w:val="3-BodyText"/>
        <w:ind w:left="1080"/>
      </w:pPr>
      <w:r>
        <w:t>To inform comparat</w:t>
      </w:r>
      <w:r w:rsidR="00D070B4">
        <w:t xml:space="preserve">ive efficacy and safety versus </w:t>
      </w:r>
      <w:proofErr w:type="spellStart"/>
      <w:r w:rsidR="00D070B4">
        <w:t>pembrolizumab+PDC</w:t>
      </w:r>
      <w:proofErr w:type="spellEnd"/>
      <w:r w:rsidR="00D070B4">
        <w:t xml:space="preserve">, </w:t>
      </w:r>
      <w:r w:rsidR="00087300" w:rsidRPr="000154CF">
        <w:t xml:space="preserve">the submission presented an indirect comparison </w:t>
      </w:r>
      <w:r w:rsidR="00D070B4">
        <w:t xml:space="preserve">using the </w:t>
      </w:r>
      <w:bookmarkEnd w:id="20"/>
      <w:r w:rsidR="009133A9">
        <w:t>PHAROS trial</w:t>
      </w:r>
      <w:r w:rsidR="00CB3EA8">
        <w:t xml:space="preserve"> and the</w:t>
      </w:r>
      <w:r w:rsidR="00C0297A">
        <w:t xml:space="preserve"> </w:t>
      </w:r>
      <w:r w:rsidR="004E179C" w:rsidRPr="0059006D">
        <w:t>KN</w:t>
      </w:r>
      <w:r w:rsidR="003A3A7B">
        <w:noBreakHyphen/>
      </w:r>
      <w:r w:rsidR="004E179C" w:rsidRPr="0059006D">
        <w:t>189</w:t>
      </w:r>
      <w:r w:rsidR="00EF0AFE" w:rsidRPr="0059006D">
        <w:t xml:space="preserve"> (N=616)</w:t>
      </w:r>
      <w:r w:rsidR="00CB3EA8">
        <w:t xml:space="preserve"> trial. KN</w:t>
      </w:r>
      <w:r w:rsidR="003A3A7B">
        <w:noBreakHyphen/>
      </w:r>
      <w:r w:rsidR="00CB3EA8">
        <w:t>189 is a</w:t>
      </w:r>
      <w:r w:rsidR="00C0297A">
        <w:t xml:space="preserve"> </w:t>
      </w:r>
      <w:r w:rsidR="0063293F" w:rsidRPr="0059006D">
        <w:t>double</w:t>
      </w:r>
      <w:r w:rsidR="003A3A7B">
        <w:noBreakHyphen/>
      </w:r>
      <w:r w:rsidR="0063293F" w:rsidRPr="0059006D">
        <w:t xml:space="preserve">blind, randomised, controlled, phase III trial comparing </w:t>
      </w:r>
      <w:proofErr w:type="spellStart"/>
      <w:r w:rsidR="0063293F" w:rsidRPr="0059006D">
        <w:t>pembrolizumab+PDC</w:t>
      </w:r>
      <w:proofErr w:type="spellEnd"/>
      <w:r w:rsidR="0063293F" w:rsidRPr="0059006D">
        <w:t xml:space="preserve"> versus PDC in</w:t>
      </w:r>
      <w:r w:rsidR="00291984" w:rsidRPr="0059006D">
        <w:t xml:space="preserve"> adult patients with Stage IV </w:t>
      </w:r>
      <w:r w:rsidR="008E7431" w:rsidRPr="0059006D">
        <w:t>non</w:t>
      </w:r>
      <w:r w:rsidR="003A3A7B">
        <w:noBreakHyphen/>
      </w:r>
      <w:r w:rsidR="00EF0AFE" w:rsidRPr="0059006D">
        <w:t xml:space="preserve">squamous (NSQ) </w:t>
      </w:r>
      <w:r w:rsidR="00291984" w:rsidRPr="0059006D">
        <w:t>NSCLC.</w:t>
      </w:r>
      <w:r w:rsidR="00CA1EAF" w:rsidRPr="0059006D">
        <w:t xml:space="preserve"> </w:t>
      </w:r>
      <w:r w:rsidR="00EE21C3" w:rsidRPr="0059006D">
        <w:t>The PBAC had previously considered the results of KN</w:t>
      </w:r>
      <w:r w:rsidR="003A3A7B">
        <w:noBreakHyphen/>
      </w:r>
      <w:r w:rsidR="00EE21C3" w:rsidRPr="0059006D">
        <w:t xml:space="preserve">189 in the July 2019 consideration of </w:t>
      </w:r>
      <w:proofErr w:type="spellStart"/>
      <w:r w:rsidR="00EE21C3" w:rsidRPr="0059006D">
        <w:t>pembrolizumab+PDC</w:t>
      </w:r>
      <w:proofErr w:type="spellEnd"/>
      <w:r w:rsidR="00EE21C3" w:rsidRPr="0059006D">
        <w:t xml:space="preserve"> for </w:t>
      </w:r>
      <w:proofErr w:type="spellStart"/>
      <w:r w:rsidR="0053361C" w:rsidRPr="0059006D">
        <w:t>m</w:t>
      </w:r>
      <w:r w:rsidR="00EE21C3" w:rsidRPr="0059006D">
        <w:t>NSCLC</w:t>
      </w:r>
      <w:proofErr w:type="spellEnd"/>
      <w:r w:rsidR="0053361C" w:rsidRPr="0059006D">
        <w:t>.</w:t>
      </w:r>
      <w:r w:rsidR="00EE21C3" w:rsidRPr="0059006D">
        <w:t xml:space="preserve"> </w:t>
      </w:r>
    </w:p>
    <w:p w14:paraId="2B59ABAC" w14:textId="0D366C59" w:rsidR="00862502" w:rsidRPr="0059006D" w:rsidRDefault="00A73134" w:rsidP="003A3A7B">
      <w:pPr>
        <w:pStyle w:val="3-BodyText"/>
      </w:pPr>
      <w:r w:rsidRPr="0059006D">
        <w:t>Details of the trials</w:t>
      </w:r>
      <w:r w:rsidR="000154CF" w:rsidRPr="0059006D">
        <w:t xml:space="preserve"> </w:t>
      </w:r>
      <w:r w:rsidRPr="0059006D">
        <w:t xml:space="preserve">presented in the submission are provided in </w:t>
      </w:r>
      <w:r w:rsidR="00696EF9" w:rsidRPr="0059006D">
        <w:fldChar w:fldCharType="begin"/>
      </w:r>
      <w:r w:rsidR="00696EF9" w:rsidRPr="0059006D">
        <w:instrText xml:space="preserve"> REF _Ref104803956 \h </w:instrText>
      </w:r>
      <w:r w:rsidR="0059006D">
        <w:instrText xml:space="preserve"> \* MERGEFORMAT </w:instrText>
      </w:r>
      <w:r w:rsidR="00696EF9" w:rsidRPr="0059006D">
        <w:fldChar w:fldCharType="separate"/>
      </w:r>
      <w:r w:rsidR="00894EC9" w:rsidRPr="0098262F">
        <w:t xml:space="preserve">Table </w:t>
      </w:r>
      <w:r w:rsidR="00894EC9">
        <w:rPr>
          <w:noProof/>
        </w:rPr>
        <w:t>2</w:t>
      </w:r>
      <w:r w:rsidR="00696EF9" w:rsidRPr="0059006D">
        <w:fldChar w:fldCharType="end"/>
      </w:r>
      <w:r w:rsidRPr="0059006D">
        <w:t>.</w:t>
      </w:r>
    </w:p>
    <w:p w14:paraId="7DE3A286" w14:textId="517C1DBE" w:rsidR="008E0D3C" w:rsidRPr="0098262F" w:rsidRDefault="00696EF9" w:rsidP="003A3A7B">
      <w:pPr>
        <w:pStyle w:val="TableFigureHeading"/>
        <w:rPr>
          <w:rStyle w:val="CommentReference"/>
          <w:b/>
          <w:szCs w:val="24"/>
        </w:rPr>
      </w:pPr>
      <w:bookmarkStart w:id="21" w:name="_Ref104803956"/>
      <w:r w:rsidRPr="0098262F">
        <w:lastRenderedPageBreak/>
        <w:t xml:space="preserve">Table </w:t>
      </w:r>
      <w:r w:rsidR="00745925">
        <w:fldChar w:fldCharType="begin"/>
      </w:r>
      <w:r w:rsidR="00745925">
        <w:instrText xml:space="preserve"> SEQ Table \* ARABIC </w:instrText>
      </w:r>
      <w:r w:rsidR="00745925">
        <w:fldChar w:fldCharType="separate"/>
      </w:r>
      <w:r w:rsidR="00894EC9">
        <w:rPr>
          <w:noProof/>
        </w:rPr>
        <w:t>2</w:t>
      </w:r>
      <w:r w:rsidR="00745925">
        <w:rPr>
          <w:noProof/>
        </w:rPr>
        <w:fldChar w:fldCharType="end"/>
      </w:r>
      <w:bookmarkEnd w:id="21"/>
      <w:r w:rsidRPr="0098262F">
        <w:t>:</w:t>
      </w:r>
      <w:r w:rsidR="00BC591F" w:rsidRPr="0098262F">
        <w:rPr>
          <w:rStyle w:val="CommentReference"/>
          <w:b/>
          <w:szCs w:val="24"/>
        </w:rPr>
        <w:t xml:space="preserve"> </w:t>
      </w:r>
      <w:r w:rsidR="008E0D3C" w:rsidRPr="0098262F">
        <w:rPr>
          <w:rStyle w:val="CommentReference"/>
          <w:b/>
          <w:szCs w:val="24"/>
        </w:rPr>
        <w:t>Trials</w:t>
      </w:r>
      <w:r w:rsidR="00F205D8">
        <w:rPr>
          <w:rStyle w:val="CommentReference"/>
          <w:b/>
          <w:szCs w:val="24"/>
        </w:rPr>
        <w:t xml:space="preserve"> </w:t>
      </w:r>
      <w:r w:rsidR="008E0D3C" w:rsidRPr="0098262F">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733"/>
        <w:gridCol w:w="5439"/>
        <w:gridCol w:w="1845"/>
      </w:tblGrid>
      <w:tr w:rsidR="008E0D3C" w:rsidRPr="006300FD" w14:paraId="6ACD35C4" w14:textId="77777777" w:rsidTr="009C2B1D">
        <w:trPr>
          <w:cantSplit/>
          <w:tblHeader/>
        </w:trPr>
        <w:tc>
          <w:tcPr>
            <w:tcW w:w="961" w:type="pct"/>
            <w:vAlign w:val="center"/>
          </w:tcPr>
          <w:p w14:paraId="20DEEB23" w14:textId="77777777" w:rsidR="008E0D3C" w:rsidRPr="006300FD" w:rsidRDefault="008E0D3C" w:rsidP="003A3A7B">
            <w:pPr>
              <w:pStyle w:val="In-tableHeading"/>
              <w:jc w:val="center"/>
              <w:rPr>
                <w:lang w:val="en-AU"/>
              </w:rPr>
            </w:pPr>
            <w:r w:rsidRPr="006300FD">
              <w:rPr>
                <w:lang w:val="en-AU"/>
              </w:rPr>
              <w:t>Trial ID</w:t>
            </w:r>
          </w:p>
        </w:tc>
        <w:tc>
          <w:tcPr>
            <w:tcW w:w="3016" w:type="pct"/>
            <w:vAlign w:val="center"/>
          </w:tcPr>
          <w:p w14:paraId="22EF6C51" w14:textId="77777777" w:rsidR="008E0D3C" w:rsidRPr="006300FD" w:rsidRDefault="008E0D3C" w:rsidP="003A3A7B">
            <w:pPr>
              <w:pStyle w:val="In-tableHeading"/>
              <w:rPr>
                <w:lang w:val="en-AU"/>
              </w:rPr>
            </w:pPr>
            <w:r w:rsidRPr="006300FD">
              <w:rPr>
                <w:lang w:val="en-AU"/>
              </w:rPr>
              <w:t>Protocol title/ Publication title</w:t>
            </w:r>
          </w:p>
        </w:tc>
        <w:tc>
          <w:tcPr>
            <w:tcW w:w="1023" w:type="pct"/>
            <w:vAlign w:val="center"/>
          </w:tcPr>
          <w:p w14:paraId="561B27A8" w14:textId="77777777" w:rsidR="008E0D3C" w:rsidRPr="006300FD" w:rsidRDefault="008E0D3C" w:rsidP="003A3A7B">
            <w:pPr>
              <w:pStyle w:val="In-tableHeading"/>
              <w:rPr>
                <w:lang w:val="en-AU"/>
              </w:rPr>
            </w:pPr>
            <w:r w:rsidRPr="006300FD">
              <w:rPr>
                <w:lang w:val="en-AU"/>
              </w:rPr>
              <w:t>Publication citation</w:t>
            </w:r>
          </w:p>
        </w:tc>
      </w:tr>
      <w:tr w:rsidR="004211A8" w:rsidRPr="006300FD" w14:paraId="298351BA" w14:textId="77777777" w:rsidTr="009C2B1D">
        <w:trPr>
          <w:cantSplit/>
        </w:trPr>
        <w:tc>
          <w:tcPr>
            <w:tcW w:w="961" w:type="pct"/>
            <w:vMerge w:val="restart"/>
            <w:vAlign w:val="center"/>
          </w:tcPr>
          <w:p w14:paraId="13FC39F8" w14:textId="77777777" w:rsidR="004211A8" w:rsidRPr="006300FD" w:rsidRDefault="004211A8" w:rsidP="003A3A7B">
            <w:pPr>
              <w:pStyle w:val="TableText0"/>
              <w:rPr>
                <w:rFonts w:eastAsia="Times New Roman" w:cs="Arial"/>
                <w:bCs w:val="0"/>
                <w:szCs w:val="20"/>
              </w:rPr>
            </w:pPr>
            <w:r w:rsidRPr="006300FD">
              <w:rPr>
                <w:rFonts w:eastAsia="Times New Roman" w:cs="Arial"/>
                <w:bCs w:val="0"/>
                <w:szCs w:val="20"/>
              </w:rPr>
              <w:t>PHAROS</w:t>
            </w:r>
          </w:p>
          <w:p w14:paraId="5D9482F5" w14:textId="3383D257" w:rsidR="004211A8" w:rsidRPr="006300FD" w:rsidRDefault="004211A8" w:rsidP="003A3A7B">
            <w:pPr>
              <w:pStyle w:val="TableText0"/>
              <w:rPr>
                <w:szCs w:val="20"/>
              </w:rPr>
            </w:pPr>
            <w:r w:rsidRPr="006300FD">
              <w:rPr>
                <w:rFonts w:cs="Arial"/>
                <w:szCs w:val="20"/>
              </w:rPr>
              <w:t>(NCT03915951)</w:t>
            </w:r>
          </w:p>
        </w:tc>
        <w:tc>
          <w:tcPr>
            <w:tcW w:w="3016" w:type="pct"/>
            <w:tcBorders>
              <w:bottom w:val="nil"/>
            </w:tcBorders>
          </w:tcPr>
          <w:p w14:paraId="2570DA6E" w14:textId="1378E5E5" w:rsidR="004211A8" w:rsidRPr="006300FD" w:rsidRDefault="004211A8" w:rsidP="003A3A7B">
            <w:pPr>
              <w:pStyle w:val="TableText0"/>
            </w:pPr>
            <w:r w:rsidRPr="006300FD">
              <w:t>Clinical Study Report: A phase 2, open</w:t>
            </w:r>
            <w:r w:rsidR="003A3A7B">
              <w:noBreakHyphen/>
            </w:r>
            <w:r w:rsidRPr="006300FD">
              <w:t xml:space="preserve">label study of </w:t>
            </w:r>
            <w:proofErr w:type="spellStart"/>
            <w:r w:rsidRPr="006300FD">
              <w:t>encorafenib</w:t>
            </w:r>
            <w:proofErr w:type="spellEnd"/>
            <w:r w:rsidRPr="006300FD">
              <w:t xml:space="preserve"> + </w:t>
            </w:r>
            <w:proofErr w:type="spellStart"/>
            <w:r w:rsidRPr="006300FD">
              <w:t>binimetinib</w:t>
            </w:r>
            <w:proofErr w:type="spellEnd"/>
            <w:r w:rsidRPr="006300FD">
              <w:t xml:space="preserve"> in patients with BRAF V600</w:t>
            </w:r>
            <w:r w:rsidR="003A3A7B">
              <w:noBreakHyphen/>
            </w:r>
            <w:r w:rsidRPr="006300FD">
              <w:t>mutant NSCLC.</w:t>
            </w:r>
          </w:p>
        </w:tc>
        <w:tc>
          <w:tcPr>
            <w:tcW w:w="1023" w:type="pct"/>
            <w:tcBorders>
              <w:bottom w:val="nil"/>
            </w:tcBorders>
          </w:tcPr>
          <w:p w14:paraId="73FD9926" w14:textId="77777777" w:rsidR="004211A8" w:rsidRPr="006300FD" w:rsidRDefault="004211A8" w:rsidP="003A3A7B">
            <w:pPr>
              <w:pStyle w:val="TableText0"/>
            </w:pPr>
            <w:r w:rsidRPr="006300FD">
              <w:t>22 September 2022</w:t>
            </w:r>
          </w:p>
          <w:p w14:paraId="7578773D" w14:textId="61AB1A56" w:rsidR="004211A8" w:rsidRPr="006300FD" w:rsidRDefault="004211A8" w:rsidP="003A3A7B">
            <w:pPr>
              <w:pStyle w:val="TableText0"/>
              <w:rPr>
                <w:rFonts w:ascii="Times" w:hAnsi="Times"/>
              </w:rPr>
            </w:pPr>
            <w:r w:rsidRPr="006300FD">
              <w:t>Recent DCO: 1 April 2024</w:t>
            </w:r>
          </w:p>
        </w:tc>
      </w:tr>
      <w:tr w:rsidR="004211A8" w:rsidRPr="006300FD" w14:paraId="7F06C7BE" w14:textId="77777777" w:rsidTr="009C2B1D">
        <w:trPr>
          <w:cantSplit/>
        </w:trPr>
        <w:tc>
          <w:tcPr>
            <w:tcW w:w="961" w:type="pct"/>
            <w:vMerge/>
            <w:vAlign w:val="center"/>
          </w:tcPr>
          <w:p w14:paraId="2DE31C12" w14:textId="7BFA1DAD" w:rsidR="004211A8" w:rsidRPr="006300FD" w:rsidRDefault="004211A8" w:rsidP="003A3A7B">
            <w:pPr>
              <w:pStyle w:val="TableText0"/>
              <w:jc w:val="center"/>
            </w:pPr>
          </w:p>
        </w:tc>
        <w:tc>
          <w:tcPr>
            <w:tcW w:w="3016" w:type="pct"/>
            <w:tcBorders>
              <w:top w:val="nil"/>
              <w:bottom w:val="nil"/>
            </w:tcBorders>
          </w:tcPr>
          <w:p w14:paraId="7CB8ADA9" w14:textId="629EB0E5" w:rsidR="004211A8" w:rsidRPr="006300FD" w:rsidRDefault="004211A8" w:rsidP="003A3A7B">
            <w:pPr>
              <w:pStyle w:val="TableText0"/>
            </w:pPr>
            <w:r w:rsidRPr="006300FD">
              <w:t>Riely, G. et al. Phase II, Open</w:t>
            </w:r>
            <w:r w:rsidR="003A3A7B">
              <w:noBreakHyphen/>
            </w:r>
            <w:r w:rsidRPr="006300FD">
              <w:t xml:space="preserve">Label Study of </w:t>
            </w:r>
            <w:proofErr w:type="spellStart"/>
            <w:r w:rsidRPr="006300FD">
              <w:t>Encorafenib</w:t>
            </w:r>
            <w:proofErr w:type="spellEnd"/>
            <w:r w:rsidRPr="006300FD">
              <w:t xml:space="preserve"> Plus </w:t>
            </w:r>
            <w:proofErr w:type="spellStart"/>
            <w:r w:rsidRPr="006300FD">
              <w:t>Binimetinib</w:t>
            </w:r>
            <w:proofErr w:type="spellEnd"/>
            <w:r w:rsidRPr="006300FD">
              <w:t xml:space="preserve"> in Patients With BRAF V600</w:t>
            </w:r>
            <w:r w:rsidR="003A3A7B">
              <w:noBreakHyphen/>
            </w:r>
            <w:r w:rsidRPr="006300FD">
              <w:t xml:space="preserve">Mutant Metastatic </w:t>
            </w:r>
            <w:r w:rsidR="00F10DBB" w:rsidRPr="006300FD">
              <w:t>Non</w:t>
            </w:r>
            <w:r w:rsidR="003A3A7B">
              <w:noBreakHyphen/>
            </w:r>
            <w:r w:rsidR="00F10DBB" w:rsidRPr="006300FD">
              <w:t>Small</w:t>
            </w:r>
            <w:r w:rsidR="003A3A7B">
              <w:noBreakHyphen/>
            </w:r>
            <w:r w:rsidRPr="006300FD">
              <w:t>Cell Lung Cancer.</w:t>
            </w:r>
          </w:p>
        </w:tc>
        <w:tc>
          <w:tcPr>
            <w:tcW w:w="1023" w:type="pct"/>
            <w:tcBorders>
              <w:top w:val="nil"/>
              <w:bottom w:val="nil"/>
            </w:tcBorders>
          </w:tcPr>
          <w:p w14:paraId="53EB2567" w14:textId="66D21D42" w:rsidR="004211A8" w:rsidRPr="006300FD" w:rsidRDefault="004211A8" w:rsidP="003A3A7B">
            <w:pPr>
              <w:pStyle w:val="TableText0"/>
            </w:pPr>
            <w:r w:rsidRPr="006300FD">
              <w:t>Journal of Clinical Oncology, 2023; 41(21): 3700</w:t>
            </w:r>
            <w:r w:rsidR="003A3A7B">
              <w:noBreakHyphen/>
            </w:r>
            <w:r w:rsidRPr="006300FD">
              <w:t>3711</w:t>
            </w:r>
          </w:p>
        </w:tc>
      </w:tr>
      <w:tr w:rsidR="004211A8" w:rsidRPr="006300FD" w14:paraId="7CBE7FE8" w14:textId="77777777" w:rsidTr="009C2B1D">
        <w:trPr>
          <w:cantSplit/>
        </w:trPr>
        <w:tc>
          <w:tcPr>
            <w:tcW w:w="961" w:type="pct"/>
            <w:vMerge/>
            <w:vAlign w:val="center"/>
          </w:tcPr>
          <w:p w14:paraId="6B199D4F" w14:textId="77777777" w:rsidR="004211A8" w:rsidRPr="006300FD" w:rsidRDefault="004211A8" w:rsidP="003A3A7B">
            <w:pPr>
              <w:pStyle w:val="TableText0"/>
              <w:jc w:val="center"/>
            </w:pPr>
          </w:p>
        </w:tc>
        <w:tc>
          <w:tcPr>
            <w:tcW w:w="3016" w:type="pct"/>
            <w:tcBorders>
              <w:top w:val="nil"/>
              <w:bottom w:val="nil"/>
            </w:tcBorders>
          </w:tcPr>
          <w:p w14:paraId="50B4E153" w14:textId="54E657A9" w:rsidR="004211A8" w:rsidRPr="006300FD" w:rsidRDefault="004211A8" w:rsidP="003A3A7B">
            <w:pPr>
              <w:pStyle w:val="TableText0"/>
            </w:pPr>
            <w:r w:rsidRPr="006300FD">
              <w:t xml:space="preserve">Riely, G. et al. LBA56 Updated efficacy and safety from the phase II PHAROS study of </w:t>
            </w:r>
            <w:proofErr w:type="spellStart"/>
            <w:r w:rsidRPr="006300FD">
              <w:t>encorafenib</w:t>
            </w:r>
            <w:proofErr w:type="spellEnd"/>
            <w:r w:rsidRPr="006300FD">
              <w:t xml:space="preserve"> plus </w:t>
            </w:r>
            <w:proofErr w:type="spellStart"/>
            <w:r w:rsidRPr="006300FD">
              <w:t>binimetinib</w:t>
            </w:r>
            <w:proofErr w:type="spellEnd"/>
            <w:r w:rsidRPr="006300FD">
              <w:t xml:space="preserve"> in patients with BRAF V600E</w:t>
            </w:r>
            <w:r w:rsidR="003A3A7B">
              <w:noBreakHyphen/>
            </w:r>
            <w:r w:rsidRPr="006300FD">
              <w:t>mutant metastatic NSCLC (</w:t>
            </w:r>
            <w:proofErr w:type="spellStart"/>
            <w:r w:rsidRPr="006300FD">
              <w:t>mNSCLC</w:t>
            </w:r>
            <w:proofErr w:type="spellEnd"/>
            <w:r w:rsidRPr="006300FD">
              <w:t>).</w:t>
            </w:r>
          </w:p>
        </w:tc>
        <w:tc>
          <w:tcPr>
            <w:tcW w:w="1023" w:type="pct"/>
            <w:tcBorders>
              <w:top w:val="nil"/>
              <w:bottom w:val="nil"/>
            </w:tcBorders>
          </w:tcPr>
          <w:p w14:paraId="46351048" w14:textId="41EE4086" w:rsidR="004211A8" w:rsidRPr="006300FD" w:rsidRDefault="004211A8" w:rsidP="003A3A7B">
            <w:pPr>
              <w:pStyle w:val="TableText0"/>
            </w:pPr>
            <w:r w:rsidRPr="006300FD">
              <w:t>Annals of Oncology, 2024; 35</w:t>
            </w:r>
            <w:r w:rsidR="004E421B" w:rsidRPr="006300FD">
              <w:t>(2 Supplement</w:t>
            </w:r>
            <w:r w:rsidR="006C54D5" w:rsidRPr="006300FD">
              <w:t>)</w:t>
            </w:r>
            <w:r w:rsidRPr="006300FD">
              <w:t>:</w:t>
            </w:r>
            <w:r w:rsidR="004E421B" w:rsidRPr="006300FD">
              <w:t xml:space="preserve"> </w:t>
            </w:r>
            <w:r w:rsidRPr="006300FD">
              <w:t>S1246</w:t>
            </w:r>
            <w:r w:rsidR="003A3A7B">
              <w:noBreakHyphen/>
            </w:r>
            <w:r w:rsidRPr="006300FD">
              <w:t>S1247</w:t>
            </w:r>
          </w:p>
        </w:tc>
      </w:tr>
      <w:tr w:rsidR="004211A8" w:rsidRPr="006300FD" w14:paraId="0C08C872" w14:textId="77777777" w:rsidTr="009C2B1D">
        <w:trPr>
          <w:cantSplit/>
        </w:trPr>
        <w:tc>
          <w:tcPr>
            <w:tcW w:w="961" w:type="pct"/>
            <w:vMerge/>
            <w:vAlign w:val="center"/>
          </w:tcPr>
          <w:p w14:paraId="333DDABF" w14:textId="77777777" w:rsidR="004211A8" w:rsidRPr="006300FD" w:rsidRDefault="004211A8" w:rsidP="003A3A7B">
            <w:pPr>
              <w:pStyle w:val="TableText0"/>
              <w:jc w:val="center"/>
            </w:pPr>
          </w:p>
        </w:tc>
        <w:tc>
          <w:tcPr>
            <w:tcW w:w="3016" w:type="pct"/>
            <w:tcBorders>
              <w:top w:val="nil"/>
              <w:bottom w:val="nil"/>
            </w:tcBorders>
          </w:tcPr>
          <w:p w14:paraId="66FDA7C7" w14:textId="5BF1D8D7" w:rsidR="004211A8" w:rsidRPr="006300FD" w:rsidRDefault="004211A8" w:rsidP="003A3A7B">
            <w:pPr>
              <w:pStyle w:val="TableText0"/>
            </w:pPr>
            <w:r w:rsidRPr="006300FD">
              <w:t xml:space="preserve">Riely, G. et al. Efficacy and safety of </w:t>
            </w:r>
            <w:proofErr w:type="spellStart"/>
            <w:r w:rsidRPr="006300FD">
              <w:t>encorafenib</w:t>
            </w:r>
            <w:proofErr w:type="spellEnd"/>
            <w:r w:rsidRPr="006300FD">
              <w:t xml:space="preserve"> (</w:t>
            </w:r>
            <w:proofErr w:type="spellStart"/>
            <w:r w:rsidRPr="006300FD">
              <w:t>enco</w:t>
            </w:r>
            <w:proofErr w:type="spellEnd"/>
            <w:r w:rsidRPr="006300FD">
              <w:t xml:space="preserve">) plus </w:t>
            </w:r>
            <w:proofErr w:type="spellStart"/>
            <w:r w:rsidRPr="006300FD">
              <w:t>binimetinib</w:t>
            </w:r>
            <w:proofErr w:type="spellEnd"/>
            <w:r w:rsidRPr="006300FD">
              <w:t xml:space="preserve"> (</w:t>
            </w:r>
            <w:proofErr w:type="spellStart"/>
            <w:r w:rsidRPr="006300FD">
              <w:t>bini</w:t>
            </w:r>
            <w:proofErr w:type="spellEnd"/>
            <w:r w:rsidRPr="006300FD">
              <w:t>) in patients with BRAF V600E</w:t>
            </w:r>
            <w:r w:rsidR="003A3A7B">
              <w:noBreakHyphen/>
            </w:r>
            <w:r w:rsidRPr="006300FD">
              <w:t>mutant (BRAF V600E) metastatic non</w:t>
            </w:r>
            <w:r w:rsidR="003A3A7B">
              <w:noBreakHyphen/>
            </w:r>
            <w:r w:rsidRPr="006300FD">
              <w:t>small cell lung cancer (NSCLC) from the phase 2 PHAROS study.</w:t>
            </w:r>
          </w:p>
        </w:tc>
        <w:tc>
          <w:tcPr>
            <w:tcW w:w="1023" w:type="pct"/>
            <w:tcBorders>
              <w:top w:val="nil"/>
              <w:bottom w:val="nil"/>
            </w:tcBorders>
          </w:tcPr>
          <w:p w14:paraId="2C1A67B1" w14:textId="2A965280" w:rsidR="004211A8" w:rsidRPr="006300FD" w:rsidRDefault="004211A8" w:rsidP="003A3A7B">
            <w:pPr>
              <w:pStyle w:val="TableText0"/>
            </w:pPr>
            <w:r w:rsidRPr="006300FD">
              <w:t>Journal of Clinical Oncology, 2023; 41(16 Supplement): 9018</w:t>
            </w:r>
          </w:p>
        </w:tc>
      </w:tr>
      <w:tr w:rsidR="004211A8" w:rsidRPr="006300FD" w14:paraId="5524A234" w14:textId="77777777" w:rsidTr="009C2B1D">
        <w:trPr>
          <w:cantSplit/>
        </w:trPr>
        <w:tc>
          <w:tcPr>
            <w:tcW w:w="961" w:type="pct"/>
            <w:vMerge/>
            <w:tcBorders>
              <w:bottom w:val="nil"/>
            </w:tcBorders>
            <w:vAlign w:val="center"/>
          </w:tcPr>
          <w:p w14:paraId="651F59CD" w14:textId="77777777" w:rsidR="004211A8" w:rsidRPr="006300FD" w:rsidRDefault="004211A8" w:rsidP="003A3A7B">
            <w:pPr>
              <w:pStyle w:val="TableText0"/>
              <w:jc w:val="center"/>
            </w:pPr>
          </w:p>
        </w:tc>
        <w:tc>
          <w:tcPr>
            <w:tcW w:w="3016" w:type="pct"/>
            <w:tcBorders>
              <w:top w:val="nil"/>
              <w:bottom w:val="nil"/>
            </w:tcBorders>
          </w:tcPr>
          <w:p w14:paraId="7EC50CB3" w14:textId="139B761E" w:rsidR="004211A8" w:rsidRPr="006300FD" w:rsidRDefault="004211A8" w:rsidP="003A3A7B">
            <w:pPr>
              <w:pStyle w:val="TableText0"/>
            </w:pPr>
            <w:r w:rsidRPr="006300FD">
              <w:t xml:space="preserve">Smit, E. et al. Updated Safety Analysis of </w:t>
            </w:r>
            <w:proofErr w:type="spellStart"/>
            <w:r w:rsidRPr="006300FD">
              <w:t>Encorafenib</w:t>
            </w:r>
            <w:proofErr w:type="spellEnd"/>
            <w:r w:rsidRPr="006300FD">
              <w:t xml:space="preserve"> Plus </w:t>
            </w:r>
            <w:proofErr w:type="spellStart"/>
            <w:r w:rsidRPr="006300FD">
              <w:t>Binimetinib</w:t>
            </w:r>
            <w:proofErr w:type="spellEnd"/>
            <w:r w:rsidRPr="006300FD">
              <w:t xml:space="preserve"> in Patients with BRAF V600e</w:t>
            </w:r>
            <w:r w:rsidR="003A3A7B">
              <w:noBreakHyphen/>
            </w:r>
            <w:r w:rsidRPr="006300FD">
              <w:t>Mutant Metastatic NSCLC from PHAROS Study.</w:t>
            </w:r>
          </w:p>
        </w:tc>
        <w:tc>
          <w:tcPr>
            <w:tcW w:w="1023" w:type="pct"/>
            <w:tcBorders>
              <w:top w:val="nil"/>
              <w:bottom w:val="nil"/>
            </w:tcBorders>
          </w:tcPr>
          <w:p w14:paraId="68851933" w14:textId="36F35682" w:rsidR="004211A8" w:rsidRPr="006300FD" w:rsidRDefault="004211A8" w:rsidP="003A3A7B">
            <w:pPr>
              <w:pStyle w:val="TableText0"/>
            </w:pPr>
            <w:r w:rsidRPr="006300FD">
              <w:t>Journal of Thoracic Oncology, 2024</w:t>
            </w:r>
            <w:r w:rsidR="006C54D5" w:rsidRPr="006300FD">
              <w:t>;</w:t>
            </w:r>
            <w:r w:rsidRPr="006300FD">
              <w:t xml:space="preserve"> 19(10 Supplement)</w:t>
            </w:r>
            <w:r w:rsidR="006C54D5" w:rsidRPr="006300FD">
              <w:t>:</w:t>
            </w:r>
            <w:r w:rsidRPr="006300FD">
              <w:t xml:space="preserve"> S77</w:t>
            </w:r>
            <w:r w:rsidR="003A3A7B">
              <w:noBreakHyphen/>
            </w:r>
            <w:r w:rsidRPr="006300FD">
              <w:t>S78</w:t>
            </w:r>
          </w:p>
        </w:tc>
      </w:tr>
      <w:tr w:rsidR="009C2B1D" w:rsidRPr="006300FD" w14:paraId="5E94B880" w14:textId="77777777" w:rsidTr="009C2B1D">
        <w:trPr>
          <w:cantSplit/>
        </w:trPr>
        <w:tc>
          <w:tcPr>
            <w:tcW w:w="961" w:type="pct"/>
            <w:vMerge w:val="restart"/>
            <w:vAlign w:val="center"/>
          </w:tcPr>
          <w:p w14:paraId="564FBAB9" w14:textId="77777777" w:rsidR="009C2B1D" w:rsidRPr="006300FD" w:rsidRDefault="009C2B1D" w:rsidP="003A3A7B">
            <w:pPr>
              <w:pStyle w:val="TableText0"/>
            </w:pPr>
            <w:r w:rsidRPr="006300FD">
              <w:t>BRF113928</w:t>
            </w:r>
          </w:p>
          <w:p w14:paraId="4BBB2C50" w14:textId="77777777" w:rsidR="009C2B1D" w:rsidRPr="006300FD" w:rsidRDefault="009C2B1D" w:rsidP="003A3A7B">
            <w:pPr>
              <w:pStyle w:val="TableText0"/>
            </w:pPr>
            <w:r w:rsidRPr="006300FD">
              <w:t>(NCT01336634)</w:t>
            </w:r>
          </w:p>
        </w:tc>
        <w:tc>
          <w:tcPr>
            <w:tcW w:w="3016" w:type="pct"/>
            <w:tcBorders>
              <w:bottom w:val="nil"/>
            </w:tcBorders>
          </w:tcPr>
          <w:p w14:paraId="669FE27C" w14:textId="59069DE8" w:rsidR="009C2B1D" w:rsidRPr="006300FD" w:rsidRDefault="009C2B1D" w:rsidP="003A3A7B">
            <w:pPr>
              <w:pStyle w:val="TableText0"/>
            </w:pPr>
            <w:r w:rsidRPr="006300FD">
              <w:t>Planchard, D. et al. Dabrafenib plus trametinib in patients with previously treated BRAFV600E</w:t>
            </w:r>
            <w:r w:rsidR="003A3A7B">
              <w:noBreakHyphen/>
            </w:r>
            <w:r w:rsidRPr="006300FD">
              <w:t>mutant metastatic non</w:t>
            </w:r>
            <w:r w:rsidR="003A3A7B">
              <w:noBreakHyphen/>
            </w:r>
            <w:r w:rsidRPr="006300FD">
              <w:t>small cell lung cancer: an open</w:t>
            </w:r>
            <w:r w:rsidR="003A3A7B">
              <w:noBreakHyphen/>
            </w:r>
            <w:r w:rsidRPr="006300FD">
              <w:t>label, multicentre phase 2 trial.</w:t>
            </w:r>
          </w:p>
        </w:tc>
        <w:tc>
          <w:tcPr>
            <w:tcW w:w="1023" w:type="pct"/>
            <w:tcBorders>
              <w:bottom w:val="nil"/>
            </w:tcBorders>
          </w:tcPr>
          <w:p w14:paraId="1EC09EB1" w14:textId="76FAACCB" w:rsidR="009C2B1D" w:rsidRPr="006300FD" w:rsidRDefault="009C2B1D" w:rsidP="003A3A7B">
            <w:pPr>
              <w:pStyle w:val="TableText0"/>
            </w:pPr>
            <w:r w:rsidRPr="006300FD">
              <w:t>The Lancet Oncology 2016; 17: 984</w:t>
            </w:r>
            <w:r w:rsidR="003A3A7B">
              <w:noBreakHyphen/>
            </w:r>
            <w:r w:rsidRPr="006300FD">
              <w:t>993</w:t>
            </w:r>
          </w:p>
        </w:tc>
      </w:tr>
      <w:tr w:rsidR="009C2B1D" w:rsidRPr="006300FD" w14:paraId="33A970EF" w14:textId="77777777" w:rsidTr="009C2B1D">
        <w:trPr>
          <w:cantSplit/>
        </w:trPr>
        <w:tc>
          <w:tcPr>
            <w:tcW w:w="961" w:type="pct"/>
            <w:vMerge/>
            <w:vAlign w:val="center"/>
          </w:tcPr>
          <w:p w14:paraId="0A76FC4A" w14:textId="77777777" w:rsidR="009C2B1D" w:rsidRPr="006300FD" w:rsidRDefault="009C2B1D" w:rsidP="003A3A7B">
            <w:pPr>
              <w:pStyle w:val="TableText0"/>
            </w:pPr>
          </w:p>
        </w:tc>
        <w:tc>
          <w:tcPr>
            <w:tcW w:w="3016" w:type="pct"/>
            <w:tcBorders>
              <w:top w:val="nil"/>
              <w:bottom w:val="nil"/>
            </w:tcBorders>
          </w:tcPr>
          <w:p w14:paraId="11B96B0B" w14:textId="6A0D1396" w:rsidR="009C2B1D" w:rsidRPr="006300FD" w:rsidRDefault="009C2B1D" w:rsidP="003A3A7B">
            <w:pPr>
              <w:pStyle w:val="TableText0"/>
            </w:pPr>
            <w:r w:rsidRPr="006300FD">
              <w:t>Planchard, D. et al. An open</w:t>
            </w:r>
            <w:r w:rsidR="003A3A7B">
              <w:noBreakHyphen/>
            </w:r>
            <w:r w:rsidRPr="006300FD">
              <w:t>label phase II trial of dabrafenib (D) in combination with trametinib (T) in patients (pts) with previously treated BRAF V600E</w:t>
            </w:r>
            <w:r w:rsidR="003A3A7B">
              <w:noBreakHyphen/>
            </w:r>
            <w:r w:rsidRPr="006300FD">
              <w:t>mutant advanced non</w:t>
            </w:r>
            <w:r w:rsidR="003A3A7B">
              <w:noBreakHyphen/>
            </w:r>
            <w:r w:rsidRPr="006300FD">
              <w:t>small cell lung cancer (NSCLC; BRF113928).</w:t>
            </w:r>
          </w:p>
        </w:tc>
        <w:tc>
          <w:tcPr>
            <w:tcW w:w="1023" w:type="pct"/>
            <w:tcBorders>
              <w:top w:val="nil"/>
              <w:bottom w:val="nil"/>
            </w:tcBorders>
          </w:tcPr>
          <w:p w14:paraId="114C3567" w14:textId="77777777" w:rsidR="009C2B1D" w:rsidRPr="006300FD" w:rsidRDefault="009C2B1D" w:rsidP="003A3A7B">
            <w:pPr>
              <w:pStyle w:val="TableText0"/>
            </w:pPr>
            <w:r w:rsidRPr="006300FD">
              <w:t>Journal of Clinical Oncology 2016; 34 (Supplement 15)</w:t>
            </w:r>
          </w:p>
        </w:tc>
      </w:tr>
      <w:tr w:rsidR="009C2B1D" w:rsidRPr="006300FD" w14:paraId="5D4261DC" w14:textId="77777777" w:rsidTr="009C2B1D">
        <w:trPr>
          <w:cantSplit/>
        </w:trPr>
        <w:tc>
          <w:tcPr>
            <w:tcW w:w="961" w:type="pct"/>
            <w:vMerge/>
            <w:vAlign w:val="center"/>
          </w:tcPr>
          <w:p w14:paraId="065E435D" w14:textId="77777777" w:rsidR="009C2B1D" w:rsidRPr="006300FD" w:rsidRDefault="009C2B1D" w:rsidP="003A3A7B">
            <w:pPr>
              <w:pStyle w:val="TableText0"/>
            </w:pPr>
          </w:p>
        </w:tc>
        <w:tc>
          <w:tcPr>
            <w:tcW w:w="3016" w:type="pct"/>
            <w:tcBorders>
              <w:top w:val="nil"/>
              <w:bottom w:val="nil"/>
            </w:tcBorders>
          </w:tcPr>
          <w:p w14:paraId="694B05A6" w14:textId="4C6D44C0" w:rsidR="009C2B1D" w:rsidRPr="006300FD" w:rsidRDefault="009C2B1D" w:rsidP="003A3A7B">
            <w:pPr>
              <w:pStyle w:val="TableText0"/>
            </w:pPr>
            <w:r w:rsidRPr="006300FD">
              <w:t>Planchard, D. et al. Dabrafenib plus trametinib in patients with previously untreated BRAFV600E</w:t>
            </w:r>
            <w:r w:rsidR="003A3A7B">
              <w:noBreakHyphen/>
            </w:r>
            <w:r w:rsidRPr="006300FD">
              <w:t>mutant metastatic non</w:t>
            </w:r>
            <w:r w:rsidR="003A3A7B">
              <w:noBreakHyphen/>
            </w:r>
            <w:r w:rsidRPr="006300FD">
              <w:t>small</w:t>
            </w:r>
            <w:r w:rsidR="003A3A7B">
              <w:noBreakHyphen/>
            </w:r>
            <w:r w:rsidRPr="006300FD">
              <w:t>cell lung cancer: an open</w:t>
            </w:r>
            <w:r w:rsidR="003A3A7B">
              <w:noBreakHyphen/>
            </w:r>
            <w:r w:rsidRPr="006300FD">
              <w:t>label, phase 2 trial.</w:t>
            </w:r>
          </w:p>
        </w:tc>
        <w:tc>
          <w:tcPr>
            <w:tcW w:w="1023" w:type="pct"/>
            <w:tcBorders>
              <w:top w:val="nil"/>
              <w:bottom w:val="nil"/>
            </w:tcBorders>
          </w:tcPr>
          <w:p w14:paraId="7E249A5A" w14:textId="0E8D2888" w:rsidR="009C2B1D" w:rsidRPr="006300FD" w:rsidRDefault="009C2B1D" w:rsidP="003A3A7B">
            <w:pPr>
              <w:pStyle w:val="TableText0"/>
            </w:pPr>
            <w:r w:rsidRPr="006300FD">
              <w:t>The Lancet Oncology 2017; 18: 1307</w:t>
            </w:r>
            <w:r w:rsidR="003A3A7B">
              <w:noBreakHyphen/>
            </w:r>
            <w:r w:rsidRPr="006300FD">
              <w:t>1316</w:t>
            </w:r>
          </w:p>
        </w:tc>
      </w:tr>
      <w:tr w:rsidR="009C2B1D" w:rsidRPr="006300FD" w14:paraId="5FE95078" w14:textId="77777777" w:rsidTr="009C2B1D">
        <w:trPr>
          <w:cantSplit/>
        </w:trPr>
        <w:tc>
          <w:tcPr>
            <w:tcW w:w="961" w:type="pct"/>
            <w:vMerge/>
            <w:vAlign w:val="center"/>
          </w:tcPr>
          <w:p w14:paraId="56B115CE" w14:textId="77777777" w:rsidR="009C2B1D" w:rsidRPr="006300FD" w:rsidRDefault="009C2B1D" w:rsidP="003A3A7B">
            <w:pPr>
              <w:pStyle w:val="TableText0"/>
            </w:pPr>
          </w:p>
        </w:tc>
        <w:tc>
          <w:tcPr>
            <w:tcW w:w="3016" w:type="pct"/>
            <w:tcBorders>
              <w:top w:val="nil"/>
              <w:bottom w:val="nil"/>
            </w:tcBorders>
          </w:tcPr>
          <w:p w14:paraId="629E545A" w14:textId="274EEAA7" w:rsidR="009C2B1D" w:rsidRPr="006300FD" w:rsidRDefault="009C2B1D" w:rsidP="003A3A7B">
            <w:pPr>
              <w:pStyle w:val="TableText0"/>
            </w:pPr>
            <w:r w:rsidRPr="006300FD">
              <w:t>Planchard, D. et al. Phase 2 trial (BRF113928) of dabrafenib (D) plus trametinib (T) in patients (pts) with previously untreated BRAF V600E</w:t>
            </w:r>
            <w:r w:rsidR="003A3A7B">
              <w:noBreakHyphen/>
            </w:r>
            <w:r w:rsidRPr="006300FD">
              <w:t>mutant metastatic non</w:t>
            </w:r>
            <w:r w:rsidR="003A3A7B">
              <w:noBreakHyphen/>
            </w:r>
            <w:r w:rsidRPr="006300FD">
              <w:t>small cell lung cancer (NSCLC).</w:t>
            </w:r>
          </w:p>
        </w:tc>
        <w:tc>
          <w:tcPr>
            <w:tcW w:w="1023" w:type="pct"/>
            <w:tcBorders>
              <w:top w:val="nil"/>
              <w:bottom w:val="nil"/>
            </w:tcBorders>
          </w:tcPr>
          <w:p w14:paraId="6F16FCB3" w14:textId="77777777" w:rsidR="009C2B1D" w:rsidRPr="006300FD" w:rsidRDefault="009C2B1D" w:rsidP="003A3A7B">
            <w:pPr>
              <w:pStyle w:val="TableText0"/>
            </w:pPr>
            <w:r w:rsidRPr="006300FD">
              <w:t>Annals of Oncology, 2017; 28(Supplement 5): v637</w:t>
            </w:r>
          </w:p>
        </w:tc>
      </w:tr>
      <w:tr w:rsidR="009C2B1D" w:rsidRPr="006300FD" w14:paraId="4CDEAF94" w14:textId="77777777" w:rsidTr="009C2B1D">
        <w:trPr>
          <w:cantSplit/>
        </w:trPr>
        <w:tc>
          <w:tcPr>
            <w:tcW w:w="961" w:type="pct"/>
            <w:vMerge/>
            <w:tcBorders>
              <w:bottom w:val="single" w:sz="4" w:space="0" w:color="auto"/>
            </w:tcBorders>
            <w:vAlign w:val="center"/>
          </w:tcPr>
          <w:p w14:paraId="14C0E5BC" w14:textId="77777777" w:rsidR="009C2B1D" w:rsidRPr="006300FD" w:rsidRDefault="009C2B1D" w:rsidP="003A3A7B">
            <w:pPr>
              <w:pStyle w:val="TableText0"/>
            </w:pPr>
          </w:p>
        </w:tc>
        <w:tc>
          <w:tcPr>
            <w:tcW w:w="3016" w:type="pct"/>
            <w:tcBorders>
              <w:top w:val="nil"/>
              <w:bottom w:val="single" w:sz="4" w:space="0" w:color="auto"/>
            </w:tcBorders>
          </w:tcPr>
          <w:p w14:paraId="473A247B" w14:textId="04B42643" w:rsidR="009C2B1D" w:rsidRPr="006300FD" w:rsidRDefault="009C2B1D" w:rsidP="003A3A7B">
            <w:pPr>
              <w:pStyle w:val="TableText0"/>
              <w:rPr>
                <w:rFonts w:ascii="Times" w:hAnsi="Times"/>
              </w:rPr>
            </w:pPr>
            <w:r w:rsidRPr="006300FD">
              <w:t>Planchard, D. et al. Phase 2 Study of Dabrafenib Plus Trametinib in Patients With BRAF V600E</w:t>
            </w:r>
            <w:r w:rsidR="003A3A7B">
              <w:noBreakHyphen/>
            </w:r>
            <w:r w:rsidRPr="006300FD">
              <w:t>Mutant Metastatic NSCLC: Updated 5</w:t>
            </w:r>
            <w:r w:rsidR="003A3A7B">
              <w:noBreakHyphen/>
            </w:r>
            <w:r w:rsidRPr="006300FD">
              <w:t>Year Survival Rates and Genomic Analysis.</w:t>
            </w:r>
          </w:p>
        </w:tc>
        <w:tc>
          <w:tcPr>
            <w:tcW w:w="1023" w:type="pct"/>
            <w:tcBorders>
              <w:top w:val="nil"/>
              <w:bottom w:val="single" w:sz="4" w:space="0" w:color="auto"/>
            </w:tcBorders>
          </w:tcPr>
          <w:p w14:paraId="1C964B97" w14:textId="5F3E941D" w:rsidR="009C2B1D" w:rsidRPr="006300FD" w:rsidRDefault="009C2B1D" w:rsidP="003A3A7B">
            <w:pPr>
              <w:pStyle w:val="TableText0"/>
            </w:pPr>
            <w:r w:rsidRPr="006300FD">
              <w:t>Journal of Thoracic Oncology, 2022; 17(1):103</w:t>
            </w:r>
            <w:r w:rsidR="003A3A7B">
              <w:noBreakHyphen/>
            </w:r>
            <w:r w:rsidRPr="006300FD">
              <w:t>115</w:t>
            </w:r>
          </w:p>
        </w:tc>
      </w:tr>
      <w:tr w:rsidR="00B7276B" w:rsidRPr="006300FD" w14:paraId="74132A1A" w14:textId="77777777" w:rsidTr="009C2B1D">
        <w:trPr>
          <w:cantSplit/>
        </w:trPr>
        <w:tc>
          <w:tcPr>
            <w:tcW w:w="961" w:type="pct"/>
            <w:vMerge w:val="restart"/>
            <w:vAlign w:val="center"/>
          </w:tcPr>
          <w:p w14:paraId="46F61015" w14:textId="64ED5564" w:rsidR="00B7276B" w:rsidRPr="006300FD" w:rsidRDefault="00B7276B" w:rsidP="003A3A7B">
            <w:pPr>
              <w:pStyle w:val="TableText0"/>
            </w:pPr>
            <w:r w:rsidRPr="006300FD">
              <w:t>KN</w:t>
            </w:r>
            <w:r w:rsidR="003A3A7B">
              <w:noBreakHyphen/>
            </w:r>
            <w:r w:rsidRPr="006300FD">
              <w:t>189</w:t>
            </w:r>
          </w:p>
          <w:p w14:paraId="30BA87AC" w14:textId="0C6C79E6" w:rsidR="00B7276B" w:rsidRPr="006300FD" w:rsidRDefault="00B7276B" w:rsidP="003A3A7B">
            <w:pPr>
              <w:pStyle w:val="TableText0"/>
              <w:rPr>
                <w:rFonts w:ascii="Times" w:hAnsi="Times"/>
              </w:rPr>
            </w:pPr>
            <w:r w:rsidRPr="006300FD">
              <w:t>(NCT02578680)</w:t>
            </w:r>
          </w:p>
        </w:tc>
        <w:tc>
          <w:tcPr>
            <w:tcW w:w="3016" w:type="pct"/>
            <w:tcBorders>
              <w:bottom w:val="nil"/>
            </w:tcBorders>
          </w:tcPr>
          <w:p w14:paraId="7EF3AEBB" w14:textId="79122703" w:rsidR="00B7276B" w:rsidRPr="006300FD" w:rsidRDefault="00B7276B" w:rsidP="003A3A7B">
            <w:pPr>
              <w:pStyle w:val="TableText0"/>
              <w:rPr>
                <w:rFonts w:ascii="Times" w:hAnsi="Times"/>
              </w:rPr>
            </w:pPr>
            <w:r w:rsidRPr="006300FD">
              <w:t>Gandhi, L. et al. Pembrolizumab plus chemotherapy in metastatic non</w:t>
            </w:r>
            <w:r w:rsidR="003A3A7B">
              <w:noBreakHyphen/>
            </w:r>
            <w:r w:rsidRPr="006300FD">
              <w:t>small cell lung cancer.</w:t>
            </w:r>
          </w:p>
        </w:tc>
        <w:tc>
          <w:tcPr>
            <w:tcW w:w="1023" w:type="pct"/>
            <w:tcBorders>
              <w:bottom w:val="nil"/>
            </w:tcBorders>
          </w:tcPr>
          <w:p w14:paraId="65832AF0" w14:textId="7B1E8BC0" w:rsidR="00B7276B" w:rsidRPr="006300FD" w:rsidRDefault="00B7276B" w:rsidP="003A3A7B">
            <w:pPr>
              <w:pStyle w:val="TableText0"/>
            </w:pPr>
            <w:r w:rsidRPr="006300FD">
              <w:t>New England Journal of Medicine 2018; 378(22):2078</w:t>
            </w:r>
            <w:r w:rsidR="003A3A7B">
              <w:noBreakHyphen/>
            </w:r>
            <w:r w:rsidRPr="006300FD">
              <w:t>2092.</w:t>
            </w:r>
          </w:p>
        </w:tc>
      </w:tr>
      <w:tr w:rsidR="00B7276B" w:rsidRPr="006300FD" w14:paraId="72FE99D8" w14:textId="77777777" w:rsidTr="009C2B1D">
        <w:trPr>
          <w:cantSplit/>
        </w:trPr>
        <w:tc>
          <w:tcPr>
            <w:tcW w:w="961" w:type="pct"/>
            <w:vMerge/>
            <w:vAlign w:val="center"/>
          </w:tcPr>
          <w:p w14:paraId="1E431D63" w14:textId="177A5F18" w:rsidR="00B7276B" w:rsidRPr="006300FD" w:rsidRDefault="00B7276B" w:rsidP="003A3A7B">
            <w:pPr>
              <w:pStyle w:val="TableText0"/>
              <w:jc w:val="center"/>
            </w:pPr>
          </w:p>
        </w:tc>
        <w:tc>
          <w:tcPr>
            <w:tcW w:w="3016" w:type="pct"/>
            <w:tcBorders>
              <w:top w:val="nil"/>
              <w:bottom w:val="nil"/>
            </w:tcBorders>
          </w:tcPr>
          <w:p w14:paraId="0FCB0ED9" w14:textId="727DF9BB" w:rsidR="00B7276B" w:rsidRPr="006300FD" w:rsidRDefault="00B7276B" w:rsidP="003A3A7B">
            <w:pPr>
              <w:pStyle w:val="TableText0"/>
            </w:pPr>
            <w:proofErr w:type="spellStart"/>
            <w:r w:rsidRPr="006300FD">
              <w:t>Garassino</w:t>
            </w:r>
            <w:proofErr w:type="spellEnd"/>
            <w:r w:rsidRPr="006300FD">
              <w:t>, M. et al. Pembrolizumab plus pemetrexed and platinum in non</w:t>
            </w:r>
            <w:r w:rsidR="003A3A7B">
              <w:noBreakHyphen/>
            </w:r>
            <w:r w:rsidRPr="006300FD">
              <w:t>squamous non</w:t>
            </w:r>
            <w:r w:rsidR="003A3A7B">
              <w:noBreakHyphen/>
            </w:r>
            <w:r w:rsidRPr="006300FD">
              <w:t>small cell lung cancer: 5</w:t>
            </w:r>
            <w:r w:rsidR="003A3A7B">
              <w:noBreakHyphen/>
            </w:r>
            <w:r w:rsidRPr="006300FD">
              <w:t>year outcomes from the Phase 3 KEYNOTE</w:t>
            </w:r>
            <w:r w:rsidR="003A3A7B">
              <w:noBreakHyphen/>
            </w:r>
            <w:r w:rsidRPr="006300FD">
              <w:t>189 study.</w:t>
            </w:r>
          </w:p>
        </w:tc>
        <w:tc>
          <w:tcPr>
            <w:tcW w:w="1023" w:type="pct"/>
            <w:tcBorders>
              <w:top w:val="nil"/>
              <w:bottom w:val="nil"/>
            </w:tcBorders>
          </w:tcPr>
          <w:p w14:paraId="7C0550ED" w14:textId="3836D1F4" w:rsidR="00B7276B" w:rsidRPr="006300FD" w:rsidRDefault="00B7276B" w:rsidP="003A3A7B">
            <w:pPr>
              <w:pStyle w:val="TableText0"/>
            </w:pPr>
            <w:r w:rsidRPr="006300FD">
              <w:t>Journal of Clinical Oncology 2023; 41(11):1992</w:t>
            </w:r>
            <w:r w:rsidR="003A3A7B">
              <w:noBreakHyphen/>
            </w:r>
            <w:r w:rsidRPr="006300FD">
              <w:t>1998.</w:t>
            </w:r>
          </w:p>
        </w:tc>
      </w:tr>
      <w:tr w:rsidR="00B7276B" w:rsidRPr="006300FD" w14:paraId="340757F6" w14:textId="77777777" w:rsidTr="009C2B1D">
        <w:trPr>
          <w:cantSplit/>
        </w:trPr>
        <w:tc>
          <w:tcPr>
            <w:tcW w:w="961" w:type="pct"/>
            <w:vMerge/>
            <w:vAlign w:val="center"/>
          </w:tcPr>
          <w:p w14:paraId="2C60D627" w14:textId="77777777" w:rsidR="00B7276B" w:rsidRPr="006300FD" w:rsidRDefault="00B7276B" w:rsidP="003A3A7B">
            <w:pPr>
              <w:pStyle w:val="TableText0"/>
              <w:jc w:val="center"/>
            </w:pPr>
          </w:p>
        </w:tc>
        <w:tc>
          <w:tcPr>
            <w:tcW w:w="3016" w:type="pct"/>
            <w:tcBorders>
              <w:top w:val="nil"/>
              <w:bottom w:val="nil"/>
            </w:tcBorders>
          </w:tcPr>
          <w:p w14:paraId="1A045230" w14:textId="030F77FE" w:rsidR="00B7276B" w:rsidRPr="006300FD" w:rsidRDefault="00B7276B" w:rsidP="003A3A7B">
            <w:pPr>
              <w:pStyle w:val="TableText0"/>
            </w:pPr>
            <w:proofErr w:type="spellStart"/>
            <w:r w:rsidRPr="006300FD">
              <w:t>Gadgeel</w:t>
            </w:r>
            <w:proofErr w:type="spellEnd"/>
            <w:r w:rsidRPr="006300FD">
              <w:t>, S. et al. Updated analysis from KEYNOTE</w:t>
            </w:r>
            <w:r w:rsidR="003A3A7B">
              <w:noBreakHyphen/>
            </w:r>
            <w:r w:rsidRPr="006300FD">
              <w:t>189: pembrolizumab or placebo plus pemetrexed and platinum for previously untreated metastatic non squamous non</w:t>
            </w:r>
            <w:r w:rsidR="003A3A7B">
              <w:noBreakHyphen/>
            </w:r>
            <w:r w:rsidRPr="006300FD">
              <w:t>small cell lung cancer.</w:t>
            </w:r>
          </w:p>
        </w:tc>
        <w:tc>
          <w:tcPr>
            <w:tcW w:w="1023" w:type="pct"/>
            <w:tcBorders>
              <w:top w:val="nil"/>
              <w:bottom w:val="nil"/>
            </w:tcBorders>
          </w:tcPr>
          <w:p w14:paraId="32D1C1DF" w14:textId="2112F759" w:rsidR="00B7276B" w:rsidRPr="006300FD" w:rsidRDefault="00B7276B" w:rsidP="003A3A7B">
            <w:pPr>
              <w:pStyle w:val="TableText0"/>
              <w:rPr>
                <w:rFonts w:ascii="Times" w:hAnsi="Times"/>
              </w:rPr>
            </w:pPr>
            <w:r w:rsidRPr="006300FD">
              <w:t>Journal of Clinical Oncology 2020; 38(14):1505</w:t>
            </w:r>
            <w:r w:rsidR="003A3A7B">
              <w:noBreakHyphen/>
            </w:r>
            <w:r w:rsidRPr="006300FD">
              <w:t>1517.</w:t>
            </w:r>
          </w:p>
        </w:tc>
      </w:tr>
      <w:tr w:rsidR="00B7276B" w:rsidRPr="006300FD" w14:paraId="52B3081D" w14:textId="77777777" w:rsidTr="009C2B1D">
        <w:trPr>
          <w:cantSplit/>
        </w:trPr>
        <w:tc>
          <w:tcPr>
            <w:tcW w:w="961" w:type="pct"/>
            <w:vMerge/>
            <w:tcBorders>
              <w:bottom w:val="single" w:sz="4" w:space="0" w:color="auto"/>
            </w:tcBorders>
            <w:vAlign w:val="center"/>
          </w:tcPr>
          <w:p w14:paraId="7192FA1D" w14:textId="77777777" w:rsidR="00B7276B" w:rsidRPr="006300FD" w:rsidRDefault="00B7276B" w:rsidP="003A3A7B">
            <w:pPr>
              <w:pStyle w:val="TableText0"/>
              <w:jc w:val="center"/>
            </w:pPr>
          </w:p>
        </w:tc>
        <w:tc>
          <w:tcPr>
            <w:tcW w:w="3016" w:type="pct"/>
            <w:tcBorders>
              <w:top w:val="nil"/>
              <w:bottom w:val="single" w:sz="4" w:space="0" w:color="auto"/>
            </w:tcBorders>
          </w:tcPr>
          <w:p w14:paraId="2E922113" w14:textId="4EE119AE" w:rsidR="00B7276B" w:rsidRPr="006300FD" w:rsidRDefault="00B7276B" w:rsidP="003A3A7B">
            <w:pPr>
              <w:pStyle w:val="TableText0"/>
            </w:pPr>
            <w:r w:rsidRPr="00B628E3">
              <w:rPr>
                <w:lang w:val="fr-FR"/>
              </w:rPr>
              <w:t>Rodríguez</w:t>
            </w:r>
            <w:r w:rsidR="003A3A7B" w:rsidRPr="00B628E3">
              <w:rPr>
                <w:lang w:val="fr-FR"/>
              </w:rPr>
              <w:noBreakHyphen/>
            </w:r>
            <w:r w:rsidRPr="00B628E3">
              <w:rPr>
                <w:lang w:val="fr-FR"/>
              </w:rPr>
              <w:t xml:space="preserve">Abreu, D. et al. </w:t>
            </w:r>
            <w:r w:rsidRPr="006300FD">
              <w:t xml:space="preserve">Pemetrexed plus platinum with or without pembrolizumab in patients with previously untreated metastatic </w:t>
            </w:r>
            <w:proofErr w:type="spellStart"/>
            <w:r w:rsidRPr="006300FD">
              <w:t>nonsquamous</w:t>
            </w:r>
            <w:proofErr w:type="spellEnd"/>
            <w:r w:rsidRPr="006300FD">
              <w:t xml:space="preserve"> NSCLC: protocol</w:t>
            </w:r>
            <w:r w:rsidR="003A3A7B">
              <w:noBreakHyphen/>
            </w:r>
            <w:r w:rsidRPr="006300FD">
              <w:t>specified final analysis from KEYNOTE</w:t>
            </w:r>
            <w:r w:rsidR="003A3A7B">
              <w:noBreakHyphen/>
            </w:r>
            <w:r w:rsidRPr="006300FD">
              <w:t>189</w:t>
            </w:r>
          </w:p>
        </w:tc>
        <w:tc>
          <w:tcPr>
            <w:tcW w:w="1023" w:type="pct"/>
            <w:tcBorders>
              <w:top w:val="nil"/>
              <w:bottom w:val="single" w:sz="4" w:space="0" w:color="auto"/>
            </w:tcBorders>
          </w:tcPr>
          <w:p w14:paraId="370B972A" w14:textId="067568AC" w:rsidR="00B7276B" w:rsidRPr="006300FD" w:rsidRDefault="00C44A54" w:rsidP="003A3A7B">
            <w:pPr>
              <w:pStyle w:val="TableText0"/>
            </w:pPr>
            <w:r w:rsidRPr="006300FD">
              <w:t>Annals of Oncology, 2021; 32(7</w:t>
            </w:r>
            <w:r w:rsidR="006C54D5" w:rsidRPr="006300FD">
              <w:t>)</w:t>
            </w:r>
            <w:r w:rsidRPr="006300FD">
              <w:t>:</w:t>
            </w:r>
            <w:r w:rsidR="006C54D5" w:rsidRPr="006300FD">
              <w:t xml:space="preserve"> </w:t>
            </w:r>
            <w:r w:rsidRPr="006300FD">
              <w:t>881</w:t>
            </w:r>
            <w:r w:rsidR="003A3A7B">
              <w:noBreakHyphen/>
            </w:r>
            <w:r w:rsidRPr="006300FD">
              <w:t>895</w:t>
            </w:r>
          </w:p>
        </w:tc>
      </w:tr>
    </w:tbl>
    <w:p w14:paraId="51D8173A" w14:textId="05C20FEC" w:rsidR="008E0D3C" w:rsidRPr="0098262F" w:rsidRDefault="008E0D3C" w:rsidP="003A3A7B">
      <w:pPr>
        <w:pStyle w:val="FooterTableFigure"/>
        <w:rPr>
          <w:sz w:val="20"/>
        </w:rPr>
      </w:pPr>
      <w:r w:rsidRPr="0098262F">
        <w:t xml:space="preserve">Source: </w:t>
      </w:r>
      <w:r w:rsidR="00F205D8">
        <w:t>Table 2.8, pp64</w:t>
      </w:r>
      <w:r w:rsidR="003A3A7B">
        <w:noBreakHyphen/>
      </w:r>
      <w:r w:rsidR="00F205D8">
        <w:t xml:space="preserve">65 of the submission. </w:t>
      </w:r>
    </w:p>
    <w:p w14:paraId="1DD06D7D" w14:textId="58552003" w:rsidR="007F1017" w:rsidRPr="0098262F" w:rsidRDefault="008F120A" w:rsidP="003A3A7B">
      <w:pPr>
        <w:pStyle w:val="3-BodyText"/>
        <w:rPr>
          <w:color w:val="0066FF"/>
        </w:rPr>
      </w:pPr>
      <w:r w:rsidRPr="0098262F">
        <w:t xml:space="preserve">The key features of the </w:t>
      </w:r>
      <w:r w:rsidR="00621ADA" w:rsidRPr="0098262F">
        <w:t>included evidence</w:t>
      </w:r>
      <w:r w:rsidRPr="0098262F">
        <w:t xml:space="preserve"> are summarised in</w:t>
      </w:r>
      <w:r w:rsidR="00D6076E" w:rsidRPr="0098262F">
        <w:t xml:space="preserve"> </w:t>
      </w:r>
      <w:r w:rsidR="00D6076E" w:rsidRPr="0098262F">
        <w:fldChar w:fldCharType="begin"/>
      </w:r>
      <w:r w:rsidR="00D6076E" w:rsidRPr="0098262F">
        <w:instrText xml:space="preserve"> REF _Ref104804098 \h  \* MERGEFORMAT </w:instrText>
      </w:r>
      <w:r w:rsidR="00D6076E" w:rsidRPr="0098262F">
        <w:fldChar w:fldCharType="separate"/>
      </w:r>
      <w:r w:rsidR="00894EC9" w:rsidRPr="00894EC9">
        <w:t>Table 3</w:t>
      </w:r>
      <w:r w:rsidR="00D6076E" w:rsidRPr="0098262F">
        <w:fldChar w:fldCharType="end"/>
      </w:r>
      <w:r w:rsidRPr="0098262F">
        <w:t>.</w:t>
      </w:r>
      <w:r w:rsidR="00BC591F" w:rsidRPr="0098262F">
        <w:t xml:space="preserve"> </w:t>
      </w:r>
    </w:p>
    <w:p w14:paraId="355E2F15" w14:textId="4FA4E142" w:rsidR="007F1017" w:rsidRPr="0098262F" w:rsidRDefault="00696EF9" w:rsidP="003A3A7B">
      <w:pPr>
        <w:pStyle w:val="Caption"/>
        <w:rPr>
          <w:rStyle w:val="CommentReference"/>
          <w:rFonts w:eastAsiaTheme="majorEastAsia" w:cstheme="majorBidi"/>
          <w:b/>
          <w:szCs w:val="24"/>
        </w:rPr>
      </w:pPr>
      <w:bookmarkStart w:id="22" w:name="_Ref104804098"/>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894EC9">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2"/>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35"/>
        <w:gridCol w:w="1292"/>
        <w:gridCol w:w="1933"/>
        <w:gridCol w:w="644"/>
        <w:gridCol w:w="1497"/>
        <w:gridCol w:w="1398"/>
        <w:gridCol w:w="1318"/>
      </w:tblGrid>
      <w:tr w:rsidR="00B41614" w:rsidRPr="0098262F" w14:paraId="53DD7CC6" w14:textId="77777777" w:rsidTr="00E85281">
        <w:trPr>
          <w:cantSplit/>
          <w:tblHeader/>
        </w:trPr>
        <w:tc>
          <w:tcPr>
            <w:tcW w:w="518" w:type="pct"/>
            <w:vAlign w:val="center"/>
          </w:tcPr>
          <w:p w14:paraId="794116BC" w14:textId="77777777" w:rsidR="007F1017" w:rsidRPr="0098262F" w:rsidRDefault="007F1017" w:rsidP="003A3A7B">
            <w:pPr>
              <w:pStyle w:val="In-tableHeading"/>
              <w:rPr>
                <w:lang w:val="en-AU"/>
              </w:rPr>
            </w:pPr>
            <w:r w:rsidRPr="0098262F">
              <w:rPr>
                <w:lang w:val="en-AU"/>
              </w:rPr>
              <w:t>Trial</w:t>
            </w:r>
          </w:p>
        </w:tc>
        <w:tc>
          <w:tcPr>
            <w:tcW w:w="716" w:type="pct"/>
            <w:vAlign w:val="center"/>
          </w:tcPr>
          <w:p w14:paraId="51122FE5" w14:textId="77777777" w:rsidR="007F1017" w:rsidRPr="0098262F" w:rsidRDefault="007F1017" w:rsidP="003A3A7B">
            <w:pPr>
              <w:pStyle w:val="In-tableHeading"/>
              <w:jc w:val="center"/>
              <w:rPr>
                <w:lang w:val="en-AU"/>
              </w:rPr>
            </w:pPr>
            <w:r w:rsidRPr="0098262F">
              <w:rPr>
                <w:lang w:val="en-AU"/>
              </w:rPr>
              <w:t>N</w:t>
            </w:r>
          </w:p>
        </w:tc>
        <w:tc>
          <w:tcPr>
            <w:tcW w:w="1072" w:type="pct"/>
            <w:vAlign w:val="center"/>
          </w:tcPr>
          <w:p w14:paraId="60442F1A" w14:textId="77777777" w:rsidR="00DA3FF3" w:rsidRDefault="007F1017" w:rsidP="003A3A7B">
            <w:pPr>
              <w:pStyle w:val="In-tableHeading"/>
              <w:jc w:val="center"/>
              <w:rPr>
                <w:lang w:val="en-AU"/>
              </w:rPr>
            </w:pPr>
            <w:r w:rsidRPr="0098262F">
              <w:rPr>
                <w:lang w:val="en-AU"/>
              </w:rPr>
              <w:t>Design/</w:t>
            </w:r>
          </w:p>
          <w:p w14:paraId="41C438EF" w14:textId="1AB84F53" w:rsidR="007F1017" w:rsidRPr="0098262F" w:rsidRDefault="009C13D9" w:rsidP="003A3A7B">
            <w:pPr>
              <w:pStyle w:val="In-tableHeading"/>
              <w:jc w:val="center"/>
              <w:rPr>
                <w:lang w:val="en-AU"/>
              </w:rPr>
            </w:pPr>
            <w:r>
              <w:rPr>
                <w:lang w:val="en-AU"/>
              </w:rPr>
              <w:t xml:space="preserve">Median </w:t>
            </w:r>
            <w:r w:rsidR="007F1017" w:rsidRPr="0098262F">
              <w:rPr>
                <w:lang w:val="en-AU"/>
              </w:rPr>
              <w:t>duration</w:t>
            </w:r>
            <w:r>
              <w:rPr>
                <w:lang w:val="en-AU"/>
              </w:rPr>
              <w:t xml:space="preserve"> of follow</w:t>
            </w:r>
            <w:r w:rsidR="003A3A7B">
              <w:rPr>
                <w:lang w:val="en-AU"/>
              </w:rPr>
              <w:noBreakHyphen/>
            </w:r>
            <w:r>
              <w:rPr>
                <w:lang w:val="en-AU"/>
              </w:rPr>
              <w:t>up</w:t>
            </w:r>
            <w:r w:rsidR="001559EE">
              <w:rPr>
                <w:lang w:val="en-AU"/>
              </w:rPr>
              <w:t xml:space="preserve"> at recent DCO</w:t>
            </w:r>
          </w:p>
        </w:tc>
        <w:tc>
          <w:tcPr>
            <w:tcW w:w="357" w:type="pct"/>
            <w:vAlign w:val="center"/>
          </w:tcPr>
          <w:p w14:paraId="1FC91360" w14:textId="77777777" w:rsidR="007F1017" w:rsidRPr="0098262F" w:rsidRDefault="007F1017" w:rsidP="003A3A7B">
            <w:pPr>
              <w:pStyle w:val="In-tableHeading"/>
              <w:jc w:val="center"/>
              <w:rPr>
                <w:lang w:val="en-AU"/>
              </w:rPr>
            </w:pPr>
            <w:r w:rsidRPr="0098262F">
              <w:rPr>
                <w:lang w:val="en-AU"/>
              </w:rPr>
              <w:t>Risk of bias</w:t>
            </w:r>
          </w:p>
        </w:tc>
        <w:tc>
          <w:tcPr>
            <w:tcW w:w="830" w:type="pct"/>
            <w:vAlign w:val="center"/>
          </w:tcPr>
          <w:p w14:paraId="7FF90896" w14:textId="77777777" w:rsidR="007F1017" w:rsidRPr="0098262F" w:rsidRDefault="007F1017" w:rsidP="003A3A7B">
            <w:pPr>
              <w:pStyle w:val="In-tableHeading"/>
              <w:jc w:val="center"/>
              <w:rPr>
                <w:lang w:val="en-AU"/>
              </w:rPr>
            </w:pPr>
            <w:r w:rsidRPr="0098262F">
              <w:rPr>
                <w:lang w:val="en-AU"/>
              </w:rPr>
              <w:t>Patient population</w:t>
            </w:r>
          </w:p>
        </w:tc>
        <w:tc>
          <w:tcPr>
            <w:tcW w:w="775" w:type="pct"/>
            <w:vAlign w:val="center"/>
          </w:tcPr>
          <w:p w14:paraId="0FCB63F9" w14:textId="77777777" w:rsidR="007F1017" w:rsidRPr="0098262F" w:rsidRDefault="007F1017" w:rsidP="003A3A7B">
            <w:pPr>
              <w:pStyle w:val="In-tableHeading"/>
              <w:jc w:val="center"/>
              <w:rPr>
                <w:lang w:val="en-AU"/>
              </w:rPr>
            </w:pPr>
            <w:r w:rsidRPr="0098262F">
              <w:rPr>
                <w:lang w:val="en-AU"/>
              </w:rPr>
              <w:t>Outcome(s)</w:t>
            </w:r>
          </w:p>
        </w:tc>
        <w:tc>
          <w:tcPr>
            <w:tcW w:w="731" w:type="pct"/>
            <w:vAlign w:val="center"/>
          </w:tcPr>
          <w:p w14:paraId="08C6F624" w14:textId="77777777" w:rsidR="007F1017" w:rsidRPr="0098262F" w:rsidRDefault="007F1017" w:rsidP="003A3A7B">
            <w:pPr>
              <w:pStyle w:val="In-tableHeading"/>
              <w:jc w:val="center"/>
              <w:rPr>
                <w:lang w:val="en-AU"/>
              </w:rPr>
            </w:pPr>
            <w:r w:rsidRPr="0098262F">
              <w:rPr>
                <w:lang w:val="en-AU"/>
              </w:rPr>
              <w:t>Use in modelled evaluation</w:t>
            </w:r>
          </w:p>
        </w:tc>
      </w:tr>
      <w:tr w:rsidR="007F1017" w:rsidRPr="0098262F" w14:paraId="2A03CD4B" w14:textId="77777777" w:rsidTr="00682BA6">
        <w:trPr>
          <w:cantSplit/>
        </w:trPr>
        <w:tc>
          <w:tcPr>
            <w:tcW w:w="5000" w:type="pct"/>
            <w:gridSpan w:val="7"/>
            <w:vAlign w:val="center"/>
          </w:tcPr>
          <w:p w14:paraId="73088C85" w14:textId="0BD67F76" w:rsidR="007F1017" w:rsidRPr="0098262F" w:rsidRDefault="00D2110C" w:rsidP="003A3A7B">
            <w:pPr>
              <w:pStyle w:val="In-tableHeading"/>
              <w:rPr>
                <w:lang w:val="en-AU"/>
              </w:rPr>
            </w:pPr>
            <w:r>
              <w:rPr>
                <w:lang w:val="en-AU"/>
              </w:rPr>
              <w:t>E+B</w:t>
            </w:r>
          </w:p>
        </w:tc>
      </w:tr>
      <w:tr w:rsidR="00B41614" w:rsidRPr="0098262F" w14:paraId="4EE88DCB" w14:textId="77777777" w:rsidTr="00E85281">
        <w:trPr>
          <w:cantSplit/>
        </w:trPr>
        <w:tc>
          <w:tcPr>
            <w:tcW w:w="518" w:type="pct"/>
            <w:vAlign w:val="center"/>
          </w:tcPr>
          <w:p w14:paraId="6EE77D33" w14:textId="33DABEF9" w:rsidR="007F1017" w:rsidRPr="0098262F" w:rsidRDefault="00DA3FF3" w:rsidP="003A3A7B">
            <w:pPr>
              <w:pStyle w:val="TableText0"/>
            </w:pPr>
            <w:r>
              <w:t>PHAROS</w:t>
            </w:r>
          </w:p>
        </w:tc>
        <w:tc>
          <w:tcPr>
            <w:tcW w:w="716" w:type="pct"/>
            <w:vAlign w:val="center"/>
          </w:tcPr>
          <w:p w14:paraId="41BB0E41" w14:textId="3AC1AD36" w:rsidR="007F1017" w:rsidRPr="0098262F" w:rsidRDefault="00B06706" w:rsidP="003A3A7B">
            <w:pPr>
              <w:pStyle w:val="TableText0"/>
              <w:jc w:val="center"/>
            </w:pPr>
            <w:r>
              <w:t xml:space="preserve">N=98; </w:t>
            </w:r>
            <w:r w:rsidR="004B0BB6">
              <w:br/>
            </w:r>
            <w:r w:rsidR="002033DD">
              <w:t>Untreated patients: 59</w:t>
            </w:r>
          </w:p>
        </w:tc>
        <w:tc>
          <w:tcPr>
            <w:tcW w:w="1072" w:type="pct"/>
            <w:vAlign w:val="center"/>
          </w:tcPr>
          <w:p w14:paraId="011F4AD5" w14:textId="177A37ED" w:rsidR="007A7ED3" w:rsidRPr="006300FD" w:rsidRDefault="006F1AE5" w:rsidP="003A3A7B">
            <w:pPr>
              <w:pStyle w:val="TableText0"/>
              <w:jc w:val="center"/>
            </w:pPr>
            <w:r w:rsidRPr="006300FD">
              <w:t>Single arm, OL, MC, Phase II</w:t>
            </w:r>
            <w:r w:rsidR="00FA3C81" w:rsidRPr="006300FD">
              <w:t>;</w:t>
            </w:r>
          </w:p>
          <w:p w14:paraId="56FF0DC7" w14:textId="77777777" w:rsidR="006C1955" w:rsidRPr="006300FD" w:rsidRDefault="00B71BCA" w:rsidP="003A3A7B">
            <w:pPr>
              <w:pStyle w:val="TableText0"/>
              <w:jc w:val="center"/>
            </w:pPr>
            <w:r w:rsidRPr="006300FD">
              <w:t xml:space="preserve">33.3 </w:t>
            </w:r>
            <w:r w:rsidR="00F463DA" w:rsidRPr="006300FD">
              <w:t xml:space="preserve">months </w:t>
            </w:r>
          </w:p>
          <w:p w14:paraId="744D08AC" w14:textId="54E62770" w:rsidR="007F1017" w:rsidRPr="006300FD" w:rsidRDefault="007F1017" w:rsidP="003A3A7B">
            <w:pPr>
              <w:pStyle w:val="TableText0"/>
              <w:jc w:val="center"/>
            </w:pPr>
          </w:p>
        </w:tc>
        <w:tc>
          <w:tcPr>
            <w:tcW w:w="357" w:type="pct"/>
            <w:vAlign w:val="center"/>
          </w:tcPr>
          <w:p w14:paraId="4A529D74" w14:textId="1C83C643" w:rsidR="007F1017" w:rsidRPr="006300FD" w:rsidRDefault="001D6E13" w:rsidP="003A3A7B">
            <w:pPr>
              <w:pStyle w:val="TableText0"/>
              <w:jc w:val="center"/>
            </w:pPr>
            <w:proofErr w:type="spellStart"/>
            <w:r w:rsidRPr="006300FD">
              <w:t>High</w:t>
            </w:r>
            <w:r w:rsidR="00FA753D">
              <w:rPr>
                <w:vertAlign w:val="superscript"/>
              </w:rPr>
              <w:t>c</w:t>
            </w:r>
            <w:proofErr w:type="spellEnd"/>
          </w:p>
        </w:tc>
        <w:tc>
          <w:tcPr>
            <w:tcW w:w="830" w:type="pct"/>
            <w:vAlign w:val="center"/>
          </w:tcPr>
          <w:p w14:paraId="5E6F456D" w14:textId="2EBAE20E" w:rsidR="007F1017" w:rsidRPr="0098262F" w:rsidRDefault="008B659B" w:rsidP="003A3A7B">
            <w:pPr>
              <w:pStyle w:val="TableText0"/>
              <w:jc w:val="center"/>
            </w:pPr>
            <w:r w:rsidRPr="008B659B">
              <w:t>Patients with BRAF V600E</w:t>
            </w:r>
            <w:r w:rsidR="003A3A7B">
              <w:noBreakHyphen/>
            </w:r>
            <w:r>
              <w:t>MT</w:t>
            </w:r>
            <w:r w:rsidRPr="008B659B">
              <w:t xml:space="preserve"> Stage IV (metastatic) NSCLC </w:t>
            </w:r>
          </w:p>
        </w:tc>
        <w:tc>
          <w:tcPr>
            <w:tcW w:w="775" w:type="pct"/>
            <w:vAlign w:val="center"/>
          </w:tcPr>
          <w:p w14:paraId="6DC76214" w14:textId="47C6D0DA" w:rsidR="007F1017" w:rsidRPr="0098262F" w:rsidRDefault="008B659B" w:rsidP="003A3A7B">
            <w:pPr>
              <w:pStyle w:val="TableText0"/>
              <w:jc w:val="center"/>
            </w:pPr>
            <w:r>
              <w:t xml:space="preserve">ORR, PFS, OS, </w:t>
            </w:r>
            <w:r w:rsidR="00464D58">
              <w:t>TTR, DOR</w:t>
            </w:r>
            <w:r w:rsidR="004A4DB8">
              <w:t>, DCR, and safety</w:t>
            </w:r>
          </w:p>
        </w:tc>
        <w:tc>
          <w:tcPr>
            <w:tcW w:w="731" w:type="pct"/>
            <w:vAlign w:val="center"/>
          </w:tcPr>
          <w:p w14:paraId="150A804C" w14:textId="44E0437F" w:rsidR="007F1017" w:rsidRPr="0098262F" w:rsidRDefault="008B659B" w:rsidP="003A3A7B">
            <w:pPr>
              <w:pStyle w:val="TableText0"/>
              <w:jc w:val="center"/>
            </w:pPr>
            <w:r>
              <w:t>OS, PFS, TTD</w:t>
            </w:r>
          </w:p>
        </w:tc>
      </w:tr>
      <w:tr w:rsidR="00E85281" w:rsidRPr="0098262F" w14:paraId="3FF25E35" w14:textId="77777777">
        <w:trPr>
          <w:cantSplit/>
        </w:trPr>
        <w:tc>
          <w:tcPr>
            <w:tcW w:w="5000" w:type="pct"/>
            <w:gridSpan w:val="7"/>
            <w:vAlign w:val="center"/>
          </w:tcPr>
          <w:p w14:paraId="573FA6E4" w14:textId="77777777" w:rsidR="00E85281" w:rsidRPr="006300FD" w:rsidRDefault="00E85281" w:rsidP="003A3A7B">
            <w:pPr>
              <w:pStyle w:val="TableText0"/>
              <w:rPr>
                <w:b/>
                <w:bCs w:val="0"/>
              </w:rPr>
            </w:pPr>
            <w:r w:rsidRPr="006300FD">
              <w:rPr>
                <w:b/>
                <w:bCs w:val="0"/>
              </w:rPr>
              <w:t>D+T</w:t>
            </w:r>
          </w:p>
        </w:tc>
      </w:tr>
      <w:tr w:rsidR="00E85281" w:rsidRPr="0098262F" w14:paraId="02EB0EEC" w14:textId="77777777" w:rsidTr="00E85281">
        <w:trPr>
          <w:cantSplit/>
        </w:trPr>
        <w:tc>
          <w:tcPr>
            <w:tcW w:w="519" w:type="pct"/>
            <w:vAlign w:val="center"/>
          </w:tcPr>
          <w:p w14:paraId="5014E7E0" w14:textId="77777777" w:rsidR="00E85281" w:rsidRPr="0098262F" w:rsidRDefault="00E85281" w:rsidP="003A3A7B">
            <w:pPr>
              <w:pStyle w:val="TableText0"/>
            </w:pPr>
            <w:r>
              <w:t>BRF113928</w:t>
            </w:r>
          </w:p>
        </w:tc>
        <w:tc>
          <w:tcPr>
            <w:tcW w:w="716" w:type="pct"/>
            <w:vAlign w:val="center"/>
          </w:tcPr>
          <w:p w14:paraId="4D10674C" w14:textId="625E0F82" w:rsidR="00E85281" w:rsidRPr="0098262F" w:rsidRDefault="00E85281" w:rsidP="003A3A7B">
            <w:pPr>
              <w:pStyle w:val="TableText0"/>
              <w:jc w:val="center"/>
            </w:pPr>
            <w:r>
              <w:t xml:space="preserve">N=93; </w:t>
            </w:r>
            <w:r>
              <w:br/>
              <w:t>Untreated patients: 36</w:t>
            </w:r>
          </w:p>
        </w:tc>
        <w:tc>
          <w:tcPr>
            <w:tcW w:w="1072" w:type="pct"/>
            <w:vAlign w:val="center"/>
          </w:tcPr>
          <w:p w14:paraId="0957B02B" w14:textId="77777777" w:rsidR="00E85281" w:rsidRPr="006300FD" w:rsidRDefault="00E85281" w:rsidP="003A3A7B">
            <w:pPr>
              <w:pStyle w:val="TableText0"/>
              <w:jc w:val="center"/>
            </w:pPr>
            <w:r w:rsidRPr="006300FD">
              <w:t>Single arm, OL, MC, Phase II;</w:t>
            </w:r>
          </w:p>
          <w:p w14:paraId="040E2822" w14:textId="77777777" w:rsidR="00E85281" w:rsidRPr="006300FD" w:rsidRDefault="00E85281" w:rsidP="003A3A7B">
            <w:pPr>
              <w:pStyle w:val="TableText0"/>
              <w:jc w:val="center"/>
            </w:pPr>
            <w:r w:rsidRPr="006300FD">
              <w:t xml:space="preserve">16.3 months </w:t>
            </w:r>
          </w:p>
          <w:p w14:paraId="2E2650E8" w14:textId="77777777" w:rsidR="00E85281" w:rsidRPr="006300FD" w:rsidRDefault="00E85281" w:rsidP="003A3A7B">
            <w:pPr>
              <w:pStyle w:val="TableText0"/>
              <w:jc w:val="center"/>
            </w:pPr>
            <w:r w:rsidRPr="006300FD">
              <w:t>(range: 0.4, 80)</w:t>
            </w:r>
            <w:r>
              <w:rPr>
                <w:vertAlign w:val="superscript"/>
              </w:rPr>
              <w:t>b</w:t>
            </w:r>
          </w:p>
        </w:tc>
        <w:tc>
          <w:tcPr>
            <w:tcW w:w="357" w:type="pct"/>
            <w:vAlign w:val="center"/>
          </w:tcPr>
          <w:p w14:paraId="0EFAA2BC" w14:textId="77777777" w:rsidR="00E85281" w:rsidRPr="006300FD" w:rsidRDefault="00E85281" w:rsidP="003A3A7B">
            <w:pPr>
              <w:pStyle w:val="TableText0"/>
              <w:jc w:val="center"/>
            </w:pPr>
            <w:proofErr w:type="spellStart"/>
            <w:r w:rsidRPr="006300FD">
              <w:t>High</w:t>
            </w:r>
            <w:r>
              <w:rPr>
                <w:vertAlign w:val="superscript"/>
              </w:rPr>
              <w:t>c</w:t>
            </w:r>
            <w:proofErr w:type="spellEnd"/>
          </w:p>
        </w:tc>
        <w:tc>
          <w:tcPr>
            <w:tcW w:w="830" w:type="pct"/>
            <w:vAlign w:val="center"/>
          </w:tcPr>
          <w:p w14:paraId="4041C097" w14:textId="6FB3BB1B" w:rsidR="00E85281" w:rsidRPr="0098262F" w:rsidRDefault="00E85281" w:rsidP="003A3A7B">
            <w:pPr>
              <w:pStyle w:val="TableText0"/>
              <w:jc w:val="center"/>
            </w:pPr>
            <w:r w:rsidRPr="008B659B">
              <w:t>Patients with BRAF V600E</w:t>
            </w:r>
            <w:r w:rsidR="003A3A7B">
              <w:noBreakHyphen/>
            </w:r>
            <w:r>
              <w:t>MT</w:t>
            </w:r>
            <w:r w:rsidRPr="008B659B">
              <w:t xml:space="preserve"> Stage IV (metastatic) NSCLC </w:t>
            </w:r>
          </w:p>
        </w:tc>
        <w:tc>
          <w:tcPr>
            <w:tcW w:w="775" w:type="pct"/>
            <w:vAlign w:val="center"/>
          </w:tcPr>
          <w:p w14:paraId="358646D5" w14:textId="77777777" w:rsidR="00E85281" w:rsidRPr="0098262F" w:rsidRDefault="00E85281" w:rsidP="003A3A7B">
            <w:pPr>
              <w:pStyle w:val="TableText0"/>
              <w:jc w:val="center"/>
            </w:pPr>
            <w:r>
              <w:t>ORR, PFS, OS, DOR, and safety</w:t>
            </w:r>
          </w:p>
        </w:tc>
        <w:tc>
          <w:tcPr>
            <w:tcW w:w="731" w:type="pct"/>
            <w:vAlign w:val="center"/>
          </w:tcPr>
          <w:p w14:paraId="7B583B62" w14:textId="77777777" w:rsidR="00E85281" w:rsidRPr="0098262F" w:rsidRDefault="00E85281" w:rsidP="003A3A7B">
            <w:pPr>
              <w:pStyle w:val="TableText0"/>
              <w:jc w:val="center"/>
            </w:pPr>
            <w:r>
              <w:t xml:space="preserve">Not </w:t>
            </w:r>
            <w:proofErr w:type="spellStart"/>
            <w:r>
              <w:t>used</w:t>
            </w:r>
            <w:r>
              <w:rPr>
                <w:vertAlign w:val="superscript"/>
              </w:rPr>
              <w:t>d</w:t>
            </w:r>
            <w:proofErr w:type="spellEnd"/>
          </w:p>
        </w:tc>
      </w:tr>
      <w:tr w:rsidR="00D2110C" w:rsidRPr="0098262F" w14:paraId="13A6895C" w14:textId="77777777" w:rsidTr="00D2110C">
        <w:trPr>
          <w:cantSplit/>
        </w:trPr>
        <w:tc>
          <w:tcPr>
            <w:tcW w:w="5000" w:type="pct"/>
            <w:gridSpan w:val="7"/>
            <w:vAlign w:val="center"/>
          </w:tcPr>
          <w:p w14:paraId="3175EA34" w14:textId="286DF859" w:rsidR="00D2110C" w:rsidRPr="006300FD" w:rsidRDefault="00D2110C" w:rsidP="003A3A7B">
            <w:pPr>
              <w:pStyle w:val="TableText0"/>
              <w:rPr>
                <w:b/>
                <w:bCs w:val="0"/>
              </w:rPr>
            </w:pPr>
            <w:proofErr w:type="spellStart"/>
            <w:r w:rsidRPr="006300FD">
              <w:rPr>
                <w:b/>
                <w:bCs w:val="0"/>
              </w:rPr>
              <w:t>Pembrolizumab+PDC</w:t>
            </w:r>
            <w:proofErr w:type="spellEnd"/>
          </w:p>
        </w:tc>
      </w:tr>
      <w:tr w:rsidR="00B41614" w:rsidRPr="0098262F" w14:paraId="6DAFAEAF" w14:textId="77777777" w:rsidTr="00E85281">
        <w:trPr>
          <w:cantSplit/>
        </w:trPr>
        <w:tc>
          <w:tcPr>
            <w:tcW w:w="518" w:type="pct"/>
            <w:vAlign w:val="center"/>
          </w:tcPr>
          <w:p w14:paraId="76F0584C" w14:textId="61F156BC" w:rsidR="007F1017" w:rsidRPr="0098262F" w:rsidRDefault="00DA3FF3" w:rsidP="003A3A7B">
            <w:pPr>
              <w:pStyle w:val="TableText0"/>
            </w:pPr>
            <w:r>
              <w:t>KN</w:t>
            </w:r>
            <w:r w:rsidR="003A3A7B">
              <w:noBreakHyphen/>
            </w:r>
            <w:r>
              <w:t>189</w:t>
            </w:r>
          </w:p>
        </w:tc>
        <w:tc>
          <w:tcPr>
            <w:tcW w:w="716" w:type="pct"/>
            <w:vAlign w:val="center"/>
          </w:tcPr>
          <w:p w14:paraId="266CAB6D" w14:textId="77777777" w:rsidR="007F1017" w:rsidRDefault="00D23A89" w:rsidP="003A3A7B">
            <w:pPr>
              <w:pStyle w:val="TableText0"/>
              <w:jc w:val="center"/>
            </w:pPr>
            <w:r>
              <w:t>N=</w:t>
            </w:r>
            <w:r w:rsidR="002033DD">
              <w:t>616</w:t>
            </w:r>
            <w:r>
              <w:t>;</w:t>
            </w:r>
          </w:p>
          <w:p w14:paraId="59EB3B04" w14:textId="77777777" w:rsidR="00CB15F5" w:rsidRDefault="00D23A89" w:rsidP="003A3A7B">
            <w:pPr>
              <w:pStyle w:val="TableText0"/>
              <w:jc w:val="center"/>
            </w:pPr>
            <w:r>
              <w:t>Pembrolizumab+</w:t>
            </w:r>
          </w:p>
          <w:p w14:paraId="7D785F8E" w14:textId="3EA84EFE" w:rsidR="00D23A89" w:rsidRPr="0098262F" w:rsidRDefault="00D23A89" w:rsidP="003A3A7B">
            <w:pPr>
              <w:pStyle w:val="TableText0"/>
              <w:jc w:val="center"/>
            </w:pPr>
            <w:r>
              <w:t>PDC=410</w:t>
            </w:r>
          </w:p>
        </w:tc>
        <w:tc>
          <w:tcPr>
            <w:tcW w:w="1072" w:type="pct"/>
            <w:vAlign w:val="center"/>
          </w:tcPr>
          <w:p w14:paraId="1B3637CC" w14:textId="2CEF6A19" w:rsidR="00831949" w:rsidRPr="006300FD" w:rsidRDefault="00831949" w:rsidP="003A3A7B">
            <w:pPr>
              <w:pStyle w:val="TableText0"/>
              <w:jc w:val="center"/>
              <w:rPr>
                <w:lang w:val="en-US"/>
              </w:rPr>
            </w:pPr>
            <w:r w:rsidRPr="006300FD">
              <w:rPr>
                <w:lang w:val="en-US"/>
              </w:rPr>
              <w:t xml:space="preserve">R, DB, MC, </w:t>
            </w:r>
            <w:r w:rsidR="00E85281">
              <w:rPr>
                <w:lang w:val="en-US"/>
              </w:rPr>
              <w:br/>
            </w:r>
            <w:r w:rsidRPr="006300FD">
              <w:rPr>
                <w:lang w:val="en-US"/>
              </w:rPr>
              <w:t>Phase III</w:t>
            </w:r>
            <w:r w:rsidR="00FA3C81" w:rsidRPr="006300FD">
              <w:rPr>
                <w:lang w:val="en-US"/>
              </w:rPr>
              <w:t>;</w:t>
            </w:r>
          </w:p>
          <w:p w14:paraId="4F10C1AA" w14:textId="0659B243" w:rsidR="007F1017" w:rsidRPr="006300FD" w:rsidRDefault="00831949" w:rsidP="003A3A7B">
            <w:pPr>
              <w:pStyle w:val="TableText0"/>
              <w:jc w:val="center"/>
            </w:pPr>
            <w:r w:rsidRPr="006300FD">
              <w:rPr>
                <w:lang w:val="en-US"/>
              </w:rPr>
              <w:t xml:space="preserve">64.6 </w:t>
            </w:r>
            <w:proofErr w:type="spellStart"/>
            <w:r w:rsidRPr="006300FD">
              <w:rPr>
                <w:lang w:val="en-US"/>
              </w:rPr>
              <w:t>months</w:t>
            </w:r>
            <w:r w:rsidR="001612D0">
              <w:rPr>
                <w:vertAlign w:val="superscript"/>
                <w:lang w:val="en-US"/>
              </w:rPr>
              <w:t>a</w:t>
            </w:r>
            <w:proofErr w:type="spellEnd"/>
          </w:p>
        </w:tc>
        <w:tc>
          <w:tcPr>
            <w:tcW w:w="357" w:type="pct"/>
            <w:vAlign w:val="center"/>
          </w:tcPr>
          <w:p w14:paraId="50E27A90" w14:textId="34ACC05F" w:rsidR="007F1017" w:rsidRPr="006300FD" w:rsidRDefault="00B025BB" w:rsidP="003A3A7B">
            <w:pPr>
              <w:pStyle w:val="TableText0"/>
              <w:jc w:val="center"/>
            </w:pPr>
            <w:r w:rsidRPr="006300FD">
              <w:t>Low</w:t>
            </w:r>
          </w:p>
        </w:tc>
        <w:tc>
          <w:tcPr>
            <w:tcW w:w="830" w:type="pct"/>
            <w:vAlign w:val="center"/>
          </w:tcPr>
          <w:p w14:paraId="1B84BE0E" w14:textId="7EE0A29A" w:rsidR="007F1017" w:rsidRPr="0098262F" w:rsidRDefault="008B659B" w:rsidP="003A3A7B">
            <w:pPr>
              <w:pStyle w:val="TableText0"/>
              <w:jc w:val="center"/>
            </w:pPr>
            <w:r>
              <w:t>Patients with NSQ Stage IV (</w:t>
            </w:r>
            <w:r w:rsidR="00F123C6" w:rsidRPr="00F123C6">
              <w:t xml:space="preserve">metastatic) </w:t>
            </w:r>
            <w:r>
              <w:t>NSCLC</w:t>
            </w:r>
          </w:p>
        </w:tc>
        <w:tc>
          <w:tcPr>
            <w:tcW w:w="775" w:type="pct"/>
            <w:vAlign w:val="center"/>
          </w:tcPr>
          <w:p w14:paraId="4E7BED76" w14:textId="4AC35B07" w:rsidR="007F1017" w:rsidRPr="0098262F" w:rsidRDefault="004A4DB8" w:rsidP="003A3A7B">
            <w:pPr>
              <w:pStyle w:val="TableText0"/>
              <w:jc w:val="center"/>
            </w:pPr>
            <w:r>
              <w:t xml:space="preserve">ORR, PFS, OS, </w:t>
            </w:r>
            <w:r w:rsidR="00FB390B">
              <w:t>DOR, DCR, and safety</w:t>
            </w:r>
          </w:p>
        </w:tc>
        <w:tc>
          <w:tcPr>
            <w:tcW w:w="731" w:type="pct"/>
            <w:vAlign w:val="center"/>
          </w:tcPr>
          <w:p w14:paraId="0351A18F" w14:textId="3A18777A" w:rsidR="007F1017" w:rsidRPr="0098262F" w:rsidRDefault="009C5620" w:rsidP="003A3A7B">
            <w:pPr>
              <w:pStyle w:val="TableText0"/>
              <w:jc w:val="center"/>
            </w:pPr>
            <w:r>
              <w:t xml:space="preserve">Not </w:t>
            </w:r>
            <w:proofErr w:type="spellStart"/>
            <w:r>
              <w:t>us</w:t>
            </w:r>
            <w:r w:rsidR="00C74E94">
              <w:t>ed</w:t>
            </w:r>
            <w:r w:rsidR="00FA753D">
              <w:rPr>
                <w:vertAlign w:val="superscript"/>
              </w:rPr>
              <w:t>d</w:t>
            </w:r>
            <w:proofErr w:type="spellEnd"/>
          </w:p>
        </w:tc>
      </w:tr>
    </w:tbl>
    <w:p w14:paraId="560080D2" w14:textId="4F7B45FF" w:rsidR="00045017" w:rsidRPr="0098262F" w:rsidRDefault="00045017" w:rsidP="003A3A7B">
      <w:pPr>
        <w:pStyle w:val="FooterTableFigure"/>
      </w:pPr>
      <w:r w:rsidRPr="0098262F">
        <w:t xml:space="preserve">Source: </w:t>
      </w:r>
      <w:r w:rsidR="00231786">
        <w:t>Section 2</w:t>
      </w:r>
      <w:r w:rsidR="00624B36">
        <w:t>.4</w:t>
      </w:r>
      <w:r w:rsidR="00231786">
        <w:t>,</w:t>
      </w:r>
      <w:r w:rsidR="00624B36">
        <w:t xml:space="preserve"> pp</w:t>
      </w:r>
      <w:r w:rsidR="007756B1">
        <w:t>78</w:t>
      </w:r>
      <w:r w:rsidR="003A3A7B">
        <w:noBreakHyphen/>
      </w:r>
      <w:r w:rsidR="00624B36">
        <w:t>8</w:t>
      </w:r>
      <w:r w:rsidR="000969F1">
        <w:t xml:space="preserve">8 </w:t>
      </w:r>
      <w:r w:rsidR="00231786">
        <w:t xml:space="preserve">of the submission. </w:t>
      </w:r>
    </w:p>
    <w:p w14:paraId="1095487C" w14:textId="2CF55A9D" w:rsidR="00620C25" w:rsidRDefault="004B0E94" w:rsidP="003A3A7B">
      <w:pPr>
        <w:pStyle w:val="FooterTableFigure"/>
      </w:pPr>
      <w:r>
        <w:t xml:space="preserve">CI = confidence interval; </w:t>
      </w:r>
      <w:r w:rsidR="000969F1">
        <w:t xml:space="preserve">D+T = dabrafenib and trametinib; </w:t>
      </w:r>
      <w:r w:rsidR="00620C25" w:rsidRPr="0098262F">
        <w:t xml:space="preserve">DB = double blind; </w:t>
      </w:r>
      <w:r w:rsidR="001559EE">
        <w:t>DCO = data cut</w:t>
      </w:r>
      <w:r w:rsidR="003A3A7B">
        <w:noBreakHyphen/>
      </w:r>
      <w:r w:rsidR="001559EE">
        <w:t>off</w:t>
      </w:r>
      <w:r>
        <w:t xml:space="preserve">; </w:t>
      </w:r>
      <w:r w:rsidR="000969F1">
        <w:t xml:space="preserve">DCR = disease control rate; DOR = duration of response; E+B = </w:t>
      </w:r>
      <w:proofErr w:type="spellStart"/>
      <w:r w:rsidR="000969F1">
        <w:t>encorafenib</w:t>
      </w:r>
      <w:proofErr w:type="spellEnd"/>
      <w:r w:rsidR="000969F1">
        <w:t xml:space="preserve"> and </w:t>
      </w:r>
      <w:proofErr w:type="spellStart"/>
      <w:r w:rsidR="000969F1">
        <w:t>bin</w:t>
      </w:r>
      <w:r w:rsidR="000F2C32">
        <w:t>imetinib</w:t>
      </w:r>
      <w:proofErr w:type="spellEnd"/>
      <w:r w:rsidR="000F2C32">
        <w:t xml:space="preserve">; </w:t>
      </w:r>
      <w:r w:rsidR="00620C25" w:rsidRPr="0098262F">
        <w:t>MC = multi</w:t>
      </w:r>
      <w:r w:rsidR="003A3A7B">
        <w:noBreakHyphen/>
      </w:r>
      <w:r w:rsidR="00620C25" w:rsidRPr="0098262F">
        <w:t xml:space="preserve">centre; </w:t>
      </w:r>
      <w:r w:rsidR="000F2C32">
        <w:t xml:space="preserve">MT = mutation positive; </w:t>
      </w:r>
      <w:r w:rsidR="000969F1">
        <w:t xml:space="preserve">N = total number of participants; </w:t>
      </w:r>
      <w:r w:rsidR="000F2C32">
        <w:t>NSCLC = non</w:t>
      </w:r>
      <w:r w:rsidR="003A3A7B">
        <w:noBreakHyphen/>
      </w:r>
      <w:r w:rsidR="000F2C32">
        <w:t xml:space="preserve">small cell lung cancer; </w:t>
      </w:r>
      <w:r w:rsidR="000969F1">
        <w:t>NSQ = non</w:t>
      </w:r>
      <w:r w:rsidR="003A3A7B">
        <w:noBreakHyphen/>
      </w:r>
      <w:r w:rsidR="000969F1">
        <w:t xml:space="preserve">squamous; </w:t>
      </w:r>
      <w:r w:rsidR="00620C25" w:rsidRPr="0098262F">
        <w:t xml:space="preserve">OL = open label; </w:t>
      </w:r>
      <w:r w:rsidR="000969F1">
        <w:t xml:space="preserve">ORR = objective response rate; </w:t>
      </w:r>
      <w:r w:rsidR="00620C25" w:rsidRPr="0098262F">
        <w:t>OS = overall survival;</w:t>
      </w:r>
      <w:r w:rsidR="00CB15F5">
        <w:t xml:space="preserve"> PDC = platinum</w:t>
      </w:r>
      <w:r w:rsidR="003A3A7B">
        <w:noBreakHyphen/>
      </w:r>
      <w:r w:rsidR="00CB15F5">
        <w:t xml:space="preserve">based doublet chemotherapy; </w:t>
      </w:r>
      <w:r w:rsidR="00620C25" w:rsidRPr="0098262F">
        <w:t>PFS = progression</w:t>
      </w:r>
      <w:r w:rsidR="003A3A7B">
        <w:noBreakHyphen/>
      </w:r>
      <w:r w:rsidR="00620C25" w:rsidRPr="0098262F">
        <w:t>free survival; R = randomised</w:t>
      </w:r>
      <w:r w:rsidR="000F2C32">
        <w:t xml:space="preserve">; </w:t>
      </w:r>
      <w:r w:rsidR="000969F1">
        <w:t>TTD = time to treatment discontinuation</w:t>
      </w:r>
      <w:r w:rsidR="00CB15F5">
        <w:t>; TTR = time to response.</w:t>
      </w:r>
    </w:p>
    <w:p w14:paraId="35C1B3D4" w14:textId="738FCEFC" w:rsidR="002E3AC8" w:rsidRPr="00F20E58" w:rsidRDefault="00FA753D" w:rsidP="003A3A7B">
      <w:pPr>
        <w:pStyle w:val="FooterTableFigure"/>
      </w:pPr>
      <w:r>
        <w:rPr>
          <w:vertAlign w:val="superscript"/>
        </w:rPr>
        <w:t>a</w:t>
      </w:r>
      <w:r w:rsidR="00945A3B">
        <w:rPr>
          <w:vertAlign w:val="superscript"/>
        </w:rPr>
        <w:t xml:space="preserve"> </w:t>
      </w:r>
      <w:r w:rsidR="00945A3B">
        <w:t>M</w:t>
      </w:r>
      <w:r w:rsidR="00F20E58" w:rsidRPr="00F20E58">
        <w:t xml:space="preserve">edian time from random assignment </w:t>
      </w:r>
      <w:r w:rsidR="00F13028">
        <w:t xml:space="preserve">at recent </w:t>
      </w:r>
      <w:r w:rsidR="00F20E58" w:rsidRPr="00F20E58">
        <w:t>data cut</w:t>
      </w:r>
      <w:r w:rsidR="003A3A7B">
        <w:noBreakHyphen/>
      </w:r>
      <w:r w:rsidR="00F20E58" w:rsidRPr="00F20E58">
        <w:t>off of March 2022</w:t>
      </w:r>
      <w:r w:rsidR="000632F6">
        <w:t>.</w:t>
      </w:r>
    </w:p>
    <w:p w14:paraId="298612C7" w14:textId="1C3DE716" w:rsidR="002E3AC8" w:rsidRDefault="00FA753D" w:rsidP="003A3A7B">
      <w:pPr>
        <w:pStyle w:val="FooterTableFigure"/>
      </w:pPr>
      <w:r>
        <w:rPr>
          <w:vertAlign w:val="superscript"/>
        </w:rPr>
        <w:t>b</w:t>
      </w:r>
      <w:r w:rsidR="002E3AC8">
        <w:rPr>
          <w:vertAlign w:val="superscript"/>
        </w:rPr>
        <w:t xml:space="preserve"> </w:t>
      </w:r>
      <w:r w:rsidR="002E3AC8">
        <w:t>Median duration of treatment at the recent data cut</w:t>
      </w:r>
      <w:r w:rsidR="003A3A7B">
        <w:noBreakHyphen/>
      </w:r>
      <w:r w:rsidR="002E3AC8">
        <w:t>off of February 2021.</w:t>
      </w:r>
    </w:p>
    <w:p w14:paraId="67FA4BA8" w14:textId="5CB1B6E0" w:rsidR="00994863" w:rsidRDefault="00FA753D" w:rsidP="003A3A7B">
      <w:pPr>
        <w:pStyle w:val="FooterTableFigure"/>
      </w:pPr>
      <w:r>
        <w:rPr>
          <w:vertAlign w:val="superscript"/>
        </w:rPr>
        <w:t>c</w:t>
      </w:r>
      <w:r w:rsidR="000632F6">
        <w:rPr>
          <w:vertAlign w:val="superscript"/>
        </w:rPr>
        <w:t xml:space="preserve"> </w:t>
      </w:r>
      <w:r w:rsidR="009B2169" w:rsidRPr="009B2169">
        <w:t>The risk of bias was considered high, as the study was single</w:t>
      </w:r>
      <w:r w:rsidR="003A3A7B">
        <w:noBreakHyphen/>
      </w:r>
      <w:r w:rsidR="009B2169" w:rsidRPr="009B2169">
        <w:t>arm and open</w:t>
      </w:r>
      <w:r w:rsidR="003A3A7B">
        <w:noBreakHyphen/>
      </w:r>
      <w:r w:rsidR="009B2169" w:rsidRPr="009B2169">
        <w:t>label.</w:t>
      </w:r>
    </w:p>
    <w:p w14:paraId="6B55B6C1" w14:textId="23C55423" w:rsidR="000632F6" w:rsidRPr="00994863" w:rsidRDefault="00FA753D" w:rsidP="003A3A7B">
      <w:pPr>
        <w:pStyle w:val="FooterTableFigure"/>
        <w:rPr>
          <w:sz w:val="20"/>
          <w:vertAlign w:val="superscript"/>
        </w:rPr>
      </w:pPr>
      <w:r>
        <w:rPr>
          <w:vertAlign w:val="superscript"/>
        </w:rPr>
        <w:t>d</w:t>
      </w:r>
      <w:r w:rsidR="00994863">
        <w:rPr>
          <w:vertAlign w:val="superscript"/>
        </w:rPr>
        <w:t xml:space="preserve"> </w:t>
      </w:r>
      <w:r w:rsidR="0068735E">
        <w:t>The submission applied hazard ratio from the matching</w:t>
      </w:r>
      <w:r w:rsidR="003A3A7B">
        <w:noBreakHyphen/>
      </w:r>
      <w:r w:rsidR="0068735E">
        <w:t>adjusted indirect comparison to the E+B curves to estimate the curves for the comparators.</w:t>
      </w:r>
    </w:p>
    <w:p w14:paraId="2EF106CD" w14:textId="56E42D59" w:rsidR="000529D1" w:rsidRPr="006300FD" w:rsidRDefault="00F32A4F" w:rsidP="003A3A7B">
      <w:pPr>
        <w:pStyle w:val="3-BodyText"/>
      </w:pPr>
      <w:bookmarkStart w:id="23" w:name="_Ref206153541"/>
      <w:bookmarkStart w:id="24" w:name="_Hlk206076853"/>
      <w:bookmarkStart w:id="25" w:name="_Toc22897641"/>
      <w:r w:rsidRPr="00F32A4F">
        <w:t xml:space="preserve">The eligibility criteria and baseline characteristics of the PHAROS trial were generally aligned with the </w:t>
      </w:r>
      <w:r w:rsidR="00C820C3">
        <w:t>proposed PBS</w:t>
      </w:r>
      <w:r w:rsidR="00C820C3" w:rsidRPr="00F32A4F">
        <w:t xml:space="preserve"> </w:t>
      </w:r>
      <w:r w:rsidRPr="00F32A4F">
        <w:t>population</w:t>
      </w:r>
      <w:r w:rsidR="00BC68E4">
        <w:t xml:space="preserve">; however, the </w:t>
      </w:r>
      <w:r w:rsidRPr="006300FD">
        <w:t xml:space="preserve">trial excluded patients with ECOG PS of 2, whereas the </w:t>
      </w:r>
      <w:r w:rsidR="005B3EA3" w:rsidRPr="006300FD">
        <w:t xml:space="preserve">proposed PBS </w:t>
      </w:r>
      <w:r w:rsidRPr="006300FD">
        <w:t xml:space="preserve">population included individuals with ECOG PS 0–2. </w:t>
      </w:r>
    </w:p>
    <w:p w14:paraId="7126955A" w14:textId="77777777" w:rsidR="00E53362" w:rsidRPr="00E9213A" w:rsidRDefault="00E53362" w:rsidP="003A3A7B">
      <w:pPr>
        <w:pStyle w:val="3-BodyText"/>
      </w:pPr>
      <w:bookmarkStart w:id="26" w:name="_Ref206154675"/>
      <w:bookmarkEnd w:id="23"/>
      <w:bookmarkEnd w:id="24"/>
      <w:r w:rsidRPr="00E9213A">
        <w:t xml:space="preserve">The key differences across the E+B (PHAROS) and </w:t>
      </w:r>
      <w:r>
        <w:t>D+T</w:t>
      </w:r>
      <w:r w:rsidRPr="00E9213A">
        <w:t xml:space="preserve"> (</w:t>
      </w:r>
      <w:r>
        <w:t>BRF113928</w:t>
      </w:r>
      <w:r w:rsidRPr="00E9213A">
        <w:t>) trials that may affect the transitivity assumptions are summarised below:</w:t>
      </w:r>
      <w:bookmarkEnd w:id="26"/>
    </w:p>
    <w:p w14:paraId="703C8325" w14:textId="01E71B9D" w:rsidR="00E53362" w:rsidRDefault="00E53362" w:rsidP="003A3A7B">
      <w:pPr>
        <w:pStyle w:val="ListParagraph"/>
        <w:numPr>
          <w:ilvl w:val="0"/>
          <w:numId w:val="16"/>
        </w:numPr>
        <w:snapToGrid w:val="0"/>
        <w:ind w:left="1080"/>
        <w:jc w:val="both"/>
      </w:pPr>
      <w:r w:rsidRPr="00F13028">
        <w:t>The median follow</w:t>
      </w:r>
      <w:r w:rsidR="003A3A7B">
        <w:noBreakHyphen/>
      </w:r>
      <w:r w:rsidRPr="00F13028">
        <w:t>up duration was 33.3 months</w:t>
      </w:r>
      <w:r>
        <w:t xml:space="preserve"> (April 2024 data cut</w:t>
      </w:r>
      <w:r w:rsidR="003A3A7B">
        <w:noBreakHyphen/>
      </w:r>
      <w:r>
        <w:t>off)</w:t>
      </w:r>
      <w:r w:rsidRPr="00F13028">
        <w:t xml:space="preserve"> in the PHAROS trial</w:t>
      </w:r>
      <w:r>
        <w:t xml:space="preserve"> </w:t>
      </w:r>
      <w:r w:rsidRPr="00F13028">
        <w:t>compared to 16.</w:t>
      </w:r>
      <w:r>
        <w:t>3</w:t>
      </w:r>
      <w:r w:rsidRPr="00F13028">
        <w:t xml:space="preserve"> months</w:t>
      </w:r>
      <w:r>
        <w:t xml:space="preserve"> (February 2021 data cut</w:t>
      </w:r>
      <w:r w:rsidR="003A3A7B">
        <w:noBreakHyphen/>
      </w:r>
      <w:r>
        <w:t>off)</w:t>
      </w:r>
      <w:r w:rsidRPr="00F13028">
        <w:t xml:space="preserve"> in the BRF113928 trial</w:t>
      </w:r>
      <w:r>
        <w:t xml:space="preserve">. </w:t>
      </w:r>
    </w:p>
    <w:p w14:paraId="126DDC5C" w14:textId="71360ADD" w:rsidR="00E53362" w:rsidRDefault="00E53362" w:rsidP="003A3A7B">
      <w:pPr>
        <w:pStyle w:val="ListParagraph"/>
        <w:numPr>
          <w:ilvl w:val="0"/>
          <w:numId w:val="16"/>
        </w:numPr>
        <w:snapToGrid w:val="0"/>
        <w:ind w:left="1080"/>
        <w:jc w:val="both"/>
      </w:pPr>
      <w:r w:rsidRPr="006300FD">
        <w:t>In terms of patient characteristics, E+B arm had a higher proportion of patients who were male (44% vs. 39%), White (90% vs 83%), non</w:t>
      </w:r>
      <w:r w:rsidR="003A3A7B">
        <w:noBreakHyphen/>
      </w:r>
      <w:r w:rsidRPr="006300FD">
        <w:t>smokers (31 vs. 28%), had adenocarcinoma histology (97% vs. 89%),</w:t>
      </w:r>
      <w:r w:rsidR="009D077E" w:rsidRPr="006300FD">
        <w:t xml:space="preserve"> </w:t>
      </w:r>
      <w:r w:rsidRPr="006300FD">
        <w:t xml:space="preserve">and had an ECOG PS of 1 (68% vs. 61%) compared to the D+T arm. </w:t>
      </w:r>
      <w:r w:rsidR="00D23A89" w:rsidRPr="006300FD">
        <w:t>Notably, these variables were included as prognostic variables and adjusted for in the matching</w:t>
      </w:r>
      <w:r w:rsidR="003A3A7B">
        <w:noBreakHyphen/>
      </w:r>
      <w:r w:rsidR="00D23A89" w:rsidRPr="006300FD">
        <w:t xml:space="preserve">adjusted indirect comparison (refer to paragraph </w:t>
      </w:r>
      <w:r w:rsidR="00E25CCE">
        <w:t>6.23</w:t>
      </w:r>
      <w:r w:rsidR="00D23A89" w:rsidRPr="006300FD">
        <w:t xml:space="preserve">). </w:t>
      </w:r>
    </w:p>
    <w:p w14:paraId="2070E215" w14:textId="5F5DA77F" w:rsidR="000F4173" w:rsidRDefault="000F4173" w:rsidP="003A3A7B">
      <w:pPr>
        <w:pStyle w:val="ListParagraph"/>
        <w:numPr>
          <w:ilvl w:val="0"/>
          <w:numId w:val="16"/>
        </w:numPr>
        <w:snapToGrid w:val="0"/>
        <w:ind w:left="1080"/>
        <w:jc w:val="both"/>
      </w:pPr>
      <w:r w:rsidRPr="007F5DE8">
        <w:t>The ESC noted that the PHAROS study included patients with small brain metastases (&lt; 5 mm), whereas these BRF113928 excluded these patients.</w:t>
      </w:r>
    </w:p>
    <w:p w14:paraId="4D3A85C1" w14:textId="104A0293" w:rsidR="00E6613B" w:rsidRPr="006300FD" w:rsidRDefault="00E6613B" w:rsidP="003A3A7B">
      <w:pPr>
        <w:pStyle w:val="3-BodyText"/>
      </w:pPr>
      <w:bookmarkStart w:id="27" w:name="_Ref206250730"/>
      <w:r w:rsidRPr="006300FD">
        <w:lastRenderedPageBreak/>
        <w:t xml:space="preserve">The key differences across the E+B (PHAROS) and </w:t>
      </w:r>
      <w:proofErr w:type="spellStart"/>
      <w:r w:rsidRPr="006300FD">
        <w:t>pembrolizumab+PDC</w:t>
      </w:r>
      <w:proofErr w:type="spellEnd"/>
      <w:r w:rsidRPr="006300FD">
        <w:t xml:space="preserve"> (KN</w:t>
      </w:r>
      <w:r w:rsidR="003A3A7B">
        <w:noBreakHyphen/>
      </w:r>
      <w:r w:rsidRPr="006300FD">
        <w:t>189) trials that may affect the transitivity assumptions are summarised below:</w:t>
      </w:r>
      <w:bookmarkEnd w:id="27"/>
    </w:p>
    <w:p w14:paraId="592A0B90" w14:textId="3AD290CE" w:rsidR="00E6613B" w:rsidRPr="006300FD" w:rsidRDefault="00E6613B" w:rsidP="003A3A7B">
      <w:pPr>
        <w:pStyle w:val="ListParagraph"/>
        <w:ind w:left="1080"/>
        <w:jc w:val="both"/>
      </w:pPr>
      <w:r w:rsidRPr="006300FD">
        <w:t>The PHAROS trial is an ongoing phase II, single</w:t>
      </w:r>
      <w:r w:rsidR="003A3A7B">
        <w:noBreakHyphen/>
      </w:r>
      <w:r w:rsidRPr="006300FD">
        <w:t>arm trial of E+B, with a median follow</w:t>
      </w:r>
      <w:r w:rsidR="003A3A7B">
        <w:noBreakHyphen/>
      </w:r>
      <w:r w:rsidRPr="006300FD">
        <w:t>up of 33.3 months (April 2024 data cut</w:t>
      </w:r>
      <w:r w:rsidR="003A3A7B">
        <w:noBreakHyphen/>
      </w:r>
      <w:r w:rsidRPr="006300FD">
        <w:t>off). In contrast, the KN</w:t>
      </w:r>
      <w:r w:rsidR="003A3A7B">
        <w:noBreakHyphen/>
      </w:r>
      <w:r w:rsidRPr="006300FD">
        <w:t>189 trial was a randomised, double</w:t>
      </w:r>
      <w:r w:rsidR="003A3A7B">
        <w:noBreakHyphen/>
      </w:r>
      <w:r w:rsidRPr="006300FD">
        <w:t xml:space="preserve">blind, phase III study of </w:t>
      </w:r>
      <w:proofErr w:type="spellStart"/>
      <w:r w:rsidRPr="006300FD">
        <w:t>pembrolizumab+PDC</w:t>
      </w:r>
      <w:proofErr w:type="spellEnd"/>
      <w:r w:rsidRPr="006300FD">
        <w:t>, reporting a median time from random assignment of 64.6 months (March 2022 data cut</w:t>
      </w:r>
      <w:r w:rsidR="003A3A7B">
        <w:noBreakHyphen/>
      </w:r>
      <w:r w:rsidRPr="006300FD">
        <w:t xml:space="preserve">off). </w:t>
      </w:r>
    </w:p>
    <w:p w14:paraId="3D0A8AF9" w14:textId="66104C82" w:rsidR="00E6613B" w:rsidRPr="006300FD" w:rsidRDefault="00E6613B" w:rsidP="003A3A7B">
      <w:pPr>
        <w:pStyle w:val="ListParagraph"/>
        <w:ind w:left="1080"/>
        <w:jc w:val="both"/>
      </w:pPr>
      <w:r w:rsidRPr="006300FD">
        <w:t>While the PHAROS trial specifically enrolled patients with BRAF V600E</w:t>
      </w:r>
      <w:r w:rsidR="003A3A7B">
        <w:noBreakHyphen/>
      </w:r>
      <w:r w:rsidRPr="006300FD">
        <w:t>MT, the KN</w:t>
      </w:r>
      <w:r w:rsidR="003A3A7B">
        <w:noBreakHyphen/>
      </w:r>
      <w:r w:rsidRPr="006300FD">
        <w:t>189 trial included patients irrespective of their mutation status. The clinical impact of this difference is likely to be minimal, given that the PBAC considered BRAF mutations were not strongly prognostic in NSCLC and treatment with</w:t>
      </w:r>
      <w:r>
        <w:rPr>
          <w:i/>
          <w:iCs/>
        </w:rPr>
        <w:t xml:space="preserve"> </w:t>
      </w:r>
      <w:r w:rsidRPr="006300FD">
        <w:t xml:space="preserve">immunotherapy was not a treatment effect modifier (paragraph 6.15, D+T, PSD, March 2025 PBAC Meeting). </w:t>
      </w:r>
    </w:p>
    <w:p w14:paraId="58824F5E" w14:textId="22B29B12" w:rsidR="00E6613B" w:rsidRPr="006300FD" w:rsidRDefault="00E6613B" w:rsidP="003A3A7B">
      <w:pPr>
        <w:pStyle w:val="ListParagraph"/>
        <w:ind w:left="1080"/>
        <w:jc w:val="both"/>
      </w:pPr>
      <w:r w:rsidRPr="006300FD">
        <w:t xml:space="preserve">In terms of patient characteristics, the E+B arm had a higher proportion of patients aged ≥65 years (61% vs. 52%) and with an ECOG PS of 1 (68% vs. 54%) compared to </w:t>
      </w:r>
      <w:proofErr w:type="spellStart"/>
      <w:r w:rsidRPr="006300FD">
        <w:t>pembrolizumab+PDC</w:t>
      </w:r>
      <w:proofErr w:type="spellEnd"/>
      <w:r w:rsidRPr="006300FD">
        <w:t xml:space="preserve"> arm. Conversely, a lower proportion of patients were male (44% vs. 62%), current or former smoker (69% vs 88%), and had brain metastases (7% vs. 18%) in the E+B arm compared to </w:t>
      </w:r>
      <w:proofErr w:type="spellStart"/>
      <w:r w:rsidRPr="006300FD">
        <w:t>pembrolizumab+PDC</w:t>
      </w:r>
      <w:proofErr w:type="spellEnd"/>
      <w:r w:rsidRPr="006300FD">
        <w:t xml:space="preserve"> arm. Notably, these variables were included as prognostic variables and adjusted for in the matching</w:t>
      </w:r>
      <w:r w:rsidR="003A3A7B">
        <w:noBreakHyphen/>
      </w:r>
      <w:r w:rsidRPr="006300FD">
        <w:t xml:space="preserve">adjusted indirect comparison (refer to paragraph </w:t>
      </w:r>
      <w:r w:rsidR="00E25CCE">
        <w:t>6.23</w:t>
      </w:r>
      <w:r w:rsidRPr="006300FD">
        <w:t xml:space="preserve">). </w:t>
      </w:r>
    </w:p>
    <w:p w14:paraId="4A4FE085" w14:textId="38BBB020" w:rsidR="00B60939" w:rsidRDefault="00B60939" w:rsidP="003A3A7B">
      <w:pPr>
        <w:pStyle w:val="4-SubsectionHeading"/>
      </w:pPr>
      <w:bookmarkStart w:id="28" w:name="_Toc208925850"/>
      <w:r w:rsidRPr="0098262F">
        <w:t>Comparative effectiveness</w:t>
      </w:r>
      <w:bookmarkEnd w:id="25"/>
      <w:bookmarkEnd w:id="28"/>
    </w:p>
    <w:p w14:paraId="7C397F13" w14:textId="0AD7DBB8" w:rsidR="00E71258" w:rsidRPr="006300FD" w:rsidRDefault="00E71258" w:rsidP="003A3A7B">
      <w:pPr>
        <w:pStyle w:val="3-BodyText"/>
      </w:pPr>
      <w:r w:rsidRPr="00E53362">
        <w:t>A claim of superior efficacy over</w:t>
      </w:r>
      <w:r>
        <w:t xml:space="preserve"> both</w:t>
      </w:r>
      <w:r w:rsidRPr="00E53362">
        <w:t xml:space="preserve"> </w:t>
      </w:r>
      <w:proofErr w:type="spellStart"/>
      <w:r w:rsidRPr="00E53362">
        <w:t>pembrolizumab+PDC</w:t>
      </w:r>
      <w:proofErr w:type="spellEnd"/>
      <w:r w:rsidRPr="00E53362">
        <w:t xml:space="preserve"> and D+T was based on improvements in objective response rate (ORR), progression</w:t>
      </w:r>
      <w:r w:rsidR="003A3A7B">
        <w:noBreakHyphen/>
      </w:r>
      <w:r w:rsidRPr="00E53362">
        <w:t xml:space="preserve">free survival (PFS), </w:t>
      </w:r>
      <w:r w:rsidRPr="006300FD">
        <w:t>and overall survival (OS). While definitions of key clinical outcomes were generally well aligned across the trials, the methods of assessment for ORR and PFS varied: PHAROS used independent radiological review (IRR) with investigator assessment as supportive evidence; KN</w:t>
      </w:r>
      <w:r w:rsidR="003A3A7B">
        <w:noBreakHyphen/>
      </w:r>
      <w:r w:rsidRPr="006300FD">
        <w:t>189 employed blinded independent committee review (BICR); and BRF113928 relied on an independent review committee (IRC), supported by investigator assessment.</w:t>
      </w:r>
    </w:p>
    <w:p w14:paraId="5A63E425" w14:textId="77777777" w:rsidR="00E71258" w:rsidRPr="006300FD" w:rsidRDefault="00E71258" w:rsidP="003A3A7B">
      <w:pPr>
        <w:pStyle w:val="5-SubsectionSubheading"/>
        <w:rPr>
          <w:lang w:eastAsia="en-US"/>
        </w:rPr>
      </w:pPr>
      <w:bookmarkStart w:id="29" w:name="_Toc208925851"/>
      <w:r w:rsidRPr="006300FD">
        <w:rPr>
          <w:lang w:eastAsia="en-US"/>
        </w:rPr>
        <w:t>Objective response rate</w:t>
      </w:r>
      <w:bookmarkEnd w:id="29"/>
    </w:p>
    <w:p w14:paraId="0482A379" w14:textId="2BD5B973" w:rsidR="00401D40" w:rsidRPr="006300FD" w:rsidRDefault="005613E4" w:rsidP="003A3A7B">
      <w:pPr>
        <w:pStyle w:val="3-BodyText"/>
        <w:rPr>
          <w:rFonts w:eastAsiaTheme="majorEastAsia" w:cstheme="majorBidi"/>
          <w:b/>
          <w:color w:val="000000" w:themeColor="text1"/>
          <w:szCs w:val="24"/>
          <w:lang w:eastAsia="en-US"/>
        </w:rPr>
      </w:pPr>
      <w:r w:rsidRPr="006300FD">
        <w:fldChar w:fldCharType="begin"/>
      </w:r>
      <w:r w:rsidRPr="006300FD">
        <w:instrText xml:space="preserve"> REF _Ref206080745 \h </w:instrText>
      </w:r>
      <w:r w:rsidR="006300FD" w:rsidRPr="006300FD">
        <w:instrText xml:space="preserve"> \* MERGEFORMAT </w:instrText>
      </w:r>
      <w:r w:rsidRPr="006300FD">
        <w:fldChar w:fldCharType="separate"/>
      </w:r>
      <w:r w:rsidR="00894EC9">
        <w:t xml:space="preserve">Table </w:t>
      </w:r>
      <w:r w:rsidR="00894EC9">
        <w:rPr>
          <w:noProof/>
        </w:rPr>
        <w:t>4</w:t>
      </w:r>
      <w:r w:rsidRPr="006300FD">
        <w:fldChar w:fldCharType="end"/>
      </w:r>
      <w:r w:rsidRPr="006300FD">
        <w:t xml:space="preserve"> </w:t>
      </w:r>
      <w:r w:rsidR="00551956" w:rsidRPr="006300FD">
        <w:t>summarises the ORR results</w:t>
      </w:r>
      <w:r w:rsidRPr="006300FD">
        <w:t xml:space="preserve"> from </w:t>
      </w:r>
      <w:r w:rsidR="00551956" w:rsidRPr="006300FD">
        <w:t>PHAROS</w:t>
      </w:r>
      <w:r w:rsidRPr="006300FD">
        <w:t xml:space="preserve">, </w:t>
      </w:r>
      <w:r w:rsidR="00551956" w:rsidRPr="006300FD">
        <w:t>KN</w:t>
      </w:r>
      <w:r w:rsidR="003A3A7B">
        <w:noBreakHyphen/>
      </w:r>
      <w:r w:rsidR="00551956" w:rsidRPr="006300FD">
        <w:t>189</w:t>
      </w:r>
      <w:r w:rsidRPr="006300FD">
        <w:t xml:space="preserve">, </w:t>
      </w:r>
      <w:r w:rsidR="00551956" w:rsidRPr="006300FD">
        <w:t>and BRF113928 trial</w:t>
      </w:r>
      <w:r w:rsidRPr="006300FD">
        <w:t>s</w:t>
      </w:r>
      <w:r w:rsidR="00551956" w:rsidRPr="006300FD">
        <w:t>.</w:t>
      </w:r>
    </w:p>
    <w:p w14:paraId="2C8FA855" w14:textId="70E6BD43" w:rsidR="005613E4" w:rsidRDefault="005613E4" w:rsidP="003A3A7B">
      <w:pPr>
        <w:pStyle w:val="Caption"/>
      </w:pPr>
      <w:bookmarkStart w:id="30" w:name="_Ref206080745"/>
      <w:r>
        <w:lastRenderedPageBreak/>
        <w:t xml:space="preserve">Table </w:t>
      </w:r>
      <w:r w:rsidR="00745925">
        <w:fldChar w:fldCharType="begin"/>
      </w:r>
      <w:r w:rsidR="00745925">
        <w:instrText xml:space="preserve"> SEQ Table \* ARABIC </w:instrText>
      </w:r>
      <w:r w:rsidR="00745925">
        <w:fldChar w:fldCharType="separate"/>
      </w:r>
      <w:r w:rsidR="00894EC9">
        <w:rPr>
          <w:noProof/>
        </w:rPr>
        <w:t>4</w:t>
      </w:r>
      <w:r w:rsidR="00745925">
        <w:rPr>
          <w:noProof/>
        </w:rPr>
        <w:fldChar w:fldCharType="end"/>
      </w:r>
      <w:bookmarkEnd w:id="30"/>
      <w:r>
        <w:t>: Summary of ORR across the studies</w:t>
      </w:r>
    </w:p>
    <w:tbl>
      <w:tblPr>
        <w:tblStyle w:val="TableGrid"/>
        <w:tblW w:w="5000" w:type="pct"/>
        <w:tblLook w:val="04A0" w:firstRow="1" w:lastRow="0" w:firstColumn="1" w:lastColumn="0" w:noHBand="0" w:noVBand="1"/>
        <w:tblCaption w:val="Table 4: Summary of ORR across the studies"/>
      </w:tblPr>
      <w:tblGrid>
        <w:gridCol w:w="2153"/>
        <w:gridCol w:w="1800"/>
        <w:gridCol w:w="1681"/>
        <w:gridCol w:w="1681"/>
        <w:gridCol w:w="1702"/>
      </w:tblGrid>
      <w:tr w:rsidR="005613E4" w14:paraId="40848127" w14:textId="77777777" w:rsidTr="008D2670">
        <w:tc>
          <w:tcPr>
            <w:tcW w:w="1194" w:type="pct"/>
            <w:vMerge w:val="restart"/>
            <w:tcBorders>
              <w:top w:val="single" w:sz="4" w:space="0" w:color="auto"/>
              <w:left w:val="single" w:sz="4" w:space="0" w:color="auto"/>
              <w:bottom w:val="single" w:sz="4" w:space="0" w:color="auto"/>
              <w:right w:val="single" w:sz="4" w:space="0" w:color="auto"/>
            </w:tcBorders>
          </w:tcPr>
          <w:p w14:paraId="33B0F73E" w14:textId="77777777" w:rsidR="005613E4" w:rsidRDefault="005613E4" w:rsidP="003A3A7B">
            <w:pPr>
              <w:pStyle w:val="TableText0"/>
              <w:rPr>
                <w:lang w:val="en-US"/>
              </w:rPr>
            </w:pPr>
          </w:p>
        </w:tc>
        <w:tc>
          <w:tcPr>
            <w:tcW w:w="998" w:type="pct"/>
            <w:tcBorders>
              <w:top w:val="single" w:sz="4" w:space="0" w:color="auto"/>
              <w:left w:val="single" w:sz="4" w:space="0" w:color="auto"/>
              <w:bottom w:val="single" w:sz="4" w:space="0" w:color="auto"/>
              <w:right w:val="single" w:sz="4" w:space="0" w:color="auto"/>
            </w:tcBorders>
            <w:hideMark/>
          </w:tcPr>
          <w:p w14:paraId="2709C7FD" w14:textId="77777777" w:rsidR="005613E4" w:rsidRDefault="005613E4" w:rsidP="003A3A7B">
            <w:pPr>
              <w:pStyle w:val="TableFigureHeading"/>
              <w:keepLines/>
              <w:jc w:val="center"/>
              <w:rPr>
                <w:lang w:val="en-US"/>
              </w:rPr>
            </w:pPr>
            <w:proofErr w:type="spellStart"/>
            <w:r>
              <w:rPr>
                <w:lang w:val="en-US"/>
              </w:rPr>
              <w:t>PHAROS</w:t>
            </w:r>
            <w:r>
              <w:rPr>
                <w:vertAlign w:val="superscript"/>
                <w:lang w:val="en-US"/>
              </w:rPr>
              <w:t>a</w:t>
            </w:r>
            <w:proofErr w:type="spellEnd"/>
          </w:p>
        </w:tc>
        <w:tc>
          <w:tcPr>
            <w:tcW w:w="1864" w:type="pct"/>
            <w:gridSpan w:val="2"/>
            <w:tcBorders>
              <w:top w:val="single" w:sz="4" w:space="0" w:color="auto"/>
              <w:left w:val="single" w:sz="4" w:space="0" w:color="auto"/>
              <w:bottom w:val="single" w:sz="4" w:space="0" w:color="auto"/>
              <w:right w:val="single" w:sz="4" w:space="0" w:color="auto"/>
            </w:tcBorders>
            <w:hideMark/>
          </w:tcPr>
          <w:p w14:paraId="3D49ECCF" w14:textId="6EFA00CC" w:rsidR="005613E4" w:rsidRDefault="005613E4" w:rsidP="003A3A7B">
            <w:pPr>
              <w:pStyle w:val="TableFigureHeading"/>
              <w:keepLines/>
              <w:jc w:val="center"/>
              <w:rPr>
                <w:lang w:val="en-US"/>
              </w:rPr>
            </w:pPr>
            <w:r>
              <w:rPr>
                <w:lang w:val="en-US"/>
              </w:rPr>
              <w:t>KN</w:t>
            </w:r>
            <w:r w:rsidR="003A3A7B">
              <w:rPr>
                <w:lang w:val="en-US"/>
              </w:rPr>
              <w:noBreakHyphen/>
            </w:r>
            <w:r>
              <w:rPr>
                <w:lang w:val="en-US"/>
              </w:rPr>
              <w:t>189</w:t>
            </w:r>
            <w:r>
              <w:rPr>
                <w:vertAlign w:val="superscript"/>
                <w:lang w:val="en-US"/>
              </w:rPr>
              <w:t>b</w:t>
            </w:r>
          </w:p>
        </w:tc>
        <w:tc>
          <w:tcPr>
            <w:tcW w:w="944" w:type="pct"/>
            <w:tcBorders>
              <w:top w:val="single" w:sz="4" w:space="0" w:color="auto"/>
              <w:left w:val="single" w:sz="4" w:space="0" w:color="auto"/>
              <w:bottom w:val="single" w:sz="4" w:space="0" w:color="auto"/>
              <w:right w:val="single" w:sz="4" w:space="0" w:color="auto"/>
            </w:tcBorders>
            <w:hideMark/>
          </w:tcPr>
          <w:p w14:paraId="580E8801" w14:textId="77777777" w:rsidR="005613E4" w:rsidRDefault="005613E4" w:rsidP="003A3A7B">
            <w:pPr>
              <w:pStyle w:val="TableFigureHeading"/>
              <w:keepLines/>
              <w:jc w:val="center"/>
              <w:rPr>
                <w:lang w:val="en-US"/>
              </w:rPr>
            </w:pPr>
            <w:r>
              <w:rPr>
                <w:lang w:val="en-US"/>
              </w:rPr>
              <w:t>BRF113928</w:t>
            </w:r>
            <w:r>
              <w:rPr>
                <w:vertAlign w:val="superscript"/>
                <w:lang w:val="en-US"/>
              </w:rPr>
              <w:t>c</w:t>
            </w:r>
          </w:p>
        </w:tc>
      </w:tr>
      <w:tr w:rsidR="005613E4" w14:paraId="24052C12" w14:textId="77777777" w:rsidTr="008D2670">
        <w:tc>
          <w:tcPr>
            <w:tcW w:w="1194" w:type="pct"/>
            <w:vMerge/>
            <w:tcBorders>
              <w:top w:val="single" w:sz="4" w:space="0" w:color="auto"/>
              <w:left w:val="single" w:sz="4" w:space="0" w:color="auto"/>
              <w:bottom w:val="single" w:sz="4" w:space="0" w:color="auto"/>
              <w:right w:val="single" w:sz="4" w:space="0" w:color="auto"/>
            </w:tcBorders>
            <w:vAlign w:val="center"/>
            <w:hideMark/>
          </w:tcPr>
          <w:p w14:paraId="365B997F" w14:textId="77777777" w:rsidR="005613E4" w:rsidRDefault="005613E4" w:rsidP="003A3A7B">
            <w:pPr>
              <w:keepNext/>
              <w:keepLines/>
              <w:jc w:val="left"/>
              <w:rPr>
                <w:rFonts w:ascii="Arial Narrow" w:eastAsiaTheme="majorEastAsia" w:hAnsi="Arial Narrow" w:cstheme="majorBidi"/>
                <w:bCs/>
                <w:sz w:val="20"/>
                <w:lang w:val="en-US"/>
              </w:rPr>
            </w:pPr>
          </w:p>
        </w:tc>
        <w:tc>
          <w:tcPr>
            <w:tcW w:w="998" w:type="pct"/>
            <w:tcBorders>
              <w:top w:val="single" w:sz="4" w:space="0" w:color="auto"/>
              <w:left w:val="single" w:sz="4" w:space="0" w:color="auto"/>
              <w:bottom w:val="single" w:sz="4" w:space="0" w:color="auto"/>
              <w:right w:val="single" w:sz="4" w:space="0" w:color="auto"/>
            </w:tcBorders>
            <w:hideMark/>
          </w:tcPr>
          <w:p w14:paraId="1577861C" w14:textId="77777777" w:rsidR="006E492C" w:rsidRDefault="005613E4" w:rsidP="003A3A7B">
            <w:pPr>
              <w:pStyle w:val="TableFigureHeading"/>
              <w:keepLines/>
              <w:jc w:val="center"/>
              <w:rPr>
                <w:lang w:val="en-US"/>
              </w:rPr>
            </w:pPr>
            <w:r>
              <w:rPr>
                <w:lang w:val="en-US"/>
              </w:rPr>
              <w:t>1</w:t>
            </w:r>
            <w:r>
              <w:rPr>
                <w:vertAlign w:val="superscript"/>
                <w:lang w:val="en-US"/>
              </w:rPr>
              <w:t>st</w:t>
            </w:r>
            <w:r>
              <w:rPr>
                <w:lang w:val="en-US"/>
              </w:rPr>
              <w:t xml:space="preserve"> Line </w:t>
            </w:r>
            <w:r w:rsidR="006E492C">
              <w:rPr>
                <w:lang w:val="en-US"/>
              </w:rPr>
              <w:t>(untreated)</w:t>
            </w:r>
          </w:p>
          <w:p w14:paraId="731C7F4A" w14:textId="25608E08" w:rsidR="005613E4" w:rsidRDefault="005613E4" w:rsidP="003A3A7B">
            <w:pPr>
              <w:pStyle w:val="TableFigureHeading"/>
              <w:keepLines/>
              <w:jc w:val="center"/>
              <w:rPr>
                <w:lang w:val="en-US"/>
              </w:rPr>
            </w:pPr>
            <w:r>
              <w:rPr>
                <w:lang w:val="en-US"/>
              </w:rPr>
              <w:t xml:space="preserve">E+B </w:t>
            </w:r>
          </w:p>
          <w:p w14:paraId="3212731A" w14:textId="77777777" w:rsidR="005613E4" w:rsidRDefault="005613E4" w:rsidP="003A3A7B">
            <w:pPr>
              <w:pStyle w:val="TableFigureHeading"/>
              <w:keepLines/>
              <w:jc w:val="center"/>
              <w:rPr>
                <w:lang w:val="en-US"/>
              </w:rPr>
            </w:pPr>
            <w:r>
              <w:rPr>
                <w:lang w:val="en-US"/>
              </w:rPr>
              <w:t>N=59</w:t>
            </w:r>
          </w:p>
        </w:tc>
        <w:tc>
          <w:tcPr>
            <w:tcW w:w="932" w:type="pct"/>
            <w:tcBorders>
              <w:top w:val="single" w:sz="4" w:space="0" w:color="auto"/>
              <w:left w:val="single" w:sz="4" w:space="0" w:color="auto"/>
              <w:bottom w:val="single" w:sz="4" w:space="0" w:color="auto"/>
              <w:right w:val="single" w:sz="4" w:space="0" w:color="auto"/>
            </w:tcBorders>
            <w:hideMark/>
          </w:tcPr>
          <w:p w14:paraId="08D684DD" w14:textId="77777777" w:rsidR="005613E4" w:rsidRDefault="005613E4" w:rsidP="003A3A7B">
            <w:pPr>
              <w:pStyle w:val="TableFigureHeading"/>
              <w:keepLines/>
              <w:jc w:val="center"/>
              <w:rPr>
                <w:lang w:val="en-US"/>
              </w:rPr>
            </w:pPr>
            <w:r>
              <w:rPr>
                <w:lang w:val="en-US"/>
              </w:rPr>
              <w:t>PEMBRO+</w:t>
            </w:r>
          </w:p>
          <w:p w14:paraId="28B3D2A6" w14:textId="77777777" w:rsidR="005613E4" w:rsidRDefault="005613E4" w:rsidP="003A3A7B">
            <w:pPr>
              <w:pStyle w:val="TableFigureHeading"/>
              <w:keepLines/>
              <w:jc w:val="center"/>
              <w:rPr>
                <w:lang w:val="en-US"/>
              </w:rPr>
            </w:pPr>
            <w:r>
              <w:rPr>
                <w:lang w:val="en-US"/>
              </w:rPr>
              <w:t>PDC</w:t>
            </w:r>
          </w:p>
          <w:p w14:paraId="15A50545" w14:textId="77777777" w:rsidR="005613E4" w:rsidRDefault="005613E4" w:rsidP="003A3A7B">
            <w:pPr>
              <w:pStyle w:val="TableFigureHeading"/>
              <w:keepLines/>
              <w:jc w:val="center"/>
              <w:rPr>
                <w:lang w:val="en-US"/>
              </w:rPr>
            </w:pPr>
            <w:r>
              <w:rPr>
                <w:lang w:val="en-US"/>
              </w:rPr>
              <w:t>N=410</w:t>
            </w:r>
          </w:p>
        </w:tc>
        <w:tc>
          <w:tcPr>
            <w:tcW w:w="932" w:type="pct"/>
            <w:tcBorders>
              <w:top w:val="single" w:sz="4" w:space="0" w:color="auto"/>
              <w:left w:val="single" w:sz="4" w:space="0" w:color="auto"/>
              <w:bottom w:val="single" w:sz="4" w:space="0" w:color="auto"/>
              <w:right w:val="single" w:sz="4" w:space="0" w:color="auto"/>
            </w:tcBorders>
            <w:hideMark/>
          </w:tcPr>
          <w:p w14:paraId="76C7EF2C" w14:textId="77777777" w:rsidR="005613E4" w:rsidRDefault="005613E4" w:rsidP="003A3A7B">
            <w:pPr>
              <w:pStyle w:val="TableFigureHeading"/>
              <w:keepLines/>
              <w:jc w:val="center"/>
              <w:rPr>
                <w:lang w:val="en-US"/>
              </w:rPr>
            </w:pPr>
            <w:r>
              <w:rPr>
                <w:lang w:val="en-US"/>
              </w:rPr>
              <w:t>PDC</w:t>
            </w:r>
          </w:p>
          <w:p w14:paraId="6F2F5348" w14:textId="77777777" w:rsidR="005613E4" w:rsidRDefault="005613E4" w:rsidP="003A3A7B">
            <w:pPr>
              <w:pStyle w:val="TableFigureHeading"/>
              <w:keepLines/>
              <w:jc w:val="center"/>
              <w:rPr>
                <w:lang w:val="en-US"/>
              </w:rPr>
            </w:pPr>
            <w:r>
              <w:rPr>
                <w:lang w:val="en-US"/>
              </w:rPr>
              <w:t>N=206</w:t>
            </w:r>
          </w:p>
        </w:tc>
        <w:tc>
          <w:tcPr>
            <w:tcW w:w="944" w:type="pct"/>
            <w:tcBorders>
              <w:top w:val="single" w:sz="4" w:space="0" w:color="auto"/>
              <w:left w:val="single" w:sz="4" w:space="0" w:color="auto"/>
              <w:bottom w:val="single" w:sz="4" w:space="0" w:color="auto"/>
              <w:right w:val="single" w:sz="4" w:space="0" w:color="auto"/>
            </w:tcBorders>
            <w:hideMark/>
          </w:tcPr>
          <w:p w14:paraId="23EF7273" w14:textId="77777777" w:rsidR="006E492C" w:rsidRDefault="005613E4" w:rsidP="003A3A7B">
            <w:pPr>
              <w:pStyle w:val="TableFigureHeading"/>
              <w:keepLines/>
              <w:jc w:val="center"/>
              <w:rPr>
                <w:lang w:val="en-US"/>
              </w:rPr>
            </w:pPr>
            <w:r>
              <w:rPr>
                <w:lang w:val="en-US"/>
              </w:rPr>
              <w:t>1</w:t>
            </w:r>
            <w:r>
              <w:rPr>
                <w:vertAlign w:val="superscript"/>
                <w:lang w:val="en-US"/>
              </w:rPr>
              <w:t>st</w:t>
            </w:r>
            <w:r>
              <w:rPr>
                <w:lang w:val="en-US"/>
              </w:rPr>
              <w:t xml:space="preserve"> Line </w:t>
            </w:r>
            <w:r w:rsidR="006E492C">
              <w:rPr>
                <w:lang w:val="en-US"/>
              </w:rPr>
              <w:t>(untreated)</w:t>
            </w:r>
          </w:p>
          <w:p w14:paraId="059AEB5E" w14:textId="340664CB" w:rsidR="005613E4" w:rsidRDefault="005613E4" w:rsidP="003A3A7B">
            <w:pPr>
              <w:pStyle w:val="TableFigureHeading"/>
              <w:keepLines/>
              <w:jc w:val="center"/>
              <w:rPr>
                <w:lang w:val="en-US"/>
              </w:rPr>
            </w:pPr>
            <w:r>
              <w:rPr>
                <w:lang w:val="en-US"/>
              </w:rPr>
              <w:t>D+T</w:t>
            </w:r>
          </w:p>
          <w:p w14:paraId="0A52C2BB" w14:textId="77777777" w:rsidR="005613E4" w:rsidRDefault="005613E4" w:rsidP="003A3A7B">
            <w:pPr>
              <w:pStyle w:val="TableFigureHeading"/>
              <w:keepLines/>
              <w:jc w:val="center"/>
              <w:rPr>
                <w:lang w:val="en-US"/>
              </w:rPr>
            </w:pPr>
            <w:r>
              <w:rPr>
                <w:lang w:val="en-US"/>
              </w:rPr>
              <w:t>N=36</w:t>
            </w:r>
          </w:p>
        </w:tc>
      </w:tr>
      <w:tr w:rsidR="005613E4" w14:paraId="2640E608" w14:textId="77777777" w:rsidTr="005613E4">
        <w:tc>
          <w:tcPr>
            <w:tcW w:w="5000" w:type="pct"/>
            <w:gridSpan w:val="5"/>
            <w:tcBorders>
              <w:top w:val="single" w:sz="4" w:space="0" w:color="auto"/>
              <w:left w:val="single" w:sz="4" w:space="0" w:color="auto"/>
              <w:bottom w:val="single" w:sz="4" w:space="0" w:color="auto"/>
              <w:right w:val="single" w:sz="4" w:space="0" w:color="auto"/>
            </w:tcBorders>
            <w:hideMark/>
          </w:tcPr>
          <w:p w14:paraId="7578617D" w14:textId="77777777" w:rsidR="005613E4" w:rsidRDefault="005613E4" w:rsidP="003A3A7B">
            <w:pPr>
              <w:pStyle w:val="TableText0"/>
              <w:rPr>
                <w:lang w:val="en-US"/>
              </w:rPr>
            </w:pPr>
            <w:r>
              <w:rPr>
                <w:b/>
                <w:bCs w:val="0"/>
                <w:lang w:val="en-US"/>
              </w:rPr>
              <w:t>Best response, n (%)</w:t>
            </w:r>
          </w:p>
        </w:tc>
      </w:tr>
      <w:tr w:rsidR="005613E4" w14:paraId="0407FC2F" w14:textId="77777777" w:rsidTr="008D2670">
        <w:tc>
          <w:tcPr>
            <w:tcW w:w="1194" w:type="pct"/>
            <w:tcBorders>
              <w:top w:val="single" w:sz="4" w:space="0" w:color="auto"/>
              <w:left w:val="single" w:sz="4" w:space="0" w:color="auto"/>
              <w:bottom w:val="single" w:sz="4" w:space="0" w:color="auto"/>
              <w:right w:val="single" w:sz="4" w:space="0" w:color="auto"/>
            </w:tcBorders>
            <w:hideMark/>
          </w:tcPr>
          <w:p w14:paraId="22C590DB" w14:textId="77777777" w:rsidR="005613E4" w:rsidRDefault="005613E4" w:rsidP="003A3A7B">
            <w:pPr>
              <w:pStyle w:val="TableText0"/>
              <w:rPr>
                <w:lang w:val="en-US"/>
              </w:rPr>
            </w:pPr>
            <w:r>
              <w:rPr>
                <w:lang w:val="en-US"/>
              </w:rPr>
              <w:t>CR</w:t>
            </w:r>
          </w:p>
        </w:tc>
        <w:tc>
          <w:tcPr>
            <w:tcW w:w="998" w:type="pct"/>
            <w:tcBorders>
              <w:top w:val="single" w:sz="4" w:space="0" w:color="auto"/>
              <w:left w:val="single" w:sz="4" w:space="0" w:color="auto"/>
              <w:bottom w:val="single" w:sz="4" w:space="0" w:color="auto"/>
              <w:right w:val="single" w:sz="4" w:space="0" w:color="auto"/>
            </w:tcBorders>
            <w:hideMark/>
          </w:tcPr>
          <w:p w14:paraId="1052F422" w14:textId="77777777" w:rsidR="005613E4" w:rsidRDefault="005613E4" w:rsidP="003A3A7B">
            <w:pPr>
              <w:pStyle w:val="TableText0"/>
              <w:jc w:val="center"/>
              <w:rPr>
                <w:lang w:val="en-US"/>
              </w:rPr>
            </w:pPr>
            <w:r>
              <w:rPr>
                <w:lang w:val="en-US"/>
              </w:rPr>
              <w:t>9 (15.3%)</w:t>
            </w:r>
          </w:p>
        </w:tc>
        <w:tc>
          <w:tcPr>
            <w:tcW w:w="932" w:type="pct"/>
            <w:tcBorders>
              <w:top w:val="single" w:sz="4" w:space="0" w:color="auto"/>
              <w:left w:val="single" w:sz="4" w:space="0" w:color="auto"/>
              <w:bottom w:val="single" w:sz="4" w:space="0" w:color="auto"/>
              <w:right w:val="single" w:sz="4" w:space="0" w:color="auto"/>
            </w:tcBorders>
            <w:hideMark/>
          </w:tcPr>
          <w:p w14:paraId="596C7645" w14:textId="77777777" w:rsidR="005613E4" w:rsidRDefault="005613E4" w:rsidP="003A3A7B">
            <w:pPr>
              <w:pStyle w:val="TableText0"/>
              <w:jc w:val="center"/>
              <w:rPr>
                <w:lang w:val="en-US"/>
              </w:rPr>
            </w:pPr>
            <w:r>
              <w:rPr>
                <w:lang w:val="en-US"/>
              </w:rPr>
              <w:t>10 (2.4%)</w:t>
            </w:r>
          </w:p>
        </w:tc>
        <w:tc>
          <w:tcPr>
            <w:tcW w:w="932" w:type="pct"/>
            <w:tcBorders>
              <w:top w:val="single" w:sz="4" w:space="0" w:color="auto"/>
              <w:left w:val="single" w:sz="4" w:space="0" w:color="auto"/>
              <w:bottom w:val="single" w:sz="4" w:space="0" w:color="auto"/>
              <w:right w:val="single" w:sz="4" w:space="0" w:color="auto"/>
            </w:tcBorders>
            <w:hideMark/>
          </w:tcPr>
          <w:p w14:paraId="31021E91" w14:textId="77777777" w:rsidR="005613E4" w:rsidRDefault="005613E4" w:rsidP="003A3A7B">
            <w:pPr>
              <w:pStyle w:val="TableText0"/>
              <w:jc w:val="center"/>
              <w:rPr>
                <w:lang w:val="en-US"/>
              </w:rPr>
            </w:pPr>
            <w:r>
              <w:rPr>
                <w:lang w:val="en-US"/>
              </w:rPr>
              <w:t>1 (0.5%)</w:t>
            </w:r>
          </w:p>
        </w:tc>
        <w:tc>
          <w:tcPr>
            <w:tcW w:w="944" w:type="pct"/>
            <w:tcBorders>
              <w:top w:val="single" w:sz="4" w:space="0" w:color="auto"/>
              <w:left w:val="single" w:sz="4" w:space="0" w:color="auto"/>
              <w:bottom w:val="single" w:sz="4" w:space="0" w:color="auto"/>
              <w:right w:val="single" w:sz="4" w:space="0" w:color="auto"/>
            </w:tcBorders>
            <w:hideMark/>
          </w:tcPr>
          <w:p w14:paraId="395B70ED" w14:textId="77777777" w:rsidR="005613E4" w:rsidRDefault="005613E4" w:rsidP="003A3A7B">
            <w:pPr>
              <w:pStyle w:val="TableText0"/>
              <w:jc w:val="center"/>
              <w:rPr>
                <w:lang w:val="en-US"/>
              </w:rPr>
            </w:pPr>
            <w:r>
              <w:rPr>
                <w:lang w:val="en-US"/>
              </w:rPr>
              <w:t>2 (6%)</w:t>
            </w:r>
          </w:p>
        </w:tc>
      </w:tr>
      <w:tr w:rsidR="005613E4" w14:paraId="15AFE9F8" w14:textId="77777777" w:rsidTr="008D2670">
        <w:tc>
          <w:tcPr>
            <w:tcW w:w="1194" w:type="pct"/>
            <w:tcBorders>
              <w:top w:val="single" w:sz="4" w:space="0" w:color="auto"/>
              <w:left w:val="single" w:sz="4" w:space="0" w:color="auto"/>
              <w:bottom w:val="single" w:sz="4" w:space="0" w:color="auto"/>
              <w:right w:val="single" w:sz="4" w:space="0" w:color="auto"/>
            </w:tcBorders>
            <w:hideMark/>
          </w:tcPr>
          <w:p w14:paraId="41624083" w14:textId="77777777" w:rsidR="005613E4" w:rsidRDefault="005613E4" w:rsidP="003A3A7B">
            <w:pPr>
              <w:pStyle w:val="TableText0"/>
              <w:rPr>
                <w:lang w:val="en-US"/>
              </w:rPr>
            </w:pPr>
            <w:r>
              <w:rPr>
                <w:lang w:val="en-US"/>
              </w:rPr>
              <w:t>PR</w:t>
            </w:r>
          </w:p>
        </w:tc>
        <w:tc>
          <w:tcPr>
            <w:tcW w:w="998" w:type="pct"/>
            <w:tcBorders>
              <w:top w:val="single" w:sz="4" w:space="0" w:color="auto"/>
              <w:left w:val="single" w:sz="4" w:space="0" w:color="auto"/>
              <w:bottom w:val="single" w:sz="4" w:space="0" w:color="auto"/>
              <w:right w:val="single" w:sz="4" w:space="0" w:color="auto"/>
            </w:tcBorders>
            <w:hideMark/>
          </w:tcPr>
          <w:p w14:paraId="7151A639" w14:textId="77777777" w:rsidR="005613E4" w:rsidRDefault="005613E4" w:rsidP="003A3A7B">
            <w:pPr>
              <w:pStyle w:val="TableText0"/>
              <w:jc w:val="center"/>
              <w:rPr>
                <w:lang w:val="en-US"/>
              </w:rPr>
            </w:pPr>
            <w:r>
              <w:rPr>
                <w:lang w:val="en-US"/>
              </w:rPr>
              <w:t>35 (59.3%)</w:t>
            </w:r>
          </w:p>
        </w:tc>
        <w:tc>
          <w:tcPr>
            <w:tcW w:w="932" w:type="pct"/>
            <w:tcBorders>
              <w:top w:val="single" w:sz="4" w:space="0" w:color="auto"/>
              <w:left w:val="single" w:sz="4" w:space="0" w:color="auto"/>
              <w:bottom w:val="single" w:sz="4" w:space="0" w:color="auto"/>
              <w:right w:val="single" w:sz="4" w:space="0" w:color="auto"/>
            </w:tcBorders>
            <w:hideMark/>
          </w:tcPr>
          <w:p w14:paraId="6462C13B" w14:textId="77777777" w:rsidR="005613E4" w:rsidRDefault="005613E4" w:rsidP="003A3A7B">
            <w:pPr>
              <w:pStyle w:val="TableText0"/>
              <w:jc w:val="center"/>
              <w:rPr>
                <w:lang w:val="en-US"/>
              </w:rPr>
            </w:pPr>
            <w:r>
              <w:rPr>
                <w:lang w:val="en-US"/>
              </w:rPr>
              <w:t>188 (45.9%)</w:t>
            </w:r>
          </w:p>
        </w:tc>
        <w:tc>
          <w:tcPr>
            <w:tcW w:w="932" w:type="pct"/>
            <w:tcBorders>
              <w:top w:val="single" w:sz="4" w:space="0" w:color="auto"/>
              <w:left w:val="single" w:sz="4" w:space="0" w:color="auto"/>
              <w:bottom w:val="single" w:sz="4" w:space="0" w:color="auto"/>
              <w:right w:val="single" w:sz="4" w:space="0" w:color="auto"/>
            </w:tcBorders>
            <w:hideMark/>
          </w:tcPr>
          <w:p w14:paraId="3B9BDD42" w14:textId="77777777" w:rsidR="005613E4" w:rsidRDefault="005613E4" w:rsidP="003A3A7B">
            <w:pPr>
              <w:pStyle w:val="TableText0"/>
              <w:jc w:val="center"/>
              <w:rPr>
                <w:lang w:val="en-US"/>
              </w:rPr>
            </w:pPr>
            <w:r>
              <w:rPr>
                <w:lang w:val="en-US"/>
              </w:rPr>
              <w:t>40 (19.4%)</w:t>
            </w:r>
          </w:p>
        </w:tc>
        <w:tc>
          <w:tcPr>
            <w:tcW w:w="944" w:type="pct"/>
            <w:tcBorders>
              <w:top w:val="single" w:sz="4" w:space="0" w:color="auto"/>
              <w:left w:val="single" w:sz="4" w:space="0" w:color="auto"/>
              <w:bottom w:val="single" w:sz="4" w:space="0" w:color="auto"/>
              <w:right w:val="single" w:sz="4" w:space="0" w:color="auto"/>
            </w:tcBorders>
            <w:hideMark/>
          </w:tcPr>
          <w:p w14:paraId="65840B3C" w14:textId="77777777" w:rsidR="005613E4" w:rsidRDefault="005613E4" w:rsidP="003A3A7B">
            <w:pPr>
              <w:pStyle w:val="TableText0"/>
              <w:jc w:val="center"/>
              <w:rPr>
                <w:lang w:val="en-US"/>
              </w:rPr>
            </w:pPr>
            <w:r>
              <w:rPr>
                <w:lang w:val="en-US"/>
              </w:rPr>
              <w:t>21 (58%)</w:t>
            </w:r>
          </w:p>
        </w:tc>
      </w:tr>
      <w:tr w:rsidR="005613E4" w14:paraId="19FC2185" w14:textId="77777777" w:rsidTr="008D2670">
        <w:tc>
          <w:tcPr>
            <w:tcW w:w="1194" w:type="pct"/>
            <w:tcBorders>
              <w:top w:val="single" w:sz="4" w:space="0" w:color="auto"/>
              <w:left w:val="single" w:sz="4" w:space="0" w:color="auto"/>
              <w:bottom w:val="single" w:sz="4" w:space="0" w:color="auto"/>
              <w:right w:val="single" w:sz="4" w:space="0" w:color="auto"/>
            </w:tcBorders>
            <w:hideMark/>
          </w:tcPr>
          <w:p w14:paraId="18AF9B86" w14:textId="77777777" w:rsidR="005613E4" w:rsidRDefault="005613E4" w:rsidP="003A3A7B">
            <w:pPr>
              <w:pStyle w:val="TableText0"/>
              <w:rPr>
                <w:lang w:val="en-US"/>
              </w:rPr>
            </w:pPr>
            <w:r>
              <w:rPr>
                <w:lang w:val="en-US"/>
              </w:rPr>
              <w:t>SD</w:t>
            </w:r>
          </w:p>
        </w:tc>
        <w:tc>
          <w:tcPr>
            <w:tcW w:w="998" w:type="pct"/>
            <w:tcBorders>
              <w:top w:val="single" w:sz="4" w:space="0" w:color="auto"/>
              <w:left w:val="single" w:sz="4" w:space="0" w:color="auto"/>
              <w:bottom w:val="single" w:sz="4" w:space="0" w:color="auto"/>
              <w:right w:val="single" w:sz="4" w:space="0" w:color="auto"/>
            </w:tcBorders>
            <w:hideMark/>
          </w:tcPr>
          <w:p w14:paraId="23EE21A6" w14:textId="77777777" w:rsidR="005613E4" w:rsidRDefault="005613E4" w:rsidP="003A3A7B">
            <w:pPr>
              <w:pStyle w:val="TableText0"/>
              <w:jc w:val="center"/>
              <w:rPr>
                <w:lang w:val="en-US"/>
              </w:rPr>
            </w:pPr>
            <w:r>
              <w:rPr>
                <w:lang w:val="en-US"/>
              </w:rPr>
              <w:t>10 (16.9%)</w:t>
            </w:r>
          </w:p>
        </w:tc>
        <w:tc>
          <w:tcPr>
            <w:tcW w:w="932" w:type="pct"/>
            <w:tcBorders>
              <w:top w:val="single" w:sz="4" w:space="0" w:color="auto"/>
              <w:left w:val="single" w:sz="4" w:space="0" w:color="auto"/>
              <w:bottom w:val="single" w:sz="4" w:space="0" w:color="auto"/>
              <w:right w:val="single" w:sz="4" w:space="0" w:color="auto"/>
            </w:tcBorders>
            <w:hideMark/>
          </w:tcPr>
          <w:p w14:paraId="018D991A" w14:textId="77777777" w:rsidR="005613E4" w:rsidRDefault="005613E4" w:rsidP="003A3A7B">
            <w:pPr>
              <w:pStyle w:val="TableText0"/>
              <w:jc w:val="center"/>
              <w:rPr>
                <w:lang w:val="en-US"/>
              </w:rPr>
            </w:pPr>
            <w:r>
              <w:rPr>
                <w:lang w:val="en-US"/>
              </w:rPr>
              <w:t>149 (36.3%)</w:t>
            </w:r>
          </w:p>
        </w:tc>
        <w:tc>
          <w:tcPr>
            <w:tcW w:w="932" w:type="pct"/>
            <w:tcBorders>
              <w:top w:val="single" w:sz="4" w:space="0" w:color="auto"/>
              <w:left w:val="single" w:sz="4" w:space="0" w:color="auto"/>
              <w:bottom w:val="single" w:sz="4" w:space="0" w:color="auto"/>
              <w:right w:val="single" w:sz="4" w:space="0" w:color="auto"/>
            </w:tcBorders>
            <w:hideMark/>
          </w:tcPr>
          <w:p w14:paraId="30372BF9" w14:textId="77777777" w:rsidR="005613E4" w:rsidRDefault="005613E4" w:rsidP="003A3A7B">
            <w:pPr>
              <w:pStyle w:val="TableText0"/>
              <w:jc w:val="center"/>
              <w:rPr>
                <w:lang w:val="en-US"/>
              </w:rPr>
            </w:pPr>
            <w:r>
              <w:rPr>
                <w:lang w:val="en-US"/>
              </w:rPr>
              <w:t>104 (50.5%)</w:t>
            </w:r>
          </w:p>
        </w:tc>
        <w:tc>
          <w:tcPr>
            <w:tcW w:w="944" w:type="pct"/>
            <w:tcBorders>
              <w:top w:val="single" w:sz="4" w:space="0" w:color="auto"/>
              <w:left w:val="single" w:sz="4" w:space="0" w:color="auto"/>
              <w:bottom w:val="single" w:sz="4" w:space="0" w:color="auto"/>
              <w:right w:val="single" w:sz="4" w:space="0" w:color="auto"/>
            </w:tcBorders>
            <w:hideMark/>
          </w:tcPr>
          <w:p w14:paraId="4F9ECBC5" w14:textId="77777777" w:rsidR="005613E4" w:rsidRDefault="005613E4" w:rsidP="003A3A7B">
            <w:pPr>
              <w:pStyle w:val="TableText0"/>
              <w:jc w:val="center"/>
              <w:rPr>
                <w:lang w:val="en-US"/>
              </w:rPr>
            </w:pPr>
            <w:r>
              <w:rPr>
                <w:lang w:val="en-US"/>
              </w:rPr>
              <w:t>4 (11%)</w:t>
            </w:r>
          </w:p>
        </w:tc>
      </w:tr>
      <w:tr w:rsidR="005613E4" w14:paraId="43D1825C" w14:textId="77777777" w:rsidTr="008D2670">
        <w:tc>
          <w:tcPr>
            <w:tcW w:w="1194" w:type="pct"/>
            <w:tcBorders>
              <w:top w:val="single" w:sz="4" w:space="0" w:color="auto"/>
              <w:left w:val="single" w:sz="4" w:space="0" w:color="auto"/>
              <w:bottom w:val="single" w:sz="4" w:space="0" w:color="auto"/>
              <w:right w:val="single" w:sz="4" w:space="0" w:color="auto"/>
            </w:tcBorders>
            <w:hideMark/>
          </w:tcPr>
          <w:p w14:paraId="789E981F" w14:textId="77777777" w:rsidR="005613E4" w:rsidRDefault="005613E4" w:rsidP="003A3A7B">
            <w:pPr>
              <w:pStyle w:val="TableText0"/>
              <w:rPr>
                <w:lang w:val="en-US"/>
              </w:rPr>
            </w:pPr>
            <w:r>
              <w:rPr>
                <w:lang w:val="en-US"/>
              </w:rPr>
              <w:t>PD</w:t>
            </w:r>
          </w:p>
        </w:tc>
        <w:tc>
          <w:tcPr>
            <w:tcW w:w="998" w:type="pct"/>
            <w:tcBorders>
              <w:top w:val="single" w:sz="4" w:space="0" w:color="auto"/>
              <w:left w:val="single" w:sz="4" w:space="0" w:color="auto"/>
              <w:bottom w:val="single" w:sz="4" w:space="0" w:color="auto"/>
              <w:right w:val="single" w:sz="4" w:space="0" w:color="auto"/>
            </w:tcBorders>
            <w:hideMark/>
          </w:tcPr>
          <w:p w14:paraId="773ECEED" w14:textId="77777777" w:rsidR="005613E4" w:rsidRDefault="005613E4" w:rsidP="003A3A7B">
            <w:pPr>
              <w:pStyle w:val="TableText0"/>
              <w:jc w:val="center"/>
              <w:rPr>
                <w:lang w:val="en-US"/>
              </w:rPr>
            </w:pPr>
            <w:r>
              <w:rPr>
                <w:lang w:val="en-US"/>
              </w:rPr>
              <w:t>2 (3.4%)</w:t>
            </w:r>
          </w:p>
        </w:tc>
        <w:tc>
          <w:tcPr>
            <w:tcW w:w="932" w:type="pct"/>
            <w:tcBorders>
              <w:top w:val="single" w:sz="4" w:space="0" w:color="auto"/>
              <w:left w:val="single" w:sz="4" w:space="0" w:color="auto"/>
              <w:bottom w:val="single" w:sz="4" w:space="0" w:color="auto"/>
              <w:right w:val="single" w:sz="4" w:space="0" w:color="auto"/>
            </w:tcBorders>
            <w:hideMark/>
          </w:tcPr>
          <w:p w14:paraId="3F954911" w14:textId="77777777" w:rsidR="005613E4" w:rsidRDefault="005613E4" w:rsidP="003A3A7B">
            <w:pPr>
              <w:pStyle w:val="TableText0"/>
              <w:jc w:val="center"/>
              <w:rPr>
                <w:lang w:val="en-US"/>
              </w:rPr>
            </w:pPr>
            <w:r>
              <w:rPr>
                <w:lang w:val="en-US"/>
              </w:rPr>
              <w:t>37 (9.0%)</w:t>
            </w:r>
          </w:p>
        </w:tc>
        <w:tc>
          <w:tcPr>
            <w:tcW w:w="932" w:type="pct"/>
            <w:tcBorders>
              <w:top w:val="single" w:sz="4" w:space="0" w:color="auto"/>
              <w:left w:val="single" w:sz="4" w:space="0" w:color="auto"/>
              <w:bottom w:val="single" w:sz="4" w:space="0" w:color="auto"/>
              <w:right w:val="single" w:sz="4" w:space="0" w:color="auto"/>
            </w:tcBorders>
            <w:hideMark/>
          </w:tcPr>
          <w:p w14:paraId="5D20EB77" w14:textId="77777777" w:rsidR="005613E4" w:rsidRDefault="005613E4" w:rsidP="003A3A7B">
            <w:pPr>
              <w:pStyle w:val="TableText0"/>
              <w:jc w:val="center"/>
              <w:rPr>
                <w:lang w:val="en-US"/>
              </w:rPr>
            </w:pPr>
            <w:r>
              <w:rPr>
                <w:lang w:val="en-US"/>
              </w:rPr>
              <w:t>36 (17.5%)</w:t>
            </w:r>
          </w:p>
        </w:tc>
        <w:tc>
          <w:tcPr>
            <w:tcW w:w="944" w:type="pct"/>
            <w:tcBorders>
              <w:top w:val="single" w:sz="4" w:space="0" w:color="auto"/>
              <w:left w:val="single" w:sz="4" w:space="0" w:color="auto"/>
              <w:bottom w:val="single" w:sz="4" w:space="0" w:color="auto"/>
              <w:right w:val="single" w:sz="4" w:space="0" w:color="auto"/>
            </w:tcBorders>
            <w:hideMark/>
          </w:tcPr>
          <w:p w14:paraId="52F60959" w14:textId="77777777" w:rsidR="005613E4" w:rsidRDefault="005613E4" w:rsidP="003A3A7B">
            <w:pPr>
              <w:pStyle w:val="TableText0"/>
              <w:jc w:val="center"/>
              <w:rPr>
                <w:lang w:val="en-US"/>
              </w:rPr>
            </w:pPr>
            <w:r>
              <w:rPr>
                <w:lang w:val="en-US"/>
              </w:rPr>
              <w:t>5 (14%)</w:t>
            </w:r>
          </w:p>
        </w:tc>
      </w:tr>
      <w:tr w:rsidR="005613E4" w14:paraId="089B54BB" w14:textId="77777777" w:rsidTr="008D2670">
        <w:tc>
          <w:tcPr>
            <w:tcW w:w="1194" w:type="pct"/>
            <w:tcBorders>
              <w:top w:val="single" w:sz="4" w:space="0" w:color="auto"/>
              <w:left w:val="single" w:sz="4" w:space="0" w:color="auto"/>
              <w:bottom w:val="single" w:sz="4" w:space="0" w:color="auto"/>
              <w:right w:val="single" w:sz="4" w:space="0" w:color="auto"/>
            </w:tcBorders>
            <w:hideMark/>
          </w:tcPr>
          <w:p w14:paraId="5782D3E5" w14:textId="77777777" w:rsidR="005613E4" w:rsidRDefault="005613E4" w:rsidP="003A3A7B">
            <w:pPr>
              <w:pStyle w:val="TableText0"/>
              <w:rPr>
                <w:lang w:val="en-US"/>
              </w:rPr>
            </w:pPr>
            <w:r>
              <w:rPr>
                <w:lang w:val="en-US"/>
              </w:rPr>
              <w:t>Not evaluable</w:t>
            </w:r>
          </w:p>
        </w:tc>
        <w:tc>
          <w:tcPr>
            <w:tcW w:w="998" w:type="pct"/>
            <w:tcBorders>
              <w:top w:val="single" w:sz="4" w:space="0" w:color="auto"/>
              <w:left w:val="single" w:sz="4" w:space="0" w:color="auto"/>
              <w:bottom w:val="single" w:sz="4" w:space="0" w:color="auto"/>
              <w:right w:val="single" w:sz="4" w:space="0" w:color="auto"/>
            </w:tcBorders>
            <w:hideMark/>
          </w:tcPr>
          <w:p w14:paraId="5107D52D" w14:textId="77777777" w:rsidR="005613E4" w:rsidRDefault="005613E4" w:rsidP="003A3A7B">
            <w:pPr>
              <w:pStyle w:val="TableText0"/>
              <w:jc w:val="center"/>
              <w:rPr>
                <w:lang w:val="en-US"/>
              </w:rPr>
            </w:pPr>
            <w:r>
              <w:rPr>
                <w:lang w:val="en-US"/>
              </w:rPr>
              <w:t>3 (5.1%)</w:t>
            </w:r>
          </w:p>
        </w:tc>
        <w:tc>
          <w:tcPr>
            <w:tcW w:w="932" w:type="pct"/>
            <w:tcBorders>
              <w:top w:val="single" w:sz="4" w:space="0" w:color="auto"/>
              <w:left w:val="single" w:sz="4" w:space="0" w:color="auto"/>
              <w:bottom w:val="single" w:sz="4" w:space="0" w:color="auto"/>
              <w:right w:val="single" w:sz="4" w:space="0" w:color="auto"/>
            </w:tcBorders>
            <w:hideMark/>
          </w:tcPr>
          <w:p w14:paraId="348A0926" w14:textId="77777777" w:rsidR="005613E4" w:rsidRDefault="005613E4" w:rsidP="003A3A7B">
            <w:pPr>
              <w:pStyle w:val="TableText0"/>
              <w:jc w:val="center"/>
              <w:rPr>
                <w:lang w:val="en-US"/>
              </w:rPr>
            </w:pPr>
            <w:r>
              <w:rPr>
                <w:lang w:val="en-US"/>
              </w:rPr>
              <w:t>12 (2.9%)</w:t>
            </w:r>
          </w:p>
        </w:tc>
        <w:tc>
          <w:tcPr>
            <w:tcW w:w="932" w:type="pct"/>
            <w:tcBorders>
              <w:top w:val="single" w:sz="4" w:space="0" w:color="auto"/>
              <w:left w:val="single" w:sz="4" w:space="0" w:color="auto"/>
              <w:bottom w:val="single" w:sz="4" w:space="0" w:color="auto"/>
              <w:right w:val="single" w:sz="4" w:space="0" w:color="auto"/>
            </w:tcBorders>
            <w:hideMark/>
          </w:tcPr>
          <w:p w14:paraId="2E8DBC90" w14:textId="77777777" w:rsidR="005613E4" w:rsidRDefault="005613E4" w:rsidP="003A3A7B">
            <w:pPr>
              <w:pStyle w:val="TableText0"/>
              <w:jc w:val="center"/>
              <w:rPr>
                <w:lang w:val="en-US"/>
              </w:rPr>
            </w:pPr>
            <w:r>
              <w:rPr>
                <w:lang w:val="en-US"/>
              </w:rPr>
              <w:t>8 (3.9%)</w:t>
            </w:r>
          </w:p>
        </w:tc>
        <w:tc>
          <w:tcPr>
            <w:tcW w:w="944" w:type="pct"/>
            <w:tcBorders>
              <w:top w:val="single" w:sz="4" w:space="0" w:color="auto"/>
              <w:left w:val="single" w:sz="4" w:space="0" w:color="auto"/>
              <w:bottom w:val="single" w:sz="4" w:space="0" w:color="auto"/>
              <w:right w:val="single" w:sz="4" w:space="0" w:color="auto"/>
            </w:tcBorders>
            <w:hideMark/>
          </w:tcPr>
          <w:p w14:paraId="0E87BE47" w14:textId="77777777" w:rsidR="005613E4" w:rsidRDefault="005613E4" w:rsidP="003A3A7B">
            <w:pPr>
              <w:pStyle w:val="TableText0"/>
              <w:jc w:val="center"/>
              <w:rPr>
                <w:lang w:val="en-US"/>
              </w:rPr>
            </w:pPr>
            <w:r>
              <w:rPr>
                <w:lang w:val="en-US"/>
              </w:rPr>
              <w:t>4 (11%)</w:t>
            </w:r>
          </w:p>
        </w:tc>
      </w:tr>
      <w:tr w:rsidR="005613E4" w14:paraId="6062A260" w14:textId="77777777" w:rsidTr="008D2670">
        <w:tc>
          <w:tcPr>
            <w:tcW w:w="1194" w:type="pct"/>
            <w:tcBorders>
              <w:top w:val="single" w:sz="4" w:space="0" w:color="auto"/>
              <w:left w:val="single" w:sz="4" w:space="0" w:color="auto"/>
              <w:bottom w:val="single" w:sz="4" w:space="0" w:color="auto"/>
              <w:right w:val="single" w:sz="4" w:space="0" w:color="auto"/>
            </w:tcBorders>
            <w:hideMark/>
          </w:tcPr>
          <w:p w14:paraId="4A0E407B" w14:textId="77777777" w:rsidR="005613E4" w:rsidRDefault="005613E4" w:rsidP="003A3A7B">
            <w:pPr>
              <w:pStyle w:val="TableText0"/>
              <w:rPr>
                <w:lang w:val="en-US"/>
              </w:rPr>
            </w:pPr>
            <w:r>
              <w:rPr>
                <w:lang w:val="en-US"/>
              </w:rPr>
              <w:t>No assessment</w:t>
            </w:r>
          </w:p>
        </w:tc>
        <w:tc>
          <w:tcPr>
            <w:tcW w:w="998" w:type="pct"/>
            <w:tcBorders>
              <w:top w:val="single" w:sz="4" w:space="0" w:color="auto"/>
              <w:left w:val="single" w:sz="4" w:space="0" w:color="auto"/>
              <w:bottom w:val="single" w:sz="4" w:space="0" w:color="auto"/>
              <w:right w:val="single" w:sz="4" w:space="0" w:color="auto"/>
            </w:tcBorders>
            <w:hideMark/>
          </w:tcPr>
          <w:p w14:paraId="1FCC9184" w14:textId="267B31E2" w:rsidR="005613E4" w:rsidRDefault="003A3A7B" w:rsidP="003A3A7B">
            <w:pPr>
              <w:pStyle w:val="TableText0"/>
              <w:jc w:val="center"/>
              <w:rPr>
                <w:lang w:val="en-US"/>
              </w:rPr>
            </w:pPr>
            <w:r>
              <w:rPr>
                <w:lang w:val="en-US"/>
              </w:rPr>
              <w:noBreakHyphen/>
            </w:r>
          </w:p>
        </w:tc>
        <w:tc>
          <w:tcPr>
            <w:tcW w:w="932" w:type="pct"/>
            <w:tcBorders>
              <w:top w:val="single" w:sz="4" w:space="0" w:color="auto"/>
              <w:left w:val="single" w:sz="4" w:space="0" w:color="auto"/>
              <w:bottom w:val="single" w:sz="4" w:space="0" w:color="auto"/>
              <w:right w:val="single" w:sz="4" w:space="0" w:color="auto"/>
            </w:tcBorders>
            <w:hideMark/>
          </w:tcPr>
          <w:p w14:paraId="05F73ED6" w14:textId="77777777" w:rsidR="005613E4" w:rsidRDefault="005613E4" w:rsidP="003A3A7B">
            <w:pPr>
              <w:pStyle w:val="TableText0"/>
              <w:jc w:val="center"/>
              <w:rPr>
                <w:lang w:val="en-US"/>
              </w:rPr>
            </w:pPr>
            <w:r>
              <w:rPr>
                <w:lang w:val="en-US"/>
              </w:rPr>
              <w:t>14 (3.4%)</w:t>
            </w:r>
          </w:p>
        </w:tc>
        <w:tc>
          <w:tcPr>
            <w:tcW w:w="932" w:type="pct"/>
            <w:tcBorders>
              <w:top w:val="single" w:sz="4" w:space="0" w:color="auto"/>
              <w:left w:val="single" w:sz="4" w:space="0" w:color="auto"/>
              <w:bottom w:val="single" w:sz="4" w:space="0" w:color="auto"/>
              <w:right w:val="single" w:sz="4" w:space="0" w:color="auto"/>
            </w:tcBorders>
            <w:hideMark/>
          </w:tcPr>
          <w:p w14:paraId="79324EF6" w14:textId="77777777" w:rsidR="005613E4" w:rsidRDefault="005613E4" w:rsidP="003A3A7B">
            <w:pPr>
              <w:pStyle w:val="TableText0"/>
              <w:jc w:val="center"/>
              <w:rPr>
                <w:lang w:val="en-US"/>
              </w:rPr>
            </w:pPr>
            <w:r>
              <w:rPr>
                <w:lang w:val="en-US"/>
              </w:rPr>
              <w:t>17 (8.3%)</w:t>
            </w:r>
          </w:p>
        </w:tc>
        <w:tc>
          <w:tcPr>
            <w:tcW w:w="944" w:type="pct"/>
            <w:tcBorders>
              <w:top w:val="single" w:sz="4" w:space="0" w:color="auto"/>
              <w:left w:val="single" w:sz="4" w:space="0" w:color="auto"/>
              <w:bottom w:val="single" w:sz="4" w:space="0" w:color="auto"/>
              <w:right w:val="single" w:sz="4" w:space="0" w:color="auto"/>
            </w:tcBorders>
            <w:hideMark/>
          </w:tcPr>
          <w:p w14:paraId="1A0C2E8D" w14:textId="1F2C31E9" w:rsidR="005613E4" w:rsidRDefault="003A3A7B" w:rsidP="003A3A7B">
            <w:pPr>
              <w:pStyle w:val="TableText0"/>
              <w:jc w:val="center"/>
              <w:rPr>
                <w:lang w:val="en-US"/>
              </w:rPr>
            </w:pPr>
            <w:r>
              <w:rPr>
                <w:lang w:val="en-US"/>
              </w:rPr>
              <w:noBreakHyphen/>
            </w:r>
          </w:p>
        </w:tc>
      </w:tr>
      <w:tr w:rsidR="005613E4" w14:paraId="5D114FDD" w14:textId="77777777" w:rsidTr="005613E4">
        <w:tc>
          <w:tcPr>
            <w:tcW w:w="5000" w:type="pct"/>
            <w:gridSpan w:val="5"/>
            <w:tcBorders>
              <w:top w:val="single" w:sz="4" w:space="0" w:color="auto"/>
              <w:left w:val="single" w:sz="4" w:space="0" w:color="auto"/>
              <w:bottom w:val="single" w:sz="4" w:space="0" w:color="auto"/>
              <w:right w:val="single" w:sz="4" w:space="0" w:color="auto"/>
            </w:tcBorders>
            <w:hideMark/>
          </w:tcPr>
          <w:p w14:paraId="42FC1DD5" w14:textId="77777777" w:rsidR="005613E4" w:rsidRDefault="005613E4" w:rsidP="003A3A7B">
            <w:pPr>
              <w:pStyle w:val="TableText0"/>
              <w:rPr>
                <w:b/>
                <w:bCs w:val="0"/>
              </w:rPr>
            </w:pPr>
            <w:r>
              <w:rPr>
                <w:b/>
                <w:bCs w:val="0"/>
              </w:rPr>
              <w:t>Objective Response Rate, n (%)</w:t>
            </w:r>
          </w:p>
        </w:tc>
      </w:tr>
      <w:tr w:rsidR="005613E4" w14:paraId="6D3D2C38" w14:textId="77777777" w:rsidTr="008D2670">
        <w:tc>
          <w:tcPr>
            <w:tcW w:w="1194" w:type="pct"/>
            <w:tcBorders>
              <w:top w:val="single" w:sz="4" w:space="0" w:color="auto"/>
              <w:left w:val="single" w:sz="4" w:space="0" w:color="auto"/>
              <w:bottom w:val="single" w:sz="4" w:space="0" w:color="auto"/>
              <w:right w:val="single" w:sz="4" w:space="0" w:color="auto"/>
            </w:tcBorders>
            <w:hideMark/>
          </w:tcPr>
          <w:p w14:paraId="7C31C92B" w14:textId="77777777" w:rsidR="005613E4" w:rsidRDefault="005613E4" w:rsidP="003A3A7B">
            <w:pPr>
              <w:pStyle w:val="TableText0"/>
            </w:pPr>
            <w:r>
              <w:t xml:space="preserve">CR+PR </w:t>
            </w:r>
          </w:p>
          <w:p w14:paraId="1CFF6871" w14:textId="77777777" w:rsidR="005613E4" w:rsidRDefault="005613E4" w:rsidP="003A3A7B">
            <w:pPr>
              <w:pStyle w:val="TableText0"/>
            </w:pPr>
            <w:r>
              <w:t>[95% CI]</w:t>
            </w:r>
          </w:p>
        </w:tc>
        <w:tc>
          <w:tcPr>
            <w:tcW w:w="998" w:type="pct"/>
            <w:tcBorders>
              <w:top w:val="single" w:sz="4" w:space="0" w:color="auto"/>
              <w:left w:val="single" w:sz="4" w:space="0" w:color="auto"/>
              <w:bottom w:val="single" w:sz="4" w:space="0" w:color="auto"/>
              <w:right w:val="single" w:sz="4" w:space="0" w:color="auto"/>
            </w:tcBorders>
            <w:hideMark/>
          </w:tcPr>
          <w:p w14:paraId="0D56673C" w14:textId="7882A7D1" w:rsidR="005613E4" w:rsidRDefault="005613E4" w:rsidP="003A3A7B">
            <w:pPr>
              <w:pStyle w:val="TableText0"/>
              <w:jc w:val="center"/>
            </w:pPr>
            <w:r>
              <w:t>44 (74.6%)</w:t>
            </w:r>
          </w:p>
          <w:p w14:paraId="46C31468" w14:textId="16E553D1" w:rsidR="005613E4" w:rsidRDefault="005613E4" w:rsidP="003A3A7B">
            <w:pPr>
              <w:pStyle w:val="TableText0"/>
              <w:jc w:val="center"/>
            </w:pPr>
            <w:r>
              <w:t>[61.6%, 85.0%]</w:t>
            </w:r>
          </w:p>
        </w:tc>
        <w:tc>
          <w:tcPr>
            <w:tcW w:w="932" w:type="pct"/>
            <w:tcBorders>
              <w:top w:val="single" w:sz="4" w:space="0" w:color="auto"/>
              <w:left w:val="single" w:sz="4" w:space="0" w:color="auto"/>
              <w:bottom w:val="single" w:sz="4" w:space="0" w:color="auto"/>
              <w:right w:val="single" w:sz="4" w:space="0" w:color="auto"/>
            </w:tcBorders>
            <w:hideMark/>
          </w:tcPr>
          <w:p w14:paraId="44F2A8AE" w14:textId="77777777" w:rsidR="005613E4" w:rsidRDefault="005613E4" w:rsidP="003A3A7B">
            <w:pPr>
              <w:pStyle w:val="TableText0"/>
              <w:jc w:val="center"/>
            </w:pPr>
            <w:r>
              <w:t>198 (48.3%)</w:t>
            </w:r>
          </w:p>
          <w:p w14:paraId="2C3DFF51" w14:textId="77777777" w:rsidR="005613E4" w:rsidRDefault="005613E4" w:rsidP="003A3A7B">
            <w:pPr>
              <w:pStyle w:val="TableText0"/>
              <w:jc w:val="center"/>
            </w:pPr>
            <w:r>
              <w:t>[43.4%, 53.2%]</w:t>
            </w:r>
          </w:p>
        </w:tc>
        <w:tc>
          <w:tcPr>
            <w:tcW w:w="932" w:type="pct"/>
            <w:tcBorders>
              <w:top w:val="single" w:sz="4" w:space="0" w:color="auto"/>
              <w:left w:val="single" w:sz="4" w:space="0" w:color="auto"/>
              <w:bottom w:val="single" w:sz="4" w:space="0" w:color="auto"/>
              <w:right w:val="single" w:sz="4" w:space="0" w:color="auto"/>
            </w:tcBorders>
            <w:hideMark/>
          </w:tcPr>
          <w:p w14:paraId="617893AD" w14:textId="77777777" w:rsidR="005613E4" w:rsidRDefault="005613E4" w:rsidP="003A3A7B">
            <w:pPr>
              <w:pStyle w:val="TableText0"/>
              <w:jc w:val="center"/>
            </w:pPr>
            <w:r>
              <w:t xml:space="preserve">41 (19.9%) </w:t>
            </w:r>
          </w:p>
          <w:p w14:paraId="69C63819" w14:textId="77777777" w:rsidR="005613E4" w:rsidRDefault="005613E4" w:rsidP="003A3A7B">
            <w:pPr>
              <w:pStyle w:val="TableText0"/>
              <w:jc w:val="center"/>
            </w:pPr>
            <w:r>
              <w:t>[14.7%, 26.0%]</w:t>
            </w:r>
          </w:p>
        </w:tc>
        <w:tc>
          <w:tcPr>
            <w:tcW w:w="944" w:type="pct"/>
            <w:tcBorders>
              <w:top w:val="single" w:sz="4" w:space="0" w:color="auto"/>
              <w:left w:val="single" w:sz="4" w:space="0" w:color="auto"/>
              <w:bottom w:val="single" w:sz="4" w:space="0" w:color="auto"/>
              <w:right w:val="single" w:sz="4" w:space="0" w:color="auto"/>
            </w:tcBorders>
            <w:hideMark/>
          </w:tcPr>
          <w:p w14:paraId="746318A1" w14:textId="77777777" w:rsidR="005613E4" w:rsidRDefault="005613E4" w:rsidP="003A3A7B">
            <w:pPr>
              <w:pStyle w:val="TableText0"/>
              <w:jc w:val="center"/>
            </w:pPr>
            <w:r>
              <w:t>23 (63.9%)</w:t>
            </w:r>
          </w:p>
          <w:p w14:paraId="18B4DADE" w14:textId="77777777" w:rsidR="005613E4" w:rsidRDefault="005613E4" w:rsidP="003A3A7B">
            <w:pPr>
              <w:pStyle w:val="TableText0"/>
              <w:jc w:val="center"/>
            </w:pPr>
            <w:r>
              <w:t>[46.2%, 79.2%]</w:t>
            </w:r>
          </w:p>
        </w:tc>
      </w:tr>
    </w:tbl>
    <w:p w14:paraId="5ED65BAD" w14:textId="77777777" w:rsidR="005613E4" w:rsidRDefault="005613E4" w:rsidP="003A3A7B">
      <w:pPr>
        <w:pStyle w:val="TableFigureFooter"/>
      </w:pPr>
      <w:r>
        <w:t>Source: Table 2.29, p94 and Table 2.30, p96 of the submission.</w:t>
      </w:r>
    </w:p>
    <w:p w14:paraId="6087D516" w14:textId="3A1B031C" w:rsidR="005613E4" w:rsidRDefault="005613E4" w:rsidP="003A3A7B">
      <w:pPr>
        <w:pStyle w:val="TableFigureFooter"/>
      </w:pPr>
      <w:r>
        <w:t xml:space="preserve">CI = confidence interval; CR = complete response; D+T = dabrafenib and trametinib; E+B = </w:t>
      </w:r>
      <w:proofErr w:type="spellStart"/>
      <w:r>
        <w:t>encorafenib</w:t>
      </w:r>
      <w:proofErr w:type="spellEnd"/>
      <w:r>
        <w:t xml:space="preserve"> and </w:t>
      </w:r>
      <w:proofErr w:type="spellStart"/>
      <w:r>
        <w:t>binimetinib</w:t>
      </w:r>
      <w:proofErr w:type="spellEnd"/>
      <w:r>
        <w:t>; n = number of participants with event; N = total participants in group; ORR = objective response rate; PEMBRO = pembrolizumab; PDC = platinum</w:t>
      </w:r>
      <w:r w:rsidR="003A3A7B">
        <w:noBreakHyphen/>
      </w:r>
      <w:r>
        <w:t>based chemotherapy; PR = partial response; PD = progressive disease; SD = stable disease.</w:t>
      </w:r>
    </w:p>
    <w:p w14:paraId="560693A5" w14:textId="44258AC3" w:rsidR="005613E4" w:rsidRDefault="005613E4" w:rsidP="003A3A7B">
      <w:pPr>
        <w:pStyle w:val="TableFigureFooter"/>
      </w:pPr>
      <w:r>
        <w:rPr>
          <w:vertAlign w:val="superscript"/>
        </w:rPr>
        <w:t>a</w:t>
      </w:r>
      <w:r>
        <w:t xml:space="preserve"> By independent radiographic review</w:t>
      </w:r>
      <w:r w:rsidR="003514ED">
        <w:t>; median follow</w:t>
      </w:r>
      <w:r w:rsidR="003A3A7B">
        <w:noBreakHyphen/>
      </w:r>
      <w:r w:rsidR="003514ED">
        <w:t>up duration of 33.3 months</w:t>
      </w:r>
    </w:p>
    <w:p w14:paraId="555AF4EF" w14:textId="690BEB23" w:rsidR="005613E4" w:rsidRDefault="005613E4" w:rsidP="003A3A7B">
      <w:pPr>
        <w:pStyle w:val="TableFigureFooter"/>
      </w:pPr>
      <w:r>
        <w:rPr>
          <w:vertAlign w:val="superscript"/>
        </w:rPr>
        <w:t>b</w:t>
      </w:r>
      <w:r>
        <w:t xml:space="preserve"> By Blinded Independent Central Review per RECIST v 1.1</w:t>
      </w:r>
      <w:r w:rsidR="003514ED">
        <w:t>; median follow</w:t>
      </w:r>
      <w:r w:rsidR="003A3A7B">
        <w:noBreakHyphen/>
      </w:r>
      <w:r w:rsidR="003514ED">
        <w:t>up duration of 64.6 months</w:t>
      </w:r>
    </w:p>
    <w:p w14:paraId="1D73666B" w14:textId="2EF59E93" w:rsidR="005613E4" w:rsidRDefault="005613E4" w:rsidP="003A3A7B">
      <w:pPr>
        <w:pStyle w:val="TableFigureFooter"/>
      </w:pPr>
      <w:r>
        <w:rPr>
          <w:vertAlign w:val="superscript"/>
        </w:rPr>
        <w:t xml:space="preserve">c </w:t>
      </w:r>
      <w:r>
        <w:t>By investigator</w:t>
      </w:r>
      <w:r w:rsidR="003A3A7B">
        <w:noBreakHyphen/>
      </w:r>
      <w:r>
        <w:t>assessed ORR</w:t>
      </w:r>
      <w:r w:rsidR="003514ED">
        <w:t>; median follow</w:t>
      </w:r>
      <w:r w:rsidR="003A3A7B">
        <w:noBreakHyphen/>
      </w:r>
      <w:r w:rsidR="003514ED">
        <w:t>up duration of 16.30 months</w:t>
      </w:r>
    </w:p>
    <w:p w14:paraId="22B2B903" w14:textId="379812FB" w:rsidR="00622899" w:rsidRPr="00EC03E0" w:rsidRDefault="00117243" w:rsidP="003A3A7B">
      <w:pPr>
        <w:pStyle w:val="3-BodyText"/>
        <w:rPr>
          <w:color w:val="FF0000"/>
        </w:rPr>
      </w:pPr>
      <w:r>
        <w:t>I</w:t>
      </w:r>
      <w:r w:rsidRPr="00117243">
        <w:t xml:space="preserve">n the PHAROS trial, the ORR </w:t>
      </w:r>
      <w:r w:rsidR="00F9426F">
        <w:t xml:space="preserve">with E+B </w:t>
      </w:r>
      <w:r w:rsidRPr="00117243">
        <w:t xml:space="preserve">was 75% (95% </w:t>
      </w:r>
      <w:r w:rsidR="00BF28D6">
        <w:t>confidence interval [CI]</w:t>
      </w:r>
      <w:r w:rsidRPr="00117243">
        <w:t xml:space="preserve">: 62%, 85%) based </w:t>
      </w:r>
      <w:r w:rsidR="00600A2B">
        <w:t xml:space="preserve">on </w:t>
      </w:r>
      <w:r w:rsidRPr="00117243">
        <w:t>IRR, while investigator</w:t>
      </w:r>
      <w:r w:rsidR="003A3A7B">
        <w:noBreakHyphen/>
      </w:r>
      <w:r w:rsidRPr="00117243">
        <w:t>assessed ORR was lower at 64%. In comparison, the KN</w:t>
      </w:r>
      <w:r w:rsidR="003A3A7B">
        <w:noBreakHyphen/>
      </w:r>
      <w:r w:rsidRPr="00117243">
        <w:t xml:space="preserve">189 trial reported an ORR of 48% (95% CI: 43%, 53%) for the </w:t>
      </w:r>
      <w:proofErr w:type="spellStart"/>
      <w:r w:rsidRPr="00117243">
        <w:t>pembrolizumab</w:t>
      </w:r>
      <w:r>
        <w:t>+</w:t>
      </w:r>
      <w:r w:rsidRPr="00117243">
        <w:t>PDC</w:t>
      </w:r>
      <w:proofErr w:type="spellEnd"/>
      <w:r w:rsidRPr="00117243">
        <w:t xml:space="preserve"> arm, assessed by BICR. The BRF113928 trial reported an ORR of 64% (95% CI: 46%, 79%) </w:t>
      </w:r>
      <w:r w:rsidR="00FA2EE0">
        <w:t>with D+T</w:t>
      </w:r>
      <w:r w:rsidRPr="00117243">
        <w:t>, based on investigator assessment</w:t>
      </w:r>
      <w:r w:rsidR="00937074">
        <w:t xml:space="preserve"> (with similar results reported </w:t>
      </w:r>
      <w:r w:rsidR="00BD2174">
        <w:t>based on</w:t>
      </w:r>
      <w:r w:rsidR="00937074">
        <w:t xml:space="preserve"> IRC assess</w:t>
      </w:r>
      <w:r w:rsidR="00BD2174">
        <w:t>ment</w:t>
      </w:r>
      <w:r w:rsidR="00937074">
        <w:t>)</w:t>
      </w:r>
      <w:r w:rsidRPr="00117243">
        <w:t>.</w:t>
      </w:r>
      <w:r w:rsidR="001559EE">
        <w:t xml:space="preserve"> </w:t>
      </w:r>
    </w:p>
    <w:p w14:paraId="12C1E92C" w14:textId="54BA0978" w:rsidR="00EC03E0" w:rsidRDefault="00EC03E0" w:rsidP="003A3A7B">
      <w:pPr>
        <w:pStyle w:val="5-SubsectionSubheading"/>
      </w:pPr>
      <w:bookmarkStart w:id="31" w:name="_Toc208925852"/>
      <w:r>
        <w:rPr>
          <w:lang w:eastAsia="en-US"/>
        </w:rPr>
        <w:t>Progression</w:t>
      </w:r>
      <w:r w:rsidR="003A3A7B">
        <w:rPr>
          <w:lang w:eastAsia="en-US"/>
        </w:rPr>
        <w:noBreakHyphen/>
      </w:r>
      <w:r>
        <w:rPr>
          <w:lang w:eastAsia="en-US"/>
        </w:rPr>
        <w:t>free survival</w:t>
      </w:r>
      <w:bookmarkEnd w:id="31"/>
    </w:p>
    <w:p w14:paraId="3A061F6E" w14:textId="7CEDB242" w:rsidR="00DD14A5" w:rsidRPr="007B077D" w:rsidRDefault="00A44513" w:rsidP="003A3A7B">
      <w:pPr>
        <w:pStyle w:val="3-BodyText"/>
      </w:pPr>
      <w:r w:rsidRPr="007B077D">
        <w:fldChar w:fldCharType="begin"/>
      </w:r>
      <w:r w:rsidRPr="007B077D">
        <w:instrText xml:space="preserve"> REF _Ref206081623 \h </w:instrText>
      </w:r>
      <w:r w:rsidRPr="007B077D">
        <w:fldChar w:fldCharType="separate"/>
      </w:r>
      <w:r w:rsidR="00894EC9">
        <w:t xml:space="preserve">Table </w:t>
      </w:r>
      <w:r w:rsidR="00894EC9">
        <w:rPr>
          <w:noProof/>
        </w:rPr>
        <w:t>5</w:t>
      </w:r>
      <w:r w:rsidRPr="007B077D">
        <w:fldChar w:fldCharType="end"/>
      </w:r>
      <w:r w:rsidRPr="007B077D">
        <w:t xml:space="preserve"> </w:t>
      </w:r>
      <w:r w:rsidR="00DD14A5" w:rsidRPr="007B077D">
        <w:t xml:space="preserve">summarises the </w:t>
      </w:r>
      <w:r w:rsidR="007B077D" w:rsidRPr="007B077D">
        <w:t>PFS</w:t>
      </w:r>
      <w:r w:rsidR="00DD14A5" w:rsidRPr="007B077D">
        <w:t xml:space="preserve"> results from PHAROS, KN</w:t>
      </w:r>
      <w:r w:rsidR="003A3A7B">
        <w:noBreakHyphen/>
      </w:r>
      <w:r w:rsidR="00DD14A5" w:rsidRPr="007B077D">
        <w:t>189, and BRF113928 trials.</w:t>
      </w:r>
      <w:r w:rsidR="004C04E4">
        <w:t xml:space="preserve"> </w:t>
      </w:r>
      <w:r w:rsidR="004C04E4" w:rsidRPr="004C04E4">
        <w:t>The corresponding Kaplan</w:t>
      </w:r>
      <w:r w:rsidR="003A3A7B">
        <w:noBreakHyphen/>
      </w:r>
      <w:r w:rsidR="004C04E4" w:rsidRPr="004C04E4">
        <w:t xml:space="preserve">Meier </w:t>
      </w:r>
      <w:r w:rsidR="004C04E4">
        <w:t xml:space="preserve">(KM) </w:t>
      </w:r>
      <w:r w:rsidR="004C04E4" w:rsidRPr="004C04E4">
        <w:t>curve</w:t>
      </w:r>
      <w:r w:rsidR="00DF64ED">
        <w:t>s</w:t>
      </w:r>
      <w:r w:rsidR="004C04E4">
        <w:t xml:space="preserve"> </w:t>
      </w:r>
      <w:r w:rsidR="00AB5104">
        <w:t xml:space="preserve">are </w:t>
      </w:r>
      <w:r w:rsidR="004C04E4" w:rsidRPr="004C04E4">
        <w:t xml:space="preserve">presented in </w:t>
      </w:r>
      <w:r w:rsidR="004C04E4">
        <w:fldChar w:fldCharType="begin"/>
      </w:r>
      <w:r w:rsidR="004C04E4">
        <w:instrText xml:space="preserve"> REF _Ref206083065 \h </w:instrText>
      </w:r>
      <w:r w:rsidR="004C04E4">
        <w:fldChar w:fldCharType="separate"/>
      </w:r>
      <w:r w:rsidR="00894EC9">
        <w:t xml:space="preserve">Figure </w:t>
      </w:r>
      <w:r w:rsidR="00894EC9">
        <w:rPr>
          <w:noProof/>
        </w:rPr>
        <w:t>1</w:t>
      </w:r>
      <w:r w:rsidR="004C04E4">
        <w:fldChar w:fldCharType="end"/>
      </w:r>
      <w:r w:rsidR="00AE0D86">
        <w:t xml:space="preserve"> to </w:t>
      </w:r>
      <w:r w:rsidR="00621C99">
        <w:fldChar w:fldCharType="begin"/>
      </w:r>
      <w:r w:rsidR="00621C99">
        <w:instrText xml:space="preserve"> REF _Ref206085597 \h </w:instrText>
      </w:r>
      <w:r w:rsidR="00621C99">
        <w:fldChar w:fldCharType="separate"/>
      </w:r>
      <w:r w:rsidR="00894EC9">
        <w:t xml:space="preserve">Figure </w:t>
      </w:r>
      <w:r w:rsidR="00894EC9">
        <w:rPr>
          <w:noProof/>
        </w:rPr>
        <w:t>3</w:t>
      </w:r>
      <w:r w:rsidR="00621C99">
        <w:fldChar w:fldCharType="end"/>
      </w:r>
      <w:r w:rsidR="004C04E4" w:rsidRPr="004C04E4">
        <w:t>.</w:t>
      </w:r>
    </w:p>
    <w:p w14:paraId="02ACEDDA" w14:textId="418FE0CD" w:rsidR="00A44513" w:rsidRDefault="00A44513" w:rsidP="003A3A7B">
      <w:pPr>
        <w:pStyle w:val="Caption"/>
      </w:pPr>
      <w:bookmarkStart w:id="32" w:name="_Ref206081623"/>
      <w:r>
        <w:t xml:space="preserve">Table </w:t>
      </w:r>
      <w:r w:rsidR="00745925">
        <w:fldChar w:fldCharType="begin"/>
      </w:r>
      <w:r w:rsidR="00745925">
        <w:instrText xml:space="preserve"> SEQ Table \* ARABIC </w:instrText>
      </w:r>
      <w:r w:rsidR="00745925">
        <w:fldChar w:fldCharType="separate"/>
      </w:r>
      <w:r w:rsidR="00894EC9">
        <w:rPr>
          <w:noProof/>
        </w:rPr>
        <w:t>5</w:t>
      </w:r>
      <w:r w:rsidR="00745925">
        <w:rPr>
          <w:noProof/>
        </w:rPr>
        <w:fldChar w:fldCharType="end"/>
      </w:r>
      <w:bookmarkEnd w:id="32"/>
      <w:r>
        <w:t>: Summary of PFS across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PFS across studies"/>
      </w:tblPr>
      <w:tblGrid>
        <w:gridCol w:w="2546"/>
        <w:gridCol w:w="1701"/>
        <w:gridCol w:w="1701"/>
        <w:gridCol w:w="1450"/>
        <w:gridCol w:w="1619"/>
      </w:tblGrid>
      <w:tr w:rsidR="00A44513" w14:paraId="7DFACD2D" w14:textId="77777777" w:rsidTr="00A44513">
        <w:trPr>
          <w:cantSplit/>
          <w:tblHeader/>
        </w:trPr>
        <w:tc>
          <w:tcPr>
            <w:tcW w:w="1412" w:type="pct"/>
            <w:vMerge w:val="restart"/>
            <w:tcBorders>
              <w:top w:val="single" w:sz="4" w:space="0" w:color="auto"/>
              <w:left w:val="single" w:sz="4" w:space="0" w:color="auto"/>
              <w:bottom w:val="single" w:sz="4" w:space="0" w:color="auto"/>
              <w:right w:val="single" w:sz="4" w:space="0" w:color="auto"/>
            </w:tcBorders>
            <w:vAlign w:val="center"/>
          </w:tcPr>
          <w:p w14:paraId="3D604859" w14:textId="77777777" w:rsidR="00A44513" w:rsidRDefault="00A44513" w:rsidP="003A3A7B">
            <w:pPr>
              <w:pStyle w:val="TableText0"/>
            </w:pPr>
          </w:p>
        </w:tc>
        <w:tc>
          <w:tcPr>
            <w:tcW w:w="943" w:type="pct"/>
            <w:tcBorders>
              <w:top w:val="single" w:sz="4" w:space="0" w:color="auto"/>
              <w:left w:val="single" w:sz="4" w:space="0" w:color="auto"/>
              <w:bottom w:val="single" w:sz="4" w:space="0" w:color="auto"/>
              <w:right w:val="single" w:sz="4" w:space="0" w:color="auto"/>
            </w:tcBorders>
            <w:hideMark/>
          </w:tcPr>
          <w:p w14:paraId="31C45B65" w14:textId="77777777" w:rsidR="00A44513" w:rsidRDefault="00A44513" w:rsidP="003A3A7B">
            <w:pPr>
              <w:pStyle w:val="TableText0"/>
              <w:jc w:val="center"/>
              <w:rPr>
                <w:b/>
                <w:bCs w:val="0"/>
              </w:rPr>
            </w:pPr>
            <w:proofErr w:type="spellStart"/>
            <w:r>
              <w:rPr>
                <w:b/>
                <w:bCs w:val="0"/>
              </w:rPr>
              <w:t>PHAROS</w:t>
            </w:r>
            <w:r>
              <w:rPr>
                <w:b/>
                <w:bCs w:val="0"/>
                <w:vertAlign w:val="superscript"/>
              </w:rPr>
              <w:t>a</w:t>
            </w:r>
            <w:proofErr w:type="spellEnd"/>
          </w:p>
        </w:tc>
        <w:tc>
          <w:tcPr>
            <w:tcW w:w="1747" w:type="pct"/>
            <w:gridSpan w:val="2"/>
            <w:tcBorders>
              <w:top w:val="single" w:sz="4" w:space="0" w:color="auto"/>
              <w:left w:val="single" w:sz="4" w:space="0" w:color="auto"/>
              <w:bottom w:val="single" w:sz="4" w:space="0" w:color="auto"/>
              <w:right w:val="single" w:sz="4" w:space="0" w:color="auto"/>
            </w:tcBorders>
            <w:hideMark/>
          </w:tcPr>
          <w:p w14:paraId="54F2FC18" w14:textId="2DDAA186" w:rsidR="00A44513" w:rsidRDefault="00A44513" w:rsidP="003A3A7B">
            <w:pPr>
              <w:pStyle w:val="TableText0"/>
              <w:jc w:val="center"/>
              <w:rPr>
                <w:b/>
                <w:bCs w:val="0"/>
              </w:rPr>
            </w:pPr>
            <w:r>
              <w:rPr>
                <w:b/>
                <w:bCs w:val="0"/>
              </w:rPr>
              <w:t>KN</w:t>
            </w:r>
            <w:r w:rsidR="003A3A7B">
              <w:rPr>
                <w:b/>
                <w:bCs w:val="0"/>
              </w:rPr>
              <w:noBreakHyphen/>
            </w:r>
            <w:r>
              <w:rPr>
                <w:b/>
                <w:bCs w:val="0"/>
              </w:rPr>
              <w:t>189</w:t>
            </w:r>
            <w:r>
              <w:rPr>
                <w:b/>
                <w:bCs w:val="0"/>
                <w:vertAlign w:val="superscript"/>
              </w:rPr>
              <w:t>b</w:t>
            </w:r>
          </w:p>
        </w:tc>
        <w:tc>
          <w:tcPr>
            <w:tcW w:w="898" w:type="pct"/>
            <w:tcBorders>
              <w:top w:val="single" w:sz="4" w:space="0" w:color="auto"/>
              <w:left w:val="single" w:sz="4" w:space="0" w:color="auto"/>
              <w:bottom w:val="single" w:sz="4" w:space="0" w:color="auto"/>
              <w:right w:val="single" w:sz="4" w:space="0" w:color="auto"/>
            </w:tcBorders>
            <w:hideMark/>
          </w:tcPr>
          <w:p w14:paraId="08BE0CB9" w14:textId="77777777" w:rsidR="00A44513" w:rsidRDefault="00A44513" w:rsidP="003A3A7B">
            <w:pPr>
              <w:pStyle w:val="TableText0"/>
              <w:jc w:val="center"/>
              <w:rPr>
                <w:b/>
                <w:bCs w:val="0"/>
              </w:rPr>
            </w:pPr>
            <w:r>
              <w:rPr>
                <w:b/>
                <w:bCs w:val="0"/>
              </w:rPr>
              <w:t>BRF113928</w:t>
            </w:r>
            <w:r>
              <w:rPr>
                <w:b/>
                <w:bCs w:val="0"/>
                <w:vertAlign w:val="superscript"/>
              </w:rPr>
              <w:t>c</w:t>
            </w:r>
          </w:p>
        </w:tc>
      </w:tr>
      <w:tr w:rsidR="00A44513" w14:paraId="39F4AFC8" w14:textId="77777777" w:rsidTr="00A44513">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E2B7D" w14:textId="77777777" w:rsidR="00A44513" w:rsidRDefault="00A44513" w:rsidP="003A3A7B">
            <w:pPr>
              <w:jc w:val="left"/>
              <w:rPr>
                <w:rFonts w:ascii="Arial Narrow" w:eastAsiaTheme="majorEastAsia" w:hAnsi="Arial Narrow" w:cstheme="majorBidi"/>
                <w:bCs/>
                <w:sz w:val="20"/>
              </w:rPr>
            </w:pPr>
          </w:p>
        </w:tc>
        <w:tc>
          <w:tcPr>
            <w:tcW w:w="943" w:type="pct"/>
            <w:tcBorders>
              <w:top w:val="single" w:sz="4" w:space="0" w:color="auto"/>
              <w:left w:val="single" w:sz="4" w:space="0" w:color="auto"/>
              <w:bottom w:val="single" w:sz="4" w:space="0" w:color="auto"/>
              <w:right w:val="single" w:sz="4" w:space="0" w:color="auto"/>
            </w:tcBorders>
            <w:hideMark/>
          </w:tcPr>
          <w:p w14:paraId="63F722DD" w14:textId="77777777" w:rsidR="00A44513" w:rsidRDefault="00A44513" w:rsidP="003A3A7B">
            <w:pPr>
              <w:pStyle w:val="TableText0"/>
              <w:jc w:val="center"/>
              <w:rPr>
                <w:b/>
                <w:bCs w:val="0"/>
              </w:rPr>
            </w:pPr>
            <w:r>
              <w:rPr>
                <w:b/>
                <w:bCs w:val="0"/>
              </w:rPr>
              <w:t>E+B</w:t>
            </w:r>
          </w:p>
          <w:p w14:paraId="1B016AEE" w14:textId="77777777" w:rsidR="00A44513" w:rsidRDefault="00A44513" w:rsidP="003A3A7B">
            <w:pPr>
              <w:pStyle w:val="TableText0"/>
              <w:jc w:val="center"/>
              <w:rPr>
                <w:b/>
                <w:bCs w:val="0"/>
              </w:rPr>
            </w:pPr>
            <w:r>
              <w:rPr>
                <w:b/>
                <w:bCs w:val="0"/>
              </w:rPr>
              <w:t>N=59</w:t>
            </w:r>
          </w:p>
        </w:tc>
        <w:tc>
          <w:tcPr>
            <w:tcW w:w="943" w:type="pct"/>
            <w:tcBorders>
              <w:top w:val="single" w:sz="4" w:space="0" w:color="auto"/>
              <w:left w:val="single" w:sz="4" w:space="0" w:color="auto"/>
              <w:bottom w:val="single" w:sz="4" w:space="0" w:color="auto"/>
              <w:right w:val="single" w:sz="4" w:space="0" w:color="auto"/>
            </w:tcBorders>
            <w:hideMark/>
          </w:tcPr>
          <w:p w14:paraId="206FDC7E" w14:textId="77777777" w:rsidR="00A44513" w:rsidRDefault="00A44513" w:rsidP="003A3A7B">
            <w:pPr>
              <w:pStyle w:val="TableText0"/>
              <w:jc w:val="center"/>
              <w:rPr>
                <w:b/>
                <w:bCs w:val="0"/>
              </w:rPr>
            </w:pPr>
            <w:r>
              <w:rPr>
                <w:b/>
                <w:bCs w:val="0"/>
              </w:rPr>
              <w:t>PEMBRO+PDC</w:t>
            </w:r>
          </w:p>
          <w:p w14:paraId="7E6A91CE" w14:textId="77777777" w:rsidR="00A44513" w:rsidRDefault="00A44513" w:rsidP="003A3A7B">
            <w:pPr>
              <w:pStyle w:val="TableText0"/>
              <w:jc w:val="center"/>
              <w:rPr>
                <w:b/>
                <w:bCs w:val="0"/>
              </w:rPr>
            </w:pPr>
            <w:r>
              <w:rPr>
                <w:b/>
                <w:bCs w:val="0"/>
              </w:rPr>
              <w:t>N=410</w:t>
            </w:r>
          </w:p>
        </w:tc>
        <w:tc>
          <w:tcPr>
            <w:tcW w:w="804" w:type="pct"/>
            <w:tcBorders>
              <w:top w:val="single" w:sz="4" w:space="0" w:color="auto"/>
              <w:left w:val="single" w:sz="4" w:space="0" w:color="auto"/>
              <w:bottom w:val="single" w:sz="4" w:space="0" w:color="auto"/>
              <w:right w:val="single" w:sz="4" w:space="0" w:color="auto"/>
            </w:tcBorders>
            <w:hideMark/>
          </w:tcPr>
          <w:p w14:paraId="59688957" w14:textId="77777777" w:rsidR="00A44513" w:rsidRDefault="00A44513" w:rsidP="003A3A7B">
            <w:pPr>
              <w:pStyle w:val="TableText0"/>
              <w:jc w:val="center"/>
              <w:rPr>
                <w:b/>
                <w:bCs w:val="0"/>
              </w:rPr>
            </w:pPr>
            <w:r>
              <w:rPr>
                <w:b/>
                <w:bCs w:val="0"/>
              </w:rPr>
              <w:t>PDC</w:t>
            </w:r>
          </w:p>
          <w:p w14:paraId="1A69B20A" w14:textId="77777777" w:rsidR="00A44513" w:rsidRDefault="00A44513" w:rsidP="003A3A7B">
            <w:pPr>
              <w:pStyle w:val="TableText0"/>
              <w:jc w:val="center"/>
              <w:rPr>
                <w:b/>
                <w:bCs w:val="0"/>
              </w:rPr>
            </w:pPr>
            <w:r>
              <w:rPr>
                <w:b/>
                <w:bCs w:val="0"/>
              </w:rPr>
              <w:t>N=206</w:t>
            </w:r>
          </w:p>
        </w:tc>
        <w:tc>
          <w:tcPr>
            <w:tcW w:w="898" w:type="pct"/>
            <w:tcBorders>
              <w:top w:val="single" w:sz="4" w:space="0" w:color="auto"/>
              <w:left w:val="single" w:sz="4" w:space="0" w:color="auto"/>
              <w:bottom w:val="single" w:sz="4" w:space="0" w:color="auto"/>
              <w:right w:val="single" w:sz="4" w:space="0" w:color="auto"/>
            </w:tcBorders>
            <w:hideMark/>
          </w:tcPr>
          <w:p w14:paraId="63DFDE88" w14:textId="77777777" w:rsidR="00A44513" w:rsidRDefault="00A44513" w:rsidP="003A3A7B">
            <w:pPr>
              <w:pStyle w:val="TableText0"/>
              <w:jc w:val="center"/>
              <w:rPr>
                <w:b/>
                <w:bCs w:val="0"/>
              </w:rPr>
            </w:pPr>
            <w:r>
              <w:rPr>
                <w:b/>
                <w:bCs w:val="0"/>
              </w:rPr>
              <w:t>D+T</w:t>
            </w:r>
          </w:p>
          <w:p w14:paraId="1E68EA64" w14:textId="77777777" w:rsidR="00A44513" w:rsidRDefault="00A44513" w:rsidP="003A3A7B">
            <w:pPr>
              <w:pStyle w:val="TableText0"/>
              <w:jc w:val="center"/>
              <w:rPr>
                <w:b/>
                <w:bCs w:val="0"/>
              </w:rPr>
            </w:pPr>
            <w:r>
              <w:rPr>
                <w:b/>
                <w:bCs w:val="0"/>
              </w:rPr>
              <w:t>N=36</w:t>
            </w:r>
          </w:p>
        </w:tc>
      </w:tr>
      <w:tr w:rsidR="00A44513" w14:paraId="38A3E157" w14:textId="77777777" w:rsidTr="00A44513">
        <w:trPr>
          <w:cantSplit/>
          <w:trHeight w:val="70"/>
        </w:trPr>
        <w:tc>
          <w:tcPr>
            <w:tcW w:w="1412" w:type="pct"/>
            <w:tcBorders>
              <w:top w:val="single" w:sz="4" w:space="0" w:color="auto"/>
              <w:left w:val="single" w:sz="4" w:space="0" w:color="auto"/>
              <w:bottom w:val="single" w:sz="4" w:space="0" w:color="auto"/>
              <w:right w:val="single" w:sz="4" w:space="0" w:color="auto"/>
            </w:tcBorders>
            <w:vAlign w:val="center"/>
            <w:hideMark/>
          </w:tcPr>
          <w:p w14:paraId="7B0860FF" w14:textId="77777777" w:rsidR="00A44513" w:rsidRDefault="00A44513" w:rsidP="003A3A7B">
            <w:pPr>
              <w:pStyle w:val="TableText0"/>
            </w:pPr>
            <w:r>
              <w:t>Events, n (%)</w:t>
            </w:r>
          </w:p>
        </w:tc>
        <w:tc>
          <w:tcPr>
            <w:tcW w:w="943" w:type="pct"/>
            <w:tcBorders>
              <w:top w:val="single" w:sz="4" w:space="0" w:color="auto"/>
              <w:left w:val="single" w:sz="4" w:space="0" w:color="auto"/>
              <w:bottom w:val="single" w:sz="4" w:space="0" w:color="auto"/>
              <w:right w:val="single" w:sz="4" w:space="0" w:color="auto"/>
            </w:tcBorders>
            <w:hideMark/>
          </w:tcPr>
          <w:p w14:paraId="0B7E1292" w14:textId="77777777" w:rsidR="00A44513" w:rsidRDefault="00A44513" w:rsidP="003A3A7B">
            <w:pPr>
              <w:pStyle w:val="TableText0"/>
              <w:jc w:val="center"/>
            </w:pPr>
            <w:r>
              <w:t>28 (47.5%)</w:t>
            </w:r>
          </w:p>
        </w:tc>
        <w:tc>
          <w:tcPr>
            <w:tcW w:w="943" w:type="pct"/>
            <w:tcBorders>
              <w:top w:val="single" w:sz="4" w:space="0" w:color="auto"/>
              <w:left w:val="single" w:sz="4" w:space="0" w:color="auto"/>
              <w:bottom w:val="single" w:sz="4" w:space="0" w:color="auto"/>
              <w:right w:val="single" w:sz="4" w:space="0" w:color="auto"/>
            </w:tcBorders>
            <w:vAlign w:val="center"/>
            <w:hideMark/>
          </w:tcPr>
          <w:p w14:paraId="7E9B2F4C" w14:textId="77777777" w:rsidR="00A44513" w:rsidRDefault="00A44513" w:rsidP="003A3A7B">
            <w:pPr>
              <w:pStyle w:val="TableText0"/>
              <w:jc w:val="center"/>
            </w:pPr>
            <w:r>
              <w:t>369 (90.0%)</w:t>
            </w:r>
          </w:p>
        </w:tc>
        <w:tc>
          <w:tcPr>
            <w:tcW w:w="804" w:type="pct"/>
            <w:tcBorders>
              <w:top w:val="single" w:sz="4" w:space="0" w:color="auto"/>
              <w:left w:val="single" w:sz="4" w:space="0" w:color="auto"/>
              <w:bottom w:val="single" w:sz="4" w:space="0" w:color="auto"/>
              <w:right w:val="single" w:sz="4" w:space="0" w:color="auto"/>
            </w:tcBorders>
            <w:vAlign w:val="center"/>
            <w:hideMark/>
          </w:tcPr>
          <w:p w14:paraId="227262A8" w14:textId="77777777" w:rsidR="00A44513" w:rsidRDefault="00A44513" w:rsidP="003A3A7B">
            <w:pPr>
              <w:pStyle w:val="TableText0"/>
              <w:jc w:val="center"/>
            </w:pPr>
            <w:r>
              <w:t>201 (97.6%)</w:t>
            </w:r>
          </w:p>
        </w:tc>
        <w:tc>
          <w:tcPr>
            <w:tcW w:w="898" w:type="pct"/>
            <w:tcBorders>
              <w:top w:val="single" w:sz="4" w:space="0" w:color="auto"/>
              <w:left w:val="single" w:sz="4" w:space="0" w:color="auto"/>
              <w:bottom w:val="single" w:sz="4" w:space="0" w:color="auto"/>
              <w:right w:val="single" w:sz="4" w:space="0" w:color="auto"/>
            </w:tcBorders>
            <w:hideMark/>
          </w:tcPr>
          <w:p w14:paraId="193F9E2D" w14:textId="77777777" w:rsidR="00A44513" w:rsidRDefault="00A44513" w:rsidP="003A3A7B">
            <w:pPr>
              <w:pStyle w:val="TableText0"/>
              <w:jc w:val="center"/>
            </w:pPr>
            <w:r>
              <w:t>28 (77.7%)</w:t>
            </w:r>
          </w:p>
        </w:tc>
      </w:tr>
      <w:tr w:rsidR="00A44513" w14:paraId="6589DBE6" w14:textId="77777777" w:rsidTr="00A44513">
        <w:trPr>
          <w:cantSplit/>
        </w:trPr>
        <w:tc>
          <w:tcPr>
            <w:tcW w:w="1412" w:type="pct"/>
            <w:tcBorders>
              <w:top w:val="single" w:sz="4" w:space="0" w:color="auto"/>
              <w:left w:val="single" w:sz="4" w:space="0" w:color="auto"/>
              <w:bottom w:val="single" w:sz="4" w:space="0" w:color="auto"/>
              <w:right w:val="single" w:sz="4" w:space="0" w:color="auto"/>
            </w:tcBorders>
            <w:vAlign w:val="center"/>
            <w:hideMark/>
          </w:tcPr>
          <w:p w14:paraId="02089AE7" w14:textId="77777777" w:rsidR="00A44513" w:rsidRDefault="00A44513" w:rsidP="003A3A7B">
            <w:pPr>
              <w:pStyle w:val="TableText0"/>
            </w:pPr>
            <w:r>
              <w:t>Median PFS, months (95% CI)</w:t>
            </w:r>
          </w:p>
        </w:tc>
        <w:tc>
          <w:tcPr>
            <w:tcW w:w="943" w:type="pct"/>
            <w:tcBorders>
              <w:top w:val="single" w:sz="4" w:space="0" w:color="auto"/>
              <w:left w:val="single" w:sz="4" w:space="0" w:color="auto"/>
              <w:bottom w:val="single" w:sz="4" w:space="0" w:color="auto"/>
              <w:right w:val="single" w:sz="4" w:space="0" w:color="auto"/>
            </w:tcBorders>
            <w:vAlign w:val="center"/>
            <w:hideMark/>
          </w:tcPr>
          <w:p w14:paraId="1F2B50A9" w14:textId="77777777" w:rsidR="00A44513" w:rsidRDefault="00A44513" w:rsidP="003A3A7B">
            <w:pPr>
              <w:pStyle w:val="TableText0"/>
              <w:jc w:val="center"/>
            </w:pPr>
            <w:r>
              <w:t>30.2 (15.7, NE)</w:t>
            </w:r>
          </w:p>
        </w:tc>
        <w:tc>
          <w:tcPr>
            <w:tcW w:w="943" w:type="pct"/>
            <w:tcBorders>
              <w:top w:val="single" w:sz="4" w:space="0" w:color="auto"/>
              <w:left w:val="single" w:sz="4" w:space="0" w:color="auto"/>
              <w:bottom w:val="single" w:sz="4" w:space="0" w:color="auto"/>
              <w:right w:val="single" w:sz="4" w:space="0" w:color="auto"/>
            </w:tcBorders>
            <w:vAlign w:val="center"/>
            <w:hideMark/>
          </w:tcPr>
          <w:p w14:paraId="5BC21479" w14:textId="77777777" w:rsidR="00A44513" w:rsidRDefault="00A44513" w:rsidP="003A3A7B">
            <w:pPr>
              <w:pStyle w:val="TableText0"/>
              <w:jc w:val="center"/>
            </w:pPr>
            <w:r>
              <w:t>9.0 (8.1, 10.4)</w:t>
            </w:r>
          </w:p>
        </w:tc>
        <w:tc>
          <w:tcPr>
            <w:tcW w:w="804" w:type="pct"/>
            <w:tcBorders>
              <w:top w:val="single" w:sz="4" w:space="0" w:color="auto"/>
              <w:left w:val="single" w:sz="4" w:space="0" w:color="auto"/>
              <w:bottom w:val="single" w:sz="4" w:space="0" w:color="auto"/>
              <w:right w:val="single" w:sz="4" w:space="0" w:color="auto"/>
            </w:tcBorders>
            <w:vAlign w:val="center"/>
            <w:hideMark/>
          </w:tcPr>
          <w:p w14:paraId="3F9855D3" w14:textId="77777777" w:rsidR="00A44513" w:rsidRDefault="00A44513" w:rsidP="003A3A7B">
            <w:pPr>
              <w:pStyle w:val="TableText0"/>
              <w:jc w:val="center"/>
            </w:pPr>
            <w:r>
              <w:t>4.9 (4.7, 5.5)</w:t>
            </w:r>
          </w:p>
        </w:tc>
        <w:tc>
          <w:tcPr>
            <w:tcW w:w="898" w:type="pct"/>
            <w:tcBorders>
              <w:top w:val="single" w:sz="4" w:space="0" w:color="auto"/>
              <w:left w:val="single" w:sz="4" w:space="0" w:color="auto"/>
              <w:bottom w:val="single" w:sz="4" w:space="0" w:color="auto"/>
              <w:right w:val="single" w:sz="4" w:space="0" w:color="auto"/>
            </w:tcBorders>
            <w:vAlign w:val="center"/>
            <w:hideMark/>
          </w:tcPr>
          <w:p w14:paraId="522160C2" w14:textId="77777777" w:rsidR="00A44513" w:rsidRDefault="00A44513" w:rsidP="003A3A7B">
            <w:pPr>
              <w:pStyle w:val="TableText0"/>
              <w:jc w:val="center"/>
            </w:pPr>
            <w:r>
              <w:t>10.8 (7.0, 14.5)</w:t>
            </w:r>
          </w:p>
        </w:tc>
      </w:tr>
      <w:tr w:rsidR="00A44513" w14:paraId="41645E6C" w14:textId="77777777" w:rsidTr="00A44513">
        <w:trPr>
          <w:cantSplit/>
        </w:trPr>
        <w:tc>
          <w:tcPr>
            <w:tcW w:w="1412" w:type="pct"/>
            <w:tcBorders>
              <w:top w:val="single" w:sz="4" w:space="0" w:color="auto"/>
              <w:left w:val="single" w:sz="4" w:space="0" w:color="auto"/>
              <w:bottom w:val="single" w:sz="4" w:space="0" w:color="auto"/>
              <w:right w:val="single" w:sz="4" w:space="0" w:color="auto"/>
            </w:tcBorders>
            <w:hideMark/>
          </w:tcPr>
          <w:p w14:paraId="74C5F632" w14:textId="77777777" w:rsidR="00A44513" w:rsidRDefault="00A44513" w:rsidP="003A3A7B">
            <w:pPr>
              <w:pStyle w:val="TableText0"/>
            </w:pPr>
            <w:r>
              <w:t>HR (95% CI)</w:t>
            </w:r>
          </w:p>
        </w:tc>
        <w:tc>
          <w:tcPr>
            <w:tcW w:w="943" w:type="pct"/>
            <w:tcBorders>
              <w:top w:val="single" w:sz="4" w:space="0" w:color="auto"/>
              <w:left w:val="single" w:sz="4" w:space="0" w:color="auto"/>
              <w:bottom w:val="single" w:sz="4" w:space="0" w:color="auto"/>
              <w:right w:val="single" w:sz="4" w:space="0" w:color="auto"/>
            </w:tcBorders>
            <w:hideMark/>
          </w:tcPr>
          <w:p w14:paraId="6982CEBA" w14:textId="77777777" w:rsidR="00A44513" w:rsidRDefault="00A44513" w:rsidP="003A3A7B">
            <w:pPr>
              <w:pStyle w:val="TableText0"/>
              <w:jc w:val="center"/>
            </w:pPr>
            <w:r>
              <w:t>NA</w:t>
            </w:r>
          </w:p>
        </w:tc>
        <w:tc>
          <w:tcPr>
            <w:tcW w:w="1747" w:type="pct"/>
            <w:gridSpan w:val="2"/>
            <w:tcBorders>
              <w:top w:val="single" w:sz="4" w:space="0" w:color="auto"/>
              <w:left w:val="single" w:sz="4" w:space="0" w:color="auto"/>
              <w:bottom w:val="single" w:sz="4" w:space="0" w:color="auto"/>
              <w:right w:val="single" w:sz="4" w:space="0" w:color="auto"/>
            </w:tcBorders>
            <w:vAlign w:val="center"/>
            <w:hideMark/>
          </w:tcPr>
          <w:p w14:paraId="5A41AB6E" w14:textId="77777777" w:rsidR="00A44513" w:rsidRDefault="00A44513" w:rsidP="003A3A7B">
            <w:pPr>
              <w:pStyle w:val="TableText0"/>
              <w:jc w:val="center"/>
            </w:pPr>
            <w:r>
              <w:t>0.50 (0.42, 0.60)</w:t>
            </w:r>
          </w:p>
        </w:tc>
        <w:tc>
          <w:tcPr>
            <w:tcW w:w="898" w:type="pct"/>
            <w:tcBorders>
              <w:top w:val="single" w:sz="4" w:space="0" w:color="auto"/>
              <w:left w:val="single" w:sz="4" w:space="0" w:color="auto"/>
              <w:bottom w:val="single" w:sz="4" w:space="0" w:color="auto"/>
              <w:right w:val="single" w:sz="4" w:space="0" w:color="auto"/>
            </w:tcBorders>
            <w:hideMark/>
          </w:tcPr>
          <w:p w14:paraId="245A9073" w14:textId="77777777" w:rsidR="00A44513" w:rsidRDefault="00A44513" w:rsidP="003A3A7B">
            <w:pPr>
              <w:pStyle w:val="TableText0"/>
              <w:jc w:val="center"/>
            </w:pPr>
            <w:r>
              <w:t>NA</w:t>
            </w:r>
          </w:p>
        </w:tc>
      </w:tr>
    </w:tbl>
    <w:p w14:paraId="42873C7C" w14:textId="77777777" w:rsidR="00A44513" w:rsidRDefault="00A44513" w:rsidP="003A3A7B">
      <w:pPr>
        <w:pStyle w:val="TableFigureFooter"/>
      </w:pPr>
      <w:r>
        <w:t xml:space="preserve">Source: Table 2.33, p98 of the submission. </w:t>
      </w:r>
    </w:p>
    <w:p w14:paraId="5928466C" w14:textId="5D4D7466" w:rsidR="00A44513" w:rsidRDefault="00A44513" w:rsidP="003A3A7B">
      <w:pPr>
        <w:pStyle w:val="TableFigureFooter"/>
      </w:pPr>
      <w:r>
        <w:t xml:space="preserve">CI = confidence interval; D+T = dabrafenib + trametinib; DCR = disease control rate; E+B = </w:t>
      </w:r>
      <w:proofErr w:type="spellStart"/>
      <w:r>
        <w:t>encorafenib</w:t>
      </w:r>
      <w:proofErr w:type="spellEnd"/>
      <w:r>
        <w:t xml:space="preserve"> + </w:t>
      </w:r>
      <w:proofErr w:type="spellStart"/>
      <w:r>
        <w:t>binimetinib</w:t>
      </w:r>
      <w:proofErr w:type="spellEnd"/>
      <w:r>
        <w:t xml:space="preserve">; </w:t>
      </w:r>
      <w:r w:rsidR="00CB15F5">
        <w:t xml:space="preserve">HR = hazard ratio; n = number of participants with event; N = total participants in group; </w:t>
      </w:r>
      <w:r>
        <w:t xml:space="preserve">NA = not applicable; </w:t>
      </w:r>
      <w:r w:rsidR="00CB15F5">
        <w:t xml:space="preserve">NE = not evaluable; </w:t>
      </w:r>
      <w:proofErr w:type="spellStart"/>
      <w:r>
        <w:t>pembro+PDC</w:t>
      </w:r>
      <w:proofErr w:type="spellEnd"/>
      <w:r>
        <w:t xml:space="preserve"> = pembrolizumab + platinum doublet chemotherapy; PFS = progression</w:t>
      </w:r>
      <w:r w:rsidR="003A3A7B">
        <w:noBreakHyphen/>
      </w:r>
      <w:r>
        <w:t>free survival.</w:t>
      </w:r>
    </w:p>
    <w:p w14:paraId="79229438" w14:textId="1FEFD975" w:rsidR="00A44513" w:rsidRDefault="00A44513" w:rsidP="003A3A7B">
      <w:pPr>
        <w:pStyle w:val="TableFigureFooter"/>
      </w:pPr>
      <w:r>
        <w:rPr>
          <w:vertAlign w:val="superscript"/>
        </w:rPr>
        <w:t>a</w:t>
      </w:r>
      <w:r>
        <w:t xml:space="preserve"> By independent radiographic review</w:t>
      </w:r>
      <w:r w:rsidR="003514ED">
        <w:t>; median follow</w:t>
      </w:r>
      <w:r w:rsidR="003A3A7B">
        <w:noBreakHyphen/>
      </w:r>
      <w:r w:rsidR="003514ED">
        <w:t>up duration of 33.3 months</w:t>
      </w:r>
    </w:p>
    <w:p w14:paraId="3E9D1344" w14:textId="029B1AA6" w:rsidR="00A44513" w:rsidRDefault="00A44513" w:rsidP="003A3A7B">
      <w:pPr>
        <w:pStyle w:val="TableFigureFooter"/>
      </w:pPr>
      <w:r>
        <w:rPr>
          <w:vertAlign w:val="superscript"/>
        </w:rPr>
        <w:t>b</w:t>
      </w:r>
      <w:r>
        <w:t xml:space="preserve"> By Blinded Independent Central Review per RECIST v 1.1</w:t>
      </w:r>
      <w:r w:rsidR="003514ED">
        <w:t>; median follow</w:t>
      </w:r>
      <w:r w:rsidR="003A3A7B">
        <w:noBreakHyphen/>
      </w:r>
      <w:r w:rsidR="003514ED">
        <w:t>up duration of 64.6 months</w:t>
      </w:r>
    </w:p>
    <w:p w14:paraId="2AF8F956" w14:textId="1B07A7A1" w:rsidR="00A44513" w:rsidRDefault="00A44513" w:rsidP="003A3A7B">
      <w:pPr>
        <w:pStyle w:val="TableFigureFooter"/>
      </w:pPr>
      <w:r>
        <w:rPr>
          <w:vertAlign w:val="superscript"/>
        </w:rPr>
        <w:t xml:space="preserve">c </w:t>
      </w:r>
      <w:r>
        <w:t>By investigator</w:t>
      </w:r>
      <w:r w:rsidR="003A3A7B">
        <w:noBreakHyphen/>
      </w:r>
      <w:r>
        <w:t>assessed</w:t>
      </w:r>
      <w:r w:rsidR="00A30F1C">
        <w:t>;</w:t>
      </w:r>
      <w:r w:rsidR="003514ED">
        <w:t xml:space="preserve"> </w:t>
      </w:r>
      <w:r w:rsidR="003514ED" w:rsidRPr="003514ED">
        <w:t>median follow</w:t>
      </w:r>
      <w:r w:rsidR="003A3A7B">
        <w:noBreakHyphen/>
      </w:r>
      <w:r w:rsidR="003514ED" w:rsidRPr="003514ED">
        <w:t>up duration of 16.30 months</w:t>
      </w:r>
      <w:r w:rsidR="003514ED">
        <w:t>.</w:t>
      </w:r>
    </w:p>
    <w:p w14:paraId="5A07BF61" w14:textId="072E375E" w:rsidR="004F00CC" w:rsidRPr="004F00CC" w:rsidRDefault="00C92DDF" w:rsidP="003A3A7B">
      <w:pPr>
        <w:pStyle w:val="3-BodyText"/>
        <w:rPr>
          <w:color w:val="FF0000"/>
        </w:rPr>
      </w:pPr>
      <w:r>
        <w:t xml:space="preserve">In </w:t>
      </w:r>
      <w:r w:rsidR="00FA2EE0">
        <w:t xml:space="preserve">the </w:t>
      </w:r>
      <w:r>
        <w:t xml:space="preserve">PHAROS trial, </w:t>
      </w:r>
      <w:r w:rsidR="007B077D">
        <w:t>the</w:t>
      </w:r>
      <w:r>
        <w:t xml:space="preserve"> median PFS</w:t>
      </w:r>
      <w:r w:rsidR="007B077D">
        <w:t xml:space="preserve"> </w:t>
      </w:r>
      <w:r w:rsidR="00F9426F">
        <w:t xml:space="preserve">with E+B </w:t>
      </w:r>
      <w:r w:rsidR="007B077D">
        <w:t xml:space="preserve">was </w:t>
      </w:r>
      <w:r>
        <w:t xml:space="preserve">30.2 months (95% CI: 15.7, </w:t>
      </w:r>
      <w:r w:rsidR="002137B2">
        <w:t>not estimable [NE]</w:t>
      </w:r>
      <w:r>
        <w:t>)</w:t>
      </w:r>
      <w:r w:rsidR="007B077D">
        <w:t xml:space="preserve"> based on IRR, while </w:t>
      </w:r>
      <w:r>
        <w:t>investigator</w:t>
      </w:r>
      <w:r w:rsidR="003A3A7B">
        <w:noBreakHyphen/>
      </w:r>
      <w:r>
        <w:t>assess</w:t>
      </w:r>
      <w:r w:rsidR="007B077D">
        <w:t>ed median PFS wa</w:t>
      </w:r>
      <w:r>
        <w:t xml:space="preserve">s lower </w:t>
      </w:r>
      <w:r w:rsidR="00E14E2F">
        <w:t xml:space="preserve">at </w:t>
      </w:r>
      <w:r>
        <w:t>24.8 months</w:t>
      </w:r>
      <w:r w:rsidR="00E14E2F">
        <w:t>. In comparison, the KN</w:t>
      </w:r>
      <w:r w:rsidR="003A3A7B">
        <w:noBreakHyphen/>
      </w:r>
      <w:r w:rsidR="00E14E2F">
        <w:t xml:space="preserve">189 trial reported a median PFS of </w:t>
      </w:r>
      <w:r>
        <w:t xml:space="preserve">9.0 months (95% CI: 8.1, 10.4) in the </w:t>
      </w:r>
      <w:proofErr w:type="spellStart"/>
      <w:r>
        <w:t>pembrolizumab</w:t>
      </w:r>
      <w:r w:rsidR="00FA2EE0">
        <w:t>+PDC</w:t>
      </w:r>
      <w:proofErr w:type="spellEnd"/>
      <w:r>
        <w:t xml:space="preserve"> arm</w:t>
      </w:r>
      <w:r w:rsidR="002F222F">
        <w:t>,</w:t>
      </w:r>
      <w:r w:rsidR="00E14E2F">
        <w:t xml:space="preserve"> </w:t>
      </w:r>
      <w:r w:rsidR="00EA793A" w:rsidRPr="00117243">
        <w:t xml:space="preserve">assessed by </w:t>
      </w:r>
      <w:r w:rsidR="00EA793A">
        <w:t xml:space="preserve">BICR. </w:t>
      </w:r>
      <w:r w:rsidR="00EA793A" w:rsidRPr="00117243">
        <w:t xml:space="preserve">The BRF113928 trial reported </w:t>
      </w:r>
      <w:r>
        <w:t>a median PFS of 10.8 months (95% CI: 7.0, 14.5)</w:t>
      </w:r>
      <w:r w:rsidR="00EA793A">
        <w:t xml:space="preserve"> </w:t>
      </w:r>
      <w:r w:rsidR="00EA793A" w:rsidRPr="00117243">
        <w:t xml:space="preserve">for </w:t>
      </w:r>
      <w:r w:rsidR="00FA2EE0">
        <w:t>D+T</w:t>
      </w:r>
      <w:r w:rsidR="002F222F">
        <w:t>,</w:t>
      </w:r>
      <w:r w:rsidR="00EA793A" w:rsidRPr="00117243">
        <w:t xml:space="preserve"> based on </w:t>
      </w:r>
      <w:r w:rsidR="00EA793A" w:rsidRPr="00117243">
        <w:lastRenderedPageBreak/>
        <w:t>investigator assessment</w:t>
      </w:r>
      <w:r w:rsidR="001535F2">
        <w:t xml:space="preserve"> (</w:t>
      </w:r>
      <w:r w:rsidR="00A248AF">
        <w:t xml:space="preserve">and </w:t>
      </w:r>
      <w:r w:rsidR="001535F2">
        <w:t>14.6 months</w:t>
      </w:r>
      <w:r w:rsidR="00DD5494">
        <w:t xml:space="preserve"> (</w:t>
      </w:r>
      <w:r w:rsidR="00A248AF">
        <w:t>95%</w:t>
      </w:r>
      <w:r w:rsidR="00DD5494">
        <w:t xml:space="preserve"> </w:t>
      </w:r>
      <w:r w:rsidR="00A248AF">
        <w:t>CI: 7.0, 22.1</w:t>
      </w:r>
      <w:r w:rsidR="00DD5494">
        <w:t>)</w:t>
      </w:r>
      <w:r w:rsidR="00A248AF">
        <w:t xml:space="preserve"> based on IRC assessment)</w:t>
      </w:r>
      <w:r w:rsidR="00EA793A" w:rsidRPr="00117243">
        <w:t>.</w:t>
      </w:r>
    </w:p>
    <w:p w14:paraId="70A3BB2F" w14:textId="50C2679D" w:rsidR="004F00CC" w:rsidRDefault="004F00CC" w:rsidP="003A3A7B">
      <w:pPr>
        <w:pStyle w:val="Caption"/>
      </w:pPr>
      <w:bookmarkStart w:id="33" w:name="_Ref206083065"/>
      <w:r>
        <w:t xml:space="preserve">Figure </w:t>
      </w:r>
      <w:r w:rsidR="00A9486C">
        <w:fldChar w:fldCharType="begin"/>
      </w:r>
      <w:r w:rsidR="00A9486C">
        <w:instrText xml:space="preserve"> SEQ Figure \* ARABIC </w:instrText>
      </w:r>
      <w:r w:rsidR="00A9486C">
        <w:fldChar w:fldCharType="separate"/>
      </w:r>
      <w:r w:rsidR="00894EC9">
        <w:rPr>
          <w:noProof/>
        </w:rPr>
        <w:t>1</w:t>
      </w:r>
      <w:r w:rsidR="00A9486C">
        <w:rPr>
          <w:noProof/>
        </w:rPr>
        <w:fldChar w:fldCharType="end"/>
      </w:r>
      <w:bookmarkEnd w:id="33"/>
      <w:r>
        <w:t>: Kaplan</w:t>
      </w:r>
      <w:r w:rsidR="003A3A7B">
        <w:noBreakHyphen/>
      </w:r>
      <w:r>
        <w:t>Meier curves for PFS for first</w:t>
      </w:r>
      <w:r w:rsidR="003A3A7B">
        <w:noBreakHyphen/>
      </w:r>
      <w:r>
        <w:t>line E+B (untreated</w:t>
      </w:r>
      <w:r w:rsidR="00E90CC5">
        <w:t xml:space="preserve"> patients</w:t>
      </w:r>
      <w:r>
        <w:t>) in PHAROS trial</w:t>
      </w:r>
    </w:p>
    <w:p w14:paraId="441EDE67" w14:textId="3BB6D680" w:rsidR="004F00CC" w:rsidRDefault="004F00CC" w:rsidP="003A3A7B">
      <w:r>
        <w:rPr>
          <w:noProof/>
        </w:rPr>
        <w:drawing>
          <wp:inline distT="0" distB="0" distL="0" distR="0" wp14:anchorId="6970AB96" wp14:editId="26F34502">
            <wp:extent cx="4626591" cy="3220085"/>
            <wp:effectExtent l="0" t="0" r="3175" b="0"/>
            <wp:docPr id="1185811321" name="Picture 2" descr="Figure 1: Kaplan Meier curves for PFS for first line E+B (untreated patients) in PHAROS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11321" name="Picture 2" descr="Figure 1: Kaplan Meier curves for PFS for first line E+B (untreated patients) in PHAROS trial"/>
                    <pic:cNvPicPr>
                      <a:picLocks noChangeAspect="1" noChangeArrowheads="1"/>
                    </pic:cNvPicPr>
                  </pic:nvPicPr>
                  <pic:blipFill rotWithShape="1">
                    <a:blip r:embed="rId11">
                      <a:extLst>
                        <a:ext uri="{28A0092B-C50C-407E-A947-70E740481C1C}">
                          <a14:useLocalDpi xmlns:a14="http://schemas.microsoft.com/office/drawing/2010/main" val="0"/>
                        </a:ext>
                      </a:extLst>
                    </a:blip>
                    <a:srcRect r="10116" b="16022"/>
                    <a:stretch>
                      <a:fillRect/>
                    </a:stretch>
                  </pic:blipFill>
                  <pic:spPr bwMode="auto">
                    <a:xfrm>
                      <a:off x="0" y="0"/>
                      <a:ext cx="4635367" cy="3226193"/>
                    </a:xfrm>
                    <a:prstGeom prst="rect">
                      <a:avLst/>
                    </a:prstGeom>
                    <a:noFill/>
                    <a:ln>
                      <a:noFill/>
                    </a:ln>
                    <a:extLst>
                      <a:ext uri="{53640926-AAD7-44D8-BBD7-CCE9431645EC}">
                        <a14:shadowObscured xmlns:a14="http://schemas.microsoft.com/office/drawing/2010/main"/>
                      </a:ext>
                    </a:extLst>
                  </pic:spPr>
                </pic:pic>
              </a:graphicData>
            </a:graphic>
          </wp:inline>
        </w:drawing>
      </w:r>
    </w:p>
    <w:p w14:paraId="6F46E60A" w14:textId="77777777" w:rsidR="004F00CC" w:rsidRDefault="004F00CC" w:rsidP="003A3A7B">
      <w:pPr>
        <w:pStyle w:val="TableFigureFooter"/>
      </w:pPr>
      <w:r>
        <w:t>Source: Figure 2.9, p99 of the submission.</w:t>
      </w:r>
    </w:p>
    <w:p w14:paraId="0DF3F88F" w14:textId="657B7CA9" w:rsidR="004F00CC" w:rsidRDefault="004F00CC" w:rsidP="003A3A7B">
      <w:pPr>
        <w:pStyle w:val="TableFigureFooter"/>
      </w:pPr>
      <w:r>
        <w:t xml:space="preserve">CI = confidence interval; E+B = </w:t>
      </w:r>
      <w:proofErr w:type="spellStart"/>
      <w:r>
        <w:t>encorafenib</w:t>
      </w:r>
      <w:proofErr w:type="spellEnd"/>
      <w:r>
        <w:t xml:space="preserve"> and trametinib; NE = not estimable; PFS = progression</w:t>
      </w:r>
      <w:r w:rsidR="003A3A7B">
        <w:noBreakHyphen/>
      </w:r>
      <w:r>
        <w:t>free survival.</w:t>
      </w:r>
    </w:p>
    <w:p w14:paraId="5EB2A621" w14:textId="77777777" w:rsidR="00C438C0" w:rsidRDefault="00C438C0" w:rsidP="003A3A7B">
      <w:pPr>
        <w:pStyle w:val="Caption"/>
      </w:pPr>
    </w:p>
    <w:p w14:paraId="20A6FC5E" w14:textId="534584E8" w:rsidR="00C438C0" w:rsidRDefault="00C438C0" w:rsidP="003A3A7B">
      <w:pPr>
        <w:pStyle w:val="Caption"/>
      </w:pPr>
      <w:r>
        <w:t xml:space="preserve">Figure </w:t>
      </w:r>
      <w:r w:rsidR="00A9486C">
        <w:fldChar w:fldCharType="begin"/>
      </w:r>
      <w:r w:rsidR="00A9486C">
        <w:instrText xml:space="preserve"> SEQ Figure \* ARABIC </w:instrText>
      </w:r>
      <w:r w:rsidR="00A9486C">
        <w:fldChar w:fldCharType="separate"/>
      </w:r>
      <w:r w:rsidR="00894EC9">
        <w:rPr>
          <w:noProof/>
        </w:rPr>
        <w:t>2</w:t>
      </w:r>
      <w:r w:rsidR="00A9486C">
        <w:rPr>
          <w:noProof/>
        </w:rPr>
        <w:fldChar w:fldCharType="end"/>
      </w:r>
      <w:r w:rsidRPr="00C438C0">
        <w:t>: Kaplan</w:t>
      </w:r>
      <w:r w:rsidR="003A3A7B">
        <w:noBreakHyphen/>
      </w:r>
      <w:r w:rsidRPr="00C438C0">
        <w:t>Meier curves for PFS</w:t>
      </w:r>
      <w:r w:rsidR="009D077E">
        <w:t xml:space="preserve"> </w:t>
      </w:r>
      <w:r w:rsidRPr="00C438C0">
        <w:t xml:space="preserve">for </w:t>
      </w:r>
      <w:proofErr w:type="spellStart"/>
      <w:r w:rsidRPr="00C438C0">
        <w:t>pembrolizumab+PDC</w:t>
      </w:r>
      <w:proofErr w:type="spellEnd"/>
      <w:r w:rsidRPr="00C438C0">
        <w:t xml:space="preserve"> in KN</w:t>
      </w:r>
      <w:r w:rsidR="003A3A7B">
        <w:noBreakHyphen/>
      </w:r>
      <w:r w:rsidRPr="00C438C0">
        <w:t>189 trial</w:t>
      </w:r>
    </w:p>
    <w:p w14:paraId="0A35CABF" w14:textId="77777777" w:rsidR="000F5550" w:rsidRPr="000F5550" w:rsidRDefault="000F5550" w:rsidP="003A3A7B">
      <w:pPr>
        <w:rPr>
          <w:rFonts w:eastAsia="Calibri"/>
        </w:rPr>
      </w:pPr>
      <w:r w:rsidRPr="000F5550">
        <w:rPr>
          <w:noProof/>
        </w:rPr>
        <w:drawing>
          <wp:inline distT="0" distB="0" distL="0" distR="0" wp14:anchorId="23B3FD35" wp14:editId="408ECD44">
            <wp:extent cx="4391025" cy="2232837"/>
            <wp:effectExtent l="0" t="0" r="0" b="0"/>
            <wp:docPr id="2" name="Picture 4" descr="Figure 2: Kaplan Meier curves for PFS for pembrolizumab+PDC in KN 189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Figure 2: Kaplan Meier curves for PFS for pembrolizumab+PDC in KN 189 tr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6904" cy="2235826"/>
                    </a:xfrm>
                    <a:prstGeom prst="rect">
                      <a:avLst/>
                    </a:prstGeom>
                    <a:noFill/>
                    <a:ln>
                      <a:noFill/>
                    </a:ln>
                  </pic:spPr>
                </pic:pic>
              </a:graphicData>
            </a:graphic>
          </wp:inline>
        </w:drawing>
      </w:r>
    </w:p>
    <w:p w14:paraId="4CAFB65C" w14:textId="77777777" w:rsidR="000F5550" w:rsidRPr="000F5550" w:rsidRDefault="000F5550" w:rsidP="003A3A7B">
      <w:pPr>
        <w:keepLines/>
        <w:snapToGrid w:val="0"/>
        <w:spacing w:after="120"/>
        <w:contextualSpacing/>
        <w:rPr>
          <w:rFonts w:ascii="Arial Narrow" w:eastAsia="Calibri" w:hAnsi="Arial Narrow"/>
          <w:sz w:val="18"/>
          <w:szCs w:val="22"/>
        </w:rPr>
      </w:pPr>
      <w:r w:rsidRPr="000F5550">
        <w:rPr>
          <w:rFonts w:ascii="Arial Narrow" w:eastAsia="Calibri" w:hAnsi="Arial Narrow"/>
          <w:sz w:val="18"/>
          <w:szCs w:val="22"/>
        </w:rPr>
        <w:t xml:space="preserve">Source: Figure 2.10, p100 of the submission. </w:t>
      </w:r>
    </w:p>
    <w:p w14:paraId="0BF3D160" w14:textId="55F5A49D" w:rsidR="000F5550" w:rsidRDefault="000F5550" w:rsidP="003A3A7B">
      <w:pPr>
        <w:keepLines/>
        <w:snapToGrid w:val="0"/>
        <w:spacing w:after="120"/>
        <w:contextualSpacing/>
        <w:rPr>
          <w:rFonts w:ascii="Arial Narrow" w:eastAsia="Calibri" w:hAnsi="Arial Narrow"/>
          <w:sz w:val="18"/>
          <w:szCs w:val="22"/>
        </w:rPr>
      </w:pPr>
      <w:r w:rsidRPr="000F5550">
        <w:rPr>
          <w:rFonts w:ascii="Arial Narrow" w:eastAsia="Calibri" w:hAnsi="Arial Narrow"/>
          <w:sz w:val="18"/>
          <w:szCs w:val="22"/>
        </w:rPr>
        <w:t>CI = Confidence interval; chemo = chemotherapy; HR = Hazard ratio; PDC = platinum</w:t>
      </w:r>
      <w:r w:rsidR="003A3A7B">
        <w:rPr>
          <w:rFonts w:ascii="Arial Narrow" w:eastAsia="Calibri" w:hAnsi="Arial Narrow"/>
          <w:sz w:val="18"/>
          <w:szCs w:val="22"/>
        </w:rPr>
        <w:noBreakHyphen/>
      </w:r>
      <w:r w:rsidRPr="000F5550">
        <w:rPr>
          <w:rFonts w:ascii="Arial Narrow" w:eastAsia="Calibri" w:hAnsi="Arial Narrow"/>
          <w:sz w:val="18"/>
          <w:szCs w:val="22"/>
        </w:rPr>
        <w:t>doublet chemotherapy; PFS = progression</w:t>
      </w:r>
      <w:r w:rsidR="003A3A7B">
        <w:rPr>
          <w:rFonts w:ascii="Arial Narrow" w:eastAsia="Calibri" w:hAnsi="Arial Narrow"/>
          <w:sz w:val="18"/>
          <w:szCs w:val="22"/>
        </w:rPr>
        <w:noBreakHyphen/>
      </w:r>
      <w:r w:rsidRPr="000F5550">
        <w:rPr>
          <w:rFonts w:ascii="Arial Narrow" w:eastAsia="Calibri" w:hAnsi="Arial Narrow"/>
          <w:sz w:val="18"/>
          <w:szCs w:val="22"/>
        </w:rPr>
        <w:t>free survival.</w:t>
      </w:r>
    </w:p>
    <w:p w14:paraId="6A66FD50" w14:textId="4037A9F3" w:rsidR="00C438C0" w:rsidRDefault="00C438C0" w:rsidP="003A3A7B">
      <w:pPr>
        <w:pStyle w:val="Caption"/>
      </w:pPr>
      <w:bookmarkStart w:id="34" w:name="_Ref206085597"/>
      <w:r>
        <w:lastRenderedPageBreak/>
        <w:t xml:space="preserve">Figure </w:t>
      </w:r>
      <w:r w:rsidR="00A9486C">
        <w:fldChar w:fldCharType="begin"/>
      </w:r>
      <w:r w:rsidR="00A9486C">
        <w:instrText xml:space="preserve"> SEQ Figure \* ARABIC </w:instrText>
      </w:r>
      <w:r w:rsidR="00A9486C">
        <w:fldChar w:fldCharType="separate"/>
      </w:r>
      <w:r w:rsidR="00894EC9">
        <w:rPr>
          <w:noProof/>
        </w:rPr>
        <w:t>3</w:t>
      </w:r>
      <w:r w:rsidR="00A9486C">
        <w:rPr>
          <w:noProof/>
        </w:rPr>
        <w:fldChar w:fldCharType="end"/>
      </w:r>
      <w:bookmarkEnd w:id="34"/>
      <w:r>
        <w:t xml:space="preserve">: </w:t>
      </w:r>
      <w:r w:rsidRPr="00C438C0">
        <w:t>Kaplan</w:t>
      </w:r>
      <w:r w:rsidR="003A3A7B">
        <w:noBreakHyphen/>
      </w:r>
      <w:r w:rsidRPr="00C438C0">
        <w:t>Meier curves for PFS for first</w:t>
      </w:r>
      <w:r w:rsidR="003A3A7B">
        <w:noBreakHyphen/>
      </w:r>
      <w:r w:rsidRPr="00C438C0">
        <w:t>line D+T (untreated patients) in BRF113928 trial</w:t>
      </w:r>
    </w:p>
    <w:p w14:paraId="3D54942A" w14:textId="77777777" w:rsidR="00C438C0" w:rsidRPr="00C438C0" w:rsidRDefault="00C438C0" w:rsidP="003A3A7B">
      <w:pPr>
        <w:rPr>
          <w:rFonts w:eastAsia="Calibri"/>
        </w:rPr>
      </w:pPr>
      <w:r w:rsidRPr="00C438C0">
        <w:rPr>
          <w:noProof/>
        </w:rPr>
        <w:drawing>
          <wp:inline distT="0" distB="0" distL="0" distR="0" wp14:anchorId="59E8B3ED" wp14:editId="48F4F3FD">
            <wp:extent cx="5730875" cy="2679700"/>
            <wp:effectExtent l="0" t="0" r="3175" b="6350"/>
            <wp:docPr id="3" name="Picture 1" descr="Figure 3: Kaplan Meier curves for PFS for first line D+T (untreated patients) in BRF113928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igure 3: Kaplan Meier curves for PFS for first line D+T (untreated patients) in BRF113928 tr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2679700"/>
                    </a:xfrm>
                    <a:prstGeom prst="rect">
                      <a:avLst/>
                    </a:prstGeom>
                    <a:noFill/>
                    <a:ln>
                      <a:noFill/>
                    </a:ln>
                  </pic:spPr>
                </pic:pic>
              </a:graphicData>
            </a:graphic>
          </wp:inline>
        </w:drawing>
      </w:r>
    </w:p>
    <w:p w14:paraId="70C4EA25" w14:textId="77777777" w:rsidR="00C438C0" w:rsidRPr="00734C1D" w:rsidRDefault="00C438C0" w:rsidP="003A3A7B">
      <w:pPr>
        <w:keepNext/>
        <w:keepLines/>
        <w:jc w:val="left"/>
        <w:rPr>
          <w:rFonts w:ascii="Arial Narrow" w:eastAsia="MS Gothic" w:hAnsi="Arial Narrow" w:cs="Times New Roman"/>
          <w:bCs/>
          <w:sz w:val="18"/>
          <w:szCs w:val="18"/>
        </w:rPr>
      </w:pPr>
      <w:r w:rsidRPr="00734C1D">
        <w:rPr>
          <w:rFonts w:ascii="Arial Narrow" w:eastAsia="MS Gothic" w:hAnsi="Arial Narrow" w:cs="Times New Roman"/>
          <w:bCs/>
          <w:sz w:val="18"/>
          <w:szCs w:val="18"/>
        </w:rPr>
        <w:t>Source: Figure 2.11, p100 of the submission.</w:t>
      </w:r>
    </w:p>
    <w:p w14:paraId="4D5773F1" w14:textId="06DA79C4" w:rsidR="00C438C0" w:rsidRPr="00734C1D" w:rsidRDefault="00CB15F5" w:rsidP="003A3A7B">
      <w:pPr>
        <w:keepNext/>
        <w:keepLines/>
        <w:jc w:val="left"/>
        <w:rPr>
          <w:rFonts w:ascii="Arial Narrow" w:eastAsia="MS Gothic" w:hAnsi="Arial Narrow" w:cs="Times New Roman"/>
          <w:bCs/>
          <w:sz w:val="18"/>
          <w:szCs w:val="18"/>
        </w:rPr>
      </w:pPr>
      <w:r w:rsidRPr="00734C1D">
        <w:rPr>
          <w:rFonts w:ascii="Arial Narrow" w:eastAsia="MS Gothic" w:hAnsi="Arial Narrow" w:cs="Times New Roman"/>
          <w:bCs/>
          <w:sz w:val="18"/>
          <w:szCs w:val="18"/>
        </w:rPr>
        <w:t xml:space="preserve">D+T = dabrafenib and trametinib; </w:t>
      </w:r>
      <w:r w:rsidR="00C438C0" w:rsidRPr="00734C1D">
        <w:rPr>
          <w:rFonts w:ascii="Arial Narrow" w:eastAsia="MS Gothic" w:hAnsi="Arial Narrow" w:cs="Times New Roman"/>
          <w:bCs/>
          <w:sz w:val="18"/>
          <w:szCs w:val="18"/>
        </w:rPr>
        <w:t>PFS = progression</w:t>
      </w:r>
      <w:r w:rsidR="003A3A7B">
        <w:rPr>
          <w:rFonts w:ascii="Arial Narrow" w:eastAsia="MS Gothic" w:hAnsi="Arial Narrow" w:cs="Times New Roman"/>
          <w:bCs/>
          <w:sz w:val="18"/>
          <w:szCs w:val="18"/>
        </w:rPr>
        <w:noBreakHyphen/>
      </w:r>
      <w:r w:rsidR="00C438C0" w:rsidRPr="00734C1D">
        <w:rPr>
          <w:rFonts w:ascii="Arial Narrow" w:eastAsia="MS Gothic" w:hAnsi="Arial Narrow" w:cs="Times New Roman"/>
          <w:bCs/>
          <w:sz w:val="18"/>
          <w:szCs w:val="18"/>
        </w:rPr>
        <w:t>free survival.</w:t>
      </w:r>
    </w:p>
    <w:p w14:paraId="2F07D0F9" w14:textId="2B1D89C7" w:rsidR="00C438C0" w:rsidRPr="00734C1D" w:rsidRDefault="00C438C0" w:rsidP="003A3A7B">
      <w:pPr>
        <w:keepNext/>
        <w:keepLines/>
        <w:jc w:val="left"/>
        <w:rPr>
          <w:rFonts w:ascii="Arial Narrow" w:eastAsia="MS Gothic" w:hAnsi="Arial Narrow" w:cs="Times New Roman"/>
          <w:bCs/>
          <w:sz w:val="18"/>
          <w:szCs w:val="18"/>
        </w:rPr>
      </w:pPr>
      <w:r w:rsidRPr="00734C1D">
        <w:rPr>
          <w:rFonts w:ascii="Arial Narrow" w:eastAsia="MS Gothic" w:hAnsi="Arial Narrow" w:cs="Times New Roman"/>
          <w:bCs/>
          <w:sz w:val="18"/>
          <w:szCs w:val="18"/>
        </w:rPr>
        <w:t>Note: Lines represent Kaplan</w:t>
      </w:r>
      <w:r w:rsidR="003A3A7B">
        <w:rPr>
          <w:rFonts w:ascii="Arial Narrow" w:eastAsia="MS Gothic" w:hAnsi="Arial Narrow" w:cs="Times New Roman"/>
          <w:bCs/>
          <w:sz w:val="18"/>
          <w:szCs w:val="18"/>
        </w:rPr>
        <w:noBreakHyphen/>
      </w:r>
      <w:r w:rsidRPr="00734C1D">
        <w:rPr>
          <w:rFonts w:ascii="Arial Narrow" w:eastAsia="MS Gothic" w:hAnsi="Arial Narrow" w:cs="Times New Roman"/>
          <w:bCs/>
          <w:sz w:val="18"/>
          <w:szCs w:val="18"/>
        </w:rPr>
        <w:t>Meier estimate with 95% confidence interval.</w:t>
      </w:r>
    </w:p>
    <w:p w14:paraId="66F06F9A" w14:textId="325260FF" w:rsidR="00A44513" w:rsidRPr="00F6190C" w:rsidRDefault="002137B2" w:rsidP="003A3A7B">
      <w:pPr>
        <w:pStyle w:val="3-BodyText"/>
      </w:pPr>
      <w:r w:rsidRPr="00F6190C">
        <w:t xml:space="preserve">Based on the </w:t>
      </w:r>
      <w:r w:rsidR="004C04E4" w:rsidRPr="00F6190C">
        <w:t xml:space="preserve">KM </w:t>
      </w:r>
      <w:r w:rsidRPr="00F6190C">
        <w:t>PFS curves</w:t>
      </w:r>
      <w:r w:rsidR="00FA2EE0" w:rsidRPr="00F6190C">
        <w:t xml:space="preserve"> for E+B</w:t>
      </w:r>
      <w:r w:rsidR="006C64F7" w:rsidRPr="00F6190C">
        <w:t xml:space="preserve"> in the </w:t>
      </w:r>
      <w:r w:rsidR="0067066C" w:rsidRPr="00F6190C">
        <w:t>PHAROS trial</w:t>
      </w:r>
      <w:r w:rsidRPr="00F6190C">
        <w:t xml:space="preserve">, the reported median of 30.2 months appears to be uncertain. The median </w:t>
      </w:r>
      <w:r w:rsidR="00F56525" w:rsidRPr="00F6190C">
        <w:t xml:space="preserve">PFS was reached </w:t>
      </w:r>
      <w:r w:rsidR="44A21A9C" w:rsidRPr="00F6190C">
        <w:t>when</w:t>
      </w:r>
      <w:r w:rsidR="00F56525" w:rsidRPr="00F6190C">
        <w:t xml:space="preserve"> </w:t>
      </w:r>
      <w:r w:rsidRPr="00F6190C">
        <w:t>only 4</w:t>
      </w:r>
      <w:r w:rsidR="00934256" w:rsidRPr="00F6190C">
        <w:t>8</w:t>
      </w:r>
      <w:r w:rsidRPr="00F6190C">
        <w:t xml:space="preserve">% of patients </w:t>
      </w:r>
      <w:r w:rsidR="00841ECF" w:rsidRPr="00F6190C">
        <w:t>had</w:t>
      </w:r>
      <w:r w:rsidRPr="00F6190C">
        <w:t xml:space="preserve"> experienced events,</w:t>
      </w:r>
      <w:r w:rsidR="0010428A" w:rsidRPr="00F6190C">
        <w:t xml:space="preserve"> indicating </w:t>
      </w:r>
      <w:r w:rsidR="00916C22" w:rsidRPr="00F6190C">
        <w:t>immature data.</w:t>
      </w:r>
      <w:r w:rsidRPr="00F6190C">
        <w:t xml:space="preserve"> </w:t>
      </w:r>
      <w:r w:rsidR="007778A5" w:rsidRPr="00F6190C">
        <w:t xml:space="preserve">This </w:t>
      </w:r>
      <w:r w:rsidRPr="00F6190C">
        <w:t>result</w:t>
      </w:r>
      <w:r w:rsidR="007778A5" w:rsidRPr="00F6190C">
        <w:t>ed</w:t>
      </w:r>
      <w:r w:rsidRPr="00F6190C">
        <w:t xml:space="preserve"> in heavy censoring, clustering of events near the median, a wide CI (15.7 months</w:t>
      </w:r>
      <w:r w:rsidR="0067066C" w:rsidRPr="00F6190C">
        <w:t xml:space="preserve">, </w:t>
      </w:r>
      <w:r w:rsidRPr="00F6190C">
        <w:t>NE), and high sensitivity to small changes in event timing.</w:t>
      </w:r>
      <w:r w:rsidR="00C438C0" w:rsidRPr="00F6190C">
        <w:t xml:space="preserve"> </w:t>
      </w:r>
      <w:r w:rsidR="00934256" w:rsidRPr="00F6190C">
        <w:t xml:space="preserve"> </w:t>
      </w:r>
    </w:p>
    <w:p w14:paraId="1ED9CBFF" w14:textId="791B0286" w:rsidR="005A591A" w:rsidRDefault="005A591A" w:rsidP="003A3A7B">
      <w:pPr>
        <w:pStyle w:val="5-SubsectionSubheading"/>
      </w:pPr>
      <w:bookmarkStart w:id="35" w:name="_Toc208925853"/>
      <w:r>
        <w:t>Overall survival</w:t>
      </w:r>
      <w:bookmarkEnd w:id="35"/>
    </w:p>
    <w:p w14:paraId="41694092" w14:textId="35A317DE" w:rsidR="007B3B76" w:rsidRPr="007B077D" w:rsidRDefault="00621C99" w:rsidP="003A3A7B">
      <w:pPr>
        <w:pStyle w:val="3-BodyText"/>
      </w:pPr>
      <w:r>
        <w:fldChar w:fldCharType="begin"/>
      </w:r>
      <w:r>
        <w:instrText xml:space="preserve"> REF _Ref206085622 \h </w:instrText>
      </w:r>
      <w:r>
        <w:fldChar w:fldCharType="separate"/>
      </w:r>
      <w:r w:rsidR="00894EC9">
        <w:t xml:space="preserve">Table </w:t>
      </w:r>
      <w:r w:rsidR="00894EC9">
        <w:rPr>
          <w:noProof/>
        </w:rPr>
        <w:t>6</w:t>
      </w:r>
      <w:r>
        <w:fldChar w:fldCharType="end"/>
      </w:r>
      <w:r w:rsidR="007B3B76" w:rsidRPr="007B077D">
        <w:t xml:space="preserve"> summarises the </w:t>
      </w:r>
      <w:r w:rsidR="007B3B76">
        <w:t>O</w:t>
      </w:r>
      <w:r w:rsidR="007B3B76" w:rsidRPr="007B077D">
        <w:t>S results from PHAROS, KN</w:t>
      </w:r>
      <w:r w:rsidR="003A3A7B">
        <w:noBreakHyphen/>
      </w:r>
      <w:r w:rsidR="007B3B76" w:rsidRPr="007B077D">
        <w:t>189, and BRF113928 trials.</w:t>
      </w:r>
      <w:r w:rsidR="007B3B76">
        <w:t xml:space="preserve"> </w:t>
      </w:r>
      <w:r w:rsidR="007B3B76" w:rsidRPr="004C04E4">
        <w:t xml:space="preserve">The corresponding </w:t>
      </w:r>
      <w:r w:rsidR="007B3B76">
        <w:t xml:space="preserve">KM </w:t>
      </w:r>
      <w:r w:rsidR="007B3B76" w:rsidRPr="004C04E4">
        <w:t>curve</w:t>
      </w:r>
      <w:r w:rsidR="00FE0107">
        <w:t>s</w:t>
      </w:r>
      <w:r w:rsidR="007B3B76">
        <w:t xml:space="preserve"> </w:t>
      </w:r>
      <w:r w:rsidR="00FE0107">
        <w:t xml:space="preserve">are </w:t>
      </w:r>
      <w:r w:rsidR="007B3B76" w:rsidRPr="004C04E4">
        <w:t xml:space="preserve">presented in </w:t>
      </w:r>
      <w:r w:rsidR="009B345D">
        <w:fldChar w:fldCharType="begin"/>
      </w:r>
      <w:r w:rsidR="009B345D">
        <w:instrText xml:space="preserve"> REF _Ref206083437 \h </w:instrText>
      </w:r>
      <w:r w:rsidR="009B345D">
        <w:fldChar w:fldCharType="separate"/>
      </w:r>
      <w:r w:rsidR="00894EC9">
        <w:t xml:space="preserve">Figure </w:t>
      </w:r>
      <w:r w:rsidR="00894EC9">
        <w:rPr>
          <w:noProof/>
        </w:rPr>
        <w:t>4</w:t>
      </w:r>
      <w:r w:rsidR="009B345D">
        <w:fldChar w:fldCharType="end"/>
      </w:r>
      <w:r>
        <w:t xml:space="preserve"> to</w:t>
      </w:r>
      <w:r w:rsidR="00D93B12">
        <w:t xml:space="preserve"> </w:t>
      </w:r>
      <w:r w:rsidR="0087592C">
        <w:fldChar w:fldCharType="begin"/>
      </w:r>
      <w:r w:rsidR="0087592C">
        <w:instrText xml:space="preserve"> REF _Ref206085711 \h </w:instrText>
      </w:r>
      <w:r w:rsidR="0087592C">
        <w:fldChar w:fldCharType="separate"/>
      </w:r>
      <w:r w:rsidR="00894EC9">
        <w:t xml:space="preserve">Figure </w:t>
      </w:r>
      <w:r w:rsidR="00894EC9">
        <w:rPr>
          <w:noProof/>
        </w:rPr>
        <w:t>6</w:t>
      </w:r>
      <w:r w:rsidR="0087592C">
        <w:fldChar w:fldCharType="end"/>
      </w:r>
      <w:r w:rsidR="007B3B76" w:rsidRPr="004C04E4">
        <w:t>.</w:t>
      </w:r>
    </w:p>
    <w:p w14:paraId="7DDEFC60" w14:textId="632924B2" w:rsidR="007B3B76" w:rsidRDefault="007B3B76" w:rsidP="003A3A7B">
      <w:pPr>
        <w:pStyle w:val="Caption"/>
      </w:pPr>
      <w:bookmarkStart w:id="36" w:name="_Ref206085622"/>
      <w:r>
        <w:t xml:space="preserve">Table </w:t>
      </w:r>
      <w:r w:rsidR="00745925">
        <w:fldChar w:fldCharType="begin"/>
      </w:r>
      <w:r w:rsidR="00745925">
        <w:instrText xml:space="preserve"> SEQ Table \* ARABIC </w:instrText>
      </w:r>
      <w:r w:rsidR="00745925">
        <w:fldChar w:fldCharType="separate"/>
      </w:r>
      <w:r w:rsidR="00894EC9">
        <w:rPr>
          <w:noProof/>
        </w:rPr>
        <w:t>6</w:t>
      </w:r>
      <w:r w:rsidR="00745925">
        <w:rPr>
          <w:noProof/>
        </w:rPr>
        <w:fldChar w:fldCharType="end"/>
      </w:r>
      <w:bookmarkEnd w:id="36"/>
      <w:r>
        <w:t>: Summary of OS across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OS across studies"/>
      </w:tblPr>
      <w:tblGrid>
        <w:gridCol w:w="2406"/>
        <w:gridCol w:w="1573"/>
        <w:gridCol w:w="1509"/>
        <w:gridCol w:w="1486"/>
        <w:gridCol w:w="2043"/>
      </w:tblGrid>
      <w:tr w:rsidR="0026400A" w14:paraId="67D49799" w14:textId="77777777" w:rsidTr="0026400A">
        <w:trPr>
          <w:cantSplit/>
          <w:tblHeader/>
        </w:trPr>
        <w:tc>
          <w:tcPr>
            <w:tcW w:w="1334" w:type="pct"/>
            <w:vMerge w:val="restart"/>
            <w:tcBorders>
              <w:top w:val="single" w:sz="4" w:space="0" w:color="auto"/>
              <w:left w:val="single" w:sz="4" w:space="0" w:color="auto"/>
              <w:bottom w:val="single" w:sz="4" w:space="0" w:color="auto"/>
              <w:right w:val="single" w:sz="4" w:space="0" w:color="auto"/>
            </w:tcBorders>
            <w:vAlign w:val="center"/>
          </w:tcPr>
          <w:p w14:paraId="6E84D8D2" w14:textId="77777777" w:rsidR="0026400A" w:rsidRDefault="0026400A" w:rsidP="003A3A7B">
            <w:pPr>
              <w:pStyle w:val="TableText0"/>
            </w:pPr>
          </w:p>
        </w:tc>
        <w:tc>
          <w:tcPr>
            <w:tcW w:w="872" w:type="pct"/>
            <w:tcBorders>
              <w:top w:val="single" w:sz="4" w:space="0" w:color="auto"/>
              <w:left w:val="single" w:sz="4" w:space="0" w:color="auto"/>
              <w:bottom w:val="single" w:sz="4" w:space="0" w:color="auto"/>
              <w:right w:val="single" w:sz="4" w:space="0" w:color="auto"/>
            </w:tcBorders>
            <w:hideMark/>
          </w:tcPr>
          <w:p w14:paraId="797EEA7E" w14:textId="5F1F8234" w:rsidR="0026400A" w:rsidRDefault="0026400A" w:rsidP="003A3A7B">
            <w:pPr>
              <w:pStyle w:val="TableText0"/>
              <w:jc w:val="center"/>
              <w:rPr>
                <w:b/>
                <w:bCs w:val="0"/>
              </w:rPr>
            </w:pPr>
            <w:proofErr w:type="spellStart"/>
            <w:r>
              <w:rPr>
                <w:b/>
                <w:bCs w:val="0"/>
              </w:rPr>
              <w:t>PHAROS</w:t>
            </w:r>
            <w:r>
              <w:rPr>
                <w:b/>
                <w:bCs w:val="0"/>
                <w:vertAlign w:val="superscript"/>
              </w:rPr>
              <w:t>a</w:t>
            </w:r>
            <w:proofErr w:type="spellEnd"/>
          </w:p>
        </w:tc>
        <w:tc>
          <w:tcPr>
            <w:tcW w:w="1661" w:type="pct"/>
            <w:gridSpan w:val="2"/>
            <w:tcBorders>
              <w:top w:val="single" w:sz="4" w:space="0" w:color="auto"/>
              <w:left w:val="single" w:sz="4" w:space="0" w:color="auto"/>
              <w:bottom w:val="single" w:sz="4" w:space="0" w:color="auto"/>
              <w:right w:val="single" w:sz="4" w:space="0" w:color="auto"/>
            </w:tcBorders>
            <w:hideMark/>
          </w:tcPr>
          <w:p w14:paraId="14F6EDDF" w14:textId="3161DAC0" w:rsidR="0026400A" w:rsidRDefault="0026400A" w:rsidP="003A3A7B">
            <w:pPr>
              <w:pStyle w:val="TableText0"/>
              <w:jc w:val="center"/>
              <w:rPr>
                <w:b/>
                <w:bCs w:val="0"/>
              </w:rPr>
            </w:pPr>
            <w:r>
              <w:rPr>
                <w:b/>
                <w:bCs w:val="0"/>
              </w:rPr>
              <w:t>KN</w:t>
            </w:r>
            <w:r w:rsidR="003A3A7B">
              <w:rPr>
                <w:b/>
                <w:bCs w:val="0"/>
              </w:rPr>
              <w:noBreakHyphen/>
            </w:r>
            <w:r>
              <w:rPr>
                <w:b/>
                <w:bCs w:val="0"/>
              </w:rPr>
              <w:t>189</w:t>
            </w:r>
            <w:r>
              <w:rPr>
                <w:b/>
                <w:bCs w:val="0"/>
                <w:vertAlign w:val="superscript"/>
              </w:rPr>
              <w:t>b</w:t>
            </w:r>
          </w:p>
        </w:tc>
        <w:tc>
          <w:tcPr>
            <w:tcW w:w="1133" w:type="pct"/>
            <w:tcBorders>
              <w:top w:val="single" w:sz="4" w:space="0" w:color="auto"/>
              <w:left w:val="single" w:sz="4" w:space="0" w:color="auto"/>
              <w:bottom w:val="single" w:sz="4" w:space="0" w:color="auto"/>
              <w:right w:val="single" w:sz="4" w:space="0" w:color="auto"/>
            </w:tcBorders>
            <w:hideMark/>
          </w:tcPr>
          <w:p w14:paraId="60102E7F" w14:textId="724A4284" w:rsidR="0026400A" w:rsidRDefault="0026400A" w:rsidP="003A3A7B">
            <w:pPr>
              <w:pStyle w:val="TableText0"/>
              <w:jc w:val="center"/>
              <w:rPr>
                <w:b/>
                <w:bCs w:val="0"/>
              </w:rPr>
            </w:pPr>
            <w:r>
              <w:rPr>
                <w:b/>
                <w:bCs w:val="0"/>
              </w:rPr>
              <w:t>BRF113928</w:t>
            </w:r>
            <w:r>
              <w:rPr>
                <w:b/>
                <w:bCs w:val="0"/>
                <w:vertAlign w:val="superscript"/>
              </w:rPr>
              <w:t>c</w:t>
            </w:r>
          </w:p>
        </w:tc>
      </w:tr>
      <w:tr w:rsidR="007B3B76" w14:paraId="6BE841B3" w14:textId="77777777" w:rsidTr="0026400A">
        <w:trPr>
          <w:cantSplit/>
          <w:tblHeader/>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61C8C423" w14:textId="77777777" w:rsidR="007B3B76" w:rsidRDefault="007B3B76" w:rsidP="003A3A7B">
            <w:pPr>
              <w:jc w:val="left"/>
              <w:rPr>
                <w:rFonts w:ascii="Arial Narrow" w:eastAsiaTheme="majorEastAsia" w:hAnsi="Arial Narrow" w:cstheme="majorBidi"/>
                <w:bCs/>
                <w:sz w:val="20"/>
              </w:rPr>
            </w:pPr>
          </w:p>
        </w:tc>
        <w:tc>
          <w:tcPr>
            <w:tcW w:w="872" w:type="pct"/>
            <w:tcBorders>
              <w:top w:val="single" w:sz="4" w:space="0" w:color="auto"/>
              <w:left w:val="single" w:sz="4" w:space="0" w:color="auto"/>
              <w:bottom w:val="single" w:sz="4" w:space="0" w:color="auto"/>
              <w:right w:val="single" w:sz="4" w:space="0" w:color="auto"/>
            </w:tcBorders>
            <w:hideMark/>
          </w:tcPr>
          <w:p w14:paraId="6E1960B5" w14:textId="77777777" w:rsidR="007B3B76" w:rsidRDefault="007B3B76" w:rsidP="003A3A7B">
            <w:pPr>
              <w:pStyle w:val="TableText0"/>
              <w:jc w:val="center"/>
              <w:rPr>
                <w:b/>
                <w:bCs w:val="0"/>
              </w:rPr>
            </w:pPr>
            <w:r>
              <w:rPr>
                <w:b/>
                <w:bCs w:val="0"/>
              </w:rPr>
              <w:t>E+B</w:t>
            </w:r>
          </w:p>
          <w:p w14:paraId="5E9FF278" w14:textId="77777777" w:rsidR="007B3B76" w:rsidRDefault="007B3B76" w:rsidP="003A3A7B">
            <w:pPr>
              <w:pStyle w:val="TableText0"/>
              <w:jc w:val="center"/>
              <w:rPr>
                <w:b/>
                <w:bCs w:val="0"/>
              </w:rPr>
            </w:pPr>
            <w:r>
              <w:rPr>
                <w:b/>
                <w:bCs w:val="0"/>
              </w:rPr>
              <w:t>N=59</w:t>
            </w:r>
          </w:p>
        </w:tc>
        <w:tc>
          <w:tcPr>
            <w:tcW w:w="837" w:type="pct"/>
            <w:tcBorders>
              <w:top w:val="single" w:sz="4" w:space="0" w:color="auto"/>
              <w:left w:val="single" w:sz="4" w:space="0" w:color="auto"/>
              <w:bottom w:val="single" w:sz="4" w:space="0" w:color="auto"/>
              <w:right w:val="single" w:sz="4" w:space="0" w:color="auto"/>
            </w:tcBorders>
            <w:hideMark/>
          </w:tcPr>
          <w:p w14:paraId="3925C308" w14:textId="77777777" w:rsidR="007B3B76" w:rsidRDefault="007B3B76" w:rsidP="003A3A7B">
            <w:pPr>
              <w:pStyle w:val="TableText0"/>
              <w:jc w:val="center"/>
              <w:rPr>
                <w:b/>
                <w:bCs w:val="0"/>
              </w:rPr>
            </w:pPr>
            <w:r>
              <w:rPr>
                <w:b/>
                <w:bCs w:val="0"/>
              </w:rPr>
              <w:t>PEMBRO+PDC</w:t>
            </w:r>
          </w:p>
          <w:p w14:paraId="78B7D0C9" w14:textId="77777777" w:rsidR="007B3B76" w:rsidRDefault="007B3B76" w:rsidP="003A3A7B">
            <w:pPr>
              <w:pStyle w:val="TableText0"/>
              <w:jc w:val="center"/>
              <w:rPr>
                <w:b/>
                <w:bCs w:val="0"/>
              </w:rPr>
            </w:pPr>
            <w:r>
              <w:rPr>
                <w:b/>
                <w:bCs w:val="0"/>
              </w:rPr>
              <w:t>N=410</w:t>
            </w:r>
          </w:p>
        </w:tc>
        <w:tc>
          <w:tcPr>
            <w:tcW w:w="823" w:type="pct"/>
            <w:tcBorders>
              <w:top w:val="single" w:sz="4" w:space="0" w:color="auto"/>
              <w:left w:val="single" w:sz="4" w:space="0" w:color="auto"/>
              <w:bottom w:val="single" w:sz="4" w:space="0" w:color="auto"/>
              <w:right w:val="single" w:sz="4" w:space="0" w:color="auto"/>
            </w:tcBorders>
            <w:hideMark/>
          </w:tcPr>
          <w:p w14:paraId="3ED1A8C7" w14:textId="77777777" w:rsidR="007B3B76" w:rsidRDefault="007B3B76" w:rsidP="003A3A7B">
            <w:pPr>
              <w:pStyle w:val="TableText0"/>
              <w:jc w:val="center"/>
              <w:rPr>
                <w:b/>
                <w:bCs w:val="0"/>
              </w:rPr>
            </w:pPr>
            <w:r>
              <w:rPr>
                <w:b/>
                <w:bCs w:val="0"/>
              </w:rPr>
              <w:t>PDC</w:t>
            </w:r>
          </w:p>
          <w:p w14:paraId="0C44BA94" w14:textId="77777777" w:rsidR="007B3B76" w:rsidRDefault="007B3B76" w:rsidP="003A3A7B">
            <w:pPr>
              <w:pStyle w:val="TableText0"/>
              <w:jc w:val="center"/>
              <w:rPr>
                <w:b/>
                <w:bCs w:val="0"/>
              </w:rPr>
            </w:pPr>
            <w:r>
              <w:rPr>
                <w:b/>
                <w:bCs w:val="0"/>
              </w:rPr>
              <w:t>N=206</w:t>
            </w:r>
          </w:p>
        </w:tc>
        <w:tc>
          <w:tcPr>
            <w:tcW w:w="1133" w:type="pct"/>
            <w:tcBorders>
              <w:top w:val="single" w:sz="4" w:space="0" w:color="auto"/>
              <w:left w:val="single" w:sz="4" w:space="0" w:color="auto"/>
              <w:bottom w:val="single" w:sz="4" w:space="0" w:color="auto"/>
              <w:right w:val="single" w:sz="4" w:space="0" w:color="auto"/>
            </w:tcBorders>
            <w:hideMark/>
          </w:tcPr>
          <w:p w14:paraId="43B682E7" w14:textId="77777777" w:rsidR="007B3B76" w:rsidRDefault="007B3B76" w:rsidP="003A3A7B">
            <w:pPr>
              <w:pStyle w:val="TableText0"/>
              <w:jc w:val="center"/>
              <w:rPr>
                <w:b/>
                <w:bCs w:val="0"/>
              </w:rPr>
            </w:pPr>
            <w:r>
              <w:rPr>
                <w:b/>
                <w:bCs w:val="0"/>
              </w:rPr>
              <w:t>D+T</w:t>
            </w:r>
          </w:p>
          <w:p w14:paraId="4BC8A82A" w14:textId="77777777" w:rsidR="007B3B76" w:rsidRDefault="007B3B76" w:rsidP="003A3A7B">
            <w:pPr>
              <w:pStyle w:val="TableText0"/>
              <w:jc w:val="center"/>
              <w:rPr>
                <w:b/>
                <w:bCs w:val="0"/>
              </w:rPr>
            </w:pPr>
            <w:r>
              <w:rPr>
                <w:b/>
                <w:bCs w:val="0"/>
              </w:rPr>
              <w:t>N=36</w:t>
            </w:r>
          </w:p>
        </w:tc>
      </w:tr>
      <w:tr w:rsidR="00106FD2" w14:paraId="720C0187" w14:textId="77777777" w:rsidTr="0026400A">
        <w:trPr>
          <w:cantSplit/>
          <w:trHeight w:val="70"/>
        </w:trPr>
        <w:tc>
          <w:tcPr>
            <w:tcW w:w="1334" w:type="pct"/>
            <w:tcBorders>
              <w:top w:val="single" w:sz="4" w:space="0" w:color="auto"/>
              <w:left w:val="single" w:sz="4" w:space="0" w:color="auto"/>
              <w:bottom w:val="single" w:sz="4" w:space="0" w:color="auto"/>
              <w:right w:val="single" w:sz="4" w:space="0" w:color="auto"/>
            </w:tcBorders>
            <w:vAlign w:val="center"/>
            <w:hideMark/>
          </w:tcPr>
          <w:p w14:paraId="482D6630" w14:textId="77777777" w:rsidR="00106FD2" w:rsidRDefault="00106FD2" w:rsidP="003A3A7B">
            <w:pPr>
              <w:pStyle w:val="TableText0"/>
            </w:pPr>
            <w:r>
              <w:t>Events, n (%)</w:t>
            </w:r>
          </w:p>
        </w:tc>
        <w:tc>
          <w:tcPr>
            <w:tcW w:w="872" w:type="pct"/>
            <w:tcBorders>
              <w:top w:val="single" w:sz="4" w:space="0" w:color="auto"/>
              <w:left w:val="single" w:sz="4" w:space="0" w:color="auto"/>
              <w:bottom w:val="single" w:sz="4" w:space="0" w:color="auto"/>
              <w:right w:val="single" w:sz="4" w:space="0" w:color="auto"/>
            </w:tcBorders>
            <w:hideMark/>
          </w:tcPr>
          <w:p w14:paraId="10B62A83" w14:textId="4232DE6B" w:rsidR="00106FD2" w:rsidRDefault="00106FD2" w:rsidP="003A3A7B">
            <w:pPr>
              <w:pStyle w:val="TableText0"/>
              <w:jc w:val="center"/>
            </w:pPr>
            <w:r w:rsidRPr="002556B5">
              <w:t>26 (44.1%)</w:t>
            </w:r>
          </w:p>
        </w:tc>
        <w:tc>
          <w:tcPr>
            <w:tcW w:w="837" w:type="pct"/>
            <w:tcBorders>
              <w:top w:val="single" w:sz="4" w:space="0" w:color="auto"/>
              <w:left w:val="single" w:sz="4" w:space="0" w:color="auto"/>
              <w:bottom w:val="single" w:sz="4" w:space="0" w:color="auto"/>
              <w:right w:val="single" w:sz="4" w:space="0" w:color="auto"/>
            </w:tcBorders>
            <w:hideMark/>
          </w:tcPr>
          <w:p w14:paraId="3789ACB8" w14:textId="35A17EC5" w:rsidR="00106FD2" w:rsidRDefault="00106FD2" w:rsidP="003A3A7B">
            <w:pPr>
              <w:pStyle w:val="TableText0"/>
              <w:jc w:val="center"/>
            </w:pPr>
            <w:r w:rsidRPr="008B7C2B">
              <w:t>329 (80.2%)</w:t>
            </w:r>
          </w:p>
        </w:tc>
        <w:tc>
          <w:tcPr>
            <w:tcW w:w="823" w:type="pct"/>
            <w:tcBorders>
              <w:top w:val="single" w:sz="4" w:space="0" w:color="auto"/>
              <w:left w:val="single" w:sz="4" w:space="0" w:color="auto"/>
              <w:bottom w:val="single" w:sz="4" w:space="0" w:color="auto"/>
              <w:right w:val="single" w:sz="4" w:space="0" w:color="auto"/>
            </w:tcBorders>
            <w:hideMark/>
          </w:tcPr>
          <w:p w14:paraId="37B3F379" w14:textId="18E335AF" w:rsidR="00106FD2" w:rsidRDefault="00106FD2" w:rsidP="003A3A7B">
            <w:pPr>
              <w:pStyle w:val="TableText0"/>
              <w:jc w:val="center"/>
            </w:pPr>
            <w:r w:rsidRPr="008B7C2B">
              <w:t>183 (88.8%)</w:t>
            </w:r>
          </w:p>
        </w:tc>
        <w:tc>
          <w:tcPr>
            <w:tcW w:w="1133" w:type="pct"/>
            <w:tcBorders>
              <w:top w:val="single" w:sz="4" w:space="0" w:color="auto"/>
              <w:left w:val="single" w:sz="4" w:space="0" w:color="auto"/>
              <w:bottom w:val="single" w:sz="4" w:space="0" w:color="auto"/>
              <w:right w:val="single" w:sz="4" w:space="0" w:color="auto"/>
            </w:tcBorders>
            <w:hideMark/>
          </w:tcPr>
          <w:p w14:paraId="0D9040A0" w14:textId="146D68CF" w:rsidR="00106FD2" w:rsidRDefault="00106FD2" w:rsidP="003A3A7B">
            <w:pPr>
              <w:pStyle w:val="TableText0"/>
              <w:jc w:val="center"/>
            </w:pPr>
            <w:r w:rsidRPr="008B7C2B">
              <w:t>27 (75%)</w:t>
            </w:r>
          </w:p>
        </w:tc>
      </w:tr>
      <w:tr w:rsidR="00EE0B29" w14:paraId="0C9C0560" w14:textId="77777777" w:rsidTr="0026400A">
        <w:trPr>
          <w:cantSplit/>
        </w:trPr>
        <w:tc>
          <w:tcPr>
            <w:tcW w:w="1334" w:type="pct"/>
            <w:tcBorders>
              <w:top w:val="single" w:sz="4" w:space="0" w:color="auto"/>
              <w:left w:val="single" w:sz="4" w:space="0" w:color="auto"/>
              <w:bottom w:val="single" w:sz="4" w:space="0" w:color="auto"/>
              <w:right w:val="single" w:sz="4" w:space="0" w:color="auto"/>
            </w:tcBorders>
            <w:vAlign w:val="center"/>
            <w:hideMark/>
          </w:tcPr>
          <w:p w14:paraId="51A39C37" w14:textId="5E54A5F0" w:rsidR="00EE0B29" w:rsidRDefault="00EE0B29" w:rsidP="003A3A7B">
            <w:pPr>
              <w:pStyle w:val="TableText0"/>
            </w:pPr>
            <w:r>
              <w:t>Median OS, months (95% CI)</w:t>
            </w:r>
          </w:p>
        </w:tc>
        <w:tc>
          <w:tcPr>
            <w:tcW w:w="872" w:type="pct"/>
            <w:tcBorders>
              <w:top w:val="single" w:sz="4" w:space="0" w:color="auto"/>
              <w:left w:val="single" w:sz="4" w:space="0" w:color="auto"/>
              <w:bottom w:val="single" w:sz="4" w:space="0" w:color="auto"/>
              <w:right w:val="single" w:sz="4" w:space="0" w:color="auto"/>
            </w:tcBorders>
            <w:hideMark/>
          </w:tcPr>
          <w:p w14:paraId="651643E5" w14:textId="77777777" w:rsidR="00C66AC8" w:rsidRDefault="00BB7CFA" w:rsidP="003A3A7B">
            <w:pPr>
              <w:pStyle w:val="TableText0"/>
              <w:jc w:val="center"/>
            </w:pPr>
            <w:r>
              <w:t xml:space="preserve">NE </w:t>
            </w:r>
          </w:p>
          <w:p w14:paraId="0CACD3B5" w14:textId="3D2239F5" w:rsidR="00EE0B29" w:rsidRDefault="00BB7CFA" w:rsidP="003A3A7B">
            <w:pPr>
              <w:pStyle w:val="TableText0"/>
              <w:jc w:val="center"/>
            </w:pPr>
            <w:r>
              <w:t>(31</w:t>
            </w:r>
            <w:r w:rsidR="00CB15F5">
              <w:t>.</w:t>
            </w:r>
            <w:r>
              <w:t>3, NE)</w:t>
            </w:r>
          </w:p>
        </w:tc>
        <w:tc>
          <w:tcPr>
            <w:tcW w:w="837" w:type="pct"/>
            <w:tcBorders>
              <w:top w:val="single" w:sz="4" w:space="0" w:color="auto"/>
              <w:left w:val="single" w:sz="4" w:space="0" w:color="auto"/>
              <w:bottom w:val="single" w:sz="4" w:space="0" w:color="auto"/>
              <w:right w:val="single" w:sz="4" w:space="0" w:color="auto"/>
            </w:tcBorders>
            <w:vAlign w:val="center"/>
            <w:hideMark/>
          </w:tcPr>
          <w:p w14:paraId="5824AE6E" w14:textId="77777777" w:rsidR="0026400A" w:rsidRDefault="007B5343" w:rsidP="003A3A7B">
            <w:pPr>
              <w:pStyle w:val="TableText0"/>
              <w:jc w:val="center"/>
            </w:pPr>
            <w:r>
              <w:t xml:space="preserve">22.0 </w:t>
            </w:r>
          </w:p>
          <w:p w14:paraId="5D42858B" w14:textId="73F9FB25" w:rsidR="00EE0B29" w:rsidRDefault="007B5343" w:rsidP="003A3A7B">
            <w:pPr>
              <w:pStyle w:val="TableText0"/>
              <w:jc w:val="center"/>
            </w:pPr>
            <w:r>
              <w:t>(19.5 to 24.5)</w:t>
            </w:r>
          </w:p>
        </w:tc>
        <w:tc>
          <w:tcPr>
            <w:tcW w:w="823" w:type="pct"/>
            <w:tcBorders>
              <w:top w:val="single" w:sz="4" w:space="0" w:color="auto"/>
              <w:left w:val="single" w:sz="4" w:space="0" w:color="auto"/>
              <w:bottom w:val="single" w:sz="4" w:space="0" w:color="auto"/>
              <w:right w:val="single" w:sz="4" w:space="0" w:color="auto"/>
            </w:tcBorders>
            <w:vAlign w:val="center"/>
            <w:hideMark/>
          </w:tcPr>
          <w:p w14:paraId="04CC4F78" w14:textId="77777777" w:rsidR="0026400A" w:rsidRDefault="000468FC" w:rsidP="003A3A7B">
            <w:pPr>
              <w:pStyle w:val="TableText0"/>
              <w:jc w:val="center"/>
            </w:pPr>
            <w:r>
              <w:t xml:space="preserve">10.6 </w:t>
            </w:r>
          </w:p>
          <w:p w14:paraId="5C0A0793" w14:textId="6B24FB5F" w:rsidR="00EE0B29" w:rsidRDefault="000468FC" w:rsidP="003A3A7B">
            <w:pPr>
              <w:pStyle w:val="TableText0"/>
              <w:jc w:val="center"/>
            </w:pPr>
            <w:r>
              <w:t>(8.7 to 13.6)</w:t>
            </w:r>
          </w:p>
        </w:tc>
        <w:tc>
          <w:tcPr>
            <w:tcW w:w="1133" w:type="pct"/>
            <w:tcBorders>
              <w:top w:val="single" w:sz="4" w:space="0" w:color="auto"/>
              <w:left w:val="single" w:sz="4" w:space="0" w:color="auto"/>
              <w:bottom w:val="single" w:sz="4" w:space="0" w:color="auto"/>
              <w:right w:val="single" w:sz="4" w:space="0" w:color="auto"/>
            </w:tcBorders>
            <w:vAlign w:val="center"/>
            <w:hideMark/>
          </w:tcPr>
          <w:p w14:paraId="60642AF7" w14:textId="77777777" w:rsidR="0026400A" w:rsidRDefault="00793F18" w:rsidP="003A3A7B">
            <w:pPr>
              <w:pStyle w:val="TableText0"/>
              <w:jc w:val="center"/>
            </w:pPr>
            <w:r>
              <w:t xml:space="preserve">17.3 </w:t>
            </w:r>
          </w:p>
          <w:p w14:paraId="07D189B1" w14:textId="78A4ABEA" w:rsidR="00EE0B29" w:rsidRDefault="00793F18" w:rsidP="003A3A7B">
            <w:pPr>
              <w:pStyle w:val="TableText0"/>
              <w:jc w:val="center"/>
            </w:pPr>
            <w:r>
              <w:t>(12.3, 40.2)</w:t>
            </w:r>
          </w:p>
        </w:tc>
      </w:tr>
      <w:tr w:rsidR="000F2815" w14:paraId="2E49F701" w14:textId="77777777" w:rsidTr="0026400A">
        <w:trPr>
          <w:cantSplit/>
        </w:trPr>
        <w:tc>
          <w:tcPr>
            <w:tcW w:w="1334" w:type="pct"/>
            <w:tcBorders>
              <w:top w:val="single" w:sz="4" w:space="0" w:color="auto"/>
              <w:left w:val="single" w:sz="4" w:space="0" w:color="auto"/>
              <w:bottom w:val="single" w:sz="4" w:space="0" w:color="auto"/>
              <w:right w:val="single" w:sz="4" w:space="0" w:color="auto"/>
            </w:tcBorders>
            <w:hideMark/>
          </w:tcPr>
          <w:p w14:paraId="5886DE95" w14:textId="77777777" w:rsidR="000F2815" w:rsidRDefault="000F2815" w:rsidP="003A3A7B">
            <w:pPr>
              <w:pStyle w:val="TableText0"/>
            </w:pPr>
            <w:r>
              <w:t>HR (95% CI)</w:t>
            </w:r>
          </w:p>
        </w:tc>
        <w:tc>
          <w:tcPr>
            <w:tcW w:w="872" w:type="pct"/>
            <w:tcBorders>
              <w:top w:val="single" w:sz="4" w:space="0" w:color="auto"/>
              <w:left w:val="single" w:sz="4" w:space="0" w:color="auto"/>
              <w:bottom w:val="single" w:sz="4" w:space="0" w:color="auto"/>
              <w:right w:val="single" w:sz="4" w:space="0" w:color="auto"/>
            </w:tcBorders>
            <w:hideMark/>
          </w:tcPr>
          <w:p w14:paraId="4915E880" w14:textId="17D600F7" w:rsidR="000F2815" w:rsidRDefault="000F2815" w:rsidP="003A3A7B">
            <w:pPr>
              <w:pStyle w:val="TableText0"/>
              <w:jc w:val="center"/>
            </w:pPr>
            <w:r>
              <w:t>NA</w:t>
            </w:r>
          </w:p>
        </w:tc>
        <w:tc>
          <w:tcPr>
            <w:tcW w:w="1661" w:type="pct"/>
            <w:gridSpan w:val="2"/>
            <w:tcBorders>
              <w:top w:val="single" w:sz="4" w:space="0" w:color="auto"/>
              <w:left w:val="single" w:sz="4" w:space="0" w:color="auto"/>
              <w:bottom w:val="single" w:sz="4" w:space="0" w:color="auto"/>
              <w:right w:val="single" w:sz="4" w:space="0" w:color="auto"/>
            </w:tcBorders>
            <w:hideMark/>
          </w:tcPr>
          <w:p w14:paraId="68853F54" w14:textId="5745EC48" w:rsidR="000F2815" w:rsidRDefault="000F2815" w:rsidP="003A3A7B">
            <w:pPr>
              <w:pStyle w:val="TableText0"/>
              <w:jc w:val="center"/>
            </w:pPr>
            <w:r w:rsidRPr="00E723BF">
              <w:t>0.60 (0.50, 0.72)</w:t>
            </w:r>
          </w:p>
        </w:tc>
        <w:tc>
          <w:tcPr>
            <w:tcW w:w="1133" w:type="pct"/>
            <w:tcBorders>
              <w:top w:val="single" w:sz="4" w:space="0" w:color="auto"/>
              <w:left w:val="single" w:sz="4" w:space="0" w:color="auto"/>
              <w:bottom w:val="single" w:sz="4" w:space="0" w:color="auto"/>
              <w:right w:val="single" w:sz="4" w:space="0" w:color="auto"/>
            </w:tcBorders>
            <w:hideMark/>
          </w:tcPr>
          <w:p w14:paraId="5ADB68A2" w14:textId="2EC443CF" w:rsidR="000F2815" w:rsidRDefault="000F2815" w:rsidP="003A3A7B">
            <w:pPr>
              <w:pStyle w:val="TableText0"/>
              <w:jc w:val="center"/>
            </w:pPr>
            <w:r w:rsidRPr="00E723BF">
              <w:t>NA</w:t>
            </w:r>
          </w:p>
        </w:tc>
      </w:tr>
    </w:tbl>
    <w:p w14:paraId="7D3A9B39" w14:textId="4D74E420" w:rsidR="00FC48FD" w:rsidRPr="00FC48FD" w:rsidRDefault="007B3B76" w:rsidP="003A3A7B">
      <w:pPr>
        <w:pStyle w:val="TableFigureFooter"/>
      </w:pPr>
      <w:r>
        <w:t xml:space="preserve">Source: </w:t>
      </w:r>
      <w:r w:rsidR="00FC48FD" w:rsidRPr="00FC48FD">
        <w:t>Section 2.5.1.1.6, pp100</w:t>
      </w:r>
      <w:r w:rsidR="003A3A7B">
        <w:noBreakHyphen/>
      </w:r>
      <w:r w:rsidR="00FC48FD" w:rsidRPr="00FC48FD">
        <w:t xml:space="preserve">102 of the submission. </w:t>
      </w:r>
    </w:p>
    <w:p w14:paraId="4C61D138" w14:textId="77777777" w:rsidR="00FC48FD" w:rsidRDefault="00FC48FD" w:rsidP="003A3A7B">
      <w:pPr>
        <w:pStyle w:val="TableFigureFooter"/>
      </w:pPr>
      <w:r w:rsidRPr="00FC48FD">
        <w:t xml:space="preserve">CI = confidence interval; D+T = dabrafenib + trametinib; DCR = disease control rate; E+B = </w:t>
      </w:r>
      <w:proofErr w:type="spellStart"/>
      <w:r w:rsidRPr="00FC48FD">
        <w:t>encorafenib</w:t>
      </w:r>
      <w:proofErr w:type="spellEnd"/>
      <w:r w:rsidRPr="00FC48FD">
        <w:t xml:space="preserve"> + </w:t>
      </w:r>
      <w:proofErr w:type="spellStart"/>
      <w:r w:rsidRPr="00FC48FD">
        <w:t>binimetinib</w:t>
      </w:r>
      <w:proofErr w:type="spellEnd"/>
      <w:r w:rsidRPr="00FC48FD">
        <w:t xml:space="preserve">; NA = not applicable; </w:t>
      </w:r>
      <w:proofErr w:type="spellStart"/>
      <w:r w:rsidRPr="00FC48FD">
        <w:t>pembro+PDC</w:t>
      </w:r>
      <w:proofErr w:type="spellEnd"/>
      <w:r w:rsidRPr="00FC48FD">
        <w:t xml:space="preserve"> = pembrolizumab + platinum doublet chemotherapy; OS = overall survival.</w:t>
      </w:r>
    </w:p>
    <w:p w14:paraId="6A7E82E1" w14:textId="4A5CA22B" w:rsidR="0026400A" w:rsidRDefault="0026400A" w:rsidP="003A3A7B">
      <w:pPr>
        <w:pStyle w:val="TableFigureFooter"/>
      </w:pPr>
      <w:r>
        <w:rPr>
          <w:vertAlign w:val="superscript"/>
        </w:rPr>
        <w:t>a</w:t>
      </w:r>
      <w:r>
        <w:t xml:space="preserve"> Median follow</w:t>
      </w:r>
      <w:r w:rsidR="003A3A7B">
        <w:noBreakHyphen/>
      </w:r>
      <w:r>
        <w:t>up duration of 33.3 months</w:t>
      </w:r>
    </w:p>
    <w:p w14:paraId="126FEF2C" w14:textId="705BEB46" w:rsidR="0026400A" w:rsidRDefault="0026400A" w:rsidP="003A3A7B">
      <w:pPr>
        <w:pStyle w:val="TableFigureFooter"/>
      </w:pPr>
      <w:r>
        <w:rPr>
          <w:vertAlign w:val="superscript"/>
        </w:rPr>
        <w:t>b</w:t>
      </w:r>
      <w:r>
        <w:t xml:space="preserve"> Median follow</w:t>
      </w:r>
      <w:r w:rsidR="003A3A7B">
        <w:noBreakHyphen/>
      </w:r>
      <w:r>
        <w:t>up duration of 64.6 months</w:t>
      </w:r>
    </w:p>
    <w:p w14:paraId="1DB35B14" w14:textId="553FCEB4" w:rsidR="0026400A" w:rsidRPr="0026400A" w:rsidRDefault="0026400A" w:rsidP="003A3A7B">
      <w:pPr>
        <w:pStyle w:val="TableFigureFooter"/>
      </w:pPr>
      <w:r>
        <w:rPr>
          <w:vertAlign w:val="superscript"/>
        </w:rPr>
        <w:t xml:space="preserve">c </w:t>
      </w:r>
      <w:r>
        <w:t>M</w:t>
      </w:r>
      <w:r w:rsidRPr="003514ED">
        <w:t>edian follow</w:t>
      </w:r>
      <w:r w:rsidR="003A3A7B">
        <w:noBreakHyphen/>
      </w:r>
      <w:r w:rsidRPr="003514ED">
        <w:t>up duration of 16.30 months</w:t>
      </w:r>
      <w:r>
        <w:t>.</w:t>
      </w:r>
    </w:p>
    <w:p w14:paraId="3BAAB040" w14:textId="1F921CA6" w:rsidR="009B345D" w:rsidRPr="00110BCD" w:rsidRDefault="007B3B76" w:rsidP="003A3A7B">
      <w:pPr>
        <w:pStyle w:val="3-BodyText"/>
        <w:rPr>
          <w:i/>
          <w:iCs/>
          <w:color w:val="FF0000"/>
        </w:rPr>
      </w:pPr>
      <w:r>
        <w:t xml:space="preserve">In </w:t>
      </w:r>
      <w:r w:rsidR="006C64F7">
        <w:t xml:space="preserve">the </w:t>
      </w:r>
      <w:r>
        <w:t xml:space="preserve">PHAROS trial, the median </w:t>
      </w:r>
      <w:r w:rsidR="00FC48FD">
        <w:t>OS</w:t>
      </w:r>
      <w:r>
        <w:t xml:space="preserve"> was </w:t>
      </w:r>
      <w:r w:rsidR="00E92B1C" w:rsidRPr="00E92B1C">
        <w:t>not reached</w:t>
      </w:r>
      <w:r w:rsidR="00153B14">
        <w:t xml:space="preserve"> </w:t>
      </w:r>
      <w:r w:rsidR="00841ECF">
        <w:t>for</w:t>
      </w:r>
      <w:r w:rsidR="00153B14">
        <w:t xml:space="preserve"> E+B</w:t>
      </w:r>
      <w:r w:rsidR="00841ECF">
        <w:t>.</w:t>
      </w:r>
      <w:r w:rsidR="00E92B1C" w:rsidRPr="00E92B1C">
        <w:t xml:space="preserve"> </w:t>
      </w:r>
      <w:r>
        <w:t xml:space="preserve">In comparison, </w:t>
      </w:r>
      <w:r w:rsidR="009B345D" w:rsidRPr="009B345D">
        <w:t>the KN</w:t>
      </w:r>
      <w:r w:rsidR="003A3A7B">
        <w:noBreakHyphen/>
      </w:r>
      <w:r w:rsidR="009B345D" w:rsidRPr="009B345D">
        <w:t xml:space="preserve">189 trial reported a median OS of 22.0 months (95% CI: 19.5, 24.5) in the </w:t>
      </w:r>
      <w:proofErr w:type="spellStart"/>
      <w:r w:rsidR="009B345D" w:rsidRPr="009B345D">
        <w:t>pembrolizumab</w:t>
      </w:r>
      <w:r w:rsidR="00243E51">
        <w:t>+</w:t>
      </w:r>
      <w:r w:rsidR="009B345D" w:rsidRPr="009B345D">
        <w:t>PDC</w:t>
      </w:r>
      <w:proofErr w:type="spellEnd"/>
      <w:r w:rsidR="009B345D" w:rsidRPr="009B345D">
        <w:t xml:space="preserve"> arm</w:t>
      </w:r>
      <w:r w:rsidR="001908F2">
        <w:t xml:space="preserve"> </w:t>
      </w:r>
      <w:r w:rsidR="009B345D" w:rsidRPr="009B345D">
        <w:t>while the BRF113928 trial reported</w:t>
      </w:r>
      <w:r w:rsidR="00934256">
        <w:t xml:space="preserve"> a median OS of</w:t>
      </w:r>
      <w:r w:rsidR="009B345D" w:rsidRPr="009B345D">
        <w:t xml:space="preserve"> 17.3 months (95% CI: 12.3, 40.2) </w:t>
      </w:r>
      <w:r w:rsidR="006C64F7">
        <w:t>with D+T</w:t>
      </w:r>
      <w:r w:rsidR="009B345D" w:rsidRPr="009B345D">
        <w:t>.</w:t>
      </w:r>
      <w:r w:rsidR="00110BCD">
        <w:t xml:space="preserve"> </w:t>
      </w:r>
      <w:r w:rsidR="00110BCD" w:rsidRPr="000E1D39">
        <w:t>The PSCR presented updated OS data from the PHAROS trial from the March 2025 data cut (as compared to April 2024)</w:t>
      </w:r>
      <w:r w:rsidR="00F64C90">
        <w:t xml:space="preserve"> which </w:t>
      </w:r>
      <w:r w:rsidR="00F64C90">
        <w:lastRenderedPageBreak/>
        <w:t xml:space="preserve">included 4 additional </w:t>
      </w:r>
      <w:r w:rsidR="0033414B">
        <w:t>events (30 as compared to 26)</w:t>
      </w:r>
      <w:r w:rsidR="00110BCD" w:rsidRPr="000E1D39">
        <w:t>. Median OS for the treatment naïve population was 47.6 months (95% CI: 31.3, NE).</w:t>
      </w:r>
      <w:r w:rsidR="00446110" w:rsidRPr="000E1D39">
        <w:t xml:space="preserve"> </w:t>
      </w:r>
    </w:p>
    <w:p w14:paraId="2700E73D" w14:textId="197C8F4C" w:rsidR="007B3B76" w:rsidRDefault="007B3B76" w:rsidP="003A3A7B">
      <w:pPr>
        <w:pStyle w:val="Caption"/>
      </w:pPr>
      <w:bookmarkStart w:id="37" w:name="_Ref206083437"/>
      <w:r>
        <w:t xml:space="preserve">Figure </w:t>
      </w:r>
      <w:r w:rsidR="00A9486C">
        <w:fldChar w:fldCharType="begin"/>
      </w:r>
      <w:r w:rsidR="00A9486C">
        <w:instrText xml:space="preserve"> SEQ Figure \* ARABIC </w:instrText>
      </w:r>
      <w:r w:rsidR="00A9486C">
        <w:fldChar w:fldCharType="separate"/>
      </w:r>
      <w:r w:rsidR="00894EC9">
        <w:rPr>
          <w:noProof/>
        </w:rPr>
        <w:t>4</w:t>
      </w:r>
      <w:r w:rsidR="00A9486C">
        <w:rPr>
          <w:noProof/>
        </w:rPr>
        <w:fldChar w:fldCharType="end"/>
      </w:r>
      <w:bookmarkEnd w:id="37"/>
      <w:r>
        <w:t>: Kaplan</w:t>
      </w:r>
      <w:r w:rsidR="003A3A7B">
        <w:noBreakHyphen/>
      </w:r>
      <w:r>
        <w:t xml:space="preserve">Meier curves for </w:t>
      </w:r>
      <w:r w:rsidR="009B345D">
        <w:t>O</w:t>
      </w:r>
      <w:r>
        <w:t>S for first</w:t>
      </w:r>
      <w:r w:rsidR="003A3A7B">
        <w:noBreakHyphen/>
      </w:r>
      <w:r>
        <w:t>line E+B (untreated</w:t>
      </w:r>
      <w:r w:rsidR="00E90CC5">
        <w:t xml:space="preserve"> patients</w:t>
      </w:r>
      <w:r>
        <w:t>) in PHAROS trial</w:t>
      </w:r>
    </w:p>
    <w:p w14:paraId="68B3E720" w14:textId="1F89A5E2" w:rsidR="007B3B76" w:rsidRDefault="00A1188D" w:rsidP="003A3A7B">
      <w:r>
        <w:rPr>
          <w:noProof/>
        </w:rPr>
        <w:drawing>
          <wp:inline distT="0" distB="0" distL="0" distR="0" wp14:anchorId="7EADA44B" wp14:editId="503F1BE2">
            <wp:extent cx="5260975" cy="3200400"/>
            <wp:effectExtent l="0" t="0" r="0" b="0"/>
            <wp:docPr id="49353352" name="Picture 67" descr="Figure 4: Kaplan Meier curves for OS for first line E+B (untreated patients) in PHAROS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3352" name="Picture 67" descr="Figure 4: Kaplan Meier curves for OS for first line E+B (untreated patients) in PHAROS trial"/>
                    <pic:cNvPicPr>
                      <a:picLocks noChangeAspect="1"/>
                    </pic:cNvPicPr>
                  </pic:nvPicPr>
                  <pic:blipFill rotWithShape="1">
                    <a:blip r:embed="rId14">
                      <a:extLst>
                        <a:ext uri="{28A0092B-C50C-407E-A947-70E740481C1C}">
                          <a14:useLocalDpi xmlns:a14="http://schemas.microsoft.com/office/drawing/2010/main" val="0"/>
                        </a:ext>
                      </a:extLst>
                    </a:blip>
                    <a:srcRect r="8185"/>
                    <a:stretch>
                      <a:fillRect/>
                    </a:stretch>
                  </pic:blipFill>
                  <pic:spPr bwMode="auto">
                    <a:xfrm>
                      <a:off x="0" y="0"/>
                      <a:ext cx="5267166" cy="3204166"/>
                    </a:xfrm>
                    <a:prstGeom prst="rect">
                      <a:avLst/>
                    </a:prstGeom>
                    <a:noFill/>
                    <a:ln>
                      <a:noFill/>
                    </a:ln>
                    <a:extLst>
                      <a:ext uri="{53640926-AAD7-44D8-BBD7-CCE9431645EC}">
                        <a14:shadowObscured xmlns:a14="http://schemas.microsoft.com/office/drawing/2010/main"/>
                      </a:ext>
                    </a:extLst>
                  </pic:spPr>
                </pic:pic>
              </a:graphicData>
            </a:graphic>
          </wp:inline>
        </w:drawing>
      </w:r>
    </w:p>
    <w:p w14:paraId="58B6B0E8" w14:textId="6074AF25" w:rsidR="007B3B76" w:rsidRDefault="007B3B76" w:rsidP="003A3A7B">
      <w:pPr>
        <w:pStyle w:val="TableFigureFooter"/>
      </w:pPr>
      <w:r>
        <w:t>Source: Figure 2.</w:t>
      </w:r>
      <w:r w:rsidR="00CB15F5">
        <w:t>12</w:t>
      </w:r>
      <w:r>
        <w:t>, p</w:t>
      </w:r>
      <w:r w:rsidR="00CB15F5">
        <w:t>101</w:t>
      </w:r>
      <w:r>
        <w:t xml:space="preserve"> of the submission.</w:t>
      </w:r>
    </w:p>
    <w:p w14:paraId="73AD9EE7" w14:textId="13CF2856" w:rsidR="007B3B76" w:rsidRDefault="007B3B76" w:rsidP="003A3A7B">
      <w:pPr>
        <w:pStyle w:val="TableFigureFooter"/>
      </w:pPr>
      <w:r>
        <w:t xml:space="preserve">CI = confidence interval; E+B = </w:t>
      </w:r>
      <w:proofErr w:type="spellStart"/>
      <w:r>
        <w:t>encorafenib</w:t>
      </w:r>
      <w:proofErr w:type="spellEnd"/>
      <w:r>
        <w:t xml:space="preserve"> and trametinib; NE = not estimable; </w:t>
      </w:r>
      <w:r w:rsidR="00CB15F5">
        <w:t>OS = overall survival.</w:t>
      </w:r>
    </w:p>
    <w:p w14:paraId="400EFC48" w14:textId="7DF250C5" w:rsidR="0062213D" w:rsidRDefault="0062213D" w:rsidP="003A3A7B">
      <w:pPr>
        <w:pStyle w:val="Caption"/>
      </w:pPr>
      <w:r>
        <w:t xml:space="preserve">Figure </w:t>
      </w:r>
      <w:r w:rsidR="00A9486C">
        <w:fldChar w:fldCharType="begin"/>
      </w:r>
      <w:r w:rsidR="00A9486C">
        <w:instrText xml:space="preserve"> SEQ Figure \* ARABIC </w:instrText>
      </w:r>
      <w:r w:rsidR="00A9486C">
        <w:fldChar w:fldCharType="separate"/>
      </w:r>
      <w:r w:rsidR="00894EC9">
        <w:rPr>
          <w:noProof/>
        </w:rPr>
        <w:t>5</w:t>
      </w:r>
      <w:r w:rsidR="00A9486C">
        <w:rPr>
          <w:noProof/>
        </w:rPr>
        <w:fldChar w:fldCharType="end"/>
      </w:r>
      <w:r>
        <w:t xml:space="preserve">: </w:t>
      </w:r>
      <w:r w:rsidRPr="0062213D">
        <w:t>Kaplan</w:t>
      </w:r>
      <w:r w:rsidR="003A3A7B">
        <w:noBreakHyphen/>
      </w:r>
      <w:r w:rsidRPr="0062213D">
        <w:t>Meier curves for OS in KN</w:t>
      </w:r>
      <w:r w:rsidR="003A3A7B">
        <w:noBreakHyphen/>
      </w:r>
      <w:r w:rsidRPr="0062213D">
        <w:t>189 trial</w:t>
      </w:r>
    </w:p>
    <w:p w14:paraId="529E0AD6" w14:textId="77777777" w:rsidR="0062213D" w:rsidRPr="0062213D" w:rsidRDefault="0062213D" w:rsidP="003A3A7B">
      <w:r w:rsidRPr="0062213D">
        <w:rPr>
          <w:noProof/>
        </w:rPr>
        <w:drawing>
          <wp:inline distT="0" distB="0" distL="0" distR="0" wp14:anchorId="37FBE084" wp14:editId="00B41CA7">
            <wp:extent cx="4592955" cy="2987675"/>
            <wp:effectExtent l="0" t="0" r="0" b="3175"/>
            <wp:docPr id="1" name="Picture 4" descr="Figure 5: Kaplan Meier curves for OS in KN 189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Figure 5: Kaplan Meier curves for OS in KN 189 tri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2955" cy="2987675"/>
                    </a:xfrm>
                    <a:prstGeom prst="rect">
                      <a:avLst/>
                    </a:prstGeom>
                    <a:noFill/>
                    <a:ln>
                      <a:noFill/>
                    </a:ln>
                  </pic:spPr>
                </pic:pic>
              </a:graphicData>
            </a:graphic>
          </wp:inline>
        </w:drawing>
      </w:r>
    </w:p>
    <w:p w14:paraId="1412A470" w14:textId="77777777" w:rsidR="0062213D" w:rsidRPr="0062213D" w:rsidRDefault="0062213D" w:rsidP="003A3A7B">
      <w:pPr>
        <w:keepLines/>
        <w:snapToGrid w:val="0"/>
        <w:spacing w:after="120"/>
        <w:contextualSpacing/>
        <w:rPr>
          <w:rFonts w:ascii="Arial Narrow" w:hAnsi="Arial Narrow"/>
          <w:sz w:val="18"/>
          <w:szCs w:val="22"/>
        </w:rPr>
      </w:pPr>
      <w:r w:rsidRPr="0062213D">
        <w:rPr>
          <w:rFonts w:ascii="Arial Narrow" w:hAnsi="Arial Narrow"/>
          <w:sz w:val="18"/>
          <w:szCs w:val="22"/>
        </w:rPr>
        <w:t xml:space="preserve">Source: Figure 2.13, p102 of the submission. </w:t>
      </w:r>
    </w:p>
    <w:p w14:paraId="2A3B175C" w14:textId="77777777" w:rsidR="0062213D" w:rsidRPr="0062213D" w:rsidRDefault="0062213D" w:rsidP="003A3A7B">
      <w:pPr>
        <w:keepLines/>
        <w:snapToGrid w:val="0"/>
        <w:spacing w:after="120"/>
        <w:contextualSpacing/>
        <w:rPr>
          <w:rFonts w:ascii="Arial Narrow" w:hAnsi="Arial Narrow"/>
          <w:sz w:val="18"/>
          <w:szCs w:val="22"/>
        </w:rPr>
      </w:pPr>
      <w:r w:rsidRPr="0062213D">
        <w:rPr>
          <w:rFonts w:ascii="Arial Narrow" w:hAnsi="Arial Narrow"/>
          <w:sz w:val="18"/>
          <w:szCs w:val="22"/>
        </w:rPr>
        <w:t>CI = Confidence interval; chemo = chemotherapy; HR = Hazard ratio; OS = overall survival.</w:t>
      </w:r>
    </w:p>
    <w:p w14:paraId="2682C2C3" w14:textId="191185BC" w:rsidR="00D93B12" w:rsidRDefault="00D93B12" w:rsidP="003A3A7B">
      <w:pPr>
        <w:pStyle w:val="Caption"/>
      </w:pPr>
      <w:bookmarkStart w:id="38" w:name="_Ref206085711"/>
      <w:r>
        <w:lastRenderedPageBreak/>
        <w:t xml:space="preserve">Figure </w:t>
      </w:r>
      <w:r w:rsidR="00A9486C">
        <w:fldChar w:fldCharType="begin"/>
      </w:r>
      <w:r w:rsidR="00A9486C">
        <w:instrText xml:space="preserve"> SEQ Figure \* ARABIC </w:instrText>
      </w:r>
      <w:r w:rsidR="00A9486C">
        <w:fldChar w:fldCharType="separate"/>
      </w:r>
      <w:r w:rsidR="00894EC9">
        <w:rPr>
          <w:noProof/>
        </w:rPr>
        <w:t>6</w:t>
      </w:r>
      <w:r w:rsidR="00A9486C">
        <w:rPr>
          <w:noProof/>
        </w:rPr>
        <w:fldChar w:fldCharType="end"/>
      </w:r>
      <w:bookmarkEnd w:id="38"/>
      <w:r>
        <w:t xml:space="preserve">: </w:t>
      </w:r>
      <w:r w:rsidRPr="00D93B12">
        <w:rPr>
          <w:rFonts w:eastAsia="MS Gothic" w:cs="Times New Roman"/>
        </w:rPr>
        <w:t>Kaplan</w:t>
      </w:r>
      <w:r w:rsidR="003A3A7B">
        <w:rPr>
          <w:rFonts w:eastAsia="MS Gothic" w:cs="Times New Roman"/>
        </w:rPr>
        <w:noBreakHyphen/>
      </w:r>
      <w:r w:rsidRPr="00D93B12">
        <w:rPr>
          <w:rFonts w:eastAsia="MS Gothic" w:cs="Times New Roman"/>
        </w:rPr>
        <w:t>Meier curves for OS for first</w:t>
      </w:r>
      <w:r w:rsidR="003A3A7B">
        <w:rPr>
          <w:rFonts w:eastAsia="MS Gothic" w:cs="Times New Roman"/>
        </w:rPr>
        <w:noBreakHyphen/>
      </w:r>
      <w:r w:rsidRPr="00D93B12">
        <w:rPr>
          <w:rFonts w:eastAsia="MS Gothic" w:cs="Times New Roman"/>
        </w:rPr>
        <w:t>line D+T (untreated patients) in BRF113928 study</w:t>
      </w:r>
    </w:p>
    <w:p w14:paraId="5F8CA988" w14:textId="77777777" w:rsidR="00D93B12" w:rsidRPr="00D93B12" w:rsidRDefault="00D93B12" w:rsidP="003A3A7B">
      <w:r w:rsidRPr="00D93B12">
        <w:rPr>
          <w:b/>
          <w:noProof/>
        </w:rPr>
        <w:drawing>
          <wp:inline distT="0" distB="0" distL="0" distR="0" wp14:anchorId="33375A82" wp14:editId="40A2E1D4">
            <wp:extent cx="5730875" cy="2849525"/>
            <wp:effectExtent l="0" t="0" r="3175" b="8255"/>
            <wp:docPr id="1507399683" name="Picture 3" descr="Figure 6: Kaplan Meier curves for OS for first line D+T (untreated patients) in BRF113928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99683" name="Picture 3" descr="Figure 6: Kaplan Meier curves for OS for first line D+T (untreated patients) in BRF113928 stud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3641" cy="2850900"/>
                    </a:xfrm>
                    <a:prstGeom prst="rect">
                      <a:avLst/>
                    </a:prstGeom>
                    <a:noFill/>
                    <a:ln>
                      <a:noFill/>
                    </a:ln>
                  </pic:spPr>
                </pic:pic>
              </a:graphicData>
            </a:graphic>
          </wp:inline>
        </w:drawing>
      </w:r>
    </w:p>
    <w:p w14:paraId="3250A258" w14:textId="77777777" w:rsidR="00D93B12" w:rsidRPr="00D93B12" w:rsidRDefault="00D93B12" w:rsidP="003A3A7B">
      <w:pPr>
        <w:keepLines/>
        <w:snapToGrid w:val="0"/>
        <w:spacing w:after="120"/>
        <w:contextualSpacing/>
        <w:rPr>
          <w:rFonts w:ascii="Arial Narrow" w:hAnsi="Arial Narrow"/>
          <w:sz w:val="18"/>
          <w:szCs w:val="22"/>
        </w:rPr>
      </w:pPr>
      <w:r w:rsidRPr="00D93B12">
        <w:rPr>
          <w:rFonts w:ascii="Arial Narrow" w:hAnsi="Arial Narrow"/>
          <w:sz w:val="18"/>
          <w:szCs w:val="22"/>
        </w:rPr>
        <w:t>Source: Figure 2.14, p102 of the submission.</w:t>
      </w:r>
    </w:p>
    <w:p w14:paraId="5A70DEF0" w14:textId="683AAEC5" w:rsidR="00D93B12" w:rsidRPr="00D93B12" w:rsidRDefault="00CB15F5" w:rsidP="003A3A7B">
      <w:pPr>
        <w:keepLines/>
        <w:snapToGrid w:val="0"/>
        <w:spacing w:after="120"/>
        <w:contextualSpacing/>
        <w:rPr>
          <w:rFonts w:ascii="Arial Narrow" w:hAnsi="Arial Narrow"/>
          <w:sz w:val="18"/>
          <w:szCs w:val="22"/>
        </w:rPr>
      </w:pPr>
      <w:r>
        <w:rPr>
          <w:rFonts w:ascii="Arial Narrow" w:hAnsi="Arial Narrow"/>
          <w:sz w:val="18"/>
          <w:szCs w:val="22"/>
        </w:rPr>
        <w:t xml:space="preserve">D+T = dabrafenib and trametinib; </w:t>
      </w:r>
      <w:r w:rsidR="00D93B12" w:rsidRPr="00D93B12">
        <w:rPr>
          <w:rFonts w:ascii="Arial Narrow" w:hAnsi="Arial Narrow"/>
          <w:sz w:val="18"/>
          <w:szCs w:val="22"/>
        </w:rPr>
        <w:t>OS = overall survival.</w:t>
      </w:r>
    </w:p>
    <w:p w14:paraId="37257647" w14:textId="7E3F9192" w:rsidR="00D93B12" w:rsidRPr="00D93B12" w:rsidRDefault="00D93B12" w:rsidP="003A3A7B">
      <w:pPr>
        <w:keepLines/>
        <w:snapToGrid w:val="0"/>
        <w:spacing w:after="120"/>
        <w:contextualSpacing/>
        <w:rPr>
          <w:rFonts w:ascii="Arial Narrow" w:hAnsi="Arial Narrow"/>
          <w:sz w:val="18"/>
          <w:szCs w:val="22"/>
        </w:rPr>
      </w:pPr>
      <w:r w:rsidRPr="00D93B12">
        <w:rPr>
          <w:rFonts w:ascii="Arial Narrow" w:hAnsi="Arial Narrow"/>
          <w:sz w:val="18"/>
          <w:szCs w:val="22"/>
        </w:rPr>
        <w:t>Note: Lines represent Kaplan</w:t>
      </w:r>
      <w:r w:rsidR="003A3A7B">
        <w:rPr>
          <w:rFonts w:ascii="Arial Narrow" w:hAnsi="Arial Narrow"/>
          <w:sz w:val="18"/>
          <w:szCs w:val="22"/>
        </w:rPr>
        <w:noBreakHyphen/>
      </w:r>
      <w:r w:rsidRPr="00D93B12">
        <w:rPr>
          <w:rFonts w:ascii="Arial Narrow" w:hAnsi="Arial Narrow"/>
          <w:sz w:val="18"/>
          <w:szCs w:val="22"/>
        </w:rPr>
        <w:t>Meier estimate with 95% confidence interval</w:t>
      </w:r>
    </w:p>
    <w:p w14:paraId="614ABC74" w14:textId="432F58B0" w:rsidR="00521264" w:rsidRPr="00F6190C" w:rsidRDefault="00486484" w:rsidP="003A3A7B">
      <w:pPr>
        <w:pStyle w:val="3-BodyText"/>
      </w:pPr>
      <w:r w:rsidRPr="00F6190C">
        <w:t xml:space="preserve">The KM curve for E+B in </w:t>
      </w:r>
      <w:r w:rsidRPr="00F6190C">
        <w:fldChar w:fldCharType="begin"/>
      </w:r>
      <w:r w:rsidRPr="00F6190C">
        <w:instrText xml:space="preserve"> REF _Ref206083437 \h  \* MERGEFORMAT </w:instrText>
      </w:r>
      <w:r w:rsidRPr="00F6190C">
        <w:fldChar w:fldCharType="separate"/>
      </w:r>
      <w:r w:rsidR="00894EC9">
        <w:t xml:space="preserve">Figure </w:t>
      </w:r>
      <w:r w:rsidR="00894EC9">
        <w:rPr>
          <w:noProof/>
        </w:rPr>
        <w:t>4</w:t>
      </w:r>
      <w:r w:rsidRPr="00F6190C">
        <w:fldChar w:fldCharType="end"/>
      </w:r>
      <w:r w:rsidRPr="00F6190C">
        <w:t xml:space="preserve"> appears to plateau after approximately 34 months; however, this is unreliable due to a sharp decline in the number of patients at risk from around 30 patients at 34 months to 3 patients at 52 months. The clustering of censoring ticks and the drop in at</w:t>
      </w:r>
      <w:r w:rsidR="003A3A7B">
        <w:noBreakHyphen/>
      </w:r>
      <w:r w:rsidRPr="00F6190C">
        <w:t>risk counts without corresponding KM steps suggest</w:t>
      </w:r>
      <w:r w:rsidR="00AE4791">
        <w:t>s</w:t>
      </w:r>
      <w:r w:rsidRPr="00F6190C">
        <w:t xml:space="preserve"> end</w:t>
      </w:r>
      <w:r w:rsidR="003A3A7B">
        <w:noBreakHyphen/>
      </w:r>
      <w:r w:rsidRPr="00F6190C">
        <w:t>of</w:t>
      </w:r>
      <w:r w:rsidR="003A3A7B">
        <w:noBreakHyphen/>
      </w:r>
      <w:r w:rsidRPr="00F6190C">
        <w:t>study right</w:t>
      </w:r>
      <w:r w:rsidR="003A3A7B">
        <w:noBreakHyphen/>
      </w:r>
      <w:r w:rsidRPr="00F6190C">
        <w:t>censoring.</w:t>
      </w:r>
    </w:p>
    <w:p w14:paraId="1D2E0B00" w14:textId="68333D9D" w:rsidR="005A591A" w:rsidRPr="00F6190C" w:rsidRDefault="005A591A" w:rsidP="003A3A7B">
      <w:pPr>
        <w:pStyle w:val="5-SubsectionSubheading"/>
      </w:pPr>
      <w:bookmarkStart w:id="39" w:name="_Toc208925854"/>
      <w:r w:rsidRPr="00F6190C">
        <w:t>Disease control rate (DCR), duration of response (D</w:t>
      </w:r>
      <w:r w:rsidR="00715D89" w:rsidRPr="00F6190C">
        <w:t>O</w:t>
      </w:r>
      <w:r w:rsidRPr="00F6190C">
        <w:t>R), and time to response (TTR)</w:t>
      </w:r>
      <w:bookmarkEnd w:id="39"/>
    </w:p>
    <w:p w14:paraId="33342D50" w14:textId="345A45D3" w:rsidR="000E56B4" w:rsidRPr="00F6190C" w:rsidRDefault="000E56B4" w:rsidP="003A3A7B">
      <w:pPr>
        <w:pStyle w:val="3-BodyText"/>
      </w:pPr>
      <w:r w:rsidRPr="00F6190C">
        <w:t>While E+B demonstrated favourable outcomes in DCR, DOR, and TTR, the reliability of these comparisons is limited due to differences in trial design and assessment methods (i.e., investigator</w:t>
      </w:r>
      <w:r w:rsidR="003A3A7B">
        <w:noBreakHyphen/>
      </w:r>
      <w:r w:rsidRPr="00F6190C">
        <w:t>assessed versus centrally reviewed):</w:t>
      </w:r>
    </w:p>
    <w:p w14:paraId="1BA7E618" w14:textId="4EB1DAE7" w:rsidR="00D425E9" w:rsidRDefault="00D425E9" w:rsidP="003A3A7B">
      <w:pPr>
        <w:pStyle w:val="ListParagraph"/>
        <w:ind w:left="1080"/>
        <w:jc w:val="both"/>
      </w:pPr>
      <w:r>
        <w:t>DCR with E+B was 64%</w:t>
      </w:r>
      <w:r w:rsidR="004B0B8C">
        <w:t xml:space="preserve"> at 24 weeks and 91.5% by best overall response</w:t>
      </w:r>
      <w:r w:rsidR="007016AA">
        <w:t xml:space="preserve">, </w:t>
      </w:r>
      <w:r w:rsidR="007016AA" w:rsidRPr="007016AA">
        <w:t xml:space="preserve">compared to 84.6% for </w:t>
      </w:r>
      <w:proofErr w:type="spellStart"/>
      <w:r w:rsidR="007016AA" w:rsidRPr="007016AA">
        <w:t>pembrolizumab+PDC</w:t>
      </w:r>
      <w:proofErr w:type="spellEnd"/>
      <w:r w:rsidR="007016AA" w:rsidRPr="007016AA">
        <w:t xml:space="preserve"> in KN</w:t>
      </w:r>
      <w:r w:rsidR="003A3A7B">
        <w:noBreakHyphen/>
      </w:r>
      <w:r w:rsidR="007016AA" w:rsidRPr="007016AA">
        <w:t>189 and 75% for D+T in BRF113928.</w:t>
      </w:r>
    </w:p>
    <w:p w14:paraId="238183F7" w14:textId="44D36735" w:rsidR="00D425E9" w:rsidRDefault="004B0B8C" w:rsidP="003A3A7B">
      <w:pPr>
        <w:pStyle w:val="ListParagraph"/>
        <w:ind w:left="1080"/>
        <w:jc w:val="both"/>
      </w:pPr>
      <w:r>
        <w:t>P</w:t>
      </w:r>
      <w:r w:rsidR="00D425E9">
        <w:t>atients treated with E+B in PHAROS had a median D</w:t>
      </w:r>
      <w:r w:rsidR="00715D89">
        <w:t>O</w:t>
      </w:r>
      <w:r w:rsidR="00D425E9">
        <w:t>R of 40.0 months (95% CI: 23.1, NE). This compares to a median D</w:t>
      </w:r>
      <w:r w:rsidR="00841ECF">
        <w:t>O</w:t>
      </w:r>
      <w:r w:rsidR="00D425E9">
        <w:t>R of 12.7 months [range: 1.1+, 68.3+] in KN</w:t>
      </w:r>
      <w:r w:rsidR="003A3A7B">
        <w:noBreakHyphen/>
      </w:r>
      <w:r w:rsidR="00D425E9">
        <w:t>189</w:t>
      </w:r>
      <w:r w:rsidR="001D563E">
        <w:t xml:space="preserve"> for </w:t>
      </w:r>
      <w:proofErr w:type="spellStart"/>
      <w:r w:rsidR="001D563E">
        <w:t>pembrolizumab+PDC</w:t>
      </w:r>
      <w:proofErr w:type="spellEnd"/>
      <w:r w:rsidR="00D425E9">
        <w:t xml:space="preserve"> and 10.2 months (95% CI: 8.3, 15.2) in BRF113928 for D+T.</w:t>
      </w:r>
    </w:p>
    <w:p w14:paraId="088EF3B4" w14:textId="7FF1CF6D" w:rsidR="00BA6E41" w:rsidRDefault="00D425E9" w:rsidP="003A3A7B">
      <w:pPr>
        <w:pStyle w:val="ListParagraph"/>
        <w:ind w:left="1080"/>
        <w:jc w:val="both"/>
      </w:pPr>
      <w:r>
        <w:t xml:space="preserve">In </w:t>
      </w:r>
      <w:r w:rsidR="001D563E">
        <w:t xml:space="preserve">the </w:t>
      </w:r>
      <w:r>
        <w:t>PHAROS</w:t>
      </w:r>
      <w:r w:rsidR="001D563E">
        <w:t xml:space="preserve"> trial</w:t>
      </w:r>
      <w:r>
        <w:t xml:space="preserve">, the median TTR </w:t>
      </w:r>
      <w:r w:rsidR="001D563E">
        <w:t xml:space="preserve">with E+B </w:t>
      </w:r>
      <w:r>
        <w:t xml:space="preserve">was 1.86 months (range: 1.1 to 19.1). For </w:t>
      </w:r>
      <w:proofErr w:type="spellStart"/>
      <w:r>
        <w:t>pembrolizumab+PDC</w:t>
      </w:r>
      <w:proofErr w:type="spellEnd"/>
      <w:r>
        <w:t xml:space="preserve"> in KN</w:t>
      </w:r>
      <w:r w:rsidR="003A3A7B">
        <w:noBreakHyphen/>
      </w:r>
      <w:r>
        <w:t>189, TTR was 2.4 months (range: 1.1 to 19.3), while this was not reported in BRF113928.</w:t>
      </w:r>
    </w:p>
    <w:p w14:paraId="784D8649" w14:textId="77777777" w:rsidR="00D25E6C" w:rsidRDefault="00D25E6C" w:rsidP="003A3A7B">
      <w:pPr>
        <w:pStyle w:val="5-SubsectionSubheading"/>
      </w:pPr>
      <w:bookmarkStart w:id="40" w:name="_Toc208925855"/>
      <w:r w:rsidRPr="00EC03E0">
        <w:t xml:space="preserve">MAIC </w:t>
      </w:r>
      <w:r>
        <w:t>between</w:t>
      </w:r>
      <w:r w:rsidRPr="00EC03E0">
        <w:t xml:space="preserve"> E+B and </w:t>
      </w:r>
      <w:r>
        <w:t>D+T</w:t>
      </w:r>
    </w:p>
    <w:p w14:paraId="51259A13" w14:textId="0AD402BF" w:rsidR="00D25E6C" w:rsidRPr="004A5326" w:rsidRDefault="00D25E6C" w:rsidP="003A3A7B">
      <w:pPr>
        <w:pStyle w:val="3-BodyText"/>
      </w:pPr>
      <w:r>
        <w:t>T</w:t>
      </w:r>
      <w:r w:rsidRPr="00504296">
        <w:t>he submission presented an unanchored MAIC, comparing</w:t>
      </w:r>
      <w:r>
        <w:t xml:space="preserve"> </w:t>
      </w:r>
      <w:r w:rsidRPr="00504296">
        <w:t>first</w:t>
      </w:r>
      <w:r w:rsidR="003A3A7B">
        <w:noBreakHyphen/>
      </w:r>
      <w:r w:rsidRPr="00504296">
        <w:t>line E+B (PHAROS trial</w:t>
      </w:r>
      <w:r>
        <w:t>; median follow</w:t>
      </w:r>
      <w:r w:rsidR="003A3A7B">
        <w:noBreakHyphen/>
      </w:r>
      <w:r>
        <w:t>up of 33.3 months)</w:t>
      </w:r>
      <w:r w:rsidRPr="00504296">
        <w:t xml:space="preserve"> with </w:t>
      </w:r>
      <w:r>
        <w:t>first</w:t>
      </w:r>
      <w:r w:rsidR="003A3A7B">
        <w:noBreakHyphen/>
      </w:r>
      <w:r>
        <w:t>line D+T</w:t>
      </w:r>
      <w:r w:rsidRPr="00504296">
        <w:t xml:space="preserve"> (</w:t>
      </w:r>
      <w:r>
        <w:t>BRF113928</w:t>
      </w:r>
      <w:r w:rsidRPr="00504296">
        <w:t xml:space="preserve"> trial).</w:t>
      </w:r>
      <w:r>
        <w:t xml:space="preserve"> </w:t>
      </w:r>
      <w:r w:rsidRPr="004A5326">
        <w:t>For D+T, the submission used PFS and ORR from previous data cut</w:t>
      </w:r>
      <w:r w:rsidR="003A3A7B">
        <w:noBreakHyphen/>
      </w:r>
      <w:r w:rsidRPr="004A5326">
        <w:t>off (median follow</w:t>
      </w:r>
      <w:r w:rsidR="003A3A7B">
        <w:noBreakHyphen/>
      </w:r>
      <w:r w:rsidRPr="004A5326">
        <w:t xml:space="preserve">up 15.9 </w:t>
      </w:r>
      <w:r w:rsidRPr="004A5326">
        <w:lastRenderedPageBreak/>
        <w:t>months), reported by IRR, consistent with PHAROS trial methods, and OS estimates from the recent data cut</w:t>
      </w:r>
      <w:r w:rsidR="003A3A7B">
        <w:noBreakHyphen/>
      </w:r>
      <w:r w:rsidRPr="004A5326">
        <w:t>off (median follow</w:t>
      </w:r>
      <w:r w:rsidR="003A3A7B">
        <w:noBreakHyphen/>
      </w:r>
      <w:r w:rsidRPr="004A5326">
        <w:t>up 16.3 months).</w:t>
      </w:r>
    </w:p>
    <w:p w14:paraId="0A510806" w14:textId="1F3B0CBC" w:rsidR="007066F1" w:rsidRPr="00524846" w:rsidRDefault="007066F1" w:rsidP="003A3A7B">
      <w:pPr>
        <w:pStyle w:val="3-BodyText"/>
      </w:pPr>
      <w:r w:rsidRPr="00524846">
        <w:t xml:space="preserve">The submission identified potential confounding factors through a review of interventional trials, observational studies, and </w:t>
      </w:r>
      <w:r>
        <w:t>National Institute of Care and Excellence (</w:t>
      </w:r>
      <w:r w:rsidRPr="00524846">
        <w:t>NICE</w:t>
      </w:r>
      <w:r>
        <w:t>)</w:t>
      </w:r>
      <w:r w:rsidRPr="00524846">
        <w:t xml:space="preserve"> assessment of D+T for BRAF V600</w:t>
      </w:r>
      <w:r w:rsidR="003A3A7B">
        <w:noBreakHyphen/>
      </w:r>
      <w:r>
        <w:t xml:space="preserve">MT </w:t>
      </w:r>
      <w:proofErr w:type="spellStart"/>
      <w:r>
        <w:t>m</w:t>
      </w:r>
      <w:r w:rsidRPr="00524846">
        <w:t>NSCLC</w:t>
      </w:r>
      <w:proofErr w:type="spellEnd"/>
      <w:r w:rsidRPr="00524846">
        <w:t xml:space="preserve"> (TA898). However, ECOG PS, smoking status, age, gender, race, histology, and brain metastases were included in the MAIC based on data availability, literature, and clinical relevance. </w:t>
      </w:r>
    </w:p>
    <w:p w14:paraId="2688FBC7" w14:textId="3DAE6A17" w:rsidR="00D25E6C" w:rsidRPr="008717C6" w:rsidRDefault="00D25E6C" w:rsidP="003A3A7B">
      <w:pPr>
        <w:pStyle w:val="3-BodyText"/>
        <w:rPr>
          <w:rFonts w:ascii="Calibri" w:hAnsi="Calibri" w:cs="Arial"/>
          <w:szCs w:val="24"/>
        </w:rPr>
      </w:pPr>
      <w:r>
        <w:t xml:space="preserve">As discussed in paragraph </w:t>
      </w:r>
      <w:r w:rsidR="00F27817">
        <w:t>6.10</w:t>
      </w:r>
      <w:r>
        <w:fldChar w:fldCharType="begin"/>
      </w:r>
      <w:r>
        <w:instrText xml:space="preserve"> REF _Ref206153541 \r \h </w:instrText>
      </w:r>
      <w:r>
        <w:fldChar w:fldCharType="separate"/>
      </w:r>
      <w:r w:rsidR="00894EC9">
        <w:t>6.9</w:t>
      </w:r>
      <w:r>
        <w:fldChar w:fldCharType="end"/>
      </w:r>
      <w:r>
        <w:t>,</w:t>
      </w:r>
      <w:r w:rsidRPr="006B5EA3">
        <w:t xml:space="preserve"> imbalances were observed between the two studies primarily on gender, race and histology, as well as, to a lesser extent, on ECOG and smoking status. </w:t>
      </w:r>
      <w:r w:rsidRPr="005F2194">
        <w:t>For comparison with D+T, the submission presented two analyses, one using all adjustment factors (base</w:t>
      </w:r>
      <w:r w:rsidR="003A3A7B">
        <w:noBreakHyphen/>
      </w:r>
      <w:r w:rsidRPr="005F2194">
        <w:t>case) and one restricted to ECOG PS and smoking status (sensitivity analysis 1).</w:t>
      </w:r>
      <w:r>
        <w:t xml:space="preserve"> The characteristics of the two populations, before and after weighting are presented in Table </w:t>
      </w:r>
      <w:r w:rsidR="008F33BB">
        <w:t>7</w:t>
      </w:r>
      <w:r>
        <w:t xml:space="preserve"> </w:t>
      </w:r>
      <w:r>
        <w:fldChar w:fldCharType="begin"/>
      </w:r>
      <w:r>
        <w:instrText xml:space="preserve"> REF _Ref206154768 \p \h </w:instrText>
      </w:r>
      <w:r>
        <w:fldChar w:fldCharType="separate"/>
      </w:r>
      <w:r w:rsidR="00894EC9">
        <w:t>below</w:t>
      </w:r>
      <w:r>
        <w:fldChar w:fldCharType="end"/>
      </w:r>
      <w:r>
        <w:t xml:space="preserve">. </w:t>
      </w:r>
    </w:p>
    <w:p w14:paraId="702FDA88" w14:textId="3C2F3AB4" w:rsidR="00D25E6C" w:rsidRDefault="00D25E6C" w:rsidP="003A3A7B">
      <w:pPr>
        <w:pStyle w:val="Caption"/>
      </w:pPr>
      <w:bookmarkStart w:id="41" w:name="_Ref206154768"/>
      <w:r>
        <w:t xml:space="preserve">Table </w:t>
      </w:r>
      <w:r w:rsidR="008F33BB">
        <w:t>7</w:t>
      </w:r>
      <w:r>
        <w:t>: Population adjustment for PHAROS and BRF113928 trials</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Population adjustment for PHAROS and BRF113928 trials"/>
      </w:tblPr>
      <w:tblGrid>
        <w:gridCol w:w="2732"/>
        <w:gridCol w:w="1570"/>
        <w:gridCol w:w="1571"/>
        <w:gridCol w:w="1571"/>
        <w:gridCol w:w="1573"/>
      </w:tblGrid>
      <w:tr w:rsidR="008717C6" w14:paraId="4559DC3B" w14:textId="77777777">
        <w:trPr>
          <w:trHeight w:val="62"/>
        </w:trPr>
        <w:tc>
          <w:tcPr>
            <w:tcW w:w="1515" w:type="pct"/>
            <w:vMerge w:val="restart"/>
            <w:tcBorders>
              <w:top w:val="single" w:sz="4" w:space="0" w:color="auto"/>
              <w:left w:val="single" w:sz="4" w:space="0" w:color="auto"/>
              <w:right w:val="single" w:sz="4" w:space="0" w:color="auto"/>
            </w:tcBorders>
            <w:noWrap/>
          </w:tcPr>
          <w:p w14:paraId="76DF7A0E" w14:textId="3DC24AC6" w:rsidR="008717C6" w:rsidRDefault="008717C6" w:rsidP="003A3A7B">
            <w:pPr>
              <w:pStyle w:val="TableFigureHeading"/>
            </w:pPr>
            <w:r>
              <w:t>Trial name</w:t>
            </w:r>
          </w:p>
        </w:tc>
        <w:tc>
          <w:tcPr>
            <w:tcW w:w="1742" w:type="pct"/>
            <w:gridSpan w:val="2"/>
            <w:tcBorders>
              <w:top w:val="single" w:sz="4" w:space="0" w:color="auto"/>
              <w:left w:val="single" w:sz="4" w:space="0" w:color="auto"/>
              <w:bottom w:val="single" w:sz="4" w:space="0" w:color="auto"/>
              <w:right w:val="single" w:sz="4" w:space="0" w:color="auto"/>
            </w:tcBorders>
            <w:noWrap/>
            <w:hideMark/>
          </w:tcPr>
          <w:p w14:paraId="765A6597" w14:textId="77777777" w:rsidR="008717C6" w:rsidRDefault="008717C6" w:rsidP="003A3A7B">
            <w:pPr>
              <w:pStyle w:val="TableFigureHeading"/>
              <w:jc w:val="center"/>
            </w:pPr>
            <w:r>
              <w:t>Original data</w:t>
            </w:r>
          </w:p>
        </w:tc>
        <w:tc>
          <w:tcPr>
            <w:tcW w:w="1743" w:type="pct"/>
            <w:gridSpan w:val="2"/>
            <w:tcBorders>
              <w:top w:val="single" w:sz="4" w:space="0" w:color="auto"/>
              <w:left w:val="single" w:sz="4" w:space="0" w:color="auto"/>
              <w:bottom w:val="single" w:sz="4" w:space="0" w:color="auto"/>
              <w:right w:val="single" w:sz="4" w:space="0" w:color="auto"/>
            </w:tcBorders>
            <w:hideMark/>
          </w:tcPr>
          <w:p w14:paraId="04F85176" w14:textId="77777777" w:rsidR="008717C6" w:rsidRDefault="008717C6" w:rsidP="003A3A7B">
            <w:pPr>
              <w:pStyle w:val="TableFigureHeading"/>
              <w:jc w:val="center"/>
            </w:pPr>
            <w:r>
              <w:t>Matched data for PHAROS 1L</w:t>
            </w:r>
          </w:p>
        </w:tc>
      </w:tr>
      <w:tr w:rsidR="008717C6" w14:paraId="2B27E6F9" w14:textId="77777777">
        <w:trPr>
          <w:trHeight w:val="290"/>
        </w:trPr>
        <w:tc>
          <w:tcPr>
            <w:tcW w:w="1515" w:type="pct"/>
            <w:vMerge/>
            <w:tcBorders>
              <w:left w:val="single" w:sz="4" w:space="0" w:color="auto"/>
              <w:bottom w:val="single" w:sz="4" w:space="0" w:color="auto"/>
              <w:right w:val="single" w:sz="4" w:space="0" w:color="auto"/>
            </w:tcBorders>
            <w:noWrap/>
            <w:hideMark/>
          </w:tcPr>
          <w:p w14:paraId="23629E66" w14:textId="6B1FAF96" w:rsidR="008717C6" w:rsidRDefault="008717C6" w:rsidP="003A3A7B">
            <w:pPr>
              <w:pStyle w:val="TableFigureHeading"/>
            </w:pPr>
          </w:p>
        </w:tc>
        <w:tc>
          <w:tcPr>
            <w:tcW w:w="871" w:type="pct"/>
            <w:tcBorders>
              <w:top w:val="single" w:sz="4" w:space="0" w:color="auto"/>
              <w:left w:val="single" w:sz="4" w:space="0" w:color="auto"/>
              <w:bottom w:val="single" w:sz="4" w:space="0" w:color="auto"/>
              <w:right w:val="single" w:sz="4" w:space="0" w:color="auto"/>
            </w:tcBorders>
            <w:noWrap/>
            <w:hideMark/>
          </w:tcPr>
          <w:p w14:paraId="1963762A" w14:textId="77777777" w:rsidR="008717C6" w:rsidRDefault="008717C6" w:rsidP="003A3A7B">
            <w:pPr>
              <w:pStyle w:val="TableFigureHeading"/>
              <w:jc w:val="center"/>
            </w:pPr>
            <w:r>
              <w:t>PHAROS 1L</w:t>
            </w:r>
          </w:p>
          <w:p w14:paraId="17B8EB33" w14:textId="77777777" w:rsidR="008717C6" w:rsidRDefault="008717C6" w:rsidP="003A3A7B">
            <w:pPr>
              <w:pStyle w:val="TableFigureHeading"/>
              <w:jc w:val="center"/>
            </w:pPr>
            <w:r>
              <w:t>(N=59)</w:t>
            </w:r>
          </w:p>
        </w:tc>
        <w:tc>
          <w:tcPr>
            <w:tcW w:w="871" w:type="pct"/>
            <w:tcBorders>
              <w:top w:val="single" w:sz="4" w:space="0" w:color="auto"/>
              <w:left w:val="single" w:sz="4" w:space="0" w:color="auto"/>
              <w:bottom w:val="single" w:sz="4" w:space="0" w:color="auto"/>
              <w:right w:val="single" w:sz="4" w:space="0" w:color="auto"/>
            </w:tcBorders>
            <w:noWrap/>
            <w:hideMark/>
          </w:tcPr>
          <w:p w14:paraId="2C23B103" w14:textId="77777777" w:rsidR="008717C6" w:rsidRDefault="008717C6" w:rsidP="003A3A7B">
            <w:pPr>
              <w:pStyle w:val="TableFigureHeading"/>
              <w:jc w:val="center"/>
            </w:pPr>
            <w:r>
              <w:t xml:space="preserve">BRF113928 </w:t>
            </w:r>
          </w:p>
          <w:p w14:paraId="704A7D61" w14:textId="77777777" w:rsidR="008717C6" w:rsidRDefault="008717C6" w:rsidP="003A3A7B">
            <w:pPr>
              <w:pStyle w:val="TableFigureHeading"/>
              <w:jc w:val="center"/>
            </w:pPr>
            <w:r>
              <w:t>(Cohort C)</w:t>
            </w:r>
          </w:p>
          <w:p w14:paraId="74B8E267" w14:textId="77777777" w:rsidR="008717C6" w:rsidRDefault="008717C6" w:rsidP="003A3A7B">
            <w:pPr>
              <w:pStyle w:val="TableFigureHeading"/>
              <w:jc w:val="center"/>
            </w:pPr>
            <w:r>
              <w:t>(N=36)</w:t>
            </w:r>
          </w:p>
        </w:tc>
        <w:tc>
          <w:tcPr>
            <w:tcW w:w="871" w:type="pct"/>
            <w:tcBorders>
              <w:top w:val="single" w:sz="4" w:space="0" w:color="auto"/>
              <w:left w:val="single" w:sz="4" w:space="0" w:color="auto"/>
              <w:bottom w:val="single" w:sz="4" w:space="0" w:color="auto"/>
              <w:right w:val="single" w:sz="4" w:space="0" w:color="auto"/>
            </w:tcBorders>
            <w:hideMark/>
          </w:tcPr>
          <w:p w14:paraId="73D28678" w14:textId="77777777" w:rsidR="008717C6" w:rsidRDefault="008717C6" w:rsidP="003A3A7B">
            <w:pPr>
              <w:pStyle w:val="TableFigureHeading"/>
              <w:jc w:val="center"/>
            </w:pPr>
            <w:r>
              <w:t>Matched on all factors</w:t>
            </w:r>
          </w:p>
          <w:p w14:paraId="6E7DAFF0" w14:textId="77777777" w:rsidR="008717C6" w:rsidRDefault="008717C6" w:rsidP="003A3A7B">
            <w:pPr>
              <w:pStyle w:val="TableFigureHeading"/>
              <w:jc w:val="center"/>
            </w:pPr>
            <w:r>
              <w:t>(ESS=44)</w:t>
            </w:r>
          </w:p>
        </w:tc>
        <w:tc>
          <w:tcPr>
            <w:tcW w:w="872" w:type="pct"/>
            <w:tcBorders>
              <w:top w:val="single" w:sz="4" w:space="0" w:color="auto"/>
              <w:left w:val="single" w:sz="4" w:space="0" w:color="auto"/>
              <w:bottom w:val="single" w:sz="4" w:space="0" w:color="auto"/>
              <w:right w:val="single" w:sz="4" w:space="0" w:color="auto"/>
            </w:tcBorders>
            <w:hideMark/>
          </w:tcPr>
          <w:p w14:paraId="66D37E40" w14:textId="77777777" w:rsidR="008717C6" w:rsidRDefault="008717C6" w:rsidP="003A3A7B">
            <w:pPr>
              <w:pStyle w:val="TableFigureHeading"/>
              <w:jc w:val="center"/>
            </w:pPr>
            <w:r>
              <w:t>Matched on ECOG and smoking status</w:t>
            </w:r>
          </w:p>
          <w:p w14:paraId="5A9F4506" w14:textId="77777777" w:rsidR="008717C6" w:rsidRDefault="008717C6" w:rsidP="003A3A7B">
            <w:pPr>
              <w:pStyle w:val="TableFigureHeading"/>
              <w:jc w:val="center"/>
            </w:pPr>
            <w:r>
              <w:t>(ESS=58)</w:t>
            </w:r>
          </w:p>
        </w:tc>
      </w:tr>
      <w:tr w:rsidR="00D25E6C" w14:paraId="2EE36EFE" w14:textId="77777777">
        <w:trPr>
          <w:trHeight w:val="125"/>
        </w:trPr>
        <w:tc>
          <w:tcPr>
            <w:tcW w:w="1515" w:type="pct"/>
            <w:tcBorders>
              <w:top w:val="single" w:sz="4" w:space="0" w:color="auto"/>
              <w:left w:val="single" w:sz="4" w:space="0" w:color="auto"/>
              <w:bottom w:val="single" w:sz="4" w:space="0" w:color="auto"/>
              <w:right w:val="single" w:sz="4" w:space="0" w:color="auto"/>
            </w:tcBorders>
            <w:noWrap/>
            <w:hideMark/>
          </w:tcPr>
          <w:p w14:paraId="34D4B899" w14:textId="77777777" w:rsidR="00D25E6C" w:rsidRDefault="00D25E6C" w:rsidP="003A3A7B">
            <w:pPr>
              <w:pStyle w:val="TableText0"/>
            </w:pPr>
            <w:r>
              <w:t>Age</w:t>
            </w:r>
          </w:p>
        </w:tc>
        <w:tc>
          <w:tcPr>
            <w:tcW w:w="871" w:type="pct"/>
            <w:tcBorders>
              <w:top w:val="single" w:sz="4" w:space="0" w:color="auto"/>
              <w:left w:val="single" w:sz="4" w:space="0" w:color="auto"/>
              <w:bottom w:val="single" w:sz="4" w:space="0" w:color="auto"/>
              <w:right w:val="single" w:sz="4" w:space="0" w:color="auto"/>
            </w:tcBorders>
            <w:noWrap/>
            <w:hideMark/>
          </w:tcPr>
          <w:p w14:paraId="5FBA8CC3" w14:textId="77777777" w:rsidR="00D25E6C" w:rsidRDefault="00D25E6C" w:rsidP="003A3A7B">
            <w:pPr>
              <w:pStyle w:val="TableText0"/>
              <w:jc w:val="center"/>
            </w:pPr>
            <w:r>
              <w:t>68</w:t>
            </w:r>
          </w:p>
        </w:tc>
        <w:tc>
          <w:tcPr>
            <w:tcW w:w="871" w:type="pct"/>
            <w:tcBorders>
              <w:top w:val="single" w:sz="4" w:space="0" w:color="auto"/>
              <w:left w:val="single" w:sz="4" w:space="0" w:color="auto"/>
              <w:bottom w:val="single" w:sz="4" w:space="0" w:color="auto"/>
              <w:right w:val="single" w:sz="4" w:space="0" w:color="auto"/>
            </w:tcBorders>
            <w:noWrap/>
            <w:hideMark/>
          </w:tcPr>
          <w:p w14:paraId="12B7041D" w14:textId="77777777" w:rsidR="00D25E6C" w:rsidRDefault="00D25E6C" w:rsidP="003A3A7B">
            <w:pPr>
              <w:pStyle w:val="TableText0"/>
              <w:jc w:val="center"/>
            </w:pPr>
            <w:r>
              <w:t>67</w:t>
            </w:r>
          </w:p>
        </w:tc>
        <w:tc>
          <w:tcPr>
            <w:tcW w:w="871" w:type="pct"/>
            <w:tcBorders>
              <w:top w:val="single" w:sz="4" w:space="0" w:color="auto"/>
              <w:left w:val="single" w:sz="4" w:space="0" w:color="auto"/>
              <w:bottom w:val="single" w:sz="4" w:space="0" w:color="auto"/>
              <w:right w:val="single" w:sz="4" w:space="0" w:color="auto"/>
            </w:tcBorders>
            <w:hideMark/>
          </w:tcPr>
          <w:p w14:paraId="122575E6" w14:textId="77777777" w:rsidR="00D25E6C" w:rsidRDefault="00D25E6C" w:rsidP="003A3A7B">
            <w:pPr>
              <w:pStyle w:val="TableText0"/>
              <w:jc w:val="center"/>
            </w:pPr>
            <w:r>
              <w:t>67</w:t>
            </w:r>
          </w:p>
        </w:tc>
        <w:tc>
          <w:tcPr>
            <w:tcW w:w="872" w:type="pct"/>
            <w:tcBorders>
              <w:top w:val="single" w:sz="4" w:space="0" w:color="auto"/>
              <w:left w:val="single" w:sz="4" w:space="0" w:color="auto"/>
              <w:bottom w:val="single" w:sz="4" w:space="0" w:color="auto"/>
              <w:right w:val="single" w:sz="4" w:space="0" w:color="auto"/>
            </w:tcBorders>
            <w:hideMark/>
          </w:tcPr>
          <w:p w14:paraId="4228B639" w14:textId="77777777" w:rsidR="00D25E6C" w:rsidRDefault="00D25E6C" w:rsidP="003A3A7B">
            <w:pPr>
              <w:pStyle w:val="TableText0"/>
              <w:jc w:val="center"/>
            </w:pPr>
            <w:r>
              <w:t>66</w:t>
            </w:r>
          </w:p>
        </w:tc>
      </w:tr>
      <w:tr w:rsidR="00D25E6C" w14:paraId="00B09F9C" w14:textId="77777777">
        <w:trPr>
          <w:trHeight w:val="70"/>
        </w:trPr>
        <w:tc>
          <w:tcPr>
            <w:tcW w:w="1515" w:type="pct"/>
            <w:tcBorders>
              <w:top w:val="single" w:sz="4" w:space="0" w:color="auto"/>
              <w:left w:val="single" w:sz="4" w:space="0" w:color="auto"/>
              <w:bottom w:val="single" w:sz="4" w:space="0" w:color="auto"/>
              <w:right w:val="single" w:sz="4" w:space="0" w:color="auto"/>
            </w:tcBorders>
            <w:noWrap/>
            <w:hideMark/>
          </w:tcPr>
          <w:p w14:paraId="6625C849" w14:textId="310D9499" w:rsidR="00D25E6C" w:rsidRDefault="00D25E6C" w:rsidP="003A3A7B">
            <w:pPr>
              <w:pStyle w:val="TableText0"/>
            </w:pPr>
            <w:r>
              <w:t xml:space="preserve">Gender </w:t>
            </w:r>
            <w:r w:rsidR="003A3A7B">
              <w:noBreakHyphen/>
            </w:r>
            <w:r>
              <w:t xml:space="preserve"> % Male</w:t>
            </w:r>
          </w:p>
        </w:tc>
        <w:tc>
          <w:tcPr>
            <w:tcW w:w="871" w:type="pct"/>
            <w:tcBorders>
              <w:top w:val="single" w:sz="4" w:space="0" w:color="auto"/>
              <w:left w:val="single" w:sz="4" w:space="0" w:color="auto"/>
              <w:bottom w:val="single" w:sz="4" w:space="0" w:color="auto"/>
              <w:right w:val="single" w:sz="4" w:space="0" w:color="auto"/>
            </w:tcBorders>
            <w:noWrap/>
            <w:hideMark/>
          </w:tcPr>
          <w:p w14:paraId="52817355" w14:textId="77777777" w:rsidR="00D25E6C" w:rsidRDefault="00D25E6C" w:rsidP="003A3A7B">
            <w:pPr>
              <w:pStyle w:val="TableText0"/>
              <w:jc w:val="center"/>
            </w:pPr>
            <w:r>
              <w:t>44</w:t>
            </w:r>
          </w:p>
        </w:tc>
        <w:tc>
          <w:tcPr>
            <w:tcW w:w="871" w:type="pct"/>
            <w:tcBorders>
              <w:top w:val="single" w:sz="4" w:space="0" w:color="auto"/>
              <w:left w:val="single" w:sz="4" w:space="0" w:color="auto"/>
              <w:bottom w:val="single" w:sz="4" w:space="0" w:color="auto"/>
              <w:right w:val="single" w:sz="4" w:space="0" w:color="auto"/>
            </w:tcBorders>
            <w:noWrap/>
            <w:hideMark/>
          </w:tcPr>
          <w:p w14:paraId="4B32636A" w14:textId="77777777" w:rsidR="00D25E6C" w:rsidRDefault="00D25E6C" w:rsidP="003A3A7B">
            <w:pPr>
              <w:pStyle w:val="TableText0"/>
              <w:jc w:val="center"/>
            </w:pPr>
            <w:r>
              <w:t>39</w:t>
            </w:r>
          </w:p>
        </w:tc>
        <w:tc>
          <w:tcPr>
            <w:tcW w:w="871" w:type="pct"/>
            <w:tcBorders>
              <w:top w:val="single" w:sz="4" w:space="0" w:color="auto"/>
              <w:left w:val="single" w:sz="4" w:space="0" w:color="auto"/>
              <w:bottom w:val="single" w:sz="4" w:space="0" w:color="auto"/>
              <w:right w:val="single" w:sz="4" w:space="0" w:color="auto"/>
            </w:tcBorders>
            <w:hideMark/>
          </w:tcPr>
          <w:p w14:paraId="671CA3AF" w14:textId="77777777" w:rsidR="00D25E6C" w:rsidRDefault="00D25E6C" w:rsidP="003A3A7B">
            <w:pPr>
              <w:pStyle w:val="TableText0"/>
              <w:jc w:val="center"/>
            </w:pPr>
            <w:r>
              <w:t>39</w:t>
            </w:r>
          </w:p>
        </w:tc>
        <w:tc>
          <w:tcPr>
            <w:tcW w:w="872" w:type="pct"/>
            <w:tcBorders>
              <w:top w:val="single" w:sz="4" w:space="0" w:color="auto"/>
              <w:left w:val="single" w:sz="4" w:space="0" w:color="auto"/>
              <w:bottom w:val="single" w:sz="4" w:space="0" w:color="auto"/>
              <w:right w:val="single" w:sz="4" w:space="0" w:color="auto"/>
            </w:tcBorders>
            <w:hideMark/>
          </w:tcPr>
          <w:p w14:paraId="50C06A08" w14:textId="77777777" w:rsidR="00D25E6C" w:rsidRDefault="00D25E6C" w:rsidP="003A3A7B">
            <w:pPr>
              <w:pStyle w:val="TableText0"/>
              <w:jc w:val="center"/>
            </w:pPr>
            <w:r>
              <w:t>45</w:t>
            </w:r>
          </w:p>
        </w:tc>
      </w:tr>
      <w:tr w:rsidR="00D25E6C" w14:paraId="2CE957B9" w14:textId="77777777">
        <w:trPr>
          <w:trHeight w:val="70"/>
        </w:trPr>
        <w:tc>
          <w:tcPr>
            <w:tcW w:w="1515" w:type="pct"/>
            <w:tcBorders>
              <w:top w:val="single" w:sz="4" w:space="0" w:color="auto"/>
              <w:left w:val="single" w:sz="4" w:space="0" w:color="auto"/>
              <w:bottom w:val="single" w:sz="4" w:space="0" w:color="auto"/>
              <w:right w:val="single" w:sz="4" w:space="0" w:color="auto"/>
            </w:tcBorders>
            <w:noWrap/>
            <w:hideMark/>
          </w:tcPr>
          <w:p w14:paraId="12E7C9F7" w14:textId="3BEFA747" w:rsidR="00D25E6C" w:rsidRDefault="00D25E6C" w:rsidP="003A3A7B">
            <w:pPr>
              <w:pStyle w:val="TableText0"/>
            </w:pPr>
            <w:r>
              <w:t xml:space="preserve">ECOG </w:t>
            </w:r>
            <w:r w:rsidR="003A3A7B">
              <w:noBreakHyphen/>
            </w:r>
            <w:r>
              <w:t xml:space="preserve"> % ECOG=0</w:t>
            </w:r>
          </w:p>
        </w:tc>
        <w:tc>
          <w:tcPr>
            <w:tcW w:w="871" w:type="pct"/>
            <w:tcBorders>
              <w:top w:val="single" w:sz="4" w:space="0" w:color="auto"/>
              <w:left w:val="single" w:sz="4" w:space="0" w:color="auto"/>
              <w:bottom w:val="single" w:sz="4" w:space="0" w:color="auto"/>
              <w:right w:val="single" w:sz="4" w:space="0" w:color="auto"/>
            </w:tcBorders>
            <w:noWrap/>
            <w:hideMark/>
          </w:tcPr>
          <w:p w14:paraId="613BB53D" w14:textId="77777777" w:rsidR="00D25E6C" w:rsidRDefault="00D25E6C" w:rsidP="003A3A7B">
            <w:pPr>
              <w:pStyle w:val="TableText0"/>
              <w:jc w:val="center"/>
            </w:pPr>
            <w:r>
              <w:t>32</w:t>
            </w:r>
          </w:p>
        </w:tc>
        <w:tc>
          <w:tcPr>
            <w:tcW w:w="871" w:type="pct"/>
            <w:tcBorders>
              <w:top w:val="single" w:sz="4" w:space="0" w:color="auto"/>
              <w:left w:val="single" w:sz="4" w:space="0" w:color="auto"/>
              <w:bottom w:val="single" w:sz="4" w:space="0" w:color="auto"/>
              <w:right w:val="single" w:sz="4" w:space="0" w:color="auto"/>
            </w:tcBorders>
            <w:noWrap/>
            <w:hideMark/>
          </w:tcPr>
          <w:p w14:paraId="4AA4C674" w14:textId="77777777" w:rsidR="00D25E6C" w:rsidRDefault="00D25E6C" w:rsidP="003A3A7B">
            <w:pPr>
              <w:pStyle w:val="TableText0"/>
              <w:jc w:val="center"/>
            </w:pPr>
            <w:r>
              <w:t>36</w:t>
            </w:r>
          </w:p>
        </w:tc>
        <w:tc>
          <w:tcPr>
            <w:tcW w:w="871" w:type="pct"/>
            <w:tcBorders>
              <w:top w:val="single" w:sz="4" w:space="0" w:color="auto"/>
              <w:left w:val="single" w:sz="4" w:space="0" w:color="auto"/>
              <w:bottom w:val="single" w:sz="4" w:space="0" w:color="auto"/>
              <w:right w:val="single" w:sz="4" w:space="0" w:color="auto"/>
            </w:tcBorders>
            <w:hideMark/>
          </w:tcPr>
          <w:p w14:paraId="2E5E37D8" w14:textId="77777777" w:rsidR="00D25E6C" w:rsidRDefault="00D25E6C" w:rsidP="003A3A7B">
            <w:pPr>
              <w:pStyle w:val="TableText0"/>
              <w:jc w:val="center"/>
            </w:pPr>
            <w:r>
              <w:t>36</w:t>
            </w:r>
          </w:p>
        </w:tc>
        <w:tc>
          <w:tcPr>
            <w:tcW w:w="872" w:type="pct"/>
            <w:tcBorders>
              <w:top w:val="single" w:sz="4" w:space="0" w:color="auto"/>
              <w:left w:val="single" w:sz="4" w:space="0" w:color="auto"/>
              <w:bottom w:val="single" w:sz="4" w:space="0" w:color="auto"/>
              <w:right w:val="single" w:sz="4" w:space="0" w:color="auto"/>
            </w:tcBorders>
            <w:hideMark/>
          </w:tcPr>
          <w:p w14:paraId="6F911BED" w14:textId="77777777" w:rsidR="00D25E6C" w:rsidRDefault="00D25E6C" w:rsidP="003A3A7B">
            <w:pPr>
              <w:pStyle w:val="TableText0"/>
              <w:jc w:val="center"/>
            </w:pPr>
            <w:r>
              <w:t>36</w:t>
            </w:r>
          </w:p>
        </w:tc>
      </w:tr>
      <w:tr w:rsidR="00D25E6C" w14:paraId="2226F396" w14:textId="77777777">
        <w:trPr>
          <w:trHeight w:val="70"/>
        </w:trPr>
        <w:tc>
          <w:tcPr>
            <w:tcW w:w="1515" w:type="pct"/>
            <w:tcBorders>
              <w:top w:val="single" w:sz="4" w:space="0" w:color="auto"/>
              <w:left w:val="single" w:sz="4" w:space="0" w:color="auto"/>
              <w:bottom w:val="single" w:sz="4" w:space="0" w:color="auto"/>
              <w:right w:val="single" w:sz="4" w:space="0" w:color="auto"/>
            </w:tcBorders>
            <w:noWrap/>
            <w:hideMark/>
          </w:tcPr>
          <w:p w14:paraId="0ED71B2B" w14:textId="06575907" w:rsidR="00D25E6C" w:rsidRDefault="00D25E6C" w:rsidP="003A3A7B">
            <w:pPr>
              <w:pStyle w:val="TableText0"/>
            </w:pPr>
            <w:r>
              <w:t xml:space="preserve">Smoking status </w:t>
            </w:r>
            <w:r w:rsidR="003A3A7B">
              <w:noBreakHyphen/>
            </w:r>
            <w:r>
              <w:t xml:space="preserve"> % Never smoked</w:t>
            </w:r>
          </w:p>
        </w:tc>
        <w:tc>
          <w:tcPr>
            <w:tcW w:w="871" w:type="pct"/>
            <w:tcBorders>
              <w:top w:val="single" w:sz="4" w:space="0" w:color="auto"/>
              <w:left w:val="single" w:sz="4" w:space="0" w:color="auto"/>
              <w:bottom w:val="single" w:sz="4" w:space="0" w:color="auto"/>
              <w:right w:val="single" w:sz="4" w:space="0" w:color="auto"/>
            </w:tcBorders>
            <w:noWrap/>
            <w:hideMark/>
          </w:tcPr>
          <w:p w14:paraId="6D39F49E" w14:textId="77777777" w:rsidR="00D25E6C" w:rsidRDefault="00D25E6C" w:rsidP="003A3A7B">
            <w:pPr>
              <w:pStyle w:val="TableText0"/>
              <w:jc w:val="center"/>
            </w:pPr>
            <w:r>
              <w:t>31</w:t>
            </w:r>
          </w:p>
        </w:tc>
        <w:tc>
          <w:tcPr>
            <w:tcW w:w="871" w:type="pct"/>
            <w:tcBorders>
              <w:top w:val="single" w:sz="4" w:space="0" w:color="auto"/>
              <w:left w:val="single" w:sz="4" w:space="0" w:color="auto"/>
              <w:bottom w:val="single" w:sz="4" w:space="0" w:color="auto"/>
              <w:right w:val="single" w:sz="4" w:space="0" w:color="auto"/>
            </w:tcBorders>
            <w:noWrap/>
            <w:hideMark/>
          </w:tcPr>
          <w:p w14:paraId="636A53D9" w14:textId="77777777" w:rsidR="00D25E6C" w:rsidRDefault="00D25E6C" w:rsidP="003A3A7B">
            <w:pPr>
              <w:pStyle w:val="TableText0"/>
              <w:jc w:val="center"/>
            </w:pPr>
            <w:r>
              <w:t>28</w:t>
            </w:r>
          </w:p>
        </w:tc>
        <w:tc>
          <w:tcPr>
            <w:tcW w:w="871" w:type="pct"/>
            <w:tcBorders>
              <w:top w:val="single" w:sz="4" w:space="0" w:color="auto"/>
              <w:left w:val="single" w:sz="4" w:space="0" w:color="auto"/>
              <w:bottom w:val="single" w:sz="4" w:space="0" w:color="auto"/>
              <w:right w:val="single" w:sz="4" w:space="0" w:color="auto"/>
            </w:tcBorders>
            <w:hideMark/>
          </w:tcPr>
          <w:p w14:paraId="011F8ED1" w14:textId="77777777" w:rsidR="00D25E6C" w:rsidRDefault="00D25E6C" w:rsidP="003A3A7B">
            <w:pPr>
              <w:pStyle w:val="TableText0"/>
              <w:jc w:val="center"/>
            </w:pPr>
            <w:r>
              <w:t>28</w:t>
            </w:r>
          </w:p>
        </w:tc>
        <w:tc>
          <w:tcPr>
            <w:tcW w:w="872" w:type="pct"/>
            <w:tcBorders>
              <w:top w:val="single" w:sz="4" w:space="0" w:color="auto"/>
              <w:left w:val="single" w:sz="4" w:space="0" w:color="auto"/>
              <w:bottom w:val="single" w:sz="4" w:space="0" w:color="auto"/>
              <w:right w:val="single" w:sz="4" w:space="0" w:color="auto"/>
            </w:tcBorders>
            <w:hideMark/>
          </w:tcPr>
          <w:p w14:paraId="32B69961" w14:textId="77777777" w:rsidR="00D25E6C" w:rsidRDefault="00D25E6C" w:rsidP="003A3A7B">
            <w:pPr>
              <w:pStyle w:val="TableText0"/>
              <w:jc w:val="center"/>
            </w:pPr>
            <w:r>
              <w:t>28</w:t>
            </w:r>
          </w:p>
        </w:tc>
      </w:tr>
      <w:tr w:rsidR="00D25E6C" w14:paraId="4FAFBF2C" w14:textId="77777777">
        <w:trPr>
          <w:trHeight w:val="70"/>
        </w:trPr>
        <w:tc>
          <w:tcPr>
            <w:tcW w:w="1515" w:type="pct"/>
            <w:tcBorders>
              <w:top w:val="single" w:sz="4" w:space="0" w:color="auto"/>
              <w:left w:val="single" w:sz="4" w:space="0" w:color="auto"/>
              <w:bottom w:val="single" w:sz="4" w:space="0" w:color="auto"/>
              <w:right w:val="single" w:sz="4" w:space="0" w:color="auto"/>
            </w:tcBorders>
            <w:noWrap/>
            <w:hideMark/>
          </w:tcPr>
          <w:p w14:paraId="4B5B7C33" w14:textId="5671C286" w:rsidR="00D25E6C" w:rsidRDefault="00D25E6C" w:rsidP="003A3A7B">
            <w:pPr>
              <w:pStyle w:val="TableText0"/>
            </w:pPr>
            <w:r>
              <w:t xml:space="preserve">Race </w:t>
            </w:r>
            <w:r w:rsidR="003A3A7B">
              <w:noBreakHyphen/>
            </w:r>
            <w:r>
              <w:t xml:space="preserve"> % White</w:t>
            </w:r>
          </w:p>
        </w:tc>
        <w:tc>
          <w:tcPr>
            <w:tcW w:w="871" w:type="pct"/>
            <w:tcBorders>
              <w:top w:val="single" w:sz="4" w:space="0" w:color="auto"/>
              <w:left w:val="single" w:sz="4" w:space="0" w:color="auto"/>
              <w:bottom w:val="single" w:sz="4" w:space="0" w:color="auto"/>
              <w:right w:val="single" w:sz="4" w:space="0" w:color="auto"/>
            </w:tcBorders>
            <w:noWrap/>
            <w:hideMark/>
          </w:tcPr>
          <w:p w14:paraId="0FB8834A" w14:textId="77777777" w:rsidR="00D25E6C" w:rsidRDefault="00D25E6C" w:rsidP="003A3A7B">
            <w:pPr>
              <w:pStyle w:val="TableText0"/>
              <w:jc w:val="center"/>
            </w:pPr>
            <w:r>
              <w:t>90</w:t>
            </w:r>
          </w:p>
        </w:tc>
        <w:tc>
          <w:tcPr>
            <w:tcW w:w="871" w:type="pct"/>
            <w:tcBorders>
              <w:top w:val="single" w:sz="4" w:space="0" w:color="auto"/>
              <w:left w:val="single" w:sz="4" w:space="0" w:color="auto"/>
              <w:bottom w:val="single" w:sz="4" w:space="0" w:color="auto"/>
              <w:right w:val="single" w:sz="4" w:space="0" w:color="auto"/>
            </w:tcBorders>
            <w:noWrap/>
            <w:hideMark/>
          </w:tcPr>
          <w:p w14:paraId="34916614" w14:textId="77777777" w:rsidR="00D25E6C" w:rsidRDefault="00D25E6C" w:rsidP="003A3A7B">
            <w:pPr>
              <w:pStyle w:val="TableText0"/>
              <w:jc w:val="center"/>
            </w:pPr>
            <w:r>
              <w:t>83</w:t>
            </w:r>
          </w:p>
        </w:tc>
        <w:tc>
          <w:tcPr>
            <w:tcW w:w="871" w:type="pct"/>
            <w:tcBorders>
              <w:top w:val="single" w:sz="4" w:space="0" w:color="auto"/>
              <w:left w:val="single" w:sz="4" w:space="0" w:color="auto"/>
              <w:bottom w:val="single" w:sz="4" w:space="0" w:color="auto"/>
              <w:right w:val="single" w:sz="4" w:space="0" w:color="auto"/>
            </w:tcBorders>
            <w:hideMark/>
          </w:tcPr>
          <w:p w14:paraId="4905EFF2" w14:textId="77777777" w:rsidR="00D25E6C" w:rsidRDefault="00D25E6C" w:rsidP="003A3A7B">
            <w:pPr>
              <w:pStyle w:val="TableText0"/>
              <w:jc w:val="center"/>
            </w:pPr>
            <w:r>
              <w:t>83</w:t>
            </w:r>
          </w:p>
        </w:tc>
        <w:tc>
          <w:tcPr>
            <w:tcW w:w="872" w:type="pct"/>
            <w:tcBorders>
              <w:top w:val="single" w:sz="4" w:space="0" w:color="auto"/>
              <w:left w:val="single" w:sz="4" w:space="0" w:color="auto"/>
              <w:bottom w:val="single" w:sz="4" w:space="0" w:color="auto"/>
              <w:right w:val="single" w:sz="4" w:space="0" w:color="auto"/>
            </w:tcBorders>
            <w:hideMark/>
          </w:tcPr>
          <w:p w14:paraId="03D2F939" w14:textId="77777777" w:rsidR="00D25E6C" w:rsidRDefault="00D25E6C" w:rsidP="003A3A7B">
            <w:pPr>
              <w:pStyle w:val="TableText0"/>
              <w:jc w:val="center"/>
            </w:pPr>
            <w:r>
              <w:t>90</w:t>
            </w:r>
          </w:p>
        </w:tc>
      </w:tr>
      <w:tr w:rsidR="00D25E6C" w14:paraId="2DF4D08D" w14:textId="77777777">
        <w:trPr>
          <w:trHeight w:val="70"/>
        </w:trPr>
        <w:tc>
          <w:tcPr>
            <w:tcW w:w="1515" w:type="pct"/>
            <w:tcBorders>
              <w:top w:val="single" w:sz="4" w:space="0" w:color="auto"/>
              <w:left w:val="single" w:sz="4" w:space="0" w:color="auto"/>
              <w:bottom w:val="single" w:sz="4" w:space="0" w:color="auto"/>
              <w:right w:val="single" w:sz="4" w:space="0" w:color="auto"/>
            </w:tcBorders>
            <w:noWrap/>
            <w:hideMark/>
          </w:tcPr>
          <w:p w14:paraId="2445CF0E" w14:textId="74BCB38D" w:rsidR="00D25E6C" w:rsidRDefault="00D25E6C" w:rsidP="003A3A7B">
            <w:pPr>
              <w:pStyle w:val="TableText0"/>
            </w:pPr>
            <w:r>
              <w:t xml:space="preserve">Histology </w:t>
            </w:r>
            <w:r w:rsidR="003A3A7B">
              <w:noBreakHyphen/>
            </w:r>
            <w:r>
              <w:t xml:space="preserve"> % Adenocarcinoma</w:t>
            </w:r>
          </w:p>
        </w:tc>
        <w:tc>
          <w:tcPr>
            <w:tcW w:w="871" w:type="pct"/>
            <w:tcBorders>
              <w:top w:val="single" w:sz="4" w:space="0" w:color="auto"/>
              <w:left w:val="single" w:sz="4" w:space="0" w:color="auto"/>
              <w:bottom w:val="single" w:sz="4" w:space="0" w:color="auto"/>
              <w:right w:val="single" w:sz="4" w:space="0" w:color="auto"/>
            </w:tcBorders>
            <w:noWrap/>
            <w:hideMark/>
          </w:tcPr>
          <w:p w14:paraId="25251E49" w14:textId="77777777" w:rsidR="00D25E6C" w:rsidRDefault="00D25E6C" w:rsidP="003A3A7B">
            <w:pPr>
              <w:pStyle w:val="TableText0"/>
              <w:jc w:val="center"/>
            </w:pPr>
            <w:r>
              <w:t>97</w:t>
            </w:r>
          </w:p>
        </w:tc>
        <w:tc>
          <w:tcPr>
            <w:tcW w:w="871" w:type="pct"/>
            <w:tcBorders>
              <w:top w:val="single" w:sz="4" w:space="0" w:color="auto"/>
              <w:left w:val="single" w:sz="4" w:space="0" w:color="auto"/>
              <w:bottom w:val="single" w:sz="4" w:space="0" w:color="auto"/>
              <w:right w:val="single" w:sz="4" w:space="0" w:color="auto"/>
            </w:tcBorders>
            <w:noWrap/>
            <w:hideMark/>
          </w:tcPr>
          <w:p w14:paraId="1C0793F7" w14:textId="77777777" w:rsidR="00D25E6C" w:rsidRDefault="00D25E6C" w:rsidP="003A3A7B">
            <w:pPr>
              <w:pStyle w:val="TableText0"/>
              <w:jc w:val="center"/>
            </w:pPr>
            <w:r>
              <w:t>89</w:t>
            </w:r>
          </w:p>
        </w:tc>
        <w:tc>
          <w:tcPr>
            <w:tcW w:w="871" w:type="pct"/>
            <w:tcBorders>
              <w:top w:val="single" w:sz="4" w:space="0" w:color="auto"/>
              <w:left w:val="single" w:sz="4" w:space="0" w:color="auto"/>
              <w:bottom w:val="single" w:sz="4" w:space="0" w:color="auto"/>
              <w:right w:val="single" w:sz="4" w:space="0" w:color="auto"/>
            </w:tcBorders>
            <w:hideMark/>
          </w:tcPr>
          <w:p w14:paraId="69C41C1B" w14:textId="77777777" w:rsidR="00D25E6C" w:rsidRDefault="00D25E6C" w:rsidP="003A3A7B">
            <w:pPr>
              <w:pStyle w:val="TableText0"/>
              <w:jc w:val="center"/>
            </w:pPr>
            <w:r>
              <w:t>89</w:t>
            </w:r>
          </w:p>
        </w:tc>
        <w:tc>
          <w:tcPr>
            <w:tcW w:w="872" w:type="pct"/>
            <w:tcBorders>
              <w:top w:val="single" w:sz="4" w:space="0" w:color="auto"/>
              <w:left w:val="single" w:sz="4" w:space="0" w:color="auto"/>
              <w:bottom w:val="single" w:sz="4" w:space="0" w:color="auto"/>
              <w:right w:val="single" w:sz="4" w:space="0" w:color="auto"/>
            </w:tcBorders>
            <w:hideMark/>
          </w:tcPr>
          <w:p w14:paraId="23772C8D" w14:textId="77777777" w:rsidR="00D25E6C" w:rsidRDefault="00D25E6C" w:rsidP="003A3A7B">
            <w:pPr>
              <w:pStyle w:val="TableText0"/>
              <w:jc w:val="center"/>
            </w:pPr>
            <w:r>
              <w:t>97</w:t>
            </w:r>
          </w:p>
        </w:tc>
      </w:tr>
      <w:tr w:rsidR="00D25E6C" w14:paraId="2EDA25A2" w14:textId="77777777">
        <w:trPr>
          <w:trHeight w:val="70"/>
        </w:trPr>
        <w:tc>
          <w:tcPr>
            <w:tcW w:w="1515" w:type="pct"/>
            <w:tcBorders>
              <w:top w:val="single" w:sz="4" w:space="0" w:color="auto"/>
              <w:left w:val="single" w:sz="4" w:space="0" w:color="auto"/>
              <w:bottom w:val="single" w:sz="4" w:space="0" w:color="auto"/>
              <w:right w:val="single" w:sz="4" w:space="0" w:color="auto"/>
            </w:tcBorders>
            <w:noWrap/>
            <w:hideMark/>
          </w:tcPr>
          <w:p w14:paraId="23F174F6" w14:textId="0CCFAE50" w:rsidR="00D25E6C" w:rsidRDefault="00D25E6C" w:rsidP="003A3A7B">
            <w:pPr>
              <w:pStyle w:val="TableText0"/>
            </w:pPr>
            <w:r>
              <w:t xml:space="preserve">Brain metastases </w:t>
            </w:r>
            <w:r w:rsidR="003A3A7B">
              <w:noBreakHyphen/>
            </w:r>
            <w:r>
              <w:t xml:space="preserve"> % Yes</w:t>
            </w:r>
          </w:p>
        </w:tc>
        <w:tc>
          <w:tcPr>
            <w:tcW w:w="871" w:type="pct"/>
            <w:tcBorders>
              <w:top w:val="single" w:sz="4" w:space="0" w:color="auto"/>
              <w:left w:val="single" w:sz="4" w:space="0" w:color="auto"/>
              <w:bottom w:val="single" w:sz="4" w:space="0" w:color="auto"/>
              <w:right w:val="single" w:sz="4" w:space="0" w:color="auto"/>
            </w:tcBorders>
            <w:noWrap/>
            <w:hideMark/>
          </w:tcPr>
          <w:p w14:paraId="0120BCA4" w14:textId="77777777" w:rsidR="00D25E6C" w:rsidRDefault="00D25E6C" w:rsidP="003A3A7B">
            <w:pPr>
              <w:pStyle w:val="TableText0"/>
              <w:jc w:val="center"/>
            </w:pPr>
            <w:r>
              <w:t>7</w:t>
            </w:r>
          </w:p>
        </w:tc>
        <w:tc>
          <w:tcPr>
            <w:tcW w:w="871" w:type="pct"/>
            <w:tcBorders>
              <w:top w:val="single" w:sz="4" w:space="0" w:color="auto"/>
              <w:left w:val="single" w:sz="4" w:space="0" w:color="auto"/>
              <w:bottom w:val="single" w:sz="4" w:space="0" w:color="auto"/>
              <w:right w:val="single" w:sz="4" w:space="0" w:color="auto"/>
            </w:tcBorders>
            <w:noWrap/>
            <w:hideMark/>
          </w:tcPr>
          <w:p w14:paraId="5FF186B0" w14:textId="77777777" w:rsidR="00D25E6C" w:rsidRDefault="00D25E6C" w:rsidP="003A3A7B">
            <w:pPr>
              <w:pStyle w:val="TableText0"/>
              <w:jc w:val="center"/>
            </w:pPr>
            <w:r>
              <w:t>6</w:t>
            </w:r>
          </w:p>
        </w:tc>
        <w:tc>
          <w:tcPr>
            <w:tcW w:w="871" w:type="pct"/>
            <w:tcBorders>
              <w:top w:val="single" w:sz="4" w:space="0" w:color="auto"/>
              <w:left w:val="single" w:sz="4" w:space="0" w:color="auto"/>
              <w:bottom w:val="single" w:sz="4" w:space="0" w:color="auto"/>
              <w:right w:val="single" w:sz="4" w:space="0" w:color="auto"/>
            </w:tcBorders>
            <w:hideMark/>
          </w:tcPr>
          <w:p w14:paraId="4FC90719" w14:textId="77777777" w:rsidR="00D25E6C" w:rsidRDefault="00D25E6C" w:rsidP="003A3A7B">
            <w:pPr>
              <w:pStyle w:val="TableText0"/>
              <w:jc w:val="center"/>
            </w:pPr>
            <w:r>
              <w:t>6</w:t>
            </w:r>
          </w:p>
        </w:tc>
        <w:tc>
          <w:tcPr>
            <w:tcW w:w="872" w:type="pct"/>
            <w:tcBorders>
              <w:top w:val="single" w:sz="4" w:space="0" w:color="auto"/>
              <w:left w:val="single" w:sz="4" w:space="0" w:color="auto"/>
              <w:bottom w:val="single" w:sz="4" w:space="0" w:color="auto"/>
              <w:right w:val="single" w:sz="4" w:space="0" w:color="auto"/>
            </w:tcBorders>
            <w:hideMark/>
          </w:tcPr>
          <w:p w14:paraId="6E22245E" w14:textId="77777777" w:rsidR="00D25E6C" w:rsidRDefault="00D25E6C" w:rsidP="003A3A7B">
            <w:pPr>
              <w:pStyle w:val="TableText0"/>
              <w:jc w:val="center"/>
            </w:pPr>
            <w:r>
              <w:t>7</w:t>
            </w:r>
          </w:p>
        </w:tc>
      </w:tr>
    </w:tbl>
    <w:p w14:paraId="01E27885" w14:textId="77777777" w:rsidR="00D25E6C" w:rsidRDefault="00D25E6C" w:rsidP="003A3A7B">
      <w:pPr>
        <w:pStyle w:val="TableFigureFooter"/>
      </w:pPr>
      <w:r>
        <w:t>Source: Table 2.69, p135 of the submission.</w:t>
      </w:r>
    </w:p>
    <w:p w14:paraId="6836306D" w14:textId="5388193E" w:rsidR="00D25E6C" w:rsidRDefault="00D25E6C" w:rsidP="003A3A7B">
      <w:pPr>
        <w:pStyle w:val="TableFigureFooter"/>
      </w:pPr>
      <w:r>
        <w:t>1L = first</w:t>
      </w:r>
      <w:r w:rsidR="003A3A7B">
        <w:noBreakHyphen/>
      </w:r>
      <w:r>
        <w:t>line; ECOG = Eastern Cooperative Oncology Group; ESS = Estimated Sample Size after weighting; N = total participants in group.</w:t>
      </w:r>
    </w:p>
    <w:p w14:paraId="01ECA297" w14:textId="77777777" w:rsidR="00D25E6C" w:rsidRDefault="00D25E6C" w:rsidP="003A3A7B">
      <w:pPr>
        <w:pStyle w:val="3-BodyText"/>
      </w:pPr>
      <w:r>
        <w:t xml:space="preserve">After matching on all adjustment factors, </w:t>
      </w:r>
      <w:r w:rsidRPr="00213A8A">
        <w:t>the characteristics in the weighted PHAROS population were aligned with those of the BRF113928 cohort.</w:t>
      </w:r>
      <w:r>
        <w:t xml:space="preserve"> </w:t>
      </w:r>
      <w:r w:rsidRPr="000E1EA7">
        <w:t>However, the ESC noted that this resulted in a loss of sample size of 25%, with the weighted population representing 44 patients from the</w:t>
      </w:r>
      <w:r w:rsidRPr="001F1AC5">
        <w:t xml:space="preserve"> original 59.</w:t>
      </w:r>
      <w:r>
        <w:t xml:space="preserve"> </w:t>
      </w:r>
      <w:r w:rsidRPr="004A5326">
        <w:t>It is recognised that adjusting for all relevant factors inherently leads to a reduction in effective sample size.</w:t>
      </w:r>
    </w:p>
    <w:p w14:paraId="6E262EEE" w14:textId="7BB03216" w:rsidR="00D25E6C" w:rsidRDefault="00D25E6C" w:rsidP="003A3A7B">
      <w:pPr>
        <w:pStyle w:val="3-BodyText"/>
      </w:pPr>
      <w:r w:rsidRPr="001F2767">
        <w:t>Results of the unanchored MAICs for PFS</w:t>
      </w:r>
      <w:r>
        <w:t xml:space="preserve"> and </w:t>
      </w:r>
      <w:r w:rsidRPr="001F2767">
        <w:t>OS</w:t>
      </w:r>
      <w:r>
        <w:t xml:space="preserve"> </w:t>
      </w:r>
      <w:r w:rsidRPr="001F2767">
        <w:t xml:space="preserve">are summarised </w:t>
      </w:r>
      <w:r>
        <w:t xml:space="preserve">in </w:t>
      </w:r>
      <w:r>
        <w:fldChar w:fldCharType="begin"/>
      </w:r>
      <w:r>
        <w:instrText xml:space="preserve"> REF _Ref206093886 \h </w:instrText>
      </w:r>
      <w:r>
        <w:fldChar w:fldCharType="separate"/>
      </w:r>
      <w:r w:rsidR="00894EC9">
        <w:t xml:space="preserve">Table </w:t>
      </w:r>
      <w:r>
        <w:fldChar w:fldCharType="end"/>
      </w:r>
      <w:r>
        <w:t xml:space="preserve">. </w:t>
      </w:r>
      <w:r w:rsidRPr="00FB229F">
        <w:t xml:space="preserve">Unadjusted results are included for comparison. </w:t>
      </w:r>
      <w:r w:rsidRPr="008A00B5">
        <w:t xml:space="preserve">The PFS and OS KM curves for </w:t>
      </w:r>
      <w:r>
        <w:t>MAICs</w:t>
      </w:r>
      <w:r w:rsidRPr="008A00B5">
        <w:t xml:space="preserve"> are presented in </w:t>
      </w:r>
      <w:r>
        <w:fldChar w:fldCharType="begin"/>
      </w:r>
      <w:r>
        <w:instrText xml:space="preserve"> REF _Ref206093937 \h </w:instrText>
      </w:r>
      <w:r>
        <w:fldChar w:fldCharType="separate"/>
      </w:r>
      <w:r w:rsidR="00894EC9">
        <w:t xml:space="preserve">Figure </w:t>
      </w:r>
      <w:r>
        <w:fldChar w:fldCharType="end"/>
      </w:r>
      <w:r w:rsidRPr="008A00B5">
        <w:t xml:space="preserve"> and </w:t>
      </w:r>
      <w:r>
        <w:fldChar w:fldCharType="begin"/>
      </w:r>
      <w:r>
        <w:instrText xml:space="preserve"> REF _Ref206093950 \h </w:instrText>
      </w:r>
      <w:r>
        <w:fldChar w:fldCharType="separate"/>
      </w:r>
      <w:r w:rsidR="00894EC9">
        <w:t xml:space="preserve">Figure </w:t>
      </w:r>
      <w:r>
        <w:fldChar w:fldCharType="end"/>
      </w:r>
      <w:r w:rsidRPr="008A00B5">
        <w:t xml:space="preserve">, respectively. </w:t>
      </w:r>
    </w:p>
    <w:p w14:paraId="49E34385" w14:textId="435081F0" w:rsidR="00D25E6C" w:rsidRDefault="00D25E6C" w:rsidP="003A3A7B">
      <w:pPr>
        <w:pStyle w:val="Caption"/>
      </w:pPr>
      <w:bookmarkStart w:id="42" w:name="_Ref206093886"/>
      <w:r>
        <w:lastRenderedPageBreak/>
        <w:t xml:space="preserve">Table </w:t>
      </w:r>
      <w:bookmarkEnd w:id="42"/>
      <w:r w:rsidR="008F33BB">
        <w:t>8</w:t>
      </w:r>
      <w:r>
        <w:t>: Indirect comparison of PFS and OS – unadjusted analysis and MAICs</w:t>
      </w:r>
    </w:p>
    <w:tbl>
      <w:tblPr>
        <w:tblStyle w:val="TableGrid"/>
        <w:tblW w:w="5000" w:type="pct"/>
        <w:tblLook w:val="04A0" w:firstRow="1" w:lastRow="0" w:firstColumn="1" w:lastColumn="0" w:noHBand="0" w:noVBand="1"/>
        <w:tblCaption w:val="Table 8: Indirect comparison of PFS and OS – unadjusted analysis and MAICs"/>
      </w:tblPr>
      <w:tblGrid>
        <w:gridCol w:w="2545"/>
        <w:gridCol w:w="2270"/>
        <w:gridCol w:w="2409"/>
        <w:gridCol w:w="1793"/>
      </w:tblGrid>
      <w:tr w:rsidR="00D25E6C" w14:paraId="2DA6766D" w14:textId="77777777">
        <w:trPr>
          <w:trHeight w:val="587"/>
        </w:trPr>
        <w:tc>
          <w:tcPr>
            <w:tcW w:w="1411" w:type="pct"/>
            <w:tcBorders>
              <w:top w:val="single" w:sz="4" w:space="0" w:color="auto"/>
              <w:left w:val="single" w:sz="4" w:space="0" w:color="auto"/>
              <w:bottom w:val="single" w:sz="4" w:space="0" w:color="auto"/>
              <w:right w:val="single" w:sz="4" w:space="0" w:color="auto"/>
            </w:tcBorders>
            <w:hideMark/>
          </w:tcPr>
          <w:p w14:paraId="2EA214D1" w14:textId="77777777" w:rsidR="00D25E6C" w:rsidRDefault="00D25E6C" w:rsidP="003A3A7B">
            <w:pPr>
              <w:pStyle w:val="TableFigureHeading"/>
            </w:pPr>
            <w:r>
              <w:t>Model</w:t>
            </w:r>
          </w:p>
        </w:tc>
        <w:tc>
          <w:tcPr>
            <w:tcW w:w="1259" w:type="pct"/>
            <w:tcBorders>
              <w:top w:val="single" w:sz="4" w:space="0" w:color="auto"/>
              <w:left w:val="single" w:sz="4" w:space="0" w:color="auto"/>
              <w:bottom w:val="single" w:sz="4" w:space="0" w:color="auto"/>
              <w:right w:val="single" w:sz="4" w:space="0" w:color="auto"/>
            </w:tcBorders>
            <w:hideMark/>
          </w:tcPr>
          <w:p w14:paraId="1B05650D" w14:textId="77777777" w:rsidR="00D25E6C" w:rsidRPr="00B628E3" w:rsidRDefault="00D25E6C" w:rsidP="003A3A7B">
            <w:pPr>
              <w:pStyle w:val="TableFigureHeading"/>
              <w:jc w:val="center"/>
              <w:rPr>
                <w:lang w:val="fr-FR"/>
              </w:rPr>
            </w:pPr>
            <w:r w:rsidRPr="00B628E3">
              <w:rPr>
                <w:lang w:val="fr-FR"/>
              </w:rPr>
              <w:t xml:space="preserve">1L PHAROS </w:t>
            </w:r>
          </w:p>
          <w:p w14:paraId="3902765F" w14:textId="77777777" w:rsidR="00D25E6C" w:rsidRPr="00B628E3" w:rsidRDefault="00D25E6C" w:rsidP="003A3A7B">
            <w:pPr>
              <w:pStyle w:val="TableFigureHeading"/>
              <w:jc w:val="center"/>
              <w:rPr>
                <w:lang w:val="fr-FR"/>
              </w:rPr>
            </w:pPr>
            <w:r w:rsidRPr="00B628E3">
              <w:rPr>
                <w:lang w:val="fr-FR"/>
              </w:rPr>
              <w:t>E+B (N=59)</w:t>
            </w:r>
          </w:p>
          <w:p w14:paraId="2E83DB67" w14:textId="77777777" w:rsidR="00D25E6C" w:rsidRDefault="00D25E6C" w:rsidP="003A3A7B">
            <w:pPr>
              <w:pStyle w:val="TableFigureHeading"/>
              <w:jc w:val="center"/>
            </w:pPr>
            <w:r>
              <w:t>(median follow up of 33.3 months)</w:t>
            </w:r>
          </w:p>
          <w:p w14:paraId="1384BD70" w14:textId="77777777" w:rsidR="00D25E6C" w:rsidRDefault="00D25E6C" w:rsidP="003A3A7B">
            <w:pPr>
              <w:pStyle w:val="TableFigureHeading"/>
              <w:jc w:val="center"/>
            </w:pPr>
            <w:r>
              <w:t>Median (95% CI)</w:t>
            </w:r>
          </w:p>
        </w:tc>
        <w:tc>
          <w:tcPr>
            <w:tcW w:w="1336" w:type="pct"/>
            <w:tcBorders>
              <w:top w:val="single" w:sz="4" w:space="0" w:color="auto"/>
              <w:left w:val="single" w:sz="4" w:space="0" w:color="auto"/>
              <w:bottom w:val="single" w:sz="4" w:space="0" w:color="auto"/>
              <w:right w:val="single" w:sz="4" w:space="0" w:color="auto"/>
            </w:tcBorders>
            <w:hideMark/>
          </w:tcPr>
          <w:p w14:paraId="66641BF2" w14:textId="77777777" w:rsidR="00D25E6C" w:rsidRPr="00B628E3" w:rsidRDefault="00D25E6C" w:rsidP="003A3A7B">
            <w:pPr>
              <w:pStyle w:val="TableFigureHeading"/>
              <w:jc w:val="center"/>
              <w:rPr>
                <w:lang w:val="fr-FR"/>
              </w:rPr>
            </w:pPr>
            <w:r w:rsidRPr="00B628E3">
              <w:rPr>
                <w:lang w:val="fr-FR"/>
              </w:rPr>
              <w:t>BRF113928 (</w:t>
            </w:r>
            <w:proofErr w:type="spellStart"/>
            <w:r w:rsidRPr="00B628E3">
              <w:rPr>
                <w:lang w:val="fr-FR"/>
              </w:rPr>
              <w:t>Cohort</w:t>
            </w:r>
            <w:proofErr w:type="spellEnd"/>
            <w:r w:rsidRPr="00B628E3">
              <w:rPr>
                <w:lang w:val="fr-FR"/>
              </w:rPr>
              <w:t xml:space="preserve"> C)</w:t>
            </w:r>
          </w:p>
          <w:p w14:paraId="2990FDD7" w14:textId="77777777" w:rsidR="00D25E6C" w:rsidRPr="00B628E3" w:rsidRDefault="00D25E6C" w:rsidP="003A3A7B">
            <w:pPr>
              <w:pStyle w:val="TableFigureHeading"/>
              <w:jc w:val="center"/>
              <w:rPr>
                <w:lang w:val="fr-FR"/>
              </w:rPr>
            </w:pPr>
            <w:r w:rsidRPr="00B628E3">
              <w:rPr>
                <w:lang w:val="fr-FR"/>
              </w:rPr>
              <w:t>D+T (N=36)</w:t>
            </w:r>
          </w:p>
          <w:p w14:paraId="3A66DC4D" w14:textId="72475C88" w:rsidR="00D25E6C" w:rsidRDefault="00D25E6C" w:rsidP="003A3A7B">
            <w:pPr>
              <w:pStyle w:val="TableFigureHeading"/>
              <w:jc w:val="center"/>
            </w:pPr>
            <w:r>
              <w:t>(median follow</w:t>
            </w:r>
            <w:r w:rsidR="003A3A7B">
              <w:noBreakHyphen/>
            </w:r>
            <w:r>
              <w:t>up of 15.9 months for PFS and 16.3 months for OS)</w:t>
            </w:r>
          </w:p>
          <w:p w14:paraId="171E3C7C" w14:textId="77777777" w:rsidR="00D25E6C" w:rsidRDefault="00D25E6C" w:rsidP="003A3A7B">
            <w:pPr>
              <w:pStyle w:val="TableFigureHeading"/>
              <w:jc w:val="center"/>
            </w:pPr>
            <w:r>
              <w:t>Median (95% CI)</w:t>
            </w:r>
          </w:p>
        </w:tc>
        <w:tc>
          <w:tcPr>
            <w:tcW w:w="994" w:type="pct"/>
            <w:tcBorders>
              <w:top w:val="single" w:sz="4" w:space="0" w:color="auto"/>
              <w:left w:val="single" w:sz="4" w:space="0" w:color="auto"/>
              <w:bottom w:val="single" w:sz="4" w:space="0" w:color="auto"/>
              <w:right w:val="single" w:sz="4" w:space="0" w:color="auto"/>
            </w:tcBorders>
          </w:tcPr>
          <w:p w14:paraId="7E031199" w14:textId="77777777" w:rsidR="00D25E6C" w:rsidRPr="00C62867" w:rsidRDefault="00D25E6C" w:rsidP="003A3A7B">
            <w:pPr>
              <w:pStyle w:val="TableFigureHeading"/>
              <w:jc w:val="center"/>
              <w:rPr>
                <w:lang w:val="fr-FR"/>
              </w:rPr>
            </w:pPr>
            <w:r w:rsidRPr="00C62867">
              <w:rPr>
                <w:lang w:val="fr-FR"/>
              </w:rPr>
              <w:t xml:space="preserve">E+B versus D+T; </w:t>
            </w:r>
          </w:p>
          <w:p w14:paraId="56C70F65" w14:textId="77777777" w:rsidR="00D25E6C" w:rsidRDefault="00D25E6C" w:rsidP="003A3A7B">
            <w:pPr>
              <w:pStyle w:val="TableFigureHeading"/>
              <w:jc w:val="center"/>
            </w:pPr>
            <w:r w:rsidRPr="007947DB">
              <w:t>HR (95% CI)</w:t>
            </w:r>
            <w:r>
              <w:t xml:space="preserve"> </w:t>
            </w:r>
          </w:p>
        </w:tc>
      </w:tr>
      <w:tr w:rsidR="00D25E6C" w14:paraId="0D9F9499" w14:textId="77777777">
        <w:tc>
          <w:tcPr>
            <w:tcW w:w="5000" w:type="pct"/>
            <w:gridSpan w:val="4"/>
            <w:tcBorders>
              <w:top w:val="single" w:sz="4" w:space="0" w:color="auto"/>
              <w:left w:val="single" w:sz="4" w:space="0" w:color="auto"/>
              <w:bottom w:val="single" w:sz="4" w:space="0" w:color="auto"/>
              <w:right w:val="single" w:sz="4" w:space="0" w:color="auto"/>
            </w:tcBorders>
          </w:tcPr>
          <w:p w14:paraId="6619FA2E" w14:textId="77777777" w:rsidR="00D25E6C" w:rsidRPr="007947DB" w:rsidRDefault="00D25E6C" w:rsidP="003A3A7B">
            <w:pPr>
              <w:pStyle w:val="TableText0"/>
              <w:rPr>
                <w:b/>
                <w:bCs w:val="0"/>
              </w:rPr>
            </w:pPr>
            <w:r w:rsidRPr="007947DB">
              <w:rPr>
                <w:b/>
                <w:bCs w:val="0"/>
              </w:rPr>
              <w:t>PFS</w:t>
            </w:r>
          </w:p>
        </w:tc>
      </w:tr>
      <w:tr w:rsidR="00D25E6C" w14:paraId="7AA4707C" w14:textId="77777777">
        <w:tc>
          <w:tcPr>
            <w:tcW w:w="1411" w:type="pct"/>
            <w:tcBorders>
              <w:top w:val="single" w:sz="4" w:space="0" w:color="auto"/>
              <w:left w:val="single" w:sz="4" w:space="0" w:color="auto"/>
              <w:bottom w:val="single" w:sz="4" w:space="0" w:color="auto"/>
              <w:right w:val="single" w:sz="4" w:space="0" w:color="auto"/>
            </w:tcBorders>
            <w:hideMark/>
          </w:tcPr>
          <w:p w14:paraId="3E147BE9" w14:textId="77D44909" w:rsidR="00D25E6C" w:rsidRDefault="00D25E6C" w:rsidP="003A3A7B">
            <w:pPr>
              <w:pStyle w:val="TableText0"/>
            </w:pPr>
            <w:r>
              <w:t>Unadjusted (non</w:t>
            </w:r>
            <w:r w:rsidR="003A3A7B">
              <w:noBreakHyphen/>
            </w:r>
            <w:r>
              <w:t>matching)</w:t>
            </w:r>
          </w:p>
        </w:tc>
        <w:tc>
          <w:tcPr>
            <w:tcW w:w="1259" w:type="pct"/>
            <w:tcBorders>
              <w:top w:val="single" w:sz="4" w:space="0" w:color="auto"/>
              <w:left w:val="single" w:sz="4" w:space="0" w:color="auto"/>
              <w:right w:val="single" w:sz="4" w:space="0" w:color="auto"/>
            </w:tcBorders>
            <w:vAlign w:val="center"/>
          </w:tcPr>
          <w:p w14:paraId="32E27AAE" w14:textId="77777777" w:rsidR="00D25E6C" w:rsidRDefault="00D25E6C" w:rsidP="003A3A7B">
            <w:pPr>
              <w:pStyle w:val="TableText0"/>
              <w:jc w:val="center"/>
            </w:pPr>
            <w:r w:rsidRPr="003013C9">
              <w:t>30.2 (15.7, NE)</w:t>
            </w:r>
          </w:p>
        </w:tc>
        <w:tc>
          <w:tcPr>
            <w:tcW w:w="1336" w:type="pct"/>
            <w:tcBorders>
              <w:top w:val="single" w:sz="4" w:space="0" w:color="auto"/>
              <w:left w:val="single" w:sz="4" w:space="0" w:color="auto"/>
              <w:right w:val="single" w:sz="4" w:space="0" w:color="auto"/>
            </w:tcBorders>
            <w:vAlign w:val="center"/>
          </w:tcPr>
          <w:p w14:paraId="3589214E" w14:textId="77777777" w:rsidR="00D25E6C" w:rsidRDefault="00D25E6C" w:rsidP="003A3A7B">
            <w:pPr>
              <w:pStyle w:val="TableText0"/>
              <w:jc w:val="center"/>
            </w:pPr>
            <w:r>
              <w:t xml:space="preserve">14.6 </w:t>
            </w:r>
            <w:r w:rsidRPr="00F4569F">
              <w:t>(</w:t>
            </w:r>
            <w:r>
              <w:t>7.0</w:t>
            </w:r>
            <w:r w:rsidRPr="00F4569F">
              <w:t xml:space="preserve">, </w:t>
            </w:r>
            <w:r>
              <w:t>22.1</w:t>
            </w:r>
            <w:r w:rsidRPr="00F4569F">
              <w:t>)</w:t>
            </w:r>
          </w:p>
        </w:tc>
        <w:tc>
          <w:tcPr>
            <w:tcW w:w="994" w:type="pct"/>
            <w:tcBorders>
              <w:top w:val="single" w:sz="4" w:space="0" w:color="auto"/>
              <w:left w:val="single" w:sz="4" w:space="0" w:color="auto"/>
              <w:bottom w:val="single" w:sz="4" w:space="0" w:color="auto"/>
              <w:right w:val="single" w:sz="4" w:space="0" w:color="auto"/>
            </w:tcBorders>
          </w:tcPr>
          <w:p w14:paraId="68CF7ABC" w14:textId="77777777" w:rsidR="00D25E6C" w:rsidRPr="001006C9" w:rsidRDefault="00D25E6C" w:rsidP="003A3A7B">
            <w:pPr>
              <w:pStyle w:val="TableText0"/>
              <w:jc w:val="center"/>
              <w:rPr>
                <w:b/>
                <w:bCs w:val="0"/>
              </w:rPr>
            </w:pPr>
            <w:r w:rsidRPr="001006C9">
              <w:rPr>
                <w:b/>
                <w:bCs w:val="0"/>
              </w:rPr>
              <w:t>0.48 (0.27, 0.87)</w:t>
            </w:r>
          </w:p>
        </w:tc>
      </w:tr>
      <w:tr w:rsidR="00D25E6C" w14:paraId="50248234" w14:textId="77777777">
        <w:tc>
          <w:tcPr>
            <w:tcW w:w="1411" w:type="pct"/>
            <w:tcBorders>
              <w:top w:val="single" w:sz="4" w:space="0" w:color="auto"/>
              <w:left w:val="single" w:sz="4" w:space="0" w:color="auto"/>
              <w:bottom w:val="single" w:sz="4" w:space="0" w:color="auto"/>
              <w:right w:val="single" w:sz="4" w:space="0" w:color="auto"/>
            </w:tcBorders>
            <w:hideMark/>
          </w:tcPr>
          <w:p w14:paraId="117C3E5C" w14:textId="77777777" w:rsidR="00D25E6C" w:rsidRDefault="00D25E6C" w:rsidP="003A3A7B">
            <w:pPr>
              <w:pStyle w:val="TableText0"/>
            </w:pPr>
            <w:r>
              <w:t>Adjusted (base case)</w:t>
            </w:r>
          </w:p>
        </w:tc>
        <w:tc>
          <w:tcPr>
            <w:tcW w:w="1259" w:type="pct"/>
            <w:vMerge w:val="restart"/>
            <w:tcBorders>
              <w:left w:val="single" w:sz="4" w:space="0" w:color="auto"/>
              <w:right w:val="single" w:sz="4" w:space="0" w:color="auto"/>
            </w:tcBorders>
          </w:tcPr>
          <w:p w14:paraId="667105E5" w14:textId="77777777" w:rsidR="00D25E6C" w:rsidRDefault="00D25E6C" w:rsidP="003A3A7B">
            <w:pPr>
              <w:pStyle w:val="TableText0"/>
              <w:jc w:val="center"/>
              <w:rPr>
                <w:b/>
                <w:bCs w:val="0"/>
              </w:rPr>
            </w:pPr>
          </w:p>
        </w:tc>
        <w:tc>
          <w:tcPr>
            <w:tcW w:w="1336" w:type="pct"/>
            <w:vMerge w:val="restart"/>
            <w:tcBorders>
              <w:left w:val="single" w:sz="4" w:space="0" w:color="auto"/>
              <w:right w:val="single" w:sz="4" w:space="0" w:color="auto"/>
            </w:tcBorders>
          </w:tcPr>
          <w:p w14:paraId="18FBFE0E" w14:textId="77777777" w:rsidR="00D25E6C" w:rsidRDefault="00D25E6C" w:rsidP="003A3A7B">
            <w:pPr>
              <w:pStyle w:val="TableText0"/>
              <w:jc w:val="center"/>
              <w:rPr>
                <w:b/>
                <w:bCs w:val="0"/>
              </w:rPr>
            </w:pPr>
          </w:p>
        </w:tc>
        <w:tc>
          <w:tcPr>
            <w:tcW w:w="994" w:type="pct"/>
            <w:tcBorders>
              <w:top w:val="single" w:sz="4" w:space="0" w:color="auto"/>
              <w:left w:val="single" w:sz="4" w:space="0" w:color="auto"/>
              <w:bottom w:val="single" w:sz="4" w:space="0" w:color="auto"/>
              <w:right w:val="single" w:sz="4" w:space="0" w:color="auto"/>
            </w:tcBorders>
          </w:tcPr>
          <w:p w14:paraId="164E2D17" w14:textId="77777777" w:rsidR="00D25E6C" w:rsidRPr="001006C9" w:rsidRDefault="00D25E6C" w:rsidP="003A3A7B">
            <w:pPr>
              <w:pStyle w:val="TableText0"/>
              <w:jc w:val="center"/>
              <w:rPr>
                <w:b/>
                <w:bCs w:val="0"/>
              </w:rPr>
            </w:pPr>
            <w:r w:rsidRPr="001006C9">
              <w:rPr>
                <w:b/>
                <w:bCs w:val="0"/>
              </w:rPr>
              <w:t>0.47 (0.26, 0.85)</w:t>
            </w:r>
          </w:p>
        </w:tc>
      </w:tr>
      <w:tr w:rsidR="00D25E6C" w14:paraId="60098EFC" w14:textId="77777777">
        <w:tc>
          <w:tcPr>
            <w:tcW w:w="1411" w:type="pct"/>
            <w:tcBorders>
              <w:top w:val="single" w:sz="4" w:space="0" w:color="auto"/>
              <w:left w:val="single" w:sz="4" w:space="0" w:color="auto"/>
              <w:bottom w:val="single" w:sz="4" w:space="0" w:color="auto"/>
              <w:right w:val="single" w:sz="4" w:space="0" w:color="auto"/>
            </w:tcBorders>
          </w:tcPr>
          <w:p w14:paraId="23A3DD3C" w14:textId="77777777" w:rsidR="00D25E6C" w:rsidRDefault="00D25E6C" w:rsidP="003A3A7B">
            <w:pPr>
              <w:pStyle w:val="TableText0"/>
            </w:pPr>
            <w:r>
              <w:t>Adjusted (sensitivity analysis 1)</w:t>
            </w:r>
          </w:p>
        </w:tc>
        <w:tc>
          <w:tcPr>
            <w:tcW w:w="1259" w:type="pct"/>
            <w:vMerge/>
            <w:tcBorders>
              <w:left w:val="single" w:sz="4" w:space="0" w:color="auto"/>
              <w:right w:val="single" w:sz="4" w:space="0" w:color="auto"/>
            </w:tcBorders>
          </w:tcPr>
          <w:p w14:paraId="606B0031" w14:textId="77777777" w:rsidR="00D25E6C" w:rsidRDefault="00D25E6C" w:rsidP="003A3A7B">
            <w:pPr>
              <w:pStyle w:val="TableText0"/>
              <w:jc w:val="center"/>
              <w:rPr>
                <w:b/>
                <w:bCs w:val="0"/>
              </w:rPr>
            </w:pPr>
          </w:p>
        </w:tc>
        <w:tc>
          <w:tcPr>
            <w:tcW w:w="1336" w:type="pct"/>
            <w:vMerge/>
            <w:tcBorders>
              <w:left w:val="single" w:sz="4" w:space="0" w:color="auto"/>
              <w:right w:val="single" w:sz="4" w:space="0" w:color="auto"/>
            </w:tcBorders>
          </w:tcPr>
          <w:p w14:paraId="03F336E4" w14:textId="77777777" w:rsidR="00D25E6C" w:rsidRDefault="00D25E6C" w:rsidP="003A3A7B">
            <w:pPr>
              <w:pStyle w:val="TableText0"/>
              <w:jc w:val="center"/>
              <w:rPr>
                <w:b/>
                <w:bCs w:val="0"/>
              </w:rPr>
            </w:pPr>
          </w:p>
        </w:tc>
        <w:tc>
          <w:tcPr>
            <w:tcW w:w="994" w:type="pct"/>
            <w:tcBorders>
              <w:top w:val="single" w:sz="4" w:space="0" w:color="auto"/>
              <w:left w:val="single" w:sz="4" w:space="0" w:color="auto"/>
              <w:bottom w:val="single" w:sz="4" w:space="0" w:color="auto"/>
              <w:right w:val="single" w:sz="4" w:space="0" w:color="auto"/>
            </w:tcBorders>
          </w:tcPr>
          <w:p w14:paraId="248D6933" w14:textId="77777777" w:rsidR="00D25E6C" w:rsidRPr="001006C9" w:rsidRDefault="00D25E6C" w:rsidP="003A3A7B">
            <w:pPr>
              <w:pStyle w:val="TableText0"/>
              <w:jc w:val="center"/>
              <w:rPr>
                <w:b/>
                <w:bCs w:val="0"/>
              </w:rPr>
            </w:pPr>
            <w:r w:rsidRPr="001006C9">
              <w:rPr>
                <w:b/>
                <w:bCs w:val="0"/>
              </w:rPr>
              <w:t>0.49 (0.27, 0.86)</w:t>
            </w:r>
          </w:p>
        </w:tc>
      </w:tr>
      <w:tr w:rsidR="00D25E6C" w14:paraId="6953B56A" w14:textId="77777777">
        <w:tc>
          <w:tcPr>
            <w:tcW w:w="5000" w:type="pct"/>
            <w:gridSpan w:val="4"/>
            <w:tcBorders>
              <w:top w:val="single" w:sz="4" w:space="0" w:color="auto"/>
              <w:left w:val="single" w:sz="4" w:space="0" w:color="auto"/>
              <w:bottom w:val="single" w:sz="4" w:space="0" w:color="auto"/>
              <w:right w:val="single" w:sz="4" w:space="0" w:color="auto"/>
            </w:tcBorders>
          </w:tcPr>
          <w:p w14:paraId="69BF41FF" w14:textId="77777777" w:rsidR="00D25E6C" w:rsidRDefault="00D25E6C" w:rsidP="003A3A7B">
            <w:pPr>
              <w:pStyle w:val="TableText0"/>
              <w:rPr>
                <w:b/>
                <w:bCs w:val="0"/>
              </w:rPr>
            </w:pPr>
            <w:r>
              <w:rPr>
                <w:b/>
                <w:bCs w:val="0"/>
              </w:rPr>
              <w:t>OS</w:t>
            </w:r>
          </w:p>
        </w:tc>
      </w:tr>
      <w:tr w:rsidR="00D25E6C" w14:paraId="307CDB09" w14:textId="77777777">
        <w:tc>
          <w:tcPr>
            <w:tcW w:w="1411" w:type="pct"/>
            <w:tcBorders>
              <w:top w:val="single" w:sz="4" w:space="0" w:color="auto"/>
              <w:left w:val="single" w:sz="4" w:space="0" w:color="auto"/>
              <w:bottom w:val="single" w:sz="4" w:space="0" w:color="auto"/>
              <w:right w:val="single" w:sz="4" w:space="0" w:color="auto"/>
            </w:tcBorders>
          </w:tcPr>
          <w:p w14:paraId="4B63A549" w14:textId="5326E76E" w:rsidR="00D25E6C" w:rsidRDefault="00D25E6C" w:rsidP="003A3A7B">
            <w:pPr>
              <w:pStyle w:val="TableText0"/>
            </w:pPr>
            <w:r>
              <w:t>Unadjusted (non</w:t>
            </w:r>
            <w:r w:rsidR="003A3A7B">
              <w:noBreakHyphen/>
            </w:r>
            <w:r>
              <w:t>matching)</w:t>
            </w:r>
          </w:p>
        </w:tc>
        <w:tc>
          <w:tcPr>
            <w:tcW w:w="1259" w:type="pct"/>
            <w:tcBorders>
              <w:left w:val="single" w:sz="4" w:space="0" w:color="auto"/>
              <w:right w:val="single" w:sz="4" w:space="0" w:color="auto"/>
            </w:tcBorders>
          </w:tcPr>
          <w:p w14:paraId="48C8AC13" w14:textId="77777777" w:rsidR="00D25E6C" w:rsidRPr="00C70129" w:rsidRDefault="00D25E6C" w:rsidP="003A3A7B">
            <w:pPr>
              <w:pStyle w:val="TableText0"/>
              <w:jc w:val="center"/>
            </w:pPr>
            <w:r w:rsidRPr="00C70129">
              <w:t>NE (31.3, NE)</w:t>
            </w:r>
          </w:p>
        </w:tc>
        <w:tc>
          <w:tcPr>
            <w:tcW w:w="1336" w:type="pct"/>
            <w:tcBorders>
              <w:left w:val="single" w:sz="4" w:space="0" w:color="auto"/>
              <w:right w:val="single" w:sz="4" w:space="0" w:color="auto"/>
            </w:tcBorders>
          </w:tcPr>
          <w:p w14:paraId="557E247A" w14:textId="77777777" w:rsidR="00D25E6C" w:rsidRPr="00C70129" w:rsidRDefault="00D25E6C" w:rsidP="003A3A7B">
            <w:pPr>
              <w:pStyle w:val="TableText0"/>
              <w:jc w:val="center"/>
            </w:pPr>
            <w:r w:rsidRPr="000F3666">
              <w:t>17.3 (12.3, 40.2)</w:t>
            </w:r>
          </w:p>
        </w:tc>
        <w:tc>
          <w:tcPr>
            <w:tcW w:w="994" w:type="pct"/>
            <w:tcBorders>
              <w:top w:val="single" w:sz="4" w:space="0" w:color="auto"/>
              <w:left w:val="single" w:sz="4" w:space="0" w:color="auto"/>
              <w:bottom w:val="single" w:sz="4" w:space="0" w:color="auto"/>
              <w:right w:val="single" w:sz="4" w:space="0" w:color="auto"/>
            </w:tcBorders>
          </w:tcPr>
          <w:p w14:paraId="634A3269" w14:textId="77777777" w:rsidR="00D25E6C" w:rsidRPr="00E30D7F" w:rsidRDefault="00D25E6C" w:rsidP="003A3A7B">
            <w:pPr>
              <w:pStyle w:val="TableText0"/>
              <w:jc w:val="center"/>
              <w:rPr>
                <w:b/>
                <w:bCs w:val="0"/>
              </w:rPr>
            </w:pPr>
            <w:r w:rsidRPr="00B97C5A">
              <w:t>0.60 (0.34, 1.07)</w:t>
            </w:r>
          </w:p>
        </w:tc>
      </w:tr>
      <w:tr w:rsidR="00D25E6C" w14:paraId="6F531A86" w14:textId="77777777">
        <w:tc>
          <w:tcPr>
            <w:tcW w:w="1411" w:type="pct"/>
            <w:tcBorders>
              <w:top w:val="single" w:sz="4" w:space="0" w:color="auto"/>
              <w:left w:val="single" w:sz="4" w:space="0" w:color="auto"/>
              <w:bottom w:val="single" w:sz="4" w:space="0" w:color="auto"/>
              <w:right w:val="single" w:sz="4" w:space="0" w:color="auto"/>
            </w:tcBorders>
          </w:tcPr>
          <w:p w14:paraId="40EBA988" w14:textId="77777777" w:rsidR="00D25E6C" w:rsidRDefault="00D25E6C" w:rsidP="003A3A7B">
            <w:pPr>
              <w:pStyle w:val="TableText0"/>
            </w:pPr>
            <w:r>
              <w:t>Adjusted (base case)</w:t>
            </w:r>
          </w:p>
        </w:tc>
        <w:tc>
          <w:tcPr>
            <w:tcW w:w="1259" w:type="pct"/>
            <w:vMerge w:val="restart"/>
            <w:tcBorders>
              <w:left w:val="single" w:sz="4" w:space="0" w:color="auto"/>
              <w:right w:val="single" w:sz="4" w:space="0" w:color="auto"/>
            </w:tcBorders>
          </w:tcPr>
          <w:p w14:paraId="2BD3A844" w14:textId="77777777" w:rsidR="00D25E6C" w:rsidRDefault="00D25E6C" w:rsidP="003A3A7B">
            <w:pPr>
              <w:pStyle w:val="TableText0"/>
              <w:jc w:val="center"/>
              <w:rPr>
                <w:b/>
                <w:bCs w:val="0"/>
              </w:rPr>
            </w:pPr>
          </w:p>
        </w:tc>
        <w:tc>
          <w:tcPr>
            <w:tcW w:w="1336" w:type="pct"/>
            <w:vMerge w:val="restart"/>
            <w:tcBorders>
              <w:left w:val="single" w:sz="4" w:space="0" w:color="auto"/>
              <w:right w:val="single" w:sz="4" w:space="0" w:color="auto"/>
            </w:tcBorders>
          </w:tcPr>
          <w:p w14:paraId="71EAF4B8" w14:textId="77777777" w:rsidR="00D25E6C" w:rsidRDefault="00D25E6C" w:rsidP="003A3A7B">
            <w:pPr>
              <w:pStyle w:val="TableText0"/>
              <w:jc w:val="center"/>
              <w:rPr>
                <w:b/>
                <w:bCs w:val="0"/>
              </w:rPr>
            </w:pPr>
          </w:p>
        </w:tc>
        <w:tc>
          <w:tcPr>
            <w:tcW w:w="994" w:type="pct"/>
            <w:tcBorders>
              <w:top w:val="single" w:sz="4" w:space="0" w:color="auto"/>
              <w:left w:val="single" w:sz="4" w:space="0" w:color="auto"/>
              <w:bottom w:val="single" w:sz="4" w:space="0" w:color="auto"/>
              <w:right w:val="single" w:sz="4" w:space="0" w:color="auto"/>
            </w:tcBorders>
          </w:tcPr>
          <w:p w14:paraId="5DBB23A3" w14:textId="77777777" w:rsidR="00D25E6C" w:rsidRPr="00E30D7F" w:rsidRDefault="00D25E6C" w:rsidP="003A3A7B">
            <w:pPr>
              <w:pStyle w:val="TableText0"/>
              <w:jc w:val="center"/>
              <w:rPr>
                <w:b/>
                <w:bCs w:val="0"/>
              </w:rPr>
            </w:pPr>
            <w:r w:rsidRPr="00B97C5A">
              <w:t>0.55 (0.30, 1.01)</w:t>
            </w:r>
          </w:p>
        </w:tc>
      </w:tr>
      <w:tr w:rsidR="00D25E6C" w14:paraId="19AB60D2" w14:textId="77777777">
        <w:tc>
          <w:tcPr>
            <w:tcW w:w="1411" w:type="pct"/>
            <w:tcBorders>
              <w:top w:val="single" w:sz="4" w:space="0" w:color="auto"/>
              <w:left w:val="single" w:sz="4" w:space="0" w:color="auto"/>
              <w:bottom w:val="single" w:sz="4" w:space="0" w:color="auto"/>
              <w:right w:val="single" w:sz="4" w:space="0" w:color="auto"/>
            </w:tcBorders>
          </w:tcPr>
          <w:p w14:paraId="622D7F9D" w14:textId="77777777" w:rsidR="00D25E6C" w:rsidRDefault="00D25E6C" w:rsidP="003A3A7B">
            <w:pPr>
              <w:pStyle w:val="TableText0"/>
            </w:pPr>
            <w:r>
              <w:t>Adjusted (sensitivity analysis 1)</w:t>
            </w:r>
          </w:p>
        </w:tc>
        <w:tc>
          <w:tcPr>
            <w:tcW w:w="1259" w:type="pct"/>
            <w:vMerge/>
            <w:tcBorders>
              <w:left w:val="single" w:sz="4" w:space="0" w:color="auto"/>
              <w:right w:val="single" w:sz="4" w:space="0" w:color="auto"/>
            </w:tcBorders>
          </w:tcPr>
          <w:p w14:paraId="06858A79" w14:textId="77777777" w:rsidR="00D25E6C" w:rsidRDefault="00D25E6C" w:rsidP="003A3A7B">
            <w:pPr>
              <w:pStyle w:val="TableText0"/>
              <w:jc w:val="center"/>
              <w:rPr>
                <w:b/>
                <w:bCs w:val="0"/>
              </w:rPr>
            </w:pPr>
          </w:p>
        </w:tc>
        <w:tc>
          <w:tcPr>
            <w:tcW w:w="1336" w:type="pct"/>
            <w:vMerge/>
            <w:tcBorders>
              <w:left w:val="single" w:sz="4" w:space="0" w:color="auto"/>
              <w:right w:val="single" w:sz="4" w:space="0" w:color="auto"/>
            </w:tcBorders>
          </w:tcPr>
          <w:p w14:paraId="4C1DEEAA" w14:textId="77777777" w:rsidR="00D25E6C" w:rsidRDefault="00D25E6C" w:rsidP="003A3A7B">
            <w:pPr>
              <w:pStyle w:val="TableText0"/>
              <w:jc w:val="center"/>
              <w:rPr>
                <w:b/>
                <w:bCs w:val="0"/>
              </w:rPr>
            </w:pPr>
          </w:p>
        </w:tc>
        <w:tc>
          <w:tcPr>
            <w:tcW w:w="994" w:type="pct"/>
            <w:tcBorders>
              <w:top w:val="single" w:sz="4" w:space="0" w:color="auto"/>
              <w:left w:val="single" w:sz="4" w:space="0" w:color="auto"/>
              <w:bottom w:val="single" w:sz="4" w:space="0" w:color="auto"/>
              <w:right w:val="single" w:sz="4" w:space="0" w:color="auto"/>
            </w:tcBorders>
          </w:tcPr>
          <w:p w14:paraId="3359DE21" w14:textId="77777777" w:rsidR="00D25E6C" w:rsidRPr="00E30D7F" w:rsidRDefault="00D25E6C" w:rsidP="003A3A7B">
            <w:pPr>
              <w:pStyle w:val="TableText0"/>
              <w:jc w:val="center"/>
              <w:rPr>
                <w:b/>
                <w:bCs w:val="0"/>
              </w:rPr>
            </w:pPr>
            <w:r w:rsidRPr="00B97C5A">
              <w:t>0.60 (0.34, 1.07)</w:t>
            </w:r>
          </w:p>
        </w:tc>
      </w:tr>
    </w:tbl>
    <w:p w14:paraId="5EAE210B" w14:textId="2C17582B" w:rsidR="00D25E6C" w:rsidRDefault="00D25E6C" w:rsidP="003A3A7B">
      <w:pPr>
        <w:pStyle w:val="TableFigureFooter"/>
      </w:pPr>
      <w:r>
        <w:t xml:space="preserve">Source: </w:t>
      </w:r>
      <w:r w:rsidRPr="00004715">
        <w:t>Table 2.56, pp124</w:t>
      </w:r>
      <w:r w:rsidR="003A3A7B">
        <w:noBreakHyphen/>
      </w:r>
      <w:r w:rsidRPr="00004715">
        <w:t>125</w:t>
      </w:r>
      <w:r>
        <w:t xml:space="preserve">; </w:t>
      </w:r>
      <w:r w:rsidRPr="00004715">
        <w:t>Table 2.70, p137</w:t>
      </w:r>
      <w:r>
        <w:t>; and Table 2.71, p138</w:t>
      </w:r>
      <w:r w:rsidRPr="00004715">
        <w:t xml:space="preserve"> of the submission</w:t>
      </w:r>
    </w:p>
    <w:p w14:paraId="59368B25" w14:textId="6DDFD2C8" w:rsidR="00D25E6C" w:rsidRDefault="00D25E6C" w:rsidP="003A3A7B">
      <w:pPr>
        <w:pStyle w:val="TableFigureFooter"/>
      </w:pPr>
      <w:r>
        <w:t xml:space="preserve">1L = first line; CI = confidence interval; D+T = dabrafenib and trametinib; ECOG PS = Eastern Cooperative Oncology Group Performance Status; E+B = </w:t>
      </w:r>
      <w:proofErr w:type="spellStart"/>
      <w:r>
        <w:t>encorafenib</w:t>
      </w:r>
      <w:proofErr w:type="spellEnd"/>
      <w:r>
        <w:t xml:space="preserve"> + </w:t>
      </w:r>
      <w:proofErr w:type="spellStart"/>
      <w:r>
        <w:t>binimetinib</w:t>
      </w:r>
      <w:proofErr w:type="spellEnd"/>
      <w:r>
        <w:t>; HR = hazard ratio; MAIC = matching</w:t>
      </w:r>
      <w:r w:rsidR="003A3A7B">
        <w:noBreakHyphen/>
      </w:r>
      <w:r>
        <w:t xml:space="preserve">adjusted indirect comparison; N = total participants in group; </w:t>
      </w:r>
      <w:r w:rsidRPr="009C3B2A">
        <w:t>OS = overall survival;</w:t>
      </w:r>
      <w:r>
        <w:t xml:space="preserve"> PFS = progression</w:t>
      </w:r>
      <w:r w:rsidR="003A3A7B">
        <w:noBreakHyphen/>
      </w:r>
      <w:r>
        <w:t>free survival.</w:t>
      </w:r>
    </w:p>
    <w:p w14:paraId="1C84F6B7" w14:textId="77777777" w:rsidR="00D25E6C" w:rsidRDefault="00D25E6C" w:rsidP="003A3A7B">
      <w:pPr>
        <w:pStyle w:val="TableFigureFooter"/>
      </w:pPr>
      <w:r w:rsidRPr="004C7EFD">
        <w:t>Base case = using all adjustment factors (ECOG PS, smoking status, age, gender race, histology, presence of brain metastases); sensitivity analysis 1 = using only ECOG PS and smoking status.</w:t>
      </w:r>
    </w:p>
    <w:p w14:paraId="33F99004" w14:textId="77777777" w:rsidR="00D25E6C" w:rsidRDefault="00D25E6C" w:rsidP="003A3A7B">
      <w:pPr>
        <w:pStyle w:val="TableFigureFooter"/>
      </w:pPr>
      <w:r>
        <w:rPr>
          <w:b/>
          <w:bCs/>
          <w:vertAlign w:val="superscript"/>
        </w:rPr>
        <w:t xml:space="preserve"> </w:t>
      </w:r>
      <w:r>
        <w:rPr>
          <w:b/>
          <w:bCs/>
        </w:rPr>
        <w:t xml:space="preserve">Bold </w:t>
      </w:r>
      <w:r>
        <w:t xml:space="preserve">indicate statistical significance. </w:t>
      </w:r>
    </w:p>
    <w:p w14:paraId="0816B283" w14:textId="05EE5EF4" w:rsidR="00D25E6C" w:rsidRDefault="00D25E6C" w:rsidP="003A3A7B">
      <w:pPr>
        <w:pStyle w:val="Caption"/>
        <w:jc w:val="left"/>
      </w:pPr>
      <w:bookmarkStart w:id="43" w:name="_Ref206093937"/>
      <w:r>
        <w:t xml:space="preserve">Figure </w:t>
      </w:r>
      <w:bookmarkEnd w:id="43"/>
      <w:r w:rsidR="008F33BB">
        <w:t>7</w:t>
      </w:r>
      <w:r>
        <w:t xml:space="preserve">: </w:t>
      </w:r>
      <w:r w:rsidRPr="00F24A61">
        <w:t>Kaplan</w:t>
      </w:r>
      <w:r w:rsidR="003A3A7B">
        <w:noBreakHyphen/>
      </w:r>
      <w:r w:rsidRPr="00F24A61">
        <w:t xml:space="preserve">Meier curves for </w:t>
      </w:r>
      <w:r>
        <w:t xml:space="preserve">MAIC for </w:t>
      </w:r>
      <w:r w:rsidRPr="00F24A61">
        <w:t>PFS</w:t>
      </w:r>
      <w:r>
        <w:t xml:space="preserve"> (E+B versus D+T)</w:t>
      </w:r>
      <w:r w:rsidRPr="00F24A61">
        <w:t xml:space="preserve"> </w:t>
      </w:r>
      <w:r w:rsidR="003A3A7B">
        <w:noBreakHyphen/>
      </w:r>
      <w:r w:rsidRPr="00F24A61">
        <w:t xml:space="preserve"> base</w:t>
      </w:r>
      <w:r w:rsidR="003A3A7B">
        <w:noBreakHyphen/>
      </w:r>
      <w:r w:rsidRPr="00F24A61">
        <w:t>case (left), sensitivity analysis 1  (right)</w:t>
      </w:r>
    </w:p>
    <w:p w14:paraId="69CB02E2" w14:textId="77777777" w:rsidR="00D25E6C" w:rsidRPr="00E80764" w:rsidRDefault="00D25E6C" w:rsidP="003A3A7B">
      <w:r w:rsidRPr="00E80764">
        <w:rPr>
          <w:noProof/>
        </w:rPr>
        <w:drawing>
          <wp:inline distT="0" distB="0" distL="0" distR="0" wp14:anchorId="0B851721" wp14:editId="23A99810">
            <wp:extent cx="2714400" cy="2714400"/>
            <wp:effectExtent l="0" t="0" r="0" b="0"/>
            <wp:docPr id="635045292" name="Picture 635045292" descr="Figure 7: Kaplan Meier curves for MAIC for PFS (E+B versus D+T)   base case (left), sensitivity analysis 1  (right)">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45292" name="Picture 635045292" descr="Figure 7: Kaplan Meier curves for MAIC for PFS (E+B versus D+T)   base case (left), sensitivity analysis 1  (right)">
                      <a:extLst>
                        <a:ext uri="{FF2B5EF4-FFF2-40B4-BE49-F238E27FC236}">
                          <a16:creationId xmlns:a16="http://schemas.microsoft.com/office/drawing/2014/main" id="{00000000-0008-0000-0100-000002000000}"/>
                        </a:ext>
                      </a:extLst>
                    </pic:cNvPr>
                    <pic:cNvPicPr>
                      <a:picLocks noChangeAspect="1"/>
                    </pic:cNvPicPr>
                  </pic:nvPicPr>
                  <pic:blipFill>
                    <a:blip r:embed="rId17"/>
                    <a:stretch>
                      <a:fillRect/>
                    </a:stretch>
                  </pic:blipFill>
                  <pic:spPr>
                    <a:xfrm>
                      <a:off x="0" y="0"/>
                      <a:ext cx="2714400" cy="2714400"/>
                    </a:xfrm>
                    <a:prstGeom prst="rect">
                      <a:avLst/>
                    </a:prstGeom>
                  </pic:spPr>
                </pic:pic>
              </a:graphicData>
            </a:graphic>
          </wp:inline>
        </w:drawing>
      </w:r>
      <w:r w:rsidRPr="00E80764">
        <w:t xml:space="preserve"> </w:t>
      </w:r>
      <w:r w:rsidRPr="00E80764">
        <w:rPr>
          <w:noProof/>
        </w:rPr>
        <w:drawing>
          <wp:inline distT="0" distB="0" distL="0" distR="0" wp14:anchorId="0562E833" wp14:editId="0524D571">
            <wp:extent cx="2714400" cy="2714400"/>
            <wp:effectExtent l="0" t="0" r="0" b="0"/>
            <wp:docPr id="1944105127" name="Picture 1944105127" descr="Figure 7: Kaplan Meier curves for MAIC for PFS (E+B versus D+T)   base case (left), sensitivity analysis 1  (right)">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05127" name="Picture 1944105127" descr="Figure 7: Kaplan Meier curves for MAIC for PFS (E+B versus D+T)   base case (left), sensitivity analysis 1  (right)">
                      <a:extLst>
                        <a:ext uri="{FF2B5EF4-FFF2-40B4-BE49-F238E27FC236}">
                          <a16:creationId xmlns:a16="http://schemas.microsoft.com/office/drawing/2014/main" id="{00000000-0008-0000-0100-000002000000}"/>
                        </a:ext>
                      </a:extLst>
                    </pic:cNvPr>
                    <pic:cNvPicPr>
                      <a:picLocks noChangeAspect="1"/>
                    </pic:cNvPicPr>
                  </pic:nvPicPr>
                  <pic:blipFill>
                    <a:blip r:embed="rId18"/>
                    <a:stretch>
                      <a:fillRect/>
                    </a:stretch>
                  </pic:blipFill>
                  <pic:spPr>
                    <a:xfrm>
                      <a:off x="0" y="0"/>
                      <a:ext cx="2714400" cy="2714400"/>
                    </a:xfrm>
                    <a:prstGeom prst="rect">
                      <a:avLst/>
                    </a:prstGeom>
                  </pic:spPr>
                </pic:pic>
              </a:graphicData>
            </a:graphic>
          </wp:inline>
        </w:drawing>
      </w:r>
    </w:p>
    <w:p w14:paraId="2C3A9A41" w14:textId="77777777" w:rsidR="00D25E6C" w:rsidRPr="00E80764" w:rsidRDefault="00D25E6C" w:rsidP="003A3A7B">
      <w:pPr>
        <w:pStyle w:val="TableFigureFooter"/>
      </w:pPr>
      <w:r w:rsidRPr="00E80764">
        <w:t xml:space="preserve">Source: Figure 2.18, p138 of the submission. </w:t>
      </w:r>
    </w:p>
    <w:p w14:paraId="5F3C76A5" w14:textId="1396BBD0" w:rsidR="00D25E6C" w:rsidRDefault="00D25E6C" w:rsidP="003A3A7B">
      <w:pPr>
        <w:pStyle w:val="TableFigureFooter"/>
        <w:rPr>
          <w:rFonts w:eastAsia="MS Gothic"/>
        </w:rPr>
      </w:pPr>
      <w:r>
        <w:rPr>
          <w:rFonts w:eastAsia="MS Gothic"/>
        </w:rPr>
        <w:t>Navy/unadjusted curves = E+B (unadjusted/non</w:t>
      </w:r>
      <w:r w:rsidR="003A3A7B">
        <w:rPr>
          <w:rFonts w:eastAsia="MS Gothic"/>
        </w:rPr>
        <w:noBreakHyphen/>
      </w:r>
      <w:r>
        <w:rPr>
          <w:rFonts w:eastAsia="MS Gothic"/>
        </w:rPr>
        <w:t xml:space="preserve">matching); Aqua/weighted curves = E+B (adjusted, base case); Red/comparator curves = </w:t>
      </w:r>
      <w:proofErr w:type="spellStart"/>
      <w:r>
        <w:rPr>
          <w:rFonts w:eastAsia="MS Gothic"/>
        </w:rPr>
        <w:t>Pembrolizumab+PDC</w:t>
      </w:r>
      <w:proofErr w:type="spellEnd"/>
    </w:p>
    <w:p w14:paraId="2DA07946" w14:textId="2BF8E1E0" w:rsidR="00D25E6C" w:rsidRDefault="00D25E6C" w:rsidP="003A3A7B">
      <w:pPr>
        <w:pStyle w:val="TableFigureFooter"/>
      </w:pPr>
      <w:r w:rsidRPr="005C70CE">
        <w:t xml:space="preserve">E+B = </w:t>
      </w:r>
      <w:proofErr w:type="spellStart"/>
      <w:r w:rsidRPr="005C70CE">
        <w:t>encorafenib</w:t>
      </w:r>
      <w:proofErr w:type="spellEnd"/>
      <w:r w:rsidRPr="005C70CE">
        <w:t xml:space="preserve"> and trametinib; D+T = dabrafenib and trametinib; </w:t>
      </w:r>
      <w:r w:rsidRPr="00E80764">
        <w:t>PFS = progression</w:t>
      </w:r>
      <w:r w:rsidR="003A3A7B">
        <w:noBreakHyphen/>
      </w:r>
      <w:r w:rsidRPr="00E80764">
        <w:t>free survival</w:t>
      </w:r>
      <w:r>
        <w:t>; Comparator = D+T.</w:t>
      </w:r>
    </w:p>
    <w:p w14:paraId="00594A66" w14:textId="7EC9F2E2" w:rsidR="00D25E6C" w:rsidRDefault="00D25E6C" w:rsidP="003A3A7B">
      <w:pPr>
        <w:pStyle w:val="Caption"/>
      </w:pPr>
      <w:bookmarkStart w:id="44" w:name="_Ref206093950"/>
      <w:r>
        <w:lastRenderedPageBreak/>
        <w:t xml:space="preserve">Figure </w:t>
      </w:r>
      <w:bookmarkEnd w:id="44"/>
      <w:r w:rsidR="00E24364">
        <w:t>8</w:t>
      </w:r>
      <w:r>
        <w:t xml:space="preserve">: </w:t>
      </w:r>
      <w:r w:rsidRPr="00F24A61">
        <w:t>Kaplan</w:t>
      </w:r>
      <w:r w:rsidR="003A3A7B">
        <w:noBreakHyphen/>
      </w:r>
      <w:r w:rsidRPr="00F24A61">
        <w:t xml:space="preserve">Meier curves for </w:t>
      </w:r>
      <w:r>
        <w:t>MAIC for</w:t>
      </w:r>
      <w:r w:rsidRPr="00F24A61">
        <w:t xml:space="preserve"> OS</w:t>
      </w:r>
      <w:r>
        <w:t xml:space="preserve"> (E+B versus D+T)</w:t>
      </w:r>
      <w:r w:rsidRPr="00F24A61">
        <w:t xml:space="preserve"> </w:t>
      </w:r>
      <w:r w:rsidR="003A3A7B">
        <w:noBreakHyphen/>
      </w:r>
      <w:r w:rsidRPr="00F24A61">
        <w:t xml:space="preserve"> base</w:t>
      </w:r>
      <w:r w:rsidR="003A3A7B">
        <w:noBreakHyphen/>
      </w:r>
      <w:r w:rsidRPr="00F24A61">
        <w:t>case (left), sensitivity analysis 1 (right)</w:t>
      </w:r>
    </w:p>
    <w:p w14:paraId="7C87E7F8" w14:textId="77777777" w:rsidR="00D25E6C" w:rsidRPr="00E80764" w:rsidRDefault="00D25E6C" w:rsidP="003A3A7B">
      <w:pPr>
        <w:rPr>
          <w:noProof/>
        </w:rPr>
      </w:pPr>
      <w:r w:rsidRPr="00735F84">
        <w:rPr>
          <w:noProof/>
        </w:rPr>
        <w:drawing>
          <wp:inline distT="0" distB="0" distL="0" distR="0" wp14:anchorId="4ECD13E5" wp14:editId="44C5439D">
            <wp:extent cx="2714400" cy="2714400"/>
            <wp:effectExtent l="0" t="0" r="0" b="0"/>
            <wp:docPr id="370463847" name="Picture 370463847" descr="Figure 8: Kaplan Meier curves for MAIC for OS (E+B versus D+T)   base case (left), sensitivity analysis 1 (right)t">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63847" name="Picture 370463847" descr="Figure 8: Kaplan Meier curves for MAIC for OS (E+B versus D+T)   base case (left), sensitivity analysis 1 (right)t">
                      <a:extLst>
                        <a:ext uri="{FF2B5EF4-FFF2-40B4-BE49-F238E27FC236}">
                          <a16:creationId xmlns:a16="http://schemas.microsoft.com/office/drawing/2014/main" id="{00000000-0008-0000-0100-000002000000}"/>
                        </a:ext>
                      </a:extLst>
                    </pic:cNvPr>
                    <pic:cNvPicPr>
                      <a:picLocks noChangeAspect="1"/>
                    </pic:cNvPicPr>
                  </pic:nvPicPr>
                  <pic:blipFill>
                    <a:blip r:embed="rId19"/>
                    <a:stretch>
                      <a:fillRect/>
                    </a:stretch>
                  </pic:blipFill>
                  <pic:spPr>
                    <a:xfrm>
                      <a:off x="0" y="0"/>
                      <a:ext cx="2714400" cy="2714400"/>
                    </a:xfrm>
                    <a:prstGeom prst="rect">
                      <a:avLst/>
                    </a:prstGeom>
                  </pic:spPr>
                </pic:pic>
              </a:graphicData>
            </a:graphic>
          </wp:inline>
        </w:drawing>
      </w:r>
      <w:r w:rsidRPr="00735F84">
        <w:t xml:space="preserve"> </w:t>
      </w:r>
      <w:r w:rsidRPr="00E80764">
        <w:rPr>
          <w:noProof/>
        </w:rPr>
        <w:drawing>
          <wp:inline distT="0" distB="0" distL="0" distR="0" wp14:anchorId="71C82A1B" wp14:editId="7F0DD44F">
            <wp:extent cx="2714400" cy="2714400"/>
            <wp:effectExtent l="0" t="0" r="0" b="0"/>
            <wp:docPr id="1908026783" name="Picture 1908026783" descr="Figure 8: Kaplan Meier curves for MAIC for OS (E+B versus D+T)   base case (left), sensitivity analysis 1 (right)">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26783" name="Picture 1908026783" descr="Figure 8: Kaplan Meier curves for MAIC for OS (E+B versus D+T)   base case (left), sensitivity analysis 1 (right)">
                      <a:extLst>
                        <a:ext uri="{FF2B5EF4-FFF2-40B4-BE49-F238E27FC236}">
                          <a16:creationId xmlns:a16="http://schemas.microsoft.com/office/drawing/2014/main" id="{00000000-0008-0000-0100-000002000000}"/>
                        </a:ext>
                      </a:extLst>
                    </pic:cNvPr>
                    <pic:cNvPicPr>
                      <a:picLocks noChangeAspect="1"/>
                    </pic:cNvPicPr>
                  </pic:nvPicPr>
                  <pic:blipFill>
                    <a:blip r:embed="rId20"/>
                    <a:stretch>
                      <a:fillRect/>
                    </a:stretch>
                  </pic:blipFill>
                  <pic:spPr>
                    <a:xfrm>
                      <a:off x="0" y="0"/>
                      <a:ext cx="2714400" cy="2714400"/>
                    </a:xfrm>
                    <a:prstGeom prst="rect">
                      <a:avLst/>
                    </a:prstGeom>
                  </pic:spPr>
                </pic:pic>
              </a:graphicData>
            </a:graphic>
          </wp:inline>
        </w:drawing>
      </w:r>
    </w:p>
    <w:p w14:paraId="04DB08CA" w14:textId="77777777" w:rsidR="00D25E6C" w:rsidRPr="00E80764" w:rsidRDefault="00D25E6C" w:rsidP="003A3A7B">
      <w:pPr>
        <w:pStyle w:val="TableFigureFooter"/>
      </w:pPr>
      <w:r w:rsidRPr="00E80764">
        <w:t xml:space="preserve">Source: Figure 2.17, p136 of the submission. </w:t>
      </w:r>
    </w:p>
    <w:p w14:paraId="61ECDA43" w14:textId="22EA430C" w:rsidR="00D25E6C" w:rsidRDefault="00D25E6C" w:rsidP="003A3A7B">
      <w:pPr>
        <w:pStyle w:val="TableFigureFooter"/>
        <w:rPr>
          <w:rFonts w:eastAsia="MS Gothic"/>
        </w:rPr>
      </w:pPr>
      <w:r>
        <w:rPr>
          <w:rFonts w:eastAsia="MS Gothic"/>
        </w:rPr>
        <w:t>Navy/unadjusted curves = E+B (unadjusted/non</w:t>
      </w:r>
      <w:r w:rsidR="003A3A7B">
        <w:rPr>
          <w:rFonts w:eastAsia="MS Gothic"/>
        </w:rPr>
        <w:noBreakHyphen/>
      </w:r>
      <w:r>
        <w:rPr>
          <w:rFonts w:eastAsia="MS Gothic"/>
        </w:rPr>
        <w:t xml:space="preserve">matching); Aqua/weighted curves = E+B (adjusted, base case); Red/comparator curves = </w:t>
      </w:r>
      <w:proofErr w:type="spellStart"/>
      <w:r>
        <w:rPr>
          <w:rFonts w:eastAsia="MS Gothic"/>
        </w:rPr>
        <w:t>Pembrolizumab+PDC</w:t>
      </w:r>
      <w:proofErr w:type="spellEnd"/>
    </w:p>
    <w:p w14:paraId="567E34F9" w14:textId="77777777" w:rsidR="00D25E6C" w:rsidRPr="00344B2A" w:rsidRDefault="00D25E6C" w:rsidP="003A3A7B">
      <w:pPr>
        <w:pStyle w:val="TableFigureFooter"/>
      </w:pPr>
      <w:r w:rsidRPr="001C23CF">
        <w:t xml:space="preserve">E+B = </w:t>
      </w:r>
      <w:proofErr w:type="spellStart"/>
      <w:r w:rsidRPr="001C23CF">
        <w:t>encorafenib</w:t>
      </w:r>
      <w:proofErr w:type="spellEnd"/>
      <w:r w:rsidRPr="001C23CF">
        <w:t xml:space="preserve"> and trametinib; D+T = dabrafenib and trametinib; </w:t>
      </w:r>
      <w:r w:rsidRPr="00E80764">
        <w:t>OS = overall survival</w:t>
      </w:r>
      <w:r>
        <w:t>; Comparator = D+T.</w:t>
      </w:r>
    </w:p>
    <w:p w14:paraId="42C31F3B" w14:textId="2597BBCF" w:rsidR="00D25E6C" w:rsidRDefault="00D25E6C" w:rsidP="003A3A7B">
      <w:pPr>
        <w:pStyle w:val="3-BodyText"/>
      </w:pPr>
      <w:bookmarkStart w:id="45" w:name="_Ref206180458"/>
      <w:r w:rsidRPr="009F1530">
        <w:t xml:space="preserve">While </w:t>
      </w:r>
      <w:r>
        <w:t>there was a significant improvement in PFS with E+B compared to D+T</w:t>
      </w:r>
      <w:r w:rsidRPr="009F1530">
        <w:t xml:space="preserve"> across both unadjusted and adjusted models</w:t>
      </w:r>
      <w:r>
        <w:t>, the improvement in OS was non</w:t>
      </w:r>
      <w:r w:rsidR="003A3A7B">
        <w:noBreakHyphen/>
      </w:r>
      <w:r>
        <w:t xml:space="preserve">significant. </w:t>
      </w:r>
      <w:r w:rsidRPr="004A5326">
        <w:t xml:space="preserve">These results should be interpreted with caution. </w:t>
      </w:r>
      <w:r w:rsidRPr="000E1EA7">
        <w:t>The ESC noted that</w:t>
      </w:r>
      <w:r>
        <w:t xml:space="preserve"> </w:t>
      </w:r>
      <w:r w:rsidRPr="004A5326">
        <w:t xml:space="preserve">median PFS for E+B was derived from heavily censored data with an </w:t>
      </w:r>
      <w:r w:rsidR="00AC3C83" w:rsidRPr="004A5326">
        <w:t>inestimable</w:t>
      </w:r>
      <w:r w:rsidRPr="004A5326">
        <w:t xml:space="preserve"> upper confidence interval. Median OS for E+B was not reached, with </w:t>
      </w:r>
      <w:r w:rsidR="00AC3C83" w:rsidRPr="004A5326">
        <w:t>inestimable</w:t>
      </w:r>
      <w:r w:rsidRPr="004A5326">
        <w:t xml:space="preserve"> upper CI and heavy censoring toward the end of the curve. The immature survival curves may affect the proportional hazard assumption. Furthermore, the small sample size of both the trials reduces precision, and differences in trial design, median duration of follow</w:t>
      </w:r>
      <w:r w:rsidR="003A3A7B">
        <w:noBreakHyphen/>
      </w:r>
      <w:r w:rsidRPr="004A5326">
        <w:t>up and mean treatment duration, together with the lack of adjustment for key prognostic variables, may introduce residual confounding, despite the use of adjusted models.</w:t>
      </w:r>
      <w:bookmarkEnd w:id="45"/>
    </w:p>
    <w:p w14:paraId="5291EE0E" w14:textId="0A1B54E3" w:rsidR="00D25E6C" w:rsidRPr="000E1D39" w:rsidRDefault="00D25E6C" w:rsidP="003A3A7B">
      <w:pPr>
        <w:pStyle w:val="3-BodyText"/>
      </w:pPr>
      <w:r w:rsidRPr="000E1D39">
        <w:t>The PSCR presented an updated MAIC that incorporated the E+B OS data from the March 2025 data cut</w:t>
      </w:r>
      <w:r w:rsidR="003A3A7B">
        <w:noBreakHyphen/>
      </w:r>
      <w:r w:rsidRPr="000E1D39">
        <w:t>off which had a longer follow up. The PSCR noted that the point estimate for the adjusted (base case) was statistically significant (HR = 0.54; 95% CI: 0.31, 0.94).</w:t>
      </w:r>
    </w:p>
    <w:p w14:paraId="43665DD6" w14:textId="36731E28" w:rsidR="00D40463" w:rsidRDefault="00D25E6C" w:rsidP="003A3A7B">
      <w:pPr>
        <w:pStyle w:val="3-BodyText"/>
      </w:pPr>
      <w:r w:rsidRPr="001F2767">
        <w:t xml:space="preserve">Results of the unanchored MAICs for </w:t>
      </w:r>
      <w:r>
        <w:t>ORRs is</w:t>
      </w:r>
      <w:r w:rsidRPr="001F2767">
        <w:t xml:space="preserve"> summarised </w:t>
      </w:r>
      <w:r>
        <w:t xml:space="preserve">in </w:t>
      </w:r>
      <w:r>
        <w:fldChar w:fldCharType="begin"/>
      </w:r>
      <w:r>
        <w:instrText xml:space="preserve"> REF _Ref206096865 \h </w:instrText>
      </w:r>
      <w:r>
        <w:fldChar w:fldCharType="separate"/>
      </w:r>
      <w:r w:rsidR="00894EC9">
        <w:t>Table 9</w:t>
      </w:r>
      <w:r>
        <w:fldChar w:fldCharType="end"/>
      </w:r>
      <w:r>
        <w:t xml:space="preserve">. </w:t>
      </w:r>
      <w:r w:rsidRPr="00FB229F">
        <w:t xml:space="preserve">Unadjusted results are included for comparison. </w:t>
      </w:r>
    </w:p>
    <w:p w14:paraId="12C3CDC2" w14:textId="77777777" w:rsidR="00D40463" w:rsidRDefault="00D40463" w:rsidP="003A3A7B">
      <w:pPr>
        <w:jc w:val="left"/>
        <w:rPr>
          <w:rFonts w:asciiTheme="minorHAnsi" w:eastAsiaTheme="minorHAnsi" w:hAnsiTheme="minorHAnsi" w:cstheme="minorBidi"/>
          <w:szCs w:val="22"/>
        </w:rPr>
      </w:pPr>
      <w:r>
        <w:br w:type="page"/>
      </w:r>
    </w:p>
    <w:p w14:paraId="492AB0E9" w14:textId="2BF75A03" w:rsidR="00D25E6C" w:rsidRDefault="00D25E6C" w:rsidP="003A3A7B">
      <w:pPr>
        <w:pStyle w:val="Caption"/>
      </w:pPr>
      <w:bookmarkStart w:id="46" w:name="_Ref206096865"/>
      <w:r>
        <w:lastRenderedPageBreak/>
        <w:t xml:space="preserve">Table </w:t>
      </w:r>
      <w:r w:rsidR="00E24364">
        <w:t>9</w:t>
      </w:r>
      <w:bookmarkEnd w:id="46"/>
      <w:r>
        <w:t>: Indirect comparison of ORR – unadjusted analysis and MAICs</w:t>
      </w:r>
    </w:p>
    <w:tbl>
      <w:tblPr>
        <w:tblStyle w:val="TableGrid"/>
        <w:tblW w:w="5000" w:type="pct"/>
        <w:tblLook w:val="04A0" w:firstRow="1" w:lastRow="0" w:firstColumn="1" w:lastColumn="0" w:noHBand="0" w:noVBand="1"/>
        <w:tblCaption w:val="Table 9: Indirect comparison of ORR – unadjusted analysis and MAICs"/>
      </w:tblPr>
      <w:tblGrid>
        <w:gridCol w:w="2544"/>
        <w:gridCol w:w="2269"/>
        <w:gridCol w:w="2411"/>
        <w:gridCol w:w="1793"/>
      </w:tblGrid>
      <w:tr w:rsidR="00D25E6C" w14:paraId="26A739F3" w14:textId="77777777">
        <w:trPr>
          <w:trHeight w:val="587"/>
        </w:trPr>
        <w:tc>
          <w:tcPr>
            <w:tcW w:w="1411" w:type="pct"/>
            <w:tcBorders>
              <w:top w:val="single" w:sz="4" w:space="0" w:color="auto"/>
              <w:left w:val="single" w:sz="4" w:space="0" w:color="auto"/>
              <w:bottom w:val="single" w:sz="4" w:space="0" w:color="auto"/>
              <w:right w:val="single" w:sz="4" w:space="0" w:color="auto"/>
            </w:tcBorders>
            <w:hideMark/>
          </w:tcPr>
          <w:p w14:paraId="05D1B024" w14:textId="77777777" w:rsidR="00D25E6C" w:rsidRDefault="00D25E6C" w:rsidP="003A3A7B">
            <w:pPr>
              <w:pStyle w:val="TableFigureHeading"/>
            </w:pPr>
            <w:r>
              <w:t>Model</w:t>
            </w:r>
          </w:p>
        </w:tc>
        <w:tc>
          <w:tcPr>
            <w:tcW w:w="1258" w:type="pct"/>
            <w:tcBorders>
              <w:top w:val="single" w:sz="4" w:space="0" w:color="auto"/>
              <w:left w:val="single" w:sz="4" w:space="0" w:color="auto"/>
              <w:bottom w:val="single" w:sz="4" w:space="0" w:color="auto"/>
              <w:right w:val="single" w:sz="4" w:space="0" w:color="auto"/>
            </w:tcBorders>
            <w:hideMark/>
          </w:tcPr>
          <w:p w14:paraId="585F1238" w14:textId="77777777" w:rsidR="00D25E6C" w:rsidRPr="00B628E3" w:rsidRDefault="00D25E6C" w:rsidP="003A3A7B">
            <w:pPr>
              <w:pStyle w:val="TableFigureHeading"/>
              <w:jc w:val="center"/>
              <w:rPr>
                <w:lang w:val="fr-FR"/>
              </w:rPr>
            </w:pPr>
            <w:r w:rsidRPr="00B628E3">
              <w:rPr>
                <w:lang w:val="fr-FR"/>
              </w:rPr>
              <w:t xml:space="preserve">1L PHAROS </w:t>
            </w:r>
          </w:p>
          <w:p w14:paraId="524AD093" w14:textId="77777777" w:rsidR="00D25E6C" w:rsidRPr="00B628E3" w:rsidRDefault="00D25E6C" w:rsidP="003A3A7B">
            <w:pPr>
              <w:pStyle w:val="TableFigureHeading"/>
              <w:jc w:val="center"/>
              <w:rPr>
                <w:lang w:val="fr-FR"/>
              </w:rPr>
            </w:pPr>
            <w:r w:rsidRPr="00B628E3">
              <w:rPr>
                <w:lang w:val="fr-FR"/>
              </w:rPr>
              <w:t>E+B (N=59)</w:t>
            </w:r>
          </w:p>
          <w:p w14:paraId="1B307644" w14:textId="34562C82" w:rsidR="00D25E6C" w:rsidRDefault="00D25E6C" w:rsidP="003A3A7B">
            <w:pPr>
              <w:pStyle w:val="TableFigureHeading"/>
              <w:jc w:val="center"/>
            </w:pPr>
            <w:r>
              <w:t>(median follow</w:t>
            </w:r>
            <w:r w:rsidR="003A3A7B">
              <w:noBreakHyphen/>
            </w:r>
            <w:r>
              <w:t>up of 33.3 months)</w:t>
            </w:r>
          </w:p>
        </w:tc>
        <w:tc>
          <w:tcPr>
            <w:tcW w:w="1337" w:type="pct"/>
            <w:tcBorders>
              <w:top w:val="single" w:sz="4" w:space="0" w:color="auto"/>
              <w:left w:val="single" w:sz="4" w:space="0" w:color="auto"/>
              <w:bottom w:val="single" w:sz="4" w:space="0" w:color="auto"/>
              <w:right w:val="single" w:sz="4" w:space="0" w:color="auto"/>
            </w:tcBorders>
            <w:hideMark/>
          </w:tcPr>
          <w:p w14:paraId="2D35C088" w14:textId="77777777" w:rsidR="00D25E6C" w:rsidRPr="00B628E3" w:rsidRDefault="00D25E6C" w:rsidP="003A3A7B">
            <w:pPr>
              <w:pStyle w:val="TableFigureHeading"/>
              <w:jc w:val="center"/>
              <w:rPr>
                <w:lang w:val="fr-FR"/>
              </w:rPr>
            </w:pPr>
            <w:r w:rsidRPr="00B628E3">
              <w:rPr>
                <w:lang w:val="fr-FR"/>
              </w:rPr>
              <w:t>BRF113928 (</w:t>
            </w:r>
            <w:proofErr w:type="spellStart"/>
            <w:r w:rsidRPr="00B628E3">
              <w:rPr>
                <w:lang w:val="fr-FR"/>
              </w:rPr>
              <w:t>Cohort</w:t>
            </w:r>
            <w:proofErr w:type="spellEnd"/>
            <w:r w:rsidRPr="00B628E3">
              <w:rPr>
                <w:lang w:val="fr-FR"/>
              </w:rPr>
              <w:t xml:space="preserve"> C)</w:t>
            </w:r>
          </w:p>
          <w:p w14:paraId="0227F33B" w14:textId="77777777" w:rsidR="00D25E6C" w:rsidRPr="00B628E3" w:rsidRDefault="00D25E6C" w:rsidP="003A3A7B">
            <w:pPr>
              <w:pStyle w:val="TableFigureHeading"/>
              <w:jc w:val="center"/>
              <w:rPr>
                <w:lang w:val="fr-FR"/>
              </w:rPr>
            </w:pPr>
            <w:r w:rsidRPr="00B628E3">
              <w:rPr>
                <w:lang w:val="fr-FR"/>
              </w:rPr>
              <w:t>D+T (N=36)</w:t>
            </w:r>
          </w:p>
          <w:p w14:paraId="51AADF65" w14:textId="48609B16" w:rsidR="00D25E6C" w:rsidRDefault="00D25E6C" w:rsidP="003A3A7B">
            <w:pPr>
              <w:pStyle w:val="TableFigureHeading"/>
              <w:jc w:val="center"/>
            </w:pPr>
            <w:r>
              <w:t>(median follow</w:t>
            </w:r>
            <w:r w:rsidR="003A3A7B">
              <w:noBreakHyphen/>
            </w:r>
            <w:r>
              <w:t>up of 15.9 months)</w:t>
            </w:r>
          </w:p>
        </w:tc>
        <w:tc>
          <w:tcPr>
            <w:tcW w:w="994" w:type="pct"/>
            <w:tcBorders>
              <w:top w:val="single" w:sz="4" w:space="0" w:color="auto"/>
              <w:left w:val="single" w:sz="4" w:space="0" w:color="auto"/>
              <w:bottom w:val="single" w:sz="4" w:space="0" w:color="auto"/>
              <w:right w:val="single" w:sz="4" w:space="0" w:color="auto"/>
            </w:tcBorders>
          </w:tcPr>
          <w:p w14:paraId="2349120B" w14:textId="77777777" w:rsidR="00D25E6C" w:rsidRPr="00C62867" w:rsidRDefault="00D25E6C" w:rsidP="003A3A7B">
            <w:pPr>
              <w:pStyle w:val="TableFigureHeading"/>
              <w:jc w:val="center"/>
              <w:rPr>
                <w:lang w:val="fr-FR"/>
              </w:rPr>
            </w:pPr>
            <w:r w:rsidRPr="00C62867">
              <w:rPr>
                <w:lang w:val="fr-FR"/>
              </w:rPr>
              <w:t xml:space="preserve">E+B versus D+T; </w:t>
            </w:r>
          </w:p>
          <w:p w14:paraId="4545ED23" w14:textId="77777777" w:rsidR="00D25E6C" w:rsidRDefault="00D25E6C" w:rsidP="003A3A7B">
            <w:pPr>
              <w:pStyle w:val="TableFigureHeading"/>
              <w:jc w:val="center"/>
            </w:pPr>
            <w:r>
              <w:t>O</w:t>
            </w:r>
            <w:r w:rsidRPr="007947DB">
              <w:t>R (95% CI)</w:t>
            </w:r>
            <w:r>
              <w:t xml:space="preserve"> </w:t>
            </w:r>
          </w:p>
        </w:tc>
      </w:tr>
      <w:tr w:rsidR="00D25E6C" w14:paraId="006E8ED1" w14:textId="77777777">
        <w:tc>
          <w:tcPr>
            <w:tcW w:w="1411" w:type="pct"/>
            <w:tcBorders>
              <w:top w:val="single" w:sz="4" w:space="0" w:color="auto"/>
              <w:left w:val="single" w:sz="4" w:space="0" w:color="auto"/>
              <w:bottom w:val="single" w:sz="4" w:space="0" w:color="auto"/>
              <w:right w:val="single" w:sz="4" w:space="0" w:color="auto"/>
            </w:tcBorders>
            <w:hideMark/>
          </w:tcPr>
          <w:p w14:paraId="7866D7C5" w14:textId="21243D4D" w:rsidR="00D25E6C" w:rsidRDefault="00D25E6C" w:rsidP="003A3A7B">
            <w:pPr>
              <w:pStyle w:val="TableText0"/>
            </w:pPr>
            <w:r>
              <w:t>Unadjusted (non</w:t>
            </w:r>
            <w:r w:rsidR="003A3A7B">
              <w:noBreakHyphen/>
            </w:r>
            <w:r>
              <w:t>matching)</w:t>
            </w:r>
          </w:p>
        </w:tc>
        <w:tc>
          <w:tcPr>
            <w:tcW w:w="1258" w:type="pct"/>
            <w:vMerge w:val="restart"/>
            <w:tcBorders>
              <w:top w:val="single" w:sz="4" w:space="0" w:color="auto"/>
              <w:left w:val="single" w:sz="4" w:space="0" w:color="auto"/>
              <w:right w:val="single" w:sz="4" w:space="0" w:color="auto"/>
            </w:tcBorders>
            <w:vAlign w:val="center"/>
            <w:hideMark/>
          </w:tcPr>
          <w:p w14:paraId="1C709F1F" w14:textId="77777777" w:rsidR="00D25E6C" w:rsidRDefault="00D25E6C" w:rsidP="003A3A7B">
            <w:pPr>
              <w:pStyle w:val="TableText0"/>
              <w:jc w:val="center"/>
            </w:pPr>
            <w:r>
              <w:t>44/59</w:t>
            </w:r>
          </w:p>
          <w:p w14:paraId="27953A29" w14:textId="77777777" w:rsidR="00D25E6C" w:rsidRDefault="00D25E6C" w:rsidP="003A3A7B">
            <w:pPr>
              <w:pStyle w:val="TableText0"/>
              <w:jc w:val="center"/>
            </w:pPr>
            <w:r>
              <w:t>(74.6%)</w:t>
            </w:r>
          </w:p>
        </w:tc>
        <w:tc>
          <w:tcPr>
            <w:tcW w:w="1337" w:type="pct"/>
            <w:vMerge w:val="restart"/>
            <w:tcBorders>
              <w:top w:val="single" w:sz="4" w:space="0" w:color="auto"/>
              <w:left w:val="single" w:sz="4" w:space="0" w:color="auto"/>
              <w:right w:val="single" w:sz="4" w:space="0" w:color="auto"/>
            </w:tcBorders>
            <w:vAlign w:val="center"/>
            <w:hideMark/>
          </w:tcPr>
          <w:p w14:paraId="22E4FED4" w14:textId="77777777" w:rsidR="00D25E6C" w:rsidRDefault="00D25E6C" w:rsidP="003A3A7B">
            <w:pPr>
              <w:pStyle w:val="TableText0"/>
              <w:jc w:val="center"/>
            </w:pPr>
            <w:r w:rsidRPr="00271A78">
              <w:t>23</w:t>
            </w:r>
            <w:r>
              <w:t>/36</w:t>
            </w:r>
          </w:p>
          <w:p w14:paraId="4610CCE1" w14:textId="77777777" w:rsidR="00D25E6C" w:rsidRDefault="00D25E6C" w:rsidP="003A3A7B">
            <w:pPr>
              <w:pStyle w:val="TableText0"/>
              <w:jc w:val="center"/>
            </w:pPr>
            <w:r w:rsidRPr="00271A78">
              <w:t>(63.9%)</w:t>
            </w:r>
          </w:p>
        </w:tc>
        <w:tc>
          <w:tcPr>
            <w:tcW w:w="994" w:type="pct"/>
            <w:tcBorders>
              <w:top w:val="single" w:sz="4" w:space="0" w:color="auto"/>
              <w:left w:val="single" w:sz="4" w:space="0" w:color="auto"/>
              <w:bottom w:val="single" w:sz="4" w:space="0" w:color="auto"/>
              <w:right w:val="single" w:sz="4" w:space="0" w:color="auto"/>
            </w:tcBorders>
          </w:tcPr>
          <w:p w14:paraId="0D90A09E" w14:textId="77777777" w:rsidR="00D25E6C" w:rsidRPr="00F43C43" w:rsidRDefault="00D25E6C" w:rsidP="003A3A7B">
            <w:pPr>
              <w:pStyle w:val="TableText0"/>
              <w:jc w:val="center"/>
              <w:rPr>
                <w:b/>
                <w:bCs w:val="0"/>
              </w:rPr>
            </w:pPr>
            <w:r w:rsidRPr="004F02B0">
              <w:t>1.66 (0.68, 4.07)</w:t>
            </w:r>
          </w:p>
        </w:tc>
      </w:tr>
      <w:tr w:rsidR="00D25E6C" w14:paraId="1C116F43" w14:textId="77777777">
        <w:tc>
          <w:tcPr>
            <w:tcW w:w="1411" w:type="pct"/>
            <w:tcBorders>
              <w:top w:val="single" w:sz="4" w:space="0" w:color="auto"/>
              <w:left w:val="single" w:sz="4" w:space="0" w:color="auto"/>
              <w:bottom w:val="single" w:sz="4" w:space="0" w:color="auto"/>
              <w:right w:val="single" w:sz="4" w:space="0" w:color="auto"/>
            </w:tcBorders>
            <w:hideMark/>
          </w:tcPr>
          <w:p w14:paraId="2C698AFE" w14:textId="77777777" w:rsidR="00D25E6C" w:rsidRDefault="00D25E6C" w:rsidP="003A3A7B">
            <w:pPr>
              <w:pStyle w:val="TableText0"/>
            </w:pPr>
            <w:r>
              <w:t>Adjusted (base case)</w:t>
            </w:r>
          </w:p>
        </w:tc>
        <w:tc>
          <w:tcPr>
            <w:tcW w:w="1258" w:type="pct"/>
            <w:vMerge/>
            <w:tcBorders>
              <w:left w:val="single" w:sz="4" w:space="0" w:color="auto"/>
              <w:right w:val="single" w:sz="4" w:space="0" w:color="auto"/>
            </w:tcBorders>
          </w:tcPr>
          <w:p w14:paraId="68060C69" w14:textId="77777777" w:rsidR="00D25E6C" w:rsidRDefault="00D25E6C" w:rsidP="003A3A7B">
            <w:pPr>
              <w:pStyle w:val="TableText0"/>
              <w:jc w:val="center"/>
              <w:rPr>
                <w:b/>
                <w:bCs w:val="0"/>
              </w:rPr>
            </w:pPr>
          </w:p>
        </w:tc>
        <w:tc>
          <w:tcPr>
            <w:tcW w:w="1337" w:type="pct"/>
            <w:vMerge/>
            <w:tcBorders>
              <w:left w:val="single" w:sz="4" w:space="0" w:color="auto"/>
              <w:right w:val="single" w:sz="4" w:space="0" w:color="auto"/>
            </w:tcBorders>
          </w:tcPr>
          <w:p w14:paraId="4B171131" w14:textId="77777777" w:rsidR="00D25E6C" w:rsidRDefault="00D25E6C" w:rsidP="003A3A7B">
            <w:pPr>
              <w:pStyle w:val="TableText0"/>
              <w:jc w:val="center"/>
              <w:rPr>
                <w:b/>
                <w:bCs w:val="0"/>
              </w:rPr>
            </w:pPr>
          </w:p>
        </w:tc>
        <w:tc>
          <w:tcPr>
            <w:tcW w:w="994" w:type="pct"/>
            <w:tcBorders>
              <w:top w:val="single" w:sz="4" w:space="0" w:color="auto"/>
              <w:left w:val="single" w:sz="4" w:space="0" w:color="auto"/>
              <w:bottom w:val="single" w:sz="4" w:space="0" w:color="auto"/>
              <w:right w:val="single" w:sz="4" w:space="0" w:color="auto"/>
            </w:tcBorders>
          </w:tcPr>
          <w:p w14:paraId="4EFB5C51" w14:textId="77777777" w:rsidR="00D25E6C" w:rsidRPr="00F43C43" w:rsidRDefault="00D25E6C" w:rsidP="003A3A7B">
            <w:pPr>
              <w:pStyle w:val="TableText0"/>
              <w:jc w:val="center"/>
              <w:rPr>
                <w:b/>
                <w:bCs w:val="0"/>
              </w:rPr>
            </w:pPr>
            <w:r w:rsidRPr="004F02B0">
              <w:t>1.81 (0.71, 4.59)</w:t>
            </w:r>
          </w:p>
        </w:tc>
      </w:tr>
      <w:tr w:rsidR="00D25E6C" w14:paraId="12F5418D" w14:textId="77777777">
        <w:tc>
          <w:tcPr>
            <w:tcW w:w="1411" w:type="pct"/>
            <w:tcBorders>
              <w:top w:val="single" w:sz="4" w:space="0" w:color="auto"/>
              <w:left w:val="single" w:sz="4" w:space="0" w:color="auto"/>
              <w:bottom w:val="single" w:sz="4" w:space="0" w:color="auto"/>
              <w:right w:val="single" w:sz="4" w:space="0" w:color="auto"/>
            </w:tcBorders>
          </w:tcPr>
          <w:p w14:paraId="63E61D07" w14:textId="77777777" w:rsidR="00D25E6C" w:rsidRDefault="00D25E6C" w:rsidP="003A3A7B">
            <w:pPr>
              <w:pStyle w:val="TableText0"/>
            </w:pPr>
            <w:r>
              <w:t>Adjusted (sensitivity analysis 1)</w:t>
            </w:r>
          </w:p>
        </w:tc>
        <w:tc>
          <w:tcPr>
            <w:tcW w:w="1258" w:type="pct"/>
            <w:vMerge/>
            <w:tcBorders>
              <w:left w:val="single" w:sz="4" w:space="0" w:color="auto"/>
              <w:right w:val="single" w:sz="4" w:space="0" w:color="auto"/>
            </w:tcBorders>
          </w:tcPr>
          <w:p w14:paraId="0DF47E85" w14:textId="77777777" w:rsidR="00D25E6C" w:rsidRDefault="00D25E6C" w:rsidP="003A3A7B">
            <w:pPr>
              <w:pStyle w:val="TableText0"/>
              <w:jc w:val="center"/>
              <w:rPr>
                <w:b/>
                <w:bCs w:val="0"/>
              </w:rPr>
            </w:pPr>
          </w:p>
        </w:tc>
        <w:tc>
          <w:tcPr>
            <w:tcW w:w="1337" w:type="pct"/>
            <w:vMerge/>
            <w:tcBorders>
              <w:left w:val="single" w:sz="4" w:space="0" w:color="auto"/>
              <w:right w:val="single" w:sz="4" w:space="0" w:color="auto"/>
            </w:tcBorders>
          </w:tcPr>
          <w:p w14:paraId="77A67A26" w14:textId="77777777" w:rsidR="00D25E6C" w:rsidRDefault="00D25E6C" w:rsidP="003A3A7B">
            <w:pPr>
              <w:pStyle w:val="TableText0"/>
              <w:jc w:val="center"/>
              <w:rPr>
                <w:b/>
                <w:bCs w:val="0"/>
              </w:rPr>
            </w:pPr>
          </w:p>
        </w:tc>
        <w:tc>
          <w:tcPr>
            <w:tcW w:w="994" w:type="pct"/>
            <w:tcBorders>
              <w:top w:val="single" w:sz="4" w:space="0" w:color="auto"/>
              <w:left w:val="single" w:sz="4" w:space="0" w:color="auto"/>
              <w:bottom w:val="single" w:sz="4" w:space="0" w:color="auto"/>
              <w:right w:val="single" w:sz="4" w:space="0" w:color="auto"/>
            </w:tcBorders>
          </w:tcPr>
          <w:p w14:paraId="48A8E8BC" w14:textId="77777777" w:rsidR="00D25E6C" w:rsidRPr="00F43C43" w:rsidRDefault="00D25E6C" w:rsidP="003A3A7B">
            <w:pPr>
              <w:pStyle w:val="TableText0"/>
              <w:jc w:val="center"/>
              <w:rPr>
                <w:b/>
                <w:bCs w:val="0"/>
              </w:rPr>
            </w:pPr>
            <w:r w:rsidRPr="004F02B0">
              <w:t>1.61 (0.66, 3.95)</w:t>
            </w:r>
          </w:p>
        </w:tc>
      </w:tr>
    </w:tbl>
    <w:p w14:paraId="65E07C1D" w14:textId="77777777" w:rsidR="00D25E6C" w:rsidRDefault="00D25E6C" w:rsidP="003A3A7B">
      <w:pPr>
        <w:pStyle w:val="TableFigureFooter"/>
      </w:pPr>
      <w:r>
        <w:t xml:space="preserve">Source: Table 2.51, p120 and Table 2.72, p139 of the submission. </w:t>
      </w:r>
    </w:p>
    <w:p w14:paraId="70063FB8" w14:textId="5A7C01A4" w:rsidR="00D25E6C" w:rsidRDefault="00D25E6C" w:rsidP="003A3A7B">
      <w:pPr>
        <w:pStyle w:val="TableFigureFooter"/>
      </w:pPr>
      <w:r>
        <w:t xml:space="preserve">1L = first line; CI = confidence interval; D+T = dabrafenib and trametinib; ECOG PS= Eastern Cooperative Oncology Group Performance Status; E+B = </w:t>
      </w:r>
      <w:proofErr w:type="spellStart"/>
      <w:r>
        <w:t>encorafenib</w:t>
      </w:r>
      <w:proofErr w:type="spellEnd"/>
      <w:r>
        <w:t xml:space="preserve"> + </w:t>
      </w:r>
      <w:proofErr w:type="spellStart"/>
      <w:r>
        <w:t>binimetinib</w:t>
      </w:r>
      <w:proofErr w:type="spellEnd"/>
      <w:r>
        <w:t>; MAIC = matching</w:t>
      </w:r>
      <w:r w:rsidR="003A3A7B">
        <w:noBreakHyphen/>
      </w:r>
      <w:r>
        <w:t xml:space="preserve">adjusted indirect comparison; N = total participants in group; </w:t>
      </w:r>
      <w:r w:rsidRPr="004D47C9">
        <w:t xml:space="preserve">OR = </w:t>
      </w:r>
      <w:r>
        <w:t>odds</w:t>
      </w:r>
      <w:r w:rsidRPr="004D47C9">
        <w:t xml:space="preserve"> ratio;</w:t>
      </w:r>
      <w:r>
        <w:t xml:space="preserve"> </w:t>
      </w:r>
      <w:r w:rsidRPr="00F43C43">
        <w:t>ORR = objective response rate</w:t>
      </w:r>
      <w:r>
        <w:t>.</w:t>
      </w:r>
    </w:p>
    <w:p w14:paraId="3AC77838" w14:textId="77777777" w:rsidR="00D25E6C" w:rsidRDefault="00D25E6C" w:rsidP="003A3A7B">
      <w:pPr>
        <w:pStyle w:val="TableFigureFooter"/>
      </w:pPr>
      <w:r w:rsidRPr="00B81884">
        <w:t>Base case = using all adjustment factors (ECOG PS, smoking status, age, gender race, histology, presence of brain metastases); sensitivity analysis 1 = using only ECOG PS and smoking status.</w:t>
      </w:r>
      <w:r>
        <w:t xml:space="preserve"> </w:t>
      </w:r>
    </w:p>
    <w:p w14:paraId="564474E8" w14:textId="5CD21E7B" w:rsidR="00D25E6C" w:rsidRDefault="00D25E6C" w:rsidP="003A3A7B">
      <w:pPr>
        <w:pStyle w:val="3-BodyText"/>
      </w:pPr>
      <w:r w:rsidRPr="006616B4">
        <w:t xml:space="preserve">There was </w:t>
      </w:r>
      <w:r>
        <w:t>non</w:t>
      </w:r>
      <w:r w:rsidR="003A3A7B">
        <w:noBreakHyphen/>
      </w:r>
      <w:r w:rsidRPr="006616B4">
        <w:t xml:space="preserve">significant </w:t>
      </w:r>
      <w:r>
        <w:t>improvement</w:t>
      </w:r>
      <w:r w:rsidRPr="006616B4">
        <w:t xml:space="preserve"> in ORR with E+B compared with </w:t>
      </w:r>
      <w:r>
        <w:t>D+T</w:t>
      </w:r>
      <w:r w:rsidRPr="006616B4">
        <w:t xml:space="preserve"> across both unadjusted and adjusted models.</w:t>
      </w:r>
    </w:p>
    <w:p w14:paraId="65693120" w14:textId="336C2140" w:rsidR="0075612A" w:rsidRDefault="0075612A" w:rsidP="003A3A7B">
      <w:pPr>
        <w:pStyle w:val="5-SubsectionSubheading"/>
      </w:pPr>
      <w:r w:rsidRPr="0075612A">
        <w:t xml:space="preserve">MAIC </w:t>
      </w:r>
      <w:r w:rsidR="00C16F07">
        <w:t xml:space="preserve">between </w:t>
      </w:r>
      <w:r w:rsidRPr="0075612A">
        <w:t xml:space="preserve">E+B and </w:t>
      </w:r>
      <w:proofErr w:type="spellStart"/>
      <w:r w:rsidRPr="0075612A">
        <w:t>pembrolizumab+PDC</w:t>
      </w:r>
      <w:bookmarkEnd w:id="40"/>
      <w:proofErr w:type="spellEnd"/>
    </w:p>
    <w:p w14:paraId="77537FFA" w14:textId="42B1A52A" w:rsidR="00F8283D" w:rsidRDefault="0016409F" w:rsidP="003A3A7B">
      <w:pPr>
        <w:pStyle w:val="3-BodyText"/>
      </w:pPr>
      <w:r>
        <w:t>T</w:t>
      </w:r>
      <w:r w:rsidR="00504296" w:rsidRPr="00504296">
        <w:t xml:space="preserve">he submission </w:t>
      </w:r>
      <w:r w:rsidR="007066F1">
        <w:t xml:space="preserve">also </w:t>
      </w:r>
      <w:r w:rsidR="00504296" w:rsidRPr="00504296">
        <w:t xml:space="preserve">presented an unanchored </w:t>
      </w:r>
      <w:r w:rsidR="00751CFB">
        <w:t>matching</w:t>
      </w:r>
      <w:r w:rsidR="003A3A7B">
        <w:noBreakHyphen/>
      </w:r>
      <w:r w:rsidR="00751CFB">
        <w:t>adjusted indirect comparison (</w:t>
      </w:r>
      <w:r w:rsidR="00504296" w:rsidRPr="00504296">
        <w:t>MAIC</w:t>
      </w:r>
      <w:r w:rsidR="00751CFB">
        <w:t>)</w:t>
      </w:r>
      <w:r w:rsidR="00504296" w:rsidRPr="00504296">
        <w:t>, comparing</w:t>
      </w:r>
      <w:r w:rsidR="00DA0B8F">
        <w:t xml:space="preserve"> </w:t>
      </w:r>
      <w:r w:rsidR="00504296" w:rsidRPr="00504296">
        <w:t>E+B (PHAROS trial</w:t>
      </w:r>
      <w:r w:rsidR="00504296">
        <w:t xml:space="preserve">; </w:t>
      </w:r>
      <w:r w:rsidR="00293D2B">
        <w:t>median follow</w:t>
      </w:r>
      <w:r w:rsidR="003A3A7B">
        <w:noBreakHyphen/>
      </w:r>
      <w:r w:rsidR="00293D2B">
        <w:t>up of 33.3 months</w:t>
      </w:r>
      <w:r w:rsidR="00504296">
        <w:t>)</w:t>
      </w:r>
      <w:r w:rsidR="00504296" w:rsidRPr="00504296">
        <w:t xml:space="preserve"> with </w:t>
      </w:r>
      <w:proofErr w:type="spellStart"/>
      <w:r w:rsidR="00504296" w:rsidRPr="00504296">
        <w:t>pembrolizumab+PDC</w:t>
      </w:r>
      <w:proofErr w:type="spellEnd"/>
      <w:r w:rsidR="00504296" w:rsidRPr="00504296">
        <w:t xml:space="preserve"> (KN</w:t>
      </w:r>
      <w:r w:rsidR="003A3A7B">
        <w:noBreakHyphen/>
      </w:r>
      <w:r w:rsidR="00504296" w:rsidRPr="00504296">
        <w:t>189 trial</w:t>
      </w:r>
      <w:r w:rsidR="00F01288">
        <w:t xml:space="preserve">; </w:t>
      </w:r>
      <w:r w:rsidR="00A83649">
        <w:t>median follow</w:t>
      </w:r>
      <w:r w:rsidR="003A3A7B">
        <w:noBreakHyphen/>
      </w:r>
      <w:r w:rsidR="00A83649">
        <w:t>up of 64.6 months</w:t>
      </w:r>
      <w:r w:rsidR="00504296" w:rsidRPr="00504296">
        <w:t>).</w:t>
      </w:r>
      <w:r>
        <w:t xml:space="preserve"> </w:t>
      </w:r>
      <w:r w:rsidR="0081296B">
        <w:t xml:space="preserve">This is not presented as it was not considered by the PBAC. </w:t>
      </w:r>
    </w:p>
    <w:p w14:paraId="4CEC9F03" w14:textId="474A8811" w:rsidR="005E238C" w:rsidRPr="00B628E3" w:rsidRDefault="00083DF1" w:rsidP="003A3A7B">
      <w:pPr>
        <w:pStyle w:val="5-SubsectionSubheading"/>
        <w:rPr>
          <w:lang w:val="fr-FR"/>
        </w:rPr>
      </w:pPr>
      <w:bookmarkStart w:id="47" w:name="_Toc208925857"/>
      <w:r w:rsidRPr="00B628E3">
        <w:rPr>
          <w:rStyle w:val="CommentReference"/>
          <w:rFonts w:asciiTheme="minorHAnsi" w:hAnsiTheme="minorHAnsi"/>
          <w:b/>
          <w:bCs/>
          <w:sz w:val="24"/>
          <w:szCs w:val="24"/>
          <w:lang w:val="fr-FR"/>
        </w:rPr>
        <w:t>Intergroupe Francophone de Cancérologie Thoracique [IFCT]</w:t>
      </w:r>
      <w:r w:rsidR="00F451CF" w:rsidRPr="00B628E3">
        <w:rPr>
          <w:lang w:val="fr-FR"/>
        </w:rPr>
        <w:t xml:space="preserve"> (Planchard et al, 2024)</w:t>
      </w:r>
      <w:bookmarkEnd w:id="47"/>
    </w:p>
    <w:p w14:paraId="5BDB2032" w14:textId="2C31634D" w:rsidR="00712A32" w:rsidRDefault="008C6722" w:rsidP="003A3A7B">
      <w:pPr>
        <w:pStyle w:val="3-BodyText"/>
      </w:pPr>
      <w:r>
        <w:t>T</w:t>
      </w:r>
      <w:r w:rsidRPr="008C6722">
        <w:t>he submission identified an ongoing, open</w:t>
      </w:r>
      <w:r w:rsidR="003A3A7B">
        <w:noBreakHyphen/>
      </w:r>
      <w:r w:rsidRPr="008C6722">
        <w:t>label, single</w:t>
      </w:r>
      <w:r w:rsidR="003A3A7B">
        <w:noBreakHyphen/>
      </w:r>
      <w:r w:rsidRPr="008C6722">
        <w:t xml:space="preserve">arm phase II study of E+B (IFCT), </w:t>
      </w:r>
      <w:r w:rsidR="007A50C8">
        <w:t xml:space="preserve">aimed to collect </w:t>
      </w:r>
      <w:r w:rsidR="007A50C8" w:rsidRPr="007A50C8">
        <w:t>additional data on the efficacy and safety of E+B in patients with advanced BRAF</w:t>
      </w:r>
      <w:r w:rsidR="003A3A7B">
        <w:noBreakHyphen/>
      </w:r>
      <w:r w:rsidR="007A50C8" w:rsidRPr="007A50C8">
        <w:t>MT NSCLC</w:t>
      </w:r>
      <w:r w:rsidR="00712A32">
        <w:t xml:space="preserve"> (untreated </w:t>
      </w:r>
      <w:r w:rsidR="00F74895">
        <w:t>[n= 64] and pretreated)</w:t>
      </w:r>
      <w:r w:rsidR="007A50C8" w:rsidRPr="007A50C8">
        <w:t>, as well as on QoL.</w:t>
      </w:r>
      <w:r w:rsidR="003B6110">
        <w:t xml:space="preserve"> </w:t>
      </w:r>
      <w:r w:rsidR="0049011D">
        <w:t>The study reported an i</w:t>
      </w:r>
      <w:r w:rsidR="0049011D" w:rsidRPr="007A50C8">
        <w:t>nvestigator</w:t>
      </w:r>
      <w:r w:rsidR="003A3A7B">
        <w:noBreakHyphen/>
      </w:r>
      <w:r w:rsidR="0049011D" w:rsidRPr="007A50C8">
        <w:t xml:space="preserve">assessed ORR </w:t>
      </w:r>
      <w:r w:rsidR="0049011D">
        <w:t>of</w:t>
      </w:r>
      <w:r w:rsidR="0049011D" w:rsidRPr="007A50C8">
        <w:t xml:space="preserve"> </w:t>
      </w:r>
      <w:r w:rsidR="0049011D">
        <w:t>67</w:t>
      </w:r>
      <w:r w:rsidR="0049011D" w:rsidRPr="007A50C8">
        <w:t>% (95% CI: 55%</w:t>
      </w:r>
      <w:r w:rsidR="00A65708">
        <w:t xml:space="preserve">, </w:t>
      </w:r>
      <w:r w:rsidR="0049011D" w:rsidRPr="007A50C8">
        <w:t>78%)</w:t>
      </w:r>
      <w:r w:rsidR="0049011D">
        <w:t>, m</w:t>
      </w:r>
      <w:r w:rsidR="0049011D" w:rsidRPr="007A50C8">
        <w:t>edian PFS was 11 months (95% CI: 7</w:t>
      </w:r>
      <w:r w:rsidR="00A65708">
        <w:t xml:space="preserve">, </w:t>
      </w:r>
      <w:r w:rsidR="0049011D" w:rsidRPr="007A50C8">
        <w:t>1</w:t>
      </w:r>
      <w:r w:rsidR="00A65708">
        <w:t>7</w:t>
      </w:r>
      <w:r w:rsidR="0049011D" w:rsidRPr="007A50C8">
        <w:t xml:space="preserve">), </w:t>
      </w:r>
      <w:r w:rsidR="0049011D">
        <w:t xml:space="preserve">and </w:t>
      </w:r>
      <w:r w:rsidR="0049011D" w:rsidRPr="007A50C8">
        <w:t>median OS was not reached (95% CI: 2</w:t>
      </w:r>
      <w:r w:rsidR="00A65708">
        <w:t>1</w:t>
      </w:r>
      <w:r w:rsidR="0049011D" w:rsidRPr="007A50C8">
        <w:t xml:space="preserve">, NR). </w:t>
      </w:r>
      <w:r w:rsidR="003B6110">
        <w:t xml:space="preserve">However, this study was </w:t>
      </w:r>
      <w:r w:rsidRPr="008C6722">
        <w:t xml:space="preserve">excluded as it </w:t>
      </w:r>
      <w:r w:rsidR="00E6115F">
        <w:t>was stated to be</w:t>
      </w:r>
      <w:r w:rsidRPr="008C6722">
        <w:t xml:space="preserve"> only available as a conference abstract with insufficient methodological detail and incomplete results.</w:t>
      </w:r>
    </w:p>
    <w:p w14:paraId="065DD7F3" w14:textId="205F97C9" w:rsidR="00396CC5" w:rsidRDefault="00396CC5" w:rsidP="003A3A7B">
      <w:pPr>
        <w:pStyle w:val="3-BodyText"/>
      </w:pPr>
      <w:r w:rsidRPr="00396CC5">
        <w:t>The IFCT study reported a lower ORR compared to PHAROS when assessed by IRR (67% vs</w:t>
      </w:r>
      <w:r w:rsidR="005E3FA5">
        <w:t>.</w:t>
      </w:r>
      <w:r w:rsidRPr="00396CC5">
        <w:t xml:space="preserve"> 75%), but a slightly higher ORR than the investigator</w:t>
      </w:r>
      <w:r w:rsidR="003A3A7B">
        <w:noBreakHyphen/>
      </w:r>
      <w:r w:rsidRPr="00396CC5">
        <w:t>assessed ORR in PHAROS (67% vs</w:t>
      </w:r>
      <w:r w:rsidR="005E3FA5">
        <w:t>.</w:t>
      </w:r>
      <w:r w:rsidRPr="00396CC5">
        <w:t xml:space="preserve"> 64%). </w:t>
      </w:r>
      <w:r>
        <w:t>The median PFS was lower in the IFCT compared to the PHAROS trial (11 months vs</w:t>
      </w:r>
      <w:r w:rsidR="005E3FA5">
        <w:t>.</w:t>
      </w:r>
      <w:r>
        <w:t xml:space="preserve"> 30 months [IRR] and 25 months [investigator</w:t>
      </w:r>
      <w:r w:rsidR="003A3A7B">
        <w:noBreakHyphen/>
      </w:r>
      <w:r>
        <w:t xml:space="preserve">assessed]). </w:t>
      </w:r>
      <w:r w:rsidRPr="00396CC5">
        <w:t>Although median OS was not reached in either study, the lower bound of the confidence interval was shorter in IFCT compared to PHAROS (21 months vs</w:t>
      </w:r>
      <w:r w:rsidR="005E3FA5">
        <w:t>.</w:t>
      </w:r>
      <w:r w:rsidRPr="00396CC5">
        <w:t xml:space="preserve"> 31 months).</w:t>
      </w:r>
    </w:p>
    <w:p w14:paraId="65DC2414" w14:textId="7C76A664" w:rsidR="00396CC5" w:rsidRPr="004A5326" w:rsidRDefault="00AF72ED" w:rsidP="003A3A7B">
      <w:pPr>
        <w:pStyle w:val="3-BodyText"/>
      </w:pPr>
      <w:bookmarkStart w:id="48" w:name="_Ref206250478"/>
      <w:r w:rsidRPr="004A5326">
        <w:t>These differences may be partly attributed to variations in patient characteristics, such as a slightly older, predominantly male population, a higher proportion of brain metastases in the IFCT study (17% vs 8%), and a shorter median follow</w:t>
      </w:r>
      <w:r w:rsidR="003A3A7B">
        <w:noBreakHyphen/>
      </w:r>
      <w:r w:rsidRPr="004A5326">
        <w:t>up duration in IFCT compared to PHAROS (18 months vs 33 months)</w:t>
      </w:r>
      <w:r w:rsidR="00BA6F2D" w:rsidRPr="004A5326">
        <w:t xml:space="preserve">. </w:t>
      </w:r>
      <w:bookmarkEnd w:id="48"/>
    </w:p>
    <w:p w14:paraId="753106B2" w14:textId="5B8A3B2C" w:rsidR="002A6E82" w:rsidRPr="00730221" w:rsidRDefault="002A6E82" w:rsidP="003A3A7B">
      <w:pPr>
        <w:pStyle w:val="3-BodyText"/>
      </w:pPr>
      <w:r>
        <w:t xml:space="preserve">Comparisons of median ORR, PFS, and OS </w:t>
      </w:r>
      <w:r w:rsidR="00973E6F">
        <w:t xml:space="preserve">across </w:t>
      </w:r>
      <w:r w:rsidR="00A064AD">
        <w:t xml:space="preserve">the </w:t>
      </w:r>
      <w:r w:rsidR="00973E6F">
        <w:t>IFCT</w:t>
      </w:r>
      <w:r w:rsidR="00AA06CC">
        <w:t xml:space="preserve"> (E+B)</w:t>
      </w:r>
      <w:r w:rsidR="00973E6F">
        <w:t xml:space="preserve">, </w:t>
      </w:r>
      <w:r w:rsidR="00586D77">
        <w:t>PHAROS</w:t>
      </w:r>
      <w:r w:rsidR="00AA06CC">
        <w:t xml:space="preserve"> (E+B), KN</w:t>
      </w:r>
      <w:r w:rsidR="003A3A7B">
        <w:noBreakHyphen/>
      </w:r>
      <w:r w:rsidR="00AA06CC">
        <w:t>189 (</w:t>
      </w:r>
      <w:proofErr w:type="spellStart"/>
      <w:r w:rsidR="00AA06CC">
        <w:t>pembrolizumab+PDC</w:t>
      </w:r>
      <w:proofErr w:type="spellEnd"/>
      <w:r w:rsidR="00AA06CC">
        <w:t xml:space="preserve">), and BRF113928 (D+T) trials </w:t>
      </w:r>
      <w:r>
        <w:t>are summarised in</w:t>
      </w:r>
      <w:r w:rsidR="00514820">
        <w:t xml:space="preserve"> </w:t>
      </w:r>
      <w:r w:rsidR="00AD3E07">
        <w:t>Table 10</w:t>
      </w:r>
      <w:r w:rsidR="00514820">
        <w:t>.</w:t>
      </w:r>
      <w:r>
        <w:t xml:space="preserve"> </w:t>
      </w:r>
    </w:p>
    <w:p w14:paraId="74DADFF5" w14:textId="41EF8035" w:rsidR="002A6E82" w:rsidRDefault="002A6E82" w:rsidP="003A3A7B">
      <w:pPr>
        <w:pStyle w:val="Caption"/>
      </w:pPr>
      <w:bookmarkStart w:id="49" w:name="_Ref214279714"/>
      <w:r>
        <w:lastRenderedPageBreak/>
        <w:t xml:space="preserve">Table </w:t>
      </w:r>
      <w:r w:rsidR="007F4CCB">
        <w:t>10</w:t>
      </w:r>
      <w:bookmarkEnd w:id="49"/>
      <w:r>
        <w:t xml:space="preserve">: Comparison </w:t>
      </w:r>
      <w:r w:rsidR="00A064AD">
        <w:t>of median ORR, PFS, and OS across studies</w:t>
      </w:r>
    </w:p>
    <w:tbl>
      <w:tblPr>
        <w:tblStyle w:val="TableGrid"/>
        <w:tblW w:w="5000" w:type="pct"/>
        <w:tblLook w:val="04A0" w:firstRow="1" w:lastRow="0" w:firstColumn="1" w:lastColumn="0" w:noHBand="0" w:noVBand="1"/>
        <w:tblCaption w:val="Table 10: Comparison of median ORR, PFS, and OS across studies"/>
      </w:tblPr>
      <w:tblGrid>
        <w:gridCol w:w="1981"/>
        <w:gridCol w:w="1759"/>
        <w:gridCol w:w="1759"/>
        <w:gridCol w:w="1758"/>
        <w:gridCol w:w="1760"/>
      </w:tblGrid>
      <w:tr w:rsidR="002A6E82" w14:paraId="04E6ECB5" w14:textId="77777777" w:rsidTr="00786151">
        <w:tc>
          <w:tcPr>
            <w:tcW w:w="1098" w:type="pct"/>
          </w:tcPr>
          <w:p w14:paraId="0BCEBF9B" w14:textId="3E488545" w:rsidR="002A6E82" w:rsidRDefault="00F55EF4" w:rsidP="003A3A7B">
            <w:pPr>
              <w:pStyle w:val="TableFigureHeading"/>
            </w:pPr>
            <w:r>
              <w:t>Trial</w:t>
            </w:r>
          </w:p>
        </w:tc>
        <w:tc>
          <w:tcPr>
            <w:tcW w:w="975" w:type="pct"/>
          </w:tcPr>
          <w:p w14:paraId="39CE7D62" w14:textId="0E502332" w:rsidR="002A6E82" w:rsidRDefault="002A6E82" w:rsidP="003A3A7B">
            <w:pPr>
              <w:pStyle w:val="TableFigureHeading"/>
              <w:jc w:val="center"/>
            </w:pPr>
            <w:r>
              <w:t>IFCT</w:t>
            </w:r>
          </w:p>
        </w:tc>
        <w:tc>
          <w:tcPr>
            <w:tcW w:w="975" w:type="pct"/>
          </w:tcPr>
          <w:p w14:paraId="4D66DABB" w14:textId="3554E641" w:rsidR="002A6E82" w:rsidRDefault="002A6E82" w:rsidP="003A3A7B">
            <w:pPr>
              <w:pStyle w:val="TableFigureHeading"/>
              <w:jc w:val="center"/>
            </w:pPr>
            <w:proofErr w:type="spellStart"/>
            <w:r>
              <w:t>PHAROS</w:t>
            </w:r>
            <w:r w:rsidRPr="002A6E82">
              <w:rPr>
                <w:vertAlign w:val="superscript"/>
              </w:rPr>
              <w:t>a</w:t>
            </w:r>
            <w:proofErr w:type="spellEnd"/>
          </w:p>
        </w:tc>
        <w:tc>
          <w:tcPr>
            <w:tcW w:w="975" w:type="pct"/>
          </w:tcPr>
          <w:p w14:paraId="15994BB1" w14:textId="5CB3B2E2" w:rsidR="002A6E82" w:rsidRPr="00F81134" w:rsidRDefault="002A6E82" w:rsidP="003A3A7B">
            <w:pPr>
              <w:pStyle w:val="TableFigureHeading"/>
              <w:jc w:val="center"/>
              <w:rPr>
                <w:b w:val="0"/>
                <w:bCs w:val="0"/>
              </w:rPr>
            </w:pPr>
            <w:r>
              <w:t>KN</w:t>
            </w:r>
            <w:r w:rsidR="003A3A7B">
              <w:noBreakHyphen/>
            </w:r>
            <w:r>
              <w:t>189</w:t>
            </w:r>
            <w:r w:rsidR="00F81134">
              <w:rPr>
                <w:vertAlign w:val="superscript"/>
              </w:rPr>
              <w:t>b</w:t>
            </w:r>
          </w:p>
        </w:tc>
        <w:tc>
          <w:tcPr>
            <w:tcW w:w="976" w:type="pct"/>
          </w:tcPr>
          <w:p w14:paraId="34F9897D" w14:textId="0B269F87" w:rsidR="002A6E82" w:rsidRDefault="002A6E82" w:rsidP="003A3A7B">
            <w:pPr>
              <w:pStyle w:val="TableFigureHeading"/>
              <w:jc w:val="center"/>
            </w:pPr>
            <w:r>
              <w:t>BRF113928</w:t>
            </w:r>
            <w:r w:rsidR="00F81134">
              <w:rPr>
                <w:vertAlign w:val="superscript"/>
              </w:rPr>
              <w:t>c</w:t>
            </w:r>
          </w:p>
        </w:tc>
      </w:tr>
      <w:tr w:rsidR="00F55EF4" w14:paraId="35630310" w14:textId="77777777" w:rsidTr="00786151">
        <w:tc>
          <w:tcPr>
            <w:tcW w:w="1098" w:type="pct"/>
          </w:tcPr>
          <w:p w14:paraId="1C18BBBC" w14:textId="2DBBB9BE" w:rsidR="00F55EF4" w:rsidRDefault="00F55EF4" w:rsidP="003A3A7B">
            <w:pPr>
              <w:pStyle w:val="TableFigureHeading"/>
            </w:pPr>
            <w:r>
              <w:t>Treatment</w:t>
            </w:r>
          </w:p>
        </w:tc>
        <w:tc>
          <w:tcPr>
            <w:tcW w:w="975" w:type="pct"/>
          </w:tcPr>
          <w:p w14:paraId="1597091D" w14:textId="77777777" w:rsidR="00F55EF4" w:rsidRDefault="00F55EF4" w:rsidP="003A3A7B">
            <w:pPr>
              <w:pStyle w:val="TableFigureHeading"/>
              <w:jc w:val="center"/>
            </w:pPr>
            <w:r>
              <w:t>E+B</w:t>
            </w:r>
          </w:p>
          <w:p w14:paraId="7BE6E88B" w14:textId="5C105B31" w:rsidR="008300BD" w:rsidRDefault="008300BD" w:rsidP="003A3A7B">
            <w:pPr>
              <w:pStyle w:val="TableFigureHeading"/>
              <w:jc w:val="center"/>
            </w:pPr>
            <w:r>
              <w:t>(IA)</w:t>
            </w:r>
          </w:p>
        </w:tc>
        <w:tc>
          <w:tcPr>
            <w:tcW w:w="975" w:type="pct"/>
          </w:tcPr>
          <w:p w14:paraId="78EB7EEF" w14:textId="77777777" w:rsidR="00F55EF4" w:rsidRDefault="00F55EF4" w:rsidP="003A3A7B">
            <w:pPr>
              <w:pStyle w:val="TableFigureHeading"/>
              <w:jc w:val="center"/>
            </w:pPr>
            <w:r>
              <w:t>E+B</w:t>
            </w:r>
          </w:p>
          <w:p w14:paraId="6474271D" w14:textId="3198A88D" w:rsidR="002E1060" w:rsidRDefault="002E1060" w:rsidP="003A3A7B">
            <w:pPr>
              <w:pStyle w:val="TableFigureHeading"/>
              <w:jc w:val="center"/>
            </w:pPr>
            <w:r>
              <w:t>(IRR)</w:t>
            </w:r>
          </w:p>
        </w:tc>
        <w:tc>
          <w:tcPr>
            <w:tcW w:w="975" w:type="pct"/>
          </w:tcPr>
          <w:p w14:paraId="570D5EDF" w14:textId="7B75F7AB" w:rsidR="00F55EF4" w:rsidRDefault="00F55EF4" w:rsidP="003A3A7B">
            <w:pPr>
              <w:pStyle w:val="TableFigureHeading"/>
              <w:jc w:val="center"/>
            </w:pPr>
            <w:r>
              <w:t>Pembrolizumab + PDC</w:t>
            </w:r>
            <w:r w:rsidR="002E1060">
              <w:t xml:space="preserve"> (BICR)</w:t>
            </w:r>
          </w:p>
        </w:tc>
        <w:tc>
          <w:tcPr>
            <w:tcW w:w="976" w:type="pct"/>
          </w:tcPr>
          <w:p w14:paraId="68DD9824" w14:textId="77777777" w:rsidR="00F55EF4" w:rsidRDefault="00F55EF4" w:rsidP="003A3A7B">
            <w:pPr>
              <w:pStyle w:val="TableFigureHeading"/>
              <w:jc w:val="center"/>
            </w:pPr>
            <w:r>
              <w:t>D+T</w:t>
            </w:r>
          </w:p>
          <w:p w14:paraId="36FD7AF6" w14:textId="67836EBA" w:rsidR="002E1060" w:rsidRDefault="00503DAB" w:rsidP="003A3A7B">
            <w:pPr>
              <w:pStyle w:val="TableFigureHeading"/>
              <w:jc w:val="center"/>
            </w:pPr>
            <w:r>
              <w:t>(I</w:t>
            </w:r>
            <w:r w:rsidR="00690EF0">
              <w:t>A</w:t>
            </w:r>
            <w:r w:rsidR="00B47AF1">
              <w:t>)</w:t>
            </w:r>
          </w:p>
        </w:tc>
      </w:tr>
      <w:tr w:rsidR="00F55EF4" w14:paraId="56D3014D" w14:textId="77777777" w:rsidTr="00786151">
        <w:tc>
          <w:tcPr>
            <w:tcW w:w="1098" w:type="pct"/>
          </w:tcPr>
          <w:p w14:paraId="28A0973D" w14:textId="2D133DDE" w:rsidR="00F55EF4" w:rsidRPr="002A6E82" w:rsidRDefault="00F55EF4" w:rsidP="003A3A7B">
            <w:pPr>
              <w:pStyle w:val="TableFigureHeading"/>
              <w:rPr>
                <w:b w:val="0"/>
                <w:bCs w:val="0"/>
              </w:rPr>
            </w:pPr>
            <w:r w:rsidRPr="002A6E82">
              <w:rPr>
                <w:b w:val="0"/>
                <w:bCs w:val="0"/>
              </w:rPr>
              <w:t>Median follow</w:t>
            </w:r>
            <w:r w:rsidR="003A3A7B">
              <w:rPr>
                <w:b w:val="0"/>
                <w:bCs w:val="0"/>
              </w:rPr>
              <w:noBreakHyphen/>
            </w:r>
            <w:r w:rsidRPr="002A6E82">
              <w:rPr>
                <w:b w:val="0"/>
                <w:bCs w:val="0"/>
              </w:rPr>
              <w:t>up</w:t>
            </w:r>
          </w:p>
        </w:tc>
        <w:tc>
          <w:tcPr>
            <w:tcW w:w="975" w:type="pct"/>
          </w:tcPr>
          <w:p w14:paraId="33D6CE5C" w14:textId="1EE82019" w:rsidR="00F55EF4" w:rsidRPr="002A6E82" w:rsidRDefault="00F55EF4" w:rsidP="003A3A7B">
            <w:pPr>
              <w:pStyle w:val="TableFigureHeading"/>
              <w:jc w:val="center"/>
              <w:rPr>
                <w:b w:val="0"/>
                <w:bCs w:val="0"/>
              </w:rPr>
            </w:pPr>
            <w:r w:rsidRPr="002A6E82">
              <w:rPr>
                <w:b w:val="0"/>
                <w:bCs w:val="0"/>
              </w:rPr>
              <w:t>18 months</w:t>
            </w:r>
          </w:p>
        </w:tc>
        <w:tc>
          <w:tcPr>
            <w:tcW w:w="975" w:type="pct"/>
          </w:tcPr>
          <w:p w14:paraId="52B77909" w14:textId="74640CFC" w:rsidR="00F55EF4" w:rsidRPr="002A6E82" w:rsidRDefault="00F55EF4" w:rsidP="003A3A7B">
            <w:pPr>
              <w:pStyle w:val="TableFigureHeading"/>
              <w:jc w:val="center"/>
              <w:rPr>
                <w:b w:val="0"/>
                <w:bCs w:val="0"/>
              </w:rPr>
            </w:pPr>
            <w:r w:rsidRPr="002A6E82">
              <w:rPr>
                <w:b w:val="0"/>
                <w:bCs w:val="0"/>
              </w:rPr>
              <w:t>33.3 months</w:t>
            </w:r>
          </w:p>
        </w:tc>
        <w:tc>
          <w:tcPr>
            <w:tcW w:w="975" w:type="pct"/>
          </w:tcPr>
          <w:p w14:paraId="63AB3166" w14:textId="3D53151C" w:rsidR="00F55EF4" w:rsidRPr="002A6E82" w:rsidRDefault="00F55EF4" w:rsidP="003A3A7B">
            <w:pPr>
              <w:pStyle w:val="TableFigureHeading"/>
              <w:jc w:val="center"/>
              <w:rPr>
                <w:b w:val="0"/>
                <w:bCs w:val="0"/>
              </w:rPr>
            </w:pPr>
            <w:r w:rsidRPr="002A6E82">
              <w:rPr>
                <w:b w:val="0"/>
                <w:bCs w:val="0"/>
              </w:rPr>
              <w:t>64.6 months</w:t>
            </w:r>
          </w:p>
        </w:tc>
        <w:tc>
          <w:tcPr>
            <w:tcW w:w="976" w:type="pct"/>
          </w:tcPr>
          <w:p w14:paraId="3992FBCF" w14:textId="375DACDD" w:rsidR="00F55EF4" w:rsidRPr="002A6E82" w:rsidRDefault="00F55EF4" w:rsidP="003A3A7B">
            <w:pPr>
              <w:pStyle w:val="TableFigureHeading"/>
              <w:jc w:val="center"/>
              <w:rPr>
                <w:b w:val="0"/>
                <w:bCs w:val="0"/>
              </w:rPr>
            </w:pPr>
            <w:r w:rsidRPr="002A6E82">
              <w:rPr>
                <w:b w:val="0"/>
                <w:bCs w:val="0"/>
              </w:rPr>
              <w:t>16.3 months</w:t>
            </w:r>
          </w:p>
        </w:tc>
      </w:tr>
      <w:tr w:rsidR="00F55EF4" w14:paraId="7CE893DB" w14:textId="77777777" w:rsidTr="00786151">
        <w:tc>
          <w:tcPr>
            <w:tcW w:w="1098" w:type="pct"/>
          </w:tcPr>
          <w:p w14:paraId="2A139573" w14:textId="5C567450" w:rsidR="00F55EF4" w:rsidRPr="00786151" w:rsidRDefault="00F55EF4" w:rsidP="003A3A7B">
            <w:pPr>
              <w:pStyle w:val="TableText0"/>
            </w:pPr>
            <w:r w:rsidRPr="00786151">
              <w:t>Median ORR (95% CI)</w:t>
            </w:r>
          </w:p>
        </w:tc>
        <w:tc>
          <w:tcPr>
            <w:tcW w:w="975" w:type="pct"/>
          </w:tcPr>
          <w:p w14:paraId="59A9ABE0" w14:textId="26AC690E" w:rsidR="00F55EF4" w:rsidRDefault="00F55EF4" w:rsidP="003A3A7B">
            <w:pPr>
              <w:pStyle w:val="TableText0"/>
              <w:jc w:val="center"/>
            </w:pPr>
            <w:r>
              <w:t>67% (55, 78)</w:t>
            </w:r>
          </w:p>
        </w:tc>
        <w:tc>
          <w:tcPr>
            <w:tcW w:w="975" w:type="pct"/>
          </w:tcPr>
          <w:p w14:paraId="7881ED92" w14:textId="1810DF49" w:rsidR="00F55EF4" w:rsidRDefault="00F55EF4" w:rsidP="003A3A7B">
            <w:pPr>
              <w:pStyle w:val="TableText0"/>
              <w:jc w:val="center"/>
            </w:pPr>
            <w:r>
              <w:t>75% (62, 85)</w:t>
            </w:r>
          </w:p>
        </w:tc>
        <w:tc>
          <w:tcPr>
            <w:tcW w:w="975" w:type="pct"/>
          </w:tcPr>
          <w:p w14:paraId="4C59315F" w14:textId="58C809B4" w:rsidR="00F55EF4" w:rsidRDefault="00F55EF4" w:rsidP="003A3A7B">
            <w:pPr>
              <w:pStyle w:val="TableText0"/>
              <w:jc w:val="center"/>
            </w:pPr>
            <w:r>
              <w:t>48% (43, 53)</w:t>
            </w:r>
          </w:p>
        </w:tc>
        <w:tc>
          <w:tcPr>
            <w:tcW w:w="976" w:type="pct"/>
          </w:tcPr>
          <w:p w14:paraId="14C7E620" w14:textId="77777777" w:rsidR="00F55EF4" w:rsidRDefault="00F55EF4" w:rsidP="003A3A7B">
            <w:pPr>
              <w:pStyle w:val="TableText0"/>
              <w:jc w:val="center"/>
            </w:pPr>
            <w:r>
              <w:t>64% (46, 79)</w:t>
            </w:r>
          </w:p>
        </w:tc>
      </w:tr>
      <w:tr w:rsidR="00F55EF4" w14:paraId="6BED9E7B" w14:textId="77777777" w:rsidTr="00786151">
        <w:tc>
          <w:tcPr>
            <w:tcW w:w="1098" w:type="pct"/>
          </w:tcPr>
          <w:p w14:paraId="017D41D5" w14:textId="4568525C" w:rsidR="00F55EF4" w:rsidRPr="00786151" w:rsidRDefault="00F55EF4" w:rsidP="003A3A7B">
            <w:pPr>
              <w:pStyle w:val="TableText0"/>
            </w:pPr>
            <w:r w:rsidRPr="00786151">
              <w:t>Median PFS (95% CI)</w:t>
            </w:r>
          </w:p>
        </w:tc>
        <w:tc>
          <w:tcPr>
            <w:tcW w:w="975" w:type="pct"/>
          </w:tcPr>
          <w:p w14:paraId="5EB93446" w14:textId="1FBD5E06" w:rsidR="003A7955" w:rsidRDefault="00F55EF4" w:rsidP="003A3A7B">
            <w:pPr>
              <w:pStyle w:val="TableText0"/>
              <w:jc w:val="center"/>
            </w:pPr>
            <w:r>
              <w:t>11.1 months</w:t>
            </w:r>
          </w:p>
          <w:p w14:paraId="5E4DA5DD" w14:textId="07799797" w:rsidR="00F55EF4" w:rsidRDefault="00F55EF4" w:rsidP="003A3A7B">
            <w:pPr>
              <w:pStyle w:val="TableText0"/>
              <w:jc w:val="center"/>
            </w:pPr>
            <w:r>
              <w:t>(7.1, 16.7)</w:t>
            </w:r>
          </w:p>
        </w:tc>
        <w:tc>
          <w:tcPr>
            <w:tcW w:w="975" w:type="pct"/>
          </w:tcPr>
          <w:p w14:paraId="622145EE" w14:textId="3ECCC773" w:rsidR="003A7955" w:rsidRDefault="00F55EF4" w:rsidP="003A3A7B">
            <w:pPr>
              <w:pStyle w:val="TableText0"/>
              <w:jc w:val="center"/>
            </w:pPr>
            <w:r>
              <w:t>30.2 months</w:t>
            </w:r>
          </w:p>
          <w:p w14:paraId="598878AA" w14:textId="7F3CFF76" w:rsidR="00F55EF4" w:rsidRDefault="00F55EF4" w:rsidP="003A3A7B">
            <w:pPr>
              <w:pStyle w:val="TableText0"/>
              <w:jc w:val="center"/>
            </w:pPr>
            <w:r>
              <w:t>(15.7, NE)</w:t>
            </w:r>
          </w:p>
        </w:tc>
        <w:tc>
          <w:tcPr>
            <w:tcW w:w="975" w:type="pct"/>
          </w:tcPr>
          <w:p w14:paraId="7F9C9A25" w14:textId="510C5441" w:rsidR="003A7955" w:rsidRDefault="00F55EF4" w:rsidP="003A3A7B">
            <w:pPr>
              <w:pStyle w:val="TableText0"/>
              <w:jc w:val="center"/>
            </w:pPr>
            <w:r>
              <w:t>9.0 months</w:t>
            </w:r>
          </w:p>
          <w:p w14:paraId="3D5332DD" w14:textId="41E16997" w:rsidR="00F55EF4" w:rsidRDefault="00F55EF4" w:rsidP="003A3A7B">
            <w:pPr>
              <w:pStyle w:val="TableText0"/>
              <w:jc w:val="center"/>
            </w:pPr>
            <w:r>
              <w:t>(8.1, 10.4)</w:t>
            </w:r>
          </w:p>
        </w:tc>
        <w:tc>
          <w:tcPr>
            <w:tcW w:w="976" w:type="pct"/>
          </w:tcPr>
          <w:p w14:paraId="1D147C96" w14:textId="5F7E9193" w:rsidR="003A7955" w:rsidRDefault="00FC6266" w:rsidP="003A3A7B">
            <w:pPr>
              <w:pStyle w:val="TableText0"/>
              <w:jc w:val="center"/>
            </w:pPr>
            <w:r>
              <w:t>10.8 months</w:t>
            </w:r>
          </w:p>
          <w:p w14:paraId="3BD321C0" w14:textId="1A9C5C5B" w:rsidR="00F55EF4" w:rsidRDefault="00F55EF4" w:rsidP="003A3A7B">
            <w:pPr>
              <w:pStyle w:val="TableText0"/>
              <w:jc w:val="center"/>
            </w:pPr>
            <w:r w:rsidRPr="00693898">
              <w:t xml:space="preserve">(7.0, </w:t>
            </w:r>
            <w:r w:rsidR="004F2B47">
              <w:t>14.5</w:t>
            </w:r>
            <w:r w:rsidRPr="00693898">
              <w:t>)</w:t>
            </w:r>
          </w:p>
        </w:tc>
      </w:tr>
      <w:tr w:rsidR="00F55EF4" w14:paraId="52B42E5C" w14:textId="77777777" w:rsidTr="00786151">
        <w:tc>
          <w:tcPr>
            <w:tcW w:w="1098" w:type="pct"/>
          </w:tcPr>
          <w:p w14:paraId="15E5C501" w14:textId="0E29B7F0" w:rsidR="00F55EF4" w:rsidRPr="00786151" w:rsidRDefault="00F55EF4" w:rsidP="003A3A7B">
            <w:pPr>
              <w:pStyle w:val="TableText0"/>
            </w:pPr>
            <w:r w:rsidRPr="00786151">
              <w:t>Median OS (95% CI)</w:t>
            </w:r>
          </w:p>
        </w:tc>
        <w:tc>
          <w:tcPr>
            <w:tcW w:w="975" w:type="pct"/>
          </w:tcPr>
          <w:p w14:paraId="18089F7F" w14:textId="3460CEF8" w:rsidR="003A7955" w:rsidRDefault="00F55EF4" w:rsidP="003A3A7B">
            <w:pPr>
              <w:pStyle w:val="TableText0"/>
              <w:jc w:val="center"/>
            </w:pPr>
            <w:r>
              <w:t>NE</w:t>
            </w:r>
          </w:p>
          <w:p w14:paraId="2512C93A" w14:textId="625CAA92" w:rsidR="00F55EF4" w:rsidRDefault="00F55EF4" w:rsidP="003A3A7B">
            <w:pPr>
              <w:pStyle w:val="TableText0"/>
              <w:jc w:val="center"/>
            </w:pPr>
            <w:r>
              <w:t>(20.7, NE)</w:t>
            </w:r>
          </w:p>
        </w:tc>
        <w:tc>
          <w:tcPr>
            <w:tcW w:w="975" w:type="pct"/>
          </w:tcPr>
          <w:p w14:paraId="17774F38" w14:textId="00F0DD3C" w:rsidR="003A7955" w:rsidRDefault="00F55EF4" w:rsidP="003A3A7B">
            <w:pPr>
              <w:pStyle w:val="TableText0"/>
              <w:jc w:val="center"/>
            </w:pPr>
            <w:r>
              <w:t>NE</w:t>
            </w:r>
          </w:p>
          <w:p w14:paraId="5A64DCCB" w14:textId="58D250EC" w:rsidR="00F55EF4" w:rsidRDefault="00F55EF4" w:rsidP="003A3A7B">
            <w:pPr>
              <w:pStyle w:val="TableText0"/>
              <w:jc w:val="center"/>
            </w:pPr>
            <w:r>
              <w:t>(31.3, NE)</w:t>
            </w:r>
          </w:p>
        </w:tc>
        <w:tc>
          <w:tcPr>
            <w:tcW w:w="975" w:type="pct"/>
          </w:tcPr>
          <w:p w14:paraId="446EAE24" w14:textId="3363F1CF" w:rsidR="003A7955" w:rsidRDefault="00F55EF4" w:rsidP="003A3A7B">
            <w:pPr>
              <w:pStyle w:val="TableText0"/>
              <w:jc w:val="center"/>
            </w:pPr>
            <w:r>
              <w:t>22.0 months</w:t>
            </w:r>
          </w:p>
          <w:p w14:paraId="2AC375A1" w14:textId="32BAD448" w:rsidR="00F55EF4" w:rsidRDefault="00F55EF4" w:rsidP="003A3A7B">
            <w:pPr>
              <w:pStyle w:val="TableText0"/>
              <w:jc w:val="center"/>
            </w:pPr>
            <w:r>
              <w:t>(19.5, 24.5)</w:t>
            </w:r>
          </w:p>
        </w:tc>
        <w:tc>
          <w:tcPr>
            <w:tcW w:w="976" w:type="pct"/>
          </w:tcPr>
          <w:p w14:paraId="51406D19" w14:textId="1C404FB8" w:rsidR="003A7955" w:rsidRDefault="00F55EF4" w:rsidP="003A3A7B">
            <w:pPr>
              <w:pStyle w:val="TableText0"/>
              <w:jc w:val="center"/>
            </w:pPr>
            <w:r>
              <w:t>17.3 months</w:t>
            </w:r>
          </w:p>
          <w:p w14:paraId="27847928" w14:textId="7623AA12" w:rsidR="00F55EF4" w:rsidRDefault="00F55EF4" w:rsidP="003A3A7B">
            <w:pPr>
              <w:pStyle w:val="TableText0"/>
              <w:jc w:val="center"/>
            </w:pPr>
            <w:r>
              <w:t>(12.3, 40.2)</w:t>
            </w:r>
          </w:p>
        </w:tc>
      </w:tr>
    </w:tbl>
    <w:p w14:paraId="2819871D" w14:textId="77777777" w:rsidR="002A6E82" w:rsidRDefault="002A6E82" w:rsidP="003A3A7B">
      <w:pPr>
        <w:pStyle w:val="TableFigureFooter"/>
      </w:pPr>
      <w:r>
        <w:t>Source: Table 6, p9; Table 2.51, p120; Table 2.56, p124 to the submission; and Planchard et al. (2024)</w:t>
      </w:r>
    </w:p>
    <w:p w14:paraId="76612C4A" w14:textId="7D4EF002" w:rsidR="002A6E82" w:rsidRDefault="002A6E82" w:rsidP="003A3A7B">
      <w:pPr>
        <w:pStyle w:val="TableFigureFooter"/>
      </w:pPr>
      <w:r>
        <w:t xml:space="preserve">BICR = </w:t>
      </w:r>
      <w:r w:rsidRPr="00C83032">
        <w:t>blinded independent central review</w:t>
      </w:r>
      <w:r>
        <w:t xml:space="preserve">; CI = confidence interval; D+T = dabrafenib and trametinib; E+B = </w:t>
      </w:r>
      <w:proofErr w:type="spellStart"/>
      <w:r>
        <w:t>encorafenib</w:t>
      </w:r>
      <w:proofErr w:type="spellEnd"/>
      <w:r>
        <w:t xml:space="preserve"> and </w:t>
      </w:r>
      <w:proofErr w:type="spellStart"/>
      <w:r>
        <w:t>binimetinib</w:t>
      </w:r>
      <w:proofErr w:type="spellEnd"/>
      <w:r>
        <w:t xml:space="preserve">; </w:t>
      </w:r>
      <w:r w:rsidR="00B47AF1">
        <w:t>IA = investigator</w:t>
      </w:r>
      <w:r w:rsidR="003A3A7B">
        <w:noBreakHyphen/>
      </w:r>
      <w:r w:rsidR="00B47AF1">
        <w:t xml:space="preserve">assessed; </w:t>
      </w:r>
      <w:r>
        <w:t xml:space="preserve">IFCT = </w:t>
      </w:r>
      <w:proofErr w:type="spellStart"/>
      <w:r w:rsidRPr="00947B84">
        <w:t>Intergroupe</w:t>
      </w:r>
      <w:proofErr w:type="spellEnd"/>
      <w:r w:rsidRPr="00947B84">
        <w:t xml:space="preserve"> Francophone de </w:t>
      </w:r>
      <w:proofErr w:type="spellStart"/>
      <w:r w:rsidRPr="00947B84">
        <w:t>Cancérologie</w:t>
      </w:r>
      <w:proofErr w:type="spellEnd"/>
      <w:r w:rsidRPr="00947B84">
        <w:t xml:space="preserve"> </w:t>
      </w:r>
      <w:proofErr w:type="spellStart"/>
      <w:r w:rsidRPr="00947B84">
        <w:t>Thoracique</w:t>
      </w:r>
      <w:proofErr w:type="spellEnd"/>
      <w:r>
        <w:t xml:space="preserve"> </w:t>
      </w:r>
      <w:r w:rsidRPr="00947B84">
        <w:t>(French Cooperative Thoracic Intergroup)</w:t>
      </w:r>
      <w:r>
        <w:t>; IRR = i</w:t>
      </w:r>
      <w:r w:rsidRPr="00962D81">
        <w:t>ndependent radiology review</w:t>
      </w:r>
      <w:r>
        <w:t>;</w:t>
      </w:r>
      <w:r w:rsidRPr="00962D81">
        <w:t xml:space="preserve"> </w:t>
      </w:r>
      <w:r>
        <w:t xml:space="preserve">NE = not evaluable; PFS = </w:t>
      </w:r>
      <w:r w:rsidRPr="00CD721E">
        <w:t>progression</w:t>
      </w:r>
      <w:r w:rsidR="003A3A7B">
        <w:noBreakHyphen/>
      </w:r>
      <w:r w:rsidRPr="00CD721E">
        <w:t>free survival</w:t>
      </w:r>
      <w:r>
        <w:t xml:space="preserve">; ORR = </w:t>
      </w:r>
      <w:r w:rsidRPr="00B40B15">
        <w:t>objective response rate</w:t>
      </w:r>
      <w:r>
        <w:t>; OS = overall survival; PDC = p</w:t>
      </w:r>
      <w:r w:rsidRPr="000E48CB">
        <w:t>latinum doublet chemotherapy</w:t>
      </w:r>
      <w:r>
        <w:t>.</w:t>
      </w:r>
    </w:p>
    <w:p w14:paraId="124360F6" w14:textId="20B43C97" w:rsidR="002A6E82" w:rsidRPr="00945A3B" w:rsidRDefault="002A6E82" w:rsidP="003A3A7B">
      <w:pPr>
        <w:pStyle w:val="TableFigureFooter"/>
      </w:pPr>
      <w:r w:rsidRPr="00F20E58">
        <w:rPr>
          <w:vertAlign w:val="superscript"/>
        </w:rPr>
        <w:t>a</w:t>
      </w:r>
      <w:r>
        <w:rPr>
          <w:vertAlign w:val="superscript"/>
        </w:rPr>
        <w:t xml:space="preserve"> </w:t>
      </w:r>
      <w:r>
        <w:t>Median duration of treatment at the recent data cut</w:t>
      </w:r>
      <w:r w:rsidR="003A3A7B">
        <w:noBreakHyphen/>
      </w:r>
      <w:r>
        <w:t>off of April 2024.</w:t>
      </w:r>
    </w:p>
    <w:p w14:paraId="3DEB8B5E" w14:textId="38754032" w:rsidR="002A6E82" w:rsidRPr="00F20E58" w:rsidRDefault="002A6E82" w:rsidP="003A3A7B">
      <w:pPr>
        <w:pStyle w:val="TableFigureFooter"/>
      </w:pPr>
      <w:r w:rsidRPr="002E3AC8">
        <w:rPr>
          <w:vertAlign w:val="superscript"/>
        </w:rPr>
        <w:t>b</w:t>
      </w:r>
      <w:r>
        <w:rPr>
          <w:vertAlign w:val="superscript"/>
        </w:rPr>
        <w:t xml:space="preserve"> </w:t>
      </w:r>
      <w:r>
        <w:t>M</w:t>
      </w:r>
      <w:r w:rsidRPr="00F20E58">
        <w:t xml:space="preserve">edian time from random assignment </w:t>
      </w:r>
      <w:r>
        <w:t xml:space="preserve">at recent </w:t>
      </w:r>
      <w:r w:rsidRPr="00F20E58">
        <w:t>data cut</w:t>
      </w:r>
      <w:r w:rsidR="003A3A7B">
        <w:noBreakHyphen/>
      </w:r>
      <w:r w:rsidRPr="00F20E58">
        <w:t>off of March 2022</w:t>
      </w:r>
      <w:r>
        <w:t>.</w:t>
      </w:r>
    </w:p>
    <w:p w14:paraId="104E725D" w14:textId="1B2F0BC5" w:rsidR="002A6E82" w:rsidRDefault="002A6E82" w:rsidP="003A3A7B">
      <w:pPr>
        <w:pStyle w:val="TableFigureFooter"/>
      </w:pPr>
      <w:r>
        <w:rPr>
          <w:vertAlign w:val="superscript"/>
        </w:rPr>
        <w:t xml:space="preserve">c </w:t>
      </w:r>
      <w:r>
        <w:t>Median duration of treatment at the recent data cut</w:t>
      </w:r>
      <w:r w:rsidR="003A3A7B">
        <w:noBreakHyphen/>
      </w:r>
      <w:r>
        <w:t>off of February 2021.</w:t>
      </w:r>
    </w:p>
    <w:p w14:paraId="4340C978" w14:textId="3A259139" w:rsidR="004A7855" w:rsidRPr="00172285" w:rsidRDefault="004A7855" w:rsidP="003A3A7B">
      <w:pPr>
        <w:pStyle w:val="3-BodyText"/>
      </w:pPr>
      <w:r w:rsidRPr="00172285">
        <w:t>To reduce uncertainty in the results of the base case MAIC, the PSCR pooled data from</w:t>
      </w:r>
      <w:r w:rsidR="00A94A04" w:rsidRPr="00172285">
        <w:t xml:space="preserve"> PHARO</w:t>
      </w:r>
      <w:r w:rsidR="00DB3799" w:rsidRPr="00172285">
        <w:t>S</w:t>
      </w:r>
      <w:r w:rsidR="00A94A04" w:rsidRPr="00172285">
        <w:t xml:space="preserve"> and IFCT</w:t>
      </w:r>
      <w:r w:rsidR="00DB3799" w:rsidRPr="00172285">
        <w:t xml:space="preserve"> trials</w:t>
      </w:r>
      <w:r w:rsidR="00A94A04" w:rsidRPr="00172285">
        <w:t xml:space="preserve"> </w:t>
      </w:r>
      <w:r w:rsidRPr="00172285">
        <w:t>in a scenario analysis</w:t>
      </w:r>
      <w:r w:rsidR="005A1661" w:rsidRPr="00172285">
        <w:t xml:space="preserve">. The additional analyses showed that </w:t>
      </w:r>
      <w:r w:rsidR="00D06843" w:rsidRPr="00172285">
        <w:t xml:space="preserve">the statistically significant differences between E+B and </w:t>
      </w:r>
      <w:proofErr w:type="spellStart"/>
      <w:r w:rsidR="00D06843" w:rsidRPr="00172285">
        <w:t>pembrolizumab+PDC</w:t>
      </w:r>
      <w:proofErr w:type="spellEnd"/>
      <w:r w:rsidR="00D06843" w:rsidRPr="00172285">
        <w:t xml:space="preserve"> and D+T remained when data from </w:t>
      </w:r>
      <w:r w:rsidR="008939DA" w:rsidRPr="00172285">
        <w:t>IFCT were included.</w:t>
      </w:r>
      <w:r w:rsidR="00F0655A" w:rsidRPr="00172285">
        <w:t xml:space="preserve"> The ESC noted that the PSCR did not </w:t>
      </w:r>
      <w:r w:rsidR="005C7F15" w:rsidRPr="00172285">
        <w:t>describe the methodology used to pool the data, despite notable differences in patient characteri</w:t>
      </w:r>
      <w:r w:rsidR="003A711A" w:rsidRPr="00172285">
        <w:t xml:space="preserve">stics. The ESC also noted that the inclusion of </w:t>
      </w:r>
      <w:r w:rsidR="00BB2C01" w:rsidRPr="00172285">
        <w:t xml:space="preserve">the IFCT study results reduced the comparative efficacy of E+B to both </w:t>
      </w:r>
      <w:proofErr w:type="spellStart"/>
      <w:r w:rsidR="00BB2C01" w:rsidRPr="00172285">
        <w:t>pembrolizumab+P</w:t>
      </w:r>
      <w:r w:rsidR="00D13A0F" w:rsidRPr="00172285">
        <w:t>DC</w:t>
      </w:r>
      <w:proofErr w:type="spellEnd"/>
      <w:r w:rsidR="00D13A0F" w:rsidRPr="00172285">
        <w:t xml:space="preserve"> (HRs of 0.45 to 0.49) and D+T (HRs of 0.54 to 0.62)</w:t>
      </w:r>
      <w:r w:rsidR="00745925" w:rsidRPr="00172285">
        <w:t>.</w:t>
      </w:r>
    </w:p>
    <w:p w14:paraId="1452C351" w14:textId="0D19F1B0" w:rsidR="00B60939" w:rsidRPr="0098262F" w:rsidRDefault="00B60939" w:rsidP="003A3A7B">
      <w:pPr>
        <w:pStyle w:val="4-SubsectionHeading"/>
      </w:pPr>
      <w:bookmarkStart w:id="50" w:name="_Toc22897642"/>
      <w:bookmarkStart w:id="51" w:name="_Toc208925858"/>
      <w:r w:rsidRPr="0098262F">
        <w:t>Comparative harms</w:t>
      </w:r>
      <w:bookmarkEnd w:id="50"/>
      <w:bookmarkEnd w:id="51"/>
    </w:p>
    <w:p w14:paraId="335A404E" w14:textId="27D55862" w:rsidR="00B80404" w:rsidRPr="002C537B" w:rsidRDefault="00725066" w:rsidP="003A3A7B">
      <w:pPr>
        <w:pStyle w:val="3-BodyText"/>
      </w:pPr>
      <w:r w:rsidRPr="002C537B">
        <w:fldChar w:fldCharType="begin"/>
      </w:r>
      <w:r w:rsidRPr="002C537B">
        <w:instrText xml:space="preserve"> REF _Ref206162376 \h </w:instrText>
      </w:r>
      <w:r w:rsidRPr="002C537B">
        <w:fldChar w:fldCharType="separate"/>
      </w:r>
      <w:r w:rsidR="00894EC9" w:rsidRPr="002C537B">
        <w:t xml:space="preserve">Table </w:t>
      </w:r>
      <w:r w:rsidR="00894EC9">
        <w:t>11</w:t>
      </w:r>
      <w:r w:rsidRPr="002C537B">
        <w:fldChar w:fldCharType="end"/>
      </w:r>
      <w:r w:rsidRPr="002C537B">
        <w:t xml:space="preserve"> summarises the key </w:t>
      </w:r>
      <w:r w:rsidR="00E71258" w:rsidRPr="002C537B">
        <w:t>AEs across all the trials</w:t>
      </w:r>
      <w:r w:rsidR="00EE369B" w:rsidRPr="002C537B">
        <w:t xml:space="preserve">. </w:t>
      </w:r>
    </w:p>
    <w:p w14:paraId="2B1C05F0" w14:textId="08765251" w:rsidR="005B0D35" w:rsidRPr="002C537B" w:rsidRDefault="005B0D35" w:rsidP="00C90CF5">
      <w:pPr>
        <w:pStyle w:val="Caption"/>
      </w:pPr>
      <w:bookmarkStart w:id="52" w:name="_Ref206162376"/>
      <w:bookmarkStart w:id="53" w:name="_Ref206162372"/>
      <w:r w:rsidRPr="002C537B">
        <w:lastRenderedPageBreak/>
        <w:t xml:space="preserve">Table </w:t>
      </w:r>
      <w:r w:rsidR="007F4CCB">
        <w:t>11</w:t>
      </w:r>
      <w:bookmarkEnd w:id="52"/>
      <w:r w:rsidRPr="002C537B">
        <w:t>:</w:t>
      </w:r>
      <w:r w:rsidR="00277C9B" w:rsidRPr="002C537B">
        <w:t xml:space="preserve"> Summary of key adverse events in the PHAROS, KN</w:t>
      </w:r>
      <w:r w:rsidR="003A3A7B">
        <w:noBreakHyphen/>
      </w:r>
      <w:r w:rsidR="00277C9B" w:rsidRPr="002C537B">
        <w:t>189, and BRF113928 trials</w:t>
      </w:r>
      <w:bookmarkEnd w:id="53"/>
    </w:p>
    <w:tbl>
      <w:tblPr>
        <w:tblStyle w:val="TableGrid"/>
        <w:tblW w:w="4999" w:type="pct"/>
        <w:tblLook w:val="04A0" w:firstRow="1" w:lastRow="0" w:firstColumn="1" w:lastColumn="0" w:noHBand="0" w:noVBand="1"/>
        <w:tblCaption w:val="Table 11: Summary of key adverse events in the PHAROS, KN 189, and BRF113928 trials"/>
      </w:tblPr>
      <w:tblGrid>
        <w:gridCol w:w="3114"/>
        <w:gridCol w:w="1967"/>
        <w:gridCol w:w="1967"/>
        <w:gridCol w:w="1967"/>
      </w:tblGrid>
      <w:tr w:rsidR="002C537B" w:rsidRPr="002C537B" w14:paraId="5168CA5A" w14:textId="77777777" w:rsidTr="00ED255D">
        <w:tc>
          <w:tcPr>
            <w:tcW w:w="1727" w:type="pct"/>
            <w:hideMark/>
          </w:tcPr>
          <w:p w14:paraId="7071E2A5" w14:textId="0B7595BD" w:rsidR="008C0EB0" w:rsidRPr="002C537B" w:rsidRDefault="008C0EB0" w:rsidP="00C90CF5">
            <w:pPr>
              <w:pStyle w:val="In-tableHeading"/>
              <w:rPr>
                <w:lang w:eastAsia="en-US"/>
              </w:rPr>
            </w:pPr>
            <w:r w:rsidRPr="002C537B">
              <w:rPr>
                <w:lang w:eastAsia="en-US"/>
              </w:rPr>
              <w:t xml:space="preserve">Category, </w:t>
            </w:r>
            <w:r w:rsidRPr="002C537B">
              <w:rPr>
                <w:lang w:eastAsia="en-US" w:bidi="en-US"/>
              </w:rPr>
              <w:t>n (%)</w:t>
            </w:r>
          </w:p>
        </w:tc>
        <w:tc>
          <w:tcPr>
            <w:tcW w:w="1091" w:type="pct"/>
            <w:hideMark/>
          </w:tcPr>
          <w:p w14:paraId="6DDC24F0" w14:textId="78D08264" w:rsidR="008C0EB0" w:rsidRPr="002C537B" w:rsidRDefault="008C0EB0" w:rsidP="00C90CF5">
            <w:pPr>
              <w:pStyle w:val="In-tableHeading"/>
              <w:jc w:val="center"/>
              <w:rPr>
                <w:lang w:eastAsia="en-US" w:bidi="en-US"/>
              </w:rPr>
            </w:pPr>
            <w:r w:rsidRPr="002C537B">
              <w:rPr>
                <w:lang w:eastAsia="en-US" w:bidi="en-US"/>
              </w:rPr>
              <w:t>PHAROS</w:t>
            </w:r>
          </w:p>
          <w:p w14:paraId="606701D7" w14:textId="650F68E6" w:rsidR="008C0EB0" w:rsidRPr="002C537B" w:rsidRDefault="008C0EB0" w:rsidP="00C90CF5">
            <w:pPr>
              <w:pStyle w:val="In-tableHeading"/>
              <w:jc w:val="center"/>
              <w:rPr>
                <w:lang w:eastAsia="en-US" w:bidi="en-US"/>
              </w:rPr>
            </w:pPr>
            <w:r w:rsidRPr="002C537B">
              <w:rPr>
                <w:lang w:eastAsia="en-US" w:bidi="en-US"/>
              </w:rPr>
              <w:t>April 2024</w:t>
            </w:r>
          </w:p>
          <w:p w14:paraId="09548779" w14:textId="3F6F2DDF" w:rsidR="008C0EB0" w:rsidRPr="002C537B" w:rsidRDefault="008C0EB0" w:rsidP="00C90CF5">
            <w:pPr>
              <w:pStyle w:val="In-tableHeading"/>
              <w:jc w:val="center"/>
              <w:rPr>
                <w:lang w:eastAsia="en-US" w:bidi="en-US"/>
              </w:rPr>
            </w:pPr>
            <w:r w:rsidRPr="002C537B">
              <w:rPr>
                <w:lang w:eastAsia="en-US" w:bidi="en-US"/>
              </w:rPr>
              <w:t>N=59</w:t>
            </w:r>
          </w:p>
        </w:tc>
        <w:tc>
          <w:tcPr>
            <w:tcW w:w="1091" w:type="pct"/>
            <w:hideMark/>
          </w:tcPr>
          <w:p w14:paraId="0ADDDF2A" w14:textId="2FDF932D" w:rsidR="008C0EB0" w:rsidRPr="002C537B" w:rsidRDefault="008C0EB0" w:rsidP="00C90CF5">
            <w:pPr>
              <w:pStyle w:val="In-tableHeading"/>
              <w:jc w:val="center"/>
              <w:rPr>
                <w:lang w:eastAsia="en-US" w:bidi="en-US"/>
              </w:rPr>
            </w:pPr>
            <w:r w:rsidRPr="002C537B">
              <w:rPr>
                <w:lang w:eastAsia="en-US" w:bidi="en-US"/>
              </w:rPr>
              <w:t>KEYNOTE</w:t>
            </w:r>
            <w:r w:rsidR="003A3A7B">
              <w:rPr>
                <w:lang w:eastAsia="en-US" w:bidi="en-US"/>
              </w:rPr>
              <w:noBreakHyphen/>
            </w:r>
            <w:r w:rsidRPr="002C537B">
              <w:rPr>
                <w:lang w:eastAsia="en-US" w:bidi="en-US"/>
              </w:rPr>
              <w:t>189</w:t>
            </w:r>
          </w:p>
          <w:p w14:paraId="533B7D77" w14:textId="5CBCE723" w:rsidR="008C0EB0" w:rsidRPr="002C537B" w:rsidRDefault="008C0EB0" w:rsidP="00C90CF5">
            <w:pPr>
              <w:pStyle w:val="In-tableHeading"/>
              <w:jc w:val="center"/>
              <w:rPr>
                <w:lang w:eastAsia="en-US" w:bidi="en-US"/>
              </w:rPr>
            </w:pPr>
            <w:r w:rsidRPr="002C537B">
              <w:rPr>
                <w:lang w:eastAsia="en-US" w:bidi="en-US"/>
              </w:rPr>
              <w:t>March 2022</w:t>
            </w:r>
          </w:p>
          <w:p w14:paraId="77DFAEE2" w14:textId="1ACE2C27" w:rsidR="008C0EB0" w:rsidRPr="002C537B" w:rsidRDefault="008C0EB0" w:rsidP="00C90CF5">
            <w:pPr>
              <w:pStyle w:val="In-tableHeading"/>
              <w:jc w:val="center"/>
              <w:rPr>
                <w:lang w:eastAsia="en-US" w:bidi="en-US"/>
              </w:rPr>
            </w:pPr>
            <w:r w:rsidRPr="002C537B">
              <w:rPr>
                <w:lang w:eastAsia="en-US" w:bidi="en-US"/>
              </w:rPr>
              <w:t>N=405</w:t>
            </w:r>
          </w:p>
        </w:tc>
        <w:tc>
          <w:tcPr>
            <w:tcW w:w="1092" w:type="pct"/>
          </w:tcPr>
          <w:p w14:paraId="5B450252" w14:textId="28221C2B" w:rsidR="008C0EB0" w:rsidRPr="00B628E3" w:rsidRDefault="008C0EB0" w:rsidP="00C90CF5">
            <w:pPr>
              <w:pStyle w:val="In-tableHeading"/>
              <w:jc w:val="center"/>
              <w:rPr>
                <w:lang w:val="fr-FR" w:eastAsia="en-US" w:bidi="en-US"/>
              </w:rPr>
            </w:pPr>
            <w:r w:rsidRPr="00B628E3">
              <w:rPr>
                <w:lang w:val="fr-FR" w:eastAsia="en-US" w:bidi="en-US"/>
              </w:rPr>
              <w:t>BRF113928</w:t>
            </w:r>
            <w:r w:rsidR="003A3A7B" w:rsidRPr="00B628E3">
              <w:rPr>
                <w:lang w:val="fr-FR" w:eastAsia="en-US" w:bidi="en-US"/>
              </w:rPr>
              <w:noBreakHyphen/>
            </w:r>
            <w:r w:rsidRPr="00B628E3">
              <w:rPr>
                <w:lang w:val="fr-FR" w:eastAsia="en-US" w:bidi="en-US"/>
              </w:rPr>
              <w:t>Cohort C</w:t>
            </w:r>
          </w:p>
          <w:p w14:paraId="0176E520" w14:textId="573A7B35" w:rsidR="008C0EB0" w:rsidRPr="00B628E3" w:rsidRDefault="008C0EB0" w:rsidP="00C90CF5">
            <w:pPr>
              <w:pStyle w:val="In-tableHeading"/>
              <w:jc w:val="center"/>
              <w:rPr>
                <w:lang w:val="fr-FR" w:eastAsia="en-US" w:bidi="en-US"/>
              </w:rPr>
            </w:pPr>
            <w:r w:rsidRPr="00B628E3">
              <w:rPr>
                <w:lang w:val="fr-FR" w:eastAsia="en-US" w:bidi="en-US"/>
              </w:rPr>
              <w:t>(Planchard et al. 2017)</w:t>
            </w:r>
          </w:p>
          <w:p w14:paraId="4940AE3A" w14:textId="77777777" w:rsidR="008C0EB0" w:rsidRPr="002C537B" w:rsidRDefault="008C0EB0" w:rsidP="00C90CF5">
            <w:pPr>
              <w:pStyle w:val="In-tableHeading"/>
              <w:jc w:val="center"/>
              <w:rPr>
                <w:lang w:eastAsia="en-US" w:bidi="en-US"/>
              </w:rPr>
            </w:pPr>
            <w:r w:rsidRPr="002C537B">
              <w:rPr>
                <w:lang w:eastAsia="en-US" w:bidi="en-US"/>
              </w:rPr>
              <w:t>N=36</w:t>
            </w:r>
          </w:p>
        </w:tc>
      </w:tr>
      <w:tr w:rsidR="002C537B" w:rsidRPr="002C537B" w14:paraId="08D54E62" w14:textId="77777777" w:rsidTr="00ED255D">
        <w:tc>
          <w:tcPr>
            <w:tcW w:w="1727" w:type="pct"/>
            <w:hideMark/>
          </w:tcPr>
          <w:p w14:paraId="3C27B77C" w14:textId="768896FF" w:rsidR="008C0EB0" w:rsidRPr="002C537B" w:rsidRDefault="008C0EB0" w:rsidP="00C90CF5">
            <w:pPr>
              <w:pStyle w:val="TableText0"/>
              <w:rPr>
                <w:lang w:val="en-US" w:eastAsia="en-US"/>
              </w:rPr>
            </w:pPr>
            <w:r w:rsidRPr="002C537B">
              <w:rPr>
                <w:lang w:val="en-US" w:eastAsia="en-US"/>
              </w:rPr>
              <w:t>AEs (all cause)</w:t>
            </w:r>
          </w:p>
        </w:tc>
        <w:tc>
          <w:tcPr>
            <w:tcW w:w="1091" w:type="pct"/>
            <w:hideMark/>
          </w:tcPr>
          <w:p w14:paraId="5AB6F340" w14:textId="77777777" w:rsidR="008C0EB0" w:rsidRPr="002C537B" w:rsidRDefault="008C0EB0" w:rsidP="00C90CF5">
            <w:pPr>
              <w:pStyle w:val="TableText0"/>
              <w:jc w:val="center"/>
              <w:rPr>
                <w:lang w:eastAsia="en-US" w:bidi="en-US"/>
              </w:rPr>
            </w:pPr>
            <w:r w:rsidRPr="002C537B">
              <w:rPr>
                <w:lang w:eastAsia="en-US" w:bidi="en-US"/>
              </w:rPr>
              <w:t>59 (100)</w:t>
            </w:r>
          </w:p>
        </w:tc>
        <w:tc>
          <w:tcPr>
            <w:tcW w:w="1091" w:type="pct"/>
            <w:hideMark/>
          </w:tcPr>
          <w:p w14:paraId="379ECAF9" w14:textId="77777777" w:rsidR="008C0EB0" w:rsidRPr="002C537B" w:rsidRDefault="008C0EB0" w:rsidP="00C90CF5">
            <w:pPr>
              <w:pStyle w:val="TableText0"/>
              <w:jc w:val="center"/>
              <w:rPr>
                <w:lang w:eastAsia="en-US" w:bidi="en-US"/>
              </w:rPr>
            </w:pPr>
            <w:r w:rsidRPr="002C537B">
              <w:rPr>
                <w:lang w:eastAsia="en-US" w:bidi="en-US"/>
              </w:rPr>
              <w:t>404 (99.8)</w:t>
            </w:r>
          </w:p>
        </w:tc>
        <w:tc>
          <w:tcPr>
            <w:tcW w:w="1092" w:type="pct"/>
          </w:tcPr>
          <w:p w14:paraId="61DD7B6F" w14:textId="77777777" w:rsidR="008C0EB0" w:rsidRPr="002C537B" w:rsidRDefault="008C0EB0" w:rsidP="00C90CF5">
            <w:pPr>
              <w:pStyle w:val="TableText0"/>
              <w:jc w:val="center"/>
              <w:rPr>
                <w:lang w:eastAsia="en-US" w:bidi="en-US"/>
              </w:rPr>
            </w:pPr>
            <w:r w:rsidRPr="002C537B">
              <w:rPr>
                <w:lang w:val="en-GB" w:eastAsia="en-US"/>
              </w:rPr>
              <w:t>36 (100)</w:t>
            </w:r>
          </w:p>
        </w:tc>
      </w:tr>
      <w:tr w:rsidR="002C537B" w:rsidRPr="002C537B" w14:paraId="70F902CD" w14:textId="77777777" w:rsidTr="00ED255D">
        <w:tc>
          <w:tcPr>
            <w:tcW w:w="1727" w:type="pct"/>
            <w:hideMark/>
          </w:tcPr>
          <w:p w14:paraId="7A2CBF25" w14:textId="1F0C5943" w:rsidR="008C0EB0" w:rsidRPr="002C537B" w:rsidRDefault="008C0EB0" w:rsidP="00C90CF5">
            <w:pPr>
              <w:pStyle w:val="TableText0"/>
              <w:rPr>
                <w:lang w:val="en-US" w:eastAsia="en-US"/>
              </w:rPr>
            </w:pPr>
            <w:r w:rsidRPr="002C537B">
              <w:rPr>
                <w:lang w:val="en-US" w:eastAsia="en-US"/>
              </w:rPr>
              <w:t>Grade 3 or 4 TEAEs</w:t>
            </w:r>
          </w:p>
        </w:tc>
        <w:tc>
          <w:tcPr>
            <w:tcW w:w="1091" w:type="pct"/>
            <w:hideMark/>
          </w:tcPr>
          <w:p w14:paraId="21ADDB77" w14:textId="77777777" w:rsidR="008C0EB0" w:rsidRPr="002C537B" w:rsidRDefault="008C0EB0" w:rsidP="00C90CF5">
            <w:pPr>
              <w:pStyle w:val="TableText0"/>
              <w:jc w:val="center"/>
              <w:rPr>
                <w:lang w:eastAsia="en-US" w:bidi="en-US"/>
              </w:rPr>
            </w:pPr>
            <w:r w:rsidRPr="002C537B">
              <w:rPr>
                <w:lang w:eastAsia="en-US" w:bidi="en-US"/>
              </w:rPr>
              <w:t>41 (69.5)</w:t>
            </w:r>
          </w:p>
        </w:tc>
        <w:tc>
          <w:tcPr>
            <w:tcW w:w="1091" w:type="pct"/>
            <w:hideMark/>
          </w:tcPr>
          <w:p w14:paraId="25C922CC" w14:textId="52A7F2BB" w:rsidR="008C0EB0" w:rsidRPr="002C537B" w:rsidRDefault="002F3938" w:rsidP="00C90CF5">
            <w:pPr>
              <w:pStyle w:val="TableText0"/>
              <w:jc w:val="center"/>
              <w:rPr>
                <w:lang w:eastAsia="en-US" w:bidi="en-US"/>
              </w:rPr>
            </w:pPr>
            <w:r w:rsidRPr="002C537B">
              <w:rPr>
                <w:lang w:eastAsia="en-US" w:bidi="en-US"/>
              </w:rPr>
              <w:t>NR</w:t>
            </w:r>
          </w:p>
        </w:tc>
        <w:tc>
          <w:tcPr>
            <w:tcW w:w="1092" w:type="pct"/>
          </w:tcPr>
          <w:p w14:paraId="3048B949" w14:textId="77777777" w:rsidR="008C0EB0" w:rsidRPr="002C537B" w:rsidRDefault="008C0EB0" w:rsidP="00C90CF5">
            <w:pPr>
              <w:pStyle w:val="TableText0"/>
              <w:jc w:val="center"/>
              <w:rPr>
                <w:lang w:eastAsia="en-US" w:bidi="en-US"/>
              </w:rPr>
            </w:pPr>
            <w:r w:rsidRPr="002C537B">
              <w:rPr>
                <w:lang w:val="en-GB" w:eastAsia="en-US"/>
              </w:rPr>
              <w:t>25 (69)</w:t>
            </w:r>
          </w:p>
        </w:tc>
      </w:tr>
      <w:tr w:rsidR="002C537B" w:rsidRPr="002C537B" w14:paraId="3E500156" w14:textId="77777777" w:rsidTr="00ED255D">
        <w:tc>
          <w:tcPr>
            <w:tcW w:w="1727" w:type="pct"/>
            <w:hideMark/>
          </w:tcPr>
          <w:p w14:paraId="1BED7826" w14:textId="37C913B7" w:rsidR="008C0EB0" w:rsidRPr="002C537B" w:rsidRDefault="008C0EB0" w:rsidP="00C90CF5">
            <w:pPr>
              <w:pStyle w:val="TableText0"/>
              <w:rPr>
                <w:lang w:val="en-US" w:eastAsia="en-US"/>
              </w:rPr>
            </w:pPr>
            <w:r w:rsidRPr="002C537B">
              <w:rPr>
                <w:lang w:val="en-US" w:eastAsia="en-US"/>
              </w:rPr>
              <w:t>Grade 5 TEAEs</w:t>
            </w:r>
          </w:p>
        </w:tc>
        <w:tc>
          <w:tcPr>
            <w:tcW w:w="1091" w:type="pct"/>
            <w:hideMark/>
          </w:tcPr>
          <w:p w14:paraId="0026FF15" w14:textId="77777777" w:rsidR="008C0EB0" w:rsidRPr="002C537B" w:rsidRDefault="008C0EB0" w:rsidP="00C90CF5">
            <w:pPr>
              <w:pStyle w:val="TableText0"/>
              <w:jc w:val="center"/>
              <w:rPr>
                <w:lang w:eastAsia="en-US" w:bidi="en-US"/>
              </w:rPr>
            </w:pPr>
            <w:r w:rsidRPr="002C537B">
              <w:rPr>
                <w:lang w:eastAsia="en-US" w:bidi="en-US"/>
              </w:rPr>
              <w:t>5 (8.5)</w:t>
            </w:r>
          </w:p>
        </w:tc>
        <w:tc>
          <w:tcPr>
            <w:tcW w:w="1091" w:type="pct"/>
            <w:hideMark/>
          </w:tcPr>
          <w:p w14:paraId="731481B9" w14:textId="77777777" w:rsidR="008C0EB0" w:rsidRPr="002C537B" w:rsidRDefault="008C0EB0" w:rsidP="00C90CF5">
            <w:pPr>
              <w:pStyle w:val="TableText0"/>
              <w:jc w:val="center"/>
              <w:rPr>
                <w:lang w:eastAsia="en-US" w:bidi="en-US"/>
              </w:rPr>
            </w:pPr>
            <w:r w:rsidRPr="002C537B">
              <w:rPr>
                <w:lang w:eastAsia="en-US" w:bidi="en-US"/>
              </w:rPr>
              <w:t>29 (7.2)</w:t>
            </w:r>
          </w:p>
        </w:tc>
        <w:tc>
          <w:tcPr>
            <w:tcW w:w="1092" w:type="pct"/>
          </w:tcPr>
          <w:p w14:paraId="74C17FC8" w14:textId="77777777" w:rsidR="008C0EB0" w:rsidRPr="002C537B" w:rsidRDefault="008C0EB0" w:rsidP="00C90CF5">
            <w:pPr>
              <w:pStyle w:val="TableText0"/>
              <w:jc w:val="center"/>
              <w:rPr>
                <w:lang w:eastAsia="en-US" w:bidi="en-US"/>
              </w:rPr>
            </w:pPr>
            <w:r w:rsidRPr="002C537B">
              <w:rPr>
                <w:lang w:val="en-GB" w:eastAsia="en-US"/>
              </w:rPr>
              <w:t>1 (3)</w:t>
            </w:r>
          </w:p>
        </w:tc>
      </w:tr>
      <w:tr w:rsidR="002C537B" w:rsidRPr="002C537B" w14:paraId="16BE820A" w14:textId="77777777" w:rsidTr="00ED255D">
        <w:tc>
          <w:tcPr>
            <w:tcW w:w="1727" w:type="pct"/>
            <w:hideMark/>
          </w:tcPr>
          <w:p w14:paraId="1E500674" w14:textId="6315C2C8" w:rsidR="008C0EB0" w:rsidRPr="002C537B" w:rsidRDefault="008C0EB0" w:rsidP="00C90CF5">
            <w:pPr>
              <w:pStyle w:val="TableText0"/>
              <w:rPr>
                <w:lang w:val="en-US" w:eastAsia="en-US"/>
              </w:rPr>
            </w:pPr>
            <w:r w:rsidRPr="002C537B">
              <w:rPr>
                <w:lang w:val="en-US" w:eastAsia="en-US"/>
              </w:rPr>
              <w:t>Grade 3</w:t>
            </w:r>
            <w:r w:rsidR="003A3A7B">
              <w:rPr>
                <w:lang w:val="en-US" w:eastAsia="en-US"/>
              </w:rPr>
              <w:noBreakHyphen/>
            </w:r>
            <w:r w:rsidRPr="002C537B">
              <w:rPr>
                <w:lang w:val="en-US" w:eastAsia="en-US"/>
              </w:rPr>
              <w:t>5 AEs (all cause)</w:t>
            </w:r>
          </w:p>
        </w:tc>
        <w:tc>
          <w:tcPr>
            <w:tcW w:w="1091" w:type="pct"/>
            <w:hideMark/>
          </w:tcPr>
          <w:p w14:paraId="7F144B2E" w14:textId="77777777" w:rsidR="008C0EB0" w:rsidRPr="002C537B" w:rsidRDefault="008C0EB0" w:rsidP="00C90CF5">
            <w:pPr>
              <w:pStyle w:val="TableText0"/>
              <w:jc w:val="center"/>
              <w:rPr>
                <w:lang w:eastAsia="en-US" w:bidi="en-US"/>
              </w:rPr>
            </w:pPr>
            <w:r w:rsidRPr="002C537B">
              <w:rPr>
                <w:lang w:eastAsia="en-US" w:bidi="en-US"/>
              </w:rPr>
              <w:t>46 (77.9)</w:t>
            </w:r>
          </w:p>
        </w:tc>
        <w:tc>
          <w:tcPr>
            <w:tcW w:w="1091" w:type="pct"/>
            <w:hideMark/>
          </w:tcPr>
          <w:p w14:paraId="48952902" w14:textId="77777777" w:rsidR="008C0EB0" w:rsidRPr="002C537B" w:rsidRDefault="008C0EB0" w:rsidP="00C90CF5">
            <w:pPr>
              <w:pStyle w:val="TableText0"/>
              <w:jc w:val="center"/>
              <w:rPr>
                <w:lang w:eastAsia="en-US" w:bidi="en-US"/>
              </w:rPr>
            </w:pPr>
            <w:r w:rsidRPr="002C537B">
              <w:rPr>
                <w:lang w:eastAsia="en-US" w:bidi="en-US"/>
              </w:rPr>
              <w:t>295 (72.8)</w:t>
            </w:r>
          </w:p>
        </w:tc>
        <w:tc>
          <w:tcPr>
            <w:tcW w:w="1092" w:type="pct"/>
          </w:tcPr>
          <w:p w14:paraId="1D5310F6" w14:textId="26EE4501" w:rsidR="008C0EB0" w:rsidRPr="002C537B" w:rsidRDefault="00D34F7C" w:rsidP="00C90CF5">
            <w:pPr>
              <w:pStyle w:val="TableText0"/>
              <w:jc w:val="center"/>
              <w:rPr>
                <w:lang w:eastAsia="en-US" w:bidi="en-US"/>
              </w:rPr>
            </w:pPr>
            <w:r w:rsidRPr="002C537B">
              <w:rPr>
                <w:lang w:eastAsia="en-US" w:bidi="en-US"/>
              </w:rPr>
              <w:t>26 (72)</w:t>
            </w:r>
          </w:p>
        </w:tc>
      </w:tr>
      <w:tr w:rsidR="002C537B" w:rsidRPr="002C537B" w14:paraId="2E800487" w14:textId="77777777" w:rsidTr="00ED255D">
        <w:tc>
          <w:tcPr>
            <w:tcW w:w="1727" w:type="pct"/>
            <w:hideMark/>
          </w:tcPr>
          <w:p w14:paraId="258F76DA" w14:textId="6F2F358C" w:rsidR="008C0EB0" w:rsidRPr="002C537B" w:rsidRDefault="008C0EB0" w:rsidP="00C90CF5">
            <w:pPr>
              <w:pStyle w:val="TableText0"/>
              <w:rPr>
                <w:lang w:val="en-US" w:eastAsia="en-US"/>
              </w:rPr>
            </w:pPr>
            <w:r w:rsidRPr="002C537B">
              <w:rPr>
                <w:lang w:val="en-US" w:eastAsia="en-US"/>
              </w:rPr>
              <w:t>Treatment</w:t>
            </w:r>
            <w:r w:rsidR="003A3A7B">
              <w:rPr>
                <w:lang w:val="en-US" w:eastAsia="en-US"/>
              </w:rPr>
              <w:noBreakHyphen/>
            </w:r>
            <w:r w:rsidRPr="002C537B">
              <w:rPr>
                <w:lang w:val="en-US" w:eastAsia="en-US"/>
              </w:rPr>
              <w:t xml:space="preserve">related AEs </w:t>
            </w:r>
          </w:p>
        </w:tc>
        <w:tc>
          <w:tcPr>
            <w:tcW w:w="1091" w:type="pct"/>
            <w:hideMark/>
          </w:tcPr>
          <w:p w14:paraId="0BCF4C09" w14:textId="77777777" w:rsidR="008C0EB0" w:rsidRPr="002C537B" w:rsidRDefault="008C0EB0" w:rsidP="00C90CF5">
            <w:pPr>
              <w:pStyle w:val="TableText0"/>
              <w:jc w:val="center"/>
              <w:rPr>
                <w:lang w:eastAsia="en-US" w:bidi="en-US"/>
              </w:rPr>
            </w:pPr>
            <w:r w:rsidRPr="002C537B">
              <w:rPr>
                <w:lang w:eastAsia="en-US" w:bidi="en-US"/>
              </w:rPr>
              <w:t>58 (98.3)</w:t>
            </w:r>
          </w:p>
        </w:tc>
        <w:tc>
          <w:tcPr>
            <w:tcW w:w="1091" w:type="pct"/>
            <w:hideMark/>
          </w:tcPr>
          <w:p w14:paraId="2AA4A9A5" w14:textId="77777777" w:rsidR="008C0EB0" w:rsidRPr="002C537B" w:rsidRDefault="008C0EB0" w:rsidP="00C90CF5">
            <w:pPr>
              <w:pStyle w:val="TableText0"/>
              <w:jc w:val="center"/>
              <w:rPr>
                <w:lang w:eastAsia="en-US" w:bidi="en-US"/>
              </w:rPr>
            </w:pPr>
            <w:r w:rsidRPr="002C537B">
              <w:rPr>
                <w:lang w:eastAsia="en-US" w:bidi="en-US"/>
              </w:rPr>
              <w:t>377 (93.1)</w:t>
            </w:r>
          </w:p>
        </w:tc>
        <w:tc>
          <w:tcPr>
            <w:tcW w:w="1092" w:type="pct"/>
          </w:tcPr>
          <w:p w14:paraId="0A0CF783" w14:textId="77777777" w:rsidR="008C0EB0" w:rsidRPr="002C537B" w:rsidRDefault="008C0EB0" w:rsidP="00C90CF5">
            <w:pPr>
              <w:pStyle w:val="TableText0"/>
              <w:jc w:val="center"/>
              <w:rPr>
                <w:lang w:eastAsia="en-US" w:bidi="en-US"/>
              </w:rPr>
            </w:pPr>
            <w:r w:rsidRPr="002C537B">
              <w:rPr>
                <w:lang w:eastAsia="en-US" w:bidi="en-US"/>
              </w:rPr>
              <w:t>NR</w:t>
            </w:r>
          </w:p>
        </w:tc>
      </w:tr>
      <w:tr w:rsidR="002C537B" w:rsidRPr="002C537B" w14:paraId="26E8F853" w14:textId="77777777" w:rsidTr="00ED255D">
        <w:tc>
          <w:tcPr>
            <w:tcW w:w="1727" w:type="pct"/>
            <w:hideMark/>
          </w:tcPr>
          <w:p w14:paraId="003A81C5" w14:textId="318D9290" w:rsidR="008C0EB0" w:rsidRPr="002C537B" w:rsidRDefault="008C0EB0" w:rsidP="00C90CF5">
            <w:pPr>
              <w:pStyle w:val="TableText0"/>
              <w:rPr>
                <w:lang w:val="en-US" w:eastAsia="en-US"/>
              </w:rPr>
            </w:pPr>
            <w:r w:rsidRPr="002C537B">
              <w:rPr>
                <w:lang w:val="en-US" w:eastAsia="en-US"/>
              </w:rPr>
              <w:t>Treatment</w:t>
            </w:r>
            <w:r w:rsidR="003A3A7B">
              <w:rPr>
                <w:lang w:val="en-US" w:eastAsia="en-US"/>
              </w:rPr>
              <w:noBreakHyphen/>
            </w:r>
            <w:r w:rsidRPr="002C537B">
              <w:rPr>
                <w:lang w:val="en-US" w:eastAsia="en-US"/>
              </w:rPr>
              <w:t xml:space="preserve">related Grade 3 or 4 TEAEs </w:t>
            </w:r>
          </w:p>
        </w:tc>
        <w:tc>
          <w:tcPr>
            <w:tcW w:w="1091" w:type="pct"/>
            <w:hideMark/>
          </w:tcPr>
          <w:p w14:paraId="5F91040F" w14:textId="77777777" w:rsidR="008C0EB0" w:rsidRPr="002C537B" w:rsidRDefault="008C0EB0" w:rsidP="00C90CF5">
            <w:pPr>
              <w:pStyle w:val="TableText0"/>
              <w:jc w:val="center"/>
              <w:rPr>
                <w:lang w:eastAsia="en-US" w:bidi="en-US"/>
              </w:rPr>
            </w:pPr>
            <w:r w:rsidRPr="002C537B">
              <w:rPr>
                <w:lang w:eastAsia="en-US" w:bidi="en-US"/>
              </w:rPr>
              <w:t>32 (54.2)</w:t>
            </w:r>
          </w:p>
        </w:tc>
        <w:tc>
          <w:tcPr>
            <w:tcW w:w="1091" w:type="pct"/>
            <w:hideMark/>
          </w:tcPr>
          <w:p w14:paraId="595594B5" w14:textId="46CFA47C" w:rsidR="008C0EB0" w:rsidRPr="002C537B" w:rsidRDefault="00662D21" w:rsidP="00C90CF5">
            <w:pPr>
              <w:pStyle w:val="TableText0"/>
              <w:jc w:val="center"/>
              <w:rPr>
                <w:lang w:eastAsia="en-US" w:bidi="en-US"/>
              </w:rPr>
            </w:pPr>
            <w:r w:rsidRPr="002C537B">
              <w:rPr>
                <w:lang w:eastAsia="en-US" w:bidi="en-US"/>
              </w:rPr>
              <w:t>NR</w:t>
            </w:r>
          </w:p>
        </w:tc>
        <w:tc>
          <w:tcPr>
            <w:tcW w:w="1092" w:type="pct"/>
          </w:tcPr>
          <w:p w14:paraId="4336C323" w14:textId="77777777" w:rsidR="008C0EB0" w:rsidRPr="002C537B" w:rsidRDefault="008C0EB0" w:rsidP="00C90CF5">
            <w:pPr>
              <w:pStyle w:val="TableText0"/>
              <w:jc w:val="center"/>
              <w:rPr>
                <w:lang w:eastAsia="en-US" w:bidi="en-US"/>
              </w:rPr>
            </w:pPr>
            <w:r w:rsidRPr="002C537B">
              <w:rPr>
                <w:lang w:eastAsia="en-US" w:bidi="en-US"/>
              </w:rPr>
              <w:t>NR</w:t>
            </w:r>
          </w:p>
        </w:tc>
      </w:tr>
      <w:tr w:rsidR="002C537B" w:rsidRPr="002C537B" w14:paraId="6A2E9784" w14:textId="77777777" w:rsidTr="00ED255D">
        <w:tc>
          <w:tcPr>
            <w:tcW w:w="1727" w:type="pct"/>
            <w:hideMark/>
          </w:tcPr>
          <w:p w14:paraId="528B3D20" w14:textId="6BBB05C8" w:rsidR="00FC2DA2" w:rsidRPr="002C537B" w:rsidRDefault="00FC2DA2" w:rsidP="00C90CF5">
            <w:pPr>
              <w:pStyle w:val="TableText0"/>
              <w:rPr>
                <w:lang w:val="en-US" w:eastAsia="en-US"/>
              </w:rPr>
            </w:pPr>
            <w:r w:rsidRPr="002C537B">
              <w:rPr>
                <w:lang w:val="en-US" w:eastAsia="en-US"/>
              </w:rPr>
              <w:t>Treatment</w:t>
            </w:r>
            <w:r w:rsidR="003A3A7B">
              <w:rPr>
                <w:lang w:val="en-US" w:eastAsia="en-US"/>
              </w:rPr>
              <w:noBreakHyphen/>
            </w:r>
            <w:r w:rsidRPr="002C537B">
              <w:rPr>
                <w:lang w:val="en-US" w:eastAsia="en-US"/>
              </w:rPr>
              <w:t xml:space="preserve">related Grade 5 TEAEs </w:t>
            </w:r>
          </w:p>
        </w:tc>
        <w:tc>
          <w:tcPr>
            <w:tcW w:w="1091" w:type="pct"/>
            <w:hideMark/>
          </w:tcPr>
          <w:p w14:paraId="42B4DE93" w14:textId="77777777" w:rsidR="00FC2DA2" w:rsidRPr="002C537B" w:rsidRDefault="00FC2DA2" w:rsidP="00C90CF5">
            <w:pPr>
              <w:pStyle w:val="TableText0"/>
              <w:jc w:val="center"/>
              <w:rPr>
                <w:lang w:eastAsia="en-US" w:bidi="en-US"/>
              </w:rPr>
            </w:pPr>
            <w:r w:rsidRPr="002C537B">
              <w:rPr>
                <w:lang w:eastAsia="en-US" w:bidi="en-US"/>
              </w:rPr>
              <w:t>1 (1.7)</w:t>
            </w:r>
          </w:p>
        </w:tc>
        <w:tc>
          <w:tcPr>
            <w:tcW w:w="1091" w:type="pct"/>
            <w:hideMark/>
          </w:tcPr>
          <w:p w14:paraId="2FCB8119" w14:textId="77777777" w:rsidR="00FC2DA2" w:rsidRPr="002C537B" w:rsidRDefault="00FC2DA2" w:rsidP="00C90CF5">
            <w:pPr>
              <w:pStyle w:val="TableText0"/>
              <w:jc w:val="center"/>
              <w:rPr>
                <w:lang w:eastAsia="en-US" w:bidi="en-US"/>
              </w:rPr>
            </w:pPr>
            <w:r w:rsidRPr="002C537B">
              <w:rPr>
                <w:lang w:eastAsia="en-US" w:bidi="en-US"/>
              </w:rPr>
              <w:t>8 (2.0)</w:t>
            </w:r>
          </w:p>
        </w:tc>
        <w:tc>
          <w:tcPr>
            <w:tcW w:w="1092" w:type="pct"/>
          </w:tcPr>
          <w:p w14:paraId="2D2471CD" w14:textId="333AEF7C" w:rsidR="00FC2DA2" w:rsidRPr="002C537B" w:rsidRDefault="00FC2DA2" w:rsidP="00C90CF5">
            <w:pPr>
              <w:pStyle w:val="TableText0"/>
              <w:jc w:val="center"/>
              <w:rPr>
                <w:lang w:eastAsia="en-US" w:bidi="en-US"/>
              </w:rPr>
            </w:pPr>
            <w:r w:rsidRPr="002C537B">
              <w:rPr>
                <w:lang w:eastAsia="en-US" w:bidi="en-US"/>
              </w:rPr>
              <w:t>NR</w:t>
            </w:r>
          </w:p>
        </w:tc>
      </w:tr>
      <w:tr w:rsidR="002C537B" w:rsidRPr="002C537B" w14:paraId="165903CD" w14:textId="77777777" w:rsidTr="00ED255D">
        <w:tc>
          <w:tcPr>
            <w:tcW w:w="1727" w:type="pct"/>
            <w:hideMark/>
          </w:tcPr>
          <w:p w14:paraId="18779F30" w14:textId="3C40544B" w:rsidR="00FC2DA2" w:rsidRPr="002C537B" w:rsidRDefault="00FC2DA2" w:rsidP="00C90CF5">
            <w:pPr>
              <w:pStyle w:val="TableText0"/>
              <w:rPr>
                <w:lang w:val="en-US" w:eastAsia="en-US"/>
              </w:rPr>
            </w:pPr>
            <w:r w:rsidRPr="002C537B">
              <w:rPr>
                <w:lang w:val="en-US" w:eastAsia="en-US"/>
              </w:rPr>
              <w:t>Treatment related Grade 3</w:t>
            </w:r>
            <w:r w:rsidR="003A3A7B">
              <w:rPr>
                <w:lang w:val="en-US" w:eastAsia="en-US"/>
              </w:rPr>
              <w:noBreakHyphen/>
            </w:r>
            <w:r w:rsidRPr="002C537B">
              <w:rPr>
                <w:lang w:val="en-US" w:eastAsia="en-US"/>
              </w:rPr>
              <w:t>5 AEs</w:t>
            </w:r>
          </w:p>
        </w:tc>
        <w:tc>
          <w:tcPr>
            <w:tcW w:w="1091" w:type="pct"/>
            <w:hideMark/>
          </w:tcPr>
          <w:p w14:paraId="4022AE0F" w14:textId="77777777" w:rsidR="00FC2DA2" w:rsidRPr="002C537B" w:rsidRDefault="00FC2DA2" w:rsidP="00C90CF5">
            <w:pPr>
              <w:pStyle w:val="TableText0"/>
              <w:jc w:val="center"/>
              <w:rPr>
                <w:lang w:eastAsia="en-US" w:bidi="en-US"/>
              </w:rPr>
            </w:pPr>
            <w:r w:rsidRPr="002C537B">
              <w:rPr>
                <w:lang w:eastAsia="en-US" w:bidi="en-US"/>
              </w:rPr>
              <w:t>33 (55.9)</w:t>
            </w:r>
          </w:p>
        </w:tc>
        <w:tc>
          <w:tcPr>
            <w:tcW w:w="1091" w:type="pct"/>
            <w:hideMark/>
          </w:tcPr>
          <w:p w14:paraId="0D7C4314" w14:textId="77777777" w:rsidR="00FC2DA2" w:rsidRPr="002C537B" w:rsidRDefault="00FC2DA2" w:rsidP="00C90CF5">
            <w:pPr>
              <w:pStyle w:val="TableText0"/>
              <w:jc w:val="center"/>
              <w:rPr>
                <w:lang w:eastAsia="en-US" w:bidi="en-US"/>
              </w:rPr>
            </w:pPr>
            <w:r w:rsidRPr="002C537B">
              <w:rPr>
                <w:lang w:eastAsia="en-US" w:bidi="en-US"/>
              </w:rPr>
              <w:t>212 (52.3)</w:t>
            </w:r>
          </w:p>
        </w:tc>
        <w:tc>
          <w:tcPr>
            <w:tcW w:w="1092" w:type="pct"/>
          </w:tcPr>
          <w:p w14:paraId="732610A2" w14:textId="77023F1C" w:rsidR="00FC2DA2" w:rsidRPr="002C537B" w:rsidRDefault="00FC2DA2" w:rsidP="00C90CF5">
            <w:pPr>
              <w:pStyle w:val="TableText0"/>
              <w:jc w:val="center"/>
              <w:rPr>
                <w:lang w:eastAsia="en-US" w:bidi="en-US"/>
              </w:rPr>
            </w:pPr>
            <w:r w:rsidRPr="002C537B">
              <w:rPr>
                <w:lang w:eastAsia="en-US" w:bidi="en-US"/>
              </w:rPr>
              <w:t>NR</w:t>
            </w:r>
          </w:p>
        </w:tc>
      </w:tr>
      <w:tr w:rsidR="002C537B" w:rsidRPr="002C537B" w14:paraId="6F70CC66" w14:textId="77777777" w:rsidTr="00ED255D">
        <w:tc>
          <w:tcPr>
            <w:tcW w:w="1727" w:type="pct"/>
            <w:hideMark/>
          </w:tcPr>
          <w:p w14:paraId="6FF38724" w14:textId="4745146F" w:rsidR="008C0EB0" w:rsidRPr="002C537B" w:rsidRDefault="008C0EB0" w:rsidP="00C90CF5">
            <w:pPr>
              <w:pStyle w:val="TableText0"/>
              <w:rPr>
                <w:lang w:val="en-US" w:eastAsia="en-US"/>
              </w:rPr>
            </w:pPr>
            <w:r w:rsidRPr="002C537B">
              <w:rPr>
                <w:lang w:val="en-US" w:eastAsia="en-US"/>
              </w:rPr>
              <w:t xml:space="preserve">SAEs </w:t>
            </w:r>
          </w:p>
        </w:tc>
        <w:tc>
          <w:tcPr>
            <w:tcW w:w="1091" w:type="pct"/>
            <w:hideMark/>
          </w:tcPr>
          <w:p w14:paraId="6C946EB4" w14:textId="77777777" w:rsidR="008C0EB0" w:rsidRPr="002C537B" w:rsidRDefault="008C0EB0" w:rsidP="00C90CF5">
            <w:pPr>
              <w:pStyle w:val="TableText0"/>
              <w:jc w:val="center"/>
              <w:rPr>
                <w:lang w:eastAsia="en-US" w:bidi="en-US"/>
              </w:rPr>
            </w:pPr>
            <w:r w:rsidRPr="002C537B">
              <w:rPr>
                <w:lang w:eastAsia="en-US" w:bidi="en-US"/>
              </w:rPr>
              <w:t>28 (47.5)</w:t>
            </w:r>
          </w:p>
        </w:tc>
        <w:tc>
          <w:tcPr>
            <w:tcW w:w="1091" w:type="pct"/>
            <w:hideMark/>
          </w:tcPr>
          <w:p w14:paraId="1567EEB2" w14:textId="00F00413" w:rsidR="008C0EB0" w:rsidRPr="002C537B" w:rsidRDefault="008C0EB0" w:rsidP="00C90CF5">
            <w:pPr>
              <w:pStyle w:val="TableText0"/>
              <w:jc w:val="center"/>
              <w:rPr>
                <w:lang w:eastAsia="en-US" w:bidi="en-US"/>
              </w:rPr>
            </w:pPr>
            <w:r w:rsidRPr="002C537B">
              <w:rPr>
                <w:lang w:eastAsia="en-US" w:bidi="en-US"/>
              </w:rPr>
              <w:t>233 (57.53)</w:t>
            </w:r>
            <w:r w:rsidR="00CD3B60" w:rsidRPr="002C537B">
              <w:rPr>
                <w:vertAlign w:val="superscript"/>
                <w:lang w:eastAsia="en-US" w:bidi="en-US"/>
              </w:rPr>
              <w:t>a</w:t>
            </w:r>
          </w:p>
        </w:tc>
        <w:tc>
          <w:tcPr>
            <w:tcW w:w="1092" w:type="pct"/>
          </w:tcPr>
          <w:p w14:paraId="4F3CED84" w14:textId="1910EA0D" w:rsidR="008C0EB0" w:rsidRPr="002C537B" w:rsidRDefault="008C0EB0" w:rsidP="00C90CF5">
            <w:pPr>
              <w:pStyle w:val="TableText0"/>
              <w:jc w:val="center"/>
              <w:rPr>
                <w:lang w:eastAsia="en-US" w:bidi="en-US"/>
              </w:rPr>
            </w:pPr>
            <w:r w:rsidRPr="002C537B">
              <w:rPr>
                <w:lang w:eastAsia="en-US" w:bidi="en-US"/>
              </w:rPr>
              <w:t>24/36 (67)</w:t>
            </w:r>
            <w:r w:rsidR="00A3287F" w:rsidRPr="002C537B">
              <w:rPr>
                <w:vertAlign w:val="superscript"/>
                <w:lang w:eastAsia="en-US" w:bidi="en-US"/>
              </w:rPr>
              <w:t>b</w:t>
            </w:r>
          </w:p>
        </w:tc>
      </w:tr>
      <w:tr w:rsidR="002C537B" w:rsidRPr="002C537B" w14:paraId="4C0BB227" w14:textId="77777777" w:rsidTr="00ED255D">
        <w:tc>
          <w:tcPr>
            <w:tcW w:w="1727" w:type="pct"/>
            <w:hideMark/>
          </w:tcPr>
          <w:p w14:paraId="555E5106" w14:textId="26125DD0" w:rsidR="008C0EB0" w:rsidRPr="002C537B" w:rsidRDefault="008C0EB0" w:rsidP="00C90CF5">
            <w:pPr>
              <w:pStyle w:val="TableText0"/>
              <w:rPr>
                <w:lang w:val="en-US" w:eastAsia="en-US"/>
              </w:rPr>
            </w:pPr>
            <w:r w:rsidRPr="002C537B">
              <w:rPr>
                <w:lang w:val="en-US" w:eastAsia="en-US"/>
              </w:rPr>
              <w:t xml:space="preserve">AEs </w:t>
            </w:r>
            <w:r w:rsidR="00110085" w:rsidRPr="002C537B">
              <w:rPr>
                <w:lang w:val="en-US" w:eastAsia="en-US"/>
              </w:rPr>
              <w:t>l</w:t>
            </w:r>
            <w:r w:rsidRPr="002C537B">
              <w:rPr>
                <w:lang w:val="en-US" w:eastAsia="en-US"/>
              </w:rPr>
              <w:t xml:space="preserve">eading to </w:t>
            </w:r>
            <w:r w:rsidR="00A3287F" w:rsidRPr="002C537B">
              <w:rPr>
                <w:lang w:val="en-US" w:eastAsia="en-US"/>
              </w:rPr>
              <w:t>d</w:t>
            </w:r>
            <w:r w:rsidRPr="002C537B">
              <w:rPr>
                <w:lang w:val="en-US" w:eastAsia="en-US"/>
              </w:rPr>
              <w:t>iscontinuation</w:t>
            </w:r>
          </w:p>
        </w:tc>
        <w:tc>
          <w:tcPr>
            <w:tcW w:w="1091" w:type="pct"/>
            <w:hideMark/>
          </w:tcPr>
          <w:p w14:paraId="1E5749A5" w14:textId="7227363A" w:rsidR="008C0EB0" w:rsidRPr="002C537B" w:rsidRDefault="008C0EB0" w:rsidP="00C90CF5">
            <w:pPr>
              <w:pStyle w:val="TableText0"/>
              <w:jc w:val="center"/>
              <w:rPr>
                <w:lang w:eastAsia="en-US" w:bidi="en-US"/>
              </w:rPr>
            </w:pPr>
            <w:r w:rsidRPr="002C537B">
              <w:rPr>
                <w:lang w:eastAsia="en-US" w:bidi="en-US"/>
              </w:rPr>
              <w:t>10 (16.9)</w:t>
            </w:r>
          </w:p>
        </w:tc>
        <w:tc>
          <w:tcPr>
            <w:tcW w:w="1091" w:type="pct"/>
            <w:hideMark/>
          </w:tcPr>
          <w:p w14:paraId="15B0F917" w14:textId="1A401D64" w:rsidR="008C0EB0" w:rsidRPr="002C537B" w:rsidRDefault="00D81DD3" w:rsidP="00C90CF5">
            <w:pPr>
              <w:pStyle w:val="TableText0"/>
              <w:jc w:val="center"/>
              <w:rPr>
                <w:lang w:eastAsia="en-US" w:bidi="en-US"/>
              </w:rPr>
            </w:pPr>
            <w:r w:rsidRPr="002C537B">
              <w:rPr>
                <w:lang w:eastAsia="en-US" w:bidi="en-US"/>
              </w:rPr>
              <w:t>145 (35.8)</w:t>
            </w:r>
          </w:p>
        </w:tc>
        <w:tc>
          <w:tcPr>
            <w:tcW w:w="1092" w:type="pct"/>
          </w:tcPr>
          <w:p w14:paraId="41509908" w14:textId="77777777" w:rsidR="008C0EB0" w:rsidRPr="002C537B" w:rsidRDefault="008C0EB0" w:rsidP="00C90CF5">
            <w:pPr>
              <w:pStyle w:val="TableText0"/>
              <w:jc w:val="center"/>
              <w:rPr>
                <w:lang w:eastAsia="en-US" w:bidi="en-US"/>
              </w:rPr>
            </w:pPr>
            <w:r w:rsidRPr="002C537B">
              <w:rPr>
                <w:lang w:eastAsia="en-US" w:bidi="en-US"/>
              </w:rPr>
              <w:t>8 (22)</w:t>
            </w:r>
          </w:p>
        </w:tc>
      </w:tr>
      <w:tr w:rsidR="002C537B" w:rsidRPr="002C537B" w14:paraId="2D36337E" w14:textId="77777777" w:rsidTr="00ED255D">
        <w:tc>
          <w:tcPr>
            <w:tcW w:w="1727" w:type="pct"/>
          </w:tcPr>
          <w:p w14:paraId="77BE71BC" w14:textId="77777777" w:rsidR="008C0EB0" w:rsidRPr="002C537B" w:rsidRDefault="008C0EB0" w:rsidP="00C90CF5">
            <w:pPr>
              <w:pStyle w:val="TableText0"/>
              <w:rPr>
                <w:lang w:val="en-US" w:eastAsia="en-US"/>
              </w:rPr>
            </w:pPr>
            <w:r w:rsidRPr="002C537B">
              <w:rPr>
                <w:lang w:val="en-GB" w:eastAsia="en-US"/>
              </w:rPr>
              <w:t xml:space="preserve">AEs leading to dose reduction </w:t>
            </w:r>
          </w:p>
        </w:tc>
        <w:tc>
          <w:tcPr>
            <w:tcW w:w="1091" w:type="pct"/>
          </w:tcPr>
          <w:p w14:paraId="601E24E4" w14:textId="77777777" w:rsidR="008C0EB0" w:rsidRPr="002C537B" w:rsidRDefault="008C0EB0" w:rsidP="00C90CF5">
            <w:pPr>
              <w:pStyle w:val="TableText0"/>
              <w:jc w:val="center"/>
              <w:rPr>
                <w:lang w:eastAsia="en-US" w:bidi="en-US"/>
              </w:rPr>
            </w:pPr>
            <w:r w:rsidRPr="002C537B">
              <w:rPr>
                <w:lang w:val="en-GB" w:eastAsia="en-US"/>
              </w:rPr>
              <w:t>16 (27.1)</w:t>
            </w:r>
          </w:p>
        </w:tc>
        <w:tc>
          <w:tcPr>
            <w:tcW w:w="1091" w:type="pct"/>
          </w:tcPr>
          <w:p w14:paraId="7F7A38BC" w14:textId="26417982" w:rsidR="008C0EB0" w:rsidRPr="002C537B" w:rsidRDefault="00D81DD3" w:rsidP="00C90CF5">
            <w:pPr>
              <w:pStyle w:val="TableText0"/>
              <w:jc w:val="center"/>
              <w:rPr>
                <w:lang w:eastAsia="en-US" w:bidi="en-US"/>
              </w:rPr>
            </w:pPr>
            <w:r w:rsidRPr="002C537B">
              <w:rPr>
                <w:lang w:eastAsia="en-US" w:bidi="en-US"/>
              </w:rPr>
              <w:t>NR</w:t>
            </w:r>
          </w:p>
        </w:tc>
        <w:tc>
          <w:tcPr>
            <w:tcW w:w="1092" w:type="pct"/>
          </w:tcPr>
          <w:p w14:paraId="0EDF7272" w14:textId="77777777" w:rsidR="008C0EB0" w:rsidRPr="002C537B" w:rsidRDefault="008C0EB0" w:rsidP="00C90CF5">
            <w:pPr>
              <w:pStyle w:val="TableText0"/>
              <w:jc w:val="center"/>
              <w:rPr>
                <w:lang w:eastAsia="en-US" w:bidi="en-US"/>
              </w:rPr>
            </w:pPr>
            <w:r w:rsidRPr="002C537B">
              <w:rPr>
                <w:lang w:val="en-GB" w:eastAsia="en-US"/>
              </w:rPr>
              <w:t>14 (39)</w:t>
            </w:r>
          </w:p>
        </w:tc>
      </w:tr>
      <w:tr w:rsidR="002C537B" w:rsidRPr="002C537B" w14:paraId="44129956" w14:textId="77777777" w:rsidTr="00ED255D">
        <w:tc>
          <w:tcPr>
            <w:tcW w:w="1727" w:type="pct"/>
          </w:tcPr>
          <w:p w14:paraId="13622578" w14:textId="77777777" w:rsidR="008C0EB0" w:rsidRPr="002C537B" w:rsidRDefault="008C0EB0" w:rsidP="00C90CF5">
            <w:pPr>
              <w:pStyle w:val="TableText0"/>
              <w:rPr>
                <w:lang w:val="en-US" w:eastAsia="en-US"/>
              </w:rPr>
            </w:pPr>
            <w:r w:rsidRPr="002C537B">
              <w:rPr>
                <w:lang w:val="en-GB" w:eastAsia="en-US"/>
              </w:rPr>
              <w:t>AEs leading to dosing interruption</w:t>
            </w:r>
          </w:p>
        </w:tc>
        <w:tc>
          <w:tcPr>
            <w:tcW w:w="1091" w:type="pct"/>
          </w:tcPr>
          <w:p w14:paraId="37442504" w14:textId="2A047A02" w:rsidR="008C0EB0" w:rsidRPr="002C537B" w:rsidRDefault="008C0EB0" w:rsidP="00C90CF5">
            <w:pPr>
              <w:pStyle w:val="TableText0"/>
              <w:jc w:val="center"/>
              <w:rPr>
                <w:lang w:eastAsia="en-US" w:bidi="en-US"/>
              </w:rPr>
            </w:pPr>
            <w:r w:rsidRPr="002C537B">
              <w:rPr>
                <w:lang w:val="en-GB" w:eastAsia="en-US"/>
              </w:rPr>
              <w:t>41 (69.5)</w:t>
            </w:r>
            <w:r w:rsidR="00CD3B60" w:rsidRPr="002C537B">
              <w:rPr>
                <w:vertAlign w:val="superscript"/>
                <w:lang w:val="en-GB" w:eastAsia="en-US"/>
              </w:rPr>
              <w:t>c</w:t>
            </w:r>
          </w:p>
        </w:tc>
        <w:tc>
          <w:tcPr>
            <w:tcW w:w="1091" w:type="pct"/>
          </w:tcPr>
          <w:p w14:paraId="4C4CDBAD" w14:textId="66719F24" w:rsidR="008C0EB0" w:rsidRPr="002C537B" w:rsidRDefault="00D81DD3" w:rsidP="00C90CF5">
            <w:pPr>
              <w:pStyle w:val="TableText0"/>
              <w:jc w:val="center"/>
              <w:rPr>
                <w:lang w:eastAsia="en-US" w:bidi="en-US"/>
              </w:rPr>
            </w:pPr>
            <w:r w:rsidRPr="002C537B">
              <w:rPr>
                <w:lang w:eastAsia="en-US" w:bidi="en-US"/>
              </w:rPr>
              <w:t>NR</w:t>
            </w:r>
          </w:p>
        </w:tc>
        <w:tc>
          <w:tcPr>
            <w:tcW w:w="1092" w:type="pct"/>
          </w:tcPr>
          <w:p w14:paraId="3B9451CA" w14:textId="77777777" w:rsidR="008C0EB0" w:rsidRPr="002C537B" w:rsidRDefault="008C0EB0" w:rsidP="00C90CF5">
            <w:pPr>
              <w:pStyle w:val="TableText0"/>
              <w:jc w:val="center"/>
              <w:rPr>
                <w:lang w:eastAsia="en-US" w:bidi="en-US"/>
              </w:rPr>
            </w:pPr>
            <w:r w:rsidRPr="002C537B">
              <w:rPr>
                <w:lang w:val="en-GB" w:eastAsia="en-US"/>
              </w:rPr>
              <w:t>27 (75)</w:t>
            </w:r>
          </w:p>
        </w:tc>
      </w:tr>
      <w:tr w:rsidR="002C537B" w:rsidRPr="002C537B" w14:paraId="5769C8D1" w14:textId="77777777" w:rsidTr="00ED255D">
        <w:tc>
          <w:tcPr>
            <w:tcW w:w="1727" w:type="pct"/>
          </w:tcPr>
          <w:p w14:paraId="68EDA65A" w14:textId="23264ACC" w:rsidR="005F59D9" w:rsidRPr="002C537B" w:rsidRDefault="00E3574E" w:rsidP="00C90CF5">
            <w:pPr>
              <w:pStyle w:val="TableText0"/>
              <w:rPr>
                <w:lang w:val="en-GB" w:eastAsia="en-US"/>
              </w:rPr>
            </w:pPr>
            <w:r>
              <w:rPr>
                <w:lang w:val="en-GB" w:eastAsia="en-US"/>
              </w:rPr>
              <w:t xml:space="preserve">AEs leading to </w:t>
            </w:r>
            <w:r w:rsidR="005F59D9" w:rsidRPr="002C537B">
              <w:rPr>
                <w:lang w:val="en-GB" w:eastAsia="en-US"/>
              </w:rPr>
              <w:t>death</w:t>
            </w:r>
          </w:p>
        </w:tc>
        <w:tc>
          <w:tcPr>
            <w:tcW w:w="1091" w:type="pct"/>
          </w:tcPr>
          <w:p w14:paraId="0013BC84" w14:textId="1506E6DC" w:rsidR="005F59D9" w:rsidRPr="002C537B" w:rsidRDefault="00E410E5" w:rsidP="00C90CF5">
            <w:pPr>
              <w:pStyle w:val="TableText0"/>
              <w:jc w:val="center"/>
              <w:rPr>
                <w:lang w:val="en-GB" w:eastAsia="en-US"/>
              </w:rPr>
            </w:pPr>
            <w:r>
              <w:rPr>
                <w:lang w:val="en-GB" w:eastAsia="en-US"/>
              </w:rPr>
              <w:t>1 (1.7)</w:t>
            </w:r>
          </w:p>
        </w:tc>
        <w:tc>
          <w:tcPr>
            <w:tcW w:w="1091" w:type="pct"/>
          </w:tcPr>
          <w:p w14:paraId="1033C40F" w14:textId="4E31B965" w:rsidR="005F59D9" w:rsidRPr="002C537B" w:rsidRDefault="00327F82" w:rsidP="00C90CF5">
            <w:pPr>
              <w:pStyle w:val="TableText0"/>
              <w:jc w:val="center"/>
              <w:rPr>
                <w:lang w:eastAsia="en-US" w:bidi="en-US"/>
              </w:rPr>
            </w:pPr>
            <w:r>
              <w:rPr>
                <w:lang w:eastAsia="en-US" w:bidi="en-US"/>
              </w:rPr>
              <w:t>29 (7.2)</w:t>
            </w:r>
          </w:p>
        </w:tc>
        <w:tc>
          <w:tcPr>
            <w:tcW w:w="1092" w:type="pct"/>
          </w:tcPr>
          <w:p w14:paraId="2CF53E75" w14:textId="1F6C30AB" w:rsidR="005F59D9" w:rsidRPr="002C537B" w:rsidRDefault="00506425" w:rsidP="00C90CF5">
            <w:pPr>
              <w:pStyle w:val="TableText0"/>
              <w:jc w:val="center"/>
              <w:rPr>
                <w:lang w:val="en-GB" w:eastAsia="en-US"/>
              </w:rPr>
            </w:pPr>
            <w:r>
              <w:rPr>
                <w:lang w:val="en-GB" w:eastAsia="en-US"/>
              </w:rPr>
              <w:t>0 (0)</w:t>
            </w:r>
          </w:p>
        </w:tc>
      </w:tr>
    </w:tbl>
    <w:p w14:paraId="57D34B62" w14:textId="6BB0FC71" w:rsidR="00B80404" w:rsidRPr="002C537B" w:rsidRDefault="00D14582" w:rsidP="00C90CF5">
      <w:pPr>
        <w:pStyle w:val="TableFigureFooter"/>
        <w:keepNext/>
      </w:pPr>
      <w:r w:rsidRPr="002C537B">
        <w:t xml:space="preserve">Source: </w:t>
      </w:r>
      <w:r w:rsidR="00CA1DD5" w:rsidRPr="002C537B">
        <w:t xml:space="preserve">Table 2.52, p121 and </w:t>
      </w:r>
      <w:r w:rsidRPr="002C537B">
        <w:t xml:space="preserve">Table 2.57, p125 of the submission. </w:t>
      </w:r>
    </w:p>
    <w:p w14:paraId="5242B452" w14:textId="6F3F00FD" w:rsidR="00D14582" w:rsidRPr="002C537B" w:rsidRDefault="00016F4C" w:rsidP="00C90CF5">
      <w:pPr>
        <w:pStyle w:val="TableFigureFooter"/>
        <w:keepNext/>
      </w:pPr>
      <w:r w:rsidRPr="002C537B">
        <w:t>AE = adverse events; N = total number of participants; n = number of participants reporting data; SAE = serious adverse events</w:t>
      </w:r>
      <w:r w:rsidR="007260D9">
        <w:t xml:space="preserve">; TEAE = treatment emergent adverse event. </w:t>
      </w:r>
    </w:p>
    <w:p w14:paraId="5867669C" w14:textId="333E53E1" w:rsidR="00CA1DD5" w:rsidRPr="002C537B" w:rsidRDefault="00CA1DD5" w:rsidP="00C90CF5">
      <w:pPr>
        <w:pStyle w:val="TableFigureFooter"/>
        <w:keepNext/>
      </w:pPr>
      <w:r w:rsidRPr="002C537B">
        <w:rPr>
          <w:vertAlign w:val="superscript"/>
        </w:rPr>
        <w:t xml:space="preserve">a </w:t>
      </w:r>
      <w:r w:rsidRPr="002C537B">
        <w:t xml:space="preserve">Source: Extracted from the USCTR entry for NCTNCT02578680 at </w:t>
      </w:r>
      <w:hyperlink r:id="rId21" w:anchor="adverseevents" w:history="1">
        <w:r w:rsidRPr="002C537B">
          <w:rPr>
            <w:rStyle w:val="Hyperlink"/>
            <w:color w:val="auto"/>
          </w:rPr>
          <w:t>https://clinicaltrials.gov/study/NCT02578680?term=KEYNOTE-189&amp;rank=5&amp;tab=results#adverse-events</w:t>
        </w:r>
      </w:hyperlink>
      <w:r w:rsidRPr="002C537B">
        <w:t xml:space="preserve"> </w:t>
      </w:r>
    </w:p>
    <w:p w14:paraId="512E1E31" w14:textId="10487D43" w:rsidR="00CD3B60" w:rsidRPr="002C537B" w:rsidRDefault="00CD3B60" w:rsidP="00C90CF5">
      <w:pPr>
        <w:pStyle w:val="TableFigureFooter"/>
        <w:keepNext/>
      </w:pPr>
      <w:r w:rsidRPr="002C537B">
        <w:rPr>
          <w:vertAlign w:val="superscript"/>
        </w:rPr>
        <w:t>b</w:t>
      </w:r>
      <w:r w:rsidR="003A6BCB" w:rsidRPr="002C537B">
        <w:t xml:space="preserve"> S</w:t>
      </w:r>
      <w:r w:rsidRPr="002C537B">
        <w:t xml:space="preserve">ource: </w:t>
      </w:r>
      <w:hyperlink r:id="rId22" w:anchor="studyplan" w:history="1">
        <w:r w:rsidR="00CA1DD5" w:rsidRPr="002C537B">
          <w:rPr>
            <w:rStyle w:val="Hyperlink"/>
            <w:color w:val="auto"/>
          </w:rPr>
          <w:t>https://www.clinicaltrials.gov/study/NCT01336634#study-plan</w:t>
        </w:r>
      </w:hyperlink>
    </w:p>
    <w:p w14:paraId="31787310" w14:textId="079C360A" w:rsidR="00CD3B60" w:rsidRPr="002C537B" w:rsidRDefault="00CD3B60" w:rsidP="00C90CF5">
      <w:pPr>
        <w:pStyle w:val="TableFigureFooter"/>
        <w:keepNext/>
      </w:pPr>
      <w:r w:rsidRPr="002C537B">
        <w:rPr>
          <w:vertAlign w:val="superscript"/>
        </w:rPr>
        <w:t xml:space="preserve">c </w:t>
      </w:r>
      <w:r w:rsidR="003A6BCB" w:rsidRPr="002C537B">
        <w:t>Data from cutoff July 2023 (not available from cutoff April 2024)</w:t>
      </w:r>
    </w:p>
    <w:p w14:paraId="738B7855" w14:textId="4DD2136F" w:rsidR="0073666E" w:rsidRDefault="0073666E" w:rsidP="003A3A7B">
      <w:pPr>
        <w:pStyle w:val="3-BodyText"/>
      </w:pPr>
      <w:r w:rsidRPr="0073666E">
        <w:t>Al</w:t>
      </w:r>
      <w:r>
        <w:t xml:space="preserve">most all </w:t>
      </w:r>
      <w:r w:rsidRPr="0073666E">
        <w:t xml:space="preserve">patients across the three trials experienced at least one AE. The highest proportion of Grade 3–5 AEs was observed in the PHAROS trial. </w:t>
      </w:r>
      <w:r w:rsidR="00AB5104">
        <w:t>Serious adverse events (</w:t>
      </w:r>
      <w:r w:rsidRPr="0073666E">
        <w:t>SAEs</w:t>
      </w:r>
      <w:r w:rsidR="00AB5104">
        <w:t>)</w:t>
      </w:r>
      <w:r w:rsidRPr="0073666E">
        <w:t xml:space="preserve"> were more frequent in BRF113928 than in KN</w:t>
      </w:r>
      <w:r w:rsidR="003A3A7B">
        <w:noBreakHyphen/>
      </w:r>
      <w:r w:rsidRPr="0073666E">
        <w:t>189 and PHAROS. AEs resulting in dose reduction and interruption occurred more frequently in BRF113928 compared to PHAROS, with no data reported for KN</w:t>
      </w:r>
      <w:r w:rsidR="003A3A7B">
        <w:noBreakHyphen/>
      </w:r>
      <w:r w:rsidRPr="0073666E">
        <w:t xml:space="preserve">189. </w:t>
      </w:r>
    </w:p>
    <w:p w14:paraId="3AD69A46" w14:textId="0FC47E05" w:rsidR="0026075D" w:rsidRDefault="0026075D" w:rsidP="003A3A7B">
      <w:pPr>
        <w:pStyle w:val="3-BodyText"/>
      </w:pPr>
      <w:r w:rsidRPr="0026075D">
        <w:t>In the PHAROS trial (untreated cohort), the most common treatment</w:t>
      </w:r>
      <w:r w:rsidR="003A3A7B">
        <w:noBreakHyphen/>
      </w:r>
      <w:r w:rsidRPr="0026075D">
        <w:t xml:space="preserve">related Grade 3 AEs (≥5%) were increased lipase (12%), elevated </w:t>
      </w:r>
      <w:r w:rsidRPr="002C537B">
        <w:t xml:space="preserve">aspartate aminotransferase (AST; 10%), </w:t>
      </w:r>
      <w:r>
        <w:t xml:space="preserve">elevated </w:t>
      </w:r>
      <w:r w:rsidRPr="002C537B">
        <w:t xml:space="preserve">alanine aminotransferase increased (ALT; 5%), </w:t>
      </w:r>
      <w:r w:rsidRPr="0026075D">
        <w:t xml:space="preserve">diarrhoea (5%), and nausea (5%). </w:t>
      </w:r>
      <w:r w:rsidR="00A8672E" w:rsidRPr="00172285">
        <w:t xml:space="preserve">The ESC noted that the high pill burden associated with E+B </w:t>
      </w:r>
      <w:r w:rsidR="001C2EAB" w:rsidRPr="00172285">
        <w:t>is difficult to manage when patients are experiencing gastrointestinal AEs.</w:t>
      </w:r>
      <w:r w:rsidR="001C2EAB">
        <w:t xml:space="preserve"> </w:t>
      </w:r>
      <w:r w:rsidRPr="0026075D">
        <w:t>Grade 4 AEs included hyponatraemia, disseminated intravascular coagulation, colitis, and elevated blood creatine phosphokinase (each 1%). Colitis was the most frequent treatment</w:t>
      </w:r>
      <w:r w:rsidR="003A3A7B">
        <w:noBreakHyphen/>
      </w:r>
      <w:r w:rsidRPr="0026075D">
        <w:t>related SAE (5%). AEs leading to permanent discontinuation of E+B most commonly included diarrhoea, decreased ejection fraction, nausea, and vomiting (each 2%). One patient (1%) died due to a Grade 5 intracranial haemorrhage, assessed as treatment</w:t>
      </w:r>
      <w:r w:rsidR="003A3A7B">
        <w:noBreakHyphen/>
      </w:r>
      <w:r w:rsidRPr="0026075D">
        <w:t>related by the investigator.</w:t>
      </w:r>
    </w:p>
    <w:p w14:paraId="041617A1" w14:textId="4416B246" w:rsidR="00B275B3" w:rsidRPr="002C537B" w:rsidRDefault="005211B3" w:rsidP="003A3A7B">
      <w:pPr>
        <w:pStyle w:val="3-BodyText"/>
      </w:pPr>
      <w:r>
        <w:t xml:space="preserve">Among the </w:t>
      </w:r>
      <w:r w:rsidR="00623B9D">
        <w:t>untreated patients in the BRF113928</w:t>
      </w:r>
      <w:r w:rsidR="009B092F">
        <w:t xml:space="preserve"> trial</w:t>
      </w:r>
      <w:r w:rsidR="00B275B3" w:rsidRPr="00B275B3">
        <w:t>, the most common Grade ≥3 AEs were hypertension</w:t>
      </w:r>
      <w:r w:rsidR="00790AEA">
        <w:t>, pyrexia, elevated ALT</w:t>
      </w:r>
      <w:r w:rsidR="00B275B3" w:rsidRPr="00B275B3">
        <w:t xml:space="preserve"> (1</w:t>
      </w:r>
      <w:r w:rsidR="00790AEA">
        <w:t>1</w:t>
      </w:r>
      <w:r w:rsidR="00B275B3" w:rsidRPr="00B275B3">
        <w:t xml:space="preserve">% </w:t>
      </w:r>
      <w:r w:rsidR="00790AEA">
        <w:t>each</w:t>
      </w:r>
      <w:r w:rsidR="00B275B3" w:rsidRPr="00B275B3">
        <w:t xml:space="preserve">), followed by neutropenia (8%), </w:t>
      </w:r>
      <w:r w:rsidR="00790AEA" w:rsidRPr="00B275B3">
        <w:t>dyspnoea (</w:t>
      </w:r>
      <w:r w:rsidR="00790AEA">
        <w:t>6</w:t>
      </w:r>
      <w:r w:rsidR="00790AEA" w:rsidRPr="00B275B3">
        <w:t xml:space="preserve">%), </w:t>
      </w:r>
      <w:r w:rsidR="00B41EAC">
        <w:t>h</w:t>
      </w:r>
      <w:r w:rsidR="00B41EAC" w:rsidRPr="00B41EAC">
        <w:t xml:space="preserve">yponatraemia </w:t>
      </w:r>
      <w:r w:rsidR="00B275B3" w:rsidRPr="00B275B3">
        <w:t>(</w:t>
      </w:r>
      <w:r w:rsidR="00B41EAC">
        <w:t>6</w:t>
      </w:r>
      <w:r w:rsidR="00B275B3" w:rsidRPr="00B275B3">
        <w:t>%), and anaemia (</w:t>
      </w:r>
      <w:r w:rsidR="00B41EAC">
        <w:t>3</w:t>
      </w:r>
      <w:r w:rsidR="00B275B3" w:rsidRPr="00B275B3">
        <w:t xml:space="preserve">%). </w:t>
      </w:r>
    </w:p>
    <w:p w14:paraId="53BE3C5A" w14:textId="3AA278DE" w:rsidR="00A037DE" w:rsidRDefault="00A037DE" w:rsidP="003A3A7B">
      <w:pPr>
        <w:pStyle w:val="5-SubsectionSubheading"/>
      </w:pPr>
      <w:bookmarkStart w:id="54" w:name="_Toc208925859"/>
      <w:r w:rsidRPr="00EC03E0">
        <w:t>MAIC</w:t>
      </w:r>
      <w:r>
        <w:t xml:space="preserve"> of safety outcomes</w:t>
      </w:r>
      <w:bookmarkEnd w:id="54"/>
    </w:p>
    <w:p w14:paraId="098DC46D" w14:textId="77777777" w:rsidR="00243062" w:rsidRPr="00243062" w:rsidRDefault="0054787A" w:rsidP="003A3A7B">
      <w:pPr>
        <w:pStyle w:val="3-BodyText"/>
        <w:rPr>
          <w:rFonts w:ascii="Calibri" w:hAnsi="Calibri" w:cs="Arial"/>
          <w:szCs w:val="24"/>
        </w:rPr>
      </w:pPr>
      <w:r w:rsidRPr="00A037DE">
        <w:t xml:space="preserve">Similar to the efficacy analysis, the submission presented unanchored MAICs comparing E+B with both </w:t>
      </w:r>
      <w:proofErr w:type="spellStart"/>
      <w:r w:rsidRPr="00A037DE">
        <w:t>pembrolizumab+PDC</w:t>
      </w:r>
      <w:proofErr w:type="spellEnd"/>
      <w:r w:rsidRPr="00A037DE">
        <w:t xml:space="preserve"> and D+T. </w:t>
      </w:r>
      <w:r w:rsidR="0035745C">
        <w:t xml:space="preserve">Results for the unanchored MAICs </w:t>
      </w:r>
      <w:r w:rsidR="00243062">
        <w:t xml:space="preserve">comparing E+B with D+T are presented. </w:t>
      </w:r>
    </w:p>
    <w:p w14:paraId="2379A2BB" w14:textId="0D93D70F" w:rsidR="0054787A" w:rsidRPr="00163BD8" w:rsidRDefault="0054787A" w:rsidP="003A3A7B">
      <w:pPr>
        <w:pStyle w:val="3-BodyText"/>
        <w:rPr>
          <w:rFonts w:ascii="Calibri" w:hAnsi="Calibri" w:cs="Arial"/>
          <w:szCs w:val="24"/>
        </w:rPr>
      </w:pPr>
      <w:r w:rsidRPr="00A037DE">
        <w:lastRenderedPageBreak/>
        <w:t xml:space="preserve">Safety data for E+B were drawn from </w:t>
      </w:r>
      <w:r w:rsidR="00841ECF" w:rsidRPr="00A037DE">
        <w:t>the PHAROS trial</w:t>
      </w:r>
      <w:r w:rsidR="00841ECF">
        <w:t xml:space="preserve"> </w:t>
      </w:r>
      <w:r w:rsidR="00F5194F">
        <w:t>(</w:t>
      </w:r>
      <w:r w:rsidR="00A52E1F" w:rsidRPr="00A52E1F">
        <w:t>median follow</w:t>
      </w:r>
      <w:r w:rsidR="003A3A7B">
        <w:noBreakHyphen/>
      </w:r>
      <w:r w:rsidR="00A52E1F" w:rsidRPr="00A52E1F">
        <w:t>up of 33.3 months</w:t>
      </w:r>
      <w:r w:rsidR="00A52E1F">
        <w:t>)</w:t>
      </w:r>
      <w:r w:rsidR="00841ECF">
        <w:t>.</w:t>
      </w:r>
      <w:r w:rsidRPr="00A037DE">
        <w:t xml:space="preserve"> </w:t>
      </w:r>
      <w:r w:rsidR="000A728A">
        <w:t>An e</w:t>
      </w:r>
      <w:r w:rsidR="00931663" w:rsidRPr="00931663">
        <w:t>arlier data cut</w:t>
      </w:r>
      <w:r w:rsidR="003A3A7B">
        <w:noBreakHyphen/>
      </w:r>
      <w:r w:rsidR="00931663" w:rsidRPr="00931663">
        <w:t>off</w:t>
      </w:r>
      <w:r w:rsidR="000A728A">
        <w:t xml:space="preserve"> was</w:t>
      </w:r>
      <w:r w:rsidR="00931663" w:rsidRPr="00931663">
        <w:t xml:space="preserve"> used for D+T</w:t>
      </w:r>
      <w:r w:rsidR="00995029">
        <w:t xml:space="preserve"> (</w:t>
      </w:r>
      <w:r w:rsidR="00230DDD">
        <w:t xml:space="preserve">BRF113928; </w:t>
      </w:r>
      <w:r w:rsidR="00995029">
        <w:t>median follow</w:t>
      </w:r>
      <w:r w:rsidR="003A3A7B">
        <w:noBreakHyphen/>
      </w:r>
      <w:r w:rsidR="00995029">
        <w:t>up of 15.9 months)</w:t>
      </w:r>
      <w:r w:rsidR="00931663" w:rsidRPr="00931663">
        <w:t>, as the more recent cut</w:t>
      </w:r>
      <w:r w:rsidR="003A3A7B">
        <w:noBreakHyphen/>
      </w:r>
      <w:r w:rsidR="00931663" w:rsidRPr="00931663">
        <w:t>off</w:t>
      </w:r>
      <w:r w:rsidR="00230DDD">
        <w:t xml:space="preserve"> </w:t>
      </w:r>
      <w:r w:rsidR="00931663" w:rsidRPr="00931663">
        <w:t>did not provide outcomes specifically for untreated patients.</w:t>
      </w:r>
    </w:p>
    <w:p w14:paraId="18331FF9" w14:textId="5C4ADCB5" w:rsidR="00D40463" w:rsidRDefault="0054787A" w:rsidP="003A3A7B">
      <w:pPr>
        <w:pStyle w:val="3-BodyText"/>
      </w:pPr>
      <w:r>
        <w:t>The results of the unanchored and unadjusted comparison, and of the</w:t>
      </w:r>
      <w:r w:rsidR="00DD506C">
        <w:t xml:space="preserve"> unanchored</w:t>
      </w:r>
      <w:r>
        <w:t xml:space="preserve"> MAICs between E+B and D+T are presented in the </w:t>
      </w:r>
      <w:r>
        <w:fldChar w:fldCharType="begin"/>
      </w:r>
      <w:r>
        <w:instrText xml:space="preserve"> REF _Ref206164321 \h </w:instrText>
      </w:r>
      <w:r>
        <w:fldChar w:fldCharType="separate"/>
      </w:r>
      <w:r w:rsidR="00894EC9">
        <w:t>Table 12</w:t>
      </w:r>
      <w:r>
        <w:fldChar w:fldCharType="end"/>
      </w:r>
      <w:r w:rsidR="00333C86">
        <w:t xml:space="preserve">. </w:t>
      </w:r>
    </w:p>
    <w:p w14:paraId="735053FF" w14:textId="77777777" w:rsidR="00D40463" w:rsidRDefault="00D40463" w:rsidP="003A3A7B">
      <w:pPr>
        <w:jc w:val="left"/>
        <w:rPr>
          <w:rFonts w:asciiTheme="minorHAnsi" w:eastAsiaTheme="minorHAnsi" w:hAnsiTheme="minorHAnsi" w:cstheme="minorBidi"/>
          <w:szCs w:val="22"/>
        </w:rPr>
      </w:pPr>
      <w:r>
        <w:br w:type="page"/>
      </w:r>
    </w:p>
    <w:p w14:paraId="4F7CFD1C" w14:textId="5EE1DFB7" w:rsidR="00333C86" w:rsidRDefault="00333C86" w:rsidP="003A3A7B">
      <w:pPr>
        <w:pStyle w:val="Caption"/>
      </w:pPr>
      <w:bookmarkStart w:id="55" w:name="_Ref206164321"/>
      <w:bookmarkStart w:id="56" w:name="_Hlk204689502"/>
      <w:r>
        <w:lastRenderedPageBreak/>
        <w:t xml:space="preserve">Table </w:t>
      </w:r>
      <w:r w:rsidR="003C5461">
        <w:t>12</w:t>
      </w:r>
      <w:bookmarkEnd w:id="55"/>
      <w:r>
        <w:t>: Indirect comparison of safety – unadjusted analysis and MAICs (E+B vs. D+T)</w:t>
      </w:r>
    </w:p>
    <w:tbl>
      <w:tblPr>
        <w:tblStyle w:val="TableGrid"/>
        <w:tblW w:w="5000" w:type="pct"/>
        <w:tblLook w:val="04A0" w:firstRow="1" w:lastRow="0" w:firstColumn="1" w:lastColumn="0" w:noHBand="0" w:noVBand="1"/>
        <w:tblCaption w:val="Table 12: Indirect comparison of safety – unadjusted analysis and MAICs (E+B vs. D+T)"/>
      </w:tblPr>
      <w:tblGrid>
        <w:gridCol w:w="1871"/>
        <w:gridCol w:w="2382"/>
        <w:gridCol w:w="2382"/>
        <w:gridCol w:w="2382"/>
      </w:tblGrid>
      <w:tr w:rsidR="00333C86" w14:paraId="156FF47E" w14:textId="77777777" w:rsidTr="00333C86">
        <w:tc>
          <w:tcPr>
            <w:tcW w:w="1037" w:type="pct"/>
            <w:tcBorders>
              <w:top w:val="single" w:sz="4" w:space="0" w:color="auto"/>
              <w:left w:val="single" w:sz="4" w:space="0" w:color="auto"/>
              <w:bottom w:val="single" w:sz="4" w:space="0" w:color="auto"/>
              <w:right w:val="single" w:sz="4" w:space="0" w:color="auto"/>
            </w:tcBorders>
            <w:hideMark/>
          </w:tcPr>
          <w:p w14:paraId="7006B060" w14:textId="77777777" w:rsidR="00333C86" w:rsidRDefault="00333C86" w:rsidP="003A3A7B">
            <w:pPr>
              <w:pStyle w:val="TableText0"/>
              <w:rPr>
                <w:b/>
                <w:bCs w:val="0"/>
              </w:rPr>
            </w:pPr>
            <w:r>
              <w:rPr>
                <w:b/>
                <w:bCs w:val="0"/>
              </w:rPr>
              <w:t>E+B vs. D+T</w:t>
            </w:r>
          </w:p>
        </w:tc>
        <w:tc>
          <w:tcPr>
            <w:tcW w:w="1321" w:type="pct"/>
            <w:tcBorders>
              <w:top w:val="single" w:sz="4" w:space="0" w:color="auto"/>
              <w:left w:val="single" w:sz="4" w:space="0" w:color="auto"/>
              <w:bottom w:val="single" w:sz="4" w:space="0" w:color="auto"/>
              <w:right w:val="single" w:sz="4" w:space="0" w:color="auto"/>
            </w:tcBorders>
            <w:hideMark/>
          </w:tcPr>
          <w:p w14:paraId="4BA938A1" w14:textId="77777777" w:rsidR="00333C86" w:rsidRDefault="00333C86" w:rsidP="003A3A7B">
            <w:pPr>
              <w:pStyle w:val="TableText0"/>
              <w:jc w:val="center"/>
              <w:rPr>
                <w:b/>
                <w:bCs w:val="0"/>
              </w:rPr>
            </w:pPr>
            <w:r>
              <w:rPr>
                <w:b/>
                <w:bCs w:val="0"/>
              </w:rPr>
              <w:t>Unadjusted</w:t>
            </w:r>
          </w:p>
          <w:p w14:paraId="35EE45BE" w14:textId="5F99BBDC" w:rsidR="00333C86" w:rsidRDefault="00333C86" w:rsidP="003A3A7B">
            <w:pPr>
              <w:pStyle w:val="TableText0"/>
              <w:jc w:val="center"/>
              <w:rPr>
                <w:b/>
                <w:bCs w:val="0"/>
              </w:rPr>
            </w:pPr>
            <w:r>
              <w:rPr>
                <w:b/>
                <w:bCs w:val="0"/>
              </w:rPr>
              <w:t>(non</w:t>
            </w:r>
            <w:r w:rsidR="003A3A7B">
              <w:rPr>
                <w:b/>
                <w:bCs w:val="0"/>
              </w:rPr>
              <w:noBreakHyphen/>
            </w:r>
            <w:r>
              <w:rPr>
                <w:b/>
                <w:bCs w:val="0"/>
              </w:rPr>
              <w:t>matching)</w:t>
            </w:r>
          </w:p>
        </w:tc>
        <w:tc>
          <w:tcPr>
            <w:tcW w:w="1321" w:type="pct"/>
            <w:tcBorders>
              <w:top w:val="single" w:sz="4" w:space="0" w:color="auto"/>
              <w:left w:val="single" w:sz="4" w:space="0" w:color="auto"/>
              <w:bottom w:val="single" w:sz="4" w:space="0" w:color="auto"/>
              <w:right w:val="single" w:sz="4" w:space="0" w:color="auto"/>
            </w:tcBorders>
            <w:hideMark/>
          </w:tcPr>
          <w:p w14:paraId="10F647EB" w14:textId="77777777" w:rsidR="00333C86" w:rsidRDefault="00333C86" w:rsidP="003A3A7B">
            <w:pPr>
              <w:pStyle w:val="TableText0"/>
              <w:jc w:val="center"/>
              <w:rPr>
                <w:b/>
                <w:bCs w:val="0"/>
              </w:rPr>
            </w:pPr>
            <w:r>
              <w:rPr>
                <w:b/>
                <w:bCs w:val="0"/>
              </w:rPr>
              <w:t>Adjusted</w:t>
            </w:r>
          </w:p>
          <w:p w14:paraId="5331B732" w14:textId="77777777" w:rsidR="00333C86" w:rsidRDefault="00333C86" w:rsidP="003A3A7B">
            <w:pPr>
              <w:pStyle w:val="TableText0"/>
              <w:jc w:val="center"/>
              <w:rPr>
                <w:b/>
                <w:bCs w:val="0"/>
              </w:rPr>
            </w:pPr>
            <w:r>
              <w:rPr>
                <w:b/>
                <w:bCs w:val="0"/>
              </w:rPr>
              <w:t>(base case)</w:t>
            </w:r>
          </w:p>
        </w:tc>
        <w:tc>
          <w:tcPr>
            <w:tcW w:w="1321" w:type="pct"/>
            <w:tcBorders>
              <w:top w:val="single" w:sz="4" w:space="0" w:color="auto"/>
              <w:left w:val="single" w:sz="4" w:space="0" w:color="auto"/>
              <w:bottom w:val="single" w:sz="4" w:space="0" w:color="auto"/>
              <w:right w:val="single" w:sz="4" w:space="0" w:color="auto"/>
            </w:tcBorders>
            <w:hideMark/>
          </w:tcPr>
          <w:p w14:paraId="354DD52D" w14:textId="77777777" w:rsidR="00333C86" w:rsidRDefault="00333C86" w:rsidP="003A3A7B">
            <w:pPr>
              <w:pStyle w:val="TableText0"/>
              <w:jc w:val="center"/>
              <w:rPr>
                <w:b/>
                <w:bCs w:val="0"/>
              </w:rPr>
            </w:pPr>
            <w:r>
              <w:rPr>
                <w:b/>
                <w:bCs w:val="0"/>
              </w:rPr>
              <w:t>Adjusted</w:t>
            </w:r>
          </w:p>
          <w:p w14:paraId="05F7FB4A" w14:textId="77777777" w:rsidR="00333C86" w:rsidRDefault="00333C86" w:rsidP="003A3A7B">
            <w:pPr>
              <w:pStyle w:val="TableText0"/>
              <w:jc w:val="center"/>
              <w:rPr>
                <w:b/>
                <w:bCs w:val="0"/>
              </w:rPr>
            </w:pPr>
            <w:r>
              <w:rPr>
                <w:b/>
                <w:bCs w:val="0"/>
              </w:rPr>
              <w:t>(sensitivity analysis 1)</w:t>
            </w:r>
          </w:p>
        </w:tc>
      </w:tr>
      <w:tr w:rsidR="00333C86" w14:paraId="2D9B5F37" w14:textId="77777777" w:rsidTr="00333C86">
        <w:tc>
          <w:tcPr>
            <w:tcW w:w="5000" w:type="pct"/>
            <w:gridSpan w:val="4"/>
            <w:tcBorders>
              <w:top w:val="single" w:sz="4" w:space="0" w:color="auto"/>
              <w:left w:val="single" w:sz="4" w:space="0" w:color="auto"/>
              <w:bottom w:val="single" w:sz="4" w:space="0" w:color="auto"/>
              <w:right w:val="single" w:sz="4" w:space="0" w:color="auto"/>
            </w:tcBorders>
            <w:hideMark/>
          </w:tcPr>
          <w:p w14:paraId="03033881" w14:textId="5C050599" w:rsidR="00333C86" w:rsidRDefault="00333C86" w:rsidP="003A3A7B">
            <w:pPr>
              <w:pStyle w:val="TableText0"/>
              <w:rPr>
                <w:b/>
                <w:bCs w:val="0"/>
              </w:rPr>
            </w:pPr>
            <w:r>
              <w:rPr>
                <w:b/>
                <w:bCs w:val="0"/>
              </w:rPr>
              <w:t>Grade 3</w:t>
            </w:r>
            <w:r w:rsidR="003A3A7B">
              <w:rPr>
                <w:b/>
                <w:bCs w:val="0"/>
              </w:rPr>
              <w:noBreakHyphen/>
            </w:r>
            <w:r>
              <w:rPr>
                <w:b/>
                <w:bCs w:val="0"/>
              </w:rPr>
              <w:t xml:space="preserve">4 AE </w:t>
            </w:r>
          </w:p>
        </w:tc>
      </w:tr>
      <w:tr w:rsidR="00333C86" w14:paraId="799C4C46" w14:textId="77777777" w:rsidTr="00333C86">
        <w:tc>
          <w:tcPr>
            <w:tcW w:w="1037" w:type="pct"/>
            <w:tcBorders>
              <w:top w:val="single" w:sz="4" w:space="0" w:color="auto"/>
              <w:left w:val="single" w:sz="4" w:space="0" w:color="auto"/>
              <w:bottom w:val="single" w:sz="4" w:space="0" w:color="auto"/>
              <w:right w:val="single" w:sz="4" w:space="0" w:color="auto"/>
            </w:tcBorders>
            <w:hideMark/>
          </w:tcPr>
          <w:p w14:paraId="3CA09D38" w14:textId="77777777" w:rsidR="00333C86" w:rsidRDefault="00333C86" w:rsidP="003A3A7B">
            <w:pPr>
              <w:pStyle w:val="TableText0"/>
            </w:pPr>
            <w:r>
              <w:t>Mean OR (95% CI)</w:t>
            </w:r>
          </w:p>
        </w:tc>
        <w:tc>
          <w:tcPr>
            <w:tcW w:w="1321" w:type="pct"/>
            <w:tcBorders>
              <w:top w:val="single" w:sz="4" w:space="0" w:color="auto"/>
              <w:left w:val="single" w:sz="4" w:space="0" w:color="auto"/>
              <w:bottom w:val="single" w:sz="4" w:space="0" w:color="auto"/>
              <w:right w:val="single" w:sz="4" w:space="0" w:color="auto"/>
            </w:tcBorders>
            <w:hideMark/>
          </w:tcPr>
          <w:p w14:paraId="78BC4ED3" w14:textId="77777777" w:rsidR="00333C86" w:rsidRDefault="00333C86" w:rsidP="003A3A7B">
            <w:pPr>
              <w:pStyle w:val="TableText0"/>
              <w:jc w:val="center"/>
            </w:pPr>
            <w:r>
              <w:t>1.00 (0.41, 2.47)</w:t>
            </w:r>
          </w:p>
        </w:tc>
        <w:tc>
          <w:tcPr>
            <w:tcW w:w="1321" w:type="pct"/>
            <w:tcBorders>
              <w:top w:val="single" w:sz="4" w:space="0" w:color="auto"/>
              <w:left w:val="single" w:sz="4" w:space="0" w:color="auto"/>
              <w:bottom w:val="single" w:sz="4" w:space="0" w:color="auto"/>
              <w:right w:val="single" w:sz="4" w:space="0" w:color="auto"/>
            </w:tcBorders>
            <w:hideMark/>
          </w:tcPr>
          <w:p w14:paraId="6B28DA8D" w14:textId="77777777" w:rsidR="00333C86" w:rsidRDefault="00333C86" w:rsidP="003A3A7B">
            <w:pPr>
              <w:pStyle w:val="TableText0"/>
              <w:jc w:val="center"/>
            </w:pPr>
            <w:r>
              <w:t>0.93 (0.37, 2.32)</w:t>
            </w:r>
          </w:p>
        </w:tc>
        <w:tc>
          <w:tcPr>
            <w:tcW w:w="1321" w:type="pct"/>
            <w:tcBorders>
              <w:top w:val="single" w:sz="4" w:space="0" w:color="auto"/>
              <w:left w:val="single" w:sz="4" w:space="0" w:color="auto"/>
              <w:bottom w:val="single" w:sz="4" w:space="0" w:color="auto"/>
              <w:right w:val="single" w:sz="4" w:space="0" w:color="auto"/>
            </w:tcBorders>
            <w:hideMark/>
          </w:tcPr>
          <w:p w14:paraId="195554A0" w14:textId="77777777" w:rsidR="00333C86" w:rsidRDefault="00333C86" w:rsidP="003A3A7B">
            <w:pPr>
              <w:pStyle w:val="TableText0"/>
              <w:jc w:val="center"/>
            </w:pPr>
            <w:r>
              <w:t>0.99 (0.40, 2.43)</w:t>
            </w:r>
          </w:p>
        </w:tc>
      </w:tr>
      <w:tr w:rsidR="00333C86" w14:paraId="7FE77203" w14:textId="77777777" w:rsidTr="00333C86">
        <w:tc>
          <w:tcPr>
            <w:tcW w:w="5000" w:type="pct"/>
            <w:gridSpan w:val="4"/>
            <w:tcBorders>
              <w:top w:val="single" w:sz="4" w:space="0" w:color="auto"/>
              <w:left w:val="single" w:sz="4" w:space="0" w:color="auto"/>
              <w:bottom w:val="single" w:sz="4" w:space="0" w:color="auto"/>
              <w:right w:val="single" w:sz="4" w:space="0" w:color="auto"/>
            </w:tcBorders>
            <w:hideMark/>
          </w:tcPr>
          <w:p w14:paraId="7C270493" w14:textId="77777777" w:rsidR="00333C86" w:rsidRDefault="00333C86" w:rsidP="003A3A7B">
            <w:pPr>
              <w:pStyle w:val="TableText0"/>
              <w:rPr>
                <w:b/>
                <w:bCs w:val="0"/>
              </w:rPr>
            </w:pPr>
            <w:r>
              <w:rPr>
                <w:b/>
                <w:bCs w:val="0"/>
              </w:rPr>
              <w:t>SAE</w:t>
            </w:r>
          </w:p>
        </w:tc>
      </w:tr>
      <w:tr w:rsidR="00333C86" w14:paraId="68DB54F0" w14:textId="77777777" w:rsidTr="00333C86">
        <w:tc>
          <w:tcPr>
            <w:tcW w:w="1037" w:type="pct"/>
            <w:tcBorders>
              <w:top w:val="single" w:sz="4" w:space="0" w:color="auto"/>
              <w:left w:val="single" w:sz="4" w:space="0" w:color="auto"/>
              <w:bottom w:val="single" w:sz="4" w:space="0" w:color="auto"/>
              <w:right w:val="single" w:sz="4" w:space="0" w:color="auto"/>
            </w:tcBorders>
            <w:hideMark/>
          </w:tcPr>
          <w:p w14:paraId="6D0DCB9B" w14:textId="77777777" w:rsidR="00333C86" w:rsidRDefault="00333C86" w:rsidP="003A3A7B">
            <w:pPr>
              <w:pStyle w:val="TableText0"/>
            </w:pPr>
            <w:r>
              <w:t>Mean OR (95% CI)</w:t>
            </w:r>
          </w:p>
        </w:tc>
        <w:tc>
          <w:tcPr>
            <w:tcW w:w="1321" w:type="pct"/>
            <w:tcBorders>
              <w:top w:val="single" w:sz="4" w:space="0" w:color="auto"/>
              <w:left w:val="single" w:sz="4" w:space="0" w:color="auto"/>
              <w:bottom w:val="single" w:sz="4" w:space="0" w:color="auto"/>
              <w:right w:val="single" w:sz="4" w:space="0" w:color="auto"/>
            </w:tcBorders>
            <w:hideMark/>
          </w:tcPr>
          <w:p w14:paraId="4548F684" w14:textId="77777777" w:rsidR="00333C86" w:rsidRDefault="00333C86" w:rsidP="003A3A7B">
            <w:pPr>
              <w:pStyle w:val="TableText0"/>
              <w:jc w:val="center"/>
            </w:pPr>
            <w:r>
              <w:t>0.45 (0.19, 1.07)</w:t>
            </w:r>
          </w:p>
        </w:tc>
        <w:tc>
          <w:tcPr>
            <w:tcW w:w="1321" w:type="pct"/>
            <w:tcBorders>
              <w:top w:val="single" w:sz="4" w:space="0" w:color="auto"/>
              <w:left w:val="single" w:sz="4" w:space="0" w:color="auto"/>
              <w:bottom w:val="single" w:sz="4" w:space="0" w:color="auto"/>
              <w:right w:val="single" w:sz="4" w:space="0" w:color="auto"/>
            </w:tcBorders>
            <w:hideMark/>
          </w:tcPr>
          <w:p w14:paraId="1B25ED83" w14:textId="77777777" w:rsidR="00333C86" w:rsidRDefault="00333C86" w:rsidP="003A3A7B">
            <w:pPr>
              <w:pStyle w:val="TableText0"/>
              <w:jc w:val="center"/>
              <w:rPr>
                <w:b/>
                <w:bCs w:val="0"/>
              </w:rPr>
            </w:pPr>
            <w:r>
              <w:rPr>
                <w:b/>
                <w:bCs w:val="0"/>
              </w:rPr>
              <w:t>0.35 (0.14, 0.85)</w:t>
            </w:r>
          </w:p>
        </w:tc>
        <w:tc>
          <w:tcPr>
            <w:tcW w:w="1321" w:type="pct"/>
            <w:tcBorders>
              <w:top w:val="single" w:sz="4" w:space="0" w:color="auto"/>
              <w:left w:val="single" w:sz="4" w:space="0" w:color="auto"/>
              <w:bottom w:val="single" w:sz="4" w:space="0" w:color="auto"/>
              <w:right w:val="single" w:sz="4" w:space="0" w:color="auto"/>
            </w:tcBorders>
            <w:hideMark/>
          </w:tcPr>
          <w:p w14:paraId="19157FFA" w14:textId="77777777" w:rsidR="00333C86" w:rsidRDefault="00333C86" w:rsidP="003A3A7B">
            <w:pPr>
              <w:pStyle w:val="TableText0"/>
              <w:jc w:val="center"/>
            </w:pPr>
            <w:r>
              <w:t>0.45 (0.19, 1.07)</w:t>
            </w:r>
          </w:p>
        </w:tc>
      </w:tr>
      <w:tr w:rsidR="00333C86" w14:paraId="29D78A65" w14:textId="77777777" w:rsidTr="00333C86">
        <w:tc>
          <w:tcPr>
            <w:tcW w:w="5000" w:type="pct"/>
            <w:gridSpan w:val="4"/>
            <w:tcBorders>
              <w:top w:val="single" w:sz="4" w:space="0" w:color="auto"/>
              <w:left w:val="single" w:sz="4" w:space="0" w:color="auto"/>
              <w:bottom w:val="single" w:sz="4" w:space="0" w:color="auto"/>
              <w:right w:val="single" w:sz="4" w:space="0" w:color="auto"/>
            </w:tcBorders>
            <w:hideMark/>
          </w:tcPr>
          <w:p w14:paraId="41566117" w14:textId="77777777" w:rsidR="00333C86" w:rsidRDefault="00333C86" w:rsidP="003A3A7B">
            <w:pPr>
              <w:pStyle w:val="TableText0"/>
              <w:rPr>
                <w:b/>
                <w:bCs w:val="0"/>
              </w:rPr>
            </w:pPr>
            <w:r>
              <w:rPr>
                <w:b/>
                <w:bCs w:val="0"/>
              </w:rPr>
              <w:t>Discontinuation due to AE</w:t>
            </w:r>
          </w:p>
        </w:tc>
      </w:tr>
      <w:tr w:rsidR="00333C86" w14:paraId="5B06DECC" w14:textId="77777777" w:rsidTr="00333C86">
        <w:tc>
          <w:tcPr>
            <w:tcW w:w="1037" w:type="pct"/>
            <w:tcBorders>
              <w:top w:val="single" w:sz="4" w:space="0" w:color="auto"/>
              <w:left w:val="single" w:sz="4" w:space="0" w:color="auto"/>
              <w:bottom w:val="single" w:sz="4" w:space="0" w:color="auto"/>
              <w:right w:val="single" w:sz="4" w:space="0" w:color="auto"/>
            </w:tcBorders>
            <w:hideMark/>
          </w:tcPr>
          <w:p w14:paraId="4CE512C4" w14:textId="77777777" w:rsidR="00333C86" w:rsidRDefault="00333C86" w:rsidP="003A3A7B">
            <w:pPr>
              <w:pStyle w:val="TableText0"/>
            </w:pPr>
            <w:r>
              <w:t>Mean OR (95% CI)</w:t>
            </w:r>
          </w:p>
        </w:tc>
        <w:tc>
          <w:tcPr>
            <w:tcW w:w="1321" w:type="pct"/>
            <w:tcBorders>
              <w:top w:val="single" w:sz="4" w:space="0" w:color="auto"/>
              <w:left w:val="single" w:sz="4" w:space="0" w:color="auto"/>
              <w:bottom w:val="single" w:sz="4" w:space="0" w:color="auto"/>
              <w:right w:val="single" w:sz="4" w:space="0" w:color="auto"/>
            </w:tcBorders>
            <w:hideMark/>
          </w:tcPr>
          <w:p w14:paraId="0B0DCD63" w14:textId="77777777" w:rsidR="00333C86" w:rsidRDefault="00333C86" w:rsidP="003A3A7B">
            <w:pPr>
              <w:pStyle w:val="TableText0"/>
              <w:jc w:val="center"/>
            </w:pPr>
            <w:r>
              <w:t>0.71 (0.25, 2.02)</w:t>
            </w:r>
          </w:p>
        </w:tc>
        <w:tc>
          <w:tcPr>
            <w:tcW w:w="1321" w:type="pct"/>
            <w:tcBorders>
              <w:top w:val="single" w:sz="4" w:space="0" w:color="auto"/>
              <w:left w:val="single" w:sz="4" w:space="0" w:color="auto"/>
              <w:bottom w:val="single" w:sz="4" w:space="0" w:color="auto"/>
              <w:right w:val="single" w:sz="4" w:space="0" w:color="auto"/>
            </w:tcBorders>
            <w:hideMark/>
          </w:tcPr>
          <w:p w14:paraId="2B8CFCD3" w14:textId="77777777" w:rsidR="00333C86" w:rsidRDefault="00333C86" w:rsidP="003A3A7B">
            <w:pPr>
              <w:pStyle w:val="TableText0"/>
              <w:jc w:val="center"/>
            </w:pPr>
            <w:r>
              <w:t>0.71 (0.24, 2.06)</w:t>
            </w:r>
          </w:p>
        </w:tc>
        <w:tc>
          <w:tcPr>
            <w:tcW w:w="1321" w:type="pct"/>
            <w:tcBorders>
              <w:top w:val="single" w:sz="4" w:space="0" w:color="auto"/>
              <w:left w:val="single" w:sz="4" w:space="0" w:color="auto"/>
              <w:bottom w:val="single" w:sz="4" w:space="0" w:color="auto"/>
              <w:right w:val="single" w:sz="4" w:space="0" w:color="auto"/>
            </w:tcBorders>
            <w:hideMark/>
          </w:tcPr>
          <w:p w14:paraId="5ACBE46C" w14:textId="77777777" w:rsidR="00333C86" w:rsidRDefault="00333C86" w:rsidP="003A3A7B">
            <w:pPr>
              <w:pStyle w:val="TableText0"/>
              <w:jc w:val="center"/>
            </w:pPr>
            <w:r>
              <w:t>0.75 (0.27, 2.11)</w:t>
            </w:r>
          </w:p>
        </w:tc>
      </w:tr>
    </w:tbl>
    <w:p w14:paraId="319E109A" w14:textId="77777777" w:rsidR="00333C86" w:rsidRDefault="00333C86" w:rsidP="003A3A7B">
      <w:pPr>
        <w:pStyle w:val="TableFigureFooter"/>
      </w:pPr>
      <w:r>
        <w:t xml:space="preserve">Source: Table 2.73, p140, Table 2.74, p140, and Table 2.75, p141 of the submission. </w:t>
      </w:r>
    </w:p>
    <w:p w14:paraId="17EFAB48" w14:textId="75BE3F1C" w:rsidR="00333C86" w:rsidRDefault="00333C86" w:rsidP="003A3A7B">
      <w:pPr>
        <w:pStyle w:val="TableFigureFooter"/>
      </w:pPr>
      <w:r>
        <w:t xml:space="preserve">AE = adverse event; CI = confidence interval; ECOG PS= Eastern Cooperative Oncology Group Performance Status; E+B = </w:t>
      </w:r>
      <w:proofErr w:type="spellStart"/>
      <w:r>
        <w:t>encorafenib</w:t>
      </w:r>
      <w:proofErr w:type="spellEnd"/>
      <w:r>
        <w:t xml:space="preserve"> + </w:t>
      </w:r>
      <w:proofErr w:type="spellStart"/>
      <w:r>
        <w:t>binimetinib</w:t>
      </w:r>
      <w:proofErr w:type="spellEnd"/>
      <w:r>
        <w:t>; MAIC = matching</w:t>
      </w:r>
      <w:r w:rsidR="003A3A7B">
        <w:noBreakHyphen/>
      </w:r>
      <w:r>
        <w:t>adjusted indirect comparison; OR = odds ratio; PDC = platinum doublet chemotherapy; SAE = serious adverse event.</w:t>
      </w:r>
    </w:p>
    <w:p w14:paraId="608A99A2" w14:textId="22287B01" w:rsidR="00333C86" w:rsidRDefault="00333C86" w:rsidP="003A3A7B">
      <w:pPr>
        <w:pStyle w:val="TableFigureFooter"/>
      </w:pPr>
      <w:r>
        <w:t>Base case = using all adjustment factors (ECOG PS, smoking status, age, gender race, histology, presence of brain metastases); sensitivity analysis 2 = using only ECOG PS and smoking status.</w:t>
      </w:r>
    </w:p>
    <w:p w14:paraId="4034C9B2" w14:textId="77777777" w:rsidR="00333C86" w:rsidRDefault="00333C86" w:rsidP="003A3A7B">
      <w:pPr>
        <w:pStyle w:val="TableFigureFooter"/>
      </w:pPr>
      <w:r>
        <w:rPr>
          <w:b/>
          <w:bCs/>
        </w:rPr>
        <w:t>Bold</w:t>
      </w:r>
      <w:r>
        <w:t xml:space="preserve"> indicate statistical significance. </w:t>
      </w:r>
    </w:p>
    <w:bookmarkEnd w:id="56"/>
    <w:p w14:paraId="442A9671" w14:textId="0F4257EF" w:rsidR="00333C86" w:rsidRDefault="00333C86" w:rsidP="003A3A7B">
      <w:pPr>
        <w:pStyle w:val="3-BodyText"/>
      </w:pPr>
      <w:r>
        <w:t>The unadjusted comparison showed an equivalence between E+B and D+T in the incidence of grade 3</w:t>
      </w:r>
      <w:r w:rsidR="003A3A7B">
        <w:noBreakHyphen/>
      </w:r>
      <w:r>
        <w:t>4 AEs, while favouring E+B over D+T with respect to SAE and discontinuations due to AEs. After adjustment, there was no statistically significant difference in proportion of patients experiencing grade 3</w:t>
      </w:r>
      <w:r w:rsidR="003A3A7B">
        <w:noBreakHyphen/>
      </w:r>
      <w:r>
        <w:t xml:space="preserve">4 AEs (adjusted OR=0.93; 95% CI: 0.37, 2.32) and discontinuations due to AEs (adjusted OR=0.71; 95% CI: 0.24, 2.06). </w:t>
      </w:r>
      <w:r w:rsidR="00767384">
        <w:t>T</w:t>
      </w:r>
      <w:r>
        <w:t xml:space="preserve">here was a statistically significant difference in proportion of patients experiencing SAEs (adjusted OR=0.35; 95% CI: 0.14, 0.85). </w:t>
      </w:r>
    </w:p>
    <w:p w14:paraId="04908C7F" w14:textId="415B9B7D" w:rsidR="007F1017" w:rsidRPr="0098262F" w:rsidRDefault="007F1017" w:rsidP="003A3A7B">
      <w:pPr>
        <w:pStyle w:val="4-SubsectionHeading"/>
      </w:pPr>
      <w:bookmarkStart w:id="57" w:name="_Toc22897643"/>
      <w:bookmarkStart w:id="58" w:name="_Toc208925860"/>
      <w:r w:rsidRPr="0098262F">
        <w:t>Benefits/harms</w:t>
      </w:r>
      <w:bookmarkEnd w:id="57"/>
      <w:bookmarkEnd w:id="58"/>
    </w:p>
    <w:p w14:paraId="7398D11E" w14:textId="3B94FD59" w:rsidR="007F1017" w:rsidRPr="0098262F" w:rsidRDefault="00E926A5" w:rsidP="003A3A7B">
      <w:pPr>
        <w:pStyle w:val="3-BodyText"/>
      </w:pPr>
      <w:r w:rsidRPr="0098262F">
        <w:t xml:space="preserve">The </w:t>
      </w:r>
      <w:r w:rsidR="0087689A">
        <w:t xml:space="preserve">unanchored MAIC </w:t>
      </w:r>
      <w:r w:rsidRPr="0098262F">
        <w:t xml:space="preserve">presented in the submission did not allow for a </w:t>
      </w:r>
      <w:r w:rsidR="0085309D" w:rsidRPr="0098262F">
        <w:t xml:space="preserve">quantitative </w:t>
      </w:r>
      <w:r w:rsidRPr="0098262F">
        <w:t>comparison of the benefits and harms of</w:t>
      </w:r>
      <w:r w:rsidR="008E3F44">
        <w:t xml:space="preserve"> E+B</w:t>
      </w:r>
      <w:r w:rsidRPr="0098262F">
        <w:t xml:space="preserve"> and</w:t>
      </w:r>
      <w:r w:rsidR="008E3F44">
        <w:t xml:space="preserve"> </w:t>
      </w:r>
      <w:proofErr w:type="spellStart"/>
      <w:r w:rsidR="008E3F44">
        <w:t>pembrolizumab+PDC</w:t>
      </w:r>
      <w:proofErr w:type="spellEnd"/>
      <w:r w:rsidR="008E3F44">
        <w:t xml:space="preserve"> </w:t>
      </w:r>
      <w:r w:rsidR="0009129E">
        <w:t xml:space="preserve">or D+T. </w:t>
      </w:r>
      <w:r w:rsidRPr="0098262F">
        <w:t>Accordingly, a benefits/harms table has not been presented.</w:t>
      </w:r>
    </w:p>
    <w:p w14:paraId="7A1772B6" w14:textId="23BB3145" w:rsidR="00B60939" w:rsidRPr="0098262F" w:rsidRDefault="00B60939" w:rsidP="003A3A7B">
      <w:pPr>
        <w:pStyle w:val="4-SubsectionHeading"/>
      </w:pPr>
      <w:bookmarkStart w:id="59" w:name="_Toc22897644"/>
      <w:bookmarkStart w:id="60" w:name="_Toc208925861"/>
      <w:r w:rsidRPr="0098262F">
        <w:t>Clinical claim</w:t>
      </w:r>
      <w:bookmarkEnd w:id="59"/>
      <w:bookmarkEnd w:id="60"/>
    </w:p>
    <w:p w14:paraId="719A6CF1" w14:textId="77777777" w:rsidR="00DA120A" w:rsidRDefault="00DA120A" w:rsidP="003A3A7B">
      <w:pPr>
        <w:pStyle w:val="3-BodyText"/>
      </w:pPr>
      <w:bookmarkStart w:id="61" w:name="_Ref206253740"/>
      <w:r>
        <w:t>Only the claims compared to D+T were considered by the PBAC.</w:t>
      </w:r>
    </w:p>
    <w:p w14:paraId="606348E6" w14:textId="1CA005AB" w:rsidR="00516FF2" w:rsidRPr="00866AB9" w:rsidRDefault="00516FF2" w:rsidP="003A3A7B">
      <w:pPr>
        <w:pStyle w:val="3-BodyText"/>
      </w:pPr>
      <w:r w:rsidRPr="00866AB9">
        <w:t xml:space="preserve">The submission described E+B as superior in terms of effectiveness compared with </w:t>
      </w:r>
      <w:r w:rsidR="00841ECF" w:rsidRPr="00866AB9">
        <w:t>D+T</w:t>
      </w:r>
      <w:r w:rsidRPr="00866AB9">
        <w:t xml:space="preserve">. </w:t>
      </w:r>
      <w:r w:rsidRPr="002B4A3F">
        <w:t>T</w:t>
      </w:r>
      <w:r w:rsidR="00BE2698" w:rsidRPr="002B4A3F">
        <w:t xml:space="preserve">he </w:t>
      </w:r>
      <w:r w:rsidR="00AC74C0" w:rsidRPr="002B4A3F">
        <w:t>ESC considered that</w:t>
      </w:r>
      <w:r w:rsidR="00AC74C0">
        <w:t xml:space="preserve"> the </w:t>
      </w:r>
      <w:r w:rsidRPr="00866AB9">
        <w:t>therapeutic conclusion</w:t>
      </w:r>
      <w:r w:rsidR="00DD265C" w:rsidRPr="00866AB9">
        <w:t>s</w:t>
      </w:r>
      <w:r w:rsidRPr="00866AB9">
        <w:t xml:space="preserve"> presented in the submission </w:t>
      </w:r>
      <w:r w:rsidR="00642837">
        <w:t xml:space="preserve">were </w:t>
      </w:r>
      <w:r w:rsidRPr="00866AB9">
        <w:t xml:space="preserve">uncertain </w:t>
      </w:r>
      <w:r w:rsidR="008158AF" w:rsidRPr="00866AB9">
        <w:t>as</w:t>
      </w:r>
      <w:r w:rsidRPr="00866AB9">
        <w:t>:</w:t>
      </w:r>
      <w:bookmarkEnd w:id="61"/>
    </w:p>
    <w:p w14:paraId="361A0A96" w14:textId="184A4A3A" w:rsidR="00516FF2" w:rsidRPr="00866AB9" w:rsidRDefault="00516FF2" w:rsidP="003A3A7B">
      <w:pPr>
        <w:pStyle w:val="ListParagraph"/>
        <w:numPr>
          <w:ilvl w:val="0"/>
          <w:numId w:val="17"/>
        </w:numPr>
        <w:snapToGrid w:val="0"/>
        <w:ind w:left="1080"/>
        <w:jc w:val="both"/>
      </w:pPr>
      <w:r w:rsidRPr="00866AB9">
        <w:t>The submission relied on unanchored MAIC</w:t>
      </w:r>
      <w:r w:rsidR="00CA121F" w:rsidRPr="00866AB9">
        <w:t>s</w:t>
      </w:r>
      <w:r w:rsidRPr="00866AB9">
        <w:t xml:space="preserve"> comparing E+B (PHAROS</w:t>
      </w:r>
      <w:r w:rsidR="002A28B0" w:rsidRPr="00866AB9">
        <w:t xml:space="preserve"> study</w:t>
      </w:r>
      <w:r w:rsidRPr="00866AB9">
        <w:t>) with D+T (cohort C of BRF113928</w:t>
      </w:r>
      <w:r w:rsidR="002A28B0" w:rsidRPr="00866AB9">
        <w:t xml:space="preserve"> study</w:t>
      </w:r>
      <w:r w:rsidRPr="00866AB9">
        <w:t xml:space="preserve">). </w:t>
      </w:r>
      <w:r w:rsidR="00C6236A" w:rsidRPr="00866AB9">
        <w:t>There were differences in the median duration of follow</w:t>
      </w:r>
      <w:r w:rsidR="003A3A7B">
        <w:noBreakHyphen/>
      </w:r>
      <w:r w:rsidR="00C6236A" w:rsidRPr="00866AB9">
        <w:t xml:space="preserve">up as well as </w:t>
      </w:r>
      <w:r w:rsidR="00A80A7B" w:rsidRPr="00866AB9">
        <w:t xml:space="preserve">treatment duration as described in paragraph </w:t>
      </w:r>
      <w:r w:rsidR="00885F26" w:rsidRPr="00866AB9">
        <w:fldChar w:fldCharType="begin"/>
      </w:r>
      <w:r w:rsidR="00885F26" w:rsidRPr="00866AB9">
        <w:instrText xml:space="preserve"> REF _Ref206154675 \r \h  \* MERGEFORMAT </w:instrText>
      </w:r>
      <w:r w:rsidR="00885F26" w:rsidRPr="00866AB9">
        <w:fldChar w:fldCharType="separate"/>
      </w:r>
      <w:r w:rsidR="00894EC9">
        <w:t>6.10</w:t>
      </w:r>
      <w:r w:rsidR="00885F26" w:rsidRPr="00866AB9">
        <w:fldChar w:fldCharType="end"/>
      </w:r>
      <w:r w:rsidR="00885F26">
        <w:t xml:space="preserve"> and </w:t>
      </w:r>
      <w:r w:rsidR="00A80A7B" w:rsidRPr="00866AB9">
        <w:fldChar w:fldCharType="begin"/>
      </w:r>
      <w:r w:rsidR="00A80A7B" w:rsidRPr="00866AB9">
        <w:instrText xml:space="preserve"> REF _Ref206250730 \r \h </w:instrText>
      </w:r>
      <w:r w:rsidR="00866AB9" w:rsidRPr="00866AB9">
        <w:instrText xml:space="preserve"> \* MERGEFORMAT </w:instrText>
      </w:r>
      <w:r w:rsidR="00A80A7B" w:rsidRPr="00866AB9">
        <w:fldChar w:fldCharType="separate"/>
      </w:r>
      <w:r w:rsidR="00894EC9">
        <w:t>6.11</w:t>
      </w:r>
      <w:r w:rsidR="00A80A7B" w:rsidRPr="00866AB9">
        <w:fldChar w:fldCharType="end"/>
      </w:r>
      <w:r w:rsidR="00A80A7B" w:rsidRPr="00866AB9">
        <w:t>.</w:t>
      </w:r>
    </w:p>
    <w:p w14:paraId="07690D19" w14:textId="09F004CF" w:rsidR="00144D41" w:rsidRPr="00643EDA" w:rsidRDefault="00194FFA" w:rsidP="003A3A7B">
      <w:pPr>
        <w:pStyle w:val="ListParagraph"/>
        <w:numPr>
          <w:ilvl w:val="0"/>
          <w:numId w:val="17"/>
        </w:numPr>
        <w:ind w:left="1080"/>
        <w:jc w:val="both"/>
        <w:rPr>
          <w:i/>
          <w:iCs/>
        </w:rPr>
      </w:pPr>
      <w:r w:rsidRPr="00745925">
        <w:t>The results of the MAIC</w:t>
      </w:r>
      <w:r w:rsidR="00841EDD" w:rsidRPr="00745925">
        <w:t>s</w:t>
      </w:r>
      <w:r w:rsidRPr="00745925">
        <w:t xml:space="preserve"> should be interpreted with caution</w:t>
      </w:r>
      <w:r w:rsidR="004B6553" w:rsidRPr="00745925">
        <w:t xml:space="preserve"> </w:t>
      </w:r>
      <w:r w:rsidR="00A75674" w:rsidRPr="00745925">
        <w:t>as</w:t>
      </w:r>
      <w:r w:rsidR="00144D41" w:rsidRPr="00643EDA">
        <w:rPr>
          <w:i/>
          <w:iCs/>
        </w:rPr>
        <w:t>:</w:t>
      </w:r>
    </w:p>
    <w:p w14:paraId="1512C02C" w14:textId="08F7B9B1" w:rsidR="00A670A4" w:rsidRPr="00866AB9" w:rsidRDefault="00C80B8E" w:rsidP="003A3A7B">
      <w:pPr>
        <w:pStyle w:val="ListParagraph"/>
        <w:numPr>
          <w:ilvl w:val="1"/>
          <w:numId w:val="17"/>
        </w:numPr>
        <w:ind w:left="1440"/>
        <w:jc w:val="both"/>
      </w:pPr>
      <w:r w:rsidRPr="00866AB9">
        <w:t>M</w:t>
      </w:r>
      <w:r w:rsidR="00FC2A8E" w:rsidRPr="00866AB9">
        <w:t xml:space="preserve">atching to </w:t>
      </w:r>
      <w:r w:rsidR="00DA120A">
        <w:t xml:space="preserve">the </w:t>
      </w:r>
      <w:r w:rsidR="00FC2A8E" w:rsidRPr="00866AB9">
        <w:t>BRF113928 trial reduced the effective sample size of</w:t>
      </w:r>
      <w:r w:rsidRPr="00866AB9">
        <w:t xml:space="preserve"> the</w:t>
      </w:r>
      <w:r w:rsidR="00FC2A8E" w:rsidRPr="00866AB9">
        <w:t xml:space="preserve"> </w:t>
      </w:r>
      <w:r w:rsidR="00584D1F" w:rsidRPr="00866AB9">
        <w:t xml:space="preserve">PHAROS trial </w:t>
      </w:r>
      <w:r w:rsidR="00841ECF" w:rsidRPr="00866AB9">
        <w:t xml:space="preserve">by </w:t>
      </w:r>
      <w:r w:rsidR="00FC2A8E" w:rsidRPr="00866AB9">
        <w:t>25%.</w:t>
      </w:r>
    </w:p>
    <w:p w14:paraId="45EE65B4" w14:textId="5970AE91" w:rsidR="00A640EE" w:rsidRPr="00866AB9" w:rsidRDefault="00FC2A8E" w:rsidP="003A3A7B">
      <w:pPr>
        <w:pStyle w:val="ListParagraph"/>
        <w:numPr>
          <w:ilvl w:val="1"/>
          <w:numId w:val="17"/>
        </w:numPr>
        <w:ind w:left="1440"/>
        <w:jc w:val="both"/>
      </w:pPr>
      <w:r w:rsidRPr="00866AB9">
        <w:t>M</w:t>
      </w:r>
      <w:r w:rsidR="00194FFA" w:rsidRPr="00866AB9">
        <w:t xml:space="preserve">edian OS for E+B could not be estimated </w:t>
      </w:r>
      <w:r w:rsidR="00B6442C" w:rsidRPr="00C164CF">
        <w:t>(based on the data presented and evaluated in the submission, using the April 2024 data cut off)</w:t>
      </w:r>
      <w:r w:rsidR="00B6442C">
        <w:t xml:space="preserve"> </w:t>
      </w:r>
      <w:r w:rsidR="00194FFA" w:rsidRPr="00866AB9">
        <w:t>due to immature data</w:t>
      </w:r>
      <w:r w:rsidR="000A7F75" w:rsidRPr="00866AB9">
        <w:t xml:space="preserve"> and heavy censoring toward the end of the curve</w:t>
      </w:r>
      <w:r w:rsidR="00194FFA" w:rsidRPr="00866AB9">
        <w:t xml:space="preserve">, limiting </w:t>
      </w:r>
      <w:r w:rsidR="00DB51E7" w:rsidRPr="00866AB9">
        <w:t xml:space="preserve">comparison with </w:t>
      </w:r>
      <w:r w:rsidR="009B61CF" w:rsidRPr="00866AB9">
        <w:t xml:space="preserve">more mature data from </w:t>
      </w:r>
      <w:r w:rsidR="00DA120A">
        <w:t>the</w:t>
      </w:r>
      <w:r w:rsidR="009B61CF" w:rsidRPr="00866AB9">
        <w:t xml:space="preserve"> BRF113928 trial. </w:t>
      </w:r>
    </w:p>
    <w:p w14:paraId="698FDA28" w14:textId="7E33596F" w:rsidR="002D0D5F" w:rsidRPr="00866AB9" w:rsidRDefault="00B23D2F" w:rsidP="003A3A7B">
      <w:pPr>
        <w:pStyle w:val="ListParagraph"/>
        <w:numPr>
          <w:ilvl w:val="1"/>
          <w:numId w:val="17"/>
        </w:numPr>
        <w:ind w:left="1440"/>
        <w:jc w:val="both"/>
      </w:pPr>
      <w:r w:rsidRPr="00866AB9">
        <w:lastRenderedPageBreak/>
        <w:t>Median PFS for E+B</w:t>
      </w:r>
      <w:r w:rsidR="00A640EE" w:rsidRPr="00866AB9">
        <w:t xml:space="preserve"> </w:t>
      </w:r>
      <w:r w:rsidRPr="00866AB9">
        <w:t xml:space="preserve">was derived from heavily censored data with an </w:t>
      </w:r>
      <w:r w:rsidR="00AC3C83" w:rsidRPr="00866AB9">
        <w:t>inestimable</w:t>
      </w:r>
      <w:r w:rsidRPr="00866AB9">
        <w:t xml:space="preserve"> upper CI. </w:t>
      </w:r>
    </w:p>
    <w:p w14:paraId="1708051B" w14:textId="40C92E1E" w:rsidR="004A53E2" w:rsidRPr="00866AB9" w:rsidRDefault="004A53E2" w:rsidP="003A3A7B">
      <w:pPr>
        <w:pStyle w:val="ListParagraph"/>
        <w:numPr>
          <w:ilvl w:val="1"/>
          <w:numId w:val="17"/>
        </w:numPr>
        <w:ind w:left="1440"/>
        <w:jc w:val="both"/>
      </w:pPr>
      <w:r w:rsidRPr="00866AB9">
        <w:t xml:space="preserve">The submission excluded </w:t>
      </w:r>
      <w:r w:rsidR="008919B8" w:rsidRPr="00866AB9">
        <w:t>the</w:t>
      </w:r>
      <w:r w:rsidRPr="00866AB9">
        <w:t xml:space="preserve"> ongoing</w:t>
      </w:r>
      <w:r w:rsidR="008919B8" w:rsidRPr="00866AB9">
        <w:t xml:space="preserve"> </w:t>
      </w:r>
      <w:r w:rsidRPr="00866AB9">
        <w:t xml:space="preserve">study of E+B (IFCT), </w:t>
      </w:r>
      <w:r w:rsidR="00DA0B35" w:rsidRPr="00866AB9">
        <w:t>citing</w:t>
      </w:r>
      <w:r w:rsidRPr="00866AB9">
        <w:t xml:space="preserve"> differences between the trials </w:t>
      </w:r>
      <w:r w:rsidR="00DA0B35" w:rsidRPr="00866AB9">
        <w:t xml:space="preserve">(refer to </w:t>
      </w:r>
      <w:r w:rsidRPr="00866AB9">
        <w:t xml:space="preserve">paragraph </w:t>
      </w:r>
      <w:r w:rsidRPr="00866AB9">
        <w:fldChar w:fldCharType="begin"/>
      </w:r>
      <w:r w:rsidRPr="00866AB9">
        <w:instrText xml:space="preserve"> REF _Ref206250478 \r \h </w:instrText>
      </w:r>
      <w:r w:rsidR="00866AB9">
        <w:instrText xml:space="preserve"> \* MERGEFORMAT </w:instrText>
      </w:r>
      <w:r w:rsidRPr="00866AB9">
        <w:fldChar w:fldCharType="separate"/>
      </w:r>
      <w:r w:rsidR="00894EC9">
        <w:t>6.34</w:t>
      </w:r>
      <w:r w:rsidRPr="00866AB9">
        <w:fldChar w:fldCharType="end"/>
      </w:r>
      <w:r w:rsidR="00DA0B35" w:rsidRPr="00866AB9">
        <w:t>)</w:t>
      </w:r>
      <w:r w:rsidR="001E23A7" w:rsidRPr="00866AB9">
        <w:t xml:space="preserve">. </w:t>
      </w:r>
      <w:r w:rsidR="000F6E26" w:rsidRPr="00C164CF">
        <w:t xml:space="preserve">The ESC noted that the PSCR presented </w:t>
      </w:r>
      <w:r w:rsidR="00DB3799" w:rsidRPr="00C164CF">
        <w:t>pooled data from the PHAROS and IFCT trials in a scenario analysis</w:t>
      </w:r>
      <w:r w:rsidR="00B412E3" w:rsidRPr="00C164CF">
        <w:t xml:space="preserve">. The ESC noted that the inclusion of the IFCT study results reduced the comparative efficacy of E+B to D+T, but </w:t>
      </w:r>
      <w:r w:rsidR="00E0611C" w:rsidRPr="00C164CF">
        <w:t>that the methodology used to pool the data was not described and the comparisons were not evaluated</w:t>
      </w:r>
      <w:r w:rsidR="00B412E3" w:rsidRPr="00C164CF">
        <w:t>.</w:t>
      </w:r>
      <w:r w:rsidR="00E0611C">
        <w:rPr>
          <w:i/>
          <w:iCs/>
        </w:rPr>
        <w:t xml:space="preserve"> </w:t>
      </w:r>
    </w:p>
    <w:p w14:paraId="10350446" w14:textId="2F5B2B1D" w:rsidR="00584D1F" w:rsidRPr="00866AB9" w:rsidRDefault="00745925" w:rsidP="003A3A7B">
      <w:pPr>
        <w:pStyle w:val="ListParagraph"/>
        <w:ind w:left="1080"/>
        <w:jc w:val="both"/>
      </w:pPr>
      <w:r>
        <w:t xml:space="preserve">The </w:t>
      </w:r>
      <w:r w:rsidR="00584D1F" w:rsidRPr="00866AB9">
        <w:t xml:space="preserve">submission did not adequately justify the superior efficacy of E+B compared to D+T despite </w:t>
      </w:r>
      <w:r w:rsidR="00DD2B6E" w:rsidRPr="00866AB9">
        <w:t xml:space="preserve">both combinations </w:t>
      </w:r>
      <w:r w:rsidR="00584D1F" w:rsidRPr="00866AB9">
        <w:t>sharing the same mechanism of action. The submission suggested that E+B has a longer on</w:t>
      </w:r>
      <w:r w:rsidR="003A3A7B">
        <w:noBreakHyphen/>
      </w:r>
      <w:r w:rsidR="00584D1F" w:rsidRPr="00866AB9">
        <w:t>target binding time compared to other BRAF inhibitors</w:t>
      </w:r>
      <w:r w:rsidR="000C42B2">
        <w:t>,</w:t>
      </w:r>
      <w:r w:rsidR="00584D1F" w:rsidRPr="00866AB9">
        <w:t xml:space="preserve"> which may enable persistent MAPK pathway suppression</w:t>
      </w:r>
      <w:r w:rsidR="00DD2B6E" w:rsidRPr="00866AB9">
        <w:t>;</w:t>
      </w:r>
      <w:r w:rsidR="00584D1F" w:rsidRPr="00866AB9">
        <w:t xml:space="preserve"> however, the studies presented to support this claim were not specific to BRAF inhibitors.</w:t>
      </w:r>
      <w:r w:rsidR="004A53E2" w:rsidRPr="00866AB9">
        <w:t xml:space="preserve"> Furthermore, t</w:t>
      </w:r>
      <w:r w:rsidR="00584D1F" w:rsidRPr="00866AB9">
        <w:t xml:space="preserve">he ESMO and NCCN guidelines recommend E+B or D+T as the first line treatment option for patients with </w:t>
      </w:r>
      <w:proofErr w:type="spellStart"/>
      <w:r w:rsidR="00584D1F" w:rsidRPr="00866AB9">
        <w:t>mNSCLC</w:t>
      </w:r>
      <w:proofErr w:type="spellEnd"/>
      <w:r w:rsidR="00584D1F" w:rsidRPr="00866AB9">
        <w:t xml:space="preserve"> and BRAF V600E</w:t>
      </w:r>
      <w:r w:rsidR="003A3A7B">
        <w:noBreakHyphen/>
      </w:r>
      <w:r w:rsidR="00D13416" w:rsidRPr="00866AB9">
        <w:t>MT</w:t>
      </w:r>
      <w:r w:rsidR="00584D1F" w:rsidRPr="00866AB9">
        <w:t>, with no clear indication or treatment preference for E+B over D+T, or vice versa</w:t>
      </w:r>
      <w:r w:rsidR="004A53E2" w:rsidRPr="00866AB9">
        <w:t>.</w:t>
      </w:r>
    </w:p>
    <w:p w14:paraId="2F3DA8B2" w14:textId="070D3A2F" w:rsidR="0062484E" w:rsidRPr="00C164CF" w:rsidRDefault="00984572" w:rsidP="003A3A7B">
      <w:pPr>
        <w:pStyle w:val="ListParagraph"/>
        <w:numPr>
          <w:ilvl w:val="0"/>
          <w:numId w:val="17"/>
        </w:numPr>
        <w:snapToGrid w:val="0"/>
        <w:ind w:left="1080"/>
        <w:jc w:val="both"/>
        <w:rPr>
          <w:rFonts w:eastAsia="Calibri"/>
        </w:rPr>
      </w:pPr>
      <w:r w:rsidRPr="00C164CF">
        <w:t>A</w:t>
      </w:r>
      <w:r w:rsidR="0062484E" w:rsidRPr="00C164CF">
        <w:t xml:space="preserve">dditional data from </w:t>
      </w:r>
      <w:r w:rsidR="00745925" w:rsidRPr="00C164CF">
        <w:t xml:space="preserve">the March 2025 </w:t>
      </w:r>
      <w:r w:rsidR="006E3649" w:rsidRPr="00C164CF">
        <w:t>data cut</w:t>
      </w:r>
      <w:r w:rsidR="003A3A7B">
        <w:noBreakHyphen/>
      </w:r>
      <w:r w:rsidR="006E3649" w:rsidRPr="00C164CF">
        <w:t xml:space="preserve">off from </w:t>
      </w:r>
      <w:r w:rsidR="0062484E" w:rsidRPr="00C164CF">
        <w:t>the PHAROS trial was presented in the PSCR</w:t>
      </w:r>
      <w:r w:rsidR="00FC4D2D" w:rsidRPr="00C164CF">
        <w:t>. Although</w:t>
      </w:r>
      <w:r w:rsidR="0062484E" w:rsidRPr="00C164CF">
        <w:t xml:space="preserve"> th</w:t>
      </w:r>
      <w:r w:rsidR="00FC4D2D" w:rsidRPr="00C164CF">
        <w:t>ese</w:t>
      </w:r>
      <w:r w:rsidR="0062484E" w:rsidRPr="00C164CF">
        <w:t xml:space="preserve"> data </w:t>
      </w:r>
      <w:r w:rsidR="00745925" w:rsidRPr="00C164CF">
        <w:t xml:space="preserve">(and the additional MAICs presented in the PSCR) </w:t>
      </w:r>
      <w:r w:rsidR="0062484E" w:rsidRPr="00C164CF">
        <w:t>w</w:t>
      </w:r>
      <w:r w:rsidR="00FC4D2D" w:rsidRPr="00C164CF">
        <w:t>ere</w:t>
      </w:r>
      <w:r w:rsidR="0062484E" w:rsidRPr="00C164CF">
        <w:t xml:space="preserve"> largely supportive of the </w:t>
      </w:r>
      <w:r w:rsidR="00745925" w:rsidRPr="00C164CF">
        <w:t>results</w:t>
      </w:r>
      <w:r w:rsidR="0062484E" w:rsidRPr="00C164CF">
        <w:t xml:space="preserve"> presented in the submission, </w:t>
      </w:r>
      <w:r w:rsidR="00FC4D2D" w:rsidRPr="00C164CF">
        <w:t>the</w:t>
      </w:r>
      <w:r w:rsidR="00745925" w:rsidRPr="00C164CF">
        <w:t xml:space="preserve">re were uncertainties </w:t>
      </w:r>
      <w:r w:rsidR="00C5128B" w:rsidRPr="00C164CF">
        <w:t>given the small sample size and heavy censoring</w:t>
      </w:r>
      <w:r w:rsidR="0062484E" w:rsidRPr="00C164CF">
        <w:t>.</w:t>
      </w:r>
      <w:r w:rsidR="00187C76">
        <w:t xml:space="preserve"> The </w:t>
      </w:r>
      <w:r w:rsidR="0033414B">
        <w:t>p</w:t>
      </w:r>
      <w:r w:rsidR="00187C76">
        <w:t>re</w:t>
      </w:r>
      <w:r w:rsidR="003A3A7B">
        <w:noBreakHyphen/>
      </w:r>
      <w:r w:rsidR="00187C76">
        <w:t xml:space="preserve">PBAC Response maintained that a claim of superior effectiveness versus D+T was appropriate given the updated </w:t>
      </w:r>
      <w:r w:rsidR="005358DC">
        <w:t>analyses provided in the PSCR.</w:t>
      </w:r>
    </w:p>
    <w:p w14:paraId="7F613CD1" w14:textId="738B3952" w:rsidR="005F7588" w:rsidRDefault="00841ECF" w:rsidP="003A3A7B">
      <w:pPr>
        <w:pStyle w:val="3-BodyText"/>
        <w:rPr>
          <w:rFonts w:eastAsia="Calibri"/>
        </w:rPr>
      </w:pPr>
      <w:r w:rsidRPr="00841ECF">
        <w:rPr>
          <w:rFonts w:eastAsia="Calibri"/>
          <w:iCs/>
        </w:rPr>
        <w:t>The submission described E+B as</w:t>
      </w:r>
      <w:r w:rsidRPr="00841ECF">
        <w:rPr>
          <w:rFonts w:eastAsia="Calibri"/>
          <w:i/>
        </w:rPr>
        <w:t xml:space="preserve"> </w:t>
      </w:r>
      <w:r w:rsidRPr="00841ECF">
        <w:rPr>
          <w:rFonts w:eastAsia="Calibri"/>
        </w:rPr>
        <w:t xml:space="preserve">having superior safety </w:t>
      </w:r>
      <w:r w:rsidR="00D275EE" w:rsidRPr="00841ECF">
        <w:rPr>
          <w:rFonts w:eastAsia="Calibri"/>
        </w:rPr>
        <w:t>compared to D+T</w:t>
      </w:r>
      <w:r w:rsidRPr="00841ECF">
        <w:rPr>
          <w:rFonts w:eastAsia="Calibri"/>
        </w:rPr>
        <w:t xml:space="preserve"> based on the incidence of Grade 3</w:t>
      </w:r>
      <w:r w:rsidR="003A3A7B">
        <w:rPr>
          <w:rFonts w:eastAsia="Calibri"/>
        </w:rPr>
        <w:noBreakHyphen/>
      </w:r>
      <w:r w:rsidRPr="00841ECF">
        <w:rPr>
          <w:rFonts w:eastAsia="Calibri"/>
        </w:rPr>
        <w:t xml:space="preserve">5 AEs, SAEs and treatment discontinuations due to AEs. </w:t>
      </w:r>
      <w:r w:rsidRPr="00866AB9">
        <w:rPr>
          <w:rFonts w:eastAsia="Calibri"/>
        </w:rPr>
        <w:t>Although the MAIC indicated there were statistically significant fewer SAEs</w:t>
      </w:r>
      <w:r w:rsidR="005F7588" w:rsidRPr="00866AB9">
        <w:rPr>
          <w:rFonts w:eastAsia="Calibri"/>
        </w:rPr>
        <w:t xml:space="preserve"> </w:t>
      </w:r>
      <w:r w:rsidRPr="00866AB9">
        <w:rPr>
          <w:rFonts w:eastAsia="Calibri"/>
        </w:rPr>
        <w:t>associated with E+B, none of the other analyses demonstrated a difference</w:t>
      </w:r>
      <w:r w:rsidRPr="00C164CF">
        <w:rPr>
          <w:rFonts w:eastAsia="Calibri"/>
        </w:rPr>
        <w:t>. Th</w:t>
      </w:r>
      <w:r w:rsidR="00446B64" w:rsidRPr="00C164CF">
        <w:rPr>
          <w:rFonts w:eastAsia="Calibri"/>
        </w:rPr>
        <w:t xml:space="preserve">e </w:t>
      </w:r>
      <w:r w:rsidR="00765D5E" w:rsidRPr="00C164CF">
        <w:rPr>
          <w:rFonts w:eastAsia="Calibri"/>
        </w:rPr>
        <w:t xml:space="preserve">ESC considered </w:t>
      </w:r>
      <w:r w:rsidR="00DB2DD1" w:rsidRPr="00C164CF">
        <w:rPr>
          <w:rFonts w:eastAsia="Calibri"/>
        </w:rPr>
        <w:t xml:space="preserve">this claim </w:t>
      </w:r>
      <w:r w:rsidR="00BB14D5" w:rsidRPr="00C164CF">
        <w:rPr>
          <w:rFonts w:eastAsia="Calibri"/>
        </w:rPr>
        <w:t>was</w:t>
      </w:r>
      <w:r w:rsidR="000774C2" w:rsidRPr="00C164CF">
        <w:rPr>
          <w:rFonts w:eastAsia="Calibri"/>
        </w:rPr>
        <w:t xml:space="preserve"> </w:t>
      </w:r>
      <w:r w:rsidR="009D70BB" w:rsidRPr="00C164CF">
        <w:rPr>
          <w:rFonts w:eastAsia="Calibri"/>
        </w:rPr>
        <w:t xml:space="preserve">partially </w:t>
      </w:r>
      <w:r w:rsidR="000774C2" w:rsidRPr="00C164CF">
        <w:rPr>
          <w:rFonts w:eastAsia="Calibri"/>
        </w:rPr>
        <w:t>supported</w:t>
      </w:r>
      <w:r w:rsidR="005C08DB" w:rsidRPr="00C164CF">
        <w:rPr>
          <w:rFonts w:eastAsia="Calibri"/>
        </w:rPr>
        <w:t xml:space="preserve"> given there was a higher incidence of </w:t>
      </w:r>
      <w:r w:rsidR="00C72B9A" w:rsidRPr="00C164CF">
        <w:rPr>
          <w:rFonts w:eastAsia="Calibri"/>
        </w:rPr>
        <w:t>serious</w:t>
      </w:r>
      <w:r w:rsidR="005C08DB" w:rsidRPr="00C164CF">
        <w:rPr>
          <w:rFonts w:eastAsia="Calibri"/>
        </w:rPr>
        <w:t xml:space="preserve"> adverse e</w:t>
      </w:r>
      <w:r w:rsidR="00540902">
        <w:rPr>
          <w:rFonts w:eastAsia="Calibri"/>
        </w:rPr>
        <w:t>vents</w:t>
      </w:r>
      <w:r w:rsidR="00C72B9A" w:rsidRPr="00C164CF">
        <w:rPr>
          <w:rFonts w:eastAsia="Calibri"/>
        </w:rPr>
        <w:t xml:space="preserve">, and adverse events leading to dose </w:t>
      </w:r>
      <w:r w:rsidR="00C23A59" w:rsidRPr="00C164CF">
        <w:rPr>
          <w:rFonts w:eastAsia="Calibri"/>
        </w:rPr>
        <w:t xml:space="preserve">discontinuation, </w:t>
      </w:r>
      <w:r w:rsidR="00C72B9A" w:rsidRPr="00C164CF">
        <w:rPr>
          <w:rFonts w:eastAsia="Calibri"/>
        </w:rPr>
        <w:t>interruption</w:t>
      </w:r>
      <w:r w:rsidR="00C23A59" w:rsidRPr="00C164CF">
        <w:rPr>
          <w:rFonts w:eastAsia="Calibri"/>
        </w:rPr>
        <w:t xml:space="preserve"> or reduction </w:t>
      </w:r>
      <w:r w:rsidR="005C08DB" w:rsidRPr="00C164CF">
        <w:rPr>
          <w:rFonts w:eastAsia="Calibri"/>
        </w:rPr>
        <w:t>with D+T compared to E+B</w:t>
      </w:r>
      <w:r w:rsidR="00C23A59" w:rsidRPr="00C164CF">
        <w:rPr>
          <w:rFonts w:eastAsia="Calibri"/>
        </w:rPr>
        <w:t xml:space="preserve"> (Table 14)</w:t>
      </w:r>
      <w:r w:rsidRPr="00C164CF">
        <w:rPr>
          <w:rFonts w:eastAsia="Calibri"/>
        </w:rPr>
        <w:t>.</w:t>
      </w:r>
    </w:p>
    <w:p w14:paraId="28FD45BF" w14:textId="3CD6A56F" w:rsidR="005A7EE1" w:rsidRPr="005A7EE1" w:rsidRDefault="005A7EE1" w:rsidP="003A3A7B">
      <w:pPr>
        <w:pStyle w:val="3-BodyText"/>
        <w:rPr>
          <w:bCs/>
        </w:rPr>
      </w:pPr>
      <w:bookmarkStart w:id="62" w:name="_Hlk76376200"/>
      <w:r w:rsidRPr="005A7EE1">
        <w:rPr>
          <w:bCs/>
        </w:rPr>
        <w:t xml:space="preserve">The PBAC considered that the </w:t>
      </w:r>
      <w:r w:rsidR="00310A2E">
        <w:rPr>
          <w:bCs/>
        </w:rPr>
        <w:t xml:space="preserve">clinical claim of </w:t>
      </w:r>
      <w:r w:rsidRPr="005A7EE1">
        <w:rPr>
          <w:bCs/>
        </w:rPr>
        <w:t xml:space="preserve">superior comparative effectiveness against D+T was not adequately supported by the data. </w:t>
      </w:r>
      <w:r w:rsidR="00E245EE">
        <w:rPr>
          <w:bCs/>
        </w:rPr>
        <w:t xml:space="preserve">The </w:t>
      </w:r>
      <w:r w:rsidR="00E16D60">
        <w:rPr>
          <w:bCs/>
        </w:rPr>
        <w:t>PBAC considered that the MAICs were highly uncertain due to low matched numbers</w:t>
      </w:r>
      <w:r w:rsidR="00086D9A">
        <w:rPr>
          <w:bCs/>
        </w:rPr>
        <w:t xml:space="preserve"> and noted that international </w:t>
      </w:r>
      <w:r w:rsidR="00CE2989">
        <w:rPr>
          <w:bCs/>
        </w:rPr>
        <w:t xml:space="preserve">guidelines, such as </w:t>
      </w:r>
      <w:r w:rsidR="00A36569">
        <w:rPr>
          <w:bCs/>
        </w:rPr>
        <w:t xml:space="preserve">ESMO and </w:t>
      </w:r>
      <w:r w:rsidR="00CE2989">
        <w:rPr>
          <w:bCs/>
        </w:rPr>
        <w:t xml:space="preserve">NCCN, do not </w:t>
      </w:r>
      <w:r w:rsidR="000E64BC">
        <w:rPr>
          <w:bCs/>
        </w:rPr>
        <w:t>preference</w:t>
      </w:r>
      <w:r w:rsidR="00CE2989">
        <w:rPr>
          <w:bCs/>
        </w:rPr>
        <w:t xml:space="preserve"> E+B over D+T. Overall, the PBAC considered that E+B was non</w:t>
      </w:r>
      <w:r w:rsidR="003A3A7B">
        <w:rPr>
          <w:bCs/>
        </w:rPr>
        <w:noBreakHyphen/>
      </w:r>
      <w:r w:rsidR="00CE2989">
        <w:rPr>
          <w:bCs/>
        </w:rPr>
        <w:t>inferior in terms of efficacy compared to D+T.</w:t>
      </w:r>
    </w:p>
    <w:p w14:paraId="17697938" w14:textId="3AE00258" w:rsidR="005A7EE1" w:rsidRPr="005A7EE1" w:rsidRDefault="005A7EE1" w:rsidP="003A3A7B">
      <w:pPr>
        <w:pStyle w:val="3-BodyText"/>
        <w:rPr>
          <w:bCs/>
        </w:rPr>
      </w:pPr>
      <w:r w:rsidRPr="005A7EE1">
        <w:rPr>
          <w:bCs/>
        </w:rPr>
        <w:t xml:space="preserve">The PBAC considered that the </w:t>
      </w:r>
      <w:r w:rsidR="00310A2E">
        <w:rPr>
          <w:bCs/>
        </w:rPr>
        <w:t xml:space="preserve">clinical </w:t>
      </w:r>
      <w:r w:rsidRPr="005A7EE1">
        <w:rPr>
          <w:bCs/>
        </w:rPr>
        <w:t xml:space="preserve">claim of </w:t>
      </w:r>
      <w:r w:rsidR="00BD4783">
        <w:rPr>
          <w:bCs/>
        </w:rPr>
        <w:t xml:space="preserve">superior comparative safety against D+T </w:t>
      </w:r>
      <w:r w:rsidRPr="005A7EE1">
        <w:rPr>
          <w:bCs/>
        </w:rPr>
        <w:t>was reasonable.</w:t>
      </w:r>
    </w:p>
    <w:p w14:paraId="74A1172E" w14:textId="128C170E" w:rsidR="00B60939" w:rsidRPr="0098262F" w:rsidRDefault="00B60939" w:rsidP="003A3A7B">
      <w:pPr>
        <w:pStyle w:val="4-SubsectionHeading"/>
      </w:pPr>
      <w:bookmarkStart w:id="63" w:name="_Toc22897645"/>
      <w:bookmarkStart w:id="64" w:name="_Toc208925862"/>
      <w:bookmarkEnd w:id="62"/>
      <w:r w:rsidRPr="00841ECF">
        <w:t>Economic analysis</w:t>
      </w:r>
      <w:bookmarkEnd w:id="63"/>
      <w:bookmarkEnd w:id="64"/>
      <w:r w:rsidR="00491B3A" w:rsidRPr="0098262F">
        <w:t xml:space="preserve"> </w:t>
      </w:r>
    </w:p>
    <w:p w14:paraId="4EF5C5DB" w14:textId="0D85F8E7" w:rsidR="00F70EC6" w:rsidRDefault="00F70EC6" w:rsidP="003A3A7B">
      <w:pPr>
        <w:pStyle w:val="3-BodyText"/>
      </w:pPr>
      <w:r w:rsidRPr="001448B4">
        <w:t xml:space="preserve">The submission </w:t>
      </w:r>
      <w:r>
        <w:t xml:space="preserve">presented a stepped economic evaluation of E+B with </w:t>
      </w:r>
      <w:proofErr w:type="spellStart"/>
      <w:r>
        <w:t>pembrolizumab+PDC</w:t>
      </w:r>
      <w:proofErr w:type="spellEnd"/>
      <w:r>
        <w:t xml:space="preserve"> as first</w:t>
      </w:r>
      <w:r w:rsidR="003A3A7B">
        <w:noBreakHyphen/>
      </w:r>
      <w:r>
        <w:t>line treatment of BRAF V600E</w:t>
      </w:r>
      <w:r w:rsidR="003A3A7B">
        <w:noBreakHyphen/>
      </w:r>
      <w:r>
        <w:t xml:space="preserve">MT </w:t>
      </w:r>
      <w:proofErr w:type="spellStart"/>
      <w:r>
        <w:t>mNSCLC</w:t>
      </w:r>
      <w:proofErr w:type="spellEnd"/>
      <w:r>
        <w:t xml:space="preserve">, based on the </w:t>
      </w:r>
      <w:r w:rsidR="0064374E">
        <w:lastRenderedPageBreak/>
        <w:t>MAIC results</w:t>
      </w:r>
      <w:r>
        <w:t xml:space="preserve"> between PHAROS and KN</w:t>
      </w:r>
      <w:r w:rsidR="003A3A7B">
        <w:noBreakHyphen/>
      </w:r>
      <w:r>
        <w:t>189</w:t>
      </w:r>
      <w:r w:rsidR="0071033C">
        <w:t xml:space="preserve"> </w:t>
      </w:r>
      <w:r>
        <w:t xml:space="preserve">trials. An additional </w:t>
      </w:r>
      <w:r w:rsidR="008576F5">
        <w:t>analysis</w:t>
      </w:r>
      <w:r>
        <w:t xml:space="preserve"> was presented against D+T, based on </w:t>
      </w:r>
      <w:r w:rsidR="00D6370E">
        <w:t xml:space="preserve">the result of a </w:t>
      </w:r>
      <w:r w:rsidR="0064374E">
        <w:t>MAIC</w:t>
      </w:r>
      <w:r>
        <w:t xml:space="preserve"> </w:t>
      </w:r>
      <w:r w:rsidRPr="00FF7C10">
        <w:t xml:space="preserve">between </w:t>
      </w:r>
      <w:r w:rsidR="00D6370E">
        <w:t xml:space="preserve">the </w:t>
      </w:r>
      <w:r w:rsidRPr="00FF7C10">
        <w:t xml:space="preserve">PHAROS and </w:t>
      </w:r>
      <w:r>
        <w:t xml:space="preserve">BRF113928 trials. </w:t>
      </w:r>
      <w:r w:rsidR="00D701B5">
        <w:t>T</w:t>
      </w:r>
      <w:r w:rsidR="00B45C46">
        <w:t xml:space="preserve">he </w:t>
      </w:r>
      <w:r w:rsidR="0033414B">
        <w:t>p</w:t>
      </w:r>
      <w:r w:rsidR="00B45C46">
        <w:t>re</w:t>
      </w:r>
      <w:r w:rsidR="003A3A7B">
        <w:noBreakHyphen/>
      </w:r>
      <w:r w:rsidR="00B45C46">
        <w:t>PBAC response stated that D+T should be the comparator</w:t>
      </w:r>
      <w:r w:rsidR="00A25DD8">
        <w:t>.</w:t>
      </w:r>
    </w:p>
    <w:p w14:paraId="20E154C1" w14:textId="1021334A" w:rsidR="00CA3397" w:rsidRPr="00E03FD8" w:rsidRDefault="00CA3397" w:rsidP="003A3A7B">
      <w:pPr>
        <w:pStyle w:val="3-BodyText"/>
      </w:pPr>
      <w:r w:rsidRPr="00866AB9">
        <w:t>Given th</w:t>
      </w:r>
      <w:r w:rsidR="00064ABB">
        <w:t xml:space="preserve">at the PBAC did not accept the </w:t>
      </w:r>
      <w:r w:rsidRPr="00866AB9">
        <w:t xml:space="preserve">claim of superior </w:t>
      </w:r>
      <w:r w:rsidR="00AB2565" w:rsidRPr="00866AB9">
        <w:t xml:space="preserve">effectiveness </w:t>
      </w:r>
      <w:r w:rsidR="00064ABB">
        <w:t xml:space="preserve">compared to </w:t>
      </w:r>
      <w:r w:rsidR="00E94F97">
        <w:t>D+T</w:t>
      </w:r>
      <w:r w:rsidR="000770B7" w:rsidRPr="00C164CF">
        <w:t xml:space="preserve"> </w:t>
      </w:r>
      <w:r w:rsidR="00C949AB" w:rsidRPr="00C164CF">
        <w:t>t</w:t>
      </w:r>
      <w:r w:rsidR="00CC4426" w:rsidRPr="00C164CF">
        <w:t xml:space="preserve">he </w:t>
      </w:r>
      <w:r w:rsidR="00064ABB">
        <w:t xml:space="preserve">PBAC </w:t>
      </w:r>
      <w:r w:rsidR="00CC4426" w:rsidRPr="00C164CF">
        <w:t>considered that a cost</w:t>
      </w:r>
      <w:r w:rsidR="003A3A7B">
        <w:noBreakHyphen/>
      </w:r>
      <w:r w:rsidR="00CC4426" w:rsidRPr="00C164CF">
        <w:t xml:space="preserve">minimisation approach against D+T </w:t>
      </w:r>
      <w:r w:rsidR="00C949AB" w:rsidRPr="00C164CF">
        <w:t xml:space="preserve">would </w:t>
      </w:r>
      <w:r w:rsidR="00CC4426" w:rsidRPr="00C164CF">
        <w:t xml:space="preserve">be </w:t>
      </w:r>
      <w:r w:rsidR="00951507" w:rsidRPr="00C164CF">
        <w:t xml:space="preserve">a more </w:t>
      </w:r>
      <w:r w:rsidR="00C4073F" w:rsidRPr="00C164CF">
        <w:t>appropriate</w:t>
      </w:r>
      <w:r w:rsidR="00951507" w:rsidRPr="00C164CF">
        <w:t xml:space="preserve"> approach</w:t>
      </w:r>
      <w:r w:rsidR="00C4073F" w:rsidRPr="00C164CF">
        <w:t>.</w:t>
      </w:r>
      <w:r w:rsidR="00C4073F" w:rsidRPr="00C949AB">
        <w:rPr>
          <w:i/>
          <w:iCs/>
        </w:rPr>
        <w:t xml:space="preserve"> </w:t>
      </w:r>
    </w:p>
    <w:p w14:paraId="6AF1D943" w14:textId="637BD780" w:rsidR="00E03FD8" w:rsidRPr="00D30A0A" w:rsidRDefault="00E03FD8" w:rsidP="003A3A7B">
      <w:pPr>
        <w:pStyle w:val="3-BodyText"/>
      </w:pPr>
      <w:r w:rsidRPr="00D30A0A">
        <w:t>A cost</w:t>
      </w:r>
      <w:r w:rsidR="003A3A7B">
        <w:noBreakHyphen/>
      </w:r>
      <w:r w:rsidRPr="00D30A0A">
        <w:t>minimisation approach comparing E+B with D+T, which assumed a similar duration of treatment in practice and was based on drug costs only</w:t>
      </w:r>
      <w:r w:rsidR="00064ABB">
        <w:t xml:space="preserve"> is presented in </w:t>
      </w:r>
      <w:r w:rsidRPr="00D30A0A">
        <w:fldChar w:fldCharType="begin"/>
      </w:r>
      <w:r w:rsidRPr="00D30A0A">
        <w:instrText xml:space="preserve"> REF _Ref211414988 \h </w:instrText>
      </w:r>
      <w:r>
        <w:instrText xml:space="preserve"> \* MERGEFORMAT </w:instrText>
      </w:r>
      <w:r w:rsidRPr="00D30A0A">
        <w:fldChar w:fldCharType="separate"/>
      </w:r>
      <w:r w:rsidR="00894EC9" w:rsidRPr="00D30A0A">
        <w:t xml:space="preserve">Table </w:t>
      </w:r>
      <w:r w:rsidR="00894EC9">
        <w:t>13</w:t>
      </w:r>
      <w:r w:rsidRPr="00D30A0A">
        <w:fldChar w:fldCharType="end"/>
      </w:r>
      <w:r w:rsidRPr="00D30A0A">
        <w:t xml:space="preserve">. </w:t>
      </w:r>
    </w:p>
    <w:p w14:paraId="5B28CEC2" w14:textId="0DF1FC1D" w:rsidR="00E03FD8" w:rsidRPr="00D30A0A" w:rsidRDefault="00E03FD8" w:rsidP="003A3A7B">
      <w:pPr>
        <w:pStyle w:val="Caption"/>
        <w:rPr>
          <w:b w:val="0"/>
          <w:bCs w:val="0"/>
          <w:szCs w:val="20"/>
        </w:rPr>
      </w:pPr>
      <w:bookmarkStart w:id="65" w:name="_Ref211414988"/>
      <w:r w:rsidRPr="00D30A0A">
        <w:t xml:space="preserve">Table </w:t>
      </w:r>
      <w:r w:rsidR="003C5461">
        <w:t>13</w:t>
      </w:r>
      <w:bookmarkEnd w:id="65"/>
      <w:r w:rsidRPr="00D30A0A">
        <w:t>:</w:t>
      </w:r>
      <w:r w:rsidRPr="00D30A0A">
        <w:rPr>
          <w:szCs w:val="20"/>
        </w:rPr>
        <w:t xml:space="preserve"> Cost</w:t>
      </w:r>
      <w:r w:rsidR="003A3A7B">
        <w:rPr>
          <w:szCs w:val="20"/>
        </w:rPr>
        <w:noBreakHyphen/>
      </w:r>
      <w:r w:rsidRPr="00D30A0A">
        <w:rPr>
          <w:szCs w:val="20"/>
        </w:rPr>
        <w:t>minimisation approach for E+B versus D+T (using published price of D+T)</w:t>
      </w:r>
    </w:p>
    <w:tbl>
      <w:tblPr>
        <w:tblStyle w:val="TableGrid"/>
        <w:tblW w:w="0" w:type="auto"/>
        <w:tblLook w:val="04A0" w:firstRow="1" w:lastRow="0" w:firstColumn="1" w:lastColumn="0" w:noHBand="0" w:noVBand="1"/>
        <w:tblCaption w:val="Table 13: Cost minimisation approach for E+B versus D+T (using published price of D+T)"/>
      </w:tblPr>
      <w:tblGrid>
        <w:gridCol w:w="1915"/>
        <w:gridCol w:w="1920"/>
        <w:gridCol w:w="1680"/>
        <w:gridCol w:w="1920"/>
        <w:gridCol w:w="1582"/>
      </w:tblGrid>
      <w:tr w:rsidR="00E03FD8" w:rsidRPr="00D30A0A" w14:paraId="741399B9" w14:textId="77777777">
        <w:tc>
          <w:tcPr>
            <w:tcW w:w="1915" w:type="dxa"/>
            <w:tcMar>
              <w:left w:w="40" w:type="dxa"/>
              <w:right w:w="40" w:type="dxa"/>
            </w:tcMar>
          </w:tcPr>
          <w:p w14:paraId="4790C636" w14:textId="77777777" w:rsidR="00E03FD8" w:rsidRPr="00D30A0A" w:rsidRDefault="00E03FD8" w:rsidP="003A3A7B">
            <w:pPr>
              <w:keepNext/>
              <w:keepLines/>
              <w:rPr>
                <w:rFonts w:ascii="Arial Narrow" w:eastAsiaTheme="minorHAnsi" w:hAnsi="Arial Narrow" w:cstheme="minorBidi"/>
                <w:b/>
                <w:bCs/>
                <w:sz w:val="20"/>
                <w:szCs w:val="20"/>
              </w:rPr>
            </w:pPr>
          </w:p>
        </w:tc>
        <w:tc>
          <w:tcPr>
            <w:tcW w:w="3600" w:type="dxa"/>
            <w:gridSpan w:val="2"/>
            <w:tcMar>
              <w:left w:w="40" w:type="dxa"/>
              <w:right w:w="40" w:type="dxa"/>
            </w:tcMar>
          </w:tcPr>
          <w:p w14:paraId="1810E860" w14:textId="430A8FCA" w:rsidR="00E03FD8" w:rsidRPr="00D30A0A" w:rsidRDefault="00AC3C83" w:rsidP="003A3A7B">
            <w:pPr>
              <w:keepNext/>
              <w:keepLines/>
              <w:jc w:val="center"/>
              <w:rPr>
                <w:rFonts w:ascii="Arial Narrow" w:eastAsiaTheme="minorHAnsi" w:hAnsi="Arial Narrow" w:cstheme="minorBidi"/>
                <w:b/>
                <w:bCs/>
                <w:sz w:val="20"/>
                <w:szCs w:val="20"/>
              </w:rPr>
            </w:pPr>
            <w:r w:rsidRPr="00D30A0A">
              <w:rPr>
                <w:rFonts w:ascii="Arial Narrow" w:eastAsiaTheme="minorHAnsi" w:hAnsi="Arial Narrow" w:cstheme="minorBidi"/>
                <w:b/>
                <w:bCs/>
                <w:sz w:val="20"/>
                <w:szCs w:val="20"/>
              </w:rPr>
              <w:t>Dabrafenib</w:t>
            </w:r>
            <w:r w:rsidR="00E03FD8" w:rsidRPr="00D30A0A">
              <w:rPr>
                <w:rFonts w:ascii="Arial Narrow" w:eastAsiaTheme="minorHAnsi" w:hAnsi="Arial Narrow" w:cstheme="minorBidi"/>
                <w:b/>
                <w:bCs/>
                <w:sz w:val="20"/>
                <w:szCs w:val="20"/>
              </w:rPr>
              <w:t xml:space="preserve"> and trametinib</w:t>
            </w:r>
          </w:p>
        </w:tc>
        <w:tc>
          <w:tcPr>
            <w:tcW w:w="3502" w:type="dxa"/>
            <w:gridSpan w:val="2"/>
            <w:tcMar>
              <w:left w:w="40" w:type="dxa"/>
              <w:right w:w="40" w:type="dxa"/>
            </w:tcMar>
          </w:tcPr>
          <w:p w14:paraId="5BAF6DC9" w14:textId="77777777" w:rsidR="00E03FD8" w:rsidRPr="00D30A0A" w:rsidRDefault="00E03FD8" w:rsidP="003A3A7B">
            <w:pPr>
              <w:keepNext/>
              <w:keepLines/>
              <w:jc w:val="center"/>
              <w:rPr>
                <w:rFonts w:ascii="Arial Narrow" w:eastAsiaTheme="minorHAnsi" w:hAnsi="Arial Narrow" w:cstheme="minorBidi"/>
                <w:b/>
                <w:bCs/>
                <w:sz w:val="20"/>
                <w:szCs w:val="20"/>
              </w:rPr>
            </w:pPr>
            <w:proofErr w:type="spellStart"/>
            <w:r w:rsidRPr="00D30A0A">
              <w:rPr>
                <w:rFonts w:ascii="Arial Narrow" w:eastAsiaTheme="minorHAnsi" w:hAnsi="Arial Narrow" w:cstheme="minorBidi"/>
                <w:b/>
                <w:bCs/>
                <w:sz w:val="20"/>
                <w:szCs w:val="20"/>
              </w:rPr>
              <w:t>Encorafenib</w:t>
            </w:r>
            <w:proofErr w:type="spellEnd"/>
            <w:r w:rsidRPr="00D30A0A">
              <w:rPr>
                <w:rFonts w:ascii="Arial Narrow" w:eastAsiaTheme="minorHAnsi" w:hAnsi="Arial Narrow" w:cstheme="minorBidi"/>
                <w:b/>
                <w:bCs/>
                <w:sz w:val="20"/>
                <w:szCs w:val="20"/>
              </w:rPr>
              <w:t xml:space="preserve"> and </w:t>
            </w:r>
            <w:proofErr w:type="spellStart"/>
            <w:r w:rsidRPr="00D30A0A">
              <w:rPr>
                <w:rFonts w:ascii="Arial Narrow" w:eastAsiaTheme="minorHAnsi" w:hAnsi="Arial Narrow" w:cstheme="minorBidi"/>
                <w:b/>
                <w:bCs/>
                <w:sz w:val="20"/>
                <w:szCs w:val="20"/>
              </w:rPr>
              <w:t>binimetinib</w:t>
            </w:r>
            <w:proofErr w:type="spellEnd"/>
          </w:p>
        </w:tc>
      </w:tr>
      <w:tr w:rsidR="00E03FD8" w:rsidRPr="00D30A0A" w14:paraId="01AEAE52" w14:textId="77777777">
        <w:tc>
          <w:tcPr>
            <w:tcW w:w="1915" w:type="dxa"/>
            <w:vMerge w:val="restart"/>
            <w:tcMar>
              <w:left w:w="40" w:type="dxa"/>
              <w:right w:w="40" w:type="dxa"/>
            </w:tcMar>
          </w:tcPr>
          <w:p w14:paraId="2EFD4904" w14:textId="77777777" w:rsidR="00E03FD8" w:rsidRPr="00D30A0A" w:rsidRDefault="00E03FD8" w:rsidP="003A3A7B">
            <w:pPr>
              <w:keepNext/>
              <w:keepLines/>
              <w:rPr>
                <w:rFonts w:ascii="Arial Narrow" w:eastAsiaTheme="minorHAnsi" w:hAnsi="Arial Narrow" w:cstheme="minorBidi"/>
                <w:b/>
                <w:bCs/>
                <w:sz w:val="20"/>
                <w:szCs w:val="20"/>
              </w:rPr>
            </w:pPr>
            <w:r w:rsidRPr="00D30A0A">
              <w:rPr>
                <w:rFonts w:ascii="Arial Narrow" w:eastAsiaTheme="minorHAnsi" w:hAnsi="Arial Narrow" w:cstheme="minorBidi"/>
                <w:b/>
                <w:bCs/>
                <w:sz w:val="20"/>
                <w:szCs w:val="20"/>
              </w:rPr>
              <w:t>Dose</w:t>
            </w:r>
          </w:p>
        </w:tc>
        <w:tc>
          <w:tcPr>
            <w:tcW w:w="1920" w:type="dxa"/>
            <w:tcMar>
              <w:left w:w="40" w:type="dxa"/>
              <w:right w:w="40" w:type="dxa"/>
            </w:tcMar>
          </w:tcPr>
          <w:p w14:paraId="45E6ED34"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Dabrafenib</w:t>
            </w:r>
          </w:p>
        </w:tc>
        <w:tc>
          <w:tcPr>
            <w:tcW w:w="1680" w:type="dxa"/>
            <w:tcMar>
              <w:left w:w="40" w:type="dxa"/>
              <w:right w:w="40" w:type="dxa"/>
            </w:tcMar>
          </w:tcPr>
          <w:p w14:paraId="4726BA0F"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150 mg twice daily</w:t>
            </w:r>
          </w:p>
        </w:tc>
        <w:tc>
          <w:tcPr>
            <w:tcW w:w="1920" w:type="dxa"/>
            <w:tcMar>
              <w:left w:w="40" w:type="dxa"/>
              <w:right w:w="40" w:type="dxa"/>
            </w:tcMar>
          </w:tcPr>
          <w:p w14:paraId="33BCA6F2"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Encorafenib</w:t>
            </w:r>
          </w:p>
        </w:tc>
        <w:tc>
          <w:tcPr>
            <w:tcW w:w="1582" w:type="dxa"/>
            <w:tcMar>
              <w:left w:w="40" w:type="dxa"/>
              <w:right w:w="40" w:type="dxa"/>
            </w:tcMar>
          </w:tcPr>
          <w:p w14:paraId="675D4F0E"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450 mg once daily</w:t>
            </w:r>
          </w:p>
        </w:tc>
      </w:tr>
      <w:tr w:rsidR="00E03FD8" w:rsidRPr="00D30A0A" w14:paraId="1A6B0BF1" w14:textId="77777777">
        <w:tc>
          <w:tcPr>
            <w:tcW w:w="1915" w:type="dxa"/>
            <w:vMerge/>
            <w:tcMar>
              <w:left w:w="40" w:type="dxa"/>
              <w:right w:w="40" w:type="dxa"/>
            </w:tcMar>
          </w:tcPr>
          <w:p w14:paraId="25623849" w14:textId="77777777" w:rsidR="00E03FD8" w:rsidRPr="00D30A0A" w:rsidRDefault="00E03FD8" w:rsidP="003A3A7B">
            <w:pPr>
              <w:keepNext/>
              <w:keepLines/>
              <w:rPr>
                <w:rFonts w:ascii="Arial Narrow" w:eastAsiaTheme="minorHAnsi" w:hAnsi="Arial Narrow" w:cstheme="minorBidi"/>
                <w:b/>
                <w:bCs/>
                <w:sz w:val="20"/>
                <w:szCs w:val="20"/>
              </w:rPr>
            </w:pPr>
          </w:p>
        </w:tc>
        <w:tc>
          <w:tcPr>
            <w:tcW w:w="1920" w:type="dxa"/>
            <w:tcMar>
              <w:left w:w="40" w:type="dxa"/>
              <w:right w:w="40" w:type="dxa"/>
            </w:tcMar>
          </w:tcPr>
          <w:p w14:paraId="441620B6"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Trametinib</w:t>
            </w:r>
          </w:p>
        </w:tc>
        <w:tc>
          <w:tcPr>
            <w:tcW w:w="1680" w:type="dxa"/>
            <w:tcMar>
              <w:left w:w="40" w:type="dxa"/>
              <w:right w:w="40" w:type="dxa"/>
            </w:tcMar>
          </w:tcPr>
          <w:p w14:paraId="1FF1CEF2"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2 mg once daily</w:t>
            </w:r>
          </w:p>
        </w:tc>
        <w:tc>
          <w:tcPr>
            <w:tcW w:w="1920" w:type="dxa"/>
            <w:tcMar>
              <w:left w:w="40" w:type="dxa"/>
              <w:right w:w="40" w:type="dxa"/>
            </w:tcMar>
          </w:tcPr>
          <w:p w14:paraId="1A9CD1D0" w14:textId="77777777" w:rsidR="00E03FD8" w:rsidRPr="00D30A0A" w:rsidRDefault="00E03FD8" w:rsidP="003A3A7B">
            <w:pPr>
              <w:keepNext/>
              <w:keepLines/>
              <w:rPr>
                <w:rFonts w:ascii="Arial Narrow" w:eastAsiaTheme="minorHAnsi" w:hAnsi="Arial Narrow" w:cstheme="minorBidi"/>
                <w:sz w:val="20"/>
                <w:szCs w:val="20"/>
              </w:rPr>
            </w:pPr>
            <w:proofErr w:type="spellStart"/>
            <w:r w:rsidRPr="00D30A0A">
              <w:rPr>
                <w:rFonts w:ascii="Arial Narrow" w:eastAsiaTheme="minorHAnsi" w:hAnsi="Arial Narrow" w:cstheme="minorBidi"/>
                <w:sz w:val="20"/>
                <w:szCs w:val="20"/>
              </w:rPr>
              <w:t>Binimetinib</w:t>
            </w:r>
            <w:proofErr w:type="spellEnd"/>
          </w:p>
        </w:tc>
        <w:tc>
          <w:tcPr>
            <w:tcW w:w="1582" w:type="dxa"/>
            <w:tcMar>
              <w:left w:w="40" w:type="dxa"/>
              <w:right w:w="40" w:type="dxa"/>
            </w:tcMar>
          </w:tcPr>
          <w:p w14:paraId="0D29DF60" w14:textId="77777777" w:rsidR="00E03FD8" w:rsidRPr="00C4650C" w:rsidRDefault="00E03FD8" w:rsidP="003A3A7B">
            <w:pPr>
              <w:keepNext/>
              <w:keepLines/>
              <w:jc w:val="center"/>
              <w:rPr>
                <w:rFonts w:ascii="Arial Narrow" w:eastAsiaTheme="minorHAnsi" w:hAnsi="Arial Narrow" w:cstheme="minorBidi"/>
                <w:sz w:val="20"/>
                <w:szCs w:val="20"/>
              </w:rPr>
            </w:pPr>
            <w:r w:rsidRPr="00C4650C">
              <w:rPr>
                <w:rFonts w:ascii="Arial Narrow" w:eastAsiaTheme="minorHAnsi" w:hAnsi="Arial Narrow" w:cstheme="minorBidi"/>
                <w:sz w:val="20"/>
                <w:szCs w:val="20"/>
              </w:rPr>
              <w:t>45 mg twice daily</w:t>
            </w:r>
          </w:p>
        </w:tc>
      </w:tr>
      <w:tr w:rsidR="00E03FD8" w:rsidRPr="00D30A0A" w14:paraId="19214677" w14:textId="77777777">
        <w:tc>
          <w:tcPr>
            <w:tcW w:w="1915" w:type="dxa"/>
            <w:vMerge w:val="restart"/>
            <w:tcMar>
              <w:left w:w="40" w:type="dxa"/>
              <w:right w:w="40" w:type="dxa"/>
            </w:tcMar>
          </w:tcPr>
          <w:p w14:paraId="17B5DA85" w14:textId="18D1BD14" w:rsidR="00E03FD8" w:rsidRPr="00D30A0A" w:rsidRDefault="00E03FD8" w:rsidP="003A3A7B">
            <w:pPr>
              <w:keepNext/>
              <w:keepLines/>
              <w:rPr>
                <w:rFonts w:ascii="Arial Narrow" w:eastAsiaTheme="minorHAnsi" w:hAnsi="Arial Narrow" w:cstheme="minorBidi"/>
                <w:b/>
                <w:bCs/>
                <w:sz w:val="20"/>
                <w:szCs w:val="20"/>
              </w:rPr>
            </w:pPr>
            <w:r w:rsidRPr="00D30A0A">
              <w:rPr>
                <w:rFonts w:ascii="Arial Narrow" w:eastAsiaTheme="minorHAnsi" w:hAnsi="Arial Narrow" w:cstheme="minorBidi"/>
                <w:b/>
                <w:bCs/>
                <w:sz w:val="20"/>
                <w:szCs w:val="20"/>
              </w:rPr>
              <w:t>Ex</w:t>
            </w:r>
            <w:r w:rsidR="003A3A7B">
              <w:rPr>
                <w:rFonts w:ascii="Arial Narrow" w:eastAsiaTheme="minorHAnsi" w:hAnsi="Arial Narrow" w:cstheme="minorBidi"/>
                <w:b/>
                <w:bCs/>
                <w:sz w:val="20"/>
                <w:szCs w:val="20"/>
              </w:rPr>
              <w:noBreakHyphen/>
            </w:r>
            <w:r w:rsidRPr="00D30A0A">
              <w:rPr>
                <w:rFonts w:ascii="Arial Narrow" w:eastAsiaTheme="minorHAnsi" w:hAnsi="Arial Narrow" w:cstheme="minorBidi"/>
                <w:b/>
                <w:bCs/>
                <w:sz w:val="20"/>
                <w:szCs w:val="20"/>
              </w:rPr>
              <w:t xml:space="preserve">manufacturer price </w:t>
            </w:r>
          </w:p>
        </w:tc>
        <w:tc>
          <w:tcPr>
            <w:tcW w:w="1920" w:type="dxa"/>
            <w:tcMar>
              <w:left w:w="40" w:type="dxa"/>
              <w:right w:w="40" w:type="dxa"/>
            </w:tcMar>
          </w:tcPr>
          <w:p w14:paraId="368CDC1C" w14:textId="77777777" w:rsidR="00E03FD8" w:rsidRPr="00D30A0A" w:rsidRDefault="00E03FD8" w:rsidP="003A3A7B">
            <w:pPr>
              <w:keepNext/>
              <w:keepLines/>
              <w:jc w:val="left"/>
              <w:rPr>
                <w:rFonts w:ascii="Arial Narrow" w:eastAsiaTheme="minorHAnsi" w:hAnsi="Arial Narrow" w:cstheme="minorBidi"/>
                <w:sz w:val="20"/>
                <w:szCs w:val="20"/>
              </w:rPr>
            </w:pPr>
            <w:r w:rsidRPr="00D30A0A">
              <w:rPr>
                <w:rFonts w:ascii="Arial Narrow" w:eastAsiaTheme="minorHAnsi" w:hAnsi="Arial Narrow" w:cstheme="minorBidi"/>
                <w:sz w:val="20"/>
                <w:szCs w:val="20"/>
              </w:rPr>
              <w:t>Dabrafenib 75 mg (120)</w:t>
            </w:r>
          </w:p>
        </w:tc>
        <w:tc>
          <w:tcPr>
            <w:tcW w:w="1680" w:type="dxa"/>
            <w:tcMar>
              <w:left w:w="40" w:type="dxa"/>
              <w:right w:w="40" w:type="dxa"/>
            </w:tcMar>
          </w:tcPr>
          <w:p w14:paraId="54E4F610"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$6,995.23</w:t>
            </w:r>
          </w:p>
        </w:tc>
        <w:tc>
          <w:tcPr>
            <w:tcW w:w="1920" w:type="dxa"/>
            <w:tcMar>
              <w:left w:w="40" w:type="dxa"/>
              <w:right w:w="40" w:type="dxa"/>
            </w:tcMar>
          </w:tcPr>
          <w:p w14:paraId="6EC0A01F" w14:textId="77777777" w:rsidR="00E03FD8" w:rsidRPr="00D30A0A" w:rsidRDefault="00E03FD8" w:rsidP="003A3A7B">
            <w:pPr>
              <w:keepNext/>
              <w:keepLines/>
              <w:jc w:val="left"/>
              <w:rPr>
                <w:rFonts w:ascii="Arial Narrow" w:eastAsiaTheme="minorHAnsi" w:hAnsi="Arial Narrow" w:cstheme="minorBidi"/>
                <w:sz w:val="20"/>
                <w:szCs w:val="20"/>
              </w:rPr>
            </w:pPr>
            <w:r w:rsidRPr="00D30A0A">
              <w:rPr>
                <w:rFonts w:ascii="Arial Narrow" w:eastAsiaTheme="minorHAnsi" w:hAnsi="Arial Narrow" w:cstheme="minorBidi"/>
                <w:sz w:val="20"/>
                <w:szCs w:val="20"/>
              </w:rPr>
              <w:t>Encorafenib 75 mg (168)</w:t>
            </w:r>
          </w:p>
        </w:tc>
        <w:tc>
          <w:tcPr>
            <w:tcW w:w="1582" w:type="dxa"/>
            <w:tcMar>
              <w:left w:w="40" w:type="dxa"/>
              <w:right w:w="40" w:type="dxa"/>
            </w:tcMar>
          </w:tcPr>
          <w:p w14:paraId="6ECBBD12" w14:textId="77777777" w:rsidR="00E03FD8" w:rsidRPr="00C4650C" w:rsidRDefault="00E03FD8" w:rsidP="003A3A7B">
            <w:pPr>
              <w:keepNext/>
              <w:keepLines/>
              <w:jc w:val="center"/>
              <w:rPr>
                <w:rFonts w:ascii="Arial Narrow" w:eastAsiaTheme="minorHAnsi" w:hAnsi="Arial Narrow" w:cstheme="minorBidi"/>
                <w:sz w:val="20"/>
                <w:szCs w:val="20"/>
              </w:rPr>
            </w:pPr>
            <w:r w:rsidRPr="00C4650C">
              <w:rPr>
                <w:rFonts w:ascii="Arial Narrow" w:eastAsiaTheme="minorHAnsi" w:hAnsi="Arial Narrow" w:cstheme="minorBidi"/>
                <w:sz w:val="20"/>
                <w:szCs w:val="20"/>
              </w:rPr>
              <w:t>$6,700.68</w:t>
            </w:r>
          </w:p>
        </w:tc>
      </w:tr>
      <w:tr w:rsidR="00E03FD8" w:rsidRPr="00D30A0A" w14:paraId="09B674D8" w14:textId="77777777">
        <w:tc>
          <w:tcPr>
            <w:tcW w:w="1915" w:type="dxa"/>
            <w:vMerge/>
            <w:tcMar>
              <w:left w:w="40" w:type="dxa"/>
              <w:right w:w="40" w:type="dxa"/>
            </w:tcMar>
          </w:tcPr>
          <w:p w14:paraId="2C98FE80" w14:textId="77777777" w:rsidR="00E03FD8" w:rsidRPr="00D30A0A" w:rsidRDefault="00E03FD8" w:rsidP="003A3A7B">
            <w:pPr>
              <w:keepNext/>
              <w:keepLines/>
              <w:rPr>
                <w:rFonts w:ascii="Arial Narrow" w:eastAsiaTheme="minorHAnsi" w:hAnsi="Arial Narrow" w:cstheme="minorBidi"/>
                <w:b/>
                <w:bCs/>
                <w:sz w:val="20"/>
                <w:szCs w:val="20"/>
              </w:rPr>
            </w:pPr>
          </w:p>
        </w:tc>
        <w:tc>
          <w:tcPr>
            <w:tcW w:w="1920" w:type="dxa"/>
            <w:tcMar>
              <w:left w:w="40" w:type="dxa"/>
              <w:right w:w="40" w:type="dxa"/>
            </w:tcMar>
          </w:tcPr>
          <w:p w14:paraId="046841FB"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Trametinib 2 mg (30)</w:t>
            </w:r>
          </w:p>
        </w:tc>
        <w:tc>
          <w:tcPr>
            <w:tcW w:w="1680" w:type="dxa"/>
            <w:tcMar>
              <w:left w:w="40" w:type="dxa"/>
              <w:right w:w="40" w:type="dxa"/>
            </w:tcMar>
          </w:tcPr>
          <w:p w14:paraId="2EB7E69E"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$7,363.40</w:t>
            </w:r>
          </w:p>
        </w:tc>
        <w:tc>
          <w:tcPr>
            <w:tcW w:w="1920" w:type="dxa"/>
            <w:tcMar>
              <w:left w:w="40" w:type="dxa"/>
              <w:right w:w="40" w:type="dxa"/>
            </w:tcMar>
          </w:tcPr>
          <w:p w14:paraId="60170A39" w14:textId="77777777" w:rsidR="00E03FD8" w:rsidRPr="00D30A0A" w:rsidRDefault="00E03FD8" w:rsidP="003A3A7B">
            <w:pPr>
              <w:keepNext/>
              <w:keepLines/>
              <w:jc w:val="left"/>
              <w:rPr>
                <w:rFonts w:ascii="Arial Narrow" w:eastAsiaTheme="minorHAnsi" w:hAnsi="Arial Narrow" w:cstheme="minorBidi"/>
                <w:sz w:val="20"/>
                <w:szCs w:val="20"/>
              </w:rPr>
            </w:pPr>
            <w:proofErr w:type="spellStart"/>
            <w:r w:rsidRPr="00D30A0A">
              <w:rPr>
                <w:rFonts w:ascii="Arial Narrow" w:eastAsiaTheme="minorHAnsi" w:hAnsi="Arial Narrow" w:cstheme="minorBidi"/>
                <w:sz w:val="20"/>
                <w:szCs w:val="20"/>
              </w:rPr>
              <w:t>Binimetinib</w:t>
            </w:r>
            <w:proofErr w:type="spellEnd"/>
            <w:r w:rsidRPr="00D30A0A">
              <w:rPr>
                <w:rFonts w:ascii="Arial Narrow" w:eastAsiaTheme="minorHAnsi" w:hAnsi="Arial Narrow" w:cstheme="minorBidi"/>
                <w:sz w:val="20"/>
                <w:szCs w:val="20"/>
              </w:rPr>
              <w:t xml:space="preserve"> 45 mg (56)</w:t>
            </w:r>
          </w:p>
        </w:tc>
        <w:tc>
          <w:tcPr>
            <w:tcW w:w="1582" w:type="dxa"/>
            <w:tcMar>
              <w:left w:w="40" w:type="dxa"/>
              <w:right w:w="40" w:type="dxa"/>
            </w:tcMar>
          </w:tcPr>
          <w:p w14:paraId="6EF009D7" w14:textId="77777777" w:rsidR="00E03FD8" w:rsidRPr="00C4650C" w:rsidRDefault="00E03FD8" w:rsidP="003A3A7B">
            <w:pPr>
              <w:keepNext/>
              <w:keepLines/>
              <w:jc w:val="center"/>
              <w:rPr>
                <w:rFonts w:ascii="Arial Narrow" w:eastAsiaTheme="minorHAnsi" w:hAnsi="Arial Narrow" w:cstheme="minorBidi"/>
                <w:sz w:val="20"/>
                <w:szCs w:val="20"/>
              </w:rPr>
            </w:pPr>
            <w:r w:rsidRPr="00C4650C">
              <w:rPr>
                <w:rFonts w:ascii="Arial Narrow" w:eastAsiaTheme="minorHAnsi" w:hAnsi="Arial Narrow" w:cstheme="minorBidi"/>
                <w:sz w:val="20"/>
                <w:szCs w:val="20"/>
              </w:rPr>
              <w:t>$6,700.68</w:t>
            </w:r>
          </w:p>
        </w:tc>
      </w:tr>
      <w:tr w:rsidR="00E03FD8" w:rsidRPr="00D30A0A" w14:paraId="2F242952" w14:textId="77777777">
        <w:tc>
          <w:tcPr>
            <w:tcW w:w="1915" w:type="dxa"/>
            <w:vMerge w:val="restart"/>
            <w:tcMar>
              <w:left w:w="40" w:type="dxa"/>
              <w:right w:w="40" w:type="dxa"/>
            </w:tcMar>
          </w:tcPr>
          <w:p w14:paraId="37AD4023" w14:textId="77777777" w:rsidR="00E03FD8" w:rsidRPr="00D30A0A" w:rsidRDefault="00E03FD8" w:rsidP="003A3A7B">
            <w:pPr>
              <w:keepNext/>
              <w:keepLines/>
              <w:rPr>
                <w:rFonts w:ascii="Arial Narrow" w:eastAsiaTheme="minorHAnsi" w:hAnsi="Arial Narrow" w:cstheme="minorBidi"/>
                <w:b/>
                <w:bCs/>
                <w:sz w:val="20"/>
                <w:szCs w:val="20"/>
              </w:rPr>
            </w:pPr>
            <w:r w:rsidRPr="00D30A0A">
              <w:rPr>
                <w:rFonts w:ascii="Arial Narrow" w:eastAsiaTheme="minorHAnsi" w:hAnsi="Arial Narrow" w:cstheme="minorBidi"/>
                <w:b/>
                <w:bCs/>
                <w:sz w:val="20"/>
                <w:szCs w:val="20"/>
              </w:rPr>
              <w:t>Drug cost per day</w:t>
            </w:r>
          </w:p>
        </w:tc>
        <w:tc>
          <w:tcPr>
            <w:tcW w:w="1920" w:type="dxa"/>
            <w:tcMar>
              <w:left w:w="40" w:type="dxa"/>
              <w:right w:w="40" w:type="dxa"/>
            </w:tcMar>
          </w:tcPr>
          <w:p w14:paraId="0C824500"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Dabrafenib</w:t>
            </w:r>
          </w:p>
        </w:tc>
        <w:tc>
          <w:tcPr>
            <w:tcW w:w="1680" w:type="dxa"/>
            <w:tcMar>
              <w:left w:w="40" w:type="dxa"/>
              <w:right w:w="40" w:type="dxa"/>
            </w:tcMar>
          </w:tcPr>
          <w:p w14:paraId="7C9DD302"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$233.17</w:t>
            </w:r>
          </w:p>
        </w:tc>
        <w:tc>
          <w:tcPr>
            <w:tcW w:w="1920" w:type="dxa"/>
            <w:tcMar>
              <w:left w:w="40" w:type="dxa"/>
              <w:right w:w="40" w:type="dxa"/>
            </w:tcMar>
          </w:tcPr>
          <w:p w14:paraId="4DB4F4E7"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Encorafenib</w:t>
            </w:r>
          </w:p>
        </w:tc>
        <w:tc>
          <w:tcPr>
            <w:tcW w:w="1582" w:type="dxa"/>
            <w:tcMar>
              <w:left w:w="40" w:type="dxa"/>
              <w:right w:w="40" w:type="dxa"/>
            </w:tcMar>
          </w:tcPr>
          <w:p w14:paraId="32242174" w14:textId="77777777" w:rsidR="00E03FD8" w:rsidRPr="00C4650C" w:rsidRDefault="00E03FD8" w:rsidP="003A3A7B">
            <w:pPr>
              <w:keepNext/>
              <w:keepLines/>
              <w:jc w:val="center"/>
              <w:rPr>
                <w:rFonts w:ascii="Arial Narrow" w:eastAsiaTheme="minorHAnsi" w:hAnsi="Arial Narrow" w:cstheme="minorBidi"/>
                <w:sz w:val="20"/>
                <w:szCs w:val="20"/>
              </w:rPr>
            </w:pPr>
            <w:r w:rsidRPr="00C4650C">
              <w:rPr>
                <w:rFonts w:ascii="Arial Narrow" w:eastAsiaTheme="minorHAnsi" w:hAnsi="Arial Narrow" w:cstheme="minorBidi"/>
                <w:sz w:val="20"/>
                <w:szCs w:val="20"/>
              </w:rPr>
              <w:t>$239.31</w:t>
            </w:r>
          </w:p>
        </w:tc>
      </w:tr>
      <w:tr w:rsidR="00E03FD8" w:rsidRPr="00D30A0A" w14:paraId="45651284" w14:textId="77777777">
        <w:tc>
          <w:tcPr>
            <w:tcW w:w="1915" w:type="dxa"/>
            <w:vMerge/>
            <w:tcMar>
              <w:left w:w="40" w:type="dxa"/>
              <w:right w:w="40" w:type="dxa"/>
            </w:tcMar>
          </w:tcPr>
          <w:p w14:paraId="195201E3" w14:textId="77777777" w:rsidR="00E03FD8" w:rsidRPr="00D30A0A" w:rsidRDefault="00E03FD8" w:rsidP="003A3A7B">
            <w:pPr>
              <w:keepNext/>
              <w:keepLines/>
              <w:rPr>
                <w:rFonts w:ascii="Arial Narrow" w:eastAsiaTheme="minorHAnsi" w:hAnsi="Arial Narrow" w:cstheme="minorBidi"/>
                <w:b/>
                <w:bCs/>
                <w:sz w:val="20"/>
                <w:szCs w:val="20"/>
              </w:rPr>
            </w:pPr>
          </w:p>
        </w:tc>
        <w:tc>
          <w:tcPr>
            <w:tcW w:w="1920" w:type="dxa"/>
            <w:tcMar>
              <w:left w:w="40" w:type="dxa"/>
              <w:right w:w="40" w:type="dxa"/>
            </w:tcMar>
          </w:tcPr>
          <w:p w14:paraId="7A1F25CC"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Trametinib</w:t>
            </w:r>
          </w:p>
        </w:tc>
        <w:tc>
          <w:tcPr>
            <w:tcW w:w="1680" w:type="dxa"/>
            <w:tcMar>
              <w:left w:w="40" w:type="dxa"/>
              <w:right w:w="40" w:type="dxa"/>
            </w:tcMar>
          </w:tcPr>
          <w:p w14:paraId="17F9F621"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$245.45</w:t>
            </w:r>
          </w:p>
        </w:tc>
        <w:tc>
          <w:tcPr>
            <w:tcW w:w="1920" w:type="dxa"/>
            <w:tcMar>
              <w:left w:w="40" w:type="dxa"/>
              <w:right w:w="40" w:type="dxa"/>
            </w:tcMar>
          </w:tcPr>
          <w:p w14:paraId="6B63FC91" w14:textId="77777777" w:rsidR="00E03FD8" w:rsidRPr="00D30A0A" w:rsidRDefault="00E03FD8" w:rsidP="003A3A7B">
            <w:pPr>
              <w:keepNext/>
              <w:keepLines/>
              <w:rPr>
                <w:rFonts w:ascii="Arial Narrow" w:eastAsiaTheme="minorHAnsi" w:hAnsi="Arial Narrow" w:cstheme="minorBidi"/>
                <w:sz w:val="20"/>
                <w:szCs w:val="20"/>
              </w:rPr>
            </w:pPr>
            <w:proofErr w:type="spellStart"/>
            <w:r w:rsidRPr="00D30A0A">
              <w:rPr>
                <w:rFonts w:ascii="Arial Narrow" w:eastAsiaTheme="minorHAnsi" w:hAnsi="Arial Narrow" w:cstheme="minorBidi"/>
                <w:sz w:val="20"/>
                <w:szCs w:val="20"/>
              </w:rPr>
              <w:t>Binimetinib</w:t>
            </w:r>
            <w:proofErr w:type="spellEnd"/>
          </w:p>
        </w:tc>
        <w:tc>
          <w:tcPr>
            <w:tcW w:w="1582" w:type="dxa"/>
            <w:tcMar>
              <w:left w:w="40" w:type="dxa"/>
              <w:right w:w="40" w:type="dxa"/>
            </w:tcMar>
          </w:tcPr>
          <w:p w14:paraId="75DD49CC" w14:textId="77777777" w:rsidR="00E03FD8" w:rsidRPr="00C4650C" w:rsidRDefault="00E03FD8" w:rsidP="003A3A7B">
            <w:pPr>
              <w:keepNext/>
              <w:keepLines/>
              <w:jc w:val="center"/>
              <w:rPr>
                <w:rFonts w:ascii="Arial Narrow" w:eastAsiaTheme="minorHAnsi" w:hAnsi="Arial Narrow" w:cstheme="minorBidi"/>
                <w:sz w:val="20"/>
                <w:szCs w:val="20"/>
              </w:rPr>
            </w:pPr>
            <w:r w:rsidRPr="00C4650C">
              <w:rPr>
                <w:rFonts w:ascii="Arial Narrow" w:eastAsiaTheme="minorHAnsi" w:hAnsi="Arial Narrow" w:cstheme="minorBidi"/>
                <w:sz w:val="20"/>
                <w:szCs w:val="20"/>
              </w:rPr>
              <w:t>$239.31</w:t>
            </w:r>
          </w:p>
        </w:tc>
      </w:tr>
      <w:tr w:rsidR="00E03FD8" w:rsidRPr="00D30A0A" w14:paraId="75698814" w14:textId="77777777">
        <w:tc>
          <w:tcPr>
            <w:tcW w:w="1915" w:type="dxa"/>
            <w:vMerge/>
            <w:tcMar>
              <w:left w:w="40" w:type="dxa"/>
              <w:right w:w="40" w:type="dxa"/>
            </w:tcMar>
          </w:tcPr>
          <w:p w14:paraId="51843216" w14:textId="77777777" w:rsidR="00E03FD8" w:rsidRPr="00D30A0A" w:rsidRDefault="00E03FD8" w:rsidP="003A3A7B">
            <w:pPr>
              <w:keepNext/>
              <w:keepLines/>
              <w:rPr>
                <w:rFonts w:ascii="Arial Narrow" w:eastAsiaTheme="minorHAnsi" w:hAnsi="Arial Narrow" w:cstheme="minorBidi"/>
                <w:b/>
                <w:bCs/>
                <w:sz w:val="20"/>
                <w:szCs w:val="20"/>
              </w:rPr>
            </w:pPr>
          </w:p>
        </w:tc>
        <w:tc>
          <w:tcPr>
            <w:tcW w:w="1920" w:type="dxa"/>
            <w:tcMar>
              <w:left w:w="40" w:type="dxa"/>
              <w:right w:w="40" w:type="dxa"/>
            </w:tcMar>
          </w:tcPr>
          <w:p w14:paraId="5782518E"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Total</w:t>
            </w:r>
          </w:p>
        </w:tc>
        <w:tc>
          <w:tcPr>
            <w:tcW w:w="1680" w:type="dxa"/>
            <w:tcMar>
              <w:left w:w="40" w:type="dxa"/>
              <w:right w:w="40" w:type="dxa"/>
            </w:tcMar>
          </w:tcPr>
          <w:p w14:paraId="3D7F8D14" w14:textId="77777777" w:rsidR="00E03FD8" w:rsidRPr="00D30A0A" w:rsidRDefault="00E03FD8" w:rsidP="003A3A7B">
            <w:pPr>
              <w:keepNext/>
              <w:keepLines/>
              <w:jc w:val="center"/>
              <w:rPr>
                <w:rFonts w:ascii="Arial Narrow" w:eastAsiaTheme="minorHAnsi" w:hAnsi="Arial Narrow" w:cstheme="minorBidi"/>
                <w:sz w:val="20"/>
                <w:szCs w:val="20"/>
              </w:rPr>
            </w:pPr>
            <w:r w:rsidRPr="00D30A0A">
              <w:rPr>
                <w:rFonts w:ascii="Arial Narrow" w:eastAsiaTheme="minorHAnsi" w:hAnsi="Arial Narrow" w:cstheme="minorBidi"/>
                <w:sz w:val="20"/>
                <w:szCs w:val="20"/>
              </w:rPr>
              <w:t>$478.62</w:t>
            </w:r>
          </w:p>
        </w:tc>
        <w:tc>
          <w:tcPr>
            <w:tcW w:w="1920" w:type="dxa"/>
            <w:tcMar>
              <w:left w:w="40" w:type="dxa"/>
              <w:right w:w="40" w:type="dxa"/>
            </w:tcMar>
          </w:tcPr>
          <w:p w14:paraId="6153FF98" w14:textId="77777777" w:rsidR="00E03FD8" w:rsidRPr="00D30A0A" w:rsidRDefault="00E03FD8" w:rsidP="003A3A7B">
            <w:pPr>
              <w:keepNext/>
              <w:keepLines/>
              <w:rPr>
                <w:rFonts w:ascii="Arial Narrow" w:eastAsiaTheme="minorHAnsi" w:hAnsi="Arial Narrow" w:cstheme="minorBidi"/>
                <w:sz w:val="20"/>
                <w:szCs w:val="20"/>
              </w:rPr>
            </w:pPr>
            <w:r w:rsidRPr="00D30A0A">
              <w:rPr>
                <w:rFonts w:ascii="Arial Narrow" w:eastAsiaTheme="minorHAnsi" w:hAnsi="Arial Narrow" w:cstheme="minorBidi"/>
                <w:sz w:val="20"/>
                <w:szCs w:val="20"/>
              </w:rPr>
              <w:t>Total</w:t>
            </w:r>
          </w:p>
        </w:tc>
        <w:tc>
          <w:tcPr>
            <w:tcW w:w="1582" w:type="dxa"/>
            <w:tcMar>
              <w:left w:w="40" w:type="dxa"/>
              <w:right w:w="40" w:type="dxa"/>
            </w:tcMar>
          </w:tcPr>
          <w:p w14:paraId="6E81676C" w14:textId="77777777" w:rsidR="00E03FD8" w:rsidRPr="00C4650C" w:rsidRDefault="00E03FD8" w:rsidP="003A3A7B">
            <w:pPr>
              <w:keepNext/>
              <w:keepLines/>
              <w:jc w:val="center"/>
              <w:rPr>
                <w:rFonts w:ascii="Arial Narrow" w:eastAsiaTheme="minorHAnsi" w:hAnsi="Arial Narrow" w:cstheme="minorBidi"/>
                <w:sz w:val="20"/>
                <w:szCs w:val="20"/>
              </w:rPr>
            </w:pPr>
            <w:r w:rsidRPr="00C4650C">
              <w:rPr>
                <w:rFonts w:ascii="Arial Narrow" w:eastAsiaTheme="minorHAnsi" w:hAnsi="Arial Narrow" w:cstheme="minorBidi"/>
                <w:sz w:val="20"/>
                <w:szCs w:val="20"/>
              </w:rPr>
              <w:t>$478.62</w:t>
            </w:r>
          </w:p>
        </w:tc>
      </w:tr>
    </w:tbl>
    <w:p w14:paraId="6C964C31" w14:textId="77777777" w:rsidR="00E03FD8" w:rsidRPr="00513C08" w:rsidRDefault="00E03FD8" w:rsidP="003A3A7B">
      <w:pPr>
        <w:pStyle w:val="3-BodyText"/>
        <w:numPr>
          <w:ilvl w:val="0"/>
          <w:numId w:val="0"/>
        </w:numPr>
        <w:spacing w:before="0" w:after="0"/>
        <w:rPr>
          <w:rFonts w:ascii="Arial Narrow" w:hAnsi="Arial Narrow"/>
          <w:sz w:val="18"/>
          <w:szCs w:val="18"/>
        </w:rPr>
      </w:pPr>
      <w:r w:rsidRPr="00513C08">
        <w:rPr>
          <w:rFonts w:ascii="Arial Narrow" w:hAnsi="Arial Narrow"/>
          <w:sz w:val="18"/>
          <w:szCs w:val="18"/>
        </w:rPr>
        <w:t>Source: constructed during preparation of the ESC Advice.</w:t>
      </w:r>
    </w:p>
    <w:p w14:paraId="5CF5E76A" w14:textId="77777777" w:rsidR="00E03FD8" w:rsidRPr="00B628E3" w:rsidRDefault="00E03FD8" w:rsidP="003A3A7B">
      <w:pPr>
        <w:pStyle w:val="3-BodyText"/>
        <w:numPr>
          <w:ilvl w:val="0"/>
          <w:numId w:val="0"/>
        </w:numPr>
        <w:spacing w:before="0"/>
        <w:rPr>
          <w:rFonts w:ascii="Arial Narrow" w:hAnsi="Arial Narrow"/>
          <w:sz w:val="18"/>
          <w:szCs w:val="18"/>
          <w:lang w:val="fr-FR"/>
        </w:rPr>
      </w:pPr>
      <w:r w:rsidRPr="00B628E3">
        <w:rPr>
          <w:rFonts w:ascii="Arial Narrow" w:hAnsi="Arial Narrow"/>
          <w:sz w:val="18"/>
          <w:szCs w:val="18"/>
          <w:lang w:val="fr-FR"/>
        </w:rPr>
        <w:t xml:space="preserve">D+T = </w:t>
      </w:r>
      <w:proofErr w:type="spellStart"/>
      <w:r w:rsidRPr="00B628E3">
        <w:rPr>
          <w:rFonts w:ascii="Arial Narrow" w:hAnsi="Arial Narrow"/>
          <w:sz w:val="18"/>
          <w:szCs w:val="18"/>
          <w:lang w:val="fr-FR"/>
        </w:rPr>
        <w:t>dabrafenib</w:t>
      </w:r>
      <w:proofErr w:type="spellEnd"/>
      <w:r w:rsidRPr="00B628E3">
        <w:rPr>
          <w:rFonts w:ascii="Arial Narrow" w:hAnsi="Arial Narrow"/>
          <w:sz w:val="18"/>
          <w:szCs w:val="18"/>
          <w:lang w:val="fr-FR"/>
        </w:rPr>
        <w:t xml:space="preserve"> plus </w:t>
      </w:r>
      <w:proofErr w:type="spellStart"/>
      <w:r w:rsidRPr="00B628E3">
        <w:rPr>
          <w:rFonts w:ascii="Arial Narrow" w:hAnsi="Arial Narrow"/>
          <w:sz w:val="18"/>
          <w:szCs w:val="18"/>
          <w:lang w:val="fr-FR"/>
        </w:rPr>
        <w:t>trametinib</w:t>
      </w:r>
      <w:proofErr w:type="spellEnd"/>
      <w:r w:rsidRPr="00B628E3">
        <w:rPr>
          <w:rFonts w:ascii="Arial Narrow" w:hAnsi="Arial Narrow"/>
          <w:sz w:val="18"/>
          <w:szCs w:val="18"/>
          <w:lang w:val="fr-FR"/>
        </w:rPr>
        <w:t xml:space="preserve">; E+B = </w:t>
      </w:r>
      <w:proofErr w:type="spellStart"/>
      <w:r w:rsidRPr="00B628E3">
        <w:rPr>
          <w:rFonts w:ascii="Arial Narrow" w:hAnsi="Arial Narrow"/>
          <w:sz w:val="18"/>
          <w:szCs w:val="18"/>
          <w:lang w:val="fr-FR"/>
        </w:rPr>
        <w:t>encorafenib</w:t>
      </w:r>
      <w:proofErr w:type="spellEnd"/>
      <w:r w:rsidRPr="00B628E3">
        <w:rPr>
          <w:rFonts w:ascii="Arial Narrow" w:hAnsi="Arial Narrow"/>
          <w:sz w:val="18"/>
          <w:szCs w:val="18"/>
          <w:lang w:val="fr-FR"/>
        </w:rPr>
        <w:t xml:space="preserve"> plus </w:t>
      </w:r>
      <w:proofErr w:type="spellStart"/>
      <w:r w:rsidRPr="00B628E3">
        <w:rPr>
          <w:rFonts w:ascii="Arial Narrow" w:hAnsi="Arial Narrow"/>
          <w:sz w:val="18"/>
          <w:szCs w:val="18"/>
          <w:lang w:val="fr-FR"/>
        </w:rPr>
        <w:t>binimetinib</w:t>
      </w:r>
      <w:proofErr w:type="spellEnd"/>
    </w:p>
    <w:p w14:paraId="45B433DB" w14:textId="6EF6F62D" w:rsidR="00F70EC6" w:rsidRDefault="00F70EC6" w:rsidP="003A3A7B">
      <w:pPr>
        <w:pStyle w:val="3-BodyText"/>
      </w:pPr>
      <w:r w:rsidRPr="0003578A">
        <w:t xml:space="preserve">The key components of the economic evaluation are summarised in </w:t>
      </w:r>
      <w:r>
        <w:fldChar w:fldCharType="begin"/>
      </w:r>
      <w:r>
        <w:instrText xml:space="preserve"> REF _Ref205810915 \h </w:instrText>
      </w:r>
      <w:r>
        <w:fldChar w:fldCharType="separate"/>
      </w:r>
      <w:r w:rsidR="00894EC9" w:rsidRPr="0098262F">
        <w:t xml:space="preserve">Table </w:t>
      </w:r>
      <w:r w:rsidR="00894EC9">
        <w:t>14</w:t>
      </w:r>
      <w:r>
        <w:fldChar w:fldCharType="end"/>
      </w:r>
      <w:r>
        <w:t>.</w:t>
      </w:r>
    </w:p>
    <w:p w14:paraId="2D363579" w14:textId="7ABAD77D" w:rsidR="00F70EC6" w:rsidRPr="0098262F" w:rsidRDefault="00F70EC6" w:rsidP="003A3A7B">
      <w:pPr>
        <w:pStyle w:val="TableFigureHeading"/>
        <w:rPr>
          <w:rStyle w:val="CommentReference"/>
          <w:b/>
          <w:szCs w:val="24"/>
        </w:rPr>
      </w:pPr>
      <w:bookmarkStart w:id="66" w:name="_Ref205810915"/>
      <w:r w:rsidRPr="0098262F">
        <w:lastRenderedPageBreak/>
        <w:t xml:space="preserve">Table </w:t>
      </w:r>
      <w:r w:rsidR="003C5461">
        <w:t>14</w:t>
      </w:r>
      <w:bookmarkEnd w:id="66"/>
      <w:r w:rsidRPr="0098262F">
        <w:t>:</w:t>
      </w:r>
      <w:r w:rsidRPr="0098262F">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Summary of model structure, key inputs and rationale"/>
      </w:tblPr>
      <w:tblGrid>
        <w:gridCol w:w="1271"/>
        <w:gridCol w:w="7746"/>
      </w:tblGrid>
      <w:tr w:rsidR="00F70EC6" w:rsidRPr="0098262F" w14:paraId="68E6BFE7" w14:textId="456137C3" w:rsidTr="00A11AE5">
        <w:trPr>
          <w:tblHeader/>
        </w:trPr>
        <w:tc>
          <w:tcPr>
            <w:tcW w:w="705" w:type="pct"/>
            <w:vAlign w:val="center"/>
          </w:tcPr>
          <w:p w14:paraId="13AE1F6D" w14:textId="2FCFEC7C" w:rsidR="00F70EC6" w:rsidRPr="0098262F" w:rsidRDefault="00F70EC6" w:rsidP="003A3A7B">
            <w:pPr>
              <w:pStyle w:val="In-tableHeading"/>
              <w:rPr>
                <w:lang w:val="en-AU"/>
              </w:rPr>
            </w:pPr>
            <w:r w:rsidRPr="0098262F">
              <w:rPr>
                <w:lang w:val="en-AU"/>
              </w:rPr>
              <w:t>Component</w:t>
            </w:r>
          </w:p>
        </w:tc>
        <w:tc>
          <w:tcPr>
            <w:tcW w:w="4295" w:type="pct"/>
            <w:vAlign w:val="center"/>
          </w:tcPr>
          <w:p w14:paraId="19F8627B" w14:textId="3B22E969" w:rsidR="00F70EC6" w:rsidRPr="0098262F" w:rsidRDefault="00F70EC6" w:rsidP="003A3A7B">
            <w:pPr>
              <w:pStyle w:val="In-tableHeading"/>
              <w:rPr>
                <w:lang w:val="en-AU"/>
              </w:rPr>
            </w:pPr>
            <w:r w:rsidRPr="0098262F">
              <w:rPr>
                <w:lang w:val="en-AU"/>
              </w:rPr>
              <w:t>Summary</w:t>
            </w:r>
          </w:p>
        </w:tc>
      </w:tr>
      <w:tr w:rsidR="00F70EC6" w:rsidRPr="002C30D6" w14:paraId="57755B7D" w14:textId="4DC80C96" w:rsidTr="00A11AE5">
        <w:tc>
          <w:tcPr>
            <w:tcW w:w="705" w:type="pct"/>
            <w:vAlign w:val="center"/>
          </w:tcPr>
          <w:p w14:paraId="775CFC19" w14:textId="7FE81F6E" w:rsidR="00F70EC6" w:rsidRPr="0098262F" w:rsidRDefault="00F70EC6" w:rsidP="003A3A7B">
            <w:pPr>
              <w:pStyle w:val="TableText0"/>
            </w:pPr>
            <w:r w:rsidRPr="0098262F">
              <w:t>Treatments</w:t>
            </w:r>
          </w:p>
        </w:tc>
        <w:tc>
          <w:tcPr>
            <w:tcW w:w="4295" w:type="pct"/>
            <w:vAlign w:val="center"/>
          </w:tcPr>
          <w:p w14:paraId="45403C99" w14:textId="43ECADA4" w:rsidR="00F70EC6" w:rsidRPr="00B628E3" w:rsidRDefault="00F70EC6" w:rsidP="003A3A7B">
            <w:pPr>
              <w:pStyle w:val="TableText0"/>
              <w:rPr>
                <w:lang w:val="fr-FR"/>
              </w:rPr>
            </w:pPr>
            <w:r w:rsidRPr="00B628E3">
              <w:rPr>
                <w:lang w:val="fr-FR"/>
              </w:rPr>
              <w:t xml:space="preserve">E+B versus </w:t>
            </w:r>
            <w:proofErr w:type="spellStart"/>
            <w:r w:rsidRPr="00B628E3">
              <w:rPr>
                <w:lang w:val="fr-FR"/>
              </w:rPr>
              <w:t>pembrolizumab+PDC</w:t>
            </w:r>
            <w:proofErr w:type="spellEnd"/>
          </w:p>
          <w:p w14:paraId="4C619A9D" w14:textId="28F4AE1B" w:rsidR="00F70EC6" w:rsidRPr="00B628E3" w:rsidRDefault="00F70EC6" w:rsidP="003A3A7B">
            <w:pPr>
              <w:pStyle w:val="TableText0"/>
              <w:rPr>
                <w:lang w:val="fr-FR"/>
              </w:rPr>
            </w:pPr>
            <w:r w:rsidRPr="00B628E3">
              <w:rPr>
                <w:lang w:val="fr-FR"/>
              </w:rPr>
              <w:t>E+B versus D+T</w:t>
            </w:r>
          </w:p>
        </w:tc>
      </w:tr>
      <w:tr w:rsidR="00F70EC6" w:rsidRPr="0098262F" w14:paraId="7E1EE14A" w14:textId="0E0E7504" w:rsidTr="00A11AE5">
        <w:tc>
          <w:tcPr>
            <w:tcW w:w="705" w:type="pct"/>
            <w:vAlign w:val="center"/>
          </w:tcPr>
          <w:p w14:paraId="4C43BE2D" w14:textId="6DECAC2F" w:rsidR="00F70EC6" w:rsidRPr="0098262F" w:rsidRDefault="00F70EC6" w:rsidP="003A3A7B">
            <w:pPr>
              <w:pStyle w:val="TableText0"/>
            </w:pPr>
            <w:r w:rsidRPr="0098262F">
              <w:t>Time horizon</w:t>
            </w:r>
          </w:p>
        </w:tc>
        <w:tc>
          <w:tcPr>
            <w:tcW w:w="4295" w:type="pct"/>
            <w:vAlign w:val="center"/>
          </w:tcPr>
          <w:p w14:paraId="5DE3902C" w14:textId="20594D57" w:rsidR="00F70EC6" w:rsidRPr="0098262F" w:rsidRDefault="00F70EC6" w:rsidP="003A3A7B">
            <w:pPr>
              <w:pStyle w:val="TableText0"/>
            </w:pPr>
            <w:r>
              <w:t>15</w:t>
            </w:r>
            <w:r w:rsidRPr="0098262F">
              <w:t xml:space="preserve"> years in the model base case versus </w:t>
            </w:r>
            <w:r>
              <w:t>4.4</w:t>
            </w:r>
            <w:r w:rsidRPr="0098262F">
              <w:t xml:space="preserve"> year</w:t>
            </w:r>
            <w:r>
              <w:t>s</w:t>
            </w:r>
            <w:r w:rsidRPr="0098262F">
              <w:t xml:space="preserve"> </w:t>
            </w:r>
            <w:r w:rsidR="00BB0E83">
              <w:t>follow</w:t>
            </w:r>
            <w:r w:rsidR="003A3A7B">
              <w:noBreakHyphen/>
            </w:r>
            <w:r w:rsidR="00BB0E83">
              <w:t xml:space="preserve">up </w:t>
            </w:r>
            <w:r w:rsidRPr="0098262F">
              <w:t>in</w:t>
            </w:r>
            <w:r>
              <w:t xml:space="preserve"> the PHAROS</w:t>
            </w:r>
            <w:r w:rsidRPr="0098262F">
              <w:t xml:space="preserve"> trial</w:t>
            </w:r>
          </w:p>
        </w:tc>
      </w:tr>
      <w:tr w:rsidR="00F70EC6" w:rsidRPr="0098262F" w14:paraId="625631A0" w14:textId="4C7CDC26" w:rsidTr="00A11AE5">
        <w:tc>
          <w:tcPr>
            <w:tcW w:w="705" w:type="pct"/>
            <w:vAlign w:val="center"/>
          </w:tcPr>
          <w:p w14:paraId="01B5D703" w14:textId="692D5373" w:rsidR="00F70EC6" w:rsidRPr="0098262F" w:rsidRDefault="00F70EC6" w:rsidP="003A3A7B">
            <w:pPr>
              <w:pStyle w:val="TableText0"/>
            </w:pPr>
            <w:r w:rsidRPr="0098262F">
              <w:t>Outcomes</w:t>
            </w:r>
          </w:p>
        </w:tc>
        <w:tc>
          <w:tcPr>
            <w:tcW w:w="4295" w:type="pct"/>
            <w:vAlign w:val="center"/>
          </w:tcPr>
          <w:p w14:paraId="38063CC5" w14:textId="355B10D0" w:rsidR="00F70EC6" w:rsidRPr="0098262F" w:rsidRDefault="00F70EC6" w:rsidP="003A3A7B">
            <w:pPr>
              <w:pStyle w:val="TableText0"/>
            </w:pPr>
            <w:r w:rsidRPr="008B73FF">
              <w:t>Life</w:t>
            </w:r>
            <w:r w:rsidR="003A3A7B">
              <w:noBreakHyphen/>
            </w:r>
            <w:r w:rsidRPr="008B73FF">
              <w:t>years gained,</w:t>
            </w:r>
            <w:r>
              <w:t xml:space="preserve"> and</w:t>
            </w:r>
            <w:r w:rsidRPr="008B73FF">
              <w:t xml:space="preserve"> </w:t>
            </w:r>
            <w:r>
              <w:t>q</w:t>
            </w:r>
            <w:r w:rsidRPr="008B73FF">
              <w:t>uality</w:t>
            </w:r>
            <w:r w:rsidR="003A3A7B">
              <w:noBreakHyphen/>
            </w:r>
            <w:r w:rsidRPr="008B73FF">
              <w:t>adjusted life</w:t>
            </w:r>
            <w:r>
              <w:t xml:space="preserve"> y</w:t>
            </w:r>
            <w:r w:rsidRPr="008B73FF">
              <w:t>ears</w:t>
            </w:r>
            <w:r>
              <w:t xml:space="preserve"> gained</w:t>
            </w:r>
          </w:p>
        </w:tc>
      </w:tr>
      <w:tr w:rsidR="00F70EC6" w:rsidRPr="0098262F" w14:paraId="0AAC51E6" w14:textId="07F43BC1" w:rsidTr="00A11AE5">
        <w:tc>
          <w:tcPr>
            <w:tcW w:w="705" w:type="pct"/>
            <w:vAlign w:val="center"/>
          </w:tcPr>
          <w:p w14:paraId="1FBAB2B9" w14:textId="1499685B" w:rsidR="00F70EC6" w:rsidRPr="0098262F" w:rsidRDefault="00F70EC6" w:rsidP="003A3A7B">
            <w:pPr>
              <w:pStyle w:val="TableText0"/>
            </w:pPr>
            <w:r w:rsidRPr="0098262F">
              <w:t>Methods used to generate results</w:t>
            </w:r>
          </w:p>
        </w:tc>
        <w:tc>
          <w:tcPr>
            <w:tcW w:w="4295" w:type="pct"/>
            <w:vAlign w:val="center"/>
          </w:tcPr>
          <w:p w14:paraId="586736C0" w14:textId="61D6C945" w:rsidR="00F70EC6" w:rsidRPr="0098262F" w:rsidRDefault="00F70EC6" w:rsidP="003A3A7B">
            <w:pPr>
              <w:pStyle w:val="TableText0"/>
            </w:pPr>
            <w:r w:rsidRPr="0098262F">
              <w:t>Partitioned survival model (i.e. area under the curve)</w:t>
            </w:r>
          </w:p>
        </w:tc>
      </w:tr>
      <w:tr w:rsidR="00F70EC6" w:rsidRPr="0098262F" w14:paraId="70E64E7F" w14:textId="2CE09F7D" w:rsidTr="00A11AE5">
        <w:tc>
          <w:tcPr>
            <w:tcW w:w="705" w:type="pct"/>
            <w:vAlign w:val="center"/>
          </w:tcPr>
          <w:p w14:paraId="0FCE987C" w14:textId="39EB6B81" w:rsidR="00F70EC6" w:rsidRPr="0098262F" w:rsidRDefault="00F70EC6" w:rsidP="003A3A7B">
            <w:pPr>
              <w:pStyle w:val="TableText0"/>
            </w:pPr>
            <w:r w:rsidRPr="0098262F">
              <w:t>Health states</w:t>
            </w:r>
          </w:p>
        </w:tc>
        <w:tc>
          <w:tcPr>
            <w:tcW w:w="4295" w:type="pct"/>
            <w:vAlign w:val="center"/>
          </w:tcPr>
          <w:p w14:paraId="03BC7BCE" w14:textId="566647E2" w:rsidR="00F70EC6" w:rsidRPr="0098262F" w:rsidRDefault="00F70EC6" w:rsidP="003A3A7B">
            <w:pPr>
              <w:pStyle w:val="TableText0"/>
            </w:pPr>
            <w:r w:rsidRPr="002E1188">
              <w:t>Progression free survival, Progressed disease, Death</w:t>
            </w:r>
          </w:p>
        </w:tc>
      </w:tr>
      <w:tr w:rsidR="00F70EC6" w:rsidRPr="0098262F" w14:paraId="471FE597" w14:textId="393A9CA1" w:rsidTr="00A11AE5">
        <w:tc>
          <w:tcPr>
            <w:tcW w:w="705" w:type="pct"/>
            <w:vAlign w:val="center"/>
          </w:tcPr>
          <w:p w14:paraId="4E5E54F9" w14:textId="5861E170" w:rsidR="00F70EC6" w:rsidRPr="0098262F" w:rsidRDefault="00F70EC6" w:rsidP="003A3A7B">
            <w:pPr>
              <w:pStyle w:val="TableText0"/>
            </w:pPr>
            <w:r w:rsidRPr="0098262F">
              <w:t>Cycle length</w:t>
            </w:r>
          </w:p>
        </w:tc>
        <w:tc>
          <w:tcPr>
            <w:tcW w:w="4295" w:type="pct"/>
            <w:vAlign w:val="center"/>
          </w:tcPr>
          <w:p w14:paraId="13EEB199" w14:textId="3A5DBD79" w:rsidR="00F70EC6" w:rsidRPr="0098262F" w:rsidRDefault="00F70EC6" w:rsidP="003A3A7B">
            <w:pPr>
              <w:pStyle w:val="TableText0"/>
            </w:pPr>
            <w:r>
              <w:t>7</w:t>
            </w:r>
            <w:r w:rsidRPr="0098262F">
              <w:t xml:space="preserve"> days</w:t>
            </w:r>
          </w:p>
        </w:tc>
      </w:tr>
      <w:tr w:rsidR="00F70EC6" w:rsidRPr="0098262F" w14:paraId="59E65187" w14:textId="7E2089F8" w:rsidTr="00D75F1F">
        <w:trPr>
          <w:trHeight w:val="2842"/>
        </w:trPr>
        <w:tc>
          <w:tcPr>
            <w:tcW w:w="705" w:type="pct"/>
            <w:vAlign w:val="center"/>
          </w:tcPr>
          <w:p w14:paraId="2DB7B5BC" w14:textId="0CC376F8" w:rsidR="00F70EC6" w:rsidRPr="0098262F" w:rsidRDefault="00F70EC6" w:rsidP="003A3A7B">
            <w:pPr>
              <w:pStyle w:val="TableText0"/>
            </w:pPr>
            <w:r w:rsidRPr="0098262F">
              <w:t>Allocation to health states</w:t>
            </w:r>
          </w:p>
        </w:tc>
        <w:tc>
          <w:tcPr>
            <w:tcW w:w="4295" w:type="pct"/>
            <w:vAlign w:val="center"/>
          </w:tcPr>
          <w:p w14:paraId="7BC3CC01" w14:textId="683898D1" w:rsidR="00F70EC6" w:rsidRDefault="00F70EC6" w:rsidP="003A3A7B">
            <w:pPr>
              <w:pStyle w:val="TableText0"/>
            </w:pPr>
            <w:r w:rsidRPr="00080395">
              <w:t xml:space="preserve">Health state allocation over time in the </w:t>
            </w:r>
            <w:r>
              <w:t>E+B</w:t>
            </w:r>
            <w:r w:rsidRPr="00080395">
              <w:t xml:space="preserve"> arm was determined by the PFS and OS</w:t>
            </w:r>
            <w:r>
              <w:t xml:space="preserve"> </w:t>
            </w:r>
            <w:r w:rsidRPr="00080395">
              <w:t xml:space="preserve">data from the </w:t>
            </w:r>
            <w:r>
              <w:t>untreated</w:t>
            </w:r>
            <w:r w:rsidRPr="00080395">
              <w:t xml:space="preserve"> cohort of the </w:t>
            </w:r>
            <w:r>
              <w:t>PHAROS</w:t>
            </w:r>
            <w:r w:rsidRPr="00080395">
              <w:t xml:space="preserve"> </w:t>
            </w:r>
            <w:r>
              <w:t xml:space="preserve">trial </w:t>
            </w:r>
            <w:r w:rsidRPr="00080395">
              <w:t>up to median</w:t>
            </w:r>
            <w:r>
              <w:t xml:space="preserve"> </w:t>
            </w:r>
            <w:r w:rsidRPr="00080395">
              <w:t>follow</w:t>
            </w:r>
            <w:r w:rsidR="003A3A7B">
              <w:noBreakHyphen/>
            </w:r>
            <w:r w:rsidRPr="00080395">
              <w:t>up (</w:t>
            </w:r>
            <w:r>
              <w:t>33</w:t>
            </w:r>
            <w:r w:rsidRPr="00080395">
              <w:t xml:space="preserve"> months</w:t>
            </w:r>
            <w:r>
              <w:t>). The submission included observed time</w:t>
            </w:r>
            <w:r w:rsidR="003A3A7B">
              <w:noBreakHyphen/>
            </w:r>
            <w:r>
              <w:t>to</w:t>
            </w:r>
            <w:r w:rsidR="003A3A7B">
              <w:noBreakHyphen/>
            </w:r>
            <w:r>
              <w:t xml:space="preserve">event data until it </w:t>
            </w:r>
            <w:r w:rsidR="00D574AA">
              <w:t xml:space="preserve">became </w:t>
            </w:r>
            <w:r>
              <w:t>unreliable</w:t>
            </w:r>
            <w:r w:rsidR="001F2A78">
              <w:t xml:space="preserve">, and </w:t>
            </w:r>
            <w:r w:rsidR="0089351E">
              <w:t>parametric extrapolation of PFS and OS curves were subsequently applied</w:t>
            </w:r>
            <w:r w:rsidR="001F2A78">
              <w:t xml:space="preserve"> </w:t>
            </w:r>
            <w:r w:rsidR="0089351E">
              <w:t xml:space="preserve">to </w:t>
            </w:r>
            <w:r w:rsidR="00156CE5">
              <w:t xml:space="preserve">15 years. </w:t>
            </w:r>
          </w:p>
          <w:p w14:paraId="217632FC" w14:textId="5A39C265" w:rsidR="00F70EC6" w:rsidRDefault="00F70EC6" w:rsidP="003A3A7B">
            <w:pPr>
              <w:pStyle w:val="TableText0"/>
            </w:pPr>
          </w:p>
          <w:p w14:paraId="4E8EA152" w14:textId="7F1AFB36" w:rsidR="00F70EC6" w:rsidRDefault="00F70EC6" w:rsidP="003A3A7B">
            <w:pPr>
              <w:pStyle w:val="TableText0"/>
            </w:pPr>
            <w:r>
              <w:t xml:space="preserve">Health state allocation over time in </w:t>
            </w:r>
            <w:proofErr w:type="spellStart"/>
            <w:r>
              <w:t>pembrolizumab+PDC</w:t>
            </w:r>
            <w:proofErr w:type="spellEnd"/>
            <w:r>
              <w:t xml:space="preserve"> and D+T arms was derived by applying the hazard ratios from the MAIC</w:t>
            </w:r>
            <w:r w:rsidR="00156CE5">
              <w:t xml:space="preserve"> </w:t>
            </w:r>
            <w:r>
              <w:t>(after matching for all adjustment factors)</w:t>
            </w:r>
            <w:r w:rsidR="00156CE5">
              <w:t xml:space="preserve"> to the PFS and OS survival curves of E+B</w:t>
            </w:r>
            <w:r>
              <w:t xml:space="preserve">. </w:t>
            </w:r>
          </w:p>
          <w:p w14:paraId="50CFB455" w14:textId="492437AF" w:rsidR="00F70EC6" w:rsidRDefault="00F70EC6" w:rsidP="003A3A7B">
            <w:pPr>
              <w:pStyle w:val="TableText0"/>
            </w:pPr>
          </w:p>
          <w:p w14:paraId="4B461026" w14:textId="0E16BE2E" w:rsidR="00F70EC6" w:rsidRPr="0098262F" w:rsidRDefault="00F70EC6" w:rsidP="003A3A7B">
            <w:pPr>
              <w:pStyle w:val="TableText0"/>
            </w:pPr>
            <w:r>
              <w:t>TTD data from E+B was derived</w:t>
            </w:r>
            <w:r w:rsidR="006E14D2">
              <w:t xml:space="preserve"> </w:t>
            </w:r>
            <w:r w:rsidR="006E14D2" w:rsidRPr="00C4073F">
              <w:t>post</w:t>
            </w:r>
            <w:r w:rsidR="003A3A7B">
              <w:noBreakHyphen/>
            </w:r>
            <w:r w:rsidR="006E14D2" w:rsidRPr="00C4073F">
              <w:t>hoc</w:t>
            </w:r>
            <w:r>
              <w:t xml:space="preserve"> from the</w:t>
            </w:r>
            <w:r w:rsidR="00ED3E0A">
              <w:t xml:space="preserve"> untreated</w:t>
            </w:r>
            <w:r w:rsidR="00ED3E0A" w:rsidRPr="00080395">
              <w:t xml:space="preserve"> cohort of the </w:t>
            </w:r>
            <w:r>
              <w:t>PHAROS trial. However, TTD data for the comparators (</w:t>
            </w:r>
            <w:proofErr w:type="spellStart"/>
            <w:r>
              <w:t>pembrolizumab+PDC</w:t>
            </w:r>
            <w:proofErr w:type="spellEnd"/>
            <w:r>
              <w:t xml:space="preserve"> and D+T) were not available. </w:t>
            </w:r>
            <w:r w:rsidRPr="00BD3CCB">
              <w:t>To estimate TTD</w:t>
            </w:r>
            <w:r>
              <w:t xml:space="preserve"> for these arms</w:t>
            </w:r>
            <w:r w:rsidRPr="00BD3CCB">
              <w:t xml:space="preserve">, the submission applied </w:t>
            </w:r>
            <w:r>
              <w:t>hazard ratios</w:t>
            </w:r>
            <w:r w:rsidRPr="00BD3CCB">
              <w:t xml:space="preserve"> to the</w:t>
            </w:r>
            <w:r>
              <w:t>ir respective</w:t>
            </w:r>
            <w:r w:rsidRPr="00BD3CCB">
              <w:t xml:space="preserve"> PFS curves, adjusting them so that the area under the curve aligned with the mean treatment duration</w:t>
            </w:r>
            <w:r w:rsidR="00E37D09">
              <w:t xml:space="preserve"> derived from D+T November 2024 PBAC submission</w:t>
            </w:r>
            <w:r w:rsidRPr="00BD3CCB">
              <w:t xml:space="preserve"> </w:t>
            </w:r>
            <w:r w:rsidR="005E02CA">
              <w:t xml:space="preserve">for </w:t>
            </w:r>
            <w:proofErr w:type="spellStart"/>
            <w:r w:rsidR="005E02CA">
              <w:t>pembrolizumab+PDC</w:t>
            </w:r>
            <w:proofErr w:type="spellEnd"/>
            <w:r w:rsidR="005E02CA">
              <w:t xml:space="preserve"> (10.2</w:t>
            </w:r>
            <w:r w:rsidR="003C6BCF">
              <w:t>6 months) and D+T (18.315 months)</w:t>
            </w:r>
          </w:p>
        </w:tc>
      </w:tr>
      <w:tr w:rsidR="00F70EC6" w:rsidRPr="0098262F" w14:paraId="436EC0F4" w14:textId="6F6E887B" w:rsidTr="00A11AE5">
        <w:tc>
          <w:tcPr>
            <w:tcW w:w="705" w:type="pct"/>
            <w:vAlign w:val="center"/>
          </w:tcPr>
          <w:p w14:paraId="73D28C12" w14:textId="33CAB683" w:rsidR="00F70EC6" w:rsidRPr="0098262F" w:rsidRDefault="00F70EC6" w:rsidP="003A3A7B">
            <w:pPr>
              <w:pStyle w:val="TableText0"/>
            </w:pPr>
            <w:r w:rsidRPr="0098262F">
              <w:t>Extrapolation method</w:t>
            </w:r>
          </w:p>
        </w:tc>
        <w:tc>
          <w:tcPr>
            <w:tcW w:w="4295" w:type="pct"/>
            <w:vAlign w:val="center"/>
          </w:tcPr>
          <w:p w14:paraId="6F547B2F" w14:textId="6297F9C7" w:rsidR="00F70EC6" w:rsidRDefault="00F70EC6" w:rsidP="003A3A7B">
            <w:pPr>
              <w:pStyle w:val="TableText0"/>
            </w:pPr>
            <w:r>
              <w:t>P</w:t>
            </w:r>
            <w:r w:rsidRPr="0098262F">
              <w:t xml:space="preserve">arametric model fitted to </w:t>
            </w:r>
            <w:r>
              <w:t>E+B</w:t>
            </w:r>
            <w:r w:rsidRPr="0098262F">
              <w:t xml:space="preserve"> arm with </w:t>
            </w:r>
            <w:r>
              <w:t xml:space="preserve">exponential distribution </w:t>
            </w:r>
            <w:r w:rsidRPr="0098262F">
              <w:t>selected in</w:t>
            </w:r>
            <w:r w:rsidR="002F0DE2">
              <w:t xml:space="preserve"> the</w:t>
            </w:r>
            <w:r w:rsidRPr="0098262F">
              <w:t xml:space="preserve"> base case for OS</w:t>
            </w:r>
            <w:r>
              <w:t xml:space="preserve">, </w:t>
            </w:r>
            <w:r w:rsidRPr="0098262F">
              <w:t>PFS</w:t>
            </w:r>
            <w:r>
              <w:t>, and TTD</w:t>
            </w:r>
            <w:r w:rsidRPr="0098262F">
              <w:t xml:space="preserve"> based on goodness of fit</w:t>
            </w:r>
            <w:r w:rsidR="002F0DE2">
              <w:t xml:space="preserve">, </w:t>
            </w:r>
            <w:r>
              <w:t>visual inspection</w:t>
            </w:r>
            <w:r w:rsidR="002F0DE2">
              <w:t>, and clinical expert opinion</w:t>
            </w:r>
            <w:r>
              <w:t xml:space="preserve">. </w:t>
            </w:r>
          </w:p>
          <w:p w14:paraId="7498B067" w14:textId="7B562E9E" w:rsidR="00F70EC6" w:rsidRDefault="00F70EC6" w:rsidP="003A3A7B">
            <w:pPr>
              <w:pStyle w:val="TableText0"/>
            </w:pPr>
          </w:p>
          <w:p w14:paraId="20B4640B" w14:textId="2F79D1B3" w:rsidR="00F70EC6" w:rsidRPr="0098262F" w:rsidRDefault="00037936" w:rsidP="003A3A7B">
            <w:pPr>
              <w:pStyle w:val="TableText0"/>
            </w:pPr>
            <w:r>
              <w:t>66</w:t>
            </w:r>
            <w:r w:rsidR="00F70EC6" w:rsidRPr="0098262F">
              <w:t xml:space="preserve">% of LYGs </w:t>
            </w:r>
            <w:r w:rsidR="00001B66">
              <w:t xml:space="preserve">(undiscounted) </w:t>
            </w:r>
            <w:r w:rsidR="00F70EC6" w:rsidRPr="0098262F">
              <w:t xml:space="preserve">and </w:t>
            </w:r>
            <w:r w:rsidR="00001B66">
              <w:t>36</w:t>
            </w:r>
            <w:r w:rsidR="00F70EC6" w:rsidRPr="0098262F">
              <w:t xml:space="preserve">% of costs </w:t>
            </w:r>
            <w:r w:rsidR="00001B66">
              <w:t xml:space="preserve">(undiscounted) </w:t>
            </w:r>
            <w:r w:rsidR="00F70EC6" w:rsidRPr="0098262F">
              <w:t>occur in the extrapolated period.</w:t>
            </w:r>
          </w:p>
        </w:tc>
      </w:tr>
      <w:tr w:rsidR="00F70EC6" w:rsidRPr="0098262F" w14:paraId="3B515DB3" w14:textId="48D461FB" w:rsidTr="00A11AE5">
        <w:tc>
          <w:tcPr>
            <w:tcW w:w="705" w:type="pct"/>
            <w:vAlign w:val="center"/>
          </w:tcPr>
          <w:p w14:paraId="0AED2B02" w14:textId="2E164BB2" w:rsidR="00F70EC6" w:rsidRPr="0098262F" w:rsidRDefault="00F70EC6" w:rsidP="003A3A7B">
            <w:pPr>
              <w:pStyle w:val="TableText0"/>
            </w:pPr>
            <w:r w:rsidRPr="0098262F">
              <w:t>Health related quality of life</w:t>
            </w:r>
          </w:p>
        </w:tc>
        <w:tc>
          <w:tcPr>
            <w:tcW w:w="4295" w:type="pct"/>
            <w:vAlign w:val="center"/>
          </w:tcPr>
          <w:p w14:paraId="3476596C" w14:textId="757ECDA2" w:rsidR="00F70EC6" w:rsidRPr="0098262F" w:rsidRDefault="00F70EC6" w:rsidP="003A3A7B">
            <w:pPr>
              <w:pStyle w:val="TableText0"/>
            </w:pPr>
            <w:r w:rsidRPr="009C66AA">
              <w:t>Health state utility values of 0.776 for the progression</w:t>
            </w:r>
            <w:r w:rsidR="003A3A7B">
              <w:noBreakHyphen/>
            </w:r>
            <w:r w:rsidRPr="009C66AA">
              <w:t xml:space="preserve">free state and 0.714 for the progressed disease state were sourced from the July 2019 PBAC submission for </w:t>
            </w:r>
            <w:proofErr w:type="spellStart"/>
            <w:r w:rsidRPr="009C66AA">
              <w:t>pembrolizumab+PDC</w:t>
            </w:r>
            <w:proofErr w:type="spellEnd"/>
            <w:r w:rsidRPr="009C66AA">
              <w:t xml:space="preserve"> in advanced NSCLC</w:t>
            </w:r>
            <w:r>
              <w:t xml:space="preserve">. These were applied to all treatment arms. </w:t>
            </w:r>
          </w:p>
        </w:tc>
      </w:tr>
      <w:tr w:rsidR="000A3314" w:rsidRPr="0098262F" w14:paraId="2C766D22" w14:textId="77777777" w:rsidTr="00A11AE5">
        <w:tc>
          <w:tcPr>
            <w:tcW w:w="705" w:type="pct"/>
            <w:vAlign w:val="center"/>
          </w:tcPr>
          <w:p w14:paraId="5A022F42" w14:textId="383C6027" w:rsidR="000A3314" w:rsidRPr="0098262F" w:rsidRDefault="000A3314" w:rsidP="003A3A7B">
            <w:pPr>
              <w:pStyle w:val="TableText0"/>
            </w:pPr>
            <w:r>
              <w:t>Costs</w:t>
            </w:r>
          </w:p>
        </w:tc>
        <w:tc>
          <w:tcPr>
            <w:tcW w:w="4295" w:type="pct"/>
            <w:vAlign w:val="center"/>
          </w:tcPr>
          <w:p w14:paraId="3DB644D3" w14:textId="77777777" w:rsidR="000A3314" w:rsidRDefault="000A3314" w:rsidP="003A3A7B">
            <w:pPr>
              <w:pStyle w:val="TableText0"/>
            </w:pPr>
            <w:r>
              <w:t xml:space="preserve">The model included drug costs, including those associated with administration and monitoring, </w:t>
            </w:r>
            <w:r w:rsidR="00C53879">
              <w:t>resource use costs associated with managing the disease, and terminal care costs.</w:t>
            </w:r>
          </w:p>
          <w:p w14:paraId="6ADA1B3B" w14:textId="77777777" w:rsidR="00573B8E" w:rsidRDefault="00573B8E" w:rsidP="003A3A7B">
            <w:pPr>
              <w:pStyle w:val="TableText0"/>
            </w:pPr>
            <w:r>
              <w:t>Costs associated with monitoring liver and renal function and repeat ophth</w:t>
            </w:r>
            <w:r w:rsidR="00FB531E">
              <w:t>almic monitors for E+B were not included.</w:t>
            </w:r>
          </w:p>
          <w:p w14:paraId="20DBD490" w14:textId="037DD9F2" w:rsidR="00FB531E" w:rsidRPr="009C66AA" w:rsidRDefault="00FB531E" w:rsidP="003A3A7B">
            <w:pPr>
              <w:pStyle w:val="TableText0"/>
            </w:pPr>
            <w:r>
              <w:t>Costs for managing AEs and subsequent treatments were excluded.</w:t>
            </w:r>
          </w:p>
        </w:tc>
      </w:tr>
    </w:tbl>
    <w:p w14:paraId="3B847139" w14:textId="4F98DB97" w:rsidR="00F70EC6" w:rsidRDefault="00F70EC6" w:rsidP="003A3A7B">
      <w:pPr>
        <w:pStyle w:val="TableFigureFooter"/>
      </w:pPr>
      <w:r w:rsidRPr="0098262F">
        <w:t>Source:</w:t>
      </w:r>
      <w:r>
        <w:t xml:space="preserve"> Table 3.1, pp163</w:t>
      </w:r>
      <w:r w:rsidR="003A3A7B">
        <w:noBreakHyphen/>
      </w:r>
      <w:r>
        <w:t xml:space="preserve">164 of the submission and Section 3 of the submission. </w:t>
      </w:r>
    </w:p>
    <w:p w14:paraId="62F85F56" w14:textId="23E97DA8" w:rsidR="00F70EC6" w:rsidRPr="00505609" w:rsidRDefault="00D75F1F" w:rsidP="003A3A7B">
      <w:pPr>
        <w:pStyle w:val="TableFigureFooter"/>
      </w:pPr>
      <w:r>
        <w:t xml:space="preserve">AE = adverse event; </w:t>
      </w:r>
      <w:r w:rsidR="00F70EC6" w:rsidRPr="00505609">
        <w:t xml:space="preserve">D+T = dabrafenib and trametinib; E+B = </w:t>
      </w:r>
      <w:proofErr w:type="spellStart"/>
      <w:r w:rsidR="00F70EC6" w:rsidRPr="00505609">
        <w:t>encorafenib</w:t>
      </w:r>
      <w:proofErr w:type="spellEnd"/>
      <w:r w:rsidR="00F70EC6" w:rsidRPr="00505609">
        <w:t xml:space="preserve"> and </w:t>
      </w:r>
      <w:proofErr w:type="spellStart"/>
      <w:r w:rsidR="00F70EC6" w:rsidRPr="00505609">
        <w:t>binimetinib</w:t>
      </w:r>
      <w:proofErr w:type="spellEnd"/>
      <w:r w:rsidR="00F70EC6" w:rsidRPr="00505609">
        <w:t xml:space="preserve">; OS = overall survival, </w:t>
      </w:r>
      <w:r w:rsidR="00F70EC6">
        <w:t>PDC = platinum</w:t>
      </w:r>
      <w:r w:rsidR="003A3A7B">
        <w:noBreakHyphen/>
      </w:r>
      <w:r w:rsidR="00F70EC6">
        <w:t>based doublet chemotherapy; MAIC = matching</w:t>
      </w:r>
      <w:r w:rsidR="003A3A7B">
        <w:noBreakHyphen/>
      </w:r>
      <w:r w:rsidR="00F70EC6">
        <w:t>adjusted indirect comparison; NSCLC = non</w:t>
      </w:r>
      <w:r w:rsidR="003A3A7B">
        <w:noBreakHyphen/>
      </w:r>
      <w:r w:rsidR="00F70EC6">
        <w:t xml:space="preserve">small cell lung cancer; </w:t>
      </w:r>
      <w:r w:rsidR="00F70EC6" w:rsidRPr="00505609">
        <w:t>PFS = progression free survival</w:t>
      </w:r>
      <w:r w:rsidR="00F70EC6">
        <w:t>; LY</w:t>
      </w:r>
      <w:r w:rsidR="00642775">
        <w:t>G</w:t>
      </w:r>
      <w:r w:rsidR="00F70EC6">
        <w:t xml:space="preserve"> = life years</w:t>
      </w:r>
      <w:r w:rsidR="00642775">
        <w:t xml:space="preserve"> gained</w:t>
      </w:r>
      <w:r w:rsidR="00F70EC6">
        <w:t xml:space="preserve">; </w:t>
      </w:r>
      <w:r w:rsidR="00F70EC6" w:rsidRPr="00505609">
        <w:t>TTD = time to treatment discontinuation.</w:t>
      </w:r>
    </w:p>
    <w:p w14:paraId="22A708E1" w14:textId="6C6A92A0" w:rsidR="000A0039" w:rsidRPr="000A0039" w:rsidRDefault="009A61DD" w:rsidP="003A3A7B">
      <w:pPr>
        <w:pStyle w:val="3-BodyText"/>
        <w:rPr>
          <w:i/>
          <w:iCs/>
          <w:color w:val="0066FF"/>
        </w:rPr>
      </w:pPr>
      <w:r w:rsidRPr="00C641FE">
        <w:t xml:space="preserve">The submission used a </w:t>
      </w:r>
      <w:r w:rsidR="00C641FE" w:rsidRPr="00C641FE">
        <w:t>partitioned</w:t>
      </w:r>
      <w:r w:rsidRPr="00C641FE">
        <w:t xml:space="preserve"> survival model, with three health states: progression</w:t>
      </w:r>
      <w:r w:rsidR="003A3A7B">
        <w:noBreakHyphen/>
      </w:r>
      <w:r w:rsidRPr="00C641FE">
        <w:t xml:space="preserve">free, progressed disease, and </w:t>
      </w:r>
      <w:r w:rsidR="00B11DF0" w:rsidRPr="00C641FE">
        <w:t xml:space="preserve">death. </w:t>
      </w:r>
      <w:r w:rsidR="00A71044">
        <w:t>For E+B, a</w:t>
      </w:r>
      <w:r w:rsidR="00C20644" w:rsidRPr="00C20644">
        <w:t>llocation to the health states wa</w:t>
      </w:r>
      <w:r w:rsidR="004C2756">
        <w:t xml:space="preserve">s </w:t>
      </w:r>
      <w:r w:rsidR="00A71044">
        <w:t>informed by</w:t>
      </w:r>
      <w:r w:rsidR="004C2756">
        <w:t xml:space="preserve"> </w:t>
      </w:r>
      <w:r w:rsidR="00FC5922">
        <w:t>KM</w:t>
      </w:r>
      <w:r w:rsidR="00C006B2">
        <w:t xml:space="preserve"> OS and PFS</w:t>
      </w:r>
      <w:r w:rsidR="00FC5922">
        <w:t xml:space="preserve"> data </w:t>
      </w:r>
      <w:r w:rsidR="00C006B2">
        <w:t>from the PHAROS trial</w:t>
      </w:r>
      <w:r w:rsidR="006177D3">
        <w:t xml:space="preserve"> (</w:t>
      </w:r>
      <w:r w:rsidR="004F43BD">
        <w:t>media</w:t>
      </w:r>
      <w:r w:rsidR="00E35C9F">
        <w:t>n</w:t>
      </w:r>
      <w:r w:rsidR="004F43BD">
        <w:t xml:space="preserve"> follow</w:t>
      </w:r>
      <w:r w:rsidR="003A3A7B">
        <w:noBreakHyphen/>
      </w:r>
      <w:r w:rsidR="004F43BD">
        <w:t>up of 33.3 months</w:t>
      </w:r>
      <w:r w:rsidR="006177D3">
        <w:t>)</w:t>
      </w:r>
      <w:r w:rsidR="00176147">
        <w:t>, up to the point where the data</w:t>
      </w:r>
      <w:r w:rsidR="00A71044">
        <w:t xml:space="preserve"> were deemed</w:t>
      </w:r>
      <w:r w:rsidR="00176147">
        <w:t xml:space="preserve"> unreliable</w:t>
      </w:r>
      <w:r w:rsidR="00255B59">
        <w:t>.</w:t>
      </w:r>
      <w:r w:rsidR="004F6F18">
        <w:t xml:space="preserve"> </w:t>
      </w:r>
      <w:r w:rsidR="00A71044">
        <w:t xml:space="preserve">Beyond </w:t>
      </w:r>
      <w:r w:rsidR="00B72710" w:rsidRPr="00176147">
        <w:t>that, parametric survival distributions were applied over a 15</w:t>
      </w:r>
      <w:r w:rsidR="003A3A7B">
        <w:noBreakHyphen/>
      </w:r>
      <w:r w:rsidR="00B72710" w:rsidRPr="00176147">
        <w:t>year time horizon (see paragraph</w:t>
      </w:r>
      <w:r w:rsidR="00B72710">
        <w:t>s</w:t>
      </w:r>
      <w:r w:rsidR="00B72710" w:rsidRPr="00176147">
        <w:t xml:space="preserve"> </w:t>
      </w:r>
      <w:r w:rsidR="00B72710">
        <w:fldChar w:fldCharType="begin"/>
      </w:r>
      <w:r w:rsidR="00B72710">
        <w:instrText xml:space="preserve"> REF _Ref205986615 \r \h </w:instrText>
      </w:r>
      <w:r w:rsidR="00B72710">
        <w:fldChar w:fldCharType="separate"/>
      </w:r>
      <w:r w:rsidR="00894EC9">
        <w:t>6.57</w:t>
      </w:r>
      <w:r w:rsidR="00B72710">
        <w:fldChar w:fldCharType="end"/>
      </w:r>
      <w:r w:rsidR="00B72710">
        <w:t xml:space="preserve"> and </w:t>
      </w:r>
      <w:r w:rsidR="00B72710">
        <w:fldChar w:fldCharType="begin"/>
      </w:r>
      <w:r w:rsidR="00B72710">
        <w:instrText xml:space="preserve"> REF _Ref205986617 \r \h </w:instrText>
      </w:r>
      <w:r w:rsidR="00B72710">
        <w:fldChar w:fldCharType="separate"/>
      </w:r>
      <w:r w:rsidR="00894EC9">
        <w:t>6.59</w:t>
      </w:r>
      <w:r w:rsidR="00B72710">
        <w:fldChar w:fldCharType="end"/>
      </w:r>
      <w:r w:rsidR="00B72710" w:rsidRPr="00176147">
        <w:t>)</w:t>
      </w:r>
      <w:r w:rsidR="000A0039">
        <w:t>.</w:t>
      </w:r>
      <w:r w:rsidR="00DB4135">
        <w:t xml:space="preserve"> </w:t>
      </w:r>
      <w:r w:rsidR="009D7ABA">
        <w:t>For the comparator arm</w:t>
      </w:r>
      <w:r w:rsidR="00636FA6">
        <w:t>s</w:t>
      </w:r>
      <w:r w:rsidR="009D7ABA">
        <w:t>, health state allocation w</w:t>
      </w:r>
      <w:r w:rsidR="00967093">
        <w:t xml:space="preserve">as </w:t>
      </w:r>
      <w:r w:rsidR="009D7ABA">
        <w:t>derived</w:t>
      </w:r>
      <w:r w:rsidR="00967093">
        <w:t xml:space="preserve"> by applying the HR from the base case MAIC to the E+B curves (see paragraph </w:t>
      </w:r>
      <w:r w:rsidR="007260D9">
        <w:fldChar w:fldCharType="begin"/>
      </w:r>
      <w:r w:rsidR="007260D9">
        <w:instrText xml:space="preserve"> REF _Ref206428068 \r \h </w:instrText>
      </w:r>
      <w:r w:rsidR="007260D9">
        <w:fldChar w:fldCharType="separate"/>
      </w:r>
      <w:r w:rsidR="00894EC9">
        <w:t>6.63</w:t>
      </w:r>
      <w:r w:rsidR="007260D9">
        <w:fldChar w:fldCharType="end"/>
      </w:r>
      <w:r w:rsidR="00967093">
        <w:t>)</w:t>
      </w:r>
      <w:r w:rsidR="009D7ABA">
        <w:t>.</w:t>
      </w:r>
      <w:r w:rsidR="00967093">
        <w:t xml:space="preserve"> </w:t>
      </w:r>
    </w:p>
    <w:p w14:paraId="58F250A9" w14:textId="6E24AEB2" w:rsidR="003C7AE9" w:rsidRPr="00150595" w:rsidRDefault="003C7AE9" w:rsidP="003A3A7B">
      <w:pPr>
        <w:pStyle w:val="3-BodyText"/>
      </w:pPr>
      <w:r w:rsidRPr="000548E6">
        <w:t>The economic model applied a 15</w:t>
      </w:r>
      <w:r w:rsidR="003A3A7B">
        <w:noBreakHyphen/>
      </w:r>
      <w:r w:rsidRPr="000548E6">
        <w:t xml:space="preserve">year time horizon, with patients entering the model at an average age of 67 years. Based on the extrapolation adopted in the submission, an estimated 7% of </w:t>
      </w:r>
      <w:r w:rsidR="00B84059">
        <w:t xml:space="preserve">E+B </w:t>
      </w:r>
      <w:r w:rsidRPr="000548E6">
        <w:t xml:space="preserve">patients were alive at 15 years, compared to 57% observed in </w:t>
      </w:r>
      <w:r w:rsidRPr="000548E6">
        <w:lastRenderedPageBreak/>
        <w:t xml:space="preserve">the PHAROS trial at </w:t>
      </w:r>
      <w:r w:rsidR="00B81019">
        <w:t>a median three</w:t>
      </w:r>
      <w:r w:rsidR="003A3A7B">
        <w:noBreakHyphen/>
      </w:r>
      <w:r w:rsidR="00B81019">
        <w:t>year</w:t>
      </w:r>
      <w:r w:rsidRPr="000548E6">
        <w:t xml:space="preserve"> follow</w:t>
      </w:r>
      <w:r w:rsidR="003A3A7B">
        <w:noBreakHyphen/>
      </w:r>
      <w:r w:rsidRPr="000548E6">
        <w:t xml:space="preserve">up. </w:t>
      </w:r>
      <w:r w:rsidR="00CF0758" w:rsidRPr="00150595">
        <w:t xml:space="preserve">The </w:t>
      </w:r>
      <w:r w:rsidR="00C30C9E" w:rsidRPr="00150595">
        <w:t>limited</w:t>
      </w:r>
      <w:r w:rsidR="00CF0758" w:rsidRPr="00150595">
        <w:t xml:space="preserve"> median follow</w:t>
      </w:r>
      <w:r w:rsidR="003A3A7B">
        <w:noBreakHyphen/>
      </w:r>
      <w:r w:rsidR="00CF0758" w:rsidRPr="00150595">
        <w:t xml:space="preserve">up </w:t>
      </w:r>
      <w:r w:rsidR="00C30C9E" w:rsidRPr="00150595">
        <w:t>duration</w:t>
      </w:r>
      <w:r w:rsidR="00CF0758" w:rsidRPr="00150595">
        <w:t xml:space="preserve"> of the PHAROS trial may not provide a reliable basis for the long</w:t>
      </w:r>
      <w:r w:rsidR="003A3A7B">
        <w:noBreakHyphen/>
      </w:r>
      <w:r w:rsidR="00CF0758" w:rsidRPr="00150595">
        <w:t>term extrapolations.</w:t>
      </w:r>
      <w:r w:rsidR="00C30C9E" w:rsidRPr="00150595">
        <w:t xml:space="preserve"> </w:t>
      </w:r>
      <w:r w:rsidR="7BFEEC15" w:rsidRPr="00150595">
        <w:t>Given the relatively short survival in this population</w:t>
      </w:r>
      <w:r w:rsidR="7B2B7CAC" w:rsidRPr="00150595">
        <w:t xml:space="preserve">, the </w:t>
      </w:r>
      <w:r w:rsidRPr="00150595">
        <w:t>PBAC previously accepted a 7.5</w:t>
      </w:r>
      <w:r w:rsidR="003A3A7B">
        <w:noBreakHyphen/>
      </w:r>
      <w:r w:rsidRPr="00150595">
        <w:t xml:space="preserve">year time horizon in the economic model for </w:t>
      </w:r>
      <w:proofErr w:type="spellStart"/>
      <w:r w:rsidRPr="00150595">
        <w:t>pembrolizumab+PDC</w:t>
      </w:r>
      <w:proofErr w:type="spellEnd"/>
      <w:r w:rsidRPr="00150595">
        <w:t xml:space="preserve"> for first</w:t>
      </w:r>
      <w:r w:rsidR="003A3A7B">
        <w:noBreakHyphen/>
      </w:r>
      <w:r w:rsidRPr="00150595">
        <w:t>line advanced NSCLC</w:t>
      </w:r>
      <w:r w:rsidR="009D7ABA" w:rsidRPr="00150595">
        <w:t xml:space="preserve"> </w:t>
      </w:r>
      <w:r w:rsidRPr="00150595">
        <w:t>(Pembrolizumab, PSD, November 2018 and July 2019 PBAC meeting).</w:t>
      </w:r>
      <w:r w:rsidRPr="00C164CF">
        <w:t xml:space="preserve"> </w:t>
      </w:r>
    </w:p>
    <w:p w14:paraId="4F944ABA" w14:textId="2A567BC8" w:rsidR="005536CC" w:rsidRPr="00150595" w:rsidRDefault="005536CC" w:rsidP="003A3A7B">
      <w:pPr>
        <w:pStyle w:val="3-BodyText"/>
      </w:pPr>
      <w:bookmarkStart w:id="67" w:name="_Ref205986615"/>
      <w:r w:rsidRPr="00150595">
        <w:t xml:space="preserve">The submission stated that selection of the distributions was based on visual inspection, clinical plausibility, and statistical fit (Akaike information criterion [AIC] and Bayesian information criterion [BIC]). </w:t>
      </w:r>
    </w:p>
    <w:p w14:paraId="4B2B3C8A" w14:textId="3A00F766" w:rsidR="00066FB6" w:rsidRPr="00150595" w:rsidRDefault="00C34DFA" w:rsidP="003A3A7B">
      <w:pPr>
        <w:pStyle w:val="3-BodyText"/>
      </w:pPr>
      <w:r w:rsidRPr="00150595">
        <w:t xml:space="preserve">In the base case, the submission applied the exponential distribution to extrapolate </w:t>
      </w:r>
      <w:r w:rsidR="00995039" w:rsidRPr="00150595">
        <w:t xml:space="preserve">OS. </w:t>
      </w:r>
      <w:r w:rsidR="003F0F61" w:rsidRPr="00150595">
        <w:t>A</w:t>
      </w:r>
      <w:r w:rsidR="00660B2F" w:rsidRPr="00150595">
        <w:t>ll extrapolated models projected five</w:t>
      </w:r>
      <w:r w:rsidR="003A3A7B">
        <w:noBreakHyphen/>
      </w:r>
      <w:r w:rsidR="00660B2F" w:rsidRPr="00150595">
        <w:t>year survival exceed</w:t>
      </w:r>
      <w:r w:rsidR="00CD7E42">
        <w:t>ing</w:t>
      </w:r>
      <w:r w:rsidR="00660B2F" w:rsidRPr="00150595">
        <w:t xml:space="preserve"> 40%, whic</w:t>
      </w:r>
      <w:r w:rsidR="005918C2" w:rsidRPr="00150595">
        <w:t xml:space="preserve">h </w:t>
      </w:r>
      <w:r w:rsidR="00387D7B" w:rsidRPr="006F4DBD">
        <w:t>the ESC</w:t>
      </w:r>
      <w:r w:rsidR="00B9481B" w:rsidRPr="00150595">
        <w:t xml:space="preserve"> considered</w:t>
      </w:r>
      <w:r w:rsidR="005918C2" w:rsidRPr="00150595">
        <w:t xml:space="preserve"> </w:t>
      </w:r>
      <w:r w:rsidR="00660B2F" w:rsidRPr="00150595">
        <w:t>optimistic for this population.</w:t>
      </w:r>
      <w:bookmarkEnd w:id="67"/>
      <w:r w:rsidR="0084740A" w:rsidRPr="00150595">
        <w:t xml:space="preserve"> </w:t>
      </w:r>
      <w:r w:rsidR="000543FD" w:rsidRPr="00150595">
        <w:t xml:space="preserve">Variations in the distributions used to model the OS curve had a moderate effect, with the exponential distribution yielding the highest estimate </w:t>
      </w:r>
      <w:r w:rsidR="00523A90" w:rsidRPr="00150595">
        <w:t xml:space="preserve">of the </w:t>
      </w:r>
      <w:r w:rsidR="000543FD" w:rsidRPr="00150595">
        <w:t>ICER</w:t>
      </w:r>
      <w:r w:rsidR="00066FB6" w:rsidRPr="00150595">
        <w:t>.</w:t>
      </w:r>
      <w:r w:rsidR="000543FD" w:rsidRPr="00150595">
        <w:t xml:space="preserve"> </w:t>
      </w:r>
    </w:p>
    <w:p w14:paraId="6499C996" w14:textId="450C328E" w:rsidR="0027389A" w:rsidRPr="00150595" w:rsidRDefault="00D71A8C" w:rsidP="003A3A7B">
      <w:pPr>
        <w:pStyle w:val="3-BodyText"/>
      </w:pPr>
      <w:bookmarkStart w:id="68" w:name="_Ref205986617"/>
      <w:r w:rsidRPr="00150595">
        <w:t>In the base case, the submission applied the exponential distribution to extrapolate PFS</w:t>
      </w:r>
      <w:r w:rsidR="00CD7E42">
        <w:t xml:space="preserve"> t</w:t>
      </w:r>
      <w:r w:rsidR="005B4A2D" w:rsidRPr="00150595">
        <w:t xml:space="preserve">o </w:t>
      </w:r>
      <w:r w:rsidR="00D47679" w:rsidRPr="00150595">
        <w:t>maintain</w:t>
      </w:r>
      <w:r w:rsidR="005B4A2D" w:rsidRPr="00150595">
        <w:t xml:space="preserve"> consistency with the OS extrapolation and to adopt a conservative approach</w:t>
      </w:r>
      <w:r w:rsidR="00D47679" w:rsidRPr="00150595">
        <w:t xml:space="preserve">. This choice was further justified by its prediction of the </w:t>
      </w:r>
      <w:r w:rsidR="007158DB" w:rsidRPr="00150595">
        <w:t>shortest progression</w:t>
      </w:r>
      <w:r w:rsidR="003A3A7B">
        <w:noBreakHyphen/>
      </w:r>
      <w:r w:rsidR="007158DB" w:rsidRPr="00150595">
        <w:t>free rates.</w:t>
      </w:r>
      <w:bookmarkEnd w:id="68"/>
      <w:r w:rsidR="007158DB" w:rsidRPr="00150595">
        <w:t xml:space="preserve"> </w:t>
      </w:r>
      <w:r w:rsidR="000543FD" w:rsidRPr="00150595">
        <w:t xml:space="preserve">Variations in the distributions used to model the PFS curve had minimal impact on the ICER, with the exponential distribution yielding the highest estimate </w:t>
      </w:r>
      <w:r w:rsidR="00BF3F24" w:rsidRPr="00150595">
        <w:t xml:space="preserve">of </w:t>
      </w:r>
      <w:r w:rsidR="00DF4836" w:rsidRPr="00150595">
        <w:t>the ICER</w:t>
      </w:r>
      <w:r w:rsidR="000543FD" w:rsidRPr="00150595">
        <w:t xml:space="preserve">. </w:t>
      </w:r>
    </w:p>
    <w:p w14:paraId="0E2D53FA" w14:textId="68793F73" w:rsidR="00486484" w:rsidRPr="00150595" w:rsidRDefault="00472010" w:rsidP="003A3A7B">
      <w:pPr>
        <w:pStyle w:val="3-BodyText"/>
      </w:pPr>
      <w:r w:rsidRPr="00150595">
        <w:t xml:space="preserve">The submission incorporated time on treatment to estimate the duration and associated costs for E+B. A </w:t>
      </w:r>
      <w:r w:rsidRPr="00270706">
        <w:rPr>
          <w:i/>
          <w:iCs/>
        </w:rPr>
        <w:t>post</w:t>
      </w:r>
      <w:r w:rsidR="003A3A7B">
        <w:rPr>
          <w:i/>
          <w:iCs/>
        </w:rPr>
        <w:noBreakHyphen/>
      </w:r>
      <w:r w:rsidRPr="00270706">
        <w:rPr>
          <w:i/>
          <w:iCs/>
        </w:rPr>
        <w:t>hoc</w:t>
      </w:r>
      <w:r w:rsidRPr="00150595">
        <w:t xml:space="preserve"> analysis was conducted by the submission to derive the time to treatment discontinuation for E+B from the PHAROS trial. The TTD KM curve was extrapolated using exponential distribution, similar to the OS and PFS curves. The model calculated a mean TTD of 25 months for E+B, </w:t>
      </w:r>
      <w:r w:rsidR="006554B0" w:rsidRPr="00150595">
        <w:t>compared to</w:t>
      </w:r>
      <w:r w:rsidRPr="00150595">
        <w:t xml:space="preserve"> the median TTD of 17 months in the PHAROS trial. </w:t>
      </w:r>
    </w:p>
    <w:p w14:paraId="63200AFA" w14:textId="59061083" w:rsidR="00472010" w:rsidRPr="00150595" w:rsidRDefault="00472010" w:rsidP="003A3A7B">
      <w:pPr>
        <w:pStyle w:val="3-BodyText"/>
      </w:pPr>
      <w:r w:rsidRPr="00150595">
        <w:fldChar w:fldCharType="begin"/>
      </w:r>
      <w:r w:rsidRPr="00150595">
        <w:instrText xml:space="preserve"> REF _Ref206184157 \h </w:instrText>
      </w:r>
      <w:r w:rsidR="00150595">
        <w:instrText xml:space="preserve"> \* MERGEFORMAT </w:instrText>
      </w:r>
      <w:r w:rsidRPr="00150595">
        <w:fldChar w:fldCharType="separate"/>
      </w:r>
      <w:r w:rsidR="00894EC9" w:rsidRPr="00150595">
        <w:t xml:space="preserve">Figure </w:t>
      </w:r>
      <w:r w:rsidR="00894EC9">
        <w:t>9</w:t>
      </w:r>
      <w:r w:rsidRPr="00150595">
        <w:fldChar w:fldCharType="end"/>
      </w:r>
      <w:r w:rsidRPr="00150595">
        <w:t xml:space="preserve"> presents a comparison of OS, PFS, and TTD curves between the trial data and model predictions. </w:t>
      </w:r>
    </w:p>
    <w:p w14:paraId="697E097A" w14:textId="71BCB1BC" w:rsidR="000543FD" w:rsidRPr="00150595" w:rsidRDefault="000543FD" w:rsidP="003A3A7B">
      <w:pPr>
        <w:pStyle w:val="Caption"/>
      </w:pPr>
      <w:bookmarkStart w:id="69" w:name="_Ref206184157"/>
      <w:r w:rsidRPr="00150595">
        <w:lastRenderedPageBreak/>
        <w:t xml:space="preserve">Figure </w:t>
      </w:r>
      <w:r w:rsidR="00440C40">
        <w:t>9</w:t>
      </w:r>
      <w:bookmarkEnd w:id="69"/>
      <w:r w:rsidRPr="00150595">
        <w:t>: Model predictions versus the trial estimates for E+B</w:t>
      </w:r>
    </w:p>
    <w:p w14:paraId="61496CF9" w14:textId="7FE10B88" w:rsidR="00C24E82" w:rsidRPr="00150595" w:rsidRDefault="00C24E82" w:rsidP="003A3A7B">
      <w:pPr>
        <w:pStyle w:val="3-BodyText"/>
        <w:numPr>
          <w:ilvl w:val="0"/>
          <w:numId w:val="0"/>
        </w:numPr>
        <w:spacing w:before="0" w:after="0"/>
      </w:pPr>
      <w:r w:rsidRPr="00150595">
        <w:rPr>
          <w:noProof/>
        </w:rPr>
        <w:drawing>
          <wp:inline distT="0" distB="0" distL="0" distR="0" wp14:anchorId="7F834719" wp14:editId="24FF33D3">
            <wp:extent cx="5715935" cy="3174504"/>
            <wp:effectExtent l="0" t="0" r="0" b="6985"/>
            <wp:docPr id="1138213931" name="Picture 1" descr="Figure 9: Model predictions versus the trial estimates for 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13931" name="Picture 1" descr="Figure 9: Model predictions versus the trial estimates for E+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1494" cy="3188699"/>
                    </a:xfrm>
                    <a:prstGeom prst="rect">
                      <a:avLst/>
                    </a:prstGeom>
                    <a:noFill/>
                  </pic:spPr>
                </pic:pic>
              </a:graphicData>
            </a:graphic>
          </wp:inline>
        </w:drawing>
      </w:r>
    </w:p>
    <w:p w14:paraId="2EC2E224" w14:textId="78FC6A86" w:rsidR="000543FD" w:rsidRPr="00150595" w:rsidRDefault="000543FD" w:rsidP="003A3A7B">
      <w:pPr>
        <w:pStyle w:val="TableFigureFooter"/>
      </w:pPr>
      <w:r w:rsidRPr="00150595">
        <w:t>Source: Constructed during evaluation using data from ‘</w:t>
      </w:r>
      <w:r w:rsidR="00C24E82" w:rsidRPr="00150595">
        <w:t>Data Curves’</w:t>
      </w:r>
      <w:r w:rsidRPr="00150595">
        <w:t xml:space="preserve"> worksheet in the ‘Attachment 5.1 CUA </w:t>
      </w:r>
      <w:proofErr w:type="spellStart"/>
      <w:r w:rsidRPr="00150595">
        <w:t>Enco+Bini</w:t>
      </w:r>
      <w:proofErr w:type="spellEnd"/>
      <w:r w:rsidRPr="00150595">
        <w:t xml:space="preserve"> for BRAF V600E</w:t>
      </w:r>
      <w:r w:rsidR="003A3A7B">
        <w:noBreakHyphen/>
      </w:r>
      <w:r w:rsidRPr="00150595">
        <w:t>MT NSCLC’ worksheet.</w:t>
      </w:r>
    </w:p>
    <w:p w14:paraId="056A5480" w14:textId="5FAE88A5" w:rsidR="000543FD" w:rsidRPr="00150595" w:rsidRDefault="000543FD" w:rsidP="003A3A7B">
      <w:pPr>
        <w:pStyle w:val="TableFigureFooter"/>
      </w:pPr>
      <w:r w:rsidRPr="00150595">
        <w:t xml:space="preserve">E+B = </w:t>
      </w:r>
      <w:proofErr w:type="spellStart"/>
      <w:r w:rsidRPr="00150595">
        <w:t>encorafenib</w:t>
      </w:r>
      <w:proofErr w:type="spellEnd"/>
      <w:r w:rsidRPr="00150595">
        <w:t xml:space="preserve"> and </w:t>
      </w:r>
      <w:proofErr w:type="spellStart"/>
      <w:r w:rsidRPr="00150595">
        <w:t>binimetinib</w:t>
      </w:r>
      <w:proofErr w:type="spellEnd"/>
      <w:r w:rsidRPr="00150595">
        <w:t>; OS = overall survival, PFS = progression</w:t>
      </w:r>
      <w:r w:rsidR="003A3A7B">
        <w:noBreakHyphen/>
      </w:r>
      <w:r w:rsidRPr="00150595">
        <w:t>free survival; TTD = time</w:t>
      </w:r>
      <w:r w:rsidR="003A3A7B">
        <w:noBreakHyphen/>
      </w:r>
      <w:r w:rsidRPr="00150595">
        <w:t>to</w:t>
      </w:r>
      <w:r w:rsidR="003A3A7B">
        <w:noBreakHyphen/>
      </w:r>
      <w:r w:rsidRPr="00150595">
        <w:t>treatment discontinuation.</w:t>
      </w:r>
    </w:p>
    <w:p w14:paraId="4F24DAB1" w14:textId="3891CC82" w:rsidR="00472010" w:rsidRPr="00150595" w:rsidRDefault="00472010" w:rsidP="003A3A7B">
      <w:pPr>
        <w:pStyle w:val="3-BodyText"/>
      </w:pPr>
      <w:r w:rsidRPr="009B33EF">
        <w:t xml:space="preserve">The </w:t>
      </w:r>
      <w:r w:rsidR="00C71AE4" w:rsidRPr="009B33EF">
        <w:t>ESC noted</w:t>
      </w:r>
      <w:r w:rsidR="00C71AE4">
        <w:t xml:space="preserve"> the </w:t>
      </w:r>
      <w:r w:rsidRPr="00150595">
        <w:t>following uncertainties</w:t>
      </w:r>
      <w:r w:rsidR="00486484" w:rsidRPr="00150595">
        <w:t xml:space="preserve"> </w:t>
      </w:r>
      <w:r w:rsidR="005D0900" w:rsidRPr="00150595">
        <w:t>in</w:t>
      </w:r>
      <w:r w:rsidR="00486484" w:rsidRPr="00150595">
        <w:t xml:space="preserve"> the modelling:</w:t>
      </w:r>
    </w:p>
    <w:p w14:paraId="5B24346A" w14:textId="7FE8843F" w:rsidR="00486484" w:rsidRPr="00150595" w:rsidRDefault="00486484" w:rsidP="003A3A7B">
      <w:pPr>
        <w:pStyle w:val="ListParagraph"/>
        <w:ind w:left="1080"/>
        <w:jc w:val="both"/>
      </w:pPr>
      <w:r w:rsidRPr="00150595">
        <w:t>The long</w:t>
      </w:r>
      <w:r w:rsidR="003A3A7B">
        <w:noBreakHyphen/>
      </w:r>
      <w:r w:rsidRPr="00150595">
        <w:t xml:space="preserve">term projections appear clinically implausible for </w:t>
      </w:r>
      <w:proofErr w:type="spellStart"/>
      <w:r w:rsidRPr="00150595">
        <w:t>mNSCLC</w:t>
      </w:r>
      <w:proofErr w:type="spellEnd"/>
      <w:r w:rsidRPr="00150595">
        <w:t xml:space="preserve">, with </w:t>
      </w:r>
      <w:r w:rsidR="00841ECF" w:rsidRPr="00150595">
        <w:t xml:space="preserve">approximately 3% of patients remaining progression free and approximately 7% of patients still alive at 15 years. </w:t>
      </w:r>
    </w:p>
    <w:p w14:paraId="6145EFA6" w14:textId="5701778E" w:rsidR="00486484" w:rsidRPr="00150595" w:rsidRDefault="00486484" w:rsidP="003A3A7B">
      <w:pPr>
        <w:pStyle w:val="ListParagraph"/>
        <w:ind w:left="1080"/>
        <w:jc w:val="both"/>
      </w:pPr>
      <w:r w:rsidRPr="00150595">
        <w:t>The smoothed hazard curves for OS and PFS declined over time, indicating a non</w:t>
      </w:r>
      <w:r w:rsidR="003A3A7B">
        <w:noBreakHyphen/>
      </w:r>
      <w:r w:rsidRPr="00150595">
        <w:t>constant hazard function. This violates the assumptions of the exponential distribution, which requires a constant hazard rate.</w:t>
      </w:r>
    </w:p>
    <w:p w14:paraId="23614920" w14:textId="394486E9" w:rsidR="00486484" w:rsidRPr="00150595" w:rsidRDefault="00486484" w:rsidP="003A3A7B">
      <w:pPr>
        <w:pStyle w:val="ListParagraph"/>
        <w:ind w:left="1080"/>
        <w:jc w:val="both"/>
      </w:pPr>
      <w:r w:rsidRPr="00150595">
        <w:t>These patterns likely reflect the use of a single</w:t>
      </w:r>
      <w:r w:rsidR="003A3A7B">
        <w:noBreakHyphen/>
      </w:r>
      <w:r w:rsidRPr="00150595">
        <w:t>shape parametric model, which fails to capture the initial steep decline followed by a slower hazard rate</w:t>
      </w:r>
      <w:r w:rsidR="005567E9" w:rsidRPr="00150595">
        <w:t xml:space="preserve"> for all the curves</w:t>
      </w:r>
      <w:r w:rsidRPr="00150595">
        <w:t xml:space="preserve">. A more appropriate approach would involve flexible modelling techniques that allow for treatment effect waning over time. </w:t>
      </w:r>
    </w:p>
    <w:p w14:paraId="3898519C" w14:textId="0DBD34BF" w:rsidR="00CD52EE" w:rsidRPr="00150595" w:rsidRDefault="00DC542F" w:rsidP="003A3A7B">
      <w:pPr>
        <w:pStyle w:val="3-BodyText"/>
        <w:tabs>
          <w:tab w:val="left" w:pos="8364"/>
        </w:tabs>
      </w:pPr>
      <w:bookmarkStart w:id="70" w:name="_Ref206428068"/>
      <w:r w:rsidRPr="00150595">
        <w:t xml:space="preserve">For </w:t>
      </w:r>
      <w:r w:rsidR="00A9486C" w:rsidRPr="00150595">
        <w:t>t</w:t>
      </w:r>
      <w:r w:rsidRPr="00150595">
        <w:t>he comparator</w:t>
      </w:r>
      <w:r w:rsidR="00EB76F3" w:rsidRPr="00150595">
        <w:t xml:space="preserve"> arms</w:t>
      </w:r>
      <w:r w:rsidRPr="00150595">
        <w:t>,</w:t>
      </w:r>
      <w:r w:rsidR="00E74BD2" w:rsidRPr="00150595">
        <w:t xml:space="preserve"> t</w:t>
      </w:r>
      <w:r w:rsidRPr="00150595">
        <w:t>he submission modelled OS and PFS by applying the HRs from the base case MAIC</w:t>
      </w:r>
      <w:r w:rsidR="006B3325">
        <w:t>s</w:t>
      </w:r>
      <w:r w:rsidRPr="00150595">
        <w:t xml:space="preserve"> to the OS and PFS curves of E+B. </w:t>
      </w:r>
      <w:bookmarkEnd w:id="70"/>
    </w:p>
    <w:p w14:paraId="1DB2F316" w14:textId="1A2E5092" w:rsidR="00C24E82" w:rsidRPr="00150595" w:rsidRDefault="00B55F39" w:rsidP="003A3A7B">
      <w:pPr>
        <w:pStyle w:val="3-BodyText"/>
        <w:tabs>
          <w:tab w:val="left" w:pos="8364"/>
        </w:tabs>
      </w:pPr>
      <w:r w:rsidRPr="00150595">
        <w:t>G</w:t>
      </w:r>
      <w:r w:rsidR="00DC542F" w:rsidRPr="00150595">
        <w:t xml:space="preserve">iven the inherent uncertainty in the MAIC results (as detailed in paragraph </w:t>
      </w:r>
      <w:r w:rsidR="00DF4836" w:rsidRPr="00150595">
        <w:fldChar w:fldCharType="begin"/>
      </w:r>
      <w:r w:rsidR="00DF4836" w:rsidRPr="00150595">
        <w:instrText xml:space="preserve"> REF _Ref206253740 \r \h </w:instrText>
      </w:r>
      <w:r w:rsidR="00150595">
        <w:instrText xml:space="preserve"> \* MERGEFORMAT </w:instrText>
      </w:r>
      <w:r w:rsidR="00DF4836" w:rsidRPr="00150595">
        <w:fldChar w:fldCharType="separate"/>
      </w:r>
      <w:r w:rsidR="00894EC9">
        <w:t>6.46</w:t>
      </w:r>
      <w:r w:rsidR="00DF4836" w:rsidRPr="00150595">
        <w:fldChar w:fldCharType="end"/>
      </w:r>
      <w:r w:rsidR="00DC542F" w:rsidRPr="00DA514C">
        <w:t>), the</w:t>
      </w:r>
      <w:r w:rsidR="00561F14" w:rsidRPr="00DA514C">
        <w:t xml:space="preserve"> ESC noted that the</w:t>
      </w:r>
      <w:r w:rsidR="00DC542F" w:rsidRPr="00DA514C">
        <w:t xml:space="preserve"> resulting OS and PFS curves </w:t>
      </w:r>
      <w:r w:rsidR="00EB76F3" w:rsidRPr="00DA514C">
        <w:t xml:space="preserve">for the comparator arms </w:t>
      </w:r>
      <w:r w:rsidR="00DC542F" w:rsidRPr="00DA514C">
        <w:t xml:space="preserve">are also subject to </w:t>
      </w:r>
      <w:r w:rsidR="00E74BD2" w:rsidRPr="00DA514C">
        <w:t xml:space="preserve">similar </w:t>
      </w:r>
      <w:r w:rsidR="00DC542F" w:rsidRPr="00DA514C">
        <w:t xml:space="preserve">uncertainty. </w:t>
      </w:r>
      <w:bookmarkStart w:id="71" w:name="_Hlk206423024"/>
      <w:r w:rsidR="00EB76F3" w:rsidRPr="00DA514C">
        <w:t xml:space="preserve">Further, the use of </w:t>
      </w:r>
      <w:r w:rsidR="00740CAD" w:rsidRPr="00DA514C">
        <w:t>HRs</w:t>
      </w:r>
      <w:r w:rsidR="007C6F62" w:rsidRPr="00DA514C">
        <w:t xml:space="preserve"> from the MAIC</w:t>
      </w:r>
      <w:r w:rsidR="00EB76F3" w:rsidRPr="00DA514C">
        <w:t>s,</w:t>
      </w:r>
      <w:r w:rsidR="007C6F62" w:rsidRPr="00DA514C">
        <w:t xml:space="preserve"> rather than </w:t>
      </w:r>
      <w:r w:rsidR="006C20F3" w:rsidRPr="00DA514C">
        <w:t>the</w:t>
      </w:r>
      <w:r w:rsidR="006C20F3" w:rsidRPr="00150595">
        <w:t xml:space="preserve"> </w:t>
      </w:r>
      <w:r w:rsidR="007C6F62" w:rsidRPr="00150595">
        <w:t xml:space="preserve">observed trial data, </w:t>
      </w:r>
      <w:r w:rsidR="006C20F3" w:rsidRPr="00150595">
        <w:t xml:space="preserve">resulted in </w:t>
      </w:r>
      <w:r w:rsidR="007C6F62" w:rsidRPr="00150595">
        <w:t>discrepanc</w:t>
      </w:r>
      <w:r w:rsidR="006C20F3" w:rsidRPr="00150595">
        <w:t xml:space="preserve">ies </w:t>
      </w:r>
      <w:r w:rsidR="007C6F62" w:rsidRPr="00150595">
        <w:t>in the proportion</w:t>
      </w:r>
      <w:r w:rsidR="006C20F3" w:rsidRPr="00150595">
        <w:t>s</w:t>
      </w:r>
      <w:r w:rsidR="007C6F62" w:rsidRPr="00150595">
        <w:t xml:space="preserve"> of patients alive at five years. For D+T, the model estimated 19% survival at </w:t>
      </w:r>
      <w:r w:rsidRPr="00150595">
        <w:t>five years</w:t>
      </w:r>
      <w:r w:rsidR="007C6F62" w:rsidRPr="00150595">
        <w:t>, while the trial reported 22%.</w:t>
      </w:r>
      <w:r w:rsidRPr="00150595">
        <w:t xml:space="preserve"> </w:t>
      </w:r>
      <w:bookmarkEnd w:id="71"/>
    </w:p>
    <w:p w14:paraId="16F3E453" w14:textId="04EE0706" w:rsidR="00DC542F" w:rsidRPr="00150595" w:rsidRDefault="00993B17" w:rsidP="003A3A7B">
      <w:pPr>
        <w:pStyle w:val="3-BodyText"/>
        <w:tabs>
          <w:tab w:val="left" w:pos="8364"/>
        </w:tabs>
      </w:pPr>
      <w:r w:rsidRPr="00150595">
        <w:lastRenderedPageBreak/>
        <w:t>Additionally</w:t>
      </w:r>
      <w:r w:rsidR="00DC542F" w:rsidRPr="00150595">
        <w:t xml:space="preserve">, as no treatment waning effect was applied to the extrapolated curves, the submission assumed an ongoing treatment benefit associated with E+B over </w:t>
      </w:r>
      <w:proofErr w:type="spellStart"/>
      <w:r w:rsidR="00DC542F" w:rsidRPr="00150595">
        <w:t>pembrolizumab+PDC</w:t>
      </w:r>
      <w:proofErr w:type="spellEnd"/>
      <w:r w:rsidR="00DC542F" w:rsidRPr="00150595">
        <w:t xml:space="preserve"> and D+T until the end of the time horizon (i.e. 15 years).</w:t>
      </w:r>
      <w:r w:rsidR="00E74BD2" w:rsidRPr="00150595">
        <w:t xml:space="preserve"> </w:t>
      </w:r>
    </w:p>
    <w:p w14:paraId="0ACAE426" w14:textId="78BB8706" w:rsidR="00CC4E1C" w:rsidRPr="00150595" w:rsidRDefault="000F7FCF" w:rsidP="003A3A7B">
      <w:pPr>
        <w:pStyle w:val="3-BodyText"/>
      </w:pPr>
      <w:r w:rsidRPr="00150595">
        <w:t>TTD</w:t>
      </w:r>
      <w:r w:rsidR="00A75F7A" w:rsidRPr="00150595">
        <w:t xml:space="preserve"> data</w:t>
      </w:r>
      <w:r w:rsidRPr="00150595">
        <w:t xml:space="preserve"> for </w:t>
      </w:r>
      <w:proofErr w:type="spellStart"/>
      <w:r w:rsidRPr="00150595">
        <w:t>pembrolizumab+PDC</w:t>
      </w:r>
      <w:proofErr w:type="spellEnd"/>
      <w:r w:rsidRPr="00150595">
        <w:t xml:space="preserve"> and D+T w</w:t>
      </w:r>
      <w:r w:rsidR="00A75F7A" w:rsidRPr="00150595">
        <w:t>ere</w:t>
      </w:r>
      <w:r w:rsidRPr="00150595">
        <w:t xml:space="preserve"> </w:t>
      </w:r>
      <w:r w:rsidR="00A75F7A" w:rsidRPr="00150595">
        <w:t>un</w:t>
      </w:r>
      <w:r w:rsidRPr="00150595">
        <w:t>available from their respective trials. To estimate the TTD</w:t>
      </w:r>
      <w:r w:rsidR="00C35D96" w:rsidRPr="00150595">
        <w:t xml:space="preserve">, </w:t>
      </w:r>
      <w:r w:rsidR="00E77C88" w:rsidRPr="00150595">
        <w:t xml:space="preserve">the </w:t>
      </w:r>
      <w:r w:rsidR="00E77C88" w:rsidRPr="00C4650C">
        <w:t>submission applied a HR of 0.7161 to the</w:t>
      </w:r>
      <w:r w:rsidR="00E77C88" w:rsidRPr="00150595">
        <w:t xml:space="preserve"> generated PFS curve for </w:t>
      </w:r>
      <w:proofErr w:type="spellStart"/>
      <w:r w:rsidR="00E77C88" w:rsidRPr="00150595">
        <w:t>pembrolizumab+PDC</w:t>
      </w:r>
      <w:proofErr w:type="spellEnd"/>
      <w:r w:rsidR="00E77C88" w:rsidRPr="00150595">
        <w:t xml:space="preserve"> and an HR of 1.03155 for D+T, adjusting them to align the area under the curve with the mean treatment duration reported in the March 2025 PBAC submission for D+T (</w:t>
      </w:r>
      <w:r w:rsidR="00BD09D5" w:rsidRPr="00150595">
        <w:t xml:space="preserve">paragraph </w:t>
      </w:r>
      <w:r w:rsidR="00BA76A0" w:rsidRPr="00150595">
        <w:t xml:space="preserve">6.53 and 6.54, </w:t>
      </w:r>
      <w:r w:rsidR="00CB47F9" w:rsidRPr="00150595">
        <w:t>D+T</w:t>
      </w:r>
      <w:r w:rsidR="00BA76A0" w:rsidRPr="00150595">
        <w:t>, PSD,</w:t>
      </w:r>
      <w:r w:rsidR="00E24745" w:rsidRPr="00150595">
        <w:t xml:space="preserve"> March 2025 PBAC meeting). </w:t>
      </w:r>
      <w:r w:rsidR="0049137D" w:rsidRPr="00150595">
        <w:t>Additionally</w:t>
      </w:r>
      <w:r w:rsidR="00265BF7" w:rsidRPr="00150595">
        <w:t>,</w:t>
      </w:r>
      <w:r w:rsidR="0049137D" w:rsidRPr="00150595">
        <w:t xml:space="preserve"> </w:t>
      </w:r>
      <w:r w:rsidR="00744604" w:rsidRPr="00150595">
        <w:t xml:space="preserve">a </w:t>
      </w:r>
      <w:r w:rsidR="0049137D" w:rsidRPr="00150595">
        <w:t xml:space="preserve">stopping rule was applied in the economic model </w:t>
      </w:r>
      <w:r w:rsidR="00744604" w:rsidRPr="00150595">
        <w:t xml:space="preserve">to </w:t>
      </w:r>
      <w:proofErr w:type="spellStart"/>
      <w:r w:rsidR="0049137D" w:rsidRPr="00150595">
        <w:t>pembrolizumab+PDC</w:t>
      </w:r>
      <w:proofErr w:type="spellEnd"/>
      <w:r w:rsidR="00052640" w:rsidRPr="00150595">
        <w:t xml:space="preserve">, capping treatment at </w:t>
      </w:r>
      <w:r w:rsidR="00265BF7" w:rsidRPr="00150595">
        <w:t>two</w:t>
      </w:r>
      <w:r w:rsidR="003A3A7B">
        <w:noBreakHyphen/>
      </w:r>
      <w:r w:rsidR="00265BF7" w:rsidRPr="00150595">
        <w:t>years</w:t>
      </w:r>
      <w:r w:rsidR="00052640" w:rsidRPr="00150595">
        <w:t xml:space="preserve"> </w:t>
      </w:r>
      <w:r w:rsidR="00265BF7" w:rsidRPr="00150595">
        <w:t>in the absence of disease progression</w:t>
      </w:r>
      <w:r w:rsidR="00841ECF" w:rsidRPr="00150595">
        <w:t xml:space="preserve"> (as per the restriction)</w:t>
      </w:r>
      <w:r w:rsidR="00265BF7" w:rsidRPr="00150595">
        <w:t>. No time</w:t>
      </w:r>
      <w:r w:rsidR="003A3A7B">
        <w:noBreakHyphen/>
      </w:r>
      <w:r w:rsidR="00265BF7" w:rsidRPr="00150595">
        <w:t>based stopping rules were applied for E+B or D+T</w:t>
      </w:r>
      <w:r w:rsidR="00F664A9" w:rsidRPr="00150595">
        <w:t>.</w:t>
      </w:r>
    </w:p>
    <w:p w14:paraId="61BCBD79" w14:textId="400A88F1" w:rsidR="006740A2" w:rsidRPr="00150595" w:rsidRDefault="00E9046C" w:rsidP="003A3A7B">
      <w:pPr>
        <w:pStyle w:val="3-BodyText"/>
      </w:pPr>
      <w:r w:rsidRPr="00150595">
        <w:t>T</w:t>
      </w:r>
      <w:r w:rsidR="0080608A" w:rsidRPr="00150595">
        <w:t xml:space="preserve">he submission applied a relative dose intensity (RDI) of </w:t>
      </w:r>
      <w:r w:rsidR="00C53283" w:rsidRPr="00150595">
        <w:t>85.78</w:t>
      </w:r>
      <w:r w:rsidR="0080608A" w:rsidRPr="00150595">
        <w:t xml:space="preserve">% </w:t>
      </w:r>
      <w:r w:rsidR="00C53283" w:rsidRPr="00150595">
        <w:t>for</w:t>
      </w:r>
      <w:r w:rsidR="00710AEB" w:rsidRPr="00150595">
        <w:t xml:space="preserve"> </w:t>
      </w:r>
      <w:proofErr w:type="spellStart"/>
      <w:r w:rsidR="00710AEB" w:rsidRPr="00150595">
        <w:t>encorafenib</w:t>
      </w:r>
      <w:proofErr w:type="spellEnd"/>
      <w:r w:rsidR="00710AEB" w:rsidRPr="00150595">
        <w:t xml:space="preserve"> and 84.73% for </w:t>
      </w:r>
      <w:proofErr w:type="spellStart"/>
      <w:r w:rsidR="00710AEB" w:rsidRPr="00150595">
        <w:t>binimetinib</w:t>
      </w:r>
      <w:proofErr w:type="spellEnd"/>
      <w:r w:rsidR="000D2EAC" w:rsidRPr="00150595">
        <w:t>. The RDI</w:t>
      </w:r>
      <w:r w:rsidR="0064560F" w:rsidRPr="00150595">
        <w:t>s</w:t>
      </w:r>
      <w:r w:rsidR="000D2EAC" w:rsidRPr="00150595">
        <w:t xml:space="preserve"> for </w:t>
      </w:r>
      <w:proofErr w:type="spellStart"/>
      <w:r w:rsidR="000D2EAC" w:rsidRPr="00150595">
        <w:t>pembrolizumab+PDC</w:t>
      </w:r>
      <w:proofErr w:type="spellEnd"/>
      <w:r w:rsidR="000D2EAC" w:rsidRPr="00150595">
        <w:t xml:space="preserve"> (95% for pembrolizumab, 98% for carboplatin, and 81% for pemetrexed) and D+T (83% dabrafenib and 90% for trametinib) </w:t>
      </w:r>
      <w:r w:rsidR="0064560F" w:rsidRPr="00150595">
        <w:t xml:space="preserve">were </w:t>
      </w:r>
      <w:r w:rsidR="0080608A" w:rsidRPr="00150595">
        <w:t xml:space="preserve">based on </w:t>
      </w:r>
      <w:r w:rsidR="000D2EAC" w:rsidRPr="00150595">
        <w:t>the RDI</w:t>
      </w:r>
      <w:r w:rsidR="0064560F" w:rsidRPr="00150595">
        <w:t>s</w:t>
      </w:r>
      <w:r w:rsidR="000D2EAC" w:rsidRPr="00150595">
        <w:t xml:space="preserve"> considered by the PBAC in </w:t>
      </w:r>
      <w:r w:rsidR="006740A2" w:rsidRPr="00150595">
        <w:t xml:space="preserve">the D+T March 2025 PBAC submission. </w:t>
      </w:r>
    </w:p>
    <w:p w14:paraId="37B4237B" w14:textId="75202868" w:rsidR="00275C5A" w:rsidRPr="00AA0B90" w:rsidRDefault="00AA0B90" w:rsidP="003A3A7B">
      <w:pPr>
        <w:pStyle w:val="3-BodyText"/>
      </w:pPr>
      <w:r w:rsidRPr="00AA0B90">
        <w:t>A</w:t>
      </w:r>
      <w:r w:rsidR="00D110BD" w:rsidRPr="00AA0B90">
        <w:t xml:space="preserve"> summary of the key drivers of the model </w:t>
      </w:r>
      <w:r w:rsidR="0070332F" w:rsidRPr="00FB229F">
        <w:t xml:space="preserve">is presented in </w:t>
      </w:r>
      <w:r w:rsidR="00E16AD8" w:rsidRPr="00AA0B90">
        <w:fldChar w:fldCharType="begin"/>
      </w:r>
      <w:r w:rsidR="00E16AD8" w:rsidRPr="00AA0B90">
        <w:instrText xml:space="preserve"> REF _Ref104805122 \h  \* MERGEFORMAT </w:instrText>
      </w:r>
      <w:r w:rsidR="00E16AD8" w:rsidRPr="00AA0B90">
        <w:fldChar w:fldCharType="separate"/>
      </w:r>
      <w:r w:rsidR="00894EC9" w:rsidRPr="0098262F">
        <w:t xml:space="preserve">Table </w:t>
      </w:r>
      <w:r w:rsidR="00894EC9">
        <w:t>15</w:t>
      </w:r>
      <w:r w:rsidR="00E16AD8" w:rsidRPr="00AA0B90">
        <w:fldChar w:fldCharType="end"/>
      </w:r>
      <w:r w:rsidR="00D110BD" w:rsidRPr="00AA0B90">
        <w:t>.</w:t>
      </w:r>
      <w:r w:rsidR="00BC591F" w:rsidRPr="00AA0B90">
        <w:t xml:space="preserve"> </w:t>
      </w:r>
    </w:p>
    <w:p w14:paraId="774D46B7" w14:textId="4BC61DE0" w:rsidR="00D110BD" w:rsidRPr="0098262F" w:rsidRDefault="00E16AD8" w:rsidP="003A3A7B">
      <w:pPr>
        <w:pStyle w:val="Caption"/>
        <w:jc w:val="left"/>
        <w:rPr>
          <w:rStyle w:val="CommentReference"/>
          <w:b/>
          <w:szCs w:val="24"/>
        </w:rPr>
      </w:pPr>
      <w:bookmarkStart w:id="72" w:name="_Ref104805122"/>
      <w:r w:rsidRPr="0098262F">
        <w:t xml:space="preserve">Table </w:t>
      </w:r>
      <w:r w:rsidR="00C12B89">
        <w:t>15</w:t>
      </w:r>
      <w:bookmarkEnd w:id="72"/>
      <w:r w:rsidRPr="0098262F">
        <w:t>:</w:t>
      </w:r>
      <w:r w:rsidR="00D110BD"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drivers of the model"/>
      </w:tblPr>
      <w:tblGrid>
        <w:gridCol w:w="1129"/>
        <w:gridCol w:w="3686"/>
        <w:gridCol w:w="4202"/>
      </w:tblGrid>
      <w:tr w:rsidR="00537182" w:rsidRPr="00150595" w14:paraId="4DD8026E" w14:textId="725032C9" w:rsidTr="0070332F">
        <w:trPr>
          <w:tblHeader/>
        </w:trPr>
        <w:tc>
          <w:tcPr>
            <w:tcW w:w="626" w:type="pct"/>
            <w:vAlign w:val="center"/>
          </w:tcPr>
          <w:p w14:paraId="6A9EC2DA" w14:textId="39E122CD" w:rsidR="00D110BD" w:rsidRPr="00150595" w:rsidRDefault="00D110BD" w:rsidP="003A3A7B">
            <w:pPr>
              <w:pStyle w:val="In-tableHeading"/>
              <w:jc w:val="center"/>
              <w:rPr>
                <w:lang w:val="en-AU"/>
              </w:rPr>
            </w:pPr>
            <w:r w:rsidRPr="00150595">
              <w:rPr>
                <w:lang w:val="en-AU"/>
              </w:rPr>
              <w:t>Description</w:t>
            </w:r>
          </w:p>
        </w:tc>
        <w:tc>
          <w:tcPr>
            <w:tcW w:w="2044" w:type="pct"/>
            <w:vAlign w:val="center"/>
          </w:tcPr>
          <w:p w14:paraId="67A62672" w14:textId="782302F9" w:rsidR="00D110BD" w:rsidRPr="00150595" w:rsidRDefault="00D110BD" w:rsidP="003A3A7B">
            <w:pPr>
              <w:pStyle w:val="In-tableHeading"/>
              <w:jc w:val="center"/>
              <w:rPr>
                <w:lang w:val="en-AU"/>
              </w:rPr>
            </w:pPr>
            <w:r w:rsidRPr="00150595">
              <w:rPr>
                <w:lang w:val="en-AU"/>
              </w:rPr>
              <w:t>Method/Value</w:t>
            </w:r>
          </w:p>
        </w:tc>
        <w:tc>
          <w:tcPr>
            <w:tcW w:w="2330" w:type="pct"/>
            <w:vAlign w:val="center"/>
          </w:tcPr>
          <w:p w14:paraId="6B352E41" w14:textId="1BA32568" w:rsidR="00D110BD" w:rsidRPr="00150595" w:rsidRDefault="00D110BD" w:rsidP="003A3A7B">
            <w:pPr>
              <w:pStyle w:val="In-tableHeading"/>
              <w:jc w:val="center"/>
              <w:rPr>
                <w:lang w:val="en-AU"/>
              </w:rPr>
            </w:pPr>
            <w:r w:rsidRPr="00150595">
              <w:rPr>
                <w:lang w:val="en-AU"/>
              </w:rPr>
              <w:t>Impact</w:t>
            </w:r>
          </w:p>
          <w:p w14:paraId="6C1DC9EA" w14:textId="476EB0EF" w:rsidR="00490B17" w:rsidRPr="00150595" w:rsidRDefault="00490B17" w:rsidP="003A3A7B">
            <w:pPr>
              <w:pStyle w:val="In-tableHeading"/>
              <w:jc w:val="center"/>
              <w:rPr>
                <w:lang w:val="en-AU"/>
              </w:rPr>
            </w:pPr>
            <w:r w:rsidRPr="00150595">
              <w:rPr>
                <w:rFonts w:cs="Arial"/>
                <w:szCs w:val="20"/>
                <w:lang w:val="en-AU"/>
              </w:rPr>
              <w:t>Base case: $</w:t>
            </w:r>
            <w:r w:rsidR="00D97164" w:rsidRPr="00D97164">
              <w:rPr>
                <w:rFonts w:cs="Arial"/>
                <w:szCs w:val="20"/>
                <w:highlight w:val="black"/>
                <w:lang w:val="en-AU"/>
              </w:rPr>
              <w:t>&amp;&amp;&amp;&amp;</w:t>
            </w:r>
            <w:r w:rsidR="002C0C3E">
              <w:rPr>
                <w:rFonts w:cs="Arial"/>
                <w:b w:val="0"/>
                <w:bCs/>
                <w:szCs w:val="20"/>
                <w:vertAlign w:val="superscript"/>
                <w:lang w:val="en-AU"/>
              </w:rPr>
              <w:t>1</w:t>
            </w:r>
            <w:r w:rsidRPr="00150595">
              <w:rPr>
                <w:rFonts w:cs="Arial"/>
                <w:szCs w:val="20"/>
                <w:lang w:val="en-AU"/>
              </w:rPr>
              <w:t>/QALY gained</w:t>
            </w:r>
            <w:r w:rsidR="00354F64" w:rsidRPr="00150595">
              <w:rPr>
                <w:rFonts w:cs="Arial"/>
                <w:color w:val="3366FF"/>
                <w:szCs w:val="20"/>
                <w:lang w:val="en-AU"/>
              </w:rPr>
              <w:t>.</w:t>
            </w:r>
          </w:p>
        </w:tc>
      </w:tr>
      <w:tr w:rsidR="00273FA4" w:rsidRPr="00150595" w14:paraId="19A2267E" w14:textId="50C8015E" w:rsidTr="0070332F">
        <w:trPr>
          <w:tblHeader/>
        </w:trPr>
        <w:tc>
          <w:tcPr>
            <w:tcW w:w="626" w:type="pct"/>
            <w:vAlign w:val="center"/>
          </w:tcPr>
          <w:p w14:paraId="331F3EDA" w14:textId="04295B04" w:rsidR="00273FA4" w:rsidRPr="00150595" w:rsidRDefault="00273FA4" w:rsidP="003A3A7B">
            <w:pPr>
              <w:pStyle w:val="In-tableHeading"/>
              <w:rPr>
                <w:b w:val="0"/>
                <w:bCs/>
                <w:lang w:val="en-AU"/>
              </w:rPr>
            </w:pPr>
            <w:r w:rsidRPr="00150595">
              <w:rPr>
                <w:b w:val="0"/>
                <w:bCs/>
                <w:lang w:val="en-AU"/>
              </w:rPr>
              <w:t>OS</w:t>
            </w:r>
            <w:r w:rsidR="00D14851" w:rsidRPr="00150595">
              <w:rPr>
                <w:b w:val="0"/>
                <w:bCs/>
                <w:lang w:val="en-AU"/>
              </w:rPr>
              <w:t xml:space="preserve"> in comparator arm</w:t>
            </w:r>
          </w:p>
        </w:tc>
        <w:tc>
          <w:tcPr>
            <w:tcW w:w="2044" w:type="pct"/>
            <w:vAlign w:val="center"/>
          </w:tcPr>
          <w:p w14:paraId="50BAF35B" w14:textId="2F232641" w:rsidR="00273FA4" w:rsidRPr="00150595" w:rsidRDefault="0041688B" w:rsidP="003A3A7B">
            <w:pPr>
              <w:pStyle w:val="In-tableHeading"/>
              <w:rPr>
                <w:b w:val="0"/>
                <w:bCs/>
                <w:lang w:val="en-AU"/>
              </w:rPr>
            </w:pPr>
            <w:r w:rsidRPr="00150595">
              <w:rPr>
                <w:b w:val="0"/>
                <w:bCs/>
                <w:lang w:val="en-AU"/>
              </w:rPr>
              <w:t xml:space="preserve">OS in the </w:t>
            </w:r>
            <w:proofErr w:type="spellStart"/>
            <w:r w:rsidRPr="00150595">
              <w:rPr>
                <w:b w:val="0"/>
                <w:bCs/>
                <w:lang w:val="en-AU"/>
              </w:rPr>
              <w:t>pembrolizumab+PDC</w:t>
            </w:r>
            <w:proofErr w:type="spellEnd"/>
            <w:r w:rsidRPr="00150595">
              <w:rPr>
                <w:b w:val="0"/>
                <w:bCs/>
                <w:lang w:val="en-AU"/>
              </w:rPr>
              <w:t xml:space="preserve"> arm was derived by applying a HR of </w:t>
            </w:r>
            <w:r w:rsidR="00273FA4" w:rsidRPr="00150595">
              <w:rPr>
                <w:b w:val="0"/>
                <w:bCs/>
                <w:lang w:val="en-AU"/>
              </w:rPr>
              <w:t xml:space="preserve">0.41 (95% CI: 0.23, 0.73) </w:t>
            </w:r>
            <w:r w:rsidR="00D00E86" w:rsidRPr="00150595">
              <w:rPr>
                <w:b w:val="0"/>
                <w:bCs/>
                <w:lang w:val="en-AU"/>
              </w:rPr>
              <w:t>from the adjusted MAIC to the OS curve of E+B.</w:t>
            </w:r>
          </w:p>
        </w:tc>
        <w:tc>
          <w:tcPr>
            <w:tcW w:w="2330" w:type="pct"/>
            <w:vAlign w:val="center"/>
          </w:tcPr>
          <w:p w14:paraId="3A8B47EE" w14:textId="1B782F6B" w:rsidR="00273FA4" w:rsidRPr="00150595" w:rsidRDefault="00273FA4" w:rsidP="003A3A7B">
            <w:pPr>
              <w:pStyle w:val="In-tableHeading"/>
              <w:rPr>
                <w:b w:val="0"/>
                <w:bCs/>
                <w:lang w:val="en-AU"/>
              </w:rPr>
            </w:pPr>
            <w:r w:rsidRPr="00150595">
              <w:rPr>
                <w:b w:val="0"/>
                <w:bCs/>
                <w:lang w:val="en-AU"/>
              </w:rPr>
              <w:t>High, favours E+B</w:t>
            </w:r>
          </w:p>
          <w:p w14:paraId="2F16D2CF" w14:textId="0A00EBA7" w:rsidR="00273FA4" w:rsidRPr="00150595" w:rsidRDefault="00273FA4" w:rsidP="003A3A7B">
            <w:pPr>
              <w:pStyle w:val="In-tableHeading"/>
              <w:rPr>
                <w:b w:val="0"/>
                <w:bCs/>
                <w:lang w:val="en-AU"/>
              </w:rPr>
            </w:pPr>
            <w:r w:rsidRPr="00150595">
              <w:rPr>
                <w:b w:val="0"/>
                <w:bCs/>
                <w:lang w:val="en-AU"/>
              </w:rPr>
              <w:t xml:space="preserve">Varying the HR </w:t>
            </w:r>
            <w:r w:rsidR="00D00E86" w:rsidRPr="00150595">
              <w:rPr>
                <w:b w:val="0"/>
                <w:bCs/>
                <w:lang w:val="en-AU"/>
              </w:rPr>
              <w:t xml:space="preserve">applied </w:t>
            </w:r>
            <w:r w:rsidRPr="00150595">
              <w:rPr>
                <w:b w:val="0"/>
                <w:bCs/>
                <w:lang w:val="en-AU"/>
              </w:rPr>
              <w:t>for OS based on the unadjusted and adjusted sensitivity analyses (range: 0.48</w:t>
            </w:r>
            <w:r w:rsidR="00D00E86" w:rsidRPr="00150595">
              <w:rPr>
                <w:b w:val="0"/>
                <w:bCs/>
                <w:lang w:val="en-AU"/>
              </w:rPr>
              <w:t xml:space="preserve"> to </w:t>
            </w:r>
            <w:r w:rsidRPr="00150595">
              <w:rPr>
                <w:b w:val="0"/>
                <w:bCs/>
                <w:lang w:val="en-AU"/>
              </w:rPr>
              <w:t xml:space="preserve">0.53) resulted in a </w:t>
            </w:r>
            <w:r w:rsidR="00D97164" w:rsidRPr="00D97164">
              <w:rPr>
                <w:b w:val="0"/>
                <w:bCs/>
                <w:highlight w:val="black"/>
                <w:lang w:val="en-AU"/>
              </w:rPr>
              <w:t>&amp;&amp;&amp;&amp;</w:t>
            </w:r>
            <w:r w:rsidR="00D00E86" w:rsidRPr="00150595">
              <w:rPr>
                <w:b w:val="0"/>
                <w:bCs/>
                <w:lang w:val="en-AU"/>
              </w:rPr>
              <w:t xml:space="preserve">% to </w:t>
            </w:r>
            <w:r w:rsidR="00D97164" w:rsidRPr="00D97164">
              <w:rPr>
                <w:b w:val="0"/>
                <w:bCs/>
                <w:highlight w:val="black"/>
                <w:lang w:val="en-AU"/>
              </w:rPr>
              <w:t>&amp;&amp;&amp;&amp;</w:t>
            </w:r>
            <w:r w:rsidRPr="00150595">
              <w:rPr>
                <w:b w:val="0"/>
                <w:bCs/>
                <w:lang w:val="en-AU"/>
              </w:rPr>
              <w:t>% increase in the ICER.</w:t>
            </w:r>
          </w:p>
        </w:tc>
      </w:tr>
      <w:tr w:rsidR="00537182" w:rsidRPr="00150595" w14:paraId="3DE22150" w14:textId="323E0D77" w:rsidTr="0070332F">
        <w:tc>
          <w:tcPr>
            <w:tcW w:w="626" w:type="pct"/>
            <w:vAlign w:val="center"/>
          </w:tcPr>
          <w:p w14:paraId="72E20981" w14:textId="4C154B39" w:rsidR="00D110BD" w:rsidRPr="00150595" w:rsidRDefault="00C74FBC" w:rsidP="003A3A7B">
            <w:pPr>
              <w:pStyle w:val="TableText0"/>
            </w:pPr>
            <w:r w:rsidRPr="00150595">
              <w:t>Time horizon</w:t>
            </w:r>
          </w:p>
        </w:tc>
        <w:tc>
          <w:tcPr>
            <w:tcW w:w="2044" w:type="pct"/>
            <w:vAlign w:val="center"/>
          </w:tcPr>
          <w:p w14:paraId="64938802" w14:textId="076683D1" w:rsidR="00106B80" w:rsidRPr="00150595" w:rsidRDefault="00C74FBC" w:rsidP="003A3A7B">
            <w:pPr>
              <w:pStyle w:val="TableText0"/>
            </w:pPr>
            <w:r w:rsidRPr="00150595">
              <w:t>15 years in the base case</w:t>
            </w:r>
            <w:r w:rsidR="00E7282F" w:rsidRPr="00150595">
              <w:t>.</w:t>
            </w:r>
          </w:p>
        </w:tc>
        <w:tc>
          <w:tcPr>
            <w:tcW w:w="2330" w:type="pct"/>
            <w:vAlign w:val="center"/>
          </w:tcPr>
          <w:p w14:paraId="5B145059" w14:textId="605641C9" w:rsidR="00D110BD" w:rsidRPr="00150595" w:rsidRDefault="00D110BD" w:rsidP="003A3A7B">
            <w:pPr>
              <w:pStyle w:val="TableText0"/>
            </w:pPr>
            <w:r w:rsidRPr="00150595">
              <w:t xml:space="preserve">High, favours </w:t>
            </w:r>
            <w:r w:rsidR="0070332F" w:rsidRPr="00150595">
              <w:t>E+B</w:t>
            </w:r>
          </w:p>
          <w:p w14:paraId="0AD58F2B" w14:textId="10B663D6" w:rsidR="00490B17" w:rsidRPr="00150595" w:rsidRDefault="00490B17" w:rsidP="003A3A7B">
            <w:pPr>
              <w:pStyle w:val="TableText0"/>
            </w:pPr>
            <w:r w:rsidRPr="00150595">
              <w:t xml:space="preserve">Use of </w:t>
            </w:r>
            <w:r w:rsidR="0070332F" w:rsidRPr="00150595">
              <w:t>a time horizon of 8 years</w:t>
            </w:r>
            <w:r w:rsidR="00841ECF" w:rsidRPr="00150595">
              <w:t xml:space="preserve"> </w:t>
            </w:r>
            <w:r w:rsidRPr="00150595">
              <w:t>increased the ICER</w:t>
            </w:r>
            <w:r w:rsidR="0070332F" w:rsidRPr="00150595">
              <w:t xml:space="preserve"> by </w:t>
            </w:r>
            <w:r w:rsidR="00D97164" w:rsidRPr="00D97164">
              <w:rPr>
                <w:highlight w:val="black"/>
              </w:rPr>
              <w:t>&amp;&amp;&amp;&amp;</w:t>
            </w:r>
            <w:r w:rsidR="0070332F" w:rsidRPr="00150595">
              <w:t>%</w:t>
            </w:r>
            <w:r w:rsidRPr="00150595">
              <w:t xml:space="preserve"> to $</w:t>
            </w:r>
            <w:r w:rsidR="00D97164" w:rsidRPr="00D97164">
              <w:rPr>
                <w:highlight w:val="black"/>
              </w:rPr>
              <w:t>&amp;&amp;&amp;&amp;</w:t>
            </w:r>
            <w:r w:rsidR="00C45853">
              <w:rPr>
                <w:vertAlign w:val="superscript"/>
              </w:rPr>
              <w:t>2</w:t>
            </w:r>
            <w:r w:rsidRPr="00150595">
              <w:t xml:space="preserve">/QALY gained. </w:t>
            </w:r>
          </w:p>
        </w:tc>
      </w:tr>
      <w:tr w:rsidR="00537182" w:rsidRPr="00150595" w14:paraId="3483847F" w14:textId="1CEA09CB" w:rsidTr="0070332F">
        <w:tc>
          <w:tcPr>
            <w:tcW w:w="626" w:type="pct"/>
            <w:vAlign w:val="center"/>
          </w:tcPr>
          <w:p w14:paraId="2724D8D9" w14:textId="746FBB06" w:rsidR="00D110BD" w:rsidRPr="00150595" w:rsidRDefault="00C74FBC" w:rsidP="003A3A7B">
            <w:pPr>
              <w:pStyle w:val="TableText0"/>
            </w:pPr>
            <w:r w:rsidRPr="00150595">
              <w:t>Extrapolation for TTD</w:t>
            </w:r>
          </w:p>
        </w:tc>
        <w:tc>
          <w:tcPr>
            <w:tcW w:w="2044" w:type="pct"/>
            <w:vAlign w:val="center"/>
          </w:tcPr>
          <w:p w14:paraId="4B9FCE0E" w14:textId="32DF3360" w:rsidR="00D110BD" w:rsidRPr="00150595" w:rsidRDefault="0090122F" w:rsidP="003A3A7B">
            <w:pPr>
              <w:pStyle w:val="TableText0"/>
            </w:pPr>
            <w:r w:rsidRPr="00150595">
              <w:t>E</w:t>
            </w:r>
            <w:r w:rsidR="00C74FBC" w:rsidRPr="00150595">
              <w:t>xponential distribution in the base case</w:t>
            </w:r>
            <w:r w:rsidR="00E7282F" w:rsidRPr="00150595">
              <w:t>.</w:t>
            </w:r>
          </w:p>
        </w:tc>
        <w:tc>
          <w:tcPr>
            <w:tcW w:w="2330" w:type="pct"/>
            <w:vAlign w:val="center"/>
          </w:tcPr>
          <w:p w14:paraId="40F59D2F" w14:textId="794ADF68" w:rsidR="0070332F" w:rsidRPr="00150595" w:rsidRDefault="00537182" w:rsidP="003A3A7B">
            <w:pPr>
              <w:pStyle w:val="TableText0"/>
            </w:pPr>
            <w:r w:rsidRPr="00150595">
              <w:t xml:space="preserve">High, favours </w:t>
            </w:r>
            <w:r w:rsidR="00C74FBC" w:rsidRPr="00150595">
              <w:t xml:space="preserve">E+B. </w:t>
            </w:r>
          </w:p>
          <w:p w14:paraId="4CB0C507" w14:textId="07329AE4" w:rsidR="00D110BD" w:rsidRPr="00150595" w:rsidRDefault="0070332F" w:rsidP="003A3A7B">
            <w:pPr>
              <w:pStyle w:val="TableText0"/>
            </w:pPr>
            <w:r w:rsidRPr="00150595">
              <w:t>Use of Weibull extrapolation</w:t>
            </w:r>
            <w:r w:rsidR="00C74FBC" w:rsidRPr="00150595">
              <w:t xml:space="preserve"> </w:t>
            </w:r>
            <w:r w:rsidR="00490B17" w:rsidRPr="00150595">
              <w:t>increased the ICER</w:t>
            </w:r>
            <w:r w:rsidR="00C74FBC" w:rsidRPr="00150595">
              <w:t xml:space="preserve"> by </w:t>
            </w:r>
            <w:r w:rsidR="00D97164" w:rsidRPr="00D97164">
              <w:rPr>
                <w:highlight w:val="black"/>
              </w:rPr>
              <w:t>&amp;&amp;&amp;&amp;</w:t>
            </w:r>
            <w:r w:rsidR="00C74FBC" w:rsidRPr="00150595">
              <w:t>%</w:t>
            </w:r>
            <w:r w:rsidR="00490B17" w:rsidRPr="00150595">
              <w:t xml:space="preserve"> to </w:t>
            </w:r>
            <w:r w:rsidR="00C74FBC" w:rsidRPr="00150595">
              <w:t>$</w:t>
            </w:r>
            <w:r w:rsidR="00D97164" w:rsidRPr="00D97164">
              <w:rPr>
                <w:highlight w:val="black"/>
              </w:rPr>
              <w:t>&amp;&amp;&amp;&amp;</w:t>
            </w:r>
            <w:r w:rsidR="002C0C3E">
              <w:rPr>
                <w:vertAlign w:val="superscript"/>
              </w:rPr>
              <w:t>1</w:t>
            </w:r>
            <w:r w:rsidR="00490B17" w:rsidRPr="00150595">
              <w:t>/QALY gained.</w:t>
            </w:r>
            <w:r w:rsidR="00354F64" w:rsidRPr="00150595">
              <w:rPr>
                <w:rFonts w:cs="Arial"/>
                <w:color w:val="3366FF"/>
                <w:szCs w:val="20"/>
              </w:rPr>
              <w:t xml:space="preserve"> </w:t>
            </w:r>
          </w:p>
        </w:tc>
      </w:tr>
    </w:tbl>
    <w:p w14:paraId="3060E37B" w14:textId="754E18B1" w:rsidR="00A908F9" w:rsidRDefault="009D792E" w:rsidP="003A3A7B">
      <w:pPr>
        <w:pStyle w:val="FooterTableFigure"/>
      </w:pPr>
      <w:r w:rsidRPr="0098262F">
        <w:t>Source:</w:t>
      </w:r>
      <w:r w:rsidR="0070332F">
        <w:t xml:space="preserve"> </w:t>
      </w:r>
      <w:r w:rsidR="0070332F" w:rsidRPr="0070332F">
        <w:t>Table 3.30, pp204</w:t>
      </w:r>
      <w:r w:rsidR="003A3A7B">
        <w:noBreakHyphen/>
      </w:r>
      <w:r w:rsidR="0070332F" w:rsidRPr="0070332F">
        <w:t xml:space="preserve">205 and Table 3.31, p206 of the submission. </w:t>
      </w:r>
    </w:p>
    <w:p w14:paraId="6E17C582" w14:textId="77777777" w:rsidR="0060494B" w:rsidRDefault="0078763F" w:rsidP="0060494B">
      <w:pPr>
        <w:pStyle w:val="FooterTableFigure"/>
        <w:rPr>
          <w:i/>
          <w:szCs w:val="18"/>
        </w:rPr>
      </w:pPr>
      <w:r>
        <w:t xml:space="preserve">CI = confidence interval; </w:t>
      </w:r>
      <w:r w:rsidR="0070332F">
        <w:t xml:space="preserve">E+B = </w:t>
      </w:r>
      <w:proofErr w:type="spellStart"/>
      <w:r w:rsidR="0070332F">
        <w:t>encorafenib</w:t>
      </w:r>
      <w:proofErr w:type="spellEnd"/>
      <w:r w:rsidR="0070332F">
        <w:t xml:space="preserve"> and </w:t>
      </w:r>
      <w:proofErr w:type="spellStart"/>
      <w:r w:rsidR="0070332F">
        <w:t>binimetinib</w:t>
      </w:r>
      <w:proofErr w:type="spellEnd"/>
      <w:r w:rsidR="0070332F">
        <w:t xml:space="preserve">; </w:t>
      </w:r>
      <w:r w:rsidR="00273FA4">
        <w:t xml:space="preserve">HR = hazard ratio; </w:t>
      </w:r>
      <w:r w:rsidR="0070332F">
        <w:t>ICER = incremental cost</w:t>
      </w:r>
      <w:r w:rsidR="003A3A7B">
        <w:noBreakHyphen/>
      </w:r>
      <w:r w:rsidR="0070332F">
        <w:t xml:space="preserve">effectiveness ratio; </w:t>
      </w:r>
      <w:r w:rsidR="00273FA4">
        <w:t xml:space="preserve">OS = overall survival; </w:t>
      </w:r>
      <w:r w:rsidR="00E7282F">
        <w:t>PDC = p</w:t>
      </w:r>
      <w:r w:rsidR="001A25CB">
        <w:t>latinum</w:t>
      </w:r>
      <w:r w:rsidR="003A3A7B">
        <w:noBreakHyphen/>
      </w:r>
      <w:r w:rsidR="001A25CB">
        <w:t xml:space="preserve">based doublet chemotherapy; </w:t>
      </w:r>
      <w:r w:rsidR="0070332F">
        <w:t>QALY = quality</w:t>
      </w:r>
      <w:r w:rsidR="003A3A7B">
        <w:noBreakHyphen/>
      </w:r>
      <w:r w:rsidR="0070332F">
        <w:t>adjusted life years; TTD = time</w:t>
      </w:r>
      <w:r w:rsidR="003A3A7B">
        <w:noBreakHyphen/>
      </w:r>
      <w:r w:rsidR="0070332F">
        <w:t>to</w:t>
      </w:r>
      <w:r w:rsidR="003A3A7B">
        <w:noBreakHyphen/>
      </w:r>
      <w:r w:rsidR="0070332F">
        <w:t>treatment discontinuation.</w:t>
      </w:r>
      <w:bookmarkStart w:id="73" w:name="_Hlk218761266"/>
      <w:bookmarkStart w:id="74" w:name="_Hlk218762753"/>
      <w:bookmarkStart w:id="75" w:name="_Hlk218764868"/>
      <w:bookmarkStart w:id="76" w:name="_Hlk218771933"/>
      <w:r w:rsidR="0060494B" w:rsidRPr="0060494B">
        <w:rPr>
          <w:i/>
          <w:szCs w:val="18"/>
        </w:rPr>
        <w:t xml:space="preserve"> </w:t>
      </w:r>
    </w:p>
    <w:p w14:paraId="03033150" w14:textId="6BFD439D" w:rsidR="0060494B" w:rsidRPr="0060494B" w:rsidRDefault="0060494B" w:rsidP="0060494B">
      <w:pPr>
        <w:pStyle w:val="FooterTableFigure"/>
        <w:rPr>
          <w:i/>
        </w:rPr>
      </w:pPr>
      <w:r w:rsidRPr="0060494B">
        <w:rPr>
          <w:i/>
        </w:rPr>
        <w:t xml:space="preserve">The redacted values correspond to the following ranges: </w:t>
      </w:r>
    </w:p>
    <w:p w14:paraId="2C8785C8" w14:textId="2C9ABD40" w:rsidR="0060494B" w:rsidRPr="0060494B" w:rsidRDefault="0060494B" w:rsidP="0060494B">
      <w:pPr>
        <w:pStyle w:val="FooterTableFigure"/>
        <w:rPr>
          <w:i/>
        </w:rPr>
      </w:pPr>
      <w:r w:rsidRPr="0060494B">
        <w:rPr>
          <w:i/>
          <w:vertAlign w:val="superscript"/>
        </w:rPr>
        <w:t>1</w:t>
      </w:r>
      <w:r w:rsidRPr="0060494B">
        <w:rPr>
          <w:i/>
        </w:rPr>
        <w:t xml:space="preserve"> </w:t>
      </w:r>
      <w:bookmarkStart w:id="77" w:name="_Hlk218773016"/>
      <w:bookmarkStart w:id="78" w:name="_Hlk218762975"/>
      <w:bookmarkStart w:id="79" w:name="_Hlk218772169"/>
      <w:r w:rsidR="002C0C3E" w:rsidRPr="002C0C3E">
        <w:rPr>
          <w:i/>
        </w:rPr>
        <w:t>$</w:t>
      </w:r>
      <w:bookmarkStart w:id="80" w:name="_Hlk218771966"/>
      <w:r w:rsidR="002C0C3E" w:rsidRPr="002C0C3E">
        <w:rPr>
          <w:i/>
        </w:rPr>
        <w:t>55,000 to &lt; $75,000</w:t>
      </w:r>
      <w:bookmarkEnd w:id="77"/>
      <w:r w:rsidR="002C0C3E" w:rsidRPr="002C0C3E">
        <w:rPr>
          <w:i/>
        </w:rPr>
        <w:t xml:space="preserve"> </w:t>
      </w:r>
      <w:bookmarkEnd w:id="78"/>
      <w:bookmarkEnd w:id="79"/>
      <w:bookmarkEnd w:id="80"/>
    </w:p>
    <w:bookmarkEnd w:id="73"/>
    <w:p w14:paraId="2FD36B75" w14:textId="425A373B" w:rsidR="0070332F" w:rsidRDefault="0060494B" w:rsidP="003A3A7B">
      <w:pPr>
        <w:pStyle w:val="FooterTableFigure"/>
      </w:pPr>
      <w:r w:rsidRPr="0060494B">
        <w:rPr>
          <w:i/>
          <w:vertAlign w:val="superscript"/>
        </w:rPr>
        <w:t>2</w:t>
      </w:r>
      <w:r w:rsidRPr="0060494B">
        <w:rPr>
          <w:i/>
        </w:rPr>
        <w:t xml:space="preserve"> </w:t>
      </w:r>
      <w:bookmarkStart w:id="81" w:name="_Hlk218771996"/>
      <w:r w:rsidR="00C45853" w:rsidRPr="00C45853">
        <w:rPr>
          <w:i/>
        </w:rPr>
        <w:t>$75,000 to &lt; $95,000</w:t>
      </w:r>
      <w:bookmarkEnd w:id="74"/>
      <w:bookmarkEnd w:id="75"/>
      <w:bookmarkEnd w:id="76"/>
      <w:bookmarkEnd w:id="81"/>
    </w:p>
    <w:p w14:paraId="09541DA4" w14:textId="620538D1" w:rsidR="00DC6436" w:rsidRDefault="002B0A82" w:rsidP="003A3A7B">
      <w:pPr>
        <w:pStyle w:val="3-BodyText"/>
      </w:pPr>
      <w:r>
        <w:t xml:space="preserve">A stepped economic evaluation </w:t>
      </w:r>
      <w:r w:rsidR="00F061D7">
        <w:t xml:space="preserve">against </w:t>
      </w:r>
      <w:proofErr w:type="spellStart"/>
      <w:r w:rsidR="00F061D7">
        <w:t>pembrolizumab+PDC</w:t>
      </w:r>
      <w:proofErr w:type="spellEnd"/>
      <w:r w:rsidR="00F061D7">
        <w:t xml:space="preserve"> is presented in </w:t>
      </w:r>
      <w:r w:rsidR="00F061D7">
        <w:fldChar w:fldCharType="begin"/>
      </w:r>
      <w:r w:rsidR="00F061D7">
        <w:instrText xml:space="preserve"> REF _Ref206001126 \h </w:instrText>
      </w:r>
      <w:r w:rsidR="00F061D7">
        <w:fldChar w:fldCharType="separate"/>
      </w:r>
      <w:r w:rsidR="00894EC9">
        <w:t>Table 16</w:t>
      </w:r>
      <w:r w:rsidR="00F061D7">
        <w:fldChar w:fldCharType="end"/>
      </w:r>
      <w:r w:rsidR="000A146B">
        <w:t xml:space="preserve">. </w:t>
      </w:r>
      <w:r w:rsidR="002A1D69">
        <w:fldChar w:fldCharType="begin"/>
      </w:r>
      <w:r w:rsidR="002A1D69">
        <w:instrText xml:space="preserve"> REF _Ref206001177 \h </w:instrText>
      </w:r>
      <w:r w:rsidR="002A1D69">
        <w:fldChar w:fldCharType="separate"/>
      </w:r>
      <w:r w:rsidR="00894EC9">
        <w:t>Table 17</w:t>
      </w:r>
      <w:r w:rsidR="002A1D69">
        <w:fldChar w:fldCharType="end"/>
      </w:r>
      <w:r w:rsidR="002A1D69">
        <w:t xml:space="preserve"> </w:t>
      </w:r>
      <w:r w:rsidR="002A1D69" w:rsidRPr="00445F43">
        <w:t>summar</w:t>
      </w:r>
      <w:r w:rsidR="002A1D69">
        <w:t xml:space="preserve">ises </w:t>
      </w:r>
      <w:r w:rsidR="002A1D69" w:rsidRPr="00445F43">
        <w:t>the results of the economic analysis against D+T</w:t>
      </w:r>
      <w:r w:rsidR="002A1D69">
        <w:t>.</w:t>
      </w:r>
    </w:p>
    <w:p w14:paraId="05E9D8D4" w14:textId="40FB0642" w:rsidR="00841ECF" w:rsidRPr="00150595" w:rsidRDefault="00841ECF" w:rsidP="003A3A7B">
      <w:pPr>
        <w:pStyle w:val="3-BodyText"/>
        <w:rPr>
          <w:iCs/>
        </w:rPr>
      </w:pPr>
      <w:r w:rsidRPr="00AB0D6A">
        <w:t xml:space="preserve">The submission </w:t>
      </w:r>
      <w:r>
        <w:t>halved</w:t>
      </w:r>
      <w:r w:rsidRPr="00AB0D6A">
        <w:t xml:space="preserve"> the published prices of pembrolizumab </w:t>
      </w:r>
      <w:r>
        <w:t>to estimate the effective price</w:t>
      </w:r>
      <w:r w:rsidRPr="00AB0D6A">
        <w:t xml:space="preserve"> for this drug.</w:t>
      </w:r>
      <w:r>
        <w:t xml:space="preserve"> </w:t>
      </w:r>
    </w:p>
    <w:p w14:paraId="54BDE226" w14:textId="3E68737F" w:rsidR="00841ECF" w:rsidRPr="00D30A0A" w:rsidRDefault="00841ECF" w:rsidP="003A3A7B">
      <w:pPr>
        <w:pStyle w:val="3-BodyText"/>
        <w:rPr>
          <w:iCs/>
        </w:rPr>
      </w:pPr>
      <w:r w:rsidRPr="00D30A0A">
        <w:rPr>
          <w:iCs/>
        </w:rPr>
        <w:t xml:space="preserve">For D+T, the submission used placeholder DPMQs </w:t>
      </w:r>
      <w:r w:rsidR="002823AE" w:rsidRPr="00D30A0A">
        <w:rPr>
          <w:iCs/>
        </w:rPr>
        <w:t xml:space="preserve">that </w:t>
      </w:r>
      <w:r w:rsidRPr="00D30A0A">
        <w:rPr>
          <w:iCs/>
        </w:rPr>
        <w:t xml:space="preserve">resulted in approximately the same monthly cost </w:t>
      </w:r>
      <w:r w:rsidR="008F28D9" w:rsidRPr="00D30A0A">
        <w:rPr>
          <w:iCs/>
        </w:rPr>
        <w:t>for D+T as for</w:t>
      </w:r>
      <w:r w:rsidRPr="00D30A0A">
        <w:rPr>
          <w:iCs/>
        </w:rPr>
        <w:t xml:space="preserve"> </w:t>
      </w:r>
      <w:proofErr w:type="spellStart"/>
      <w:r w:rsidRPr="00D30A0A">
        <w:rPr>
          <w:iCs/>
        </w:rPr>
        <w:t>pembrolizumab+PDC</w:t>
      </w:r>
      <w:proofErr w:type="spellEnd"/>
      <w:r w:rsidRPr="00D30A0A">
        <w:rPr>
          <w:iCs/>
        </w:rPr>
        <w:t>, given that D+T was recommended by the PBAC on a cost</w:t>
      </w:r>
      <w:r w:rsidR="003A3A7B">
        <w:rPr>
          <w:iCs/>
        </w:rPr>
        <w:noBreakHyphen/>
      </w:r>
      <w:r w:rsidRPr="00D30A0A">
        <w:rPr>
          <w:iCs/>
        </w:rPr>
        <w:t xml:space="preserve">minimisation basis versus </w:t>
      </w:r>
      <w:proofErr w:type="spellStart"/>
      <w:r w:rsidRPr="00D30A0A">
        <w:rPr>
          <w:iCs/>
        </w:rPr>
        <w:t>pembrolizumab+PDC</w:t>
      </w:r>
      <w:proofErr w:type="spellEnd"/>
      <w:r w:rsidRPr="00D30A0A">
        <w:rPr>
          <w:iCs/>
        </w:rPr>
        <w:t xml:space="preserve"> but </w:t>
      </w:r>
      <w:r w:rsidR="00764891" w:rsidRPr="00D30A0A">
        <w:rPr>
          <w:iCs/>
        </w:rPr>
        <w:t>wa</w:t>
      </w:r>
      <w:r w:rsidRPr="00D30A0A">
        <w:rPr>
          <w:iCs/>
        </w:rPr>
        <w:t>s not listed on the PBS</w:t>
      </w:r>
      <w:r w:rsidR="00764891" w:rsidRPr="00D30A0A">
        <w:rPr>
          <w:iCs/>
        </w:rPr>
        <w:t xml:space="preserve"> at the time of the </w:t>
      </w:r>
      <w:r w:rsidR="002823AE" w:rsidRPr="00D30A0A">
        <w:rPr>
          <w:iCs/>
        </w:rPr>
        <w:t>submission</w:t>
      </w:r>
      <w:r w:rsidRPr="00D30A0A">
        <w:rPr>
          <w:iCs/>
        </w:rPr>
        <w:t xml:space="preserve">. </w:t>
      </w:r>
    </w:p>
    <w:p w14:paraId="782F4D1E" w14:textId="134D20E1" w:rsidR="0065006B" w:rsidRDefault="0065006B" w:rsidP="003A3A7B">
      <w:pPr>
        <w:pStyle w:val="Caption"/>
      </w:pPr>
      <w:bookmarkStart w:id="82" w:name="_Ref206001126"/>
      <w:r>
        <w:lastRenderedPageBreak/>
        <w:t xml:space="preserve">Table </w:t>
      </w:r>
      <w:r w:rsidR="00C12B89">
        <w:t>16</w:t>
      </w:r>
      <w:bookmarkEnd w:id="82"/>
      <w:r>
        <w:t xml:space="preserve">: </w:t>
      </w:r>
      <w:r w:rsidRPr="006C250D">
        <w:rPr>
          <w:rStyle w:val="CommentReference"/>
          <w:b/>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stepped economic evaluation"/>
      </w:tblPr>
      <w:tblGrid>
        <w:gridCol w:w="2757"/>
        <w:gridCol w:w="2451"/>
        <w:gridCol w:w="2298"/>
        <w:gridCol w:w="1511"/>
      </w:tblGrid>
      <w:tr w:rsidR="0065006B" w:rsidRPr="006C250D" w14:paraId="5473358A" w14:textId="01E67E90">
        <w:trPr>
          <w:tblHeader/>
        </w:trPr>
        <w:tc>
          <w:tcPr>
            <w:tcW w:w="1529" w:type="pct"/>
            <w:vAlign w:val="center"/>
          </w:tcPr>
          <w:p w14:paraId="7D755A56" w14:textId="6A53B346" w:rsidR="0065006B" w:rsidRPr="006C250D" w:rsidRDefault="0065006B" w:rsidP="003A3A7B">
            <w:pPr>
              <w:pStyle w:val="In-tableHeading"/>
            </w:pPr>
            <w:r w:rsidRPr="006C250D">
              <w:t>Step and component</w:t>
            </w:r>
          </w:p>
        </w:tc>
        <w:tc>
          <w:tcPr>
            <w:tcW w:w="1359" w:type="pct"/>
            <w:vAlign w:val="center"/>
          </w:tcPr>
          <w:p w14:paraId="1A179393" w14:textId="40F2255B" w:rsidR="0065006B" w:rsidRPr="006C250D" w:rsidRDefault="0065006B" w:rsidP="003A3A7B">
            <w:pPr>
              <w:pStyle w:val="In-tableHeading"/>
              <w:jc w:val="center"/>
            </w:pPr>
            <w:r w:rsidRPr="006C250D">
              <w:t>E+B</w:t>
            </w:r>
          </w:p>
        </w:tc>
        <w:tc>
          <w:tcPr>
            <w:tcW w:w="1274" w:type="pct"/>
            <w:vAlign w:val="center"/>
          </w:tcPr>
          <w:p w14:paraId="15852B79" w14:textId="3E6D3BD5" w:rsidR="0065006B" w:rsidRPr="006C250D" w:rsidRDefault="0065006B" w:rsidP="003A3A7B">
            <w:pPr>
              <w:pStyle w:val="In-tableHeading"/>
              <w:jc w:val="center"/>
            </w:pPr>
            <w:proofErr w:type="spellStart"/>
            <w:r w:rsidRPr="006C250D">
              <w:t>Pembrolizumab+PDC</w:t>
            </w:r>
            <w:proofErr w:type="spellEnd"/>
          </w:p>
        </w:tc>
        <w:tc>
          <w:tcPr>
            <w:tcW w:w="838" w:type="pct"/>
            <w:vAlign w:val="center"/>
          </w:tcPr>
          <w:p w14:paraId="30E175DC" w14:textId="4E6488F2" w:rsidR="0065006B" w:rsidRPr="006C250D" w:rsidRDefault="0065006B" w:rsidP="003A3A7B">
            <w:pPr>
              <w:pStyle w:val="TableFigureHeading"/>
              <w:jc w:val="center"/>
            </w:pPr>
            <w:r w:rsidRPr="006C250D">
              <w:t>Increment</w:t>
            </w:r>
          </w:p>
        </w:tc>
      </w:tr>
      <w:tr w:rsidR="0065006B" w:rsidRPr="006C250D" w14:paraId="0006D10E" w14:textId="06548524">
        <w:tc>
          <w:tcPr>
            <w:tcW w:w="5000" w:type="pct"/>
            <w:gridSpan w:val="4"/>
            <w:vAlign w:val="center"/>
          </w:tcPr>
          <w:p w14:paraId="698D0254" w14:textId="1A025CE9" w:rsidR="0065006B" w:rsidRPr="00B7468E" w:rsidRDefault="0065006B" w:rsidP="003A3A7B">
            <w:pPr>
              <w:pStyle w:val="TableText0"/>
            </w:pPr>
            <w:r w:rsidRPr="003737DF">
              <w:rPr>
                <w:b/>
                <w:bCs w:val="0"/>
              </w:rPr>
              <w:t>Step 1:</w:t>
            </w:r>
            <w:r w:rsidR="00B7468E">
              <w:rPr>
                <w:b/>
                <w:bCs w:val="0"/>
              </w:rPr>
              <w:t xml:space="preserve"> </w:t>
            </w:r>
            <w:r w:rsidRPr="00B7468E">
              <w:t>Based on the PFS and OS data represented with parametric functions. Time horizon of 4 years (OS follow</w:t>
            </w:r>
            <w:r w:rsidR="003A3A7B">
              <w:noBreakHyphen/>
            </w:r>
            <w:r w:rsidRPr="00B7468E">
              <w:t xml:space="preserve">up time in PHAROS). </w:t>
            </w:r>
          </w:p>
          <w:p w14:paraId="619F3AFD" w14:textId="41220EA6" w:rsidR="0065006B" w:rsidRPr="00B7468E" w:rsidRDefault="0065006B" w:rsidP="003A3A7B">
            <w:pPr>
              <w:pStyle w:val="TableText0"/>
            </w:pPr>
            <w:r w:rsidRPr="00B7468E">
              <w:t>Costs: Drug acquisition and drug administration.</w:t>
            </w:r>
          </w:p>
          <w:p w14:paraId="34A6DA05" w14:textId="4A003DED" w:rsidR="0065006B" w:rsidRPr="006C250D" w:rsidRDefault="0065006B" w:rsidP="003A3A7B">
            <w:pPr>
              <w:pStyle w:val="TableText0"/>
              <w:rPr>
                <w:b/>
                <w:bCs w:val="0"/>
              </w:rPr>
            </w:pPr>
            <w:r w:rsidRPr="00B7468E">
              <w:t>Outcomes: LYs gained</w:t>
            </w:r>
          </w:p>
        </w:tc>
      </w:tr>
      <w:tr w:rsidR="0065006B" w:rsidRPr="006C250D" w14:paraId="3837F8E7" w14:textId="044C4C9D">
        <w:tc>
          <w:tcPr>
            <w:tcW w:w="1529" w:type="pct"/>
            <w:vAlign w:val="center"/>
          </w:tcPr>
          <w:p w14:paraId="208EB465" w14:textId="3C47C1F0" w:rsidR="0065006B" w:rsidRPr="006C250D" w:rsidRDefault="0065006B" w:rsidP="003A3A7B">
            <w:pPr>
              <w:pStyle w:val="TableText0"/>
              <w:rPr>
                <w:rFonts w:ascii="Times" w:hAnsi="Times"/>
              </w:rPr>
            </w:pPr>
            <w:r w:rsidRPr="006C250D">
              <w:t>Costs</w:t>
            </w:r>
          </w:p>
        </w:tc>
        <w:tc>
          <w:tcPr>
            <w:tcW w:w="1359" w:type="pct"/>
          </w:tcPr>
          <w:p w14:paraId="1DAB43E9" w14:textId="593AE99A"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c>
          <w:tcPr>
            <w:tcW w:w="1274" w:type="pct"/>
          </w:tcPr>
          <w:p w14:paraId="4E59121E" w14:textId="4BC1822E" w:rsidR="0065006B" w:rsidRPr="006C250D" w:rsidRDefault="0065006B" w:rsidP="003A3A7B">
            <w:pPr>
              <w:pStyle w:val="TableText0"/>
              <w:jc w:val="center"/>
              <w:rPr>
                <w:rFonts w:ascii="Times" w:hAnsi="Times"/>
              </w:rPr>
            </w:pPr>
            <w:r w:rsidRPr="006C250D">
              <w:t>$67,931</w:t>
            </w:r>
          </w:p>
        </w:tc>
        <w:tc>
          <w:tcPr>
            <w:tcW w:w="838" w:type="pct"/>
          </w:tcPr>
          <w:p w14:paraId="4A18E5E2" w14:textId="30B49A4E"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r>
      <w:tr w:rsidR="0065006B" w:rsidRPr="006C250D" w14:paraId="3A135A32" w14:textId="0D2C95DC">
        <w:tc>
          <w:tcPr>
            <w:tcW w:w="1529" w:type="pct"/>
            <w:vAlign w:val="center"/>
          </w:tcPr>
          <w:p w14:paraId="56547BAD" w14:textId="3DBE6A39" w:rsidR="0065006B" w:rsidRPr="006C250D" w:rsidRDefault="0065006B" w:rsidP="003A3A7B">
            <w:pPr>
              <w:pStyle w:val="TableText0"/>
              <w:rPr>
                <w:rFonts w:ascii="Times" w:hAnsi="Times"/>
              </w:rPr>
            </w:pPr>
            <w:r w:rsidRPr="006C250D">
              <w:t>LYG</w:t>
            </w:r>
          </w:p>
        </w:tc>
        <w:tc>
          <w:tcPr>
            <w:tcW w:w="1359" w:type="pct"/>
          </w:tcPr>
          <w:p w14:paraId="021979D0" w14:textId="41EA2CE5" w:rsidR="0065006B" w:rsidRPr="00C4650C" w:rsidRDefault="0065006B" w:rsidP="003A3A7B">
            <w:pPr>
              <w:pStyle w:val="TableText0"/>
              <w:jc w:val="center"/>
              <w:rPr>
                <w:rFonts w:ascii="Times" w:hAnsi="Times"/>
              </w:rPr>
            </w:pPr>
            <w:r w:rsidRPr="00C4650C">
              <w:t>2.827</w:t>
            </w:r>
          </w:p>
        </w:tc>
        <w:tc>
          <w:tcPr>
            <w:tcW w:w="1274" w:type="pct"/>
          </w:tcPr>
          <w:p w14:paraId="2662CB80" w14:textId="744F9F8A" w:rsidR="0065006B" w:rsidRPr="00C4650C" w:rsidRDefault="0065006B" w:rsidP="003A3A7B">
            <w:pPr>
              <w:pStyle w:val="TableText0"/>
              <w:jc w:val="center"/>
              <w:rPr>
                <w:rFonts w:ascii="Times" w:hAnsi="Times"/>
              </w:rPr>
            </w:pPr>
            <w:r w:rsidRPr="00C4650C">
              <w:t>1.868</w:t>
            </w:r>
          </w:p>
        </w:tc>
        <w:tc>
          <w:tcPr>
            <w:tcW w:w="838" w:type="pct"/>
          </w:tcPr>
          <w:p w14:paraId="3725A40D" w14:textId="302817FA" w:rsidR="0065006B" w:rsidRPr="00C4650C" w:rsidRDefault="0065006B" w:rsidP="003A3A7B">
            <w:pPr>
              <w:pStyle w:val="TableText0"/>
              <w:jc w:val="center"/>
            </w:pPr>
            <w:r w:rsidRPr="00C4650C">
              <w:t>0.959</w:t>
            </w:r>
          </w:p>
        </w:tc>
      </w:tr>
      <w:tr w:rsidR="0065006B" w:rsidRPr="006C250D" w14:paraId="5A57FD2D" w14:textId="2AD966FC">
        <w:tc>
          <w:tcPr>
            <w:tcW w:w="4162" w:type="pct"/>
            <w:gridSpan w:val="3"/>
            <w:vAlign w:val="center"/>
          </w:tcPr>
          <w:p w14:paraId="1377F0FB" w14:textId="2EAFBB62" w:rsidR="0065006B" w:rsidRPr="006C250D" w:rsidRDefault="0065006B" w:rsidP="003A3A7B">
            <w:pPr>
              <w:pStyle w:val="TableText0"/>
              <w:rPr>
                <w:rFonts w:ascii="Times" w:hAnsi="Times"/>
              </w:rPr>
            </w:pPr>
            <w:r w:rsidRPr="006C250D">
              <w:t>Incremental cost/extra LYG gained</w:t>
            </w:r>
          </w:p>
        </w:tc>
        <w:tc>
          <w:tcPr>
            <w:tcW w:w="838" w:type="pct"/>
            <w:vAlign w:val="center"/>
          </w:tcPr>
          <w:p w14:paraId="7B64853A" w14:textId="0F0D1223" w:rsidR="0065006B" w:rsidRPr="007F4B8A" w:rsidRDefault="0065006B" w:rsidP="003A3A7B">
            <w:pPr>
              <w:pStyle w:val="TableText0"/>
              <w:jc w:val="center"/>
              <w:rPr>
                <w:rFonts w:ascii="Times" w:hAnsi="Times"/>
                <w:vertAlign w:val="superscript"/>
              </w:rPr>
            </w:pPr>
            <w:r w:rsidRPr="006C250D">
              <w:t>$</w:t>
            </w:r>
            <w:r w:rsidR="00D97164" w:rsidRPr="00D97164">
              <w:rPr>
                <w:highlight w:val="black"/>
              </w:rPr>
              <w:t>&amp;&amp;&amp;&amp;</w:t>
            </w:r>
            <w:r w:rsidR="007F4B8A">
              <w:rPr>
                <w:vertAlign w:val="superscript"/>
              </w:rPr>
              <w:t>1</w:t>
            </w:r>
          </w:p>
        </w:tc>
      </w:tr>
      <w:tr w:rsidR="0065006B" w:rsidRPr="006C250D" w14:paraId="141DF9E5" w14:textId="31C81AC4">
        <w:tc>
          <w:tcPr>
            <w:tcW w:w="5000" w:type="pct"/>
            <w:gridSpan w:val="4"/>
            <w:vAlign w:val="center"/>
          </w:tcPr>
          <w:p w14:paraId="115F1339" w14:textId="43A7C386" w:rsidR="0065006B" w:rsidRPr="00B7468E" w:rsidRDefault="0065006B" w:rsidP="003A3A7B">
            <w:pPr>
              <w:pStyle w:val="In-tableHeading"/>
              <w:rPr>
                <w:b w:val="0"/>
                <w:bCs/>
              </w:rPr>
            </w:pPr>
            <w:r w:rsidRPr="003737DF">
              <w:t>Step 2:</w:t>
            </w:r>
            <w:r w:rsidR="00B7468E">
              <w:t xml:space="preserve"> </w:t>
            </w:r>
            <w:r w:rsidRPr="00B7468E">
              <w:rPr>
                <w:b w:val="0"/>
                <w:bCs/>
              </w:rPr>
              <w:t xml:space="preserve">PFS and OS data extrapolated with parametric functions until 15 years. 5% discount </w:t>
            </w:r>
            <w:r w:rsidR="005325B4">
              <w:rPr>
                <w:b w:val="0"/>
                <w:bCs/>
              </w:rPr>
              <w:t>applied to</w:t>
            </w:r>
            <w:r w:rsidRPr="00B7468E">
              <w:rPr>
                <w:b w:val="0"/>
                <w:bCs/>
              </w:rPr>
              <w:t xml:space="preserve"> costs and outcomes.</w:t>
            </w:r>
            <w:r w:rsidR="00177597">
              <w:rPr>
                <w:b w:val="0"/>
                <w:bCs/>
              </w:rPr>
              <w:t xml:space="preserve"> </w:t>
            </w:r>
          </w:p>
          <w:p w14:paraId="07712EB4" w14:textId="4E42E632" w:rsidR="0065006B" w:rsidRPr="00B7468E" w:rsidRDefault="0065006B" w:rsidP="003A3A7B">
            <w:pPr>
              <w:pStyle w:val="In-tableHeading"/>
              <w:rPr>
                <w:b w:val="0"/>
                <w:bCs/>
              </w:rPr>
            </w:pPr>
            <w:r w:rsidRPr="00B7468E">
              <w:rPr>
                <w:b w:val="0"/>
                <w:bCs/>
              </w:rPr>
              <w:t>Costs: as in Step 1+ disease management and monitoring and terminal care.</w:t>
            </w:r>
          </w:p>
          <w:p w14:paraId="1C195D53" w14:textId="6A509DF1" w:rsidR="0065006B" w:rsidRPr="006C250D" w:rsidRDefault="0065006B" w:rsidP="003A3A7B">
            <w:pPr>
              <w:pStyle w:val="In-tableHeading"/>
            </w:pPr>
            <w:r w:rsidRPr="00B7468E">
              <w:rPr>
                <w:b w:val="0"/>
                <w:bCs/>
              </w:rPr>
              <w:t>Outcomes: LYs gained over the modelled time horizon</w:t>
            </w:r>
          </w:p>
        </w:tc>
      </w:tr>
      <w:tr w:rsidR="0065006B" w:rsidRPr="006C250D" w14:paraId="3BF8847F" w14:textId="251FAD42">
        <w:tc>
          <w:tcPr>
            <w:tcW w:w="1529" w:type="pct"/>
            <w:vAlign w:val="center"/>
          </w:tcPr>
          <w:p w14:paraId="5D087745" w14:textId="739448E6" w:rsidR="0065006B" w:rsidRPr="006C250D" w:rsidRDefault="0065006B" w:rsidP="003A3A7B">
            <w:pPr>
              <w:pStyle w:val="TableText0"/>
              <w:rPr>
                <w:rFonts w:ascii="Times" w:hAnsi="Times"/>
              </w:rPr>
            </w:pPr>
            <w:r w:rsidRPr="006C250D">
              <w:t>Costs</w:t>
            </w:r>
          </w:p>
        </w:tc>
        <w:tc>
          <w:tcPr>
            <w:tcW w:w="1359" w:type="pct"/>
          </w:tcPr>
          <w:p w14:paraId="28D46AEF" w14:textId="02203DCF"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c>
          <w:tcPr>
            <w:tcW w:w="1274" w:type="pct"/>
          </w:tcPr>
          <w:p w14:paraId="781716A2" w14:textId="29288888" w:rsidR="0065006B" w:rsidRPr="006C250D" w:rsidRDefault="0065006B" w:rsidP="003A3A7B">
            <w:pPr>
              <w:pStyle w:val="TableText0"/>
              <w:jc w:val="center"/>
              <w:rPr>
                <w:rFonts w:ascii="Times" w:hAnsi="Times"/>
              </w:rPr>
            </w:pPr>
            <w:r w:rsidRPr="006C250D">
              <w:t>$116,558</w:t>
            </w:r>
          </w:p>
        </w:tc>
        <w:tc>
          <w:tcPr>
            <w:tcW w:w="838" w:type="pct"/>
          </w:tcPr>
          <w:p w14:paraId="28CC2D74" w14:textId="749745AA"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r>
      <w:tr w:rsidR="0065006B" w:rsidRPr="006C250D" w14:paraId="359EB609" w14:textId="7871F100">
        <w:tc>
          <w:tcPr>
            <w:tcW w:w="1529" w:type="pct"/>
            <w:vAlign w:val="center"/>
          </w:tcPr>
          <w:p w14:paraId="47FFCF4F" w14:textId="6860634B" w:rsidR="0065006B" w:rsidRPr="006C250D" w:rsidRDefault="0065006B" w:rsidP="003A3A7B">
            <w:pPr>
              <w:pStyle w:val="TableText0"/>
              <w:rPr>
                <w:rFonts w:ascii="Times" w:hAnsi="Times"/>
              </w:rPr>
            </w:pPr>
            <w:r w:rsidRPr="006C250D">
              <w:t>LYG</w:t>
            </w:r>
          </w:p>
        </w:tc>
        <w:tc>
          <w:tcPr>
            <w:tcW w:w="1359" w:type="pct"/>
          </w:tcPr>
          <w:p w14:paraId="3BC0D501" w14:textId="03354EAE" w:rsidR="0065006B" w:rsidRPr="00C4650C" w:rsidRDefault="0065006B" w:rsidP="003A3A7B">
            <w:pPr>
              <w:pStyle w:val="TableText0"/>
              <w:jc w:val="center"/>
              <w:rPr>
                <w:rFonts w:ascii="Times" w:hAnsi="Times"/>
              </w:rPr>
            </w:pPr>
            <w:r w:rsidRPr="00C4650C">
              <w:t>4.300</w:t>
            </w:r>
          </w:p>
        </w:tc>
        <w:tc>
          <w:tcPr>
            <w:tcW w:w="1274" w:type="pct"/>
          </w:tcPr>
          <w:p w14:paraId="6FB84FE4" w14:textId="4C984C06" w:rsidR="0065006B" w:rsidRPr="00C4650C" w:rsidRDefault="0065006B" w:rsidP="003A3A7B">
            <w:pPr>
              <w:pStyle w:val="TableText0"/>
              <w:jc w:val="center"/>
              <w:rPr>
                <w:rFonts w:ascii="Times" w:hAnsi="Times"/>
              </w:rPr>
            </w:pPr>
            <w:r w:rsidRPr="00C4650C">
              <w:t>2.077</w:t>
            </w:r>
          </w:p>
        </w:tc>
        <w:tc>
          <w:tcPr>
            <w:tcW w:w="838" w:type="pct"/>
          </w:tcPr>
          <w:p w14:paraId="0CDDD771" w14:textId="411C5EE9" w:rsidR="0065006B" w:rsidRPr="00C4650C" w:rsidRDefault="0065006B" w:rsidP="003A3A7B">
            <w:pPr>
              <w:pStyle w:val="TableText0"/>
              <w:jc w:val="center"/>
            </w:pPr>
            <w:r w:rsidRPr="00C4650C">
              <w:t>2.223</w:t>
            </w:r>
          </w:p>
        </w:tc>
      </w:tr>
      <w:tr w:rsidR="0065006B" w:rsidRPr="006C250D" w14:paraId="26CE12F6" w14:textId="015A26DE">
        <w:tc>
          <w:tcPr>
            <w:tcW w:w="4162" w:type="pct"/>
            <w:gridSpan w:val="3"/>
            <w:vAlign w:val="center"/>
          </w:tcPr>
          <w:p w14:paraId="24BA42A6" w14:textId="59D530CB" w:rsidR="0065006B" w:rsidRPr="006C250D" w:rsidRDefault="0065006B" w:rsidP="003A3A7B">
            <w:pPr>
              <w:pStyle w:val="TableText0"/>
              <w:rPr>
                <w:rFonts w:ascii="Times" w:hAnsi="Times"/>
              </w:rPr>
            </w:pPr>
            <w:r w:rsidRPr="006C250D">
              <w:t>Incremental cost/extra LYG gained</w:t>
            </w:r>
          </w:p>
        </w:tc>
        <w:tc>
          <w:tcPr>
            <w:tcW w:w="838" w:type="pct"/>
            <w:vAlign w:val="center"/>
          </w:tcPr>
          <w:p w14:paraId="189BA9CE" w14:textId="5E96369E" w:rsidR="0065006B" w:rsidRPr="00B24C61" w:rsidRDefault="0065006B" w:rsidP="003A3A7B">
            <w:pPr>
              <w:pStyle w:val="TableText0"/>
              <w:jc w:val="center"/>
              <w:rPr>
                <w:rFonts w:ascii="Times" w:hAnsi="Times"/>
                <w:vertAlign w:val="superscript"/>
              </w:rPr>
            </w:pPr>
            <w:r w:rsidRPr="006C250D">
              <w:t>$</w:t>
            </w:r>
            <w:r w:rsidR="00D97164" w:rsidRPr="00D97164">
              <w:rPr>
                <w:highlight w:val="black"/>
              </w:rPr>
              <w:t>&amp;&amp;&amp;&amp;</w:t>
            </w:r>
            <w:r w:rsidR="00B24C61">
              <w:rPr>
                <w:vertAlign w:val="superscript"/>
              </w:rPr>
              <w:t>2</w:t>
            </w:r>
          </w:p>
        </w:tc>
      </w:tr>
      <w:tr w:rsidR="0065006B" w:rsidRPr="006C250D" w14:paraId="4F6F1A8B" w14:textId="5722132E">
        <w:tc>
          <w:tcPr>
            <w:tcW w:w="5000" w:type="pct"/>
            <w:gridSpan w:val="4"/>
            <w:vAlign w:val="center"/>
          </w:tcPr>
          <w:p w14:paraId="65506C57" w14:textId="5C52C504" w:rsidR="0065006B" w:rsidRPr="00B7468E" w:rsidRDefault="0065006B" w:rsidP="003A3A7B">
            <w:pPr>
              <w:pStyle w:val="In-tableHeading"/>
              <w:rPr>
                <w:b w:val="0"/>
                <w:bCs/>
              </w:rPr>
            </w:pPr>
            <w:r w:rsidRPr="006C250D">
              <w:t xml:space="preserve">Step 3: </w:t>
            </w:r>
            <w:r w:rsidRPr="00B7468E">
              <w:rPr>
                <w:b w:val="0"/>
                <w:bCs/>
              </w:rPr>
              <w:t xml:space="preserve">As above but </w:t>
            </w:r>
            <w:r w:rsidR="00C115D0">
              <w:rPr>
                <w:b w:val="0"/>
                <w:bCs/>
              </w:rPr>
              <w:t>Kaplan</w:t>
            </w:r>
            <w:r w:rsidR="003A3A7B">
              <w:rPr>
                <w:b w:val="0"/>
                <w:bCs/>
              </w:rPr>
              <w:noBreakHyphen/>
            </w:r>
            <w:r w:rsidR="00C115D0">
              <w:rPr>
                <w:b w:val="0"/>
                <w:bCs/>
              </w:rPr>
              <w:t>Meier</w:t>
            </w:r>
            <w:r w:rsidRPr="00B7468E">
              <w:rPr>
                <w:b w:val="0"/>
                <w:bCs/>
              </w:rPr>
              <w:t xml:space="preserve"> data used for PFS and OS until unreliable, then data extrapolated with parametric functions until 15 years</w:t>
            </w:r>
          </w:p>
          <w:p w14:paraId="59592AFB" w14:textId="28858B13" w:rsidR="0065006B" w:rsidRPr="00B7468E" w:rsidRDefault="0065006B" w:rsidP="003A3A7B">
            <w:pPr>
              <w:pStyle w:val="In-tableHeading"/>
              <w:rPr>
                <w:b w:val="0"/>
                <w:bCs/>
              </w:rPr>
            </w:pPr>
            <w:r w:rsidRPr="00B7468E">
              <w:rPr>
                <w:b w:val="0"/>
                <w:bCs/>
              </w:rPr>
              <w:t>Costs: As in Step 3</w:t>
            </w:r>
          </w:p>
          <w:p w14:paraId="4CD2D62B" w14:textId="5DA32728" w:rsidR="0065006B" w:rsidRPr="006C250D" w:rsidRDefault="0065006B" w:rsidP="003A3A7B">
            <w:pPr>
              <w:pStyle w:val="In-tableHeading"/>
            </w:pPr>
            <w:r w:rsidRPr="00B7468E">
              <w:rPr>
                <w:b w:val="0"/>
                <w:bCs/>
              </w:rPr>
              <w:t>Outcomes: LYs over the modelled time horizon</w:t>
            </w:r>
          </w:p>
        </w:tc>
      </w:tr>
      <w:tr w:rsidR="0065006B" w:rsidRPr="006C250D" w14:paraId="3FA85FCE" w14:textId="50853A94">
        <w:tc>
          <w:tcPr>
            <w:tcW w:w="1529" w:type="pct"/>
            <w:vAlign w:val="center"/>
          </w:tcPr>
          <w:p w14:paraId="745A280D" w14:textId="1EF09C65" w:rsidR="0065006B" w:rsidRPr="006C250D" w:rsidRDefault="0065006B" w:rsidP="003A3A7B">
            <w:pPr>
              <w:pStyle w:val="TableText0"/>
              <w:rPr>
                <w:rFonts w:ascii="Times" w:hAnsi="Times"/>
              </w:rPr>
            </w:pPr>
            <w:r w:rsidRPr="006C250D">
              <w:t>Costs</w:t>
            </w:r>
          </w:p>
        </w:tc>
        <w:tc>
          <w:tcPr>
            <w:tcW w:w="1359" w:type="pct"/>
          </w:tcPr>
          <w:p w14:paraId="41BF6798" w14:textId="590DB17E"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c>
          <w:tcPr>
            <w:tcW w:w="1274" w:type="pct"/>
          </w:tcPr>
          <w:p w14:paraId="66F60935" w14:textId="3757ED30" w:rsidR="0065006B" w:rsidRPr="006C250D" w:rsidRDefault="0065006B" w:rsidP="003A3A7B">
            <w:pPr>
              <w:pStyle w:val="TableText0"/>
              <w:jc w:val="center"/>
              <w:rPr>
                <w:rFonts w:ascii="Times" w:hAnsi="Times"/>
              </w:rPr>
            </w:pPr>
            <w:r w:rsidRPr="006C250D">
              <w:t>$116,661</w:t>
            </w:r>
          </w:p>
        </w:tc>
        <w:tc>
          <w:tcPr>
            <w:tcW w:w="838" w:type="pct"/>
          </w:tcPr>
          <w:p w14:paraId="07CC320A" w14:textId="435E4F40"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r>
      <w:tr w:rsidR="0065006B" w:rsidRPr="006C250D" w14:paraId="04042090" w14:textId="68F681F0">
        <w:tc>
          <w:tcPr>
            <w:tcW w:w="1529" w:type="pct"/>
            <w:vAlign w:val="center"/>
          </w:tcPr>
          <w:p w14:paraId="39704830" w14:textId="028275EF" w:rsidR="0065006B" w:rsidRPr="006C250D" w:rsidRDefault="0065006B" w:rsidP="003A3A7B">
            <w:pPr>
              <w:pStyle w:val="TableText0"/>
              <w:rPr>
                <w:rFonts w:ascii="Times" w:hAnsi="Times"/>
              </w:rPr>
            </w:pPr>
            <w:r w:rsidRPr="006C250D">
              <w:t>LYG</w:t>
            </w:r>
          </w:p>
        </w:tc>
        <w:tc>
          <w:tcPr>
            <w:tcW w:w="1359" w:type="pct"/>
          </w:tcPr>
          <w:p w14:paraId="238E37ED" w14:textId="455E12C8" w:rsidR="0065006B" w:rsidRPr="00C4650C" w:rsidRDefault="0065006B" w:rsidP="003A3A7B">
            <w:pPr>
              <w:pStyle w:val="TableText0"/>
              <w:jc w:val="center"/>
              <w:rPr>
                <w:rFonts w:ascii="Times" w:hAnsi="Times"/>
              </w:rPr>
            </w:pPr>
            <w:r w:rsidRPr="00C4650C">
              <w:t>4.248</w:t>
            </w:r>
          </w:p>
        </w:tc>
        <w:tc>
          <w:tcPr>
            <w:tcW w:w="1274" w:type="pct"/>
          </w:tcPr>
          <w:p w14:paraId="22043473" w14:textId="2D989EF5" w:rsidR="0065006B" w:rsidRPr="00C4650C" w:rsidRDefault="0065006B" w:rsidP="003A3A7B">
            <w:pPr>
              <w:pStyle w:val="TableText0"/>
              <w:jc w:val="center"/>
              <w:rPr>
                <w:rFonts w:ascii="Times" w:hAnsi="Times"/>
              </w:rPr>
            </w:pPr>
            <w:r w:rsidRPr="00C4650C">
              <w:t>1.990</w:t>
            </w:r>
          </w:p>
        </w:tc>
        <w:tc>
          <w:tcPr>
            <w:tcW w:w="838" w:type="pct"/>
          </w:tcPr>
          <w:p w14:paraId="165CDFD8" w14:textId="2EFADCD4" w:rsidR="0065006B" w:rsidRPr="00C4650C" w:rsidRDefault="0065006B" w:rsidP="003A3A7B">
            <w:pPr>
              <w:pStyle w:val="TableText0"/>
              <w:jc w:val="center"/>
            </w:pPr>
            <w:r w:rsidRPr="00C4650C">
              <w:t>2.259</w:t>
            </w:r>
          </w:p>
        </w:tc>
      </w:tr>
      <w:tr w:rsidR="0065006B" w:rsidRPr="006C250D" w14:paraId="354943C2" w14:textId="6BE43BE2">
        <w:tc>
          <w:tcPr>
            <w:tcW w:w="4162" w:type="pct"/>
            <w:gridSpan w:val="3"/>
            <w:vAlign w:val="center"/>
          </w:tcPr>
          <w:p w14:paraId="2D61E58B" w14:textId="619508D5" w:rsidR="0065006B" w:rsidRPr="006C250D" w:rsidRDefault="0065006B" w:rsidP="003A3A7B">
            <w:pPr>
              <w:pStyle w:val="TableText0"/>
              <w:rPr>
                <w:rFonts w:ascii="Times" w:hAnsi="Times"/>
              </w:rPr>
            </w:pPr>
            <w:r w:rsidRPr="006C250D">
              <w:t>Incremental cost/extra LYG gained</w:t>
            </w:r>
          </w:p>
        </w:tc>
        <w:tc>
          <w:tcPr>
            <w:tcW w:w="838" w:type="pct"/>
            <w:vAlign w:val="center"/>
          </w:tcPr>
          <w:p w14:paraId="1FAFC5F0" w14:textId="3A6B39E9" w:rsidR="0065006B" w:rsidRPr="00B24C61" w:rsidRDefault="0065006B" w:rsidP="003A3A7B">
            <w:pPr>
              <w:pStyle w:val="TableText0"/>
              <w:jc w:val="center"/>
              <w:rPr>
                <w:rFonts w:ascii="Times" w:hAnsi="Times"/>
                <w:vertAlign w:val="superscript"/>
              </w:rPr>
            </w:pPr>
            <w:r w:rsidRPr="006C250D">
              <w:t>$</w:t>
            </w:r>
            <w:r w:rsidR="00D97164" w:rsidRPr="00D97164">
              <w:rPr>
                <w:highlight w:val="black"/>
              </w:rPr>
              <w:t>&amp;&amp;&amp;&amp;</w:t>
            </w:r>
            <w:r w:rsidR="00B24C61">
              <w:rPr>
                <w:vertAlign w:val="superscript"/>
              </w:rPr>
              <w:t>2</w:t>
            </w:r>
          </w:p>
        </w:tc>
      </w:tr>
      <w:tr w:rsidR="0065006B" w:rsidRPr="006C250D" w14:paraId="3CA94349" w14:textId="7A8192FF">
        <w:tc>
          <w:tcPr>
            <w:tcW w:w="5000" w:type="pct"/>
            <w:gridSpan w:val="4"/>
            <w:vAlign w:val="center"/>
          </w:tcPr>
          <w:p w14:paraId="18EB938B" w14:textId="6E3ACDF4" w:rsidR="0065006B" w:rsidRPr="00237DA6" w:rsidRDefault="0065006B" w:rsidP="003A3A7B">
            <w:pPr>
              <w:pStyle w:val="In-tableHeading"/>
              <w:rPr>
                <w:b w:val="0"/>
                <w:bCs/>
              </w:rPr>
            </w:pPr>
            <w:r w:rsidRPr="006C250D">
              <w:t xml:space="preserve">Step 4: </w:t>
            </w:r>
            <w:r w:rsidRPr="00237DA6">
              <w:rPr>
                <w:b w:val="0"/>
                <w:bCs/>
              </w:rPr>
              <w:t>Transformation of LYs to QALYs.</w:t>
            </w:r>
          </w:p>
          <w:p w14:paraId="20880BD2" w14:textId="3C526069" w:rsidR="0065006B" w:rsidRPr="00237DA6" w:rsidRDefault="0065006B" w:rsidP="003A3A7B">
            <w:pPr>
              <w:pStyle w:val="In-tableHeading"/>
              <w:rPr>
                <w:b w:val="0"/>
                <w:bCs/>
              </w:rPr>
            </w:pPr>
            <w:r w:rsidRPr="00237DA6">
              <w:rPr>
                <w:b w:val="0"/>
                <w:bCs/>
              </w:rPr>
              <w:t>Costs: As in Step 3</w:t>
            </w:r>
          </w:p>
          <w:p w14:paraId="1E3A4657" w14:textId="0087F2FD" w:rsidR="0065006B" w:rsidRPr="006C250D" w:rsidRDefault="0065006B" w:rsidP="003A3A7B">
            <w:pPr>
              <w:pStyle w:val="In-tableHeading"/>
            </w:pPr>
            <w:r w:rsidRPr="00237DA6">
              <w:rPr>
                <w:b w:val="0"/>
                <w:bCs/>
              </w:rPr>
              <w:t>Outcomes: QALYs over the modelled time horizon of 15 years</w:t>
            </w:r>
          </w:p>
        </w:tc>
      </w:tr>
      <w:tr w:rsidR="0065006B" w:rsidRPr="006C250D" w14:paraId="37E8AE3A" w14:textId="76D3B8C8">
        <w:tc>
          <w:tcPr>
            <w:tcW w:w="1529" w:type="pct"/>
            <w:vAlign w:val="center"/>
          </w:tcPr>
          <w:p w14:paraId="44870C87" w14:textId="5CFB1945" w:rsidR="0065006B" w:rsidRPr="006C250D" w:rsidRDefault="0065006B" w:rsidP="003A3A7B">
            <w:pPr>
              <w:pStyle w:val="TableText0"/>
              <w:rPr>
                <w:rFonts w:ascii="Times" w:hAnsi="Times"/>
              </w:rPr>
            </w:pPr>
            <w:r w:rsidRPr="006C250D">
              <w:t>Costs</w:t>
            </w:r>
          </w:p>
        </w:tc>
        <w:tc>
          <w:tcPr>
            <w:tcW w:w="1359" w:type="pct"/>
          </w:tcPr>
          <w:p w14:paraId="0BF87C0D" w14:textId="2199D2ED"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c>
          <w:tcPr>
            <w:tcW w:w="1274" w:type="pct"/>
          </w:tcPr>
          <w:p w14:paraId="56BBAC81" w14:textId="23DB6F0D" w:rsidR="0065006B" w:rsidRPr="006C250D" w:rsidRDefault="0065006B" w:rsidP="003A3A7B">
            <w:pPr>
              <w:pStyle w:val="TableText0"/>
              <w:jc w:val="center"/>
              <w:rPr>
                <w:rFonts w:ascii="Times" w:hAnsi="Times"/>
              </w:rPr>
            </w:pPr>
            <w:r w:rsidRPr="006C250D">
              <w:t>$116,661</w:t>
            </w:r>
          </w:p>
        </w:tc>
        <w:tc>
          <w:tcPr>
            <w:tcW w:w="838" w:type="pct"/>
          </w:tcPr>
          <w:p w14:paraId="78D5AA06" w14:textId="478EC8CF" w:rsidR="0065006B" w:rsidRPr="006C250D" w:rsidRDefault="0065006B" w:rsidP="003A3A7B">
            <w:pPr>
              <w:pStyle w:val="TableText0"/>
              <w:jc w:val="center"/>
              <w:rPr>
                <w:rFonts w:ascii="Times" w:hAnsi="Times"/>
              </w:rPr>
            </w:pPr>
            <w:r w:rsidRPr="006C250D">
              <w:t>$</w:t>
            </w:r>
            <w:r w:rsidR="00D97164" w:rsidRPr="00D97164">
              <w:rPr>
                <w:highlight w:val="black"/>
              </w:rPr>
              <w:t>&amp;&amp;&amp;&amp;</w:t>
            </w:r>
          </w:p>
        </w:tc>
      </w:tr>
      <w:tr w:rsidR="0065006B" w:rsidRPr="006C250D" w14:paraId="65CD09CD" w14:textId="6205C878">
        <w:tc>
          <w:tcPr>
            <w:tcW w:w="1529" w:type="pct"/>
            <w:vAlign w:val="center"/>
          </w:tcPr>
          <w:p w14:paraId="7470BF42" w14:textId="3DDB579A" w:rsidR="0065006B" w:rsidRPr="006C250D" w:rsidRDefault="0065006B" w:rsidP="003A3A7B">
            <w:pPr>
              <w:pStyle w:val="TableText0"/>
              <w:rPr>
                <w:rFonts w:ascii="Times" w:hAnsi="Times"/>
              </w:rPr>
            </w:pPr>
            <w:r w:rsidRPr="006C250D">
              <w:t>QALYs</w:t>
            </w:r>
          </w:p>
        </w:tc>
        <w:tc>
          <w:tcPr>
            <w:tcW w:w="1359" w:type="pct"/>
          </w:tcPr>
          <w:p w14:paraId="24663F2A" w14:textId="32B09D08" w:rsidR="0065006B" w:rsidRPr="00C4650C" w:rsidRDefault="0065006B" w:rsidP="003A3A7B">
            <w:pPr>
              <w:pStyle w:val="TableText0"/>
              <w:jc w:val="center"/>
              <w:rPr>
                <w:rFonts w:ascii="Times" w:hAnsi="Times"/>
              </w:rPr>
            </w:pPr>
            <w:r w:rsidRPr="00C4650C">
              <w:t>3.211</w:t>
            </w:r>
          </w:p>
        </w:tc>
        <w:tc>
          <w:tcPr>
            <w:tcW w:w="1274" w:type="pct"/>
          </w:tcPr>
          <w:p w14:paraId="0191EF3A" w14:textId="599FE68C" w:rsidR="0065006B" w:rsidRPr="00C4650C" w:rsidRDefault="0065006B" w:rsidP="003A3A7B">
            <w:pPr>
              <w:pStyle w:val="TableText0"/>
              <w:jc w:val="center"/>
              <w:rPr>
                <w:rFonts w:ascii="Times" w:hAnsi="Times"/>
              </w:rPr>
            </w:pPr>
            <w:r w:rsidRPr="00C4650C">
              <w:t>1.480</w:t>
            </w:r>
          </w:p>
        </w:tc>
        <w:tc>
          <w:tcPr>
            <w:tcW w:w="838" w:type="pct"/>
          </w:tcPr>
          <w:p w14:paraId="569323B0" w14:textId="03B8C261" w:rsidR="0065006B" w:rsidRPr="00C4650C" w:rsidRDefault="0065006B" w:rsidP="003A3A7B">
            <w:pPr>
              <w:pStyle w:val="TableText0"/>
              <w:jc w:val="center"/>
            </w:pPr>
            <w:r w:rsidRPr="00C4650C">
              <w:t>1.730</w:t>
            </w:r>
          </w:p>
        </w:tc>
      </w:tr>
      <w:tr w:rsidR="0065006B" w:rsidRPr="006C250D" w14:paraId="6CF4547B" w14:textId="7CE27CC9">
        <w:tc>
          <w:tcPr>
            <w:tcW w:w="4162" w:type="pct"/>
            <w:gridSpan w:val="3"/>
            <w:vAlign w:val="center"/>
          </w:tcPr>
          <w:p w14:paraId="05FDF43D" w14:textId="00EF25A6" w:rsidR="0065006B" w:rsidRPr="006C250D" w:rsidRDefault="0065006B" w:rsidP="003A3A7B">
            <w:pPr>
              <w:pStyle w:val="TableText0"/>
              <w:rPr>
                <w:rFonts w:ascii="Times" w:hAnsi="Times"/>
                <w:b/>
                <w:bCs w:val="0"/>
              </w:rPr>
            </w:pPr>
            <w:r w:rsidRPr="006C250D">
              <w:rPr>
                <w:b/>
                <w:bCs w:val="0"/>
              </w:rPr>
              <w:t>Incremental cost/extra QALY gained (base case)</w:t>
            </w:r>
          </w:p>
        </w:tc>
        <w:tc>
          <w:tcPr>
            <w:tcW w:w="838" w:type="pct"/>
            <w:vAlign w:val="center"/>
          </w:tcPr>
          <w:p w14:paraId="7A8F77D0" w14:textId="501A4270" w:rsidR="0065006B" w:rsidRPr="00F363BD" w:rsidRDefault="0065006B" w:rsidP="003A3A7B">
            <w:pPr>
              <w:pStyle w:val="TableText0"/>
              <w:jc w:val="center"/>
              <w:rPr>
                <w:rFonts w:ascii="Times" w:hAnsi="Times"/>
                <w:b/>
                <w:bCs w:val="0"/>
                <w:vertAlign w:val="superscript"/>
              </w:rPr>
            </w:pPr>
            <w:r w:rsidRPr="006C250D">
              <w:rPr>
                <w:b/>
                <w:bCs w:val="0"/>
              </w:rPr>
              <w:t>$</w:t>
            </w:r>
            <w:r w:rsidR="00D97164" w:rsidRPr="00D97164">
              <w:rPr>
                <w:b/>
                <w:bCs w:val="0"/>
                <w:highlight w:val="black"/>
              </w:rPr>
              <w:t>&amp;&amp;&amp;&amp;</w:t>
            </w:r>
            <w:r w:rsidR="00F363BD" w:rsidRPr="00F363BD">
              <w:rPr>
                <w:vertAlign w:val="superscript"/>
              </w:rPr>
              <w:t>3</w:t>
            </w:r>
          </w:p>
        </w:tc>
      </w:tr>
    </w:tbl>
    <w:p w14:paraId="7459DE81" w14:textId="1C7F127E" w:rsidR="0065006B" w:rsidRPr="006C250D" w:rsidRDefault="0065006B" w:rsidP="003A3A7B">
      <w:pPr>
        <w:pStyle w:val="FooterTableFigure"/>
      </w:pPr>
      <w:r w:rsidRPr="006C250D">
        <w:t>Source: Table 3.23, p200 of the submission</w:t>
      </w:r>
      <w:r w:rsidR="00EF6C7F">
        <w:t xml:space="preserve"> and Table 4, p6 of the PSCR</w:t>
      </w:r>
    </w:p>
    <w:p w14:paraId="36B9E364" w14:textId="2F2734D7" w:rsidR="0065006B" w:rsidRDefault="0065006B" w:rsidP="003A3A7B">
      <w:pPr>
        <w:pStyle w:val="FooterTableFigure"/>
      </w:pPr>
      <w:r w:rsidRPr="006C250D">
        <w:t xml:space="preserve">E+B = </w:t>
      </w:r>
      <w:proofErr w:type="spellStart"/>
      <w:r w:rsidRPr="006C250D">
        <w:t>encorafenib</w:t>
      </w:r>
      <w:proofErr w:type="spellEnd"/>
      <w:r w:rsidRPr="006C250D">
        <w:t xml:space="preserve"> and </w:t>
      </w:r>
      <w:proofErr w:type="spellStart"/>
      <w:r w:rsidRPr="006C250D">
        <w:t>binimetinib</w:t>
      </w:r>
      <w:proofErr w:type="spellEnd"/>
      <w:r w:rsidRPr="006C250D">
        <w:t>; OS = overall survival; LY = life</w:t>
      </w:r>
      <w:r w:rsidR="003A3A7B">
        <w:noBreakHyphen/>
      </w:r>
      <w:r w:rsidRPr="006C250D">
        <w:t>years; PDC = platinum</w:t>
      </w:r>
      <w:r w:rsidR="003A3A7B">
        <w:noBreakHyphen/>
      </w:r>
      <w:r w:rsidRPr="006C250D">
        <w:t>doublet chemotherapy; PFS = progression</w:t>
      </w:r>
      <w:r w:rsidR="003A3A7B">
        <w:noBreakHyphen/>
      </w:r>
      <w:r w:rsidRPr="006C250D">
        <w:t>free survival; QALY = quality</w:t>
      </w:r>
      <w:r w:rsidR="003A3A7B">
        <w:noBreakHyphen/>
      </w:r>
      <w:r w:rsidRPr="006C250D">
        <w:t xml:space="preserve">adjusted life years. </w:t>
      </w:r>
    </w:p>
    <w:p w14:paraId="39E6E694" w14:textId="195727BA" w:rsidR="00B20DCD" w:rsidRPr="006C250D" w:rsidRDefault="0070332F" w:rsidP="003A3A7B">
      <w:pPr>
        <w:pStyle w:val="FooterTableFigure"/>
      </w:pPr>
      <w:r>
        <w:t>Note: the submission applied a 50% discount to the published DPMA for pembrolizumab.</w:t>
      </w:r>
    </w:p>
    <w:p w14:paraId="7B108E1D" w14:textId="280ECAF5" w:rsidR="00635DF5" w:rsidRDefault="00635DF5" w:rsidP="003A3A7B">
      <w:pPr>
        <w:pStyle w:val="Caption"/>
      </w:pPr>
      <w:bookmarkStart w:id="83" w:name="_Ref206001177"/>
      <w:r>
        <w:t xml:space="preserve">Table </w:t>
      </w:r>
      <w:r w:rsidR="00C12B89">
        <w:t>17</w:t>
      </w:r>
      <w:bookmarkEnd w:id="83"/>
      <w:r>
        <w:t xml:space="preserve">: </w:t>
      </w:r>
      <w:r w:rsidRPr="006C250D">
        <w:t xml:space="preserve">Incremental cost per QALY of E+B versus </w:t>
      </w:r>
      <w:r w:rsidR="001A00CC">
        <w:t>D+T</w:t>
      </w:r>
    </w:p>
    <w:tbl>
      <w:tblPr>
        <w:tblStyle w:val="TableGrid"/>
        <w:tblW w:w="5000" w:type="pct"/>
        <w:tblLook w:val="04A0" w:firstRow="1" w:lastRow="0" w:firstColumn="1" w:lastColumn="0" w:noHBand="0" w:noVBand="1"/>
        <w:tblCaption w:val="Table 17: Incremental cost per QALY of E+B versus D+T"/>
      </w:tblPr>
      <w:tblGrid>
        <w:gridCol w:w="2755"/>
        <w:gridCol w:w="2400"/>
        <w:gridCol w:w="2399"/>
        <w:gridCol w:w="1463"/>
      </w:tblGrid>
      <w:tr w:rsidR="007F6290" w:rsidRPr="002B44C7" w14:paraId="206AA3A6" w14:textId="680311C8" w:rsidTr="004D1C5E">
        <w:tc>
          <w:tcPr>
            <w:tcW w:w="1528" w:type="pct"/>
            <w:tcMar>
              <w:left w:w="20" w:type="dxa"/>
              <w:right w:w="20" w:type="dxa"/>
            </w:tcMar>
          </w:tcPr>
          <w:p w14:paraId="4AB04313" w14:textId="0EAAE6B5" w:rsidR="007F6290" w:rsidRPr="00CF4FBD" w:rsidRDefault="007F6290" w:rsidP="003A3A7B">
            <w:pPr>
              <w:pStyle w:val="TableText0"/>
              <w:rPr>
                <w:b/>
                <w:bCs w:val="0"/>
              </w:rPr>
            </w:pPr>
            <w:r w:rsidRPr="00CF4FBD">
              <w:rPr>
                <w:b/>
                <w:bCs w:val="0"/>
              </w:rPr>
              <w:t>Parameter</w:t>
            </w:r>
          </w:p>
        </w:tc>
        <w:tc>
          <w:tcPr>
            <w:tcW w:w="1331" w:type="pct"/>
            <w:tcMar>
              <w:left w:w="20" w:type="dxa"/>
              <w:right w:w="20" w:type="dxa"/>
            </w:tcMar>
          </w:tcPr>
          <w:p w14:paraId="670A1847" w14:textId="29E92C8C" w:rsidR="007F6290" w:rsidRPr="00CF4FBD" w:rsidRDefault="007F6290" w:rsidP="003A3A7B">
            <w:pPr>
              <w:pStyle w:val="TableText0"/>
              <w:jc w:val="center"/>
              <w:rPr>
                <w:b/>
                <w:bCs w:val="0"/>
              </w:rPr>
            </w:pPr>
            <w:proofErr w:type="spellStart"/>
            <w:r w:rsidRPr="00CF4FBD">
              <w:rPr>
                <w:b/>
                <w:bCs w:val="0"/>
              </w:rPr>
              <w:t>Encorafenib</w:t>
            </w:r>
            <w:proofErr w:type="spellEnd"/>
            <w:r w:rsidRPr="00CF4FBD">
              <w:rPr>
                <w:b/>
                <w:bCs w:val="0"/>
              </w:rPr>
              <w:t xml:space="preserve"> + </w:t>
            </w:r>
            <w:proofErr w:type="spellStart"/>
            <w:r w:rsidRPr="00CF4FBD">
              <w:rPr>
                <w:b/>
                <w:bCs w:val="0"/>
              </w:rPr>
              <w:t>binimetinib</w:t>
            </w:r>
            <w:proofErr w:type="spellEnd"/>
          </w:p>
        </w:tc>
        <w:tc>
          <w:tcPr>
            <w:tcW w:w="1330" w:type="pct"/>
            <w:tcMar>
              <w:left w:w="20" w:type="dxa"/>
              <w:right w:w="20" w:type="dxa"/>
            </w:tcMar>
          </w:tcPr>
          <w:p w14:paraId="0952369C" w14:textId="58744E82" w:rsidR="007F6290" w:rsidRPr="00CF4FBD" w:rsidRDefault="007F6290" w:rsidP="003A3A7B">
            <w:pPr>
              <w:pStyle w:val="TableText0"/>
              <w:jc w:val="center"/>
              <w:rPr>
                <w:b/>
                <w:bCs w:val="0"/>
              </w:rPr>
            </w:pPr>
            <w:r w:rsidRPr="00CF4FBD">
              <w:rPr>
                <w:b/>
                <w:bCs w:val="0"/>
              </w:rPr>
              <w:t>Dabrafenib + trametinib</w:t>
            </w:r>
          </w:p>
        </w:tc>
        <w:tc>
          <w:tcPr>
            <w:tcW w:w="811" w:type="pct"/>
            <w:tcMar>
              <w:left w:w="20" w:type="dxa"/>
              <w:right w:w="20" w:type="dxa"/>
            </w:tcMar>
          </w:tcPr>
          <w:p w14:paraId="3205B7D8" w14:textId="455EFC55" w:rsidR="007F6290" w:rsidRPr="00CF4FBD" w:rsidRDefault="007F6290" w:rsidP="003A3A7B">
            <w:pPr>
              <w:pStyle w:val="TableText0"/>
              <w:jc w:val="center"/>
              <w:rPr>
                <w:b/>
                <w:bCs w:val="0"/>
              </w:rPr>
            </w:pPr>
            <w:r w:rsidRPr="00CF4FBD">
              <w:rPr>
                <w:b/>
                <w:bCs w:val="0"/>
              </w:rPr>
              <w:t>Incremental</w:t>
            </w:r>
          </w:p>
        </w:tc>
      </w:tr>
      <w:tr w:rsidR="007F6290" w:rsidRPr="002B44C7" w14:paraId="0F0759B3" w14:textId="040C9F21" w:rsidTr="004D1C5E">
        <w:tc>
          <w:tcPr>
            <w:tcW w:w="1528" w:type="pct"/>
            <w:tcMar>
              <w:left w:w="20" w:type="dxa"/>
              <w:right w:w="20" w:type="dxa"/>
            </w:tcMar>
          </w:tcPr>
          <w:p w14:paraId="3614EA67" w14:textId="77C2F843" w:rsidR="007F6290" w:rsidRPr="002B44C7" w:rsidRDefault="007F6290" w:rsidP="003A3A7B">
            <w:pPr>
              <w:pStyle w:val="TableText0"/>
            </w:pPr>
            <w:r w:rsidRPr="002B44C7">
              <w:t>Cost</w:t>
            </w:r>
          </w:p>
        </w:tc>
        <w:tc>
          <w:tcPr>
            <w:tcW w:w="1331" w:type="pct"/>
            <w:tcMar>
              <w:left w:w="20" w:type="dxa"/>
              <w:right w:w="20" w:type="dxa"/>
            </w:tcMar>
          </w:tcPr>
          <w:p w14:paraId="5B7135C0" w14:textId="632E5759" w:rsidR="007F6290" w:rsidRPr="002B44C7" w:rsidRDefault="007F6290" w:rsidP="003A3A7B">
            <w:pPr>
              <w:pStyle w:val="TableText0"/>
              <w:jc w:val="center"/>
            </w:pPr>
            <w:r w:rsidRPr="002B44C7">
              <w:t>$</w:t>
            </w:r>
            <w:r w:rsidR="00D97164" w:rsidRPr="00D97164">
              <w:rPr>
                <w:highlight w:val="black"/>
              </w:rPr>
              <w:t>&amp;&amp;&amp;&amp;</w:t>
            </w:r>
          </w:p>
        </w:tc>
        <w:tc>
          <w:tcPr>
            <w:tcW w:w="1330" w:type="pct"/>
            <w:tcMar>
              <w:left w:w="20" w:type="dxa"/>
              <w:right w:w="20" w:type="dxa"/>
            </w:tcMar>
          </w:tcPr>
          <w:p w14:paraId="2127F9C4" w14:textId="1501AFE3" w:rsidR="007F6290" w:rsidRPr="002B44C7" w:rsidRDefault="007F6290" w:rsidP="003A3A7B">
            <w:pPr>
              <w:pStyle w:val="TableText0"/>
              <w:jc w:val="center"/>
            </w:pPr>
            <w:r w:rsidRPr="002B44C7">
              <w:t>$137,749</w:t>
            </w:r>
          </w:p>
        </w:tc>
        <w:tc>
          <w:tcPr>
            <w:tcW w:w="811" w:type="pct"/>
            <w:tcMar>
              <w:left w:w="20" w:type="dxa"/>
              <w:right w:w="20" w:type="dxa"/>
            </w:tcMar>
          </w:tcPr>
          <w:p w14:paraId="15A5A714" w14:textId="56E6968D" w:rsidR="007F6290" w:rsidRPr="002B44C7" w:rsidRDefault="007F6290" w:rsidP="003A3A7B">
            <w:pPr>
              <w:pStyle w:val="TableText0"/>
              <w:jc w:val="center"/>
            </w:pPr>
            <w:r w:rsidRPr="002B44C7">
              <w:t>$</w:t>
            </w:r>
            <w:r w:rsidR="00D97164" w:rsidRPr="00D97164">
              <w:rPr>
                <w:highlight w:val="black"/>
              </w:rPr>
              <w:t>&amp;&amp;&amp;&amp;</w:t>
            </w:r>
          </w:p>
        </w:tc>
      </w:tr>
      <w:tr w:rsidR="007F6290" w:rsidRPr="002B44C7" w14:paraId="5F9CE8B2" w14:textId="07B458C2" w:rsidTr="004D1C5E">
        <w:tc>
          <w:tcPr>
            <w:tcW w:w="1528" w:type="pct"/>
            <w:tcMar>
              <w:left w:w="20" w:type="dxa"/>
              <w:right w:w="20" w:type="dxa"/>
            </w:tcMar>
          </w:tcPr>
          <w:p w14:paraId="2808DAAE" w14:textId="30B2FEFF" w:rsidR="007F6290" w:rsidRPr="002B44C7" w:rsidRDefault="007F6290" w:rsidP="003A3A7B">
            <w:pPr>
              <w:pStyle w:val="TableText0"/>
            </w:pPr>
            <w:r w:rsidRPr="002B44C7">
              <w:t xml:space="preserve">QALYs </w:t>
            </w:r>
          </w:p>
        </w:tc>
        <w:tc>
          <w:tcPr>
            <w:tcW w:w="1331" w:type="pct"/>
            <w:tcMar>
              <w:left w:w="20" w:type="dxa"/>
              <w:right w:w="20" w:type="dxa"/>
            </w:tcMar>
          </w:tcPr>
          <w:p w14:paraId="76BA16F4" w14:textId="73D3A6BC" w:rsidR="007F6290" w:rsidRPr="00C4650C" w:rsidRDefault="007F6290" w:rsidP="003A3A7B">
            <w:pPr>
              <w:pStyle w:val="TableText0"/>
              <w:jc w:val="center"/>
            </w:pPr>
            <w:r w:rsidRPr="00C4650C">
              <w:t>3.211</w:t>
            </w:r>
          </w:p>
        </w:tc>
        <w:tc>
          <w:tcPr>
            <w:tcW w:w="1330" w:type="pct"/>
            <w:tcMar>
              <w:left w:w="20" w:type="dxa"/>
              <w:right w:w="20" w:type="dxa"/>
            </w:tcMar>
          </w:tcPr>
          <w:p w14:paraId="5C0F955C" w14:textId="1DF184F2" w:rsidR="007F6290" w:rsidRPr="00C4650C" w:rsidRDefault="007F6290" w:rsidP="003A3A7B">
            <w:pPr>
              <w:pStyle w:val="TableText0"/>
              <w:jc w:val="center"/>
            </w:pPr>
            <w:r w:rsidRPr="00C4650C">
              <w:t>1.951</w:t>
            </w:r>
          </w:p>
        </w:tc>
        <w:tc>
          <w:tcPr>
            <w:tcW w:w="811" w:type="pct"/>
            <w:tcMar>
              <w:left w:w="20" w:type="dxa"/>
              <w:right w:w="20" w:type="dxa"/>
            </w:tcMar>
          </w:tcPr>
          <w:p w14:paraId="5CE1DB0A" w14:textId="0F3F3A82" w:rsidR="007F6290" w:rsidRPr="00C4650C" w:rsidRDefault="007F6290" w:rsidP="003A3A7B">
            <w:pPr>
              <w:pStyle w:val="TableText0"/>
              <w:jc w:val="center"/>
            </w:pPr>
            <w:r w:rsidRPr="00C4650C">
              <w:t>1.260</w:t>
            </w:r>
          </w:p>
        </w:tc>
      </w:tr>
      <w:tr w:rsidR="007F6290" w:rsidRPr="002B44C7" w14:paraId="1B7C3E93" w14:textId="5551F09D" w:rsidTr="004D1C5E">
        <w:tc>
          <w:tcPr>
            <w:tcW w:w="4189" w:type="pct"/>
            <w:gridSpan w:val="3"/>
            <w:tcMar>
              <w:left w:w="20" w:type="dxa"/>
              <w:right w:w="20" w:type="dxa"/>
            </w:tcMar>
          </w:tcPr>
          <w:p w14:paraId="2197DB3E" w14:textId="06B7051C" w:rsidR="007F6290" w:rsidRPr="0014373C" w:rsidRDefault="007F6290" w:rsidP="003A3A7B">
            <w:pPr>
              <w:pStyle w:val="TableText0"/>
              <w:rPr>
                <w:b/>
                <w:bCs w:val="0"/>
              </w:rPr>
            </w:pPr>
            <w:r w:rsidRPr="0014373C">
              <w:rPr>
                <w:b/>
                <w:bCs w:val="0"/>
              </w:rPr>
              <w:t>Incremental cost per QALY</w:t>
            </w:r>
          </w:p>
        </w:tc>
        <w:tc>
          <w:tcPr>
            <w:tcW w:w="811" w:type="pct"/>
            <w:tcMar>
              <w:left w:w="20" w:type="dxa"/>
              <w:right w:w="20" w:type="dxa"/>
            </w:tcMar>
          </w:tcPr>
          <w:p w14:paraId="59C2A68C" w14:textId="63286FD8" w:rsidR="007F6290" w:rsidRPr="00F363BD" w:rsidRDefault="007F6290" w:rsidP="003A3A7B">
            <w:pPr>
              <w:pStyle w:val="TableText0"/>
              <w:jc w:val="center"/>
              <w:rPr>
                <w:vertAlign w:val="superscript"/>
              </w:rPr>
            </w:pPr>
            <w:r w:rsidRPr="0014373C">
              <w:rPr>
                <w:b/>
                <w:bCs w:val="0"/>
              </w:rPr>
              <w:t>$</w:t>
            </w:r>
            <w:r w:rsidR="00D97164" w:rsidRPr="00D97164">
              <w:rPr>
                <w:b/>
                <w:bCs w:val="0"/>
                <w:highlight w:val="black"/>
              </w:rPr>
              <w:t>&amp;&amp;&amp;&amp;</w:t>
            </w:r>
            <w:r w:rsidR="00F363BD">
              <w:rPr>
                <w:vertAlign w:val="superscript"/>
              </w:rPr>
              <w:t>3</w:t>
            </w:r>
          </w:p>
        </w:tc>
      </w:tr>
    </w:tbl>
    <w:p w14:paraId="4D66B41F" w14:textId="6167096E" w:rsidR="001A00CC" w:rsidRDefault="001A00CC" w:rsidP="003A3A7B">
      <w:pPr>
        <w:pStyle w:val="TableFigureFooter"/>
        <w:rPr>
          <w:lang w:val="en-US"/>
        </w:rPr>
      </w:pPr>
      <w:r w:rsidRPr="006C250D">
        <w:rPr>
          <w:lang w:val="en-US"/>
        </w:rPr>
        <w:t xml:space="preserve">Source: </w:t>
      </w:r>
      <w:r>
        <w:rPr>
          <w:lang w:val="en-US"/>
        </w:rPr>
        <w:t>Table 3.29, p203 of the submission</w:t>
      </w:r>
      <w:r w:rsidR="00EF6C7F">
        <w:rPr>
          <w:lang w:val="en-US"/>
        </w:rPr>
        <w:t xml:space="preserve"> and Table 5, p6 of the PSCR</w:t>
      </w:r>
    </w:p>
    <w:p w14:paraId="1E7E1FD5" w14:textId="77777777" w:rsidR="00EA063E" w:rsidRDefault="007F6290" w:rsidP="00EA063E">
      <w:pPr>
        <w:pStyle w:val="TableFigureFooter"/>
        <w:rPr>
          <w:i/>
          <w:szCs w:val="18"/>
        </w:rPr>
      </w:pPr>
      <w:r>
        <w:rPr>
          <w:lang w:val="en-US"/>
        </w:rPr>
        <w:t xml:space="preserve">D+T = dabrafenib and trametinib; E+B = </w:t>
      </w:r>
      <w:proofErr w:type="spellStart"/>
      <w:r>
        <w:rPr>
          <w:lang w:val="en-US"/>
        </w:rPr>
        <w:t>encorafenib</w:t>
      </w:r>
      <w:proofErr w:type="spellEnd"/>
      <w:r>
        <w:rPr>
          <w:lang w:val="en-US"/>
        </w:rPr>
        <w:t xml:space="preserve"> and </w:t>
      </w:r>
      <w:proofErr w:type="spellStart"/>
      <w:r>
        <w:rPr>
          <w:lang w:val="en-US"/>
        </w:rPr>
        <w:t>binimetinib</w:t>
      </w:r>
      <w:proofErr w:type="spellEnd"/>
      <w:r>
        <w:rPr>
          <w:lang w:val="en-US"/>
        </w:rPr>
        <w:t xml:space="preserve">; PDC = platinum doublet chemotherapy; </w:t>
      </w:r>
      <w:r w:rsidRPr="002B44C7">
        <w:rPr>
          <w:lang w:val="en-US"/>
        </w:rPr>
        <w:t>QALYs = quality adjusted life year</w:t>
      </w:r>
      <w:r>
        <w:rPr>
          <w:lang w:val="en-US"/>
        </w:rPr>
        <w:t>.</w:t>
      </w:r>
      <w:r w:rsidR="00EA063E" w:rsidRPr="00EA063E">
        <w:rPr>
          <w:i/>
          <w:szCs w:val="18"/>
        </w:rPr>
        <w:t xml:space="preserve"> </w:t>
      </w:r>
    </w:p>
    <w:p w14:paraId="2BA105BA" w14:textId="39AC351B" w:rsidR="00EA063E" w:rsidRPr="00EA063E" w:rsidRDefault="00EA063E" w:rsidP="00EA063E">
      <w:pPr>
        <w:pStyle w:val="TableFigureFooter"/>
        <w:rPr>
          <w:i/>
        </w:rPr>
      </w:pPr>
      <w:r w:rsidRPr="00EA063E">
        <w:rPr>
          <w:i/>
        </w:rPr>
        <w:t xml:space="preserve">The redacted values correspond to the following ranges: </w:t>
      </w:r>
    </w:p>
    <w:p w14:paraId="5B656AF0" w14:textId="0A932D7C" w:rsidR="00EA063E" w:rsidRPr="00EA063E" w:rsidRDefault="00EA063E" w:rsidP="00EA063E">
      <w:pPr>
        <w:pStyle w:val="TableFigureFooter"/>
        <w:rPr>
          <w:i/>
        </w:rPr>
      </w:pPr>
      <w:r w:rsidRPr="00EA063E">
        <w:rPr>
          <w:i/>
          <w:vertAlign w:val="superscript"/>
        </w:rPr>
        <w:t>1</w:t>
      </w:r>
      <w:r w:rsidRPr="00EA063E">
        <w:rPr>
          <w:i/>
        </w:rPr>
        <w:t xml:space="preserve"> </w:t>
      </w:r>
      <w:bookmarkStart w:id="84" w:name="_Hlk218772033"/>
      <w:bookmarkStart w:id="85" w:name="_Hlk218779185"/>
      <w:r w:rsidR="007F4B8A" w:rsidRPr="007F4B8A">
        <w:rPr>
          <w:i/>
        </w:rPr>
        <w:t>$95,000 to &lt; $115,000</w:t>
      </w:r>
      <w:bookmarkEnd w:id="84"/>
      <w:r w:rsidR="007F4B8A" w:rsidRPr="007F4B8A">
        <w:rPr>
          <w:i/>
        </w:rPr>
        <w:t xml:space="preserve"> </w:t>
      </w:r>
      <w:bookmarkEnd w:id="85"/>
    </w:p>
    <w:p w14:paraId="5CC46622" w14:textId="363B0128" w:rsidR="00EA063E" w:rsidRPr="00EA063E" w:rsidRDefault="00EA063E" w:rsidP="00EA063E">
      <w:pPr>
        <w:pStyle w:val="TableFigureFooter"/>
        <w:rPr>
          <w:i/>
        </w:rPr>
      </w:pPr>
      <w:r w:rsidRPr="00EA063E">
        <w:rPr>
          <w:i/>
          <w:vertAlign w:val="superscript"/>
        </w:rPr>
        <w:t>2</w:t>
      </w:r>
      <w:r w:rsidRPr="00EA063E">
        <w:rPr>
          <w:i/>
        </w:rPr>
        <w:t xml:space="preserve"> </w:t>
      </w:r>
      <w:bookmarkStart w:id="86" w:name="_Hlk218778101"/>
      <w:r w:rsidR="00B24C61" w:rsidRPr="00B24C61">
        <w:rPr>
          <w:i/>
        </w:rPr>
        <w:t>$45,000 to &lt; $55,000</w:t>
      </w:r>
      <w:bookmarkEnd w:id="86"/>
    </w:p>
    <w:p w14:paraId="12A93672" w14:textId="25763813" w:rsidR="00EA063E" w:rsidRPr="00EA063E" w:rsidRDefault="00EA063E" w:rsidP="00EA063E">
      <w:pPr>
        <w:pStyle w:val="TableFigureFooter"/>
        <w:rPr>
          <w:i/>
        </w:rPr>
      </w:pPr>
      <w:r w:rsidRPr="00EA063E">
        <w:rPr>
          <w:i/>
          <w:vertAlign w:val="superscript"/>
        </w:rPr>
        <w:t>3</w:t>
      </w:r>
      <w:r w:rsidRPr="00EA063E">
        <w:rPr>
          <w:i/>
        </w:rPr>
        <w:t xml:space="preserve"> </w:t>
      </w:r>
      <w:r w:rsidR="00F363BD" w:rsidRPr="00F363BD">
        <w:rPr>
          <w:i/>
        </w:rPr>
        <w:t>$55,000 to &lt; $75,000</w:t>
      </w:r>
    </w:p>
    <w:p w14:paraId="30C8D1BF" w14:textId="009A6F83" w:rsidR="007F6290" w:rsidRDefault="007F6290" w:rsidP="003A3A7B">
      <w:pPr>
        <w:pStyle w:val="TableFigureFooter"/>
        <w:rPr>
          <w:lang w:val="en-US"/>
        </w:rPr>
      </w:pPr>
    </w:p>
    <w:p w14:paraId="6BFF6EC5" w14:textId="6C706B89" w:rsidR="002072F0" w:rsidRPr="00A9486C" w:rsidRDefault="002072F0" w:rsidP="003A3A7B">
      <w:pPr>
        <w:pStyle w:val="3-BodyText"/>
      </w:pPr>
      <w:r>
        <w:rPr>
          <w:iCs/>
        </w:rPr>
        <w:t xml:space="preserve">The economic model estimated </w:t>
      </w:r>
      <w:r w:rsidR="00B02112">
        <w:rPr>
          <w:iCs/>
        </w:rPr>
        <w:t xml:space="preserve">that E+B </w:t>
      </w:r>
      <w:r w:rsidR="00DE7397">
        <w:rPr>
          <w:iCs/>
        </w:rPr>
        <w:t xml:space="preserve">would result in </w:t>
      </w:r>
      <w:r>
        <w:rPr>
          <w:iCs/>
        </w:rPr>
        <w:t xml:space="preserve">a survival benefit of </w:t>
      </w:r>
      <w:r w:rsidR="00DE7397">
        <w:rPr>
          <w:iCs/>
        </w:rPr>
        <w:t>2.93</w:t>
      </w:r>
      <w:r>
        <w:rPr>
          <w:iCs/>
        </w:rPr>
        <w:t xml:space="preserve"> life</w:t>
      </w:r>
      <w:r w:rsidR="003A3A7B">
        <w:rPr>
          <w:iCs/>
        </w:rPr>
        <w:noBreakHyphen/>
      </w:r>
      <w:r>
        <w:rPr>
          <w:iCs/>
        </w:rPr>
        <w:t xml:space="preserve">years gained (LYG, undiscounted) </w:t>
      </w:r>
      <w:r w:rsidR="00DE7397">
        <w:rPr>
          <w:iCs/>
        </w:rPr>
        <w:t xml:space="preserve">compared to </w:t>
      </w:r>
      <w:proofErr w:type="spellStart"/>
      <w:r w:rsidR="00DE7397">
        <w:rPr>
          <w:iCs/>
        </w:rPr>
        <w:t>pembrolizumab+PDC</w:t>
      </w:r>
      <w:proofErr w:type="spellEnd"/>
      <w:r w:rsidR="00DE7397">
        <w:rPr>
          <w:iCs/>
        </w:rPr>
        <w:t xml:space="preserve"> and </w:t>
      </w:r>
      <w:r w:rsidR="00F31760">
        <w:rPr>
          <w:iCs/>
        </w:rPr>
        <w:t xml:space="preserve">2.16 LYG (undiscounted) compared to D+T. The model estimated that E+B would also result in </w:t>
      </w:r>
      <w:r w:rsidR="00E42D56">
        <w:rPr>
          <w:iCs/>
        </w:rPr>
        <w:t xml:space="preserve">2.22 additional QALYs (undiscounted) compared to </w:t>
      </w:r>
      <w:proofErr w:type="spellStart"/>
      <w:r w:rsidR="00E42D56">
        <w:rPr>
          <w:iCs/>
        </w:rPr>
        <w:t>pembrolizumab+PDC</w:t>
      </w:r>
      <w:proofErr w:type="spellEnd"/>
      <w:r w:rsidR="00E42D56">
        <w:rPr>
          <w:iCs/>
        </w:rPr>
        <w:t xml:space="preserve"> and </w:t>
      </w:r>
      <w:r w:rsidR="00F177DB">
        <w:rPr>
          <w:iCs/>
        </w:rPr>
        <w:t xml:space="preserve">1.68 additional QALYs (undiscounted) compared to D+T. </w:t>
      </w:r>
    </w:p>
    <w:p w14:paraId="472842D7" w14:textId="10E619AF" w:rsidR="00C25D9C" w:rsidRPr="0098262F" w:rsidRDefault="00C25D9C" w:rsidP="003A3A7B">
      <w:pPr>
        <w:pStyle w:val="4-SubsectionHeading"/>
      </w:pPr>
      <w:bookmarkStart w:id="87" w:name="_Toc22897646"/>
      <w:bookmarkStart w:id="88" w:name="_Toc208925863"/>
      <w:r w:rsidRPr="0098262F">
        <w:lastRenderedPageBreak/>
        <w:t>Drug cost/patient</w:t>
      </w:r>
      <w:r w:rsidR="00684F2E">
        <w:t>/course</w:t>
      </w:r>
      <w:bookmarkEnd w:id="87"/>
      <w:bookmarkEnd w:id="88"/>
    </w:p>
    <w:p w14:paraId="360244E8" w14:textId="6B40A7C1" w:rsidR="00977DD1" w:rsidRPr="00977DD1" w:rsidRDefault="002E613C" w:rsidP="003A3A7B">
      <w:pPr>
        <w:pStyle w:val="3-BodyText"/>
        <w:rPr>
          <w:lang w:eastAsia="en-US"/>
        </w:rPr>
      </w:pPr>
      <w:r w:rsidRPr="002E613C">
        <w:rPr>
          <w:lang w:eastAsia="en-US"/>
        </w:rPr>
        <w:t xml:space="preserve">The </w:t>
      </w:r>
      <w:r w:rsidR="006D138F">
        <w:rPr>
          <w:lang w:eastAsia="en-US"/>
        </w:rPr>
        <w:t xml:space="preserve">drug </w:t>
      </w:r>
      <w:r w:rsidRPr="002E613C">
        <w:rPr>
          <w:lang w:eastAsia="en-US"/>
        </w:rPr>
        <w:t>costs per patient</w:t>
      </w:r>
      <w:r w:rsidR="00684F2E">
        <w:rPr>
          <w:lang w:eastAsia="en-US"/>
        </w:rPr>
        <w:t xml:space="preserve"> per course</w:t>
      </w:r>
      <w:r w:rsidRPr="002E613C">
        <w:rPr>
          <w:lang w:eastAsia="en-US"/>
        </w:rPr>
        <w:t xml:space="preserve"> </w:t>
      </w:r>
      <w:r w:rsidR="006D138F">
        <w:rPr>
          <w:lang w:eastAsia="en-US"/>
        </w:rPr>
        <w:t>for E+B</w:t>
      </w:r>
      <w:r w:rsidRPr="002E613C">
        <w:rPr>
          <w:lang w:eastAsia="en-US"/>
        </w:rPr>
        <w:t xml:space="preserve"> are summarised in </w:t>
      </w:r>
      <w:r w:rsidR="003A337C">
        <w:rPr>
          <w:lang w:eastAsia="en-US"/>
        </w:rPr>
        <w:fldChar w:fldCharType="begin"/>
      </w:r>
      <w:r w:rsidR="003A337C">
        <w:rPr>
          <w:lang w:eastAsia="en-US"/>
        </w:rPr>
        <w:instrText xml:space="preserve"> REF _Ref104805102 \h </w:instrText>
      </w:r>
      <w:r w:rsidR="003A337C">
        <w:rPr>
          <w:lang w:eastAsia="en-US"/>
        </w:rPr>
      </w:r>
      <w:r w:rsidR="003A337C">
        <w:rPr>
          <w:lang w:eastAsia="en-US"/>
        </w:rPr>
        <w:fldChar w:fldCharType="separate"/>
      </w:r>
      <w:r w:rsidR="00894EC9" w:rsidRPr="0098262F">
        <w:t xml:space="preserve">Table </w:t>
      </w:r>
      <w:r w:rsidR="00894EC9">
        <w:t>18</w:t>
      </w:r>
      <w:r w:rsidR="003A337C">
        <w:rPr>
          <w:lang w:eastAsia="en-US"/>
        </w:rPr>
        <w:fldChar w:fldCharType="end"/>
      </w:r>
      <w:r w:rsidR="00036A07">
        <w:rPr>
          <w:lang w:eastAsia="en-US"/>
        </w:rPr>
        <w:t>.</w:t>
      </w:r>
    </w:p>
    <w:p w14:paraId="51691BD3" w14:textId="1C0B91FC" w:rsidR="00494207" w:rsidRPr="0098262F" w:rsidRDefault="00E16AD8" w:rsidP="003A3A7B">
      <w:pPr>
        <w:pStyle w:val="Caption"/>
        <w:rPr>
          <w:rStyle w:val="CommentReference"/>
          <w:b/>
          <w:szCs w:val="24"/>
        </w:rPr>
      </w:pPr>
      <w:bookmarkStart w:id="89" w:name="_Ref104805102"/>
      <w:r w:rsidRPr="0098262F">
        <w:t xml:space="preserve">Table </w:t>
      </w:r>
      <w:r w:rsidR="003101DA">
        <w:t>18</w:t>
      </w:r>
      <w:bookmarkEnd w:id="89"/>
      <w:r w:rsidRPr="0098262F">
        <w:t>:</w:t>
      </w:r>
      <w:r w:rsidR="00494207" w:rsidRPr="0098262F">
        <w:rPr>
          <w:rStyle w:val="CommentReference"/>
          <w:b/>
          <w:szCs w:val="24"/>
        </w:rPr>
        <w:t xml:space="preserve"> Drug cost per patient for </w:t>
      </w:r>
      <w:r w:rsidR="006E0A6C">
        <w:rPr>
          <w:rStyle w:val="CommentReference"/>
          <w:b/>
          <w:szCs w:val="24"/>
        </w:rPr>
        <w:t>E+B</w:t>
      </w:r>
      <w:r w:rsidR="006B5A79">
        <w:rPr>
          <w:rStyle w:val="CommentReference"/>
          <w:b/>
          <w:szCs w:val="24"/>
        </w:rPr>
        <w:t xml:space="preserve"> </w:t>
      </w:r>
      <w:r w:rsidR="00C81A6C">
        <w:rPr>
          <w:rStyle w:val="CommentReference"/>
          <w:b/>
          <w:szCs w:val="24"/>
        </w:rPr>
        <w:t xml:space="preserve">(using </w:t>
      </w:r>
      <w:r w:rsidR="00900390">
        <w:rPr>
          <w:rStyle w:val="CommentReference"/>
          <w:b/>
          <w:szCs w:val="24"/>
        </w:rPr>
        <w:t xml:space="preserve">proposed </w:t>
      </w:r>
      <w:r w:rsidR="00C25B3B">
        <w:rPr>
          <w:rStyle w:val="CommentReference"/>
          <w:b/>
          <w:szCs w:val="24"/>
        </w:rPr>
        <w:t>effective DPMQ of E+B</w:t>
      </w:r>
      <w:r w:rsidR="00841ECF">
        <w:rPr>
          <w:rStyle w:val="CommentReference"/>
          <w:b/>
          <w:szCs w:val="24"/>
        </w:rPr>
        <w:t xml:space="preserve"> and</w:t>
      </w:r>
      <w:r w:rsidR="00C25B3B">
        <w:rPr>
          <w:rStyle w:val="CommentReference"/>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Drug cost per patient for E+B (using proposed effective DPMQ of E+B and)"/>
      </w:tblPr>
      <w:tblGrid>
        <w:gridCol w:w="2263"/>
        <w:gridCol w:w="2267"/>
        <w:gridCol w:w="2552"/>
        <w:gridCol w:w="1935"/>
      </w:tblGrid>
      <w:tr w:rsidR="0081796C" w:rsidRPr="004A180A" w14:paraId="0B5AA28F" w14:textId="45E14948" w:rsidTr="0081796C">
        <w:trPr>
          <w:cantSplit/>
          <w:tblHeader/>
          <w:jc w:val="center"/>
        </w:trPr>
        <w:tc>
          <w:tcPr>
            <w:tcW w:w="1255" w:type="pct"/>
            <w:vMerge w:val="restart"/>
            <w:tcMar>
              <w:left w:w="20" w:type="dxa"/>
              <w:right w:w="20" w:type="dxa"/>
            </w:tcMar>
            <w:vAlign w:val="center"/>
          </w:tcPr>
          <w:p w14:paraId="1C451517" w14:textId="73FF5C22" w:rsidR="0081796C" w:rsidRPr="004A180A" w:rsidRDefault="0081796C" w:rsidP="003A3A7B">
            <w:pPr>
              <w:pStyle w:val="In-tableHeading"/>
              <w:jc w:val="center"/>
              <w:rPr>
                <w:lang w:val="en-AU"/>
              </w:rPr>
            </w:pPr>
          </w:p>
        </w:tc>
        <w:tc>
          <w:tcPr>
            <w:tcW w:w="3745" w:type="pct"/>
            <w:gridSpan w:val="3"/>
            <w:tcMar>
              <w:left w:w="20" w:type="dxa"/>
              <w:right w:w="20" w:type="dxa"/>
            </w:tcMar>
            <w:vAlign w:val="center"/>
          </w:tcPr>
          <w:p w14:paraId="326F5611" w14:textId="5F652542" w:rsidR="0081796C" w:rsidRPr="004A180A" w:rsidRDefault="0081796C" w:rsidP="003A3A7B">
            <w:pPr>
              <w:pStyle w:val="In-tableHeading"/>
              <w:jc w:val="center"/>
              <w:rPr>
                <w:lang w:val="en-AU"/>
              </w:rPr>
            </w:pPr>
            <w:proofErr w:type="spellStart"/>
            <w:r w:rsidRPr="004A180A">
              <w:rPr>
                <w:lang w:val="en-AU"/>
              </w:rPr>
              <w:t>Encorafenib</w:t>
            </w:r>
            <w:proofErr w:type="spellEnd"/>
            <w:r w:rsidRPr="004A180A">
              <w:rPr>
                <w:lang w:val="en-AU"/>
              </w:rPr>
              <w:t xml:space="preserve"> and </w:t>
            </w:r>
            <w:proofErr w:type="spellStart"/>
            <w:r w:rsidRPr="004A180A">
              <w:rPr>
                <w:lang w:val="en-AU"/>
              </w:rPr>
              <w:t>binimetinib</w:t>
            </w:r>
            <w:proofErr w:type="spellEnd"/>
          </w:p>
        </w:tc>
      </w:tr>
      <w:tr w:rsidR="0081796C" w:rsidRPr="004A180A" w14:paraId="21AC90BD" w14:textId="3AEE7853" w:rsidTr="0081796C">
        <w:trPr>
          <w:cantSplit/>
          <w:tblHeader/>
          <w:jc w:val="center"/>
        </w:trPr>
        <w:tc>
          <w:tcPr>
            <w:tcW w:w="1255" w:type="pct"/>
            <w:vMerge/>
            <w:tcMar>
              <w:left w:w="20" w:type="dxa"/>
              <w:right w:w="20" w:type="dxa"/>
            </w:tcMar>
            <w:vAlign w:val="center"/>
          </w:tcPr>
          <w:p w14:paraId="485D48B1" w14:textId="6EC51A4F" w:rsidR="0081796C" w:rsidRPr="004A180A" w:rsidRDefault="0081796C" w:rsidP="003A3A7B">
            <w:pPr>
              <w:pStyle w:val="In-tableHeading"/>
              <w:jc w:val="center"/>
              <w:rPr>
                <w:lang w:val="en-AU"/>
              </w:rPr>
            </w:pPr>
          </w:p>
        </w:tc>
        <w:tc>
          <w:tcPr>
            <w:tcW w:w="1257" w:type="pct"/>
            <w:tcMar>
              <w:left w:w="20" w:type="dxa"/>
              <w:right w:w="20" w:type="dxa"/>
            </w:tcMar>
            <w:vAlign w:val="center"/>
          </w:tcPr>
          <w:p w14:paraId="3642530E" w14:textId="013DEDAC" w:rsidR="0081796C" w:rsidRPr="004A180A" w:rsidRDefault="0081796C" w:rsidP="003A3A7B">
            <w:pPr>
              <w:pStyle w:val="In-tableHeading"/>
              <w:jc w:val="center"/>
              <w:rPr>
                <w:lang w:val="en-AU"/>
              </w:rPr>
            </w:pPr>
            <w:r w:rsidRPr="004A180A">
              <w:rPr>
                <w:lang w:val="en-AU"/>
              </w:rPr>
              <w:t>Trial dose and duration</w:t>
            </w:r>
          </w:p>
        </w:tc>
        <w:tc>
          <w:tcPr>
            <w:tcW w:w="1415" w:type="pct"/>
            <w:tcMar>
              <w:left w:w="20" w:type="dxa"/>
              <w:right w:w="20" w:type="dxa"/>
            </w:tcMar>
            <w:vAlign w:val="center"/>
          </w:tcPr>
          <w:p w14:paraId="250CD479" w14:textId="532B021C" w:rsidR="0081796C" w:rsidRPr="004A180A" w:rsidRDefault="0081796C" w:rsidP="003A3A7B">
            <w:pPr>
              <w:pStyle w:val="In-tableHeading"/>
              <w:jc w:val="center"/>
              <w:rPr>
                <w:lang w:val="en-AU"/>
              </w:rPr>
            </w:pPr>
            <w:r>
              <w:rPr>
                <w:lang w:val="en-AU"/>
              </w:rPr>
              <w:t>Economic</w:t>
            </w:r>
            <w:r w:rsidRPr="004A180A">
              <w:t xml:space="preserve"> model</w:t>
            </w:r>
            <w:r w:rsidRPr="004A180A">
              <w:rPr>
                <w:lang w:val="en-AU"/>
              </w:rPr>
              <w:t xml:space="preserve"> </w:t>
            </w:r>
          </w:p>
        </w:tc>
        <w:tc>
          <w:tcPr>
            <w:tcW w:w="1073" w:type="pct"/>
            <w:tcMar>
              <w:left w:w="20" w:type="dxa"/>
              <w:right w:w="20" w:type="dxa"/>
            </w:tcMar>
            <w:vAlign w:val="center"/>
          </w:tcPr>
          <w:p w14:paraId="44C76606" w14:textId="5BED33C1" w:rsidR="0081796C" w:rsidRPr="004A180A" w:rsidRDefault="0081796C" w:rsidP="003A3A7B">
            <w:pPr>
              <w:pStyle w:val="In-tableHeading"/>
              <w:jc w:val="center"/>
              <w:rPr>
                <w:lang w:val="en-AU"/>
              </w:rPr>
            </w:pPr>
            <w:r w:rsidRPr="004A180A">
              <w:rPr>
                <w:lang w:val="en-AU"/>
              </w:rPr>
              <w:t xml:space="preserve">Financial estimates </w:t>
            </w:r>
          </w:p>
        </w:tc>
      </w:tr>
      <w:tr w:rsidR="0081796C" w:rsidRPr="004A180A" w14:paraId="745DAF0B" w14:textId="666BA5C9" w:rsidTr="0081796C">
        <w:trPr>
          <w:cantSplit/>
          <w:jc w:val="center"/>
        </w:trPr>
        <w:tc>
          <w:tcPr>
            <w:tcW w:w="1255" w:type="pct"/>
            <w:tcMar>
              <w:left w:w="20" w:type="dxa"/>
              <w:right w:w="20" w:type="dxa"/>
            </w:tcMar>
            <w:vAlign w:val="center"/>
          </w:tcPr>
          <w:p w14:paraId="743973CE" w14:textId="0E2C948C" w:rsidR="0081796C" w:rsidRPr="004A180A" w:rsidRDefault="0081796C" w:rsidP="003A3A7B">
            <w:pPr>
              <w:pStyle w:val="TableText0"/>
              <w:rPr>
                <w:b/>
                <w:bCs w:val="0"/>
              </w:rPr>
            </w:pPr>
            <w:r w:rsidRPr="004A180A">
              <w:t>Mean dose</w:t>
            </w:r>
          </w:p>
        </w:tc>
        <w:tc>
          <w:tcPr>
            <w:tcW w:w="1257" w:type="pct"/>
            <w:tcMar>
              <w:left w:w="20" w:type="dxa"/>
              <w:right w:w="20" w:type="dxa"/>
            </w:tcMar>
          </w:tcPr>
          <w:p w14:paraId="4B850044" w14:textId="5D3FE5E2" w:rsidR="0081796C" w:rsidRPr="004A180A" w:rsidRDefault="0081796C" w:rsidP="003A3A7B">
            <w:pPr>
              <w:pStyle w:val="TableText0"/>
            </w:pPr>
            <w:r w:rsidRPr="004A180A">
              <w:t>E: 391 mg/</w:t>
            </w:r>
            <w:proofErr w:type="spellStart"/>
            <w:r w:rsidRPr="004A180A">
              <w:t>day</w:t>
            </w:r>
            <w:r>
              <w:rPr>
                <w:vertAlign w:val="superscript"/>
              </w:rPr>
              <w:t>a</w:t>
            </w:r>
            <w:proofErr w:type="spellEnd"/>
          </w:p>
          <w:p w14:paraId="5B1C9B2C" w14:textId="7762F886" w:rsidR="0081796C" w:rsidRPr="004A180A" w:rsidRDefault="0081796C" w:rsidP="003A3A7B">
            <w:pPr>
              <w:pStyle w:val="TableText0"/>
              <w:rPr>
                <w:b/>
              </w:rPr>
            </w:pPr>
            <w:r w:rsidRPr="004A180A">
              <w:t>B: 76 mg/</w:t>
            </w:r>
            <w:proofErr w:type="spellStart"/>
            <w:r w:rsidRPr="004A180A">
              <w:t>day</w:t>
            </w:r>
            <w:r>
              <w:rPr>
                <w:vertAlign w:val="superscript"/>
              </w:rPr>
              <w:t>a</w:t>
            </w:r>
            <w:proofErr w:type="spellEnd"/>
          </w:p>
        </w:tc>
        <w:tc>
          <w:tcPr>
            <w:tcW w:w="1415" w:type="pct"/>
            <w:tcMar>
              <w:left w:w="20" w:type="dxa"/>
              <w:right w:w="20" w:type="dxa"/>
            </w:tcMar>
          </w:tcPr>
          <w:p w14:paraId="5A5DC8AF" w14:textId="308A39B0" w:rsidR="0081796C" w:rsidRPr="004A180A" w:rsidRDefault="0081796C" w:rsidP="003A3A7B">
            <w:pPr>
              <w:pStyle w:val="TableText0"/>
            </w:pPr>
            <w:r w:rsidRPr="004A180A">
              <w:t>E: 386 mg/day</w:t>
            </w:r>
          </w:p>
          <w:p w14:paraId="7379D234" w14:textId="78F52B8D" w:rsidR="0081796C" w:rsidRPr="004A180A" w:rsidRDefault="0081796C" w:rsidP="003A3A7B">
            <w:pPr>
              <w:pStyle w:val="TableText0"/>
              <w:rPr>
                <w:b/>
              </w:rPr>
            </w:pPr>
            <w:r w:rsidRPr="004A180A">
              <w:t>B: 76.2 mg/day</w:t>
            </w:r>
          </w:p>
        </w:tc>
        <w:tc>
          <w:tcPr>
            <w:tcW w:w="1073" w:type="pct"/>
            <w:tcMar>
              <w:left w:w="20" w:type="dxa"/>
              <w:right w:w="20" w:type="dxa"/>
            </w:tcMar>
          </w:tcPr>
          <w:p w14:paraId="3B9B4611" w14:textId="2AE51C53" w:rsidR="0081796C" w:rsidRPr="004A180A" w:rsidRDefault="0081796C" w:rsidP="003A3A7B">
            <w:pPr>
              <w:pStyle w:val="TableText0"/>
              <w:rPr>
                <w:b/>
                <w:bCs w:val="0"/>
              </w:rPr>
            </w:pPr>
            <w:r w:rsidRPr="004A180A">
              <w:t>E: 386 mg/</w:t>
            </w:r>
            <w:proofErr w:type="spellStart"/>
            <w:r w:rsidRPr="004A180A">
              <w:t>day</w:t>
            </w:r>
            <w:r>
              <w:rPr>
                <w:vertAlign w:val="superscript"/>
              </w:rPr>
              <w:t>a</w:t>
            </w:r>
            <w:proofErr w:type="spellEnd"/>
          </w:p>
          <w:p w14:paraId="23821253" w14:textId="327C6881" w:rsidR="0081796C" w:rsidRPr="004A180A" w:rsidRDefault="0081796C" w:rsidP="003A3A7B">
            <w:pPr>
              <w:pStyle w:val="TableText0"/>
              <w:rPr>
                <w:b/>
                <w:bCs w:val="0"/>
              </w:rPr>
            </w:pPr>
            <w:r w:rsidRPr="004A180A">
              <w:t>B: 76.2 mg/</w:t>
            </w:r>
            <w:proofErr w:type="spellStart"/>
            <w:r w:rsidRPr="004A180A">
              <w:t>day</w:t>
            </w:r>
            <w:r>
              <w:rPr>
                <w:vertAlign w:val="superscript"/>
              </w:rPr>
              <w:t>a</w:t>
            </w:r>
            <w:proofErr w:type="spellEnd"/>
          </w:p>
        </w:tc>
      </w:tr>
      <w:tr w:rsidR="0081796C" w:rsidRPr="004A180A" w14:paraId="0B84FE33" w14:textId="6AD89F58" w:rsidTr="0081796C">
        <w:trPr>
          <w:cantSplit/>
          <w:jc w:val="center"/>
        </w:trPr>
        <w:tc>
          <w:tcPr>
            <w:tcW w:w="1255" w:type="pct"/>
            <w:tcMar>
              <w:left w:w="20" w:type="dxa"/>
              <w:right w:w="20" w:type="dxa"/>
            </w:tcMar>
            <w:vAlign w:val="center"/>
          </w:tcPr>
          <w:p w14:paraId="49111F6C" w14:textId="38983F3C" w:rsidR="0081796C" w:rsidRPr="004A180A" w:rsidRDefault="0081796C" w:rsidP="003A3A7B">
            <w:pPr>
              <w:pStyle w:val="TableText0"/>
            </w:pPr>
            <w:r w:rsidRPr="004A180A">
              <w:t>Mean duration (months)</w:t>
            </w:r>
          </w:p>
        </w:tc>
        <w:tc>
          <w:tcPr>
            <w:tcW w:w="1257" w:type="pct"/>
            <w:tcMar>
              <w:left w:w="20" w:type="dxa"/>
              <w:right w:w="20" w:type="dxa"/>
            </w:tcMar>
          </w:tcPr>
          <w:p w14:paraId="214CC011" w14:textId="69C1FA39" w:rsidR="0081796C" w:rsidRPr="004A180A" w:rsidRDefault="0081796C" w:rsidP="003A3A7B">
            <w:pPr>
              <w:pStyle w:val="TableText0"/>
            </w:pPr>
            <w:r w:rsidRPr="004A180A">
              <w:t>E: 20.81</w:t>
            </w:r>
            <w:r>
              <w:rPr>
                <w:vertAlign w:val="superscript"/>
              </w:rPr>
              <w:t>b</w:t>
            </w:r>
            <w:r w:rsidRPr="004A180A">
              <w:t xml:space="preserve"> </w:t>
            </w:r>
          </w:p>
          <w:p w14:paraId="30EF57C3" w14:textId="51A942FC" w:rsidR="0081796C" w:rsidRPr="004A180A" w:rsidRDefault="0081796C" w:rsidP="003A3A7B">
            <w:pPr>
              <w:pStyle w:val="TableText0"/>
              <w:rPr>
                <w:b/>
              </w:rPr>
            </w:pPr>
            <w:r w:rsidRPr="004A180A">
              <w:t>B: 20.54</w:t>
            </w:r>
            <w:r>
              <w:rPr>
                <w:vertAlign w:val="superscript"/>
              </w:rPr>
              <w:t>b</w:t>
            </w:r>
          </w:p>
        </w:tc>
        <w:tc>
          <w:tcPr>
            <w:tcW w:w="1415" w:type="pct"/>
            <w:tcMar>
              <w:left w:w="20" w:type="dxa"/>
              <w:right w:w="20" w:type="dxa"/>
            </w:tcMar>
          </w:tcPr>
          <w:p w14:paraId="6906B266" w14:textId="49E0AD53" w:rsidR="0081796C" w:rsidRPr="004A180A" w:rsidRDefault="0081796C" w:rsidP="003A3A7B">
            <w:pPr>
              <w:pStyle w:val="TableText0"/>
              <w:rPr>
                <w:b/>
              </w:rPr>
            </w:pPr>
            <w:r w:rsidRPr="004A180A">
              <w:t xml:space="preserve">25.03 </w:t>
            </w:r>
          </w:p>
        </w:tc>
        <w:tc>
          <w:tcPr>
            <w:tcW w:w="1073" w:type="pct"/>
            <w:tcMar>
              <w:left w:w="20" w:type="dxa"/>
              <w:right w:w="20" w:type="dxa"/>
            </w:tcMar>
          </w:tcPr>
          <w:p w14:paraId="40F6D5BC" w14:textId="2819FECB" w:rsidR="0081796C" w:rsidRPr="004A180A" w:rsidRDefault="0081796C" w:rsidP="003A3A7B">
            <w:pPr>
              <w:pStyle w:val="TableText0"/>
              <w:rPr>
                <w:b/>
              </w:rPr>
            </w:pPr>
            <w:r w:rsidRPr="004A180A">
              <w:t xml:space="preserve">25.03 </w:t>
            </w:r>
          </w:p>
        </w:tc>
      </w:tr>
      <w:tr w:rsidR="0081796C" w:rsidRPr="004A180A" w14:paraId="3B5C23C0" w14:textId="526F93EF" w:rsidTr="0081796C">
        <w:trPr>
          <w:cantSplit/>
          <w:jc w:val="center"/>
        </w:trPr>
        <w:tc>
          <w:tcPr>
            <w:tcW w:w="1255" w:type="pct"/>
            <w:tcMar>
              <w:left w:w="20" w:type="dxa"/>
              <w:right w:w="20" w:type="dxa"/>
            </w:tcMar>
            <w:vAlign w:val="center"/>
          </w:tcPr>
          <w:p w14:paraId="2161CD8F" w14:textId="495CAEA9" w:rsidR="0081796C" w:rsidRPr="004A180A" w:rsidRDefault="0081796C" w:rsidP="003A3A7B">
            <w:pPr>
              <w:pStyle w:val="TableText0"/>
            </w:pPr>
            <w:r w:rsidRPr="004A180A">
              <w:t>RDI</w:t>
            </w:r>
          </w:p>
        </w:tc>
        <w:tc>
          <w:tcPr>
            <w:tcW w:w="1257" w:type="pct"/>
            <w:tcMar>
              <w:left w:w="20" w:type="dxa"/>
              <w:right w:w="20" w:type="dxa"/>
            </w:tcMar>
          </w:tcPr>
          <w:p w14:paraId="540C2AD3" w14:textId="7D74C897" w:rsidR="0081796C" w:rsidRPr="004A180A" w:rsidRDefault="0081796C" w:rsidP="003A3A7B">
            <w:pPr>
              <w:pStyle w:val="TableText0"/>
            </w:pPr>
            <w:r w:rsidRPr="004A180A">
              <w:t>E: 86.83%</w:t>
            </w:r>
          </w:p>
          <w:p w14:paraId="4017B09B" w14:textId="3139382A" w:rsidR="0081796C" w:rsidRPr="004A180A" w:rsidRDefault="0081796C" w:rsidP="003A3A7B">
            <w:pPr>
              <w:pStyle w:val="TableText0"/>
              <w:rPr>
                <w:b/>
              </w:rPr>
            </w:pPr>
            <w:r w:rsidRPr="004A180A">
              <w:t>B: 84.71%</w:t>
            </w:r>
          </w:p>
        </w:tc>
        <w:tc>
          <w:tcPr>
            <w:tcW w:w="1415" w:type="pct"/>
            <w:tcMar>
              <w:left w:w="20" w:type="dxa"/>
              <w:right w:w="20" w:type="dxa"/>
            </w:tcMar>
          </w:tcPr>
          <w:p w14:paraId="0A3BA1A5" w14:textId="557FDCC9" w:rsidR="0081796C" w:rsidRPr="004A180A" w:rsidRDefault="0081796C" w:rsidP="003A3A7B">
            <w:pPr>
              <w:pStyle w:val="TableText0"/>
            </w:pPr>
            <w:r w:rsidRPr="004A180A">
              <w:t>E: 85.78%</w:t>
            </w:r>
          </w:p>
          <w:p w14:paraId="67DEF2FD" w14:textId="04782876" w:rsidR="0081796C" w:rsidRPr="004A180A" w:rsidRDefault="0081796C" w:rsidP="003A3A7B">
            <w:pPr>
              <w:pStyle w:val="TableText0"/>
              <w:rPr>
                <w:b/>
              </w:rPr>
            </w:pPr>
            <w:r w:rsidRPr="004A180A">
              <w:t>B: 84.73%</w:t>
            </w:r>
          </w:p>
        </w:tc>
        <w:tc>
          <w:tcPr>
            <w:tcW w:w="1073" w:type="pct"/>
            <w:tcMar>
              <w:left w:w="20" w:type="dxa"/>
              <w:right w:w="20" w:type="dxa"/>
            </w:tcMar>
          </w:tcPr>
          <w:p w14:paraId="34A2F042" w14:textId="07A042DE" w:rsidR="0081796C" w:rsidRPr="004A180A" w:rsidRDefault="0081796C" w:rsidP="003A3A7B">
            <w:pPr>
              <w:pStyle w:val="TableText0"/>
            </w:pPr>
            <w:r w:rsidRPr="004A180A">
              <w:t>E: 85.78%</w:t>
            </w:r>
          </w:p>
          <w:p w14:paraId="6F1CB517" w14:textId="5B1C7089" w:rsidR="0081796C" w:rsidRPr="004A180A" w:rsidRDefault="0081796C" w:rsidP="003A3A7B">
            <w:pPr>
              <w:pStyle w:val="TableText0"/>
              <w:rPr>
                <w:b/>
              </w:rPr>
            </w:pPr>
            <w:r w:rsidRPr="004A180A">
              <w:t>B: 84.73%</w:t>
            </w:r>
          </w:p>
        </w:tc>
      </w:tr>
      <w:tr w:rsidR="0081796C" w:rsidRPr="004A180A" w14:paraId="038A9331" w14:textId="35A49BA1" w:rsidTr="0081796C">
        <w:trPr>
          <w:cantSplit/>
          <w:jc w:val="center"/>
        </w:trPr>
        <w:tc>
          <w:tcPr>
            <w:tcW w:w="1255" w:type="pct"/>
            <w:tcMar>
              <w:left w:w="20" w:type="dxa"/>
              <w:right w:w="20" w:type="dxa"/>
            </w:tcMar>
            <w:vAlign w:val="center"/>
          </w:tcPr>
          <w:p w14:paraId="761E6E72" w14:textId="3F6E62D7" w:rsidR="0081796C" w:rsidRPr="004A180A" w:rsidRDefault="0081796C" w:rsidP="003A3A7B">
            <w:pPr>
              <w:pStyle w:val="TableText0"/>
            </w:pPr>
            <w:r w:rsidRPr="004A180A">
              <w:t>Scripts/course</w:t>
            </w:r>
          </w:p>
        </w:tc>
        <w:tc>
          <w:tcPr>
            <w:tcW w:w="1257" w:type="pct"/>
            <w:tcMar>
              <w:left w:w="20" w:type="dxa"/>
              <w:right w:w="20" w:type="dxa"/>
            </w:tcMar>
          </w:tcPr>
          <w:p w14:paraId="005C2AF5" w14:textId="657B9510" w:rsidR="0081796C" w:rsidRPr="004A180A" w:rsidRDefault="0081796C" w:rsidP="003A3A7B">
            <w:pPr>
              <w:pStyle w:val="TableText0"/>
              <w:rPr>
                <w:vertAlign w:val="superscript"/>
              </w:rPr>
            </w:pPr>
            <w:r w:rsidRPr="004A180A">
              <w:t>E: 19.58</w:t>
            </w:r>
            <w:r w:rsidR="0029004F">
              <w:rPr>
                <w:vertAlign w:val="superscript"/>
              </w:rPr>
              <w:t>a</w:t>
            </w:r>
          </w:p>
          <w:p w14:paraId="08800F71" w14:textId="511266A5" w:rsidR="0081796C" w:rsidRPr="004A180A" w:rsidRDefault="0081796C" w:rsidP="003A3A7B">
            <w:pPr>
              <w:pStyle w:val="TableText0"/>
              <w:rPr>
                <w:b/>
              </w:rPr>
            </w:pPr>
            <w:r w:rsidRPr="004A180A">
              <w:t>B: 18.85</w:t>
            </w:r>
            <w:r w:rsidR="0029004F">
              <w:rPr>
                <w:vertAlign w:val="superscript"/>
              </w:rPr>
              <w:t>a</w:t>
            </w:r>
          </w:p>
        </w:tc>
        <w:tc>
          <w:tcPr>
            <w:tcW w:w="1415" w:type="pct"/>
            <w:tcMar>
              <w:left w:w="20" w:type="dxa"/>
              <w:right w:w="20" w:type="dxa"/>
            </w:tcMar>
          </w:tcPr>
          <w:p w14:paraId="7AAC622C" w14:textId="06E56FD7" w:rsidR="0081796C" w:rsidRPr="004A180A" w:rsidRDefault="0081796C" w:rsidP="003A3A7B">
            <w:pPr>
              <w:pStyle w:val="TableText0"/>
              <w:rPr>
                <w:vertAlign w:val="superscript"/>
              </w:rPr>
            </w:pPr>
            <w:r w:rsidRPr="004A180A">
              <w:t>E: 23.26</w:t>
            </w:r>
          </w:p>
          <w:p w14:paraId="33DD2304" w14:textId="10413578" w:rsidR="0081796C" w:rsidRPr="004A180A" w:rsidRDefault="0081796C" w:rsidP="003A3A7B">
            <w:pPr>
              <w:pStyle w:val="TableText0"/>
              <w:rPr>
                <w:b/>
                <w:vertAlign w:val="superscript"/>
              </w:rPr>
            </w:pPr>
            <w:r w:rsidRPr="004A180A">
              <w:t>B: 22.97</w:t>
            </w:r>
          </w:p>
        </w:tc>
        <w:tc>
          <w:tcPr>
            <w:tcW w:w="1073" w:type="pct"/>
            <w:tcMar>
              <w:left w:w="20" w:type="dxa"/>
              <w:right w:w="20" w:type="dxa"/>
            </w:tcMar>
          </w:tcPr>
          <w:p w14:paraId="0E9A5FFF" w14:textId="3E4D3EED" w:rsidR="0081796C" w:rsidRPr="004A180A" w:rsidRDefault="0081796C" w:rsidP="003A3A7B">
            <w:pPr>
              <w:pStyle w:val="TableText0"/>
              <w:rPr>
                <w:vertAlign w:val="superscript"/>
              </w:rPr>
            </w:pPr>
            <w:r w:rsidRPr="004A180A">
              <w:t>E: 23.26</w:t>
            </w:r>
          </w:p>
          <w:p w14:paraId="45951670" w14:textId="5874F0DE" w:rsidR="0081796C" w:rsidRPr="004A180A" w:rsidRDefault="0081796C" w:rsidP="003A3A7B">
            <w:pPr>
              <w:pStyle w:val="TableText0"/>
              <w:rPr>
                <w:b/>
                <w:vertAlign w:val="superscript"/>
              </w:rPr>
            </w:pPr>
            <w:r w:rsidRPr="004A180A">
              <w:t>B: 22.97</w:t>
            </w:r>
          </w:p>
        </w:tc>
      </w:tr>
      <w:tr w:rsidR="0081796C" w:rsidRPr="004A180A" w14:paraId="06512171" w14:textId="1ED4BA5F" w:rsidTr="0081796C">
        <w:trPr>
          <w:cantSplit/>
          <w:trHeight w:val="107"/>
          <w:jc w:val="center"/>
        </w:trPr>
        <w:tc>
          <w:tcPr>
            <w:tcW w:w="1255" w:type="pct"/>
            <w:tcMar>
              <w:left w:w="20" w:type="dxa"/>
              <w:right w:w="20" w:type="dxa"/>
            </w:tcMar>
            <w:vAlign w:val="center"/>
          </w:tcPr>
          <w:p w14:paraId="6EB9C80D" w14:textId="38C66891" w:rsidR="0081796C" w:rsidRPr="004A180A" w:rsidRDefault="0081796C" w:rsidP="003A3A7B">
            <w:pPr>
              <w:pStyle w:val="TableText0"/>
            </w:pPr>
            <w:r w:rsidRPr="004A180A">
              <w:t>Cost/patient/course</w:t>
            </w:r>
          </w:p>
        </w:tc>
        <w:tc>
          <w:tcPr>
            <w:tcW w:w="1257" w:type="pct"/>
            <w:tcMar>
              <w:left w:w="20" w:type="dxa"/>
              <w:right w:w="20" w:type="dxa"/>
            </w:tcMar>
            <w:vAlign w:val="center"/>
          </w:tcPr>
          <w:p w14:paraId="683C9E98" w14:textId="3B05F3A4" w:rsidR="0081796C" w:rsidRPr="004A180A" w:rsidRDefault="0081796C" w:rsidP="003A3A7B">
            <w:pPr>
              <w:pStyle w:val="TableText0"/>
            </w:pPr>
            <w:r w:rsidRPr="004A180A">
              <w:t>$</w:t>
            </w:r>
            <w:r w:rsidR="00D97164" w:rsidRPr="00D97164">
              <w:rPr>
                <w:highlight w:val="black"/>
              </w:rPr>
              <w:t>&amp;&amp;&amp;&amp;</w:t>
            </w:r>
            <w:r w:rsidR="0029004F">
              <w:rPr>
                <w:vertAlign w:val="superscript"/>
              </w:rPr>
              <w:t>c</w:t>
            </w:r>
          </w:p>
        </w:tc>
        <w:tc>
          <w:tcPr>
            <w:tcW w:w="1415" w:type="pct"/>
            <w:tcMar>
              <w:left w:w="20" w:type="dxa"/>
              <w:right w:w="20" w:type="dxa"/>
            </w:tcMar>
            <w:vAlign w:val="center"/>
          </w:tcPr>
          <w:p w14:paraId="789D216E" w14:textId="0F12FD41" w:rsidR="0081796C" w:rsidRPr="004A180A" w:rsidRDefault="0081796C" w:rsidP="003A3A7B">
            <w:pPr>
              <w:pStyle w:val="TableText0"/>
              <w:rPr>
                <w:vertAlign w:val="superscript"/>
              </w:rPr>
            </w:pPr>
            <w:r w:rsidRPr="004A180A">
              <w:t>$</w:t>
            </w:r>
            <w:r w:rsidR="00D97164" w:rsidRPr="00D97164">
              <w:rPr>
                <w:highlight w:val="black"/>
              </w:rPr>
              <w:t>&amp;&amp;&amp;&amp;</w:t>
            </w:r>
            <w:r w:rsidR="0029004F">
              <w:rPr>
                <w:vertAlign w:val="superscript"/>
              </w:rPr>
              <w:t>d</w:t>
            </w:r>
          </w:p>
        </w:tc>
        <w:tc>
          <w:tcPr>
            <w:tcW w:w="1073" w:type="pct"/>
            <w:tcMar>
              <w:left w:w="20" w:type="dxa"/>
              <w:right w:w="20" w:type="dxa"/>
            </w:tcMar>
            <w:vAlign w:val="center"/>
          </w:tcPr>
          <w:p w14:paraId="3F186E99" w14:textId="64307BB7" w:rsidR="0081796C" w:rsidRPr="004A180A" w:rsidRDefault="0081796C" w:rsidP="003A3A7B">
            <w:pPr>
              <w:pStyle w:val="TableText0"/>
              <w:rPr>
                <w:vertAlign w:val="superscript"/>
              </w:rPr>
            </w:pPr>
            <w:r w:rsidRPr="004A180A">
              <w:t>$</w:t>
            </w:r>
            <w:r w:rsidR="00D97164" w:rsidRPr="00D97164">
              <w:rPr>
                <w:highlight w:val="black"/>
              </w:rPr>
              <w:t>&amp;&amp;&amp;&amp;</w:t>
            </w:r>
            <w:r w:rsidR="0029004F">
              <w:rPr>
                <w:vertAlign w:val="superscript"/>
              </w:rPr>
              <w:t>c</w:t>
            </w:r>
          </w:p>
        </w:tc>
      </w:tr>
    </w:tbl>
    <w:p w14:paraId="73BDECA7" w14:textId="652C588D" w:rsidR="003B2B1B" w:rsidRPr="004073C0" w:rsidRDefault="003B2B1B" w:rsidP="003A3A7B">
      <w:pPr>
        <w:pStyle w:val="TableFigureFooter"/>
      </w:pPr>
      <w:r w:rsidRPr="006B71C4">
        <w:t xml:space="preserve">Source: </w:t>
      </w:r>
      <w:r w:rsidR="007E3FC8" w:rsidRPr="006B71C4">
        <w:t xml:space="preserve">Section 2.4.2.2, p86; </w:t>
      </w:r>
      <w:r w:rsidR="002444FB" w:rsidRPr="006B71C4">
        <w:t>Section 4.3.2.1</w:t>
      </w:r>
      <w:r w:rsidR="006D2BA8" w:rsidRPr="006B71C4">
        <w:t>, pp218</w:t>
      </w:r>
      <w:r w:rsidR="003A3A7B">
        <w:noBreakHyphen/>
      </w:r>
      <w:r w:rsidR="006D2BA8" w:rsidRPr="006B71C4">
        <w:t xml:space="preserve">219; </w:t>
      </w:r>
      <w:r w:rsidRPr="006B71C4">
        <w:t>Attachment 5.1, Attachment 6.1, Attachment 6.2</w:t>
      </w:r>
      <w:r w:rsidR="004073C0" w:rsidRPr="006B71C4">
        <w:t xml:space="preserve"> to the submission</w:t>
      </w:r>
    </w:p>
    <w:p w14:paraId="6741667B" w14:textId="2031D344" w:rsidR="002175FF" w:rsidRPr="002175FF" w:rsidRDefault="002175FF" w:rsidP="003A3A7B">
      <w:pPr>
        <w:pStyle w:val="TableFigureFooter"/>
      </w:pPr>
      <w:r>
        <w:t xml:space="preserve">B= </w:t>
      </w:r>
      <w:proofErr w:type="spellStart"/>
      <w:r>
        <w:t>binimetinib</w:t>
      </w:r>
      <w:proofErr w:type="spellEnd"/>
      <w:r>
        <w:t xml:space="preserve">; </w:t>
      </w:r>
      <w:r w:rsidR="00373EB5">
        <w:t xml:space="preserve">DPMQ = dispensed price for maximum quantity; </w:t>
      </w:r>
      <w:r>
        <w:t xml:space="preserve">E = </w:t>
      </w:r>
      <w:proofErr w:type="spellStart"/>
      <w:r>
        <w:t>encorafenib</w:t>
      </w:r>
      <w:proofErr w:type="spellEnd"/>
      <w:r>
        <w:t xml:space="preserve">; </w:t>
      </w:r>
      <w:r w:rsidR="00777F00">
        <w:t xml:space="preserve">RDI =relative dose intensity </w:t>
      </w:r>
    </w:p>
    <w:p w14:paraId="55487AE3" w14:textId="43A019B4" w:rsidR="008D09B2" w:rsidRPr="008D09B2" w:rsidRDefault="00373EB5" w:rsidP="003A3A7B">
      <w:pPr>
        <w:pStyle w:val="TableFigureFooter"/>
      </w:pPr>
      <w:r>
        <w:t>a</w:t>
      </w:r>
      <w:r w:rsidR="008D09B2" w:rsidRPr="008D09B2">
        <w:t xml:space="preserve"> </w:t>
      </w:r>
      <w:r w:rsidR="00D65B96">
        <w:t>C</w:t>
      </w:r>
      <w:r w:rsidR="008D09B2" w:rsidRPr="004073C0">
        <w:t>alculated during the evaluation based on the recommended dose</w:t>
      </w:r>
      <w:r w:rsidR="00684F2E">
        <w:t>,</w:t>
      </w:r>
      <w:r w:rsidR="008D09B2" w:rsidRPr="004073C0">
        <w:t xml:space="preserve"> RDIs</w:t>
      </w:r>
      <w:r w:rsidR="00684F2E">
        <w:t xml:space="preserve"> and mean duration</w:t>
      </w:r>
      <w:r w:rsidR="008D09B2" w:rsidRPr="004073C0">
        <w:t>.</w:t>
      </w:r>
    </w:p>
    <w:p w14:paraId="582CC079" w14:textId="7006E11C" w:rsidR="003B2B1B" w:rsidRPr="004073C0" w:rsidRDefault="00373EB5" w:rsidP="003A3A7B">
      <w:pPr>
        <w:pStyle w:val="TableFigureFooter"/>
      </w:pPr>
      <w:r>
        <w:t>b</w:t>
      </w:r>
      <w:r w:rsidR="008D09B2" w:rsidRPr="004073C0">
        <w:t xml:space="preserve"> </w:t>
      </w:r>
      <w:r w:rsidR="00D65B96">
        <w:t>S</w:t>
      </w:r>
      <w:r w:rsidR="008D09B2" w:rsidRPr="003B2B1B">
        <w:t>ourced from Table 2.24, p86 of the submission</w:t>
      </w:r>
      <w:r w:rsidR="00F852A2">
        <w:t>, truncated mean</w:t>
      </w:r>
      <w:r w:rsidR="00841ECF">
        <w:t xml:space="preserve"> (April 2024 cut off)</w:t>
      </w:r>
    </w:p>
    <w:p w14:paraId="47E0BAE6" w14:textId="52F6DD64" w:rsidR="003B2B1B" w:rsidRDefault="00373EB5" w:rsidP="003A3A7B">
      <w:pPr>
        <w:pStyle w:val="TableFigureFooter"/>
      </w:pPr>
      <w:r>
        <w:t>c</w:t>
      </w:r>
      <w:r w:rsidR="008D09B2" w:rsidRPr="003B2B1B">
        <w:t xml:space="preserve"> Calculated </w:t>
      </w:r>
      <w:r w:rsidR="00727F4D">
        <w:t xml:space="preserve">during evaluation </w:t>
      </w:r>
      <w:r w:rsidR="008D09B2" w:rsidRPr="003B2B1B">
        <w:t>using</w:t>
      </w:r>
      <w:r w:rsidR="00727F4D">
        <w:t xml:space="preserve"> the</w:t>
      </w:r>
      <w:r w:rsidR="008D09B2" w:rsidRPr="003B2B1B">
        <w:t xml:space="preserve"> </w:t>
      </w:r>
      <w:r w:rsidR="008D09B2">
        <w:t xml:space="preserve">requested </w:t>
      </w:r>
      <w:r w:rsidR="008D09B2" w:rsidRPr="003B2B1B">
        <w:t xml:space="preserve">effective </w:t>
      </w:r>
      <w:r w:rsidR="008D09B2">
        <w:t>DPMQ</w:t>
      </w:r>
      <w:r w:rsidR="008D09B2" w:rsidRPr="003B2B1B">
        <w:t xml:space="preserve"> for E+B and the estimated scripts per </w:t>
      </w:r>
      <w:r w:rsidR="0046433A">
        <w:t>course</w:t>
      </w:r>
      <w:r w:rsidR="008D09B2" w:rsidRPr="003B2B1B">
        <w:t>.</w:t>
      </w:r>
    </w:p>
    <w:p w14:paraId="136ED456" w14:textId="311A2D21" w:rsidR="003B2B1B" w:rsidRPr="003B2B1B" w:rsidRDefault="00373EB5" w:rsidP="003A3A7B">
      <w:pPr>
        <w:pStyle w:val="TableFigureFooter"/>
      </w:pPr>
      <w:r>
        <w:t>d</w:t>
      </w:r>
      <w:r w:rsidR="008D09B2">
        <w:t xml:space="preserve"> </w:t>
      </w:r>
      <w:r w:rsidR="00727F4D">
        <w:t xml:space="preserve">Derived from the economic model using the </w:t>
      </w:r>
      <w:r w:rsidR="008D09B2">
        <w:t>weekly acquisition costs of $</w:t>
      </w:r>
      <w:r w:rsidR="00D97164" w:rsidRPr="00D97164">
        <w:rPr>
          <w:highlight w:val="black"/>
        </w:rPr>
        <w:t>&amp;&amp;&amp;&amp;</w:t>
      </w:r>
      <w:r w:rsidR="008D09B2">
        <w:t xml:space="preserve"> for E+B</w:t>
      </w:r>
      <w:r w:rsidR="00727F4D">
        <w:t xml:space="preserve"> </w:t>
      </w:r>
      <w:r w:rsidR="008D09B2">
        <w:t xml:space="preserve">multiplied by </w:t>
      </w:r>
      <w:r w:rsidR="0046433A">
        <w:t>108.45</w:t>
      </w:r>
      <w:r w:rsidR="008D09B2">
        <w:t xml:space="preserve"> weeks</w:t>
      </w:r>
      <w:r w:rsidR="00727F4D">
        <w:t xml:space="preserve"> as </w:t>
      </w:r>
      <w:r w:rsidR="00257007">
        <w:t>calculated</w:t>
      </w:r>
      <w:r w:rsidR="00727F4D">
        <w:t xml:space="preserve"> by the submission</w:t>
      </w:r>
      <w:r w:rsidR="008D09B2">
        <w:t>.</w:t>
      </w:r>
    </w:p>
    <w:p w14:paraId="268768EF" w14:textId="3626F292" w:rsidR="00B60939" w:rsidRPr="0098262F" w:rsidRDefault="00B60939" w:rsidP="003A3A7B">
      <w:pPr>
        <w:pStyle w:val="4-SubsectionHeading"/>
      </w:pPr>
      <w:bookmarkStart w:id="90" w:name="_Toc22897647"/>
      <w:bookmarkStart w:id="91" w:name="_Toc208925864"/>
      <w:r w:rsidRPr="0098262F">
        <w:t>Estimated PBS usage &amp; financial implications</w:t>
      </w:r>
      <w:bookmarkEnd w:id="90"/>
      <w:bookmarkEnd w:id="91"/>
    </w:p>
    <w:p w14:paraId="45B349C8" w14:textId="2F79134F" w:rsidR="00294C2D" w:rsidRPr="00426A02" w:rsidRDefault="00C25D9C" w:rsidP="003A3A7B">
      <w:pPr>
        <w:pStyle w:val="3-BodyText"/>
        <w:rPr>
          <w:color w:val="0066FF"/>
        </w:rPr>
      </w:pPr>
      <w:r w:rsidRPr="00426A02">
        <w:t xml:space="preserve">This submission </w:t>
      </w:r>
      <w:r w:rsidR="0074538B">
        <w:t>was</w:t>
      </w:r>
      <w:r w:rsidRPr="00426A02">
        <w:t xml:space="preserve"> not considered by DUSC</w:t>
      </w:r>
      <w:r w:rsidRPr="00426A02">
        <w:rPr>
          <w:color w:val="0070C0"/>
        </w:rPr>
        <w:t>.</w:t>
      </w:r>
      <w:r w:rsidR="00BC591F" w:rsidRPr="00426A02">
        <w:rPr>
          <w:color w:val="0070C0"/>
        </w:rPr>
        <w:t xml:space="preserve"> </w:t>
      </w:r>
    </w:p>
    <w:p w14:paraId="676396CD" w14:textId="5A637117" w:rsidR="007E25E1" w:rsidRDefault="00094BAE" w:rsidP="003A3A7B">
      <w:pPr>
        <w:pStyle w:val="3-BodyText"/>
      </w:pPr>
      <w:r w:rsidRPr="00F17C0B">
        <w:t>The submission used an epidemiological approach to estimate the utilisation and financial impact of listing E+B on the PBS for the treatment of BRAF V600E</w:t>
      </w:r>
      <w:r w:rsidR="003A3A7B">
        <w:noBreakHyphen/>
      </w:r>
      <w:r w:rsidRPr="00F17C0B">
        <w:t xml:space="preserve">MT </w:t>
      </w:r>
      <w:proofErr w:type="spellStart"/>
      <w:r w:rsidRPr="00F17C0B">
        <w:t>mNSCLC</w:t>
      </w:r>
      <w:proofErr w:type="spellEnd"/>
      <w:r w:rsidRPr="00F17C0B">
        <w:t>.</w:t>
      </w:r>
      <w:r w:rsidR="004B05FF" w:rsidRPr="004B05FF">
        <w:rPr>
          <w:iCs/>
        </w:rPr>
        <w:t xml:space="preserve"> </w:t>
      </w:r>
      <w:r w:rsidR="004B05FF">
        <w:rPr>
          <w:iCs/>
        </w:rPr>
        <w:t>As</w:t>
      </w:r>
      <w:r w:rsidR="005914A0">
        <w:rPr>
          <w:iCs/>
        </w:rPr>
        <w:t xml:space="preserve"> t</w:t>
      </w:r>
      <w:r w:rsidR="004B05FF">
        <w:rPr>
          <w:iCs/>
        </w:rPr>
        <w:t xml:space="preserve">he PBAC considered that </w:t>
      </w:r>
      <w:r w:rsidR="005914A0">
        <w:rPr>
          <w:iCs/>
        </w:rPr>
        <w:t xml:space="preserve">a cost minimisation approach between </w:t>
      </w:r>
      <w:r w:rsidR="004B05FF">
        <w:rPr>
          <w:iCs/>
        </w:rPr>
        <w:t xml:space="preserve">E+B </w:t>
      </w:r>
      <w:r w:rsidR="005914A0">
        <w:rPr>
          <w:iCs/>
        </w:rPr>
        <w:t>and D+T was</w:t>
      </w:r>
      <w:r w:rsidR="00653D88">
        <w:rPr>
          <w:iCs/>
        </w:rPr>
        <w:t xml:space="preserve"> appropriate and as E+B </w:t>
      </w:r>
      <w:r w:rsidR="004B05FF">
        <w:rPr>
          <w:iCs/>
        </w:rPr>
        <w:t xml:space="preserve">is likely to primarily replace D+T rather than </w:t>
      </w:r>
      <w:proofErr w:type="spellStart"/>
      <w:r w:rsidR="004B05FF">
        <w:rPr>
          <w:iCs/>
        </w:rPr>
        <w:t>pembrolizumab+PDC</w:t>
      </w:r>
      <w:proofErr w:type="spellEnd"/>
      <w:r w:rsidR="003B59D9">
        <w:rPr>
          <w:iCs/>
        </w:rPr>
        <w:t>,</w:t>
      </w:r>
      <w:r w:rsidR="004B05FF">
        <w:rPr>
          <w:iCs/>
        </w:rPr>
        <w:t xml:space="preserve"> the financial estimates will need to be revised.</w:t>
      </w:r>
      <w:r w:rsidRPr="00F17C0B">
        <w:t xml:space="preserve"> </w:t>
      </w:r>
    </w:p>
    <w:p w14:paraId="2C88E823" w14:textId="45103E59" w:rsidR="00A90047" w:rsidRDefault="009016A2" w:rsidP="003A3A7B">
      <w:pPr>
        <w:pStyle w:val="3-BodyText"/>
      </w:pPr>
      <w:r>
        <w:fldChar w:fldCharType="begin"/>
      </w:r>
      <w:r>
        <w:instrText xml:space="preserve"> REF _Ref206239063 \h </w:instrText>
      </w:r>
      <w:r>
        <w:fldChar w:fldCharType="separate"/>
      </w:r>
      <w:r w:rsidR="00894EC9" w:rsidRPr="0098262F">
        <w:t xml:space="preserve">Table </w:t>
      </w:r>
      <w:r w:rsidR="00894EC9">
        <w:t>19</w:t>
      </w:r>
      <w:r>
        <w:fldChar w:fldCharType="end"/>
      </w:r>
      <w:r w:rsidR="00A90047" w:rsidRPr="00310D1A">
        <w:t xml:space="preserve"> summarises the key inputs and data sources to estimate the utilisation of </w:t>
      </w:r>
      <w:r w:rsidR="00A90047">
        <w:t>E+B</w:t>
      </w:r>
      <w:r w:rsidR="00A90047" w:rsidRPr="00310D1A">
        <w:t>.</w:t>
      </w:r>
    </w:p>
    <w:p w14:paraId="1B3E4223" w14:textId="0B9EBD11" w:rsidR="00A90047" w:rsidRPr="0098262F" w:rsidRDefault="00A90047" w:rsidP="003A3A7B">
      <w:pPr>
        <w:pStyle w:val="Caption"/>
        <w:rPr>
          <w:rStyle w:val="CommentReference"/>
          <w:b/>
          <w:szCs w:val="24"/>
        </w:rPr>
      </w:pPr>
      <w:bookmarkStart w:id="92" w:name="_Ref206239063"/>
      <w:r w:rsidRPr="0098262F">
        <w:t xml:space="preserve">Table </w:t>
      </w:r>
      <w:r w:rsidR="003101DA">
        <w:t>19</w:t>
      </w:r>
      <w:bookmarkEnd w:id="92"/>
      <w:r w:rsidRPr="0098262F">
        <w:t>:</w:t>
      </w:r>
      <w:r w:rsidRPr="0098262F">
        <w:rPr>
          <w:rStyle w:val="CommentReference"/>
          <w:b/>
          <w:szCs w:val="24"/>
        </w:rPr>
        <w:t xml:space="preserve"> Key inputs for financial estimates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Key inputs for financial estimates"/>
      </w:tblPr>
      <w:tblGrid>
        <w:gridCol w:w="1695"/>
        <w:gridCol w:w="1416"/>
        <w:gridCol w:w="711"/>
        <w:gridCol w:w="1841"/>
        <w:gridCol w:w="3354"/>
      </w:tblGrid>
      <w:tr w:rsidR="00A90047" w:rsidRPr="00281EA8" w14:paraId="41598473" w14:textId="77777777" w:rsidTr="00CF67DC">
        <w:trPr>
          <w:cantSplit/>
          <w:tblHeader/>
        </w:trPr>
        <w:tc>
          <w:tcPr>
            <w:tcW w:w="940" w:type="pct"/>
            <w:vAlign w:val="center"/>
          </w:tcPr>
          <w:p w14:paraId="3E7BEDC4" w14:textId="77777777" w:rsidR="00A90047" w:rsidRPr="00281EA8" w:rsidRDefault="00A90047" w:rsidP="003A3A7B">
            <w:pPr>
              <w:pStyle w:val="In-tableHeading"/>
              <w:rPr>
                <w:lang w:val="en-AU"/>
              </w:rPr>
            </w:pPr>
            <w:r w:rsidRPr="00281EA8">
              <w:rPr>
                <w:lang w:val="en-AU"/>
              </w:rPr>
              <w:t>Parameter</w:t>
            </w:r>
          </w:p>
        </w:tc>
        <w:tc>
          <w:tcPr>
            <w:tcW w:w="1179" w:type="pct"/>
            <w:gridSpan w:val="2"/>
            <w:vAlign w:val="center"/>
          </w:tcPr>
          <w:p w14:paraId="335D42C2" w14:textId="77777777" w:rsidR="00A90047" w:rsidRPr="00281EA8" w:rsidRDefault="00A90047" w:rsidP="003A3A7B">
            <w:pPr>
              <w:pStyle w:val="In-tableHeading"/>
              <w:rPr>
                <w:lang w:val="en-AU"/>
              </w:rPr>
            </w:pPr>
            <w:r w:rsidRPr="00281EA8">
              <w:rPr>
                <w:lang w:val="en-AU"/>
              </w:rPr>
              <w:t xml:space="preserve">Value applied </w:t>
            </w:r>
          </w:p>
        </w:tc>
        <w:tc>
          <w:tcPr>
            <w:tcW w:w="1021" w:type="pct"/>
          </w:tcPr>
          <w:p w14:paraId="1BD6DC0E" w14:textId="77777777" w:rsidR="00A90047" w:rsidRPr="00281EA8" w:rsidRDefault="00A90047" w:rsidP="003A3A7B">
            <w:pPr>
              <w:pStyle w:val="In-tableHeading"/>
              <w:rPr>
                <w:lang w:val="en-AU"/>
              </w:rPr>
            </w:pPr>
            <w:r w:rsidRPr="00281EA8">
              <w:rPr>
                <w:lang w:val="en-AU"/>
              </w:rPr>
              <w:t>Source</w:t>
            </w:r>
          </w:p>
        </w:tc>
        <w:tc>
          <w:tcPr>
            <w:tcW w:w="1859" w:type="pct"/>
            <w:vAlign w:val="center"/>
          </w:tcPr>
          <w:p w14:paraId="1CC4B4D1" w14:textId="77777777" w:rsidR="00A90047" w:rsidRPr="00281EA8" w:rsidRDefault="00A90047" w:rsidP="003A3A7B">
            <w:pPr>
              <w:pStyle w:val="In-tableHeading"/>
              <w:rPr>
                <w:lang w:val="en-AU"/>
              </w:rPr>
            </w:pPr>
            <w:r w:rsidRPr="00281EA8">
              <w:rPr>
                <w:lang w:val="en-AU"/>
              </w:rPr>
              <w:t>Comment</w:t>
            </w:r>
          </w:p>
        </w:tc>
      </w:tr>
      <w:tr w:rsidR="00A90047" w:rsidRPr="00281EA8" w14:paraId="4FFDAC46" w14:textId="77777777" w:rsidTr="00CF67DC">
        <w:trPr>
          <w:cantSplit/>
        </w:trPr>
        <w:tc>
          <w:tcPr>
            <w:tcW w:w="5000" w:type="pct"/>
            <w:gridSpan w:val="5"/>
            <w:vAlign w:val="center"/>
          </w:tcPr>
          <w:p w14:paraId="223B1768" w14:textId="77777777" w:rsidR="00A90047" w:rsidRPr="00281EA8" w:rsidRDefault="00A90047" w:rsidP="003A3A7B">
            <w:pPr>
              <w:pStyle w:val="TableText0"/>
              <w:rPr>
                <w:b/>
                <w:bCs w:val="0"/>
              </w:rPr>
            </w:pPr>
            <w:r w:rsidRPr="00281EA8">
              <w:rPr>
                <w:b/>
                <w:bCs w:val="0"/>
              </w:rPr>
              <w:t>Eligible population</w:t>
            </w:r>
          </w:p>
        </w:tc>
      </w:tr>
      <w:tr w:rsidR="00A90047" w:rsidRPr="00281EA8" w14:paraId="59677518" w14:textId="77777777" w:rsidTr="00CF67DC">
        <w:trPr>
          <w:cantSplit/>
        </w:trPr>
        <w:tc>
          <w:tcPr>
            <w:tcW w:w="940" w:type="pct"/>
          </w:tcPr>
          <w:p w14:paraId="51C6DBCF" w14:textId="77777777" w:rsidR="00A90047" w:rsidRPr="009379EC" w:rsidRDefault="00A90047" w:rsidP="003A3A7B">
            <w:pPr>
              <w:pStyle w:val="TableText0"/>
            </w:pPr>
            <w:r w:rsidRPr="009379EC">
              <w:t>Lung cancer population</w:t>
            </w:r>
          </w:p>
        </w:tc>
        <w:tc>
          <w:tcPr>
            <w:tcW w:w="1179" w:type="pct"/>
            <w:gridSpan w:val="2"/>
          </w:tcPr>
          <w:p w14:paraId="54EB80FF" w14:textId="457E6D1C" w:rsidR="00A90047" w:rsidRPr="009379EC" w:rsidRDefault="00A90047" w:rsidP="003A3A7B">
            <w:pPr>
              <w:pStyle w:val="TableText0"/>
            </w:pPr>
            <w:r w:rsidRPr="009379EC">
              <w:t>15,878 in Yr 1 increasing to 16,989 in Yr 6</w:t>
            </w:r>
          </w:p>
        </w:tc>
        <w:tc>
          <w:tcPr>
            <w:tcW w:w="1021" w:type="pct"/>
          </w:tcPr>
          <w:p w14:paraId="69C08695" w14:textId="0E6C51F5" w:rsidR="00A90047" w:rsidRPr="00281EA8" w:rsidRDefault="00A90047" w:rsidP="003A3A7B">
            <w:pPr>
              <w:pStyle w:val="TableText0"/>
            </w:pPr>
            <w:r w:rsidRPr="00281EA8">
              <w:t>Based on ABS statistics and AIHW age</w:t>
            </w:r>
            <w:r w:rsidR="003A3A7B">
              <w:noBreakHyphen/>
            </w:r>
            <w:r w:rsidRPr="00281EA8">
              <w:t>standardised incidence rate in 2024 (55.7 cases per 100,000 persons)</w:t>
            </w:r>
          </w:p>
        </w:tc>
        <w:tc>
          <w:tcPr>
            <w:tcW w:w="1859" w:type="pct"/>
          </w:tcPr>
          <w:p w14:paraId="19F7FB11" w14:textId="0D67C72F" w:rsidR="00A90047" w:rsidRPr="00281EA8" w:rsidRDefault="003A3A7B" w:rsidP="003A3A7B">
            <w:pPr>
              <w:pStyle w:val="TableText0"/>
            </w:pPr>
            <w:r>
              <w:noBreakHyphen/>
            </w:r>
          </w:p>
        </w:tc>
      </w:tr>
      <w:tr w:rsidR="00A90047" w:rsidRPr="00281EA8" w14:paraId="7482ED74" w14:textId="77777777" w:rsidTr="00CF67DC">
        <w:trPr>
          <w:cantSplit/>
        </w:trPr>
        <w:tc>
          <w:tcPr>
            <w:tcW w:w="940" w:type="pct"/>
          </w:tcPr>
          <w:p w14:paraId="71040337" w14:textId="77777777" w:rsidR="00A90047" w:rsidRPr="00281EA8" w:rsidRDefault="00A90047" w:rsidP="003A3A7B">
            <w:pPr>
              <w:pStyle w:val="TableText0"/>
            </w:pPr>
            <w:r w:rsidRPr="00281EA8">
              <w:t>% NSCLC</w:t>
            </w:r>
          </w:p>
        </w:tc>
        <w:tc>
          <w:tcPr>
            <w:tcW w:w="1179" w:type="pct"/>
            <w:gridSpan w:val="2"/>
          </w:tcPr>
          <w:p w14:paraId="41FC4B98" w14:textId="77777777" w:rsidR="00A90047" w:rsidRPr="00281EA8" w:rsidRDefault="00A90047" w:rsidP="003A3A7B">
            <w:pPr>
              <w:pStyle w:val="TableText0"/>
            </w:pPr>
            <w:r w:rsidRPr="00281EA8">
              <w:t>86.6%</w:t>
            </w:r>
          </w:p>
        </w:tc>
        <w:tc>
          <w:tcPr>
            <w:tcW w:w="1021" w:type="pct"/>
          </w:tcPr>
          <w:p w14:paraId="06ECCE61" w14:textId="77777777" w:rsidR="00A90047" w:rsidRPr="00281EA8" w:rsidRDefault="00A90047" w:rsidP="003A3A7B">
            <w:pPr>
              <w:pStyle w:val="TableText0"/>
            </w:pPr>
            <w:r w:rsidRPr="00281EA8">
              <w:t>Mitchell et al. (2013)</w:t>
            </w:r>
          </w:p>
        </w:tc>
        <w:tc>
          <w:tcPr>
            <w:tcW w:w="1859" w:type="pct"/>
          </w:tcPr>
          <w:p w14:paraId="45B60FA4" w14:textId="7661CAD3" w:rsidR="00A90047" w:rsidRPr="00281EA8" w:rsidRDefault="00A90047" w:rsidP="003A3A7B">
            <w:pPr>
              <w:pStyle w:val="TableText0"/>
            </w:pPr>
            <w:r w:rsidRPr="00281EA8">
              <w:t xml:space="preserve">This was </w:t>
            </w:r>
            <w:r w:rsidR="0080014E" w:rsidRPr="00281EA8">
              <w:t xml:space="preserve">consistent with the </w:t>
            </w:r>
            <w:r w:rsidR="00A61806" w:rsidRPr="00281EA8">
              <w:t xml:space="preserve">March 2025 </w:t>
            </w:r>
            <w:r w:rsidR="0080014E" w:rsidRPr="00281EA8">
              <w:t>D+T submission</w:t>
            </w:r>
            <w:r w:rsidR="00A61806" w:rsidRPr="00281EA8">
              <w:t>.</w:t>
            </w:r>
          </w:p>
        </w:tc>
      </w:tr>
      <w:tr w:rsidR="00A90047" w:rsidRPr="00281EA8" w14:paraId="7F4FF174" w14:textId="77777777" w:rsidTr="00CF67DC">
        <w:trPr>
          <w:cantSplit/>
        </w:trPr>
        <w:tc>
          <w:tcPr>
            <w:tcW w:w="940" w:type="pct"/>
          </w:tcPr>
          <w:p w14:paraId="5DDC640A" w14:textId="77777777" w:rsidR="00A90047" w:rsidRPr="00281EA8" w:rsidRDefault="00A90047" w:rsidP="003A3A7B">
            <w:pPr>
              <w:pStyle w:val="TableText0"/>
            </w:pPr>
            <w:r w:rsidRPr="00281EA8">
              <w:t>% ECOG PS</w:t>
            </w:r>
          </w:p>
          <w:p w14:paraId="6AF6B8DC" w14:textId="7E41285F" w:rsidR="00A90047" w:rsidRPr="00281EA8" w:rsidRDefault="00A90047" w:rsidP="003A3A7B">
            <w:pPr>
              <w:pStyle w:val="TableText0"/>
            </w:pPr>
            <w:r w:rsidRPr="00281EA8">
              <w:t>0</w:t>
            </w:r>
            <w:r w:rsidR="003A3A7B">
              <w:noBreakHyphen/>
            </w:r>
            <w:r w:rsidRPr="00281EA8">
              <w:t>1</w:t>
            </w:r>
          </w:p>
          <w:p w14:paraId="161EB8F9" w14:textId="13352BC4" w:rsidR="00A90047" w:rsidRPr="00281EA8" w:rsidRDefault="00A90047" w:rsidP="003A3A7B">
            <w:pPr>
              <w:pStyle w:val="TableText0"/>
            </w:pPr>
            <w:r w:rsidRPr="00281EA8">
              <w:t>0</w:t>
            </w:r>
            <w:r w:rsidR="003A3A7B">
              <w:noBreakHyphen/>
            </w:r>
            <w:r w:rsidRPr="00281EA8">
              <w:t>2</w:t>
            </w:r>
          </w:p>
        </w:tc>
        <w:tc>
          <w:tcPr>
            <w:tcW w:w="1179" w:type="pct"/>
            <w:gridSpan w:val="2"/>
          </w:tcPr>
          <w:p w14:paraId="33AAF569" w14:textId="77777777" w:rsidR="00A90047" w:rsidRPr="00281EA8" w:rsidRDefault="00A90047" w:rsidP="003A3A7B">
            <w:pPr>
              <w:pStyle w:val="TableText0"/>
            </w:pPr>
          </w:p>
          <w:p w14:paraId="40958587" w14:textId="77777777" w:rsidR="00A90047" w:rsidRPr="00281EA8" w:rsidRDefault="00A90047" w:rsidP="003A3A7B">
            <w:pPr>
              <w:pStyle w:val="TableText0"/>
            </w:pPr>
            <w:r w:rsidRPr="00281EA8">
              <w:t>78.98%</w:t>
            </w:r>
          </w:p>
          <w:p w14:paraId="4330515A" w14:textId="77777777" w:rsidR="00A90047" w:rsidRPr="00281EA8" w:rsidRDefault="00A90047" w:rsidP="003A3A7B">
            <w:pPr>
              <w:pStyle w:val="TableText0"/>
            </w:pPr>
            <w:r w:rsidRPr="00281EA8">
              <w:t>96.05%</w:t>
            </w:r>
          </w:p>
        </w:tc>
        <w:tc>
          <w:tcPr>
            <w:tcW w:w="1021" w:type="pct"/>
          </w:tcPr>
          <w:p w14:paraId="2FADC436" w14:textId="77777777" w:rsidR="00A90047" w:rsidRPr="00281EA8" w:rsidRDefault="00A90047" w:rsidP="003A3A7B">
            <w:pPr>
              <w:pStyle w:val="TableText0"/>
            </w:pPr>
            <w:r w:rsidRPr="00281EA8">
              <w:t>Estimated from Hess et al. (2022)</w:t>
            </w:r>
          </w:p>
        </w:tc>
        <w:tc>
          <w:tcPr>
            <w:tcW w:w="1859" w:type="pct"/>
          </w:tcPr>
          <w:p w14:paraId="384D0F47" w14:textId="15939FEF" w:rsidR="00A90047" w:rsidRPr="00281EA8" w:rsidRDefault="0052288C" w:rsidP="003A3A7B">
            <w:pPr>
              <w:pStyle w:val="TableText0"/>
            </w:pPr>
            <w:r w:rsidRPr="00281EA8">
              <w:t>Th</w:t>
            </w:r>
            <w:r w:rsidR="00B13E85" w:rsidRPr="00281EA8">
              <w:t xml:space="preserve">e ESC </w:t>
            </w:r>
            <w:r w:rsidR="005846F7" w:rsidRPr="00281EA8">
              <w:t xml:space="preserve">considered that the proportions applied in the submission were overestimated. </w:t>
            </w:r>
            <w:r w:rsidR="00C344EB" w:rsidRPr="00281EA8">
              <w:t xml:space="preserve">The ESC noted that </w:t>
            </w:r>
            <w:r w:rsidR="00B17B38" w:rsidRPr="00281EA8">
              <w:t>the March</w:t>
            </w:r>
            <w:r w:rsidR="00A61806" w:rsidRPr="00281EA8">
              <w:t xml:space="preserve"> 2025 </w:t>
            </w:r>
            <w:r w:rsidR="000941D0" w:rsidRPr="00281EA8">
              <w:t xml:space="preserve">D+T submission </w:t>
            </w:r>
            <w:r w:rsidR="00C344EB" w:rsidRPr="00281EA8">
              <w:t>assumed</w:t>
            </w:r>
            <w:r w:rsidR="0077311E" w:rsidRPr="00281EA8">
              <w:t xml:space="preserve"> </w:t>
            </w:r>
            <w:r w:rsidR="000941D0" w:rsidRPr="00281EA8">
              <w:t>80.1% of the patients had ECOG PS 0</w:t>
            </w:r>
            <w:r w:rsidR="003A3A7B">
              <w:noBreakHyphen/>
            </w:r>
            <w:r w:rsidR="000941D0" w:rsidRPr="00281EA8">
              <w:t xml:space="preserve">2. </w:t>
            </w:r>
            <w:r w:rsidR="0080014E" w:rsidRPr="00281EA8">
              <w:t>T</w:t>
            </w:r>
            <w:r w:rsidR="000941D0" w:rsidRPr="00281EA8">
              <w:t>he Queensland NSCLC Quality Index 2017</w:t>
            </w:r>
            <w:r w:rsidR="003A3A7B">
              <w:noBreakHyphen/>
            </w:r>
            <w:r w:rsidR="000941D0" w:rsidRPr="00281EA8">
              <w:t xml:space="preserve">2021, </w:t>
            </w:r>
            <w:r w:rsidRPr="00281EA8">
              <w:t xml:space="preserve">reported that </w:t>
            </w:r>
            <w:r w:rsidR="000941D0" w:rsidRPr="00281EA8">
              <w:t>83.3% of NSCLC patients had ECOG PS 0</w:t>
            </w:r>
            <w:r w:rsidR="003A3A7B">
              <w:noBreakHyphen/>
            </w:r>
            <w:r w:rsidR="000941D0" w:rsidRPr="00281EA8">
              <w:t>2.</w:t>
            </w:r>
            <w:r w:rsidR="000941D0" w:rsidRPr="00281EA8">
              <w:rPr>
                <w:vertAlign w:val="superscript"/>
              </w:rPr>
              <w:t>a</w:t>
            </w:r>
          </w:p>
        </w:tc>
      </w:tr>
      <w:tr w:rsidR="00A90047" w:rsidRPr="00281EA8" w14:paraId="3EE1E328" w14:textId="77777777" w:rsidTr="006D0699">
        <w:trPr>
          <w:cantSplit/>
          <w:trHeight w:val="1161"/>
        </w:trPr>
        <w:tc>
          <w:tcPr>
            <w:tcW w:w="940" w:type="pct"/>
          </w:tcPr>
          <w:p w14:paraId="38EEE71A" w14:textId="77777777" w:rsidR="00A90047" w:rsidRPr="00281EA8" w:rsidRDefault="00A90047" w:rsidP="003A3A7B">
            <w:pPr>
              <w:pStyle w:val="TableText0"/>
            </w:pPr>
            <w:r w:rsidRPr="00281EA8">
              <w:lastRenderedPageBreak/>
              <w:t>% diagnosed at Stage IV</w:t>
            </w:r>
          </w:p>
        </w:tc>
        <w:tc>
          <w:tcPr>
            <w:tcW w:w="1179" w:type="pct"/>
            <w:gridSpan w:val="2"/>
          </w:tcPr>
          <w:p w14:paraId="4024A2F1" w14:textId="77777777" w:rsidR="00A90047" w:rsidRPr="00281EA8" w:rsidRDefault="00A90047" w:rsidP="003A3A7B">
            <w:pPr>
              <w:pStyle w:val="TableText0"/>
            </w:pPr>
            <w:r w:rsidRPr="00281EA8">
              <w:t>51.50%</w:t>
            </w:r>
          </w:p>
        </w:tc>
        <w:tc>
          <w:tcPr>
            <w:tcW w:w="1021" w:type="pct"/>
          </w:tcPr>
          <w:p w14:paraId="588BD0DD" w14:textId="77777777" w:rsidR="00A90047" w:rsidRPr="00281EA8" w:rsidRDefault="00A90047" w:rsidP="003A3A7B">
            <w:pPr>
              <w:pStyle w:val="TableText0"/>
            </w:pPr>
            <w:r w:rsidRPr="00281EA8">
              <w:t>Estimated from Mitchell et al. (2013)</w:t>
            </w:r>
          </w:p>
        </w:tc>
        <w:tc>
          <w:tcPr>
            <w:tcW w:w="1859" w:type="pct"/>
          </w:tcPr>
          <w:p w14:paraId="06D89BE9" w14:textId="44FC8F04" w:rsidR="00A90047" w:rsidRPr="00281EA8" w:rsidRDefault="00524058" w:rsidP="003A3A7B">
            <w:pPr>
              <w:pStyle w:val="TableText0"/>
            </w:pPr>
            <w:r w:rsidRPr="00281EA8">
              <w:t>T</w:t>
            </w:r>
            <w:r w:rsidR="000941D0" w:rsidRPr="00281EA8">
              <w:t>his was slightly different from the recent</w:t>
            </w:r>
            <w:r w:rsidR="00A90047" w:rsidRPr="00281EA8">
              <w:t xml:space="preserve"> </w:t>
            </w:r>
            <w:bookmarkStart w:id="93" w:name="_Hlk205475564"/>
            <w:r w:rsidR="00A90047" w:rsidRPr="00281EA8">
              <w:t xml:space="preserve">Queensland NSCLC Quality </w:t>
            </w:r>
            <w:proofErr w:type="spellStart"/>
            <w:r w:rsidR="00A90047" w:rsidRPr="00281EA8">
              <w:t>Index</w:t>
            </w:r>
            <w:r w:rsidR="00A90047" w:rsidRPr="00281EA8">
              <w:rPr>
                <w:vertAlign w:val="superscript"/>
              </w:rPr>
              <w:t>a</w:t>
            </w:r>
            <w:proofErr w:type="spellEnd"/>
            <w:r w:rsidR="00A90047" w:rsidRPr="00281EA8">
              <w:t xml:space="preserve"> and the Victorian Lung Cancer </w:t>
            </w:r>
            <w:proofErr w:type="spellStart"/>
            <w:r w:rsidR="00A90047" w:rsidRPr="00281EA8">
              <w:t>Registry</w:t>
            </w:r>
            <w:r w:rsidR="00A90047" w:rsidRPr="00281EA8">
              <w:rPr>
                <w:vertAlign w:val="superscript"/>
              </w:rPr>
              <w:t>b</w:t>
            </w:r>
            <w:proofErr w:type="spellEnd"/>
            <w:r w:rsidR="0052288C" w:rsidRPr="00281EA8">
              <w:rPr>
                <w:vertAlign w:val="superscript"/>
              </w:rPr>
              <w:t xml:space="preserve">, </w:t>
            </w:r>
            <w:r w:rsidR="00D65B96" w:rsidRPr="00281EA8">
              <w:t>which reported</w:t>
            </w:r>
            <w:r w:rsidR="00A90047" w:rsidRPr="00281EA8">
              <w:t xml:space="preserve"> 54% and 56%, respectively.</w:t>
            </w:r>
            <w:bookmarkEnd w:id="93"/>
            <w:r w:rsidR="00A61806" w:rsidRPr="00281EA8">
              <w:t xml:space="preserve"> However, the proportion was consistent with the March 2025 </w:t>
            </w:r>
            <w:r w:rsidR="00A86455" w:rsidRPr="00281EA8">
              <w:t>D+T submission.</w:t>
            </w:r>
          </w:p>
        </w:tc>
      </w:tr>
      <w:tr w:rsidR="00A90047" w:rsidRPr="00281EA8" w14:paraId="6B987C25" w14:textId="77777777" w:rsidTr="00CF67DC">
        <w:trPr>
          <w:cantSplit/>
        </w:trPr>
        <w:tc>
          <w:tcPr>
            <w:tcW w:w="940" w:type="pct"/>
          </w:tcPr>
          <w:p w14:paraId="7AD44121" w14:textId="3DF72282" w:rsidR="00A90047" w:rsidRPr="00281EA8" w:rsidRDefault="00A90047" w:rsidP="003A3A7B">
            <w:pPr>
              <w:pStyle w:val="TableText0"/>
            </w:pPr>
            <w:r w:rsidRPr="00281EA8">
              <w:t>% BRAF V600E</w:t>
            </w:r>
            <w:r w:rsidR="003A3A7B">
              <w:noBreakHyphen/>
            </w:r>
            <w:r w:rsidR="00DD2F1C" w:rsidRPr="00281EA8">
              <w:t>MT</w:t>
            </w:r>
          </w:p>
        </w:tc>
        <w:tc>
          <w:tcPr>
            <w:tcW w:w="1179" w:type="pct"/>
            <w:gridSpan w:val="2"/>
          </w:tcPr>
          <w:p w14:paraId="3BD399C2" w14:textId="77777777" w:rsidR="00A90047" w:rsidRPr="00281EA8" w:rsidRDefault="00A90047" w:rsidP="003A3A7B">
            <w:pPr>
              <w:pStyle w:val="TableText0"/>
            </w:pPr>
            <w:r w:rsidRPr="00281EA8">
              <w:t>1.75%</w:t>
            </w:r>
          </w:p>
        </w:tc>
        <w:tc>
          <w:tcPr>
            <w:tcW w:w="1021" w:type="pct"/>
          </w:tcPr>
          <w:p w14:paraId="3FBE6A3D" w14:textId="77777777" w:rsidR="00A90047" w:rsidRPr="00281EA8" w:rsidRDefault="00A90047" w:rsidP="003A3A7B">
            <w:pPr>
              <w:pStyle w:val="TableText0"/>
            </w:pPr>
            <w:r w:rsidRPr="00281EA8">
              <w:t>Estimated from Litvak et al (2014)</w:t>
            </w:r>
          </w:p>
        </w:tc>
        <w:tc>
          <w:tcPr>
            <w:tcW w:w="1859" w:type="pct"/>
          </w:tcPr>
          <w:p w14:paraId="06FE79EF" w14:textId="0C9A1CAD" w:rsidR="00A90047" w:rsidRPr="00281EA8" w:rsidRDefault="00087226" w:rsidP="003A3A7B">
            <w:pPr>
              <w:pStyle w:val="TableText0"/>
            </w:pPr>
            <w:r>
              <w:t>The PBAC noted that the D+T submission applied a prevalence rate of 1.13%.</w:t>
            </w:r>
          </w:p>
        </w:tc>
      </w:tr>
      <w:tr w:rsidR="00A90047" w:rsidRPr="00281EA8" w14:paraId="311CBBBC" w14:textId="77777777" w:rsidTr="00CF67DC">
        <w:trPr>
          <w:cantSplit/>
        </w:trPr>
        <w:tc>
          <w:tcPr>
            <w:tcW w:w="940" w:type="pct"/>
          </w:tcPr>
          <w:p w14:paraId="53DF8BBB" w14:textId="38FACE98" w:rsidR="00A90047" w:rsidRPr="00281EA8" w:rsidRDefault="00A90047" w:rsidP="003A3A7B">
            <w:pPr>
              <w:pStyle w:val="TableText0"/>
            </w:pPr>
            <w:r w:rsidRPr="00281EA8">
              <w:t>% diagnosed at Stage I</w:t>
            </w:r>
            <w:r w:rsidR="003A3A7B">
              <w:noBreakHyphen/>
            </w:r>
            <w:r w:rsidRPr="00281EA8">
              <w:t>IIIA and progressed</w:t>
            </w:r>
          </w:p>
        </w:tc>
        <w:tc>
          <w:tcPr>
            <w:tcW w:w="1179" w:type="pct"/>
            <w:gridSpan w:val="2"/>
          </w:tcPr>
          <w:p w14:paraId="42005B2D" w14:textId="77777777" w:rsidR="00A90047" w:rsidRPr="00281EA8" w:rsidRDefault="00A90047" w:rsidP="003A3A7B">
            <w:pPr>
              <w:pStyle w:val="TableText0"/>
              <w:rPr>
                <w:highlight w:val="cyan"/>
              </w:rPr>
            </w:pPr>
            <w:r w:rsidRPr="00281EA8">
              <w:t>30.00%</w:t>
            </w:r>
          </w:p>
        </w:tc>
        <w:tc>
          <w:tcPr>
            <w:tcW w:w="1021" w:type="pct"/>
          </w:tcPr>
          <w:p w14:paraId="22B6A9D0" w14:textId="1E112F50" w:rsidR="00A90047" w:rsidRPr="00281EA8" w:rsidRDefault="00A90047" w:rsidP="003A3A7B">
            <w:pPr>
              <w:pStyle w:val="TableText0"/>
            </w:pPr>
            <w:r w:rsidRPr="00281EA8">
              <w:t>Sponsor’s assumption based on D+T PSD March 2025</w:t>
            </w:r>
            <w:r w:rsidR="005A276B" w:rsidRPr="00281EA8">
              <w:t>.</w:t>
            </w:r>
          </w:p>
        </w:tc>
        <w:tc>
          <w:tcPr>
            <w:tcW w:w="1859" w:type="pct"/>
          </w:tcPr>
          <w:p w14:paraId="549D4995" w14:textId="7C6134A9" w:rsidR="00A90047" w:rsidRPr="00281EA8" w:rsidRDefault="005A276B" w:rsidP="003A3A7B">
            <w:pPr>
              <w:pStyle w:val="TableText0"/>
            </w:pPr>
            <w:r w:rsidRPr="00281EA8">
              <w:t>This was consistent with the selpercatinib PSD, July 2024 PBAC meeting.</w:t>
            </w:r>
          </w:p>
        </w:tc>
      </w:tr>
      <w:tr w:rsidR="00A90047" w:rsidRPr="00281EA8" w14:paraId="1BA858A8" w14:textId="77777777" w:rsidTr="00CF67DC">
        <w:trPr>
          <w:cantSplit/>
        </w:trPr>
        <w:tc>
          <w:tcPr>
            <w:tcW w:w="940" w:type="pct"/>
          </w:tcPr>
          <w:p w14:paraId="365AF6A3" w14:textId="77777777" w:rsidR="00A90047" w:rsidRPr="00281EA8" w:rsidRDefault="00A90047" w:rsidP="003A3A7B">
            <w:pPr>
              <w:pStyle w:val="TableText0"/>
            </w:pPr>
            <w:r w:rsidRPr="00281EA8">
              <w:t>% of pretreated Stage IV patients alive and eligible for E+B</w:t>
            </w:r>
          </w:p>
        </w:tc>
        <w:tc>
          <w:tcPr>
            <w:tcW w:w="1179" w:type="pct"/>
            <w:gridSpan w:val="2"/>
          </w:tcPr>
          <w:p w14:paraId="5AB48ECD" w14:textId="77777777" w:rsidR="00A90047" w:rsidRPr="00281EA8" w:rsidRDefault="00A90047" w:rsidP="003A3A7B">
            <w:pPr>
              <w:pStyle w:val="TableText0"/>
            </w:pPr>
            <w:r w:rsidRPr="00281EA8">
              <w:t>70.00%</w:t>
            </w:r>
          </w:p>
        </w:tc>
        <w:tc>
          <w:tcPr>
            <w:tcW w:w="1021" w:type="pct"/>
          </w:tcPr>
          <w:p w14:paraId="5BD7222B" w14:textId="77777777" w:rsidR="00A90047" w:rsidRPr="00281EA8" w:rsidRDefault="00A90047" w:rsidP="003A3A7B">
            <w:pPr>
              <w:pStyle w:val="TableText0"/>
            </w:pPr>
            <w:r w:rsidRPr="00281EA8">
              <w:t>Sponsor’s assumption based on selpercatinib PSD July 2024.</w:t>
            </w:r>
          </w:p>
        </w:tc>
        <w:tc>
          <w:tcPr>
            <w:tcW w:w="1859" w:type="pct"/>
          </w:tcPr>
          <w:p w14:paraId="6746A156" w14:textId="1C7CD968" w:rsidR="00A90047" w:rsidRPr="00281EA8" w:rsidRDefault="00841ECF" w:rsidP="003A3A7B">
            <w:pPr>
              <w:pStyle w:val="TableText0"/>
            </w:pPr>
            <w:r w:rsidRPr="00281EA8">
              <w:t>The D+T PSD, March 2025 stated that prevalence rates in 2 Australian studies were 1.5% to 2.9%.</w:t>
            </w:r>
          </w:p>
        </w:tc>
      </w:tr>
      <w:tr w:rsidR="00A90047" w:rsidRPr="00281EA8" w14:paraId="3501C85A" w14:textId="77777777" w:rsidTr="002173CD">
        <w:trPr>
          <w:cantSplit/>
        </w:trPr>
        <w:tc>
          <w:tcPr>
            <w:tcW w:w="940" w:type="pct"/>
          </w:tcPr>
          <w:p w14:paraId="245DD48A" w14:textId="77777777" w:rsidR="00A90047" w:rsidRPr="00281EA8" w:rsidRDefault="00A90047" w:rsidP="003A3A7B">
            <w:pPr>
              <w:pStyle w:val="TableText0"/>
            </w:pPr>
            <w:r w:rsidRPr="00281EA8">
              <w:t>Incident patients</w:t>
            </w:r>
          </w:p>
        </w:tc>
        <w:tc>
          <w:tcPr>
            <w:tcW w:w="1179" w:type="pct"/>
            <w:gridSpan w:val="2"/>
          </w:tcPr>
          <w:p w14:paraId="3EAF6BC1" w14:textId="48E4F1AD" w:rsidR="00A90047" w:rsidRPr="00281EA8" w:rsidRDefault="00D97164" w:rsidP="003A3A7B">
            <w:pPr>
              <w:pStyle w:val="TableText0"/>
            </w:pPr>
            <w:r w:rsidRPr="00D97164">
              <w:rPr>
                <w:highlight w:val="black"/>
              </w:rPr>
              <w:t>&amp;&amp;&amp;&amp;</w:t>
            </w:r>
            <w:r w:rsidR="006873C6">
              <w:rPr>
                <w:vertAlign w:val="superscript"/>
              </w:rPr>
              <w:t>1</w:t>
            </w:r>
            <w:r w:rsidR="00A90047" w:rsidRPr="00281EA8">
              <w:t xml:space="preserve"> in Yr 1 increasing to </w:t>
            </w:r>
            <w:r w:rsidRPr="00D97164">
              <w:rPr>
                <w:highlight w:val="black"/>
              </w:rPr>
              <w:t>&amp;&amp;&amp;&amp;</w:t>
            </w:r>
            <w:r w:rsidR="006873C6">
              <w:rPr>
                <w:vertAlign w:val="superscript"/>
              </w:rPr>
              <w:t>1</w:t>
            </w:r>
            <w:r w:rsidR="00A90047" w:rsidRPr="00281EA8">
              <w:t xml:space="preserve"> in Yr 6</w:t>
            </w:r>
          </w:p>
        </w:tc>
        <w:tc>
          <w:tcPr>
            <w:tcW w:w="1021" w:type="pct"/>
          </w:tcPr>
          <w:p w14:paraId="6AC598BD" w14:textId="77777777" w:rsidR="00A90047" w:rsidRPr="00281EA8" w:rsidRDefault="00A90047" w:rsidP="003A3A7B">
            <w:pPr>
              <w:pStyle w:val="TableText0"/>
            </w:pPr>
            <w:r w:rsidRPr="00281EA8">
              <w:t>Calculated in the submission</w:t>
            </w:r>
          </w:p>
        </w:tc>
        <w:tc>
          <w:tcPr>
            <w:tcW w:w="1859" w:type="pct"/>
          </w:tcPr>
          <w:p w14:paraId="39816B65" w14:textId="5827E04B" w:rsidR="00A90047" w:rsidRPr="00281EA8" w:rsidRDefault="00ED09B0" w:rsidP="003A3A7B">
            <w:pPr>
              <w:pStyle w:val="TableText0"/>
            </w:pPr>
            <w:r w:rsidRPr="00281EA8">
              <w:t>Based on the recent data available for proportion of patients with ECOG PS 0</w:t>
            </w:r>
            <w:r w:rsidR="003A3A7B">
              <w:noBreakHyphen/>
            </w:r>
            <w:r w:rsidRPr="00281EA8">
              <w:t>2 (83.3%</w:t>
            </w:r>
            <w:r w:rsidRPr="00281EA8">
              <w:rPr>
                <w:vertAlign w:val="superscript"/>
              </w:rPr>
              <w:t>a</w:t>
            </w:r>
            <w:r w:rsidRPr="00281EA8">
              <w:t>) and stage IV (55%</w:t>
            </w:r>
            <w:r w:rsidRPr="00281EA8">
              <w:rPr>
                <w:vertAlign w:val="superscript"/>
              </w:rPr>
              <w:t>a,b</w:t>
            </w:r>
            <w:r w:rsidRPr="00281EA8">
              <w:t>), the number of incident patients change</w:t>
            </w:r>
            <w:r w:rsidR="00BE1C7D" w:rsidRPr="00281EA8">
              <w:t>s</w:t>
            </w:r>
            <w:r w:rsidRPr="00281EA8">
              <w:t xml:space="preserve"> to 110 in Y</w:t>
            </w:r>
            <w:r w:rsidR="00DD2F1C" w:rsidRPr="00281EA8">
              <w:t>r</w:t>
            </w:r>
            <w:r w:rsidRPr="00281EA8">
              <w:t xml:space="preserve"> 1, increasing to 118 in Yr 6.</w:t>
            </w:r>
            <w:r w:rsidR="002A3A4B">
              <w:t xml:space="preserve"> The PBAC considered this was reasonable.</w:t>
            </w:r>
          </w:p>
        </w:tc>
      </w:tr>
      <w:tr w:rsidR="00A90047" w:rsidRPr="00281EA8" w14:paraId="257929DD" w14:textId="77777777" w:rsidTr="00CF67DC">
        <w:trPr>
          <w:cantSplit/>
        </w:trPr>
        <w:tc>
          <w:tcPr>
            <w:tcW w:w="940" w:type="pct"/>
          </w:tcPr>
          <w:p w14:paraId="206FE330" w14:textId="77777777" w:rsidR="00A90047" w:rsidRPr="00281EA8" w:rsidRDefault="00A90047" w:rsidP="003A3A7B">
            <w:pPr>
              <w:pStyle w:val="TableText0"/>
            </w:pPr>
            <w:r w:rsidRPr="00281EA8">
              <w:t>Prevalent patients</w:t>
            </w:r>
          </w:p>
        </w:tc>
        <w:tc>
          <w:tcPr>
            <w:tcW w:w="1179" w:type="pct"/>
            <w:gridSpan w:val="2"/>
          </w:tcPr>
          <w:p w14:paraId="7F6B6EA4" w14:textId="487123B7" w:rsidR="00A90047" w:rsidRPr="00281EA8" w:rsidRDefault="00D97164" w:rsidP="003A3A7B">
            <w:pPr>
              <w:pStyle w:val="TableText0"/>
            </w:pPr>
            <w:r w:rsidRPr="00D97164">
              <w:rPr>
                <w:highlight w:val="black"/>
              </w:rPr>
              <w:t>&amp;&amp;&amp;&amp;</w:t>
            </w:r>
            <w:r w:rsidR="00EB25E5">
              <w:rPr>
                <w:vertAlign w:val="superscript"/>
              </w:rPr>
              <w:t>1</w:t>
            </w:r>
            <w:r w:rsidR="00A90047" w:rsidRPr="00281EA8">
              <w:t xml:space="preserve"> in Yr 1 increasing to </w:t>
            </w:r>
            <w:r w:rsidRPr="00D97164">
              <w:rPr>
                <w:highlight w:val="black"/>
              </w:rPr>
              <w:t>&amp;&amp;&amp;&amp;</w:t>
            </w:r>
            <w:r w:rsidR="00EB25E5">
              <w:rPr>
                <w:vertAlign w:val="superscript"/>
              </w:rPr>
              <w:t>1</w:t>
            </w:r>
            <w:r w:rsidR="00A90047" w:rsidRPr="00281EA8">
              <w:t>in Yr 6</w:t>
            </w:r>
          </w:p>
        </w:tc>
        <w:tc>
          <w:tcPr>
            <w:tcW w:w="1021" w:type="pct"/>
          </w:tcPr>
          <w:p w14:paraId="57809159" w14:textId="77777777" w:rsidR="00A90047" w:rsidRPr="00281EA8" w:rsidRDefault="00A90047" w:rsidP="003A3A7B">
            <w:pPr>
              <w:pStyle w:val="TableText0"/>
            </w:pPr>
            <w:r w:rsidRPr="00281EA8">
              <w:t>Calculated in the submission</w:t>
            </w:r>
          </w:p>
        </w:tc>
        <w:tc>
          <w:tcPr>
            <w:tcW w:w="1859" w:type="pct"/>
          </w:tcPr>
          <w:p w14:paraId="7A54E243" w14:textId="2E5E6C7D" w:rsidR="00A90047" w:rsidRPr="00281EA8" w:rsidRDefault="008560E0" w:rsidP="003A3A7B">
            <w:pPr>
              <w:pStyle w:val="TableText0"/>
            </w:pPr>
            <w:r w:rsidRPr="00281EA8">
              <w:t xml:space="preserve">Derived from the lung cancer population, assuming 86.6% had NSCLC; 58.5% </w:t>
            </w:r>
            <w:r w:rsidR="00330AD4" w:rsidRPr="00281EA8">
              <w:t>Stage I</w:t>
            </w:r>
            <w:r w:rsidR="003A3A7B">
              <w:noBreakHyphen/>
            </w:r>
            <w:r w:rsidR="00330AD4" w:rsidRPr="00281EA8">
              <w:t>III; 30% progressed to Stage IV within a year;</w:t>
            </w:r>
            <w:r w:rsidR="003034FD" w:rsidRPr="00281EA8">
              <w:t xml:space="preserve"> 70% were eligible for E+B; and 1.75% had BRAF V600E</w:t>
            </w:r>
            <w:r w:rsidR="003A3A7B">
              <w:noBreakHyphen/>
            </w:r>
            <w:r w:rsidR="003034FD" w:rsidRPr="00281EA8">
              <w:t>MT.</w:t>
            </w:r>
            <w:r w:rsidR="00C92D63">
              <w:t xml:space="preserve"> The PBAC considered this was reasonable.</w:t>
            </w:r>
          </w:p>
        </w:tc>
      </w:tr>
      <w:tr w:rsidR="00A90047" w:rsidRPr="00281EA8" w14:paraId="422EFAFD" w14:textId="77777777" w:rsidTr="00CF67DC">
        <w:trPr>
          <w:cantSplit/>
        </w:trPr>
        <w:tc>
          <w:tcPr>
            <w:tcW w:w="5000" w:type="pct"/>
            <w:gridSpan w:val="5"/>
          </w:tcPr>
          <w:p w14:paraId="3447D123" w14:textId="77777777" w:rsidR="00A90047" w:rsidRPr="00281EA8" w:rsidRDefault="00A90047" w:rsidP="003A3A7B">
            <w:pPr>
              <w:pStyle w:val="TableText0"/>
              <w:rPr>
                <w:b/>
                <w:bCs w:val="0"/>
              </w:rPr>
            </w:pPr>
            <w:r w:rsidRPr="00281EA8">
              <w:rPr>
                <w:b/>
                <w:bCs w:val="0"/>
              </w:rPr>
              <w:t>Treatment utilisation</w:t>
            </w:r>
          </w:p>
        </w:tc>
      </w:tr>
      <w:tr w:rsidR="00A90047" w:rsidRPr="00281EA8" w14:paraId="1F2987A9" w14:textId="77777777" w:rsidTr="00CF67DC">
        <w:trPr>
          <w:cantSplit/>
        </w:trPr>
        <w:tc>
          <w:tcPr>
            <w:tcW w:w="940" w:type="pct"/>
          </w:tcPr>
          <w:p w14:paraId="1F5F9C7F" w14:textId="77777777" w:rsidR="00A90047" w:rsidRPr="00281EA8" w:rsidRDefault="00A90047" w:rsidP="003A3A7B">
            <w:pPr>
              <w:pStyle w:val="TableText0"/>
            </w:pPr>
            <w:r w:rsidRPr="00281EA8">
              <w:t>Uptake rate</w:t>
            </w:r>
          </w:p>
        </w:tc>
        <w:tc>
          <w:tcPr>
            <w:tcW w:w="1179" w:type="pct"/>
            <w:gridSpan w:val="2"/>
          </w:tcPr>
          <w:p w14:paraId="32036CC9" w14:textId="78260052" w:rsidR="00A90047" w:rsidRPr="00281EA8" w:rsidRDefault="00D97164" w:rsidP="003A3A7B">
            <w:pPr>
              <w:pStyle w:val="TableText0"/>
            </w:pPr>
            <w:r w:rsidRPr="00D97164">
              <w:rPr>
                <w:highlight w:val="black"/>
              </w:rPr>
              <w:t>&amp;&amp;&amp;&amp;</w:t>
            </w:r>
            <w:r w:rsidR="00A90047" w:rsidRPr="00281EA8">
              <w:t>%</w:t>
            </w:r>
          </w:p>
        </w:tc>
        <w:tc>
          <w:tcPr>
            <w:tcW w:w="1021" w:type="pct"/>
          </w:tcPr>
          <w:p w14:paraId="48711AC9" w14:textId="77777777" w:rsidR="00A90047" w:rsidRPr="00281EA8" w:rsidRDefault="00A90047" w:rsidP="003A3A7B">
            <w:pPr>
              <w:pStyle w:val="TableText0"/>
            </w:pPr>
            <w:r w:rsidRPr="00281EA8">
              <w:t>Sponsor’s assumption</w:t>
            </w:r>
          </w:p>
        </w:tc>
        <w:tc>
          <w:tcPr>
            <w:tcW w:w="1859" w:type="pct"/>
          </w:tcPr>
          <w:p w14:paraId="361D5A9A" w14:textId="550E32A2" w:rsidR="00A90047" w:rsidRPr="00281EA8" w:rsidRDefault="0072517E" w:rsidP="003A3A7B">
            <w:pPr>
              <w:pStyle w:val="TableText0"/>
            </w:pPr>
            <w:r w:rsidRPr="00281EA8">
              <w:t xml:space="preserve">The ESC considered this </w:t>
            </w:r>
            <w:r w:rsidR="004C0195" w:rsidRPr="00281EA8">
              <w:t>wa</w:t>
            </w:r>
            <w:r w:rsidR="006F3B3A" w:rsidRPr="00281EA8">
              <w:t>s an</w:t>
            </w:r>
            <w:r w:rsidRPr="00281EA8">
              <w:t xml:space="preserve"> overestimate</w:t>
            </w:r>
            <w:r w:rsidR="006F3B3A" w:rsidRPr="00281EA8">
              <w:t xml:space="preserve">, particularly following </w:t>
            </w:r>
            <w:r w:rsidRPr="00281EA8">
              <w:t xml:space="preserve">the 1 October </w:t>
            </w:r>
            <w:r w:rsidR="00BB5B64" w:rsidRPr="00281EA8">
              <w:t xml:space="preserve">2025 </w:t>
            </w:r>
            <w:r w:rsidR="00BE1C7D" w:rsidRPr="00281EA8">
              <w:t>PBS listing of D+T</w:t>
            </w:r>
            <w:r w:rsidR="0089607B">
              <w:t xml:space="preserve">. The </w:t>
            </w:r>
            <w:r w:rsidR="0033414B">
              <w:t>p</w:t>
            </w:r>
            <w:r w:rsidR="00306586">
              <w:t>re</w:t>
            </w:r>
            <w:r w:rsidR="003A3A7B">
              <w:noBreakHyphen/>
            </w:r>
            <w:r w:rsidR="00306586">
              <w:t xml:space="preserve">PBAC Response stated it was likely that E+B would have a dominant market share </w:t>
            </w:r>
            <w:r w:rsidR="001F05E5">
              <w:t xml:space="preserve">over D+T </w:t>
            </w:r>
            <w:r w:rsidR="00306586">
              <w:t xml:space="preserve">based on experience in melanoma. The PBAC </w:t>
            </w:r>
            <w:r w:rsidR="008D77FC">
              <w:t xml:space="preserve">agreed </w:t>
            </w:r>
            <w:r w:rsidR="00306586">
              <w:t xml:space="preserve">that </w:t>
            </w:r>
            <w:r w:rsidR="00C34255">
              <w:t xml:space="preserve">E+B and D+T </w:t>
            </w:r>
            <w:r w:rsidR="00AE4397">
              <w:t xml:space="preserve">would have </w:t>
            </w:r>
            <w:r w:rsidR="00571F4A">
              <w:t xml:space="preserve">a high </w:t>
            </w:r>
            <w:r w:rsidR="00AE4397">
              <w:t>market share</w:t>
            </w:r>
            <w:r w:rsidR="00CC49EF">
              <w:t xml:space="preserve"> over </w:t>
            </w:r>
            <w:proofErr w:type="spellStart"/>
            <w:r w:rsidR="00CC49EF">
              <w:t>pembrolizumab+PDC</w:t>
            </w:r>
            <w:proofErr w:type="spellEnd"/>
            <w:r w:rsidR="008D77FC">
              <w:t xml:space="preserve">. </w:t>
            </w:r>
          </w:p>
        </w:tc>
      </w:tr>
      <w:tr w:rsidR="00A90047" w:rsidRPr="00281EA8" w14:paraId="5B401607" w14:textId="77777777" w:rsidTr="00CF67DC">
        <w:trPr>
          <w:cantSplit/>
        </w:trPr>
        <w:tc>
          <w:tcPr>
            <w:tcW w:w="940" w:type="pct"/>
          </w:tcPr>
          <w:p w14:paraId="17461D56" w14:textId="6B91A9AE" w:rsidR="00A90047" w:rsidRPr="00281EA8" w:rsidRDefault="00A90047" w:rsidP="003A3A7B">
            <w:pPr>
              <w:pStyle w:val="TableText0"/>
            </w:pPr>
            <w:r w:rsidRPr="00281EA8">
              <w:t>Treatment duration</w:t>
            </w:r>
            <w:r w:rsidR="00FD6ACE" w:rsidRPr="00281EA8">
              <w:t xml:space="preserve"> for E+B</w:t>
            </w:r>
            <w:r w:rsidRPr="00281EA8">
              <w:t xml:space="preserve"> (mean)</w:t>
            </w:r>
          </w:p>
        </w:tc>
        <w:tc>
          <w:tcPr>
            <w:tcW w:w="1179" w:type="pct"/>
            <w:gridSpan w:val="2"/>
          </w:tcPr>
          <w:p w14:paraId="77E035E5" w14:textId="103F3C33" w:rsidR="00A90047" w:rsidRPr="00281EA8" w:rsidRDefault="00A90047" w:rsidP="003A3A7B">
            <w:pPr>
              <w:pStyle w:val="TableText0"/>
            </w:pPr>
            <w:r w:rsidRPr="00281EA8">
              <w:t>108.45 weeks</w:t>
            </w:r>
            <w:r w:rsidR="00B210C2" w:rsidRPr="00281EA8">
              <w:t xml:space="preserve"> (</w:t>
            </w:r>
            <w:r w:rsidR="0089260A" w:rsidRPr="00281EA8">
              <w:t>~</w:t>
            </w:r>
            <w:r w:rsidR="00B210C2" w:rsidRPr="00281EA8">
              <w:t>25 months)</w:t>
            </w:r>
          </w:p>
        </w:tc>
        <w:tc>
          <w:tcPr>
            <w:tcW w:w="1021" w:type="pct"/>
            <w:vAlign w:val="center"/>
          </w:tcPr>
          <w:p w14:paraId="6F80813C" w14:textId="77777777" w:rsidR="00A90047" w:rsidRPr="00281EA8" w:rsidRDefault="00A90047" w:rsidP="003A3A7B">
            <w:pPr>
              <w:pStyle w:val="TableText0"/>
            </w:pPr>
            <w:r w:rsidRPr="00281EA8">
              <w:t>Based on the economic model</w:t>
            </w:r>
          </w:p>
        </w:tc>
        <w:tc>
          <w:tcPr>
            <w:tcW w:w="1859" w:type="pct"/>
          </w:tcPr>
          <w:p w14:paraId="2FEABC21" w14:textId="0A81C4D7" w:rsidR="00A90047" w:rsidRPr="00281EA8" w:rsidRDefault="00A90047" w:rsidP="003A3A7B">
            <w:pPr>
              <w:pStyle w:val="TableText0"/>
            </w:pPr>
            <w:r w:rsidRPr="00281EA8">
              <w:t>T</w:t>
            </w:r>
            <w:r w:rsidR="00B24BCE">
              <w:t>he PBAC considered t</w:t>
            </w:r>
            <w:r w:rsidRPr="00281EA8">
              <w:t>his was uncertain as it was derived from the extrapolated curve</w:t>
            </w:r>
            <w:r w:rsidR="00665CF9" w:rsidRPr="00281EA8">
              <w:t xml:space="preserve"> over </w:t>
            </w:r>
            <w:r w:rsidR="00BE1C7D" w:rsidRPr="00281EA8">
              <w:t>15</w:t>
            </w:r>
            <w:r w:rsidR="003A3A7B">
              <w:noBreakHyphen/>
            </w:r>
            <w:r w:rsidR="00BE1C7D" w:rsidRPr="00281EA8">
              <w:t>year</w:t>
            </w:r>
            <w:r w:rsidR="00665CF9" w:rsidRPr="00281EA8">
              <w:t xml:space="preserve"> time horizon</w:t>
            </w:r>
            <w:r w:rsidR="00ED3E42" w:rsidRPr="00281EA8">
              <w:t>.</w:t>
            </w:r>
          </w:p>
        </w:tc>
      </w:tr>
      <w:tr w:rsidR="00A90047" w:rsidRPr="00281EA8" w14:paraId="6FA6781C" w14:textId="77777777" w:rsidTr="00CF67DC">
        <w:trPr>
          <w:cantSplit/>
        </w:trPr>
        <w:tc>
          <w:tcPr>
            <w:tcW w:w="940" w:type="pct"/>
          </w:tcPr>
          <w:p w14:paraId="4499F4CB" w14:textId="77777777" w:rsidR="00A90047" w:rsidRPr="00281EA8" w:rsidRDefault="00A90047" w:rsidP="003A3A7B">
            <w:pPr>
              <w:pStyle w:val="TableText0"/>
            </w:pPr>
            <w:r w:rsidRPr="00281EA8">
              <w:t>RDI</w:t>
            </w:r>
          </w:p>
        </w:tc>
        <w:tc>
          <w:tcPr>
            <w:tcW w:w="1179" w:type="pct"/>
            <w:gridSpan w:val="2"/>
          </w:tcPr>
          <w:p w14:paraId="6150D8F3" w14:textId="6442D172" w:rsidR="00A90047" w:rsidRPr="00281EA8" w:rsidRDefault="00A90047" w:rsidP="003A3A7B">
            <w:pPr>
              <w:pStyle w:val="TableText0"/>
            </w:pPr>
            <w:r w:rsidRPr="00281EA8">
              <w:t>E</w:t>
            </w:r>
            <w:r w:rsidR="000A575A" w:rsidRPr="00281EA8">
              <w:t>n</w:t>
            </w:r>
            <w:r w:rsidRPr="00281EA8">
              <w:t>corafenib: 85.78%</w:t>
            </w:r>
          </w:p>
          <w:p w14:paraId="759FCDDF" w14:textId="77777777" w:rsidR="00A90047" w:rsidRPr="00281EA8" w:rsidRDefault="00A90047" w:rsidP="003A3A7B">
            <w:pPr>
              <w:pStyle w:val="TableText0"/>
            </w:pPr>
            <w:proofErr w:type="spellStart"/>
            <w:r w:rsidRPr="00281EA8">
              <w:t>Binimetinib</w:t>
            </w:r>
            <w:proofErr w:type="spellEnd"/>
            <w:r w:rsidRPr="00281EA8">
              <w:t>: 84.73%</w:t>
            </w:r>
          </w:p>
        </w:tc>
        <w:tc>
          <w:tcPr>
            <w:tcW w:w="1021" w:type="pct"/>
          </w:tcPr>
          <w:p w14:paraId="0EA9DDEC" w14:textId="77777777" w:rsidR="00A90047" w:rsidRPr="00281EA8" w:rsidRDefault="00A90047" w:rsidP="003A3A7B">
            <w:pPr>
              <w:pStyle w:val="TableText0"/>
            </w:pPr>
            <w:r w:rsidRPr="00281EA8">
              <w:t>Based on the economic model</w:t>
            </w:r>
          </w:p>
        </w:tc>
        <w:tc>
          <w:tcPr>
            <w:tcW w:w="1859" w:type="pct"/>
          </w:tcPr>
          <w:p w14:paraId="25B36E98" w14:textId="4702D82D" w:rsidR="00A90047" w:rsidRPr="00281EA8" w:rsidRDefault="00A90047" w:rsidP="003A3A7B">
            <w:pPr>
              <w:pStyle w:val="TableText0"/>
            </w:pPr>
            <w:r w:rsidRPr="00281EA8">
              <w:t>Based on the CSR report, the RDI for E+B was 86.83% and 84.71%, respectively.</w:t>
            </w:r>
            <w:r w:rsidR="00B24BCE">
              <w:t xml:space="preserve"> </w:t>
            </w:r>
          </w:p>
        </w:tc>
      </w:tr>
      <w:tr w:rsidR="00A90047" w:rsidRPr="00281EA8" w14:paraId="387EA146" w14:textId="77777777" w:rsidTr="00CF67DC">
        <w:trPr>
          <w:cantSplit/>
        </w:trPr>
        <w:tc>
          <w:tcPr>
            <w:tcW w:w="940" w:type="pct"/>
          </w:tcPr>
          <w:p w14:paraId="605AC188" w14:textId="77777777" w:rsidR="00A90047" w:rsidRPr="00281EA8" w:rsidRDefault="00A90047" w:rsidP="003A3A7B">
            <w:pPr>
              <w:pStyle w:val="TableText0"/>
            </w:pPr>
            <w:r w:rsidRPr="00281EA8">
              <w:t xml:space="preserve">Cost </w:t>
            </w:r>
          </w:p>
        </w:tc>
        <w:tc>
          <w:tcPr>
            <w:tcW w:w="1179" w:type="pct"/>
            <w:gridSpan w:val="2"/>
          </w:tcPr>
          <w:p w14:paraId="14BF65E3" w14:textId="77777777" w:rsidR="00A90047" w:rsidRPr="00281EA8" w:rsidRDefault="00A90047" w:rsidP="003A3A7B">
            <w:pPr>
              <w:pStyle w:val="TableText0"/>
            </w:pPr>
            <w:r w:rsidRPr="00281EA8">
              <w:t xml:space="preserve">Encorafenib 75 mg </w:t>
            </w:r>
          </w:p>
          <w:p w14:paraId="0DB46306" w14:textId="77777777" w:rsidR="00A90047" w:rsidRPr="00281EA8" w:rsidRDefault="00A90047" w:rsidP="003A3A7B">
            <w:pPr>
              <w:pStyle w:val="TableText0"/>
            </w:pPr>
            <w:r w:rsidRPr="00281EA8">
              <w:t>(42 capsules X 4)</w:t>
            </w:r>
          </w:p>
          <w:p w14:paraId="5C47A170" w14:textId="157944C5" w:rsidR="00A90047" w:rsidRPr="00281EA8" w:rsidRDefault="00A90047" w:rsidP="003A3A7B">
            <w:pPr>
              <w:pStyle w:val="TableText0"/>
            </w:pPr>
            <w:r w:rsidRPr="00281EA8">
              <w:t xml:space="preserve">$ </w:t>
            </w:r>
            <w:r w:rsidR="00D97164" w:rsidRPr="00D97164">
              <w:rPr>
                <w:highlight w:val="black"/>
              </w:rPr>
              <w:t>&amp;&amp;&amp;&amp;</w:t>
            </w:r>
            <w:r w:rsidRPr="00281EA8">
              <w:t xml:space="preserve"> (AEMP)</w:t>
            </w:r>
          </w:p>
          <w:p w14:paraId="430931BC" w14:textId="5C9078D0" w:rsidR="00A90047" w:rsidRPr="00281EA8" w:rsidRDefault="00A90047" w:rsidP="003A3A7B">
            <w:pPr>
              <w:pStyle w:val="TableText0"/>
            </w:pPr>
            <w:r w:rsidRPr="00281EA8">
              <w:t xml:space="preserve">$ </w:t>
            </w:r>
            <w:r w:rsidR="00D97164" w:rsidRPr="00D97164">
              <w:rPr>
                <w:highlight w:val="black"/>
              </w:rPr>
              <w:t>&amp;&amp;&amp;&amp;</w:t>
            </w:r>
            <w:r w:rsidRPr="00281EA8">
              <w:t xml:space="preserve"> (DPMQ)</w:t>
            </w:r>
          </w:p>
          <w:p w14:paraId="52C5D04A" w14:textId="77777777" w:rsidR="00A90047" w:rsidRPr="00281EA8" w:rsidRDefault="00A90047" w:rsidP="003A3A7B">
            <w:pPr>
              <w:pStyle w:val="TableText0"/>
            </w:pPr>
          </w:p>
          <w:p w14:paraId="09D47C4E" w14:textId="77777777" w:rsidR="00A90047" w:rsidRPr="00281EA8" w:rsidRDefault="00A90047" w:rsidP="003A3A7B">
            <w:pPr>
              <w:pStyle w:val="TableText0"/>
            </w:pPr>
            <w:proofErr w:type="spellStart"/>
            <w:r w:rsidRPr="00281EA8">
              <w:t>Binimetinib</w:t>
            </w:r>
            <w:proofErr w:type="spellEnd"/>
            <w:r w:rsidRPr="00281EA8">
              <w:t xml:space="preserve"> 45 mg </w:t>
            </w:r>
          </w:p>
          <w:p w14:paraId="37B17283" w14:textId="77777777" w:rsidR="00A90047" w:rsidRPr="00281EA8" w:rsidRDefault="00A90047" w:rsidP="003A3A7B">
            <w:pPr>
              <w:pStyle w:val="TableText0"/>
            </w:pPr>
            <w:r w:rsidRPr="00281EA8">
              <w:t>(56 capsules)</w:t>
            </w:r>
          </w:p>
          <w:p w14:paraId="2D82CB94" w14:textId="6536B80A" w:rsidR="00A90047" w:rsidRPr="00281EA8" w:rsidRDefault="00A90047" w:rsidP="003A3A7B">
            <w:pPr>
              <w:pStyle w:val="TableText0"/>
            </w:pPr>
            <w:r w:rsidRPr="00281EA8">
              <w:t xml:space="preserve">$ </w:t>
            </w:r>
            <w:r w:rsidR="00D97164" w:rsidRPr="00D97164">
              <w:rPr>
                <w:highlight w:val="black"/>
              </w:rPr>
              <w:t>&amp;&amp;&amp;&amp;</w:t>
            </w:r>
            <w:r w:rsidRPr="00281EA8">
              <w:t xml:space="preserve"> (AEMP)</w:t>
            </w:r>
          </w:p>
          <w:p w14:paraId="0DC8CB41" w14:textId="38BE0515" w:rsidR="00A90047" w:rsidRPr="00281EA8" w:rsidRDefault="00A90047" w:rsidP="003A3A7B">
            <w:pPr>
              <w:pStyle w:val="TableText0"/>
            </w:pPr>
            <w:r w:rsidRPr="00281EA8">
              <w:t xml:space="preserve">$ </w:t>
            </w:r>
            <w:r w:rsidR="00D97164" w:rsidRPr="00D97164">
              <w:rPr>
                <w:highlight w:val="black"/>
              </w:rPr>
              <w:t>&amp;&amp;&amp;&amp;</w:t>
            </w:r>
            <w:r w:rsidRPr="00281EA8">
              <w:t xml:space="preserve"> (DPMQ)</w:t>
            </w:r>
          </w:p>
        </w:tc>
        <w:tc>
          <w:tcPr>
            <w:tcW w:w="1021" w:type="pct"/>
          </w:tcPr>
          <w:p w14:paraId="6B2A31F6" w14:textId="77777777" w:rsidR="00A90047" w:rsidRPr="00281EA8" w:rsidRDefault="00A90047" w:rsidP="003A3A7B">
            <w:pPr>
              <w:pStyle w:val="TableText0"/>
            </w:pPr>
            <w:r w:rsidRPr="00281EA8">
              <w:t>Requested effective price</w:t>
            </w:r>
          </w:p>
        </w:tc>
        <w:tc>
          <w:tcPr>
            <w:tcW w:w="1859" w:type="pct"/>
          </w:tcPr>
          <w:p w14:paraId="4CCB90CB" w14:textId="079941E1" w:rsidR="00A90047" w:rsidRPr="00281EA8" w:rsidRDefault="00B05D1A" w:rsidP="003A3A7B">
            <w:pPr>
              <w:pStyle w:val="TableText0"/>
            </w:pPr>
            <w:r>
              <w:t xml:space="preserve">The effective price was </w:t>
            </w:r>
            <w:r w:rsidR="009C31C5">
              <w:t>derived</w:t>
            </w:r>
            <w:r w:rsidR="00997FA9">
              <w:t xml:space="preserve"> </w:t>
            </w:r>
            <w:r w:rsidR="009C31C5">
              <w:t xml:space="preserve">based </w:t>
            </w:r>
            <w:r w:rsidR="00997FA9">
              <w:t xml:space="preserve">on an assumed </w:t>
            </w:r>
            <w:r w:rsidR="009C31C5">
              <w:t xml:space="preserve">effective </w:t>
            </w:r>
            <w:r w:rsidR="00997FA9">
              <w:t>price for pembrolizumab</w:t>
            </w:r>
            <w:r w:rsidR="00603B48">
              <w:t>.</w:t>
            </w:r>
          </w:p>
        </w:tc>
      </w:tr>
      <w:tr w:rsidR="00A90047" w:rsidRPr="00281EA8" w14:paraId="3D9D4E44" w14:textId="77777777" w:rsidTr="00CF67DC">
        <w:trPr>
          <w:cantSplit/>
        </w:trPr>
        <w:tc>
          <w:tcPr>
            <w:tcW w:w="940" w:type="pct"/>
          </w:tcPr>
          <w:p w14:paraId="6CFDD8FD" w14:textId="77777777" w:rsidR="00A90047" w:rsidRPr="00281EA8" w:rsidRDefault="00A90047" w:rsidP="003A3A7B">
            <w:pPr>
              <w:pStyle w:val="TableText0"/>
            </w:pPr>
            <w:r w:rsidRPr="00281EA8">
              <w:t>MBS costs</w:t>
            </w:r>
          </w:p>
        </w:tc>
        <w:tc>
          <w:tcPr>
            <w:tcW w:w="785" w:type="pct"/>
            <w:tcBorders>
              <w:right w:val="nil"/>
            </w:tcBorders>
          </w:tcPr>
          <w:p w14:paraId="2AA6373D" w14:textId="77777777" w:rsidR="00A90047" w:rsidRPr="00281EA8" w:rsidRDefault="00A90047" w:rsidP="003A3A7B">
            <w:pPr>
              <w:pStyle w:val="TableText0"/>
            </w:pPr>
            <w:r w:rsidRPr="00281EA8">
              <w:t>Blood test</w:t>
            </w:r>
          </w:p>
          <w:p w14:paraId="45A1E598" w14:textId="77777777" w:rsidR="00A90047" w:rsidRPr="00281EA8" w:rsidRDefault="00A90047" w:rsidP="003A3A7B">
            <w:pPr>
              <w:pStyle w:val="TableText0"/>
            </w:pPr>
            <w:r w:rsidRPr="00281EA8">
              <w:t>CT scan</w:t>
            </w:r>
          </w:p>
          <w:p w14:paraId="6EF1C82A" w14:textId="16CD0969" w:rsidR="00A90047" w:rsidRPr="00281EA8" w:rsidRDefault="00A90047" w:rsidP="003A3A7B">
            <w:pPr>
              <w:pStyle w:val="TableText0"/>
            </w:pPr>
            <w:r w:rsidRPr="00281EA8">
              <w:t>E</w:t>
            </w:r>
            <w:r w:rsidR="007E3FC8" w:rsidRPr="00281EA8">
              <w:t>chocardiogram</w:t>
            </w:r>
          </w:p>
          <w:p w14:paraId="4C98EC31" w14:textId="77777777" w:rsidR="00A90047" w:rsidRPr="00281EA8" w:rsidRDefault="00A90047" w:rsidP="003A3A7B">
            <w:pPr>
              <w:pStyle w:val="TableText0"/>
            </w:pPr>
            <w:r w:rsidRPr="00281EA8">
              <w:lastRenderedPageBreak/>
              <w:t>IV administration Insertion of CVAD</w:t>
            </w:r>
          </w:p>
          <w:p w14:paraId="21A9F43C" w14:textId="77777777" w:rsidR="00A90047" w:rsidRPr="00281EA8" w:rsidRDefault="00A90047" w:rsidP="003A3A7B">
            <w:pPr>
              <w:pStyle w:val="TableText0"/>
            </w:pPr>
            <w:r w:rsidRPr="00281EA8">
              <w:t>Removal of CVAD</w:t>
            </w:r>
          </w:p>
          <w:p w14:paraId="100B72DF" w14:textId="77777777" w:rsidR="00A90047" w:rsidRPr="00281EA8" w:rsidRDefault="00A90047" w:rsidP="003A3A7B">
            <w:pPr>
              <w:pStyle w:val="TableText0"/>
            </w:pPr>
            <w:r w:rsidRPr="00281EA8">
              <w:t>Cleaning of CVAD</w:t>
            </w:r>
          </w:p>
          <w:p w14:paraId="22429D05" w14:textId="77777777" w:rsidR="00A90047" w:rsidRPr="00281EA8" w:rsidRDefault="00A90047" w:rsidP="003A3A7B">
            <w:pPr>
              <w:pStyle w:val="TableText0"/>
            </w:pPr>
            <w:r w:rsidRPr="00281EA8">
              <w:t>Liver and renal function test</w:t>
            </w:r>
          </w:p>
          <w:p w14:paraId="708E91A5" w14:textId="77777777" w:rsidR="00A90047" w:rsidRPr="00281EA8" w:rsidRDefault="00A90047" w:rsidP="003A3A7B">
            <w:pPr>
              <w:pStyle w:val="TableText0"/>
            </w:pPr>
            <w:r w:rsidRPr="00281EA8">
              <w:t>Thyroid function test</w:t>
            </w:r>
          </w:p>
        </w:tc>
        <w:tc>
          <w:tcPr>
            <w:tcW w:w="394" w:type="pct"/>
            <w:tcBorders>
              <w:left w:val="nil"/>
            </w:tcBorders>
          </w:tcPr>
          <w:p w14:paraId="5ED065AC" w14:textId="77777777" w:rsidR="00A90047" w:rsidRPr="00281EA8" w:rsidRDefault="00A90047" w:rsidP="003A3A7B">
            <w:pPr>
              <w:pStyle w:val="TableText0"/>
            </w:pPr>
            <w:r w:rsidRPr="00281EA8">
              <w:lastRenderedPageBreak/>
              <w:t>$ 8.05</w:t>
            </w:r>
          </w:p>
          <w:p w14:paraId="7BD96AB9" w14:textId="77777777" w:rsidR="00A90047" w:rsidRPr="00281EA8" w:rsidRDefault="00A90047" w:rsidP="003A3A7B">
            <w:pPr>
              <w:pStyle w:val="TableText0"/>
            </w:pPr>
            <w:r w:rsidRPr="00281EA8">
              <w:t>$ 630.15</w:t>
            </w:r>
          </w:p>
          <w:p w14:paraId="5EE022FB" w14:textId="77777777" w:rsidR="00A90047" w:rsidRPr="00281EA8" w:rsidRDefault="00A90047" w:rsidP="003A3A7B">
            <w:pPr>
              <w:pStyle w:val="TableText0"/>
            </w:pPr>
            <w:r w:rsidRPr="00281EA8">
              <w:t>$ 264.90</w:t>
            </w:r>
          </w:p>
          <w:p w14:paraId="57AAE70D" w14:textId="77777777" w:rsidR="00A90047" w:rsidRPr="00281EA8" w:rsidRDefault="00A90047" w:rsidP="003A3A7B">
            <w:pPr>
              <w:pStyle w:val="TableText0"/>
            </w:pPr>
            <w:r w:rsidRPr="00281EA8">
              <w:t>$ 126.00</w:t>
            </w:r>
          </w:p>
          <w:p w14:paraId="526EBED4" w14:textId="77777777" w:rsidR="00A90047" w:rsidRPr="00281EA8" w:rsidRDefault="00A90047" w:rsidP="003A3A7B">
            <w:pPr>
              <w:pStyle w:val="TableText0"/>
            </w:pPr>
            <w:r w:rsidRPr="00281EA8">
              <w:lastRenderedPageBreak/>
              <w:t>$ 317.80</w:t>
            </w:r>
          </w:p>
          <w:p w14:paraId="7D9BB470" w14:textId="77777777" w:rsidR="00A90047" w:rsidRPr="00281EA8" w:rsidRDefault="00A90047" w:rsidP="003A3A7B">
            <w:pPr>
              <w:pStyle w:val="TableText0"/>
            </w:pPr>
            <w:r w:rsidRPr="00281EA8">
              <w:t>$ 238.20</w:t>
            </w:r>
          </w:p>
          <w:p w14:paraId="59661C54" w14:textId="77777777" w:rsidR="00A90047" w:rsidRPr="00281EA8" w:rsidRDefault="00A90047" w:rsidP="003A3A7B">
            <w:pPr>
              <w:pStyle w:val="TableText0"/>
            </w:pPr>
            <w:r w:rsidRPr="00281EA8">
              <w:t>$ 61.25</w:t>
            </w:r>
          </w:p>
          <w:p w14:paraId="3D59B53B" w14:textId="77777777" w:rsidR="00A90047" w:rsidRPr="00281EA8" w:rsidRDefault="00A90047" w:rsidP="003A3A7B">
            <w:pPr>
              <w:pStyle w:val="TableText0"/>
            </w:pPr>
            <w:r w:rsidRPr="00281EA8">
              <w:t>$ 17.70</w:t>
            </w:r>
          </w:p>
          <w:p w14:paraId="048164E5" w14:textId="77777777" w:rsidR="00A90047" w:rsidRPr="00281EA8" w:rsidRDefault="00A90047" w:rsidP="003A3A7B">
            <w:pPr>
              <w:pStyle w:val="TableText0"/>
            </w:pPr>
          </w:p>
          <w:p w14:paraId="1BD5D307" w14:textId="59CC0FA7" w:rsidR="00A90047" w:rsidRPr="00281EA8" w:rsidRDefault="00A90047" w:rsidP="003A3A7B">
            <w:pPr>
              <w:pStyle w:val="TableText0"/>
            </w:pPr>
            <w:r w:rsidRPr="00281EA8">
              <w:t>$ 34.80</w:t>
            </w:r>
          </w:p>
        </w:tc>
        <w:tc>
          <w:tcPr>
            <w:tcW w:w="1021" w:type="pct"/>
          </w:tcPr>
          <w:p w14:paraId="750D64B1" w14:textId="77777777" w:rsidR="00A90047" w:rsidRPr="00281EA8" w:rsidRDefault="00A90047" w:rsidP="003A3A7B">
            <w:pPr>
              <w:pStyle w:val="TableText0"/>
            </w:pPr>
            <w:r w:rsidRPr="00281EA8">
              <w:lastRenderedPageBreak/>
              <w:t>MBS items</w:t>
            </w:r>
          </w:p>
        </w:tc>
        <w:tc>
          <w:tcPr>
            <w:tcW w:w="1859" w:type="pct"/>
          </w:tcPr>
          <w:p w14:paraId="1DDCE080" w14:textId="4CAEE6D7" w:rsidR="00A90047" w:rsidRPr="00281EA8" w:rsidRDefault="00A90047" w:rsidP="003A3A7B">
            <w:pPr>
              <w:pStyle w:val="TableText0"/>
            </w:pPr>
            <w:r w:rsidRPr="00281EA8">
              <w:t xml:space="preserve">The MBS costs for </w:t>
            </w:r>
            <w:r w:rsidR="005424A8" w:rsidRPr="00281EA8">
              <w:t>eye examination</w:t>
            </w:r>
            <w:r w:rsidR="003F3AD0" w:rsidRPr="00281EA8">
              <w:t>,</w:t>
            </w:r>
            <w:r w:rsidRPr="00281EA8">
              <w:t xml:space="preserve"> </w:t>
            </w:r>
            <w:r w:rsidR="003F3AD0" w:rsidRPr="00281EA8">
              <w:t>liver and renal function tests</w:t>
            </w:r>
            <w:r w:rsidRPr="00281EA8">
              <w:t xml:space="preserve"> associated with E+B were not included (MBS item 116</w:t>
            </w:r>
            <w:r w:rsidR="003F3AD0" w:rsidRPr="00281EA8">
              <w:t xml:space="preserve"> and 66512</w:t>
            </w:r>
            <w:r w:rsidRPr="00281EA8">
              <w:t xml:space="preserve">). Based on the FDA and draft TGA PI </w:t>
            </w:r>
            <w:r w:rsidRPr="00281EA8">
              <w:lastRenderedPageBreak/>
              <w:t xml:space="preserve">for </w:t>
            </w:r>
            <w:r w:rsidR="00B51FDC" w:rsidRPr="00281EA8">
              <w:t>E+B</w:t>
            </w:r>
            <w:r w:rsidRPr="00281EA8">
              <w:t xml:space="preserve">, ophthalmic evaluation at regular intervals for any visual disturbances </w:t>
            </w:r>
            <w:r w:rsidR="00DF5373" w:rsidRPr="00281EA8">
              <w:t xml:space="preserve">due to ocular toxicities </w:t>
            </w:r>
            <w:r w:rsidRPr="00281EA8">
              <w:t>are performed.</w:t>
            </w:r>
            <w:r w:rsidR="001B27D9" w:rsidRPr="00281EA8">
              <w:t xml:space="preserve"> Based on eviQ for E+B, liver and renal function test should be conducted at baseline and repeat monthly.</w:t>
            </w:r>
            <w:r w:rsidR="00C56364">
              <w:t xml:space="preserve"> The PBAC considered MBS impacts were underestimated given the need for monitoring, but that that the overall impact of this was low.</w:t>
            </w:r>
            <w:r w:rsidR="00C338D3">
              <w:t xml:space="preserve"> The PBAC noted that costs associated with CVAD would not be relevant </w:t>
            </w:r>
            <w:r w:rsidR="00CB7132">
              <w:t>if E+B substituted for D+T.</w:t>
            </w:r>
          </w:p>
        </w:tc>
      </w:tr>
    </w:tbl>
    <w:p w14:paraId="56D05048" w14:textId="77777777" w:rsidR="00A90047" w:rsidRDefault="00A90047" w:rsidP="003A3A7B">
      <w:pPr>
        <w:pStyle w:val="FooterTableFigure"/>
      </w:pPr>
      <w:r w:rsidRPr="0098262F">
        <w:lastRenderedPageBreak/>
        <w:t xml:space="preserve">Source: </w:t>
      </w:r>
      <w:r w:rsidRPr="00C91817">
        <w:t>Table 4.1, p209; Table 4.3, p211; Table 4.8, p214; Attachment 6.1 of the submission.</w:t>
      </w:r>
    </w:p>
    <w:p w14:paraId="10A4C23C" w14:textId="7B5D582F" w:rsidR="00A90047" w:rsidRDefault="00A90047" w:rsidP="003A3A7B">
      <w:pPr>
        <w:pStyle w:val="FooterTableFigure"/>
      </w:pPr>
      <w:r w:rsidRPr="00714C17">
        <w:t>ABS = Australian Bureau of Statistics; AEMP = authorised ex</w:t>
      </w:r>
      <w:r w:rsidR="003A3A7B">
        <w:noBreakHyphen/>
      </w:r>
      <w:r w:rsidRPr="00714C17">
        <w:t xml:space="preserve">manufacturer price; AIHW = Australian Institute of Health and Welfare; </w:t>
      </w:r>
      <w:r w:rsidR="00DD2F1C">
        <w:t>BRAF V600E</w:t>
      </w:r>
      <w:r w:rsidR="003A3A7B">
        <w:noBreakHyphen/>
      </w:r>
      <w:r w:rsidR="00DD2F1C">
        <w:t xml:space="preserve">MT = mutation positive; CSR = clinical study report; </w:t>
      </w:r>
      <w:r w:rsidRPr="00714C17">
        <w:t xml:space="preserve">CT = computed tomography; CVAD = central venous access device; DUSC = Drug Utilisation Sub Committee; D+T = dabrafenib and trametinib; </w:t>
      </w:r>
      <w:r w:rsidR="00DD2F1C">
        <w:t xml:space="preserve">DPMQ = dispensed price for maximum quantity; </w:t>
      </w:r>
      <w:r w:rsidRPr="00714C17">
        <w:t xml:space="preserve">ECOG PS = Eastern Cooperative Oncology Group Performance Status; E+B = </w:t>
      </w:r>
      <w:proofErr w:type="spellStart"/>
      <w:r w:rsidRPr="00714C17">
        <w:t>encorafenib</w:t>
      </w:r>
      <w:proofErr w:type="spellEnd"/>
      <w:r w:rsidRPr="00714C17">
        <w:t xml:space="preserve"> and </w:t>
      </w:r>
      <w:proofErr w:type="spellStart"/>
      <w:r w:rsidRPr="00714C17">
        <w:t>binimetinib</w:t>
      </w:r>
      <w:proofErr w:type="spellEnd"/>
      <w:r w:rsidRPr="00714C17">
        <w:t xml:space="preserve">; FDA = Food and Drug </w:t>
      </w:r>
      <w:r w:rsidRPr="00D52B30">
        <w:t>Administration; ICER = incremental cost</w:t>
      </w:r>
      <w:r w:rsidR="003A3A7B">
        <w:noBreakHyphen/>
      </w:r>
      <w:r w:rsidRPr="00D52B30">
        <w:t>effectiveness ratio; IV = intravenous; MBS = Medicare Benefits Scheme; NSCLC = non</w:t>
      </w:r>
      <w:r w:rsidR="003A3A7B">
        <w:noBreakHyphen/>
      </w:r>
      <w:r w:rsidRPr="00D52B30">
        <w:t>small cell lung cancer; PBS = Pharmaceutical Benefits Scheme; PI = product insert; PSD = Public Summary document;</w:t>
      </w:r>
      <w:r w:rsidR="00DD2F1C">
        <w:t xml:space="preserve"> RDI = relative dose intensity; </w:t>
      </w:r>
      <w:r w:rsidRPr="00D52B30">
        <w:t>RPBS = Repatriation Pharmaceutical Benefits Scheme; SPA = Special pricing arrangement; TGA</w:t>
      </w:r>
      <w:r w:rsidRPr="00714C17">
        <w:t xml:space="preserve"> = Therapeutic Goods Administration</w:t>
      </w:r>
      <w:r>
        <w:t>; Yr = year</w:t>
      </w:r>
      <w:r w:rsidRPr="00714C17">
        <w:t>.</w:t>
      </w:r>
    </w:p>
    <w:p w14:paraId="1BBC36BD" w14:textId="5B099DB1" w:rsidR="00A90047" w:rsidRDefault="00A90047" w:rsidP="003A3A7B">
      <w:pPr>
        <w:pStyle w:val="FooterTableFigure"/>
      </w:pPr>
      <w:r w:rsidRPr="00A90047">
        <w:rPr>
          <w:vertAlign w:val="superscript"/>
        </w:rPr>
        <w:t>a</w:t>
      </w:r>
      <w:r>
        <w:t xml:space="preserve"> </w:t>
      </w:r>
      <w:r w:rsidR="000941D0">
        <w:t xml:space="preserve">Based on the </w:t>
      </w:r>
      <w:r>
        <w:t>Queensland NSCLC Quality Index 2012</w:t>
      </w:r>
      <w:r w:rsidR="003A3A7B">
        <w:noBreakHyphen/>
      </w:r>
      <w:r>
        <w:t xml:space="preserve">2021 </w:t>
      </w:r>
      <w:hyperlink r:id="rId24" w:anchor="tab3" w:history="1">
        <w:r w:rsidRPr="008E247E">
          <w:rPr>
            <w:rStyle w:val="Hyperlink"/>
          </w:rPr>
          <w:t>https://cancerallianceqld.health.qld.gov.au/reports/lung20122022website-lungreport20122021/#tab3</w:t>
        </w:r>
      </w:hyperlink>
      <w:r>
        <w:t xml:space="preserve"> </w:t>
      </w:r>
    </w:p>
    <w:p w14:paraId="3CB706C8" w14:textId="77777777" w:rsidR="0016605A" w:rsidRDefault="00A90047" w:rsidP="0016605A">
      <w:pPr>
        <w:pStyle w:val="FooterTableFigure"/>
      </w:pPr>
      <w:r w:rsidRPr="00A90047">
        <w:rPr>
          <w:vertAlign w:val="superscript"/>
        </w:rPr>
        <w:t>b</w:t>
      </w:r>
      <w:r>
        <w:t xml:space="preserve"> </w:t>
      </w:r>
      <w:r w:rsidR="000941D0">
        <w:t xml:space="preserve">Based on the </w:t>
      </w:r>
      <w:r>
        <w:t xml:space="preserve">Victorian Lung Cancer Registry 2022 Annual Report </w:t>
      </w:r>
      <w:hyperlink r:id="rId25" w:history="1">
        <w:r w:rsidRPr="008E247E">
          <w:rPr>
            <w:rStyle w:val="Hyperlink"/>
          </w:rPr>
          <w:t>https://vlcr.org.au/wp-content/uploads/2018/05/VLCR-2022-Annual-Report.pdf</w:t>
        </w:r>
      </w:hyperlink>
      <w:r>
        <w:t xml:space="preserve"> </w:t>
      </w:r>
    </w:p>
    <w:p w14:paraId="2D8B2EF6" w14:textId="10DB00B6" w:rsidR="0016605A" w:rsidRPr="0016605A" w:rsidRDefault="0016605A" w:rsidP="0016605A">
      <w:pPr>
        <w:pStyle w:val="FooterTableFigure"/>
      </w:pPr>
      <w:r w:rsidRPr="0016605A">
        <w:rPr>
          <w:i/>
        </w:rPr>
        <w:t xml:space="preserve">The redacted values correspond to the following ranges: </w:t>
      </w:r>
    </w:p>
    <w:p w14:paraId="31188C9C" w14:textId="323A8191" w:rsidR="0016605A" w:rsidRPr="0016605A" w:rsidRDefault="00EB25E5" w:rsidP="0016605A">
      <w:pPr>
        <w:pStyle w:val="FooterTableFigure"/>
        <w:rPr>
          <w:i/>
        </w:rPr>
      </w:pPr>
      <w:r>
        <w:rPr>
          <w:i/>
          <w:vertAlign w:val="superscript"/>
        </w:rPr>
        <w:t>1</w:t>
      </w:r>
      <w:r w:rsidR="0016605A" w:rsidRPr="0016605A">
        <w:rPr>
          <w:i/>
        </w:rPr>
        <w:t xml:space="preserve"> </w:t>
      </w:r>
      <w:bookmarkStart w:id="94" w:name="_Hlk218775166"/>
      <w:r w:rsidR="007A13A0" w:rsidRPr="007A13A0">
        <w:rPr>
          <w:i/>
        </w:rPr>
        <w:t>&lt; 500</w:t>
      </w:r>
      <w:bookmarkEnd w:id="94"/>
    </w:p>
    <w:p w14:paraId="4E6B9151" w14:textId="15D71098" w:rsidR="00345618" w:rsidRPr="0074538B" w:rsidRDefault="00345618" w:rsidP="003A3A7B">
      <w:pPr>
        <w:pStyle w:val="FooterTableFigure"/>
      </w:pPr>
    </w:p>
    <w:p w14:paraId="2AD51C95" w14:textId="41FFB9E3" w:rsidR="00345618" w:rsidRPr="0074538B" w:rsidRDefault="00345618" w:rsidP="003A3A7B">
      <w:pPr>
        <w:pStyle w:val="3-BodyText"/>
      </w:pPr>
      <w:r w:rsidRPr="0074538B">
        <w:t>The estimated financial implications of listing E+B</w:t>
      </w:r>
      <w:r w:rsidR="00841ECF" w:rsidRPr="0074538B">
        <w:t xml:space="preserve"> </w:t>
      </w:r>
      <w:r w:rsidRPr="0074538B">
        <w:t xml:space="preserve">are presented in </w:t>
      </w:r>
      <w:r w:rsidR="0055445F" w:rsidRPr="0074538B">
        <w:fldChar w:fldCharType="begin"/>
      </w:r>
      <w:r w:rsidR="0055445F" w:rsidRPr="0074538B">
        <w:instrText xml:space="preserve"> REF _Ref206240637 \h </w:instrText>
      </w:r>
      <w:r w:rsidR="0074538B">
        <w:instrText xml:space="preserve"> \* MERGEFORMAT </w:instrText>
      </w:r>
      <w:r w:rsidR="0055445F" w:rsidRPr="0074538B">
        <w:fldChar w:fldCharType="separate"/>
      </w:r>
      <w:r w:rsidR="00894EC9" w:rsidRPr="0098262F">
        <w:t xml:space="preserve">Table </w:t>
      </w:r>
      <w:r w:rsidR="00894EC9">
        <w:t>20</w:t>
      </w:r>
      <w:r w:rsidR="0055445F" w:rsidRPr="0074538B">
        <w:fldChar w:fldCharType="end"/>
      </w:r>
      <w:r w:rsidR="0055445F" w:rsidRPr="0074538B">
        <w:t>.</w:t>
      </w:r>
      <w:r w:rsidR="00841ECF" w:rsidRPr="0074538B">
        <w:t xml:space="preserve"> </w:t>
      </w:r>
    </w:p>
    <w:p w14:paraId="0889E915" w14:textId="45713988" w:rsidR="00345618" w:rsidRPr="0098262F" w:rsidRDefault="00345618" w:rsidP="007D1BB4">
      <w:pPr>
        <w:pStyle w:val="Caption"/>
        <w:spacing w:before="120"/>
      </w:pPr>
      <w:bookmarkStart w:id="95" w:name="_Ref206240637"/>
      <w:bookmarkStart w:id="96" w:name="_Hlk205813180"/>
      <w:r w:rsidRPr="0098262F">
        <w:lastRenderedPageBreak/>
        <w:t xml:space="preserve">Table </w:t>
      </w:r>
      <w:r w:rsidR="00544109">
        <w:t>20</w:t>
      </w:r>
      <w:bookmarkEnd w:id="95"/>
      <w:r w:rsidRPr="0098262F">
        <w:t>:</w:t>
      </w:r>
      <w:r w:rsidRPr="0098262F">
        <w:rPr>
          <w:rStyle w:val="CommentReference"/>
          <w:b/>
          <w:szCs w:val="24"/>
        </w:rPr>
        <w:t xml:space="preserve"> Estimated use and financial implications</w:t>
      </w:r>
      <w:r>
        <w:rPr>
          <w:rStyle w:val="CommentReference"/>
          <w:b/>
          <w:szCs w:val="24"/>
        </w:rPr>
        <w:t xml:space="preserve"> (</w:t>
      </w:r>
      <w:r w:rsidR="007359E6">
        <w:rPr>
          <w:rStyle w:val="CommentReference"/>
          <w:b/>
          <w:szCs w:val="24"/>
        </w:rPr>
        <w:t xml:space="preserve">proposed effective </w:t>
      </w:r>
      <w:r>
        <w:rPr>
          <w:rStyle w:val="CommentReference"/>
          <w:b/>
          <w:szCs w:val="24"/>
        </w:rPr>
        <w:t>price</w:t>
      </w:r>
      <w:r w:rsidR="007359E6">
        <w:rPr>
          <w:rStyle w:val="CommentReference"/>
          <w:b/>
          <w:szCs w:val="24"/>
        </w:rPr>
        <w:t xml:space="preserve"> for E+B, and assumed effective </w:t>
      </w:r>
      <w:proofErr w:type="spellStart"/>
      <w:r w:rsidR="007359E6">
        <w:rPr>
          <w:rStyle w:val="CommentReference"/>
          <w:b/>
          <w:szCs w:val="24"/>
        </w:rPr>
        <w:t>price</w:t>
      </w:r>
      <w:r w:rsidR="00267D28" w:rsidRPr="00267D28">
        <w:rPr>
          <w:rStyle w:val="CommentReference"/>
          <w:b/>
          <w:szCs w:val="24"/>
          <w:vertAlign w:val="superscript"/>
        </w:rPr>
        <w:t>a</w:t>
      </w:r>
      <w:proofErr w:type="spellEnd"/>
      <w:r w:rsidR="007359E6">
        <w:rPr>
          <w:rStyle w:val="CommentReference"/>
          <w:b/>
          <w:szCs w:val="24"/>
        </w:rPr>
        <w:t xml:space="preserve"> for pembrolizumab</w:t>
      </w:r>
      <w:r>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Estimated use and financial implications (proposed effective price for E+B, and assumed effective pricea for pembrolizumab)"/>
      </w:tblPr>
      <w:tblGrid>
        <w:gridCol w:w="2406"/>
        <w:gridCol w:w="1102"/>
        <w:gridCol w:w="1102"/>
        <w:gridCol w:w="1102"/>
        <w:gridCol w:w="1087"/>
        <w:gridCol w:w="1116"/>
        <w:gridCol w:w="1102"/>
      </w:tblGrid>
      <w:tr w:rsidR="00345618" w:rsidRPr="0074538B" w14:paraId="22D15978" w14:textId="77777777" w:rsidTr="008E13C7">
        <w:trPr>
          <w:tblHeader/>
        </w:trPr>
        <w:tc>
          <w:tcPr>
            <w:tcW w:w="1334" w:type="pct"/>
            <w:vAlign w:val="center"/>
          </w:tcPr>
          <w:p w14:paraId="2DBF8526" w14:textId="77777777" w:rsidR="00345618" w:rsidRPr="0074538B" w:rsidRDefault="00345618" w:rsidP="007D1BB4">
            <w:pPr>
              <w:pStyle w:val="In-tableHeading"/>
              <w:jc w:val="center"/>
              <w:rPr>
                <w:lang w:val="en-AU"/>
              </w:rPr>
            </w:pPr>
          </w:p>
        </w:tc>
        <w:tc>
          <w:tcPr>
            <w:tcW w:w="611" w:type="pct"/>
            <w:vAlign w:val="center"/>
          </w:tcPr>
          <w:p w14:paraId="2763D753" w14:textId="77777777" w:rsidR="00345618" w:rsidRPr="0074538B" w:rsidRDefault="00345618" w:rsidP="007D1BB4">
            <w:pPr>
              <w:pStyle w:val="In-tableHeading"/>
              <w:jc w:val="center"/>
              <w:rPr>
                <w:lang w:val="en-AU"/>
              </w:rPr>
            </w:pPr>
            <w:r w:rsidRPr="0074538B">
              <w:rPr>
                <w:lang w:val="en-AU"/>
              </w:rPr>
              <w:t>Year 1</w:t>
            </w:r>
          </w:p>
        </w:tc>
        <w:tc>
          <w:tcPr>
            <w:tcW w:w="611" w:type="pct"/>
            <w:vAlign w:val="center"/>
          </w:tcPr>
          <w:p w14:paraId="3C4860CC" w14:textId="77777777" w:rsidR="00345618" w:rsidRPr="0074538B" w:rsidRDefault="00345618" w:rsidP="007D1BB4">
            <w:pPr>
              <w:pStyle w:val="In-tableHeading"/>
              <w:jc w:val="center"/>
              <w:rPr>
                <w:lang w:val="en-AU"/>
              </w:rPr>
            </w:pPr>
            <w:r w:rsidRPr="0074538B">
              <w:rPr>
                <w:lang w:val="en-AU"/>
              </w:rPr>
              <w:t>Year 2</w:t>
            </w:r>
          </w:p>
        </w:tc>
        <w:tc>
          <w:tcPr>
            <w:tcW w:w="611" w:type="pct"/>
            <w:vAlign w:val="center"/>
          </w:tcPr>
          <w:p w14:paraId="3FB63D30" w14:textId="77777777" w:rsidR="00345618" w:rsidRPr="0074538B" w:rsidRDefault="00345618" w:rsidP="007D1BB4">
            <w:pPr>
              <w:pStyle w:val="In-tableHeading"/>
              <w:jc w:val="center"/>
              <w:rPr>
                <w:lang w:val="en-AU"/>
              </w:rPr>
            </w:pPr>
            <w:r w:rsidRPr="0074538B">
              <w:rPr>
                <w:lang w:val="en-AU"/>
              </w:rPr>
              <w:t>Year 3</w:t>
            </w:r>
          </w:p>
        </w:tc>
        <w:tc>
          <w:tcPr>
            <w:tcW w:w="603" w:type="pct"/>
            <w:vAlign w:val="center"/>
          </w:tcPr>
          <w:p w14:paraId="4D56346D" w14:textId="77777777" w:rsidR="00345618" w:rsidRPr="0074538B" w:rsidRDefault="00345618" w:rsidP="007D1BB4">
            <w:pPr>
              <w:pStyle w:val="In-tableHeading"/>
              <w:jc w:val="center"/>
              <w:rPr>
                <w:lang w:val="en-AU"/>
              </w:rPr>
            </w:pPr>
            <w:r w:rsidRPr="0074538B">
              <w:rPr>
                <w:lang w:val="en-AU"/>
              </w:rPr>
              <w:t>Year 4</w:t>
            </w:r>
          </w:p>
        </w:tc>
        <w:tc>
          <w:tcPr>
            <w:tcW w:w="619" w:type="pct"/>
            <w:vAlign w:val="center"/>
          </w:tcPr>
          <w:p w14:paraId="7F261934" w14:textId="77777777" w:rsidR="00345618" w:rsidRPr="0074538B" w:rsidRDefault="00345618" w:rsidP="007D1BB4">
            <w:pPr>
              <w:pStyle w:val="In-tableHeading"/>
              <w:jc w:val="center"/>
              <w:rPr>
                <w:lang w:val="en-AU"/>
              </w:rPr>
            </w:pPr>
            <w:r w:rsidRPr="0074538B">
              <w:rPr>
                <w:lang w:val="en-AU"/>
              </w:rPr>
              <w:t>Year 5</w:t>
            </w:r>
          </w:p>
        </w:tc>
        <w:tc>
          <w:tcPr>
            <w:tcW w:w="611" w:type="pct"/>
          </w:tcPr>
          <w:p w14:paraId="73A1D766" w14:textId="77777777" w:rsidR="00345618" w:rsidRPr="0074538B" w:rsidRDefault="00345618" w:rsidP="007D1BB4">
            <w:pPr>
              <w:pStyle w:val="In-tableHeading"/>
              <w:jc w:val="center"/>
              <w:rPr>
                <w:lang w:val="en-AU"/>
              </w:rPr>
            </w:pPr>
            <w:r w:rsidRPr="0074538B">
              <w:rPr>
                <w:lang w:val="en-AU"/>
              </w:rPr>
              <w:t>Year 6</w:t>
            </w:r>
          </w:p>
        </w:tc>
      </w:tr>
      <w:tr w:rsidR="00345618" w:rsidRPr="0074538B" w14:paraId="52E64E4F" w14:textId="77777777" w:rsidTr="00A11AE5">
        <w:tc>
          <w:tcPr>
            <w:tcW w:w="5000" w:type="pct"/>
            <w:gridSpan w:val="7"/>
            <w:vAlign w:val="center"/>
          </w:tcPr>
          <w:p w14:paraId="54621C58" w14:textId="77777777" w:rsidR="00345618" w:rsidRPr="0074538B" w:rsidRDefault="00345618" w:rsidP="007D1BB4">
            <w:pPr>
              <w:pStyle w:val="In-tableHeading"/>
              <w:rPr>
                <w:bCs/>
                <w:color w:val="000000"/>
                <w:lang w:val="en-AU"/>
              </w:rPr>
            </w:pPr>
            <w:r w:rsidRPr="0074538B">
              <w:rPr>
                <w:bCs/>
                <w:color w:val="000000"/>
                <w:lang w:val="en-AU"/>
              </w:rPr>
              <w:t>Estimated extent of use</w:t>
            </w:r>
          </w:p>
        </w:tc>
      </w:tr>
      <w:tr w:rsidR="00345618" w:rsidRPr="0074538B" w14:paraId="160776A7" w14:textId="77777777" w:rsidTr="008E13C7">
        <w:tc>
          <w:tcPr>
            <w:tcW w:w="1334" w:type="pct"/>
            <w:vAlign w:val="center"/>
          </w:tcPr>
          <w:p w14:paraId="68570D94" w14:textId="77777777" w:rsidR="00345618" w:rsidRPr="0074538B" w:rsidRDefault="00345618" w:rsidP="007D1BB4">
            <w:pPr>
              <w:pStyle w:val="TableText0"/>
              <w:rPr>
                <w:rFonts w:ascii="Times" w:hAnsi="Times"/>
              </w:rPr>
            </w:pPr>
            <w:r w:rsidRPr="0074538B">
              <w:t>Number of patients treated</w:t>
            </w:r>
          </w:p>
        </w:tc>
        <w:tc>
          <w:tcPr>
            <w:tcW w:w="611" w:type="pct"/>
            <w:vAlign w:val="center"/>
          </w:tcPr>
          <w:p w14:paraId="6EB0E1A5" w14:textId="624C5606" w:rsidR="00345618" w:rsidRPr="00F6320D" w:rsidRDefault="00D97164" w:rsidP="007D1BB4">
            <w:pPr>
              <w:pStyle w:val="TableText0"/>
              <w:jc w:val="center"/>
              <w:rPr>
                <w:vertAlign w:val="superscript"/>
              </w:rPr>
            </w:pPr>
            <w:r w:rsidRPr="00D97164">
              <w:rPr>
                <w:highlight w:val="black"/>
              </w:rPr>
              <w:t>&amp;&amp;&amp;&amp;</w:t>
            </w:r>
            <w:r w:rsidR="00F6320D">
              <w:rPr>
                <w:vertAlign w:val="superscript"/>
              </w:rPr>
              <w:t>1</w:t>
            </w:r>
          </w:p>
        </w:tc>
        <w:tc>
          <w:tcPr>
            <w:tcW w:w="611" w:type="pct"/>
            <w:vAlign w:val="center"/>
          </w:tcPr>
          <w:p w14:paraId="12CD72F3" w14:textId="2CD7590B" w:rsidR="00345618" w:rsidRPr="00F6320D" w:rsidRDefault="00D97164" w:rsidP="007D1BB4">
            <w:pPr>
              <w:pStyle w:val="TableText0"/>
              <w:jc w:val="center"/>
              <w:rPr>
                <w:vertAlign w:val="superscript"/>
              </w:rPr>
            </w:pPr>
            <w:r w:rsidRPr="00D97164">
              <w:rPr>
                <w:highlight w:val="black"/>
              </w:rPr>
              <w:t>&amp;&amp;&amp;&amp;</w:t>
            </w:r>
            <w:r w:rsidR="00F6320D">
              <w:rPr>
                <w:vertAlign w:val="superscript"/>
              </w:rPr>
              <w:t>1</w:t>
            </w:r>
          </w:p>
        </w:tc>
        <w:tc>
          <w:tcPr>
            <w:tcW w:w="611" w:type="pct"/>
            <w:vAlign w:val="center"/>
          </w:tcPr>
          <w:p w14:paraId="6EBF9F6E" w14:textId="2AED5744" w:rsidR="00345618" w:rsidRPr="00F6320D" w:rsidRDefault="00D97164" w:rsidP="007D1BB4">
            <w:pPr>
              <w:pStyle w:val="TableText0"/>
              <w:jc w:val="center"/>
              <w:rPr>
                <w:vertAlign w:val="superscript"/>
              </w:rPr>
            </w:pPr>
            <w:r w:rsidRPr="00D97164">
              <w:rPr>
                <w:highlight w:val="black"/>
              </w:rPr>
              <w:t>&amp;&amp;&amp;&amp;</w:t>
            </w:r>
            <w:r w:rsidR="00F6320D">
              <w:rPr>
                <w:vertAlign w:val="superscript"/>
              </w:rPr>
              <w:t>1</w:t>
            </w:r>
          </w:p>
        </w:tc>
        <w:tc>
          <w:tcPr>
            <w:tcW w:w="603" w:type="pct"/>
            <w:vAlign w:val="center"/>
          </w:tcPr>
          <w:p w14:paraId="48541FEB" w14:textId="3309A8C2" w:rsidR="00345618" w:rsidRPr="00F6320D" w:rsidRDefault="00D97164" w:rsidP="007D1BB4">
            <w:pPr>
              <w:pStyle w:val="TableText0"/>
              <w:jc w:val="center"/>
              <w:rPr>
                <w:vertAlign w:val="superscript"/>
              </w:rPr>
            </w:pPr>
            <w:r w:rsidRPr="00D97164">
              <w:rPr>
                <w:highlight w:val="black"/>
              </w:rPr>
              <w:t>&amp;&amp;&amp;&amp;</w:t>
            </w:r>
            <w:r w:rsidR="00F6320D">
              <w:rPr>
                <w:vertAlign w:val="superscript"/>
              </w:rPr>
              <w:t>1</w:t>
            </w:r>
          </w:p>
        </w:tc>
        <w:tc>
          <w:tcPr>
            <w:tcW w:w="619" w:type="pct"/>
            <w:vAlign w:val="center"/>
          </w:tcPr>
          <w:p w14:paraId="5E595602" w14:textId="3BAE337B" w:rsidR="00345618" w:rsidRPr="00F6320D" w:rsidRDefault="00D97164" w:rsidP="007D1BB4">
            <w:pPr>
              <w:pStyle w:val="TableText0"/>
              <w:jc w:val="center"/>
              <w:rPr>
                <w:vertAlign w:val="superscript"/>
              </w:rPr>
            </w:pPr>
            <w:r w:rsidRPr="00D97164">
              <w:rPr>
                <w:highlight w:val="black"/>
              </w:rPr>
              <w:t>&amp;&amp;&amp;&amp;</w:t>
            </w:r>
            <w:r w:rsidR="00F6320D">
              <w:rPr>
                <w:vertAlign w:val="superscript"/>
              </w:rPr>
              <w:t>1</w:t>
            </w:r>
          </w:p>
        </w:tc>
        <w:tc>
          <w:tcPr>
            <w:tcW w:w="611" w:type="pct"/>
            <w:vAlign w:val="center"/>
          </w:tcPr>
          <w:p w14:paraId="24456A30" w14:textId="1E0B5FD2" w:rsidR="00345618" w:rsidRPr="00F6320D" w:rsidRDefault="00D97164" w:rsidP="007D1BB4">
            <w:pPr>
              <w:pStyle w:val="TableText0"/>
              <w:jc w:val="center"/>
              <w:rPr>
                <w:vertAlign w:val="superscript"/>
              </w:rPr>
            </w:pPr>
            <w:r w:rsidRPr="00D97164">
              <w:rPr>
                <w:highlight w:val="black"/>
              </w:rPr>
              <w:t>&amp;&amp;&amp;&amp;</w:t>
            </w:r>
            <w:r w:rsidR="00F6320D">
              <w:rPr>
                <w:vertAlign w:val="superscript"/>
              </w:rPr>
              <w:t>1</w:t>
            </w:r>
          </w:p>
        </w:tc>
      </w:tr>
      <w:tr w:rsidR="00345618" w:rsidRPr="0074538B" w14:paraId="21194F01" w14:textId="77777777" w:rsidTr="008E13C7">
        <w:tc>
          <w:tcPr>
            <w:tcW w:w="1334" w:type="pct"/>
            <w:vAlign w:val="center"/>
          </w:tcPr>
          <w:p w14:paraId="375F9586" w14:textId="1A9D55E7" w:rsidR="00345618" w:rsidRPr="0074538B" w:rsidRDefault="00345618" w:rsidP="007D1BB4">
            <w:pPr>
              <w:pStyle w:val="TableText0"/>
              <w:rPr>
                <w:rFonts w:ascii="Times" w:hAnsi="Times"/>
              </w:rPr>
            </w:pPr>
            <w:r w:rsidRPr="0074538B">
              <w:t xml:space="preserve">Number of scripts </w:t>
            </w:r>
            <w:proofErr w:type="spellStart"/>
            <w:r w:rsidR="00711422" w:rsidRPr="0074538B">
              <w:t>dispensed</w:t>
            </w:r>
            <w:r w:rsidR="00711422" w:rsidRPr="0074538B">
              <w:rPr>
                <w:vertAlign w:val="superscript"/>
              </w:rPr>
              <w:t>b</w:t>
            </w:r>
            <w:proofErr w:type="spellEnd"/>
          </w:p>
        </w:tc>
        <w:tc>
          <w:tcPr>
            <w:tcW w:w="611" w:type="pct"/>
            <w:tcBorders>
              <w:top w:val="single" w:sz="4" w:space="0" w:color="auto"/>
              <w:left w:val="nil"/>
              <w:bottom w:val="single" w:sz="4" w:space="0" w:color="auto"/>
              <w:right w:val="single" w:sz="4" w:space="0" w:color="auto"/>
            </w:tcBorders>
            <w:vAlign w:val="center"/>
          </w:tcPr>
          <w:p w14:paraId="68F7F9A3" w14:textId="67B94F14" w:rsidR="00345618" w:rsidRPr="006D1A2A" w:rsidRDefault="00D97164" w:rsidP="007D1BB4">
            <w:pPr>
              <w:pStyle w:val="TableText0"/>
              <w:jc w:val="center"/>
              <w:rPr>
                <w:vertAlign w:val="superscript"/>
              </w:rPr>
            </w:pPr>
            <w:r w:rsidRPr="00D97164">
              <w:rPr>
                <w:highlight w:val="black"/>
              </w:rPr>
              <w:t>&amp;&amp;&amp;&amp;</w:t>
            </w:r>
            <w:r w:rsidR="006D1A2A">
              <w:rPr>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tcPr>
          <w:p w14:paraId="0C30D8C1" w14:textId="7C226ABC" w:rsidR="00345618" w:rsidRPr="009B755B" w:rsidRDefault="00D97164" w:rsidP="007D1BB4">
            <w:pPr>
              <w:pStyle w:val="TableText0"/>
              <w:jc w:val="center"/>
              <w:rPr>
                <w:vertAlign w:val="superscript"/>
              </w:rPr>
            </w:pPr>
            <w:r w:rsidRPr="00D97164">
              <w:rPr>
                <w:highlight w:val="black"/>
              </w:rPr>
              <w:t>&amp;&amp;&amp;&amp;</w:t>
            </w:r>
            <w:r w:rsidR="009B755B">
              <w:rPr>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tcPr>
          <w:p w14:paraId="48F8253A" w14:textId="0968C752" w:rsidR="00345618" w:rsidRPr="009B755B" w:rsidRDefault="00D97164" w:rsidP="007D1BB4">
            <w:pPr>
              <w:pStyle w:val="TableText0"/>
              <w:jc w:val="center"/>
              <w:rPr>
                <w:vertAlign w:val="superscript"/>
              </w:rPr>
            </w:pPr>
            <w:r w:rsidRPr="00D97164">
              <w:rPr>
                <w:highlight w:val="black"/>
              </w:rPr>
              <w:t>&amp;&amp;&amp;&amp;</w:t>
            </w:r>
            <w:r w:rsidR="009B755B">
              <w:rPr>
                <w:vertAlign w:val="superscript"/>
              </w:rPr>
              <w:t>3</w:t>
            </w:r>
          </w:p>
        </w:tc>
        <w:tc>
          <w:tcPr>
            <w:tcW w:w="603" w:type="pct"/>
            <w:tcBorders>
              <w:top w:val="single" w:sz="4" w:space="0" w:color="auto"/>
              <w:left w:val="single" w:sz="4" w:space="0" w:color="auto"/>
              <w:bottom w:val="single" w:sz="4" w:space="0" w:color="auto"/>
              <w:right w:val="single" w:sz="4" w:space="0" w:color="auto"/>
            </w:tcBorders>
            <w:vAlign w:val="center"/>
          </w:tcPr>
          <w:p w14:paraId="72B8F5FD" w14:textId="61EAB339" w:rsidR="00345618" w:rsidRPr="009B755B" w:rsidRDefault="00D97164" w:rsidP="007D1BB4">
            <w:pPr>
              <w:pStyle w:val="TableText0"/>
              <w:jc w:val="center"/>
              <w:rPr>
                <w:vertAlign w:val="superscript"/>
              </w:rPr>
            </w:pPr>
            <w:r w:rsidRPr="00D97164">
              <w:rPr>
                <w:highlight w:val="black"/>
              </w:rPr>
              <w:t>&amp;&amp;&amp;&amp;</w:t>
            </w:r>
            <w:r w:rsidR="009B755B">
              <w:rPr>
                <w:vertAlign w:val="superscript"/>
              </w:rPr>
              <w:t>3</w:t>
            </w:r>
          </w:p>
        </w:tc>
        <w:tc>
          <w:tcPr>
            <w:tcW w:w="619" w:type="pct"/>
            <w:tcBorders>
              <w:top w:val="single" w:sz="4" w:space="0" w:color="auto"/>
              <w:left w:val="single" w:sz="4" w:space="0" w:color="auto"/>
              <w:bottom w:val="single" w:sz="4" w:space="0" w:color="auto"/>
              <w:right w:val="single" w:sz="4" w:space="0" w:color="auto"/>
            </w:tcBorders>
            <w:vAlign w:val="center"/>
          </w:tcPr>
          <w:p w14:paraId="3CC1D589" w14:textId="578AD939" w:rsidR="00345618" w:rsidRPr="009B755B" w:rsidRDefault="00D97164" w:rsidP="007D1BB4">
            <w:pPr>
              <w:pStyle w:val="TableText0"/>
              <w:jc w:val="center"/>
              <w:rPr>
                <w:vertAlign w:val="superscript"/>
              </w:rPr>
            </w:pPr>
            <w:r w:rsidRPr="00D97164">
              <w:rPr>
                <w:highlight w:val="black"/>
              </w:rPr>
              <w:t>&amp;&amp;&amp;&amp;</w:t>
            </w:r>
            <w:r w:rsidR="009B755B">
              <w:rPr>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tcPr>
          <w:p w14:paraId="7329AE86" w14:textId="45209436" w:rsidR="00345618" w:rsidRPr="009B755B" w:rsidRDefault="00D97164" w:rsidP="007D1BB4">
            <w:pPr>
              <w:pStyle w:val="TableText0"/>
              <w:jc w:val="center"/>
              <w:rPr>
                <w:vertAlign w:val="superscript"/>
              </w:rPr>
            </w:pPr>
            <w:r w:rsidRPr="00D97164">
              <w:rPr>
                <w:highlight w:val="black"/>
              </w:rPr>
              <w:t>&amp;&amp;&amp;&amp;</w:t>
            </w:r>
            <w:r w:rsidR="009B755B">
              <w:rPr>
                <w:vertAlign w:val="superscript"/>
              </w:rPr>
              <w:t>3</w:t>
            </w:r>
          </w:p>
        </w:tc>
      </w:tr>
      <w:tr w:rsidR="00345618" w:rsidRPr="0074538B" w14:paraId="78BDB20B" w14:textId="77777777" w:rsidTr="00A11AE5">
        <w:tc>
          <w:tcPr>
            <w:tcW w:w="5000" w:type="pct"/>
            <w:gridSpan w:val="7"/>
            <w:vAlign w:val="center"/>
          </w:tcPr>
          <w:p w14:paraId="62F8AACF" w14:textId="77777777" w:rsidR="00345618" w:rsidRPr="0074538B" w:rsidRDefault="00345618" w:rsidP="007D1BB4">
            <w:pPr>
              <w:pStyle w:val="In-tableHeading"/>
              <w:rPr>
                <w:lang w:val="en-AU"/>
              </w:rPr>
            </w:pPr>
            <w:r w:rsidRPr="0074538B">
              <w:rPr>
                <w:lang w:val="en-AU"/>
              </w:rPr>
              <w:t>Estimated financial implications of E</w:t>
            </w:r>
            <w:r w:rsidRPr="0074538B">
              <w:t>+B</w:t>
            </w:r>
          </w:p>
        </w:tc>
      </w:tr>
      <w:tr w:rsidR="00345618" w:rsidRPr="0074538B" w14:paraId="2868502E" w14:textId="77777777" w:rsidTr="008E13C7">
        <w:tc>
          <w:tcPr>
            <w:tcW w:w="1334" w:type="pct"/>
            <w:vAlign w:val="center"/>
          </w:tcPr>
          <w:p w14:paraId="206450F3" w14:textId="77777777" w:rsidR="00345618" w:rsidRPr="0074538B" w:rsidRDefault="00345618" w:rsidP="007D1BB4">
            <w:pPr>
              <w:pStyle w:val="TableText0"/>
            </w:pPr>
            <w:r w:rsidRPr="0074538B">
              <w:t>Cost to PBS/RPBS less copayments</w:t>
            </w:r>
          </w:p>
        </w:tc>
        <w:tc>
          <w:tcPr>
            <w:tcW w:w="611" w:type="pct"/>
            <w:shd w:val="clear" w:color="auto" w:fill="FFFFFF" w:themeFill="background1"/>
            <w:vAlign w:val="center"/>
          </w:tcPr>
          <w:p w14:paraId="438244FB" w14:textId="4CE80038" w:rsidR="00345618" w:rsidRPr="00E42BAC" w:rsidRDefault="00345618" w:rsidP="007D1BB4">
            <w:pPr>
              <w:pStyle w:val="TableText0"/>
              <w:jc w:val="center"/>
              <w:rPr>
                <w:vertAlign w:val="superscript"/>
              </w:rPr>
            </w:pPr>
            <w:r w:rsidRPr="0074538B">
              <w:t>$</w:t>
            </w:r>
            <w:r w:rsidR="00D97164" w:rsidRPr="00D97164">
              <w:rPr>
                <w:highlight w:val="black"/>
              </w:rPr>
              <w:t>&amp;&amp;&amp;&amp;</w:t>
            </w:r>
            <w:r w:rsidR="00E42BAC">
              <w:rPr>
                <w:vertAlign w:val="superscript"/>
              </w:rPr>
              <w:t>4</w:t>
            </w:r>
          </w:p>
        </w:tc>
        <w:tc>
          <w:tcPr>
            <w:tcW w:w="611" w:type="pct"/>
            <w:shd w:val="clear" w:color="auto" w:fill="FFFFFF" w:themeFill="background1"/>
            <w:vAlign w:val="center"/>
          </w:tcPr>
          <w:p w14:paraId="779D2EB1" w14:textId="442CF6FA" w:rsidR="00345618" w:rsidRPr="003D7329" w:rsidRDefault="00345618" w:rsidP="007D1BB4">
            <w:pPr>
              <w:pStyle w:val="TableText0"/>
              <w:jc w:val="center"/>
              <w:rPr>
                <w:vertAlign w:val="superscript"/>
              </w:rPr>
            </w:pPr>
            <w:r w:rsidRPr="0074538B">
              <w:t>$</w:t>
            </w:r>
            <w:r w:rsidR="00D97164" w:rsidRPr="00D97164">
              <w:rPr>
                <w:highlight w:val="black"/>
              </w:rPr>
              <w:t>&amp;&amp;&amp;&amp;</w:t>
            </w:r>
            <w:r w:rsidR="003D7329">
              <w:rPr>
                <w:vertAlign w:val="superscript"/>
              </w:rPr>
              <w:t>5</w:t>
            </w:r>
          </w:p>
        </w:tc>
        <w:tc>
          <w:tcPr>
            <w:tcW w:w="611" w:type="pct"/>
            <w:shd w:val="clear" w:color="auto" w:fill="FFFFFF" w:themeFill="background1"/>
            <w:vAlign w:val="center"/>
          </w:tcPr>
          <w:p w14:paraId="64153083" w14:textId="38748CD7" w:rsidR="00345618" w:rsidRPr="003D7329" w:rsidRDefault="00345618" w:rsidP="007D1BB4">
            <w:pPr>
              <w:pStyle w:val="TableText0"/>
              <w:jc w:val="center"/>
              <w:rPr>
                <w:vertAlign w:val="superscript"/>
              </w:rPr>
            </w:pPr>
            <w:r w:rsidRPr="0074538B">
              <w:t>$</w:t>
            </w:r>
            <w:r w:rsidR="00D97164" w:rsidRPr="00D97164">
              <w:rPr>
                <w:highlight w:val="black"/>
              </w:rPr>
              <w:t>&amp;&amp;&amp;&amp;</w:t>
            </w:r>
            <w:r w:rsidR="003D7329">
              <w:rPr>
                <w:vertAlign w:val="superscript"/>
              </w:rPr>
              <w:t>5</w:t>
            </w:r>
          </w:p>
        </w:tc>
        <w:tc>
          <w:tcPr>
            <w:tcW w:w="603" w:type="pct"/>
            <w:shd w:val="clear" w:color="auto" w:fill="FFFFFF" w:themeFill="background1"/>
            <w:vAlign w:val="center"/>
          </w:tcPr>
          <w:p w14:paraId="1BF3074E" w14:textId="7EF12334" w:rsidR="00345618" w:rsidRPr="003D7329" w:rsidRDefault="00345618" w:rsidP="007D1BB4">
            <w:pPr>
              <w:pStyle w:val="TableText0"/>
              <w:jc w:val="center"/>
              <w:rPr>
                <w:vertAlign w:val="superscript"/>
              </w:rPr>
            </w:pPr>
            <w:r w:rsidRPr="0074538B">
              <w:t>$</w:t>
            </w:r>
            <w:r w:rsidR="00D97164" w:rsidRPr="00D97164">
              <w:rPr>
                <w:highlight w:val="black"/>
              </w:rPr>
              <w:t>&amp;&amp;&amp;&amp;</w:t>
            </w:r>
            <w:r w:rsidR="003D7329">
              <w:rPr>
                <w:vertAlign w:val="superscript"/>
              </w:rPr>
              <w:t>5</w:t>
            </w:r>
          </w:p>
        </w:tc>
        <w:tc>
          <w:tcPr>
            <w:tcW w:w="619" w:type="pct"/>
            <w:shd w:val="clear" w:color="auto" w:fill="FFFFFF" w:themeFill="background1"/>
            <w:vAlign w:val="center"/>
          </w:tcPr>
          <w:p w14:paraId="556BFC86" w14:textId="543F833F" w:rsidR="00345618" w:rsidRPr="003D7329" w:rsidRDefault="00345618" w:rsidP="007D1BB4">
            <w:pPr>
              <w:pStyle w:val="TableText0"/>
              <w:jc w:val="center"/>
              <w:rPr>
                <w:vertAlign w:val="superscript"/>
              </w:rPr>
            </w:pPr>
            <w:r w:rsidRPr="0074538B">
              <w:t>$</w:t>
            </w:r>
            <w:r w:rsidR="00D97164" w:rsidRPr="00D97164">
              <w:rPr>
                <w:highlight w:val="black"/>
              </w:rPr>
              <w:t>&amp;&amp;&amp;&amp;</w:t>
            </w:r>
            <w:r w:rsidR="003D7329">
              <w:rPr>
                <w:vertAlign w:val="superscript"/>
              </w:rPr>
              <w:t>5</w:t>
            </w:r>
          </w:p>
        </w:tc>
        <w:tc>
          <w:tcPr>
            <w:tcW w:w="611" w:type="pct"/>
            <w:shd w:val="clear" w:color="auto" w:fill="FFFFFF" w:themeFill="background1"/>
            <w:vAlign w:val="center"/>
          </w:tcPr>
          <w:p w14:paraId="2AC37B92" w14:textId="064E5FB4" w:rsidR="00345618" w:rsidRPr="003D7329" w:rsidRDefault="00345618" w:rsidP="007D1BB4">
            <w:pPr>
              <w:pStyle w:val="TableText0"/>
              <w:jc w:val="center"/>
              <w:rPr>
                <w:vertAlign w:val="superscript"/>
              </w:rPr>
            </w:pPr>
            <w:r w:rsidRPr="0074538B">
              <w:t>$</w:t>
            </w:r>
            <w:r w:rsidR="00D97164" w:rsidRPr="00D97164">
              <w:rPr>
                <w:highlight w:val="black"/>
              </w:rPr>
              <w:t>&amp;&amp;&amp;&amp;</w:t>
            </w:r>
            <w:r w:rsidR="003D7329">
              <w:rPr>
                <w:vertAlign w:val="superscript"/>
              </w:rPr>
              <w:t>5</w:t>
            </w:r>
          </w:p>
        </w:tc>
      </w:tr>
      <w:tr w:rsidR="00345618" w:rsidRPr="0074538B" w14:paraId="4981EB09" w14:textId="77777777" w:rsidTr="00A11AE5">
        <w:tc>
          <w:tcPr>
            <w:tcW w:w="5000" w:type="pct"/>
            <w:gridSpan w:val="7"/>
            <w:vAlign w:val="center"/>
          </w:tcPr>
          <w:p w14:paraId="44D8BAC5" w14:textId="6AF4BFB9" w:rsidR="00345618" w:rsidRPr="0074538B" w:rsidRDefault="00345618" w:rsidP="007D1BB4">
            <w:pPr>
              <w:pStyle w:val="TableText0"/>
              <w:rPr>
                <w:b/>
                <w:bCs w:val="0"/>
              </w:rPr>
            </w:pPr>
            <w:r w:rsidRPr="0074538B">
              <w:rPr>
                <w:b/>
                <w:bCs w:val="0"/>
              </w:rPr>
              <w:t xml:space="preserve">Estimated financial implications for </w:t>
            </w:r>
            <w:proofErr w:type="spellStart"/>
            <w:r w:rsidRPr="0074538B">
              <w:rPr>
                <w:b/>
                <w:bCs w:val="0"/>
              </w:rPr>
              <w:t>pembrolizumab+PDC</w:t>
            </w:r>
            <w:proofErr w:type="spellEnd"/>
          </w:p>
        </w:tc>
      </w:tr>
      <w:tr w:rsidR="00345618" w:rsidRPr="0074538B" w14:paraId="35834688" w14:textId="77777777" w:rsidTr="008E13C7">
        <w:tc>
          <w:tcPr>
            <w:tcW w:w="1334" w:type="pct"/>
            <w:vAlign w:val="center"/>
          </w:tcPr>
          <w:p w14:paraId="18229F73" w14:textId="4C2BDCE4" w:rsidR="00345618" w:rsidRPr="0074538B" w:rsidRDefault="00345618" w:rsidP="007D1BB4">
            <w:pPr>
              <w:pStyle w:val="TableText0"/>
              <w:rPr>
                <w:vertAlign w:val="superscript"/>
              </w:rPr>
            </w:pPr>
            <w:r w:rsidRPr="0074538B">
              <w:t xml:space="preserve">Cost to PBS/RPBS less </w:t>
            </w:r>
            <w:proofErr w:type="spellStart"/>
            <w:r w:rsidR="00711422" w:rsidRPr="0074538B">
              <w:t>copayments</w:t>
            </w:r>
            <w:r w:rsidR="00711422" w:rsidRPr="0074538B">
              <w:rPr>
                <w:vertAlign w:val="superscript"/>
              </w:rPr>
              <w:t>c</w:t>
            </w:r>
            <w:proofErr w:type="spellEnd"/>
          </w:p>
        </w:tc>
        <w:tc>
          <w:tcPr>
            <w:tcW w:w="611" w:type="pct"/>
            <w:tcBorders>
              <w:top w:val="single" w:sz="4" w:space="0" w:color="auto"/>
              <w:left w:val="single" w:sz="4" w:space="0" w:color="auto"/>
              <w:bottom w:val="single" w:sz="4" w:space="0" w:color="auto"/>
              <w:right w:val="single" w:sz="4" w:space="0" w:color="auto"/>
            </w:tcBorders>
            <w:vAlign w:val="center"/>
          </w:tcPr>
          <w:p w14:paraId="034BB6D4" w14:textId="0F9CA8DD" w:rsidR="00345618" w:rsidRPr="006F4329" w:rsidRDefault="003A3A7B" w:rsidP="007D1BB4">
            <w:pPr>
              <w:pStyle w:val="TableText0"/>
              <w:jc w:val="center"/>
              <w:rPr>
                <w:vertAlign w:val="superscript"/>
              </w:rPr>
            </w:pPr>
            <w:r>
              <w:rPr>
                <w:rFonts w:cs="Arial"/>
                <w:szCs w:val="20"/>
              </w:rPr>
              <w:noBreakHyphen/>
            </w:r>
            <w:r w:rsidR="007A4CCA" w:rsidRPr="0074538B">
              <w:rPr>
                <w:rFonts w:cs="Arial"/>
                <w:szCs w:val="20"/>
              </w:rPr>
              <w:t>$</w:t>
            </w:r>
            <w:r w:rsidR="00D97164" w:rsidRPr="00D97164">
              <w:rPr>
                <w:rFonts w:cs="Arial"/>
                <w:szCs w:val="20"/>
                <w:highlight w:val="black"/>
              </w:rPr>
              <w:t>&amp;&amp;&amp;&amp;</w:t>
            </w:r>
            <w:r w:rsidR="006F4329">
              <w:rPr>
                <w:rFonts w:cs="Arial"/>
                <w:szCs w:val="20"/>
                <w:vertAlign w:val="superscript"/>
              </w:rPr>
              <w:t>6</w:t>
            </w:r>
          </w:p>
        </w:tc>
        <w:tc>
          <w:tcPr>
            <w:tcW w:w="611" w:type="pct"/>
            <w:tcBorders>
              <w:top w:val="single" w:sz="4" w:space="0" w:color="auto"/>
              <w:left w:val="nil"/>
              <w:bottom w:val="single" w:sz="4" w:space="0" w:color="auto"/>
              <w:right w:val="single" w:sz="4" w:space="0" w:color="auto"/>
            </w:tcBorders>
            <w:vAlign w:val="center"/>
          </w:tcPr>
          <w:p w14:paraId="0AB19166" w14:textId="0A023DD6" w:rsidR="00345618" w:rsidRPr="00E42BAC" w:rsidRDefault="003A3A7B" w:rsidP="007D1BB4">
            <w:pPr>
              <w:pStyle w:val="TableText0"/>
              <w:jc w:val="center"/>
              <w:rPr>
                <w:vertAlign w:val="superscript"/>
              </w:rPr>
            </w:pPr>
            <w:r>
              <w:rPr>
                <w:rFonts w:cs="Arial"/>
                <w:szCs w:val="20"/>
              </w:rPr>
              <w:noBreakHyphen/>
            </w:r>
            <w:r w:rsidR="007A4CCA" w:rsidRPr="0074538B">
              <w:rPr>
                <w:rFonts w:cs="Arial"/>
                <w:szCs w:val="20"/>
              </w:rPr>
              <w:t>$</w:t>
            </w:r>
            <w:r w:rsidR="00D97164" w:rsidRPr="00D97164">
              <w:rPr>
                <w:rFonts w:cs="Arial"/>
                <w:szCs w:val="20"/>
                <w:highlight w:val="black"/>
              </w:rPr>
              <w:t>&amp;&amp;&amp;&amp;</w:t>
            </w:r>
            <w:r w:rsidR="00E42BAC">
              <w:rPr>
                <w:rFonts w:cs="Arial"/>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5923BA3E" w14:textId="2308E70C" w:rsidR="00345618" w:rsidRPr="00E42BAC" w:rsidRDefault="003A3A7B" w:rsidP="007D1BB4">
            <w:pPr>
              <w:pStyle w:val="TableText0"/>
              <w:jc w:val="center"/>
              <w:rPr>
                <w:vertAlign w:val="superscript"/>
              </w:rPr>
            </w:pPr>
            <w:r>
              <w:rPr>
                <w:rFonts w:cs="Arial"/>
                <w:szCs w:val="20"/>
              </w:rPr>
              <w:noBreakHyphen/>
            </w:r>
            <w:r w:rsidR="007A4CCA" w:rsidRPr="0074538B">
              <w:rPr>
                <w:rFonts w:cs="Arial"/>
                <w:szCs w:val="20"/>
              </w:rPr>
              <w:t>$</w:t>
            </w:r>
            <w:r w:rsidR="00D97164" w:rsidRPr="00D97164">
              <w:rPr>
                <w:rFonts w:cs="Arial"/>
                <w:szCs w:val="20"/>
                <w:highlight w:val="black"/>
              </w:rPr>
              <w:t>&amp;&amp;&amp;&amp;</w:t>
            </w:r>
            <w:r w:rsidR="00E42BAC">
              <w:rPr>
                <w:rFonts w:cs="Arial"/>
                <w:szCs w:val="20"/>
                <w:vertAlign w:val="superscript"/>
              </w:rPr>
              <w:t>4</w:t>
            </w:r>
          </w:p>
        </w:tc>
        <w:tc>
          <w:tcPr>
            <w:tcW w:w="603" w:type="pct"/>
            <w:tcBorders>
              <w:top w:val="single" w:sz="4" w:space="0" w:color="auto"/>
              <w:left w:val="nil"/>
              <w:bottom w:val="single" w:sz="4" w:space="0" w:color="auto"/>
              <w:right w:val="single" w:sz="4" w:space="0" w:color="auto"/>
            </w:tcBorders>
            <w:vAlign w:val="center"/>
          </w:tcPr>
          <w:p w14:paraId="4AACB23B" w14:textId="065A2852" w:rsidR="00345618" w:rsidRPr="00E42BAC" w:rsidRDefault="003A3A7B" w:rsidP="007D1BB4">
            <w:pPr>
              <w:pStyle w:val="TableText0"/>
              <w:jc w:val="center"/>
              <w:rPr>
                <w:vertAlign w:val="superscript"/>
              </w:rPr>
            </w:pPr>
            <w:r>
              <w:rPr>
                <w:rFonts w:cs="Arial"/>
                <w:szCs w:val="20"/>
              </w:rPr>
              <w:noBreakHyphen/>
            </w:r>
            <w:r w:rsidR="007A4CCA" w:rsidRPr="0074538B">
              <w:rPr>
                <w:rFonts w:cs="Arial"/>
                <w:szCs w:val="20"/>
              </w:rPr>
              <w:t>$</w:t>
            </w:r>
            <w:r w:rsidR="00D97164" w:rsidRPr="00D97164">
              <w:rPr>
                <w:rFonts w:cs="Arial"/>
                <w:szCs w:val="20"/>
                <w:highlight w:val="black"/>
              </w:rPr>
              <w:t>&amp;&amp;&amp;&amp;</w:t>
            </w:r>
            <w:r w:rsidR="00E42BAC">
              <w:rPr>
                <w:rFonts w:cs="Arial"/>
                <w:szCs w:val="20"/>
                <w:vertAlign w:val="superscript"/>
              </w:rPr>
              <w:t>4</w:t>
            </w:r>
          </w:p>
        </w:tc>
        <w:tc>
          <w:tcPr>
            <w:tcW w:w="619" w:type="pct"/>
            <w:tcBorders>
              <w:top w:val="single" w:sz="4" w:space="0" w:color="auto"/>
              <w:left w:val="nil"/>
              <w:bottom w:val="single" w:sz="4" w:space="0" w:color="auto"/>
              <w:right w:val="single" w:sz="4" w:space="0" w:color="auto"/>
            </w:tcBorders>
            <w:vAlign w:val="center"/>
          </w:tcPr>
          <w:p w14:paraId="5E3E6A8E" w14:textId="0BFEFF68" w:rsidR="00345618" w:rsidRPr="00E42BAC" w:rsidRDefault="003A3A7B" w:rsidP="007D1BB4">
            <w:pPr>
              <w:pStyle w:val="TableText0"/>
              <w:jc w:val="center"/>
              <w:rPr>
                <w:vertAlign w:val="superscript"/>
              </w:rPr>
            </w:pPr>
            <w:r>
              <w:rPr>
                <w:rFonts w:cs="Arial"/>
                <w:szCs w:val="20"/>
              </w:rPr>
              <w:noBreakHyphen/>
            </w:r>
            <w:r w:rsidR="007A4CCA" w:rsidRPr="0074538B">
              <w:rPr>
                <w:rFonts w:cs="Arial"/>
                <w:szCs w:val="20"/>
              </w:rPr>
              <w:t>$</w:t>
            </w:r>
            <w:r w:rsidR="00D97164" w:rsidRPr="00D97164">
              <w:rPr>
                <w:rFonts w:cs="Arial"/>
                <w:szCs w:val="20"/>
                <w:highlight w:val="black"/>
              </w:rPr>
              <w:t>&amp;&amp;&amp;&amp;</w:t>
            </w:r>
            <w:r w:rsidR="00E42BAC">
              <w:rPr>
                <w:rFonts w:cs="Arial"/>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1B8AC3B9" w14:textId="158CD313" w:rsidR="00345618" w:rsidRPr="00E42BAC" w:rsidRDefault="003A3A7B" w:rsidP="007D1BB4">
            <w:pPr>
              <w:pStyle w:val="TableText0"/>
              <w:jc w:val="center"/>
              <w:rPr>
                <w:vertAlign w:val="superscript"/>
              </w:rPr>
            </w:pPr>
            <w:r>
              <w:rPr>
                <w:rFonts w:cs="Arial"/>
                <w:szCs w:val="20"/>
              </w:rPr>
              <w:noBreakHyphen/>
            </w:r>
            <w:r w:rsidR="007A4CCA" w:rsidRPr="0074538B">
              <w:rPr>
                <w:rFonts w:cs="Arial"/>
                <w:szCs w:val="20"/>
              </w:rPr>
              <w:t>$</w:t>
            </w:r>
            <w:r w:rsidR="00D97164" w:rsidRPr="00D97164">
              <w:rPr>
                <w:rFonts w:cs="Arial"/>
                <w:szCs w:val="20"/>
                <w:highlight w:val="black"/>
              </w:rPr>
              <w:t>&amp;&amp;&amp;&amp;</w:t>
            </w:r>
            <w:r w:rsidR="00E42BAC">
              <w:rPr>
                <w:rFonts w:cs="Arial"/>
                <w:szCs w:val="20"/>
                <w:vertAlign w:val="superscript"/>
              </w:rPr>
              <w:t>4</w:t>
            </w:r>
          </w:p>
        </w:tc>
      </w:tr>
      <w:tr w:rsidR="00345618" w:rsidRPr="0074538B" w14:paraId="0BE19C20" w14:textId="77777777" w:rsidTr="00ED1EB8">
        <w:tc>
          <w:tcPr>
            <w:tcW w:w="5000" w:type="pct"/>
            <w:gridSpan w:val="7"/>
            <w:tcBorders>
              <w:top w:val="single" w:sz="4" w:space="0" w:color="auto"/>
            </w:tcBorders>
            <w:vAlign w:val="center"/>
          </w:tcPr>
          <w:p w14:paraId="08359D56" w14:textId="77777777" w:rsidR="00345618" w:rsidRPr="0074538B" w:rsidRDefault="00345618" w:rsidP="007D1BB4">
            <w:pPr>
              <w:pStyle w:val="In-tableHeading"/>
              <w:rPr>
                <w:lang w:val="en-AU"/>
              </w:rPr>
            </w:pPr>
            <w:r w:rsidRPr="0074538B">
              <w:rPr>
                <w:lang w:val="en-AU"/>
              </w:rPr>
              <w:t>Net financial implications</w:t>
            </w:r>
          </w:p>
        </w:tc>
      </w:tr>
      <w:tr w:rsidR="00E73EE7" w:rsidRPr="0074538B" w14:paraId="74D31AF0" w14:textId="77777777" w:rsidTr="008E13C7">
        <w:tc>
          <w:tcPr>
            <w:tcW w:w="1334" w:type="pct"/>
            <w:vAlign w:val="center"/>
          </w:tcPr>
          <w:p w14:paraId="692F2DB9" w14:textId="084FDA79" w:rsidR="00E73EE7" w:rsidRPr="0074538B" w:rsidRDefault="00E73EE7" w:rsidP="007D1BB4">
            <w:pPr>
              <w:pStyle w:val="TableText0"/>
            </w:pPr>
            <w:r w:rsidRPr="0074538B">
              <w:t>Net cost to PBS/</w:t>
            </w:r>
            <w:proofErr w:type="spellStart"/>
            <w:r w:rsidRPr="0074538B">
              <w:t>RPBS</w:t>
            </w:r>
            <w:r w:rsidRPr="0074538B">
              <w:rPr>
                <w:vertAlign w:val="superscript"/>
              </w:rPr>
              <w:t>c</w:t>
            </w:r>
            <w:proofErr w:type="spellEnd"/>
          </w:p>
        </w:tc>
        <w:tc>
          <w:tcPr>
            <w:tcW w:w="611" w:type="pct"/>
            <w:tcBorders>
              <w:top w:val="single" w:sz="4" w:space="0" w:color="auto"/>
              <w:left w:val="single" w:sz="4" w:space="0" w:color="auto"/>
              <w:bottom w:val="single" w:sz="4" w:space="0" w:color="auto"/>
              <w:right w:val="single" w:sz="4" w:space="0" w:color="auto"/>
            </w:tcBorders>
            <w:vAlign w:val="center"/>
          </w:tcPr>
          <w:p w14:paraId="51F9F197" w14:textId="0FDBF6A9" w:rsidR="00E73EE7" w:rsidRPr="006F4329" w:rsidRDefault="00E73EE7" w:rsidP="007D1BB4">
            <w:pPr>
              <w:pStyle w:val="TableText0"/>
              <w:jc w:val="center"/>
              <w:rPr>
                <w:szCs w:val="20"/>
                <w:vertAlign w:val="superscript"/>
              </w:rPr>
            </w:pPr>
            <w:r w:rsidRPr="0074538B">
              <w:rPr>
                <w:rFonts w:cs="Calibri"/>
                <w:szCs w:val="20"/>
              </w:rPr>
              <w:t>$</w:t>
            </w:r>
            <w:r w:rsidR="00D97164" w:rsidRPr="00D97164">
              <w:rPr>
                <w:rFonts w:cs="Calibri"/>
                <w:szCs w:val="20"/>
                <w:highlight w:val="black"/>
              </w:rPr>
              <w:t>&amp;&amp;&amp;&amp;</w:t>
            </w:r>
            <w:r w:rsidR="006F4329">
              <w:rPr>
                <w:rFonts w:cs="Calibri"/>
                <w:szCs w:val="20"/>
                <w:vertAlign w:val="superscript"/>
              </w:rPr>
              <w:t>6</w:t>
            </w:r>
          </w:p>
        </w:tc>
        <w:tc>
          <w:tcPr>
            <w:tcW w:w="611" w:type="pct"/>
            <w:tcBorders>
              <w:top w:val="single" w:sz="4" w:space="0" w:color="auto"/>
              <w:left w:val="nil"/>
              <w:bottom w:val="single" w:sz="4" w:space="0" w:color="auto"/>
              <w:right w:val="single" w:sz="4" w:space="0" w:color="auto"/>
            </w:tcBorders>
            <w:vAlign w:val="center"/>
          </w:tcPr>
          <w:p w14:paraId="7CB61075" w14:textId="02E64624" w:rsidR="00E73EE7" w:rsidRPr="006F4329" w:rsidRDefault="00E73EE7" w:rsidP="007D1BB4">
            <w:pPr>
              <w:pStyle w:val="TableText0"/>
              <w:jc w:val="center"/>
              <w:rPr>
                <w:szCs w:val="20"/>
                <w:vertAlign w:val="superscript"/>
              </w:rPr>
            </w:pPr>
            <w:r w:rsidRPr="0074538B">
              <w:rPr>
                <w:rFonts w:cs="Calibri"/>
                <w:szCs w:val="20"/>
              </w:rPr>
              <w:t>$</w:t>
            </w:r>
            <w:r w:rsidR="00D97164" w:rsidRPr="00D97164">
              <w:rPr>
                <w:rFonts w:cs="Calibri"/>
                <w:szCs w:val="20"/>
                <w:highlight w:val="black"/>
              </w:rPr>
              <w:t>&amp;&amp;&amp;&amp;</w:t>
            </w:r>
            <w:r w:rsidR="006F4329">
              <w:rPr>
                <w:rFonts w:cs="Calibri"/>
                <w:szCs w:val="20"/>
                <w:vertAlign w:val="superscript"/>
              </w:rPr>
              <w:t>6</w:t>
            </w:r>
          </w:p>
        </w:tc>
        <w:tc>
          <w:tcPr>
            <w:tcW w:w="611" w:type="pct"/>
            <w:tcBorders>
              <w:top w:val="single" w:sz="4" w:space="0" w:color="auto"/>
              <w:left w:val="nil"/>
              <w:bottom w:val="single" w:sz="4" w:space="0" w:color="auto"/>
              <w:right w:val="single" w:sz="4" w:space="0" w:color="auto"/>
            </w:tcBorders>
            <w:vAlign w:val="center"/>
          </w:tcPr>
          <w:p w14:paraId="6FA25A34" w14:textId="20B77EAC" w:rsidR="00E73EE7" w:rsidRPr="006F4329" w:rsidRDefault="00E73EE7" w:rsidP="007D1BB4">
            <w:pPr>
              <w:pStyle w:val="TableText0"/>
              <w:jc w:val="center"/>
              <w:rPr>
                <w:szCs w:val="20"/>
                <w:vertAlign w:val="superscript"/>
              </w:rPr>
            </w:pPr>
            <w:r w:rsidRPr="0074538B">
              <w:rPr>
                <w:rFonts w:cs="Calibri"/>
                <w:szCs w:val="20"/>
              </w:rPr>
              <w:t>$</w:t>
            </w:r>
            <w:r w:rsidR="00D97164" w:rsidRPr="00D97164">
              <w:rPr>
                <w:rFonts w:cs="Calibri"/>
                <w:szCs w:val="20"/>
                <w:highlight w:val="black"/>
              </w:rPr>
              <w:t>&amp;&amp;&amp;&amp;</w:t>
            </w:r>
            <w:r w:rsidR="006F4329">
              <w:rPr>
                <w:rFonts w:cs="Calibri"/>
                <w:szCs w:val="20"/>
                <w:vertAlign w:val="superscript"/>
              </w:rPr>
              <w:t>6</w:t>
            </w:r>
          </w:p>
        </w:tc>
        <w:tc>
          <w:tcPr>
            <w:tcW w:w="603" w:type="pct"/>
            <w:tcBorders>
              <w:top w:val="single" w:sz="4" w:space="0" w:color="auto"/>
              <w:left w:val="nil"/>
              <w:bottom w:val="single" w:sz="4" w:space="0" w:color="auto"/>
              <w:right w:val="single" w:sz="4" w:space="0" w:color="auto"/>
            </w:tcBorders>
            <w:vAlign w:val="center"/>
          </w:tcPr>
          <w:p w14:paraId="426B66EA" w14:textId="58678FF8" w:rsidR="00E73EE7" w:rsidRPr="006F4329" w:rsidRDefault="00E73EE7" w:rsidP="007D1BB4">
            <w:pPr>
              <w:pStyle w:val="TableText0"/>
              <w:jc w:val="center"/>
              <w:rPr>
                <w:szCs w:val="20"/>
                <w:vertAlign w:val="superscript"/>
              </w:rPr>
            </w:pPr>
            <w:r w:rsidRPr="0074538B">
              <w:rPr>
                <w:rFonts w:cs="Calibri"/>
                <w:szCs w:val="20"/>
              </w:rPr>
              <w:t>$</w:t>
            </w:r>
            <w:r w:rsidR="00D97164" w:rsidRPr="00D97164">
              <w:rPr>
                <w:rFonts w:cs="Calibri"/>
                <w:szCs w:val="20"/>
                <w:highlight w:val="black"/>
              </w:rPr>
              <w:t>&amp;&amp;&amp;&amp;</w:t>
            </w:r>
            <w:r w:rsidR="006F4329">
              <w:rPr>
                <w:rFonts w:cs="Calibri"/>
                <w:szCs w:val="20"/>
                <w:vertAlign w:val="superscript"/>
              </w:rPr>
              <w:t>6</w:t>
            </w:r>
          </w:p>
        </w:tc>
        <w:tc>
          <w:tcPr>
            <w:tcW w:w="619" w:type="pct"/>
            <w:tcBorders>
              <w:top w:val="single" w:sz="4" w:space="0" w:color="auto"/>
              <w:left w:val="nil"/>
              <w:bottom w:val="single" w:sz="4" w:space="0" w:color="auto"/>
              <w:right w:val="single" w:sz="4" w:space="0" w:color="auto"/>
            </w:tcBorders>
            <w:vAlign w:val="center"/>
          </w:tcPr>
          <w:p w14:paraId="2D57F9BF" w14:textId="793CAEA5" w:rsidR="00E73EE7" w:rsidRPr="006F4329" w:rsidRDefault="00E73EE7" w:rsidP="007D1BB4">
            <w:pPr>
              <w:pStyle w:val="TableText0"/>
              <w:jc w:val="center"/>
              <w:rPr>
                <w:szCs w:val="20"/>
                <w:vertAlign w:val="superscript"/>
              </w:rPr>
            </w:pPr>
            <w:r w:rsidRPr="0074538B">
              <w:rPr>
                <w:rFonts w:cs="Calibri"/>
                <w:szCs w:val="20"/>
              </w:rPr>
              <w:t>$</w:t>
            </w:r>
            <w:r w:rsidR="00D97164" w:rsidRPr="00D97164">
              <w:rPr>
                <w:rFonts w:cs="Calibri"/>
                <w:szCs w:val="20"/>
                <w:highlight w:val="black"/>
              </w:rPr>
              <w:t>&amp;&amp;&amp;&amp;</w:t>
            </w:r>
            <w:r w:rsidR="006F4329">
              <w:rPr>
                <w:rFonts w:cs="Calibri"/>
                <w:szCs w:val="20"/>
                <w:vertAlign w:val="superscript"/>
              </w:rPr>
              <w:t>6</w:t>
            </w:r>
          </w:p>
        </w:tc>
        <w:tc>
          <w:tcPr>
            <w:tcW w:w="611" w:type="pct"/>
            <w:tcBorders>
              <w:top w:val="single" w:sz="4" w:space="0" w:color="auto"/>
              <w:left w:val="nil"/>
              <w:bottom w:val="single" w:sz="4" w:space="0" w:color="auto"/>
              <w:right w:val="single" w:sz="4" w:space="0" w:color="auto"/>
            </w:tcBorders>
            <w:vAlign w:val="center"/>
          </w:tcPr>
          <w:p w14:paraId="2314ECF4" w14:textId="616F0253" w:rsidR="00E73EE7" w:rsidRPr="006F4329" w:rsidRDefault="00E73EE7" w:rsidP="007D1BB4">
            <w:pPr>
              <w:pStyle w:val="TableText0"/>
              <w:jc w:val="center"/>
              <w:rPr>
                <w:szCs w:val="20"/>
                <w:vertAlign w:val="superscript"/>
              </w:rPr>
            </w:pPr>
            <w:r w:rsidRPr="0074538B">
              <w:rPr>
                <w:rFonts w:cs="Calibri"/>
                <w:szCs w:val="20"/>
              </w:rPr>
              <w:t>$</w:t>
            </w:r>
            <w:r w:rsidR="00D97164" w:rsidRPr="00D97164">
              <w:rPr>
                <w:rFonts w:cs="Calibri"/>
                <w:szCs w:val="20"/>
                <w:highlight w:val="black"/>
              </w:rPr>
              <w:t>&amp;&amp;&amp;&amp;</w:t>
            </w:r>
            <w:r w:rsidR="006F4329">
              <w:rPr>
                <w:rFonts w:cs="Calibri"/>
                <w:szCs w:val="20"/>
                <w:vertAlign w:val="superscript"/>
              </w:rPr>
              <w:t>6</w:t>
            </w:r>
          </w:p>
        </w:tc>
      </w:tr>
      <w:tr w:rsidR="00345618" w:rsidRPr="0074538B" w14:paraId="2D2E82EA" w14:textId="77777777" w:rsidTr="008E13C7">
        <w:tc>
          <w:tcPr>
            <w:tcW w:w="1334" w:type="pct"/>
            <w:vAlign w:val="center"/>
          </w:tcPr>
          <w:p w14:paraId="61BD6245" w14:textId="77777777" w:rsidR="00345618" w:rsidRPr="0074538B" w:rsidRDefault="00345618" w:rsidP="007D1BB4">
            <w:pPr>
              <w:pStyle w:val="TableText0"/>
              <w:rPr>
                <w:rFonts w:ascii="Times" w:hAnsi="Times"/>
              </w:rPr>
            </w:pPr>
            <w:r w:rsidRPr="0074538B">
              <w:t>Net cost to MBS</w:t>
            </w:r>
          </w:p>
        </w:tc>
        <w:tc>
          <w:tcPr>
            <w:tcW w:w="611" w:type="pct"/>
            <w:tcBorders>
              <w:top w:val="single" w:sz="4" w:space="0" w:color="auto"/>
              <w:left w:val="single" w:sz="4" w:space="0" w:color="auto"/>
              <w:bottom w:val="single" w:sz="4" w:space="0" w:color="auto"/>
              <w:right w:val="single" w:sz="4" w:space="0" w:color="auto"/>
            </w:tcBorders>
            <w:vAlign w:val="center"/>
          </w:tcPr>
          <w:p w14:paraId="396FDF49" w14:textId="27B28F3F" w:rsidR="00345618" w:rsidRPr="00413648" w:rsidRDefault="003A3A7B" w:rsidP="007D1BB4">
            <w:pPr>
              <w:pStyle w:val="TableText0"/>
              <w:jc w:val="center"/>
              <w:rPr>
                <w:vertAlign w:val="superscript"/>
              </w:rPr>
            </w:pPr>
            <w:r>
              <w:noBreakHyphen/>
            </w:r>
            <w:r w:rsidR="00345618" w:rsidRPr="0074538B">
              <w:t>$</w:t>
            </w:r>
            <w:r w:rsidR="00D97164" w:rsidRPr="00D97164">
              <w:rPr>
                <w:highlight w:val="black"/>
              </w:rPr>
              <w:t>&amp;&amp;&amp;&amp;</w:t>
            </w:r>
            <w:r w:rsidR="00413648">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13D5D4C8" w14:textId="70A11EA3" w:rsidR="00345618" w:rsidRPr="00413648" w:rsidRDefault="003A3A7B" w:rsidP="007D1BB4">
            <w:pPr>
              <w:pStyle w:val="TableText0"/>
              <w:jc w:val="center"/>
              <w:rPr>
                <w:vertAlign w:val="superscript"/>
              </w:rPr>
            </w:pPr>
            <w:r>
              <w:noBreakHyphen/>
            </w:r>
            <w:r w:rsidR="00345618" w:rsidRPr="0074538B">
              <w:t>$</w:t>
            </w:r>
            <w:r w:rsidR="00D97164" w:rsidRPr="00D97164">
              <w:rPr>
                <w:highlight w:val="black"/>
              </w:rPr>
              <w:t>&amp;&amp;&amp;&amp;</w:t>
            </w:r>
            <w:r w:rsidR="00413648">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0D50A74B" w14:textId="4779196A" w:rsidR="00345618" w:rsidRPr="00413648" w:rsidRDefault="003A3A7B" w:rsidP="007D1BB4">
            <w:pPr>
              <w:pStyle w:val="TableText0"/>
              <w:jc w:val="center"/>
              <w:rPr>
                <w:vertAlign w:val="superscript"/>
              </w:rPr>
            </w:pPr>
            <w:r>
              <w:noBreakHyphen/>
            </w:r>
            <w:r w:rsidR="00345618" w:rsidRPr="0074538B">
              <w:t>$</w:t>
            </w:r>
            <w:r w:rsidR="00D97164" w:rsidRPr="00D97164">
              <w:rPr>
                <w:highlight w:val="black"/>
              </w:rPr>
              <w:t>&amp;&amp;&amp;&amp;</w:t>
            </w:r>
            <w:r w:rsidR="00413648">
              <w:rPr>
                <w:vertAlign w:val="superscript"/>
              </w:rPr>
              <w:t>6</w:t>
            </w:r>
          </w:p>
        </w:tc>
        <w:tc>
          <w:tcPr>
            <w:tcW w:w="603" w:type="pct"/>
            <w:tcBorders>
              <w:top w:val="single" w:sz="4" w:space="0" w:color="auto"/>
              <w:left w:val="nil"/>
              <w:bottom w:val="single" w:sz="4" w:space="0" w:color="auto"/>
              <w:right w:val="single" w:sz="4" w:space="0" w:color="auto"/>
            </w:tcBorders>
            <w:vAlign w:val="center"/>
          </w:tcPr>
          <w:p w14:paraId="6A2EA948" w14:textId="64A01924" w:rsidR="00345618" w:rsidRPr="00413648" w:rsidRDefault="003A3A7B" w:rsidP="007D1BB4">
            <w:pPr>
              <w:pStyle w:val="TableText0"/>
              <w:jc w:val="center"/>
              <w:rPr>
                <w:vertAlign w:val="superscript"/>
              </w:rPr>
            </w:pPr>
            <w:r>
              <w:noBreakHyphen/>
            </w:r>
            <w:r w:rsidR="00345618" w:rsidRPr="0074538B">
              <w:t>$</w:t>
            </w:r>
            <w:r w:rsidR="00D97164" w:rsidRPr="00D97164">
              <w:rPr>
                <w:highlight w:val="black"/>
              </w:rPr>
              <w:t>&amp;&amp;&amp;&amp;</w:t>
            </w:r>
            <w:r w:rsidR="00413648">
              <w:rPr>
                <w:vertAlign w:val="superscript"/>
              </w:rPr>
              <w:t>6</w:t>
            </w:r>
          </w:p>
        </w:tc>
        <w:tc>
          <w:tcPr>
            <w:tcW w:w="619" w:type="pct"/>
            <w:tcBorders>
              <w:top w:val="single" w:sz="4" w:space="0" w:color="auto"/>
              <w:left w:val="nil"/>
              <w:bottom w:val="single" w:sz="4" w:space="0" w:color="auto"/>
              <w:right w:val="single" w:sz="4" w:space="0" w:color="auto"/>
            </w:tcBorders>
            <w:vAlign w:val="center"/>
          </w:tcPr>
          <w:p w14:paraId="1B212279" w14:textId="039FD3DB" w:rsidR="00345618" w:rsidRPr="00413648" w:rsidRDefault="003A3A7B" w:rsidP="007D1BB4">
            <w:pPr>
              <w:pStyle w:val="TableText0"/>
              <w:jc w:val="center"/>
              <w:rPr>
                <w:vertAlign w:val="superscript"/>
              </w:rPr>
            </w:pPr>
            <w:r>
              <w:noBreakHyphen/>
            </w:r>
            <w:r w:rsidR="00345618" w:rsidRPr="0074538B">
              <w:t>$</w:t>
            </w:r>
            <w:r w:rsidR="00D97164" w:rsidRPr="00D97164">
              <w:rPr>
                <w:highlight w:val="black"/>
              </w:rPr>
              <w:t>&amp;&amp;&amp;&amp;</w:t>
            </w:r>
            <w:r w:rsidR="00413648">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61344456" w14:textId="7E20C364" w:rsidR="00345618" w:rsidRPr="00413648" w:rsidRDefault="003A3A7B" w:rsidP="007D1BB4">
            <w:pPr>
              <w:pStyle w:val="TableText0"/>
              <w:jc w:val="center"/>
              <w:rPr>
                <w:vertAlign w:val="superscript"/>
              </w:rPr>
            </w:pPr>
            <w:r>
              <w:noBreakHyphen/>
            </w:r>
            <w:r w:rsidR="00345618" w:rsidRPr="0074538B">
              <w:t>$</w:t>
            </w:r>
            <w:r w:rsidR="00D97164" w:rsidRPr="00D97164">
              <w:rPr>
                <w:highlight w:val="black"/>
              </w:rPr>
              <w:t>&amp;&amp;&amp;&amp;</w:t>
            </w:r>
            <w:r w:rsidR="00413648">
              <w:rPr>
                <w:vertAlign w:val="superscript"/>
              </w:rPr>
              <w:t>6</w:t>
            </w:r>
          </w:p>
        </w:tc>
      </w:tr>
      <w:tr w:rsidR="00C87167" w:rsidRPr="0074538B" w14:paraId="53724DA2" w14:textId="77777777" w:rsidTr="008E13C7">
        <w:tc>
          <w:tcPr>
            <w:tcW w:w="1334" w:type="pct"/>
            <w:vAlign w:val="center"/>
          </w:tcPr>
          <w:p w14:paraId="6C612585" w14:textId="1981E114" w:rsidR="00C87167" w:rsidRPr="0074538B" w:rsidRDefault="00C87167" w:rsidP="007D1BB4">
            <w:pPr>
              <w:pStyle w:val="TableText0"/>
              <w:rPr>
                <w:vertAlign w:val="superscript"/>
              </w:rPr>
            </w:pPr>
            <w:r w:rsidRPr="0074538B">
              <w:t>Net cost to PBS/RPBS/</w:t>
            </w:r>
            <w:proofErr w:type="spellStart"/>
            <w:r w:rsidRPr="0074538B">
              <w:t>MBS</w:t>
            </w:r>
            <w:r w:rsidRPr="0074538B">
              <w:rPr>
                <w:vertAlign w:val="superscript"/>
              </w:rPr>
              <w:t>c</w:t>
            </w:r>
            <w:proofErr w:type="spellEnd"/>
          </w:p>
        </w:tc>
        <w:tc>
          <w:tcPr>
            <w:tcW w:w="611" w:type="pct"/>
            <w:tcBorders>
              <w:top w:val="single" w:sz="4" w:space="0" w:color="auto"/>
              <w:left w:val="nil"/>
              <w:bottom w:val="single" w:sz="4" w:space="0" w:color="auto"/>
              <w:right w:val="single" w:sz="4" w:space="0" w:color="auto"/>
            </w:tcBorders>
            <w:vAlign w:val="bottom"/>
          </w:tcPr>
          <w:p w14:paraId="65E94957" w14:textId="4E36333E" w:rsidR="00C87167" w:rsidRPr="00413648" w:rsidRDefault="00C87167" w:rsidP="007D1BB4">
            <w:pPr>
              <w:pStyle w:val="TableText0"/>
              <w:jc w:val="center"/>
              <w:rPr>
                <w:szCs w:val="20"/>
                <w:vertAlign w:val="superscript"/>
              </w:rPr>
            </w:pPr>
            <w:r w:rsidRPr="00C87167">
              <w:rPr>
                <w:rFonts w:cs="Arial"/>
                <w:szCs w:val="20"/>
              </w:rPr>
              <w:t>$</w:t>
            </w:r>
            <w:r w:rsidR="00D97164" w:rsidRPr="00D97164">
              <w:rPr>
                <w:rFonts w:cs="Arial"/>
                <w:szCs w:val="20"/>
                <w:highlight w:val="black"/>
              </w:rPr>
              <w:t>&amp;&amp;&amp;&amp;</w:t>
            </w:r>
            <w:r w:rsidR="00413648">
              <w:rPr>
                <w:rFonts w:cs="Arial"/>
                <w:szCs w:val="20"/>
                <w:vertAlign w:val="superscript"/>
              </w:rPr>
              <w:t>6</w:t>
            </w:r>
          </w:p>
        </w:tc>
        <w:tc>
          <w:tcPr>
            <w:tcW w:w="611" w:type="pct"/>
            <w:tcBorders>
              <w:top w:val="single" w:sz="4" w:space="0" w:color="auto"/>
              <w:left w:val="single" w:sz="4" w:space="0" w:color="auto"/>
              <w:bottom w:val="single" w:sz="4" w:space="0" w:color="auto"/>
              <w:right w:val="single" w:sz="4" w:space="0" w:color="auto"/>
            </w:tcBorders>
            <w:vAlign w:val="bottom"/>
          </w:tcPr>
          <w:p w14:paraId="41AF6958" w14:textId="34C13FD0" w:rsidR="00C87167" w:rsidRPr="00413648" w:rsidRDefault="00C87167" w:rsidP="007D1BB4">
            <w:pPr>
              <w:pStyle w:val="TableText0"/>
              <w:jc w:val="center"/>
              <w:rPr>
                <w:szCs w:val="20"/>
                <w:vertAlign w:val="superscript"/>
              </w:rPr>
            </w:pPr>
            <w:r w:rsidRPr="00C87167">
              <w:rPr>
                <w:rFonts w:cs="Arial"/>
                <w:szCs w:val="20"/>
              </w:rPr>
              <w:t>$</w:t>
            </w:r>
            <w:r w:rsidR="00D97164" w:rsidRPr="00D97164">
              <w:rPr>
                <w:rFonts w:cs="Arial"/>
                <w:szCs w:val="20"/>
                <w:highlight w:val="black"/>
              </w:rPr>
              <w:t>&amp;&amp;&amp;&amp;</w:t>
            </w:r>
            <w:r w:rsidR="00413648">
              <w:rPr>
                <w:rFonts w:cs="Arial"/>
                <w:szCs w:val="20"/>
                <w:vertAlign w:val="superscript"/>
              </w:rPr>
              <w:t>6</w:t>
            </w:r>
          </w:p>
        </w:tc>
        <w:tc>
          <w:tcPr>
            <w:tcW w:w="611" w:type="pct"/>
            <w:tcBorders>
              <w:top w:val="single" w:sz="4" w:space="0" w:color="auto"/>
              <w:left w:val="single" w:sz="4" w:space="0" w:color="auto"/>
              <w:bottom w:val="single" w:sz="4" w:space="0" w:color="auto"/>
              <w:right w:val="single" w:sz="4" w:space="0" w:color="auto"/>
            </w:tcBorders>
            <w:vAlign w:val="bottom"/>
          </w:tcPr>
          <w:p w14:paraId="01692D8A" w14:textId="17EDCD6F" w:rsidR="00C87167" w:rsidRPr="00413648" w:rsidRDefault="00C87167" w:rsidP="007D1BB4">
            <w:pPr>
              <w:pStyle w:val="TableText0"/>
              <w:jc w:val="center"/>
              <w:rPr>
                <w:szCs w:val="20"/>
                <w:vertAlign w:val="superscript"/>
              </w:rPr>
            </w:pPr>
            <w:r w:rsidRPr="00C87167">
              <w:rPr>
                <w:rFonts w:cs="Arial"/>
                <w:szCs w:val="20"/>
              </w:rPr>
              <w:t>$</w:t>
            </w:r>
            <w:r w:rsidR="00D97164" w:rsidRPr="00D97164">
              <w:rPr>
                <w:rFonts w:cs="Arial"/>
                <w:szCs w:val="20"/>
                <w:highlight w:val="black"/>
              </w:rPr>
              <w:t>&amp;&amp;&amp;&amp;</w:t>
            </w:r>
            <w:r w:rsidR="00413648">
              <w:rPr>
                <w:rFonts w:cs="Arial"/>
                <w:szCs w:val="20"/>
                <w:vertAlign w:val="superscript"/>
              </w:rPr>
              <w:t>6</w:t>
            </w:r>
          </w:p>
        </w:tc>
        <w:tc>
          <w:tcPr>
            <w:tcW w:w="603" w:type="pct"/>
            <w:tcBorders>
              <w:top w:val="single" w:sz="4" w:space="0" w:color="auto"/>
              <w:left w:val="single" w:sz="4" w:space="0" w:color="auto"/>
              <w:bottom w:val="single" w:sz="4" w:space="0" w:color="auto"/>
              <w:right w:val="single" w:sz="4" w:space="0" w:color="auto"/>
            </w:tcBorders>
            <w:vAlign w:val="bottom"/>
          </w:tcPr>
          <w:p w14:paraId="3B04AF12" w14:textId="1D831482" w:rsidR="00C87167" w:rsidRPr="00413648" w:rsidRDefault="00C87167" w:rsidP="007D1BB4">
            <w:pPr>
              <w:pStyle w:val="TableText0"/>
              <w:jc w:val="center"/>
              <w:rPr>
                <w:szCs w:val="20"/>
                <w:vertAlign w:val="superscript"/>
              </w:rPr>
            </w:pPr>
            <w:r w:rsidRPr="00C87167">
              <w:rPr>
                <w:rFonts w:cs="Arial"/>
                <w:szCs w:val="20"/>
              </w:rPr>
              <w:t>$</w:t>
            </w:r>
            <w:r w:rsidR="00D97164" w:rsidRPr="00D97164">
              <w:rPr>
                <w:rFonts w:cs="Arial"/>
                <w:szCs w:val="20"/>
                <w:highlight w:val="black"/>
              </w:rPr>
              <w:t>&amp;&amp;&amp;&amp;</w:t>
            </w:r>
            <w:r w:rsidR="00413648">
              <w:rPr>
                <w:rFonts w:cs="Arial"/>
                <w:szCs w:val="20"/>
                <w:vertAlign w:val="superscript"/>
              </w:rPr>
              <w:t>6</w:t>
            </w:r>
          </w:p>
        </w:tc>
        <w:tc>
          <w:tcPr>
            <w:tcW w:w="619" w:type="pct"/>
            <w:tcBorders>
              <w:top w:val="single" w:sz="4" w:space="0" w:color="auto"/>
              <w:left w:val="single" w:sz="4" w:space="0" w:color="auto"/>
              <w:bottom w:val="single" w:sz="4" w:space="0" w:color="auto"/>
              <w:right w:val="single" w:sz="4" w:space="0" w:color="auto"/>
            </w:tcBorders>
            <w:vAlign w:val="bottom"/>
          </w:tcPr>
          <w:p w14:paraId="3DBD1843" w14:textId="1C329FDB" w:rsidR="00C87167" w:rsidRPr="00413648" w:rsidRDefault="00C87167" w:rsidP="007D1BB4">
            <w:pPr>
              <w:pStyle w:val="TableText0"/>
              <w:jc w:val="center"/>
              <w:rPr>
                <w:szCs w:val="20"/>
                <w:vertAlign w:val="superscript"/>
              </w:rPr>
            </w:pPr>
            <w:r w:rsidRPr="00C87167">
              <w:rPr>
                <w:rFonts w:cs="Arial"/>
                <w:szCs w:val="20"/>
              </w:rPr>
              <w:t>$</w:t>
            </w:r>
            <w:r w:rsidR="00D97164" w:rsidRPr="00D97164">
              <w:rPr>
                <w:rFonts w:cs="Arial"/>
                <w:szCs w:val="20"/>
                <w:highlight w:val="black"/>
              </w:rPr>
              <w:t>&amp;&amp;&amp;&amp;</w:t>
            </w:r>
            <w:r w:rsidR="00413648">
              <w:rPr>
                <w:rFonts w:cs="Arial"/>
                <w:szCs w:val="20"/>
                <w:vertAlign w:val="superscript"/>
              </w:rPr>
              <w:t>6</w:t>
            </w:r>
          </w:p>
        </w:tc>
        <w:tc>
          <w:tcPr>
            <w:tcW w:w="611" w:type="pct"/>
            <w:tcBorders>
              <w:top w:val="single" w:sz="4" w:space="0" w:color="auto"/>
              <w:left w:val="single" w:sz="4" w:space="0" w:color="auto"/>
              <w:bottom w:val="single" w:sz="4" w:space="0" w:color="auto"/>
              <w:right w:val="single" w:sz="4" w:space="0" w:color="auto"/>
            </w:tcBorders>
            <w:vAlign w:val="bottom"/>
          </w:tcPr>
          <w:p w14:paraId="1A5895AA" w14:textId="62997A5E" w:rsidR="00C87167" w:rsidRPr="00413648" w:rsidRDefault="00C87167" w:rsidP="007D1BB4">
            <w:pPr>
              <w:pStyle w:val="TableText0"/>
              <w:jc w:val="center"/>
              <w:rPr>
                <w:szCs w:val="20"/>
                <w:vertAlign w:val="superscript"/>
              </w:rPr>
            </w:pPr>
            <w:r w:rsidRPr="00C87167">
              <w:rPr>
                <w:rFonts w:cs="Arial"/>
                <w:szCs w:val="20"/>
              </w:rPr>
              <w:t>$</w:t>
            </w:r>
            <w:r w:rsidR="00D97164" w:rsidRPr="00D97164">
              <w:rPr>
                <w:rFonts w:cs="Arial"/>
                <w:szCs w:val="20"/>
                <w:highlight w:val="black"/>
              </w:rPr>
              <w:t>&amp;&amp;&amp;&amp;</w:t>
            </w:r>
            <w:r w:rsidR="00413648">
              <w:rPr>
                <w:rFonts w:cs="Arial"/>
                <w:szCs w:val="20"/>
                <w:vertAlign w:val="superscript"/>
              </w:rPr>
              <w:t>6</w:t>
            </w:r>
          </w:p>
        </w:tc>
      </w:tr>
    </w:tbl>
    <w:p w14:paraId="63192680" w14:textId="36EE9AE3" w:rsidR="00345618" w:rsidRDefault="00345618" w:rsidP="007D1BB4">
      <w:pPr>
        <w:pStyle w:val="TableFigureFooter"/>
        <w:keepNext/>
      </w:pPr>
      <w:r w:rsidRPr="00A16C88">
        <w:t>Source: Table 4.7, p214; Table 4.1</w:t>
      </w:r>
      <w:r w:rsidR="00E20434">
        <w:t>1</w:t>
      </w:r>
      <w:r w:rsidRPr="00A16C88">
        <w:t>, p21</w:t>
      </w:r>
      <w:r w:rsidR="00E20434">
        <w:t>6</w:t>
      </w:r>
      <w:r w:rsidRPr="00A16C88">
        <w:t xml:space="preserve">; </w:t>
      </w:r>
      <w:r w:rsidRPr="00A16C88" w:rsidDel="00E20434">
        <w:t xml:space="preserve">Table 4.21, p223; </w:t>
      </w:r>
      <w:r w:rsidRPr="00A16C88">
        <w:t>Attachment 6.1; Attachment 6.2 of the submission.</w:t>
      </w:r>
    </w:p>
    <w:p w14:paraId="3E44BF2C" w14:textId="16F7B276" w:rsidR="007D3880" w:rsidRPr="007D3880" w:rsidRDefault="00345618" w:rsidP="007D1BB4">
      <w:pPr>
        <w:pStyle w:val="TableFigureFooter"/>
        <w:keepNext/>
      </w:pPr>
      <w:r w:rsidRPr="00A16C88">
        <w:rPr>
          <w:rStyle w:val="CommentReference"/>
          <w:b w:val="0"/>
          <w:sz w:val="18"/>
          <w:szCs w:val="22"/>
        </w:rPr>
        <w:t xml:space="preserve">E+B = </w:t>
      </w:r>
      <w:proofErr w:type="spellStart"/>
      <w:r w:rsidRPr="00A16C88">
        <w:rPr>
          <w:rStyle w:val="CommentReference"/>
          <w:b w:val="0"/>
          <w:sz w:val="18"/>
          <w:szCs w:val="22"/>
        </w:rPr>
        <w:t>encorafenib</w:t>
      </w:r>
      <w:proofErr w:type="spellEnd"/>
      <w:r w:rsidRPr="00A16C88">
        <w:rPr>
          <w:rStyle w:val="CommentReference"/>
          <w:b w:val="0"/>
          <w:sz w:val="18"/>
          <w:szCs w:val="22"/>
        </w:rPr>
        <w:t xml:space="preserve"> and </w:t>
      </w:r>
      <w:proofErr w:type="spellStart"/>
      <w:r w:rsidRPr="00A16C88">
        <w:rPr>
          <w:rStyle w:val="CommentReference"/>
          <w:b w:val="0"/>
          <w:sz w:val="18"/>
          <w:szCs w:val="22"/>
        </w:rPr>
        <w:t>binimetinib</w:t>
      </w:r>
      <w:proofErr w:type="spellEnd"/>
      <w:r w:rsidRPr="00A16C88">
        <w:rPr>
          <w:rStyle w:val="CommentReference"/>
          <w:b w:val="0"/>
          <w:sz w:val="18"/>
          <w:szCs w:val="22"/>
        </w:rPr>
        <w:t>; MBS = Medicare Benefits Scheme; PBS = Pharmaceutical Benefits Scheme</w:t>
      </w:r>
      <w:r>
        <w:rPr>
          <w:rStyle w:val="CommentReference"/>
          <w:b w:val="0"/>
          <w:sz w:val="18"/>
          <w:szCs w:val="22"/>
        </w:rPr>
        <w:t>;</w:t>
      </w:r>
      <w:r w:rsidRPr="00A16C88">
        <w:t xml:space="preserve"> </w:t>
      </w:r>
      <w:r w:rsidRPr="00A16C88">
        <w:rPr>
          <w:rStyle w:val="CommentReference"/>
          <w:b w:val="0"/>
          <w:sz w:val="18"/>
          <w:szCs w:val="22"/>
        </w:rPr>
        <w:t>RPBS = Repatriation Pharmaceutical Benefits Scheme</w:t>
      </w:r>
      <w:r>
        <w:rPr>
          <w:rStyle w:val="CommentReference"/>
          <w:b w:val="0"/>
          <w:sz w:val="18"/>
          <w:szCs w:val="22"/>
        </w:rPr>
        <w:t>.</w:t>
      </w:r>
    </w:p>
    <w:p w14:paraId="54AD3AB3" w14:textId="5724F535" w:rsidR="00267D28" w:rsidRPr="00267D28" w:rsidRDefault="00267D28" w:rsidP="007D1BB4">
      <w:pPr>
        <w:pStyle w:val="TableFigureFooter"/>
        <w:keepNext/>
      </w:pPr>
      <w:r>
        <w:rPr>
          <w:vertAlign w:val="superscript"/>
        </w:rPr>
        <w:t>a</w:t>
      </w:r>
      <w:r>
        <w:t xml:space="preserve"> </w:t>
      </w:r>
      <w:r w:rsidR="00711422">
        <w:t>Based on the economic model, the submission</w:t>
      </w:r>
      <w:r w:rsidR="00711422" w:rsidRPr="00711422">
        <w:t xml:space="preserve"> halved the published prices of pembrolizumab to estimate the effective price for this drug.</w:t>
      </w:r>
    </w:p>
    <w:p w14:paraId="75992126" w14:textId="2D54F4FA" w:rsidR="00345618" w:rsidRPr="0098262F" w:rsidRDefault="0090201A" w:rsidP="007D1BB4">
      <w:pPr>
        <w:pStyle w:val="TableFigureFooter"/>
        <w:keepNext/>
      </w:pPr>
      <w:r>
        <w:rPr>
          <w:vertAlign w:val="superscript"/>
        </w:rPr>
        <w:t>b</w:t>
      </w:r>
      <w:r w:rsidR="00345618" w:rsidRPr="0098262F">
        <w:t xml:space="preserve"> Assuming </w:t>
      </w:r>
      <w:r w:rsidR="00345618">
        <w:t>11.15</w:t>
      </w:r>
      <w:r w:rsidR="00345618" w:rsidRPr="007F6E60">
        <w:t xml:space="preserve"> scripts for </w:t>
      </w:r>
      <w:proofErr w:type="spellStart"/>
      <w:r w:rsidR="00345618" w:rsidRPr="007F6E60">
        <w:t>encorafenib</w:t>
      </w:r>
      <w:proofErr w:type="spellEnd"/>
      <w:r w:rsidR="00345618" w:rsidRPr="007F6E60">
        <w:t xml:space="preserve"> and </w:t>
      </w:r>
      <w:r w:rsidR="00345618">
        <w:t>11.01</w:t>
      </w:r>
      <w:r w:rsidR="00345618" w:rsidRPr="007F6E60">
        <w:t xml:space="preserve"> for </w:t>
      </w:r>
      <w:proofErr w:type="spellStart"/>
      <w:r w:rsidR="00345618" w:rsidRPr="007F6E60">
        <w:t>binimetinib</w:t>
      </w:r>
      <w:proofErr w:type="spellEnd"/>
      <w:r w:rsidR="00345618" w:rsidRPr="0098262F">
        <w:t xml:space="preserve"> per year as estimated by the submission.</w:t>
      </w:r>
    </w:p>
    <w:bookmarkEnd w:id="96"/>
    <w:p w14:paraId="633AE1E3" w14:textId="77777777" w:rsidR="00CF4FD8" w:rsidRDefault="0090201A" w:rsidP="007D1BB4">
      <w:pPr>
        <w:pStyle w:val="TableFigureFooter"/>
        <w:keepNext/>
        <w:rPr>
          <w:i/>
          <w:szCs w:val="18"/>
        </w:rPr>
      </w:pPr>
      <w:r>
        <w:rPr>
          <w:vertAlign w:val="superscript"/>
        </w:rPr>
        <w:t>c</w:t>
      </w:r>
      <w:r w:rsidR="00ED1EB8" w:rsidRPr="004E1EE6">
        <w:t xml:space="preserve"> </w:t>
      </w:r>
      <w:r w:rsidR="00B146F9" w:rsidRPr="004E1EE6">
        <w:t>Costs were updated during the evaluation</w:t>
      </w:r>
      <w:r w:rsidR="00E41FC9" w:rsidRPr="004E1EE6">
        <w:t xml:space="preserve"> using the updated </w:t>
      </w:r>
      <w:r w:rsidR="00027C8D" w:rsidRPr="004E1EE6">
        <w:t>published DP</w:t>
      </w:r>
      <w:r w:rsidR="002B44B1" w:rsidRPr="004E1EE6">
        <w:t>MA for cisplatin</w:t>
      </w:r>
      <w:r w:rsidR="00D404BA" w:rsidRPr="004E1EE6">
        <w:t xml:space="preserve"> 4319H ($140.20)</w:t>
      </w:r>
      <w:r w:rsidR="000555F3">
        <w:t xml:space="preserve">, </w:t>
      </w:r>
      <w:r w:rsidR="00D76CE4" w:rsidRPr="004E1EE6">
        <w:t>7224F ($186.56)</w:t>
      </w:r>
      <w:r w:rsidR="000555F3">
        <w:t xml:space="preserve"> and assumed effective price of pembrolizumab.</w:t>
      </w:r>
      <w:bookmarkStart w:id="97" w:name="_Hlk218782700"/>
      <w:r w:rsidR="00CF4FD8" w:rsidRPr="00CF4FD8">
        <w:rPr>
          <w:i/>
          <w:szCs w:val="18"/>
        </w:rPr>
        <w:t xml:space="preserve"> </w:t>
      </w:r>
    </w:p>
    <w:p w14:paraId="5906CAC0" w14:textId="7DF60C18" w:rsidR="00CF4FD8" w:rsidRPr="00CF4FD8" w:rsidRDefault="00CF4FD8" w:rsidP="007D1BB4">
      <w:pPr>
        <w:pStyle w:val="TableFigureFooter"/>
        <w:keepNext/>
        <w:rPr>
          <w:i/>
        </w:rPr>
      </w:pPr>
      <w:r w:rsidRPr="00CF4FD8">
        <w:rPr>
          <w:i/>
        </w:rPr>
        <w:t xml:space="preserve">The redacted values correspond to the following ranges: </w:t>
      </w:r>
    </w:p>
    <w:p w14:paraId="749D1B36" w14:textId="039760D3" w:rsidR="00CF4FD8" w:rsidRPr="00CF4FD8" w:rsidRDefault="00CF4FD8" w:rsidP="007D1BB4">
      <w:pPr>
        <w:pStyle w:val="TableFigureFooter"/>
        <w:keepNext/>
        <w:rPr>
          <w:i/>
        </w:rPr>
      </w:pPr>
      <w:r w:rsidRPr="00CF4FD8">
        <w:rPr>
          <w:i/>
          <w:vertAlign w:val="superscript"/>
        </w:rPr>
        <w:t>1</w:t>
      </w:r>
      <w:r w:rsidRPr="00CF4FD8">
        <w:rPr>
          <w:i/>
        </w:rPr>
        <w:t xml:space="preserve"> </w:t>
      </w:r>
      <w:r w:rsidR="00F6320D" w:rsidRPr="00F6320D">
        <w:rPr>
          <w:i/>
        </w:rPr>
        <w:t>&lt; 500</w:t>
      </w:r>
    </w:p>
    <w:p w14:paraId="4A29E34C" w14:textId="2D7911FC" w:rsidR="00CF4FD8" w:rsidRPr="00CF4FD8" w:rsidRDefault="00CF4FD8" w:rsidP="007D1BB4">
      <w:pPr>
        <w:pStyle w:val="TableFigureFooter"/>
        <w:keepNext/>
        <w:rPr>
          <w:i/>
        </w:rPr>
      </w:pPr>
      <w:r w:rsidRPr="00CF4FD8">
        <w:rPr>
          <w:i/>
          <w:vertAlign w:val="superscript"/>
        </w:rPr>
        <w:t>2</w:t>
      </w:r>
      <w:r w:rsidRPr="00CF4FD8">
        <w:rPr>
          <w:i/>
        </w:rPr>
        <w:t xml:space="preserve"> </w:t>
      </w:r>
      <w:bookmarkStart w:id="98" w:name="_Hlk218766157"/>
      <w:r w:rsidR="006D1A2A" w:rsidRPr="006D1A2A">
        <w:rPr>
          <w:i/>
        </w:rPr>
        <w:t>500 to &lt; 5,000</w:t>
      </w:r>
      <w:bookmarkEnd w:id="98"/>
    </w:p>
    <w:bookmarkEnd w:id="97"/>
    <w:p w14:paraId="4401BE0A" w14:textId="1271794A" w:rsidR="00CF4FD8" w:rsidRPr="00CF4FD8" w:rsidRDefault="00CF4FD8" w:rsidP="007D1BB4">
      <w:pPr>
        <w:pStyle w:val="TableFigureFooter"/>
        <w:keepNext/>
        <w:rPr>
          <w:i/>
        </w:rPr>
      </w:pPr>
      <w:r w:rsidRPr="00CF4FD8">
        <w:rPr>
          <w:i/>
          <w:vertAlign w:val="superscript"/>
        </w:rPr>
        <w:t>3</w:t>
      </w:r>
      <w:r w:rsidRPr="00CF4FD8">
        <w:rPr>
          <w:i/>
        </w:rPr>
        <w:t xml:space="preserve"> </w:t>
      </w:r>
      <w:bookmarkStart w:id="99" w:name="_Hlk218774930"/>
      <w:r w:rsidR="009B755B" w:rsidRPr="009B755B">
        <w:rPr>
          <w:i/>
        </w:rPr>
        <w:t>5,000 to &lt; 10,000</w:t>
      </w:r>
      <w:bookmarkEnd w:id="99"/>
    </w:p>
    <w:p w14:paraId="11E460E6" w14:textId="6ED685BE" w:rsidR="00CF4FD8" w:rsidRPr="00CF4FD8" w:rsidRDefault="00CF4FD8" w:rsidP="007D1BB4">
      <w:pPr>
        <w:pStyle w:val="TableFigureFooter"/>
        <w:keepNext/>
        <w:rPr>
          <w:i/>
        </w:rPr>
      </w:pPr>
      <w:r w:rsidRPr="00CF4FD8">
        <w:rPr>
          <w:i/>
          <w:vertAlign w:val="superscript"/>
        </w:rPr>
        <w:t>4</w:t>
      </w:r>
      <w:r w:rsidRPr="00CF4FD8">
        <w:rPr>
          <w:i/>
        </w:rPr>
        <w:t xml:space="preserve"> </w:t>
      </w:r>
      <w:bookmarkStart w:id="100" w:name="_Hlk218779969"/>
      <w:r w:rsidR="00E42BAC" w:rsidRPr="00E42BAC">
        <w:rPr>
          <w:i/>
        </w:rPr>
        <w:t>$10 million to &lt; $20 million</w:t>
      </w:r>
      <w:bookmarkEnd w:id="100"/>
    </w:p>
    <w:p w14:paraId="0166142D" w14:textId="72F4A2D8" w:rsidR="00CF4FD8" w:rsidRPr="00CF4FD8" w:rsidRDefault="00CF4FD8" w:rsidP="007D1BB4">
      <w:pPr>
        <w:pStyle w:val="TableFigureFooter"/>
        <w:keepNext/>
        <w:rPr>
          <w:i/>
        </w:rPr>
      </w:pPr>
      <w:r w:rsidRPr="00CF4FD8">
        <w:rPr>
          <w:i/>
          <w:vertAlign w:val="superscript"/>
        </w:rPr>
        <w:t>5</w:t>
      </w:r>
      <w:r w:rsidRPr="00CF4FD8">
        <w:rPr>
          <w:i/>
        </w:rPr>
        <w:t xml:space="preserve"> </w:t>
      </w:r>
      <w:bookmarkStart w:id="101" w:name="_Hlk218776071"/>
      <w:r w:rsidR="003D7329" w:rsidRPr="003D7329">
        <w:rPr>
          <w:i/>
        </w:rPr>
        <w:t>$20 million to &lt; $30 million</w:t>
      </w:r>
      <w:bookmarkEnd w:id="101"/>
    </w:p>
    <w:p w14:paraId="4420B3CD" w14:textId="61E7F71A" w:rsidR="00CF4FD8" w:rsidRPr="00CF4FD8" w:rsidRDefault="00CF4FD8" w:rsidP="007D1BB4">
      <w:pPr>
        <w:pStyle w:val="TableFigureFooter"/>
        <w:keepNext/>
        <w:rPr>
          <w:i/>
        </w:rPr>
      </w:pPr>
      <w:r w:rsidRPr="00CF4FD8">
        <w:rPr>
          <w:i/>
          <w:vertAlign w:val="superscript"/>
        </w:rPr>
        <w:t>6</w:t>
      </w:r>
      <w:r w:rsidRPr="00CF4FD8">
        <w:rPr>
          <w:i/>
        </w:rPr>
        <w:t xml:space="preserve"> </w:t>
      </w:r>
      <w:bookmarkStart w:id="102" w:name="_Hlk218769862"/>
      <w:r w:rsidR="006F4329" w:rsidRPr="006F4329">
        <w:rPr>
          <w:i/>
        </w:rPr>
        <w:t>$0 to &lt; $10 million</w:t>
      </w:r>
      <w:bookmarkEnd w:id="102"/>
    </w:p>
    <w:p w14:paraId="3340936C" w14:textId="359E94D1" w:rsidR="00C26E90" w:rsidRPr="00C26E90" w:rsidRDefault="00C26E90" w:rsidP="003A3A7B">
      <w:pPr>
        <w:pStyle w:val="TableFigureFooter"/>
      </w:pPr>
    </w:p>
    <w:p w14:paraId="0E9996BC" w14:textId="60E451C3" w:rsidR="00345618" w:rsidRDefault="00345618" w:rsidP="003A3A7B">
      <w:pPr>
        <w:pStyle w:val="3-BodyText"/>
        <w:rPr>
          <w:iCs/>
        </w:rPr>
      </w:pPr>
      <w:r w:rsidRPr="0074538B">
        <w:rPr>
          <w:iCs/>
        </w:rPr>
        <w:t xml:space="preserve">The total cost to the PBS/RPBS/MBS of listing E+B was estimated to be </w:t>
      </w:r>
      <w:r w:rsidR="005927B3" w:rsidRPr="005927B3">
        <w:rPr>
          <w:iCs/>
        </w:rPr>
        <w:t>$0 to &lt; $10 million</w:t>
      </w:r>
      <w:r w:rsidRPr="0074538B">
        <w:rPr>
          <w:iCs/>
        </w:rPr>
        <w:t xml:space="preserve"> in Year 6, and a total of </w:t>
      </w:r>
      <w:r w:rsidR="007C7800" w:rsidRPr="007C7800">
        <w:rPr>
          <w:iCs/>
        </w:rPr>
        <w:t>$40 million to &lt; $50 million</w:t>
      </w:r>
      <w:r w:rsidRPr="0074538B">
        <w:rPr>
          <w:iCs/>
        </w:rPr>
        <w:t xml:space="preserve"> in the first 6 years of listing, </w:t>
      </w:r>
      <w:r w:rsidR="00BC7191" w:rsidRPr="0074538B">
        <w:rPr>
          <w:iCs/>
        </w:rPr>
        <w:t>using</w:t>
      </w:r>
      <w:r w:rsidRPr="0074538B">
        <w:rPr>
          <w:iCs/>
        </w:rPr>
        <w:t xml:space="preserve"> the </w:t>
      </w:r>
      <w:r w:rsidR="004B75E7" w:rsidRPr="0074538B">
        <w:rPr>
          <w:iCs/>
        </w:rPr>
        <w:t>assumed effective</w:t>
      </w:r>
      <w:r w:rsidRPr="0074538B">
        <w:rPr>
          <w:iCs/>
        </w:rPr>
        <w:t xml:space="preserve"> price</w:t>
      </w:r>
      <w:r w:rsidR="004B75E7" w:rsidRPr="0074538B">
        <w:rPr>
          <w:iCs/>
        </w:rPr>
        <w:t xml:space="preserve"> of pembrolizumab</w:t>
      </w:r>
      <w:r w:rsidRPr="0074538B">
        <w:rPr>
          <w:iCs/>
        </w:rPr>
        <w:t xml:space="preserve">. </w:t>
      </w:r>
    </w:p>
    <w:p w14:paraId="6278FB3E" w14:textId="4E7ACE5E" w:rsidR="005F7832" w:rsidRPr="004D0B0D" w:rsidRDefault="005F7832" w:rsidP="003A3A7B">
      <w:pPr>
        <w:pStyle w:val="3-BodyText"/>
      </w:pPr>
      <w:bookmarkStart w:id="103" w:name="_Ref211415539"/>
      <w:r w:rsidRPr="004D0B0D">
        <w:t>Overall, the</w:t>
      </w:r>
      <w:r w:rsidR="00745925" w:rsidRPr="004D0B0D">
        <w:t xml:space="preserve"> ESC considered that the</w:t>
      </w:r>
      <w:r w:rsidRPr="004D0B0D">
        <w:t xml:space="preserve"> utilisation of E+B was uncertain due to the following:</w:t>
      </w:r>
      <w:bookmarkEnd w:id="103"/>
    </w:p>
    <w:p w14:paraId="564B69FD" w14:textId="160BE492" w:rsidR="005F7832" w:rsidRPr="004D0B0D" w:rsidRDefault="005F7832" w:rsidP="003A3A7B">
      <w:pPr>
        <w:pStyle w:val="ListParagraph"/>
        <w:ind w:left="1080"/>
        <w:jc w:val="both"/>
      </w:pPr>
      <w:r w:rsidRPr="004D0B0D">
        <w:t xml:space="preserve">The submission assumed a </w:t>
      </w:r>
      <w:r w:rsidR="00D97164" w:rsidRPr="00D97164">
        <w:rPr>
          <w:highlight w:val="black"/>
        </w:rPr>
        <w:t>&amp;&amp;&amp;&amp;</w:t>
      </w:r>
      <w:r w:rsidRPr="004D0B0D">
        <w:t>% uptake rate, which the ESC considered was an overestimate, particularly given the PBS listing of D+T which has the same mechanism of action and is also an oral formulation.</w:t>
      </w:r>
    </w:p>
    <w:p w14:paraId="262E0167" w14:textId="78CA5EA5" w:rsidR="005F7832" w:rsidRPr="0074538B" w:rsidRDefault="005F7832" w:rsidP="003A3A7B">
      <w:pPr>
        <w:pStyle w:val="ListParagraph"/>
        <w:ind w:left="1080"/>
        <w:jc w:val="both"/>
      </w:pPr>
      <w:r w:rsidRPr="0074538B">
        <w:t xml:space="preserve">The mean treatment duration of 108.45 weeks was uncertain as it was derived from the </w:t>
      </w:r>
      <w:r w:rsidR="001552CB">
        <w:t xml:space="preserve">economic </w:t>
      </w:r>
      <w:r w:rsidR="001F219D">
        <w:t>model</w:t>
      </w:r>
      <w:r w:rsidR="00F459FF">
        <w:t>.</w:t>
      </w:r>
    </w:p>
    <w:p w14:paraId="4DF894E0" w14:textId="56082FC1" w:rsidR="005F7832" w:rsidRPr="0074538B" w:rsidRDefault="005F7832" w:rsidP="003A3A7B">
      <w:pPr>
        <w:pStyle w:val="ListParagraph"/>
        <w:ind w:left="1080"/>
        <w:jc w:val="both"/>
      </w:pPr>
      <w:r w:rsidRPr="0074538B">
        <w:t xml:space="preserve">The </w:t>
      </w:r>
      <w:r w:rsidR="003635B6">
        <w:t xml:space="preserve">PBAC considered that the </w:t>
      </w:r>
      <w:r w:rsidRPr="0074538B">
        <w:t xml:space="preserve">costs to the MBS in the E+B arm might be underestimated, as the draft TGA PI recommends monitoring liver and renal function test and repeat ophthalmic monitoring. These costs were considered for the </w:t>
      </w:r>
      <w:proofErr w:type="spellStart"/>
      <w:r w:rsidRPr="0074538B">
        <w:t>pembrolizumab+PDC</w:t>
      </w:r>
      <w:proofErr w:type="spellEnd"/>
      <w:r w:rsidRPr="0074538B">
        <w:t xml:space="preserve"> </w:t>
      </w:r>
      <w:r>
        <w:t xml:space="preserve">arm </w:t>
      </w:r>
      <w:r w:rsidRPr="00004BF7">
        <w:t>but were omitted for E+B. However, the net impact of including these costs was minimal (0.7%).</w:t>
      </w:r>
    </w:p>
    <w:p w14:paraId="75586731" w14:textId="6D256740" w:rsidR="000902D9" w:rsidRDefault="00E86CAD" w:rsidP="003A3A7B">
      <w:pPr>
        <w:pStyle w:val="3-BodyText"/>
        <w:spacing w:after="240"/>
        <w:rPr>
          <w:iCs/>
        </w:rPr>
      </w:pPr>
      <w:bookmarkStart w:id="104" w:name="_Ref211415550"/>
      <w:r>
        <w:rPr>
          <w:iCs/>
        </w:rPr>
        <w:t>Additionally, g</w:t>
      </w:r>
      <w:r w:rsidR="00345618" w:rsidRPr="0074538B">
        <w:rPr>
          <w:iCs/>
        </w:rPr>
        <w:t>iven the submission requested a line</w:t>
      </w:r>
      <w:r w:rsidR="003A3A7B">
        <w:rPr>
          <w:iCs/>
        </w:rPr>
        <w:noBreakHyphen/>
      </w:r>
      <w:r w:rsidR="00345618" w:rsidRPr="0074538B">
        <w:rPr>
          <w:iCs/>
        </w:rPr>
        <w:t xml:space="preserve">agnostic listing for E+B, some patients treated with </w:t>
      </w:r>
      <w:proofErr w:type="spellStart"/>
      <w:r w:rsidR="00345618" w:rsidRPr="0074538B">
        <w:rPr>
          <w:iCs/>
        </w:rPr>
        <w:t>pembrolizumab+PDC</w:t>
      </w:r>
      <w:proofErr w:type="spellEnd"/>
      <w:r w:rsidR="00345618" w:rsidRPr="0074538B">
        <w:rPr>
          <w:iCs/>
        </w:rPr>
        <w:t xml:space="preserve"> in the first</w:t>
      </w:r>
      <w:r w:rsidR="003A3A7B">
        <w:rPr>
          <w:iCs/>
        </w:rPr>
        <w:noBreakHyphen/>
      </w:r>
      <w:r w:rsidR="00345618" w:rsidRPr="0074538B">
        <w:rPr>
          <w:iCs/>
        </w:rPr>
        <w:t xml:space="preserve">line setting may receive </w:t>
      </w:r>
      <w:r w:rsidR="00345618" w:rsidRPr="0074538B">
        <w:rPr>
          <w:iCs/>
        </w:rPr>
        <w:lastRenderedPageBreak/>
        <w:t xml:space="preserve">treatment with E+B in </w:t>
      </w:r>
      <w:r w:rsidR="00FF12D0">
        <w:rPr>
          <w:iCs/>
        </w:rPr>
        <w:t xml:space="preserve">a </w:t>
      </w:r>
      <w:r w:rsidR="00345618" w:rsidRPr="0074538B">
        <w:rPr>
          <w:iCs/>
        </w:rPr>
        <w:t xml:space="preserve">later </w:t>
      </w:r>
      <w:r w:rsidR="00FF12D0">
        <w:rPr>
          <w:iCs/>
        </w:rPr>
        <w:t xml:space="preserve">treatment </w:t>
      </w:r>
      <w:r w:rsidR="00345618" w:rsidRPr="0074538B">
        <w:rPr>
          <w:iCs/>
        </w:rPr>
        <w:t>setting.</w:t>
      </w:r>
      <w:r w:rsidR="00E0141C" w:rsidRPr="0074538B">
        <w:rPr>
          <w:iCs/>
        </w:rPr>
        <w:t xml:space="preserve"> Furthermore, patients may receive </w:t>
      </w:r>
      <w:proofErr w:type="spellStart"/>
      <w:r w:rsidR="00E0141C" w:rsidRPr="0074538B">
        <w:rPr>
          <w:iCs/>
        </w:rPr>
        <w:t>pembrolizumab+PDC</w:t>
      </w:r>
      <w:proofErr w:type="spellEnd"/>
      <w:r w:rsidR="00E0141C" w:rsidRPr="0074538B">
        <w:rPr>
          <w:iCs/>
        </w:rPr>
        <w:t xml:space="preserve"> as second</w:t>
      </w:r>
      <w:r w:rsidR="003A3A7B">
        <w:rPr>
          <w:iCs/>
        </w:rPr>
        <w:noBreakHyphen/>
      </w:r>
      <w:r w:rsidR="00E0141C" w:rsidRPr="0074538B">
        <w:rPr>
          <w:iCs/>
        </w:rPr>
        <w:t xml:space="preserve">line treatment following disease progression on E+B. </w:t>
      </w:r>
      <w:bookmarkEnd w:id="104"/>
    </w:p>
    <w:p w14:paraId="12316A64" w14:textId="5596E5D8" w:rsidR="004D0B0D" w:rsidRDefault="004D0B0D" w:rsidP="003A3A7B">
      <w:pPr>
        <w:pStyle w:val="3-BodyText"/>
        <w:numPr>
          <w:ilvl w:val="0"/>
          <w:numId w:val="0"/>
        </w:numPr>
        <w:spacing w:after="240"/>
        <w:ind w:left="720"/>
        <w:rPr>
          <w:i/>
        </w:rPr>
      </w:pPr>
      <w:r w:rsidRPr="004D0B0D">
        <w:rPr>
          <w:i/>
        </w:rPr>
        <w:t>For more detail on PBAC’s view, see section 7 PBAC outcome.</w:t>
      </w:r>
    </w:p>
    <w:p w14:paraId="76F9F67F" w14:textId="77777777" w:rsidR="001708FF" w:rsidRPr="001708FF" w:rsidRDefault="001708FF" w:rsidP="003A3A7B">
      <w:pPr>
        <w:keepNext/>
        <w:numPr>
          <w:ilvl w:val="0"/>
          <w:numId w:val="1"/>
        </w:numPr>
        <w:spacing w:before="240" w:after="120"/>
        <w:jc w:val="left"/>
        <w:outlineLvl w:val="0"/>
        <w:rPr>
          <w:rFonts w:asciiTheme="minorHAnsi" w:hAnsiTheme="minorHAnsi"/>
          <w:b/>
          <w:snapToGrid w:val="0"/>
          <w:sz w:val="32"/>
          <w:szCs w:val="32"/>
        </w:rPr>
      </w:pPr>
      <w:bookmarkStart w:id="105" w:name="_Hlk76381249"/>
      <w:bookmarkStart w:id="106" w:name="_Hlk76377955"/>
      <w:r w:rsidRPr="001708FF">
        <w:rPr>
          <w:rFonts w:asciiTheme="minorHAnsi" w:hAnsiTheme="minorHAnsi"/>
          <w:b/>
          <w:snapToGrid w:val="0"/>
          <w:sz w:val="32"/>
          <w:szCs w:val="32"/>
        </w:rPr>
        <w:t>PBAC Outcome</w:t>
      </w:r>
    </w:p>
    <w:p w14:paraId="4BB008DE" w14:textId="4F6012F0" w:rsidR="00F6100C" w:rsidRPr="00C027F5" w:rsidRDefault="00F6100C" w:rsidP="003A3A7B">
      <w:pPr>
        <w:pStyle w:val="3-BodyText"/>
        <w:numPr>
          <w:ilvl w:val="1"/>
          <w:numId w:val="1"/>
        </w:numPr>
        <w:spacing w:before="0" w:after="120"/>
      </w:pPr>
      <w:r w:rsidRPr="00655635">
        <w:rPr>
          <w:lang w:val="en-GB"/>
        </w:rPr>
        <w:t xml:space="preserve">The </w:t>
      </w:r>
      <w:r>
        <w:rPr>
          <w:lang w:val="en-GB"/>
        </w:rPr>
        <w:t xml:space="preserve">PBAC </w:t>
      </w:r>
      <w:r w:rsidRPr="00655635">
        <w:rPr>
          <w:lang w:val="en-GB"/>
        </w:rPr>
        <w:t>recommend</w:t>
      </w:r>
      <w:r>
        <w:rPr>
          <w:lang w:val="en-GB"/>
        </w:rPr>
        <w:t>ed a</w:t>
      </w:r>
      <w:r w:rsidR="00EC4BDC">
        <w:rPr>
          <w:lang w:val="en-GB"/>
        </w:rPr>
        <w:t xml:space="preserve"> General Schedule,</w:t>
      </w:r>
      <w:r>
        <w:rPr>
          <w:lang w:val="en-GB"/>
        </w:rPr>
        <w:t xml:space="preserve"> Authority Required (STREAMLINED) </w:t>
      </w:r>
      <w:r w:rsidRPr="00655635">
        <w:rPr>
          <w:lang w:val="en-GB"/>
        </w:rPr>
        <w:t>list</w:t>
      </w:r>
      <w:r>
        <w:rPr>
          <w:lang w:val="en-GB"/>
        </w:rPr>
        <w:t xml:space="preserve">ing of </w:t>
      </w:r>
      <w:proofErr w:type="spellStart"/>
      <w:r>
        <w:t>encorafen</w:t>
      </w:r>
      <w:r w:rsidRPr="009F000C">
        <w:t>ib</w:t>
      </w:r>
      <w:proofErr w:type="spellEnd"/>
      <w:r w:rsidRPr="009F000C">
        <w:t xml:space="preserve"> in combination with </w:t>
      </w:r>
      <w:proofErr w:type="spellStart"/>
      <w:r>
        <w:t>binimetinib</w:t>
      </w:r>
      <w:proofErr w:type="spellEnd"/>
      <w:r w:rsidRPr="009F000C">
        <w:t xml:space="preserve"> (</w:t>
      </w:r>
      <w:r>
        <w:t>E</w:t>
      </w:r>
      <w:r w:rsidRPr="009F000C">
        <w:t>+</w:t>
      </w:r>
      <w:r>
        <w:t>B</w:t>
      </w:r>
      <w:r w:rsidRPr="009F000C">
        <w:t>) for the treatment of patients with BRAF V600E mutation positive metastatic (Stage IV) non</w:t>
      </w:r>
      <w:r w:rsidR="003A3A7B">
        <w:noBreakHyphen/>
      </w:r>
      <w:r w:rsidRPr="009F000C">
        <w:t>small cell lung cancer (NSCLC).</w:t>
      </w:r>
      <w:r>
        <w:t xml:space="preserve"> </w:t>
      </w:r>
      <w:r w:rsidRPr="00C36BF8">
        <w:rPr>
          <w:lang w:val="en-GB"/>
        </w:rPr>
        <w:t xml:space="preserve">The PBAC considered that, despite the uncertainties associated with the indirect comparisons presented in the submission, on balance, it was likely </w:t>
      </w:r>
      <w:r>
        <w:rPr>
          <w:lang w:val="en-GB"/>
        </w:rPr>
        <w:t xml:space="preserve">E+B </w:t>
      </w:r>
      <w:r w:rsidRPr="00C36BF8">
        <w:rPr>
          <w:lang w:val="en-GB"/>
        </w:rPr>
        <w:t xml:space="preserve">provided similar health outcomes to </w:t>
      </w:r>
      <w:r>
        <w:rPr>
          <w:lang w:val="en-GB"/>
        </w:rPr>
        <w:t>d</w:t>
      </w:r>
      <w:r w:rsidR="004D230F">
        <w:rPr>
          <w:lang w:val="en-GB"/>
        </w:rPr>
        <w:t>abraf</w:t>
      </w:r>
      <w:r w:rsidR="0085261E">
        <w:rPr>
          <w:lang w:val="en-GB"/>
        </w:rPr>
        <w:t>e</w:t>
      </w:r>
      <w:r w:rsidR="004D230F">
        <w:rPr>
          <w:lang w:val="en-GB"/>
        </w:rPr>
        <w:t>nib</w:t>
      </w:r>
      <w:r w:rsidRPr="00C36BF8">
        <w:rPr>
          <w:lang w:val="en-GB"/>
        </w:rPr>
        <w:t xml:space="preserve"> in combination with </w:t>
      </w:r>
      <w:r w:rsidR="004D230F">
        <w:rPr>
          <w:lang w:val="en-GB"/>
        </w:rPr>
        <w:t>trametinib (D+T)</w:t>
      </w:r>
      <w:r w:rsidRPr="00C36BF8">
        <w:rPr>
          <w:lang w:val="en-GB"/>
        </w:rPr>
        <w:t xml:space="preserve"> in the proposed population. The PBAC considered that</w:t>
      </w:r>
      <w:r>
        <w:rPr>
          <w:lang w:val="en-GB"/>
        </w:rPr>
        <w:t xml:space="preserve"> </w:t>
      </w:r>
      <w:r w:rsidR="004D230F">
        <w:rPr>
          <w:lang w:val="en-GB"/>
        </w:rPr>
        <w:t>E+B</w:t>
      </w:r>
      <w:r w:rsidRPr="00C36BF8">
        <w:rPr>
          <w:lang w:val="en-GB"/>
        </w:rPr>
        <w:t xml:space="preserve"> would be acceptably cost effective if it were cost</w:t>
      </w:r>
      <w:r w:rsidR="003A3A7B">
        <w:rPr>
          <w:lang w:val="en-GB"/>
        </w:rPr>
        <w:noBreakHyphen/>
      </w:r>
      <w:r w:rsidRPr="00C36BF8">
        <w:rPr>
          <w:lang w:val="en-GB"/>
        </w:rPr>
        <w:t xml:space="preserve">minimised against </w:t>
      </w:r>
      <w:r w:rsidR="004D230F">
        <w:rPr>
          <w:lang w:val="en-GB"/>
        </w:rPr>
        <w:t>D+T</w:t>
      </w:r>
      <w:r w:rsidR="00696A45">
        <w:rPr>
          <w:lang w:val="en-GB"/>
        </w:rPr>
        <w:t xml:space="preserve">, assuming </w:t>
      </w:r>
      <w:r w:rsidR="008F52B6">
        <w:rPr>
          <w:lang w:val="en-GB"/>
        </w:rPr>
        <w:t xml:space="preserve">the same </w:t>
      </w:r>
      <w:r w:rsidR="00696A45">
        <w:rPr>
          <w:lang w:val="en-GB"/>
        </w:rPr>
        <w:t>duration of treatment and relative dose intensity</w:t>
      </w:r>
      <w:r w:rsidR="00B078A0">
        <w:rPr>
          <w:lang w:val="en-GB"/>
        </w:rPr>
        <w:t xml:space="preserve">. The PBAC advised that </w:t>
      </w:r>
      <w:r w:rsidR="004A7E5B">
        <w:rPr>
          <w:lang w:val="en-GB"/>
        </w:rPr>
        <w:t xml:space="preserve">a </w:t>
      </w:r>
      <w:r w:rsidR="00D97164" w:rsidRPr="00D97164">
        <w:rPr>
          <w:highlight w:val="black"/>
          <w:lang w:val="en-GB"/>
        </w:rPr>
        <w:t>&amp;&amp;&amp;&amp;</w:t>
      </w:r>
      <w:r w:rsidR="00FE2774">
        <w:rPr>
          <w:lang w:val="en-GB"/>
        </w:rPr>
        <w:t xml:space="preserve"> </w:t>
      </w:r>
      <w:r w:rsidR="004A7E5B">
        <w:rPr>
          <w:lang w:val="en-GB"/>
        </w:rPr>
        <w:t xml:space="preserve">price premium for E+B would be reasonable given the potential reduction in serious adverse events </w:t>
      </w:r>
      <w:r w:rsidR="004479DE">
        <w:rPr>
          <w:lang w:val="en-GB"/>
        </w:rPr>
        <w:t xml:space="preserve">and improved tolerability compared to D+T. </w:t>
      </w:r>
      <w:r w:rsidRPr="00C36BF8">
        <w:rPr>
          <w:lang w:val="en-GB"/>
        </w:rPr>
        <w:t xml:space="preserve"> </w:t>
      </w:r>
    </w:p>
    <w:p w14:paraId="73E28E8C" w14:textId="77777777" w:rsidR="00A47A08" w:rsidRDefault="00C027F5" w:rsidP="003A3A7B">
      <w:pPr>
        <w:pStyle w:val="3-BodyText"/>
        <w:numPr>
          <w:ilvl w:val="1"/>
          <w:numId w:val="1"/>
        </w:numPr>
        <w:spacing w:before="0" w:after="120"/>
      </w:pPr>
      <w:r w:rsidRPr="00881F59">
        <w:rPr>
          <w:bCs/>
          <w:snapToGrid w:val="0"/>
          <w:lang w:val="en-GB" w:eastAsia="en-US"/>
        </w:rPr>
        <w:t xml:space="preserve">The PBAC noted that the submission requested listing of the </w:t>
      </w:r>
      <w:r w:rsidR="004F1EC1" w:rsidRPr="00881F59">
        <w:rPr>
          <w:bCs/>
          <w:snapToGrid w:val="0"/>
          <w:lang w:val="en-GB" w:eastAsia="en-US"/>
        </w:rPr>
        <w:t>new strength</w:t>
      </w:r>
      <w:r w:rsidR="005779F7">
        <w:rPr>
          <w:bCs/>
          <w:snapToGrid w:val="0"/>
          <w:lang w:val="en-GB" w:eastAsia="en-US"/>
        </w:rPr>
        <w:t xml:space="preserve"> of</w:t>
      </w:r>
      <w:r w:rsidR="004F1EC1" w:rsidRPr="00881F59">
        <w:rPr>
          <w:bCs/>
          <w:snapToGrid w:val="0"/>
          <w:lang w:val="en-GB" w:eastAsia="en-US"/>
        </w:rPr>
        <w:t xml:space="preserve"> </w:t>
      </w:r>
      <w:proofErr w:type="spellStart"/>
      <w:r w:rsidRPr="00881F59">
        <w:rPr>
          <w:bCs/>
          <w:snapToGrid w:val="0"/>
          <w:lang w:val="en-GB" w:eastAsia="en-US"/>
        </w:rPr>
        <w:t>binimetinib</w:t>
      </w:r>
      <w:proofErr w:type="spellEnd"/>
      <w:r w:rsidR="005779F7">
        <w:rPr>
          <w:bCs/>
          <w:snapToGrid w:val="0"/>
          <w:lang w:val="en-GB" w:eastAsia="en-US"/>
        </w:rPr>
        <w:t>, 45 mg</w:t>
      </w:r>
      <w:r w:rsidRPr="00881F59">
        <w:rPr>
          <w:bCs/>
          <w:snapToGrid w:val="0"/>
          <w:lang w:val="en-GB" w:eastAsia="en-US"/>
        </w:rPr>
        <w:t xml:space="preserve"> tablet for the treatment of</w:t>
      </w:r>
      <w:r w:rsidR="00EB7018" w:rsidRPr="00881F59">
        <w:rPr>
          <w:bCs/>
          <w:snapToGrid w:val="0"/>
          <w:lang w:val="en-GB" w:eastAsia="en-US"/>
        </w:rPr>
        <w:t xml:space="preserve"> NSCLC</w:t>
      </w:r>
      <w:r w:rsidRPr="00881F59">
        <w:rPr>
          <w:bCs/>
          <w:snapToGrid w:val="0"/>
          <w:lang w:val="en-GB" w:eastAsia="en-US"/>
        </w:rPr>
        <w:t>. The PBAC considered that this was reasonable</w:t>
      </w:r>
      <w:r w:rsidR="00474473" w:rsidRPr="00881F59">
        <w:rPr>
          <w:bCs/>
          <w:snapToGrid w:val="0"/>
          <w:lang w:val="en-GB" w:eastAsia="en-US"/>
        </w:rPr>
        <w:t xml:space="preserve"> if the 45 mg tablet was </w:t>
      </w:r>
      <w:r w:rsidR="008E60F9" w:rsidRPr="00881F59">
        <w:rPr>
          <w:bCs/>
          <w:snapToGrid w:val="0"/>
          <w:lang w:val="en-GB" w:eastAsia="en-US"/>
        </w:rPr>
        <w:t xml:space="preserve">listed at the same price </w:t>
      </w:r>
      <w:r w:rsidR="00035773" w:rsidRPr="00881F59">
        <w:rPr>
          <w:bCs/>
          <w:snapToGrid w:val="0"/>
          <w:lang w:val="en-GB" w:eastAsia="en-US"/>
        </w:rPr>
        <w:t xml:space="preserve">per mg </w:t>
      </w:r>
      <w:r w:rsidR="008E60F9" w:rsidRPr="00881F59">
        <w:rPr>
          <w:bCs/>
          <w:snapToGrid w:val="0"/>
          <w:lang w:val="en-GB" w:eastAsia="en-US"/>
        </w:rPr>
        <w:t>as the 15 m</w:t>
      </w:r>
      <w:r w:rsidR="00035773" w:rsidRPr="00881F59">
        <w:rPr>
          <w:bCs/>
          <w:snapToGrid w:val="0"/>
          <w:lang w:val="en-GB" w:eastAsia="en-US"/>
        </w:rPr>
        <w:t>g</w:t>
      </w:r>
      <w:r w:rsidR="008E60F9" w:rsidRPr="00881F59">
        <w:rPr>
          <w:bCs/>
          <w:snapToGrid w:val="0"/>
          <w:lang w:val="en-GB" w:eastAsia="en-US"/>
        </w:rPr>
        <w:t xml:space="preserve"> tablet noting that it </w:t>
      </w:r>
      <w:r w:rsidRPr="00881F59">
        <w:rPr>
          <w:bCs/>
          <w:snapToGrid w:val="0"/>
          <w:lang w:val="en-GB" w:eastAsia="en-US"/>
        </w:rPr>
        <w:t>would reduce pill burden in this population.</w:t>
      </w:r>
      <w:r w:rsidR="004F1EC1" w:rsidRPr="00881F59">
        <w:rPr>
          <w:bCs/>
          <w:snapToGrid w:val="0"/>
          <w:lang w:val="en-GB" w:eastAsia="en-US"/>
        </w:rPr>
        <w:t xml:space="preserve"> The PBAC noted the submission request</w:t>
      </w:r>
      <w:r w:rsidR="00D67084">
        <w:rPr>
          <w:bCs/>
          <w:snapToGrid w:val="0"/>
          <w:lang w:val="en-GB" w:eastAsia="en-US"/>
        </w:rPr>
        <w:t>ed</w:t>
      </w:r>
      <w:r w:rsidR="004F1EC1" w:rsidRPr="00881F59">
        <w:rPr>
          <w:bCs/>
          <w:snapToGrid w:val="0"/>
          <w:lang w:val="en-GB" w:eastAsia="en-US"/>
        </w:rPr>
        <w:t xml:space="preserve"> to </w:t>
      </w:r>
      <w:r w:rsidR="007539A3" w:rsidRPr="00881F59">
        <w:rPr>
          <w:bCs/>
          <w:snapToGrid w:val="0"/>
          <w:lang w:val="en-GB" w:eastAsia="en-US"/>
        </w:rPr>
        <w:t>extend</w:t>
      </w:r>
      <w:r w:rsidR="004F1EC1" w:rsidRPr="00881F59">
        <w:rPr>
          <w:bCs/>
          <w:snapToGrid w:val="0"/>
          <w:lang w:val="en-GB" w:eastAsia="en-US"/>
        </w:rPr>
        <w:t xml:space="preserve"> the listing of the new strength to the existing listing of </w:t>
      </w:r>
      <w:r w:rsidR="00B26930" w:rsidRPr="00B26930">
        <w:rPr>
          <w:bCs/>
          <w:snapToGrid w:val="0"/>
          <w:lang w:eastAsia="en-US"/>
        </w:rPr>
        <w:t xml:space="preserve">malignant </w:t>
      </w:r>
      <w:r w:rsidR="004F1EC1" w:rsidRPr="00881F59">
        <w:rPr>
          <w:bCs/>
          <w:snapToGrid w:val="0"/>
          <w:lang w:val="en-GB" w:eastAsia="en-US"/>
        </w:rPr>
        <w:t>melanoma</w:t>
      </w:r>
      <w:r w:rsidR="007539A3" w:rsidRPr="00881F59">
        <w:rPr>
          <w:bCs/>
          <w:snapToGrid w:val="0"/>
          <w:lang w:val="en-GB" w:eastAsia="en-US"/>
        </w:rPr>
        <w:t xml:space="preserve"> as the </w:t>
      </w:r>
      <w:r w:rsidR="007539A3">
        <w:t>recommended dosing is the same</w:t>
      </w:r>
      <w:r w:rsidR="00C21218">
        <w:t xml:space="preserve"> as NSCLC</w:t>
      </w:r>
      <w:r w:rsidR="007539A3">
        <w:t xml:space="preserve">. The PBAC considered </w:t>
      </w:r>
      <w:r w:rsidR="00881F59">
        <w:t xml:space="preserve">that this was also reasonable based on the positive </w:t>
      </w:r>
      <w:r w:rsidR="00881F59" w:rsidRPr="009B3CF3">
        <w:t>the TGA Delegate’s Overview</w:t>
      </w:r>
      <w:r w:rsidR="009E48C8">
        <w:t xml:space="preserve">, pending full TGA </w:t>
      </w:r>
      <w:r w:rsidR="0000135C">
        <w:t>approval</w:t>
      </w:r>
      <w:r w:rsidR="00881F59">
        <w:t xml:space="preserve">. </w:t>
      </w:r>
    </w:p>
    <w:p w14:paraId="3B511ADE" w14:textId="0B8E79C7" w:rsidR="00F6100C" w:rsidRDefault="00F6100C" w:rsidP="003A3A7B">
      <w:pPr>
        <w:pStyle w:val="3-BodyText"/>
        <w:numPr>
          <w:ilvl w:val="1"/>
          <w:numId w:val="1"/>
        </w:numPr>
        <w:spacing w:before="0" w:after="120"/>
      </w:pPr>
      <w:r>
        <w:t>T</w:t>
      </w:r>
      <w:r w:rsidRPr="002F5704">
        <w:t xml:space="preserve">he PBAC noted the small population of patients with </w:t>
      </w:r>
      <w:r>
        <w:t xml:space="preserve">BRAF V600E mutations </w:t>
      </w:r>
      <w:r w:rsidRPr="002F5704">
        <w:t xml:space="preserve">and the </w:t>
      </w:r>
      <w:r>
        <w:t xml:space="preserve">moderate </w:t>
      </w:r>
      <w:r w:rsidRPr="002F5704">
        <w:t>cl</w:t>
      </w:r>
      <w:r>
        <w:t>i</w:t>
      </w:r>
      <w:r w:rsidRPr="002F5704">
        <w:t>nical need for additional therapies</w:t>
      </w:r>
      <w:r>
        <w:t xml:space="preserve"> for NSCLC, which was supported by the consumer comments received</w:t>
      </w:r>
      <w:r w:rsidRPr="002F5704">
        <w:t>.</w:t>
      </w:r>
    </w:p>
    <w:p w14:paraId="4BE19F08" w14:textId="65D62DE3" w:rsidR="00B421C7" w:rsidRPr="00A55172" w:rsidRDefault="00B421C7" w:rsidP="003A3A7B">
      <w:pPr>
        <w:pStyle w:val="3-BodyText"/>
        <w:numPr>
          <w:ilvl w:val="1"/>
          <w:numId w:val="1"/>
        </w:numPr>
        <w:spacing w:before="0" w:after="120"/>
      </w:pPr>
      <w:bookmarkStart w:id="107" w:name="_Ref194998369"/>
      <w:r>
        <w:t>The PBAC advised a</w:t>
      </w:r>
      <w:r w:rsidRPr="006C3259">
        <w:rPr>
          <w:rFonts w:eastAsia="Aptos"/>
          <w:lang w:val="en-US" w:eastAsia="en-US"/>
        </w:rPr>
        <w:t xml:space="preserve"> single, line agnostic restriction criteria for initial</w:t>
      </w:r>
      <w:r>
        <w:rPr>
          <w:rFonts w:eastAsia="Aptos"/>
          <w:lang w:val="en-US" w:eastAsia="en-US"/>
        </w:rPr>
        <w:t>,</w:t>
      </w:r>
      <w:r w:rsidRPr="006C3259">
        <w:rPr>
          <w:rFonts w:eastAsia="Aptos"/>
          <w:lang w:val="en-US" w:eastAsia="en-US"/>
        </w:rPr>
        <w:t xml:space="preserve"> continuing </w:t>
      </w:r>
      <w:r>
        <w:rPr>
          <w:rFonts w:eastAsia="Aptos"/>
          <w:lang w:val="en-US" w:eastAsia="en-US"/>
        </w:rPr>
        <w:t>and grandfather</w:t>
      </w:r>
      <w:r w:rsidRPr="006C3259">
        <w:rPr>
          <w:rFonts w:eastAsia="Aptos"/>
          <w:lang w:val="en-US" w:eastAsia="en-US"/>
        </w:rPr>
        <w:t xml:space="preserve"> treatment that allows patients to transition from non</w:t>
      </w:r>
      <w:r w:rsidR="003A3A7B">
        <w:rPr>
          <w:rFonts w:eastAsia="Aptos"/>
          <w:lang w:val="en-US" w:eastAsia="en-US"/>
        </w:rPr>
        <w:noBreakHyphen/>
      </w:r>
      <w:r w:rsidRPr="006C3259">
        <w:rPr>
          <w:rFonts w:eastAsia="Aptos"/>
          <w:lang w:val="en-US" w:eastAsia="en-US"/>
        </w:rPr>
        <w:t>PBS subsidised treatment would be appropriate</w:t>
      </w:r>
      <w:r w:rsidRPr="006C3259">
        <w:rPr>
          <w:rFonts w:eastAsia="Aptos"/>
        </w:rPr>
        <w:t xml:space="preserve">. </w:t>
      </w:r>
      <w:r>
        <w:rPr>
          <w:rFonts w:eastAsia="Aptos"/>
        </w:rPr>
        <w:t xml:space="preserve">The PBAC considered it was appropriate for E+B to be listed only for patients with BRAF V600E mutations, consistent with clinical guidelines including NCCN.  </w:t>
      </w:r>
      <w:bookmarkEnd w:id="107"/>
    </w:p>
    <w:p w14:paraId="336E1A0C" w14:textId="44691619" w:rsidR="00A55172" w:rsidRDefault="00A55172" w:rsidP="003A3A7B">
      <w:pPr>
        <w:pStyle w:val="3-BodyText"/>
      </w:pPr>
      <w:r>
        <w:t xml:space="preserve">The </w:t>
      </w:r>
      <w:r w:rsidR="006F3F24">
        <w:t xml:space="preserve">PBAC </w:t>
      </w:r>
      <w:r w:rsidR="00BB0AB0">
        <w:t>noted that the inclusion criteria of the key clinical trial (PHAROS) excluded patients with prior exposure to any BRAF or mitogen</w:t>
      </w:r>
      <w:r w:rsidR="003A3A7B">
        <w:noBreakHyphen/>
      </w:r>
      <w:r w:rsidR="00BB0AB0">
        <w:t xml:space="preserve">activated protein kinase (MEK) inhibitor therapy and </w:t>
      </w:r>
      <w:r w:rsidR="006F3F24">
        <w:t xml:space="preserve">considered it would be appropriate for the </w:t>
      </w:r>
      <w:r>
        <w:t xml:space="preserve">restriction </w:t>
      </w:r>
      <w:r w:rsidR="006F3F24">
        <w:t>to</w:t>
      </w:r>
      <w:r>
        <w:t xml:space="preserve"> preclude patients who have previously received treatment with a BRAF inhibitor (such as D+T) from accessing E+B</w:t>
      </w:r>
      <w:r w:rsidR="00856D5E">
        <w:t xml:space="preserve">. </w:t>
      </w:r>
      <w:r w:rsidR="00AC3400">
        <w:t>However, t</w:t>
      </w:r>
      <w:r w:rsidR="00856D5E">
        <w:t xml:space="preserve">he PBAC considered it would be appropriate for patients to be able to switch between </w:t>
      </w:r>
      <w:r>
        <w:t xml:space="preserve">E+B and D+T due to intolerance or toxicity. </w:t>
      </w:r>
      <w:r w:rsidR="00AB79AB">
        <w:t xml:space="preserve">The PBAC considered it would be appropriate to add the following </w:t>
      </w:r>
      <w:r w:rsidR="002F1D24">
        <w:t xml:space="preserve">as </w:t>
      </w:r>
      <w:r w:rsidR="00AB79AB">
        <w:t>clinical criteri</w:t>
      </w:r>
      <w:r w:rsidR="002F1D24">
        <w:t>on</w:t>
      </w:r>
      <w:r w:rsidR="00AB79AB">
        <w:t xml:space="preserve"> </w:t>
      </w:r>
      <w:r w:rsidR="00267386">
        <w:t>and to flow</w:t>
      </w:r>
      <w:r w:rsidR="003A3A7B">
        <w:noBreakHyphen/>
      </w:r>
      <w:r w:rsidR="00267386">
        <w:t>on these to the restriction for D+T</w:t>
      </w:r>
      <w:r>
        <w:t xml:space="preserve">: </w:t>
      </w:r>
    </w:p>
    <w:p w14:paraId="21EA0FA9" w14:textId="69033033" w:rsidR="00A55172" w:rsidRDefault="00A55172" w:rsidP="003A3A7B">
      <w:pPr>
        <w:pStyle w:val="3-BodyText"/>
        <w:numPr>
          <w:ilvl w:val="1"/>
          <w:numId w:val="21"/>
        </w:numPr>
      </w:pPr>
      <w:r>
        <w:lastRenderedPageBreak/>
        <w:t>“Patient must not have received PBS</w:t>
      </w:r>
      <w:r w:rsidR="003A3A7B">
        <w:noBreakHyphen/>
      </w:r>
      <w:r>
        <w:t>subsidised treatment with each of (i) BRAF inhibitor, (ii) MEK inhibitor for Stage IV NSCLC prior to commencing PBS</w:t>
      </w:r>
      <w:r w:rsidR="003A3A7B">
        <w:noBreakHyphen/>
      </w:r>
      <w:r>
        <w:t>subsidised treatment with this drug for this condition; OR</w:t>
      </w:r>
    </w:p>
    <w:p w14:paraId="2B677CF2" w14:textId="77777777" w:rsidR="00A55172" w:rsidRDefault="00A55172" w:rsidP="003A3A7B">
      <w:pPr>
        <w:pStyle w:val="3-BodyText"/>
        <w:numPr>
          <w:ilvl w:val="1"/>
          <w:numId w:val="21"/>
        </w:numPr>
      </w:pPr>
      <w:r>
        <w:t>Patient must have developed intolerance to another BRAF inhibitor or MEK inhibitor of a severity necessitating permanent treatment withdrawal”</w:t>
      </w:r>
    </w:p>
    <w:p w14:paraId="407A38A8" w14:textId="65146A25" w:rsidR="005C4465" w:rsidRPr="00ED35B5" w:rsidRDefault="005C4465" w:rsidP="003A3A7B">
      <w:pPr>
        <w:pStyle w:val="3-BodyText"/>
        <w:rPr>
          <w:bCs/>
          <w:snapToGrid w:val="0"/>
          <w:lang w:val="en-GB" w:eastAsia="en-US"/>
        </w:rPr>
      </w:pPr>
      <w:r w:rsidRPr="00083DB2">
        <w:rPr>
          <w:snapToGrid w:val="0"/>
          <w:lang w:val="en-GB" w:eastAsia="en-US"/>
        </w:rPr>
        <w:t xml:space="preserve">The PBAC </w:t>
      </w:r>
      <w:r>
        <w:rPr>
          <w:snapToGrid w:val="0"/>
          <w:lang w:val="en-GB" w:eastAsia="en-US"/>
        </w:rPr>
        <w:t xml:space="preserve">recalled </w:t>
      </w:r>
      <w:r w:rsidRPr="00083DB2">
        <w:rPr>
          <w:snapToGrid w:val="0"/>
          <w:lang w:val="en-GB" w:eastAsia="en-US"/>
        </w:rPr>
        <w:t>that</w:t>
      </w:r>
      <w:r>
        <w:rPr>
          <w:snapToGrid w:val="0"/>
          <w:lang w:val="en-GB" w:eastAsia="en-US"/>
        </w:rPr>
        <w:t xml:space="preserve"> at the May 2025 meeting in consideration of </w:t>
      </w:r>
      <w:proofErr w:type="spellStart"/>
      <w:r>
        <w:rPr>
          <w:snapToGrid w:val="0"/>
          <w:lang w:val="en-GB" w:eastAsia="en-US"/>
        </w:rPr>
        <w:t>repotrectinib</w:t>
      </w:r>
      <w:proofErr w:type="spellEnd"/>
      <w:r>
        <w:rPr>
          <w:snapToGrid w:val="0"/>
          <w:lang w:val="en-GB" w:eastAsia="en-US"/>
        </w:rPr>
        <w:t xml:space="preserve"> for </w:t>
      </w:r>
      <w:r w:rsidRPr="00DE4F59">
        <w:rPr>
          <w:snapToGrid w:val="0"/>
          <w:lang w:val="en-GB" w:eastAsia="en-US"/>
        </w:rPr>
        <w:t>Stage IIIB (locally advanced) or Stage IV (metastatic) non</w:t>
      </w:r>
      <w:r w:rsidR="003A3A7B">
        <w:rPr>
          <w:snapToGrid w:val="0"/>
          <w:lang w:val="en-GB" w:eastAsia="en-US"/>
        </w:rPr>
        <w:noBreakHyphen/>
      </w:r>
      <w:r w:rsidRPr="00DE4F59">
        <w:rPr>
          <w:snapToGrid w:val="0"/>
          <w:lang w:val="en-GB" w:eastAsia="en-US"/>
        </w:rPr>
        <w:t>small cell lung cancer (NSCLC)</w:t>
      </w:r>
      <w:r>
        <w:rPr>
          <w:snapToGrid w:val="0"/>
          <w:lang w:val="en-GB" w:eastAsia="en-US"/>
        </w:rPr>
        <w:t xml:space="preserve">, it has considered that </w:t>
      </w:r>
      <w:r w:rsidRPr="00083DB2">
        <w:rPr>
          <w:snapToGrid w:val="0"/>
          <w:lang w:val="en-GB" w:eastAsia="en-US"/>
        </w:rPr>
        <w:t>flow</w:t>
      </w:r>
      <w:r w:rsidR="003A3A7B">
        <w:rPr>
          <w:snapToGrid w:val="0"/>
          <w:lang w:val="en-GB" w:eastAsia="en-US"/>
        </w:rPr>
        <w:noBreakHyphen/>
      </w:r>
      <w:r w:rsidRPr="00083DB2">
        <w:rPr>
          <w:snapToGrid w:val="0"/>
          <w:lang w:val="en-GB" w:eastAsia="en-US"/>
        </w:rPr>
        <w:t xml:space="preserve">on changes </w:t>
      </w:r>
      <w:r>
        <w:rPr>
          <w:snapToGrid w:val="0"/>
          <w:lang w:val="en-GB" w:eastAsia="en-US"/>
        </w:rPr>
        <w:t>to other</w:t>
      </w:r>
      <w:r w:rsidRPr="00083DB2">
        <w:rPr>
          <w:snapToGrid w:val="0"/>
          <w:lang w:val="en-GB" w:eastAsia="en-US"/>
        </w:rPr>
        <w:t xml:space="preserve"> immunotherapy listings </w:t>
      </w:r>
      <w:r>
        <w:rPr>
          <w:snapToGrid w:val="0"/>
          <w:lang w:val="en-GB" w:eastAsia="en-US"/>
        </w:rPr>
        <w:t xml:space="preserve">for </w:t>
      </w:r>
      <w:r>
        <w:rPr>
          <w:snapToGrid w:val="0"/>
          <w:lang w:eastAsia="en-US"/>
        </w:rPr>
        <w:t xml:space="preserve">the same condition </w:t>
      </w:r>
      <w:r>
        <w:rPr>
          <w:snapToGrid w:val="0"/>
          <w:lang w:val="en-GB" w:eastAsia="en-US"/>
        </w:rPr>
        <w:t>were</w:t>
      </w:r>
      <w:r w:rsidRPr="00083DB2">
        <w:rPr>
          <w:snapToGrid w:val="0"/>
          <w:lang w:val="en-GB" w:eastAsia="en-US"/>
        </w:rPr>
        <w:t xml:space="preserve"> required</w:t>
      </w:r>
      <w:r>
        <w:rPr>
          <w:snapToGrid w:val="0"/>
          <w:lang w:val="en-GB" w:eastAsia="en-US"/>
        </w:rPr>
        <w:t xml:space="preserve"> to allow the use of immunotherapies if the condition progressed after targeted therapies. The PBAC noted that prior targeted therapies should include E+B and the relevant criterion should change to:</w:t>
      </w:r>
    </w:p>
    <w:p w14:paraId="2BDC59B4" w14:textId="6F99C9EE" w:rsidR="005C4465" w:rsidRPr="00083DB2" w:rsidRDefault="005C4465" w:rsidP="003A3A7B">
      <w:pPr>
        <w:pStyle w:val="3-BodyText"/>
        <w:numPr>
          <w:ilvl w:val="0"/>
          <w:numId w:val="0"/>
        </w:numPr>
        <w:ind w:left="720"/>
        <w:rPr>
          <w:rFonts w:eastAsia="Times New Roman" w:cs="Arial"/>
          <w:snapToGrid w:val="0"/>
          <w:szCs w:val="24"/>
          <w:lang w:val="en-GB" w:eastAsia="en-US"/>
        </w:rPr>
      </w:pPr>
      <w:r w:rsidRPr="00ED35B5">
        <w:rPr>
          <w:rFonts w:eastAsia="Times New Roman" w:cs="Arial"/>
          <w:bCs/>
          <w:snapToGrid w:val="0"/>
          <w:szCs w:val="24"/>
          <w:lang w:val="en-GB" w:eastAsia="en-US"/>
        </w:rPr>
        <w:t>‘</w:t>
      </w:r>
      <w:r w:rsidRPr="00542B63">
        <w:rPr>
          <w:rFonts w:eastAsia="Times New Roman" w:cs="Arial"/>
          <w:bCs/>
          <w:i/>
          <w:iCs/>
          <w:snapToGrid w:val="0"/>
          <w:szCs w:val="24"/>
          <w:lang w:val="en-GB" w:eastAsia="en-US"/>
        </w:rPr>
        <w:t xml:space="preserve">The condition must have progressed after treatment with any of the prior targeted therapies that </w:t>
      </w:r>
      <w:r w:rsidR="0014616E">
        <w:rPr>
          <w:rFonts w:eastAsia="Times New Roman" w:cs="Arial"/>
          <w:bCs/>
          <w:i/>
          <w:iCs/>
          <w:snapToGrid w:val="0"/>
          <w:szCs w:val="24"/>
          <w:lang w:val="en-GB" w:eastAsia="en-US"/>
        </w:rPr>
        <w:t>are</w:t>
      </w:r>
      <w:r w:rsidR="0014616E" w:rsidRPr="00542B63">
        <w:rPr>
          <w:rFonts w:eastAsia="Times New Roman" w:cs="Arial"/>
          <w:bCs/>
          <w:i/>
          <w:iCs/>
          <w:snapToGrid w:val="0"/>
          <w:szCs w:val="24"/>
          <w:lang w:val="en-GB" w:eastAsia="en-US"/>
        </w:rPr>
        <w:t xml:space="preserve"> </w:t>
      </w:r>
      <w:r w:rsidRPr="00542B63">
        <w:rPr>
          <w:rFonts w:eastAsia="Times New Roman" w:cs="Arial"/>
          <w:bCs/>
          <w:i/>
          <w:iCs/>
          <w:snapToGrid w:val="0"/>
          <w:szCs w:val="24"/>
          <w:lang w:val="en-GB" w:eastAsia="en-US"/>
        </w:rPr>
        <w:t>PBS listed for this condition.’</w:t>
      </w:r>
      <w:r w:rsidRPr="00083DB2">
        <w:rPr>
          <w:rFonts w:eastAsia="Times New Roman" w:cs="Arial"/>
          <w:snapToGrid w:val="0"/>
          <w:szCs w:val="24"/>
          <w:lang w:val="en-GB" w:eastAsia="en-US"/>
        </w:rPr>
        <w:t xml:space="preserve"> </w:t>
      </w:r>
    </w:p>
    <w:p w14:paraId="77987F83" w14:textId="64FA6481" w:rsidR="00ED35E9" w:rsidRPr="000C4E5E" w:rsidRDefault="00E65F79" w:rsidP="003A3A7B">
      <w:pPr>
        <w:pStyle w:val="3-BodyText"/>
        <w:rPr>
          <w:rFonts w:eastAsia="Times New Roman" w:cs="Arial"/>
          <w:snapToGrid w:val="0"/>
          <w:szCs w:val="24"/>
          <w:lang w:val="en-GB" w:eastAsia="en-US"/>
        </w:rPr>
      </w:pPr>
      <w:r>
        <w:t xml:space="preserve">The PBAC noted the submission nominated </w:t>
      </w:r>
      <w:r w:rsidRPr="00435291">
        <w:t xml:space="preserve">pembrolizumab in combination with </w:t>
      </w:r>
      <w:r w:rsidR="00985DD4" w:rsidRPr="00B31860">
        <w:t>platinum</w:t>
      </w:r>
      <w:r w:rsidR="003A3A7B">
        <w:noBreakHyphen/>
      </w:r>
      <w:r w:rsidR="00985DD4" w:rsidRPr="00B31860">
        <w:t xml:space="preserve">based </w:t>
      </w:r>
      <w:r w:rsidR="00985DD4">
        <w:t xml:space="preserve">doublet </w:t>
      </w:r>
      <w:r w:rsidR="00985DD4" w:rsidRPr="00B31860">
        <w:t>chemotherapy</w:t>
      </w:r>
      <w:r w:rsidRPr="00435291">
        <w:t xml:space="preserve"> </w:t>
      </w:r>
      <w:r w:rsidR="00442E78">
        <w:t xml:space="preserve">(PDC) </w:t>
      </w:r>
      <w:r w:rsidRPr="00435291">
        <w:t>as the comparator</w:t>
      </w:r>
      <w:r w:rsidR="00E77DF2">
        <w:t xml:space="preserve">, with D+T </w:t>
      </w:r>
      <w:r w:rsidR="00EA6411">
        <w:t>nominated as a near market comparator</w:t>
      </w:r>
      <w:r w:rsidR="0015469B">
        <w:t xml:space="preserve">. </w:t>
      </w:r>
      <w:r w:rsidR="00ED35E9" w:rsidRPr="00ED35E9">
        <w:rPr>
          <w:rFonts w:eastAsia="Times New Roman" w:cs="Arial"/>
          <w:snapToGrid w:val="0"/>
          <w:szCs w:val="24"/>
          <w:lang w:val="en-GB" w:eastAsia="en-US"/>
        </w:rPr>
        <w:t xml:space="preserve">The </w:t>
      </w:r>
      <w:r w:rsidR="006573E1">
        <w:rPr>
          <w:rFonts w:eastAsia="Times New Roman" w:cs="Arial"/>
          <w:snapToGrid w:val="0"/>
          <w:szCs w:val="24"/>
          <w:lang w:val="en-GB" w:eastAsia="en-US"/>
        </w:rPr>
        <w:t xml:space="preserve">PBAC </w:t>
      </w:r>
      <w:r w:rsidR="0015469B">
        <w:rPr>
          <w:rFonts w:eastAsia="Times New Roman" w:cs="Arial"/>
          <w:snapToGrid w:val="0"/>
          <w:szCs w:val="24"/>
          <w:lang w:val="en-GB" w:eastAsia="en-US"/>
        </w:rPr>
        <w:t xml:space="preserve">noted that </w:t>
      </w:r>
      <w:r w:rsidR="00ED35E9" w:rsidRPr="00ED35E9">
        <w:rPr>
          <w:rFonts w:eastAsia="Times New Roman" w:cs="Arial"/>
          <w:snapToGrid w:val="0"/>
          <w:szCs w:val="24"/>
          <w:lang w:val="en-GB" w:eastAsia="en-US"/>
        </w:rPr>
        <w:t>D+T</w:t>
      </w:r>
      <w:r w:rsidR="00F81576">
        <w:rPr>
          <w:rFonts w:eastAsia="Times New Roman" w:cs="Arial"/>
          <w:snapToGrid w:val="0"/>
          <w:szCs w:val="24"/>
          <w:lang w:val="en-GB" w:eastAsia="en-US"/>
        </w:rPr>
        <w:t>, which</w:t>
      </w:r>
      <w:r w:rsidR="0015469B">
        <w:rPr>
          <w:rFonts w:eastAsia="Times New Roman" w:cs="Arial"/>
          <w:snapToGrid w:val="0"/>
          <w:szCs w:val="24"/>
          <w:lang w:val="en-GB" w:eastAsia="en-US"/>
        </w:rPr>
        <w:t xml:space="preserve"> </w:t>
      </w:r>
      <w:r w:rsidR="000C24AD" w:rsidRPr="00ED35E9">
        <w:rPr>
          <w:rFonts w:eastAsia="Times New Roman" w:cs="Arial"/>
          <w:snapToGrid w:val="0"/>
          <w:szCs w:val="24"/>
          <w:lang w:val="en-GB" w:eastAsia="en-US"/>
        </w:rPr>
        <w:t>has the same mechanism of action as E+B</w:t>
      </w:r>
      <w:r w:rsidR="00F81576">
        <w:rPr>
          <w:rFonts w:eastAsia="Times New Roman" w:cs="Arial"/>
          <w:snapToGrid w:val="0"/>
          <w:szCs w:val="24"/>
          <w:lang w:val="en-GB" w:eastAsia="en-US"/>
        </w:rPr>
        <w:t>,</w:t>
      </w:r>
      <w:r w:rsidR="000C24AD">
        <w:rPr>
          <w:rFonts w:eastAsia="Times New Roman" w:cs="Arial"/>
          <w:snapToGrid w:val="0"/>
          <w:szCs w:val="24"/>
          <w:lang w:val="en-GB" w:eastAsia="en-US"/>
        </w:rPr>
        <w:t xml:space="preserve"> </w:t>
      </w:r>
      <w:r w:rsidR="00ED35E9" w:rsidRPr="00ED35E9">
        <w:rPr>
          <w:rFonts w:eastAsia="Times New Roman" w:cs="Arial"/>
          <w:snapToGrid w:val="0"/>
          <w:szCs w:val="24"/>
          <w:lang w:val="en-GB" w:eastAsia="en-US"/>
        </w:rPr>
        <w:t xml:space="preserve">was listed on the PBS on 1 October </w:t>
      </w:r>
      <w:r w:rsidR="00AC1FCA" w:rsidRPr="00ED35E9">
        <w:rPr>
          <w:rFonts w:eastAsia="Times New Roman" w:cs="Arial"/>
          <w:snapToGrid w:val="0"/>
          <w:szCs w:val="24"/>
          <w:lang w:val="en-GB" w:eastAsia="en-US"/>
        </w:rPr>
        <w:t>2025</w:t>
      </w:r>
      <w:r w:rsidR="000C24AD">
        <w:rPr>
          <w:rFonts w:eastAsia="Times New Roman" w:cs="Arial"/>
          <w:snapToGrid w:val="0"/>
          <w:szCs w:val="24"/>
          <w:lang w:val="en-GB" w:eastAsia="en-US"/>
        </w:rPr>
        <w:t xml:space="preserve"> for the same </w:t>
      </w:r>
      <w:r w:rsidR="00F81576">
        <w:rPr>
          <w:rFonts w:eastAsia="Times New Roman" w:cs="Arial"/>
          <w:snapToGrid w:val="0"/>
          <w:szCs w:val="24"/>
          <w:lang w:val="en-GB" w:eastAsia="en-US"/>
        </w:rPr>
        <w:t>indication</w:t>
      </w:r>
      <w:r w:rsidR="00EA6411">
        <w:rPr>
          <w:rFonts w:eastAsia="Times New Roman" w:cs="Arial"/>
          <w:snapToGrid w:val="0"/>
          <w:szCs w:val="24"/>
          <w:lang w:val="en-GB" w:eastAsia="en-US"/>
        </w:rPr>
        <w:t xml:space="preserve"> and </w:t>
      </w:r>
      <w:r w:rsidR="00402CD7">
        <w:rPr>
          <w:rFonts w:eastAsia="Times New Roman" w:cs="Arial"/>
          <w:snapToGrid w:val="0"/>
          <w:szCs w:val="24"/>
          <w:lang w:val="en-GB" w:eastAsia="en-US"/>
        </w:rPr>
        <w:t xml:space="preserve">that the </w:t>
      </w:r>
      <w:r w:rsidR="0033414B">
        <w:rPr>
          <w:rFonts w:eastAsia="Times New Roman" w:cs="Arial"/>
          <w:snapToGrid w:val="0"/>
          <w:szCs w:val="24"/>
          <w:lang w:val="en-GB" w:eastAsia="en-US"/>
        </w:rPr>
        <w:t>p</w:t>
      </w:r>
      <w:r w:rsidR="00402CD7">
        <w:rPr>
          <w:rFonts w:eastAsia="Times New Roman" w:cs="Arial"/>
          <w:snapToGrid w:val="0"/>
          <w:szCs w:val="24"/>
          <w:lang w:val="en-GB" w:eastAsia="en-US"/>
        </w:rPr>
        <w:t>re</w:t>
      </w:r>
      <w:r w:rsidR="003A3A7B">
        <w:rPr>
          <w:rFonts w:eastAsia="Times New Roman" w:cs="Arial"/>
          <w:snapToGrid w:val="0"/>
          <w:szCs w:val="24"/>
          <w:lang w:val="en-GB" w:eastAsia="en-US"/>
        </w:rPr>
        <w:noBreakHyphen/>
      </w:r>
      <w:r w:rsidR="00402CD7">
        <w:rPr>
          <w:rFonts w:eastAsia="Times New Roman" w:cs="Arial"/>
          <w:snapToGrid w:val="0"/>
          <w:szCs w:val="24"/>
          <w:lang w:val="en-GB" w:eastAsia="en-US"/>
        </w:rPr>
        <w:t>PBAC response stated that D+T should be the comparator</w:t>
      </w:r>
      <w:r w:rsidR="00F81576">
        <w:rPr>
          <w:rFonts w:eastAsia="Times New Roman" w:cs="Arial"/>
          <w:snapToGrid w:val="0"/>
          <w:szCs w:val="24"/>
          <w:lang w:val="en-GB" w:eastAsia="en-US"/>
        </w:rPr>
        <w:t xml:space="preserve">. The PBAC considered that D+T was the </w:t>
      </w:r>
      <w:r w:rsidR="00ED35E9" w:rsidRPr="000C4E5E">
        <w:rPr>
          <w:rFonts w:eastAsia="Times New Roman" w:cs="Arial"/>
          <w:snapToGrid w:val="0"/>
          <w:szCs w:val="24"/>
          <w:lang w:val="en-GB" w:eastAsia="en-US"/>
        </w:rPr>
        <w:t xml:space="preserve">appropriate comparator. </w:t>
      </w:r>
    </w:p>
    <w:p w14:paraId="7DD05F5A" w14:textId="5805B449" w:rsidR="000C4E5E" w:rsidRDefault="000C4E5E" w:rsidP="003A3A7B">
      <w:pPr>
        <w:numPr>
          <w:ilvl w:val="1"/>
          <w:numId w:val="1"/>
        </w:numPr>
        <w:spacing w:after="120"/>
        <w:rPr>
          <w:rFonts w:asciiTheme="minorHAnsi" w:hAnsiTheme="minorHAnsi"/>
          <w:snapToGrid w:val="0"/>
          <w:lang w:val="en-GB" w:eastAsia="en-US"/>
        </w:rPr>
      </w:pPr>
      <w:r w:rsidRPr="000C4E5E">
        <w:rPr>
          <w:rFonts w:asciiTheme="minorHAnsi" w:hAnsiTheme="minorHAnsi"/>
          <w:snapToGrid w:val="0"/>
          <w:lang w:val="en-GB" w:eastAsia="en-US"/>
        </w:rPr>
        <w:t>The PBAC noted the clinical evidence for E+B was from one single arm trial (PHAROS) in patients with BRAF V600E positive metastatic NSCLC receiving either first line treatment (N=59) or second line treatment (N=39). The PBAC noted the median progression free survival (PFS) was 30.2 months and median overall survival (OS) was not estimable in the first line treatment setting. Based on updated OS data provided in the Pre</w:t>
      </w:r>
      <w:r w:rsidR="003A3A7B">
        <w:rPr>
          <w:rFonts w:asciiTheme="minorHAnsi" w:hAnsiTheme="minorHAnsi"/>
          <w:snapToGrid w:val="0"/>
          <w:lang w:val="en-GB" w:eastAsia="en-US"/>
        </w:rPr>
        <w:noBreakHyphen/>
      </w:r>
      <w:r w:rsidRPr="000C4E5E">
        <w:rPr>
          <w:rFonts w:asciiTheme="minorHAnsi" w:hAnsiTheme="minorHAnsi"/>
          <w:snapToGrid w:val="0"/>
          <w:lang w:val="en-GB" w:eastAsia="en-US"/>
        </w:rPr>
        <w:t>Sub</w:t>
      </w:r>
      <w:r w:rsidR="003A3A7B">
        <w:rPr>
          <w:rFonts w:asciiTheme="minorHAnsi" w:hAnsiTheme="minorHAnsi"/>
          <w:snapToGrid w:val="0"/>
          <w:lang w:val="en-GB" w:eastAsia="en-US"/>
        </w:rPr>
        <w:noBreakHyphen/>
      </w:r>
      <w:r w:rsidRPr="000C4E5E">
        <w:rPr>
          <w:rFonts w:asciiTheme="minorHAnsi" w:hAnsiTheme="minorHAnsi"/>
          <w:snapToGrid w:val="0"/>
          <w:lang w:val="en-GB" w:eastAsia="en-US"/>
        </w:rPr>
        <w:t>Committee Response, the PBAC noted the median OS was 47.6 months.</w:t>
      </w:r>
    </w:p>
    <w:p w14:paraId="0765BB12" w14:textId="6DF86618" w:rsidR="000C4E5E" w:rsidRDefault="001217F7" w:rsidP="003A3A7B">
      <w:pPr>
        <w:numPr>
          <w:ilvl w:val="1"/>
          <w:numId w:val="1"/>
        </w:numPr>
        <w:spacing w:after="120"/>
        <w:rPr>
          <w:rFonts w:asciiTheme="minorHAnsi" w:hAnsiTheme="minorHAnsi"/>
          <w:snapToGrid w:val="0"/>
          <w:lang w:val="en-GB" w:eastAsia="en-US"/>
        </w:rPr>
      </w:pPr>
      <w:r w:rsidRPr="001217F7">
        <w:rPr>
          <w:rFonts w:asciiTheme="minorHAnsi" w:hAnsiTheme="minorHAnsi"/>
          <w:snapToGrid w:val="0"/>
          <w:lang w:val="en-GB" w:eastAsia="en-US"/>
        </w:rPr>
        <w:t>The PBAC noted the submission claimed E+B was superior to D+T in terms of comparative effectiveness. The PBAC noted the submission presented unanchored unadjusted and an unanchored matching</w:t>
      </w:r>
      <w:r w:rsidR="003A3A7B">
        <w:rPr>
          <w:rFonts w:asciiTheme="minorHAnsi" w:hAnsiTheme="minorHAnsi"/>
          <w:snapToGrid w:val="0"/>
          <w:lang w:val="en-GB" w:eastAsia="en-US"/>
        </w:rPr>
        <w:noBreakHyphen/>
      </w:r>
      <w:r w:rsidRPr="001217F7">
        <w:rPr>
          <w:rFonts w:asciiTheme="minorHAnsi" w:hAnsiTheme="minorHAnsi"/>
          <w:snapToGrid w:val="0"/>
          <w:lang w:val="en-GB" w:eastAsia="en-US"/>
        </w:rPr>
        <w:t>adjusted indirect comparison</w:t>
      </w:r>
      <w:r w:rsidR="00EA5E91">
        <w:rPr>
          <w:rFonts w:asciiTheme="minorHAnsi" w:hAnsiTheme="minorHAnsi"/>
          <w:snapToGrid w:val="0"/>
          <w:lang w:val="en-GB" w:eastAsia="en-US"/>
        </w:rPr>
        <w:t>s</w:t>
      </w:r>
      <w:r w:rsidRPr="001217F7">
        <w:rPr>
          <w:rFonts w:asciiTheme="minorHAnsi" w:hAnsiTheme="minorHAnsi"/>
          <w:snapToGrid w:val="0"/>
          <w:lang w:val="en-GB" w:eastAsia="en-US"/>
        </w:rPr>
        <w:t xml:space="preserve"> (MAIC) of the E+B trial (PHAROS, first line patients only) and the results</w:t>
      </w:r>
      <w:r w:rsidR="00731FCC">
        <w:rPr>
          <w:rFonts w:asciiTheme="minorHAnsi" w:hAnsiTheme="minorHAnsi"/>
          <w:snapToGrid w:val="0"/>
          <w:lang w:val="en-GB" w:eastAsia="en-US"/>
        </w:rPr>
        <w:t xml:space="preserve"> from</w:t>
      </w:r>
      <w:r w:rsidRPr="001217F7">
        <w:rPr>
          <w:rFonts w:asciiTheme="minorHAnsi" w:hAnsiTheme="minorHAnsi"/>
          <w:snapToGrid w:val="0"/>
          <w:lang w:val="en-GB" w:eastAsia="en-US"/>
        </w:rPr>
        <w:t xml:space="preserve"> the D+T trial (BRF113928, first line patients only) to support the clinical claim. The PBAC noted the hazard ratio</w:t>
      </w:r>
      <w:r w:rsidR="00EA5E91">
        <w:rPr>
          <w:rFonts w:asciiTheme="minorHAnsi" w:hAnsiTheme="minorHAnsi"/>
          <w:snapToGrid w:val="0"/>
          <w:lang w:val="en-GB" w:eastAsia="en-US"/>
        </w:rPr>
        <w:t>s</w:t>
      </w:r>
      <w:r w:rsidRPr="001217F7">
        <w:rPr>
          <w:rFonts w:asciiTheme="minorHAnsi" w:hAnsiTheme="minorHAnsi"/>
          <w:snapToGrid w:val="0"/>
          <w:lang w:val="en-GB" w:eastAsia="en-US"/>
        </w:rPr>
        <w:t xml:space="preserve"> for PFS and OS favoured E+B (see Table 8 and Table 11) and that while statistically significant, considered that the MAIC</w:t>
      </w:r>
      <w:r w:rsidR="00290D10">
        <w:rPr>
          <w:rFonts w:asciiTheme="minorHAnsi" w:hAnsiTheme="minorHAnsi"/>
          <w:snapToGrid w:val="0"/>
          <w:lang w:val="en-GB" w:eastAsia="en-US"/>
        </w:rPr>
        <w:t>s were</w:t>
      </w:r>
      <w:r w:rsidRPr="001217F7">
        <w:rPr>
          <w:rFonts w:asciiTheme="minorHAnsi" w:hAnsiTheme="minorHAnsi"/>
          <w:snapToGrid w:val="0"/>
          <w:lang w:val="en-GB" w:eastAsia="en-US"/>
        </w:rPr>
        <w:t xml:space="preserve"> highly uncertain due to low matched numbers (44 </w:t>
      </w:r>
      <w:r w:rsidR="00183EAA">
        <w:rPr>
          <w:rFonts w:asciiTheme="minorHAnsi" w:hAnsiTheme="minorHAnsi"/>
          <w:snapToGrid w:val="0"/>
          <w:lang w:val="en-GB" w:eastAsia="en-US"/>
        </w:rPr>
        <w:t>matched patients between BRF113928 and PHAROS</w:t>
      </w:r>
      <w:r w:rsidRPr="001217F7">
        <w:rPr>
          <w:rFonts w:asciiTheme="minorHAnsi" w:hAnsiTheme="minorHAnsi"/>
          <w:snapToGrid w:val="0"/>
          <w:lang w:val="en-GB" w:eastAsia="en-US"/>
        </w:rPr>
        <w:t xml:space="preserve">). </w:t>
      </w:r>
      <w:r w:rsidR="00D158A6">
        <w:rPr>
          <w:rFonts w:asciiTheme="minorHAnsi" w:hAnsiTheme="minorHAnsi"/>
          <w:snapToGrid w:val="0"/>
          <w:lang w:val="en-GB" w:eastAsia="en-US"/>
        </w:rPr>
        <w:t xml:space="preserve">The PBAC also noted </w:t>
      </w:r>
      <w:r w:rsidR="00B30EB6">
        <w:rPr>
          <w:rFonts w:asciiTheme="minorHAnsi" w:hAnsiTheme="minorHAnsi"/>
          <w:snapToGrid w:val="0"/>
          <w:lang w:val="en-GB" w:eastAsia="en-US"/>
        </w:rPr>
        <w:t xml:space="preserve">the results of the </w:t>
      </w:r>
      <w:proofErr w:type="spellStart"/>
      <w:r w:rsidR="00B30EB6">
        <w:rPr>
          <w:rFonts w:asciiTheme="minorHAnsi" w:hAnsiTheme="minorHAnsi"/>
          <w:snapToGrid w:val="0"/>
          <w:lang w:val="en-GB" w:eastAsia="en-US"/>
        </w:rPr>
        <w:t>In</w:t>
      </w:r>
      <w:r w:rsidR="0073596A">
        <w:rPr>
          <w:rFonts w:asciiTheme="minorHAnsi" w:hAnsiTheme="minorHAnsi"/>
          <w:snapToGrid w:val="0"/>
          <w:lang w:val="en-GB" w:eastAsia="en-US"/>
        </w:rPr>
        <w:t>tergroupe</w:t>
      </w:r>
      <w:proofErr w:type="spellEnd"/>
      <w:r w:rsidR="0073596A">
        <w:rPr>
          <w:rFonts w:asciiTheme="minorHAnsi" w:hAnsiTheme="minorHAnsi"/>
          <w:snapToGrid w:val="0"/>
          <w:lang w:val="en-GB" w:eastAsia="en-US"/>
        </w:rPr>
        <w:t xml:space="preserve"> Francophone de </w:t>
      </w:r>
      <w:proofErr w:type="spellStart"/>
      <w:r w:rsidR="0073596A">
        <w:rPr>
          <w:rFonts w:asciiTheme="minorHAnsi" w:hAnsiTheme="minorHAnsi"/>
          <w:snapToGrid w:val="0"/>
          <w:lang w:val="en-GB" w:eastAsia="en-US"/>
        </w:rPr>
        <w:t>Canc</w:t>
      </w:r>
      <w:proofErr w:type="spellEnd"/>
      <w:r w:rsidR="0073596A" w:rsidRPr="0073596A">
        <w:rPr>
          <w:rStyle w:val="CommentReference"/>
          <w:rFonts w:asciiTheme="minorHAnsi" w:hAnsiTheme="minorHAnsi"/>
          <w:b w:val="0"/>
          <w:sz w:val="24"/>
          <w:szCs w:val="24"/>
        </w:rPr>
        <w:t>é</w:t>
      </w:r>
      <w:proofErr w:type="spellStart"/>
      <w:r w:rsidR="0073596A">
        <w:rPr>
          <w:rFonts w:asciiTheme="minorHAnsi" w:hAnsiTheme="minorHAnsi"/>
          <w:snapToGrid w:val="0"/>
          <w:lang w:val="en-GB" w:eastAsia="en-US"/>
        </w:rPr>
        <w:t>rologie</w:t>
      </w:r>
      <w:proofErr w:type="spellEnd"/>
      <w:r w:rsidR="0073596A">
        <w:rPr>
          <w:rFonts w:asciiTheme="minorHAnsi" w:hAnsiTheme="minorHAnsi"/>
          <w:snapToGrid w:val="0"/>
          <w:lang w:val="en-GB" w:eastAsia="en-US"/>
        </w:rPr>
        <w:t xml:space="preserve"> </w:t>
      </w:r>
      <w:proofErr w:type="spellStart"/>
      <w:r w:rsidR="0073596A">
        <w:rPr>
          <w:rFonts w:asciiTheme="minorHAnsi" w:hAnsiTheme="minorHAnsi"/>
          <w:snapToGrid w:val="0"/>
          <w:lang w:val="en-GB" w:eastAsia="en-US"/>
        </w:rPr>
        <w:t>Theoracique</w:t>
      </w:r>
      <w:proofErr w:type="spellEnd"/>
      <w:r w:rsidR="0073596A">
        <w:rPr>
          <w:rFonts w:asciiTheme="minorHAnsi" w:hAnsiTheme="minorHAnsi"/>
          <w:snapToGrid w:val="0"/>
          <w:lang w:val="en-GB" w:eastAsia="en-US"/>
        </w:rPr>
        <w:t xml:space="preserve"> (IFCT) study</w:t>
      </w:r>
      <w:r w:rsidR="006B2C9D">
        <w:rPr>
          <w:rFonts w:asciiTheme="minorHAnsi" w:hAnsiTheme="minorHAnsi"/>
          <w:snapToGrid w:val="0"/>
          <w:lang w:val="en-GB" w:eastAsia="en-US"/>
        </w:rPr>
        <w:t xml:space="preserve"> which</w:t>
      </w:r>
      <w:r w:rsidR="00DC2F07">
        <w:rPr>
          <w:rFonts w:asciiTheme="minorHAnsi" w:hAnsiTheme="minorHAnsi"/>
          <w:snapToGrid w:val="0"/>
          <w:lang w:val="en-GB" w:eastAsia="en-US"/>
        </w:rPr>
        <w:t xml:space="preserve"> was a single arm study </w:t>
      </w:r>
      <w:r w:rsidR="00996874">
        <w:rPr>
          <w:rFonts w:asciiTheme="minorHAnsi" w:hAnsiTheme="minorHAnsi"/>
          <w:snapToGrid w:val="0"/>
          <w:lang w:val="en-GB" w:eastAsia="en-US"/>
        </w:rPr>
        <w:t>which</w:t>
      </w:r>
      <w:r w:rsidR="006B2C9D">
        <w:rPr>
          <w:rFonts w:asciiTheme="minorHAnsi" w:hAnsiTheme="minorHAnsi"/>
          <w:snapToGrid w:val="0"/>
          <w:lang w:val="en-GB" w:eastAsia="en-US"/>
        </w:rPr>
        <w:t xml:space="preserve"> reported overall response rate and PFS </w:t>
      </w:r>
      <w:r w:rsidR="00A13EA4">
        <w:rPr>
          <w:rFonts w:asciiTheme="minorHAnsi" w:hAnsiTheme="minorHAnsi"/>
          <w:snapToGrid w:val="0"/>
          <w:lang w:val="en-GB" w:eastAsia="en-US"/>
        </w:rPr>
        <w:t xml:space="preserve">data </w:t>
      </w:r>
      <w:r w:rsidR="00996874">
        <w:rPr>
          <w:rFonts w:asciiTheme="minorHAnsi" w:hAnsiTheme="minorHAnsi"/>
          <w:snapToGrid w:val="0"/>
          <w:lang w:val="en-GB" w:eastAsia="en-US"/>
        </w:rPr>
        <w:t>that more closely aligned with the response seen in the BRF113928 trial</w:t>
      </w:r>
      <w:r w:rsidR="00DE7F43">
        <w:rPr>
          <w:rFonts w:asciiTheme="minorHAnsi" w:hAnsiTheme="minorHAnsi"/>
          <w:snapToGrid w:val="0"/>
          <w:lang w:val="en-GB" w:eastAsia="en-US"/>
        </w:rPr>
        <w:t xml:space="preserve"> (see </w:t>
      </w:r>
      <w:r w:rsidR="00DE7F43">
        <w:rPr>
          <w:rFonts w:asciiTheme="minorHAnsi" w:hAnsiTheme="minorHAnsi"/>
          <w:snapToGrid w:val="0"/>
          <w:lang w:val="en-GB" w:eastAsia="en-US"/>
        </w:rPr>
        <w:fldChar w:fldCharType="begin"/>
      </w:r>
      <w:r w:rsidR="00DE7F43">
        <w:rPr>
          <w:rFonts w:asciiTheme="minorHAnsi" w:hAnsiTheme="minorHAnsi"/>
          <w:snapToGrid w:val="0"/>
          <w:lang w:val="en-GB" w:eastAsia="en-US"/>
        </w:rPr>
        <w:instrText xml:space="preserve"> REF _Ref214279714 \h </w:instrText>
      </w:r>
      <w:r w:rsidR="00DE7F43">
        <w:rPr>
          <w:rFonts w:asciiTheme="minorHAnsi" w:hAnsiTheme="minorHAnsi"/>
          <w:snapToGrid w:val="0"/>
          <w:lang w:val="en-GB" w:eastAsia="en-US"/>
        </w:rPr>
      </w:r>
      <w:r w:rsidR="00DE7F43">
        <w:rPr>
          <w:rFonts w:asciiTheme="minorHAnsi" w:hAnsiTheme="minorHAnsi"/>
          <w:snapToGrid w:val="0"/>
          <w:lang w:val="en-GB" w:eastAsia="en-US"/>
        </w:rPr>
        <w:fldChar w:fldCharType="separate"/>
      </w:r>
      <w:r w:rsidR="00894EC9">
        <w:t>Table 10</w:t>
      </w:r>
      <w:r w:rsidR="00DE7F43">
        <w:rPr>
          <w:rFonts w:asciiTheme="minorHAnsi" w:hAnsiTheme="minorHAnsi"/>
          <w:snapToGrid w:val="0"/>
          <w:lang w:val="en-GB" w:eastAsia="en-US"/>
        </w:rPr>
        <w:fldChar w:fldCharType="end"/>
      </w:r>
      <w:r w:rsidR="00DE7F43">
        <w:rPr>
          <w:rFonts w:asciiTheme="minorHAnsi" w:hAnsiTheme="minorHAnsi"/>
          <w:snapToGrid w:val="0"/>
          <w:lang w:val="en-GB" w:eastAsia="en-US"/>
        </w:rPr>
        <w:t>)</w:t>
      </w:r>
      <w:r w:rsidR="00996874">
        <w:rPr>
          <w:rFonts w:asciiTheme="minorHAnsi" w:hAnsiTheme="minorHAnsi"/>
          <w:snapToGrid w:val="0"/>
          <w:lang w:val="en-GB" w:eastAsia="en-US"/>
        </w:rPr>
        <w:t>.</w:t>
      </w:r>
      <w:r w:rsidR="00A13EA4">
        <w:rPr>
          <w:rFonts w:asciiTheme="minorHAnsi" w:hAnsiTheme="minorHAnsi"/>
          <w:snapToGrid w:val="0"/>
          <w:lang w:val="en-GB" w:eastAsia="en-US"/>
        </w:rPr>
        <w:t xml:space="preserve"> </w:t>
      </w:r>
      <w:r w:rsidRPr="001217F7">
        <w:rPr>
          <w:rFonts w:asciiTheme="minorHAnsi" w:hAnsiTheme="minorHAnsi"/>
          <w:snapToGrid w:val="0"/>
          <w:lang w:val="en-GB" w:eastAsia="en-US"/>
        </w:rPr>
        <w:t xml:space="preserve">The PBAC considered that the </w:t>
      </w:r>
      <w:r w:rsidR="00EA5E91">
        <w:rPr>
          <w:rFonts w:asciiTheme="minorHAnsi" w:hAnsiTheme="minorHAnsi"/>
          <w:snapToGrid w:val="0"/>
          <w:lang w:val="en-GB" w:eastAsia="en-US"/>
        </w:rPr>
        <w:t xml:space="preserve">evidence presented in the </w:t>
      </w:r>
      <w:r w:rsidRPr="001217F7">
        <w:rPr>
          <w:rFonts w:asciiTheme="minorHAnsi" w:hAnsiTheme="minorHAnsi"/>
          <w:snapToGrid w:val="0"/>
          <w:lang w:val="en-GB" w:eastAsia="en-US"/>
        </w:rPr>
        <w:t xml:space="preserve">submission did not adequately </w:t>
      </w:r>
      <w:r w:rsidR="00EA5E91">
        <w:rPr>
          <w:rFonts w:asciiTheme="minorHAnsi" w:hAnsiTheme="minorHAnsi"/>
          <w:snapToGrid w:val="0"/>
          <w:lang w:val="en-GB" w:eastAsia="en-US"/>
        </w:rPr>
        <w:t>support the claim</w:t>
      </w:r>
      <w:r w:rsidR="00EA5E91" w:rsidRPr="001217F7">
        <w:rPr>
          <w:rFonts w:asciiTheme="minorHAnsi" w:hAnsiTheme="minorHAnsi"/>
          <w:snapToGrid w:val="0"/>
          <w:lang w:val="en-GB" w:eastAsia="en-US"/>
        </w:rPr>
        <w:t xml:space="preserve"> </w:t>
      </w:r>
      <w:r w:rsidRPr="001217F7">
        <w:rPr>
          <w:rFonts w:asciiTheme="minorHAnsi" w:hAnsiTheme="minorHAnsi"/>
          <w:snapToGrid w:val="0"/>
          <w:lang w:val="en-GB" w:eastAsia="en-US"/>
        </w:rPr>
        <w:t xml:space="preserve">that E+B </w:t>
      </w:r>
      <w:r w:rsidR="00EA5E91">
        <w:rPr>
          <w:rFonts w:asciiTheme="minorHAnsi" w:hAnsiTheme="minorHAnsi"/>
          <w:snapToGrid w:val="0"/>
          <w:lang w:val="en-GB" w:eastAsia="en-US"/>
        </w:rPr>
        <w:t>was</w:t>
      </w:r>
      <w:r w:rsidR="00EA5E91" w:rsidRPr="001217F7">
        <w:rPr>
          <w:rFonts w:asciiTheme="minorHAnsi" w:hAnsiTheme="minorHAnsi"/>
          <w:snapToGrid w:val="0"/>
          <w:lang w:val="en-GB" w:eastAsia="en-US"/>
        </w:rPr>
        <w:t xml:space="preserve"> </w:t>
      </w:r>
      <w:r w:rsidRPr="001217F7">
        <w:rPr>
          <w:rFonts w:asciiTheme="minorHAnsi" w:hAnsiTheme="minorHAnsi"/>
          <w:snapToGrid w:val="0"/>
          <w:lang w:val="en-GB" w:eastAsia="en-US"/>
        </w:rPr>
        <w:t xml:space="preserve">superior to D+T </w:t>
      </w:r>
      <w:r w:rsidR="00942751">
        <w:rPr>
          <w:rFonts w:asciiTheme="minorHAnsi" w:hAnsiTheme="minorHAnsi"/>
          <w:snapToGrid w:val="0"/>
          <w:lang w:val="en-GB" w:eastAsia="en-US"/>
        </w:rPr>
        <w:t>in patients treated first line</w:t>
      </w:r>
      <w:r w:rsidRPr="001217F7">
        <w:rPr>
          <w:rFonts w:asciiTheme="minorHAnsi" w:hAnsiTheme="minorHAnsi"/>
          <w:snapToGrid w:val="0"/>
          <w:lang w:val="en-GB" w:eastAsia="en-US"/>
        </w:rPr>
        <w:t>.</w:t>
      </w:r>
      <w:r w:rsidR="00EA5E91">
        <w:rPr>
          <w:rFonts w:asciiTheme="minorHAnsi" w:hAnsiTheme="minorHAnsi"/>
          <w:snapToGrid w:val="0"/>
          <w:lang w:val="en-GB" w:eastAsia="en-US"/>
        </w:rPr>
        <w:t xml:space="preserve"> Overall, based on t</w:t>
      </w:r>
      <w:r w:rsidR="00283C9B">
        <w:rPr>
          <w:rFonts w:asciiTheme="minorHAnsi" w:hAnsiTheme="minorHAnsi"/>
          <w:snapToGrid w:val="0"/>
          <w:lang w:val="en-GB" w:eastAsia="en-US"/>
        </w:rPr>
        <w:t>he evidence presented and the fact that E+B and D+T have the same mechanisms of action, the PBAC considered that E+B was non</w:t>
      </w:r>
      <w:r w:rsidR="003A3A7B">
        <w:rPr>
          <w:rFonts w:asciiTheme="minorHAnsi" w:hAnsiTheme="minorHAnsi"/>
          <w:snapToGrid w:val="0"/>
          <w:lang w:val="en-GB" w:eastAsia="en-US"/>
        </w:rPr>
        <w:noBreakHyphen/>
      </w:r>
      <w:r w:rsidR="00283C9B">
        <w:rPr>
          <w:rFonts w:asciiTheme="minorHAnsi" w:hAnsiTheme="minorHAnsi"/>
          <w:snapToGrid w:val="0"/>
          <w:lang w:val="en-GB" w:eastAsia="en-US"/>
        </w:rPr>
        <w:t>inferior in terms of efficacy compared to D+T.</w:t>
      </w:r>
    </w:p>
    <w:p w14:paraId="7AD80269" w14:textId="09802B66" w:rsidR="00A211F8" w:rsidRPr="00BF66D5" w:rsidRDefault="00FF5D1A" w:rsidP="003A3A7B">
      <w:pPr>
        <w:pStyle w:val="3-BodyText"/>
        <w:numPr>
          <w:ilvl w:val="1"/>
          <w:numId w:val="1"/>
        </w:numPr>
        <w:spacing w:before="0" w:after="120"/>
      </w:pPr>
      <w:r>
        <w:lastRenderedPageBreak/>
        <w:t>T</w:t>
      </w:r>
      <w:r w:rsidRPr="00A037DE">
        <w:t xml:space="preserve">he submission presented unanchored </w:t>
      </w:r>
      <w:r w:rsidR="00677C91">
        <w:t xml:space="preserve">unadjusted and unanchored </w:t>
      </w:r>
      <w:r w:rsidRPr="00A037DE">
        <w:t xml:space="preserve">MAICs comparing </w:t>
      </w:r>
      <w:r w:rsidR="002F205C">
        <w:t xml:space="preserve">safety outcomes </w:t>
      </w:r>
      <w:r w:rsidR="00237F0C">
        <w:t xml:space="preserve">for </w:t>
      </w:r>
      <w:r w:rsidRPr="00A037DE">
        <w:t>E+B with D+T</w:t>
      </w:r>
      <w:r>
        <w:t>. The PBA</w:t>
      </w:r>
      <w:r w:rsidR="00221DED">
        <w:t>C</w:t>
      </w:r>
      <w:r>
        <w:t xml:space="preserve"> noted the unadjusted comparison </w:t>
      </w:r>
      <w:r w:rsidR="00B0358A">
        <w:t xml:space="preserve">against D+T </w:t>
      </w:r>
      <w:r>
        <w:t xml:space="preserve">showed </w:t>
      </w:r>
      <w:r w:rsidR="00550D55">
        <w:t xml:space="preserve">no </w:t>
      </w:r>
      <w:r w:rsidR="000F0C59">
        <w:t xml:space="preserve">significant </w:t>
      </w:r>
      <w:r w:rsidR="00550D55">
        <w:t xml:space="preserve">difference </w:t>
      </w:r>
      <w:r>
        <w:t>between E+B and D+T in the incidence of grade 3</w:t>
      </w:r>
      <w:r w:rsidR="003A3A7B">
        <w:noBreakHyphen/>
      </w:r>
      <w:r>
        <w:t xml:space="preserve">4 AEs, </w:t>
      </w:r>
      <w:r w:rsidR="000F0C59">
        <w:t>serious adverse events and discontinuations due to adverse events</w:t>
      </w:r>
      <w:r w:rsidR="004A2531">
        <w:t>.</w:t>
      </w:r>
      <w:r w:rsidRPr="007C3075">
        <w:t xml:space="preserve"> </w:t>
      </w:r>
      <w:r>
        <w:t xml:space="preserve">After adjustment, there was a statistically significant difference in proportion of patients experiencing </w:t>
      </w:r>
      <w:r w:rsidR="001A48D9">
        <w:t>serious adverse e</w:t>
      </w:r>
      <w:r w:rsidR="00992F62">
        <w:t>vents</w:t>
      </w:r>
      <w:r>
        <w:t xml:space="preserve"> (adjusted OR=0.35; 95% CI: 0.14, 0.85)</w:t>
      </w:r>
      <w:r w:rsidR="00251492">
        <w:t xml:space="preserve"> in favour of E+B.</w:t>
      </w:r>
      <w:r>
        <w:t xml:space="preserve"> </w:t>
      </w:r>
      <w:r w:rsidR="00A211F8" w:rsidRPr="00C164CF">
        <w:rPr>
          <w:rFonts w:eastAsia="Calibri"/>
        </w:rPr>
        <w:t xml:space="preserve">The </w:t>
      </w:r>
      <w:r w:rsidR="00A211F8">
        <w:rPr>
          <w:rFonts w:eastAsia="Calibri"/>
        </w:rPr>
        <w:t xml:space="preserve">PBAC noted that the </w:t>
      </w:r>
      <w:r w:rsidR="00A211F8" w:rsidRPr="00C164CF">
        <w:rPr>
          <w:rFonts w:eastAsia="Calibri"/>
        </w:rPr>
        <w:t>ESC considered there was a higher incidence of serious adverse e</w:t>
      </w:r>
      <w:r w:rsidR="00992F62">
        <w:rPr>
          <w:rFonts w:eastAsia="Calibri"/>
        </w:rPr>
        <w:t>vents</w:t>
      </w:r>
      <w:r w:rsidR="00A211F8" w:rsidRPr="00C164CF">
        <w:rPr>
          <w:rFonts w:eastAsia="Calibri"/>
        </w:rPr>
        <w:t>, and adverse events leading to dose discontinuation, interruption or reduction with D+T compared to E+B (Table 14).</w:t>
      </w:r>
      <w:r w:rsidR="008F1BE8">
        <w:rPr>
          <w:rFonts w:eastAsia="Calibri"/>
        </w:rPr>
        <w:t xml:space="preserve"> </w:t>
      </w:r>
      <w:r w:rsidR="007D40DD">
        <w:rPr>
          <w:rFonts w:eastAsia="Calibri"/>
        </w:rPr>
        <w:t xml:space="preserve">Further, </w:t>
      </w:r>
      <w:r w:rsidR="00FC2A5E">
        <w:rPr>
          <w:rFonts w:eastAsia="Calibri"/>
        </w:rPr>
        <w:t xml:space="preserve">although unanchored, </w:t>
      </w:r>
      <w:r w:rsidR="007D40DD">
        <w:rPr>
          <w:rFonts w:eastAsia="Calibri"/>
        </w:rPr>
        <w:t>the PBAC noted that E+B was associated with less pyrexia (11.9%)</w:t>
      </w:r>
      <w:r w:rsidR="005D61BE">
        <w:rPr>
          <w:rFonts w:eastAsia="Calibri"/>
        </w:rPr>
        <w:t xml:space="preserve"> and rash (11.9%)</w:t>
      </w:r>
      <w:r w:rsidR="007D40DD">
        <w:rPr>
          <w:rFonts w:eastAsia="Calibri"/>
        </w:rPr>
        <w:t xml:space="preserve"> compared to D+T (53%</w:t>
      </w:r>
      <w:r w:rsidR="005D61BE">
        <w:rPr>
          <w:rFonts w:eastAsia="Calibri"/>
        </w:rPr>
        <w:t xml:space="preserve"> and 19%, respectively</w:t>
      </w:r>
      <w:r w:rsidR="007D40DD">
        <w:rPr>
          <w:rFonts w:eastAsia="Calibri"/>
        </w:rPr>
        <w:t>)</w:t>
      </w:r>
      <w:r w:rsidR="009A4A79">
        <w:rPr>
          <w:rFonts w:eastAsia="Calibri"/>
        </w:rPr>
        <w:t>. Overall, t</w:t>
      </w:r>
      <w:r w:rsidR="008F1BE8">
        <w:rPr>
          <w:rFonts w:eastAsia="Calibri"/>
        </w:rPr>
        <w:t xml:space="preserve">he PBAC considered that E+B had </w:t>
      </w:r>
      <w:r w:rsidR="007811CF">
        <w:rPr>
          <w:rFonts w:eastAsia="Calibri"/>
        </w:rPr>
        <w:t>superior comparative safety compared to D+T.</w:t>
      </w:r>
    </w:p>
    <w:p w14:paraId="66167DB2" w14:textId="439C1E88" w:rsidR="005D3AF1" w:rsidRDefault="005D3AF1" w:rsidP="003A3A7B">
      <w:pPr>
        <w:pStyle w:val="3-BodyText"/>
        <w:numPr>
          <w:ilvl w:val="1"/>
          <w:numId w:val="1"/>
        </w:numPr>
        <w:spacing w:before="0" w:after="120"/>
      </w:pPr>
      <w:r>
        <w:t>The PBAC noted the submission had presented a cost utility analysis of E+B against pembrolizumab + PDC</w:t>
      </w:r>
      <w:r w:rsidR="008E5567">
        <w:t xml:space="preserve"> and D+T</w:t>
      </w:r>
      <w:r w:rsidR="00A2150F">
        <w:t>; however</w:t>
      </w:r>
      <w:r w:rsidR="00F97928">
        <w:t>,</w:t>
      </w:r>
      <w:r w:rsidR="00EA28CA">
        <w:t xml:space="preserve"> </w:t>
      </w:r>
      <w:r>
        <w:t>considered</w:t>
      </w:r>
      <w:r w:rsidR="00A2150F">
        <w:t xml:space="preserve"> that</w:t>
      </w:r>
      <w:r>
        <w:t xml:space="preserve"> a cost minimisation approach </w:t>
      </w:r>
      <w:r w:rsidR="00A513D8">
        <w:t xml:space="preserve">(CMA) </w:t>
      </w:r>
      <w:r>
        <w:t xml:space="preserve">against D+T </w:t>
      </w:r>
      <w:r w:rsidR="00A2150F">
        <w:t>was more</w:t>
      </w:r>
      <w:r>
        <w:t xml:space="preserve"> appropriate</w:t>
      </w:r>
      <w:r w:rsidR="00A2150F">
        <w:t>.</w:t>
      </w:r>
      <w:r w:rsidR="00814AF5">
        <w:t xml:space="preserve"> </w:t>
      </w:r>
      <w:r>
        <w:t xml:space="preserve"> The PBAC considered that a CMA should </w:t>
      </w:r>
      <w:r w:rsidR="00814AF5">
        <w:t xml:space="preserve">be based on the </w:t>
      </w:r>
      <w:r>
        <w:t>effective price of D+T</w:t>
      </w:r>
      <w:r w:rsidR="00EC7F04">
        <w:t xml:space="preserve"> and that it would be appropriate to assume</w:t>
      </w:r>
      <w:r w:rsidR="008A7E42">
        <w:t xml:space="preserve"> no difference in</w:t>
      </w:r>
      <w:r w:rsidR="00EC7F04">
        <w:t xml:space="preserve"> treatment duration</w:t>
      </w:r>
      <w:r w:rsidR="008A7E42">
        <w:t xml:space="preserve"> or</w:t>
      </w:r>
      <w:r w:rsidR="00EC7F04">
        <w:t xml:space="preserve"> relative dose intensity</w:t>
      </w:r>
      <w:r>
        <w:t xml:space="preserve">. The PBAC advised </w:t>
      </w:r>
      <w:r w:rsidR="00EC7F04">
        <w:t xml:space="preserve">that the </w:t>
      </w:r>
      <w:r>
        <w:t>equi</w:t>
      </w:r>
      <w:r w:rsidR="003A3A7B">
        <w:noBreakHyphen/>
      </w:r>
      <w:r>
        <w:t>effective doses were:</w:t>
      </w:r>
    </w:p>
    <w:p w14:paraId="2EB18ED4" w14:textId="77777777" w:rsidR="003B117B" w:rsidRDefault="005D3AF1" w:rsidP="003A3A7B">
      <w:pPr>
        <w:pStyle w:val="3-BodyText"/>
        <w:numPr>
          <w:ilvl w:val="0"/>
          <w:numId w:val="0"/>
        </w:numPr>
        <w:ind w:left="1080"/>
      </w:pPr>
      <w:r w:rsidRPr="005F417E">
        <w:t xml:space="preserve">Encorafenib </w:t>
      </w:r>
      <w:r w:rsidR="00002D19" w:rsidRPr="005F417E">
        <w:t>450</w:t>
      </w:r>
      <w:r w:rsidRPr="005F417E">
        <w:t xml:space="preserve"> mg/day + </w:t>
      </w:r>
      <w:proofErr w:type="spellStart"/>
      <w:r w:rsidRPr="005F417E">
        <w:t>binimetinib</w:t>
      </w:r>
      <w:proofErr w:type="spellEnd"/>
      <w:r w:rsidRPr="005F417E">
        <w:t xml:space="preserve"> </w:t>
      </w:r>
      <w:r w:rsidR="00002D19" w:rsidRPr="005F417E">
        <w:t>90</w:t>
      </w:r>
      <w:r w:rsidRPr="005F417E">
        <w:t xml:space="preserve"> mg/day = </w:t>
      </w:r>
    </w:p>
    <w:p w14:paraId="07E11472" w14:textId="467ABCFD" w:rsidR="005D3AF1" w:rsidRPr="00F846F5" w:rsidRDefault="003B117B" w:rsidP="003A3A7B">
      <w:pPr>
        <w:pStyle w:val="3-BodyText"/>
        <w:numPr>
          <w:ilvl w:val="0"/>
          <w:numId w:val="0"/>
        </w:numPr>
        <w:ind w:left="1080"/>
      </w:pPr>
      <w:r>
        <w:t>D</w:t>
      </w:r>
      <w:r w:rsidR="005D3AF1" w:rsidRPr="005F417E">
        <w:t xml:space="preserve">abrafenib </w:t>
      </w:r>
      <w:r w:rsidR="005F417E" w:rsidRPr="005F417E">
        <w:t>300</w:t>
      </w:r>
      <w:r w:rsidR="005D3AF1" w:rsidRPr="005F417E">
        <w:t xml:space="preserve"> mg/day + trametinib </w:t>
      </w:r>
      <w:r w:rsidR="005F417E" w:rsidRPr="005F417E">
        <w:t>2</w:t>
      </w:r>
      <w:r w:rsidR="005D3AF1" w:rsidRPr="005F417E">
        <w:t xml:space="preserve"> mg/day</w:t>
      </w:r>
      <w:r w:rsidR="005D3AF1">
        <w:t xml:space="preserve"> </w:t>
      </w:r>
    </w:p>
    <w:p w14:paraId="4E6D0624" w14:textId="69BB7F60" w:rsidR="00F01849" w:rsidRPr="00F01849" w:rsidRDefault="00175586" w:rsidP="003A3A7B">
      <w:pPr>
        <w:numPr>
          <w:ilvl w:val="1"/>
          <w:numId w:val="1"/>
        </w:numPr>
        <w:spacing w:after="120"/>
        <w:rPr>
          <w:rFonts w:asciiTheme="minorHAnsi" w:hAnsiTheme="minorHAnsi"/>
          <w:bCs/>
          <w:snapToGrid w:val="0"/>
          <w:lang w:val="en-GB" w:eastAsia="en-US"/>
        </w:rPr>
      </w:pPr>
      <w:r>
        <w:t xml:space="preserve">Noting </w:t>
      </w:r>
      <w:r w:rsidR="008F2061">
        <w:t>that it considered that E+B was superior compared to D+T in terms of safety</w:t>
      </w:r>
      <w:r w:rsidR="00F97928">
        <w:t>, the PBAC advised that a</w:t>
      </w:r>
      <w:r w:rsidR="00E81B54">
        <w:t xml:space="preserve"> </w:t>
      </w:r>
      <w:r w:rsidR="00D97164" w:rsidRPr="00D97164">
        <w:rPr>
          <w:highlight w:val="black"/>
        </w:rPr>
        <w:t>&amp;&amp;&amp;&amp;</w:t>
      </w:r>
      <w:r w:rsidR="00F97928">
        <w:t xml:space="preserve"> price premium could be applied to E+B in accordance with the PBAC Guidelines, September 2016 v5.0, which allow a price advantage over the comparator on the basis of reduced cost offsets, which in this case would be reduced costs associated with </w:t>
      </w:r>
      <w:r w:rsidR="00AC4EF4">
        <w:t>pyrexia</w:t>
      </w:r>
      <w:r w:rsidR="00261977">
        <w:t xml:space="preserve">, cutaneous toxicities and </w:t>
      </w:r>
      <w:r w:rsidR="00F97928">
        <w:t xml:space="preserve">the management of </w:t>
      </w:r>
      <w:r w:rsidR="00676960">
        <w:t>serious adverse events</w:t>
      </w:r>
      <w:r w:rsidR="00F97928">
        <w:t>.</w:t>
      </w:r>
    </w:p>
    <w:p w14:paraId="2412C075" w14:textId="288E6672" w:rsidR="008C468D" w:rsidRPr="00BC1C9F" w:rsidRDefault="00604FA0" w:rsidP="003A3A7B">
      <w:pPr>
        <w:numPr>
          <w:ilvl w:val="1"/>
          <w:numId w:val="1"/>
        </w:numPr>
        <w:spacing w:after="120"/>
        <w:rPr>
          <w:rFonts w:asciiTheme="minorHAnsi" w:hAnsiTheme="minorHAnsi"/>
          <w:bCs/>
          <w:snapToGrid w:val="0"/>
          <w:lang w:val="en-GB" w:eastAsia="en-US"/>
        </w:rPr>
      </w:pPr>
      <w:r w:rsidRPr="00BC1C9F">
        <w:rPr>
          <w:rFonts w:asciiTheme="minorHAnsi" w:hAnsiTheme="minorHAnsi"/>
          <w:snapToGrid w:val="0"/>
          <w:lang w:val="en-GB" w:eastAsia="en-US"/>
        </w:rPr>
        <w:t xml:space="preserve">The PBAC noted the submission presented financial estimates that assumed that E+B would replace </w:t>
      </w:r>
      <w:proofErr w:type="spellStart"/>
      <w:r w:rsidRPr="00BC1C9F">
        <w:rPr>
          <w:rFonts w:asciiTheme="minorHAnsi" w:hAnsiTheme="minorHAnsi"/>
          <w:snapToGrid w:val="0"/>
          <w:lang w:val="en-GB" w:eastAsia="en-US"/>
        </w:rPr>
        <w:t>pembrolizumab+PDC</w:t>
      </w:r>
      <w:proofErr w:type="spellEnd"/>
      <w:r w:rsidRPr="00BC1C9F">
        <w:rPr>
          <w:rFonts w:asciiTheme="minorHAnsi" w:hAnsiTheme="minorHAnsi"/>
          <w:snapToGrid w:val="0"/>
          <w:lang w:val="en-GB" w:eastAsia="en-US"/>
        </w:rPr>
        <w:t xml:space="preserve">. </w:t>
      </w:r>
      <w:r w:rsidR="001773A8">
        <w:rPr>
          <w:rFonts w:asciiTheme="minorHAnsi" w:hAnsiTheme="minorHAnsi"/>
          <w:snapToGrid w:val="0"/>
          <w:lang w:val="en-GB" w:eastAsia="en-US"/>
        </w:rPr>
        <w:t>However</w:t>
      </w:r>
      <w:r w:rsidR="00B172B1" w:rsidRPr="00BC1C9F">
        <w:rPr>
          <w:rFonts w:asciiTheme="minorHAnsi" w:hAnsiTheme="minorHAnsi"/>
          <w:snapToGrid w:val="0"/>
          <w:lang w:val="en-GB" w:eastAsia="en-US"/>
        </w:rPr>
        <w:t>, the PBAC considered that E+B was likely to replace D+T</w:t>
      </w:r>
      <w:r w:rsidR="00B172B1">
        <w:rPr>
          <w:rFonts w:asciiTheme="minorHAnsi" w:hAnsiTheme="minorHAnsi"/>
          <w:snapToGrid w:val="0"/>
          <w:lang w:val="en-GB" w:eastAsia="en-US"/>
        </w:rPr>
        <w:t xml:space="preserve"> and</w:t>
      </w:r>
      <w:r w:rsidR="00776966">
        <w:rPr>
          <w:rFonts w:asciiTheme="minorHAnsi" w:hAnsiTheme="minorHAnsi"/>
          <w:snapToGrid w:val="0"/>
          <w:lang w:val="en-GB" w:eastAsia="en-US"/>
        </w:rPr>
        <w:t>,</w:t>
      </w:r>
      <w:r w:rsidR="00B172B1">
        <w:rPr>
          <w:rFonts w:asciiTheme="minorHAnsi" w:hAnsiTheme="minorHAnsi"/>
          <w:snapToGrid w:val="0"/>
          <w:lang w:val="en-GB" w:eastAsia="en-US"/>
        </w:rPr>
        <w:t xml:space="preserve"> </w:t>
      </w:r>
      <w:r w:rsidR="00E2138E">
        <w:rPr>
          <w:rFonts w:asciiTheme="minorHAnsi" w:hAnsiTheme="minorHAnsi"/>
          <w:snapToGrid w:val="0"/>
          <w:lang w:val="en-GB" w:eastAsia="en-US"/>
        </w:rPr>
        <w:t xml:space="preserve">noting the cost </w:t>
      </w:r>
      <w:r w:rsidR="00EC29D5">
        <w:rPr>
          <w:rFonts w:asciiTheme="minorHAnsi" w:hAnsiTheme="minorHAnsi"/>
          <w:snapToGrid w:val="0"/>
          <w:lang w:val="en-GB" w:eastAsia="en-US"/>
        </w:rPr>
        <w:t>minimisation</w:t>
      </w:r>
      <w:r w:rsidR="00E2138E">
        <w:rPr>
          <w:rFonts w:asciiTheme="minorHAnsi" w:hAnsiTheme="minorHAnsi"/>
          <w:snapToGrid w:val="0"/>
          <w:lang w:val="en-GB" w:eastAsia="en-US"/>
        </w:rPr>
        <w:t xml:space="preserve"> approach outlined above, </w:t>
      </w:r>
      <w:r w:rsidR="00A23EF7">
        <w:rPr>
          <w:rFonts w:asciiTheme="minorHAnsi" w:hAnsiTheme="minorHAnsi"/>
          <w:snapToGrid w:val="0"/>
          <w:lang w:val="en-GB" w:eastAsia="en-US"/>
        </w:rPr>
        <w:t xml:space="preserve">considered that the financial implications of listing E+B would be small. </w:t>
      </w:r>
    </w:p>
    <w:p w14:paraId="1A872471" w14:textId="77777777" w:rsidR="00BF2D2F" w:rsidRPr="00BF2D2F" w:rsidRDefault="001708FF" w:rsidP="003A3A7B">
      <w:pPr>
        <w:pStyle w:val="3-BodyText"/>
        <w:rPr>
          <w:lang w:val="en-GB" w:eastAsia="en-US"/>
        </w:rPr>
      </w:pPr>
      <w:r w:rsidRPr="4952259E">
        <w:rPr>
          <w:snapToGrid w:val="0"/>
          <w:lang w:val="en-GB" w:eastAsia="en-US"/>
        </w:rPr>
        <w:t xml:space="preserve">The PBAC advised, under Section 101 (4AACD) of the </w:t>
      </w:r>
      <w:r w:rsidRPr="4952259E">
        <w:rPr>
          <w:i/>
          <w:iCs/>
          <w:snapToGrid w:val="0"/>
          <w:lang w:val="en-GB" w:eastAsia="en-US"/>
        </w:rPr>
        <w:t>National Health Act</w:t>
      </w:r>
      <w:r w:rsidRPr="4952259E">
        <w:rPr>
          <w:snapToGrid w:val="0"/>
          <w:lang w:val="en-GB" w:eastAsia="en-US"/>
        </w:rPr>
        <w:t xml:space="preserve">, that </w:t>
      </w:r>
      <w:r w:rsidR="4F3B323B" w:rsidRPr="4952259E">
        <w:rPr>
          <w:snapToGrid w:val="0"/>
          <w:lang w:val="en-GB" w:eastAsia="en-US"/>
        </w:rPr>
        <w:t xml:space="preserve">the different pack sizes of </w:t>
      </w:r>
      <w:proofErr w:type="spellStart"/>
      <w:r w:rsidR="00346EA6" w:rsidRPr="4952259E">
        <w:rPr>
          <w:snapToGrid w:val="0"/>
          <w:lang w:val="en-GB" w:eastAsia="en-US"/>
        </w:rPr>
        <w:t>binimetinib</w:t>
      </w:r>
      <w:proofErr w:type="spellEnd"/>
      <w:r w:rsidRPr="4952259E">
        <w:rPr>
          <w:snapToGrid w:val="0"/>
          <w:lang w:val="en-GB" w:eastAsia="en-US"/>
        </w:rPr>
        <w:t xml:space="preserve">, </w:t>
      </w:r>
      <w:r w:rsidR="00920042" w:rsidRPr="4952259E">
        <w:rPr>
          <w:lang w:val="en-GB" w:eastAsia="en-US"/>
        </w:rPr>
        <w:t xml:space="preserve">45 </w:t>
      </w:r>
      <w:r w:rsidR="00BD0257" w:rsidRPr="4952259E">
        <w:rPr>
          <w:snapToGrid w:val="0"/>
          <w:lang w:val="en-GB" w:eastAsia="en-US"/>
        </w:rPr>
        <w:t>mg</w:t>
      </w:r>
      <w:r w:rsidR="005B7509" w:rsidRPr="4952259E">
        <w:rPr>
          <w:snapToGrid w:val="0"/>
          <w:lang w:val="en-GB" w:eastAsia="en-US"/>
        </w:rPr>
        <w:t xml:space="preserve"> tablet, </w:t>
      </w:r>
      <w:r w:rsidRPr="4952259E">
        <w:rPr>
          <w:snapToGrid w:val="0"/>
          <w:lang w:val="en-GB" w:eastAsia="en-US"/>
        </w:rPr>
        <w:t>should be considered equivalent for the purposes of substitution</w:t>
      </w:r>
      <w:r w:rsidR="49B8A17F" w:rsidRPr="4952259E">
        <w:rPr>
          <w:snapToGrid w:val="0"/>
          <w:lang w:val="en-GB" w:eastAsia="en-US"/>
        </w:rPr>
        <w:t>.</w:t>
      </w:r>
      <w:r w:rsidRPr="4952259E">
        <w:rPr>
          <w:snapToGrid w:val="0"/>
          <w:lang w:val="en-GB" w:eastAsia="en-US"/>
        </w:rPr>
        <w:t xml:space="preserve"> </w:t>
      </w:r>
    </w:p>
    <w:p w14:paraId="570DBA0E" w14:textId="1C7698A6" w:rsidR="00D06794" w:rsidRPr="007A409E" w:rsidRDefault="001708FF" w:rsidP="003A3A7B">
      <w:pPr>
        <w:pStyle w:val="3-BodyText"/>
      </w:pPr>
      <w:r w:rsidRPr="001708FF">
        <w:rPr>
          <w:lang w:val="en-GB" w:eastAsia="en-US"/>
        </w:rPr>
        <w:t>The PBAC noted that its recommendation was on a cost</w:t>
      </w:r>
      <w:r w:rsidR="003A3A7B">
        <w:rPr>
          <w:lang w:val="en-GB" w:eastAsia="en-US"/>
        </w:rPr>
        <w:noBreakHyphen/>
      </w:r>
      <w:r w:rsidRPr="001708FF">
        <w:rPr>
          <w:lang w:val="en-GB" w:eastAsia="en-US"/>
        </w:rPr>
        <w:t xml:space="preserve">minimisation basis and advised that, because </w:t>
      </w:r>
      <w:r w:rsidR="007909F0">
        <w:rPr>
          <w:lang w:val="en-GB" w:eastAsia="en-US"/>
        </w:rPr>
        <w:t>E+B</w:t>
      </w:r>
      <w:r w:rsidRPr="001708FF">
        <w:rPr>
          <w:lang w:val="en-GB" w:eastAsia="en-US"/>
        </w:rPr>
        <w:t xml:space="preserve"> is not expected to provide a substantial</w:t>
      </w:r>
      <w:r w:rsidRPr="63A6F2E1">
        <w:rPr>
          <w:rFonts w:cs="Times New Roman"/>
          <w:lang w:val="en-GB" w:eastAsia="en-US"/>
        </w:rPr>
        <w:t xml:space="preserve"> and clinically relevant improvement in efficacy</w:t>
      </w:r>
      <w:r w:rsidR="004337D7" w:rsidRPr="63A6F2E1">
        <w:rPr>
          <w:rFonts w:cs="Times New Roman"/>
          <w:lang w:val="en-GB" w:eastAsia="en-US"/>
        </w:rPr>
        <w:t xml:space="preserve"> </w:t>
      </w:r>
      <w:r w:rsidRPr="63A6F2E1">
        <w:rPr>
          <w:rFonts w:cs="Times New Roman"/>
          <w:lang w:val="en-GB" w:eastAsia="en-US"/>
        </w:rPr>
        <w:t xml:space="preserve">over </w:t>
      </w:r>
      <w:r w:rsidR="007909F0" w:rsidRPr="63A6F2E1">
        <w:rPr>
          <w:rFonts w:cs="Times New Roman"/>
          <w:lang w:val="en-GB" w:eastAsia="en-US"/>
        </w:rPr>
        <w:t>D+T</w:t>
      </w:r>
      <w:r w:rsidRPr="63A6F2E1">
        <w:rPr>
          <w:rFonts w:cs="Times New Roman"/>
          <w:lang w:val="en-GB" w:eastAsia="en-US"/>
        </w:rPr>
        <w:t xml:space="preserve">, or not expected to address a high and urgent unmet clinical need given the presence of an alternative therapy, the criteria prescribed by the </w:t>
      </w:r>
      <w:r w:rsidRPr="63A6F2E1">
        <w:rPr>
          <w:rFonts w:cs="Times New Roman"/>
          <w:i/>
          <w:iCs/>
          <w:lang w:val="en-GB" w:eastAsia="en-US"/>
        </w:rPr>
        <w:t>National Health (Pharmaceuticals and Vaccines – Cost Recovery) Regulations 2022</w:t>
      </w:r>
      <w:r w:rsidRPr="63A6F2E1">
        <w:rPr>
          <w:rFonts w:cs="Times New Roman"/>
          <w:lang w:val="en-GB" w:eastAsia="en-US"/>
        </w:rPr>
        <w:t xml:space="preserve"> for Pricing Pathway A were not met.</w:t>
      </w:r>
    </w:p>
    <w:p w14:paraId="41DC2BAA" w14:textId="78FEAE4A" w:rsidR="001708FF" w:rsidRPr="001708FF" w:rsidRDefault="001708FF" w:rsidP="003A3A7B">
      <w:pPr>
        <w:numPr>
          <w:ilvl w:val="1"/>
          <w:numId w:val="1"/>
        </w:numPr>
        <w:spacing w:before="60" w:after="60"/>
        <w:jc w:val="left"/>
        <w:rPr>
          <w:rFonts w:asciiTheme="minorHAnsi" w:hAnsiTheme="minorHAnsi"/>
          <w:bCs/>
          <w:i/>
          <w:snapToGrid w:val="0"/>
          <w:lang w:val="en-GB" w:eastAsia="en-US"/>
        </w:rPr>
      </w:pPr>
      <w:r w:rsidRPr="001708FF">
        <w:rPr>
          <w:rFonts w:asciiTheme="minorHAnsi" w:hAnsiTheme="minorHAnsi"/>
          <w:bCs/>
          <w:snapToGrid w:val="0"/>
          <w:lang w:val="en-GB" w:eastAsia="en-US"/>
        </w:rPr>
        <w:t>The PBAC noted that this submission is not eligible for an Independent Review</w:t>
      </w:r>
      <w:r w:rsidR="0036477D">
        <w:rPr>
          <w:rFonts w:asciiTheme="minorHAnsi" w:hAnsiTheme="minorHAnsi"/>
          <w:bCs/>
          <w:snapToGrid w:val="0"/>
          <w:lang w:val="en-GB" w:eastAsia="en-US"/>
        </w:rPr>
        <w:t xml:space="preserve"> </w:t>
      </w:r>
      <w:r w:rsidR="00B00C55">
        <w:rPr>
          <w:rFonts w:asciiTheme="minorHAnsi" w:hAnsiTheme="minorHAnsi"/>
          <w:bCs/>
          <w:snapToGrid w:val="0"/>
          <w:lang w:val="en-GB" w:eastAsia="en-US"/>
        </w:rPr>
        <w:t>as it received a positive recommendation</w:t>
      </w:r>
      <w:r w:rsidRPr="001708FF">
        <w:rPr>
          <w:rFonts w:asciiTheme="minorHAnsi" w:hAnsiTheme="minorHAnsi"/>
          <w:bCs/>
          <w:snapToGrid w:val="0"/>
          <w:lang w:val="en-GB" w:eastAsia="en-US"/>
        </w:rPr>
        <w:t xml:space="preserve">. </w:t>
      </w:r>
    </w:p>
    <w:p w14:paraId="3B52C23B" w14:textId="77777777" w:rsidR="001708FF" w:rsidRPr="001708FF" w:rsidRDefault="001708FF" w:rsidP="003A3A7B">
      <w:pPr>
        <w:spacing w:before="240"/>
        <w:rPr>
          <w:rFonts w:asciiTheme="minorHAnsi" w:hAnsiTheme="minorHAnsi"/>
          <w:b/>
          <w:bCs/>
          <w:snapToGrid w:val="0"/>
          <w:lang w:val="en-GB" w:eastAsia="en-US"/>
        </w:rPr>
      </w:pPr>
      <w:r w:rsidRPr="001708FF">
        <w:rPr>
          <w:rFonts w:asciiTheme="minorHAnsi" w:hAnsiTheme="minorHAnsi"/>
          <w:b/>
          <w:bCs/>
          <w:snapToGrid w:val="0"/>
          <w:lang w:val="en-GB" w:eastAsia="en-US"/>
        </w:rPr>
        <w:lastRenderedPageBreak/>
        <w:t>Outcome:</w:t>
      </w:r>
    </w:p>
    <w:p w14:paraId="136AA583" w14:textId="39A5FFD1" w:rsidR="00D40463" w:rsidRPr="007D1BB4" w:rsidRDefault="001708FF" w:rsidP="007D1BB4">
      <w:pPr>
        <w:spacing w:after="120"/>
        <w:rPr>
          <w:rFonts w:asciiTheme="minorHAnsi" w:hAnsiTheme="minorHAnsi"/>
          <w:bCs/>
          <w:snapToGrid w:val="0"/>
          <w:lang w:val="en-GB" w:eastAsia="en-US"/>
        </w:rPr>
      </w:pPr>
      <w:r w:rsidRPr="001708FF">
        <w:rPr>
          <w:rFonts w:asciiTheme="minorHAnsi" w:hAnsiTheme="minorHAnsi"/>
          <w:bCs/>
          <w:snapToGrid w:val="0"/>
          <w:lang w:val="en-GB" w:eastAsia="en-US"/>
        </w:rPr>
        <w:t xml:space="preserve">Recommended </w:t>
      </w:r>
    </w:p>
    <w:bookmarkEnd w:id="105"/>
    <w:p w14:paraId="1A12A38C" w14:textId="77777777" w:rsidR="001708FF" w:rsidRPr="001708FF" w:rsidRDefault="001708FF" w:rsidP="003A3A7B">
      <w:pPr>
        <w:keepNext/>
        <w:numPr>
          <w:ilvl w:val="0"/>
          <w:numId w:val="1"/>
        </w:numPr>
        <w:spacing w:before="240" w:after="120"/>
        <w:jc w:val="left"/>
        <w:outlineLvl w:val="0"/>
        <w:rPr>
          <w:rFonts w:asciiTheme="minorHAnsi" w:hAnsiTheme="minorHAnsi"/>
          <w:b/>
          <w:snapToGrid w:val="0"/>
          <w:sz w:val="32"/>
          <w:szCs w:val="32"/>
        </w:rPr>
      </w:pPr>
      <w:r w:rsidRPr="001708FF">
        <w:rPr>
          <w:rFonts w:asciiTheme="minorHAnsi" w:hAnsiTheme="minorHAnsi"/>
          <w:b/>
          <w:snapToGrid w:val="0"/>
          <w:sz w:val="32"/>
          <w:szCs w:val="32"/>
        </w:rPr>
        <w:t>Recommended listing</w:t>
      </w:r>
    </w:p>
    <w:p w14:paraId="32519A49" w14:textId="416A8A87" w:rsidR="001708FF" w:rsidRPr="00D40463" w:rsidRDefault="007004AA" w:rsidP="003A3A7B">
      <w:pPr>
        <w:numPr>
          <w:ilvl w:val="1"/>
          <w:numId w:val="1"/>
        </w:numPr>
        <w:spacing w:after="120"/>
        <w:contextualSpacing/>
        <w:jc w:val="left"/>
        <w:rPr>
          <w:rFonts w:asciiTheme="minorHAnsi" w:hAnsiTheme="minorHAnsi"/>
          <w:snapToGrid w:val="0"/>
          <w:lang w:eastAsia="en-US"/>
        </w:rPr>
      </w:pPr>
      <w:r w:rsidRPr="007004AA">
        <w:rPr>
          <w:rFonts w:asciiTheme="minorHAnsi" w:hAnsiTheme="minorHAnsi"/>
          <w:snapToGrid w:val="0"/>
          <w:lang w:eastAsia="en-US"/>
        </w:rPr>
        <w:t>A</w:t>
      </w:r>
      <w:r w:rsidR="00221F16">
        <w:rPr>
          <w:rFonts w:asciiTheme="minorHAnsi" w:hAnsiTheme="minorHAnsi"/>
          <w:snapToGrid w:val="0"/>
          <w:lang w:eastAsia="en-US"/>
        </w:rPr>
        <w:t xml:space="preserve">dd new items </w:t>
      </w:r>
      <w:r w:rsidR="00F849BC">
        <w:rPr>
          <w:rFonts w:asciiTheme="minorHAnsi" w:hAnsiTheme="minorHAnsi"/>
          <w:snapToGrid w:val="0"/>
          <w:lang w:eastAsia="en-US"/>
        </w:rPr>
        <w:t xml:space="preserve">as </w:t>
      </w:r>
      <w:r w:rsidRPr="007004AA">
        <w:rPr>
          <w:rFonts w:asciiTheme="minorHAnsi" w:hAnsiTheme="minorHAnsi"/>
          <w:snapToGrid w:val="0"/>
          <w:lang w:eastAsia="en-US"/>
        </w:rPr>
        <w:t>follows:</w:t>
      </w:r>
    </w:p>
    <w:p w14:paraId="25240C00" w14:textId="18BEE0A7" w:rsidR="005450F6" w:rsidRDefault="005450F6" w:rsidP="003A3A7B">
      <w:pPr>
        <w:jc w:val="left"/>
        <w:rPr>
          <w:rFonts w:asciiTheme="minorHAnsi" w:eastAsiaTheme="minorHAnsi" w:hAnsiTheme="minorHAnsi" w:cstheme="minorBidi"/>
          <w:b/>
          <w:bCs/>
          <w:szCs w:val="22"/>
        </w:rPr>
      </w:pPr>
    </w:p>
    <w:p w14:paraId="104527E3" w14:textId="263A498A" w:rsidR="00CE546E" w:rsidRPr="00CE546E" w:rsidRDefault="00CE546E" w:rsidP="003A3A7B">
      <w:pPr>
        <w:pStyle w:val="3-BodyText"/>
        <w:numPr>
          <w:ilvl w:val="0"/>
          <w:numId w:val="0"/>
        </w:numPr>
        <w:ind w:left="720" w:hanging="720"/>
        <w:rPr>
          <w:b/>
          <w:bCs/>
        </w:rPr>
      </w:pPr>
      <w:r w:rsidRPr="00CE546E">
        <w:rPr>
          <w:b/>
          <w:bCs/>
        </w:rPr>
        <w:t>Encorafenib – single listing (for initial+ continuing + grandfather)</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Encorafenib"/>
      </w:tblPr>
      <w:tblGrid>
        <w:gridCol w:w="645"/>
        <w:gridCol w:w="626"/>
        <w:gridCol w:w="2668"/>
        <w:gridCol w:w="811"/>
        <w:gridCol w:w="812"/>
        <w:gridCol w:w="811"/>
        <w:gridCol w:w="812"/>
        <w:gridCol w:w="1831"/>
      </w:tblGrid>
      <w:tr w:rsidR="00CE546E" w:rsidRPr="002162FE" w14:paraId="1CDAECC8" w14:textId="77777777">
        <w:trPr>
          <w:cantSplit/>
          <w:trHeight w:val="20"/>
        </w:trPr>
        <w:tc>
          <w:tcPr>
            <w:tcW w:w="3939" w:type="dxa"/>
            <w:gridSpan w:val="3"/>
            <w:vAlign w:val="center"/>
          </w:tcPr>
          <w:p w14:paraId="4817EF3B" w14:textId="77777777" w:rsidR="00CE546E" w:rsidRPr="002162FE" w:rsidRDefault="00CE546E" w:rsidP="003A3A7B">
            <w:pPr>
              <w:keepNext/>
              <w:keepLines/>
              <w:rPr>
                <w:rFonts w:ascii="Arial Narrow" w:hAnsi="Arial Narrow"/>
                <w:b/>
                <w:bCs/>
                <w:sz w:val="20"/>
                <w:szCs w:val="20"/>
              </w:rPr>
            </w:pPr>
            <w:r w:rsidRPr="002162FE">
              <w:rPr>
                <w:rFonts w:ascii="Arial Narrow" w:hAnsi="Arial Narrow"/>
                <w:b/>
                <w:bCs/>
                <w:sz w:val="20"/>
                <w:szCs w:val="20"/>
              </w:rPr>
              <w:t>MEDICINAL PRODUCT</w:t>
            </w:r>
          </w:p>
          <w:p w14:paraId="59417403" w14:textId="77777777" w:rsidR="00CE546E" w:rsidRPr="002162FE" w:rsidRDefault="00CE546E" w:rsidP="003A3A7B">
            <w:pPr>
              <w:keepNext/>
              <w:keepLines/>
              <w:rPr>
                <w:rFonts w:ascii="Arial Narrow" w:hAnsi="Arial Narrow"/>
                <w:b/>
                <w:sz w:val="20"/>
                <w:szCs w:val="20"/>
              </w:rPr>
            </w:pPr>
            <w:r w:rsidRPr="002162FE">
              <w:rPr>
                <w:rFonts w:ascii="Arial Narrow" w:hAnsi="Arial Narrow"/>
                <w:b/>
                <w:bCs/>
                <w:sz w:val="20"/>
                <w:szCs w:val="20"/>
              </w:rPr>
              <w:t>medicinal product pack</w:t>
            </w:r>
          </w:p>
        </w:tc>
        <w:tc>
          <w:tcPr>
            <w:tcW w:w="811" w:type="dxa"/>
            <w:vAlign w:val="center"/>
          </w:tcPr>
          <w:p w14:paraId="3F0C7F2A" w14:textId="77777777" w:rsidR="00CE546E" w:rsidRPr="002162FE" w:rsidRDefault="00CE546E" w:rsidP="003A3A7B">
            <w:pPr>
              <w:keepNext/>
              <w:keepLines/>
              <w:jc w:val="center"/>
              <w:rPr>
                <w:rFonts w:ascii="Arial Narrow" w:hAnsi="Arial Narrow"/>
                <w:b/>
                <w:sz w:val="20"/>
                <w:szCs w:val="20"/>
              </w:rPr>
            </w:pPr>
            <w:r w:rsidRPr="002162FE">
              <w:rPr>
                <w:rFonts w:ascii="Arial Narrow" w:hAnsi="Arial Narrow"/>
                <w:b/>
                <w:sz w:val="20"/>
                <w:szCs w:val="20"/>
              </w:rPr>
              <w:t>PBS item code</w:t>
            </w:r>
          </w:p>
        </w:tc>
        <w:tc>
          <w:tcPr>
            <w:tcW w:w="812" w:type="dxa"/>
            <w:vAlign w:val="center"/>
          </w:tcPr>
          <w:p w14:paraId="5D77538F" w14:textId="77777777" w:rsidR="00CE546E" w:rsidRPr="002162FE" w:rsidRDefault="00CE546E" w:rsidP="003A3A7B">
            <w:pPr>
              <w:keepNext/>
              <w:keepLines/>
              <w:jc w:val="center"/>
              <w:rPr>
                <w:rFonts w:ascii="Arial Narrow" w:hAnsi="Arial Narrow"/>
                <w:b/>
                <w:sz w:val="20"/>
                <w:szCs w:val="20"/>
              </w:rPr>
            </w:pPr>
            <w:r w:rsidRPr="002162FE">
              <w:rPr>
                <w:rFonts w:ascii="Arial Narrow" w:hAnsi="Arial Narrow"/>
                <w:b/>
                <w:sz w:val="20"/>
                <w:szCs w:val="20"/>
              </w:rPr>
              <w:t>Max. qty packs</w:t>
            </w:r>
          </w:p>
        </w:tc>
        <w:tc>
          <w:tcPr>
            <w:tcW w:w="811" w:type="dxa"/>
            <w:vAlign w:val="center"/>
          </w:tcPr>
          <w:p w14:paraId="45CD84F8" w14:textId="77777777" w:rsidR="00CE546E" w:rsidRPr="002162FE" w:rsidRDefault="00CE546E" w:rsidP="003A3A7B">
            <w:pPr>
              <w:keepNext/>
              <w:keepLines/>
              <w:jc w:val="center"/>
              <w:rPr>
                <w:rFonts w:ascii="Arial Narrow" w:hAnsi="Arial Narrow"/>
                <w:b/>
                <w:sz w:val="20"/>
                <w:szCs w:val="20"/>
              </w:rPr>
            </w:pPr>
            <w:r w:rsidRPr="002162FE">
              <w:rPr>
                <w:rFonts w:ascii="Arial Narrow" w:hAnsi="Arial Narrow"/>
                <w:b/>
                <w:sz w:val="20"/>
                <w:szCs w:val="20"/>
              </w:rPr>
              <w:t>Max. qty units</w:t>
            </w:r>
          </w:p>
        </w:tc>
        <w:tc>
          <w:tcPr>
            <w:tcW w:w="812" w:type="dxa"/>
            <w:vAlign w:val="center"/>
          </w:tcPr>
          <w:p w14:paraId="7872E6C5" w14:textId="75727644" w:rsidR="00CE546E" w:rsidRPr="002162FE" w:rsidRDefault="00CE546E" w:rsidP="003A3A7B">
            <w:pPr>
              <w:keepNext/>
              <w:keepLines/>
              <w:jc w:val="center"/>
              <w:rPr>
                <w:rFonts w:ascii="Arial Narrow" w:hAnsi="Arial Narrow"/>
                <w:b/>
                <w:sz w:val="20"/>
                <w:szCs w:val="20"/>
              </w:rPr>
            </w:pPr>
            <w:r w:rsidRPr="002162FE">
              <w:rPr>
                <w:rFonts w:ascii="Arial Narrow" w:hAnsi="Arial Narrow"/>
                <w:b/>
                <w:sz w:val="20"/>
                <w:szCs w:val="20"/>
              </w:rPr>
              <w:t>№.</w:t>
            </w:r>
            <w:r w:rsidR="00462DE5">
              <w:rPr>
                <w:rFonts w:ascii="Arial Narrow" w:hAnsi="Arial Narrow"/>
                <w:b/>
                <w:sz w:val="20"/>
                <w:szCs w:val="20"/>
              </w:rPr>
              <w:t xml:space="preserve"> </w:t>
            </w:r>
            <w:r w:rsidRPr="002162FE">
              <w:rPr>
                <w:rFonts w:ascii="Arial Narrow" w:hAnsi="Arial Narrow"/>
                <w:b/>
                <w:sz w:val="20"/>
                <w:szCs w:val="20"/>
              </w:rPr>
              <w:t>of</w:t>
            </w:r>
          </w:p>
          <w:p w14:paraId="6B0C1B1C" w14:textId="77777777" w:rsidR="00CE546E" w:rsidRPr="002162FE" w:rsidRDefault="00CE546E" w:rsidP="003A3A7B">
            <w:pPr>
              <w:keepNext/>
              <w:keepLines/>
              <w:jc w:val="center"/>
              <w:rPr>
                <w:rFonts w:ascii="Arial Narrow" w:hAnsi="Arial Narrow"/>
                <w:b/>
                <w:sz w:val="20"/>
                <w:szCs w:val="20"/>
              </w:rPr>
            </w:pPr>
            <w:proofErr w:type="spellStart"/>
            <w:r w:rsidRPr="002162FE">
              <w:rPr>
                <w:rFonts w:ascii="Arial Narrow" w:hAnsi="Arial Narrow"/>
                <w:b/>
                <w:sz w:val="20"/>
                <w:szCs w:val="20"/>
              </w:rPr>
              <w:t>Rpts</w:t>
            </w:r>
            <w:proofErr w:type="spellEnd"/>
          </w:p>
        </w:tc>
        <w:tc>
          <w:tcPr>
            <w:tcW w:w="1831" w:type="dxa"/>
            <w:vAlign w:val="center"/>
          </w:tcPr>
          <w:p w14:paraId="4A78F1A4" w14:textId="77777777" w:rsidR="00CE546E" w:rsidRPr="002162FE" w:rsidRDefault="00CE546E" w:rsidP="003A3A7B">
            <w:pPr>
              <w:keepNext/>
              <w:keepLines/>
              <w:rPr>
                <w:rFonts w:ascii="Arial Narrow" w:hAnsi="Arial Narrow"/>
                <w:b/>
                <w:sz w:val="20"/>
                <w:szCs w:val="20"/>
                <w:lang w:val="fr-FR"/>
              </w:rPr>
            </w:pPr>
            <w:r w:rsidRPr="002162FE">
              <w:rPr>
                <w:rFonts w:ascii="Arial Narrow" w:hAnsi="Arial Narrow"/>
                <w:b/>
                <w:sz w:val="20"/>
                <w:szCs w:val="20"/>
              </w:rPr>
              <w:t>Available brands</w:t>
            </w:r>
          </w:p>
        </w:tc>
      </w:tr>
      <w:tr w:rsidR="00CE546E" w:rsidRPr="002162FE" w14:paraId="2F69E1C9" w14:textId="77777777">
        <w:trPr>
          <w:cantSplit/>
          <w:trHeight w:val="20"/>
        </w:trPr>
        <w:tc>
          <w:tcPr>
            <w:tcW w:w="9016" w:type="dxa"/>
            <w:gridSpan w:val="8"/>
            <w:vAlign w:val="center"/>
          </w:tcPr>
          <w:p w14:paraId="15BA8415" w14:textId="77777777" w:rsidR="00CE546E" w:rsidRPr="002162FE" w:rsidRDefault="00CE546E" w:rsidP="003A3A7B">
            <w:pPr>
              <w:keepNext/>
              <w:keepLines/>
              <w:rPr>
                <w:rFonts w:ascii="Arial Narrow" w:hAnsi="Arial Narrow"/>
                <w:sz w:val="20"/>
                <w:szCs w:val="20"/>
              </w:rPr>
            </w:pPr>
            <w:r w:rsidRPr="002162FE">
              <w:rPr>
                <w:rFonts w:ascii="Arial Narrow" w:hAnsi="Arial Narrow"/>
                <w:sz w:val="20"/>
                <w:szCs w:val="20"/>
              </w:rPr>
              <w:t>ENCORAFINIB</w:t>
            </w:r>
          </w:p>
        </w:tc>
      </w:tr>
      <w:tr w:rsidR="00CE546E" w:rsidRPr="002162FE" w14:paraId="314FC466" w14:textId="77777777">
        <w:trPr>
          <w:cantSplit/>
          <w:trHeight w:val="20"/>
        </w:trPr>
        <w:tc>
          <w:tcPr>
            <w:tcW w:w="3939" w:type="dxa"/>
            <w:gridSpan w:val="3"/>
            <w:vAlign w:val="center"/>
          </w:tcPr>
          <w:p w14:paraId="0C07B2CA" w14:textId="77777777" w:rsidR="00CE546E" w:rsidRPr="002162FE" w:rsidRDefault="00CE546E" w:rsidP="003A3A7B">
            <w:pPr>
              <w:keepNext/>
              <w:keepLines/>
              <w:rPr>
                <w:rFonts w:ascii="Arial Narrow" w:hAnsi="Arial Narrow"/>
                <w:sz w:val="20"/>
                <w:szCs w:val="20"/>
              </w:rPr>
            </w:pPr>
            <w:proofErr w:type="spellStart"/>
            <w:r w:rsidRPr="002162FE">
              <w:rPr>
                <w:rFonts w:ascii="Arial Narrow" w:hAnsi="Arial Narrow"/>
                <w:sz w:val="20"/>
                <w:szCs w:val="20"/>
              </w:rPr>
              <w:t>encorafenib</w:t>
            </w:r>
            <w:proofErr w:type="spellEnd"/>
            <w:r w:rsidRPr="002162FE">
              <w:rPr>
                <w:rFonts w:ascii="Arial Narrow" w:hAnsi="Arial Narrow"/>
                <w:sz w:val="20"/>
                <w:szCs w:val="20"/>
              </w:rPr>
              <w:t xml:space="preserve"> 75 mg capsule, 42</w:t>
            </w:r>
          </w:p>
        </w:tc>
        <w:tc>
          <w:tcPr>
            <w:tcW w:w="811" w:type="dxa"/>
            <w:vAlign w:val="center"/>
          </w:tcPr>
          <w:p w14:paraId="1E62AFE6" w14:textId="77777777" w:rsidR="00CE546E" w:rsidRPr="002162FE" w:rsidRDefault="00CE546E" w:rsidP="003A3A7B">
            <w:pPr>
              <w:keepNext/>
              <w:keepLines/>
              <w:jc w:val="center"/>
              <w:rPr>
                <w:rFonts w:ascii="Arial Narrow" w:hAnsi="Arial Narrow"/>
                <w:sz w:val="20"/>
                <w:szCs w:val="20"/>
              </w:rPr>
            </w:pPr>
            <w:r w:rsidRPr="002162FE">
              <w:rPr>
                <w:rFonts w:ascii="Arial Narrow" w:hAnsi="Arial Narrow"/>
                <w:sz w:val="20"/>
                <w:szCs w:val="20"/>
              </w:rPr>
              <w:t>NEW</w:t>
            </w:r>
          </w:p>
        </w:tc>
        <w:tc>
          <w:tcPr>
            <w:tcW w:w="812" w:type="dxa"/>
            <w:vAlign w:val="center"/>
          </w:tcPr>
          <w:p w14:paraId="4B02CD17" w14:textId="77777777" w:rsidR="00CE546E" w:rsidRPr="002162FE" w:rsidRDefault="00CE546E" w:rsidP="003A3A7B">
            <w:pPr>
              <w:keepNext/>
              <w:keepLines/>
              <w:jc w:val="center"/>
              <w:rPr>
                <w:rFonts w:ascii="Arial Narrow" w:hAnsi="Arial Narrow"/>
                <w:sz w:val="20"/>
                <w:szCs w:val="20"/>
              </w:rPr>
            </w:pPr>
            <w:r w:rsidRPr="002162FE">
              <w:rPr>
                <w:rFonts w:ascii="Arial Narrow" w:hAnsi="Arial Narrow"/>
                <w:sz w:val="20"/>
                <w:szCs w:val="20"/>
              </w:rPr>
              <w:t>4</w:t>
            </w:r>
          </w:p>
        </w:tc>
        <w:tc>
          <w:tcPr>
            <w:tcW w:w="811" w:type="dxa"/>
            <w:vAlign w:val="center"/>
          </w:tcPr>
          <w:p w14:paraId="4582D095" w14:textId="77777777" w:rsidR="00CE546E" w:rsidRPr="002162FE" w:rsidRDefault="00CE546E" w:rsidP="003A3A7B">
            <w:pPr>
              <w:keepNext/>
              <w:keepLines/>
              <w:jc w:val="center"/>
              <w:rPr>
                <w:rFonts w:ascii="Arial Narrow" w:hAnsi="Arial Narrow"/>
                <w:sz w:val="20"/>
                <w:szCs w:val="20"/>
              </w:rPr>
            </w:pPr>
            <w:r w:rsidRPr="002162FE">
              <w:rPr>
                <w:rFonts w:ascii="Arial Narrow" w:hAnsi="Arial Narrow"/>
                <w:sz w:val="20"/>
                <w:szCs w:val="20"/>
              </w:rPr>
              <w:t>168</w:t>
            </w:r>
          </w:p>
        </w:tc>
        <w:tc>
          <w:tcPr>
            <w:tcW w:w="812" w:type="dxa"/>
            <w:vAlign w:val="center"/>
          </w:tcPr>
          <w:p w14:paraId="4688CD2E" w14:textId="77777777" w:rsidR="00CE546E" w:rsidRPr="002162FE" w:rsidRDefault="00CE546E" w:rsidP="003A3A7B">
            <w:pPr>
              <w:keepNext/>
              <w:keepLines/>
              <w:jc w:val="center"/>
              <w:rPr>
                <w:rFonts w:ascii="Arial Narrow" w:hAnsi="Arial Narrow"/>
                <w:sz w:val="20"/>
                <w:szCs w:val="20"/>
              </w:rPr>
            </w:pPr>
            <w:r w:rsidRPr="002162FE">
              <w:rPr>
                <w:rFonts w:ascii="Arial Narrow" w:hAnsi="Arial Narrow"/>
                <w:sz w:val="20"/>
                <w:szCs w:val="20"/>
              </w:rPr>
              <w:t>5</w:t>
            </w:r>
          </w:p>
        </w:tc>
        <w:tc>
          <w:tcPr>
            <w:tcW w:w="1831" w:type="dxa"/>
            <w:vAlign w:val="center"/>
          </w:tcPr>
          <w:p w14:paraId="09342A84" w14:textId="77777777" w:rsidR="00CE546E" w:rsidRPr="002162FE" w:rsidRDefault="00CE546E" w:rsidP="003A3A7B">
            <w:pPr>
              <w:keepNext/>
              <w:keepLines/>
              <w:rPr>
                <w:rFonts w:ascii="Arial Narrow" w:hAnsi="Arial Narrow"/>
                <w:sz w:val="20"/>
                <w:szCs w:val="20"/>
              </w:rPr>
            </w:pPr>
            <w:r w:rsidRPr="002162FE">
              <w:rPr>
                <w:rFonts w:ascii="Arial Narrow" w:hAnsi="Arial Narrow"/>
                <w:sz w:val="20"/>
                <w:szCs w:val="20"/>
              </w:rPr>
              <w:t>Braftovi</w:t>
            </w:r>
          </w:p>
        </w:tc>
      </w:tr>
      <w:tr w:rsidR="00CE546E" w:rsidRPr="002162FE" w14:paraId="76F0F612"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C2E4A9B" w14:textId="77777777" w:rsidR="00CE546E" w:rsidRPr="002162FE" w:rsidRDefault="00CE546E" w:rsidP="003A3A7B">
            <w:pPr>
              <w:keepNext/>
              <w:keepLines/>
              <w:rPr>
                <w:rFonts w:ascii="Arial Narrow" w:hAnsi="Arial Narrow"/>
                <w:sz w:val="20"/>
                <w:szCs w:val="20"/>
              </w:rPr>
            </w:pPr>
          </w:p>
        </w:tc>
      </w:tr>
      <w:tr w:rsidR="00CE546E" w:rsidRPr="002162FE" w14:paraId="14D374E6"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51D019C" w14:textId="77777777" w:rsidR="00CE546E" w:rsidRPr="002162FE" w:rsidRDefault="00CE546E" w:rsidP="003A3A7B">
            <w:pPr>
              <w:keepNext/>
              <w:keepLines/>
              <w:rPr>
                <w:rFonts w:ascii="Arial Narrow" w:hAnsi="Arial Narrow"/>
                <w:b/>
                <w:sz w:val="20"/>
                <w:szCs w:val="20"/>
              </w:rPr>
            </w:pPr>
            <w:r w:rsidRPr="002162FE">
              <w:rPr>
                <w:rFonts w:ascii="Arial Narrow" w:hAnsi="Arial Narrow"/>
                <w:b/>
                <w:sz w:val="20"/>
                <w:szCs w:val="20"/>
              </w:rPr>
              <w:t>Restriction Summary NEW1</w:t>
            </w:r>
            <w:r w:rsidRPr="002162FE">
              <w:rPr>
                <w:rFonts w:ascii="Arial Narrow" w:hAnsi="Arial Narrow"/>
                <w:b/>
                <w:color w:val="FF0000"/>
                <w:sz w:val="20"/>
                <w:szCs w:val="20"/>
              </w:rPr>
              <w:t xml:space="preserve"> </w:t>
            </w:r>
            <w:r w:rsidRPr="002162FE">
              <w:rPr>
                <w:rFonts w:ascii="Arial Narrow" w:hAnsi="Arial Narrow"/>
                <w:b/>
                <w:sz w:val="20"/>
                <w:szCs w:val="20"/>
              </w:rPr>
              <w:t>/ Treatment of Concept: NEW1A</w:t>
            </w:r>
          </w:p>
        </w:tc>
      </w:tr>
      <w:tr w:rsidR="00CE546E" w:rsidRPr="002162FE" w14:paraId="1DEDCB7C"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F384A03" w14:textId="77777777" w:rsidR="00CE546E" w:rsidRPr="002162FE" w:rsidRDefault="00CE546E" w:rsidP="003A3A7B">
            <w:pPr>
              <w:keepNext/>
              <w:keepLines/>
              <w:jc w:val="center"/>
              <w:rPr>
                <w:rFonts w:ascii="Arial Narrow" w:hAnsi="Arial Narrow"/>
                <w:b/>
                <w:sz w:val="20"/>
                <w:szCs w:val="20"/>
              </w:rPr>
            </w:pPr>
            <w:r w:rsidRPr="002162FE">
              <w:rPr>
                <w:rFonts w:ascii="Arial Narrow" w:hAnsi="Arial Narrow"/>
                <w:b/>
                <w:sz w:val="20"/>
                <w:szCs w:val="20"/>
              </w:rPr>
              <w:t xml:space="preserve">Concept ID </w:t>
            </w:r>
            <w:r w:rsidRPr="002162FE">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7C203D" w14:textId="5FBB527E" w:rsidR="00CE546E" w:rsidRPr="002162FE" w:rsidRDefault="00CE546E" w:rsidP="003A3A7B">
            <w:pPr>
              <w:keepNext/>
              <w:keepLines/>
              <w:rPr>
                <w:rFonts w:ascii="Arial Narrow" w:hAnsi="Arial Narrow"/>
                <w:sz w:val="20"/>
                <w:szCs w:val="20"/>
              </w:rPr>
            </w:pPr>
            <w:r w:rsidRPr="002162FE">
              <w:rPr>
                <w:rFonts w:ascii="Arial Narrow" w:hAnsi="Arial Narrow"/>
                <w:b/>
                <w:sz w:val="20"/>
                <w:szCs w:val="20"/>
              </w:rPr>
              <w:t>Category / Program:</w:t>
            </w:r>
            <w:r w:rsidRPr="002162FE">
              <w:rPr>
                <w:rFonts w:ascii="Arial Narrow" w:hAnsi="Arial Narrow"/>
                <w:color w:val="FF0000"/>
                <w:sz w:val="20"/>
                <w:szCs w:val="20"/>
              </w:rPr>
              <w:t xml:space="preserve"> </w:t>
            </w:r>
            <w:r w:rsidRPr="002162FE">
              <w:rPr>
                <w:rFonts w:ascii="Arial Narrow" w:eastAsia="Calibri" w:hAnsi="Arial Narrow"/>
                <w:sz w:val="20"/>
                <w:szCs w:val="20"/>
              </w:rPr>
              <w:fldChar w:fldCharType="begin">
                <w:ffData>
                  <w:name w:val="Check1"/>
                  <w:enabled/>
                  <w:calcOnExit w:val="0"/>
                  <w:checkBox>
                    <w:sizeAuto/>
                    <w:default w:val="1"/>
                  </w:checkBox>
                </w:ffData>
              </w:fldChar>
            </w:r>
            <w:bookmarkStart w:id="108" w:name="Check1"/>
            <w:r w:rsidRPr="002162FE">
              <w:rPr>
                <w:rFonts w:ascii="Arial Narrow" w:eastAsia="Calibri" w:hAnsi="Arial Narrow"/>
                <w:sz w:val="20"/>
                <w:szCs w:val="20"/>
              </w:rPr>
              <w:instrText xml:space="preserve"> FORMCHECKBOX </w:instrText>
            </w:r>
            <w:r w:rsidRPr="002162FE">
              <w:rPr>
                <w:rFonts w:ascii="Arial Narrow" w:eastAsia="Calibri" w:hAnsi="Arial Narrow"/>
                <w:sz w:val="20"/>
                <w:szCs w:val="20"/>
              </w:rPr>
            </w:r>
            <w:r w:rsidRPr="002162FE">
              <w:rPr>
                <w:rFonts w:ascii="Arial Narrow" w:eastAsia="Calibri" w:hAnsi="Arial Narrow"/>
                <w:sz w:val="20"/>
                <w:szCs w:val="20"/>
              </w:rPr>
              <w:fldChar w:fldCharType="separate"/>
            </w:r>
            <w:r w:rsidRPr="002162FE">
              <w:rPr>
                <w:rFonts w:ascii="Arial Narrow" w:eastAsia="Calibri" w:hAnsi="Arial Narrow"/>
                <w:sz w:val="20"/>
                <w:szCs w:val="20"/>
              </w:rPr>
              <w:fldChar w:fldCharType="end"/>
            </w:r>
            <w:bookmarkEnd w:id="108"/>
            <w:r w:rsidRPr="002162FE">
              <w:rPr>
                <w:rFonts w:ascii="Arial Narrow" w:eastAsia="Calibri" w:hAnsi="Arial Narrow"/>
                <w:sz w:val="20"/>
                <w:szCs w:val="20"/>
              </w:rPr>
              <w:t xml:space="preserve"> GENERAL </w:t>
            </w:r>
            <w:r w:rsidR="003A3A7B">
              <w:rPr>
                <w:rFonts w:ascii="Arial Narrow" w:eastAsia="Calibri" w:hAnsi="Arial Narrow"/>
                <w:sz w:val="20"/>
                <w:szCs w:val="20"/>
              </w:rPr>
              <w:noBreakHyphen/>
            </w:r>
            <w:r w:rsidRPr="002162FE">
              <w:rPr>
                <w:rFonts w:ascii="Arial Narrow" w:eastAsia="Calibri" w:hAnsi="Arial Narrow"/>
                <w:sz w:val="20"/>
                <w:szCs w:val="20"/>
              </w:rPr>
              <w:t xml:space="preserve"> </w:t>
            </w:r>
            <w:proofErr w:type="spellStart"/>
            <w:r w:rsidRPr="002162FE">
              <w:rPr>
                <w:rFonts w:ascii="Arial Narrow" w:eastAsia="Calibri" w:hAnsi="Arial Narrow"/>
                <w:sz w:val="20"/>
                <w:szCs w:val="20"/>
              </w:rPr>
              <w:t>General</w:t>
            </w:r>
            <w:proofErr w:type="spellEnd"/>
            <w:r w:rsidRPr="002162FE">
              <w:rPr>
                <w:rFonts w:ascii="Arial Narrow" w:eastAsia="Calibri" w:hAnsi="Arial Narrow"/>
                <w:sz w:val="20"/>
                <w:szCs w:val="20"/>
              </w:rPr>
              <w:t xml:space="preserve"> Schedule (Code GE) </w:t>
            </w:r>
          </w:p>
        </w:tc>
      </w:tr>
      <w:tr w:rsidR="00CE546E" w:rsidRPr="002162FE" w14:paraId="77C05075"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6A40952" w14:textId="77777777" w:rsidR="00CE546E" w:rsidRPr="002162FE" w:rsidRDefault="00CE546E" w:rsidP="003A3A7B">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E066E40" w14:textId="77777777" w:rsidR="00CE546E" w:rsidRPr="002162FE" w:rsidRDefault="00CE546E" w:rsidP="003A3A7B">
            <w:pPr>
              <w:keepNext/>
              <w:keepLines/>
              <w:rPr>
                <w:rFonts w:ascii="Arial Narrow" w:hAnsi="Arial Narrow"/>
                <w:b/>
                <w:sz w:val="20"/>
                <w:szCs w:val="20"/>
              </w:rPr>
            </w:pPr>
            <w:r w:rsidRPr="002162FE">
              <w:rPr>
                <w:rFonts w:ascii="Arial Narrow" w:hAnsi="Arial Narrow"/>
                <w:b/>
                <w:sz w:val="20"/>
                <w:szCs w:val="20"/>
              </w:rPr>
              <w:t xml:space="preserve">Prescriber type:  </w:t>
            </w:r>
            <w:r w:rsidRPr="002162FE">
              <w:rPr>
                <w:rFonts w:ascii="Arial Narrow" w:hAnsi="Arial Narrow"/>
                <w:sz w:val="20"/>
                <w:szCs w:val="20"/>
              </w:rPr>
              <w:fldChar w:fldCharType="begin">
                <w:ffData>
                  <w:name w:val=""/>
                  <w:enabled/>
                  <w:calcOnExit w:val="0"/>
                  <w:checkBox>
                    <w:sizeAuto/>
                    <w:default w:val="1"/>
                  </w:checkBox>
                </w:ffData>
              </w:fldChar>
            </w:r>
            <w:r w:rsidRPr="002162FE">
              <w:rPr>
                <w:rFonts w:ascii="Arial Narrow" w:hAnsi="Arial Narrow"/>
                <w:sz w:val="20"/>
                <w:szCs w:val="20"/>
              </w:rPr>
              <w:instrText xml:space="preserve"> FORMCHECKBOX </w:instrText>
            </w:r>
            <w:r w:rsidRPr="002162FE">
              <w:rPr>
                <w:rFonts w:ascii="Arial Narrow" w:hAnsi="Arial Narrow"/>
                <w:sz w:val="20"/>
                <w:szCs w:val="20"/>
              </w:rPr>
            </w:r>
            <w:r w:rsidRPr="002162FE">
              <w:rPr>
                <w:rFonts w:ascii="Arial Narrow" w:hAnsi="Arial Narrow"/>
                <w:sz w:val="20"/>
                <w:szCs w:val="20"/>
              </w:rPr>
              <w:fldChar w:fldCharType="separate"/>
            </w:r>
            <w:r w:rsidRPr="002162FE">
              <w:rPr>
                <w:rFonts w:ascii="Arial Narrow" w:hAnsi="Arial Narrow"/>
                <w:sz w:val="20"/>
                <w:szCs w:val="20"/>
              </w:rPr>
              <w:fldChar w:fldCharType="end"/>
            </w:r>
            <w:r w:rsidRPr="002162FE">
              <w:rPr>
                <w:rFonts w:ascii="Arial Narrow" w:hAnsi="Arial Narrow"/>
                <w:sz w:val="20"/>
                <w:szCs w:val="20"/>
              </w:rPr>
              <w:t>Medical Practitioners</w:t>
            </w:r>
          </w:p>
        </w:tc>
      </w:tr>
      <w:tr w:rsidR="00CE546E" w:rsidRPr="002162FE" w14:paraId="256799D1"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27DB9616" w14:textId="77777777" w:rsidR="00CE546E" w:rsidRPr="002162FE" w:rsidRDefault="00CE546E" w:rsidP="003A3A7B">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198DF4" w14:textId="77777777" w:rsidR="00CE546E" w:rsidRPr="002162FE" w:rsidRDefault="00CE546E" w:rsidP="003A3A7B">
            <w:pPr>
              <w:keepNext/>
              <w:keepLines/>
              <w:rPr>
                <w:rFonts w:ascii="Arial Narrow" w:eastAsia="Calibri" w:hAnsi="Arial Narrow"/>
                <w:color w:val="FF0000"/>
                <w:sz w:val="20"/>
                <w:szCs w:val="20"/>
              </w:rPr>
            </w:pPr>
            <w:r w:rsidRPr="002162FE">
              <w:rPr>
                <w:rFonts w:ascii="Arial Narrow" w:hAnsi="Arial Narrow"/>
                <w:b/>
                <w:sz w:val="20"/>
                <w:szCs w:val="20"/>
              </w:rPr>
              <w:t xml:space="preserve">Restriction type: </w:t>
            </w:r>
            <w:r w:rsidRPr="002162FE">
              <w:rPr>
                <w:rFonts w:ascii="Arial Narrow" w:eastAsia="Calibri" w:hAnsi="Arial Narrow"/>
                <w:sz w:val="20"/>
                <w:szCs w:val="20"/>
              </w:rPr>
              <w:fldChar w:fldCharType="begin">
                <w:ffData>
                  <w:name w:val=""/>
                  <w:enabled/>
                  <w:calcOnExit w:val="0"/>
                  <w:checkBox>
                    <w:sizeAuto/>
                    <w:default w:val="1"/>
                  </w:checkBox>
                </w:ffData>
              </w:fldChar>
            </w:r>
            <w:r w:rsidRPr="002162FE">
              <w:rPr>
                <w:rFonts w:ascii="Arial Narrow" w:eastAsia="Calibri" w:hAnsi="Arial Narrow"/>
                <w:sz w:val="20"/>
                <w:szCs w:val="20"/>
              </w:rPr>
              <w:instrText xml:space="preserve"> FORMCHECKBOX </w:instrText>
            </w:r>
            <w:r w:rsidRPr="002162FE">
              <w:rPr>
                <w:rFonts w:ascii="Arial Narrow" w:eastAsia="Calibri" w:hAnsi="Arial Narrow"/>
                <w:sz w:val="20"/>
                <w:szCs w:val="20"/>
              </w:rPr>
            </w:r>
            <w:r w:rsidRPr="002162FE">
              <w:rPr>
                <w:rFonts w:ascii="Arial Narrow" w:eastAsia="Calibri" w:hAnsi="Arial Narrow"/>
                <w:sz w:val="20"/>
                <w:szCs w:val="20"/>
              </w:rPr>
              <w:fldChar w:fldCharType="separate"/>
            </w:r>
            <w:r w:rsidRPr="002162FE">
              <w:rPr>
                <w:rFonts w:ascii="Arial Narrow" w:eastAsia="Calibri" w:hAnsi="Arial Narrow"/>
                <w:sz w:val="20"/>
                <w:szCs w:val="20"/>
              </w:rPr>
              <w:fldChar w:fldCharType="end"/>
            </w:r>
            <w:r w:rsidRPr="002162FE">
              <w:rPr>
                <w:rFonts w:ascii="Arial Narrow" w:eastAsia="Calibri" w:hAnsi="Arial Narrow"/>
                <w:sz w:val="20"/>
                <w:szCs w:val="20"/>
              </w:rPr>
              <w:t xml:space="preserve">Authority Required (Streamlined) </w:t>
            </w:r>
            <w:r w:rsidRPr="002162FE">
              <w:rPr>
                <w:rFonts w:ascii="Arial Narrow" w:eastAsia="Calibri" w:hAnsi="Arial Narrow"/>
                <w:i/>
                <w:iCs/>
                <w:sz w:val="20"/>
                <w:szCs w:val="20"/>
              </w:rPr>
              <w:t>(new code)</w:t>
            </w:r>
          </w:p>
        </w:tc>
      </w:tr>
      <w:tr w:rsidR="00CE546E" w:rsidRPr="002162FE" w14:paraId="3A8ABC84" w14:textId="77777777">
        <w:tblPrEx>
          <w:tblCellMar>
            <w:top w:w="15" w:type="dxa"/>
            <w:bottom w:w="15" w:type="dxa"/>
          </w:tblCellMar>
          <w:tblLook w:val="04A0" w:firstRow="1" w:lastRow="0" w:firstColumn="1" w:lastColumn="0" w:noHBand="0" w:noVBand="1"/>
        </w:tblPrEx>
        <w:trPr>
          <w:trHeight w:val="20"/>
        </w:trPr>
        <w:tc>
          <w:tcPr>
            <w:tcW w:w="645" w:type="dxa"/>
            <w:vMerge w:val="restart"/>
            <w:tcBorders>
              <w:left w:val="single" w:sz="4" w:space="0" w:color="auto"/>
              <w:right w:val="single" w:sz="4" w:space="0" w:color="auto"/>
            </w:tcBorders>
            <w:textDirection w:val="btLr"/>
            <w:vAlign w:val="center"/>
          </w:tcPr>
          <w:p w14:paraId="1284A80B" w14:textId="77777777" w:rsidR="00CE546E" w:rsidRPr="002162FE" w:rsidRDefault="00CE546E" w:rsidP="003A3A7B">
            <w:pPr>
              <w:jc w:val="center"/>
              <w:rPr>
                <w:rFonts w:ascii="Arial Narrow" w:hAnsi="Arial Narrow"/>
                <w:sz w:val="20"/>
                <w:szCs w:val="20"/>
              </w:rPr>
            </w:pPr>
            <w:r w:rsidRPr="002162FE">
              <w:rPr>
                <w:rFonts w:ascii="Arial Narrow" w:hAnsi="Arial Narrow"/>
                <w:sz w:val="20"/>
                <w:szCs w:val="20"/>
              </w:rPr>
              <w:t>Prescribing rule level</w:t>
            </w:r>
          </w:p>
        </w:tc>
        <w:tc>
          <w:tcPr>
            <w:tcW w:w="626" w:type="dxa"/>
            <w:vAlign w:val="center"/>
          </w:tcPr>
          <w:p w14:paraId="062F5B8E" w14:textId="3CD3709C" w:rsidR="00CE546E" w:rsidRPr="002162FE" w:rsidRDefault="00CE546E" w:rsidP="003A3A7B">
            <w:pPr>
              <w:jc w:val="center"/>
              <w:rPr>
                <w:rFonts w:ascii="Arial Narrow" w:hAnsi="Arial Narrow"/>
                <w:color w:val="333333"/>
                <w:sz w:val="20"/>
                <w:szCs w:val="20"/>
              </w:rPr>
            </w:pPr>
          </w:p>
        </w:tc>
        <w:tc>
          <w:tcPr>
            <w:tcW w:w="7745" w:type="dxa"/>
            <w:gridSpan w:val="6"/>
            <w:vAlign w:val="center"/>
          </w:tcPr>
          <w:p w14:paraId="61D81AD8" w14:textId="77777777" w:rsidR="00CE546E" w:rsidRPr="002162FE" w:rsidRDefault="00CE546E" w:rsidP="003A3A7B">
            <w:pPr>
              <w:rPr>
                <w:rFonts w:ascii="Arial Narrow" w:hAnsi="Arial Narrow"/>
                <w:color w:val="333333"/>
                <w:sz w:val="20"/>
                <w:szCs w:val="20"/>
              </w:rPr>
            </w:pPr>
            <w:r w:rsidRPr="002162FE">
              <w:rPr>
                <w:rFonts w:ascii="Arial Narrow" w:hAnsi="Arial Narrow"/>
                <w:b/>
                <w:bCs/>
                <w:sz w:val="20"/>
                <w:szCs w:val="20"/>
              </w:rPr>
              <w:t xml:space="preserve">Administrative Advice: </w:t>
            </w:r>
            <w:r w:rsidRPr="002162FE">
              <w:rPr>
                <w:rFonts w:ascii="Arial Narrow" w:hAnsi="Arial Narrow"/>
                <w:bCs/>
                <w:sz w:val="20"/>
                <w:szCs w:val="20"/>
              </w:rPr>
              <w:t>No increase in the maximum quantity or number of units may be authorised.</w:t>
            </w:r>
          </w:p>
        </w:tc>
      </w:tr>
      <w:tr w:rsidR="00CE546E" w:rsidRPr="002162FE" w14:paraId="5A1B90EF" w14:textId="77777777">
        <w:tblPrEx>
          <w:tblCellMar>
            <w:top w:w="15" w:type="dxa"/>
            <w:bottom w:w="15" w:type="dxa"/>
          </w:tblCellMar>
          <w:tblLook w:val="04A0" w:firstRow="1" w:lastRow="0" w:firstColumn="1" w:lastColumn="0" w:noHBand="0" w:noVBand="1"/>
        </w:tblPrEx>
        <w:trPr>
          <w:trHeight w:val="20"/>
        </w:trPr>
        <w:tc>
          <w:tcPr>
            <w:tcW w:w="645" w:type="dxa"/>
            <w:vMerge/>
          </w:tcPr>
          <w:p w14:paraId="776EEAF1" w14:textId="77777777" w:rsidR="00CE546E" w:rsidRPr="002162FE" w:rsidRDefault="00CE546E" w:rsidP="003A3A7B">
            <w:pPr>
              <w:rPr>
                <w:rFonts w:ascii="Arial Narrow" w:hAnsi="Arial Narrow"/>
                <w:sz w:val="20"/>
                <w:szCs w:val="20"/>
              </w:rPr>
            </w:pPr>
          </w:p>
        </w:tc>
        <w:tc>
          <w:tcPr>
            <w:tcW w:w="626" w:type="dxa"/>
            <w:vAlign w:val="center"/>
          </w:tcPr>
          <w:p w14:paraId="75381B54" w14:textId="3A8AAF91" w:rsidR="00CE546E" w:rsidRPr="002162FE" w:rsidRDefault="00CE546E" w:rsidP="003A3A7B">
            <w:pPr>
              <w:jc w:val="center"/>
              <w:rPr>
                <w:rFonts w:ascii="Arial Narrow" w:hAnsi="Arial Narrow"/>
                <w:color w:val="333333"/>
                <w:sz w:val="20"/>
                <w:szCs w:val="20"/>
              </w:rPr>
            </w:pPr>
          </w:p>
        </w:tc>
        <w:tc>
          <w:tcPr>
            <w:tcW w:w="7745" w:type="dxa"/>
            <w:gridSpan w:val="6"/>
            <w:vAlign w:val="center"/>
          </w:tcPr>
          <w:p w14:paraId="047D686B" w14:textId="77777777" w:rsidR="00CE546E" w:rsidRPr="002162FE" w:rsidRDefault="00CE546E" w:rsidP="003A3A7B">
            <w:pPr>
              <w:rPr>
                <w:rFonts w:ascii="Arial Narrow" w:hAnsi="Arial Narrow"/>
                <w:b/>
                <w:bCs/>
                <w:color w:val="333333"/>
                <w:sz w:val="20"/>
                <w:szCs w:val="20"/>
              </w:rPr>
            </w:pPr>
            <w:r w:rsidRPr="002162FE">
              <w:rPr>
                <w:rFonts w:ascii="Arial Narrow" w:hAnsi="Arial Narrow"/>
                <w:b/>
                <w:bCs/>
                <w:sz w:val="20"/>
                <w:szCs w:val="20"/>
              </w:rPr>
              <w:t xml:space="preserve">Administrative Advice: </w:t>
            </w:r>
            <w:r w:rsidRPr="002162FE">
              <w:rPr>
                <w:rFonts w:ascii="Arial Narrow" w:hAnsi="Arial Narrow"/>
                <w:bCs/>
                <w:sz w:val="20"/>
                <w:szCs w:val="20"/>
              </w:rPr>
              <w:t>No increase in the maximum number of repeats may be authorised.</w:t>
            </w:r>
          </w:p>
        </w:tc>
      </w:tr>
      <w:tr w:rsidR="00CE546E" w:rsidRPr="002162FE" w14:paraId="2C3B6039" w14:textId="77777777">
        <w:tblPrEx>
          <w:tblCellMar>
            <w:top w:w="15" w:type="dxa"/>
            <w:bottom w:w="15" w:type="dxa"/>
          </w:tblCellMar>
        </w:tblPrEx>
        <w:trPr>
          <w:trHeight w:val="570"/>
        </w:trPr>
        <w:tc>
          <w:tcPr>
            <w:tcW w:w="645" w:type="dxa"/>
            <w:vMerge/>
          </w:tcPr>
          <w:p w14:paraId="6E940646" w14:textId="77777777" w:rsidR="00CE546E" w:rsidRPr="002162FE" w:rsidRDefault="00CE546E" w:rsidP="003A3A7B">
            <w:pPr>
              <w:rPr>
                <w:rFonts w:ascii="Arial Narrow" w:hAnsi="Arial Narrow"/>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14:paraId="3FC1A962" w14:textId="1E26BB9D" w:rsidR="00CE546E" w:rsidRPr="002162FE" w:rsidRDefault="00CE546E" w:rsidP="003A3A7B">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38BFB7B" w14:textId="77777777" w:rsidR="00CE546E" w:rsidRPr="002162FE" w:rsidRDefault="00CE546E" w:rsidP="003A3A7B">
            <w:pPr>
              <w:rPr>
                <w:rFonts w:ascii="Arial Narrow" w:hAnsi="Arial Narrow"/>
                <w:b/>
                <w:bCs/>
                <w:color w:val="333333"/>
                <w:sz w:val="20"/>
                <w:szCs w:val="20"/>
              </w:rPr>
            </w:pPr>
            <w:r w:rsidRPr="002162FE">
              <w:rPr>
                <w:rFonts w:ascii="Arial Narrow" w:hAnsi="Arial Narrow"/>
                <w:b/>
                <w:bCs/>
                <w:sz w:val="20"/>
                <w:szCs w:val="20"/>
              </w:rPr>
              <w:t xml:space="preserve">Administrative Advice: </w:t>
            </w:r>
            <w:r w:rsidRPr="002162FE">
              <w:rPr>
                <w:rFonts w:ascii="Arial Narrow" w:hAnsi="Arial Narrow"/>
                <w:bCs/>
                <w:sz w:val="20"/>
                <w:szCs w:val="20"/>
              </w:rPr>
              <w:t>Special Pricing Arrangements apply.</w:t>
            </w:r>
          </w:p>
        </w:tc>
      </w:tr>
      <w:tr w:rsidR="00CE546E" w:rsidRPr="002162FE" w14:paraId="7273D24E"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7CE72992" w14:textId="77777777" w:rsidR="00CE546E" w:rsidRPr="002162FE" w:rsidRDefault="00CE546E" w:rsidP="003A3A7B">
            <w:pPr>
              <w:keepLines/>
              <w:jc w:val="center"/>
              <w:rPr>
                <w:rFonts w:ascii="Arial Narrow" w:hAnsi="Arial Narrow"/>
                <w:color w:val="333333"/>
                <w:sz w:val="20"/>
                <w:szCs w:val="20"/>
              </w:rPr>
            </w:pPr>
          </w:p>
        </w:tc>
        <w:tc>
          <w:tcPr>
            <w:tcW w:w="7745" w:type="dxa"/>
            <w:gridSpan w:val="6"/>
            <w:vAlign w:val="center"/>
          </w:tcPr>
          <w:p w14:paraId="4B32AF17" w14:textId="77777777" w:rsidR="00CE546E" w:rsidRPr="008731C9" w:rsidRDefault="00CE546E" w:rsidP="003A3A7B">
            <w:pPr>
              <w:keepLines/>
              <w:rPr>
                <w:rFonts w:ascii="Arial Narrow" w:hAnsi="Arial Narrow"/>
                <w:bCs/>
                <w:color w:val="808080" w:themeColor="background1" w:themeShade="80"/>
                <w:sz w:val="20"/>
                <w:szCs w:val="20"/>
              </w:rPr>
            </w:pPr>
            <w:proofErr w:type="spellStart"/>
            <w:r w:rsidRPr="008731C9">
              <w:rPr>
                <w:rFonts w:ascii="Arial Narrow" w:hAnsi="Arial Narrow"/>
                <w:b/>
                <w:bCs/>
                <w:color w:val="808080" w:themeColor="background1" w:themeShade="80"/>
                <w:sz w:val="20"/>
                <w:szCs w:val="20"/>
              </w:rPr>
              <w:t>Episodicity</w:t>
            </w:r>
            <w:proofErr w:type="spellEnd"/>
            <w:r w:rsidRPr="008731C9">
              <w:rPr>
                <w:rFonts w:ascii="Arial Narrow" w:hAnsi="Arial Narrow"/>
                <w:b/>
                <w:bCs/>
                <w:color w:val="808080" w:themeColor="background1" w:themeShade="80"/>
                <w:sz w:val="20"/>
                <w:szCs w:val="20"/>
              </w:rPr>
              <w:t xml:space="preserve">: </w:t>
            </w:r>
            <w:r w:rsidRPr="008731C9">
              <w:rPr>
                <w:rFonts w:ascii="Arial Narrow" w:hAnsi="Arial Narrow"/>
                <w:bCs/>
                <w:color w:val="808080" w:themeColor="background1" w:themeShade="80"/>
                <w:sz w:val="20"/>
                <w:szCs w:val="20"/>
              </w:rPr>
              <w:t>BLANK</w:t>
            </w:r>
          </w:p>
        </w:tc>
      </w:tr>
      <w:tr w:rsidR="00CE546E" w:rsidRPr="002162FE" w14:paraId="2FC58472"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6057E914" w14:textId="77777777" w:rsidR="00CE546E" w:rsidRPr="002162FE" w:rsidRDefault="00CE546E" w:rsidP="003A3A7B">
            <w:pPr>
              <w:keepLines/>
              <w:jc w:val="center"/>
              <w:rPr>
                <w:rFonts w:ascii="Arial Narrow" w:hAnsi="Arial Narrow"/>
                <w:color w:val="333333"/>
                <w:sz w:val="20"/>
                <w:szCs w:val="20"/>
              </w:rPr>
            </w:pPr>
          </w:p>
        </w:tc>
        <w:tc>
          <w:tcPr>
            <w:tcW w:w="7745" w:type="dxa"/>
            <w:gridSpan w:val="6"/>
            <w:vAlign w:val="center"/>
          </w:tcPr>
          <w:p w14:paraId="27959017" w14:textId="77777777" w:rsidR="00CE546E" w:rsidRPr="008731C9" w:rsidRDefault="00CE546E" w:rsidP="003A3A7B">
            <w:pPr>
              <w:keepLines/>
              <w:rPr>
                <w:rFonts w:ascii="Arial Narrow" w:hAnsi="Arial Narrow"/>
                <w:b/>
                <w:bCs/>
                <w:color w:val="808080" w:themeColor="background1" w:themeShade="80"/>
                <w:sz w:val="20"/>
                <w:szCs w:val="20"/>
              </w:rPr>
            </w:pPr>
            <w:r w:rsidRPr="008731C9">
              <w:rPr>
                <w:rFonts w:ascii="Arial Narrow" w:hAnsi="Arial Narrow"/>
                <w:b/>
                <w:bCs/>
                <w:color w:val="808080" w:themeColor="background1" w:themeShade="80"/>
                <w:sz w:val="20"/>
                <w:szCs w:val="20"/>
              </w:rPr>
              <w:t xml:space="preserve">Severity: </w:t>
            </w:r>
            <w:r w:rsidRPr="008731C9">
              <w:rPr>
                <w:rFonts w:ascii="Arial Narrow" w:hAnsi="Arial Narrow"/>
                <w:color w:val="808080" w:themeColor="background1" w:themeShade="80"/>
                <w:sz w:val="20"/>
                <w:szCs w:val="20"/>
              </w:rPr>
              <w:t>Stage IV (metastatic)</w:t>
            </w:r>
          </w:p>
        </w:tc>
      </w:tr>
      <w:tr w:rsidR="00CE546E" w:rsidRPr="002162FE" w14:paraId="26C7084D"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4776C4D5" w14:textId="77777777" w:rsidR="00CE546E" w:rsidRPr="002162FE" w:rsidRDefault="00CE546E" w:rsidP="003A3A7B">
            <w:pPr>
              <w:keepLines/>
              <w:jc w:val="center"/>
              <w:rPr>
                <w:rFonts w:ascii="Arial Narrow" w:hAnsi="Arial Narrow"/>
                <w:color w:val="333333"/>
                <w:sz w:val="20"/>
                <w:szCs w:val="20"/>
              </w:rPr>
            </w:pPr>
          </w:p>
        </w:tc>
        <w:tc>
          <w:tcPr>
            <w:tcW w:w="7745" w:type="dxa"/>
            <w:gridSpan w:val="6"/>
            <w:vAlign w:val="center"/>
          </w:tcPr>
          <w:p w14:paraId="3269FACB" w14:textId="51944C7B" w:rsidR="00CE546E" w:rsidRPr="008731C9" w:rsidRDefault="00CE546E" w:rsidP="003A3A7B">
            <w:pPr>
              <w:keepLines/>
              <w:rPr>
                <w:rFonts w:ascii="Arial Narrow" w:hAnsi="Arial Narrow"/>
                <w:b/>
                <w:bCs/>
                <w:color w:val="808080" w:themeColor="background1" w:themeShade="80"/>
                <w:sz w:val="20"/>
                <w:szCs w:val="20"/>
              </w:rPr>
            </w:pPr>
            <w:r w:rsidRPr="008731C9">
              <w:rPr>
                <w:rFonts w:ascii="Arial Narrow" w:hAnsi="Arial Narrow"/>
                <w:b/>
                <w:bCs/>
                <w:color w:val="808080" w:themeColor="background1" w:themeShade="80"/>
                <w:sz w:val="20"/>
                <w:szCs w:val="20"/>
              </w:rPr>
              <w:t xml:space="preserve">Condition: </w:t>
            </w:r>
            <w:r w:rsidRPr="008731C9">
              <w:rPr>
                <w:rFonts w:ascii="Arial Narrow" w:hAnsi="Arial Narrow"/>
                <w:bCs/>
                <w:color w:val="808080" w:themeColor="background1" w:themeShade="80"/>
                <w:sz w:val="20"/>
                <w:szCs w:val="20"/>
              </w:rPr>
              <w:t>Non</w:t>
            </w:r>
            <w:r w:rsidR="003A3A7B">
              <w:rPr>
                <w:rFonts w:ascii="Arial Narrow" w:hAnsi="Arial Narrow"/>
                <w:bCs/>
                <w:color w:val="808080" w:themeColor="background1" w:themeShade="80"/>
                <w:sz w:val="20"/>
                <w:szCs w:val="20"/>
              </w:rPr>
              <w:noBreakHyphen/>
            </w:r>
            <w:r w:rsidRPr="008731C9">
              <w:rPr>
                <w:rFonts w:ascii="Arial Narrow" w:hAnsi="Arial Narrow"/>
                <w:bCs/>
                <w:color w:val="808080" w:themeColor="background1" w:themeShade="80"/>
                <w:sz w:val="20"/>
                <w:szCs w:val="20"/>
              </w:rPr>
              <w:t>small cell lung cancer (NSCLC)</w:t>
            </w:r>
          </w:p>
        </w:tc>
      </w:tr>
      <w:tr w:rsidR="00CE546E" w:rsidRPr="002162FE" w14:paraId="7A4FF82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C96418C" w14:textId="4EF84515" w:rsidR="00CE546E" w:rsidRPr="002162FE" w:rsidRDefault="00CE546E" w:rsidP="003A3A7B">
            <w:pPr>
              <w:keepLines/>
              <w:jc w:val="center"/>
              <w:rPr>
                <w:rFonts w:ascii="Arial Narrow" w:hAnsi="Arial Narrow"/>
                <w:color w:val="333333"/>
                <w:sz w:val="20"/>
                <w:szCs w:val="20"/>
              </w:rPr>
            </w:pPr>
          </w:p>
        </w:tc>
        <w:tc>
          <w:tcPr>
            <w:tcW w:w="7745" w:type="dxa"/>
            <w:gridSpan w:val="6"/>
            <w:vAlign w:val="center"/>
            <w:hideMark/>
          </w:tcPr>
          <w:p w14:paraId="6B5D6DF3" w14:textId="56104D7E" w:rsidR="00CE546E" w:rsidRPr="002162FE" w:rsidRDefault="00CE546E" w:rsidP="003A3A7B">
            <w:pPr>
              <w:keepLines/>
              <w:rPr>
                <w:rFonts w:ascii="Arial Narrow" w:hAnsi="Arial Narrow"/>
                <w:color w:val="333333"/>
                <w:sz w:val="20"/>
                <w:szCs w:val="20"/>
              </w:rPr>
            </w:pPr>
            <w:r w:rsidRPr="002162FE">
              <w:rPr>
                <w:rFonts w:ascii="Arial Narrow" w:hAnsi="Arial Narrow"/>
                <w:b/>
                <w:bCs/>
                <w:color w:val="333333"/>
                <w:sz w:val="20"/>
                <w:szCs w:val="20"/>
              </w:rPr>
              <w:t>Indication:</w:t>
            </w:r>
            <w:r w:rsidRPr="002162FE">
              <w:rPr>
                <w:rFonts w:ascii="Arial Narrow" w:hAnsi="Arial Narrow"/>
                <w:color w:val="333333"/>
                <w:sz w:val="20"/>
                <w:szCs w:val="20"/>
              </w:rPr>
              <w:t xml:space="preserve"> Stage IV (metastatic) non</w:t>
            </w:r>
            <w:r w:rsidR="003A3A7B">
              <w:rPr>
                <w:rFonts w:ascii="Arial Narrow" w:hAnsi="Arial Narrow"/>
                <w:color w:val="333333"/>
                <w:sz w:val="20"/>
                <w:szCs w:val="20"/>
              </w:rPr>
              <w:noBreakHyphen/>
            </w:r>
            <w:r w:rsidRPr="002162FE">
              <w:rPr>
                <w:rFonts w:ascii="Arial Narrow" w:hAnsi="Arial Narrow"/>
                <w:color w:val="333333"/>
                <w:sz w:val="20"/>
                <w:szCs w:val="20"/>
              </w:rPr>
              <w:t>small cell lung cancer (NSCLC)</w:t>
            </w:r>
          </w:p>
        </w:tc>
      </w:tr>
      <w:tr w:rsidR="00CE546E" w:rsidRPr="002162FE" w14:paraId="6CD5F64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F04AE2" w14:textId="0C2395DC" w:rsidR="00CE546E" w:rsidRPr="002162FE" w:rsidRDefault="00CE546E" w:rsidP="003A3A7B">
            <w:pPr>
              <w:jc w:val="center"/>
              <w:rPr>
                <w:rFonts w:ascii="Arial Narrow" w:hAnsi="Arial Narrow"/>
                <w:color w:val="333333"/>
                <w:sz w:val="20"/>
                <w:szCs w:val="20"/>
              </w:rPr>
            </w:pPr>
          </w:p>
        </w:tc>
        <w:tc>
          <w:tcPr>
            <w:tcW w:w="7745" w:type="dxa"/>
            <w:gridSpan w:val="6"/>
            <w:vAlign w:val="center"/>
            <w:hideMark/>
          </w:tcPr>
          <w:p w14:paraId="6575A208" w14:textId="77777777" w:rsidR="00CE546E" w:rsidRPr="002162FE" w:rsidRDefault="00CE546E" w:rsidP="003A3A7B">
            <w:pPr>
              <w:rPr>
                <w:rFonts w:ascii="Arial Narrow" w:hAnsi="Arial Narrow"/>
                <w:color w:val="333333"/>
                <w:sz w:val="20"/>
                <w:szCs w:val="20"/>
              </w:rPr>
            </w:pPr>
            <w:r w:rsidRPr="002162FE">
              <w:rPr>
                <w:rFonts w:ascii="Arial Narrow" w:hAnsi="Arial Narrow"/>
                <w:b/>
                <w:bCs/>
                <w:color w:val="333333"/>
                <w:sz w:val="20"/>
                <w:szCs w:val="20"/>
              </w:rPr>
              <w:t>Clinical criteria:</w:t>
            </w:r>
          </w:p>
        </w:tc>
      </w:tr>
      <w:tr w:rsidR="00CE546E" w:rsidRPr="002162FE" w14:paraId="60C4AF2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7550449" w14:textId="4C38BD69" w:rsidR="00CE546E" w:rsidRPr="002162FE" w:rsidRDefault="00CE546E" w:rsidP="003A3A7B">
            <w:pPr>
              <w:jc w:val="center"/>
              <w:rPr>
                <w:rFonts w:ascii="Arial Narrow" w:hAnsi="Arial Narrow"/>
                <w:color w:val="333333"/>
                <w:sz w:val="20"/>
                <w:szCs w:val="20"/>
              </w:rPr>
            </w:pPr>
          </w:p>
        </w:tc>
        <w:tc>
          <w:tcPr>
            <w:tcW w:w="7745" w:type="dxa"/>
            <w:gridSpan w:val="6"/>
            <w:vAlign w:val="center"/>
            <w:hideMark/>
          </w:tcPr>
          <w:p w14:paraId="43925B48" w14:textId="77777777" w:rsidR="00CE546E" w:rsidRPr="002162FE" w:rsidRDefault="00CE546E" w:rsidP="003A3A7B">
            <w:pPr>
              <w:rPr>
                <w:rFonts w:ascii="Arial Narrow" w:hAnsi="Arial Narrow"/>
                <w:color w:val="FF0000"/>
                <w:sz w:val="20"/>
                <w:szCs w:val="20"/>
              </w:rPr>
            </w:pPr>
            <w:r w:rsidRPr="002162FE">
              <w:rPr>
                <w:rFonts w:ascii="Arial Narrow" w:hAnsi="Arial Narrow"/>
                <w:sz w:val="20"/>
                <w:szCs w:val="20"/>
              </w:rPr>
              <w:t>The condition must be positive for a BRAF V600E mutation</w:t>
            </w:r>
          </w:p>
        </w:tc>
      </w:tr>
      <w:tr w:rsidR="00CE546E" w:rsidRPr="002162FE" w14:paraId="39D4F86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8118E7" w14:textId="77777777" w:rsidR="00CE546E" w:rsidRPr="002162FE" w:rsidRDefault="00CE546E" w:rsidP="003A3A7B">
            <w:pPr>
              <w:jc w:val="center"/>
              <w:rPr>
                <w:rFonts w:ascii="Arial Narrow" w:hAnsi="Arial Narrow"/>
                <w:color w:val="333333"/>
                <w:sz w:val="20"/>
                <w:szCs w:val="20"/>
              </w:rPr>
            </w:pPr>
          </w:p>
        </w:tc>
        <w:tc>
          <w:tcPr>
            <w:tcW w:w="7745" w:type="dxa"/>
            <w:gridSpan w:val="6"/>
            <w:vAlign w:val="center"/>
          </w:tcPr>
          <w:p w14:paraId="17A541AB" w14:textId="77777777" w:rsidR="00CE546E" w:rsidRPr="002162FE" w:rsidRDefault="00CE546E" w:rsidP="003A3A7B">
            <w:pPr>
              <w:rPr>
                <w:rFonts w:ascii="Arial Narrow" w:hAnsi="Arial Narrow"/>
                <w:sz w:val="20"/>
                <w:szCs w:val="20"/>
              </w:rPr>
            </w:pPr>
            <w:r w:rsidRPr="002162FE">
              <w:rPr>
                <w:rFonts w:ascii="Arial Narrow" w:hAnsi="Arial Narrow"/>
                <w:b/>
                <w:bCs/>
                <w:color w:val="333333"/>
                <w:sz w:val="20"/>
                <w:szCs w:val="20"/>
              </w:rPr>
              <w:t>AND</w:t>
            </w:r>
          </w:p>
        </w:tc>
      </w:tr>
      <w:tr w:rsidR="00CE546E" w:rsidRPr="002162FE" w14:paraId="24690BA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49E1CE" w14:textId="77777777" w:rsidR="00CE546E" w:rsidRPr="002162FE" w:rsidRDefault="00CE546E" w:rsidP="003A3A7B">
            <w:pPr>
              <w:jc w:val="center"/>
              <w:rPr>
                <w:rFonts w:ascii="Arial Narrow" w:hAnsi="Arial Narrow"/>
                <w:color w:val="333333"/>
                <w:sz w:val="20"/>
                <w:szCs w:val="20"/>
              </w:rPr>
            </w:pPr>
          </w:p>
        </w:tc>
        <w:tc>
          <w:tcPr>
            <w:tcW w:w="7745" w:type="dxa"/>
            <w:gridSpan w:val="6"/>
            <w:vAlign w:val="center"/>
          </w:tcPr>
          <w:p w14:paraId="3F686EA2" w14:textId="77777777" w:rsidR="00CE546E" w:rsidRPr="002162FE" w:rsidRDefault="00CE546E" w:rsidP="003A3A7B">
            <w:pPr>
              <w:rPr>
                <w:rFonts w:ascii="Arial Narrow" w:hAnsi="Arial Narrow"/>
                <w:sz w:val="20"/>
                <w:szCs w:val="20"/>
              </w:rPr>
            </w:pPr>
            <w:r w:rsidRPr="002162FE">
              <w:rPr>
                <w:rFonts w:ascii="Arial Narrow" w:hAnsi="Arial Narrow"/>
                <w:b/>
                <w:bCs/>
                <w:color w:val="333333"/>
                <w:sz w:val="20"/>
                <w:szCs w:val="20"/>
              </w:rPr>
              <w:t>Clinical criteria:</w:t>
            </w:r>
          </w:p>
        </w:tc>
      </w:tr>
      <w:tr w:rsidR="00CE546E" w:rsidRPr="002162FE" w14:paraId="4105E76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CF1C8FB" w14:textId="37C75098" w:rsidR="00CE546E" w:rsidRPr="002162FE" w:rsidRDefault="00CE546E" w:rsidP="003A3A7B">
            <w:pPr>
              <w:jc w:val="center"/>
              <w:rPr>
                <w:rFonts w:ascii="Arial Narrow" w:hAnsi="Arial Narrow"/>
                <w:color w:val="333333"/>
                <w:sz w:val="20"/>
                <w:szCs w:val="20"/>
              </w:rPr>
            </w:pPr>
          </w:p>
        </w:tc>
        <w:tc>
          <w:tcPr>
            <w:tcW w:w="7745" w:type="dxa"/>
            <w:gridSpan w:val="6"/>
            <w:vAlign w:val="center"/>
          </w:tcPr>
          <w:p w14:paraId="12B83CEC" w14:textId="77777777" w:rsidR="00CE546E" w:rsidRPr="002162FE" w:rsidRDefault="00CE546E" w:rsidP="003A3A7B">
            <w:pPr>
              <w:rPr>
                <w:rFonts w:ascii="Arial Narrow" w:hAnsi="Arial Narrow"/>
                <w:sz w:val="20"/>
                <w:szCs w:val="20"/>
              </w:rPr>
            </w:pPr>
            <w:r w:rsidRPr="002162FE">
              <w:rPr>
                <w:rFonts w:ascii="Arial Narrow" w:hAnsi="Arial Narrow"/>
                <w:sz w:val="20"/>
                <w:szCs w:val="20"/>
              </w:rPr>
              <w:t xml:space="preserve">Patient must be receiving </w:t>
            </w:r>
            <w:proofErr w:type="spellStart"/>
            <w:r w:rsidRPr="002162FE">
              <w:rPr>
                <w:rFonts w:ascii="Arial Narrow" w:hAnsi="Arial Narrow"/>
                <w:sz w:val="20"/>
                <w:szCs w:val="20"/>
              </w:rPr>
              <w:t>encorafenib</w:t>
            </w:r>
            <w:proofErr w:type="spellEnd"/>
            <w:r w:rsidRPr="002162FE">
              <w:rPr>
                <w:rFonts w:ascii="Arial Narrow" w:hAnsi="Arial Narrow"/>
                <w:sz w:val="20"/>
                <w:szCs w:val="20"/>
              </w:rPr>
              <w:t xml:space="preserve"> and </w:t>
            </w:r>
            <w:proofErr w:type="spellStart"/>
            <w:r w:rsidRPr="002162FE">
              <w:rPr>
                <w:rFonts w:ascii="Arial Narrow" w:hAnsi="Arial Narrow"/>
                <w:sz w:val="20"/>
                <w:szCs w:val="20"/>
              </w:rPr>
              <w:t>binimetinib</w:t>
            </w:r>
            <w:proofErr w:type="spellEnd"/>
            <w:r w:rsidRPr="002162FE">
              <w:rPr>
                <w:rFonts w:ascii="Arial Narrow" w:hAnsi="Arial Narrow"/>
                <w:sz w:val="20"/>
                <w:szCs w:val="20"/>
              </w:rPr>
              <w:t xml:space="preserve"> concomitantly for this condition</w:t>
            </w:r>
          </w:p>
        </w:tc>
      </w:tr>
      <w:tr w:rsidR="00CE546E" w:rsidRPr="002162FE" w14:paraId="4C29593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8B20B4" w14:textId="77777777" w:rsidR="00CE546E" w:rsidRPr="002162FE" w:rsidRDefault="00CE546E" w:rsidP="003A3A7B">
            <w:pPr>
              <w:jc w:val="center"/>
              <w:rPr>
                <w:rFonts w:ascii="Arial Narrow" w:hAnsi="Arial Narrow"/>
                <w:color w:val="333333"/>
                <w:sz w:val="20"/>
                <w:szCs w:val="20"/>
              </w:rPr>
            </w:pPr>
          </w:p>
        </w:tc>
        <w:tc>
          <w:tcPr>
            <w:tcW w:w="7745" w:type="dxa"/>
            <w:gridSpan w:val="6"/>
            <w:vAlign w:val="center"/>
            <w:hideMark/>
          </w:tcPr>
          <w:p w14:paraId="66725B67" w14:textId="77777777" w:rsidR="00CE546E" w:rsidRPr="002162FE" w:rsidRDefault="00CE546E" w:rsidP="003A3A7B">
            <w:pPr>
              <w:rPr>
                <w:rFonts w:ascii="Arial Narrow" w:hAnsi="Arial Narrow"/>
                <w:color w:val="333333"/>
                <w:sz w:val="20"/>
                <w:szCs w:val="20"/>
              </w:rPr>
            </w:pPr>
            <w:r w:rsidRPr="002162FE">
              <w:rPr>
                <w:rFonts w:ascii="Arial Narrow" w:hAnsi="Arial Narrow"/>
                <w:b/>
                <w:bCs/>
                <w:color w:val="333333"/>
                <w:sz w:val="20"/>
                <w:szCs w:val="20"/>
              </w:rPr>
              <w:t>AND</w:t>
            </w:r>
          </w:p>
        </w:tc>
      </w:tr>
      <w:tr w:rsidR="00CE546E" w:rsidRPr="002162FE" w14:paraId="2135978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510BF7" w14:textId="746B9CD3" w:rsidR="00CE546E" w:rsidRPr="002162FE" w:rsidRDefault="00CE546E" w:rsidP="003A3A7B">
            <w:pPr>
              <w:jc w:val="center"/>
              <w:rPr>
                <w:rFonts w:ascii="Arial Narrow" w:hAnsi="Arial Narrow"/>
                <w:color w:val="333333"/>
                <w:sz w:val="20"/>
                <w:szCs w:val="20"/>
              </w:rPr>
            </w:pPr>
          </w:p>
        </w:tc>
        <w:tc>
          <w:tcPr>
            <w:tcW w:w="7745" w:type="dxa"/>
            <w:gridSpan w:val="6"/>
            <w:vAlign w:val="center"/>
            <w:hideMark/>
          </w:tcPr>
          <w:p w14:paraId="6544F345" w14:textId="77777777" w:rsidR="00CE546E" w:rsidRPr="002162FE" w:rsidRDefault="00CE546E" w:rsidP="003A3A7B">
            <w:pPr>
              <w:rPr>
                <w:rFonts w:ascii="Arial Narrow" w:hAnsi="Arial Narrow"/>
                <w:color w:val="333333"/>
                <w:sz w:val="20"/>
                <w:szCs w:val="20"/>
              </w:rPr>
            </w:pPr>
            <w:r w:rsidRPr="002162FE">
              <w:rPr>
                <w:rFonts w:ascii="Arial Narrow" w:hAnsi="Arial Narrow"/>
                <w:b/>
                <w:bCs/>
                <w:color w:val="333333"/>
                <w:sz w:val="20"/>
                <w:szCs w:val="20"/>
              </w:rPr>
              <w:t>Clinical criteria:</w:t>
            </w:r>
          </w:p>
        </w:tc>
      </w:tr>
      <w:tr w:rsidR="00CE546E" w:rsidRPr="002162FE" w14:paraId="65EA08B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02DA61" w14:textId="5F6C410A" w:rsidR="00CE546E" w:rsidRPr="002162FE" w:rsidRDefault="00CE546E" w:rsidP="003A3A7B">
            <w:pPr>
              <w:jc w:val="center"/>
              <w:rPr>
                <w:rFonts w:ascii="Arial Narrow" w:hAnsi="Arial Narrow"/>
                <w:sz w:val="20"/>
                <w:szCs w:val="20"/>
              </w:rPr>
            </w:pPr>
          </w:p>
        </w:tc>
        <w:tc>
          <w:tcPr>
            <w:tcW w:w="7745" w:type="dxa"/>
            <w:gridSpan w:val="6"/>
            <w:vAlign w:val="center"/>
            <w:hideMark/>
          </w:tcPr>
          <w:p w14:paraId="288087E4" w14:textId="77777777" w:rsidR="00CE546E" w:rsidRPr="002162FE" w:rsidRDefault="00CE546E" w:rsidP="003A3A7B">
            <w:pPr>
              <w:rPr>
                <w:rFonts w:ascii="Arial Narrow" w:hAnsi="Arial Narrow"/>
                <w:sz w:val="20"/>
                <w:szCs w:val="20"/>
              </w:rPr>
            </w:pPr>
            <w:r w:rsidRPr="002162FE">
              <w:rPr>
                <w:rFonts w:ascii="Arial Narrow" w:hAnsi="Arial Narrow"/>
                <w:sz w:val="20"/>
                <w:szCs w:val="20"/>
              </w:rPr>
              <w:t>Patient must have/have had a WHO performance status of no greater than 2 at treatment initiation with this drug for this condition.</w:t>
            </w:r>
          </w:p>
        </w:tc>
      </w:tr>
      <w:tr w:rsidR="00CE546E" w:rsidRPr="002162FE" w14:paraId="6B34FF1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5C90D2" w14:textId="77777777" w:rsidR="00CE546E" w:rsidRPr="002162FE" w:rsidRDefault="00CE546E" w:rsidP="003A3A7B">
            <w:pPr>
              <w:keepNext/>
              <w:jc w:val="center"/>
              <w:rPr>
                <w:rFonts w:ascii="Arial Narrow" w:hAnsi="Arial Narrow"/>
                <w:sz w:val="20"/>
                <w:szCs w:val="20"/>
              </w:rPr>
            </w:pPr>
          </w:p>
        </w:tc>
        <w:tc>
          <w:tcPr>
            <w:tcW w:w="7745" w:type="dxa"/>
            <w:gridSpan w:val="6"/>
            <w:vAlign w:val="center"/>
          </w:tcPr>
          <w:p w14:paraId="202CA14E" w14:textId="77777777" w:rsidR="00CE546E" w:rsidRPr="002162FE" w:rsidRDefault="00CE546E" w:rsidP="003A3A7B">
            <w:pPr>
              <w:keepNext/>
              <w:rPr>
                <w:rFonts w:ascii="Arial Narrow" w:hAnsi="Arial Narrow"/>
                <w:b/>
                <w:bCs/>
                <w:i/>
                <w:iCs/>
                <w:sz w:val="20"/>
                <w:szCs w:val="20"/>
              </w:rPr>
            </w:pPr>
            <w:r w:rsidRPr="002162FE">
              <w:rPr>
                <w:rFonts w:ascii="Arial Narrow" w:hAnsi="Arial Narrow"/>
                <w:b/>
                <w:bCs/>
                <w:i/>
                <w:iCs/>
                <w:sz w:val="20"/>
                <w:szCs w:val="20"/>
              </w:rPr>
              <w:t>AND</w:t>
            </w:r>
          </w:p>
        </w:tc>
      </w:tr>
      <w:tr w:rsidR="00CE546E" w:rsidRPr="002162FE" w14:paraId="7DBC716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B2AA8FC" w14:textId="5707F62C" w:rsidR="00CE546E" w:rsidRPr="00CE546E" w:rsidRDefault="00CE546E" w:rsidP="003A3A7B">
            <w:pPr>
              <w:keepNext/>
              <w:jc w:val="center"/>
              <w:rPr>
                <w:rFonts w:ascii="Arial Narrow" w:hAnsi="Arial Narrow"/>
                <w:sz w:val="20"/>
                <w:szCs w:val="20"/>
              </w:rPr>
            </w:pPr>
          </w:p>
        </w:tc>
        <w:tc>
          <w:tcPr>
            <w:tcW w:w="7745" w:type="dxa"/>
            <w:gridSpan w:val="6"/>
            <w:vAlign w:val="center"/>
          </w:tcPr>
          <w:p w14:paraId="5EA1BC2A" w14:textId="77777777" w:rsidR="00CE546E" w:rsidRPr="00CE546E" w:rsidRDefault="00CE546E" w:rsidP="003A3A7B">
            <w:pPr>
              <w:keepNext/>
              <w:rPr>
                <w:rFonts w:ascii="Arial Narrow" w:hAnsi="Arial Narrow"/>
                <w:b/>
                <w:bCs/>
                <w:sz w:val="20"/>
                <w:szCs w:val="20"/>
              </w:rPr>
            </w:pPr>
            <w:r w:rsidRPr="00CE546E">
              <w:rPr>
                <w:rFonts w:ascii="Arial Narrow" w:hAnsi="Arial Narrow"/>
                <w:b/>
                <w:bCs/>
                <w:sz w:val="20"/>
                <w:szCs w:val="20"/>
              </w:rPr>
              <w:t>Clinical criteria:</w:t>
            </w:r>
          </w:p>
        </w:tc>
      </w:tr>
      <w:tr w:rsidR="00CE546E" w:rsidRPr="002162FE" w14:paraId="7408F9A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1571D3D" w14:textId="677BD225" w:rsidR="00CE546E" w:rsidRPr="00CE546E" w:rsidRDefault="00CE546E" w:rsidP="003A3A7B">
            <w:pPr>
              <w:keepNext/>
              <w:jc w:val="center"/>
              <w:rPr>
                <w:rFonts w:ascii="Arial Narrow" w:hAnsi="Arial Narrow"/>
                <w:sz w:val="20"/>
                <w:szCs w:val="20"/>
              </w:rPr>
            </w:pPr>
          </w:p>
        </w:tc>
        <w:tc>
          <w:tcPr>
            <w:tcW w:w="7745" w:type="dxa"/>
            <w:gridSpan w:val="6"/>
            <w:vAlign w:val="center"/>
          </w:tcPr>
          <w:p w14:paraId="46097637" w14:textId="59C53EE8" w:rsidR="00CE546E" w:rsidRPr="00CE546E" w:rsidRDefault="00CE546E" w:rsidP="003A3A7B">
            <w:pPr>
              <w:keepNext/>
              <w:rPr>
                <w:rFonts w:ascii="Arial Narrow" w:hAnsi="Arial Narrow"/>
                <w:sz w:val="20"/>
                <w:szCs w:val="20"/>
              </w:rPr>
            </w:pPr>
            <w:r w:rsidRPr="00CE546E">
              <w:rPr>
                <w:rFonts w:ascii="Arial Narrow" w:hAnsi="Arial Narrow"/>
                <w:sz w:val="20"/>
                <w:szCs w:val="20"/>
              </w:rPr>
              <w:t>Patient must not have received PBS</w:t>
            </w:r>
            <w:r w:rsidR="003A3A7B">
              <w:rPr>
                <w:rFonts w:ascii="Arial Narrow" w:hAnsi="Arial Narrow"/>
                <w:sz w:val="20"/>
                <w:szCs w:val="20"/>
              </w:rPr>
              <w:noBreakHyphen/>
            </w:r>
            <w:r w:rsidRPr="00CE546E">
              <w:rPr>
                <w:rFonts w:ascii="Arial Narrow" w:hAnsi="Arial Narrow"/>
                <w:sz w:val="20"/>
                <w:szCs w:val="20"/>
              </w:rPr>
              <w:t>subsidised treatment with each of (i) BRAF inhibitor, (ii) MEK inhibitor therapy for Stage IV NSCLC prior to commencing PBS</w:t>
            </w:r>
            <w:r w:rsidR="003A3A7B">
              <w:rPr>
                <w:rFonts w:ascii="Arial Narrow" w:hAnsi="Arial Narrow"/>
                <w:sz w:val="20"/>
                <w:szCs w:val="20"/>
              </w:rPr>
              <w:noBreakHyphen/>
            </w:r>
            <w:r w:rsidRPr="00CE546E">
              <w:rPr>
                <w:rFonts w:ascii="Arial Narrow" w:hAnsi="Arial Narrow"/>
                <w:sz w:val="20"/>
                <w:szCs w:val="20"/>
              </w:rPr>
              <w:t>subsidised treatment with this drug for this condition; OR</w:t>
            </w:r>
          </w:p>
        </w:tc>
      </w:tr>
      <w:tr w:rsidR="00CE546E" w:rsidRPr="002162FE" w14:paraId="36B2F2E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5DE45E" w14:textId="1439BF51" w:rsidR="00CE546E" w:rsidRPr="00CE546E" w:rsidRDefault="00CE546E" w:rsidP="003A3A7B">
            <w:pPr>
              <w:keepNext/>
              <w:jc w:val="center"/>
              <w:rPr>
                <w:rFonts w:ascii="Arial Narrow" w:hAnsi="Arial Narrow"/>
                <w:sz w:val="20"/>
                <w:szCs w:val="20"/>
              </w:rPr>
            </w:pPr>
          </w:p>
        </w:tc>
        <w:tc>
          <w:tcPr>
            <w:tcW w:w="7745" w:type="dxa"/>
            <w:gridSpan w:val="6"/>
            <w:vAlign w:val="center"/>
          </w:tcPr>
          <w:p w14:paraId="080EB142" w14:textId="77777777" w:rsidR="00CE546E" w:rsidRPr="00CE546E" w:rsidRDefault="00CE546E" w:rsidP="003A3A7B">
            <w:pPr>
              <w:keepNext/>
              <w:rPr>
                <w:rFonts w:ascii="Arial Narrow" w:hAnsi="Arial Narrow"/>
                <w:sz w:val="20"/>
                <w:szCs w:val="20"/>
              </w:rPr>
            </w:pPr>
            <w:r w:rsidRPr="00CE546E">
              <w:rPr>
                <w:rFonts w:ascii="Arial Narrow" w:hAnsi="Arial Narrow"/>
                <w:sz w:val="20"/>
                <w:szCs w:val="20"/>
              </w:rPr>
              <w:t>Patient must have developed intolerance to another BRAF inhibitor or MEK inhibitor of a severity necessitating permanent treatment withdrawal</w:t>
            </w:r>
          </w:p>
        </w:tc>
      </w:tr>
      <w:tr w:rsidR="00CE546E" w:rsidRPr="002162FE" w14:paraId="624AC8F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A1DCEDB" w14:textId="066D5328" w:rsidR="00CE546E" w:rsidRPr="00CE546E" w:rsidRDefault="00CE546E" w:rsidP="003A3A7B">
            <w:pPr>
              <w:keepNext/>
              <w:jc w:val="center"/>
              <w:rPr>
                <w:rFonts w:ascii="Arial Narrow" w:hAnsi="Arial Narrow"/>
                <w:sz w:val="20"/>
                <w:szCs w:val="20"/>
              </w:rPr>
            </w:pPr>
          </w:p>
        </w:tc>
        <w:tc>
          <w:tcPr>
            <w:tcW w:w="7745" w:type="dxa"/>
            <w:gridSpan w:val="6"/>
            <w:vAlign w:val="center"/>
            <w:hideMark/>
          </w:tcPr>
          <w:p w14:paraId="349564DA" w14:textId="77777777" w:rsidR="00CE546E" w:rsidRPr="002162FE" w:rsidRDefault="00CE546E" w:rsidP="003A3A7B">
            <w:pPr>
              <w:keepNext/>
              <w:rPr>
                <w:rFonts w:ascii="Arial Narrow" w:hAnsi="Arial Narrow"/>
                <w:sz w:val="20"/>
                <w:szCs w:val="20"/>
              </w:rPr>
            </w:pPr>
            <w:r w:rsidRPr="002162FE">
              <w:rPr>
                <w:rFonts w:ascii="Arial Narrow" w:hAnsi="Arial Narrow"/>
                <w:b/>
                <w:bCs/>
                <w:sz w:val="20"/>
                <w:szCs w:val="20"/>
              </w:rPr>
              <w:t>Treatment criteria:</w:t>
            </w:r>
          </w:p>
        </w:tc>
      </w:tr>
      <w:tr w:rsidR="00CE546E" w:rsidRPr="002162FE" w14:paraId="47D27562"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6A0DDB9D" w14:textId="2B1BD902" w:rsidR="00CE546E" w:rsidRPr="002162FE" w:rsidRDefault="00CE546E" w:rsidP="003A3A7B">
            <w:pPr>
              <w:jc w:val="center"/>
              <w:rPr>
                <w:rFonts w:ascii="Arial Narrow" w:hAnsi="Arial Narrow"/>
                <w:sz w:val="20"/>
                <w:szCs w:val="20"/>
              </w:rPr>
            </w:pPr>
          </w:p>
        </w:tc>
        <w:tc>
          <w:tcPr>
            <w:tcW w:w="7745" w:type="dxa"/>
            <w:gridSpan w:val="6"/>
            <w:hideMark/>
          </w:tcPr>
          <w:p w14:paraId="30AF1557" w14:textId="77777777" w:rsidR="00CE546E" w:rsidRPr="002162FE" w:rsidRDefault="00CE546E" w:rsidP="003A3A7B">
            <w:pPr>
              <w:autoSpaceDE w:val="0"/>
              <w:autoSpaceDN w:val="0"/>
              <w:adjustRightInd w:val="0"/>
              <w:rPr>
                <w:rFonts w:ascii="Arial Narrow" w:hAnsi="Arial Narrow" w:cs="Arial Narrow"/>
                <w:i/>
                <w:iCs/>
                <w:sz w:val="20"/>
                <w:szCs w:val="20"/>
              </w:rPr>
            </w:pPr>
            <w:r w:rsidRPr="002162FE">
              <w:rPr>
                <w:rFonts w:ascii="Arial Narrow" w:hAnsi="Arial Narrow" w:cs="Open Sans"/>
                <w:sz w:val="20"/>
                <w:szCs w:val="20"/>
              </w:rPr>
              <w:t>Patient must be undergoing initial treatment with this drug; or</w:t>
            </w:r>
          </w:p>
        </w:tc>
      </w:tr>
      <w:tr w:rsidR="00CE546E" w:rsidRPr="002162FE" w14:paraId="3973349A"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6FEE1514" w14:textId="77777777" w:rsidR="00CE546E" w:rsidRPr="002162FE" w:rsidRDefault="00CE546E" w:rsidP="003A3A7B">
            <w:pPr>
              <w:jc w:val="center"/>
              <w:rPr>
                <w:rFonts w:ascii="Arial Narrow" w:hAnsi="Arial Narrow"/>
                <w:i/>
                <w:iCs/>
                <w:sz w:val="20"/>
                <w:szCs w:val="20"/>
              </w:rPr>
            </w:pPr>
          </w:p>
          <w:p w14:paraId="1BAB905C" w14:textId="6660F365" w:rsidR="00CE546E" w:rsidRPr="002162FE" w:rsidRDefault="00CE546E" w:rsidP="003A3A7B">
            <w:pPr>
              <w:jc w:val="center"/>
              <w:rPr>
                <w:rFonts w:ascii="Arial Narrow" w:hAnsi="Arial Narrow"/>
                <w:sz w:val="20"/>
                <w:szCs w:val="20"/>
              </w:rPr>
            </w:pPr>
          </w:p>
        </w:tc>
        <w:tc>
          <w:tcPr>
            <w:tcW w:w="7745" w:type="dxa"/>
            <w:gridSpan w:val="6"/>
          </w:tcPr>
          <w:p w14:paraId="1FCDE913" w14:textId="77777777" w:rsidR="00CE546E" w:rsidRPr="002162FE" w:rsidRDefault="00CE546E" w:rsidP="003A3A7B">
            <w:pPr>
              <w:autoSpaceDE w:val="0"/>
              <w:autoSpaceDN w:val="0"/>
              <w:adjustRightInd w:val="0"/>
              <w:rPr>
                <w:rFonts w:ascii="Arial Narrow" w:hAnsi="Arial Narrow" w:cs="Arial Narrow"/>
                <w:i/>
                <w:iCs/>
                <w:sz w:val="20"/>
                <w:szCs w:val="20"/>
              </w:rPr>
            </w:pPr>
            <w:r w:rsidRPr="002162FE">
              <w:rPr>
                <w:rFonts w:ascii="Arial Narrow" w:hAnsi="Arial Narrow" w:cs="Open Sans"/>
                <w:sz w:val="20"/>
                <w:szCs w:val="20"/>
              </w:rPr>
              <w:t>Patient must be undergoing continuing treatment with this drug, with an absence of further disease progression while being treated with this drug; or</w:t>
            </w:r>
          </w:p>
        </w:tc>
      </w:tr>
      <w:tr w:rsidR="00CE546E" w:rsidRPr="00A452DD" w14:paraId="40C5733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B5C25A" w14:textId="30666972" w:rsidR="00CE546E" w:rsidRPr="002162FE" w:rsidRDefault="00CE546E" w:rsidP="003A3A7B">
            <w:pPr>
              <w:jc w:val="center"/>
              <w:rPr>
                <w:rFonts w:ascii="Arial Narrow" w:hAnsi="Arial Narrow"/>
                <w:sz w:val="20"/>
                <w:szCs w:val="20"/>
              </w:rPr>
            </w:pPr>
          </w:p>
        </w:tc>
        <w:tc>
          <w:tcPr>
            <w:tcW w:w="7745" w:type="dxa"/>
            <w:gridSpan w:val="6"/>
            <w:vAlign w:val="center"/>
          </w:tcPr>
          <w:p w14:paraId="3EEDB855" w14:textId="7D39A3E3" w:rsidR="00CE546E" w:rsidRPr="002162FE" w:rsidRDefault="00CE546E" w:rsidP="003A3A7B">
            <w:pPr>
              <w:rPr>
                <w:rFonts w:ascii="Arial Narrow" w:hAnsi="Arial Narrow"/>
                <w:b/>
                <w:bCs/>
                <w:sz w:val="20"/>
                <w:szCs w:val="20"/>
              </w:rPr>
            </w:pPr>
            <w:r w:rsidRPr="002162FE">
              <w:rPr>
                <w:rFonts w:ascii="Arial Narrow" w:hAnsi="Arial Narrow"/>
                <w:sz w:val="20"/>
                <w:szCs w:val="20"/>
              </w:rPr>
              <w:t xml:space="preserve">Patient must be </w:t>
            </w:r>
            <w:r w:rsidRPr="002162FE">
              <w:rPr>
                <w:rFonts w:ascii="Arial Narrow" w:hAnsi="Arial Narrow" w:cs="Open Sans"/>
                <w:sz w:val="20"/>
                <w:szCs w:val="20"/>
              </w:rPr>
              <w:t>undergoing</w:t>
            </w:r>
            <w:r w:rsidRPr="002162FE">
              <w:rPr>
                <w:rFonts w:ascii="Arial Narrow" w:hAnsi="Arial Narrow"/>
                <w:sz w:val="20"/>
                <w:szCs w:val="20"/>
              </w:rPr>
              <w:t xml:space="preserve"> non</w:t>
            </w:r>
            <w:r w:rsidR="003A3A7B">
              <w:rPr>
                <w:rFonts w:ascii="Arial Narrow" w:hAnsi="Arial Narrow"/>
                <w:sz w:val="20"/>
                <w:szCs w:val="20"/>
              </w:rPr>
              <w:noBreakHyphen/>
            </w:r>
            <w:r w:rsidRPr="002162FE">
              <w:rPr>
                <w:rFonts w:ascii="Arial Narrow" w:hAnsi="Arial Narrow"/>
                <w:sz w:val="20"/>
                <w:szCs w:val="20"/>
              </w:rPr>
              <w:t xml:space="preserve">PBS subsidised treatment with this drug for this PBS indication, </w:t>
            </w:r>
            <w:r w:rsidRPr="002162FE">
              <w:rPr>
                <w:rFonts w:ascii="Arial Narrow" w:hAnsi="Arial Narrow" w:cs="Open Sans"/>
                <w:sz w:val="20"/>
                <w:szCs w:val="20"/>
              </w:rPr>
              <w:t xml:space="preserve">with an absence of further disease progression </w:t>
            </w:r>
            <w:r w:rsidRPr="002162FE">
              <w:rPr>
                <w:rFonts w:ascii="Arial Narrow" w:hAnsi="Arial Narrow"/>
                <w:sz w:val="20"/>
                <w:szCs w:val="20"/>
              </w:rPr>
              <w:t>since commencing non</w:t>
            </w:r>
            <w:r w:rsidR="003A3A7B">
              <w:rPr>
                <w:rFonts w:ascii="Arial Narrow" w:hAnsi="Arial Narrow"/>
                <w:sz w:val="20"/>
                <w:szCs w:val="20"/>
              </w:rPr>
              <w:noBreakHyphen/>
            </w:r>
            <w:r w:rsidRPr="002162FE">
              <w:rPr>
                <w:rFonts w:ascii="Arial Narrow" w:hAnsi="Arial Narrow"/>
                <w:sz w:val="20"/>
                <w:szCs w:val="20"/>
              </w:rPr>
              <w:t>PBS subsidised supply.</w:t>
            </w:r>
          </w:p>
        </w:tc>
      </w:tr>
    </w:tbl>
    <w:p w14:paraId="6A22398E" w14:textId="020A0473" w:rsidR="00DA4F39" w:rsidRPr="005B3858" w:rsidRDefault="006F3408" w:rsidP="003A3A7B">
      <w:pPr>
        <w:jc w:val="left"/>
        <w:rPr>
          <w:b/>
          <w:bCs/>
        </w:rPr>
      </w:pPr>
      <w:r>
        <w:rPr>
          <w:b/>
          <w:bCs/>
        </w:rPr>
        <w:br w:type="page"/>
      </w:r>
      <w:proofErr w:type="spellStart"/>
      <w:r w:rsidR="00DA4F39" w:rsidRPr="005B3858">
        <w:rPr>
          <w:b/>
          <w:bCs/>
        </w:rPr>
        <w:lastRenderedPageBreak/>
        <w:t>Binimetinib</w:t>
      </w:r>
      <w:proofErr w:type="spellEnd"/>
      <w:r w:rsidR="00DA4F39" w:rsidRPr="005B3858">
        <w:rPr>
          <w:b/>
          <w:bCs/>
        </w:rPr>
        <w:t xml:space="preserve"> – single listing (for initial, continuing and grandfather)</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Binimetinib"/>
      </w:tblPr>
      <w:tblGrid>
        <w:gridCol w:w="675"/>
        <w:gridCol w:w="596"/>
        <w:gridCol w:w="2668"/>
        <w:gridCol w:w="811"/>
        <w:gridCol w:w="812"/>
        <w:gridCol w:w="811"/>
        <w:gridCol w:w="812"/>
        <w:gridCol w:w="1831"/>
      </w:tblGrid>
      <w:tr w:rsidR="00DA4F39" w:rsidRPr="00553856" w14:paraId="6AEFE1FF" w14:textId="77777777">
        <w:trPr>
          <w:cantSplit/>
          <w:trHeight w:val="20"/>
        </w:trPr>
        <w:tc>
          <w:tcPr>
            <w:tcW w:w="3939" w:type="dxa"/>
            <w:gridSpan w:val="3"/>
            <w:vAlign w:val="center"/>
          </w:tcPr>
          <w:p w14:paraId="3E06E363" w14:textId="77777777" w:rsidR="00DA4F39" w:rsidRPr="00553856" w:rsidRDefault="00DA4F39" w:rsidP="003A3A7B">
            <w:pPr>
              <w:rPr>
                <w:rFonts w:ascii="Arial Narrow" w:hAnsi="Arial Narrow"/>
                <w:b/>
                <w:bCs/>
                <w:sz w:val="20"/>
                <w:szCs w:val="20"/>
              </w:rPr>
            </w:pPr>
            <w:r w:rsidRPr="00553856">
              <w:rPr>
                <w:rFonts w:ascii="Arial Narrow" w:hAnsi="Arial Narrow"/>
                <w:b/>
                <w:bCs/>
                <w:sz w:val="20"/>
                <w:szCs w:val="20"/>
              </w:rPr>
              <w:t>MEDICINAL PRODUCT</w:t>
            </w:r>
          </w:p>
          <w:p w14:paraId="294E2EE6" w14:textId="77777777" w:rsidR="00DA4F39" w:rsidRPr="00553856" w:rsidRDefault="00DA4F39" w:rsidP="003A3A7B">
            <w:pPr>
              <w:rPr>
                <w:rFonts w:ascii="Arial Narrow" w:hAnsi="Arial Narrow"/>
                <w:b/>
                <w:sz w:val="20"/>
                <w:szCs w:val="20"/>
              </w:rPr>
            </w:pPr>
            <w:r w:rsidRPr="00553856">
              <w:rPr>
                <w:rFonts w:ascii="Arial Narrow" w:hAnsi="Arial Narrow"/>
                <w:b/>
                <w:bCs/>
                <w:sz w:val="20"/>
                <w:szCs w:val="20"/>
              </w:rPr>
              <w:t>medicinal product pack</w:t>
            </w:r>
          </w:p>
        </w:tc>
        <w:tc>
          <w:tcPr>
            <w:tcW w:w="811" w:type="dxa"/>
            <w:vAlign w:val="center"/>
          </w:tcPr>
          <w:p w14:paraId="3769F08B" w14:textId="77777777" w:rsidR="00DA4F39" w:rsidRPr="00553856" w:rsidRDefault="00DA4F39" w:rsidP="003A3A7B">
            <w:pPr>
              <w:jc w:val="center"/>
              <w:rPr>
                <w:rFonts w:ascii="Arial Narrow" w:hAnsi="Arial Narrow"/>
                <w:b/>
                <w:sz w:val="20"/>
                <w:szCs w:val="20"/>
              </w:rPr>
            </w:pPr>
            <w:r w:rsidRPr="00553856">
              <w:rPr>
                <w:rFonts w:ascii="Arial Narrow" w:hAnsi="Arial Narrow"/>
                <w:b/>
                <w:sz w:val="20"/>
                <w:szCs w:val="20"/>
              </w:rPr>
              <w:t>PBS item code</w:t>
            </w:r>
          </w:p>
        </w:tc>
        <w:tc>
          <w:tcPr>
            <w:tcW w:w="812" w:type="dxa"/>
            <w:vAlign w:val="center"/>
          </w:tcPr>
          <w:p w14:paraId="763DC6CE" w14:textId="77777777" w:rsidR="00DA4F39" w:rsidRPr="00553856" w:rsidRDefault="00DA4F39" w:rsidP="003A3A7B">
            <w:pPr>
              <w:jc w:val="center"/>
              <w:rPr>
                <w:rFonts w:ascii="Arial Narrow" w:hAnsi="Arial Narrow"/>
                <w:b/>
                <w:sz w:val="20"/>
                <w:szCs w:val="20"/>
              </w:rPr>
            </w:pPr>
            <w:r w:rsidRPr="00553856">
              <w:rPr>
                <w:rFonts w:ascii="Arial Narrow" w:hAnsi="Arial Narrow"/>
                <w:b/>
                <w:sz w:val="20"/>
                <w:szCs w:val="20"/>
              </w:rPr>
              <w:t>Max. qty packs</w:t>
            </w:r>
          </w:p>
        </w:tc>
        <w:tc>
          <w:tcPr>
            <w:tcW w:w="811" w:type="dxa"/>
            <w:vAlign w:val="center"/>
          </w:tcPr>
          <w:p w14:paraId="3B00C386" w14:textId="77777777" w:rsidR="00DA4F39" w:rsidRPr="00553856" w:rsidRDefault="00DA4F39" w:rsidP="003A3A7B">
            <w:pPr>
              <w:jc w:val="center"/>
              <w:rPr>
                <w:rFonts w:ascii="Arial Narrow" w:hAnsi="Arial Narrow"/>
                <w:b/>
                <w:sz w:val="20"/>
                <w:szCs w:val="20"/>
              </w:rPr>
            </w:pPr>
            <w:r w:rsidRPr="00553856">
              <w:rPr>
                <w:rFonts w:ascii="Arial Narrow" w:hAnsi="Arial Narrow"/>
                <w:b/>
                <w:sz w:val="20"/>
                <w:szCs w:val="20"/>
              </w:rPr>
              <w:t>Max. qty units</w:t>
            </w:r>
          </w:p>
        </w:tc>
        <w:tc>
          <w:tcPr>
            <w:tcW w:w="812" w:type="dxa"/>
            <w:vAlign w:val="center"/>
          </w:tcPr>
          <w:p w14:paraId="2759BABB" w14:textId="77777777" w:rsidR="00DA4F39" w:rsidRPr="00553856" w:rsidRDefault="00DA4F39" w:rsidP="003A3A7B">
            <w:pPr>
              <w:jc w:val="center"/>
              <w:rPr>
                <w:rFonts w:ascii="Arial Narrow" w:hAnsi="Arial Narrow"/>
                <w:b/>
                <w:sz w:val="20"/>
                <w:szCs w:val="20"/>
              </w:rPr>
            </w:pPr>
            <w:r w:rsidRPr="00553856">
              <w:rPr>
                <w:rFonts w:ascii="Arial Narrow" w:hAnsi="Arial Narrow"/>
                <w:b/>
                <w:sz w:val="20"/>
                <w:szCs w:val="20"/>
              </w:rPr>
              <w:t>№.of</w:t>
            </w:r>
          </w:p>
          <w:p w14:paraId="385D639D" w14:textId="77777777" w:rsidR="00DA4F39" w:rsidRPr="00553856" w:rsidRDefault="00DA4F39" w:rsidP="003A3A7B">
            <w:pPr>
              <w:jc w:val="center"/>
              <w:rPr>
                <w:rFonts w:ascii="Arial Narrow" w:hAnsi="Arial Narrow"/>
                <w:b/>
                <w:sz w:val="20"/>
                <w:szCs w:val="20"/>
              </w:rPr>
            </w:pPr>
            <w:proofErr w:type="spellStart"/>
            <w:r w:rsidRPr="00553856">
              <w:rPr>
                <w:rFonts w:ascii="Arial Narrow" w:hAnsi="Arial Narrow"/>
                <w:b/>
                <w:sz w:val="20"/>
                <w:szCs w:val="20"/>
              </w:rPr>
              <w:t>Rpts</w:t>
            </w:r>
            <w:proofErr w:type="spellEnd"/>
          </w:p>
        </w:tc>
        <w:tc>
          <w:tcPr>
            <w:tcW w:w="1831" w:type="dxa"/>
            <w:vAlign w:val="center"/>
          </w:tcPr>
          <w:p w14:paraId="71C3430B" w14:textId="77777777" w:rsidR="00DA4F39" w:rsidRPr="00553856" w:rsidRDefault="00DA4F39" w:rsidP="003A3A7B">
            <w:pPr>
              <w:rPr>
                <w:rFonts w:ascii="Arial Narrow" w:hAnsi="Arial Narrow"/>
                <w:b/>
                <w:sz w:val="20"/>
                <w:szCs w:val="20"/>
                <w:lang w:val="fr-FR"/>
              </w:rPr>
            </w:pPr>
            <w:r w:rsidRPr="00553856">
              <w:rPr>
                <w:rFonts w:ascii="Arial Narrow" w:hAnsi="Arial Narrow"/>
                <w:b/>
                <w:sz w:val="20"/>
                <w:szCs w:val="20"/>
              </w:rPr>
              <w:t>Available brands</w:t>
            </w:r>
          </w:p>
        </w:tc>
      </w:tr>
      <w:tr w:rsidR="00DA4F39" w:rsidRPr="00553856" w14:paraId="0465DAAF" w14:textId="77777777">
        <w:trPr>
          <w:cantSplit/>
          <w:trHeight w:val="20"/>
        </w:trPr>
        <w:tc>
          <w:tcPr>
            <w:tcW w:w="9016" w:type="dxa"/>
            <w:gridSpan w:val="8"/>
            <w:vAlign w:val="center"/>
          </w:tcPr>
          <w:p w14:paraId="0FBDEE26" w14:textId="77777777" w:rsidR="00DA4F39" w:rsidRPr="00553856" w:rsidRDefault="00DA4F39" w:rsidP="003A3A7B">
            <w:pPr>
              <w:rPr>
                <w:rFonts w:ascii="Arial Narrow" w:hAnsi="Arial Narrow"/>
                <w:sz w:val="20"/>
                <w:szCs w:val="20"/>
              </w:rPr>
            </w:pPr>
            <w:r w:rsidRPr="00553856">
              <w:rPr>
                <w:rFonts w:ascii="Arial Narrow" w:hAnsi="Arial Narrow"/>
                <w:sz w:val="20"/>
                <w:szCs w:val="20"/>
              </w:rPr>
              <w:t>BINIMETINIB</w:t>
            </w:r>
          </w:p>
        </w:tc>
      </w:tr>
      <w:tr w:rsidR="00DA4F39" w:rsidRPr="00553856" w14:paraId="7A30C723" w14:textId="77777777">
        <w:trPr>
          <w:cantSplit/>
          <w:trHeight w:val="20"/>
        </w:trPr>
        <w:tc>
          <w:tcPr>
            <w:tcW w:w="3939" w:type="dxa"/>
            <w:gridSpan w:val="3"/>
            <w:vAlign w:val="center"/>
          </w:tcPr>
          <w:p w14:paraId="52832BDD" w14:textId="77777777" w:rsidR="00DA4F39" w:rsidRPr="00553856" w:rsidRDefault="00DA4F39" w:rsidP="003A3A7B">
            <w:pPr>
              <w:rPr>
                <w:rFonts w:ascii="Arial Narrow" w:hAnsi="Arial Narrow"/>
                <w:sz w:val="20"/>
                <w:szCs w:val="20"/>
              </w:rPr>
            </w:pPr>
            <w:proofErr w:type="spellStart"/>
            <w:r w:rsidRPr="00553856">
              <w:rPr>
                <w:rFonts w:ascii="Arial Narrow" w:hAnsi="Arial Narrow"/>
                <w:sz w:val="20"/>
                <w:szCs w:val="20"/>
              </w:rPr>
              <w:t>binimetinib</w:t>
            </w:r>
            <w:proofErr w:type="spellEnd"/>
            <w:r w:rsidRPr="00553856">
              <w:rPr>
                <w:rFonts w:ascii="Arial Narrow" w:hAnsi="Arial Narrow"/>
                <w:sz w:val="20"/>
                <w:szCs w:val="20"/>
              </w:rPr>
              <w:t xml:space="preserve"> 15 mg tablet, 84</w:t>
            </w:r>
          </w:p>
        </w:tc>
        <w:tc>
          <w:tcPr>
            <w:tcW w:w="811" w:type="dxa"/>
            <w:vAlign w:val="center"/>
          </w:tcPr>
          <w:p w14:paraId="0D369148" w14:textId="77777777" w:rsidR="00DA4F39" w:rsidRPr="00553856" w:rsidRDefault="00DA4F39" w:rsidP="003A3A7B">
            <w:pPr>
              <w:jc w:val="center"/>
              <w:rPr>
                <w:rFonts w:ascii="Arial Narrow" w:hAnsi="Arial Narrow"/>
                <w:sz w:val="20"/>
                <w:szCs w:val="20"/>
              </w:rPr>
            </w:pPr>
            <w:r w:rsidRPr="00553856">
              <w:rPr>
                <w:rFonts w:ascii="Arial Narrow" w:hAnsi="Arial Narrow"/>
                <w:sz w:val="20"/>
                <w:szCs w:val="20"/>
              </w:rPr>
              <w:t>NEW</w:t>
            </w:r>
          </w:p>
        </w:tc>
        <w:tc>
          <w:tcPr>
            <w:tcW w:w="812" w:type="dxa"/>
            <w:vAlign w:val="center"/>
          </w:tcPr>
          <w:p w14:paraId="01704263" w14:textId="77777777" w:rsidR="00DA4F39" w:rsidRPr="00553856" w:rsidRDefault="00DA4F39" w:rsidP="003A3A7B">
            <w:pPr>
              <w:jc w:val="center"/>
              <w:rPr>
                <w:rFonts w:ascii="Arial Narrow" w:hAnsi="Arial Narrow"/>
                <w:sz w:val="20"/>
                <w:szCs w:val="20"/>
              </w:rPr>
            </w:pPr>
            <w:r w:rsidRPr="00553856">
              <w:rPr>
                <w:rFonts w:ascii="Arial Narrow" w:hAnsi="Arial Narrow"/>
                <w:sz w:val="20"/>
                <w:szCs w:val="20"/>
              </w:rPr>
              <w:t>2</w:t>
            </w:r>
          </w:p>
        </w:tc>
        <w:tc>
          <w:tcPr>
            <w:tcW w:w="811" w:type="dxa"/>
            <w:vAlign w:val="center"/>
          </w:tcPr>
          <w:p w14:paraId="4AAF9187" w14:textId="77777777" w:rsidR="00DA4F39" w:rsidRPr="00553856" w:rsidRDefault="00DA4F39" w:rsidP="003A3A7B">
            <w:pPr>
              <w:jc w:val="center"/>
              <w:rPr>
                <w:rFonts w:ascii="Arial Narrow" w:hAnsi="Arial Narrow"/>
                <w:sz w:val="20"/>
                <w:szCs w:val="20"/>
              </w:rPr>
            </w:pPr>
            <w:r w:rsidRPr="00553856">
              <w:rPr>
                <w:rFonts w:ascii="Arial Narrow" w:hAnsi="Arial Narrow"/>
                <w:sz w:val="20"/>
                <w:szCs w:val="20"/>
              </w:rPr>
              <w:t>168</w:t>
            </w:r>
          </w:p>
        </w:tc>
        <w:tc>
          <w:tcPr>
            <w:tcW w:w="812" w:type="dxa"/>
            <w:vAlign w:val="center"/>
          </w:tcPr>
          <w:p w14:paraId="4C6EBF69" w14:textId="77777777" w:rsidR="00DA4F39" w:rsidRPr="00553856" w:rsidRDefault="00DA4F39" w:rsidP="003A3A7B">
            <w:pPr>
              <w:jc w:val="center"/>
              <w:rPr>
                <w:rFonts w:ascii="Arial Narrow" w:hAnsi="Arial Narrow"/>
                <w:sz w:val="20"/>
                <w:szCs w:val="20"/>
              </w:rPr>
            </w:pPr>
            <w:r w:rsidRPr="00553856">
              <w:rPr>
                <w:rFonts w:ascii="Arial Narrow" w:hAnsi="Arial Narrow"/>
                <w:sz w:val="20"/>
                <w:szCs w:val="20"/>
              </w:rPr>
              <w:t>5</w:t>
            </w:r>
          </w:p>
        </w:tc>
        <w:tc>
          <w:tcPr>
            <w:tcW w:w="1831" w:type="dxa"/>
            <w:vAlign w:val="center"/>
          </w:tcPr>
          <w:p w14:paraId="4FB1FC81" w14:textId="77777777" w:rsidR="00DA4F39" w:rsidRPr="00553856" w:rsidRDefault="00DA4F39" w:rsidP="003A3A7B">
            <w:pPr>
              <w:rPr>
                <w:rFonts w:ascii="Arial Narrow" w:hAnsi="Arial Narrow"/>
                <w:sz w:val="20"/>
                <w:szCs w:val="20"/>
              </w:rPr>
            </w:pPr>
            <w:r w:rsidRPr="00553856">
              <w:rPr>
                <w:rFonts w:ascii="Arial Narrow" w:hAnsi="Arial Narrow"/>
                <w:sz w:val="20"/>
                <w:szCs w:val="20"/>
              </w:rPr>
              <w:t>Mektovi</w:t>
            </w:r>
          </w:p>
        </w:tc>
      </w:tr>
      <w:tr w:rsidR="00DA4F39" w:rsidRPr="00553856" w14:paraId="43B72B68" w14:textId="77777777">
        <w:trPr>
          <w:cantSplit/>
          <w:trHeight w:val="20"/>
        </w:trPr>
        <w:tc>
          <w:tcPr>
            <w:tcW w:w="3939" w:type="dxa"/>
            <w:gridSpan w:val="3"/>
            <w:vAlign w:val="center"/>
          </w:tcPr>
          <w:p w14:paraId="3C548798" w14:textId="650F45D7" w:rsidR="00DA4F39" w:rsidRPr="00553856" w:rsidRDefault="00DA4F39" w:rsidP="003A3A7B">
            <w:pPr>
              <w:rPr>
                <w:rFonts w:ascii="Arial Narrow" w:hAnsi="Arial Narrow"/>
                <w:sz w:val="20"/>
                <w:szCs w:val="20"/>
              </w:rPr>
            </w:pPr>
            <w:proofErr w:type="spellStart"/>
            <w:r w:rsidRPr="00553856">
              <w:rPr>
                <w:rFonts w:ascii="Arial Narrow" w:hAnsi="Arial Narrow"/>
                <w:sz w:val="20"/>
                <w:szCs w:val="20"/>
              </w:rPr>
              <w:t>binimetinib</w:t>
            </w:r>
            <w:proofErr w:type="spellEnd"/>
            <w:r w:rsidRPr="00553856">
              <w:rPr>
                <w:rFonts w:ascii="Arial Narrow" w:hAnsi="Arial Narrow"/>
                <w:sz w:val="20"/>
                <w:szCs w:val="20"/>
              </w:rPr>
              <w:t xml:space="preserve"> 45 mg tablet, 56</w:t>
            </w:r>
          </w:p>
        </w:tc>
        <w:tc>
          <w:tcPr>
            <w:tcW w:w="811" w:type="dxa"/>
          </w:tcPr>
          <w:p w14:paraId="11E2B20E" w14:textId="71F1D1EC" w:rsidR="00DA4F39" w:rsidRPr="00553856" w:rsidRDefault="00DA4F39" w:rsidP="003A3A7B">
            <w:pPr>
              <w:jc w:val="center"/>
              <w:rPr>
                <w:rFonts w:ascii="Arial Narrow" w:hAnsi="Arial Narrow"/>
                <w:sz w:val="20"/>
                <w:szCs w:val="20"/>
              </w:rPr>
            </w:pPr>
            <w:r w:rsidRPr="00553856">
              <w:rPr>
                <w:rFonts w:ascii="Arial Narrow" w:hAnsi="Arial Narrow"/>
                <w:sz w:val="20"/>
                <w:szCs w:val="20"/>
              </w:rPr>
              <w:t>NEW</w:t>
            </w:r>
          </w:p>
        </w:tc>
        <w:tc>
          <w:tcPr>
            <w:tcW w:w="812" w:type="dxa"/>
            <w:vAlign w:val="center"/>
          </w:tcPr>
          <w:p w14:paraId="40D582C6" w14:textId="7F301064" w:rsidR="00DA4F39" w:rsidRPr="00553856" w:rsidRDefault="00DA4F39" w:rsidP="003A3A7B">
            <w:pPr>
              <w:jc w:val="center"/>
              <w:rPr>
                <w:rFonts w:ascii="Arial Narrow" w:hAnsi="Arial Narrow"/>
                <w:sz w:val="20"/>
                <w:szCs w:val="20"/>
              </w:rPr>
            </w:pPr>
            <w:r w:rsidRPr="00553856">
              <w:rPr>
                <w:rFonts w:ascii="Arial Narrow" w:hAnsi="Arial Narrow"/>
                <w:sz w:val="20"/>
                <w:szCs w:val="20"/>
              </w:rPr>
              <w:t>1</w:t>
            </w:r>
          </w:p>
        </w:tc>
        <w:tc>
          <w:tcPr>
            <w:tcW w:w="811" w:type="dxa"/>
            <w:vAlign w:val="center"/>
          </w:tcPr>
          <w:p w14:paraId="5A06CEE7" w14:textId="154124DE" w:rsidR="00DA4F39" w:rsidRPr="00553856" w:rsidRDefault="00DA4F39" w:rsidP="003A3A7B">
            <w:pPr>
              <w:jc w:val="center"/>
              <w:rPr>
                <w:rFonts w:ascii="Arial Narrow" w:hAnsi="Arial Narrow"/>
                <w:sz w:val="20"/>
                <w:szCs w:val="20"/>
              </w:rPr>
            </w:pPr>
            <w:r w:rsidRPr="00553856">
              <w:rPr>
                <w:rFonts w:ascii="Arial Narrow" w:hAnsi="Arial Narrow"/>
                <w:sz w:val="20"/>
                <w:szCs w:val="20"/>
              </w:rPr>
              <w:t>56</w:t>
            </w:r>
          </w:p>
        </w:tc>
        <w:tc>
          <w:tcPr>
            <w:tcW w:w="812" w:type="dxa"/>
            <w:vAlign w:val="center"/>
          </w:tcPr>
          <w:p w14:paraId="523C601D" w14:textId="484835B4" w:rsidR="00DA4F39" w:rsidRPr="00553856" w:rsidRDefault="00DA4F39" w:rsidP="003A3A7B">
            <w:pPr>
              <w:jc w:val="center"/>
              <w:rPr>
                <w:rFonts w:ascii="Arial Narrow" w:hAnsi="Arial Narrow"/>
                <w:sz w:val="20"/>
                <w:szCs w:val="20"/>
              </w:rPr>
            </w:pPr>
            <w:r w:rsidRPr="00553856">
              <w:rPr>
                <w:rFonts w:ascii="Arial Narrow" w:hAnsi="Arial Narrow"/>
                <w:sz w:val="20"/>
                <w:szCs w:val="20"/>
              </w:rPr>
              <w:t>5</w:t>
            </w:r>
          </w:p>
        </w:tc>
        <w:tc>
          <w:tcPr>
            <w:tcW w:w="1831" w:type="dxa"/>
          </w:tcPr>
          <w:p w14:paraId="71401D76" w14:textId="695C37E5" w:rsidR="00DA4F39" w:rsidRPr="00553856" w:rsidRDefault="00665F53" w:rsidP="003A3A7B">
            <w:pPr>
              <w:rPr>
                <w:rFonts w:ascii="Arial Narrow" w:hAnsi="Arial Narrow"/>
                <w:sz w:val="20"/>
                <w:szCs w:val="20"/>
              </w:rPr>
            </w:pPr>
            <w:proofErr w:type="spellStart"/>
            <w:r w:rsidRPr="00665F53">
              <w:rPr>
                <w:rFonts w:ascii="Arial Narrow" w:hAnsi="Arial Narrow"/>
                <w:sz w:val="20"/>
                <w:szCs w:val="20"/>
                <w:vertAlign w:val="superscript"/>
              </w:rPr>
              <w:t>a</w:t>
            </w:r>
            <w:r w:rsidR="00DA4F39" w:rsidRPr="00553856">
              <w:rPr>
                <w:rFonts w:ascii="Arial Narrow" w:hAnsi="Arial Narrow"/>
                <w:sz w:val="20"/>
                <w:szCs w:val="20"/>
              </w:rPr>
              <w:t>Mektovi</w:t>
            </w:r>
            <w:proofErr w:type="spellEnd"/>
          </w:p>
        </w:tc>
      </w:tr>
      <w:tr w:rsidR="00DA4F39" w:rsidRPr="00553856" w14:paraId="4615C42E" w14:textId="77777777">
        <w:trPr>
          <w:cantSplit/>
          <w:trHeight w:val="20"/>
        </w:trPr>
        <w:tc>
          <w:tcPr>
            <w:tcW w:w="3939" w:type="dxa"/>
            <w:gridSpan w:val="3"/>
            <w:vAlign w:val="center"/>
          </w:tcPr>
          <w:p w14:paraId="65091237" w14:textId="3CC79216" w:rsidR="00DA4F39" w:rsidRPr="00553856" w:rsidRDefault="00DA4F39" w:rsidP="003A3A7B">
            <w:pPr>
              <w:rPr>
                <w:rFonts w:ascii="Arial Narrow" w:hAnsi="Arial Narrow"/>
                <w:sz w:val="20"/>
                <w:szCs w:val="20"/>
              </w:rPr>
            </w:pPr>
            <w:proofErr w:type="spellStart"/>
            <w:r w:rsidRPr="00553856">
              <w:rPr>
                <w:rFonts w:ascii="Arial Narrow" w:hAnsi="Arial Narrow"/>
                <w:sz w:val="20"/>
                <w:szCs w:val="20"/>
              </w:rPr>
              <w:t>binimetinib</w:t>
            </w:r>
            <w:proofErr w:type="spellEnd"/>
            <w:r w:rsidRPr="00553856">
              <w:rPr>
                <w:rFonts w:ascii="Arial Narrow" w:hAnsi="Arial Narrow"/>
                <w:sz w:val="20"/>
                <w:szCs w:val="20"/>
              </w:rPr>
              <w:t xml:space="preserve"> 45 mg tablet, 28</w:t>
            </w:r>
          </w:p>
        </w:tc>
        <w:tc>
          <w:tcPr>
            <w:tcW w:w="811" w:type="dxa"/>
          </w:tcPr>
          <w:p w14:paraId="280CB53A" w14:textId="5223A6EC" w:rsidR="00DA4F39" w:rsidRPr="00553856" w:rsidRDefault="00DA4F39" w:rsidP="003A3A7B">
            <w:pPr>
              <w:jc w:val="center"/>
              <w:rPr>
                <w:rFonts w:ascii="Arial Narrow" w:hAnsi="Arial Narrow"/>
                <w:sz w:val="20"/>
                <w:szCs w:val="20"/>
              </w:rPr>
            </w:pPr>
            <w:r w:rsidRPr="00553856">
              <w:rPr>
                <w:rFonts w:ascii="Arial Narrow" w:hAnsi="Arial Narrow"/>
                <w:sz w:val="20"/>
                <w:szCs w:val="20"/>
              </w:rPr>
              <w:t>NEW</w:t>
            </w:r>
          </w:p>
        </w:tc>
        <w:tc>
          <w:tcPr>
            <w:tcW w:w="812" w:type="dxa"/>
            <w:vAlign w:val="center"/>
          </w:tcPr>
          <w:p w14:paraId="0A914578" w14:textId="5F8A27BF" w:rsidR="00DA4F39" w:rsidRPr="00553856" w:rsidRDefault="00DA4F39" w:rsidP="003A3A7B">
            <w:pPr>
              <w:jc w:val="center"/>
              <w:rPr>
                <w:rFonts w:ascii="Arial Narrow" w:hAnsi="Arial Narrow"/>
                <w:sz w:val="20"/>
                <w:szCs w:val="20"/>
              </w:rPr>
            </w:pPr>
            <w:r w:rsidRPr="00553856">
              <w:rPr>
                <w:rFonts w:ascii="Arial Narrow" w:hAnsi="Arial Narrow"/>
                <w:sz w:val="20"/>
                <w:szCs w:val="20"/>
              </w:rPr>
              <w:t>2</w:t>
            </w:r>
          </w:p>
        </w:tc>
        <w:tc>
          <w:tcPr>
            <w:tcW w:w="811" w:type="dxa"/>
            <w:vAlign w:val="center"/>
          </w:tcPr>
          <w:p w14:paraId="0222C671" w14:textId="53D64E64" w:rsidR="00DA4F39" w:rsidRPr="00553856" w:rsidRDefault="00DA4F39" w:rsidP="003A3A7B">
            <w:pPr>
              <w:jc w:val="center"/>
              <w:rPr>
                <w:rFonts w:ascii="Arial Narrow" w:hAnsi="Arial Narrow"/>
                <w:sz w:val="20"/>
                <w:szCs w:val="20"/>
              </w:rPr>
            </w:pPr>
            <w:r w:rsidRPr="00553856">
              <w:rPr>
                <w:rFonts w:ascii="Arial Narrow" w:hAnsi="Arial Narrow"/>
                <w:sz w:val="20"/>
                <w:szCs w:val="20"/>
              </w:rPr>
              <w:t>56</w:t>
            </w:r>
          </w:p>
        </w:tc>
        <w:tc>
          <w:tcPr>
            <w:tcW w:w="812" w:type="dxa"/>
            <w:vAlign w:val="center"/>
          </w:tcPr>
          <w:p w14:paraId="0B239939" w14:textId="4788529E" w:rsidR="00DA4F39" w:rsidRPr="00553856" w:rsidRDefault="00DA4F39" w:rsidP="003A3A7B">
            <w:pPr>
              <w:jc w:val="center"/>
              <w:rPr>
                <w:rFonts w:ascii="Arial Narrow" w:hAnsi="Arial Narrow"/>
                <w:sz w:val="20"/>
                <w:szCs w:val="20"/>
              </w:rPr>
            </w:pPr>
            <w:r w:rsidRPr="00553856">
              <w:rPr>
                <w:rFonts w:ascii="Arial Narrow" w:hAnsi="Arial Narrow"/>
                <w:sz w:val="20"/>
                <w:szCs w:val="20"/>
              </w:rPr>
              <w:t>5</w:t>
            </w:r>
          </w:p>
        </w:tc>
        <w:tc>
          <w:tcPr>
            <w:tcW w:w="1831" w:type="dxa"/>
          </w:tcPr>
          <w:p w14:paraId="6FB9CDB6" w14:textId="2CB4CD8C" w:rsidR="00DA4F39" w:rsidRPr="00553856" w:rsidRDefault="00665F53" w:rsidP="003A3A7B">
            <w:pPr>
              <w:rPr>
                <w:rFonts w:ascii="Arial Narrow" w:hAnsi="Arial Narrow"/>
                <w:sz w:val="20"/>
                <w:szCs w:val="20"/>
              </w:rPr>
            </w:pPr>
            <w:proofErr w:type="spellStart"/>
            <w:r w:rsidRPr="00665F53">
              <w:rPr>
                <w:rFonts w:ascii="Arial Narrow" w:hAnsi="Arial Narrow"/>
                <w:sz w:val="20"/>
                <w:szCs w:val="20"/>
                <w:vertAlign w:val="superscript"/>
              </w:rPr>
              <w:t>a</w:t>
            </w:r>
            <w:r w:rsidR="00DA4F39" w:rsidRPr="00553856">
              <w:rPr>
                <w:rFonts w:ascii="Arial Narrow" w:hAnsi="Arial Narrow"/>
                <w:sz w:val="20"/>
                <w:szCs w:val="20"/>
              </w:rPr>
              <w:t>Mektovi</w:t>
            </w:r>
            <w:proofErr w:type="spellEnd"/>
          </w:p>
        </w:tc>
      </w:tr>
      <w:tr w:rsidR="00DA4F39" w:rsidRPr="00553856" w14:paraId="35720FB4"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C13FA31" w14:textId="77777777" w:rsidR="00DA4F39" w:rsidRPr="00553856" w:rsidRDefault="00DA4F39" w:rsidP="003A3A7B">
            <w:pPr>
              <w:rPr>
                <w:rFonts w:ascii="Arial Narrow" w:hAnsi="Arial Narrow"/>
                <w:sz w:val="20"/>
                <w:szCs w:val="20"/>
              </w:rPr>
            </w:pPr>
          </w:p>
        </w:tc>
      </w:tr>
      <w:tr w:rsidR="00DA4F39" w:rsidRPr="00553856" w14:paraId="3EAE1509"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3D1476D" w14:textId="77777777" w:rsidR="00DA4F39" w:rsidRPr="00553856" w:rsidRDefault="00DA4F39" w:rsidP="003A3A7B">
            <w:pPr>
              <w:rPr>
                <w:rFonts w:ascii="Arial Narrow" w:hAnsi="Arial Narrow"/>
                <w:b/>
                <w:sz w:val="20"/>
                <w:szCs w:val="20"/>
              </w:rPr>
            </w:pPr>
            <w:r w:rsidRPr="00553856">
              <w:rPr>
                <w:rFonts w:ascii="Arial Narrow" w:hAnsi="Arial Narrow"/>
                <w:b/>
                <w:sz w:val="20"/>
                <w:szCs w:val="20"/>
              </w:rPr>
              <w:t>Restriction Summary NEW1</w:t>
            </w:r>
            <w:r w:rsidRPr="00553856">
              <w:rPr>
                <w:rFonts w:ascii="Arial Narrow" w:hAnsi="Arial Narrow"/>
                <w:b/>
                <w:color w:val="FF0000"/>
                <w:sz w:val="20"/>
                <w:szCs w:val="20"/>
              </w:rPr>
              <w:t xml:space="preserve"> </w:t>
            </w:r>
            <w:r w:rsidRPr="00553856">
              <w:rPr>
                <w:rFonts w:ascii="Arial Narrow" w:hAnsi="Arial Narrow"/>
                <w:b/>
                <w:sz w:val="20"/>
                <w:szCs w:val="20"/>
              </w:rPr>
              <w:t>/ Treatment of Concept: NEW1A</w:t>
            </w:r>
          </w:p>
        </w:tc>
      </w:tr>
      <w:tr w:rsidR="00DA4F39" w:rsidRPr="00553856" w14:paraId="14EAAB8E"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769DE99" w14:textId="77777777" w:rsidR="00DA4F39" w:rsidRPr="00553856" w:rsidRDefault="00DA4F39" w:rsidP="003A3A7B">
            <w:pPr>
              <w:jc w:val="center"/>
              <w:rPr>
                <w:rFonts w:ascii="Arial Narrow" w:hAnsi="Arial Narrow"/>
                <w:b/>
                <w:sz w:val="20"/>
                <w:szCs w:val="20"/>
              </w:rPr>
            </w:pPr>
            <w:r w:rsidRPr="00553856">
              <w:rPr>
                <w:rFonts w:ascii="Arial Narrow" w:hAnsi="Arial Narrow"/>
                <w:b/>
                <w:sz w:val="20"/>
                <w:szCs w:val="20"/>
              </w:rPr>
              <w:t xml:space="preserve">Concept ID </w:t>
            </w:r>
            <w:r w:rsidRPr="00553856">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8D75BC" w14:textId="73E0900D" w:rsidR="00DA4F39" w:rsidRPr="00553856" w:rsidRDefault="00DA4F39" w:rsidP="003A3A7B">
            <w:pPr>
              <w:rPr>
                <w:rFonts w:ascii="Arial Narrow" w:hAnsi="Arial Narrow"/>
                <w:sz w:val="20"/>
                <w:szCs w:val="20"/>
              </w:rPr>
            </w:pPr>
            <w:r w:rsidRPr="00553856">
              <w:rPr>
                <w:rFonts w:ascii="Arial Narrow" w:hAnsi="Arial Narrow"/>
                <w:b/>
                <w:sz w:val="20"/>
                <w:szCs w:val="20"/>
              </w:rPr>
              <w:t>Category / Program:</w:t>
            </w:r>
            <w:r w:rsidRPr="00553856">
              <w:rPr>
                <w:rFonts w:ascii="Arial Narrow" w:hAnsi="Arial Narrow"/>
                <w:color w:val="FF0000"/>
                <w:sz w:val="20"/>
                <w:szCs w:val="20"/>
              </w:rPr>
              <w:t xml:space="preserve"> </w:t>
            </w:r>
            <w:r w:rsidRPr="00553856">
              <w:rPr>
                <w:rFonts w:ascii="Arial Narrow" w:eastAsia="Calibri" w:hAnsi="Arial Narrow"/>
                <w:sz w:val="20"/>
                <w:szCs w:val="20"/>
              </w:rPr>
              <w:fldChar w:fldCharType="begin">
                <w:ffData>
                  <w:name w:val="Check1"/>
                  <w:enabled/>
                  <w:calcOnExit w:val="0"/>
                  <w:checkBox>
                    <w:sizeAuto/>
                    <w:default w:val="1"/>
                  </w:checkBox>
                </w:ffData>
              </w:fldChar>
            </w:r>
            <w:r w:rsidRPr="00553856">
              <w:rPr>
                <w:rFonts w:ascii="Arial Narrow" w:eastAsia="Calibri" w:hAnsi="Arial Narrow"/>
                <w:sz w:val="20"/>
                <w:szCs w:val="20"/>
              </w:rPr>
              <w:instrText xml:space="preserve"> FORMCHECKBOX </w:instrText>
            </w:r>
            <w:r w:rsidRPr="00553856">
              <w:rPr>
                <w:rFonts w:ascii="Arial Narrow" w:eastAsia="Calibri" w:hAnsi="Arial Narrow"/>
                <w:sz w:val="20"/>
                <w:szCs w:val="20"/>
              </w:rPr>
            </w:r>
            <w:r w:rsidRPr="00553856">
              <w:rPr>
                <w:rFonts w:ascii="Arial Narrow" w:eastAsia="Calibri" w:hAnsi="Arial Narrow"/>
                <w:sz w:val="20"/>
                <w:szCs w:val="20"/>
              </w:rPr>
              <w:fldChar w:fldCharType="separate"/>
            </w:r>
            <w:r w:rsidRPr="00553856">
              <w:rPr>
                <w:rFonts w:ascii="Arial Narrow" w:eastAsia="Calibri" w:hAnsi="Arial Narrow"/>
                <w:sz w:val="20"/>
                <w:szCs w:val="20"/>
              </w:rPr>
              <w:fldChar w:fldCharType="end"/>
            </w:r>
            <w:r w:rsidRPr="00553856">
              <w:rPr>
                <w:rFonts w:ascii="Arial Narrow" w:eastAsia="Calibri" w:hAnsi="Arial Narrow"/>
                <w:sz w:val="20"/>
                <w:szCs w:val="20"/>
              </w:rPr>
              <w:t xml:space="preserve"> GENERAL </w:t>
            </w:r>
            <w:r w:rsidR="003A3A7B">
              <w:rPr>
                <w:rFonts w:ascii="Arial Narrow" w:eastAsia="Calibri" w:hAnsi="Arial Narrow"/>
                <w:sz w:val="20"/>
                <w:szCs w:val="20"/>
              </w:rPr>
              <w:noBreakHyphen/>
            </w:r>
            <w:r w:rsidRPr="00553856">
              <w:rPr>
                <w:rFonts w:ascii="Arial Narrow" w:eastAsia="Calibri" w:hAnsi="Arial Narrow"/>
                <w:sz w:val="20"/>
                <w:szCs w:val="20"/>
              </w:rPr>
              <w:t xml:space="preserve"> </w:t>
            </w:r>
            <w:proofErr w:type="spellStart"/>
            <w:r w:rsidRPr="00553856">
              <w:rPr>
                <w:rFonts w:ascii="Arial Narrow" w:eastAsia="Calibri" w:hAnsi="Arial Narrow"/>
                <w:sz w:val="20"/>
                <w:szCs w:val="20"/>
              </w:rPr>
              <w:t>General</w:t>
            </w:r>
            <w:proofErr w:type="spellEnd"/>
            <w:r w:rsidRPr="00553856">
              <w:rPr>
                <w:rFonts w:ascii="Arial Narrow" w:eastAsia="Calibri" w:hAnsi="Arial Narrow"/>
                <w:sz w:val="20"/>
                <w:szCs w:val="20"/>
              </w:rPr>
              <w:t xml:space="preserve"> Schedule (Code GE) </w:t>
            </w:r>
          </w:p>
        </w:tc>
      </w:tr>
      <w:tr w:rsidR="00DA4F39" w:rsidRPr="00553856" w14:paraId="2F54E3B8"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09C41C9D" w14:textId="77777777" w:rsidR="00DA4F39" w:rsidRPr="00553856" w:rsidRDefault="00DA4F39" w:rsidP="003A3A7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8A6516" w14:textId="77777777" w:rsidR="00DA4F39" w:rsidRPr="00553856" w:rsidRDefault="00DA4F39" w:rsidP="003A3A7B">
            <w:pPr>
              <w:rPr>
                <w:rFonts w:ascii="Arial Narrow" w:hAnsi="Arial Narrow"/>
                <w:b/>
                <w:sz w:val="20"/>
                <w:szCs w:val="20"/>
              </w:rPr>
            </w:pPr>
            <w:r w:rsidRPr="00553856">
              <w:rPr>
                <w:rFonts w:ascii="Arial Narrow" w:hAnsi="Arial Narrow"/>
                <w:b/>
                <w:sz w:val="20"/>
                <w:szCs w:val="20"/>
              </w:rPr>
              <w:t xml:space="preserve">Prescriber type:  </w:t>
            </w:r>
            <w:r w:rsidRPr="00553856">
              <w:rPr>
                <w:rFonts w:ascii="Arial Narrow" w:hAnsi="Arial Narrow"/>
                <w:sz w:val="20"/>
                <w:szCs w:val="20"/>
              </w:rPr>
              <w:fldChar w:fldCharType="begin">
                <w:ffData>
                  <w:name w:val=""/>
                  <w:enabled/>
                  <w:calcOnExit w:val="0"/>
                  <w:checkBox>
                    <w:sizeAuto/>
                    <w:default w:val="1"/>
                  </w:checkBox>
                </w:ffData>
              </w:fldChar>
            </w:r>
            <w:r w:rsidRPr="00553856">
              <w:rPr>
                <w:rFonts w:ascii="Arial Narrow" w:hAnsi="Arial Narrow"/>
                <w:sz w:val="20"/>
                <w:szCs w:val="20"/>
              </w:rPr>
              <w:instrText xml:space="preserve"> FORMCHECKBOX </w:instrText>
            </w:r>
            <w:r w:rsidRPr="00553856">
              <w:rPr>
                <w:rFonts w:ascii="Arial Narrow" w:hAnsi="Arial Narrow"/>
                <w:sz w:val="20"/>
                <w:szCs w:val="20"/>
              </w:rPr>
            </w:r>
            <w:r w:rsidRPr="00553856">
              <w:rPr>
                <w:rFonts w:ascii="Arial Narrow" w:hAnsi="Arial Narrow"/>
                <w:sz w:val="20"/>
                <w:szCs w:val="20"/>
              </w:rPr>
              <w:fldChar w:fldCharType="separate"/>
            </w:r>
            <w:r w:rsidRPr="00553856">
              <w:rPr>
                <w:rFonts w:ascii="Arial Narrow" w:hAnsi="Arial Narrow"/>
                <w:sz w:val="20"/>
                <w:szCs w:val="20"/>
              </w:rPr>
              <w:fldChar w:fldCharType="end"/>
            </w:r>
            <w:r w:rsidRPr="00553856">
              <w:rPr>
                <w:rFonts w:ascii="Arial Narrow" w:hAnsi="Arial Narrow"/>
                <w:sz w:val="20"/>
                <w:szCs w:val="20"/>
              </w:rPr>
              <w:t>Medical Practitioners</w:t>
            </w:r>
          </w:p>
        </w:tc>
      </w:tr>
      <w:tr w:rsidR="00DA4F39" w:rsidRPr="00553856" w14:paraId="4F80B8A3"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66B0E4CE" w14:textId="77777777" w:rsidR="00DA4F39" w:rsidRPr="00553856" w:rsidRDefault="00DA4F39" w:rsidP="003A3A7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B46A04F" w14:textId="77777777" w:rsidR="00DA4F39" w:rsidRPr="00553856" w:rsidRDefault="00DA4F39" w:rsidP="003A3A7B">
            <w:pPr>
              <w:rPr>
                <w:rFonts w:ascii="Arial Narrow" w:eastAsia="Calibri" w:hAnsi="Arial Narrow"/>
                <w:color w:val="FF0000"/>
                <w:sz w:val="20"/>
                <w:szCs w:val="20"/>
              </w:rPr>
            </w:pPr>
            <w:r w:rsidRPr="00553856">
              <w:rPr>
                <w:rFonts w:ascii="Arial Narrow" w:hAnsi="Arial Narrow"/>
                <w:b/>
                <w:sz w:val="20"/>
                <w:szCs w:val="20"/>
              </w:rPr>
              <w:t xml:space="preserve">Restriction type: </w:t>
            </w:r>
            <w:r w:rsidRPr="00553856">
              <w:rPr>
                <w:rFonts w:ascii="Arial Narrow" w:eastAsia="Calibri" w:hAnsi="Arial Narrow"/>
                <w:sz w:val="20"/>
                <w:szCs w:val="20"/>
              </w:rPr>
              <w:fldChar w:fldCharType="begin">
                <w:ffData>
                  <w:name w:val=""/>
                  <w:enabled/>
                  <w:calcOnExit w:val="0"/>
                  <w:checkBox>
                    <w:sizeAuto/>
                    <w:default w:val="1"/>
                  </w:checkBox>
                </w:ffData>
              </w:fldChar>
            </w:r>
            <w:r w:rsidRPr="00553856">
              <w:rPr>
                <w:rFonts w:ascii="Arial Narrow" w:eastAsia="Calibri" w:hAnsi="Arial Narrow"/>
                <w:sz w:val="20"/>
                <w:szCs w:val="20"/>
              </w:rPr>
              <w:instrText xml:space="preserve"> FORMCHECKBOX </w:instrText>
            </w:r>
            <w:r w:rsidRPr="00553856">
              <w:rPr>
                <w:rFonts w:ascii="Arial Narrow" w:eastAsia="Calibri" w:hAnsi="Arial Narrow"/>
                <w:sz w:val="20"/>
                <w:szCs w:val="20"/>
              </w:rPr>
            </w:r>
            <w:r w:rsidRPr="00553856">
              <w:rPr>
                <w:rFonts w:ascii="Arial Narrow" w:eastAsia="Calibri" w:hAnsi="Arial Narrow"/>
                <w:sz w:val="20"/>
                <w:szCs w:val="20"/>
              </w:rPr>
              <w:fldChar w:fldCharType="separate"/>
            </w:r>
            <w:r w:rsidRPr="00553856">
              <w:rPr>
                <w:rFonts w:ascii="Arial Narrow" w:eastAsia="Calibri" w:hAnsi="Arial Narrow"/>
                <w:sz w:val="20"/>
                <w:szCs w:val="20"/>
              </w:rPr>
              <w:fldChar w:fldCharType="end"/>
            </w:r>
            <w:r w:rsidRPr="00553856">
              <w:rPr>
                <w:rFonts w:ascii="Arial Narrow" w:eastAsia="Calibri" w:hAnsi="Arial Narrow"/>
                <w:sz w:val="20"/>
                <w:szCs w:val="20"/>
              </w:rPr>
              <w:t>Authority Required (Streamlined)</w:t>
            </w:r>
            <w:r w:rsidRPr="00553856">
              <w:rPr>
                <w:rFonts w:ascii="Arial Narrow" w:eastAsia="Calibri" w:hAnsi="Arial Narrow"/>
                <w:i/>
                <w:iCs/>
                <w:sz w:val="20"/>
                <w:szCs w:val="20"/>
              </w:rPr>
              <w:t xml:space="preserve"> (new code)</w:t>
            </w:r>
          </w:p>
        </w:tc>
      </w:tr>
      <w:tr w:rsidR="008731C9" w:rsidRPr="00553856" w14:paraId="6039B6A7" w14:textId="77777777">
        <w:tblPrEx>
          <w:tblCellMar>
            <w:top w:w="15" w:type="dxa"/>
            <w:bottom w:w="15" w:type="dxa"/>
          </w:tblCellMar>
          <w:tblLook w:val="04A0" w:firstRow="1" w:lastRow="0" w:firstColumn="1" w:lastColumn="0" w:noHBand="0" w:noVBand="1"/>
        </w:tblPrEx>
        <w:trPr>
          <w:trHeight w:val="20"/>
        </w:trPr>
        <w:tc>
          <w:tcPr>
            <w:tcW w:w="675" w:type="dxa"/>
            <w:vMerge w:val="restart"/>
            <w:tcBorders>
              <w:left w:val="single" w:sz="4" w:space="0" w:color="auto"/>
              <w:right w:val="single" w:sz="4" w:space="0" w:color="auto"/>
            </w:tcBorders>
            <w:textDirection w:val="btLr"/>
            <w:vAlign w:val="center"/>
          </w:tcPr>
          <w:p w14:paraId="18381910" w14:textId="77777777" w:rsidR="008731C9" w:rsidRPr="00553856" w:rsidRDefault="008731C9" w:rsidP="003A3A7B">
            <w:pPr>
              <w:jc w:val="center"/>
              <w:rPr>
                <w:rFonts w:ascii="Arial Narrow" w:hAnsi="Arial Narrow"/>
                <w:sz w:val="20"/>
                <w:szCs w:val="20"/>
              </w:rPr>
            </w:pPr>
            <w:r w:rsidRPr="00553856">
              <w:rPr>
                <w:rFonts w:ascii="Arial Narrow" w:hAnsi="Arial Narrow"/>
                <w:sz w:val="20"/>
                <w:szCs w:val="20"/>
              </w:rPr>
              <w:t>Prescribing rule level</w:t>
            </w:r>
          </w:p>
        </w:tc>
        <w:tc>
          <w:tcPr>
            <w:tcW w:w="596" w:type="dxa"/>
            <w:vAlign w:val="center"/>
          </w:tcPr>
          <w:p w14:paraId="3B26381B" w14:textId="63E808A3" w:rsidR="008731C9" w:rsidRPr="00553856" w:rsidRDefault="008731C9" w:rsidP="003A3A7B">
            <w:pPr>
              <w:jc w:val="center"/>
              <w:rPr>
                <w:rFonts w:ascii="Arial Narrow" w:hAnsi="Arial Narrow"/>
                <w:color w:val="333333"/>
                <w:sz w:val="20"/>
                <w:szCs w:val="20"/>
              </w:rPr>
            </w:pPr>
          </w:p>
        </w:tc>
        <w:tc>
          <w:tcPr>
            <w:tcW w:w="7745" w:type="dxa"/>
            <w:gridSpan w:val="6"/>
            <w:vAlign w:val="center"/>
          </w:tcPr>
          <w:p w14:paraId="44432D9D" w14:textId="77777777" w:rsidR="008731C9" w:rsidRPr="00553856" w:rsidRDefault="008731C9" w:rsidP="003A3A7B">
            <w:pPr>
              <w:rPr>
                <w:rFonts w:ascii="Arial Narrow" w:hAnsi="Arial Narrow"/>
                <w:color w:val="333333"/>
                <w:sz w:val="20"/>
                <w:szCs w:val="20"/>
              </w:rPr>
            </w:pPr>
            <w:r w:rsidRPr="00553856">
              <w:rPr>
                <w:rFonts w:ascii="Arial Narrow" w:hAnsi="Arial Narrow"/>
                <w:b/>
                <w:bCs/>
                <w:sz w:val="20"/>
                <w:szCs w:val="20"/>
              </w:rPr>
              <w:t xml:space="preserve">Administrative Advice: </w:t>
            </w:r>
            <w:r w:rsidRPr="00553856">
              <w:rPr>
                <w:rFonts w:ascii="Arial Narrow" w:hAnsi="Arial Narrow"/>
                <w:bCs/>
                <w:sz w:val="20"/>
                <w:szCs w:val="20"/>
              </w:rPr>
              <w:t>No increase in the maximum quantity or number of units may be authorised.</w:t>
            </w:r>
          </w:p>
        </w:tc>
      </w:tr>
      <w:tr w:rsidR="008731C9" w:rsidRPr="00553856" w14:paraId="783A01B4" w14:textId="77777777" w:rsidTr="00CD41B3">
        <w:tblPrEx>
          <w:tblCellMar>
            <w:top w:w="15" w:type="dxa"/>
            <w:bottom w:w="15" w:type="dxa"/>
          </w:tblCellMar>
          <w:tblLook w:val="04A0" w:firstRow="1" w:lastRow="0" w:firstColumn="1" w:lastColumn="0" w:noHBand="0" w:noVBand="1"/>
        </w:tblPrEx>
        <w:trPr>
          <w:trHeight w:val="20"/>
        </w:trPr>
        <w:tc>
          <w:tcPr>
            <w:tcW w:w="675" w:type="dxa"/>
            <w:vMerge/>
            <w:tcBorders>
              <w:left w:val="single" w:sz="4" w:space="0" w:color="auto"/>
              <w:right w:val="single" w:sz="4" w:space="0" w:color="auto"/>
            </w:tcBorders>
          </w:tcPr>
          <w:p w14:paraId="2120FD9C" w14:textId="77777777" w:rsidR="008731C9" w:rsidRPr="00553856" w:rsidRDefault="008731C9" w:rsidP="003A3A7B">
            <w:pPr>
              <w:rPr>
                <w:rFonts w:ascii="Arial Narrow" w:hAnsi="Arial Narrow"/>
                <w:sz w:val="20"/>
                <w:szCs w:val="20"/>
              </w:rPr>
            </w:pPr>
          </w:p>
        </w:tc>
        <w:tc>
          <w:tcPr>
            <w:tcW w:w="596" w:type="dxa"/>
            <w:tcBorders>
              <w:left w:val="single" w:sz="4" w:space="0" w:color="auto"/>
            </w:tcBorders>
            <w:vAlign w:val="center"/>
          </w:tcPr>
          <w:p w14:paraId="09AE1474" w14:textId="57A04754" w:rsidR="008731C9" w:rsidRPr="00553856" w:rsidRDefault="008731C9" w:rsidP="003A3A7B">
            <w:pPr>
              <w:jc w:val="center"/>
              <w:rPr>
                <w:rFonts w:ascii="Arial Narrow" w:hAnsi="Arial Narrow"/>
                <w:color w:val="333333"/>
                <w:sz w:val="20"/>
                <w:szCs w:val="20"/>
              </w:rPr>
            </w:pPr>
          </w:p>
        </w:tc>
        <w:tc>
          <w:tcPr>
            <w:tcW w:w="7745" w:type="dxa"/>
            <w:gridSpan w:val="6"/>
            <w:vAlign w:val="center"/>
          </w:tcPr>
          <w:p w14:paraId="76536441" w14:textId="77777777" w:rsidR="008731C9" w:rsidRPr="00553856" w:rsidRDefault="008731C9" w:rsidP="003A3A7B">
            <w:pPr>
              <w:rPr>
                <w:rFonts w:ascii="Arial Narrow" w:hAnsi="Arial Narrow"/>
                <w:b/>
                <w:bCs/>
                <w:color w:val="333333"/>
                <w:sz w:val="20"/>
                <w:szCs w:val="20"/>
              </w:rPr>
            </w:pPr>
            <w:r w:rsidRPr="00553856">
              <w:rPr>
                <w:rFonts w:ascii="Arial Narrow" w:hAnsi="Arial Narrow"/>
                <w:b/>
                <w:bCs/>
                <w:sz w:val="20"/>
                <w:szCs w:val="20"/>
              </w:rPr>
              <w:t xml:space="preserve">Administrative Advice: </w:t>
            </w:r>
            <w:r w:rsidRPr="00553856">
              <w:rPr>
                <w:rFonts w:ascii="Arial Narrow" w:hAnsi="Arial Narrow"/>
                <w:bCs/>
                <w:sz w:val="20"/>
                <w:szCs w:val="20"/>
              </w:rPr>
              <w:t>No increase in the maximum number of repeats may be authorised.</w:t>
            </w:r>
          </w:p>
        </w:tc>
      </w:tr>
      <w:tr w:rsidR="008731C9" w:rsidRPr="00553856" w14:paraId="3CB97AE2" w14:textId="77777777" w:rsidTr="00CD41B3">
        <w:tblPrEx>
          <w:tblCellMar>
            <w:top w:w="15" w:type="dxa"/>
            <w:bottom w:w="15" w:type="dxa"/>
          </w:tblCellMar>
          <w:tblLook w:val="04A0" w:firstRow="1" w:lastRow="0" w:firstColumn="1" w:lastColumn="0" w:noHBand="0" w:noVBand="1"/>
        </w:tblPrEx>
        <w:trPr>
          <w:trHeight w:val="20"/>
        </w:trPr>
        <w:tc>
          <w:tcPr>
            <w:tcW w:w="675" w:type="dxa"/>
            <w:vMerge/>
            <w:tcBorders>
              <w:left w:val="single" w:sz="4" w:space="0" w:color="auto"/>
              <w:right w:val="single" w:sz="4" w:space="0" w:color="auto"/>
            </w:tcBorders>
          </w:tcPr>
          <w:p w14:paraId="64604C67" w14:textId="77777777" w:rsidR="008731C9" w:rsidRPr="00553856" w:rsidRDefault="008731C9" w:rsidP="003A3A7B">
            <w:pPr>
              <w:rPr>
                <w:rFonts w:ascii="Arial Narrow" w:hAnsi="Arial Narrow"/>
                <w:sz w:val="20"/>
                <w:szCs w:val="20"/>
              </w:rPr>
            </w:pPr>
          </w:p>
        </w:tc>
        <w:tc>
          <w:tcPr>
            <w:tcW w:w="596" w:type="dxa"/>
            <w:tcBorders>
              <w:left w:val="single" w:sz="4" w:space="0" w:color="auto"/>
            </w:tcBorders>
            <w:vAlign w:val="center"/>
          </w:tcPr>
          <w:p w14:paraId="5D5FE88D" w14:textId="3ADD53DB" w:rsidR="008731C9" w:rsidRPr="00553856" w:rsidRDefault="008731C9" w:rsidP="003A3A7B">
            <w:pPr>
              <w:jc w:val="center"/>
              <w:rPr>
                <w:rFonts w:ascii="Arial Narrow" w:hAnsi="Arial Narrow"/>
                <w:color w:val="333333"/>
                <w:sz w:val="20"/>
                <w:szCs w:val="20"/>
              </w:rPr>
            </w:pPr>
          </w:p>
        </w:tc>
        <w:tc>
          <w:tcPr>
            <w:tcW w:w="7745" w:type="dxa"/>
            <w:gridSpan w:val="6"/>
            <w:vAlign w:val="center"/>
          </w:tcPr>
          <w:p w14:paraId="436960F5" w14:textId="77777777" w:rsidR="008731C9" w:rsidRPr="00553856" w:rsidRDefault="008731C9" w:rsidP="003A3A7B">
            <w:pPr>
              <w:rPr>
                <w:rFonts w:ascii="Arial Narrow" w:hAnsi="Arial Narrow"/>
                <w:b/>
                <w:bCs/>
                <w:color w:val="333333"/>
                <w:sz w:val="20"/>
                <w:szCs w:val="20"/>
              </w:rPr>
            </w:pPr>
            <w:r w:rsidRPr="00553856">
              <w:rPr>
                <w:rFonts w:ascii="Arial Narrow" w:hAnsi="Arial Narrow"/>
                <w:b/>
                <w:bCs/>
                <w:sz w:val="20"/>
                <w:szCs w:val="20"/>
              </w:rPr>
              <w:t xml:space="preserve">Administrative Advice: </w:t>
            </w:r>
            <w:r w:rsidRPr="00553856">
              <w:rPr>
                <w:rFonts w:ascii="Arial Narrow" w:hAnsi="Arial Narrow"/>
                <w:bCs/>
                <w:sz w:val="20"/>
                <w:szCs w:val="20"/>
              </w:rPr>
              <w:t>Special Pricing Arrangements apply.</w:t>
            </w:r>
          </w:p>
        </w:tc>
      </w:tr>
      <w:tr w:rsidR="008731C9" w:rsidRPr="00553856" w14:paraId="6C244CD3" w14:textId="77777777" w:rsidTr="00CD41B3">
        <w:tblPrEx>
          <w:tblCellMar>
            <w:top w:w="15" w:type="dxa"/>
            <w:bottom w:w="15" w:type="dxa"/>
          </w:tblCellMar>
          <w:tblLook w:val="04A0" w:firstRow="1" w:lastRow="0" w:firstColumn="1" w:lastColumn="0" w:noHBand="0" w:noVBand="1"/>
        </w:tblPrEx>
        <w:trPr>
          <w:trHeight w:val="20"/>
        </w:trPr>
        <w:tc>
          <w:tcPr>
            <w:tcW w:w="675" w:type="dxa"/>
            <w:vMerge/>
            <w:tcBorders>
              <w:left w:val="single" w:sz="4" w:space="0" w:color="auto"/>
              <w:right w:val="single" w:sz="4" w:space="0" w:color="auto"/>
            </w:tcBorders>
          </w:tcPr>
          <w:p w14:paraId="6CA81D6C" w14:textId="77777777" w:rsidR="008731C9" w:rsidRPr="00553856" w:rsidRDefault="008731C9" w:rsidP="003A3A7B">
            <w:pPr>
              <w:rPr>
                <w:rFonts w:ascii="Arial Narrow" w:hAnsi="Arial Narrow"/>
                <w:sz w:val="20"/>
                <w:szCs w:val="20"/>
              </w:rPr>
            </w:pPr>
          </w:p>
        </w:tc>
        <w:tc>
          <w:tcPr>
            <w:tcW w:w="596" w:type="dxa"/>
            <w:tcBorders>
              <w:left w:val="single" w:sz="4" w:space="0" w:color="auto"/>
            </w:tcBorders>
            <w:vAlign w:val="center"/>
          </w:tcPr>
          <w:p w14:paraId="087DB452" w14:textId="57E6D971" w:rsidR="008731C9" w:rsidRPr="00553856" w:rsidRDefault="008731C9" w:rsidP="003A3A7B">
            <w:pPr>
              <w:jc w:val="center"/>
              <w:rPr>
                <w:rFonts w:ascii="Arial Narrow" w:hAnsi="Arial Narrow"/>
                <w:bCs/>
                <w:sz w:val="20"/>
                <w:szCs w:val="20"/>
              </w:rPr>
            </w:pPr>
          </w:p>
        </w:tc>
        <w:tc>
          <w:tcPr>
            <w:tcW w:w="7745" w:type="dxa"/>
            <w:gridSpan w:val="6"/>
            <w:vAlign w:val="center"/>
          </w:tcPr>
          <w:p w14:paraId="597B5979" w14:textId="77C6A581" w:rsidR="008731C9" w:rsidRPr="00553856" w:rsidRDefault="008731C9" w:rsidP="003A3A7B">
            <w:pPr>
              <w:rPr>
                <w:rFonts w:ascii="Arial Narrow" w:hAnsi="Arial Narrow"/>
                <w:b/>
                <w:bCs/>
                <w:sz w:val="20"/>
                <w:szCs w:val="20"/>
              </w:rPr>
            </w:pPr>
            <w:r w:rsidRPr="00553856">
              <w:rPr>
                <w:rFonts w:ascii="Arial Narrow" w:hAnsi="Arial Narrow"/>
                <w:b/>
                <w:bCs/>
                <w:sz w:val="20"/>
                <w:szCs w:val="20"/>
              </w:rPr>
              <w:t>Administrative Advice</w:t>
            </w:r>
            <w:r>
              <w:rPr>
                <w:rFonts w:ascii="Arial Narrow" w:hAnsi="Arial Narrow"/>
                <w:b/>
                <w:bCs/>
                <w:sz w:val="20"/>
                <w:szCs w:val="20"/>
              </w:rPr>
              <w:t xml:space="preserve">: </w:t>
            </w:r>
            <w:r w:rsidRPr="008731C9">
              <w:rPr>
                <w:rFonts w:ascii="Arial Narrow" w:hAnsi="Arial Narrow"/>
                <w:sz w:val="20"/>
                <w:szCs w:val="20"/>
              </w:rPr>
              <w:t xml:space="preserve">Pharmaceutical </w:t>
            </w:r>
            <w:r>
              <w:rPr>
                <w:rFonts w:ascii="Arial Narrow" w:hAnsi="Arial Narrow"/>
                <w:sz w:val="20"/>
                <w:szCs w:val="20"/>
              </w:rPr>
              <w:t xml:space="preserve">benefits that have </w:t>
            </w:r>
            <w:r w:rsidR="00E969FF">
              <w:rPr>
                <w:rFonts w:ascii="Arial Narrow" w:hAnsi="Arial Narrow"/>
                <w:sz w:val="20"/>
                <w:szCs w:val="20"/>
              </w:rPr>
              <w:t xml:space="preserve">the </w:t>
            </w:r>
            <w:r w:rsidR="00280883">
              <w:rPr>
                <w:rFonts w:ascii="Arial Narrow" w:hAnsi="Arial Narrow"/>
                <w:sz w:val="20"/>
                <w:szCs w:val="20"/>
              </w:rPr>
              <w:t xml:space="preserve">form </w:t>
            </w:r>
            <w:proofErr w:type="spellStart"/>
            <w:r w:rsidR="00280883" w:rsidRPr="00553856">
              <w:rPr>
                <w:rFonts w:ascii="Arial Narrow" w:hAnsi="Arial Narrow"/>
                <w:sz w:val="20"/>
                <w:szCs w:val="20"/>
              </w:rPr>
              <w:t>binimetinib</w:t>
            </w:r>
            <w:proofErr w:type="spellEnd"/>
            <w:r w:rsidR="00280883" w:rsidRPr="00553856">
              <w:rPr>
                <w:rFonts w:ascii="Arial Narrow" w:hAnsi="Arial Narrow"/>
                <w:sz w:val="20"/>
                <w:szCs w:val="20"/>
              </w:rPr>
              <w:t xml:space="preserve"> 45 mg tablet, 56</w:t>
            </w:r>
            <w:r w:rsidR="00DC7814">
              <w:rPr>
                <w:rFonts w:ascii="Arial Narrow" w:hAnsi="Arial Narrow"/>
                <w:sz w:val="20"/>
                <w:szCs w:val="20"/>
              </w:rPr>
              <w:t xml:space="preserve"> and </w:t>
            </w:r>
            <w:r w:rsidR="00FB7F10">
              <w:rPr>
                <w:rFonts w:ascii="Arial Narrow" w:hAnsi="Arial Narrow"/>
                <w:sz w:val="20"/>
                <w:szCs w:val="20"/>
              </w:rPr>
              <w:t>p</w:t>
            </w:r>
            <w:r w:rsidR="00FB7F10" w:rsidRPr="008731C9">
              <w:rPr>
                <w:rFonts w:ascii="Arial Narrow" w:hAnsi="Arial Narrow"/>
                <w:sz w:val="20"/>
                <w:szCs w:val="20"/>
              </w:rPr>
              <w:t xml:space="preserve">harmaceutical </w:t>
            </w:r>
            <w:r w:rsidR="00FB7F10">
              <w:rPr>
                <w:rFonts w:ascii="Arial Narrow" w:hAnsi="Arial Narrow"/>
                <w:sz w:val="20"/>
                <w:szCs w:val="20"/>
              </w:rPr>
              <w:t xml:space="preserve">benefits that have the form </w:t>
            </w:r>
            <w:proofErr w:type="spellStart"/>
            <w:r w:rsidR="00FB7F10" w:rsidRPr="00553856">
              <w:rPr>
                <w:rFonts w:ascii="Arial Narrow" w:hAnsi="Arial Narrow"/>
                <w:sz w:val="20"/>
                <w:szCs w:val="20"/>
              </w:rPr>
              <w:t>binimetinib</w:t>
            </w:r>
            <w:proofErr w:type="spellEnd"/>
            <w:r w:rsidR="00FB7F10" w:rsidRPr="00553856">
              <w:rPr>
                <w:rFonts w:ascii="Arial Narrow" w:hAnsi="Arial Narrow"/>
                <w:sz w:val="20"/>
                <w:szCs w:val="20"/>
              </w:rPr>
              <w:t xml:space="preserve"> 45 mg tablet, 28</w:t>
            </w:r>
            <w:r w:rsidR="00957AF1">
              <w:t xml:space="preserve"> </w:t>
            </w:r>
            <w:r w:rsidR="00957AF1" w:rsidRPr="00957AF1">
              <w:rPr>
                <w:rFonts w:ascii="Arial Narrow" w:hAnsi="Arial Narrow"/>
                <w:sz w:val="20"/>
                <w:szCs w:val="20"/>
              </w:rPr>
              <w:t>are equivalent for the purposes of substitution.</w:t>
            </w:r>
          </w:p>
        </w:tc>
      </w:tr>
      <w:tr w:rsidR="00DA4F39" w:rsidRPr="00553856" w14:paraId="41EF2AFD"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32AC0ED0" w14:textId="77777777" w:rsidR="00DA4F39" w:rsidRPr="00553856" w:rsidRDefault="00DA4F39" w:rsidP="003A3A7B">
            <w:pPr>
              <w:jc w:val="center"/>
              <w:rPr>
                <w:rFonts w:ascii="Arial Narrow" w:hAnsi="Arial Narrow"/>
                <w:color w:val="333333"/>
                <w:sz w:val="20"/>
                <w:szCs w:val="20"/>
              </w:rPr>
            </w:pPr>
          </w:p>
        </w:tc>
        <w:tc>
          <w:tcPr>
            <w:tcW w:w="7745" w:type="dxa"/>
            <w:gridSpan w:val="6"/>
            <w:vAlign w:val="center"/>
          </w:tcPr>
          <w:p w14:paraId="0DC10BD2" w14:textId="77777777" w:rsidR="00DA4F39" w:rsidRPr="00665F53" w:rsidRDefault="00DA4F39" w:rsidP="003A3A7B">
            <w:pPr>
              <w:rPr>
                <w:rFonts w:ascii="Arial Narrow" w:hAnsi="Arial Narrow"/>
                <w:bCs/>
                <w:color w:val="808080" w:themeColor="background1" w:themeShade="80"/>
                <w:sz w:val="20"/>
                <w:szCs w:val="20"/>
              </w:rPr>
            </w:pPr>
            <w:proofErr w:type="spellStart"/>
            <w:r w:rsidRPr="00665F53">
              <w:rPr>
                <w:rFonts w:ascii="Arial Narrow" w:hAnsi="Arial Narrow"/>
                <w:b/>
                <w:bCs/>
                <w:color w:val="808080" w:themeColor="background1" w:themeShade="80"/>
                <w:sz w:val="20"/>
                <w:szCs w:val="20"/>
              </w:rPr>
              <w:t>Episodicity</w:t>
            </w:r>
            <w:proofErr w:type="spellEnd"/>
            <w:r w:rsidRPr="00665F53">
              <w:rPr>
                <w:rFonts w:ascii="Arial Narrow" w:hAnsi="Arial Narrow"/>
                <w:b/>
                <w:bCs/>
                <w:color w:val="808080" w:themeColor="background1" w:themeShade="80"/>
                <w:sz w:val="20"/>
                <w:szCs w:val="20"/>
              </w:rPr>
              <w:t xml:space="preserve">: </w:t>
            </w:r>
            <w:r w:rsidRPr="00665F53">
              <w:rPr>
                <w:rFonts w:ascii="Arial Narrow" w:hAnsi="Arial Narrow"/>
                <w:bCs/>
                <w:color w:val="808080" w:themeColor="background1" w:themeShade="80"/>
                <w:sz w:val="20"/>
                <w:szCs w:val="20"/>
              </w:rPr>
              <w:t>BLANK</w:t>
            </w:r>
          </w:p>
        </w:tc>
      </w:tr>
      <w:tr w:rsidR="00DA4F39" w:rsidRPr="00553856" w14:paraId="72B32209"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0F51127E" w14:textId="77777777" w:rsidR="00DA4F39" w:rsidRPr="00553856" w:rsidRDefault="00DA4F39" w:rsidP="003A3A7B">
            <w:pPr>
              <w:jc w:val="center"/>
              <w:rPr>
                <w:rFonts w:ascii="Arial Narrow" w:hAnsi="Arial Narrow"/>
                <w:color w:val="333333"/>
                <w:sz w:val="20"/>
                <w:szCs w:val="20"/>
              </w:rPr>
            </w:pPr>
          </w:p>
        </w:tc>
        <w:tc>
          <w:tcPr>
            <w:tcW w:w="7745" w:type="dxa"/>
            <w:gridSpan w:val="6"/>
            <w:vAlign w:val="center"/>
          </w:tcPr>
          <w:p w14:paraId="343F1270" w14:textId="77777777" w:rsidR="00DA4F39" w:rsidRPr="00665F53" w:rsidRDefault="00DA4F39" w:rsidP="003A3A7B">
            <w:pPr>
              <w:rPr>
                <w:rFonts w:ascii="Arial Narrow" w:hAnsi="Arial Narrow"/>
                <w:b/>
                <w:bCs/>
                <w:color w:val="808080" w:themeColor="background1" w:themeShade="80"/>
                <w:sz w:val="20"/>
                <w:szCs w:val="20"/>
              </w:rPr>
            </w:pPr>
            <w:r w:rsidRPr="00665F53">
              <w:rPr>
                <w:rFonts w:ascii="Arial Narrow" w:hAnsi="Arial Narrow"/>
                <w:b/>
                <w:bCs/>
                <w:color w:val="808080" w:themeColor="background1" w:themeShade="80"/>
                <w:sz w:val="20"/>
                <w:szCs w:val="20"/>
              </w:rPr>
              <w:t xml:space="preserve">Severity: </w:t>
            </w:r>
            <w:r w:rsidRPr="00665F53">
              <w:rPr>
                <w:rFonts w:ascii="Arial Narrow" w:hAnsi="Arial Narrow"/>
                <w:color w:val="808080" w:themeColor="background1" w:themeShade="80"/>
                <w:sz w:val="20"/>
                <w:szCs w:val="20"/>
              </w:rPr>
              <w:t>Stage IV (metastatic)</w:t>
            </w:r>
          </w:p>
        </w:tc>
      </w:tr>
      <w:tr w:rsidR="00DA4F39" w:rsidRPr="00553856" w14:paraId="48057597"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5D2D9AD2" w14:textId="77777777" w:rsidR="00DA4F39" w:rsidRPr="00553856" w:rsidRDefault="00DA4F39" w:rsidP="003A3A7B">
            <w:pPr>
              <w:jc w:val="center"/>
              <w:rPr>
                <w:rFonts w:ascii="Arial Narrow" w:hAnsi="Arial Narrow"/>
                <w:color w:val="333333"/>
                <w:sz w:val="20"/>
                <w:szCs w:val="20"/>
              </w:rPr>
            </w:pPr>
          </w:p>
        </w:tc>
        <w:tc>
          <w:tcPr>
            <w:tcW w:w="7745" w:type="dxa"/>
            <w:gridSpan w:val="6"/>
            <w:vAlign w:val="center"/>
          </w:tcPr>
          <w:p w14:paraId="39994554" w14:textId="5E592230" w:rsidR="00DA4F39" w:rsidRPr="00665F53" w:rsidRDefault="00DA4F39" w:rsidP="003A3A7B">
            <w:pPr>
              <w:rPr>
                <w:rFonts w:ascii="Arial Narrow" w:hAnsi="Arial Narrow"/>
                <w:b/>
                <w:bCs/>
                <w:color w:val="808080" w:themeColor="background1" w:themeShade="80"/>
                <w:sz w:val="20"/>
                <w:szCs w:val="20"/>
              </w:rPr>
            </w:pPr>
            <w:r w:rsidRPr="00665F53">
              <w:rPr>
                <w:rFonts w:ascii="Arial Narrow" w:hAnsi="Arial Narrow"/>
                <w:b/>
                <w:bCs/>
                <w:color w:val="808080" w:themeColor="background1" w:themeShade="80"/>
                <w:sz w:val="20"/>
                <w:szCs w:val="20"/>
              </w:rPr>
              <w:t xml:space="preserve">Condition: </w:t>
            </w:r>
            <w:r w:rsidRPr="00665F53">
              <w:rPr>
                <w:rFonts w:ascii="Arial Narrow" w:hAnsi="Arial Narrow"/>
                <w:bCs/>
                <w:color w:val="808080" w:themeColor="background1" w:themeShade="80"/>
                <w:sz w:val="20"/>
                <w:szCs w:val="20"/>
              </w:rPr>
              <w:t>Non</w:t>
            </w:r>
            <w:r w:rsidR="003A3A7B">
              <w:rPr>
                <w:rFonts w:ascii="Arial Narrow" w:hAnsi="Arial Narrow"/>
                <w:bCs/>
                <w:color w:val="808080" w:themeColor="background1" w:themeShade="80"/>
                <w:sz w:val="20"/>
                <w:szCs w:val="20"/>
              </w:rPr>
              <w:noBreakHyphen/>
            </w:r>
            <w:r w:rsidRPr="00665F53">
              <w:rPr>
                <w:rFonts w:ascii="Arial Narrow" w:hAnsi="Arial Narrow"/>
                <w:bCs/>
                <w:color w:val="808080" w:themeColor="background1" w:themeShade="80"/>
                <w:sz w:val="20"/>
                <w:szCs w:val="20"/>
              </w:rPr>
              <w:t>small cell lung cancer (NSCLC)</w:t>
            </w:r>
          </w:p>
        </w:tc>
      </w:tr>
      <w:tr w:rsidR="00DA4F39" w:rsidRPr="00553856" w14:paraId="678BAA8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47D060A" w14:textId="4E309892" w:rsidR="00DA4F39" w:rsidRPr="00553856" w:rsidRDefault="00DA4F39" w:rsidP="003A3A7B">
            <w:pPr>
              <w:jc w:val="center"/>
              <w:rPr>
                <w:rFonts w:ascii="Arial Narrow" w:hAnsi="Arial Narrow"/>
                <w:color w:val="333333"/>
                <w:sz w:val="20"/>
                <w:szCs w:val="20"/>
              </w:rPr>
            </w:pPr>
          </w:p>
        </w:tc>
        <w:tc>
          <w:tcPr>
            <w:tcW w:w="7745" w:type="dxa"/>
            <w:gridSpan w:val="6"/>
            <w:vAlign w:val="center"/>
            <w:hideMark/>
          </w:tcPr>
          <w:p w14:paraId="1B5D5B7E" w14:textId="2F2A9785" w:rsidR="00DA4F39" w:rsidRPr="00553856" w:rsidRDefault="00DA4F39" w:rsidP="003A3A7B">
            <w:pPr>
              <w:rPr>
                <w:rFonts w:ascii="Arial Narrow" w:hAnsi="Arial Narrow"/>
                <w:color w:val="333333"/>
                <w:sz w:val="20"/>
                <w:szCs w:val="20"/>
              </w:rPr>
            </w:pPr>
            <w:r w:rsidRPr="00553856">
              <w:rPr>
                <w:rFonts w:ascii="Arial Narrow" w:hAnsi="Arial Narrow"/>
                <w:b/>
                <w:bCs/>
                <w:color w:val="333333"/>
                <w:sz w:val="20"/>
                <w:szCs w:val="20"/>
              </w:rPr>
              <w:t>Indication:</w:t>
            </w:r>
            <w:r w:rsidRPr="00553856">
              <w:rPr>
                <w:rFonts w:ascii="Arial Narrow" w:hAnsi="Arial Narrow"/>
                <w:color w:val="333333"/>
                <w:sz w:val="20"/>
                <w:szCs w:val="20"/>
              </w:rPr>
              <w:t xml:space="preserve"> Stage IV (metastatic) non</w:t>
            </w:r>
            <w:r w:rsidR="003A3A7B">
              <w:rPr>
                <w:rFonts w:ascii="Arial Narrow" w:hAnsi="Arial Narrow"/>
                <w:color w:val="333333"/>
                <w:sz w:val="20"/>
                <w:szCs w:val="20"/>
              </w:rPr>
              <w:noBreakHyphen/>
            </w:r>
            <w:r w:rsidRPr="00553856">
              <w:rPr>
                <w:rFonts w:ascii="Arial Narrow" w:hAnsi="Arial Narrow"/>
                <w:color w:val="333333"/>
                <w:sz w:val="20"/>
                <w:szCs w:val="20"/>
              </w:rPr>
              <w:t>small cell lung cancer (NSCLC)</w:t>
            </w:r>
          </w:p>
        </w:tc>
      </w:tr>
      <w:tr w:rsidR="00DA4F39" w:rsidRPr="00553856" w14:paraId="6A03C1F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1A720E" w14:textId="3959EEAF" w:rsidR="00DA4F39" w:rsidRPr="00553856" w:rsidRDefault="00DA4F39" w:rsidP="003A3A7B">
            <w:pPr>
              <w:jc w:val="center"/>
              <w:rPr>
                <w:rFonts w:ascii="Arial Narrow" w:hAnsi="Arial Narrow"/>
                <w:color w:val="333333"/>
                <w:sz w:val="20"/>
                <w:szCs w:val="20"/>
              </w:rPr>
            </w:pPr>
          </w:p>
        </w:tc>
        <w:tc>
          <w:tcPr>
            <w:tcW w:w="7745" w:type="dxa"/>
            <w:gridSpan w:val="6"/>
            <w:vAlign w:val="center"/>
            <w:hideMark/>
          </w:tcPr>
          <w:p w14:paraId="359681F1" w14:textId="77777777" w:rsidR="00DA4F39" w:rsidRPr="00553856" w:rsidRDefault="00DA4F39" w:rsidP="003A3A7B">
            <w:pPr>
              <w:rPr>
                <w:rFonts w:ascii="Arial Narrow" w:hAnsi="Arial Narrow"/>
                <w:color w:val="333333"/>
                <w:sz w:val="20"/>
                <w:szCs w:val="20"/>
              </w:rPr>
            </w:pPr>
            <w:r w:rsidRPr="00553856">
              <w:rPr>
                <w:rFonts w:ascii="Arial Narrow" w:hAnsi="Arial Narrow"/>
                <w:b/>
                <w:bCs/>
                <w:color w:val="333333"/>
                <w:sz w:val="20"/>
                <w:szCs w:val="20"/>
              </w:rPr>
              <w:t>Clinical criteria:</w:t>
            </w:r>
          </w:p>
        </w:tc>
      </w:tr>
      <w:tr w:rsidR="00DA4F39" w:rsidRPr="00553856" w14:paraId="79456FA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34B1D1" w14:textId="4A267AA7" w:rsidR="00DA4F39" w:rsidRPr="00553856" w:rsidRDefault="00DA4F39" w:rsidP="003A3A7B">
            <w:pPr>
              <w:jc w:val="center"/>
              <w:rPr>
                <w:rFonts w:ascii="Arial Narrow" w:hAnsi="Arial Narrow"/>
                <w:color w:val="333333"/>
                <w:sz w:val="20"/>
                <w:szCs w:val="20"/>
              </w:rPr>
            </w:pPr>
          </w:p>
        </w:tc>
        <w:tc>
          <w:tcPr>
            <w:tcW w:w="7745" w:type="dxa"/>
            <w:gridSpan w:val="6"/>
            <w:vAlign w:val="center"/>
            <w:hideMark/>
          </w:tcPr>
          <w:p w14:paraId="59966249" w14:textId="77777777" w:rsidR="00DA4F39" w:rsidRPr="00553856" w:rsidRDefault="00DA4F39" w:rsidP="003A3A7B">
            <w:pPr>
              <w:rPr>
                <w:rFonts w:ascii="Arial Narrow" w:hAnsi="Arial Narrow"/>
                <w:color w:val="FF0000"/>
                <w:sz w:val="20"/>
                <w:szCs w:val="20"/>
              </w:rPr>
            </w:pPr>
            <w:r w:rsidRPr="00553856">
              <w:rPr>
                <w:rFonts w:ascii="Arial Narrow" w:hAnsi="Arial Narrow"/>
                <w:sz w:val="20"/>
                <w:szCs w:val="20"/>
              </w:rPr>
              <w:t>The condition must be positive for a BRAF V600E mutation</w:t>
            </w:r>
          </w:p>
        </w:tc>
      </w:tr>
      <w:tr w:rsidR="00DA4F39" w:rsidRPr="00553856" w14:paraId="64CA3FF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D9FB90" w14:textId="77777777" w:rsidR="00DA4F39" w:rsidRPr="00553856" w:rsidRDefault="00DA4F39" w:rsidP="003A3A7B">
            <w:pPr>
              <w:jc w:val="center"/>
              <w:rPr>
                <w:rFonts w:ascii="Arial Narrow" w:hAnsi="Arial Narrow"/>
                <w:color w:val="333333"/>
                <w:sz w:val="20"/>
                <w:szCs w:val="20"/>
              </w:rPr>
            </w:pPr>
          </w:p>
        </w:tc>
        <w:tc>
          <w:tcPr>
            <w:tcW w:w="7745" w:type="dxa"/>
            <w:gridSpan w:val="6"/>
            <w:vAlign w:val="center"/>
          </w:tcPr>
          <w:p w14:paraId="0094BAAD" w14:textId="77777777" w:rsidR="00DA4F39" w:rsidRPr="00553856" w:rsidRDefault="00DA4F39" w:rsidP="003A3A7B">
            <w:pPr>
              <w:rPr>
                <w:rFonts w:ascii="Arial Narrow" w:hAnsi="Arial Narrow"/>
                <w:sz w:val="20"/>
                <w:szCs w:val="20"/>
              </w:rPr>
            </w:pPr>
            <w:r w:rsidRPr="00553856">
              <w:rPr>
                <w:rFonts w:ascii="Arial Narrow" w:hAnsi="Arial Narrow"/>
                <w:b/>
                <w:bCs/>
                <w:color w:val="333333"/>
                <w:sz w:val="20"/>
                <w:szCs w:val="20"/>
              </w:rPr>
              <w:t>AND</w:t>
            </w:r>
          </w:p>
        </w:tc>
      </w:tr>
      <w:tr w:rsidR="00DA4F39" w:rsidRPr="00553856" w14:paraId="7DD2E05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04944A" w14:textId="77777777" w:rsidR="00DA4F39" w:rsidRPr="00553856" w:rsidRDefault="00DA4F39" w:rsidP="003A3A7B">
            <w:pPr>
              <w:jc w:val="center"/>
              <w:rPr>
                <w:rFonts w:ascii="Arial Narrow" w:hAnsi="Arial Narrow"/>
                <w:color w:val="333333"/>
                <w:sz w:val="20"/>
                <w:szCs w:val="20"/>
              </w:rPr>
            </w:pPr>
          </w:p>
        </w:tc>
        <w:tc>
          <w:tcPr>
            <w:tcW w:w="7745" w:type="dxa"/>
            <w:gridSpan w:val="6"/>
            <w:vAlign w:val="center"/>
          </w:tcPr>
          <w:p w14:paraId="50B9AA9B" w14:textId="77777777" w:rsidR="00DA4F39" w:rsidRPr="00553856" w:rsidRDefault="00DA4F39" w:rsidP="003A3A7B">
            <w:pPr>
              <w:rPr>
                <w:rFonts w:ascii="Arial Narrow" w:hAnsi="Arial Narrow"/>
                <w:sz w:val="20"/>
                <w:szCs w:val="20"/>
              </w:rPr>
            </w:pPr>
            <w:r w:rsidRPr="00553856">
              <w:rPr>
                <w:rFonts w:ascii="Arial Narrow" w:hAnsi="Arial Narrow"/>
                <w:b/>
                <w:bCs/>
                <w:color w:val="333333"/>
                <w:sz w:val="20"/>
                <w:szCs w:val="20"/>
              </w:rPr>
              <w:t>Clinical criteria:</w:t>
            </w:r>
          </w:p>
        </w:tc>
      </w:tr>
      <w:tr w:rsidR="00DA4F39" w:rsidRPr="00553856" w14:paraId="0C7B75A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F52FE4" w14:textId="413C32A8" w:rsidR="00DA4F39" w:rsidRPr="00553856" w:rsidRDefault="00DA4F39" w:rsidP="003A3A7B">
            <w:pPr>
              <w:jc w:val="center"/>
              <w:rPr>
                <w:rFonts w:ascii="Arial Narrow" w:hAnsi="Arial Narrow"/>
                <w:color w:val="333333"/>
                <w:sz w:val="20"/>
                <w:szCs w:val="20"/>
              </w:rPr>
            </w:pPr>
          </w:p>
        </w:tc>
        <w:tc>
          <w:tcPr>
            <w:tcW w:w="7745" w:type="dxa"/>
            <w:gridSpan w:val="6"/>
            <w:vAlign w:val="center"/>
          </w:tcPr>
          <w:p w14:paraId="623AFFFD" w14:textId="77777777" w:rsidR="00DA4F39" w:rsidRPr="00553856" w:rsidRDefault="00DA4F39" w:rsidP="003A3A7B">
            <w:pPr>
              <w:rPr>
                <w:rFonts w:ascii="Arial Narrow" w:hAnsi="Arial Narrow"/>
                <w:sz w:val="20"/>
                <w:szCs w:val="20"/>
              </w:rPr>
            </w:pPr>
            <w:r w:rsidRPr="00553856">
              <w:rPr>
                <w:rFonts w:ascii="Arial Narrow" w:hAnsi="Arial Narrow"/>
                <w:sz w:val="20"/>
                <w:szCs w:val="20"/>
              </w:rPr>
              <w:t xml:space="preserve">Patient must be receiving </w:t>
            </w:r>
            <w:proofErr w:type="spellStart"/>
            <w:r w:rsidRPr="00553856">
              <w:rPr>
                <w:rFonts w:ascii="Arial Narrow" w:hAnsi="Arial Narrow"/>
                <w:sz w:val="20"/>
                <w:szCs w:val="20"/>
              </w:rPr>
              <w:t>encorafenib</w:t>
            </w:r>
            <w:proofErr w:type="spellEnd"/>
            <w:r w:rsidRPr="00553856">
              <w:rPr>
                <w:rFonts w:ascii="Arial Narrow" w:hAnsi="Arial Narrow"/>
                <w:sz w:val="20"/>
                <w:szCs w:val="20"/>
              </w:rPr>
              <w:t xml:space="preserve"> and </w:t>
            </w:r>
            <w:proofErr w:type="spellStart"/>
            <w:r w:rsidRPr="00553856">
              <w:rPr>
                <w:rFonts w:ascii="Arial Narrow" w:hAnsi="Arial Narrow"/>
                <w:sz w:val="20"/>
                <w:szCs w:val="20"/>
              </w:rPr>
              <w:t>binimetinib</w:t>
            </w:r>
            <w:proofErr w:type="spellEnd"/>
            <w:r w:rsidRPr="00553856">
              <w:rPr>
                <w:rFonts w:ascii="Arial Narrow" w:hAnsi="Arial Narrow"/>
                <w:sz w:val="20"/>
                <w:szCs w:val="20"/>
              </w:rPr>
              <w:t xml:space="preserve"> concomitantly for this condition</w:t>
            </w:r>
          </w:p>
        </w:tc>
      </w:tr>
      <w:tr w:rsidR="00DA4F39" w:rsidRPr="00553856" w14:paraId="3D6E95B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5DABAF" w14:textId="77777777" w:rsidR="00DA4F39" w:rsidRPr="00553856" w:rsidRDefault="00DA4F39" w:rsidP="003A3A7B">
            <w:pPr>
              <w:jc w:val="center"/>
              <w:rPr>
                <w:rFonts w:ascii="Arial Narrow" w:hAnsi="Arial Narrow"/>
                <w:color w:val="333333"/>
                <w:sz w:val="20"/>
                <w:szCs w:val="20"/>
              </w:rPr>
            </w:pPr>
          </w:p>
        </w:tc>
        <w:tc>
          <w:tcPr>
            <w:tcW w:w="7745" w:type="dxa"/>
            <w:gridSpan w:val="6"/>
            <w:vAlign w:val="center"/>
            <w:hideMark/>
          </w:tcPr>
          <w:p w14:paraId="5F9049DD" w14:textId="77777777" w:rsidR="00DA4F39" w:rsidRPr="00553856" w:rsidRDefault="00DA4F39" w:rsidP="003A3A7B">
            <w:pPr>
              <w:rPr>
                <w:rFonts w:ascii="Arial Narrow" w:hAnsi="Arial Narrow"/>
                <w:color w:val="333333"/>
                <w:sz w:val="20"/>
                <w:szCs w:val="20"/>
              </w:rPr>
            </w:pPr>
            <w:r w:rsidRPr="00553856">
              <w:rPr>
                <w:rFonts w:ascii="Arial Narrow" w:hAnsi="Arial Narrow"/>
                <w:b/>
                <w:bCs/>
                <w:color w:val="333333"/>
                <w:sz w:val="20"/>
                <w:szCs w:val="20"/>
              </w:rPr>
              <w:t>AND</w:t>
            </w:r>
          </w:p>
        </w:tc>
      </w:tr>
      <w:tr w:rsidR="00DA4F39" w:rsidRPr="00553856" w14:paraId="363D6FB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671DBE0" w14:textId="3D7036A4" w:rsidR="00DA4F39" w:rsidRPr="00553856" w:rsidRDefault="00DA4F39" w:rsidP="003A3A7B">
            <w:pPr>
              <w:jc w:val="center"/>
              <w:rPr>
                <w:rFonts w:ascii="Arial Narrow" w:hAnsi="Arial Narrow"/>
                <w:color w:val="333333"/>
                <w:sz w:val="20"/>
                <w:szCs w:val="20"/>
              </w:rPr>
            </w:pPr>
          </w:p>
        </w:tc>
        <w:tc>
          <w:tcPr>
            <w:tcW w:w="7745" w:type="dxa"/>
            <w:gridSpan w:val="6"/>
            <w:vAlign w:val="center"/>
            <w:hideMark/>
          </w:tcPr>
          <w:p w14:paraId="690D1722" w14:textId="77777777" w:rsidR="00DA4F39" w:rsidRPr="00553856" w:rsidRDefault="00DA4F39" w:rsidP="003A3A7B">
            <w:pPr>
              <w:rPr>
                <w:rFonts w:ascii="Arial Narrow" w:hAnsi="Arial Narrow"/>
                <w:color w:val="333333"/>
                <w:sz w:val="20"/>
                <w:szCs w:val="20"/>
              </w:rPr>
            </w:pPr>
            <w:r w:rsidRPr="00553856">
              <w:rPr>
                <w:rFonts w:ascii="Arial Narrow" w:hAnsi="Arial Narrow"/>
                <w:b/>
                <w:bCs/>
                <w:color w:val="333333"/>
                <w:sz w:val="20"/>
                <w:szCs w:val="20"/>
              </w:rPr>
              <w:t>Clinical criteria:</w:t>
            </w:r>
          </w:p>
        </w:tc>
      </w:tr>
      <w:tr w:rsidR="00DA4F39" w:rsidRPr="00553856" w14:paraId="257D732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F446DA" w14:textId="3D7003C7" w:rsidR="00DA4F39" w:rsidRPr="00426B3B" w:rsidRDefault="00DA4F39" w:rsidP="003A3A7B">
            <w:pPr>
              <w:jc w:val="center"/>
              <w:rPr>
                <w:rFonts w:ascii="Arial Narrow" w:hAnsi="Arial Narrow"/>
                <w:color w:val="333333"/>
                <w:sz w:val="20"/>
                <w:szCs w:val="20"/>
              </w:rPr>
            </w:pPr>
          </w:p>
        </w:tc>
        <w:tc>
          <w:tcPr>
            <w:tcW w:w="7745" w:type="dxa"/>
            <w:gridSpan w:val="6"/>
            <w:vAlign w:val="center"/>
            <w:hideMark/>
          </w:tcPr>
          <w:p w14:paraId="4F4F04F1" w14:textId="77777777" w:rsidR="00DA4F39" w:rsidRPr="00426B3B" w:rsidRDefault="00DA4F39" w:rsidP="003A3A7B">
            <w:pPr>
              <w:rPr>
                <w:rFonts w:ascii="Arial Narrow" w:hAnsi="Arial Narrow"/>
                <w:color w:val="333333"/>
                <w:sz w:val="20"/>
                <w:szCs w:val="20"/>
              </w:rPr>
            </w:pPr>
            <w:r w:rsidRPr="00426B3B">
              <w:rPr>
                <w:rFonts w:ascii="Arial Narrow" w:hAnsi="Arial Narrow"/>
                <w:sz w:val="20"/>
                <w:szCs w:val="20"/>
              </w:rPr>
              <w:t>Patient must have/have had a WHO performance status of no greater than 2 at treatment initiation with this drug for this condition.</w:t>
            </w:r>
          </w:p>
        </w:tc>
      </w:tr>
      <w:tr w:rsidR="00DA4F39" w:rsidRPr="00553856" w14:paraId="17F309A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B89F8D" w14:textId="77777777" w:rsidR="00DA4F39" w:rsidRPr="00426B3B" w:rsidRDefault="00DA4F39" w:rsidP="003A3A7B">
            <w:pPr>
              <w:jc w:val="center"/>
              <w:rPr>
                <w:rFonts w:ascii="Arial Narrow" w:hAnsi="Arial Narrow"/>
                <w:color w:val="333333"/>
                <w:sz w:val="20"/>
                <w:szCs w:val="20"/>
              </w:rPr>
            </w:pPr>
          </w:p>
        </w:tc>
        <w:tc>
          <w:tcPr>
            <w:tcW w:w="7745" w:type="dxa"/>
            <w:gridSpan w:val="6"/>
            <w:vAlign w:val="center"/>
          </w:tcPr>
          <w:p w14:paraId="3DCDB705" w14:textId="77777777" w:rsidR="00DA4F39" w:rsidRPr="00426B3B" w:rsidRDefault="00DA4F39" w:rsidP="003A3A7B">
            <w:pPr>
              <w:rPr>
                <w:rFonts w:ascii="Arial Narrow" w:hAnsi="Arial Narrow"/>
                <w:sz w:val="20"/>
                <w:szCs w:val="20"/>
              </w:rPr>
            </w:pPr>
            <w:r w:rsidRPr="00426B3B">
              <w:rPr>
                <w:rFonts w:ascii="Arial Narrow" w:hAnsi="Arial Narrow"/>
                <w:b/>
                <w:bCs/>
                <w:color w:val="333333"/>
                <w:sz w:val="20"/>
                <w:szCs w:val="20"/>
              </w:rPr>
              <w:t>AND</w:t>
            </w:r>
          </w:p>
        </w:tc>
      </w:tr>
      <w:tr w:rsidR="00DA4F39" w:rsidRPr="00553856" w14:paraId="37B5D51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1C5B5B6" w14:textId="0D4DC72E" w:rsidR="00DA4F39" w:rsidRPr="00426B3B" w:rsidRDefault="00DA4F39" w:rsidP="003A3A7B">
            <w:pPr>
              <w:jc w:val="center"/>
              <w:rPr>
                <w:rFonts w:ascii="Arial Narrow" w:hAnsi="Arial Narrow"/>
                <w:sz w:val="20"/>
                <w:szCs w:val="20"/>
              </w:rPr>
            </w:pPr>
          </w:p>
        </w:tc>
        <w:tc>
          <w:tcPr>
            <w:tcW w:w="7745" w:type="dxa"/>
            <w:gridSpan w:val="6"/>
            <w:vAlign w:val="center"/>
          </w:tcPr>
          <w:p w14:paraId="78D8FED9" w14:textId="77777777" w:rsidR="00DA4F39" w:rsidRPr="00426B3B" w:rsidRDefault="00DA4F39" w:rsidP="003A3A7B">
            <w:pPr>
              <w:rPr>
                <w:rFonts w:ascii="Arial Narrow" w:hAnsi="Arial Narrow"/>
                <w:sz w:val="20"/>
                <w:szCs w:val="20"/>
              </w:rPr>
            </w:pPr>
            <w:r w:rsidRPr="00426B3B">
              <w:rPr>
                <w:rFonts w:ascii="Arial Narrow" w:hAnsi="Arial Narrow"/>
                <w:b/>
                <w:bCs/>
                <w:sz w:val="20"/>
                <w:szCs w:val="20"/>
              </w:rPr>
              <w:t>Clinical criteria:</w:t>
            </w:r>
          </w:p>
        </w:tc>
      </w:tr>
      <w:tr w:rsidR="00DA4F39" w:rsidRPr="00553856" w14:paraId="5FFC9FD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5BC18B0" w14:textId="7BDEFA09" w:rsidR="00DA4F39" w:rsidRPr="00426B3B" w:rsidRDefault="00DA4F39" w:rsidP="003A3A7B">
            <w:pPr>
              <w:jc w:val="center"/>
              <w:rPr>
                <w:rFonts w:ascii="Arial Narrow" w:hAnsi="Arial Narrow"/>
                <w:sz w:val="20"/>
                <w:szCs w:val="20"/>
              </w:rPr>
            </w:pPr>
          </w:p>
        </w:tc>
        <w:tc>
          <w:tcPr>
            <w:tcW w:w="7745" w:type="dxa"/>
            <w:gridSpan w:val="6"/>
            <w:vAlign w:val="center"/>
          </w:tcPr>
          <w:p w14:paraId="2C0BE929" w14:textId="4DC9BAEC" w:rsidR="00DA4F39" w:rsidRPr="00426B3B" w:rsidRDefault="00DA4F39" w:rsidP="003A3A7B">
            <w:pPr>
              <w:rPr>
                <w:rFonts w:ascii="Arial Narrow" w:hAnsi="Arial Narrow"/>
                <w:sz w:val="20"/>
                <w:szCs w:val="20"/>
              </w:rPr>
            </w:pPr>
            <w:r w:rsidRPr="00426B3B">
              <w:rPr>
                <w:rFonts w:ascii="Arial Narrow" w:hAnsi="Arial Narrow"/>
                <w:sz w:val="20"/>
                <w:szCs w:val="20"/>
              </w:rPr>
              <w:t xml:space="preserve"> Patient must not have received PBS</w:t>
            </w:r>
            <w:r w:rsidR="003A3A7B">
              <w:rPr>
                <w:rFonts w:ascii="Arial Narrow" w:hAnsi="Arial Narrow"/>
                <w:sz w:val="20"/>
                <w:szCs w:val="20"/>
              </w:rPr>
              <w:noBreakHyphen/>
            </w:r>
            <w:r w:rsidRPr="00426B3B">
              <w:rPr>
                <w:rFonts w:ascii="Arial Narrow" w:hAnsi="Arial Narrow"/>
                <w:sz w:val="20"/>
                <w:szCs w:val="20"/>
              </w:rPr>
              <w:t>subsidised treatment with each of (i) BRAF inhibitor, (ii) MEK inhibitor therapy for Stage IV NSCLC prior to commencing PBS</w:t>
            </w:r>
            <w:r w:rsidR="003A3A7B">
              <w:rPr>
                <w:rFonts w:ascii="Arial Narrow" w:hAnsi="Arial Narrow"/>
                <w:sz w:val="20"/>
                <w:szCs w:val="20"/>
              </w:rPr>
              <w:noBreakHyphen/>
            </w:r>
            <w:r w:rsidRPr="00426B3B">
              <w:rPr>
                <w:rFonts w:ascii="Arial Narrow" w:hAnsi="Arial Narrow"/>
                <w:sz w:val="20"/>
                <w:szCs w:val="20"/>
              </w:rPr>
              <w:t>subsidised treatment with this drug for this condition; OR</w:t>
            </w:r>
          </w:p>
        </w:tc>
      </w:tr>
      <w:tr w:rsidR="00DA4F39" w:rsidRPr="00553856" w14:paraId="2E7B03C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8CBBB1" w14:textId="342B32AA" w:rsidR="00DA4F39" w:rsidRPr="00426B3B" w:rsidRDefault="00DA4F39" w:rsidP="003A3A7B">
            <w:pPr>
              <w:jc w:val="center"/>
              <w:rPr>
                <w:rFonts w:ascii="Arial Narrow" w:hAnsi="Arial Narrow"/>
                <w:sz w:val="20"/>
                <w:szCs w:val="20"/>
              </w:rPr>
            </w:pPr>
          </w:p>
        </w:tc>
        <w:tc>
          <w:tcPr>
            <w:tcW w:w="7745" w:type="dxa"/>
            <w:gridSpan w:val="6"/>
            <w:vAlign w:val="center"/>
          </w:tcPr>
          <w:p w14:paraId="2709652C" w14:textId="77777777" w:rsidR="00DA4F39" w:rsidRPr="00426B3B" w:rsidRDefault="00DA4F39" w:rsidP="003A3A7B">
            <w:pPr>
              <w:rPr>
                <w:rFonts w:ascii="Arial Narrow" w:hAnsi="Arial Narrow"/>
                <w:sz w:val="20"/>
                <w:szCs w:val="20"/>
              </w:rPr>
            </w:pPr>
            <w:r w:rsidRPr="00426B3B">
              <w:rPr>
                <w:rFonts w:ascii="Arial Narrow" w:hAnsi="Arial Narrow"/>
                <w:sz w:val="20"/>
                <w:szCs w:val="20"/>
              </w:rPr>
              <w:t>Patient must have developed intolerance to another BRAF inhibitor or MEK inhibitor of a severity necessitating permanent treatment withdrawal</w:t>
            </w:r>
          </w:p>
        </w:tc>
      </w:tr>
      <w:tr w:rsidR="00DA4F39" w:rsidRPr="00553856" w14:paraId="34490DC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04DBFDE" w14:textId="78438649" w:rsidR="00DA4F39" w:rsidRPr="00426B3B" w:rsidRDefault="00DA4F39" w:rsidP="003A3A7B">
            <w:pPr>
              <w:jc w:val="center"/>
              <w:rPr>
                <w:rFonts w:ascii="Arial Narrow" w:hAnsi="Arial Narrow"/>
                <w:sz w:val="20"/>
                <w:szCs w:val="20"/>
              </w:rPr>
            </w:pPr>
          </w:p>
        </w:tc>
        <w:tc>
          <w:tcPr>
            <w:tcW w:w="7745" w:type="dxa"/>
            <w:gridSpan w:val="6"/>
            <w:vAlign w:val="center"/>
            <w:hideMark/>
          </w:tcPr>
          <w:p w14:paraId="01C66CD0" w14:textId="77777777" w:rsidR="00DA4F39" w:rsidRPr="00426B3B" w:rsidRDefault="00DA4F39" w:rsidP="003A3A7B">
            <w:pPr>
              <w:rPr>
                <w:rFonts w:ascii="Arial Narrow" w:hAnsi="Arial Narrow"/>
                <w:sz w:val="20"/>
                <w:szCs w:val="20"/>
              </w:rPr>
            </w:pPr>
            <w:r w:rsidRPr="00426B3B">
              <w:rPr>
                <w:rFonts w:ascii="Arial Narrow" w:hAnsi="Arial Narrow"/>
                <w:b/>
                <w:bCs/>
                <w:sz w:val="20"/>
                <w:szCs w:val="20"/>
              </w:rPr>
              <w:t>Treatment criteria:</w:t>
            </w:r>
          </w:p>
        </w:tc>
      </w:tr>
      <w:tr w:rsidR="00DA4F39" w:rsidRPr="00553856" w14:paraId="75A79746"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71A25732" w14:textId="51839940" w:rsidR="00DA4F39" w:rsidRPr="00426B3B" w:rsidRDefault="00DA4F39" w:rsidP="003A3A7B">
            <w:pPr>
              <w:jc w:val="center"/>
              <w:rPr>
                <w:rFonts w:ascii="Arial Narrow" w:hAnsi="Arial Narrow"/>
                <w:sz w:val="20"/>
                <w:szCs w:val="20"/>
              </w:rPr>
            </w:pPr>
          </w:p>
        </w:tc>
        <w:tc>
          <w:tcPr>
            <w:tcW w:w="7745" w:type="dxa"/>
            <w:gridSpan w:val="6"/>
            <w:hideMark/>
          </w:tcPr>
          <w:p w14:paraId="7BF80A14" w14:textId="77777777" w:rsidR="00DA4F39" w:rsidRPr="00426B3B" w:rsidRDefault="00DA4F39" w:rsidP="003A3A7B">
            <w:pPr>
              <w:autoSpaceDE w:val="0"/>
              <w:autoSpaceDN w:val="0"/>
              <w:adjustRightInd w:val="0"/>
              <w:rPr>
                <w:rFonts w:ascii="Arial Narrow" w:hAnsi="Arial Narrow" w:cs="Arial Narrow"/>
                <w:sz w:val="20"/>
                <w:szCs w:val="20"/>
              </w:rPr>
            </w:pPr>
            <w:r w:rsidRPr="00426B3B">
              <w:rPr>
                <w:rFonts w:ascii="Arial Narrow" w:hAnsi="Arial Narrow" w:cs="Open Sans"/>
                <w:sz w:val="20"/>
                <w:szCs w:val="20"/>
              </w:rPr>
              <w:t>Patient must be undergoing initial treatment with this drug; or</w:t>
            </w:r>
          </w:p>
        </w:tc>
      </w:tr>
      <w:tr w:rsidR="00DA4F39" w:rsidRPr="00553856" w14:paraId="3746B994"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39635BEE" w14:textId="77777777" w:rsidR="00DA4F39" w:rsidRPr="00426B3B" w:rsidRDefault="00DA4F39" w:rsidP="003A3A7B">
            <w:pPr>
              <w:jc w:val="center"/>
              <w:rPr>
                <w:rFonts w:ascii="Arial Narrow" w:hAnsi="Arial Narrow"/>
                <w:sz w:val="20"/>
                <w:szCs w:val="20"/>
              </w:rPr>
            </w:pPr>
          </w:p>
          <w:p w14:paraId="33CA8AE9" w14:textId="409B1A78" w:rsidR="00DA4F39" w:rsidRPr="00426B3B" w:rsidRDefault="00DA4F39" w:rsidP="003A3A7B">
            <w:pPr>
              <w:jc w:val="center"/>
              <w:rPr>
                <w:rFonts w:ascii="Arial Narrow" w:hAnsi="Arial Narrow"/>
                <w:sz w:val="20"/>
                <w:szCs w:val="20"/>
              </w:rPr>
            </w:pPr>
          </w:p>
        </w:tc>
        <w:tc>
          <w:tcPr>
            <w:tcW w:w="7745" w:type="dxa"/>
            <w:gridSpan w:val="6"/>
          </w:tcPr>
          <w:p w14:paraId="7C3FD120" w14:textId="77777777" w:rsidR="00DA4F39" w:rsidRPr="00426B3B" w:rsidRDefault="00DA4F39" w:rsidP="003A3A7B">
            <w:pPr>
              <w:autoSpaceDE w:val="0"/>
              <w:autoSpaceDN w:val="0"/>
              <w:adjustRightInd w:val="0"/>
              <w:rPr>
                <w:rFonts w:ascii="Arial Narrow" w:hAnsi="Arial Narrow" w:cs="Arial Narrow"/>
                <w:sz w:val="20"/>
                <w:szCs w:val="20"/>
              </w:rPr>
            </w:pPr>
            <w:r w:rsidRPr="00426B3B">
              <w:rPr>
                <w:rFonts w:ascii="Arial Narrow" w:hAnsi="Arial Narrow" w:cs="Open Sans"/>
                <w:sz w:val="20"/>
                <w:szCs w:val="20"/>
              </w:rPr>
              <w:t>Patient must be undergoing continuing treatment with this drug, with an absence of further disease progression while being treated with this drug; or</w:t>
            </w:r>
          </w:p>
        </w:tc>
      </w:tr>
      <w:tr w:rsidR="00DA4F39" w:rsidRPr="001428E9" w14:paraId="00F203A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F4A2D78" w14:textId="19534EDA" w:rsidR="00DA4F39" w:rsidRPr="00426B3B" w:rsidRDefault="00DA4F39" w:rsidP="003A3A7B">
            <w:pPr>
              <w:jc w:val="center"/>
              <w:rPr>
                <w:rFonts w:ascii="Arial Narrow" w:hAnsi="Arial Narrow"/>
                <w:sz w:val="20"/>
                <w:szCs w:val="20"/>
              </w:rPr>
            </w:pPr>
          </w:p>
        </w:tc>
        <w:tc>
          <w:tcPr>
            <w:tcW w:w="7745" w:type="dxa"/>
            <w:gridSpan w:val="6"/>
            <w:vAlign w:val="center"/>
          </w:tcPr>
          <w:p w14:paraId="4BBF321B" w14:textId="71A88FA7" w:rsidR="00DA4F39" w:rsidRPr="00426B3B" w:rsidRDefault="00DA4F39" w:rsidP="003A3A7B">
            <w:pPr>
              <w:rPr>
                <w:rFonts w:ascii="Arial Narrow" w:hAnsi="Arial Narrow"/>
                <w:b/>
                <w:bCs/>
                <w:sz w:val="20"/>
                <w:szCs w:val="20"/>
              </w:rPr>
            </w:pPr>
            <w:r w:rsidRPr="00426B3B">
              <w:rPr>
                <w:rFonts w:ascii="Arial Narrow" w:hAnsi="Arial Narrow"/>
                <w:sz w:val="20"/>
                <w:szCs w:val="20"/>
              </w:rPr>
              <w:t xml:space="preserve">Patient must be </w:t>
            </w:r>
            <w:r w:rsidRPr="00426B3B">
              <w:rPr>
                <w:rFonts w:ascii="Arial Narrow" w:hAnsi="Arial Narrow" w:cs="Open Sans"/>
                <w:sz w:val="20"/>
                <w:szCs w:val="20"/>
              </w:rPr>
              <w:t>undergoing</w:t>
            </w:r>
            <w:r w:rsidRPr="00426B3B">
              <w:rPr>
                <w:rFonts w:ascii="Arial Narrow" w:hAnsi="Arial Narrow"/>
                <w:sz w:val="20"/>
                <w:szCs w:val="20"/>
              </w:rPr>
              <w:t xml:space="preserve"> non</w:t>
            </w:r>
            <w:r w:rsidR="003A3A7B">
              <w:rPr>
                <w:rFonts w:ascii="Arial Narrow" w:hAnsi="Arial Narrow"/>
                <w:sz w:val="20"/>
                <w:szCs w:val="20"/>
              </w:rPr>
              <w:noBreakHyphen/>
            </w:r>
            <w:r w:rsidRPr="00426B3B">
              <w:rPr>
                <w:rFonts w:ascii="Arial Narrow" w:hAnsi="Arial Narrow"/>
                <w:sz w:val="20"/>
                <w:szCs w:val="20"/>
              </w:rPr>
              <w:t xml:space="preserve">PBS subsidised treatment with this drug for this PBS indication, </w:t>
            </w:r>
            <w:r w:rsidRPr="00426B3B">
              <w:rPr>
                <w:rFonts w:ascii="Arial Narrow" w:hAnsi="Arial Narrow" w:cs="Open Sans"/>
                <w:sz w:val="20"/>
                <w:szCs w:val="20"/>
              </w:rPr>
              <w:t xml:space="preserve">with an absence of further disease progression </w:t>
            </w:r>
            <w:r w:rsidRPr="00426B3B">
              <w:rPr>
                <w:rFonts w:ascii="Arial Narrow" w:hAnsi="Arial Narrow"/>
                <w:sz w:val="20"/>
                <w:szCs w:val="20"/>
              </w:rPr>
              <w:t>since commencing non</w:t>
            </w:r>
            <w:r w:rsidR="003A3A7B">
              <w:rPr>
                <w:rFonts w:ascii="Arial Narrow" w:hAnsi="Arial Narrow"/>
                <w:sz w:val="20"/>
                <w:szCs w:val="20"/>
              </w:rPr>
              <w:noBreakHyphen/>
            </w:r>
            <w:r w:rsidRPr="00426B3B">
              <w:rPr>
                <w:rFonts w:ascii="Arial Narrow" w:hAnsi="Arial Narrow"/>
                <w:sz w:val="20"/>
                <w:szCs w:val="20"/>
              </w:rPr>
              <w:t>PBS subsidised supply.</w:t>
            </w:r>
          </w:p>
        </w:tc>
      </w:tr>
    </w:tbl>
    <w:p w14:paraId="4D5E8BA6" w14:textId="77777777" w:rsidR="00DA4F39" w:rsidRDefault="00DA4F39" w:rsidP="003A3A7B">
      <w:pPr>
        <w:pStyle w:val="3-BodyText"/>
        <w:numPr>
          <w:ilvl w:val="0"/>
          <w:numId w:val="0"/>
        </w:numPr>
        <w:ind w:left="720"/>
        <w:rPr>
          <w:snapToGrid w:val="0"/>
          <w:lang w:eastAsia="en-US"/>
        </w:rPr>
      </w:pPr>
    </w:p>
    <w:p w14:paraId="5CB785A1" w14:textId="3368CBB5" w:rsidR="005A55B2" w:rsidRPr="00437303" w:rsidRDefault="00437303" w:rsidP="003A3A7B">
      <w:pPr>
        <w:pStyle w:val="3-BodyText"/>
        <w:rPr>
          <w:bCs/>
          <w:snapToGrid w:val="0"/>
          <w:lang w:eastAsia="en-US"/>
        </w:rPr>
      </w:pPr>
      <w:r w:rsidRPr="00291A0D">
        <w:rPr>
          <w:rFonts w:cs="Calibri"/>
        </w:rPr>
        <w:t xml:space="preserve">Should this item’s recommendation proceed </w:t>
      </w:r>
      <w:r w:rsidR="006D27CE" w:rsidRPr="00291A0D">
        <w:rPr>
          <w:rFonts w:cs="Calibri"/>
        </w:rPr>
        <w:t>before</w:t>
      </w:r>
      <w:r w:rsidRPr="00291A0D">
        <w:rPr>
          <w:rFonts w:cs="Calibri"/>
        </w:rPr>
        <w:t xml:space="preserve"> </w:t>
      </w:r>
      <w:proofErr w:type="spellStart"/>
      <w:r w:rsidR="00BA473C" w:rsidRPr="00291A0D">
        <w:rPr>
          <w:rFonts w:cs="Calibri"/>
        </w:rPr>
        <w:t>repotrectinib</w:t>
      </w:r>
      <w:proofErr w:type="spellEnd"/>
      <w:r w:rsidR="00BA473C" w:rsidRPr="00291A0D">
        <w:rPr>
          <w:rFonts w:cs="Calibri"/>
        </w:rPr>
        <w:t>, May 25 recommendation</w:t>
      </w:r>
      <w:r w:rsidRPr="00291A0D">
        <w:rPr>
          <w:rFonts w:cs="Calibri"/>
        </w:rPr>
        <w:t xml:space="preserve">, add </w:t>
      </w:r>
      <w:r w:rsidR="006D27CE">
        <w:rPr>
          <w:rFonts w:cs="Calibri"/>
        </w:rPr>
        <w:t>f</w:t>
      </w:r>
      <w:r w:rsidR="005A55B2" w:rsidRPr="00437303">
        <w:rPr>
          <w:rFonts w:cs="Calibri"/>
        </w:rPr>
        <w:t>low</w:t>
      </w:r>
      <w:r w:rsidR="003A3A7B">
        <w:rPr>
          <w:rFonts w:cs="Calibri"/>
        </w:rPr>
        <w:noBreakHyphen/>
      </w:r>
      <w:r w:rsidR="005A55B2" w:rsidRPr="00437303">
        <w:rPr>
          <w:rFonts w:cs="Calibri"/>
        </w:rPr>
        <w:t xml:space="preserve">on changes to 1L and 2L immunotherapy PBS listings for </w:t>
      </w:r>
      <w:r w:rsidR="005A55B2" w:rsidRPr="001C5988">
        <w:lastRenderedPageBreak/>
        <w:t>Stage IIIB (locally advanced) or Stage IV (metastatic) non</w:t>
      </w:r>
      <w:r w:rsidR="003A3A7B">
        <w:noBreakHyphen/>
      </w:r>
      <w:r w:rsidR="005A55B2" w:rsidRPr="001C5988">
        <w:t xml:space="preserve">small lung cancer (NSCLC) to allow access to patients who progressed after </w:t>
      </w:r>
      <w:r w:rsidR="005A55B2">
        <w:t>targeted</w:t>
      </w:r>
      <w:r w:rsidR="005A55B2" w:rsidRPr="001C5988">
        <w:t xml:space="preserve"> treatment:</w:t>
      </w:r>
    </w:p>
    <w:p w14:paraId="078E5EBD" w14:textId="0281EBD5" w:rsidR="005A55B2" w:rsidRPr="00B5553C" w:rsidRDefault="005A55B2" w:rsidP="003A3A7B">
      <w:pPr>
        <w:pStyle w:val="ListParagraph"/>
        <w:numPr>
          <w:ilvl w:val="0"/>
          <w:numId w:val="47"/>
        </w:numPr>
        <w:spacing w:after="160" w:line="278" w:lineRule="auto"/>
        <w:ind w:left="1077" w:hanging="357"/>
        <w:contextualSpacing/>
        <w:rPr>
          <w:rFonts w:cs="Calibri"/>
        </w:rPr>
      </w:pPr>
      <w:r w:rsidRPr="00B5553C">
        <w:rPr>
          <w:rFonts w:cs="Calibri"/>
        </w:rPr>
        <w:t>Amend the clinical criterion that currently exists in pembrolizumab (11492W, 12121Y, 12119W).</w:t>
      </w:r>
    </w:p>
    <w:tbl>
      <w:tblPr>
        <w:tblStyle w:val="TableGrid"/>
        <w:tblW w:w="0" w:type="auto"/>
        <w:tblLook w:val="04A0" w:firstRow="1" w:lastRow="0" w:firstColumn="1" w:lastColumn="0" w:noHBand="0" w:noVBand="1"/>
        <w:tblCaption w:val="Flow on changes - Pembrolizumab"/>
      </w:tblPr>
      <w:tblGrid>
        <w:gridCol w:w="1129"/>
        <w:gridCol w:w="7887"/>
      </w:tblGrid>
      <w:tr w:rsidR="005A55B2" w:rsidRPr="006259EB" w14:paraId="21F7128B" w14:textId="77777777" w:rsidTr="004854E5">
        <w:tc>
          <w:tcPr>
            <w:tcW w:w="1129" w:type="dxa"/>
          </w:tcPr>
          <w:p w14:paraId="7BD525B0" w14:textId="77777777" w:rsidR="005A55B2" w:rsidRPr="006259EB" w:rsidRDefault="005A55B2" w:rsidP="003A3A7B">
            <w:pPr>
              <w:rPr>
                <w:sz w:val="22"/>
                <w:szCs w:val="22"/>
              </w:rPr>
            </w:pPr>
            <w:r w:rsidRPr="006259EB">
              <w:rPr>
                <w:sz w:val="22"/>
                <w:szCs w:val="22"/>
              </w:rPr>
              <w:t>Amend 33176</w:t>
            </w:r>
          </w:p>
          <w:p w14:paraId="3B13D782" w14:textId="77777777" w:rsidR="005A55B2" w:rsidRPr="006259EB" w:rsidRDefault="005A55B2" w:rsidP="003A3A7B">
            <w:pPr>
              <w:rPr>
                <w:sz w:val="22"/>
                <w:szCs w:val="22"/>
              </w:rPr>
            </w:pPr>
            <w:r w:rsidRPr="006259EB">
              <w:rPr>
                <w:sz w:val="22"/>
                <w:szCs w:val="22"/>
              </w:rPr>
              <w:t>Add</w:t>
            </w:r>
            <w:r>
              <w:rPr>
                <w:sz w:val="22"/>
                <w:szCs w:val="22"/>
              </w:rPr>
              <w:t xml:space="preserve"> </w:t>
            </w:r>
            <w:r w:rsidRPr="006259EB">
              <w:rPr>
                <w:i/>
                <w:sz w:val="22"/>
                <w:szCs w:val="22"/>
              </w:rPr>
              <w:t>New CC</w:t>
            </w:r>
          </w:p>
        </w:tc>
        <w:tc>
          <w:tcPr>
            <w:tcW w:w="7887" w:type="dxa"/>
          </w:tcPr>
          <w:p w14:paraId="033F78C3" w14:textId="77777777" w:rsidR="005A55B2" w:rsidRPr="006259EB" w:rsidRDefault="005A55B2" w:rsidP="003A3A7B">
            <w:pPr>
              <w:rPr>
                <w:b/>
                <w:sz w:val="22"/>
                <w:szCs w:val="22"/>
              </w:rPr>
            </w:pPr>
            <w:r w:rsidRPr="006259EB">
              <w:rPr>
                <w:b/>
                <w:sz w:val="22"/>
                <w:szCs w:val="22"/>
              </w:rPr>
              <w:t>Clinical criteria:</w:t>
            </w:r>
          </w:p>
          <w:p w14:paraId="35087ED9" w14:textId="1BBC6B39" w:rsidR="005A55B2" w:rsidRPr="006259EB" w:rsidRDefault="005A55B2" w:rsidP="003A3A7B">
            <w:pPr>
              <w:rPr>
                <w:strike/>
                <w:sz w:val="22"/>
                <w:szCs w:val="22"/>
              </w:rPr>
            </w:pPr>
            <w:r w:rsidRPr="006259EB">
              <w:rPr>
                <w:sz w:val="22"/>
                <w:szCs w:val="22"/>
              </w:rPr>
              <w:t>The condition must have progressed after treatment with</w:t>
            </w:r>
            <w:r w:rsidRPr="006259EB">
              <w:rPr>
                <w:strike/>
                <w:sz w:val="22"/>
                <w:szCs w:val="22"/>
              </w:rPr>
              <w:t xml:space="preserve"> only one of (i) </w:t>
            </w:r>
            <w:proofErr w:type="spellStart"/>
            <w:r w:rsidRPr="006259EB">
              <w:rPr>
                <w:strike/>
                <w:sz w:val="22"/>
                <w:szCs w:val="22"/>
              </w:rPr>
              <w:t>tepotinib</w:t>
            </w:r>
            <w:proofErr w:type="spellEnd"/>
            <w:r w:rsidRPr="006259EB">
              <w:rPr>
                <w:strike/>
                <w:sz w:val="22"/>
                <w:szCs w:val="22"/>
              </w:rPr>
              <w:t>, (ii) selpercatinib</w:t>
            </w:r>
            <w:r w:rsidR="0023536D">
              <w:rPr>
                <w:strike/>
                <w:sz w:val="22"/>
                <w:szCs w:val="22"/>
              </w:rPr>
              <w:t xml:space="preserve"> (Iii)dabrafenib</w:t>
            </w:r>
            <w:r w:rsidR="00254BD2" w:rsidRPr="00254BD2">
              <w:rPr>
                <w:strike/>
                <w:sz w:val="22"/>
                <w:szCs w:val="22"/>
              </w:rPr>
              <w:t xml:space="preserve"> in combination with trametinib</w:t>
            </w:r>
            <w:r w:rsidR="00254BD2" w:rsidRPr="00254BD2">
              <w:rPr>
                <w:sz w:val="22"/>
                <w:szCs w:val="22"/>
              </w:rPr>
              <w:t>,</w:t>
            </w:r>
            <w:r w:rsidR="00254BD2" w:rsidRPr="00254BD2">
              <w:rPr>
                <w:i/>
                <w:sz w:val="22"/>
                <w:szCs w:val="22"/>
              </w:rPr>
              <w:t xml:space="preserve"> </w:t>
            </w:r>
            <w:r w:rsidRPr="006259EB">
              <w:rPr>
                <w:i/>
                <w:sz w:val="22"/>
                <w:szCs w:val="22"/>
              </w:rPr>
              <w:t xml:space="preserve">any of the </w:t>
            </w:r>
            <w:r>
              <w:rPr>
                <w:i/>
                <w:sz w:val="22"/>
                <w:szCs w:val="22"/>
              </w:rPr>
              <w:t xml:space="preserve">prior targeted </w:t>
            </w:r>
            <w:r w:rsidRPr="006259EB">
              <w:rPr>
                <w:i/>
                <w:sz w:val="22"/>
                <w:szCs w:val="22"/>
              </w:rPr>
              <w:t>therap</w:t>
            </w:r>
            <w:r>
              <w:rPr>
                <w:i/>
                <w:sz w:val="22"/>
                <w:szCs w:val="22"/>
              </w:rPr>
              <w:t>ies</w:t>
            </w:r>
            <w:r w:rsidRPr="006259EB">
              <w:rPr>
                <w:i/>
                <w:sz w:val="22"/>
                <w:szCs w:val="22"/>
              </w:rPr>
              <w:t xml:space="preserve"> that </w:t>
            </w:r>
            <w:r>
              <w:rPr>
                <w:i/>
                <w:sz w:val="22"/>
                <w:szCs w:val="22"/>
              </w:rPr>
              <w:t xml:space="preserve">is </w:t>
            </w:r>
            <w:r w:rsidRPr="006259EB">
              <w:rPr>
                <w:i/>
                <w:sz w:val="22"/>
                <w:szCs w:val="22"/>
              </w:rPr>
              <w:t xml:space="preserve">PBS listed for this condition. </w:t>
            </w:r>
          </w:p>
        </w:tc>
      </w:tr>
    </w:tbl>
    <w:p w14:paraId="1E8F2275" w14:textId="77777777" w:rsidR="005A55B2" w:rsidRPr="006259EB" w:rsidRDefault="005A55B2" w:rsidP="003A3A7B">
      <w:pPr>
        <w:rPr>
          <w:sz w:val="22"/>
          <w:szCs w:val="22"/>
        </w:rPr>
      </w:pPr>
    </w:p>
    <w:p w14:paraId="7429B2AD" w14:textId="77777777" w:rsidR="005A55B2" w:rsidRPr="00B5553C" w:rsidRDefault="005A55B2" w:rsidP="003A3A7B">
      <w:pPr>
        <w:pStyle w:val="ListParagraph"/>
        <w:numPr>
          <w:ilvl w:val="0"/>
          <w:numId w:val="47"/>
        </w:numPr>
        <w:spacing w:after="160" w:line="278" w:lineRule="auto"/>
        <w:ind w:left="1077" w:hanging="357"/>
        <w:contextualSpacing/>
        <w:rPr>
          <w:rFonts w:cs="Calibri"/>
        </w:rPr>
      </w:pPr>
      <w:r w:rsidRPr="00B5553C">
        <w:rPr>
          <w:rFonts w:cs="Calibri"/>
        </w:rPr>
        <w:t xml:space="preserve">Amend the clinical criterion that currently exists in nivolumab (11158G, 11143L, 12315E, 12323N) and atezolizumab (11284X, 11309F, 11940K, 14250B, 14247W, 11792P, 11807K, 14266W, 14298M) and </w:t>
      </w:r>
      <w:proofErr w:type="spellStart"/>
      <w:r w:rsidRPr="00B5553C">
        <w:rPr>
          <w:rFonts w:cs="Calibri"/>
        </w:rPr>
        <w:t>cemiplimab</w:t>
      </w:r>
      <w:proofErr w:type="spellEnd"/>
      <w:r w:rsidRPr="00B5553C">
        <w:rPr>
          <w:rFonts w:cs="Calibri"/>
        </w:rPr>
        <w:t xml:space="preserve"> (13160P, 13169D).</w:t>
      </w:r>
    </w:p>
    <w:tbl>
      <w:tblPr>
        <w:tblStyle w:val="TableGrid"/>
        <w:tblW w:w="0" w:type="auto"/>
        <w:tblLook w:val="04A0" w:firstRow="1" w:lastRow="0" w:firstColumn="1" w:lastColumn="0" w:noHBand="0" w:noVBand="1"/>
        <w:tblCaption w:val="Flow on changes - Nivolumeb, Atezolizumab and Cemiplimab"/>
      </w:tblPr>
      <w:tblGrid>
        <w:gridCol w:w="1129"/>
        <w:gridCol w:w="7887"/>
      </w:tblGrid>
      <w:tr w:rsidR="005A55B2" w:rsidRPr="006259EB" w14:paraId="602AF5A2" w14:textId="77777777" w:rsidTr="004854E5">
        <w:tc>
          <w:tcPr>
            <w:tcW w:w="1129" w:type="dxa"/>
          </w:tcPr>
          <w:p w14:paraId="7EB87E52" w14:textId="77777777" w:rsidR="005A55B2" w:rsidRPr="006259EB" w:rsidRDefault="005A55B2" w:rsidP="003A3A7B">
            <w:pPr>
              <w:rPr>
                <w:sz w:val="22"/>
                <w:szCs w:val="22"/>
              </w:rPr>
            </w:pPr>
            <w:r w:rsidRPr="006259EB">
              <w:rPr>
                <w:sz w:val="22"/>
                <w:szCs w:val="22"/>
              </w:rPr>
              <w:t>Amend 29775</w:t>
            </w:r>
          </w:p>
          <w:p w14:paraId="06D30A27" w14:textId="77777777" w:rsidR="005A55B2" w:rsidRPr="006259EB" w:rsidRDefault="005A55B2" w:rsidP="003A3A7B">
            <w:pPr>
              <w:rPr>
                <w:sz w:val="22"/>
                <w:szCs w:val="22"/>
              </w:rPr>
            </w:pPr>
            <w:r w:rsidRPr="006259EB">
              <w:rPr>
                <w:sz w:val="22"/>
                <w:szCs w:val="22"/>
              </w:rPr>
              <w:t xml:space="preserve">Add </w:t>
            </w:r>
            <w:r w:rsidRPr="006259EB">
              <w:rPr>
                <w:i/>
                <w:sz w:val="22"/>
                <w:szCs w:val="22"/>
              </w:rPr>
              <w:t>New CC</w:t>
            </w:r>
          </w:p>
        </w:tc>
        <w:tc>
          <w:tcPr>
            <w:tcW w:w="7887" w:type="dxa"/>
          </w:tcPr>
          <w:p w14:paraId="69391F1B" w14:textId="77777777" w:rsidR="005A55B2" w:rsidRPr="006259EB" w:rsidRDefault="005A55B2" w:rsidP="003A3A7B">
            <w:pPr>
              <w:rPr>
                <w:b/>
                <w:sz w:val="22"/>
                <w:szCs w:val="22"/>
              </w:rPr>
            </w:pPr>
            <w:r w:rsidRPr="006259EB">
              <w:rPr>
                <w:b/>
                <w:sz w:val="22"/>
                <w:szCs w:val="22"/>
              </w:rPr>
              <w:t>Clinical criteria:</w:t>
            </w:r>
          </w:p>
          <w:p w14:paraId="4F6B3DB4" w14:textId="77777777" w:rsidR="005A55B2" w:rsidRPr="006259EB" w:rsidRDefault="005A55B2" w:rsidP="003A3A7B">
            <w:pPr>
              <w:rPr>
                <w:strike/>
                <w:sz w:val="22"/>
                <w:szCs w:val="22"/>
              </w:rPr>
            </w:pPr>
            <w:r w:rsidRPr="006259EB">
              <w:rPr>
                <w:sz w:val="22"/>
                <w:szCs w:val="22"/>
              </w:rPr>
              <w:t xml:space="preserve">The condition must have progressed after treatment with </w:t>
            </w:r>
            <w:proofErr w:type="spellStart"/>
            <w:r w:rsidRPr="006259EB">
              <w:rPr>
                <w:strike/>
                <w:sz w:val="22"/>
                <w:szCs w:val="22"/>
              </w:rPr>
              <w:t>tepotinib</w:t>
            </w:r>
            <w:proofErr w:type="spellEnd"/>
            <w:r w:rsidRPr="006259EB">
              <w:rPr>
                <w:sz w:val="22"/>
                <w:szCs w:val="22"/>
              </w:rPr>
              <w:t xml:space="preserve"> </w:t>
            </w:r>
            <w:r w:rsidRPr="006259EB">
              <w:rPr>
                <w:i/>
                <w:sz w:val="22"/>
                <w:szCs w:val="22"/>
              </w:rPr>
              <w:t xml:space="preserve">any of the </w:t>
            </w:r>
            <w:r>
              <w:rPr>
                <w:i/>
                <w:sz w:val="22"/>
                <w:szCs w:val="22"/>
              </w:rPr>
              <w:t>prior targeted</w:t>
            </w:r>
            <w:r w:rsidRPr="006259EB">
              <w:rPr>
                <w:i/>
                <w:sz w:val="22"/>
                <w:szCs w:val="22"/>
              </w:rPr>
              <w:t xml:space="preserve"> therap</w:t>
            </w:r>
            <w:r>
              <w:rPr>
                <w:i/>
                <w:sz w:val="22"/>
                <w:szCs w:val="22"/>
              </w:rPr>
              <w:t>ies</w:t>
            </w:r>
            <w:r w:rsidRPr="006259EB">
              <w:rPr>
                <w:i/>
                <w:sz w:val="22"/>
                <w:szCs w:val="22"/>
              </w:rPr>
              <w:t xml:space="preserve"> that </w:t>
            </w:r>
            <w:r>
              <w:rPr>
                <w:i/>
                <w:sz w:val="22"/>
                <w:szCs w:val="22"/>
              </w:rPr>
              <w:t>is</w:t>
            </w:r>
            <w:r w:rsidRPr="006259EB">
              <w:rPr>
                <w:i/>
                <w:sz w:val="22"/>
                <w:szCs w:val="22"/>
              </w:rPr>
              <w:t xml:space="preserve"> PBS listed for this condition.</w:t>
            </w:r>
          </w:p>
        </w:tc>
      </w:tr>
    </w:tbl>
    <w:p w14:paraId="18D42D9D" w14:textId="77777777" w:rsidR="005A55B2" w:rsidRDefault="005A55B2" w:rsidP="003A3A7B">
      <w:pPr>
        <w:spacing w:after="120"/>
        <w:contextualSpacing/>
        <w:jc w:val="left"/>
        <w:rPr>
          <w:rFonts w:asciiTheme="minorHAnsi" w:hAnsiTheme="minorHAnsi"/>
          <w:snapToGrid w:val="0"/>
          <w:lang w:eastAsia="en-US"/>
        </w:rPr>
      </w:pPr>
    </w:p>
    <w:p w14:paraId="7E3CA87F" w14:textId="17AE71EE" w:rsidR="005E4F39" w:rsidRDefault="008F6811" w:rsidP="003A3A7B">
      <w:pPr>
        <w:pStyle w:val="3-BodyText"/>
      </w:pPr>
      <w:r>
        <w:rPr>
          <w:snapToGrid w:val="0"/>
          <w:lang w:eastAsia="en-US"/>
        </w:rPr>
        <w:t>F</w:t>
      </w:r>
      <w:r w:rsidR="003B76B5">
        <w:rPr>
          <w:snapToGrid w:val="0"/>
          <w:lang w:eastAsia="en-US"/>
        </w:rPr>
        <w:t xml:space="preserve">low on changes to </w:t>
      </w:r>
      <w:r w:rsidR="006F47D9">
        <w:rPr>
          <w:snapToGrid w:val="0"/>
          <w:lang w:eastAsia="en-US"/>
        </w:rPr>
        <w:t>dabrafenib and trametinib</w:t>
      </w:r>
      <w:r w:rsidR="00A157C0">
        <w:rPr>
          <w:snapToGrid w:val="0"/>
          <w:lang w:eastAsia="en-US"/>
        </w:rPr>
        <w:t xml:space="preserve"> </w:t>
      </w:r>
      <w:r w:rsidR="00075C1B">
        <w:rPr>
          <w:snapToGrid w:val="0"/>
          <w:lang w:eastAsia="en-US"/>
        </w:rPr>
        <w:t>listings</w:t>
      </w:r>
      <w:r w:rsidR="00FA5FAE">
        <w:rPr>
          <w:snapToGrid w:val="0"/>
          <w:lang w:eastAsia="en-US"/>
        </w:rPr>
        <w:t xml:space="preserve"> for </w:t>
      </w:r>
      <w:r w:rsidR="00FA5FAE" w:rsidRPr="001C5988">
        <w:t>Stage IV (metastatic) non</w:t>
      </w:r>
      <w:r w:rsidR="003A3A7B">
        <w:noBreakHyphen/>
      </w:r>
      <w:r w:rsidR="00FA5FAE" w:rsidRPr="001C5988">
        <w:t>small lung cancer (NSCLC)</w:t>
      </w:r>
      <w:r w:rsidR="00A12611">
        <w:t>,</w:t>
      </w:r>
      <w:r w:rsidR="00075C1B">
        <w:rPr>
          <w:snapToGrid w:val="0"/>
          <w:lang w:eastAsia="en-US"/>
        </w:rPr>
        <w:t xml:space="preserve"> PBS item codes: (</w:t>
      </w:r>
      <w:r w:rsidR="00DB7A92">
        <w:rPr>
          <w:snapToGrid w:val="0"/>
          <w:lang w:eastAsia="en-US"/>
        </w:rPr>
        <w:t xml:space="preserve">15055J, </w:t>
      </w:r>
      <w:r w:rsidR="00075C1B" w:rsidRPr="00AE1E88">
        <w:t>15056K</w:t>
      </w:r>
      <w:r w:rsidR="00075C1B">
        <w:t xml:space="preserve">) </w:t>
      </w:r>
      <w:r w:rsidR="00FA5FAE">
        <w:t xml:space="preserve">and </w:t>
      </w:r>
      <w:r w:rsidR="00A157C0">
        <w:rPr>
          <w:snapToGrid w:val="0"/>
          <w:lang w:eastAsia="en-US"/>
        </w:rPr>
        <w:t>(</w:t>
      </w:r>
      <w:r w:rsidR="00FD7F60" w:rsidRPr="00FD7F60">
        <w:rPr>
          <w:snapToGrid w:val="0"/>
          <w:lang w:eastAsia="en-US"/>
        </w:rPr>
        <w:t>15051E</w:t>
      </w:r>
      <w:r w:rsidR="00FD7F60">
        <w:rPr>
          <w:snapToGrid w:val="0"/>
          <w:lang w:eastAsia="en-US"/>
        </w:rPr>
        <w:t>,</w:t>
      </w:r>
      <w:r w:rsidR="00735076" w:rsidRPr="00735076">
        <w:t xml:space="preserve"> </w:t>
      </w:r>
      <w:r w:rsidR="00735076" w:rsidRPr="00735076">
        <w:rPr>
          <w:snapToGrid w:val="0"/>
          <w:lang w:eastAsia="en-US"/>
        </w:rPr>
        <w:t>15057L</w:t>
      </w:r>
      <w:r w:rsidR="00735076">
        <w:rPr>
          <w:snapToGrid w:val="0"/>
          <w:lang w:eastAsia="en-US"/>
        </w:rPr>
        <w:t>)</w:t>
      </w:r>
      <w:r w:rsidR="00A12611">
        <w:rPr>
          <w:snapToGrid w:val="0"/>
          <w:lang w:eastAsia="en-US"/>
        </w:rPr>
        <w:t>:</w:t>
      </w:r>
    </w:p>
    <w:p w14:paraId="406037A1" w14:textId="77777777" w:rsidR="008F6811" w:rsidRDefault="008F6811" w:rsidP="003A3A7B">
      <w:pPr>
        <w:spacing w:after="120"/>
        <w:contextualSpacing/>
        <w:jc w:val="left"/>
      </w:pPr>
    </w:p>
    <w:p w14:paraId="2398A93C" w14:textId="157BB027" w:rsidR="008F6811" w:rsidRDefault="008F6811" w:rsidP="003A3A7B">
      <w:pPr>
        <w:spacing w:after="120"/>
        <w:contextualSpacing/>
        <w:jc w:val="left"/>
      </w:pPr>
      <w:r>
        <w:t xml:space="preserve">Add the </w:t>
      </w:r>
      <w:r w:rsidR="00144960">
        <w:t xml:space="preserve">following </w:t>
      </w:r>
      <w:r>
        <w:t>clinical criteri</w:t>
      </w:r>
      <w:r w:rsidR="00144960">
        <w:t>a</w:t>
      </w:r>
      <w:r>
        <w:t xml:space="preserve"> that prevents </w:t>
      </w:r>
      <w:r w:rsidR="00316362">
        <w:t xml:space="preserve">prior treatment with BRAF </w:t>
      </w:r>
      <w:r w:rsidR="00144960">
        <w:t>and MEK inhibitors</w:t>
      </w:r>
      <w:r>
        <w:t>:</w:t>
      </w:r>
    </w:p>
    <w:p w14:paraId="6C5C7A2B" w14:textId="77777777" w:rsidR="008F6811" w:rsidRDefault="008F6811" w:rsidP="003A3A7B">
      <w:pPr>
        <w:spacing w:after="120"/>
        <w:contextualSpacing/>
        <w:jc w:val="left"/>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Flow on changes - prevents prior treatment with BRAF and MEK"/>
      </w:tblPr>
      <w:tblGrid>
        <w:gridCol w:w="1271"/>
        <w:gridCol w:w="7745"/>
      </w:tblGrid>
      <w:tr w:rsidR="008F6811" w:rsidRPr="00426B3B" w14:paraId="3DCF9741" w14:textId="77777777" w:rsidTr="00CD41B3">
        <w:trPr>
          <w:cantSplit/>
          <w:trHeight w:val="20"/>
        </w:trPr>
        <w:tc>
          <w:tcPr>
            <w:tcW w:w="1271" w:type="dxa"/>
            <w:vAlign w:val="center"/>
          </w:tcPr>
          <w:p w14:paraId="47495B6A" w14:textId="2C04D232" w:rsidR="008F6811" w:rsidRPr="00426B3B" w:rsidRDefault="008F6811" w:rsidP="003A3A7B">
            <w:pPr>
              <w:jc w:val="center"/>
              <w:rPr>
                <w:rFonts w:ascii="Arial Narrow" w:hAnsi="Arial Narrow"/>
                <w:sz w:val="20"/>
                <w:szCs w:val="20"/>
              </w:rPr>
            </w:pPr>
          </w:p>
        </w:tc>
        <w:tc>
          <w:tcPr>
            <w:tcW w:w="7745" w:type="dxa"/>
            <w:vAlign w:val="center"/>
          </w:tcPr>
          <w:p w14:paraId="6444C893" w14:textId="77777777" w:rsidR="008F6811" w:rsidRPr="00426B3B" w:rsidRDefault="008F6811" w:rsidP="003A3A7B">
            <w:pPr>
              <w:rPr>
                <w:rFonts w:ascii="Arial Narrow" w:hAnsi="Arial Narrow"/>
                <w:sz w:val="20"/>
                <w:szCs w:val="20"/>
              </w:rPr>
            </w:pPr>
            <w:r w:rsidRPr="00426B3B">
              <w:rPr>
                <w:rFonts w:ascii="Arial Narrow" w:hAnsi="Arial Narrow"/>
                <w:b/>
                <w:bCs/>
                <w:sz w:val="20"/>
                <w:szCs w:val="20"/>
              </w:rPr>
              <w:t>Clinical criteria:</w:t>
            </w:r>
          </w:p>
        </w:tc>
      </w:tr>
      <w:tr w:rsidR="008F6811" w:rsidRPr="00426B3B" w14:paraId="1D4BEFBB" w14:textId="77777777" w:rsidTr="00CD41B3">
        <w:trPr>
          <w:cantSplit/>
          <w:trHeight w:val="20"/>
        </w:trPr>
        <w:tc>
          <w:tcPr>
            <w:tcW w:w="1271" w:type="dxa"/>
            <w:vAlign w:val="center"/>
          </w:tcPr>
          <w:p w14:paraId="5FEA6902" w14:textId="50008933" w:rsidR="008F6811" w:rsidRPr="00426B3B" w:rsidRDefault="008F6811" w:rsidP="003A3A7B">
            <w:pPr>
              <w:jc w:val="center"/>
              <w:rPr>
                <w:rFonts w:ascii="Arial Narrow" w:hAnsi="Arial Narrow"/>
                <w:sz w:val="20"/>
                <w:szCs w:val="20"/>
              </w:rPr>
            </w:pPr>
          </w:p>
        </w:tc>
        <w:tc>
          <w:tcPr>
            <w:tcW w:w="7745" w:type="dxa"/>
            <w:vAlign w:val="center"/>
          </w:tcPr>
          <w:p w14:paraId="3ECB6E1C" w14:textId="77F36278" w:rsidR="008F6811" w:rsidRPr="00426B3B" w:rsidRDefault="008F6811" w:rsidP="003A3A7B">
            <w:pPr>
              <w:rPr>
                <w:rFonts w:ascii="Arial Narrow" w:hAnsi="Arial Narrow"/>
                <w:sz w:val="20"/>
                <w:szCs w:val="20"/>
              </w:rPr>
            </w:pPr>
            <w:r w:rsidRPr="00426B3B">
              <w:rPr>
                <w:rFonts w:ascii="Arial Narrow" w:hAnsi="Arial Narrow"/>
                <w:sz w:val="20"/>
                <w:szCs w:val="20"/>
              </w:rPr>
              <w:t xml:space="preserve"> Patient must not have received PBS</w:t>
            </w:r>
            <w:r w:rsidR="003A3A7B">
              <w:rPr>
                <w:rFonts w:ascii="Arial Narrow" w:hAnsi="Arial Narrow"/>
                <w:sz w:val="20"/>
                <w:szCs w:val="20"/>
              </w:rPr>
              <w:noBreakHyphen/>
            </w:r>
            <w:r w:rsidRPr="00426B3B">
              <w:rPr>
                <w:rFonts w:ascii="Arial Narrow" w:hAnsi="Arial Narrow"/>
                <w:sz w:val="20"/>
                <w:szCs w:val="20"/>
              </w:rPr>
              <w:t>subsidised treatment with each of (i) BRAF inhibitor, (ii) MEK inhibitor therapy for Stage IV NSCLC prior to commencing PBS</w:t>
            </w:r>
            <w:r w:rsidR="003A3A7B">
              <w:rPr>
                <w:rFonts w:ascii="Arial Narrow" w:hAnsi="Arial Narrow"/>
                <w:sz w:val="20"/>
                <w:szCs w:val="20"/>
              </w:rPr>
              <w:noBreakHyphen/>
            </w:r>
            <w:r w:rsidRPr="00426B3B">
              <w:rPr>
                <w:rFonts w:ascii="Arial Narrow" w:hAnsi="Arial Narrow"/>
                <w:sz w:val="20"/>
                <w:szCs w:val="20"/>
              </w:rPr>
              <w:t>subsidised treatment with this drug for this condition; OR</w:t>
            </w:r>
          </w:p>
        </w:tc>
      </w:tr>
      <w:tr w:rsidR="008F6811" w:rsidRPr="00426B3B" w14:paraId="71F82C2E" w14:textId="77777777" w:rsidTr="00CD41B3">
        <w:trPr>
          <w:cantSplit/>
          <w:trHeight w:val="20"/>
        </w:trPr>
        <w:tc>
          <w:tcPr>
            <w:tcW w:w="1271" w:type="dxa"/>
            <w:vAlign w:val="center"/>
          </w:tcPr>
          <w:p w14:paraId="05389E52" w14:textId="3F9C5CD8" w:rsidR="008F6811" w:rsidRPr="00426B3B" w:rsidRDefault="008F6811" w:rsidP="003A3A7B">
            <w:pPr>
              <w:jc w:val="center"/>
              <w:rPr>
                <w:rFonts w:ascii="Arial Narrow" w:hAnsi="Arial Narrow"/>
                <w:sz w:val="20"/>
                <w:szCs w:val="20"/>
              </w:rPr>
            </w:pPr>
          </w:p>
        </w:tc>
        <w:tc>
          <w:tcPr>
            <w:tcW w:w="7745" w:type="dxa"/>
            <w:vAlign w:val="center"/>
          </w:tcPr>
          <w:p w14:paraId="681E6AE8" w14:textId="77777777" w:rsidR="008F6811" w:rsidRPr="00426B3B" w:rsidRDefault="008F6811" w:rsidP="003A3A7B">
            <w:pPr>
              <w:rPr>
                <w:rFonts w:ascii="Arial Narrow" w:hAnsi="Arial Narrow"/>
                <w:sz w:val="20"/>
                <w:szCs w:val="20"/>
              </w:rPr>
            </w:pPr>
            <w:r w:rsidRPr="00426B3B">
              <w:rPr>
                <w:rFonts w:ascii="Arial Narrow" w:hAnsi="Arial Narrow"/>
                <w:sz w:val="20"/>
                <w:szCs w:val="20"/>
              </w:rPr>
              <w:t>Patient must have developed intolerance to another BRAF inhibitor or MEK inhibitor of a severity necessitating permanent treatment withdrawal</w:t>
            </w:r>
          </w:p>
        </w:tc>
      </w:tr>
    </w:tbl>
    <w:p w14:paraId="1114B122" w14:textId="77777777" w:rsidR="008F6811" w:rsidRDefault="008F6811" w:rsidP="003A3A7B">
      <w:pPr>
        <w:spacing w:after="120"/>
        <w:contextualSpacing/>
        <w:jc w:val="left"/>
        <w:rPr>
          <w:rFonts w:asciiTheme="minorHAnsi" w:hAnsiTheme="minorHAnsi"/>
          <w:snapToGrid w:val="0"/>
          <w:lang w:eastAsia="en-US"/>
        </w:rPr>
      </w:pPr>
    </w:p>
    <w:p w14:paraId="76E8466E" w14:textId="430342DC" w:rsidR="00CF5DDA" w:rsidRDefault="00C04A28" w:rsidP="00CF5DDA">
      <w:pPr>
        <w:pStyle w:val="3-BodyText"/>
        <w:rPr>
          <w:snapToGrid w:val="0"/>
          <w:lang w:eastAsia="en-US"/>
        </w:rPr>
      </w:pPr>
      <w:r>
        <w:rPr>
          <w:snapToGrid w:val="0"/>
          <w:lang w:eastAsia="en-US"/>
        </w:rPr>
        <w:t xml:space="preserve">Add </w:t>
      </w:r>
      <w:proofErr w:type="spellStart"/>
      <w:r>
        <w:rPr>
          <w:snapToGrid w:val="0"/>
          <w:lang w:eastAsia="en-US"/>
        </w:rPr>
        <w:t>binimetinib</w:t>
      </w:r>
      <w:proofErr w:type="spellEnd"/>
      <w:r>
        <w:rPr>
          <w:snapToGrid w:val="0"/>
          <w:lang w:eastAsia="en-US"/>
        </w:rPr>
        <w:t xml:space="preserve"> 45 mg strength to the existing ‘Unresectable Stage III or Stage IV malignant melanoma’ listing</w:t>
      </w:r>
      <w:r w:rsidR="00B20A99">
        <w:rPr>
          <w:snapToGrid w:val="0"/>
          <w:lang w:eastAsia="en-US"/>
        </w:rPr>
        <w:t>s as follows (pending TGA approval):</w:t>
      </w:r>
    </w:p>
    <w:p w14:paraId="6679F42A" w14:textId="77777777" w:rsidR="00B20A99" w:rsidRDefault="00B20A99" w:rsidP="00B20A99">
      <w:pPr>
        <w:pStyle w:val="3-BodyText"/>
        <w:numPr>
          <w:ilvl w:val="0"/>
          <w:numId w:val="0"/>
        </w:numPr>
        <w:rPr>
          <w:snapToGrid w:val="0"/>
          <w:lang w:eastAsia="en-US"/>
        </w:rPr>
      </w:pPr>
    </w:p>
    <w:tbl>
      <w:tblPr>
        <w:tblW w:w="9015" w:type="dxa"/>
        <w:tblCellMar>
          <w:left w:w="0" w:type="dxa"/>
          <w:right w:w="0" w:type="dxa"/>
        </w:tblCellMar>
        <w:tblLook w:val="04A0" w:firstRow="1" w:lastRow="0" w:firstColumn="1" w:lastColumn="0" w:noHBand="0" w:noVBand="1"/>
        <w:tblCaption w:val="8.4 Add binimetinib 45 mg strength to the existing ‘Unresectable Stage III or Stage IV malignant melanoma’ listings as follows (pending TGA approval)"/>
      </w:tblPr>
      <w:tblGrid>
        <w:gridCol w:w="675"/>
        <w:gridCol w:w="718"/>
        <w:gridCol w:w="2376"/>
        <w:gridCol w:w="1050"/>
        <w:gridCol w:w="861"/>
        <w:gridCol w:w="797"/>
        <w:gridCol w:w="797"/>
        <w:gridCol w:w="1741"/>
      </w:tblGrid>
      <w:tr w:rsidR="00B20A99" w:rsidRPr="00B20A99" w14:paraId="6691E803" w14:textId="77777777">
        <w:trPr>
          <w:cantSplit/>
          <w:trHeight w:val="20"/>
        </w:trPr>
        <w:tc>
          <w:tcPr>
            <w:tcW w:w="39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46EF64" w14:textId="77777777" w:rsidR="00B20A99" w:rsidRPr="00B20A99" w:rsidRDefault="00B20A99" w:rsidP="00B20A99">
            <w:pPr>
              <w:pStyle w:val="2-SectionHeading"/>
              <w:numPr>
                <w:ilvl w:val="0"/>
                <w:numId w:val="0"/>
              </w:numPr>
              <w:spacing w:before="0" w:after="0"/>
              <w:rPr>
                <w:rFonts w:ascii="Arial Narrow" w:hAnsi="Arial Narrow" w:cs="Calibri"/>
                <w:sz w:val="20"/>
                <w:szCs w:val="20"/>
              </w:rPr>
            </w:pPr>
            <w:r w:rsidRPr="00B20A99">
              <w:rPr>
                <w:rFonts w:ascii="Arial Narrow" w:hAnsi="Arial Narrow"/>
                <w:sz w:val="20"/>
                <w:szCs w:val="20"/>
              </w:rPr>
              <w:t>MEDICINAL PRODUCT</w:t>
            </w:r>
          </w:p>
          <w:p w14:paraId="035AB5E9" w14:textId="77777777" w:rsidR="00B20A99" w:rsidRPr="00B20A99" w:rsidRDefault="00B20A99" w:rsidP="00B20A99">
            <w:pPr>
              <w:pStyle w:val="2-SectionHeading"/>
              <w:numPr>
                <w:ilvl w:val="0"/>
                <w:numId w:val="0"/>
              </w:numPr>
              <w:spacing w:before="0" w:after="0"/>
              <w:ind w:left="720" w:hanging="720"/>
              <w:rPr>
                <w:rFonts w:ascii="Arial Narrow" w:hAnsi="Arial Narrow"/>
                <w:sz w:val="20"/>
                <w:szCs w:val="20"/>
              </w:rPr>
            </w:pPr>
            <w:r w:rsidRPr="00B20A99">
              <w:rPr>
                <w:rFonts w:ascii="Arial Narrow" w:hAnsi="Arial Narrow"/>
                <w:sz w:val="20"/>
                <w:szCs w:val="20"/>
              </w:rPr>
              <w:t>medicinal product pack</w:t>
            </w:r>
          </w:p>
        </w:tc>
        <w:tc>
          <w:tcPr>
            <w:tcW w:w="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015262"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PBS item code</w:t>
            </w:r>
          </w:p>
        </w:tc>
        <w:tc>
          <w:tcPr>
            <w:tcW w:w="8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C24FEC"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Max. qty packs</w:t>
            </w:r>
          </w:p>
        </w:tc>
        <w:tc>
          <w:tcPr>
            <w:tcW w:w="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80CDCD"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Max. qty units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640CBD"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№.of</w:t>
            </w:r>
          </w:p>
          <w:p w14:paraId="0D496B48" w14:textId="77777777" w:rsidR="00B20A99" w:rsidRPr="00B20A99" w:rsidRDefault="00B20A99">
            <w:pPr>
              <w:rPr>
                <w:rFonts w:ascii="Arial Narrow" w:hAnsi="Arial Narrow"/>
                <w:b/>
                <w:bCs/>
                <w:sz w:val="20"/>
                <w:szCs w:val="20"/>
              </w:rPr>
            </w:pPr>
            <w:proofErr w:type="spellStart"/>
            <w:r w:rsidRPr="00B20A99">
              <w:rPr>
                <w:rFonts w:ascii="Arial Narrow" w:hAnsi="Arial Narrow"/>
                <w:b/>
                <w:bCs/>
                <w:sz w:val="20"/>
                <w:szCs w:val="20"/>
              </w:rPr>
              <w:t>Rpts</w:t>
            </w:r>
            <w:proofErr w:type="spellEnd"/>
          </w:p>
        </w:tc>
        <w:tc>
          <w:tcPr>
            <w:tcW w:w="1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A55A9C" w14:textId="77777777" w:rsidR="00B20A99" w:rsidRPr="00B20A99" w:rsidRDefault="00B20A99">
            <w:pPr>
              <w:rPr>
                <w:rFonts w:ascii="Arial Narrow" w:hAnsi="Arial Narrow"/>
                <w:b/>
                <w:bCs/>
                <w:sz w:val="20"/>
                <w:szCs w:val="20"/>
                <w:lang w:val="fr-FR"/>
              </w:rPr>
            </w:pPr>
            <w:r w:rsidRPr="00B20A99">
              <w:rPr>
                <w:rFonts w:ascii="Arial Narrow" w:hAnsi="Arial Narrow"/>
                <w:b/>
                <w:bCs/>
                <w:sz w:val="20"/>
                <w:szCs w:val="20"/>
              </w:rPr>
              <w:t>Available brands</w:t>
            </w:r>
          </w:p>
        </w:tc>
      </w:tr>
      <w:tr w:rsidR="00B20A99" w:rsidRPr="00B20A99" w14:paraId="4640254A" w14:textId="77777777">
        <w:trPr>
          <w:cantSplit/>
          <w:trHeight w:val="20"/>
        </w:trPr>
        <w:tc>
          <w:tcPr>
            <w:tcW w:w="901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EB706" w14:textId="77777777" w:rsidR="00B20A99" w:rsidRPr="00B20A99" w:rsidRDefault="00B20A99">
            <w:pPr>
              <w:rPr>
                <w:rFonts w:ascii="Arial Narrow" w:hAnsi="Arial Narrow"/>
                <w:sz w:val="20"/>
                <w:szCs w:val="20"/>
              </w:rPr>
            </w:pPr>
            <w:r w:rsidRPr="00B20A99">
              <w:rPr>
                <w:rFonts w:ascii="Arial Narrow" w:hAnsi="Arial Narrow"/>
                <w:sz w:val="20"/>
                <w:szCs w:val="20"/>
              </w:rPr>
              <w:t>BINIMETINIB</w:t>
            </w:r>
          </w:p>
        </w:tc>
      </w:tr>
      <w:tr w:rsidR="00B20A99" w:rsidRPr="00B20A99" w14:paraId="3729AC31" w14:textId="77777777">
        <w:trPr>
          <w:cantSplit/>
          <w:trHeight w:val="20"/>
        </w:trPr>
        <w:tc>
          <w:tcPr>
            <w:tcW w:w="39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365FF" w14:textId="77777777" w:rsidR="00B20A99" w:rsidRPr="00B20A99" w:rsidRDefault="00B20A99">
            <w:pPr>
              <w:rPr>
                <w:rFonts w:ascii="Arial Narrow" w:hAnsi="Arial Narrow"/>
                <w:sz w:val="20"/>
                <w:szCs w:val="20"/>
              </w:rPr>
            </w:pPr>
            <w:proofErr w:type="spellStart"/>
            <w:r w:rsidRPr="00B20A99">
              <w:rPr>
                <w:rFonts w:ascii="Arial Narrow" w:hAnsi="Arial Narrow"/>
                <w:sz w:val="20"/>
                <w:szCs w:val="20"/>
              </w:rPr>
              <w:t>binimetinib</w:t>
            </w:r>
            <w:proofErr w:type="spellEnd"/>
            <w:r w:rsidRPr="00B20A99">
              <w:rPr>
                <w:rFonts w:ascii="Arial Narrow" w:hAnsi="Arial Narrow"/>
                <w:sz w:val="20"/>
                <w:szCs w:val="20"/>
              </w:rPr>
              <w:t xml:space="preserve"> 15 mg tablet, 84</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CA082" w14:textId="77777777" w:rsidR="00B20A99" w:rsidRPr="00B20A99" w:rsidRDefault="00B20A99">
            <w:pPr>
              <w:rPr>
                <w:rFonts w:ascii="Arial Narrow" w:hAnsi="Arial Narrow"/>
                <w:sz w:val="20"/>
                <w:szCs w:val="20"/>
              </w:rPr>
            </w:pPr>
            <w:r w:rsidRPr="00B20A99">
              <w:rPr>
                <w:rFonts w:ascii="Arial Narrow" w:hAnsi="Arial Narrow"/>
                <w:sz w:val="20"/>
                <w:szCs w:val="20"/>
              </w:rPr>
              <w:t>11948W</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66FE6" w14:textId="77777777" w:rsidR="00B20A99" w:rsidRPr="00B20A99" w:rsidRDefault="00B20A99">
            <w:pPr>
              <w:rPr>
                <w:rFonts w:ascii="Arial Narrow" w:hAnsi="Arial Narrow"/>
                <w:sz w:val="20"/>
                <w:szCs w:val="20"/>
              </w:rPr>
            </w:pPr>
            <w:r w:rsidRPr="00B20A99">
              <w:rPr>
                <w:rFonts w:ascii="Arial Narrow" w:hAnsi="Arial Narrow"/>
                <w:sz w:val="20"/>
                <w:szCs w:val="20"/>
              </w:rPr>
              <w:t>2</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F87C6" w14:textId="77777777" w:rsidR="00B20A99" w:rsidRPr="00B20A99" w:rsidRDefault="00B20A99">
            <w:pPr>
              <w:rPr>
                <w:rFonts w:ascii="Arial Narrow" w:hAnsi="Arial Narrow"/>
                <w:sz w:val="20"/>
                <w:szCs w:val="20"/>
              </w:rPr>
            </w:pPr>
            <w:r w:rsidRPr="00B20A99">
              <w:rPr>
                <w:rFonts w:ascii="Arial Narrow" w:hAnsi="Arial Narrow"/>
                <w:sz w:val="20"/>
                <w:szCs w:val="20"/>
              </w:rPr>
              <w:t>168</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879C3" w14:textId="77777777" w:rsidR="00B20A99" w:rsidRPr="00B20A99" w:rsidRDefault="00B20A99">
            <w:pPr>
              <w:rPr>
                <w:rFonts w:ascii="Arial Narrow" w:hAnsi="Arial Narrow"/>
                <w:sz w:val="20"/>
                <w:szCs w:val="20"/>
              </w:rPr>
            </w:pPr>
            <w:r w:rsidRPr="00B20A99">
              <w:rPr>
                <w:rFonts w:ascii="Arial Narrow" w:hAnsi="Arial Narrow"/>
                <w:sz w:val="20"/>
                <w:szCs w:val="20"/>
              </w:rPr>
              <w:t>3</w:t>
            </w:r>
          </w:p>
        </w:tc>
        <w:tc>
          <w:tcPr>
            <w:tcW w:w="1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42EF0" w14:textId="77777777" w:rsidR="00B20A99" w:rsidRPr="00B20A99" w:rsidRDefault="00B20A99">
            <w:pPr>
              <w:rPr>
                <w:rFonts w:ascii="Arial Narrow" w:hAnsi="Arial Narrow"/>
                <w:sz w:val="20"/>
                <w:szCs w:val="20"/>
              </w:rPr>
            </w:pPr>
            <w:r w:rsidRPr="00B20A99">
              <w:rPr>
                <w:rFonts w:ascii="Arial Narrow" w:hAnsi="Arial Narrow"/>
                <w:sz w:val="20"/>
                <w:szCs w:val="20"/>
              </w:rPr>
              <w:t>Mektovi</w:t>
            </w:r>
          </w:p>
        </w:tc>
      </w:tr>
      <w:tr w:rsidR="00B20A99" w:rsidRPr="00B20A99" w14:paraId="3CF733FF" w14:textId="77777777">
        <w:trPr>
          <w:cantSplit/>
          <w:trHeight w:val="20"/>
        </w:trPr>
        <w:tc>
          <w:tcPr>
            <w:tcW w:w="39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FA925"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56</w:t>
            </w: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14:paraId="57C8C602"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NEW</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12533"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1</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CF3A3"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56</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B9373"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3</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47D47772"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vertAlign w:val="superscript"/>
              </w:rPr>
              <w:t>a</w:t>
            </w:r>
            <w:r w:rsidRPr="00B20A99">
              <w:rPr>
                <w:rFonts w:ascii="Arial Narrow" w:hAnsi="Arial Narrow"/>
                <w:i/>
                <w:iCs/>
                <w:sz w:val="20"/>
                <w:szCs w:val="20"/>
              </w:rPr>
              <w:t>Mektovi</w:t>
            </w:r>
            <w:proofErr w:type="spellEnd"/>
          </w:p>
        </w:tc>
      </w:tr>
      <w:tr w:rsidR="00B20A99" w:rsidRPr="00B20A99" w14:paraId="51A3AB50" w14:textId="77777777">
        <w:trPr>
          <w:cantSplit/>
          <w:trHeight w:val="20"/>
        </w:trPr>
        <w:tc>
          <w:tcPr>
            <w:tcW w:w="39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28078"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28</w:t>
            </w: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14:paraId="79577CB1"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NEW</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7914E"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2</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E32AE"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56</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B12C8"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3</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242C46C5"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vertAlign w:val="superscript"/>
              </w:rPr>
              <w:t>a</w:t>
            </w:r>
            <w:r w:rsidRPr="00B20A99">
              <w:rPr>
                <w:rFonts w:ascii="Arial Narrow" w:hAnsi="Arial Narrow"/>
                <w:i/>
                <w:iCs/>
                <w:sz w:val="20"/>
                <w:szCs w:val="20"/>
              </w:rPr>
              <w:t>Mektovi</w:t>
            </w:r>
            <w:proofErr w:type="spellEnd"/>
          </w:p>
        </w:tc>
      </w:tr>
      <w:tr w:rsidR="00B20A99" w:rsidRPr="00B20A99" w14:paraId="27886748" w14:textId="77777777">
        <w:trPr>
          <w:trHeight w:val="20"/>
        </w:trPr>
        <w:tc>
          <w:tcPr>
            <w:tcW w:w="9015" w:type="dxa"/>
            <w:gridSpan w:val="8"/>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tcPr>
          <w:p w14:paraId="0EEFFB4D" w14:textId="77777777" w:rsidR="00B20A99" w:rsidRPr="00B20A99" w:rsidRDefault="00B20A99">
            <w:pPr>
              <w:rPr>
                <w:rFonts w:ascii="Arial Narrow" w:hAnsi="Arial Narrow"/>
                <w:sz w:val="20"/>
                <w:szCs w:val="20"/>
              </w:rPr>
            </w:pPr>
          </w:p>
        </w:tc>
      </w:tr>
      <w:tr w:rsidR="00B20A99" w:rsidRPr="00B20A99" w14:paraId="07D50FB7" w14:textId="77777777">
        <w:trPr>
          <w:trHeight w:val="20"/>
        </w:trPr>
        <w:tc>
          <w:tcPr>
            <w:tcW w:w="9015" w:type="dxa"/>
            <w:gridSpan w:val="8"/>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36EEF260"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lastRenderedPageBreak/>
              <w:t>Restriction Summary 10289 / Treatment of Concept: 10328</w:t>
            </w:r>
          </w:p>
        </w:tc>
      </w:tr>
      <w:tr w:rsidR="00B20A99" w:rsidRPr="00B20A99" w14:paraId="0BE6C6EE" w14:textId="77777777">
        <w:trPr>
          <w:trHeight w:val="20"/>
        </w:trPr>
        <w:tc>
          <w:tcPr>
            <w:tcW w:w="1401" w:type="dxa"/>
            <w:gridSpan w:val="2"/>
            <w:vMerge w:val="restart"/>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14:paraId="13C893DC"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Concept ID </w:t>
            </w:r>
            <w:r w:rsidRPr="00B20A99">
              <w:rPr>
                <w:rFonts w:ascii="Arial Narrow" w:hAnsi="Arial Narrow"/>
                <w:sz w:val="20"/>
                <w:szCs w:val="20"/>
              </w:rPr>
              <w:t>(for internal Dept. use)</w:t>
            </w: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10DD1121" w14:textId="77777777" w:rsidR="00B20A99" w:rsidRPr="00B20A99" w:rsidRDefault="00B20A99">
            <w:pPr>
              <w:rPr>
                <w:rFonts w:ascii="Arial Narrow" w:hAnsi="Arial Narrow"/>
                <w:sz w:val="20"/>
                <w:szCs w:val="20"/>
              </w:rPr>
            </w:pPr>
            <w:r w:rsidRPr="00B20A99">
              <w:rPr>
                <w:rFonts w:ascii="Arial Narrow" w:hAnsi="Arial Narrow"/>
                <w:b/>
                <w:bCs/>
                <w:sz w:val="20"/>
                <w:szCs w:val="20"/>
              </w:rPr>
              <w:t>Category / Program:</w:t>
            </w:r>
            <w:r w:rsidRPr="00B20A99">
              <w:rPr>
                <w:rFonts w:ascii="Arial Narrow" w:hAnsi="Arial Narrow"/>
                <w:sz w:val="20"/>
                <w:szCs w:val="20"/>
              </w:rPr>
              <w:t xml:space="preserve">  GENERAL </w:t>
            </w:r>
            <w:r w:rsidRPr="00B20A99">
              <w:rPr>
                <w:rFonts w:ascii="Arial Narrow" w:hAnsi="Arial Narrow"/>
                <w:sz w:val="20"/>
                <w:szCs w:val="20"/>
              </w:rPr>
              <w:noBreakHyphen/>
              <w:t xml:space="preserve"> </w:t>
            </w:r>
            <w:proofErr w:type="spellStart"/>
            <w:r w:rsidRPr="00B20A99">
              <w:rPr>
                <w:rFonts w:ascii="Arial Narrow" w:hAnsi="Arial Narrow"/>
                <w:sz w:val="20"/>
                <w:szCs w:val="20"/>
              </w:rPr>
              <w:t>General</w:t>
            </w:r>
            <w:proofErr w:type="spellEnd"/>
            <w:r w:rsidRPr="00B20A99">
              <w:rPr>
                <w:rFonts w:ascii="Arial Narrow" w:hAnsi="Arial Narrow"/>
                <w:sz w:val="20"/>
                <w:szCs w:val="20"/>
              </w:rPr>
              <w:t xml:space="preserve"> Schedule (Code GE) </w:t>
            </w:r>
          </w:p>
        </w:tc>
      </w:tr>
      <w:tr w:rsidR="00B20A99" w:rsidRPr="00B20A99" w14:paraId="764910B2" w14:textId="77777777">
        <w:trPr>
          <w:trHeight w:val="20"/>
        </w:trPr>
        <w:tc>
          <w:tcPr>
            <w:tcW w:w="0" w:type="auto"/>
            <w:gridSpan w:val="2"/>
            <w:vMerge/>
            <w:tcBorders>
              <w:top w:val="nil"/>
              <w:left w:val="single" w:sz="8" w:space="0" w:color="auto"/>
              <w:bottom w:val="single" w:sz="8" w:space="0" w:color="auto"/>
              <w:right w:val="single" w:sz="8" w:space="0" w:color="auto"/>
            </w:tcBorders>
            <w:vAlign w:val="center"/>
            <w:hideMark/>
          </w:tcPr>
          <w:p w14:paraId="2F6A44D2" w14:textId="77777777" w:rsidR="00B20A99" w:rsidRPr="00B20A99" w:rsidRDefault="00B20A99">
            <w:pPr>
              <w:rPr>
                <w:rFonts w:ascii="Arial Narrow" w:eastAsiaTheme="minorHAnsi" w:hAnsi="Arial Narrow" w:cs="Calibri"/>
                <w:b/>
                <w:bCs/>
                <w:sz w:val="20"/>
                <w:szCs w:val="20"/>
                <w:lang w:eastAsia="en-US"/>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1ADEF426"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Prescriber type:  </w:t>
            </w:r>
            <w:r w:rsidRPr="00B20A99">
              <w:rPr>
                <w:rFonts w:ascii="Arial Narrow" w:hAnsi="Arial Narrow"/>
                <w:sz w:val="20"/>
                <w:szCs w:val="20"/>
              </w:rPr>
              <w:t>Medical Practitioners</w:t>
            </w:r>
          </w:p>
        </w:tc>
      </w:tr>
      <w:tr w:rsidR="00B20A99" w:rsidRPr="00B20A99" w14:paraId="01B88E08" w14:textId="77777777">
        <w:trPr>
          <w:trHeight w:val="20"/>
        </w:trPr>
        <w:tc>
          <w:tcPr>
            <w:tcW w:w="0" w:type="auto"/>
            <w:gridSpan w:val="2"/>
            <w:vMerge/>
            <w:tcBorders>
              <w:top w:val="nil"/>
              <w:left w:val="single" w:sz="8" w:space="0" w:color="auto"/>
              <w:bottom w:val="single" w:sz="8" w:space="0" w:color="auto"/>
              <w:right w:val="single" w:sz="8" w:space="0" w:color="auto"/>
            </w:tcBorders>
            <w:vAlign w:val="center"/>
            <w:hideMark/>
          </w:tcPr>
          <w:p w14:paraId="6C127406" w14:textId="77777777" w:rsidR="00B20A99" w:rsidRPr="00B20A99" w:rsidRDefault="00B20A99">
            <w:pPr>
              <w:rPr>
                <w:rFonts w:ascii="Arial Narrow" w:eastAsiaTheme="minorHAnsi" w:hAnsi="Arial Narrow" w:cs="Calibri"/>
                <w:b/>
                <w:bCs/>
                <w:sz w:val="20"/>
                <w:szCs w:val="20"/>
                <w:lang w:eastAsia="en-US"/>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1AF9F1A9" w14:textId="77777777" w:rsidR="00B20A99" w:rsidRPr="00B20A99" w:rsidRDefault="00B20A99">
            <w:pPr>
              <w:rPr>
                <w:rFonts w:ascii="Arial Narrow" w:hAnsi="Arial Narrow"/>
                <w:sz w:val="20"/>
                <w:szCs w:val="20"/>
              </w:rPr>
            </w:pPr>
            <w:r w:rsidRPr="00B20A99">
              <w:rPr>
                <w:rFonts w:ascii="Arial Narrow" w:hAnsi="Arial Narrow"/>
                <w:b/>
                <w:bCs/>
                <w:sz w:val="20"/>
                <w:szCs w:val="20"/>
              </w:rPr>
              <w:t xml:space="preserve">Restriction type: </w:t>
            </w:r>
            <w:r w:rsidRPr="00B20A99">
              <w:rPr>
                <w:rFonts w:ascii="Arial Narrow" w:hAnsi="Arial Narrow"/>
                <w:sz w:val="20"/>
                <w:szCs w:val="20"/>
              </w:rPr>
              <w:t>Authority Required (Streamlined)</w:t>
            </w:r>
            <w:r w:rsidRPr="00B20A99">
              <w:rPr>
                <w:rFonts w:ascii="Arial Narrow" w:hAnsi="Arial Narrow"/>
                <w:i/>
                <w:iCs/>
                <w:sz w:val="20"/>
                <w:szCs w:val="20"/>
              </w:rPr>
              <w:t xml:space="preserve"> </w:t>
            </w:r>
          </w:p>
        </w:tc>
      </w:tr>
      <w:tr w:rsidR="00B20A99" w:rsidRPr="00B20A99" w14:paraId="1D549A46" w14:textId="77777777">
        <w:trPr>
          <w:trHeight w:val="20"/>
        </w:trPr>
        <w:tc>
          <w:tcPr>
            <w:tcW w:w="673" w:type="dxa"/>
            <w:vMerge w:val="restart"/>
            <w:tcBorders>
              <w:top w:val="nil"/>
              <w:left w:val="single" w:sz="8" w:space="0" w:color="auto"/>
              <w:bottom w:val="single" w:sz="8" w:space="0" w:color="auto"/>
              <w:right w:val="single" w:sz="8" w:space="0" w:color="auto"/>
            </w:tcBorders>
            <w:tcMar>
              <w:top w:w="15" w:type="dxa"/>
              <w:left w:w="108" w:type="dxa"/>
              <w:bottom w:w="15" w:type="dxa"/>
              <w:right w:w="108" w:type="dxa"/>
            </w:tcMar>
            <w:textDirection w:val="btLr"/>
            <w:vAlign w:val="center"/>
            <w:hideMark/>
          </w:tcPr>
          <w:p w14:paraId="202D6DC6" w14:textId="77777777" w:rsidR="00B20A99" w:rsidRPr="00B20A99" w:rsidRDefault="00B20A99">
            <w:pPr>
              <w:rPr>
                <w:rFonts w:ascii="Arial Narrow" w:hAnsi="Arial Narrow"/>
                <w:sz w:val="20"/>
                <w:szCs w:val="20"/>
              </w:rPr>
            </w:pPr>
            <w:r w:rsidRPr="00B20A99">
              <w:rPr>
                <w:rFonts w:ascii="Arial Narrow" w:hAnsi="Arial Narrow"/>
                <w:sz w:val="20"/>
                <w:szCs w:val="20"/>
              </w:rPr>
              <w:t>Prescribing rule level</w:t>
            </w: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9D9067F" w14:textId="3EFE3757"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65DAFE24" w14:textId="77777777" w:rsidR="00B20A99" w:rsidRPr="00B20A99" w:rsidRDefault="00B20A99">
            <w:pPr>
              <w:rPr>
                <w:rFonts w:ascii="Arial Narrow" w:hAnsi="Arial Narrow"/>
                <w:sz w:val="20"/>
                <w:szCs w:val="20"/>
              </w:rPr>
            </w:pPr>
            <w:r w:rsidRPr="00B20A99">
              <w:rPr>
                <w:rFonts w:ascii="Arial Narrow" w:hAnsi="Arial Narrow"/>
                <w:b/>
                <w:bCs/>
                <w:sz w:val="20"/>
                <w:szCs w:val="20"/>
              </w:rPr>
              <w:t xml:space="preserve">Administrative Advice: </w:t>
            </w:r>
            <w:r w:rsidRPr="00B20A99">
              <w:rPr>
                <w:rFonts w:ascii="Arial Narrow" w:hAnsi="Arial Narrow"/>
                <w:sz w:val="20"/>
                <w:szCs w:val="20"/>
              </w:rPr>
              <w:t>No increase in the maximum quantity or number of units may be authorised.</w:t>
            </w:r>
          </w:p>
        </w:tc>
      </w:tr>
      <w:tr w:rsidR="00B20A99" w:rsidRPr="00B20A99" w14:paraId="0FBF23B8"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51AF382F" w14:textId="77777777" w:rsidR="00B20A99" w:rsidRPr="00B20A99" w:rsidRDefault="00B20A99">
            <w:pPr>
              <w:rPr>
                <w:rFonts w:ascii="Arial Narrow" w:eastAsiaTheme="minorHAnsi" w:hAnsi="Arial Narrow" w:cs="Calibri"/>
                <w:sz w:val="20"/>
                <w:szCs w:val="20"/>
                <w:lang w:eastAsia="en-US"/>
              </w:rPr>
            </w:pP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4A0B4B39" w14:textId="399DE8B6"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E51B5FB"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Administrative Advice: </w:t>
            </w:r>
            <w:r w:rsidRPr="00B20A99">
              <w:rPr>
                <w:rFonts w:ascii="Arial Narrow" w:hAnsi="Arial Narrow"/>
                <w:sz w:val="20"/>
                <w:szCs w:val="20"/>
              </w:rPr>
              <w:t>No increase in the maximum number of repeats may be authorised.</w:t>
            </w:r>
          </w:p>
        </w:tc>
      </w:tr>
      <w:tr w:rsidR="00B20A99" w:rsidRPr="00B20A99" w14:paraId="7A777898"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32CA12E6" w14:textId="77777777" w:rsidR="00B20A99" w:rsidRPr="00B20A99" w:rsidRDefault="00B20A99">
            <w:pPr>
              <w:rPr>
                <w:rFonts w:ascii="Arial Narrow" w:eastAsiaTheme="minorHAnsi" w:hAnsi="Arial Narrow" w:cs="Calibri"/>
                <w:sz w:val="20"/>
                <w:szCs w:val="20"/>
                <w:lang w:eastAsia="en-US"/>
              </w:rPr>
            </w:pP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D43DF38" w14:textId="79F55B5D"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FD71CC4"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Administrative Advice: </w:t>
            </w:r>
            <w:r w:rsidRPr="00B20A99">
              <w:rPr>
                <w:rFonts w:ascii="Arial Narrow" w:hAnsi="Arial Narrow"/>
                <w:sz w:val="20"/>
                <w:szCs w:val="20"/>
              </w:rPr>
              <w:t>Special Pricing Arrangements apply.</w:t>
            </w:r>
          </w:p>
        </w:tc>
      </w:tr>
      <w:tr w:rsidR="00B20A99" w:rsidRPr="00B20A99" w14:paraId="049736E1"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545A66EA" w14:textId="77777777" w:rsidR="00B20A99" w:rsidRPr="00B20A99" w:rsidRDefault="00B20A99">
            <w:pPr>
              <w:rPr>
                <w:rFonts w:ascii="Arial Narrow" w:eastAsiaTheme="minorHAnsi" w:hAnsi="Arial Narrow" w:cs="Calibri"/>
                <w:sz w:val="20"/>
                <w:szCs w:val="20"/>
                <w:lang w:eastAsia="en-US"/>
              </w:rPr>
            </w:pP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B2AF70D" w14:textId="54BF0967" w:rsidR="00B20A99" w:rsidRPr="00B20A99" w:rsidRDefault="00B20A99">
            <w:pPr>
              <w:rPr>
                <w:rFonts w:ascii="Arial Narrow" w:hAnsi="Arial Narrow"/>
                <w:i/>
                <w:iCs/>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A54719C" w14:textId="77777777" w:rsidR="00B20A99" w:rsidRPr="00B20A99" w:rsidRDefault="00B20A99">
            <w:pPr>
              <w:rPr>
                <w:rFonts w:ascii="Arial Narrow" w:hAnsi="Arial Narrow"/>
                <w:b/>
                <w:bCs/>
                <w:i/>
                <w:iCs/>
                <w:sz w:val="20"/>
                <w:szCs w:val="20"/>
              </w:rPr>
            </w:pPr>
            <w:r w:rsidRPr="00B20A99">
              <w:rPr>
                <w:rFonts w:ascii="Arial Narrow" w:hAnsi="Arial Narrow"/>
                <w:b/>
                <w:bCs/>
                <w:i/>
                <w:iCs/>
                <w:sz w:val="20"/>
                <w:szCs w:val="20"/>
              </w:rPr>
              <w:t xml:space="preserve">Administrative Advice: </w:t>
            </w:r>
            <w:r w:rsidRPr="00B20A99">
              <w:rPr>
                <w:rFonts w:ascii="Arial Narrow" w:hAnsi="Arial Narrow"/>
                <w:i/>
                <w:iCs/>
                <w:sz w:val="20"/>
                <w:szCs w:val="20"/>
              </w:rPr>
              <w:t xml:space="preserve">Pharmaceutical benefits that have the form </w:t>
            </w: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56 and pharmaceutical benefits that have the form </w:t>
            </w: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28 are equivalent for the purposes of substitution.</w:t>
            </w:r>
          </w:p>
        </w:tc>
      </w:tr>
      <w:tr w:rsidR="00B20A99" w:rsidRPr="00B20A99" w14:paraId="55CB6C25" w14:textId="77777777">
        <w:trPr>
          <w:cantSplit/>
          <w:trHeight w:val="20"/>
        </w:trPr>
        <w:tc>
          <w:tcPr>
            <w:tcW w:w="1401" w:type="dxa"/>
            <w:gridSpan w:val="2"/>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38211AF9" w14:textId="3FD88FC2"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69149600" w14:textId="77777777" w:rsidR="00B20A99" w:rsidRPr="00B20A99" w:rsidRDefault="00B20A99">
            <w:pPr>
              <w:rPr>
                <w:rFonts w:ascii="Arial Narrow" w:hAnsi="Arial Narrow"/>
                <w:sz w:val="20"/>
                <w:szCs w:val="20"/>
              </w:rPr>
            </w:pPr>
            <w:r w:rsidRPr="00B20A99">
              <w:rPr>
                <w:rFonts w:ascii="Arial Narrow" w:hAnsi="Arial Narrow"/>
                <w:b/>
                <w:bCs/>
                <w:sz w:val="20"/>
                <w:szCs w:val="20"/>
              </w:rPr>
              <w:t>Indication:</w:t>
            </w:r>
            <w:r w:rsidRPr="00B20A99">
              <w:rPr>
                <w:rFonts w:ascii="Arial Narrow" w:hAnsi="Arial Narrow"/>
                <w:sz w:val="20"/>
                <w:szCs w:val="20"/>
              </w:rPr>
              <w:t xml:space="preserve"> Unresectable Stage III or Stage IV malignant melanoma</w:t>
            </w:r>
          </w:p>
        </w:tc>
      </w:tr>
      <w:tr w:rsidR="00B20A99" w:rsidRPr="00B20A99" w14:paraId="57C3D1BF" w14:textId="77777777">
        <w:trPr>
          <w:cantSplit/>
          <w:trHeight w:val="20"/>
        </w:trPr>
        <w:tc>
          <w:tcPr>
            <w:tcW w:w="1401" w:type="dxa"/>
            <w:gridSpan w:val="2"/>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tcPr>
          <w:p w14:paraId="7800A1BA" w14:textId="77777777"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4B49580D"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Treatment Phase: </w:t>
            </w:r>
            <w:r w:rsidRPr="00B20A99">
              <w:rPr>
                <w:rFonts w:ascii="Arial Narrow" w:hAnsi="Arial Narrow"/>
                <w:sz w:val="20"/>
                <w:szCs w:val="20"/>
              </w:rPr>
              <w:t>Initial treatment</w:t>
            </w:r>
          </w:p>
        </w:tc>
      </w:tr>
      <w:tr w:rsidR="00B20A99" w:rsidRPr="00B20A99" w14:paraId="61500310" w14:textId="77777777">
        <w:tc>
          <w:tcPr>
            <w:tcW w:w="675" w:type="dxa"/>
            <w:vAlign w:val="center"/>
            <w:hideMark/>
          </w:tcPr>
          <w:p w14:paraId="0E52833A" w14:textId="77777777" w:rsidR="00B20A99" w:rsidRPr="00B20A99" w:rsidRDefault="00B20A99">
            <w:pPr>
              <w:rPr>
                <w:rFonts w:ascii="Arial Narrow" w:hAnsi="Arial Narrow"/>
                <w:b/>
                <w:bCs/>
                <w:sz w:val="20"/>
                <w:szCs w:val="20"/>
              </w:rPr>
            </w:pPr>
          </w:p>
        </w:tc>
        <w:tc>
          <w:tcPr>
            <w:tcW w:w="735" w:type="dxa"/>
            <w:vAlign w:val="center"/>
            <w:hideMark/>
          </w:tcPr>
          <w:p w14:paraId="0E80FEB2" w14:textId="77777777" w:rsidR="00B20A99" w:rsidRPr="00B20A99" w:rsidRDefault="00B20A99">
            <w:pPr>
              <w:rPr>
                <w:rFonts w:ascii="Arial Narrow" w:hAnsi="Arial Narrow" w:cs="Times New Roman"/>
                <w:sz w:val="20"/>
                <w:szCs w:val="20"/>
              </w:rPr>
            </w:pPr>
          </w:p>
        </w:tc>
        <w:tc>
          <w:tcPr>
            <w:tcW w:w="2310" w:type="dxa"/>
            <w:vAlign w:val="center"/>
            <w:hideMark/>
          </w:tcPr>
          <w:p w14:paraId="05B7B61A" w14:textId="77777777" w:rsidR="00B20A99" w:rsidRPr="00B20A99" w:rsidRDefault="00B20A99">
            <w:pPr>
              <w:rPr>
                <w:rFonts w:ascii="Arial Narrow" w:hAnsi="Arial Narrow" w:cs="Times New Roman"/>
                <w:sz w:val="20"/>
                <w:szCs w:val="20"/>
              </w:rPr>
            </w:pPr>
          </w:p>
        </w:tc>
        <w:tc>
          <w:tcPr>
            <w:tcW w:w="1065" w:type="dxa"/>
            <w:vAlign w:val="center"/>
            <w:hideMark/>
          </w:tcPr>
          <w:p w14:paraId="73D1C933" w14:textId="77777777" w:rsidR="00B20A99" w:rsidRPr="00B20A99" w:rsidRDefault="00B20A99">
            <w:pPr>
              <w:rPr>
                <w:rFonts w:ascii="Arial Narrow" w:hAnsi="Arial Narrow" w:cs="Times New Roman"/>
                <w:sz w:val="20"/>
                <w:szCs w:val="20"/>
              </w:rPr>
            </w:pPr>
          </w:p>
        </w:tc>
        <w:tc>
          <w:tcPr>
            <w:tcW w:w="870" w:type="dxa"/>
            <w:vAlign w:val="center"/>
            <w:hideMark/>
          </w:tcPr>
          <w:p w14:paraId="5220ADDA" w14:textId="77777777" w:rsidR="00B20A99" w:rsidRPr="00B20A99" w:rsidRDefault="00B20A99">
            <w:pPr>
              <w:rPr>
                <w:rFonts w:ascii="Arial Narrow" w:hAnsi="Arial Narrow" w:cs="Times New Roman"/>
                <w:sz w:val="20"/>
                <w:szCs w:val="20"/>
              </w:rPr>
            </w:pPr>
          </w:p>
        </w:tc>
        <w:tc>
          <w:tcPr>
            <w:tcW w:w="810" w:type="dxa"/>
            <w:vAlign w:val="center"/>
            <w:hideMark/>
          </w:tcPr>
          <w:p w14:paraId="4ABA55A4" w14:textId="77777777" w:rsidR="00B20A99" w:rsidRPr="00B20A99" w:rsidRDefault="00B20A99">
            <w:pPr>
              <w:rPr>
                <w:rFonts w:ascii="Arial Narrow" w:hAnsi="Arial Narrow" w:cs="Times New Roman"/>
                <w:sz w:val="20"/>
                <w:szCs w:val="20"/>
              </w:rPr>
            </w:pPr>
          </w:p>
        </w:tc>
        <w:tc>
          <w:tcPr>
            <w:tcW w:w="810" w:type="dxa"/>
            <w:vAlign w:val="center"/>
            <w:hideMark/>
          </w:tcPr>
          <w:p w14:paraId="69745F6C" w14:textId="77777777" w:rsidR="00B20A99" w:rsidRPr="00B20A99" w:rsidRDefault="00B20A99">
            <w:pPr>
              <w:rPr>
                <w:rFonts w:ascii="Arial Narrow" w:hAnsi="Arial Narrow" w:cs="Times New Roman"/>
                <w:sz w:val="20"/>
                <w:szCs w:val="20"/>
              </w:rPr>
            </w:pPr>
          </w:p>
        </w:tc>
        <w:tc>
          <w:tcPr>
            <w:tcW w:w="1755" w:type="dxa"/>
            <w:vAlign w:val="center"/>
            <w:hideMark/>
          </w:tcPr>
          <w:p w14:paraId="307DB330" w14:textId="77777777" w:rsidR="00B20A99" w:rsidRPr="00B20A99" w:rsidRDefault="00B20A99">
            <w:pPr>
              <w:rPr>
                <w:rFonts w:ascii="Arial Narrow" w:hAnsi="Arial Narrow" w:cs="Times New Roman"/>
                <w:sz w:val="20"/>
                <w:szCs w:val="20"/>
              </w:rPr>
            </w:pPr>
          </w:p>
        </w:tc>
      </w:tr>
    </w:tbl>
    <w:p w14:paraId="559279B8" w14:textId="77777777" w:rsidR="00B20A99" w:rsidRDefault="00B20A99" w:rsidP="00B20A99">
      <w:pPr>
        <w:rPr>
          <w:rFonts w:ascii="Aptos" w:eastAsiaTheme="minorHAnsi" w:hAnsi="Aptos" w:cs="Calibri"/>
          <w:lang w:eastAsia="en-US"/>
        </w:rPr>
      </w:pPr>
    </w:p>
    <w:p w14:paraId="6F5459D0" w14:textId="77777777" w:rsidR="00B20A99" w:rsidRDefault="00B20A99" w:rsidP="00B20A99">
      <w:pPr>
        <w:rPr>
          <w:rFonts w:ascii="Aptos" w:hAnsi="Aptos"/>
        </w:rPr>
      </w:pPr>
    </w:p>
    <w:tbl>
      <w:tblPr>
        <w:tblW w:w="9015" w:type="dxa"/>
        <w:tblCellMar>
          <w:left w:w="0" w:type="dxa"/>
          <w:right w:w="0" w:type="dxa"/>
        </w:tblCellMar>
        <w:tblLook w:val="04A0" w:firstRow="1" w:lastRow="0" w:firstColumn="1" w:lastColumn="0" w:noHBand="0" w:noVBand="1"/>
        <w:tblCaption w:val="8.4 Add binimetinib 45 mg strength to the existing ‘Unresectable Stage III or Stage IV malignant melanoma’ listings as follows (pending TGA approval)"/>
      </w:tblPr>
      <w:tblGrid>
        <w:gridCol w:w="673"/>
        <w:gridCol w:w="728"/>
        <w:gridCol w:w="2518"/>
        <w:gridCol w:w="809"/>
        <w:gridCol w:w="873"/>
        <w:gridCol w:w="808"/>
        <w:gridCol w:w="810"/>
        <w:gridCol w:w="1796"/>
      </w:tblGrid>
      <w:tr w:rsidR="00B20A99" w:rsidRPr="00B20A99" w14:paraId="26FFBE22" w14:textId="77777777">
        <w:trPr>
          <w:cantSplit/>
          <w:trHeight w:val="20"/>
        </w:trPr>
        <w:tc>
          <w:tcPr>
            <w:tcW w:w="39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675D4"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MEDICINAL PRODUCT</w:t>
            </w:r>
          </w:p>
          <w:p w14:paraId="1CE303D5"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medicinal product pack</w:t>
            </w:r>
          </w:p>
        </w:tc>
        <w:tc>
          <w:tcPr>
            <w:tcW w:w="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16D699"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PBS item code</w:t>
            </w:r>
          </w:p>
        </w:tc>
        <w:tc>
          <w:tcPr>
            <w:tcW w:w="8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338BB8"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Max. qty packs</w:t>
            </w:r>
          </w:p>
        </w:tc>
        <w:tc>
          <w:tcPr>
            <w:tcW w:w="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83C70C"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Max. qty units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77C97C"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№.of</w:t>
            </w:r>
          </w:p>
          <w:p w14:paraId="637987BD" w14:textId="77777777" w:rsidR="00B20A99" w:rsidRPr="00B20A99" w:rsidRDefault="00B20A99">
            <w:pPr>
              <w:rPr>
                <w:rFonts w:ascii="Arial Narrow" w:hAnsi="Arial Narrow"/>
                <w:b/>
                <w:bCs/>
                <w:sz w:val="20"/>
                <w:szCs w:val="20"/>
              </w:rPr>
            </w:pPr>
            <w:proofErr w:type="spellStart"/>
            <w:r w:rsidRPr="00B20A99">
              <w:rPr>
                <w:rFonts w:ascii="Arial Narrow" w:hAnsi="Arial Narrow"/>
                <w:b/>
                <w:bCs/>
                <w:sz w:val="20"/>
                <w:szCs w:val="20"/>
              </w:rPr>
              <w:t>Rpts</w:t>
            </w:r>
            <w:proofErr w:type="spellEnd"/>
          </w:p>
        </w:tc>
        <w:tc>
          <w:tcPr>
            <w:tcW w:w="1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595ADD" w14:textId="77777777" w:rsidR="00B20A99" w:rsidRPr="00B20A99" w:rsidRDefault="00B20A99">
            <w:pPr>
              <w:rPr>
                <w:rFonts w:ascii="Arial Narrow" w:hAnsi="Arial Narrow"/>
                <w:b/>
                <w:bCs/>
                <w:sz w:val="20"/>
                <w:szCs w:val="20"/>
                <w:lang w:val="fr-FR"/>
              </w:rPr>
            </w:pPr>
            <w:r w:rsidRPr="00B20A99">
              <w:rPr>
                <w:rFonts w:ascii="Arial Narrow" w:hAnsi="Arial Narrow"/>
                <w:b/>
                <w:bCs/>
                <w:sz w:val="20"/>
                <w:szCs w:val="20"/>
              </w:rPr>
              <w:t>Available brands</w:t>
            </w:r>
          </w:p>
        </w:tc>
      </w:tr>
      <w:tr w:rsidR="00B20A99" w:rsidRPr="00B20A99" w14:paraId="467B30CE" w14:textId="77777777">
        <w:trPr>
          <w:cantSplit/>
          <w:trHeight w:val="20"/>
        </w:trPr>
        <w:tc>
          <w:tcPr>
            <w:tcW w:w="901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DDCC4" w14:textId="77777777" w:rsidR="00B20A99" w:rsidRPr="00B20A99" w:rsidRDefault="00B20A99">
            <w:pPr>
              <w:rPr>
                <w:rFonts w:ascii="Arial Narrow" w:hAnsi="Arial Narrow"/>
                <w:sz w:val="20"/>
                <w:szCs w:val="20"/>
              </w:rPr>
            </w:pPr>
            <w:r w:rsidRPr="00B20A99">
              <w:rPr>
                <w:rFonts w:ascii="Arial Narrow" w:hAnsi="Arial Narrow"/>
                <w:sz w:val="20"/>
                <w:szCs w:val="20"/>
              </w:rPr>
              <w:t>BINIMETINIB</w:t>
            </w:r>
          </w:p>
        </w:tc>
      </w:tr>
      <w:tr w:rsidR="00B20A99" w:rsidRPr="00B20A99" w14:paraId="5D670BA0" w14:textId="77777777">
        <w:trPr>
          <w:cantSplit/>
          <w:trHeight w:val="20"/>
        </w:trPr>
        <w:tc>
          <w:tcPr>
            <w:tcW w:w="39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C345C" w14:textId="77777777" w:rsidR="00B20A99" w:rsidRPr="00B20A99" w:rsidRDefault="00B20A99">
            <w:pPr>
              <w:rPr>
                <w:rFonts w:ascii="Arial Narrow" w:hAnsi="Arial Narrow"/>
                <w:sz w:val="20"/>
                <w:szCs w:val="20"/>
              </w:rPr>
            </w:pPr>
            <w:proofErr w:type="spellStart"/>
            <w:r w:rsidRPr="00B20A99">
              <w:rPr>
                <w:rFonts w:ascii="Arial Narrow" w:hAnsi="Arial Narrow"/>
                <w:sz w:val="20"/>
                <w:szCs w:val="20"/>
              </w:rPr>
              <w:t>binimetinib</w:t>
            </w:r>
            <w:proofErr w:type="spellEnd"/>
            <w:r w:rsidRPr="00B20A99">
              <w:rPr>
                <w:rFonts w:ascii="Arial Narrow" w:hAnsi="Arial Narrow"/>
                <w:sz w:val="20"/>
                <w:szCs w:val="20"/>
              </w:rPr>
              <w:t xml:space="preserve"> 15 mg tablet, 84</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1B259" w14:textId="77777777" w:rsidR="00B20A99" w:rsidRPr="00B20A99" w:rsidRDefault="00B20A99">
            <w:pPr>
              <w:rPr>
                <w:rFonts w:ascii="Arial Narrow" w:hAnsi="Arial Narrow"/>
                <w:sz w:val="20"/>
                <w:szCs w:val="20"/>
              </w:rPr>
            </w:pPr>
            <w:r w:rsidRPr="00B20A99">
              <w:rPr>
                <w:rFonts w:ascii="Arial Narrow" w:hAnsi="Arial Narrow"/>
                <w:sz w:val="20"/>
                <w:szCs w:val="20"/>
              </w:rPr>
              <w:t>11961M</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3BCCC" w14:textId="77777777" w:rsidR="00B20A99" w:rsidRPr="00B20A99" w:rsidRDefault="00B20A99">
            <w:pPr>
              <w:rPr>
                <w:rFonts w:ascii="Arial Narrow" w:hAnsi="Arial Narrow"/>
                <w:sz w:val="20"/>
                <w:szCs w:val="20"/>
              </w:rPr>
            </w:pPr>
            <w:r w:rsidRPr="00B20A99">
              <w:rPr>
                <w:rFonts w:ascii="Arial Narrow" w:hAnsi="Arial Narrow"/>
                <w:sz w:val="20"/>
                <w:szCs w:val="20"/>
              </w:rPr>
              <w:t>2</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ECE59" w14:textId="77777777" w:rsidR="00B20A99" w:rsidRPr="00B20A99" w:rsidRDefault="00B20A99">
            <w:pPr>
              <w:rPr>
                <w:rFonts w:ascii="Arial Narrow" w:hAnsi="Arial Narrow"/>
                <w:sz w:val="20"/>
                <w:szCs w:val="20"/>
              </w:rPr>
            </w:pPr>
            <w:r w:rsidRPr="00B20A99">
              <w:rPr>
                <w:rFonts w:ascii="Arial Narrow" w:hAnsi="Arial Narrow"/>
                <w:sz w:val="20"/>
                <w:szCs w:val="20"/>
              </w:rPr>
              <w:t>168</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F306E" w14:textId="77777777" w:rsidR="00B20A99" w:rsidRPr="00B20A99" w:rsidRDefault="00B20A99">
            <w:pPr>
              <w:rPr>
                <w:rFonts w:ascii="Arial Narrow" w:hAnsi="Arial Narrow"/>
                <w:sz w:val="20"/>
                <w:szCs w:val="20"/>
              </w:rPr>
            </w:pPr>
            <w:r w:rsidRPr="00B20A99">
              <w:rPr>
                <w:rFonts w:ascii="Arial Narrow" w:hAnsi="Arial Narrow"/>
                <w:sz w:val="20"/>
                <w:szCs w:val="20"/>
              </w:rPr>
              <w:t>5</w:t>
            </w:r>
          </w:p>
        </w:tc>
        <w:tc>
          <w:tcPr>
            <w:tcW w:w="1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1CECB" w14:textId="77777777" w:rsidR="00B20A99" w:rsidRPr="00B20A99" w:rsidRDefault="00B20A99">
            <w:pPr>
              <w:rPr>
                <w:rFonts w:ascii="Arial Narrow" w:hAnsi="Arial Narrow"/>
                <w:sz w:val="20"/>
                <w:szCs w:val="20"/>
              </w:rPr>
            </w:pPr>
            <w:r w:rsidRPr="00B20A99">
              <w:rPr>
                <w:rFonts w:ascii="Arial Narrow" w:hAnsi="Arial Narrow"/>
                <w:sz w:val="20"/>
                <w:szCs w:val="20"/>
              </w:rPr>
              <w:t>Mektovi</w:t>
            </w:r>
          </w:p>
        </w:tc>
      </w:tr>
      <w:tr w:rsidR="00B20A99" w:rsidRPr="00B20A99" w14:paraId="31DDDA17" w14:textId="77777777">
        <w:trPr>
          <w:cantSplit/>
          <w:trHeight w:val="20"/>
        </w:trPr>
        <w:tc>
          <w:tcPr>
            <w:tcW w:w="39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5D6B6"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56</w:t>
            </w: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14:paraId="0D7AD8F0"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NEW</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13A57"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1</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7FC91"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56</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0FBCD"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5</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05F8B900"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vertAlign w:val="superscript"/>
              </w:rPr>
              <w:t>a</w:t>
            </w:r>
            <w:r w:rsidRPr="00B20A99">
              <w:rPr>
                <w:rFonts w:ascii="Arial Narrow" w:hAnsi="Arial Narrow"/>
                <w:i/>
                <w:iCs/>
                <w:sz w:val="20"/>
                <w:szCs w:val="20"/>
              </w:rPr>
              <w:t>Mektovi</w:t>
            </w:r>
            <w:proofErr w:type="spellEnd"/>
          </w:p>
        </w:tc>
      </w:tr>
      <w:tr w:rsidR="00B20A99" w:rsidRPr="00B20A99" w14:paraId="6720342D" w14:textId="77777777">
        <w:trPr>
          <w:cantSplit/>
          <w:trHeight w:val="20"/>
        </w:trPr>
        <w:tc>
          <w:tcPr>
            <w:tcW w:w="39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47AD3"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28</w:t>
            </w: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14:paraId="71E8BBA7"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NEW</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3EF0E"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2</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6A973"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56</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F97EA" w14:textId="77777777" w:rsidR="00B20A99" w:rsidRPr="00B20A99" w:rsidRDefault="00B20A99">
            <w:pPr>
              <w:rPr>
                <w:rFonts w:ascii="Arial Narrow" w:hAnsi="Arial Narrow"/>
                <w:i/>
                <w:iCs/>
                <w:sz w:val="20"/>
                <w:szCs w:val="20"/>
              </w:rPr>
            </w:pPr>
            <w:r w:rsidRPr="00B20A99">
              <w:rPr>
                <w:rFonts w:ascii="Arial Narrow" w:hAnsi="Arial Narrow"/>
                <w:i/>
                <w:iCs/>
                <w:sz w:val="20"/>
                <w:szCs w:val="20"/>
              </w:rPr>
              <w:t>5</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0733BE82" w14:textId="77777777" w:rsidR="00B20A99" w:rsidRPr="00B20A99" w:rsidRDefault="00B20A99">
            <w:pPr>
              <w:rPr>
                <w:rFonts w:ascii="Arial Narrow" w:hAnsi="Arial Narrow"/>
                <w:i/>
                <w:iCs/>
                <w:sz w:val="20"/>
                <w:szCs w:val="20"/>
              </w:rPr>
            </w:pPr>
            <w:proofErr w:type="spellStart"/>
            <w:r w:rsidRPr="00B20A99">
              <w:rPr>
                <w:rFonts w:ascii="Arial Narrow" w:hAnsi="Arial Narrow"/>
                <w:i/>
                <w:iCs/>
                <w:sz w:val="20"/>
                <w:szCs w:val="20"/>
                <w:vertAlign w:val="superscript"/>
              </w:rPr>
              <w:t>a</w:t>
            </w:r>
            <w:r w:rsidRPr="00B20A99">
              <w:rPr>
                <w:rFonts w:ascii="Arial Narrow" w:hAnsi="Arial Narrow"/>
                <w:i/>
                <w:iCs/>
                <w:sz w:val="20"/>
                <w:szCs w:val="20"/>
              </w:rPr>
              <w:t>Mektovi</w:t>
            </w:r>
            <w:proofErr w:type="spellEnd"/>
          </w:p>
        </w:tc>
      </w:tr>
      <w:tr w:rsidR="00B20A99" w:rsidRPr="00B20A99" w14:paraId="6765ECF7" w14:textId="77777777">
        <w:trPr>
          <w:trHeight w:val="20"/>
        </w:trPr>
        <w:tc>
          <w:tcPr>
            <w:tcW w:w="9015" w:type="dxa"/>
            <w:gridSpan w:val="8"/>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tcPr>
          <w:p w14:paraId="597E8FF7" w14:textId="77777777" w:rsidR="00B20A99" w:rsidRPr="00B20A99" w:rsidRDefault="00B20A99">
            <w:pPr>
              <w:rPr>
                <w:rFonts w:ascii="Arial Narrow" w:hAnsi="Arial Narrow"/>
                <w:sz w:val="20"/>
                <w:szCs w:val="20"/>
              </w:rPr>
            </w:pPr>
          </w:p>
        </w:tc>
      </w:tr>
      <w:tr w:rsidR="00B20A99" w:rsidRPr="00B20A99" w14:paraId="68EDDE11" w14:textId="77777777">
        <w:trPr>
          <w:trHeight w:val="20"/>
        </w:trPr>
        <w:tc>
          <w:tcPr>
            <w:tcW w:w="9015" w:type="dxa"/>
            <w:gridSpan w:val="8"/>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4C40B1B2"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Restriction Summary 10269 / Treatment of Concept: 10306</w:t>
            </w:r>
          </w:p>
        </w:tc>
      </w:tr>
      <w:tr w:rsidR="00B20A99" w:rsidRPr="00B20A99" w14:paraId="606A51B5" w14:textId="77777777">
        <w:trPr>
          <w:trHeight w:val="20"/>
        </w:trPr>
        <w:tc>
          <w:tcPr>
            <w:tcW w:w="1401" w:type="dxa"/>
            <w:gridSpan w:val="2"/>
            <w:vMerge w:val="restart"/>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14:paraId="086D1B4E"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Concept ID </w:t>
            </w:r>
            <w:r w:rsidRPr="00B20A99">
              <w:rPr>
                <w:rFonts w:ascii="Arial Narrow" w:hAnsi="Arial Narrow"/>
                <w:sz w:val="20"/>
                <w:szCs w:val="20"/>
              </w:rPr>
              <w:t>(for internal Dept. use)</w:t>
            </w: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5CBD2CBE" w14:textId="77777777" w:rsidR="00B20A99" w:rsidRPr="00B20A99" w:rsidRDefault="00B20A99">
            <w:pPr>
              <w:rPr>
                <w:rFonts w:ascii="Arial Narrow" w:hAnsi="Arial Narrow"/>
                <w:sz w:val="20"/>
                <w:szCs w:val="20"/>
              </w:rPr>
            </w:pPr>
            <w:r w:rsidRPr="00B20A99">
              <w:rPr>
                <w:rFonts w:ascii="Arial Narrow" w:hAnsi="Arial Narrow"/>
                <w:b/>
                <w:bCs/>
                <w:sz w:val="20"/>
                <w:szCs w:val="20"/>
              </w:rPr>
              <w:t>Category / Program:</w:t>
            </w:r>
            <w:r w:rsidRPr="00B20A99">
              <w:rPr>
                <w:rFonts w:ascii="Arial Narrow" w:hAnsi="Arial Narrow"/>
                <w:sz w:val="20"/>
                <w:szCs w:val="20"/>
              </w:rPr>
              <w:t xml:space="preserve">  GENERAL </w:t>
            </w:r>
            <w:r w:rsidRPr="00B20A99">
              <w:rPr>
                <w:rFonts w:ascii="Arial Narrow" w:hAnsi="Arial Narrow"/>
                <w:sz w:val="20"/>
                <w:szCs w:val="20"/>
              </w:rPr>
              <w:noBreakHyphen/>
              <w:t xml:space="preserve"> </w:t>
            </w:r>
            <w:proofErr w:type="spellStart"/>
            <w:r w:rsidRPr="00B20A99">
              <w:rPr>
                <w:rFonts w:ascii="Arial Narrow" w:hAnsi="Arial Narrow"/>
                <w:sz w:val="20"/>
                <w:szCs w:val="20"/>
              </w:rPr>
              <w:t>General</w:t>
            </w:r>
            <w:proofErr w:type="spellEnd"/>
            <w:r w:rsidRPr="00B20A99">
              <w:rPr>
                <w:rFonts w:ascii="Arial Narrow" w:hAnsi="Arial Narrow"/>
                <w:sz w:val="20"/>
                <w:szCs w:val="20"/>
              </w:rPr>
              <w:t xml:space="preserve"> Schedule (Code GE) </w:t>
            </w:r>
          </w:p>
        </w:tc>
      </w:tr>
      <w:tr w:rsidR="00B20A99" w:rsidRPr="00B20A99" w14:paraId="1F5855A0" w14:textId="77777777">
        <w:trPr>
          <w:trHeight w:val="20"/>
        </w:trPr>
        <w:tc>
          <w:tcPr>
            <w:tcW w:w="0" w:type="auto"/>
            <w:gridSpan w:val="2"/>
            <w:vMerge/>
            <w:tcBorders>
              <w:top w:val="nil"/>
              <w:left w:val="single" w:sz="8" w:space="0" w:color="auto"/>
              <w:bottom w:val="single" w:sz="8" w:space="0" w:color="auto"/>
              <w:right w:val="single" w:sz="8" w:space="0" w:color="auto"/>
            </w:tcBorders>
            <w:vAlign w:val="center"/>
            <w:hideMark/>
          </w:tcPr>
          <w:p w14:paraId="69CD810A" w14:textId="77777777" w:rsidR="00B20A99" w:rsidRPr="00B20A99" w:rsidRDefault="00B20A99">
            <w:pPr>
              <w:rPr>
                <w:rFonts w:ascii="Arial Narrow" w:eastAsiaTheme="minorHAnsi" w:hAnsi="Arial Narrow" w:cs="Calibri"/>
                <w:b/>
                <w:bCs/>
                <w:sz w:val="20"/>
                <w:szCs w:val="20"/>
                <w:lang w:eastAsia="en-US"/>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BDC593E"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Prescriber type:  </w:t>
            </w:r>
            <w:r w:rsidRPr="00B20A99">
              <w:rPr>
                <w:rFonts w:ascii="Arial Narrow" w:hAnsi="Arial Narrow"/>
                <w:sz w:val="20"/>
                <w:szCs w:val="20"/>
              </w:rPr>
              <w:t>Medical Practitioners</w:t>
            </w:r>
          </w:p>
        </w:tc>
      </w:tr>
      <w:tr w:rsidR="00B20A99" w:rsidRPr="00B20A99" w14:paraId="502DD1B2" w14:textId="77777777">
        <w:trPr>
          <w:trHeight w:val="20"/>
        </w:trPr>
        <w:tc>
          <w:tcPr>
            <w:tcW w:w="0" w:type="auto"/>
            <w:gridSpan w:val="2"/>
            <w:vMerge/>
            <w:tcBorders>
              <w:top w:val="nil"/>
              <w:left w:val="single" w:sz="8" w:space="0" w:color="auto"/>
              <w:bottom w:val="single" w:sz="8" w:space="0" w:color="auto"/>
              <w:right w:val="single" w:sz="8" w:space="0" w:color="auto"/>
            </w:tcBorders>
            <w:vAlign w:val="center"/>
            <w:hideMark/>
          </w:tcPr>
          <w:p w14:paraId="1AD99426" w14:textId="77777777" w:rsidR="00B20A99" w:rsidRPr="00B20A99" w:rsidRDefault="00B20A99">
            <w:pPr>
              <w:rPr>
                <w:rFonts w:ascii="Arial Narrow" w:eastAsiaTheme="minorHAnsi" w:hAnsi="Arial Narrow" w:cs="Calibri"/>
                <w:b/>
                <w:bCs/>
                <w:sz w:val="20"/>
                <w:szCs w:val="20"/>
                <w:lang w:eastAsia="en-US"/>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815320C" w14:textId="77777777" w:rsidR="00B20A99" w:rsidRPr="00B20A99" w:rsidRDefault="00B20A99">
            <w:pPr>
              <w:rPr>
                <w:rFonts w:ascii="Arial Narrow" w:hAnsi="Arial Narrow"/>
                <w:sz w:val="20"/>
                <w:szCs w:val="20"/>
              </w:rPr>
            </w:pPr>
            <w:r w:rsidRPr="00B20A99">
              <w:rPr>
                <w:rFonts w:ascii="Arial Narrow" w:hAnsi="Arial Narrow"/>
                <w:b/>
                <w:bCs/>
                <w:sz w:val="20"/>
                <w:szCs w:val="20"/>
              </w:rPr>
              <w:t xml:space="preserve">Restriction type: </w:t>
            </w:r>
            <w:r w:rsidRPr="00B20A99">
              <w:rPr>
                <w:rFonts w:ascii="Arial Narrow" w:hAnsi="Arial Narrow"/>
                <w:sz w:val="20"/>
                <w:szCs w:val="20"/>
              </w:rPr>
              <w:t>Authority Required (Streamlined)</w:t>
            </w:r>
            <w:r w:rsidRPr="00B20A99">
              <w:rPr>
                <w:rFonts w:ascii="Arial Narrow" w:hAnsi="Arial Narrow"/>
                <w:i/>
                <w:iCs/>
                <w:sz w:val="20"/>
                <w:szCs w:val="20"/>
              </w:rPr>
              <w:t xml:space="preserve"> </w:t>
            </w:r>
          </w:p>
        </w:tc>
      </w:tr>
      <w:tr w:rsidR="00B20A99" w:rsidRPr="00B20A99" w14:paraId="70F0A0B6" w14:textId="77777777">
        <w:trPr>
          <w:trHeight w:val="20"/>
        </w:trPr>
        <w:tc>
          <w:tcPr>
            <w:tcW w:w="673" w:type="dxa"/>
            <w:vMerge w:val="restart"/>
            <w:tcBorders>
              <w:top w:val="nil"/>
              <w:left w:val="single" w:sz="8" w:space="0" w:color="auto"/>
              <w:bottom w:val="single" w:sz="8" w:space="0" w:color="auto"/>
              <w:right w:val="single" w:sz="8" w:space="0" w:color="auto"/>
            </w:tcBorders>
            <w:tcMar>
              <w:top w:w="15" w:type="dxa"/>
              <w:left w:w="108" w:type="dxa"/>
              <w:bottom w:w="15" w:type="dxa"/>
              <w:right w:w="108" w:type="dxa"/>
            </w:tcMar>
            <w:textDirection w:val="btLr"/>
            <w:vAlign w:val="center"/>
            <w:hideMark/>
          </w:tcPr>
          <w:p w14:paraId="08D2839E" w14:textId="77777777" w:rsidR="00B20A99" w:rsidRPr="00B20A99" w:rsidRDefault="00B20A99">
            <w:pPr>
              <w:rPr>
                <w:rFonts w:ascii="Arial Narrow" w:hAnsi="Arial Narrow"/>
                <w:sz w:val="20"/>
                <w:szCs w:val="20"/>
              </w:rPr>
            </w:pPr>
            <w:r w:rsidRPr="00B20A99">
              <w:rPr>
                <w:rFonts w:ascii="Arial Narrow" w:hAnsi="Arial Narrow"/>
                <w:sz w:val="20"/>
                <w:szCs w:val="20"/>
              </w:rPr>
              <w:t>Prescribing rule level</w:t>
            </w: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F0FF1BC" w14:textId="720FC90F"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1B968A6" w14:textId="77777777" w:rsidR="00B20A99" w:rsidRPr="00B20A99" w:rsidRDefault="00B20A99">
            <w:pPr>
              <w:rPr>
                <w:rFonts w:ascii="Arial Narrow" w:hAnsi="Arial Narrow"/>
                <w:sz w:val="20"/>
                <w:szCs w:val="20"/>
              </w:rPr>
            </w:pPr>
            <w:r w:rsidRPr="00B20A99">
              <w:rPr>
                <w:rFonts w:ascii="Arial Narrow" w:hAnsi="Arial Narrow"/>
                <w:b/>
                <w:bCs/>
                <w:sz w:val="20"/>
                <w:szCs w:val="20"/>
              </w:rPr>
              <w:t xml:space="preserve">Administrative Advice: </w:t>
            </w:r>
            <w:r w:rsidRPr="00B20A99">
              <w:rPr>
                <w:rFonts w:ascii="Arial Narrow" w:hAnsi="Arial Narrow"/>
                <w:sz w:val="20"/>
                <w:szCs w:val="20"/>
              </w:rPr>
              <w:t>No increase in the maximum quantity or number of units may be authorised.</w:t>
            </w:r>
          </w:p>
        </w:tc>
      </w:tr>
      <w:tr w:rsidR="00B20A99" w:rsidRPr="00B20A99" w14:paraId="6A156A8C"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5A52626C" w14:textId="77777777" w:rsidR="00B20A99" w:rsidRPr="00B20A99" w:rsidRDefault="00B20A99">
            <w:pPr>
              <w:rPr>
                <w:rFonts w:ascii="Arial Narrow" w:eastAsiaTheme="minorHAnsi" w:hAnsi="Arial Narrow" w:cs="Calibri"/>
                <w:sz w:val="20"/>
                <w:szCs w:val="20"/>
                <w:lang w:eastAsia="en-US"/>
              </w:rPr>
            </w:pP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596B043" w14:textId="5E248CD6"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0F4CAD1"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Administrative Advice: </w:t>
            </w:r>
            <w:r w:rsidRPr="00B20A99">
              <w:rPr>
                <w:rFonts w:ascii="Arial Narrow" w:hAnsi="Arial Narrow"/>
                <w:sz w:val="20"/>
                <w:szCs w:val="20"/>
              </w:rPr>
              <w:t>No increase in the maximum number of repeats may be authorised.</w:t>
            </w:r>
          </w:p>
        </w:tc>
      </w:tr>
      <w:tr w:rsidR="00B20A99" w:rsidRPr="00B20A99" w14:paraId="372B8049"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52A566A8" w14:textId="77777777" w:rsidR="00B20A99" w:rsidRPr="00B20A99" w:rsidRDefault="00B20A99">
            <w:pPr>
              <w:rPr>
                <w:rFonts w:ascii="Arial Narrow" w:eastAsiaTheme="minorHAnsi" w:hAnsi="Arial Narrow" w:cs="Calibri"/>
                <w:sz w:val="20"/>
                <w:szCs w:val="20"/>
                <w:lang w:eastAsia="en-US"/>
              </w:rPr>
            </w:pP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E602727" w14:textId="3B3BC483"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9CAE121"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Administrative Advice: </w:t>
            </w:r>
            <w:r w:rsidRPr="00B20A99">
              <w:rPr>
                <w:rFonts w:ascii="Arial Narrow" w:hAnsi="Arial Narrow"/>
                <w:sz w:val="20"/>
                <w:szCs w:val="20"/>
              </w:rPr>
              <w:t>Special Pricing Arrangements apply.</w:t>
            </w:r>
          </w:p>
        </w:tc>
      </w:tr>
      <w:tr w:rsidR="00B20A99" w:rsidRPr="00B20A99" w14:paraId="1FCC67B6" w14:textId="77777777">
        <w:trPr>
          <w:trHeight w:val="20"/>
        </w:trPr>
        <w:tc>
          <w:tcPr>
            <w:tcW w:w="0" w:type="auto"/>
            <w:vMerge/>
            <w:tcBorders>
              <w:top w:val="nil"/>
              <w:left w:val="single" w:sz="8" w:space="0" w:color="auto"/>
              <w:bottom w:val="single" w:sz="8" w:space="0" w:color="auto"/>
              <w:right w:val="single" w:sz="8" w:space="0" w:color="auto"/>
            </w:tcBorders>
            <w:vAlign w:val="center"/>
            <w:hideMark/>
          </w:tcPr>
          <w:p w14:paraId="1AE54D6F" w14:textId="77777777" w:rsidR="00B20A99" w:rsidRPr="00B20A99" w:rsidRDefault="00B20A99">
            <w:pPr>
              <w:rPr>
                <w:rFonts w:ascii="Arial Narrow" w:eastAsiaTheme="minorHAnsi" w:hAnsi="Arial Narrow" w:cs="Calibri"/>
                <w:sz w:val="20"/>
                <w:szCs w:val="20"/>
                <w:lang w:eastAsia="en-US"/>
              </w:rPr>
            </w:pPr>
          </w:p>
        </w:tc>
        <w:tc>
          <w:tcPr>
            <w:tcW w:w="728"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69D857CA" w14:textId="7EEEA190" w:rsidR="00B20A99" w:rsidRPr="00B20A99" w:rsidRDefault="00B20A99">
            <w:pPr>
              <w:rPr>
                <w:rFonts w:ascii="Arial Narrow" w:hAnsi="Arial Narrow"/>
                <w:i/>
                <w:iCs/>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BACD0A1" w14:textId="77777777" w:rsidR="00B20A99" w:rsidRPr="00B20A99" w:rsidRDefault="00B20A99">
            <w:pPr>
              <w:rPr>
                <w:rFonts w:ascii="Arial Narrow" w:hAnsi="Arial Narrow"/>
                <w:b/>
                <w:bCs/>
                <w:i/>
                <w:iCs/>
                <w:sz w:val="20"/>
                <w:szCs w:val="20"/>
              </w:rPr>
            </w:pPr>
            <w:r w:rsidRPr="00B20A99">
              <w:rPr>
                <w:rFonts w:ascii="Arial Narrow" w:hAnsi="Arial Narrow"/>
                <w:b/>
                <w:bCs/>
                <w:i/>
                <w:iCs/>
                <w:sz w:val="20"/>
                <w:szCs w:val="20"/>
              </w:rPr>
              <w:t xml:space="preserve">Administrative Advice: </w:t>
            </w:r>
            <w:r w:rsidRPr="00B20A99">
              <w:rPr>
                <w:rFonts w:ascii="Arial Narrow" w:hAnsi="Arial Narrow"/>
                <w:i/>
                <w:iCs/>
                <w:sz w:val="20"/>
                <w:szCs w:val="20"/>
              </w:rPr>
              <w:t xml:space="preserve">Pharmaceutical benefits that have the form </w:t>
            </w: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56 and pharmaceutical benefits that have the form </w:t>
            </w:r>
            <w:proofErr w:type="spellStart"/>
            <w:r w:rsidRPr="00B20A99">
              <w:rPr>
                <w:rFonts w:ascii="Arial Narrow" w:hAnsi="Arial Narrow"/>
                <w:i/>
                <w:iCs/>
                <w:sz w:val="20"/>
                <w:szCs w:val="20"/>
              </w:rPr>
              <w:t>binimetinib</w:t>
            </w:r>
            <w:proofErr w:type="spellEnd"/>
            <w:r w:rsidRPr="00B20A99">
              <w:rPr>
                <w:rFonts w:ascii="Arial Narrow" w:hAnsi="Arial Narrow"/>
                <w:i/>
                <w:iCs/>
                <w:sz w:val="20"/>
                <w:szCs w:val="20"/>
              </w:rPr>
              <w:t xml:space="preserve"> 45 mg tablet, 28 are equivalent for the purposes of substitution.</w:t>
            </w:r>
          </w:p>
        </w:tc>
      </w:tr>
      <w:tr w:rsidR="00B20A99" w:rsidRPr="00B20A99" w14:paraId="40C0D1A3" w14:textId="77777777">
        <w:trPr>
          <w:cantSplit/>
          <w:trHeight w:val="20"/>
        </w:trPr>
        <w:tc>
          <w:tcPr>
            <w:tcW w:w="1401" w:type="dxa"/>
            <w:gridSpan w:val="2"/>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7FB385EF" w14:textId="77777777" w:rsidR="00B20A99" w:rsidRPr="00B20A99" w:rsidRDefault="00B20A99">
            <w:pPr>
              <w:rPr>
                <w:rFonts w:ascii="Arial Narrow" w:hAnsi="Arial Narrow"/>
                <w:sz w:val="20"/>
                <w:szCs w:val="20"/>
              </w:rPr>
            </w:pPr>
            <w:r w:rsidRPr="00B20A99">
              <w:rPr>
                <w:rFonts w:ascii="Arial Narrow" w:hAnsi="Arial Narrow"/>
                <w:sz w:val="20"/>
                <w:szCs w:val="20"/>
              </w:rPr>
              <w:t>8676</w:t>
            </w: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5261358" w14:textId="77777777" w:rsidR="00B20A99" w:rsidRPr="00B20A99" w:rsidRDefault="00B20A99">
            <w:pPr>
              <w:rPr>
                <w:rFonts w:ascii="Arial Narrow" w:hAnsi="Arial Narrow"/>
                <w:sz w:val="20"/>
                <w:szCs w:val="20"/>
              </w:rPr>
            </w:pPr>
            <w:r w:rsidRPr="00B20A99">
              <w:rPr>
                <w:rFonts w:ascii="Arial Narrow" w:hAnsi="Arial Narrow"/>
                <w:b/>
                <w:bCs/>
                <w:sz w:val="20"/>
                <w:szCs w:val="20"/>
              </w:rPr>
              <w:t>Indication:</w:t>
            </w:r>
            <w:r w:rsidRPr="00B20A99">
              <w:rPr>
                <w:rFonts w:ascii="Arial Narrow" w:hAnsi="Arial Narrow"/>
                <w:sz w:val="20"/>
                <w:szCs w:val="20"/>
              </w:rPr>
              <w:t xml:space="preserve"> Unresectable Stage III or Stage IV malignant melanoma</w:t>
            </w:r>
          </w:p>
        </w:tc>
      </w:tr>
      <w:tr w:rsidR="00B20A99" w:rsidRPr="00B20A99" w14:paraId="28AE534B" w14:textId="77777777">
        <w:trPr>
          <w:cantSplit/>
          <w:trHeight w:val="20"/>
        </w:trPr>
        <w:tc>
          <w:tcPr>
            <w:tcW w:w="1401" w:type="dxa"/>
            <w:gridSpan w:val="2"/>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tcPr>
          <w:p w14:paraId="40373CAC" w14:textId="77777777" w:rsidR="00B20A99" w:rsidRPr="00B20A99" w:rsidRDefault="00B20A99">
            <w:pPr>
              <w:rPr>
                <w:rFonts w:ascii="Arial Narrow" w:hAnsi="Arial Narrow"/>
                <w:sz w:val="20"/>
                <w:szCs w:val="20"/>
              </w:rPr>
            </w:pPr>
          </w:p>
        </w:tc>
        <w:tc>
          <w:tcPr>
            <w:tcW w:w="7614" w:type="dxa"/>
            <w:gridSpan w:val="6"/>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21F5FE3" w14:textId="77777777" w:rsidR="00B20A99" w:rsidRPr="00B20A99" w:rsidRDefault="00B20A99">
            <w:pPr>
              <w:rPr>
                <w:rFonts w:ascii="Arial Narrow" w:hAnsi="Arial Narrow"/>
                <w:b/>
                <w:bCs/>
                <w:sz w:val="20"/>
                <w:szCs w:val="20"/>
              </w:rPr>
            </w:pPr>
            <w:r w:rsidRPr="00B20A99">
              <w:rPr>
                <w:rFonts w:ascii="Arial Narrow" w:hAnsi="Arial Narrow"/>
                <w:b/>
                <w:bCs/>
                <w:sz w:val="20"/>
                <w:szCs w:val="20"/>
              </w:rPr>
              <w:t xml:space="preserve">Treatment Phase: </w:t>
            </w:r>
            <w:r w:rsidRPr="00B20A99">
              <w:rPr>
                <w:rFonts w:ascii="Arial Narrow" w:hAnsi="Arial Narrow"/>
                <w:sz w:val="20"/>
                <w:szCs w:val="20"/>
              </w:rPr>
              <w:t>Continuing treatment</w:t>
            </w:r>
          </w:p>
        </w:tc>
      </w:tr>
    </w:tbl>
    <w:p w14:paraId="275331CC" w14:textId="77777777" w:rsidR="00B20A99" w:rsidRDefault="00B20A99" w:rsidP="00B20A99">
      <w:pPr>
        <w:pStyle w:val="3-BodyText"/>
        <w:numPr>
          <w:ilvl w:val="0"/>
          <w:numId w:val="0"/>
        </w:numPr>
        <w:rPr>
          <w:snapToGrid w:val="0"/>
          <w:lang w:eastAsia="en-US"/>
        </w:rPr>
      </w:pPr>
    </w:p>
    <w:p w14:paraId="4B5179C6" w14:textId="6AD3F5A9" w:rsidR="00922BBC" w:rsidRDefault="001708FF" w:rsidP="003A3A7B">
      <w:pPr>
        <w:spacing w:before="120" w:after="120"/>
        <w:rPr>
          <w:rFonts w:asciiTheme="minorHAnsi" w:hAnsiTheme="minorHAnsi"/>
          <w:b/>
          <w:i/>
          <w:iCs/>
          <w:snapToGrid w:val="0"/>
          <w:lang w:val="en-GB" w:eastAsia="en-US"/>
        </w:rPr>
      </w:pPr>
      <w:r w:rsidRPr="001708FF">
        <w:rPr>
          <w:rFonts w:asciiTheme="minorHAnsi" w:hAnsiTheme="minorHAnsi"/>
          <w:b/>
          <w:i/>
          <w:iCs/>
          <w:snapToGrid w:val="0"/>
          <w:lang w:val="en-GB" w:eastAsia="en-US"/>
        </w:rPr>
        <w:t>These restrictions may be subject to further review. Should there be any changes made to the restriction the sponsor will be informed.</w:t>
      </w:r>
      <w:bookmarkEnd w:id="106"/>
    </w:p>
    <w:p w14:paraId="5E22F5F5" w14:textId="77777777" w:rsidR="0093216E" w:rsidRPr="0093216E" w:rsidRDefault="0093216E" w:rsidP="0093216E">
      <w:pPr>
        <w:keepNext/>
        <w:spacing w:before="240" w:after="120"/>
        <w:ind w:left="720" w:hanging="720"/>
        <w:jc w:val="left"/>
        <w:outlineLvl w:val="0"/>
        <w:rPr>
          <w:rFonts w:asciiTheme="minorHAnsi" w:hAnsiTheme="minorHAnsi"/>
          <w:b/>
          <w:bCs/>
          <w:snapToGrid w:val="0"/>
          <w:sz w:val="32"/>
          <w:szCs w:val="32"/>
          <w:lang w:val="en-GB"/>
        </w:rPr>
      </w:pPr>
      <w:bookmarkStart w:id="109" w:name="_Hlk218759984"/>
      <w:r w:rsidRPr="0093216E">
        <w:rPr>
          <w:rFonts w:asciiTheme="minorHAnsi" w:hAnsiTheme="minorHAnsi"/>
          <w:b/>
          <w:snapToGrid w:val="0"/>
          <w:sz w:val="32"/>
          <w:szCs w:val="32"/>
        </w:rPr>
        <w:t>9</w:t>
      </w:r>
      <w:r w:rsidRPr="0093216E">
        <w:rPr>
          <w:rFonts w:asciiTheme="minorHAnsi" w:hAnsiTheme="minorHAnsi"/>
          <w:b/>
          <w:snapToGrid w:val="0"/>
          <w:sz w:val="32"/>
          <w:szCs w:val="32"/>
        </w:rPr>
        <w:tab/>
        <w:t>Context for Decision</w:t>
      </w:r>
    </w:p>
    <w:p w14:paraId="7E4290DE" w14:textId="77777777" w:rsidR="0093216E" w:rsidRPr="0093216E" w:rsidRDefault="0093216E" w:rsidP="0093216E">
      <w:pPr>
        <w:spacing w:after="120"/>
        <w:ind w:left="720"/>
        <w:rPr>
          <w:rFonts w:asciiTheme="minorHAnsi" w:hAnsiTheme="minorHAnsi"/>
          <w:bCs/>
          <w:lang w:val="en-GB"/>
        </w:rPr>
      </w:pPr>
      <w:r w:rsidRPr="0093216E">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93216E">
        <w:rPr>
          <w:rFonts w:asciiTheme="minorHAnsi" w:hAnsiTheme="minorHAnsi"/>
          <w:bCs/>
          <w:lang w:val="en-GB"/>
        </w:rPr>
        <w:lastRenderedPageBreak/>
        <w:t>through the PBS. The PBAC welcomes applications containing new information at any time.</w:t>
      </w:r>
    </w:p>
    <w:p w14:paraId="1F783E6D" w14:textId="77777777" w:rsidR="00581421" w:rsidRPr="00581421" w:rsidRDefault="00581421" w:rsidP="00581421">
      <w:pPr>
        <w:keepNext/>
        <w:spacing w:before="240" w:after="120"/>
        <w:ind w:left="720" w:hanging="720"/>
        <w:jc w:val="left"/>
        <w:outlineLvl w:val="0"/>
        <w:rPr>
          <w:rFonts w:asciiTheme="minorHAnsi" w:hAnsiTheme="minorHAnsi"/>
          <w:b/>
          <w:snapToGrid w:val="0"/>
          <w:sz w:val="32"/>
          <w:szCs w:val="32"/>
        </w:rPr>
      </w:pPr>
      <w:bookmarkStart w:id="110" w:name="_Hlk218760056"/>
      <w:bookmarkStart w:id="111" w:name="_Hlk218771395"/>
      <w:bookmarkEnd w:id="109"/>
      <w:r w:rsidRPr="00581421">
        <w:rPr>
          <w:rFonts w:asciiTheme="minorHAnsi" w:hAnsiTheme="minorHAnsi"/>
          <w:b/>
          <w:snapToGrid w:val="0"/>
          <w:sz w:val="32"/>
          <w:szCs w:val="32"/>
        </w:rPr>
        <w:t>10</w:t>
      </w:r>
      <w:r w:rsidRPr="00581421">
        <w:rPr>
          <w:rFonts w:asciiTheme="minorHAnsi" w:hAnsiTheme="minorHAnsi"/>
          <w:b/>
          <w:snapToGrid w:val="0"/>
          <w:sz w:val="32"/>
          <w:szCs w:val="32"/>
        </w:rPr>
        <w:tab/>
        <w:t>Sponsor’s Comment</w:t>
      </w:r>
    </w:p>
    <w:p w14:paraId="1C1590E8" w14:textId="4E5BFEFC" w:rsidR="00D12331" w:rsidRPr="00D12331" w:rsidRDefault="00FD10CD" w:rsidP="00D12331">
      <w:pPr>
        <w:spacing w:before="120" w:after="120"/>
        <w:ind w:left="720"/>
        <w:rPr>
          <w:rFonts w:asciiTheme="minorHAnsi" w:eastAsiaTheme="minorHAnsi" w:hAnsiTheme="minorHAnsi"/>
          <w:bCs/>
          <w:color w:val="3366FF"/>
          <w:lang w:eastAsia="en-US"/>
        </w:rPr>
      </w:pPr>
      <w:r w:rsidRPr="00FD10CD">
        <w:rPr>
          <w:rFonts w:asciiTheme="minorHAnsi" w:eastAsiaTheme="minorHAnsi" w:hAnsiTheme="minorHAnsi"/>
          <w:bCs/>
          <w:szCs w:val="22"/>
          <w:lang w:val="en-GB" w:eastAsia="en-US"/>
        </w:rPr>
        <w:t xml:space="preserve">The sponsor is pleased that the PBAC has acknowledged the superior safety of </w:t>
      </w:r>
      <w:proofErr w:type="spellStart"/>
      <w:r w:rsidRPr="00FD10CD">
        <w:rPr>
          <w:rFonts w:asciiTheme="minorHAnsi" w:eastAsiaTheme="minorHAnsi" w:hAnsiTheme="minorHAnsi"/>
          <w:bCs/>
          <w:szCs w:val="22"/>
          <w:lang w:val="en-GB" w:eastAsia="en-US"/>
        </w:rPr>
        <w:t>encorafenib</w:t>
      </w:r>
      <w:proofErr w:type="spellEnd"/>
      <w:r w:rsidRPr="00FD10CD">
        <w:rPr>
          <w:rFonts w:asciiTheme="minorHAnsi" w:eastAsiaTheme="minorHAnsi" w:hAnsiTheme="minorHAnsi"/>
          <w:bCs/>
          <w:szCs w:val="22"/>
          <w:lang w:val="en-GB" w:eastAsia="en-US"/>
        </w:rPr>
        <w:t xml:space="preserve"> in combination with </w:t>
      </w:r>
      <w:proofErr w:type="spellStart"/>
      <w:r w:rsidRPr="00FD10CD">
        <w:rPr>
          <w:rFonts w:asciiTheme="minorHAnsi" w:eastAsiaTheme="minorHAnsi" w:hAnsiTheme="minorHAnsi"/>
          <w:bCs/>
          <w:szCs w:val="22"/>
          <w:lang w:val="en-GB" w:eastAsia="en-US"/>
        </w:rPr>
        <w:t>binimetinib</w:t>
      </w:r>
      <w:proofErr w:type="spellEnd"/>
      <w:r w:rsidRPr="00FD10CD">
        <w:rPr>
          <w:rFonts w:asciiTheme="minorHAnsi" w:eastAsiaTheme="minorHAnsi" w:hAnsiTheme="minorHAnsi"/>
          <w:bCs/>
          <w:szCs w:val="22"/>
          <w:lang w:val="en-GB" w:eastAsia="en-US"/>
        </w:rPr>
        <w:t xml:space="preserve"> (E+B), compared to</w:t>
      </w:r>
      <w:r w:rsidR="007D1BB4">
        <w:rPr>
          <w:rFonts w:asciiTheme="minorHAnsi" w:eastAsiaTheme="minorHAnsi" w:hAnsiTheme="minorHAnsi"/>
          <w:bCs/>
          <w:szCs w:val="22"/>
          <w:lang w:val="en-GB" w:eastAsia="en-US"/>
        </w:rPr>
        <w:t xml:space="preserve"> </w:t>
      </w:r>
      <w:r w:rsidRPr="00FD10CD">
        <w:rPr>
          <w:rFonts w:asciiTheme="minorHAnsi" w:eastAsiaTheme="minorHAnsi" w:hAnsiTheme="minorHAnsi"/>
          <w:bCs/>
          <w:szCs w:val="22"/>
          <w:lang w:val="en-GB" w:eastAsia="en-US"/>
        </w:rPr>
        <w:t>dabrafenib in combination with trametinib and looks forward to working with the Department to provide patient access to E+B for the treatment of patients with BRAF V600 mutation positive metastatic non</w:t>
      </w:r>
      <w:r w:rsidRPr="00FD10CD">
        <w:rPr>
          <w:rFonts w:ascii="Cambria Math" w:eastAsiaTheme="minorHAnsi" w:hAnsi="Cambria Math" w:cs="Cambria Math"/>
          <w:bCs/>
          <w:szCs w:val="22"/>
          <w:lang w:val="en-GB" w:eastAsia="en-US"/>
        </w:rPr>
        <w:t>‑</w:t>
      </w:r>
      <w:r w:rsidRPr="00FD10CD">
        <w:rPr>
          <w:rFonts w:asciiTheme="minorHAnsi" w:eastAsiaTheme="minorHAnsi" w:hAnsiTheme="minorHAnsi"/>
          <w:bCs/>
          <w:szCs w:val="22"/>
          <w:lang w:val="en-GB" w:eastAsia="en-US"/>
        </w:rPr>
        <w:t>small cell lung cancer.</w:t>
      </w:r>
      <w:bookmarkEnd w:id="110"/>
      <w:bookmarkEnd w:id="111"/>
    </w:p>
    <w:p w14:paraId="725D198F" w14:textId="77777777" w:rsidR="00D12331" w:rsidRDefault="00D12331" w:rsidP="00581421">
      <w:pPr>
        <w:spacing w:before="120" w:after="120"/>
        <w:ind w:left="720"/>
        <w:rPr>
          <w:color w:val="3366FF"/>
        </w:rPr>
      </w:pPr>
    </w:p>
    <w:sectPr w:rsidR="00D12331" w:rsidSect="00251006">
      <w:headerReference w:type="even" r:id="rId26"/>
      <w:headerReference w:type="default" r:id="rId27"/>
      <w:footerReference w:type="even" r:id="rId28"/>
      <w:footerReference w:type="default" r:id="rId29"/>
      <w:headerReference w:type="first" r:id="rId30"/>
      <w:footerReference w:type="first" r:id="rId3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153F" w14:textId="77777777" w:rsidR="006F7FA5" w:rsidRDefault="006F7FA5" w:rsidP="00124A51">
      <w:r>
        <w:separator/>
      </w:r>
    </w:p>
    <w:p w14:paraId="0458E270" w14:textId="77777777" w:rsidR="006F7FA5" w:rsidRDefault="006F7FA5"/>
  </w:endnote>
  <w:endnote w:type="continuationSeparator" w:id="0">
    <w:p w14:paraId="7D58A978" w14:textId="77777777" w:rsidR="006F7FA5" w:rsidRDefault="006F7FA5" w:rsidP="00124A51">
      <w:r>
        <w:continuationSeparator/>
      </w:r>
    </w:p>
    <w:p w14:paraId="4D6A4D17" w14:textId="77777777" w:rsidR="006F7FA5" w:rsidRDefault="006F7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A5E1" w14:textId="1B5A1DB3" w:rsidR="00CB2C61" w:rsidRDefault="00CB2C61">
    <w:pPr>
      <w:pStyle w:val="Footer"/>
    </w:pPr>
    <w:r>
      <w:rPr>
        <w:noProof/>
      </w:rPr>
      <mc:AlternateContent>
        <mc:Choice Requires="wps">
          <w:drawing>
            <wp:anchor distT="0" distB="0" distL="0" distR="0" simplePos="0" relativeHeight="251658244" behindDoc="0" locked="0" layoutInCell="1" allowOverlap="1" wp14:anchorId="6B321439" wp14:editId="42699E27">
              <wp:simplePos x="635" y="635"/>
              <wp:positionH relativeFrom="page">
                <wp:align>center</wp:align>
              </wp:positionH>
              <wp:positionV relativeFrom="page">
                <wp:align>bottom</wp:align>
              </wp:positionV>
              <wp:extent cx="622300" cy="376555"/>
              <wp:effectExtent l="0" t="0" r="6350" b="0"/>
              <wp:wrapNone/>
              <wp:docPr id="8083283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61EDD7" w14:textId="20EE2806"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2143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D61EDD7" w14:textId="20EE2806"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57851B0" w:rsidR="00D843F2" w:rsidRDefault="00CB2C61" w:rsidP="00753B29">
    <w:pPr>
      <w:pStyle w:val="Footer"/>
      <w:jc w:val="center"/>
    </w:pPr>
    <w:r>
      <w:rPr>
        <w:noProof/>
      </w:rPr>
      <mc:AlternateContent>
        <mc:Choice Requires="wps">
          <w:drawing>
            <wp:anchor distT="0" distB="0" distL="0" distR="0" simplePos="0" relativeHeight="251658245" behindDoc="0" locked="0" layoutInCell="1" allowOverlap="1" wp14:anchorId="63E29983" wp14:editId="25900D5F">
              <wp:simplePos x="635" y="635"/>
              <wp:positionH relativeFrom="page">
                <wp:align>center</wp:align>
              </wp:positionH>
              <wp:positionV relativeFrom="page">
                <wp:align>bottom</wp:align>
              </wp:positionV>
              <wp:extent cx="622300" cy="376555"/>
              <wp:effectExtent l="0" t="0" r="6350" b="0"/>
              <wp:wrapNone/>
              <wp:docPr id="16366721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278198" w14:textId="2CA39FDA"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E2998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E278198" w14:textId="2CA39FDA"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v:textbox>
              <w10:wrap anchorx="page" anchory="page"/>
            </v:shape>
          </w:pict>
        </mc:Fallback>
      </mc:AlternateContent>
    </w:r>
  </w:p>
  <w:p w14:paraId="37484CD3" w14:textId="62ED06AE"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2860" w14:textId="1566BA12" w:rsidR="00CB2C61" w:rsidRDefault="00CB2C61">
    <w:pPr>
      <w:pStyle w:val="Footer"/>
    </w:pPr>
    <w:r>
      <w:rPr>
        <w:noProof/>
      </w:rPr>
      <mc:AlternateContent>
        <mc:Choice Requires="wps">
          <w:drawing>
            <wp:anchor distT="0" distB="0" distL="0" distR="0" simplePos="0" relativeHeight="251658243" behindDoc="0" locked="0" layoutInCell="1" allowOverlap="1" wp14:anchorId="20FD0581" wp14:editId="35BD81F2">
              <wp:simplePos x="635" y="635"/>
              <wp:positionH relativeFrom="page">
                <wp:align>center</wp:align>
              </wp:positionH>
              <wp:positionV relativeFrom="page">
                <wp:align>bottom</wp:align>
              </wp:positionV>
              <wp:extent cx="622300" cy="376555"/>
              <wp:effectExtent l="0" t="0" r="6350" b="0"/>
              <wp:wrapNone/>
              <wp:docPr id="11364197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D5982E" w14:textId="623BD462"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D058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9D5982E" w14:textId="623BD462"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2C7E" w14:textId="77777777" w:rsidR="006F7FA5" w:rsidRDefault="006F7FA5" w:rsidP="00124A51">
      <w:r>
        <w:separator/>
      </w:r>
    </w:p>
    <w:p w14:paraId="5A63A614" w14:textId="77777777" w:rsidR="006F7FA5" w:rsidRDefault="006F7FA5"/>
  </w:footnote>
  <w:footnote w:type="continuationSeparator" w:id="0">
    <w:p w14:paraId="2F74D5BB" w14:textId="77777777" w:rsidR="006F7FA5" w:rsidRDefault="006F7FA5" w:rsidP="00124A51">
      <w:r>
        <w:continuationSeparator/>
      </w:r>
    </w:p>
    <w:p w14:paraId="30382A38" w14:textId="77777777" w:rsidR="006F7FA5" w:rsidRDefault="006F7FA5"/>
  </w:footnote>
  <w:footnote w:id="1">
    <w:p w14:paraId="07FC32A3" w14:textId="3A3EC84D" w:rsidR="00684F2E" w:rsidRDefault="00684F2E">
      <w:pPr>
        <w:pStyle w:val="FootnoteText"/>
      </w:pPr>
      <w:r>
        <w:rPr>
          <w:rStyle w:val="FootnoteReference"/>
        </w:rPr>
        <w:footnoteRef/>
      </w:r>
      <w:r>
        <w:t xml:space="preserve"> </w:t>
      </w:r>
      <w:r w:rsidRPr="00684F2E">
        <w:t>Cancer Australia</w:t>
      </w:r>
      <w:r>
        <w:t>,</w:t>
      </w:r>
      <w:r w:rsidRPr="00684F2E">
        <w:t xml:space="preserve"> (2019)</w:t>
      </w:r>
      <w:r>
        <w:t>,</w:t>
      </w:r>
      <w:r w:rsidRPr="00684F2E">
        <w:t xml:space="preserve"> </w:t>
      </w:r>
      <w:r>
        <w:t>‘</w:t>
      </w:r>
      <w:r w:rsidRPr="00684F2E">
        <w:t>Relative survival by stage at diagnosis (lung cancer)</w:t>
      </w:r>
      <w:r>
        <w:t xml:space="preserve">’, Available at: </w:t>
      </w:r>
      <w:r w:rsidRPr="00684F2E">
        <w:t>https://ncci.canceraustralia.gov.au/outcomes/relative</w:t>
      </w:r>
      <w:r w:rsidR="003A3A7B">
        <w:noBreakHyphen/>
      </w:r>
      <w:r w:rsidRPr="00684F2E">
        <w:t>survival</w:t>
      </w:r>
      <w:r w:rsidR="003A3A7B">
        <w:noBreakHyphen/>
      </w:r>
      <w:r w:rsidRPr="00684F2E">
        <w:t>rate/relative</w:t>
      </w:r>
      <w:r w:rsidR="003A3A7B">
        <w:noBreakHyphen/>
      </w:r>
      <w:r w:rsidRPr="00684F2E">
        <w:t>survival</w:t>
      </w:r>
      <w:r w:rsidR="003A3A7B">
        <w:noBreakHyphen/>
      </w:r>
      <w:r w:rsidRPr="00684F2E">
        <w:t>stage</w:t>
      </w:r>
      <w:r w:rsidR="003A3A7B">
        <w:noBreakHyphen/>
      </w:r>
      <w:r w:rsidRPr="00684F2E">
        <w:t>diagnosis</w:t>
      </w:r>
      <w:r w:rsidR="003A3A7B">
        <w:noBreakHyphen/>
      </w:r>
      <w:r w:rsidRPr="00684F2E">
        <w:t>lung</w:t>
      </w:r>
      <w:r w:rsidR="003A3A7B">
        <w:noBreakHyphen/>
      </w:r>
      <w:r w:rsidRPr="00684F2E">
        <w:t>cancer</w:t>
      </w:r>
    </w:p>
  </w:footnote>
  <w:footnote w:id="2">
    <w:p w14:paraId="275D2FA9" w14:textId="5AC062E0" w:rsidR="00FD57CE" w:rsidRDefault="00FD57CE">
      <w:pPr>
        <w:pStyle w:val="FootnoteText"/>
      </w:pPr>
      <w:r>
        <w:rPr>
          <w:rStyle w:val="FootnoteReference"/>
        </w:rPr>
        <w:footnoteRef/>
      </w:r>
      <w:r w:rsidRPr="00B628E3">
        <w:rPr>
          <w:lang w:val="fr-FR"/>
        </w:rPr>
        <w:t xml:space="preserve"> Dummer</w:t>
      </w:r>
      <w:r w:rsidR="00323B2A" w:rsidRPr="00B628E3">
        <w:rPr>
          <w:lang w:val="fr-FR"/>
        </w:rPr>
        <w:t>,</w:t>
      </w:r>
      <w:r w:rsidRPr="00B628E3">
        <w:rPr>
          <w:lang w:val="fr-FR"/>
        </w:rPr>
        <w:t xml:space="preserve"> R</w:t>
      </w:r>
      <w:r w:rsidR="00323B2A" w:rsidRPr="00B628E3">
        <w:rPr>
          <w:lang w:val="fr-FR"/>
        </w:rPr>
        <w:t>.</w:t>
      </w:r>
      <w:r w:rsidRPr="00B628E3">
        <w:rPr>
          <w:lang w:val="fr-FR"/>
        </w:rPr>
        <w:t>, Ascierto</w:t>
      </w:r>
      <w:r w:rsidR="00323B2A" w:rsidRPr="00B628E3">
        <w:rPr>
          <w:lang w:val="fr-FR"/>
        </w:rPr>
        <w:t>,</w:t>
      </w:r>
      <w:r w:rsidRPr="00B628E3">
        <w:rPr>
          <w:lang w:val="fr-FR"/>
        </w:rPr>
        <w:t xml:space="preserve"> P</w:t>
      </w:r>
      <w:r w:rsidR="00323B2A" w:rsidRPr="00B628E3">
        <w:rPr>
          <w:lang w:val="fr-FR"/>
        </w:rPr>
        <w:t>.</w:t>
      </w:r>
      <w:r w:rsidRPr="00B628E3">
        <w:rPr>
          <w:lang w:val="fr-FR"/>
        </w:rPr>
        <w:t>A</w:t>
      </w:r>
      <w:r w:rsidR="00323B2A" w:rsidRPr="00B628E3">
        <w:rPr>
          <w:lang w:val="fr-FR"/>
        </w:rPr>
        <w:t>.</w:t>
      </w:r>
      <w:r w:rsidRPr="00B628E3">
        <w:rPr>
          <w:lang w:val="fr-FR"/>
        </w:rPr>
        <w:t xml:space="preserve">, </w:t>
      </w:r>
      <w:r w:rsidR="00323B2A" w:rsidRPr="00B628E3">
        <w:rPr>
          <w:lang w:val="fr-FR"/>
        </w:rPr>
        <w:t xml:space="preserve">et al. </w:t>
      </w:r>
      <w:r w:rsidR="00323B2A">
        <w:t xml:space="preserve">(2018), </w:t>
      </w:r>
      <w:r w:rsidRPr="00FD57CE">
        <w:t>Encorafenib plus binimetinib versus vemurafenib or encorafenib in patients with BRAF</w:t>
      </w:r>
      <w:r w:rsidR="003A3A7B">
        <w:noBreakHyphen/>
      </w:r>
      <w:r w:rsidRPr="00FD57CE">
        <w:t>mutant melanoma (COLUMBUS): a multicentre, open</w:t>
      </w:r>
      <w:r w:rsidR="003A3A7B">
        <w:noBreakHyphen/>
      </w:r>
      <w:r w:rsidRPr="00FD57CE">
        <w:t xml:space="preserve">label, randomised phase 3 trial. </w:t>
      </w:r>
      <w:r w:rsidRPr="00323B2A">
        <w:rPr>
          <w:i/>
          <w:iCs/>
        </w:rPr>
        <w:t>Lancet Oncol</w:t>
      </w:r>
      <w:r w:rsidR="00165338">
        <w:rPr>
          <w:i/>
          <w:iCs/>
        </w:rPr>
        <w:t>ogy</w:t>
      </w:r>
      <w:r w:rsidR="00323B2A">
        <w:rPr>
          <w:i/>
          <w:iCs/>
        </w:rPr>
        <w:t xml:space="preserve">, </w:t>
      </w:r>
      <w:r w:rsidRPr="00FD57CE">
        <w:t>19(5):603</w:t>
      </w:r>
      <w:r w:rsidR="003A3A7B">
        <w:noBreakHyphen/>
      </w:r>
      <w:r w:rsidRPr="00FD57CE">
        <w:t xml:space="preserve">615. doi: </w:t>
      </w:r>
      <w:hyperlink r:id="rId1" w:tgtFrame="_blank" w:history="1">
        <w:r w:rsidR="003F43E7" w:rsidRPr="003F43E7">
          <w:rPr>
            <w:rStyle w:val="Hyperlink"/>
          </w:rPr>
          <w:t>10.1016/S1470-2045(18)30142-6</w:t>
        </w:r>
      </w:hyperlink>
    </w:p>
  </w:footnote>
  <w:footnote w:id="3">
    <w:p w14:paraId="7D93456F" w14:textId="0ED669EE" w:rsidR="00FD57CE" w:rsidRDefault="00FD57CE">
      <w:pPr>
        <w:pStyle w:val="FootnoteText"/>
      </w:pPr>
      <w:r>
        <w:rPr>
          <w:rStyle w:val="FootnoteReference"/>
        </w:rPr>
        <w:footnoteRef/>
      </w:r>
      <w:r>
        <w:t xml:space="preserve"> </w:t>
      </w:r>
      <w:r w:rsidR="00323B2A" w:rsidRPr="00323B2A">
        <w:t xml:space="preserve">Trojaniello, C., Festino, L., </w:t>
      </w:r>
      <w:r w:rsidR="003F43E7">
        <w:t xml:space="preserve">et al. </w:t>
      </w:r>
      <w:r w:rsidR="00323B2A" w:rsidRPr="00323B2A">
        <w:t>(2019)</w:t>
      </w:r>
      <w:r w:rsidR="003F43E7">
        <w:t xml:space="preserve">, </w:t>
      </w:r>
      <w:r w:rsidR="00323B2A" w:rsidRPr="00323B2A">
        <w:t>Encorafenib in combination with binimetinib for unresectable or metastatic melanoma with BRAF mutations</w:t>
      </w:r>
      <w:r w:rsidR="003F43E7">
        <w:t xml:space="preserve">, </w:t>
      </w:r>
      <w:r w:rsidR="00323B2A" w:rsidRPr="003F43E7">
        <w:rPr>
          <w:i/>
          <w:iCs/>
        </w:rPr>
        <w:t>Expert Rev</w:t>
      </w:r>
      <w:r w:rsidR="007E3F29">
        <w:rPr>
          <w:i/>
          <w:iCs/>
        </w:rPr>
        <w:t>iew</w:t>
      </w:r>
      <w:r w:rsidR="00323B2A" w:rsidRPr="003F43E7">
        <w:rPr>
          <w:i/>
          <w:iCs/>
        </w:rPr>
        <w:t xml:space="preserve"> of Clin</w:t>
      </w:r>
      <w:r w:rsidR="00165338">
        <w:rPr>
          <w:i/>
          <w:iCs/>
        </w:rPr>
        <w:t>ical</w:t>
      </w:r>
      <w:r w:rsidR="00323B2A" w:rsidRPr="003F43E7">
        <w:rPr>
          <w:i/>
          <w:iCs/>
        </w:rPr>
        <w:t xml:space="preserve"> Pharmacol</w:t>
      </w:r>
      <w:r w:rsidR="00165338">
        <w:rPr>
          <w:i/>
          <w:iCs/>
        </w:rPr>
        <w:t>ogy</w:t>
      </w:r>
      <w:r w:rsidR="00323B2A" w:rsidRPr="00323B2A">
        <w:t xml:space="preserve">, 12(3), 259–266. </w:t>
      </w:r>
      <w:r w:rsidR="003966D0">
        <w:t>d</w:t>
      </w:r>
      <w:r w:rsidR="003F43E7">
        <w:t xml:space="preserve">oi: </w:t>
      </w:r>
      <w:hyperlink r:id="rId2" w:tgtFrame="_blank" w:history="1">
        <w:r w:rsidR="00520F28" w:rsidRPr="00520F28">
          <w:rPr>
            <w:rStyle w:val="Hyperlink"/>
          </w:rPr>
          <w:t>10.1080/17512433.2019.1570847</w:t>
        </w:r>
      </w:hyperlink>
    </w:p>
  </w:footnote>
  <w:footnote w:id="4">
    <w:p w14:paraId="56A9F9A8" w14:textId="3876303C" w:rsidR="007C5D53" w:rsidRDefault="007C5D53">
      <w:pPr>
        <w:pStyle w:val="FootnoteText"/>
      </w:pPr>
      <w:r>
        <w:rPr>
          <w:rStyle w:val="FootnoteReference"/>
        </w:rPr>
        <w:footnoteRef/>
      </w:r>
      <w:r>
        <w:t xml:space="preserve"> </w:t>
      </w:r>
      <w:r w:rsidRPr="007C5D53">
        <w:t>Heinzerling</w:t>
      </w:r>
      <w:r>
        <w:t>,</w:t>
      </w:r>
      <w:r w:rsidRPr="007C5D53">
        <w:t xml:space="preserve"> L</w:t>
      </w:r>
      <w:r>
        <w:t>.</w:t>
      </w:r>
      <w:r w:rsidRPr="007C5D53">
        <w:t>, Eigentler</w:t>
      </w:r>
      <w:r>
        <w:t>,</w:t>
      </w:r>
      <w:r w:rsidRPr="007C5D53">
        <w:t xml:space="preserve"> T</w:t>
      </w:r>
      <w:r>
        <w:t>.</w:t>
      </w:r>
      <w:r w:rsidRPr="007C5D53">
        <w:t>K</w:t>
      </w:r>
      <w:r>
        <w:t>.</w:t>
      </w:r>
      <w:r w:rsidRPr="007C5D53">
        <w:t xml:space="preserve">, </w:t>
      </w:r>
      <w:r>
        <w:t>et al (2019)</w:t>
      </w:r>
      <w:r w:rsidRPr="007C5D53">
        <w:t>. Tolerability of BRAF/MEK inhibitor combinations: adverse event evaluation and management</w:t>
      </w:r>
      <w:r>
        <w:t>,</w:t>
      </w:r>
      <w:r w:rsidRPr="007C5D53">
        <w:t xml:space="preserve"> </w:t>
      </w:r>
      <w:r w:rsidRPr="007C5D53">
        <w:rPr>
          <w:i/>
          <w:iCs/>
        </w:rPr>
        <w:t>ESMO Open</w:t>
      </w:r>
      <w:r>
        <w:t xml:space="preserve">, </w:t>
      </w:r>
      <w:r w:rsidRPr="007C5D53">
        <w:t>23;4(3):e000491.</w:t>
      </w:r>
      <w:r w:rsidR="003966D0">
        <w:t xml:space="preserve"> </w:t>
      </w:r>
      <w:r w:rsidRPr="007C5D53">
        <w:t xml:space="preserve">doi: </w:t>
      </w:r>
      <w:hyperlink r:id="rId3" w:history="1">
        <w:r w:rsidR="00CA5BED" w:rsidRPr="0007623A">
          <w:rPr>
            <w:rStyle w:val="Hyperlink"/>
          </w:rPr>
          <w:t>10.1136/esmoopen-2019-000491</w:t>
        </w:r>
      </w:hyperlink>
      <w:r w:rsidR="00CA5BED">
        <w:t xml:space="preserve"> </w:t>
      </w:r>
    </w:p>
  </w:footnote>
  <w:footnote w:id="5">
    <w:p w14:paraId="54C9429E" w14:textId="61EEF832" w:rsidR="00A9201B" w:rsidRDefault="00A9201B">
      <w:pPr>
        <w:pStyle w:val="FootnoteText"/>
      </w:pPr>
      <w:r>
        <w:rPr>
          <w:rStyle w:val="FootnoteReference"/>
        </w:rPr>
        <w:footnoteRef/>
      </w:r>
      <w:r>
        <w:t xml:space="preserve"> </w:t>
      </w:r>
      <w:r w:rsidRPr="007F5DE8">
        <w:rPr>
          <w:rFonts w:asciiTheme="minorHAnsi" w:hAnsiTheme="minorHAnsi"/>
          <w:bCs/>
          <w:snapToGrid w:val="0"/>
          <w:sz w:val="16"/>
          <w:lang w:eastAsia="en-US"/>
        </w:rPr>
        <w:t>Cherny NI, Dafni U, Bogaerts J, et al: ESMO</w:t>
      </w:r>
      <w:r w:rsidR="003A3A7B">
        <w:rPr>
          <w:rFonts w:asciiTheme="minorHAnsi" w:hAnsiTheme="minorHAnsi"/>
          <w:bCs/>
          <w:snapToGrid w:val="0"/>
          <w:sz w:val="16"/>
          <w:lang w:eastAsia="en-US"/>
        </w:rPr>
        <w:noBreakHyphen/>
      </w:r>
      <w:r w:rsidRPr="007F5DE8">
        <w:rPr>
          <w:rFonts w:asciiTheme="minorHAnsi" w:hAnsiTheme="minorHAnsi"/>
          <w:bCs/>
          <w:snapToGrid w:val="0"/>
          <w:sz w:val="16"/>
          <w:lang w:eastAsia="en-US"/>
        </w:rPr>
        <w:t>Magnitude of Clinical Benefit Scale version 1.1. Annals of Oncology 28:2340</w:t>
      </w:r>
      <w:r w:rsidR="003A3A7B">
        <w:rPr>
          <w:rFonts w:asciiTheme="minorHAnsi" w:hAnsiTheme="minorHAnsi"/>
          <w:bCs/>
          <w:snapToGrid w:val="0"/>
          <w:sz w:val="16"/>
          <w:lang w:eastAsia="en-US"/>
        </w:rPr>
        <w:noBreakHyphen/>
      </w:r>
      <w:r w:rsidRPr="007F5DE8">
        <w:rPr>
          <w:rFonts w:asciiTheme="minorHAnsi" w:hAnsiTheme="minorHAnsi"/>
          <w:bCs/>
          <w:snapToGrid w:val="0"/>
          <w:sz w:val="16"/>
          <w:lang w:eastAsia="en-US"/>
        </w:rPr>
        <w:t>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8C42" w14:textId="409B9B18" w:rsidR="00CB2C61" w:rsidRDefault="00CB2C61">
    <w:pPr>
      <w:pStyle w:val="Header"/>
    </w:pPr>
    <w:r>
      <w:rPr>
        <w:noProof/>
      </w:rPr>
      <mc:AlternateContent>
        <mc:Choice Requires="wps">
          <w:drawing>
            <wp:anchor distT="0" distB="0" distL="0" distR="0" simplePos="0" relativeHeight="251658241" behindDoc="0" locked="0" layoutInCell="1" allowOverlap="1" wp14:anchorId="2C99BB57" wp14:editId="11493076">
              <wp:simplePos x="635" y="635"/>
              <wp:positionH relativeFrom="page">
                <wp:align>center</wp:align>
              </wp:positionH>
              <wp:positionV relativeFrom="page">
                <wp:align>top</wp:align>
              </wp:positionV>
              <wp:extent cx="622300" cy="376555"/>
              <wp:effectExtent l="0" t="0" r="6350" b="4445"/>
              <wp:wrapNone/>
              <wp:docPr id="13372874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84BA8F" w14:textId="21F609D2"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9BB5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F84BA8F" w14:textId="21F609D2"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6E51F79" w:rsidR="00D843F2" w:rsidRPr="0065749F" w:rsidRDefault="00CB2C61" w:rsidP="0065749F">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2C78698F" wp14:editId="6C649EF2">
              <wp:simplePos x="635" y="635"/>
              <wp:positionH relativeFrom="page">
                <wp:align>center</wp:align>
              </wp:positionH>
              <wp:positionV relativeFrom="page">
                <wp:align>top</wp:align>
              </wp:positionV>
              <wp:extent cx="622300" cy="376555"/>
              <wp:effectExtent l="0" t="0" r="6350" b="4445"/>
              <wp:wrapNone/>
              <wp:docPr id="8757149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B05852" w14:textId="54390646"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8698F"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CB05852" w14:textId="54390646"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v:textbox>
              <w10:wrap anchorx="page" anchory="page"/>
            </v:shape>
          </w:pict>
        </mc:Fallback>
      </mc:AlternateContent>
    </w:r>
    <w:r w:rsidR="00EA6F04">
      <w:rPr>
        <w:rFonts w:asciiTheme="minorHAnsi" w:hAnsiTheme="minorHAnsi"/>
        <w:color w:val="808080"/>
      </w:rPr>
      <w:t>Public Summary Document</w:t>
    </w:r>
    <w:r w:rsidR="0065749F">
      <w:rPr>
        <w:rFonts w:asciiTheme="minorHAnsi" w:hAnsiTheme="minorHAnsi"/>
        <w:color w:val="808080"/>
      </w:rPr>
      <w:t xml:space="preserve"> – </w:t>
    </w:r>
    <w:r w:rsidR="000251D1">
      <w:rPr>
        <w:rFonts w:asciiTheme="minorHAnsi" w:hAnsiTheme="minorHAnsi"/>
        <w:color w:val="808080"/>
      </w:rPr>
      <w:t>November 2025</w:t>
    </w:r>
    <w:r w:rsidR="00D843F2">
      <w:rPr>
        <w:rFonts w:asciiTheme="minorHAnsi" w:hAnsiTheme="minorHAnsi"/>
        <w:color w:val="808080"/>
      </w:rPr>
      <w:t xml:space="preserve"> </w:t>
    </w:r>
    <w:r w:rsidR="00D843F2" w:rsidRPr="00195452">
      <w:rPr>
        <w:rFonts w:asciiTheme="minorHAnsi" w:hAnsiTheme="minorHAnsi"/>
        <w:color w:val="808080"/>
      </w:rPr>
      <w:t>PBAC Meeting</w:t>
    </w:r>
    <w:r w:rsidR="00994F2F">
      <w:rPr>
        <w:rFonts w:asciiTheme="minorHAnsi" w:hAnsiTheme="minorHAnsi"/>
        <w:color w:val="808080"/>
      </w:rPr>
      <w:t xml:space="preserve"> </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B31E" w14:textId="51041B53" w:rsidR="00CB2C61" w:rsidRDefault="00CB2C61">
    <w:pPr>
      <w:pStyle w:val="Header"/>
    </w:pPr>
    <w:r>
      <w:rPr>
        <w:noProof/>
      </w:rPr>
      <mc:AlternateContent>
        <mc:Choice Requires="wps">
          <w:drawing>
            <wp:anchor distT="0" distB="0" distL="0" distR="0" simplePos="0" relativeHeight="251658240" behindDoc="0" locked="0" layoutInCell="1" allowOverlap="1" wp14:anchorId="259915D9" wp14:editId="4EE121B9">
              <wp:simplePos x="635" y="635"/>
              <wp:positionH relativeFrom="page">
                <wp:align>center</wp:align>
              </wp:positionH>
              <wp:positionV relativeFrom="page">
                <wp:align>top</wp:align>
              </wp:positionV>
              <wp:extent cx="622300" cy="376555"/>
              <wp:effectExtent l="0" t="0" r="6350" b="4445"/>
              <wp:wrapNone/>
              <wp:docPr id="1278625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86001F" w14:textId="43BF7270"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915D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486001F" w14:textId="43BF7270" w:rsidR="00CB2C61" w:rsidRPr="00CB2C61" w:rsidRDefault="00CB2C61" w:rsidP="00CB2C61">
                    <w:pPr>
                      <w:rPr>
                        <w:rFonts w:ascii="Aptos" w:eastAsia="Aptos" w:hAnsi="Aptos" w:cs="Aptos"/>
                        <w:noProof/>
                        <w:color w:val="FF0000"/>
                      </w:rPr>
                    </w:pPr>
                    <w:r w:rsidRPr="00CB2C6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A6BB5"/>
    <w:multiLevelType w:val="hybridMultilevel"/>
    <w:tmpl w:val="A254D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928B9"/>
    <w:multiLevelType w:val="hybridMultilevel"/>
    <w:tmpl w:val="0B426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D25D7"/>
    <w:multiLevelType w:val="hybridMultilevel"/>
    <w:tmpl w:val="A6825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B2795"/>
    <w:multiLevelType w:val="hybridMultilevel"/>
    <w:tmpl w:val="7AAA4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D1DFD"/>
    <w:multiLevelType w:val="multilevel"/>
    <w:tmpl w:val="85D4747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110E9"/>
    <w:multiLevelType w:val="hybridMultilevel"/>
    <w:tmpl w:val="C862085A"/>
    <w:lvl w:ilvl="0" w:tplc="D8F243AA">
      <w:start w:val="1"/>
      <w:numFmt w:val="bullet"/>
      <w:lvlText w:val=""/>
      <w:lvlJc w:val="left"/>
      <w:pPr>
        <w:ind w:left="720" w:hanging="360"/>
      </w:pPr>
      <w:rPr>
        <w:rFonts w:ascii="Symbol" w:hAnsi="Symbol"/>
      </w:rPr>
    </w:lvl>
    <w:lvl w:ilvl="1" w:tplc="225A3C2E">
      <w:start w:val="1"/>
      <w:numFmt w:val="bullet"/>
      <w:lvlText w:val=""/>
      <w:lvlJc w:val="left"/>
      <w:pPr>
        <w:ind w:left="720" w:hanging="360"/>
      </w:pPr>
      <w:rPr>
        <w:rFonts w:ascii="Symbol" w:hAnsi="Symbol"/>
      </w:rPr>
    </w:lvl>
    <w:lvl w:ilvl="2" w:tplc="FB7A02AE">
      <w:start w:val="1"/>
      <w:numFmt w:val="bullet"/>
      <w:lvlText w:val=""/>
      <w:lvlJc w:val="left"/>
      <w:pPr>
        <w:ind w:left="720" w:hanging="360"/>
      </w:pPr>
      <w:rPr>
        <w:rFonts w:ascii="Symbol" w:hAnsi="Symbol"/>
      </w:rPr>
    </w:lvl>
    <w:lvl w:ilvl="3" w:tplc="380A353A">
      <w:start w:val="1"/>
      <w:numFmt w:val="bullet"/>
      <w:lvlText w:val=""/>
      <w:lvlJc w:val="left"/>
      <w:pPr>
        <w:ind w:left="720" w:hanging="360"/>
      </w:pPr>
      <w:rPr>
        <w:rFonts w:ascii="Symbol" w:hAnsi="Symbol"/>
      </w:rPr>
    </w:lvl>
    <w:lvl w:ilvl="4" w:tplc="7382ACA0">
      <w:start w:val="1"/>
      <w:numFmt w:val="bullet"/>
      <w:lvlText w:val=""/>
      <w:lvlJc w:val="left"/>
      <w:pPr>
        <w:ind w:left="720" w:hanging="360"/>
      </w:pPr>
      <w:rPr>
        <w:rFonts w:ascii="Symbol" w:hAnsi="Symbol"/>
      </w:rPr>
    </w:lvl>
    <w:lvl w:ilvl="5" w:tplc="E3EC565E">
      <w:start w:val="1"/>
      <w:numFmt w:val="bullet"/>
      <w:lvlText w:val=""/>
      <w:lvlJc w:val="left"/>
      <w:pPr>
        <w:ind w:left="720" w:hanging="360"/>
      </w:pPr>
      <w:rPr>
        <w:rFonts w:ascii="Symbol" w:hAnsi="Symbol"/>
      </w:rPr>
    </w:lvl>
    <w:lvl w:ilvl="6" w:tplc="E3DAD8C4">
      <w:start w:val="1"/>
      <w:numFmt w:val="bullet"/>
      <w:lvlText w:val=""/>
      <w:lvlJc w:val="left"/>
      <w:pPr>
        <w:ind w:left="720" w:hanging="360"/>
      </w:pPr>
      <w:rPr>
        <w:rFonts w:ascii="Symbol" w:hAnsi="Symbol"/>
      </w:rPr>
    </w:lvl>
    <w:lvl w:ilvl="7" w:tplc="960CEB80">
      <w:start w:val="1"/>
      <w:numFmt w:val="bullet"/>
      <w:lvlText w:val=""/>
      <w:lvlJc w:val="left"/>
      <w:pPr>
        <w:ind w:left="720" w:hanging="360"/>
      </w:pPr>
      <w:rPr>
        <w:rFonts w:ascii="Symbol" w:hAnsi="Symbol"/>
      </w:rPr>
    </w:lvl>
    <w:lvl w:ilvl="8" w:tplc="18B2B498">
      <w:start w:val="1"/>
      <w:numFmt w:val="bullet"/>
      <w:lvlText w:val=""/>
      <w:lvlJc w:val="left"/>
      <w:pPr>
        <w:ind w:left="720" w:hanging="360"/>
      </w:pPr>
      <w:rPr>
        <w:rFonts w:ascii="Symbol" w:hAnsi="Symbol"/>
      </w:rPr>
    </w:lvl>
  </w:abstractNum>
  <w:abstractNum w:abstractNumId="7" w15:restartNumberingAfterBreak="0">
    <w:nsid w:val="1BF82A0B"/>
    <w:multiLevelType w:val="hybridMultilevel"/>
    <w:tmpl w:val="4CBE6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77CF9"/>
    <w:multiLevelType w:val="hybridMultilevel"/>
    <w:tmpl w:val="518A96AE"/>
    <w:lvl w:ilvl="0" w:tplc="0C42849C">
      <w:start w:val="1"/>
      <w:numFmt w:val="bullet"/>
      <w:lvlText w:val=""/>
      <w:lvlJc w:val="left"/>
      <w:pPr>
        <w:ind w:left="1800" w:hanging="360"/>
      </w:pPr>
      <w:rPr>
        <w:rFonts w:ascii="Symbol" w:hAnsi="Symbol"/>
      </w:rPr>
    </w:lvl>
    <w:lvl w:ilvl="1" w:tplc="FE025C10">
      <w:start w:val="1"/>
      <w:numFmt w:val="bullet"/>
      <w:lvlText w:val=""/>
      <w:lvlJc w:val="left"/>
      <w:pPr>
        <w:ind w:left="1800" w:hanging="360"/>
      </w:pPr>
      <w:rPr>
        <w:rFonts w:ascii="Symbol" w:hAnsi="Symbol"/>
      </w:rPr>
    </w:lvl>
    <w:lvl w:ilvl="2" w:tplc="410CFD0E">
      <w:start w:val="1"/>
      <w:numFmt w:val="bullet"/>
      <w:lvlText w:val=""/>
      <w:lvlJc w:val="left"/>
      <w:pPr>
        <w:ind w:left="1800" w:hanging="360"/>
      </w:pPr>
      <w:rPr>
        <w:rFonts w:ascii="Symbol" w:hAnsi="Symbol"/>
      </w:rPr>
    </w:lvl>
    <w:lvl w:ilvl="3" w:tplc="C28C0722">
      <w:start w:val="1"/>
      <w:numFmt w:val="bullet"/>
      <w:lvlText w:val=""/>
      <w:lvlJc w:val="left"/>
      <w:pPr>
        <w:ind w:left="1800" w:hanging="360"/>
      </w:pPr>
      <w:rPr>
        <w:rFonts w:ascii="Symbol" w:hAnsi="Symbol"/>
      </w:rPr>
    </w:lvl>
    <w:lvl w:ilvl="4" w:tplc="F91AF8BA">
      <w:start w:val="1"/>
      <w:numFmt w:val="bullet"/>
      <w:lvlText w:val=""/>
      <w:lvlJc w:val="left"/>
      <w:pPr>
        <w:ind w:left="1800" w:hanging="360"/>
      </w:pPr>
      <w:rPr>
        <w:rFonts w:ascii="Symbol" w:hAnsi="Symbol"/>
      </w:rPr>
    </w:lvl>
    <w:lvl w:ilvl="5" w:tplc="AB44DD46">
      <w:start w:val="1"/>
      <w:numFmt w:val="bullet"/>
      <w:lvlText w:val=""/>
      <w:lvlJc w:val="left"/>
      <w:pPr>
        <w:ind w:left="1800" w:hanging="360"/>
      </w:pPr>
      <w:rPr>
        <w:rFonts w:ascii="Symbol" w:hAnsi="Symbol"/>
      </w:rPr>
    </w:lvl>
    <w:lvl w:ilvl="6" w:tplc="73088C56">
      <w:start w:val="1"/>
      <w:numFmt w:val="bullet"/>
      <w:lvlText w:val=""/>
      <w:lvlJc w:val="left"/>
      <w:pPr>
        <w:ind w:left="1800" w:hanging="360"/>
      </w:pPr>
      <w:rPr>
        <w:rFonts w:ascii="Symbol" w:hAnsi="Symbol"/>
      </w:rPr>
    </w:lvl>
    <w:lvl w:ilvl="7" w:tplc="2FFE7E42">
      <w:start w:val="1"/>
      <w:numFmt w:val="bullet"/>
      <w:lvlText w:val=""/>
      <w:lvlJc w:val="left"/>
      <w:pPr>
        <w:ind w:left="1800" w:hanging="360"/>
      </w:pPr>
      <w:rPr>
        <w:rFonts w:ascii="Symbol" w:hAnsi="Symbol"/>
      </w:rPr>
    </w:lvl>
    <w:lvl w:ilvl="8" w:tplc="48820692">
      <w:start w:val="1"/>
      <w:numFmt w:val="bullet"/>
      <w:lvlText w:val=""/>
      <w:lvlJc w:val="left"/>
      <w:pPr>
        <w:ind w:left="1800" w:hanging="360"/>
      </w:pPr>
      <w:rPr>
        <w:rFonts w:ascii="Symbol" w:hAnsi="Symbol"/>
      </w:rPr>
    </w:lvl>
  </w:abstractNum>
  <w:abstractNum w:abstractNumId="9" w15:restartNumberingAfterBreak="0">
    <w:nsid w:val="1E4C0D19"/>
    <w:multiLevelType w:val="hybridMultilevel"/>
    <w:tmpl w:val="099E42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6E589F"/>
    <w:multiLevelType w:val="hybridMultilevel"/>
    <w:tmpl w:val="8F2E6E2C"/>
    <w:lvl w:ilvl="0" w:tplc="AF3AC066">
      <w:start w:val="1"/>
      <w:numFmt w:val="bullet"/>
      <w:lvlText w:val=""/>
      <w:lvlJc w:val="left"/>
      <w:pPr>
        <w:ind w:left="720" w:hanging="360"/>
      </w:pPr>
      <w:rPr>
        <w:rFonts w:ascii="Symbol" w:hAnsi="Symbol"/>
      </w:rPr>
    </w:lvl>
    <w:lvl w:ilvl="1" w:tplc="0CDEE41E">
      <w:start w:val="1"/>
      <w:numFmt w:val="bullet"/>
      <w:lvlText w:val=""/>
      <w:lvlJc w:val="left"/>
      <w:pPr>
        <w:ind w:left="720" w:hanging="360"/>
      </w:pPr>
      <w:rPr>
        <w:rFonts w:ascii="Symbol" w:hAnsi="Symbol"/>
      </w:rPr>
    </w:lvl>
    <w:lvl w:ilvl="2" w:tplc="FFB8D260">
      <w:start w:val="1"/>
      <w:numFmt w:val="bullet"/>
      <w:lvlText w:val=""/>
      <w:lvlJc w:val="left"/>
      <w:pPr>
        <w:ind w:left="720" w:hanging="360"/>
      </w:pPr>
      <w:rPr>
        <w:rFonts w:ascii="Symbol" w:hAnsi="Symbol"/>
      </w:rPr>
    </w:lvl>
    <w:lvl w:ilvl="3" w:tplc="469412EA">
      <w:start w:val="1"/>
      <w:numFmt w:val="bullet"/>
      <w:lvlText w:val=""/>
      <w:lvlJc w:val="left"/>
      <w:pPr>
        <w:ind w:left="720" w:hanging="360"/>
      </w:pPr>
      <w:rPr>
        <w:rFonts w:ascii="Symbol" w:hAnsi="Symbol"/>
      </w:rPr>
    </w:lvl>
    <w:lvl w:ilvl="4" w:tplc="18DC0B5E">
      <w:start w:val="1"/>
      <w:numFmt w:val="bullet"/>
      <w:lvlText w:val=""/>
      <w:lvlJc w:val="left"/>
      <w:pPr>
        <w:ind w:left="720" w:hanging="360"/>
      </w:pPr>
      <w:rPr>
        <w:rFonts w:ascii="Symbol" w:hAnsi="Symbol"/>
      </w:rPr>
    </w:lvl>
    <w:lvl w:ilvl="5" w:tplc="70341C50">
      <w:start w:val="1"/>
      <w:numFmt w:val="bullet"/>
      <w:lvlText w:val=""/>
      <w:lvlJc w:val="left"/>
      <w:pPr>
        <w:ind w:left="720" w:hanging="360"/>
      </w:pPr>
      <w:rPr>
        <w:rFonts w:ascii="Symbol" w:hAnsi="Symbol"/>
      </w:rPr>
    </w:lvl>
    <w:lvl w:ilvl="6" w:tplc="71A2C936">
      <w:start w:val="1"/>
      <w:numFmt w:val="bullet"/>
      <w:lvlText w:val=""/>
      <w:lvlJc w:val="left"/>
      <w:pPr>
        <w:ind w:left="720" w:hanging="360"/>
      </w:pPr>
      <w:rPr>
        <w:rFonts w:ascii="Symbol" w:hAnsi="Symbol"/>
      </w:rPr>
    </w:lvl>
    <w:lvl w:ilvl="7" w:tplc="D41E3ADE">
      <w:start w:val="1"/>
      <w:numFmt w:val="bullet"/>
      <w:lvlText w:val=""/>
      <w:lvlJc w:val="left"/>
      <w:pPr>
        <w:ind w:left="720" w:hanging="360"/>
      </w:pPr>
      <w:rPr>
        <w:rFonts w:ascii="Symbol" w:hAnsi="Symbol"/>
      </w:rPr>
    </w:lvl>
    <w:lvl w:ilvl="8" w:tplc="B57ABA46">
      <w:start w:val="1"/>
      <w:numFmt w:val="bullet"/>
      <w:lvlText w:val=""/>
      <w:lvlJc w:val="left"/>
      <w:pPr>
        <w:ind w:left="720" w:hanging="360"/>
      </w:pPr>
      <w:rPr>
        <w:rFonts w:ascii="Symbol" w:hAnsi="Symbol"/>
      </w:rPr>
    </w:lvl>
  </w:abstractNum>
  <w:abstractNum w:abstractNumId="11" w15:restartNumberingAfterBreak="0">
    <w:nsid w:val="22C528AB"/>
    <w:multiLevelType w:val="multilevel"/>
    <w:tmpl w:val="E7D8F5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2BCE48AE"/>
    <w:multiLevelType w:val="hybridMultilevel"/>
    <w:tmpl w:val="09BA74A2"/>
    <w:lvl w:ilvl="0" w:tplc="0CB617FE">
      <w:start w:val="1"/>
      <w:numFmt w:val="bullet"/>
      <w:lvlText w:val=""/>
      <w:lvlJc w:val="left"/>
      <w:pPr>
        <w:ind w:left="1260" w:hanging="360"/>
      </w:pPr>
      <w:rPr>
        <w:rFonts w:ascii="Symbol" w:hAnsi="Symbol"/>
      </w:rPr>
    </w:lvl>
    <w:lvl w:ilvl="1" w:tplc="DCCE8EF2">
      <w:start w:val="1"/>
      <w:numFmt w:val="bullet"/>
      <w:lvlText w:val=""/>
      <w:lvlJc w:val="left"/>
      <w:pPr>
        <w:ind w:left="1260" w:hanging="360"/>
      </w:pPr>
      <w:rPr>
        <w:rFonts w:ascii="Symbol" w:hAnsi="Symbol"/>
      </w:rPr>
    </w:lvl>
    <w:lvl w:ilvl="2" w:tplc="4B3C9870">
      <w:start w:val="1"/>
      <w:numFmt w:val="bullet"/>
      <w:lvlText w:val=""/>
      <w:lvlJc w:val="left"/>
      <w:pPr>
        <w:ind w:left="1260" w:hanging="360"/>
      </w:pPr>
      <w:rPr>
        <w:rFonts w:ascii="Symbol" w:hAnsi="Symbol"/>
      </w:rPr>
    </w:lvl>
    <w:lvl w:ilvl="3" w:tplc="94AC1E0E">
      <w:start w:val="1"/>
      <w:numFmt w:val="bullet"/>
      <w:lvlText w:val=""/>
      <w:lvlJc w:val="left"/>
      <w:pPr>
        <w:ind w:left="1260" w:hanging="360"/>
      </w:pPr>
      <w:rPr>
        <w:rFonts w:ascii="Symbol" w:hAnsi="Symbol"/>
      </w:rPr>
    </w:lvl>
    <w:lvl w:ilvl="4" w:tplc="599647A6">
      <w:start w:val="1"/>
      <w:numFmt w:val="bullet"/>
      <w:lvlText w:val=""/>
      <w:lvlJc w:val="left"/>
      <w:pPr>
        <w:ind w:left="1260" w:hanging="360"/>
      </w:pPr>
      <w:rPr>
        <w:rFonts w:ascii="Symbol" w:hAnsi="Symbol"/>
      </w:rPr>
    </w:lvl>
    <w:lvl w:ilvl="5" w:tplc="183C22AC">
      <w:start w:val="1"/>
      <w:numFmt w:val="bullet"/>
      <w:lvlText w:val=""/>
      <w:lvlJc w:val="left"/>
      <w:pPr>
        <w:ind w:left="1260" w:hanging="360"/>
      </w:pPr>
      <w:rPr>
        <w:rFonts w:ascii="Symbol" w:hAnsi="Symbol"/>
      </w:rPr>
    </w:lvl>
    <w:lvl w:ilvl="6" w:tplc="AAA04A00">
      <w:start w:val="1"/>
      <w:numFmt w:val="bullet"/>
      <w:lvlText w:val=""/>
      <w:lvlJc w:val="left"/>
      <w:pPr>
        <w:ind w:left="1260" w:hanging="360"/>
      </w:pPr>
      <w:rPr>
        <w:rFonts w:ascii="Symbol" w:hAnsi="Symbol"/>
      </w:rPr>
    </w:lvl>
    <w:lvl w:ilvl="7" w:tplc="46A48EA2">
      <w:start w:val="1"/>
      <w:numFmt w:val="bullet"/>
      <w:lvlText w:val=""/>
      <w:lvlJc w:val="left"/>
      <w:pPr>
        <w:ind w:left="1260" w:hanging="360"/>
      </w:pPr>
      <w:rPr>
        <w:rFonts w:ascii="Symbol" w:hAnsi="Symbol"/>
      </w:rPr>
    </w:lvl>
    <w:lvl w:ilvl="8" w:tplc="6B60D1CA">
      <w:start w:val="1"/>
      <w:numFmt w:val="bullet"/>
      <w:lvlText w:val=""/>
      <w:lvlJc w:val="left"/>
      <w:pPr>
        <w:ind w:left="1260" w:hanging="360"/>
      </w:pPr>
      <w:rPr>
        <w:rFonts w:ascii="Symbol" w:hAnsi="Symbol"/>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D0FE58DA"/>
    <w:lvl w:ilvl="0" w:tplc="CFBE442A">
      <w:start w:val="1"/>
      <w:numFmt w:val="bullet"/>
      <w:pStyle w:val="ListParagraph"/>
      <w:lvlText w:val=""/>
      <w:lvlJc w:val="left"/>
      <w:pPr>
        <w:ind w:left="1127" w:hanging="360"/>
      </w:pPr>
      <w:rPr>
        <w:rFonts w:ascii="Symbol" w:hAnsi="Symbol" w:hint="default"/>
      </w:rPr>
    </w:lvl>
    <w:lvl w:ilvl="1" w:tplc="0C090003">
      <w:start w:val="1"/>
      <w:numFmt w:val="bullet"/>
      <w:lvlText w:val="o"/>
      <w:lvlJc w:val="left"/>
      <w:pPr>
        <w:ind w:left="1847" w:hanging="360"/>
      </w:pPr>
      <w:rPr>
        <w:rFonts w:ascii="Courier New" w:hAnsi="Courier New" w:cs="Courier New" w:hint="default"/>
      </w:rPr>
    </w:lvl>
    <w:lvl w:ilvl="2" w:tplc="0C090005" w:tentative="1">
      <w:start w:val="1"/>
      <w:numFmt w:val="bullet"/>
      <w:lvlText w:val=""/>
      <w:lvlJc w:val="left"/>
      <w:pPr>
        <w:ind w:left="2567" w:hanging="360"/>
      </w:pPr>
      <w:rPr>
        <w:rFonts w:ascii="Wingdings" w:hAnsi="Wingdings" w:hint="default"/>
      </w:rPr>
    </w:lvl>
    <w:lvl w:ilvl="3" w:tplc="0C090001" w:tentative="1">
      <w:start w:val="1"/>
      <w:numFmt w:val="bullet"/>
      <w:lvlText w:val=""/>
      <w:lvlJc w:val="left"/>
      <w:pPr>
        <w:ind w:left="3287" w:hanging="360"/>
      </w:pPr>
      <w:rPr>
        <w:rFonts w:ascii="Symbol" w:hAnsi="Symbol" w:hint="default"/>
      </w:rPr>
    </w:lvl>
    <w:lvl w:ilvl="4" w:tplc="0C090003" w:tentative="1">
      <w:start w:val="1"/>
      <w:numFmt w:val="bullet"/>
      <w:lvlText w:val="o"/>
      <w:lvlJc w:val="left"/>
      <w:pPr>
        <w:ind w:left="4007" w:hanging="360"/>
      </w:pPr>
      <w:rPr>
        <w:rFonts w:ascii="Courier New" w:hAnsi="Courier New" w:cs="Courier New" w:hint="default"/>
      </w:rPr>
    </w:lvl>
    <w:lvl w:ilvl="5" w:tplc="0C090005" w:tentative="1">
      <w:start w:val="1"/>
      <w:numFmt w:val="bullet"/>
      <w:lvlText w:val=""/>
      <w:lvlJc w:val="left"/>
      <w:pPr>
        <w:ind w:left="4727" w:hanging="360"/>
      </w:pPr>
      <w:rPr>
        <w:rFonts w:ascii="Wingdings" w:hAnsi="Wingdings" w:hint="default"/>
      </w:rPr>
    </w:lvl>
    <w:lvl w:ilvl="6" w:tplc="0C090001" w:tentative="1">
      <w:start w:val="1"/>
      <w:numFmt w:val="bullet"/>
      <w:lvlText w:val=""/>
      <w:lvlJc w:val="left"/>
      <w:pPr>
        <w:ind w:left="5447" w:hanging="360"/>
      </w:pPr>
      <w:rPr>
        <w:rFonts w:ascii="Symbol" w:hAnsi="Symbol" w:hint="default"/>
      </w:rPr>
    </w:lvl>
    <w:lvl w:ilvl="7" w:tplc="0C090003" w:tentative="1">
      <w:start w:val="1"/>
      <w:numFmt w:val="bullet"/>
      <w:lvlText w:val="o"/>
      <w:lvlJc w:val="left"/>
      <w:pPr>
        <w:ind w:left="6167" w:hanging="360"/>
      </w:pPr>
      <w:rPr>
        <w:rFonts w:ascii="Courier New" w:hAnsi="Courier New" w:cs="Courier New" w:hint="default"/>
      </w:rPr>
    </w:lvl>
    <w:lvl w:ilvl="8" w:tplc="0C090005" w:tentative="1">
      <w:start w:val="1"/>
      <w:numFmt w:val="bullet"/>
      <w:lvlText w:val=""/>
      <w:lvlJc w:val="left"/>
      <w:pPr>
        <w:ind w:left="6887" w:hanging="360"/>
      </w:pPr>
      <w:rPr>
        <w:rFonts w:ascii="Wingdings" w:hAnsi="Wingdings" w:hint="default"/>
      </w:rPr>
    </w:lvl>
  </w:abstractNum>
  <w:abstractNum w:abstractNumId="15" w15:restartNumberingAfterBreak="0">
    <w:nsid w:val="312C3502"/>
    <w:multiLevelType w:val="hybridMultilevel"/>
    <w:tmpl w:val="260020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A4877"/>
    <w:multiLevelType w:val="hybridMultilevel"/>
    <w:tmpl w:val="81B0AA8E"/>
    <w:lvl w:ilvl="0" w:tplc="BC9EA2EE">
      <w:start w:val="1"/>
      <w:numFmt w:val="bullet"/>
      <w:lvlText w:val=""/>
      <w:lvlJc w:val="left"/>
      <w:pPr>
        <w:ind w:left="1980" w:hanging="360"/>
      </w:pPr>
      <w:rPr>
        <w:rFonts w:ascii="Symbol" w:hAnsi="Symbol"/>
      </w:rPr>
    </w:lvl>
    <w:lvl w:ilvl="1" w:tplc="240C65CA">
      <w:start w:val="1"/>
      <w:numFmt w:val="bullet"/>
      <w:lvlText w:val=""/>
      <w:lvlJc w:val="left"/>
      <w:pPr>
        <w:ind w:left="1980" w:hanging="360"/>
      </w:pPr>
      <w:rPr>
        <w:rFonts w:ascii="Symbol" w:hAnsi="Symbol"/>
      </w:rPr>
    </w:lvl>
    <w:lvl w:ilvl="2" w:tplc="748E0A08">
      <w:start w:val="1"/>
      <w:numFmt w:val="bullet"/>
      <w:lvlText w:val=""/>
      <w:lvlJc w:val="left"/>
      <w:pPr>
        <w:ind w:left="1980" w:hanging="360"/>
      </w:pPr>
      <w:rPr>
        <w:rFonts w:ascii="Symbol" w:hAnsi="Symbol"/>
      </w:rPr>
    </w:lvl>
    <w:lvl w:ilvl="3" w:tplc="1B062398">
      <w:start w:val="1"/>
      <w:numFmt w:val="bullet"/>
      <w:lvlText w:val=""/>
      <w:lvlJc w:val="left"/>
      <w:pPr>
        <w:ind w:left="1980" w:hanging="360"/>
      </w:pPr>
      <w:rPr>
        <w:rFonts w:ascii="Symbol" w:hAnsi="Symbol"/>
      </w:rPr>
    </w:lvl>
    <w:lvl w:ilvl="4" w:tplc="054ED954">
      <w:start w:val="1"/>
      <w:numFmt w:val="bullet"/>
      <w:lvlText w:val=""/>
      <w:lvlJc w:val="left"/>
      <w:pPr>
        <w:ind w:left="1980" w:hanging="360"/>
      </w:pPr>
      <w:rPr>
        <w:rFonts w:ascii="Symbol" w:hAnsi="Symbol"/>
      </w:rPr>
    </w:lvl>
    <w:lvl w:ilvl="5" w:tplc="E9305A08">
      <w:start w:val="1"/>
      <w:numFmt w:val="bullet"/>
      <w:lvlText w:val=""/>
      <w:lvlJc w:val="left"/>
      <w:pPr>
        <w:ind w:left="1980" w:hanging="360"/>
      </w:pPr>
      <w:rPr>
        <w:rFonts w:ascii="Symbol" w:hAnsi="Symbol"/>
      </w:rPr>
    </w:lvl>
    <w:lvl w:ilvl="6" w:tplc="4A4A875A">
      <w:start w:val="1"/>
      <w:numFmt w:val="bullet"/>
      <w:lvlText w:val=""/>
      <w:lvlJc w:val="left"/>
      <w:pPr>
        <w:ind w:left="1980" w:hanging="360"/>
      </w:pPr>
      <w:rPr>
        <w:rFonts w:ascii="Symbol" w:hAnsi="Symbol"/>
      </w:rPr>
    </w:lvl>
    <w:lvl w:ilvl="7" w:tplc="161EEDE8">
      <w:start w:val="1"/>
      <w:numFmt w:val="bullet"/>
      <w:lvlText w:val=""/>
      <w:lvlJc w:val="left"/>
      <w:pPr>
        <w:ind w:left="1980" w:hanging="360"/>
      </w:pPr>
      <w:rPr>
        <w:rFonts w:ascii="Symbol" w:hAnsi="Symbol"/>
      </w:rPr>
    </w:lvl>
    <w:lvl w:ilvl="8" w:tplc="A5F4FF8A">
      <w:start w:val="1"/>
      <w:numFmt w:val="bullet"/>
      <w:lvlText w:val=""/>
      <w:lvlJc w:val="left"/>
      <w:pPr>
        <w:ind w:left="1980" w:hanging="360"/>
      </w:pPr>
      <w:rPr>
        <w:rFonts w:ascii="Symbol" w:hAnsi="Symbol"/>
      </w:rPr>
    </w:lvl>
  </w:abstractNum>
  <w:abstractNum w:abstractNumId="17" w15:restartNumberingAfterBreak="0">
    <w:nsid w:val="36173E04"/>
    <w:multiLevelType w:val="hybridMultilevel"/>
    <w:tmpl w:val="B9880A3C"/>
    <w:lvl w:ilvl="0" w:tplc="24182714">
      <w:start w:val="1"/>
      <w:numFmt w:val="lowerLetter"/>
      <w:lvlText w:val="%1."/>
      <w:lvlJc w:val="left"/>
      <w:pPr>
        <w:ind w:left="720" w:hanging="360"/>
      </w:pPr>
    </w:lvl>
    <w:lvl w:ilvl="1" w:tplc="A0D21C66">
      <w:start w:val="1"/>
      <w:numFmt w:val="lowerLetter"/>
      <w:lvlText w:val="%2."/>
      <w:lvlJc w:val="left"/>
      <w:pPr>
        <w:ind w:left="720" w:hanging="360"/>
      </w:pPr>
    </w:lvl>
    <w:lvl w:ilvl="2" w:tplc="C994DB2E">
      <w:start w:val="1"/>
      <w:numFmt w:val="lowerLetter"/>
      <w:lvlText w:val="%3."/>
      <w:lvlJc w:val="left"/>
      <w:pPr>
        <w:ind w:left="720" w:hanging="360"/>
      </w:pPr>
    </w:lvl>
    <w:lvl w:ilvl="3" w:tplc="3140F4B0">
      <w:start w:val="1"/>
      <w:numFmt w:val="lowerLetter"/>
      <w:lvlText w:val="%4."/>
      <w:lvlJc w:val="left"/>
      <w:pPr>
        <w:ind w:left="720" w:hanging="360"/>
      </w:pPr>
    </w:lvl>
    <w:lvl w:ilvl="4" w:tplc="981A91EA">
      <w:start w:val="1"/>
      <w:numFmt w:val="lowerLetter"/>
      <w:lvlText w:val="%5."/>
      <w:lvlJc w:val="left"/>
      <w:pPr>
        <w:ind w:left="720" w:hanging="360"/>
      </w:pPr>
    </w:lvl>
    <w:lvl w:ilvl="5" w:tplc="357427AA">
      <w:start w:val="1"/>
      <w:numFmt w:val="lowerLetter"/>
      <w:lvlText w:val="%6."/>
      <w:lvlJc w:val="left"/>
      <w:pPr>
        <w:ind w:left="720" w:hanging="360"/>
      </w:pPr>
    </w:lvl>
    <w:lvl w:ilvl="6" w:tplc="144E796A">
      <w:start w:val="1"/>
      <w:numFmt w:val="lowerLetter"/>
      <w:lvlText w:val="%7."/>
      <w:lvlJc w:val="left"/>
      <w:pPr>
        <w:ind w:left="720" w:hanging="360"/>
      </w:pPr>
    </w:lvl>
    <w:lvl w:ilvl="7" w:tplc="7E32C67A">
      <w:start w:val="1"/>
      <w:numFmt w:val="lowerLetter"/>
      <w:lvlText w:val="%8."/>
      <w:lvlJc w:val="left"/>
      <w:pPr>
        <w:ind w:left="720" w:hanging="360"/>
      </w:pPr>
    </w:lvl>
    <w:lvl w:ilvl="8" w:tplc="C8DAE54A">
      <w:start w:val="1"/>
      <w:numFmt w:val="lowerLetter"/>
      <w:lvlText w:val="%9."/>
      <w:lvlJc w:val="left"/>
      <w:pPr>
        <w:ind w:left="720" w:hanging="360"/>
      </w:pPr>
    </w:lvl>
  </w:abstractNum>
  <w:abstractNum w:abstractNumId="18" w15:restartNumberingAfterBreak="0">
    <w:nsid w:val="3A1E46DC"/>
    <w:multiLevelType w:val="hybridMultilevel"/>
    <w:tmpl w:val="A240F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C76B6"/>
    <w:multiLevelType w:val="multilevel"/>
    <w:tmpl w:val="E59E701C"/>
    <w:lvl w:ilvl="0">
      <w:start w:val="1"/>
      <w:numFmt w:val="decimal"/>
      <w:lvlText w:val="%1."/>
      <w:lvlJc w:val="left"/>
      <w:pPr>
        <w:tabs>
          <w:tab w:val="num" w:pos="720"/>
        </w:tabs>
        <w:ind w:left="720" w:hanging="360"/>
      </w:pPr>
      <w:rPr>
        <w:color w:val="auto"/>
      </w:rPr>
    </w:lvl>
    <w:lvl w:ilvl="1">
      <w:start w:val="1"/>
      <w:numFmt w:val="lowerLetter"/>
      <w:lvlText w:val="%2."/>
      <w:lvlJc w:val="left"/>
      <w:pPr>
        <w:ind w:left="1069" w:hanging="360"/>
      </w:pPr>
      <w:rPr>
        <w:rFonts w:asciiTheme="minorHAnsi" w:hAnsiTheme="minorHAnsi" w:cstheme="minorHAnsi"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962812"/>
    <w:multiLevelType w:val="hybridMultilevel"/>
    <w:tmpl w:val="F4D63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413F6A"/>
    <w:multiLevelType w:val="hybridMultilevel"/>
    <w:tmpl w:val="18246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41439"/>
    <w:multiLevelType w:val="hybridMultilevel"/>
    <w:tmpl w:val="0E9834D2"/>
    <w:lvl w:ilvl="0" w:tplc="A626B0AE">
      <w:start w:val="1"/>
      <w:numFmt w:val="bullet"/>
      <w:lvlText w:val=""/>
      <w:lvlJc w:val="left"/>
      <w:pPr>
        <w:ind w:left="720" w:hanging="360"/>
      </w:pPr>
      <w:rPr>
        <w:rFonts w:ascii="Symbol" w:hAnsi="Symbol"/>
      </w:rPr>
    </w:lvl>
    <w:lvl w:ilvl="1" w:tplc="80F258C2">
      <w:start w:val="1"/>
      <w:numFmt w:val="bullet"/>
      <w:lvlText w:val=""/>
      <w:lvlJc w:val="left"/>
      <w:pPr>
        <w:ind w:left="720" w:hanging="360"/>
      </w:pPr>
      <w:rPr>
        <w:rFonts w:ascii="Symbol" w:hAnsi="Symbol"/>
      </w:rPr>
    </w:lvl>
    <w:lvl w:ilvl="2" w:tplc="76B220AC">
      <w:start w:val="1"/>
      <w:numFmt w:val="bullet"/>
      <w:lvlText w:val=""/>
      <w:lvlJc w:val="left"/>
      <w:pPr>
        <w:ind w:left="720" w:hanging="360"/>
      </w:pPr>
      <w:rPr>
        <w:rFonts w:ascii="Symbol" w:hAnsi="Symbol"/>
      </w:rPr>
    </w:lvl>
    <w:lvl w:ilvl="3" w:tplc="F1CCABB2">
      <w:start w:val="1"/>
      <w:numFmt w:val="bullet"/>
      <w:lvlText w:val=""/>
      <w:lvlJc w:val="left"/>
      <w:pPr>
        <w:ind w:left="720" w:hanging="360"/>
      </w:pPr>
      <w:rPr>
        <w:rFonts w:ascii="Symbol" w:hAnsi="Symbol"/>
      </w:rPr>
    </w:lvl>
    <w:lvl w:ilvl="4" w:tplc="7D6279FA">
      <w:start w:val="1"/>
      <w:numFmt w:val="bullet"/>
      <w:lvlText w:val=""/>
      <w:lvlJc w:val="left"/>
      <w:pPr>
        <w:ind w:left="720" w:hanging="360"/>
      </w:pPr>
      <w:rPr>
        <w:rFonts w:ascii="Symbol" w:hAnsi="Symbol"/>
      </w:rPr>
    </w:lvl>
    <w:lvl w:ilvl="5" w:tplc="FF2865BC">
      <w:start w:val="1"/>
      <w:numFmt w:val="bullet"/>
      <w:lvlText w:val=""/>
      <w:lvlJc w:val="left"/>
      <w:pPr>
        <w:ind w:left="720" w:hanging="360"/>
      </w:pPr>
      <w:rPr>
        <w:rFonts w:ascii="Symbol" w:hAnsi="Symbol"/>
      </w:rPr>
    </w:lvl>
    <w:lvl w:ilvl="6" w:tplc="6AB4F626">
      <w:start w:val="1"/>
      <w:numFmt w:val="bullet"/>
      <w:lvlText w:val=""/>
      <w:lvlJc w:val="left"/>
      <w:pPr>
        <w:ind w:left="720" w:hanging="360"/>
      </w:pPr>
      <w:rPr>
        <w:rFonts w:ascii="Symbol" w:hAnsi="Symbol"/>
      </w:rPr>
    </w:lvl>
    <w:lvl w:ilvl="7" w:tplc="BE66D05E">
      <w:start w:val="1"/>
      <w:numFmt w:val="bullet"/>
      <w:lvlText w:val=""/>
      <w:lvlJc w:val="left"/>
      <w:pPr>
        <w:ind w:left="720" w:hanging="360"/>
      </w:pPr>
      <w:rPr>
        <w:rFonts w:ascii="Symbol" w:hAnsi="Symbol"/>
      </w:rPr>
    </w:lvl>
    <w:lvl w:ilvl="8" w:tplc="3420F74C">
      <w:start w:val="1"/>
      <w:numFmt w:val="bullet"/>
      <w:lvlText w:val=""/>
      <w:lvlJc w:val="left"/>
      <w:pPr>
        <w:ind w:left="720" w:hanging="360"/>
      </w:pPr>
      <w:rPr>
        <w:rFonts w:ascii="Symbol" w:hAnsi="Symbol"/>
      </w:rPr>
    </w:lvl>
  </w:abstractNum>
  <w:abstractNum w:abstractNumId="23" w15:restartNumberingAfterBreak="0">
    <w:nsid w:val="43B65CDA"/>
    <w:multiLevelType w:val="hybridMultilevel"/>
    <w:tmpl w:val="AEF8EBC2"/>
    <w:lvl w:ilvl="0" w:tplc="12F491B0">
      <w:start w:val="1"/>
      <w:numFmt w:val="bullet"/>
      <w:lvlText w:val=""/>
      <w:lvlJc w:val="left"/>
      <w:pPr>
        <w:ind w:left="720" w:hanging="360"/>
      </w:pPr>
      <w:rPr>
        <w:rFonts w:ascii="Symbol" w:hAnsi="Symbol"/>
      </w:rPr>
    </w:lvl>
    <w:lvl w:ilvl="1" w:tplc="B20E65D8">
      <w:start w:val="1"/>
      <w:numFmt w:val="bullet"/>
      <w:lvlText w:val=""/>
      <w:lvlJc w:val="left"/>
      <w:pPr>
        <w:ind w:left="720" w:hanging="360"/>
      </w:pPr>
      <w:rPr>
        <w:rFonts w:ascii="Symbol" w:hAnsi="Symbol"/>
      </w:rPr>
    </w:lvl>
    <w:lvl w:ilvl="2" w:tplc="8A9E5F00">
      <w:start w:val="1"/>
      <w:numFmt w:val="bullet"/>
      <w:lvlText w:val=""/>
      <w:lvlJc w:val="left"/>
      <w:pPr>
        <w:ind w:left="720" w:hanging="360"/>
      </w:pPr>
      <w:rPr>
        <w:rFonts w:ascii="Symbol" w:hAnsi="Symbol"/>
      </w:rPr>
    </w:lvl>
    <w:lvl w:ilvl="3" w:tplc="0FA0D62A">
      <w:start w:val="1"/>
      <w:numFmt w:val="bullet"/>
      <w:lvlText w:val=""/>
      <w:lvlJc w:val="left"/>
      <w:pPr>
        <w:ind w:left="720" w:hanging="360"/>
      </w:pPr>
      <w:rPr>
        <w:rFonts w:ascii="Symbol" w:hAnsi="Symbol"/>
      </w:rPr>
    </w:lvl>
    <w:lvl w:ilvl="4" w:tplc="C14CFF9C">
      <w:start w:val="1"/>
      <w:numFmt w:val="bullet"/>
      <w:lvlText w:val=""/>
      <w:lvlJc w:val="left"/>
      <w:pPr>
        <w:ind w:left="720" w:hanging="360"/>
      </w:pPr>
      <w:rPr>
        <w:rFonts w:ascii="Symbol" w:hAnsi="Symbol"/>
      </w:rPr>
    </w:lvl>
    <w:lvl w:ilvl="5" w:tplc="B40A6E20">
      <w:start w:val="1"/>
      <w:numFmt w:val="bullet"/>
      <w:lvlText w:val=""/>
      <w:lvlJc w:val="left"/>
      <w:pPr>
        <w:ind w:left="720" w:hanging="360"/>
      </w:pPr>
      <w:rPr>
        <w:rFonts w:ascii="Symbol" w:hAnsi="Symbol"/>
      </w:rPr>
    </w:lvl>
    <w:lvl w:ilvl="6" w:tplc="457628D0">
      <w:start w:val="1"/>
      <w:numFmt w:val="bullet"/>
      <w:lvlText w:val=""/>
      <w:lvlJc w:val="left"/>
      <w:pPr>
        <w:ind w:left="720" w:hanging="360"/>
      </w:pPr>
      <w:rPr>
        <w:rFonts w:ascii="Symbol" w:hAnsi="Symbol"/>
      </w:rPr>
    </w:lvl>
    <w:lvl w:ilvl="7" w:tplc="0B786FF8">
      <w:start w:val="1"/>
      <w:numFmt w:val="bullet"/>
      <w:lvlText w:val=""/>
      <w:lvlJc w:val="left"/>
      <w:pPr>
        <w:ind w:left="720" w:hanging="360"/>
      </w:pPr>
      <w:rPr>
        <w:rFonts w:ascii="Symbol" w:hAnsi="Symbol"/>
      </w:rPr>
    </w:lvl>
    <w:lvl w:ilvl="8" w:tplc="0DEEABA2">
      <w:start w:val="1"/>
      <w:numFmt w:val="bullet"/>
      <w:lvlText w:val=""/>
      <w:lvlJc w:val="left"/>
      <w:pPr>
        <w:ind w:left="720" w:hanging="360"/>
      </w:pPr>
      <w:rPr>
        <w:rFonts w:ascii="Symbol" w:hAnsi="Symbol"/>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546D5"/>
    <w:multiLevelType w:val="hybridMultilevel"/>
    <w:tmpl w:val="2F8A32C0"/>
    <w:lvl w:ilvl="0" w:tplc="3E5A6CEA">
      <w:start w:val="1"/>
      <w:numFmt w:val="decimal"/>
      <w:lvlText w:val="%1."/>
      <w:lvlJc w:val="left"/>
      <w:pPr>
        <w:ind w:left="720" w:hanging="360"/>
      </w:pPr>
    </w:lvl>
    <w:lvl w:ilvl="1" w:tplc="B0AEAA4E">
      <w:start w:val="1"/>
      <w:numFmt w:val="decimal"/>
      <w:lvlText w:val="%2."/>
      <w:lvlJc w:val="left"/>
      <w:pPr>
        <w:ind w:left="720" w:hanging="360"/>
      </w:pPr>
    </w:lvl>
    <w:lvl w:ilvl="2" w:tplc="F27C31F4">
      <w:start w:val="1"/>
      <w:numFmt w:val="decimal"/>
      <w:lvlText w:val="%3."/>
      <w:lvlJc w:val="left"/>
      <w:pPr>
        <w:ind w:left="720" w:hanging="360"/>
      </w:pPr>
    </w:lvl>
    <w:lvl w:ilvl="3" w:tplc="A2D421B8">
      <w:start w:val="1"/>
      <w:numFmt w:val="decimal"/>
      <w:lvlText w:val="%4."/>
      <w:lvlJc w:val="left"/>
      <w:pPr>
        <w:ind w:left="720" w:hanging="360"/>
      </w:pPr>
    </w:lvl>
    <w:lvl w:ilvl="4" w:tplc="121AB054">
      <w:start w:val="1"/>
      <w:numFmt w:val="decimal"/>
      <w:lvlText w:val="%5."/>
      <w:lvlJc w:val="left"/>
      <w:pPr>
        <w:ind w:left="720" w:hanging="360"/>
      </w:pPr>
    </w:lvl>
    <w:lvl w:ilvl="5" w:tplc="12627DE4">
      <w:start w:val="1"/>
      <w:numFmt w:val="decimal"/>
      <w:lvlText w:val="%6."/>
      <w:lvlJc w:val="left"/>
      <w:pPr>
        <w:ind w:left="720" w:hanging="360"/>
      </w:pPr>
    </w:lvl>
    <w:lvl w:ilvl="6" w:tplc="089CC55E">
      <w:start w:val="1"/>
      <w:numFmt w:val="decimal"/>
      <w:lvlText w:val="%7."/>
      <w:lvlJc w:val="left"/>
      <w:pPr>
        <w:ind w:left="720" w:hanging="360"/>
      </w:pPr>
    </w:lvl>
    <w:lvl w:ilvl="7" w:tplc="5918527A">
      <w:start w:val="1"/>
      <w:numFmt w:val="decimal"/>
      <w:lvlText w:val="%8."/>
      <w:lvlJc w:val="left"/>
      <w:pPr>
        <w:ind w:left="720" w:hanging="360"/>
      </w:pPr>
    </w:lvl>
    <w:lvl w:ilvl="8" w:tplc="9BB2690A">
      <w:start w:val="1"/>
      <w:numFmt w:val="decimal"/>
      <w:lvlText w:val="%9."/>
      <w:lvlJc w:val="left"/>
      <w:pPr>
        <w:ind w:left="720" w:hanging="360"/>
      </w:pPr>
    </w:lvl>
  </w:abstractNum>
  <w:abstractNum w:abstractNumId="26" w15:restartNumberingAfterBreak="0">
    <w:nsid w:val="4B8E4BAC"/>
    <w:multiLevelType w:val="hybridMultilevel"/>
    <w:tmpl w:val="B096209A"/>
    <w:lvl w:ilvl="0" w:tplc="107EECD6">
      <w:start w:val="1"/>
      <w:numFmt w:val="bullet"/>
      <w:lvlText w:val=""/>
      <w:lvlJc w:val="left"/>
      <w:pPr>
        <w:ind w:left="720" w:hanging="360"/>
      </w:pPr>
      <w:rPr>
        <w:rFonts w:ascii="Symbol" w:hAnsi="Symbol"/>
      </w:rPr>
    </w:lvl>
    <w:lvl w:ilvl="1" w:tplc="63FC38FE">
      <w:start w:val="1"/>
      <w:numFmt w:val="bullet"/>
      <w:lvlText w:val=""/>
      <w:lvlJc w:val="left"/>
      <w:pPr>
        <w:ind w:left="720" w:hanging="360"/>
      </w:pPr>
      <w:rPr>
        <w:rFonts w:ascii="Symbol" w:hAnsi="Symbol"/>
      </w:rPr>
    </w:lvl>
    <w:lvl w:ilvl="2" w:tplc="EC0E6350">
      <w:start w:val="1"/>
      <w:numFmt w:val="bullet"/>
      <w:lvlText w:val=""/>
      <w:lvlJc w:val="left"/>
      <w:pPr>
        <w:ind w:left="720" w:hanging="360"/>
      </w:pPr>
      <w:rPr>
        <w:rFonts w:ascii="Symbol" w:hAnsi="Symbol"/>
      </w:rPr>
    </w:lvl>
    <w:lvl w:ilvl="3" w:tplc="5EA2EC42">
      <w:start w:val="1"/>
      <w:numFmt w:val="bullet"/>
      <w:lvlText w:val=""/>
      <w:lvlJc w:val="left"/>
      <w:pPr>
        <w:ind w:left="720" w:hanging="360"/>
      </w:pPr>
      <w:rPr>
        <w:rFonts w:ascii="Symbol" w:hAnsi="Symbol"/>
      </w:rPr>
    </w:lvl>
    <w:lvl w:ilvl="4" w:tplc="43B86D38">
      <w:start w:val="1"/>
      <w:numFmt w:val="bullet"/>
      <w:lvlText w:val=""/>
      <w:lvlJc w:val="left"/>
      <w:pPr>
        <w:ind w:left="720" w:hanging="360"/>
      </w:pPr>
      <w:rPr>
        <w:rFonts w:ascii="Symbol" w:hAnsi="Symbol"/>
      </w:rPr>
    </w:lvl>
    <w:lvl w:ilvl="5" w:tplc="93D60522">
      <w:start w:val="1"/>
      <w:numFmt w:val="bullet"/>
      <w:lvlText w:val=""/>
      <w:lvlJc w:val="left"/>
      <w:pPr>
        <w:ind w:left="720" w:hanging="360"/>
      </w:pPr>
      <w:rPr>
        <w:rFonts w:ascii="Symbol" w:hAnsi="Symbol"/>
      </w:rPr>
    </w:lvl>
    <w:lvl w:ilvl="6" w:tplc="433EF954">
      <w:start w:val="1"/>
      <w:numFmt w:val="bullet"/>
      <w:lvlText w:val=""/>
      <w:lvlJc w:val="left"/>
      <w:pPr>
        <w:ind w:left="720" w:hanging="360"/>
      </w:pPr>
      <w:rPr>
        <w:rFonts w:ascii="Symbol" w:hAnsi="Symbol"/>
      </w:rPr>
    </w:lvl>
    <w:lvl w:ilvl="7" w:tplc="D6D424B2">
      <w:start w:val="1"/>
      <w:numFmt w:val="bullet"/>
      <w:lvlText w:val=""/>
      <w:lvlJc w:val="left"/>
      <w:pPr>
        <w:ind w:left="720" w:hanging="360"/>
      </w:pPr>
      <w:rPr>
        <w:rFonts w:ascii="Symbol" w:hAnsi="Symbol"/>
      </w:rPr>
    </w:lvl>
    <w:lvl w:ilvl="8" w:tplc="294A46C8">
      <w:start w:val="1"/>
      <w:numFmt w:val="bullet"/>
      <w:lvlText w:val=""/>
      <w:lvlJc w:val="left"/>
      <w:pPr>
        <w:ind w:left="720" w:hanging="360"/>
      </w:pPr>
      <w:rPr>
        <w:rFonts w:ascii="Symbol" w:hAnsi="Symbol"/>
      </w:rPr>
    </w:lvl>
  </w:abstractNum>
  <w:abstractNum w:abstractNumId="27" w15:restartNumberingAfterBreak="0">
    <w:nsid w:val="51D77928"/>
    <w:multiLevelType w:val="hybridMultilevel"/>
    <w:tmpl w:val="96FE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826FBF"/>
    <w:multiLevelType w:val="hybridMultilevel"/>
    <w:tmpl w:val="A4001BB6"/>
    <w:lvl w:ilvl="0" w:tplc="9690A23C">
      <w:start w:val="1"/>
      <w:numFmt w:val="bullet"/>
      <w:lvlText w:val=""/>
      <w:lvlJc w:val="left"/>
      <w:pPr>
        <w:ind w:left="720" w:hanging="360"/>
      </w:pPr>
      <w:rPr>
        <w:rFonts w:ascii="Symbol" w:hAnsi="Symbol"/>
      </w:rPr>
    </w:lvl>
    <w:lvl w:ilvl="1" w:tplc="4504FBC4">
      <w:start w:val="1"/>
      <w:numFmt w:val="bullet"/>
      <w:lvlText w:val=""/>
      <w:lvlJc w:val="left"/>
      <w:pPr>
        <w:ind w:left="720" w:hanging="360"/>
      </w:pPr>
      <w:rPr>
        <w:rFonts w:ascii="Symbol" w:hAnsi="Symbol"/>
      </w:rPr>
    </w:lvl>
    <w:lvl w:ilvl="2" w:tplc="35BE36A6">
      <w:start w:val="1"/>
      <w:numFmt w:val="bullet"/>
      <w:lvlText w:val=""/>
      <w:lvlJc w:val="left"/>
      <w:pPr>
        <w:ind w:left="720" w:hanging="360"/>
      </w:pPr>
      <w:rPr>
        <w:rFonts w:ascii="Symbol" w:hAnsi="Symbol"/>
      </w:rPr>
    </w:lvl>
    <w:lvl w:ilvl="3" w:tplc="EA185E62">
      <w:start w:val="1"/>
      <w:numFmt w:val="bullet"/>
      <w:lvlText w:val=""/>
      <w:lvlJc w:val="left"/>
      <w:pPr>
        <w:ind w:left="720" w:hanging="360"/>
      </w:pPr>
      <w:rPr>
        <w:rFonts w:ascii="Symbol" w:hAnsi="Symbol"/>
      </w:rPr>
    </w:lvl>
    <w:lvl w:ilvl="4" w:tplc="597419A8">
      <w:start w:val="1"/>
      <w:numFmt w:val="bullet"/>
      <w:lvlText w:val=""/>
      <w:lvlJc w:val="left"/>
      <w:pPr>
        <w:ind w:left="720" w:hanging="360"/>
      </w:pPr>
      <w:rPr>
        <w:rFonts w:ascii="Symbol" w:hAnsi="Symbol"/>
      </w:rPr>
    </w:lvl>
    <w:lvl w:ilvl="5" w:tplc="B24ED528">
      <w:start w:val="1"/>
      <w:numFmt w:val="bullet"/>
      <w:lvlText w:val=""/>
      <w:lvlJc w:val="left"/>
      <w:pPr>
        <w:ind w:left="720" w:hanging="360"/>
      </w:pPr>
      <w:rPr>
        <w:rFonts w:ascii="Symbol" w:hAnsi="Symbol"/>
      </w:rPr>
    </w:lvl>
    <w:lvl w:ilvl="6" w:tplc="F9CEE096">
      <w:start w:val="1"/>
      <w:numFmt w:val="bullet"/>
      <w:lvlText w:val=""/>
      <w:lvlJc w:val="left"/>
      <w:pPr>
        <w:ind w:left="720" w:hanging="360"/>
      </w:pPr>
      <w:rPr>
        <w:rFonts w:ascii="Symbol" w:hAnsi="Symbol"/>
      </w:rPr>
    </w:lvl>
    <w:lvl w:ilvl="7" w:tplc="93220506">
      <w:start w:val="1"/>
      <w:numFmt w:val="bullet"/>
      <w:lvlText w:val=""/>
      <w:lvlJc w:val="left"/>
      <w:pPr>
        <w:ind w:left="720" w:hanging="360"/>
      </w:pPr>
      <w:rPr>
        <w:rFonts w:ascii="Symbol" w:hAnsi="Symbol"/>
      </w:rPr>
    </w:lvl>
    <w:lvl w:ilvl="8" w:tplc="207C7A64">
      <w:start w:val="1"/>
      <w:numFmt w:val="bullet"/>
      <w:lvlText w:val=""/>
      <w:lvlJc w:val="left"/>
      <w:pPr>
        <w:ind w:left="720" w:hanging="360"/>
      </w:pPr>
      <w:rPr>
        <w:rFonts w:ascii="Symbol" w:hAnsi="Symbol"/>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24E13AC"/>
    <w:multiLevelType w:val="hybridMultilevel"/>
    <w:tmpl w:val="B80297B0"/>
    <w:lvl w:ilvl="0" w:tplc="DB226B32">
      <w:start w:val="1"/>
      <w:numFmt w:val="bullet"/>
      <w:lvlText w:val=""/>
      <w:lvlJc w:val="left"/>
      <w:pPr>
        <w:ind w:left="1080" w:hanging="360"/>
      </w:pPr>
      <w:rPr>
        <w:rFonts w:ascii="Symbol" w:hAnsi="Symbol"/>
      </w:rPr>
    </w:lvl>
    <w:lvl w:ilvl="1" w:tplc="C5BA22EC">
      <w:start w:val="1"/>
      <w:numFmt w:val="bullet"/>
      <w:lvlText w:val=""/>
      <w:lvlJc w:val="left"/>
      <w:pPr>
        <w:ind w:left="1080" w:hanging="360"/>
      </w:pPr>
      <w:rPr>
        <w:rFonts w:ascii="Symbol" w:hAnsi="Symbol"/>
      </w:rPr>
    </w:lvl>
    <w:lvl w:ilvl="2" w:tplc="1CF0A212">
      <w:start w:val="1"/>
      <w:numFmt w:val="bullet"/>
      <w:lvlText w:val=""/>
      <w:lvlJc w:val="left"/>
      <w:pPr>
        <w:ind w:left="1080" w:hanging="360"/>
      </w:pPr>
      <w:rPr>
        <w:rFonts w:ascii="Symbol" w:hAnsi="Symbol"/>
      </w:rPr>
    </w:lvl>
    <w:lvl w:ilvl="3" w:tplc="F85203E6">
      <w:start w:val="1"/>
      <w:numFmt w:val="bullet"/>
      <w:lvlText w:val=""/>
      <w:lvlJc w:val="left"/>
      <w:pPr>
        <w:ind w:left="1080" w:hanging="360"/>
      </w:pPr>
      <w:rPr>
        <w:rFonts w:ascii="Symbol" w:hAnsi="Symbol"/>
      </w:rPr>
    </w:lvl>
    <w:lvl w:ilvl="4" w:tplc="E0FCB6EC">
      <w:start w:val="1"/>
      <w:numFmt w:val="bullet"/>
      <w:lvlText w:val=""/>
      <w:lvlJc w:val="left"/>
      <w:pPr>
        <w:ind w:left="1080" w:hanging="360"/>
      </w:pPr>
      <w:rPr>
        <w:rFonts w:ascii="Symbol" w:hAnsi="Symbol"/>
      </w:rPr>
    </w:lvl>
    <w:lvl w:ilvl="5" w:tplc="02D05CBE">
      <w:start w:val="1"/>
      <w:numFmt w:val="bullet"/>
      <w:lvlText w:val=""/>
      <w:lvlJc w:val="left"/>
      <w:pPr>
        <w:ind w:left="1080" w:hanging="360"/>
      </w:pPr>
      <w:rPr>
        <w:rFonts w:ascii="Symbol" w:hAnsi="Symbol"/>
      </w:rPr>
    </w:lvl>
    <w:lvl w:ilvl="6" w:tplc="3E362C86">
      <w:start w:val="1"/>
      <w:numFmt w:val="bullet"/>
      <w:lvlText w:val=""/>
      <w:lvlJc w:val="left"/>
      <w:pPr>
        <w:ind w:left="1080" w:hanging="360"/>
      </w:pPr>
      <w:rPr>
        <w:rFonts w:ascii="Symbol" w:hAnsi="Symbol"/>
      </w:rPr>
    </w:lvl>
    <w:lvl w:ilvl="7" w:tplc="5748D7E2">
      <w:start w:val="1"/>
      <w:numFmt w:val="bullet"/>
      <w:lvlText w:val=""/>
      <w:lvlJc w:val="left"/>
      <w:pPr>
        <w:ind w:left="1080" w:hanging="360"/>
      </w:pPr>
      <w:rPr>
        <w:rFonts w:ascii="Symbol" w:hAnsi="Symbol"/>
      </w:rPr>
    </w:lvl>
    <w:lvl w:ilvl="8" w:tplc="B62C3BE8">
      <w:start w:val="1"/>
      <w:numFmt w:val="bullet"/>
      <w:lvlText w:val=""/>
      <w:lvlJc w:val="left"/>
      <w:pPr>
        <w:ind w:left="1080" w:hanging="360"/>
      </w:pPr>
      <w:rPr>
        <w:rFonts w:ascii="Symbol" w:hAnsi="Symbol"/>
      </w:rPr>
    </w:lvl>
  </w:abstractNum>
  <w:abstractNum w:abstractNumId="32" w15:restartNumberingAfterBreak="0">
    <w:nsid w:val="62D96684"/>
    <w:multiLevelType w:val="hybridMultilevel"/>
    <w:tmpl w:val="5F722A14"/>
    <w:lvl w:ilvl="0" w:tplc="AEC66A9A">
      <w:start w:val="1"/>
      <w:numFmt w:val="bullet"/>
      <w:lvlText w:val=""/>
      <w:lvlJc w:val="left"/>
      <w:pPr>
        <w:ind w:left="1080" w:hanging="360"/>
      </w:pPr>
      <w:rPr>
        <w:rFonts w:ascii="Symbol" w:hAnsi="Symbol"/>
      </w:rPr>
    </w:lvl>
    <w:lvl w:ilvl="1" w:tplc="F222C556">
      <w:start w:val="1"/>
      <w:numFmt w:val="bullet"/>
      <w:lvlText w:val=""/>
      <w:lvlJc w:val="left"/>
      <w:pPr>
        <w:ind w:left="1080" w:hanging="360"/>
      </w:pPr>
      <w:rPr>
        <w:rFonts w:ascii="Symbol" w:hAnsi="Symbol"/>
      </w:rPr>
    </w:lvl>
    <w:lvl w:ilvl="2" w:tplc="1AD60CFC">
      <w:start w:val="1"/>
      <w:numFmt w:val="bullet"/>
      <w:lvlText w:val=""/>
      <w:lvlJc w:val="left"/>
      <w:pPr>
        <w:ind w:left="1080" w:hanging="360"/>
      </w:pPr>
      <w:rPr>
        <w:rFonts w:ascii="Symbol" w:hAnsi="Symbol"/>
      </w:rPr>
    </w:lvl>
    <w:lvl w:ilvl="3" w:tplc="60145F18">
      <w:start w:val="1"/>
      <w:numFmt w:val="bullet"/>
      <w:lvlText w:val=""/>
      <w:lvlJc w:val="left"/>
      <w:pPr>
        <w:ind w:left="1080" w:hanging="360"/>
      </w:pPr>
      <w:rPr>
        <w:rFonts w:ascii="Symbol" w:hAnsi="Symbol"/>
      </w:rPr>
    </w:lvl>
    <w:lvl w:ilvl="4" w:tplc="783877F6">
      <w:start w:val="1"/>
      <w:numFmt w:val="bullet"/>
      <w:lvlText w:val=""/>
      <w:lvlJc w:val="left"/>
      <w:pPr>
        <w:ind w:left="1080" w:hanging="360"/>
      </w:pPr>
      <w:rPr>
        <w:rFonts w:ascii="Symbol" w:hAnsi="Symbol"/>
      </w:rPr>
    </w:lvl>
    <w:lvl w:ilvl="5" w:tplc="B0D0CDE0">
      <w:start w:val="1"/>
      <w:numFmt w:val="bullet"/>
      <w:lvlText w:val=""/>
      <w:lvlJc w:val="left"/>
      <w:pPr>
        <w:ind w:left="1080" w:hanging="360"/>
      </w:pPr>
      <w:rPr>
        <w:rFonts w:ascii="Symbol" w:hAnsi="Symbol"/>
      </w:rPr>
    </w:lvl>
    <w:lvl w:ilvl="6" w:tplc="9F92139C">
      <w:start w:val="1"/>
      <w:numFmt w:val="bullet"/>
      <w:lvlText w:val=""/>
      <w:lvlJc w:val="left"/>
      <w:pPr>
        <w:ind w:left="1080" w:hanging="360"/>
      </w:pPr>
      <w:rPr>
        <w:rFonts w:ascii="Symbol" w:hAnsi="Symbol"/>
      </w:rPr>
    </w:lvl>
    <w:lvl w:ilvl="7" w:tplc="A484DA86">
      <w:start w:val="1"/>
      <w:numFmt w:val="bullet"/>
      <w:lvlText w:val=""/>
      <w:lvlJc w:val="left"/>
      <w:pPr>
        <w:ind w:left="1080" w:hanging="360"/>
      </w:pPr>
      <w:rPr>
        <w:rFonts w:ascii="Symbol" w:hAnsi="Symbol"/>
      </w:rPr>
    </w:lvl>
    <w:lvl w:ilvl="8" w:tplc="F18626BA">
      <w:start w:val="1"/>
      <w:numFmt w:val="bullet"/>
      <w:lvlText w:val=""/>
      <w:lvlJc w:val="left"/>
      <w:pPr>
        <w:ind w:left="1080" w:hanging="360"/>
      </w:pPr>
      <w:rPr>
        <w:rFonts w:ascii="Symbol" w:hAnsi="Symbol"/>
      </w:rPr>
    </w:lvl>
  </w:abstractNum>
  <w:abstractNum w:abstractNumId="3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A116F5B"/>
    <w:multiLevelType w:val="hybridMultilevel"/>
    <w:tmpl w:val="B10CCAA8"/>
    <w:lvl w:ilvl="0" w:tplc="0418675C">
      <w:start w:val="1"/>
      <w:numFmt w:val="bullet"/>
      <w:lvlText w:val=""/>
      <w:lvlJc w:val="left"/>
      <w:pPr>
        <w:ind w:left="720" w:hanging="360"/>
      </w:pPr>
      <w:rPr>
        <w:rFonts w:ascii="Symbol" w:hAnsi="Symbol"/>
      </w:rPr>
    </w:lvl>
    <w:lvl w:ilvl="1" w:tplc="C068FB2C">
      <w:start w:val="1"/>
      <w:numFmt w:val="bullet"/>
      <w:lvlText w:val=""/>
      <w:lvlJc w:val="left"/>
      <w:pPr>
        <w:ind w:left="720" w:hanging="360"/>
      </w:pPr>
      <w:rPr>
        <w:rFonts w:ascii="Symbol" w:hAnsi="Symbol"/>
      </w:rPr>
    </w:lvl>
    <w:lvl w:ilvl="2" w:tplc="59BAD246">
      <w:start w:val="1"/>
      <w:numFmt w:val="bullet"/>
      <w:lvlText w:val=""/>
      <w:lvlJc w:val="left"/>
      <w:pPr>
        <w:ind w:left="720" w:hanging="360"/>
      </w:pPr>
      <w:rPr>
        <w:rFonts w:ascii="Symbol" w:hAnsi="Symbol"/>
      </w:rPr>
    </w:lvl>
    <w:lvl w:ilvl="3" w:tplc="5810B2C8">
      <w:start w:val="1"/>
      <w:numFmt w:val="bullet"/>
      <w:lvlText w:val=""/>
      <w:lvlJc w:val="left"/>
      <w:pPr>
        <w:ind w:left="720" w:hanging="360"/>
      </w:pPr>
      <w:rPr>
        <w:rFonts w:ascii="Symbol" w:hAnsi="Symbol"/>
      </w:rPr>
    </w:lvl>
    <w:lvl w:ilvl="4" w:tplc="226269D4">
      <w:start w:val="1"/>
      <w:numFmt w:val="bullet"/>
      <w:lvlText w:val=""/>
      <w:lvlJc w:val="left"/>
      <w:pPr>
        <w:ind w:left="720" w:hanging="360"/>
      </w:pPr>
      <w:rPr>
        <w:rFonts w:ascii="Symbol" w:hAnsi="Symbol"/>
      </w:rPr>
    </w:lvl>
    <w:lvl w:ilvl="5" w:tplc="47447806">
      <w:start w:val="1"/>
      <w:numFmt w:val="bullet"/>
      <w:lvlText w:val=""/>
      <w:lvlJc w:val="left"/>
      <w:pPr>
        <w:ind w:left="720" w:hanging="360"/>
      </w:pPr>
      <w:rPr>
        <w:rFonts w:ascii="Symbol" w:hAnsi="Symbol"/>
      </w:rPr>
    </w:lvl>
    <w:lvl w:ilvl="6" w:tplc="23303B14">
      <w:start w:val="1"/>
      <w:numFmt w:val="bullet"/>
      <w:lvlText w:val=""/>
      <w:lvlJc w:val="left"/>
      <w:pPr>
        <w:ind w:left="720" w:hanging="360"/>
      </w:pPr>
      <w:rPr>
        <w:rFonts w:ascii="Symbol" w:hAnsi="Symbol"/>
      </w:rPr>
    </w:lvl>
    <w:lvl w:ilvl="7" w:tplc="E6D2A0A8">
      <w:start w:val="1"/>
      <w:numFmt w:val="bullet"/>
      <w:lvlText w:val=""/>
      <w:lvlJc w:val="left"/>
      <w:pPr>
        <w:ind w:left="720" w:hanging="360"/>
      </w:pPr>
      <w:rPr>
        <w:rFonts w:ascii="Symbol" w:hAnsi="Symbol"/>
      </w:rPr>
    </w:lvl>
    <w:lvl w:ilvl="8" w:tplc="C9684C44">
      <w:start w:val="1"/>
      <w:numFmt w:val="bullet"/>
      <w:lvlText w:val=""/>
      <w:lvlJc w:val="left"/>
      <w:pPr>
        <w:ind w:left="720" w:hanging="360"/>
      </w:pPr>
      <w:rPr>
        <w:rFonts w:ascii="Symbol" w:hAnsi="Symbol"/>
      </w:rPr>
    </w:lvl>
  </w:abstractNum>
  <w:abstractNum w:abstractNumId="35" w15:restartNumberingAfterBreak="0">
    <w:nsid w:val="6A8C5796"/>
    <w:multiLevelType w:val="hybridMultilevel"/>
    <w:tmpl w:val="FEFE0130"/>
    <w:lvl w:ilvl="0" w:tplc="CBC4BD4A">
      <w:start w:val="1"/>
      <w:numFmt w:val="decimal"/>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F916B0"/>
    <w:multiLevelType w:val="hybridMultilevel"/>
    <w:tmpl w:val="10807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0339EA"/>
    <w:multiLevelType w:val="hybridMultilevel"/>
    <w:tmpl w:val="CFAEE38C"/>
    <w:lvl w:ilvl="0" w:tplc="8CE828C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2615BD"/>
    <w:multiLevelType w:val="hybridMultilevel"/>
    <w:tmpl w:val="76A627A6"/>
    <w:lvl w:ilvl="0" w:tplc="83F6F260">
      <w:start w:val="1"/>
      <w:numFmt w:val="bullet"/>
      <w:lvlText w:val=""/>
      <w:lvlJc w:val="left"/>
      <w:pPr>
        <w:ind w:left="1080" w:hanging="360"/>
      </w:pPr>
      <w:rPr>
        <w:rFonts w:ascii="Symbol" w:hAnsi="Symbol"/>
      </w:rPr>
    </w:lvl>
    <w:lvl w:ilvl="1" w:tplc="CF021328">
      <w:start w:val="1"/>
      <w:numFmt w:val="bullet"/>
      <w:lvlText w:val=""/>
      <w:lvlJc w:val="left"/>
      <w:pPr>
        <w:ind w:left="1080" w:hanging="360"/>
      </w:pPr>
      <w:rPr>
        <w:rFonts w:ascii="Symbol" w:hAnsi="Symbol"/>
      </w:rPr>
    </w:lvl>
    <w:lvl w:ilvl="2" w:tplc="4BC0777C">
      <w:start w:val="1"/>
      <w:numFmt w:val="bullet"/>
      <w:lvlText w:val=""/>
      <w:lvlJc w:val="left"/>
      <w:pPr>
        <w:ind w:left="1080" w:hanging="360"/>
      </w:pPr>
      <w:rPr>
        <w:rFonts w:ascii="Symbol" w:hAnsi="Symbol"/>
      </w:rPr>
    </w:lvl>
    <w:lvl w:ilvl="3" w:tplc="2A1AB244">
      <w:start w:val="1"/>
      <w:numFmt w:val="bullet"/>
      <w:lvlText w:val=""/>
      <w:lvlJc w:val="left"/>
      <w:pPr>
        <w:ind w:left="1080" w:hanging="360"/>
      </w:pPr>
      <w:rPr>
        <w:rFonts w:ascii="Symbol" w:hAnsi="Symbol"/>
      </w:rPr>
    </w:lvl>
    <w:lvl w:ilvl="4" w:tplc="617AE9D2">
      <w:start w:val="1"/>
      <w:numFmt w:val="bullet"/>
      <w:lvlText w:val=""/>
      <w:lvlJc w:val="left"/>
      <w:pPr>
        <w:ind w:left="1080" w:hanging="360"/>
      </w:pPr>
      <w:rPr>
        <w:rFonts w:ascii="Symbol" w:hAnsi="Symbol"/>
      </w:rPr>
    </w:lvl>
    <w:lvl w:ilvl="5" w:tplc="A5320BCA">
      <w:start w:val="1"/>
      <w:numFmt w:val="bullet"/>
      <w:lvlText w:val=""/>
      <w:lvlJc w:val="left"/>
      <w:pPr>
        <w:ind w:left="1080" w:hanging="360"/>
      </w:pPr>
      <w:rPr>
        <w:rFonts w:ascii="Symbol" w:hAnsi="Symbol"/>
      </w:rPr>
    </w:lvl>
    <w:lvl w:ilvl="6" w:tplc="9050C712">
      <w:start w:val="1"/>
      <w:numFmt w:val="bullet"/>
      <w:lvlText w:val=""/>
      <w:lvlJc w:val="left"/>
      <w:pPr>
        <w:ind w:left="1080" w:hanging="360"/>
      </w:pPr>
      <w:rPr>
        <w:rFonts w:ascii="Symbol" w:hAnsi="Symbol"/>
      </w:rPr>
    </w:lvl>
    <w:lvl w:ilvl="7" w:tplc="95C88D6C">
      <w:start w:val="1"/>
      <w:numFmt w:val="bullet"/>
      <w:lvlText w:val=""/>
      <w:lvlJc w:val="left"/>
      <w:pPr>
        <w:ind w:left="1080" w:hanging="360"/>
      </w:pPr>
      <w:rPr>
        <w:rFonts w:ascii="Symbol" w:hAnsi="Symbol"/>
      </w:rPr>
    </w:lvl>
    <w:lvl w:ilvl="8" w:tplc="D00049A2">
      <w:start w:val="1"/>
      <w:numFmt w:val="bullet"/>
      <w:lvlText w:val=""/>
      <w:lvlJc w:val="left"/>
      <w:pPr>
        <w:ind w:left="1080" w:hanging="360"/>
      </w:pPr>
      <w:rPr>
        <w:rFonts w:ascii="Symbol" w:hAnsi="Symbol"/>
      </w:rPr>
    </w:lvl>
  </w:abstractNum>
  <w:abstractNum w:abstractNumId="39" w15:restartNumberingAfterBreak="0">
    <w:nsid w:val="77D02617"/>
    <w:multiLevelType w:val="hybridMultilevel"/>
    <w:tmpl w:val="E730C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05411D"/>
    <w:multiLevelType w:val="hybridMultilevel"/>
    <w:tmpl w:val="F2008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40"/>
  </w:num>
  <w:num w:numId="2" w16cid:durableId="917793048">
    <w:abstractNumId w:val="24"/>
  </w:num>
  <w:num w:numId="3" w16cid:durableId="263461728">
    <w:abstractNumId w:val="0"/>
  </w:num>
  <w:num w:numId="4" w16cid:durableId="139346788">
    <w:abstractNumId w:val="41"/>
  </w:num>
  <w:num w:numId="5" w16cid:durableId="220360847">
    <w:abstractNumId w:val="33"/>
  </w:num>
  <w:num w:numId="6" w16cid:durableId="268196418">
    <w:abstractNumId w:val="14"/>
  </w:num>
  <w:num w:numId="7" w16cid:durableId="1048839230">
    <w:abstractNumId w:val="40"/>
  </w:num>
  <w:num w:numId="8" w16cid:durableId="1523974363">
    <w:abstractNumId w:val="4"/>
  </w:num>
  <w:num w:numId="9" w16cid:durableId="1638022486">
    <w:abstractNumId w:val="21"/>
  </w:num>
  <w:num w:numId="10" w16cid:durableId="169297468">
    <w:abstractNumId w:val="7"/>
  </w:num>
  <w:num w:numId="11" w16cid:durableId="933560702">
    <w:abstractNumId w:val="39"/>
  </w:num>
  <w:num w:numId="12" w16cid:durableId="897278505">
    <w:abstractNumId w:val="3"/>
  </w:num>
  <w:num w:numId="13" w16cid:durableId="419060518">
    <w:abstractNumId w:val="2"/>
  </w:num>
  <w:num w:numId="14" w16cid:durableId="2041582957">
    <w:abstractNumId w:val="15"/>
  </w:num>
  <w:num w:numId="15" w16cid:durableId="1491290506">
    <w:abstractNumId w:val="1"/>
  </w:num>
  <w:num w:numId="16" w16cid:durableId="511340392">
    <w:abstractNumId w:val="14"/>
  </w:num>
  <w:num w:numId="17" w16cid:durableId="891623889">
    <w:abstractNumId w:val="14"/>
  </w:num>
  <w:num w:numId="18" w16cid:durableId="609701957">
    <w:abstractNumId w:val="18"/>
  </w:num>
  <w:num w:numId="19" w16cid:durableId="1989164634">
    <w:abstractNumId w:val="37"/>
  </w:num>
  <w:num w:numId="20" w16cid:durableId="2081057110">
    <w:abstractNumId w:val="27"/>
  </w:num>
  <w:num w:numId="21" w16cid:durableId="1109852689">
    <w:abstractNumId w:val="42"/>
  </w:num>
  <w:num w:numId="22" w16cid:durableId="706176956">
    <w:abstractNumId w:val="36"/>
  </w:num>
  <w:num w:numId="23" w16cid:durableId="664288966">
    <w:abstractNumId w:val="19"/>
  </w:num>
  <w:num w:numId="24" w16cid:durableId="135993904">
    <w:abstractNumId w:val="11"/>
  </w:num>
  <w:num w:numId="25" w16cid:durableId="1604454054">
    <w:abstractNumId w:val="20"/>
  </w:num>
  <w:num w:numId="26" w16cid:durableId="408699874">
    <w:abstractNumId w:val="28"/>
  </w:num>
  <w:num w:numId="27" w16cid:durableId="1979457665">
    <w:abstractNumId w:val="13"/>
  </w:num>
  <w:num w:numId="28" w16cid:durableId="12974431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1596513">
    <w:abstractNumId w:val="26"/>
  </w:num>
  <w:num w:numId="30" w16cid:durableId="1260524378">
    <w:abstractNumId w:val="31"/>
  </w:num>
  <w:num w:numId="31" w16cid:durableId="419720435">
    <w:abstractNumId w:val="38"/>
  </w:num>
  <w:num w:numId="32" w16cid:durableId="270213081">
    <w:abstractNumId w:val="32"/>
  </w:num>
  <w:num w:numId="33" w16cid:durableId="960111079">
    <w:abstractNumId w:val="8"/>
  </w:num>
  <w:num w:numId="34" w16cid:durableId="1539246245">
    <w:abstractNumId w:val="10"/>
  </w:num>
  <w:num w:numId="35" w16cid:durableId="1738436750">
    <w:abstractNumId w:val="22"/>
  </w:num>
  <w:num w:numId="36" w16cid:durableId="160658184">
    <w:abstractNumId w:val="25"/>
  </w:num>
  <w:num w:numId="37" w16cid:durableId="1856536227">
    <w:abstractNumId w:val="6"/>
  </w:num>
  <w:num w:numId="38" w16cid:durableId="673142222">
    <w:abstractNumId w:val="34"/>
  </w:num>
  <w:num w:numId="39" w16cid:durableId="1846049015">
    <w:abstractNumId w:val="30"/>
  </w:num>
  <w:num w:numId="40" w16cid:durableId="2130083154">
    <w:abstractNumId w:val="17"/>
  </w:num>
  <w:num w:numId="41" w16cid:durableId="204372958">
    <w:abstractNumId w:val="23"/>
  </w:num>
  <w:num w:numId="42" w16cid:durableId="2020304691">
    <w:abstractNumId w:val="12"/>
  </w:num>
  <w:num w:numId="43" w16cid:durableId="2003046695">
    <w:abstractNumId w:val="16"/>
  </w:num>
  <w:num w:numId="44" w16cid:durableId="1575310224">
    <w:abstractNumId w:val="29"/>
  </w:num>
  <w:num w:numId="45" w16cid:durableId="578907071">
    <w:abstractNumId w:val="5"/>
  </w:num>
  <w:num w:numId="46" w16cid:durableId="1955749384">
    <w:abstractNumId w:val="35"/>
  </w:num>
  <w:num w:numId="47" w16cid:durableId="794835641">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62"/>
    <w:rsid w:val="0000078E"/>
    <w:rsid w:val="00000790"/>
    <w:rsid w:val="00000793"/>
    <w:rsid w:val="00000878"/>
    <w:rsid w:val="00000FF3"/>
    <w:rsid w:val="0000110B"/>
    <w:rsid w:val="0000135C"/>
    <w:rsid w:val="000015D1"/>
    <w:rsid w:val="00001B66"/>
    <w:rsid w:val="00001D84"/>
    <w:rsid w:val="00001E60"/>
    <w:rsid w:val="00001F70"/>
    <w:rsid w:val="000024DA"/>
    <w:rsid w:val="00002D19"/>
    <w:rsid w:val="00002E25"/>
    <w:rsid w:val="00002E6E"/>
    <w:rsid w:val="00003191"/>
    <w:rsid w:val="000031D4"/>
    <w:rsid w:val="00003456"/>
    <w:rsid w:val="00003499"/>
    <w:rsid w:val="000039B7"/>
    <w:rsid w:val="00003A7F"/>
    <w:rsid w:val="00004051"/>
    <w:rsid w:val="00004054"/>
    <w:rsid w:val="00004715"/>
    <w:rsid w:val="00004BF7"/>
    <w:rsid w:val="000054FF"/>
    <w:rsid w:val="000056B9"/>
    <w:rsid w:val="0000639A"/>
    <w:rsid w:val="00006587"/>
    <w:rsid w:val="00006754"/>
    <w:rsid w:val="00006C4C"/>
    <w:rsid w:val="000075CB"/>
    <w:rsid w:val="00010AEB"/>
    <w:rsid w:val="00010B69"/>
    <w:rsid w:val="00010ED2"/>
    <w:rsid w:val="00011144"/>
    <w:rsid w:val="0001129A"/>
    <w:rsid w:val="00011847"/>
    <w:rsid w:val="00011F10"/>
    <w:rsid w:val="00011F18"/>
    <w:rsid w:val="0001207F"/>
    <w:rsid w:val="00012872"/>
    <w:rsid w:val="00012C02"/>
    <w:rsid w:val="00012F07"/>
    <w:rsid w:val="00013247"/>
    <w:rsid w:val="00014669"/>
    <w:rsid w:val="000147BA"/>
    <w:rsid w:val="000154CF"/>
    <w:rsid w:val="00015886"/>
    <w:rsid w:val="00015923"/>
    <w:rsid w:val="000162EF"/>
    <w:rsid w:val="0001672E"/>
    <w:rsid w:val="00016731"/>
    <w:rsid w:val="00016807"/>
    <w:rsid w:val="000168D4"/>
    <w:rsid w:val="00016B0A"/>
    <w:rsid w:val="00016DDE"/>
    <w:rsid w:val="00016F4C"/>
    <w:rsid w:val="000170CC"/>
    <w:rsid w:val="000174A8"/>
    <w:rsid w:val="00017D65"/>
    <w:rsid w:val="00017EAD"/>
    <w:rsid w:val="000207C9"/>
    <w:rsid w:val="00020C1F"/>
    <w:rsid w:val="00020C73"/>
    <w:rsid w:val="0002110F"/>
    <w:rsid w:val="000213F2"/>
    <w:rsid w:val="00021745"/>
    <w:rsid w:val="0002177F"/>
    <w:rsid w:val="00021BFA"/>
    <w:rsid w:val="0002206A"/>
    <w:rsid w:val="00022251"/>
    <w:rsid w:val="0002225F"/>
    <w:rsid w:val="00022B8F"/>
    <w:rsid w:val="00022DD8"/>
    <w:rsid w:val="000230BA"/>
    <w:rsid w:val="000231D9"/>
    <w:rsid w:val="0002324B"/>
    <w:rsid w:val="00023763"/>
    <w:rsid w:val="000240F0"/>
    <w:rsid w:val="0002467A"/>
    <w:rsid w:val="00024EB5"/>
    <w:rsid w:val="000251D1"/>
    <w:rsid w:val="00025630"/>
    <w:rsid w:val="0002577C"/>
    <w:rsid w:val="0002587D"/>
    <w:rsid w:val="00025C1D"/>
    <w:rsid w:val="000261AC"/>
    <w:rsid w:val="00026273"/>
    <w:rsid w:val="00026CF7"/>
    <w:rsid w:val="00026FB7"/>
    <w:rsid w:val="00027113"/>
    <w:rsid w:val="0002728C"/>
    <w:rsid w:val="000274B8"/>
    <w:rsid w:val="00027803"/>
    <w:rsid w:val="00027C8D"/>
    <w:rsid w:val="00027EBC"/>
    <w:rsid w:val="00027F28"/>
    <w:rsid w:val="00030A98"/>
    <w:rsid w:val="00030B09"/>
    <w:rsid w:val="00030B5B"/>
    <w:rsid w:val="000310B4"/>
    <w:rsid w:val="0003188E"/>
    <w:rsid w:val="00031EC9"/>
    <w:rsid w:val="00032A75"/>
    <w:rsid w:val="00032D96"/>
    <w:rsid w:val="00032E3F"/>
    <w:rsid w:val="00033863"/>
    <w:rsid w:val="000339F6"/>
    <w:rsid w:val="00033E19"/>
    <w:rsid w:val="00034B2A"/>
    <w:rsid w:val="00034BEE"/>
    <w:rsid w:val="00034D32"/>
    <w:rsid w:val="00034FBD"/>
    <w:rsid w:val="00035773"/>
    <w:rsid w:val="00035DC0"/>
    <w:rsid w:val="00035F99"/>
    <w:rsid w:val="0003610A"/>
    <w:rsid w:val="00036829"/>
    <w:rsid w:val="00036A07"/>
    <w:rsid w:val="000370AC"/>
    <w:rsid w:val="00037936"/>
    <w:rsid w:val="000379FC"/>
    <w:rsid w:val="00037B10"/>
    <w:rsid w:val="00040895"/>
    <w:rsid w:val="00040E4D"/>
    <w:rsid w:val="000410A0"/>
    <w:rsid w:val="000419E2"/>
    <w:rsid w:val="00041AA3"/>
    <w:rsid w:val="00041B02"/>
    <w:rsid w:val="00041C51"/>
    <w:rsid w:val="00041F2D"/>
    <w:rsid w:val="00042413"/>
    <w:rsid w:val="0004252C"/>
    <w:rsid w:val="000427C9"/>
    <w:rsid w:val="00042AD4"/>
    <w:rsid w:val="00042C55"/>
    <w:rsid w:val="00042D2F"/>
    <w:rsid w:val="00043296"/>
    <w:rsid w:val="000435EE"/>
    <w:rsid w:val="0004367F"/>
    <w:rsid w:val="000438F2"/>
    <w:rsid w:val="00043C37"/>
    <w:rsid w:val="00043CD4"/>
    <w:rsid w:val="00043E4C"/>
    <w:rsid w:val="00043F50"/>
    <w:rsid w:val="000441CC"/>
    <w:rsid w:val="000443F8"/>
    <w:rsid w:val="000445DD"/>
    <w:rsid w:val="0004483A"/>
    <w:rsid w:val="00044DF1"/>
    <w:rsid w:val="00045017"/>
    <w:rsid w:val="00045A2B"/>
    <w:rsid w:val="00045CD8"/>
    <w:rsid w:val="00045F56"/>
    <w:rsid w:val="000468FC"/>
    <w:rsid w:val="0004698F"/>
    <w:rsid w:val="00046D58"/>
    <w:rsid w:val="00046D64"/>
    <w:rsid w:val="00047B1C"/>
    <w:rsid w:val="00050506"/>
    <w:rsid w:val="000508C2"/>
    <w:rsid w:val="00050AFD"/>
    <w:rsid w:val="000510E3"/>
    <w:rsid w:val="00051DEC"/>
    <w:rsid w:val="000525BD"/>
    <w:rsid w:val="00052640"/>
    <w:rsid w:val="00052849"/>
    <w:rsid w:val="000529D1"/>
    <w:rsid w:val="00052ED6"/>
    <w:rsid w:val="0005322D"/>
    <w:rsid w:val="000532EE"/>
    <w:rsid w:val="000534E7"/>
    <w:rsid w:val="000537EA"/>
    <w:rsid w:val="000539D0"/>
    <w:rsid w:val="00054300"/>
    <w:rsid w:val="000543FD"/>
    <w:rsid w:val="00054621"/>
    <w:rsid w:val="000546D7"/>
    <w:rsid w:val="000548E6"/>
    <w:rsid w:val="00054A8D"/>
    <w:rsid w:val="000555F3"/>
    <w:rsid w:val="00055602"/>
    <w:rsid w:val="00055F04"/>
    <w:rsid w:val="000567FA"/>
    <w:rsid w:val="00056847"/>
    <w:rsid w:val="000569E2"/>
    <w:rsid w:val="00056D71"/>
    <w:rsid w:val="00056ECF"/>
    <w:rsid w:val="000574C6"/>
    <w:rsid w:val="00057D11"/>
    <w:rsid w:val="00060401"/>
    <w:rsid w:val="000604DF"/>
    <w:rsid w:val="0006059D"/>
    <w:rsid w:val="00060CB6"/>
    <w:rsid w:val="00061ABC"/>
    <w:rsid w:val="00061AFF"/>
    <w:rsid w:val="000622EE"/>
    <w:rsid w:val="00062324"/>
    <w:rsid w:val="00063012"/>
    <w:rsid w:val="000632F6"/>
    <w:rsid w:val="000632FB"/>
    <w:rsid w:val="00063B6C"/>
    <w:rsid w:val="00063FD7"/>
    <w:rsid w:val="00064201"/>
    <w:rsid w:val="00064ABB"/>
    <w:rsid w:val="00064B2E"/>
    <w:rsid w:val="00064B51"/>
    <w:rsid w:val="00064F79"/>
    <w:rsid w:val="000653B5"/>
    <w:rsid w:val="00065F24"/>
    <w:rsid w:val="00066360"/>
    <w:rsid w:val="000664C4"/>
    <w:rsid w:val="000665FC"/>
    <w:rsid w:val="00066AF8"/>
    <w:rsid w:val="00066BE5"/>
    <w:rsid w:val="00066F1B"/>
    <w:rsid w:val="00066FB6"/>
    <w:rsid w:val="000675C3"/>
    <w:rsid w:val="00067A9C"/>
    <w:rsid w:val="00067DED"/>
    <w:rsid w:val="000708A4"/>
    <w:rsid w:val="00070ECE"/>
    <w:rsid w:val="00071248"/>
    <w:rsid w:val="00071404"/>
    <w:rsid w:val="00071724"/>
    <w:rsid w:val="00071AA5"/>
    <w:rsid w:val="00071C01"/>
    <w:rsid w:val="000720B9"/>
    <w:rsid w:val="000725B2"/>
    <w:rsid w:val="00072EA0"/>
    <w:rsid w:val="000737F7"/>
    <w:rsid w:val="000738D2"/>
    <w:rsid w:val="000738DD"/>
    <w:rsid w:val="00073F3D"/>
    <w:rsid w:val="00074173"/>
    <w:rsid w:val="00074769"/>
    <w:rsid w:val="000748A8"/>
    <w:rsid w:val="00074B2C"/>
    <w:rsid w:val="000753E3"/>
    <w:rsid w:val="00075540"/>
    <w:rsid w:val="00075C1B"/>
    <w:rsid w:val="00075F2A"/>
    <w:rsid w:val="00076037"/>
    <w:rsid w:val="0007672F"/>
    <w:rsid w:val="0007698F"/>
    <w:rsid w:val="00076B54"/>
    <w:rsid w:val="00076E86"/>
    <w:rsid w:val="00076EFD"/>
    <w:rsid w:val="000770B7"/>
    <w:rsid w:val="000770E7"/>
    <w:rsid w:val="000774C2"/>
    <w:rsid w:val="000774F0"/>
    <w:rsid w:val="0007784C"/>
    <w:rsid w:val="00077B04"/>
    <w:rsid w:val="00077C3E"/>
    <w:rsid w:val="000805C0"/>
    <w:rsid w:val="00080909"/>
    <w:rsid w:val="000812CA"/>
    <w:rsid w:val="000813DA"/>
    <w:rsid w:val="00081A17"/>
    <w:rsid w:val="00081E63"/>
    <w:rsid w:val="0008200C"/>
    <w:rsid w:val="0008214F"/>
    <w:rsid w:val="00082583"/>
    <w:rsid w:val="0008258D"/>
    <w:rsid w:val="0008284B"/>
    <w:rsid w:val="00082EDA"/>
    <w:rsid w:val="0008342B"/>
    <w:rsid w:val="0008349E"/>
    <w:rsid w:val="000837EA"/>
    <w:rsid w:val="00083935"/>
    <w:rsid w:val="000839CE"/>
    <w:rsid w:val="000839F7"/>
    <w:rsid w:val="00083DB2"/>
    <w:rsid w:val="00083DF1"/>
    <w:rsid w:val="00083E99"/>
    <w:rsid w:val="0008421E"/>
    <w:rsid w:val="000845D3"/>
    <w:rsid w:val="00084E25"/>
    <w:rsid w:val="00084FA8"/>
    <w:rsid w:val="000856C5"/>
    <w:rsid w:val="000857A5"/>
    <w:rsid w:val="00085C31"/>
    <w:rsid w:val="00085D07"/>
    <w:rsid w:val="00085DB4"/>
    <w:rsid w:val="000861C2"/>
    <w:rsid w:val="00086228"/>
    <w:rsid w:val="00086507"/>
    <w:rsid w:val="000869C5"/>
    <w:rsid w:val="00086D9A"/>
    <w:rsid w:val="00087226"/>
    <w:rsid w:val="00087300"/>
    <w:rsid w:val="00087ABC"/>
    <w:rsid w:val="00087B89"/>
    <w:rsid w:val="00090243"/>
    <w:rsid w:val="000902D9"/>
    <w:rsid w:val="0009045B"/>
    <w:rsid w:val="000906EC"/>
    <w:rsid w:val="00090795"/>
    <w:rsid w:val="000909A0"/>
    <w:rsid w:val="00090C7E"/>
    <w:rsid w:val="00090D25"/>
    <w:rsid w:val="00090FA1"/>
    <w:rsid w:val="000911AC"/>
    <w:rsid w:val="0009129E"/>
    <w:rsid w:val="00091558"/>
    <w:rsid w:val="00091D8E"/>
    <w:rsid w:val="00092600"/>
    <w:rsid w:val="0009262B"/>
    <w:rsid w:val="000926C9"/>
    <w:rsid w:val="000927DE"/>
    <w:rsid w:val="0009297B"/>
    <w:rsid w:val="000929B5"/>
    <w:rsid w:val="00093310"/>
    <w:rsid w:val="00093977"/>
    <w:rsid w:val="000939C3"/>
    <w:rsid w:val="000941D0"/>
    <w:rsid w:val="00094240"/>
    <w:rsid w:val="000942F1"/>
    <w:rsid w:val="0009445C"/>
    <w:rsid w:val="00094AD5"/>
    <w:rsid w:val="00094BAE"/>
    <w:rsid w:val="00094E3C"/>
    <w:rsid w:val="00095200"/>
    <w:rsid w:val="00095CFF"/>
    <w:rsid w:val="00095FE5"/>
    <w:rsid w:val="00096284"/>
    <w:rsid w:val="000969F1"/>
    <w:rsid w:val="00096D7E"/>
    <w:rsid w:val="000971A8"/>
    <w:rsid w:val="000971EC"/>
    <w:rsid w:val="00097424"/>
    <w:rsid w:val="000974DE"/>
    <w:rsid w:val="000976BE"/>
    <w:rsid w:val="000979D9"/>
    <w:rsid w:val="00097A7C"/>
    <w:rsid w:val="00097CDD"/>
    <w:rsid w:val="00097D55"/>
    <w:rsid w:val="00097FDB"/>
    <w:rsid w:val="000A0039"/>
    <w:rsid w:val="000A11C1"/>
    <w:rsid w:val="000A146B"/>
    <w:rsid w:val="000A1923"/>
    <w:rsid w:val="000A192B"/>
    <w:rsid w:val="000A1BC0"/>
    <w:rsid w:val="000A1BC1"/>
    <w:rsid w:val="000A1F97"/>
    <w:rsid w:val="000A258F"/>
    <w:rsid w:val="000A2F9E"/>
    <w:rsid w:val="000A3314"/>
    <w:rsid w:val="000A3342"/>
    <w:rsid w:val="000A3769"/>
    <w:rsid w:val="000A39CA"/>
    <w:rsid w:val="000A3E47"/>
    <w:rsid w:val="000A4239"/>
    <w:rsid w:val="000A5190"/>
    <w:rsid w:val="000A522B"/>
    <w:rsid w:val="000A575A"/>
    <w:rsid w:val="000A5985"/>
    <w:rsid w:val="000A6039"/>
    <w:rsid w:val="000A61CA"/>
    <w:rsid w:val="000A628A"/>
    <w:rsid w:val="000A63BC"/>
    <w:rsid w:val="000A67A7"/>
    <w:rsid w:val="000A6A2B"/>
    <w:rsid w:val="000A728A"/>
    <w:rsid w:val="000A7453"/>
    <w:rsid w:val="000A7D08"/>
    <w:rsid w:val="000A7D56"/>
    <w:rsid w:val="000A7F75"/>
    <w:rsid w:val="000A7FFB"/>
    <w:rsid w:val="000B0121"/>
    <w:rsid w:val="000B0670"/>
    <w:rsid w:val="000B073D"/>
    <w:rsid w:val="000B0E75"/>
    <w:rsid w:val="000B162D"/>
    <w:rsid w:val="000B1EEE"/>
    <w:rsid w:val="000B210C"/>
    <w:rsid w:val="000B227E"/>
    <w:rsid w:val="000B26E3"/>
    <w:rsid w:val="000B2D42"/>
    <w:rsid w:val="000B2DCB"/>
    <w:rsid w:val="000B2E3A"/>
    <w:rsid w:val="000B2EC3"/>
    <w:rsid w:val="000B30E4"/>
    <w:rsid w:val="000B3433"/>
    <w:rsid w:val="000B3626"/>
    <w:rsid w:val="000B3B57"/>
    <w:rsid w:val="000B3C9C"/>
    <w:rsid w:val="000B439D"/>
    <w:rsid w:val="000B440B"/>
    <w:rsid w:val="000B45E6"/>
    <w:rsid w:val="000B47AC"/>
    <w:rsid w:val="000B4A93"/>
    <w:rsid w:val="000B4F0D"/>
    <w:rsid w:val="000B5000"/>
    <w:rsid w:val="000B5687"/>
    <w:rsid w:val="000B5845"/>
    <w:rsid w:val="000B5CE0"/>
    <w:rsid w:val="000B5E73"/>
    <w:rsid w:val="000B6298"/>
    <w:rsid w:val="000B6745"/>
    <w:rsid w:val="000B67C0"/>
    <w:rsid w:val="000B6CAC"/>
    <w:rsid w:val="000B6E9E"/>
    <w:rsid w:val="000B745E"/>
    <w:rsid w:val="000B7612"/>
    <w:rsid w:val="000B7622"/>
    <w:rsid w:val="000B76E5"/>
    <w:rsid w:val="000B78AE"/>
    <w:rsid w:val="000C07B9"/>
    <w:rsid w:val="000C10A4"/>
    <w:rsid w:val="000C1434"/>
    <w:rsid w:val="000C1732"/>
    <w:rsid w:val="000C1DFE"/>
    <w:rsid w:val="000C2118"/>
    <w:rsid w:val="000C24AD"/>
    <w:rsid w:val="000C2A9F"/>
    <w:rsid w:val="000C314F"/>
    <w:rsid w:val="000C3224"/>
    <w:rsid w:val="000C33C7"/>
    <w:rsid w:val="000C3C02"/>
    <w:rsid w:val="000C3C7E"/>
    <w:rsid w:val="000C3D7D"/>
    <w:rsid w:val="000C3DF9"/>
    <w:rsid w:val="000C42B2"/>
    <w:rsid w:val="000C439E"/>
    <w:rsid w:val="000C4684"/>
    <w:rsid w:val="000C4BEF"/>
    <w:rsid w:val="000C4CF2"/>
    <w:rsid w:val="000C4E5E"/>
    <w:rsid w:val="000C5107"/>
    <w:rsid w:val="000C5D13"/>
    <w:rsid w:val="000C5E7E"/>
    <w:rsid w:val="000C5FEA"/>
    <w:rsid w:val="000C6153"/>
    <w:rsid w:val="000C6713"/>
    <w:rsid w:val="000C6A4E"/>
    <w:rsid w:val="000C6B99"/>
    <w:rsid w:val="000C7CDA"/>
    <w:rsid w:val="000D02B4"/>
    <w:rsid w:val="000D0946"/>
    <w:rsid w:val="000D1294"/>
    <w:rsid w:val="000D1BFC"/>
    <w:rsid w:val="000D1D5D"/>
    <w:rsid w:val="000D2652"/>
    <w:rsid w:val="000D281A"/>
    <w:rsid w:val="000D2848"/>
    <w:rsid w:val="000D2CEC"/>
    <w:rsid w:val="000D2EAC"/>
    <w:rsid w:val="000D304A"/>
    <w:rsid w:val="000D322F"/>
    <w:rsid w:val="000D326A"/>
    <w:rsid w:val="000D3283"/>
    <w:rsid w:val="000D3F53"/>
    <w:rsid w:val="000D51FB"/>
    <w:rsid w:val="000D59BB"/>
    <w:rsid w:val="000D5A1F"/>
    <w:rsid w:val="000D600E"/>
    <w:rsid w:val="000D66AD"/>
    <w:rsid w:val="000D6870"/>
    <w:rsid w:val="000D6B62"/>
    <w:rsid w:val="000D6CA7"/>
    <w:rsid w:val="000D6F96"/>
    <w:rsid w:val="000D7127"/>
    <w:rsid w:val="000D7C7E"/>
    <w:rsid w:val="000E0640"/>
    <w:rsid w:val="000E0651"/>
    <w:rsid w:val="000E087A"/>
    <w:rsid w:val="000E0E90"/>
    <w:rsid w:val="000E1267"/>
    <w:rsid w:val="000E135D"/>
    <w:rsid w:val="000E1535"/>
    <w:rsid w:val="000E16F0"/>
    <w:rsid w:val="000E1D39"/>
    <w:rsid w:val="000E1EA7"/>
    <w:rsid w:val="000E244C"/>
    <w:rsid w:val="000E2945"/>
    <w:rsid w:val="000E2A64"/>
    <w:rsid w:val="000E2BBD"/>
    <w:rsid w:val="000E2E37"/>
    <w:rsid w:val="000E3C1E"/>
    <w:rsid w:val="000E4090"/>
    <w:rsid w:val="000E44F7"/>
    <w:rsid w:val="000E4765"/>
    <w:rsid w:val="000E48CB"/>
    <w:rsid w:val="000E4F84"/>
    <w:rsid w:val="000E56B4"/>
    <w:rsid w:val="000E64BC"/>
    <w:rsid w:val="000E6605"/>
    <w:rsid w:val="000E6631"/>
    <w:rsid w:val="000E6E0A"/>
    <w:rsid w:val="000E7DBC"/>
    <w:rsid w:val="000F00BA"/>
    <w:rsid w:val="000F0389"/>
    <w:rsid w:val="000F048B"/>
    <w:rsid w:val="000F0C59"/>
    <w:rsid w:val="000F0C9E"/>
    <w:rsid w:val="000F10A6"/>
    <w:rsid w:val="000F12D2"/>
    <w:rsid w:val="000F1E22"/>
    <w:rsid w:val="000F20E2"/>
    <w:rsid w:val="000F2136"/>
    <w:rsid w:val="000F2381"/>
    <w:rsid w:val="000F26D1"/>
    <w:rsid w:val="000F2815"/>
    <w:rsid w:val="000F2C32"/>
    <w:rsid w:val="000F316A"/>
    <w:rsid w:val="000F3666"/>
    <w:rsid w:val="000F3983"/>
    <w:rsid w:val="000F3B36"/>
    <w:rsid w:val="000F3C74"/>
    <w:rsid w:val="000F4173"/>
    <w:rsid w:val="000F4748"/>
    <w:rsid w:val="000F491D"/>
    <w:rsid w:val="000F4BB8"/>
    <w:rsid w:val="000F4FA9"/>
    <w:rsid w:val="000F53FB"/>
    <w:rsid w:val="000F5550"/>
    <w:rsid w:val="000F5A10"/>
    <w:rsid w:val="000F5DE0"/>
    <w:rsid w:val="000F6E26"/>
    <w:rsid w:val="000F7127"/>
    <w:rsid w:val="000F717E"/>
    <w:rsid w:val="000F731E"/>
    <w:rsid w:val="000F798E"/>
    <w:rsid w:val="000F7B54"/>
    <w:rsid w:val="000F7FCF"/>
    <w:rsid w:val="00100094"/>
    <w:rsid w:val="001000B3"/>
    <w:rsid w:val="00100466"/>
    <w:rsid w:val="00100591"/>
    <w:rsid w:val="001006C9"/>
    <w:rsid w:val="00100966"/>
    <w:rsid w:val="00100A58"/>
    <w:rsid w:val="00100D82"/>
    <w:rsid w:val="00100EDF"/>
    <w:rsid w:val="00100F8A"/>
    <w:rsid w:val="00100F9F"/>
    <w:rsid w:val="00101571"/>
    <w:rsid w:val="00101CBD"/>
    <w:rsid w:val="00101CEB"/>
    <w:rsid w:val="0010234B"/>
    <w:rsid w:val="00102D22"/>
    <w:rsid w:val="00102EA0"/>
    <w:rsid w:val="00103050"/>
    <w:rsid w:val="00103220"/>
    <w:rsid w:val="00103425"/>
    <w:rsid w:val="00103472"/>
    <w:rsid w:val="0010428A"/>
    <w:rsid w:val="0010440C"/>
    <w:rsid w:val="0010452E"/>
    <w:rsid w:val="001058BB"/>
    <w:rsid w:val="00105AE2"/>
    <w:rsid w:val="00105AE4"/>
    <w:rsid w:val="00105B1D"/>
    <w:rsid w:val="00105EE0"/>
    <w:rsid w:val="001060C6"/>
    <w:rsid w:val="0010649E"/>
    <w:rsid w:val="001067A4"/>
    <w:rsid w:val="00106B3E"/>
    <w:rsid w:val="00106B80"/>
    <w:rsid w:val="00106DB9"/>
    <w:rsid w:val="00106FD2"/>
    <w:rsid w:val="001073D3"/>
    <w:rsid w:val="0010779F"/>
    <w:rsid w:val="00107D77"/>
    <w:rsid w:val="00110085"/>
    <w:rsid w:val="0011032E"/>
    <w:rsid w:val="00110BCD"/>
    <w:rsid w:val="001113AF"/>
    <w:rsid w:val="00111480"/>
    <w:rsid w:val="00111F12"/>
    <w:rsid w:val="0011200F"/>
    <w:rsid w:val="0011225D"/>
    <w:rsid w:val="001128AD"/>
    <w:rsid w:val="00112977"/>
    <w:rsid w:val="00113100"/>
    <w:rsid w:val="0011322C"/>
    <w:rsid w:val="0011348B"/>
    <w:rsid w:val="00113527"/>
    <w:rsid w:val="001135A5"/>
    <w:rsid w:val="00113843"/>
    <w:rsid w:val="00113CC5"/>
    <w:rsid w:val="00113F03"/>
    <w:rsid w:val="001142D4"/>
    <w:rsid w:val="00114B42"/>
    <w:rsid w:val="00114BDF"/>
    <w:rsid w:val="00114D85"/>
    <w:rsid w:val="00115982"/>
    <w:rsid w:val="00115C50"/>
    <w:rsid w:val="00115D4E"/>
    <w:rsid w:val="00115E0F"/>
    <w:rsid w:val="00115E26"/>
    <w:rsid w:val="00116225"/>
    <w:rsid w:val="00116C53"/>
    <w:rsid w:val="001171A7"/>
    <w:rsid w:val="00117243"/>
    <w:rsid w:val="00117601"/>
    <w:rsid w:val="00117E2C"/>
    <w:rsid w:val="00120174"/>
    <w:rsid w:val="001208B3"/>
    <w:rsid w:val="00121248"/>
    <w:rsid w:val="00121799"/>
    <w:rsid w:val="001217F7"/>
    <w:rsid w:val="00121D41"/>
    <w:rsid w:val="00121FC5"/>
    <w:rsid w:val="0012208A"/>
    <w:rsid w:val="001222FC"/>
    <w:rsid w:val="0012271E"/>
    <w:rsid w:val="001227B8"/>
    <w:rsid w:val="00122B8D"/>
    <w:rsid w:val="00122DBA"/>
    <w:rsid w:val="00122DD4"/>
    <w:rsid w:val="00122DFB"/>
    <w:rsid w:val="00122F12"/>
    <w:rsid w:val="00123164"/>
    <w:rsid w:val="00123902"/>
    <w:rsid w:val="00123B7E"/>
    <w:rsid w:val="001240A6"/>
    <w:rsid w:val="0012415F"/>
    <w:rsid w:val="00124220"/>
    <w:rsid w:val="001244FC"/>
    <w:rsid w:val="0012464C"/>
    <w:rsid w:val="00124A37"/>
    <w:rsid w:val="00124A51"/>
    <w:rsid w:val="00124C3C"/>
    <w:rsid w:val="00125341"/>
    <w:rsid w:val="001256C7"/>
    <w:rsid w:val="00126245"/>
    <w:rsid w:val="001262E4"/>
    <w:rsid w:val="00126621"/>
    <w:rsid w:val="00126B1D"/>
    <w:rsid w:val="0012706E"/>
    <w:rsid w:val="00127575"/>
    <w:rsid w:val="001301E9"/>
    <w:rsid w:val="00130399"/>
    <w:rsid w:val="00130CFE"/>
    <w:rsid w:val="00130F23"/>
    <w:rsid w:val="00130FCD"/>
    <w:rsid w:val="00130FD3"/>
    <w:rsid w:val="0013114C"/>
    <w:rsid w:val="00131914"/>
    <w:rsid w:val="00131C05"/>
    <w:rsid w:val="00131D82"/>
    <w:rsid w:val="00131E7C"/>
    <w:rsid w:val="00132134"/>
    <w:rsid w:val="00132415"/>
    <w:rsid w:val="001328A3"/>
    <w:rsid w:val="00132B22"/>
    <w:rsid w:val="00132F2D"/>
    <w:rsid w:val="00133D36"/>
    <w:rsid w:val="00133EDC"/>
    <w:rsid w:val="00133F84"/>
    <w:rsid w:val="00134FC0"/>
    <w:rsid w:val="001359A4"/>
    <w:rsid w:val="00136246"/>
    <w:rsid w:val="0013633C"/>
    <w:rsid w:val="00136353"/>
    <w:rsid w:val="0013655F"/>
    <w:rsid w:val="00137645"/>
    <w:rsid w:val="00137AEB"/>
    <w:rsid w:val="00137B96"/>
    <w:rsid w:val="0014015A"/>
    <w:rsid w:val="00140191"/>
    <w:rsid w:val="00140197"/>
    <w:rsid w:val="001402E2"/>
    <w:rsid w:val="0014069C"/>
    <w:rsid w:val="00140D29"/>
    <w:rsid w:val="00140E99"/>
    <w:rsid w:val="001416BD"/>
    <w:rsid w:val="00141BC4"/>
    <w:rsid w:val="0014289E"/>
    <w:rsid w:val="00142B66"/>
    <w:rsid w:val="00143322"/>
    <w:rsid w:val="0014333B"/>
    <w:rsid w:val="0014373C"/>
    <w:rsid w:val="001437B5"/>
    <w:rsid w:val="001438FC"/>
    <w:rsid w:val="00143F67"/>
    <w:rsid w:val="00144545"/>
    <w:rsid w:val="00144744"/>
    <w:rsid w:val="001448AC"/>
    <w:rsid w:val="00144960"/>
    <w:rsid w:val="00144D41"/>
    <w:rsid w:val="00144ECE"/>
    <w:rsid w:val="00145234"/>
    <w:rsid w:val="00145540"/>
    <w:rsid w:val="001456B0"/>
    <w:rsid w:val="00145826"/>
    <w:rsid w:val="0014616E"/>
    <w:rsid w:val="001476AE"/>
    <w:rsid w:val="00147A2D"/>
    <w:rsid w:val="00150595"/>
    <w:rsid w:val="00150799"/>
    <w:rsid w:val="0015084C"/>
    <w:rsid w:val="0015137B"/>
    <w:rsid w:val="0015197D"/>
    <w:rsid w:val="001519C5"/>
    <w:rsid w:val="00152711"/>
    <w:rsid w:val="001531FE"/>
    <w:rsid w:val="00153567"/>
    <w:rsid w:val="001535F2"/>
    <w:rsid w:val="00153B14"/>
    <w:rsid w:val="00153B5F"/>
    <w:rsid w:val="001541B1"/>
    <w:rsid w:val="0015469B"/>
    <w:rsid w:val="00154726"/>
    <w:rsid w:val="001547AB"/>
    <w:rsid w:val="00154A75"/>
    <w:rsid w:val="00154CD1"/>
    <w:rsid w:val="00154D5E"/>
    <w:rsid w:val="00154E29"/>
    <w:rsid w:val="001552CB"/>
    <w:rsid w:val="0015533F"/>
    <w:rsid w:val="001559AF"/>
    <w:rsid w:val="001559EE"/>
    <w:rsid w:val="00155C94"/>
    <w:rsid w:val="00155F14"/>
    <w:rsid w:val="00156099"/>
    <w:rsid w:val="0015615C"/>
    <w:rsid w:val="00156466"/>
    <w:rsid w:val="00156B92"/>
    <w:rsid w:val="00156CE5"/>
    <w:rsid w:val="00156F3A"/>
    <w:rsid w:val="00156F8F"/>
    <w:rsid w:val="00157130"/>
    <w:rsid w:val="001576B1"/>
    <w:rsid w:val="001577B0"/>
    <w:rsid w:val="00157C46"/>
    <w:rsid w:val="0016047B"/>
    <w:rsid w:val="001606D1"/>
    <w:rsid w:val="0016079A"/>
    <w:rsid w:val="00160A4C"/>
    <w:rsid w:val="00160E9B"/>
    <w:rsid w:val="001612D0"/>
    <w:rsid w:val="00161512"/>
    <w:rsid w:val="00162913"/>
    <w:rsid w:val="00162D04"/>
    <w:rsid w:val="0016385A"/>
    <w:rsid w:val="00163BD8"/>
    <w:rsid w:val="00163CC8"/>
    <w:rsid w:val="00163ED7"/>
    <w:rsid w:val="00163EEC"/>
    <w:rsid w:val="00163EFF"/>
    <w:rsid w:val="00163F66"/>
    <w:rsid w:val="00164049"/>
    <w:rsid w:val="0016409F"/>
    <w:rsid w:val="00164246"/>
    <w:rsid w:val="00164271"/>
    <w:rsid w:val="0016478E"/>
    <w:rsid w:val="00164C7C"/>
    <w:rsid w:val="0016523E"/>
    <w:rsid w:val="00165338"/>
    <w:rsid w:val="00165440"/>
    <w:rsid w:val="0016546F"/>
    <w:rsid w:val="001658D0"/>
    <w:rsid w:val="00165EC4"/>
    <w:rsid w:val="0016605A"/>
    <w:rsid w:val="00166070"/>
    <w:rsid w:val="001660F1"/>
    <w:rsid w:val="001661FB"/>
    <w:rsid w:val="001664C7"/>
    <w:rsid w:val="001665F7"/>
    <w:rsid w:val="0016717B"/>
    <w:rsid w:val="001671A0"/>
    <w:rsid w:val="0016767F"/>
    <w:rsid w:val="001703B7"/>
    <w:rsid w:val="00170433"/>
    <w:rsid w:val="00170566"/>
    <w:rsid w:val="001708FF"/>
    <w:rsid w:val="00170AFE"/>
    <w:rsid w:val="00170B57"/>
    <w:rsid w:val="00170B83"/>
    <w:rsid w:val="0017205A"/>
    <w:rsid w:val="00172285"/>
    <w:rsid w:val="001722AB"/>
    <w:rsid w:val="0017285D"/>
    <w:rsid w:val="00172F7A"/>
    <w:rsid w:val="0017315A"/>
    <w:rsid w:val="001734D6"/>
    <w:rsid w:val="00173565"/>
    <w:rsid w:val="00173B07"/>
    <w:rsid w:val="001740CE"/>
    <w:rsid w:val="001741B3"/>
    <w:rsid w:val="0017479E"/>
    <w:rsid w:val="00174A76"/>
    <w:rsid w:val="00174B6E"/>
    <w:rsid w:val="001751FA"/>
    <w:rsid w:val="0017530B"/>
    <w:rsid w:val="0017536B"/>
    <w:rsid w:val="00175586"/>
    <w:rsid w:val="00175D51"/>
    <w:rsid w:val="00176147"/>
    <w:rsid w:val="0017621F"/>
    <w:rsid w:val="0017625D"/>
    <w:rsid w:val="00176552"/>
    <w:rsid w:val="0017679E"/>
    <w:rsid w:val="0017687A"/>
    <w:rsid w:val="00176A5F"/>
    <w:rsid w:val="00176BB6"/>
    <w:rsid w:val="00176DE5"/>
    <w:rsid w:val="00177363"/>
    <w:rsid w:val="001773A8"/>
    <w:rsid w:val="00177597"/>
    <w:rsid w:val="00180674"/>
    <w:rsid w:val="00180A25"/>
    <w:rsid w:val="00180AC4"/>
    <w:rsid w:val="00180D05"/>
    <w:rsid w:val="00180D30"/>
    <w:rsid w:val="0018138E"/>
    <w:rsid w:val="00181C10"/>
    <w:rsid w:val="00181D9C"/>
    <w:rsid w:val="00181EFA"/>
    <w:rsid w:val="001820C9"/>
    <w:rsid w:val="00182870"/>
    <w:rsid w:val="00182CC3"/>
    <w:rsid w:val="00182DDA"/>
    <w:rsid w:val="00182E48"/>
    <w:rsid w:val="0018367D"/>
    <w:rsid w:val="001836EA"/>
    <w:rsid w:val="001836EF"/>
    <w:rsid w:val="001837FF"/>
    <w:rsid w:val="00183B04"/>
    <w:rsid w:val="00183EAA"/>
    <w:rsid w:val="00184B0E"/>
    <w:rsid w:val="001851C6"/>
    <w:rsid w:val="00185909"/>
    <w:rsid w:val="001861D5"/>
    <w:rsid w:val="0018627F"/>
    <w:rsid w:val="0018679F"/>
    <w:rsid w:val="00186895"/>
    <w:rsid w:val="0018752F"/>
    <w:rsid w:val="00187C76"/>
    <w:rsid w:val="0019032F"/>
    <w:rsid w:val="00190487"/>
    <w:rsid w:val="001908F2"/>
    <w:rsid w:val="00191236"/>
    <w:rsid w:val="00191639"/>
    <w:rsid w:val="001920E2"/>
    <w:rsid w:val="00192222"/>
    <w:rsid w:val="00192F98"/>
    <w:rsid w:val="0019315C"/>
    <w:rsid w:val="00193319"/>
    <w:rsid w:val="001934DC"/>
    <w:rsid w:val="00193838"/>
    <w:rsid w:val="00193924"/>
    <w:rsid w:val="00194AD8"/>
    <w:rsid w:val="00194DCD"/>
    <w:rsid w:val="00194E39"/>
    <w:rsid w:val="00194FFA"/>
    <w:rsid w:val="00195222"/>
    <w:rsid w:val="00195452"/>
    <w:rsid w:val="00195ADE"/>
    <w:rsid w:val="00195CA7"/>
    <w:rsid w:val="00196DFF"/>
    <w:rsid w:val="001975D8"/>
    <w:rsid w:val="001976AB"/>
    <w:rsid w:val="00197938"/>
    <w:rsid w:val="00197C4A"/>
    <w:rsid w:val="001A00CC"/>
    <w:rsid w:val="001A0411"/>
    <w:rsid w:val="001A04BD"/>
    <w:rsid w:val="001A0897"/>
    <w:rsid w:val="001A0CC9"/>
    <w:rsid w:val="001A0CE1"/>
    <w:rsid w:val="001A178E"/>
    <w:rsid w:val="001A1900"/>
    <w:rsid w:val="001A20B4"/>
    <w:rsid w:val="001A2556"/>
    <w:rsid w:val="001A25CB"/>
    <w:rsid w:val="001A25F6"/>
    <w:rsid w:val="001A2D94"/>
    <w:rsid w:val="001A2EB4"/>
    <w:rsid w:val="001A43FA"/>
    <w:rsid w:val="001A456D"/>
    <w:rsid w:val="001A45C5"/>
    <w:rsid w:val="001A47C5"/>
    <w:rsid w:val="001A48D9"/>
    <w:rsid w:val="001A51F1"/>
    <w:rsid w:val="001A59FB"/>
    <w:rsid w:val="001A5C57"/>
    <w:rsid w:val="001A5E9E"/>
    <w:rsid w:val="001A6354"/>
    <w:rsid w:val="001A6366"/>
    <w:rsid w:val="001A6FDF"/>
    <w:rsid w:val="001A7111"/>
    <w:rsid w:val="001A7AE8"/>
    <w:rsid w:val="001B00B2"/>
    <w:rsid w:val="001B0167"/>
    <w:rsid w:val="001B04F0"/>
    <w:rsid w:val="001B0556"/>
    <w:rsid w:val="001B076A"/>
    <w:rsid w:val="001B12E2"/>
    <w:rsid w:val="001B1B77"/>
    <w:rsid w:val="001B1CE7"/>
    <w:rsid w:val="001B204E"/>
    <w:rsid w:val="001B2099"/>
    <w:rsid w:val="001B20B8"/>
    <w:rsid w:val="001B2372"/>
    <w:rsid w:val="001B27D9"/>
    <w:rsid w:val="001B3091"/>
    <w:rsid w:val="001B30FA"/>
    <w:rsid w:val="001B3443"/>
    <w:rsid w:val="001B379D"/>
    <w:rsid w:val="001B38D0"/>
    <w:rsid w:val="001B3A29"/>
    <w:rsid w:val="001B4BDF"/>
    <w:rsid w:val="001B4D20"/>
    <w:rsid w:val="001B50C4"/>
    <w:rsid w:val="001B62F7"/>
    <w:rsid w:val="001B649A"/>
    <w:rsid w:val="001B66D1"/>
    <w:rsid w:val="001B7177"/>
    <w:rsid w:val="001B7927"/>
    <w:rsid w:val="001B7CB2"/>
    <w:rsid w:val="001B7DA7"/>
    <w:rsid w:val="001B7ED8"/>
    <w:rsid w:val="001B7F04"/>
    <w:rsid w:val="001B7F84"/>
    <w:rsid w:val="001C0208"/>
    <w:rsid w:val="001C07E5"/>
    <w:rsid w:val="001C0A49"/>
    <w:rsid w:val="001C0AA7"/>
    <w:rsid w:val="001C0B4D"/>
    <w:rsid w:val="001C0CCD"/>
    <w:rsid w:val="001C0F74"/>
    <w:rsid w:val="001C1871"/>
    <w:rsid w:val="001C1956"/>
    <w:rsid w:val="001C23CF"/>
    <w:rsid w:val="001C24AB"/>
    <w:rsid w:val="001C2A9B"/>
    <w:rsid w:val="001C2E09"/>
    <w:rsid w:val="001C2EAB"/>
    <w:rsid w:val="001C322B"/>
    <w:rsid w:val="001C322E"/>
    <w:rsid w:val="001C33C7"/>
    <w:rsid w:val="001C3DD6"/>
    <w:rsid w:val="001C4299"/>
    <w:rsid w:val="001C4576"/>
    <w:rsid w:val="001C4874"/>
    <w:rsid w:val="001C4CE6"/>
    <w:rsid w:val="001C5138"/>
    <w:rsid w:val="001C5778"/>
    <w:rsid w:val="001C593E"/>
    <w:rsid w:val="001C5A18"/>
    <w:rsid w:val="001C5BBD"/>
    <w:rsid w:val="001C5C12"/>
    <w:rsid w:val="001C5CDE"/>
    <w:rsid w:val="001C5F94"/>
    <w:rsid w:val="001C630C"/>
    <w:rsid w:val="001C63F8"/>
    <w:rsid w:val="001C6851"/>
    <w:rsid w:val="001C6A1E"/>
    <w:rsid w:val="001C6E66"/>
    <w:rsid w:val="001C719A"/>
    <w:rsid w:val="001C7A1A"/>
    <w:rsid w:val="001C7F4C"/>
    <w:rsid w:val="001D054F"/>
    <w:rsid w:val="001D05A1"/>
    <w:rsid w:val="001D0801"/>
    <w:rsid w:val="001D0F33"/>
    <w:rsid w:val="001D1100"/>
    <w:rsid w:val="001D1262"/>
    <w:rsid w:val="001D1391"/>
    <w:rsid w:val="001D17AA"/>
    <w:rsid w:val="001D1BB5"/>
    <w:rsid w:val="001D22C0"/>
    <w:rsid w:val="001D25D7"/>
    <w:rsid w:val="001D2738"/>
    <w:rsid w:val="001D2873"/>
    <w:rsid w:val="001D2FD8"/>
    <w:rsid w:val="001D3295"/>
    <w:rsid w:val="001D34BA"/>
    <w:rsid w:val="001D3BA3"/>
    <w:rsid w:val="001D3D69"/>
    <w:rsid w:val="001D3E48"/>
    <w:rsid w:val="001D3F8A"/>
    <w:rsid w:val="001D50B2"/>
    <w:rsid w:val="001D563E"/>
    <w:rsid w:val="001D5922"/>
    <w:rsid w:val="001D6BE3"/>
    <w:rsid w:val="001D6DC9"/>
    <w:rsid w:val="001D6E13"/>
    <w:rsid w:val="001D6EF4"/>
    <w:rsid w:val="001D71F4"/>
    <w:rsid w:val="001D7645"/>
    <w:rsid w:val="001D7A83"/>
    <w:rsid w:val="001E031E"/>
    <w:rsid w:val="001E0586"/>
    <w:rsid w:val="001E0A2B"/>
    <w:rsid w:val="001E10AA"/>
    <w:rsid w:val="001E15CE"/>
    <w:rsid w:val="001E1BE3"/>
    <w:rsid w:val="001E1D61"/>
    <w:rsid w:val="001E1E86"/>
    <w:rsid w:val="001E238E"/>
    <w:rsid w:val="001E23A7"/>
    <w:rsid w:val="001E2483"/>
    <w:rsid w:val="001E2756"/>
    <w:rsid w:val="001E2B1E"/>
    <w:rsid w:val="001E2CFF"/>
    <w:rsid w:val="001E2DCB"/>
    <w:rsid w:val="001E2F24"/>
    <w:rsid w:val="001E30D4"/>
    <w:rsid w:val="001E34DF"/>
    <w:rsid w:val="001E3529"/>
    <w:rsid w:val="001E37CC"/>
    <w:rsid w:val="001E3DBA"/>
    <w:rsid w:val="001E47CE"/>
    <w:rsid w:val="001E489E"/>
    <w:rsid w:val="001E494A"/>
    <w:rsid w:val="001E52EB"/>
    <w:rsid w:val="001E5F8F"/>
    <w:rsid w:val="001E605D"/>
    <w:rsid w:val="001E61D2"/>
    <w:rsid w:val="001E650F"/>
    <w:rsid w:val="001E6F51"/>
    <w:rsid w:val="001E740C"/>
    <w:rsid w:val="001E7BD5"/>
    <w:rsid w:val="001F0025"/>
    <w:rsid w:val="001F02F7"/>
    <w:rsid w:val="001F05E5"/>
    <w:rsid w:val="001F0AB1"/>
    <w:rsid w:val="001F1181"/>
    <w:rsid w:val="001F1235"/>
    <w:rsid w:val="001F14BE"/>
    <w:rsid w:val="001F1820"/>
    <w:rsid w:val="001F1940"/>
    <w:rsid w:val="001F1AC5"/>
    <w:rsid w:val="001F1CB3"/>
    <w:rsid w:val="001F219D"/>
    <w:rsid w:val="001F21C2"/>
    <w:rsid w:val="001F23D4"/>
    <w:rsid w:val="001F2767"/>
    <w:rsid w:val="001F2A78"/>
    <w:rsid w:val="001F323A"/>
    <w:rsid w:val="001F36F6"/>
    <w:rsid w:val="001F38B5"/>
    <w:rsid w:val="001F3D06"/>
    <w:rsid w:val="001F4081"/>
    <w:rsid w:val="001F4155"/>
    <w:rsid w:val="001F42AC"/>
    <w:rsid w:val="001F43FD"/>
    <w:rsid w:val="001F493F"/>
    <w:rsid w:val="001F4AE1"/>
    <w:rsid w:val="001F4C0F"/>
    <w:rsid w:val="001F58C5"/>
    <w:rsid w:val="001F61C1"/>
    <w:rsid w:val="001F7094"/>
    <w:rsid w:val="001F726B"/>
    <w:rsid w:val="001F7361"/>
    <w:rsid w:val="001F746D"/>
    <w:rsid w:val="001F7861"/>
    <w:rsid w:val="001F7950"/>
    <w:rsid w:val="001F798B"/>
    <w:rsid w:val="001F7A78"/>
    <w:rsid w:val="001F7BF5"/>
    <w:rsid w:val="00200457"/>
    <w:rsid w:val="0020061A"/>
    <w:rsid w:val="00200B77"/>
    <w:rsid w:val="002010A9"/>
    <w:rsid w:val="002011B0"/>
    <w:rsid w:val="00201E80"/>
    <w:rsid w:val="00202A5E"/>
    <w:rsid w:val="00202CD5"/>
    <w:rsid w:val="00202D40"/>
    <w:rsid w:val="00203181"/>
    <w:rsid w:val="002033DD"/>
    <w:rsid w:val="00203783"/>
    <w:rsid w:val="0020385F"/>
    <w:rsid w:val="00203D99"/>
    <w:rsid w:val="0020428A"/>
    <w:rsid w:val="002054A2"/>
    <w:rsid w:val="002055DE"/>
    <w:rsid w:val="00205950"/>
    <w:rsid w:val="002064CC"/>
    <w:rsid w:val="002068A0"/>
    <w:rsid w:val="00206AF9"/>
    <w:rsid w:val="00206D0E"/>
    <w:rsid w:val="00207021"/>
    <w:rsid w:val="002072F0"/>
    <w:rsid w:val="0020732F"/>
    <w:rsid w:val="002076CA"/>
    <w:rsid w:val="00207D00"/>
    <w:rsid w:val="00207DB6"/>
    <w:rsid w:val="002105C1"/>
    <w:rsid w:val="00210F4D"/>
    <w:rsid w:val="002116FD"/>
    <w:rsid w:val="002126B6"/>
    <w:rsid w:val="002129B0"/>
    <w:rsid w:val="002133E3"/>
    <w:rsid w:val="002137B2"/>
    <w:rsid w:val="00213A8A"/>
    <w:rsid w:val="00213DAD"/>
    <w:rsid w:val="00213EF5"/>
    <w:rsid w:val="00214262"/>
    <w:rsid w:val="00215435"/>
    <w:rsid w:val="00215674"/>
    <w:rsid w:val="0021582A"/>
    <w:rsid w:val="00215888"/>
    <w:rsid w:val="00215DD1"/>
    <w:rsid w:val="00215F4C"/>
    <w:rsid w:val="002161A5"/>
    <w:rsid w:val="002162FE"/>
    <w:rsid w:val="00216BF5"/>
    <w:rsid w:val="00216D4E"/>
    <w:rsid w:val="002173CD"/>
    <w:rsid w:val="002175FF"/>
    <w:rsid w:val="002207AC"/>
    <w:rsid w:val="00220C60"/>
    <w:rsid w:val="00221072"/>
    <w:rsid w:val="00221AE4"/>
    <w:rsid w:val="00221DED"/>
    <w:rsid w:val="00221F16"/>
    <w:rsid w:val="00221FD6"/>
    <w:rsid w:val="00222EA5"/>
    <w:rsid w:val="00223731"/>
    <w:rsid w:val="002237AD"/>
    <w:rsid w:val="00223B49"/>
    <w:rsid w:val="00223CBE"/>
    <w:rsid w:val="00223D5A"/>
    <w:rsid w:val="00223FB0"/>
    <w:rsid w:val="0022401D"/>
    <w:rsid w:val="00224AC4"/>
    <w:rsid w:val="00224DD4"/>
    <w:rsid w:val="00224EF9"/>
    <w:rsid w:val="00225053"/>
    <w:rsid w:val="002252D7"/>
    <w:rsid w:val="002252FD"/>
    <w:rsid w:val="0022584F"/>
    <w:rsid w:val="00226C5B"/>
    <w:rsid w:val="00226FE2"/>
    <w:rsid w:val="002273A9"/>
    <w:rsid w:val="002278A0"/>
    <w:rsid w:val="00227C22"/>
    <w:rsid w:val="00227CBB"/>
    <w:rsid w:val="002300A1"/>
    <w:rsid w:val="002303C7"/>
    <w:rsid w:val="0023047D"/>
    <w:rsid w:val="002309CC"/>
    <w:rsid w:val="00230B5A"/>
    <w:rsid w:val="00230DDD"/>
    <w:rsid w:val="00230FD0"/>
    <w:rsid w:val="00231786"/>
    <w:rsid w:val="00231BA9"/>
    <w:rsid w:val="00231C05"/>
    <w:rsid w:val="0023209F"/>
    <w:rsid w:val="00232B72"/>
    <w:rsid w:val="0023306D"/>
    <w:rsid w:val="00233C01"/>
    <w:rsid w:val="0023413C"/>
    <w:rsid w:val="00234331"/>
    <w:rsid w:val="002346F0"/>
    <w:rsid w:val="00234723"/>
    <w:rsid w:val="002348ED"/>
    <w:rsid w:val="002349DF"/>
    <w:rsid w:val="002352D8"/>
    <w:rsid w:val="00235320"/>
    <w:rsid w:val="0023536D"/>
    <w:rsid w:val="0023629D"/>
    <w:rsid w:val="00237255"/>
    <w:rsid w:val="002373F2"/>
    <w:rsid w:val="002377F0"/>
    <w:rsid w:val="00237CED"/>
    <w:rsid w:val="00237DA6"/>
    <w:rsid w:val="00237F0C"/>
    <w:rsid w:val="00240286"/>
    <w:rsid w:val="002403AF"/>
    <w:rsid w:val="002405B7"/>
    <w:rsid w:val="00240706"/>
    <w:rsid w:val="00241ADB"/>
    <w:rsid w:val="002422D2"/>
    <w:rsid w:val="002424AF"/>
    <w:rsid w:val="0024278D"/>
    <w:rsid w:val="002427D5"/>
    <w:rsid w:val="0024291D"/>
    <w:rsid w:val="00242C90"/>
    <w:rsid w:val="00243062"/>
    <w:rsid w:val="0024325B"/>
    <w:rsid w:val="00243342"/>
    <w:rsid w:val="002439DC"/>
    <w:rsid w:val="00243E51"/>
    <w:rsid w:val="002441D2"/>
    <w:rsid w:val="002444FB"/>
    <w:rsid w:val="002445C4"/>
    <w:rsid w:val="00244C03"/>
    <w:rsid w:val="00244DC8"/>
    <w:rsid w:val="00245120"/>
    <w:rsid w:val="00245455"/>
    <w:rsid w:val="002458BA"/>
    <w:rsid w:val="00245CE9"/>
    <w:rsid w:val="0024636C"/>
    <w:rsid w:val="002467E3"/>
    <w:rsid w:val="00246E24"/>
    <w:rsid w:val="00246F4A"/>
    <w:rsid w:val="00246FED"/>
    <w:rsid w:val="00247925"/>
    <w:rsid w:val="00247A12"/>
    <w:rsid w:val="00247DE4"/>
    <w:rsid w:val="00250B09"/>
    <w:rsid w:val="00251006"/>
    <w:rsid w:val="00251492"/>
    <w:rsid w:val="0025151E"/>
    <w:rsid w:val="002515B3"/>
    <w:rsid w:val="00251979"/>
    <w:rsid w:val="002522E0"/>
    <w:rsid w:val="00252380"/>
    <w:rsid w:val="002524D5"/>
    <w:rsid w:val="00252525"/>
    <w:rsid w:val="0025272E"/>
    <w:rsid w:val="002527C0"/>
    <w:rsid w:val="00252E86"/>
    <w:rsid w:val="00252EBA"/>
    <w:rsid w:val="0025375D"/>
    <w:rsid w:val="00253B1D"/>
    <w:rsid w:val="00254A20"/>
    <w:rsid w:val="00254BD2"/>
    <w:rsid w:val="00254BF4"/>
    <w:rsid w:val="00254DCF"/>
    <w:rsid w:val="0025534B"/>
    <w:rsid w:val="002555EC"/>
    <w:rsid w:val="002555FD"/>
    <w:rsid w:val="00255821"/>
    <w:rsid w:val="002559C9"/>
    <w:rsid w:val="002559E1"/>
    <w:rsid w:val="00255A3A"/>
    <w:rsid w:val="00255B59"/>
    <w:rsid w:val="00255BB7"/>
    <w:rsid w:val="00256415"/>
    <w:rsid w:val="00257007"/>
    <w:rsid w:val="002574E0"/>
    <w:rsid w:val="00257541"/>
    <w:rsid w:val="00257872"/>
    <w:rsid w:val="00257A39"/>
    <w:rsid w:val="00257A99"/>
    <w:rsid w:val="00257AC4"/>
    <w:rsid w:val="00257B1E"/>
    <w:rsid w:val="00257BBE"/>
    <w:rsid w:val="0026075D"/>
    <w:rsid w:val="00260F21"/>
    <w:rsid w:val="00261275"/>
    <w:rsid w:val="002617B6"/>
    <w:rsid w:val="00261977"/>
    <w:rsid w:val="00261CF1"/>
    <w:rsid w:val="00261D3A"/>
    <w:rsid w:val="00261E68"/>
    <w:rsid w:val="00261EEF"/>
    <w:rsid w:val="00262A1A"/>
    <w:rsid w:val="00262A87"/>
    <w:rsid w:val="00262DDD"/>
    <w:rsid w:val="00263320"/>
    <w:rsid w:val="00263939"/>
    <w:rsid w:val="0026400A"/>
    <w:rsid w:val="002642D7"/>
    <w:rsid w:val="0026451E"/>
    <w:rsid w:val="00264BAE"/>
    <w:rsid w:val="00264D26"/>
    <w:rsid w:val="00264D9A"/>
    <w:rsid w:val="002650AC"/>
    <w:rsid w:val="00265BF7"/>
    <w:rsid w:val="0026620A"/>
    <w:rsid w:val="00267386"/>
    <w:rsid w:val="00267642"/>
    <w:rsid w:val="00267684"/>
    <w:rsid w:val="00267AEA"/>
    <w:rsid w:val="00267CA7"/>
    <w:rsid w:val="00267D28"/>
    <w:rsid w:val="00267F41"/>
    <w:rsid w:val="002700E6"/>
    <w:rsid w:val="002706BF"/>
    <w:rsid w:val="00270706"/>
    <w:rsid w:val="002709D6"/>
    <w:rsid w:val="0027194F"/>
    <w:rsid w:val="00271A15"/>
    <w:rsid w:val="00271A78"/>
    <w:rsid w:val="0027294B"/>
    <w:rsid w:val="00272969"/>
    <w:rsid w:val="00272AE0"/>
    <w:rsid w:val="00272BFD"/>
    <w:rsid w:val="00272CBF"/>
    <w:rsid w:val="0027389A"/>
    <w:rsid w:val="00273EB4"/>
    <w:rsid w:val="00273FA4"/>
    <w:rsid w:val="00274682"/>
    <w:rsid w:val="00274E6E"/>
    <w:rsid w:val="00275158"/>
    <w:rsid w:val="0027561F"/>
    <w:rsid w:val="00275C5A"/>
    <w:rsid w:val="0027611B"/>
    <w:rsid w:val="00276746"/>
    <w:rsid w:val="00276A89"/>
    <w:rsid w:val="00277C9B"/>
    <w:rsid w:val="00277DC2"/>
    <w:rsid w:val="002802D1"/>
    <w:rsid w:val="00280883"/>
    <w:rsid w:val="00280F67"/>
    <w:rsid w:val="00281014"/>
    <w:rsid w:val="002814B7"/>
    <w:rsid w:val="002814E7"/>
    <w:rsid w:val="002816BC"/>
    <w:rsid w:val="00281852"/>
    <w:rsid w:val="00281A54"/>
    <w:rsid w:val="00281AD3"/>
    <w:rsid w:val="00281EA8"/>
    <w:rsid w:val="002823AE"/>
    <w:rsid w:val="00282D8E"/>
    <w:rsid w:val="00282F51"/>
    <w:rsid w:val="002835B3"/>
    <w:rsid w:val="00283AAC"/>
    <w:rsid w:val="00283AC7"/>
    <w:rsid w:val="00283C9B"/>
    <w:rsid w:val="00283FFA"/>
    <w:rsid w:val="0028423D"/>
    <w:rsid w:val="00285BCE"/>
    <w:rsid w:val="00286304"/>
    <w:rsid w:val="0028665D"/>
    <w:rsid w:val="00286F20"/>
    <w:rsid w:val="002874C0"/>
    <w:rsid w:val="00287BDA"/>
    <w:rsid w:val="0029004F"/>
    <w:rsid w:val="002904E8"/>
    <w:rsid w:val="00290927"/>
    <w:rsid w:val="00290D10"/>
    <w:rsid w:val="002914BA"/>
    <w:rsid w:val="002915C3"/>
    <w:rsid w:val="0029195A"/>
    <w:rsid w:val="00291984"/>
    <w:rsid w:val="00291A0D"/>
    <w:rsid w:val="00291A72"/>
    <w:rsid w:val="00291C4B"/>
    <w:rsid w:val="00292166"/>
    <w:rsid w:val="00292A17"/>
    <w:rsid w:val="00292CF1"/>
    <w:rsid w:val="00292D51"/>
    <w:rsid w:val="00292F44"/>
    <w:rsid w:val="00293D2B"/>
    <w:rsid w:val="00293EB5"/>
    <w:rsid w:val="0029483D"/>
    <w:rsid w:val="0029485E"/>
    <w:rsid w:val="00294C2D"/>
    <w:rsid w:val="00295438"/>
    <w:rsid w:val="00295661"/>
    <w:rsid w:val="00296340"/>
    <w:rsid w:val="00296608"/>
    <w:rsid w:val="00296B58"/>
    <w:rsid w:val="00297318"/>
    <w:rsid w:val="0029766D"/>
    <w:rsid w:val="002977D9"/>
    <w:rsid w:val="00297C75"/>
    <w:rsid w:val="002A05C1"/>
    <w:rsid w:val="002A0C17"/>
    <w:rsid w:val="002A0F7C"/>
    <w:rsid w:val="002A14AB"/>
    <w:rsid w:val="002A1678"/>
    <w:rsid w:val="002A1A5C"/>
    <w:rsid w:val="002A1D69"/>
    <w:rsid w:val="002A1F61"/>
    <w:rsid w:val="002A28B0"/>
    <w:rsid w:val="002A2ADE"/>
    <w:rsid w:val="002A2C2E"/>
    <w:rsid w:val="002A2F50"/>
    <w:rsid w:val="002A3204"/>
    <w:rsid w:val="002A33B6"/>
    <w:rsid w:val="002A36AA"/>
    <w:rsid w:val="002A3834"/>
    <w:rsid w:val="002A3A4B"/>
    <w:rsid w:val="002A3F4F"/>
    <w:rsid w:val="002A4CD2"/>
    <w:rsid w:val="002A4F76"/>
    <w:rsid w:val="002A52F1"/>
    <w:rsid w:val="002A55B6"/>
    <w:rsid w:val="002A609C"/>
    <w:rsid w:val="002A6596"/>
    <w:rsid w:val="002A6E82"/>
    <w:rsid w:val="002A7237"/>
    <w:rsid w:val="002A7943"/>
    <w:rsid w:val="002A7DF7"/>
    <w:rsid w:val="002B0494"/>
    <w:rsid w:val="002B05A1"/>
    <w:rsid w:val="002B05D1"/>
    <w:rsid w:val="002B072F"/>
    <w:rsid w:val="002B07E5"/>
    <w:rsid w:val="002B09A4"/>
    <w:rsid w:val="002B0A82"/>
    <w:rsid w:val="002B0DF1"/>
    <w:rsid w:val="002B11B7"/>
    <w:rsid w:val="002B1392"/>
    <w:rsid w:val="002B18EF"/>
    <w:rsid w:val="002B1C1F"/>
    <w:rsid w:val="002B2366"/>
    <w:rsid w:val="002B2E33"/>
    <w:rsid w:val="002B357B"/>
    <w:rsid w:val="002B3E16"/>
    <w:rsid w:val="002B3F36"/>
    <w:rsid w:val="002B4219"/>
    <w:rsid w:val="002B4225"/>
    <w:rsid w:val="002B432F"/>
    <w:rsid w:val="002B44B1"/>
    <w:rsid w:val="002B4963"/>
    <w:rsid w:val="002B4A3F"/>
    <w:rsid w:val="002B4D44"/>
    <w:rsid w:val="002B5156"/>
    <w:rsid w:val="002B5295"/>
    <w:rsid w:val="002B575F"/>
    <w:rsid w:val="002B5C91"/>
    <w:rsid w:val="002B62B3"/>
    <w:rsid w:val="002B63D4"/>
    <w:rsid w:val="002B64E7"/>
    <w:rsid w:val="002B66EC"/>
    <w:rsid w:val="002B6754"/>
    <w:rsid w:val="002B6B4C"/>
    <w:rsid w:val="002B6B88"/>
    <w:rsid w:val="002B6CCE"/>
    <w:rsid w:val="002B71FC"/>
    <w:rsid w:val="002B74DC"/>
    <w:rsid w:val="002B79F3"/>
    <w:rsid w:val="002B7A42"/>
    <w:rsid w:val="002B7B06"/>
    <w:rsid w:val="002B7CD0"/>
    <w:rsid w:val="002C024A"/>
    <w:rsid w:val="002C06FE"/>
    <w:rsid w:val="002C0C3E"/>
    <w:rsid w:val="002C1008"/>
    <w:rsid w:val="002C1443"/>
    <w:rsid w:val="002C14AD"/>
    <w:rsid w:val="002C20DA"/>
    <w:rsid w:val="002C2510"/>
    <w:rsid w:val="002C2775"/>
    <w:rsid w:val="002C27C1"/>
    <w:rsid w:val="002C30D6"/>
    <w:rsid w:val="002C3242"/>
    <w:rsid w:val="002C36E3"/>
    <w:rsid w:val="002C3714"/>
    <w:rsid w:val="002C37A1"/>
    <w:rsid w:val="002C3C94"/>
    <w:rsid w:val="002C47A2"/>
    <w:rsid w:val="002C4E7E"/>
    <w:rsid w:val="002C5099"/>
    <w:rsid w:val="002C5187"/>
    <w:rsid w:val="002C537B"/>
    <w:rsid w:val="002C5820"/>
    <w:rsid w:val="002C5889"/>
    <w:rsid w:val="002C5B44"/>
    <w:rsid w:val="002C625F"/>
    <w:rsid w:val="002C69FB"/>
    <w:rsid w:val="002C71CE"/>
    <w:rsid w:val="002C799A"/>
    <w:rsid w:val="002D0187"/>
    <w:rsid w:val="002D0693"/>
    <w:rsid w:val="002D08F8"/>
    <w:rsid w:val="002D0AED"/>
    <w:rsid w:val="002D0B28"/>
    <w:rsid w:val="002D0CEF"/>
    <w:rsid w:val="002D0D5F"/>
    <w:rsid w:val="002D1546"/>
    <w:rsid w:val="002D1ECE"/>
    <w:rsid w:val="002D202F"/>
    <w:rsid w:val="002D2651"/>
    <w:rsid w:val="002D2BDA"/>
    <w:rsid w:val="002D32B8"/>
    <w:rsid w:val="002D34A4"/>
    <w:rsid w:val="002D3D04"/>
    <w:rsid w:val="002D3DDD"/>
    <w:rsid w:val="002D4187"/>
    <w:rsid w:val="002D4622"/>
    <w:rsid w:val="002D5050"/>
    <w:rsid w:val="002D55AA"/>
    <w:rsid w:val="002D577C"/>
    <w:rsid w:val="002D64EF"/>
    <w:rsid w:val="002D64F7"/>
    <w:rsid w:val="002D6AE2"/>
    <w:rsid w:val="002D7832"/>
    <w:rsid w:val="002E01C2"/>
    <w:rsid w:val="002E05D3"/>
    <w:rsid w:val="002E09D0"/>
    <w:rsid w:val="002E1060"/>
    <w:rsid w:val="002E1071"/>
    <w:rsid w:val="002E15B9"/>
    <w:rsid w:val="002E1E30"/>
    <w:rsid w:val="002E1ECF"/>
    <w:rsid w:val="002E1F44"/>
    <w:rsid w:val="002E2158"/>
    <w:rsid w:val="002E2A3A"/>
    <w:rsid w:val="002E2CB8"/>
    <w:rsid w:val="002E36E7"/>
    <w:rsid w:val="002E3AC8"/>
    <w:rsid w:val="002E42F5"/>
    <w:rsid w:val="002E441C"/>
    <w:rsid w:val="002E45BB"/>
    <w:rsid w:val="002E4763"/>
    <w:rsid w:val="002E48B4"/>
    <w:rsid w:val="002E4F02"/>
    <w:rsid w:val="002E5153"/>
    <w:rsid w:val="002E5305"/>
    <w:rsid w:val="002E5425"/>
    <w:rsid w:val="002E5EE9"/>
    <w:rsid w:val="002E613C"/>
    <w:rsid w:val="002E6A01"/>
    <w:rsid w:val="002E747B"/>
    <w:rsid w:val="002E7722"/>
    <w:rsid w:val="002E7C69"/>
    <w:rsid w:val="002E7C92"/>
    <w:rsid w:val="002E7EC1"/>
    <w:rsid w:val="002F07BA"/>
    <w:rsid w:val="002F0DA9"/>
    <w:rsid w:val="002F0DE2"/>
    <w:rsid w:val="002F1014"/>
    <w:rsid w:val="002F141B"/>
    <w:rsid w:val="002F1D24"/>
    <w:rsid w:val="002F1E3B"/>
    <w:rsid w:val="002F205C"/>
    <w:rsid w:val="002F222F"/>
    <w:rsid w:val="002F2B9A"/>
    <w:rsid w:val="002F2C5B"/>
    <w:rsid w:val="002F33C3"/>
    <w:rsid w:val="002F36D2"/>
    <w:rsid w:val="002F3938"/>
    <w:rsid w:val="002F3C80"/>
    <w:rsid w:val="002F4079"/>
    <w:rsid w:val="002F4372"/>
    <w:rsid w:val="002F47E6"/>
    <w:rsid w:val="002F5010"/>
    <w:rsid w:val="002F5043"/>
    <w:rsid w:val="002F554E"/>
    <w:rsid w:val="002F56E6"/>
    <w:rsid w:val="002F5C91"/>
    <w:rsid w:val="002F5F98"/>
    <w:rsid w:val="002F60DE"/>
    <w:rsid w:val="002F6382"/>
    <w:rsid w:val="002F643C"/>
    <w:rsid w:val="002F66C8"/>
    <w:rsid w:val="002F6BB3"/>
    <w:rsid w:val="002F6C81"/>
    <w:rsid w:val="002F71C0"/>
    <w:rsid w:val="002F74F1"/>
    <w:rsid w:val="002F7664"/>
    <w:rsid w:val="002F7B18"/>
    <w:rsid w:val="002F7EEE"/>
    <w:rsid w:val="00300250"/>
    <w:rsid w:val="0030029C"/>
    <w:rsid w:val="00300541"/>
    <w:rsid w:val="0030072E"/>
    <w:rsid w:val="00300F6F"/>
    <w:rsid w:val="00301017"/>
    <w:rsid w:val="003013C9"/>
    <w:rsid w:val="0030155F"/>
    <w:rsid w:val="00301AD9"/>
    <w:rsid w:val="00301AF7"/>
    <w:rsid w:val="00301CA7"/>
    <w:rsid w:val="00302D74"/>
    <w:rsid w:val="00302FA7"/>
    <w:rsid w:val="00303059"/>
    <w:rsid w:val="003034FD"/>
    <w:rsid w:val="00304011"/>
    <w:rsid w:val="003046C3"/>
    <w:rsid w:val="00304C54"/>
    <w:rsid w:val="00304D76"/>
    <w:rsid w:val="00304FF8"/>
    <w:rsid w:val="0030587B"/>
    <w:rsid w:val="0030600D"/>
    <w:rsid w:val="00306586"/>
    <w:rsid w:val="00306D98"/>
    <w:rsid w:val="00306EC7"/>
    <w:rsid w:val="00306F38"/>
    <w:rsid w:val="0030786C"/>
    <w:rsid w:val="00307BB2"/>
    <w:rsid w:val="00307DD8"/>
    <w:rsid w:val="003101DA"/>
    <w:rsid w:val="0031031A"/>
    <w:rsid w:val="003105EF"/>
    <w:rsid w:val="00310981"/>
    <w:rsid w:val="00310A2E"/>
    <w:rsid w:val="00310EA3"/>
    <w:rsid w:val="0031178E"/>
    <w:rsid w:val="003118DD"/>
    <w:rsid w:val="00311926"/>
    <w:rsid w:val="00311CD2"/>
    <w:rsid w:val="00311D9B"/>
    <w:rsid w:val="003124D9"/>
    <w:rsid w:val="00312502"/>
    <w:rsid w:val="00312594"/>
    <w:rsid w:val="003125BD"/>
    <w:rsid w:val="00312D6A"/>
    <w:rsid w:val="00313259"/>
    <w:rsid w:val="003138AC"/>
    <w:rsid w:val="00313D2A"/>
    <w:rsid w:val="0031474D"/>
    <w:rsid w:val="003148DC"/>
    <w:rsid w:val="00314A72"/>
    <w:rsid w:val="00314D15"/>
    <w:rsid w:val="0031525E"/>
    <w:rsid w:val="00315498"/>
    <w:rsid w:val="003154D2"/>
    <w:rsid w:val="003155D6"/>
    <w:rsid w:val="003158B5"/>
    <w:rsid w:val="00315B0B"/>
    <w:rsid w:val="00315DED"/>
    <w:rsid w:val="00316362"/>
    <w:rsid w:val="00316474"/>
    <w:rsid w:val="00316546"/>
    <w:rsid w:val="00316AF9"/>
    <w:rsid w:val="00316FC8"/>
    <w:rsid w:val="00317860"/>
    <w:rsid w:val="00317C5A"/>
    <w:rsid w:val="00317D9B"/>
    <w:rsid w:val="00320456"/>
    <w:rsid w:val="00320940"/>
    <w:rsid w:val="00320A51"/>
    <w:rsid w:val="00320DF2"/>
    <w:rsid w:val="003210EA"/>
    <w:rsid w:val="003213A7"/>
    <w:rsid w:val="003214CB"/>
    <w:rsid w:val="00321651"/>
    <w:rsid w:val="00321A5E"/>
    <w:rsid w:val="00321BD6"/>
    <w:rsid w:val="00322107"/>
    <w:rsid w:val="00322355"/>
    <w:rsid w:val="0032276E"/>
    <w:rsid w:val="00322846"/>
    <w:rsid w:val="00322FA3"/>
    <w:rsid w:val="003235B3"/>
    <w:rsid w:val="00323B2A"/>
    <w:rsid w:val="00323B90"/>
    <w:rsid w:val="003240A1"/>
    <w:rsid w:val="00325087"/>
    <w:rsid w:val="003257A8"/>
    <w:rsid w:val="00326116"/>
    <w:rsid w:val="003263FA"/>
    <w:rsid w:val="003267C9"/>
    <w:rsid w:val="00326AF4"/>
    <w:rsid w:val="00326DA7"/>
    <w:rsid w:val="003270E4"/>
    <w:rsid w:val="003275A4"/>
    <w:rsid w:val="0032776A"/>
    <w:rsid w:val="00327DC1"/>
    <w:rsid w:val="00327F82"/>
    <w:rsid w:val="00327FAA"/>
    <w:rsid w:val="00330290"/>
    <w:rsid w:val="00330635"/>
    <w:rsid w:val="00330849"/>
    <w:rsid w:val="00330AD4"/>
    <w:rsid w:val="00330DAA"/>
    <w:rsid w:val="00330F5C"/>
    <w:rsid w:val="00332088"/>
    <w:rsid w:val="003328A5"/>
    <w:rsid w:val="00332E8E"/>
    <w:rsid w:val="00333C86"/>
    <w:rsid w:val="0033414B"/>
    <w:rsid w:val="003341F6"/>
    <w:rsid w:val="0033643D"/>
    <w:rsid w:val="003365E0"/>
    <w:rsid w:val="003366C9"/>
    <w:rsid w:val="00336CA1"/>
    <w:rsid w:val="003371B0"/>
    <w:rsid w:val="00337517"/>
    <w:rsid w:val="00337DDB"/>
    <w:rsid w:val="00337F5F"/>
    <w:rsid w:val="003403C0"/>
    <w:rsid w:val="00340479"/>
    <w:rsid w:val="00340666"/>
    <w:rsid w:val="003408CB"/>
    <w:rsid w:val="00340A5E"/>
    <w:rsid w:val="00340AED"/>
    <w:rsid w:val="00340DF1"/>
    <w:rsid w:val="003418C1"/>
    <w:rsid w:val="00341A0B"/>
    <w:rsid w:val="00341F1D"/>
    <w:rsid w:val="00342E11"/>
    <w:rsid w:val="00342E72"/>
    <w:rsid w:val="00342FC6"/>
    <w:rsid w:val="00343721"/>
    <w:rsid w:val="00343C68"/>
    <w:rsid w:val="00343D73"/>
    <w:rsid w:val="003440FC"/>
    <w:rsid w:val="00344563"/>
    <w:rsid w:val="0034457A"/>
    <w:rsid w:val="00344B2A"/>
    <w:rsid w:val="00344C18"/>
    <w:rsid w:val="00345618"/>
    <w:rsid w:val="00345810"/>
    <w:rsid w:val="00345F0B"/>
    <w:rsid w:val="00345F10"/>
    <w:rsid w:val="0034652C"/>
    <w:rsid w:val="00346EA6"/>
    <w:rsid w:val="00347327"/>
    <w:rsid w:val="00347695"/>
    <w:rsid w:val="00350187"/>
    <w:rsid w:val="00350250"/>
    <w:rsid w:val="0035079A"/>
    <w:rsid w:val="00350D04"/>
    <w:rsid w:val="00350E7F"/>
    <w:rsid w:val="003514ED"/>
    <w:rsid w:val="003517F9"/>
    <w:rsid w:val="0035181F"/>
    <w:rsid w:val="00351AA9"/>
    <w:rsid w:val="00351BA9"/>
    <w:rsid w:val="00351C57"/>
    <w:rsid w:val="00351FD0"/>
    <w:rsid w:val="00352144"/>
    <w:rsid w:val="0035292E"/>
    <w:rsid w:val="00352F7A"/>
    <w:rsid w:val="00353058"/>
    <w:rsid w:val="0035329A"/>
    <w:rsid w:val="003535E1"/>
    <w:rsid w:val="00353AEF"/>
    <w:rsid w:val="00353BEF"/>
    <w:rsid w:val="00354DED"/>
    <w:rsid w:val="00354F64"/>
    <w:rsid w:val="00355B50"/>
    <w:rsid w:val="0035600E"/>
    <w:rsid w:val="0035620E"/>
    <w:rsid w:val="0035631D"/>
    <w:rsid w:val="003567F2"/>
    <w:rsid w:val="00356EED"/>
    <w:rsid w:val="00356F98"/>
    <w:rsid w:val="00357049"/>
    <w:rsid w:val="0035745C"/>
    <w:rsid w:val="003574EE"/>
    <w:rsid w:val="003575BE"/>
    <w:rsid w:val="00357641"/>
    <w:rsid w:val="00357966"/>
    <w:rsid w:val="00360345"/>
    <w:rsid w:val="00360A57"/>
    <w:rsid w:val="00360D2C"/>
    <w:rsid w:val="00360E0C"/>
    <w:rsid w:val="00361398"/>
    <w:rsid w:val="00361A05"/>
    <w:rsid w:val="003624C4"/>
    <w:rsid w:val="0036264D"/>
    <w:rsid w:val="00362BF5"/>
    <w:rsid w:val="00362FDE"/>
    <w:rsid w:val="003632FE"/>
    <w:rsid w:val="003633AA"/>
    <w:rsid w:val="0036344C"/>
    <w:rsid w:val="003635B6"/>
    <w:rsid w:val="00363B00"/>
    <w:rsid w:val="00363EED"/>
    <w:rsid w:val="00364167"/>
    <w:rsid w:val="0036477D"/>
    <w:rsid w:val="003654AC"/>
    <w:rsid w:val="003655BE"/>
    <w:rsid w:val="003657F2"/>
    <w:rsid w:val="003658F0"/>
    <w:rsid w:val="00366AEE"/>
    <w:rsid w:val="00366E77"/>
    <w:rsid w:val="00367171"/>
    <w:rsid w:val="00367443"/>
    <w:rsid w:val="003674F1"/>
    <w:rsid w:val="00367617"/>
    <w:rsid w:val="00367CC3"/>
    <w:rsid w:val="00367F80"/>
    <w:rsid w:val="00370C7C"/>
    <w:rsid w:val="00370DE0"/>
    <w:rsid w:val="003710CF"/>
    <w:rsid w:val="003711F3"/>
    <w:rsid w:val="00371238"/>
    <w:rsid w:val="0037127E"/>
    <w:rsid w:val="00371F7A"/>
    <w:rsid w:val="00371FB7"/>
    <w:rsid w:val="00372046"/>
    <w:rsid w:val="00372175"/>
    <w:rsid w:val="00372272"/>
    <w:rsid w:val="0037239F"/>
    <w:rsid w:val="003724D0"/>
    <w:rsid w:val="003729AE"/>
    <w:rsid w:val="00373037"/>
    <w:rsid w:val="003731D8"/>
    <w:rsid w:val="00373299"/>
    <w:rsid w:val="00373518"/>
    <w:rsid w:val="0037358A"/>
    <w:rsid w:val="003737DF"/>
    <w:rsid w:val="003738FB"/>
    <w:rsid w:val="00373D7D"/>
    <w:rsid w:val="00373EB5"/>
    <w:rsid w:val="00374390"/>
    <w:rsid w:val="003743CD"/>
    <w:rsid w:val="00374FD0"/>
    <w:rsid w:val="003750F6"/>
    <w:rsid w:val="003760FC"/>
    <w:rsid w:val="0037648B"/>
    <w:rsid w:val="00376C13"/>
    <w:rsid w:val="00376F54"/>
    <w:rsid w:val="003770B7"/>
    <w:rsid w:val="003770FB"/>
    <w:rsid w:val="0037718E"/>
    <w:rsid w:val="00377749"/>
    <w:rsid w:val="00377769"/>
    <w:rsid w:val="00377C7E"/>
    <w:rsid w:val="0038055C"/>
    <w:rsid w:val="00380E41"/>
    <w:rsid w:val="003810BB"/>
    <w:rsid w:val="00381483"/>
    <w:rsid w:val="0038160D"/>
    <w:rsid w:val="00381694"/>
    <w:rsid w:val="00381DE4"/>
    <w:rsid w:val="003824FB"/>
    <w:rsid w:val="00382788"/>
    <w:rsid w:val="00383586"/>
    <w:rsid w:val="003835A0"/>
    <w:rsid w:val="0038365C"/>
    <w:rsid w:val="0038369B"/>
    <w:rsid w:val="00383A63"/>
    <w:rsid w:val="00383B78"/>
    <w:rsid w:val="003844A3"/>
    <w:rsid w:val="00384551"/>
    <w:rsid w:val="00384651"/>
    <w:rsid w:val="00384EC0"/>
    <w:rsid w:val="00385367"/>
    <w:rsid w:val="00385370"/>
    <w:rsid w:val="003855EE"/>
    <w:rsid w:val="003856A5"/>
    <w:rsid w:val="00385737"/>
    <w:rsid w:val="00385A9D"/>
    <w:rsid w:val="00385D99"/>
    <w:rsid w:val="0038621E"/>
    <w:rsid w:val="003869DD"/>
    <w:rsid w:val="00387121"/>
    <w:rsid w:val="00387198"/>
    <w:rsid w:val="003871CC"/>
    <w:rsid w:val="00387201"/>
    <w:rsid w:val="0038734C"/>
    <w:rsid w:val="0038772F"/>
    <w:rsid w:val="003877F7"/>
    <w:rsid w:val="00387D7B"/>
    <w:rsid w:val="003902B1"/>
    <w:rsid w:val="003904BD"/>
    <w:rsid w:val="003908F0"/>
    <w:rsid w:val="00390F97"/>
    <w:rsid w:val="0039141D"/>
    <w:rsid w:val="00391471"/>
    <w:rsid w:val="003914A7"/>
    <w:rsid w:val="00391576"/>
    <w:rsid w:val="00391587"/>
    <w:rsid w:val="0039177D"/>
    <w:rsid w:val="0039179C"/>
    <w:rsid w:val="0039183A"/>
    <w:rsid w:val="00391C47"/>
    <w:rsid w:val="00392576"/>
    <w:rsid w:val="00392F20"/>
    <w:rsid w:val="0039307F"/>
    <w:rsid w:val="003933E5"/>
    <w:rsid w:val="003938C8"/>
    <w:rsid w:val="0039392C"/>
    <w:rsid w:val="00393BFC"/>
    <w:rsid w:val="0039458D"/>
    <w:rsid w:val="003945F3"/>
    <w:rsid w:val="00394730"/>
    <w:rsid w:val="00394D4A"/>
    <w:rsid w:val="00394E85"/>
    <w:rsid w:val="00395626"/>
    <w:rsid w:val="0039595F"/>
    <w:rsid w:val="00395A49"/>
    <w:rsid w:val="00395EF4"/>
    <w:rsid w:val="00395F82"/>
    <w:rsid w:val="00396235"/>
    <w:rsid w:val="00396522"/>
    <w:rsid w:val="003966D0"/>
    <w:rsid w:val="003966D9"/>
    <w:rsid w:val="00396896"/>
    <w:rsid w:val="00396CC5"/>
    <w:rsid w:val="00396FD0"/>
    <w:rsid w:val="00397740"/>
    <w:rsid w:val="00397946"/>
    <w:rsid w:val="00397BB2"/>
    <w:rsid w:val="00397DFD"/>
    <w:rsid w:val="00397E14"/>
    <w:rsid w:val="00397FBA"/>
    <w:rsid w:val="003A0AA8"/>
    <w:rsid w:val="003A0BE0"/>
    <w:rsid w:val="003A0C8C"/>
    <w:rsid w:val="003A0F14"/>
    <w:rsid w:val="003A115B"/>
    <w:rsid w:val="003A1A7A"/>
    <w:rsid w:val="003A1D75"/>
    <w:rsid w:val="003A2392"/>
    <w:rsid w:val="003A2533"/>
    <w:rsid w:val="003A2831"/>
    <w:rsid w:val="003A2C71"/>
    <w:rsid w:val="003A337C"/>
    <w:rsid w:val="003A3A7B"/>
    <w:rsid w:val="003A3CB6"/>
    <w:rsid w:val="003A3ED1"/>
    <w:rsid w:val="003A3F22"/>
    <w:rsid w:val="003A43CD"/>
    <w:rsid w:val="003A44DB"/>
    <w:rsid w:val="003A4A5F"/>
    <w:rsid w:val="003A4C14"/>
    <w:rsid w:val="003A52EB"/>
    <w:rsid w:val="003A58E5"/>
    <w:rsid w:val="003A5ADA"/>
    <w:rsid w:val="003A6BCB"/>
    <w:rsid w:val="003A711A"/>
    <w:rsid w:val="003A7192"/>
    <w:rsid w:val="003A7955"/>
    <w:rsid w:val="003B0BED"/>
    <w:rsid w:val="003B117B"/>
    <w:rsid w:val="003B1357"/>
    <w:rsid w:val="003B20D9"/>
    <w:rsid w:val="003B21CD"/>
    <w:rsid w:val="003B2B1B"/>
    <w:rsid w:val="003B2B36"/>
    <w:rsid w:val="003B319F"/>
    <w:rsid w:val="003B335C"/>
    <w:rsid w:val="003B3971"/>
    <w:rsid w:val="003B3C11"/>
    <w:rsid w:val="003B41A8"/>
    <w:rsid w:val="003B46C2"/>
    <w:rsid w:val="003B48AE"/>
    <w:rsid w:val="003B49C8"/>
    <w:rsid w:val="003B53B6"/>
    <w:rsid w:val="003B55D1"/>
    <w:rsid w:val="003B567F"/>
    <w:rsid w:val="003B59D9"/>
    <w:rsid w:val="003B5AE9"/>
    <w:rsid w:val="003B5B61"/>
    <w:rsid w:val="003B5D37"/>
    <w:rsid w:val="003B6110"/>
    <w:rsid w:val="003B615B"/>
    <w:rsid w:val="003B61A8"/>
    <w:rsid w:val="003B71D3"/>
    <w:rsid w:val="003B76B5"/>
    <w:rsid w:val="003B77BF"/>
    <w:rsid w:val="003B7C19"/>
    <w:rsid w:val="003C0288"/>
    <w:rsid w:val="003C1654"/>
    <w:rsid w:val="003C22E2"/>
    <w:rsid w:val="003C2543"/>
    <w:rsid w:val="003C291C"/>
    <w:rsid w:val="003C2F94"/>
    <w:rsid w:val="003C3201"/>
    <w:rsid w:val="003C3647"/>
    <w:rsid w:val="003C3E90"/>
    <w:rsid w:val="003C4AF5"/>
    <w:rsid w:val="003C4DEE"/>
    <w:rsid w:val="003C5461"/>
    <w:rsid w:val="003C5542"/>
    <w:rsid w:val="003C5A5C"/>
    <w:rsid w:val="003C60AD"/>
    <w:rsid w:val="003C65B9"/>
    <w:rsid w:val="003C6BCF"/>
    <w:rsid w:val="003C7543"/>
    <w:rsid w:val="003C7AE9"/>
    <w:rsid w:val="003C7C15"/>
    <w:rsid w:val="003C7D19"/>
    <w:rsid w:val="003C7D2F"/>
    <w:rsid w:val="003D008D"/>
    <w:rsid w:val="003D016D"/>
    <w:rsid w:val="003D02CD"/>
    <w:rsid w:val="003D044A"/>
    <w:rsid w:val="003D06D5"/>
    <w:rsid w:val="003D0C5A"/>
    <w:rsid w:val="003D0C6F"/>
    <w:rsid w:val="003D0E2B"/>
    <w:rsid w:val="003D0F7E"/>
    <w:rsid w:val="003D1805"/>
    <w:rsid w:val="003D1828"/>
    <w:rsid w:val="003D1878"/>
    <w:rsid w:val="003D1BA4"/>
    <w:rsid w:val="003D1DE4"/>
    <w:rsid w:val="003D1E05"/>
    <w:rsid w:val="003D1E9A"/>
    <w:rsid w:val="003D211E"/>
    <w:rsid w:val="003D21E6"/>
    <w:rsid w:val="003D2422"/>
    <w:rsid w:val="003D28EB"/>
    <w:rsid w:val="003D295D"/>
    <w:rsid w:val="003D2C39"/>
    <w:rsid w:val="003D2CDB"/>
    <w:rsid w:val="003D348A"/>
    <w:rsid w:val="003D36E0"/>
    <w:rsid w:val="003D39A1"/>
    <w:rsid w:val="003D3E90"/>
    <w:rsid w:val="003D3FBF"/>
    <w:rsid w:val="003D4A30"/>
    <w:rsid w:val="003D4D93"/>
    <w:rsid w:val="003D5043"/>
    <w:rsid w:val="003D532A"/>
    <w:rsid w:val="003D533E"/>
    <w:rsid w:val="003D5918"/>
    <w:rsid w:val="003D5D9D"/>
    <w:rsid w:val="003D610C"/>
    <w:rsid w:val="003D644D"/>
    <w:rsid w:val="003D6920"/>
    <w:rsid w:val="003D7329"/>
    <w:rsid w:val="003D7452"/>
    <w:rsid w:val="003D79BB"/>
    <w:rsid w:val="003D7A61"/>
    <w:rsid w:val="003D7C98"/>
    <w:rsid w:val="003D7D9D"/>
    <w:rsid w:val="003D7E9A"/>
    <w:rsid w:val="003E0543"/>
    <w:rsid w:val="003E062C"/>
    <w:rsid w:val="003E07EA"/>
    <w:rsid w:val="003E0FC4"/>
    <w:rsid w:val="003E13BE"/>
    <w:rsid w:val="003E14C0"/>
    <w:rsid w:val="003E1B00"/>
    <w:rsid w:val="003E2096"/>
    <w:rsid w:val="003E289A"/>
    <w:rsid w:val="003E2FB8"/>
    <w:rsid w:val="003E3F45"/>
    <w:rsid w:val="003E5603"/>
    <w:rsid w:val="003E58AA"/>
    <w:rsid w:val="003E5CE3"/>
    <w:rsid w:val="003E611E"/>
    <w:rsid w:val="003E62FB"/>
    <w:rsid w:val="003E631E"/>
    <w:rsid w:val="003E63C1"/>
    <w:rsid w:val="003E6AD3"/>
    <w:rsid w:val="003E749E"/>
    <w:rsid w:val="003E7533"/>
    <w:rsid w:val="003E75AF"/>
    <w:rsid w:val="003E7896"/>
    <w:rsid w:val="003E78CD"/>
    <w:rsid w:val="003E7C9F"/>
    <w:rsid w:val="003E7FF5"/>
    <w:rsid w:val="003F0326"/>
    <w:rsid w:val="003F0534"/>
    <w:rsid w:val="003F0F61"/>
    <w:rsid w:val="003F101A"/>
    <w:rsid w:val="003F215F"/>
    <w:rsid w:val="003F2260"/>
    <w:rsid w:val="003F22B3"/>
    <w:rsid w:val="003F2FF4"/>
    <w:rsid w:val="003F31AE"/>
    <w:rsid w:val="003F3AD0"/>
    <w:rsid w:val="003F4156"/>
    <w:rsid w:val="003F43E7"/>
    <w:rsid w:val="003F50B8"/>
    <w:rsid w:val="003F5ADF"/>
    <w:rsid w:val="003F5F1C"/>
    <w:rsid w:val="003F6400"/>
    <w:rsid w:val="003F67F0"/>
    <w:rsid w:val="003F69C4"/>
    <w:rsid w:val="003F741A"/>
    <w:rsid w:val="003F79CF"/>
    <w:rsid w:val="00400764"/>
    <w:rsid w:val="00400934"/>
    <w:rsid w:val="00400B29"/>
    <w:rsid w:val="0040121D"/>
    <w:rsid w:val="00401847"/>
    <w:rsid w:val="004019F4"/>
    <w:rsid w:val="00401D40"/>
    <w:rsid w:val="00401FC1"/>
    <w:rsid w:val="004024C8"/>
    <w:rsid w:val="00402812"/>
    <w:rsid w:val="00402A45"/>
    <w:rsid w:val="00402CD7"/>
    <w:rsid w:val="00403057"/>
    <w:rsid w:val="0040325F"/>
    <w:rsid w:val="004032EA"/>
    <w:rsid w:val="004039FF"/>
    <w:rsid w:val="0040414A"/>
    <w:rsid w:val="00404640"/>
    <w:rsid w:val="0040504B"/>
    <w:rsid w:val="004055BF"/>
    <w:rsid w:val="004056AF"/>
    <w:rsid w:val="004059F4"/>
    <w:rsid w:val="00405A3D"/>
    <w:rsid w:val="00405B52"/>
    <w:rsid w:val="0040674E"/>
    <w:rsid w:val="00406813"/>
    <w:rsid w:val="00406B1E"/>
    <w:rsid w:val="004073C0"/>
    <w:rsid w:val="004079BC"/>
    <w:rsid w:val="00407FE5"/>
    <w:rsid w:val="004101B0"/>
    <w:rsid w:val="00410326"/>
    <w:rsid w:val="00410708"/>
    <w:rsid w:val="004108B0"/>
    <w:rsid w:val="00410B30"/>
    <w:rsid w:val="00410EC7"/>
    <w:rsid w:val="00411349"/>
    <w:rsid w:val="00411AB2"/>
    <w:rsid w:val="00411AE3"/>
    <w:rsid w:val="00411B39"/>
    <w:rsid w:val="00411F4D"/>
    <w:rsid w:val="00411FEA"/>
    <w:rsid w:val="00412318"/>
    <w:rsid w:val="004123A1"/>
    <w:rsid w:val="004124D0"/>
    <w:rsid w:val="00412552"/>
    <w:rsid w:val="004127A7"/>
    <w:rsid w:val="00412BAF"/>
    <w:rsid w:val="00412C7F"/>
    <w:rsid w:val="00412DA1"/>
    <w:rsid w:val="00412E41"/>
    <w:rsid w:val="00412F89"/>
    <w:rsid w:val="0041308A"/>
    <w:rsid w:val="0041317C"/>
    <w:rsid w:val="00413369"/>
    <w:rsid w:val="00413648"/>
    <w:rsid w:val="00413A1E"/>
    <w:rsid w:val="00413E66"/>
    <w:rsid w:val="00414254"/>
    <w:rsid w:val="00414476"/>
    <w:rsid w:val="00414523"/>
    <w:rsid w:val="00414659"/>
    <w:rsid w:val="004148AF"/>
    <w:rsid w:val="00414C2E"/>
    <w:rsid w:val="00414D52"/>
    <w:rsid w:val="004151CF"/>
    <w:rsid w:val="004155F6"/>
    <w:rsid w:val="00415960"/>
    <w:rsid w:val="004159E9"/>
    <w:rsid w:val="00415A5A"/>
    <w:rsid w:val="00415E37"/>
    <w:rsid w:val="00415E5C"/>
    <w:rsid w:val="00416364"/>
    <w:rsid w:val="0041648F"/>
    <w:rsid w:val="0041688B"/>
    <w:rsid w:val="00416DE5"/>
    <w:rsid w:val="00417108"/>
    <w:rsid w:val="00417A52"/>
    <w:rsid w:val="00417A8D"/>
    <w:rsid w:val="00417E8F"/>
    <w:rsid w:val="00417FC2"/>
    <w:rsid w:val="00420426"/>
    <w:rsid w:val="0042047F"/>
    <w:rsid w:val="00420891"/>
    <w:rsid w:val="004209E4"/>
    <w:rsid w:val="00420AA6"/>
    <w:rsid w:val="00420ADC"/>
    <w:rsid w:val="00420B9F"/>
    <w:rsid w:val="00420BC6"/>
    <w:rsid w:val="00420DFA"/>
    <w:rsid w:val="0042111E"/>
    <w:rsid w:val="004211A8"/>
    <w:rsid w:val="004213DC"/>
    <w:rsid w:val="004216FE"/>
    <w:rsid w:val="00421714"/>
    <w:rsid w:val="0042192C"/>
    <w:rsid w:val="00421DBF"/>
    <w:rsid w:val="00421F97"/>
    <w:rsid w:val="00422260"/>
    <w:rsid w:val="004228EC"/>
    <w:rsid w:val="00422A9C"/>
    <w:rsid w:val="0042413F"/>
    <w:rsid w:val="00424155"/>
    <w:rsid w:val="004249DF"/>
    <w:rsid w:val="00424E19"/>
    <w:rsid w:val="00425040"/>
    <w:rsid w:val="00425D38"/>
    <w:rsid w:val="0042640F"/>
    <w:rsid w:val="004265CD"/>
    <w:rsid w:val="004268DF"/>
    <w:rsid w:val="00426A02"/>
    <w:rsid w:val="00426B3B"/>
    <w:rsid w:val="00426C77"/>
    <w:rsid w:val="00427021"/>
    <w:rsid w:val="004303F3"/>
    <w:rsid w:val="0043050A"/>
    <w:rsid w:val="0043112E"/>
    <w:rsid w:val="00431196"/>
    <w:rsid w:val="004319F8"/>
    <w:rsid w:val="00431D1B"/>
    <w:rsid w:val="00431DF6"/>
    <w:rsid w:val="00431E55"/>
    <w:rsid w:val="0043204C"/>
    <w:rsid w:val="004321F6"/>
    <w:rsid w:val="00432705"/>
    <w:rsid w:val="004327D6"/>
    <w:rsid w:val="00432F50"/>
    <w:rsid w:val="00433044"/>
    <w:rsid w:val="00433512"/>
    <w:rsid w:val="00433764"/>
    <w:rsid w:val="004337D7"/>
    <w:rsid w:val="00434088"/>
    <w:rsid w:val="0043432B"/>
    <w:rsid w:val="00434883"/>
    <w:rsid w:val="0043491D"/>
    <w:rsid w:val="00434E81"/>
    <w:rsid w:val="004353D7"/>
    <w:rsid w:val="004353D8"/>
    <w:rsid w:val="0043568E"/>
    <w:rsid w:val="00435887"/>
    <w:rsid w:val="00435A20"/>
    <w:rsid w:val="0043600A"/>
    <w:rsid w:val="00436665"/>
    <w:rsid w:val="0043696D"/>
    <w:rsid w:val="004369BC"/>
    <w:rsid w:val="00436D28"/>
    <w:rsid w:val="004372A7"/>
    <w:rsid w:val="00437303"/>
    <w:rsid w:val="004373EA"/>
    <w:rsid w:val="004375B9"/>
    <w:rsid w:val="00437FCC"/>
    <w:rsid w:val="0044024C"/>
    <w:rsid w:val="00440309"/>
    <w:rsid w:val="004406C0"/>
    <w:rsid w:val="004407CE"/>
    <w:rsid w:val="00440C40"/>
    <w:rsid w:val="00440D9C"/>
    <w:rsid w:val="00440ED3"/>
    <w:rsid w:val="00441AEC"/>
    <w:rsid w:val="004420EE"/>
    <w:rsid w:val="0044227F"/>
    <w:rsid w:val="004428D0"/>
    <w:rsid w:val="00442AEA"/>
    <w:rsid w:val="00442E78"/>
    <w:rsid w:val="00443428"/>
    <w:rsid w:val="00443666"/>
    <w:rsid w:val="004439E1"/>
    <w:rsid w:val="00443FA4"/>
    <w:rsid w:val="00444185"/>
    <w:rsid w:val="004443A7"/>
    <w:rsid w:val="0044442C"/>
    <w:rsid w:val="00444A14"/>
    <w:rsid w:val="00444A8D"/>
    <w:rsid w:val="00445513"/>
    <w:rsid w:val="00445941"/>
    <w:rsid w:val="00445A3C"/>
    <w:rsid w:val="00445C3E"/>
    <w:rsid w:val="00445F43"/>
    <w:rsid w:val="00446110"/>
    <w:rsid w:val="00446134"/>
    <w:rsid w:val="0044615B"/>
    <w:rsid w:val="004464EB"/>
    <w:rsid w:val="00446B64"/>
    <w:rsid w:val="00447054"/>
    <w:rsid w:val="00447139"/>
    <w:rsid w:val="0044740A"/>
    <w:rsid w:val="004479DE"/>
    <w:rsid w:val="00447AF9"/>
    <w:rsid w:val="00447C46"/>
    <w:rsid w:val="00447D26"/>
    <w:rsid w:val="00447DFC"/>
    <w:rsid w:val="00447FE3"/>
    <w:rsid w:val="00450B85"/>
    <w:rsid w:val="00450EAA"/>
    <w:rsid w:val="00450FEA"/>
    <w:rsid w:val="0045128C"/>
    <w:rsid w:val="0045166A"/>
    <w:rsid w:val="004516BA"/>
    <w:rsid w:val="004520F3"/>
    <w:rsid w:val="00452A23"/>
    <w:rsid w:val="0045359C"/>
    <w:rsid w:val="004540A6"/>
    <w:rsid w:val="0045490C"/>
    <w:rsid w:val="00455086"/>
    <w:rsid w:val="004550FD"/>
    <w:rsid w:val="004552AC"/>
    <w:rsid w:val="004552AD"/>
    <w:rsid w:val="0045562B"/>
    <w:rsid w:val="00455830"/>
    <w:rsid w:val="00455D45"/>
    <w:rsid w:val="00456E3F"/>
    <w:rsid w:val="00457164"/>
    <w:rsid w:val="00460A37"/>
    <w:rsid w:val="00460C67"/>
    <w:rsid w:val="00461413"/>
    <w:rsid w:val="004619CD"/>
    <w:rsid w:val="0046240B"/>
    <w:rsid w:val="00462D1D"/>
    <w:rsid w:val="00462DE5"/>
    <w:rsid w:val="00463535"/>
    <w:rsid w:val="004635E2"/>
    <w:rsid w:val="00463AFA"/>
    <w:rsid w:val="00464147"/>
    <w:rsid w:val="0046433A"/>
    <w:rsid w:val="00464595"/>
    <w:rsid w:val="00464D58"/>
    <w:rsid w:val="0046578C"/>
    <w:rsid w:val="004658B5"/>
    <w:rsid w:val="00465FC7"/>
    <w:rsid w:val="00466179"/>
    <w:rsid w:val="00466571"/>
    <w:rsid w:val="00466EFA"/>
    <w:rsid w:val="00467DAB"/>
    <w:rsid w:val="00470369"/>
    <w:rsid w:val="004709B2"/>
    <w:rsid w:val="004713ED"/>
    <w:rsid w:val="00471CF9"/>
    <w:rsid w:val="00471EA5"/>
    <w:rsid w:val="00472010"/>
    <w:rsid w:val="004720BC"/>
    <w:rsid w:val="004722BD"/>
    <w:rsid w:val="004723BC"/>
    <w:rsid w:val="00472613"/>
    <w:rsid w:val="004726CE"/>
    <w:rsid w:val="00472739"/>
    <w:rsid w:val="00472A79"/>
    <w:rsid w:val="00473241"/>
    <w:rsid w:val="004736F4"/>
    <w:rsid w:val="004738FC"/>
    <w:rsid w:val="00473C1F"/>
    <w:rsid w:val="00473F19"/>
    <w:rsid w:val="00474473"/>
    <w:rsid w:val="00474483"/>
    <w:rsid w:val="00474877"/>
    <w:rsid w:val="00474D74"/>
    <w:rsid w:val="00475267"/>
    <w:rsid w:val="00475636"/>
    <w:rsid w:val="00475DE2"/>
    <w:rsid w:val="00475E22"/>
    <w:rsid w:val="00476053"/>
    <w:rsid w:val="00476797"/>
    <w:rsid w:val="00476832"/>
    <w:rsid w:val="00476B8E"/>
    <w:rsid w:val="00476BD6"/>
    <w:rsid w:val="004770D0"/>
    <w:rsid w:val="0047738E"/>
    <w:rsid w:val="0047775B"/>
    <w:rsid w:val="0048058E"/>
    <w:rsid w:val="0048068E"/>
    <w:rsid w:val="0048088E"/>
    <w:rsid w:val="00480BD5"/>
    <w:rsid w:val="00480F2B"/>
    <w:rsid w:val="0048121A"/>
    <w:rsid w:val="004815CD"/>
    <w:rsid w:val="00482720"/>
    <w:rsid w:val="004835E7"/>
    <w:rsid w:val="00483AD1"/>
    <w:rsid w:val="00484393"/>
    <w:rsid w:val="004849D5"/>
    <w:rsid w:val="004854E5"/>
    <w:rsid w:val="00485518"/>
    <w:rsid w:val="004859E1"/>
    <w:rsid w:val="00486138"/>
    <w:rsid w:val="004861C0"/>
    <w:rsid w:val="00486484"/>
    <w:rsid w:val="004867E2"/>
    <w:rsid w:val="004869B6"/>
    <w:rsid w:val="00486F5C"/>
    <w:rsid w:val="004877E8"/>
    <w:rsid w:val="004878FD"/>
    <w:rsid w:val="00487FA7"/>
    <w:rsid w:val="0049000A"/>
    <w:rsid w:val="0049011D"/>
    <w:rsid w:val="00490276"/>
    <w:rsid w:val="00490B17"/>
    <w:rsid w:val="004910D0"/>
    <w:rsid w:val="00491299"/>
    <w:rsid w:val="0049137D"/>
    <w:rsid w:val="004918EC"/>
    <w:rsid w:val="00491B3A"/>
    <w:rsid w:val="00491B9E"/>
    <w:rsid w:val="00492373"/>
    <w:rsid w:val="0049285D"/>
    <w:rsid w:val="00492940"/>
    <w:rsid w:val="00492991"/>
    <w:rsid w:val="00492CFD"/>
    <w:rsid w:val="00493336"/>
    <w:rsid w:val="00493470"/>
    <w:rsid w:val="004934B3"/>
    <w:rsid w:val="004935F8"/>
    <w:rsid w:val="00493816"/>
    <w:rsid w:val="00494207"/>
    <w:rsid w:val="00494D40"/>
    <w:rsid w:val="00494DD5"/>
    <w:rsid w:val="0049507D"/>
    <w:rsid w:val="00495104"/>
    <w:rsid w:val="004953A9"/>
    <w:rsid w:val="004956D4"/>
    <w:rsid w:val="004958BA"/>
    <w:rsid w:val="00495F61"/>
    <w:rsid w:val="004960A3"/>
    <w:rsid w:val="00496165"/>
    <w:rsid w:val="004961C6"/>
    <w:rsid w:val="004962D2"/>
    <w:rsid w:val="00497754"/>
    <w:rsid w:val="00497B20"/>
    <w:rsid w:val="004A0194"/>
    <w:rsid w:val="004A01E2"/>
    <w:rsid w:val="004A06CF"/>
    <w:rsid w:val="004A0DA1"/>
    <w:rsid w:val="004A13D6"/>
    <w:rsid w:val="004A1669"/>
    <w:rsid w:val="004A180A"/>
    <w:rsid w:val="004A1F9D"/>
    <w:rsid w:val="004A20D4"/>
    <w:rsid w:val="004A2531"/>
    <w:rsid w:val="004A27E6"/>
    <w:rsid w:val="004A2B4B"/>
    <w:rsid w:val="004A31E4"/>
    <w:rsid w:val="004A325A"/>
    <w:rsid w:val="004A3C72"/>
    <w:rsid w:val="004A3F9C"/>
    <w:rsid w:val="004A4671"/>
    <w:rsid w:val="004A4774"/>
    <w:rsid w:val="004A48FA"/>
    <w:rsid w:val="004A4DB8"/>
    <w:rsid w:val="004A4EBE"/>
    <w:rsid w:val="004A52E9"/>
    <w:rsid w:val="004A5326"/>
    <w:rsid w:val="004A53E2"/>
    <w:rsid w:val="004A54C8"/>
    <w:rsid w:val="004A6040"/>
    <w:rsid w:val="004A61A4"/>
    <w:rsid w:val="004A6597"/>
    <w:rsid w:val="004A70F1"/>
    <w:rsid w:val="004A7656"/>
    <w:rsid w:val="004A7848"/>
    <w:rsid w:val="004A7855"/>
    <w:rsid w:val="004A7912"/>
    <w:rsid w:val="004A793B"/>
    <w:rsid w:val="004A7E5B"/>
    <w:rsid w:val="004B05FF"/>
    <w:rsid w:val="004B0723"/>
    <w:rsid w:val="004B0B8C"/>
    <w:rsid w:val="004B0BB6"/>
    <w:rsid w:val="004B0BDB"/>
    <w:rsid w:val="004B0E94"/>
    <w:rsid w:val="004B1199"/>
    <w:rsid w:val="004B12F7"/>
    <w:rsid w:val="004B1CB4"/>
    <w:rsid w:val="004B1D47"/>
    <w:rsid w:val="004B207E"/>
    <w:rsid w:val="004B24D1"/>
    <w:rsid w:val="004B2F18"/>
    <w:rsid w:val="004B359B"/>
    <w:rsid w:val="004B35ED"/>
    <w:rsid w:val="004B37FF"/>
    <w:rsid w:val="004B3D50"/>
    <w:rsid w:val="004B3DDB"/>
    <w:rsid w:val="004B447F"/>
    <w:rsid w:val="004B44FD"/>
    <w:rsid w:val="004B452B"/>
    <w:rsid w:val="004B46F0"/>
    <w:rsid w:val="004B4F81"/>
    <w:rsid w:val="004B5532"/>
    <w:rsid w:val="004B5572"/>
    <w:rsid w:val="004B5BA3"/>
    <w:rsid w:val="004B5CFC"/>
    <w:rsid w:val="004B6553"/>
    <w:rsid w:val="004B6DFC"/>
    <w:rsid w:val="004B6F79"/>
    <w:rsid w:val="004B705E"/>
    <w:rsid w:val="004B75E7"/>
    <w:rsid w:val="004B76DC"/>
    <w:rsid w:val="004B774D"/>
    <w:rsid w:val="004B7C90"/>
    <w:rsid w:val="004B7E10"/>
    <w:rsid w:val="004C0195"/>
    <w:rsid w:val="004C04D7"/>
    <w:rsid w:val="004C04E4"/>
    <w:rsid w:val="004C09E9"/>
    <w:rsid w:val="004C1F26"/>
    <w:rsid w:val="004C1F33"/>
    <w:rsid w:val="004C20C5"/>
    <w:rsid w:val="004C2461"/>
    <w:rsid w:val="004C2756"/>
    <w:rsid w:val="004C2AC2"/>
    <w:rsid w:val="004C2E18"/>
    <w:rsid w:val="004C3655"/>
    <w:rsid w:val="004C38A7"/>
    <w:rsid w:val="004C3B02"/>
    <w:rsid w:val="004C3E69"/>
    <w:rsid w:val="004C41A2"/>
    <w:rsid w:val="004C4994"/>
    <w:rsid w:val="004C4AED"/>
    <w:rsid w:val="004C4E14"/>
    <w:rsid w:val="004C51B7"/>
    <w:rsid w:val="004C5547"/>
    <w:rsid w:val="004C5774"/>
    <w:rsid w:val="004C5DF8"/>
    <w:rsid w:val="004C6877"/>
    <w:rsid w:val="004C691B"/>
    <w:rsid w:val="004C6BF2"/>
    <w:rsid w:val="004C7EDE"/>
    <w:rsid w:val="004C7EFD"/>
    <w:rsid w:val="004D06CC"/>
    <w:rsid w:val="004D0B0D"/>
    <w:rsid w:val="004D10DB"/>
    <w:rsid w:val="004D1585"/>
    <w:rsid w:val="004D1C5E"/>
    <w:rsid w:val="004D1D0B"/>
    <w:rsid w:val="004D230F"/>
    <w:rsid w:val="004D2413"/>
    <w:rsid w:val="004D2971"/>
    <w:rsid w:val="004D2C2D"/>
    <w:rsid w:val="004D2D3F"/>
    <w:rsid w:val="004D34BD"/>
    <w:rsid w:val="004D3C17"/>
    <w:rsid w:val="004D45A0"/>
    <w:rsid w:val="004D47C9"/>
    <w:rsid w:val="004D48F3"/>
    <w:rsid w:val="004D4F2B"/>
    <w:rsid w:val="004D4FCE"/>
    <w:rsid w:val="004D60EC"/>
    <w:rsid w:val="004D62E8"/>
    <w:rsid w:val="004D6765"/>
    <w:rsid w:val="004D69B5"/>
    <w:rsid w:val="004D6DFD"/>
    <w:rsid w:val="004D7110"/>
    <w:rsid w:val="004D7227"/>
    <w:rsid w:val="004D7715"/>
    <w:rsid w:val="004D782B"/>
    <w:rsid w:val="004D7B5E"/>
    <w:rsid w:val="004D7BC1"/>
    <w:rsid w:val="004D7C5F"/>
    <w:rsid w:val="004D7E2C"/>
    <w:rsid w:val="004E0854"/>
    <w:rsid w:val="004E0BF0"/>
    <w:rsid w:val="004E0E7F"/>
    <w:rsid w:val="004E0EB8"/>
    <w:rsid w:val="004E1434"/>
    <w:rsid w:val="004E170B"/>
    <w:rsid w:val="004E179C"/>
    <w:rsid w:val="004E18CC"/>
    <w:rsid w:val="004E18E9"/>
    <w:rsid w:val="004E1944"/>
    <w:rsid w:val="004E1EE6"/>
    <w:rsid w:val="004E2863"/>
    <w:rsid w:val="004E28A1"/>
    <w:rsid w:val="004E28E0"/>
    <w:rsid w:val="004E2A7D"/>
    <w:rsid w:val="004E2ADC"/>
    <w:rsid w:val="004E2D62"/>
    <w:rsid w:val="004E329F"/>
    <w:rsid w:val="004E333A"/>
    <w:rsid w:val="004E421B"/>
    <w:rsid w:val="004E43B2"/>
    <w:rsid w:val="004E43B3"/>
    <w:rsid w:val="004E48AD"/>
    <w:rsid w:val="004E57F4"/>
    <w:rsid w:val="004E590F"/>
    <w:rsid w:val="004E5BC3"/>
    <w:rsid w:val="004E624A"/>
    <w:rsid w:val="004E6BF0"/>
    <w:rsid w:val="004E6FFF"/>
    <w:rsid w:val="004E7031"/>
    <w:rsid w:val="004E747E"/>
    <w:rsid w:val="004F00CC"/>
    <w:rsid w:val="004F031B"/>
    <w:rsid w:val="004F09AE"/>
    <w:rsid w:val="004F0DC0"/>
    <w:rsid w:val="004F0DC1"/>
    <w:rsid w:val="004F110B"/>
    <w:rsid w:val="004F140A"/>
    <w:rsid w:val="004F1634"/>
    <w:rsid w:val="004F1D02"/>
    <w:rsid w:val="004F1EC1"/>
    <w:rsid w:val="004F2140"/>
    <w:rsid w:val="004F2348"/>
    <w:rsid w:val="004F2535"/>
    <w:rsid w:val="004F2679"/>
    <w:rsid w:val="004F2995"/>
    <w:rsid w:val="004F2B47"/>
    <w:rsid w:val="004F2C55"/>
    <w:rsid w:val="004F2F21"/>
    <w:rsid w:val="004F317D"/>
    <w:rsid w:val="004F3758"/>
    <w:rsid w:val="004F3828"/>
    <w:rsid w:val="004F3CE3"/>
    <w:rsid w:val="004F3D18"/>
    <w:rsid w:val="004F3DE5"/>
    <w:rsid w:val="004F42B2"/>
    <w:rsid w:val="004F43BD"/>
    <w:rsid w:val="004F4419"/>
    <w:rsid w:val="004F47F5"/>
    <w:rsid w:val="004F509F"/>
    <w:rsid w:val="004F50EC"/>
    <w:rsid w:val="004F5D8D"/>
    <w:rsid w:val="004F5DC9"/>
    <w:rsid w:val="004F6689"/>
    <w:rsid w:val="004F6913"/>
    <w:rsid w:val="004F6F18"/>
    <w:rsid w:val="004F7377"/>
    <w:rsid w:val="004F7865"/>
    <w:rsid w:val="004F7C9F"/>
    <w:rsid w:val="004F7F08"/>
    <w:rsid w:val="00500002"/>
    <w:rsid w:val="005011EB"/>
    <w:rsid w:val="0050174E"/>
    <w:rsid w:val="00501854"/>
    <w:rsid w:val="00501C62"/>
    <w:rsid w:val="00501DF7"/>
    <w:rsid w:val="00502126"/>
    <w:rsid w:val="0050219B"/>
    <w:rsid w:val="005024E0"/>
    <w:rsid w:val="00502BDB"/>
    <w:rsid w:val="00503B60"/>
    <w:rsid w:val="00503DAB"/>
    <w:rsid w:val="00503F17"/>
    <w:rsid w:val="00503F3A"/>
    <w:rsid w:val="00504296"/>
    <w:rsid w:val="00504873"/>
    <w:rsid w:val="0050536F"/>
    <w:rsid w:val="0050553D"/>
    <w:rsid w:val="00506303"/>
    <w:rsid w:val="00506425"/>
    <w:rsid w:val="005065CA"/>
    <w:rsid w:val="00506928"/>
    <w:rsid w:val="00506BDA"/>
    <w:rsid w:val="00506C29"/>
    <w:rsid w:val="00506F47"/>
    <w:rsid w:val="005077EF"/>
    <w:rsid w:val="00507BAC"/>
    <w:rsid w:val="00507D18"/>
    <w:rsid w:val="00507DD1"/>
    <w:rsid w:val="00507E0F"/>
    <w:rsid w:val="005100CD"/>
    <w:rsid w:val="00511124"/>
    <w:rsid w:val="00511592"/>
    <w:rsid w:val="00511AD5"/>
    <w:rsid w:val="00511D72"/>
    <w:rsid w:val="00511DC7"/>
    <w:rsid w:val="00513049"/>
    <w:rsid w:val="0051349B"/>
    <w:rsid w:val="00513C08"/>
    <w:rsid w:val="005142C5"/>
    <w:rsid w:val="00514820"/>
    <w:rsid w:val="0051501B"/>
    <w:rsid w:val="005152B5"/>
    <w:rsid w:val="00515335"/>
    <w:rsid w:val="005157A4"/>
    <w:rsid w:val="00515886"/>
    <w:rsid w:val="00515B2B"/>
    <w:rsid w:val="00515E31"/>
    <w:rsid w:val="00516052"/>
    <w:rsid w:val="0051656B"/>
    <w:rsid w:val="00516FF2"/>
    <w:rsid w:val="005179F5"/>
    <w:rsid w:val="00517D5B"/>
    <w:rsid w:val="00520F28"/>
    <w:rsid w:val="005211B3"/>
    <w:rsid w:val="0052123C"/>
    <w:rsid w:val="00521264"/>
    <w:rsid w:val="00521319"/>
    <w:rsid w:val="00521525"/>
    <w:rsid w:val="0052186A"/>
    <w:rsid w:val="0052234B"/>
    <w:rsid w:val="0052250D"/>
    <w:rsid w:val="0052288C"/>
    <w:rsid w:val="00522BC8"/>
    <w:rsid w:val="00523A90"/>
    <w:rsid w:val="00523C28"/>
    <w:rsid w:val="00524058"/>
    <w:rsid w:val="00524632"/>
    <w:rsid w:val="00524846"/>
    <w:rsid w:val="00524D0C"/>
    <w:rsid w:val="005250A1"/>
    <w:rsid w:val="00525512"/>
    <w:rsid w:val="00525F6A"/>
    <w:rsid w:val="0052604A"/>
    <w:rsid w:val="005269DE"/>
    <w:rsid w:val="00526BC2"/>
    <w:rsid w:val="00527424"/>
    <w:rsid w:val="00527479"/>
    <w:rsid w:val="00527ECF"/>
    <w:rsid w:val="005303FB"/>
    <w:rsid w:val="005315A3"/>
    <w:rsid w:val="00531698"/>
    <w:rsid w:val="0053176B"/>
    <w:rsid w:val="00531845"/>
    <w:rsid w:val="00531B27"/>
    <w:rsid w:val="00531C3E"/>
    <w:rsid w:val="00531D72"/>
    <w:rsid w:val="00531E00"/>
    <w:rsid w:val="00531E8A"/>
    <w:rsid w:val="005321D9"/>
    <w:rsid w:val="005325B4"/>
    <w:rsid w:val="005327B3"/>
    <w:rsid w:val="00532B68"/>
    <w:rsid w:val="00532D69"/>
    <w:rsid w:val="00533457"/>
    <w:rsid w:val="005335FC"/>
    <w:rsid w:val="0053361C"/>
    <w:rsid w:val="005337A5"/>
    <w:rsid w:val="00533B21"/>
    <w:rsid w:val="00533F88"/>
    <w:rsid w:val="005341B3"/>
    <w:rsid w:val="005343C0"/>
    <w:rsid w:val="005358DC"/>
    <w:rsid w:val="005361E5"/>
    <w:rsid w:val="005365D5"/>
    <w:rsid w:val="0053678D"/>
    <w:rsid w:val="0053692A"/>
    <w:rsid w:val="005369CF"/>
    <w:rsid w:val="00536C97"/>
    <w:rsid w:val="00536EE5"/>
    <w:rsid w:val="00536F42"/>
    <w:rsid w:val="00537158"/>
    <w:rsid w:val="00537182"/>
    <w:rsid w:val="00537916"/>
    <w:rsid w:val="00537B3E"/>
    <w:rsid w:val="00537BEE"/>
    <w:rsid w:val="00537CD4"/>
    <w:rsid w:val="00540133"/>
    <w:rsid w:val="00540617"/>
    <w:rsid w:val="00540902"/>
    <w:rsid w:val="00540ED7"/>
    <w:rsid w:val="0054144D"/>
    <w:rsid w:val="00541C35"/>
    <w:rsid w:val="00541EDD"/>
    <w:rsid w:val="00542018"/>
    <w:rsid w:val="005424A8"/>
    <w:rsid w:val="00542743"/>
    <w:rsid w:val="0054279D"/>
    <w:rsid w:val="00542B63"/>
    <w:rsid w:val="00542C2D"/>
    <w:rsid w:val="00542D20"/>
    <w:rsid w:val="00543B5B"/>
    <w:rsid w:val="00543D56"/>
    <w:rsid w:val="00544072"/>
    <w:rsid w:val="00544109"/>
    <w:rsid w:val="005442C3"/>
    <w:rsid w:val="00544C53"/>
    <w:rsid w:val="005450F6"/>
    <w:rsid w:val="0054581A"/>
    <w:rsid w:val="00545D6C"/>
    <w:rsid w:val="00545DDB"/>
    <w:rsid w:val="00546DF7"/>
    <w:rsid w:val="00547393"/>
    <w:rsid w:val="0054787A"/>
    <w:rsid w:val="005478BD"/>
    <w:rsid w:val="005479E3"/>
    <w:rsid w:val="00547B5D"/>
    <w:rsid w:val="00547BBC"/>
    <w:rsid w:val="00547E19"/>
    <w:rsid w:val="00550D55"/>
    <w:rsid w:val="0055103F"/>
    <w:rsid w:val="0055156F"/>
    <w:rsid w:val="0055160C"/>
    <w:rsid w:val="00551956"/>
    <w:rsid w:val="00551985"/>
    <w:rsid w:val="00551B3D"/>
    <w:rsid w:val="00552195"/>
    <w:rsid w:val="00552BD3"/>
    <w:rsid w:val="00552CDB"/>
    <w:rsid w:val="00552F63"/>
    <w:rsid w:val="005532A0"/>
    <w:rsid w:val="005536CC"/>
    <w:rsid w:val="00553856"/>
    <w:rsid w:val="00553E59"/>
    <w:rsid w:val="0055445F"/>
    <w:rsid w:val="00554756"/>
    <w:rsid w:val="00555109"/>
    <w:rsid w:val="005551E4"/>
    <w:rsid w:val="00555E6D"/>
    <w:rsid w:val="005567E9"/>
    <w:rsid w:val="00556B35"/>
    <w:rsid w:val="00556C38"/>
    <w:rsid w:val="0055741A"/>
    <w:rsid w:val="00557572"/>
    <w:rsid w:val="00557BF0"/>
    <w:rsid w:val="00557F77"/>
    <w:rsid w:val="00560026"/>
    <w:rsid w:val="00560F2A"/>
    <w:rsid w:val="005611B7"/>
    <w:rsid w:val="005613A6"/>
    <w:rsid w:val="005613E4"/>
    <w:rsid w:val="005615D0"/>
    <w:rsid w:val="005616CD"/>
    <w:rsid w:val="005618D4"/>
    <w:rsid w:val="00561977"/>
    <w:rsid w:val="00561CC8"/>
    <w:rsid w:val="00561F14"/>
    <w:rsid w:val="00561F92"/>
    <w:rsid w:val="005620C5"/>
    <w:rsid w:val="00562463"/>
    <w:rsid w:val="0056246B"/>
    <w:rsid w:val="00564867"/>
    <w:rsid w:val="005649BB"/>
    <w:rsid w:val="00564F12"/>
    <w:rsid w:val="00565211"/>
    <w:rsid w:val="00565593"/>
    <w:rsid w:val="005656CA"/>
    <w:rsid w:val="00565C79"/>
    <w:rsid w:val="00565DF0"/>
    <w:rsid w:val="00565DFD"/>
    <w:rsid w:val="00565E7B"/>
    <w:rsid w:val="00566205"/>
    <w:rsid w:val="005662E9"/>
    <w:rsid w:val="00566732"/>
    <w:rsid w:val="00566941"/>
    <w:rsid w:val="0056696F"/>
    <w:rsid w:val="00566E7A"/>
    <w:rsid w:val="0056736F"/>
    <w:rsid w:val="00567A13"/>
    <w:rsid w:val="00570093"/>
    <w:rsid w:val="00570686"/>
    <w:rsid w:val="00570CEC"/>
    <w:rsid w:val="00571457"/>
    <w:rsid w:val="0057170C"/>
    <w:rsid w:val="005718BB"/>
    <w:rsid w:val="005718E0"/>
    <w:rsid w:val="00571DE1"/>
    <w:rsid w:val="00571EE1"/>
    <w:rsid w:val="00571F4A"/>
    <w:rsid w:val="00572171"/>
    <w:rsid w:val="00572269"/>
    <w:rsid w:val="0057244A"/>
    <w:rsid w:val="00572484"/>
    <w:rsid w:val="0057266D"/>
    <w:rsid w:val="00572774"/>
    <w:rsid w:val="005729E5"/>
    <w:rsid w:val="00572B73"/>
    <w:rsid w:val="00572F26"/>
    <w:rsid w:val="00573165"/>
    <w:rsid w:val="00573902"/>
    <w:rsid w:val="00573B8E"/>
    <w:rsid w:val="00573F71"/>
    <w:rsid w:val="00574ACF"/>
    <w:rsid w:val="005750C5"/>
    <w:rsid w:val="005752DE"/>
    <w:rsid w:val="0057541D"/>
    <w:rsid w:val="00575862"/>
    <w:rsid w:val="00575D60"/>
    <w:rsid w:val="00575D8D"/>
    <w:rsid w:val="00575E3E"/>
    <w:rsid w:val="00576972"/>
    <w:rsid w:val="005769C8"/>
    <w:rsid w:val="00576FE1"/>
    <w:rsid w:val="0057703E"/>
    <w:rsid w:val="00577248"/>
    <w:rsid w:val="00577306"/>
    <w:rsid w:val="005773DE"/>
    <w:rsid w:val="0057765F"/>
    <w:rsid w:val="005779F7"/>
    <w:rsid w:val="00577BF0"/>
    <w:rsid w:val="00577BFD"/>
    <w:rsid w:val="00580657"/>
    <w:rsid w:val="00581114"/>
    <w:rsid w:val="00581121"/>
    <w:rsid w:val="00581421"/>
    <w:rsid w:val="00581C2D"/>
    <w:rsid w:val="0058215E"/>
    <w:rsid w:val="00582B5B"/>
    <w:rsid w:val="00583699"/>
    <w:rsid w:val="005839A5"/>
    <w:rsid w:val="00584275"/>
    <w:rsid w:val="005846F7"/>
    <w:rsid w:val="00584914"/>
    <w:rsid w:val="0058497A"/>
    <w:rsid w:val="00584D1F"/>
    <w:rsid w:val="00584EF8"/>
    <w:rsid w:val="00585893"/>
    <w:rsid w:val="00585A9C"/>
    <w:rsid w:val="00585C8B"/>
    <w:rsid w:val="00585CDD"/>
    <w:rsid w:val="0058618F"/>
    <w:rsid w:val="00586981"/>
    <w:rsid w:val="00586D77"/>
    <w:rsid w:val="00587058"/>
    <w:rsid w:val="005873A0"/>
    <w:rsid w:val="0059006D"/>
    <w:rsid w:val="00590D2C"/>
    <w:rsid w:val="005914A0"/>
    <w:rsid w:val="005918C2"/>
    <w:rsid w:val="00591910"/>
    <w:rsid w:val="00591957"/>
    <w:rsid w:val="00591F10"/>
    <w:rsid w:val="005924ED"/>
    <w:rsid w:val="005927B3"/>
    <w:rsid w:val="005927F2"/>
    <w:rsid w:val="005935AD"/>
    <w:rsid w:val="00593677"/>
    <w:rsid w:val="00593741"/>
    <w:rsid w:val="00593831"/>
    <w:rsid w:val="00594145"/>
    <w:rsid w:val="0059482C"/>
    <w:rsid w:val="005950B9"/>
    <w:rsid w:val="00595F11"/>
    <w:rsid w:val="00595F67"/>
    <w:rsid w:val="00596317"/>
    <w:rsid w:val="005964FF"/>
    <w:rsid w:val="005966B2"/>
    <w:rsid w:val="00597BF9"/>
    <w:rsid w:val="00597CAD"/>
    <w:rsid w:val="005A0C11"/>
    <w:rsid w:val="005A114E"/>
    <w:rsid w:val="005A12DC"/>
    <w:rsid w:val="005A1661"/>
    <w:rsid w:val="005A1C06"/>
    <w:rsid w:val="005A1E1A"/>
    <w:rsid w:val="005A261F"/>
    <w:rsid w:val="005A276B"/>
    <w:rsid w:val="005A2894"/>
    <w:rsid w:val="005A309A"/>
    <w:rsid w:val="005A3440"/>
    <w:rsid w:val="005A373D"/>
    <w:rsid w:val="005A3954"/>
    <w:rsid w:val="005A3BB8"/>
    <w:rsid w:val="005A3D24"/>
    <w:rsid w:val="005A3F51"/>
    <w:rsid w:val="005A3FDA"/>
    <w:rsid w:val="005A4537"/>
    <w:rsid w:val="005A45AB"/>
    <w:rsid w:val="005A469A"/>
    <w:rsid w:val="005A4707"/>
    <w:rsid w:val="005A4B09"/>
    <w:rsid w:val="005A5425"/>
    <w:rsid w:val="005A5540"/>
    <w:rsid w:val="005A55B2"/>
    <w:rsid w:val="005A591A"/>
    <w:rsid w:val="005A5C55"/>
    <w:rsid w:val="005A695A"/>
    <w:rsid w:val="005A7054"/>
    <w:rsid w:val="005A7D03"/>
    <w:rsid w:val="005A7D5F"/>
    <w:rsid w:val="005A7DD3"/>
    <w:rsid w:val="005A7EE1"/>
    <w:rsid w:val="005B0ABB"/>
    <w:rsid w:val="005B0B58"/>
    <w:rsid w:val="005B0D35"/>
    <w:rsid w:val="005B1110"/>
    <w:rsid w:val="005B1776"/>
    <w:rsid w:val="005B1905"/>
    <w:rsid w:val="005B2581"/>
    <w:rsid w:val="005B2782"/>
    <w:rsid w:val="005B323B"/>
    <w:rsid w:val="005B3803"/>
    <w:rsid w:val="005B3858"/>
    <w:rsid w:val="005B3DB3"/>
    <w:rsid w:val="005B3EA3"/>
    <w:rsid w:val="005B3FE0"/>
    <w:rsid w:val="005B4236"/>
    <w:rsid w:val="005B4A2D"/>
    <w:rsid w:val="005B4E53"/>
    <w:rsid w:val="005B534A"/>
    <w:rsid w:val="005B5857"/>
    <w:rsid w:val="005B6AE1"/>
    <w:rsid w:val="005B6FB0"/>
    <w:rsid w:val="005B7205"/>
    <w:rsid w:val="005B7509"/>
    <w:rsid w:val="005B7F95"/>
    <w:rsid w:val="005C08DB"/>
    <w:rsid w:val="005C09BE"/>
    <w:rsid w:val="005C0BAC"/>
    <w:rsid w:val="005C18C5"/>
    <w:rsid w:val="005C19C4"/>
    <w:rsid w:val="005C1B6D"/>
    <w:rsid w:val="005C1B83"/>
    <w:rsid w:val="005C1E95"/>
    <w:rsid w:val="005C2389"/>
    <w:rsid w:val="005C25B3"/>
    <w:rsid w:val="005C25FF"/>
    <w:rsid w:val="005C290E"/>
    <w:rsid w:val="005C2B83"/>
    <w:rsid w:val="005C2C5B"/>
    <w:rsid w:val="005C2D55"/>
    <w:rsid w:val="005C32C3"/>
    <w:rsid w:val="005C346B"/>
    <w:rsid w:val="005C3C62"/>
    <w:rsid w:val="005C3D34"/>
    <w:rsid w:val="005C4465"/>
    <w:rsid w:val="005C468C"/>
    <w:rsid w:val="005C4C1E"/>
    <w:rsid w:val="005C50A8"/>
    <w:rsid w:val="005C517D"/>
    <w:rsid w:val="005C5ABC"/>
    <w:rsid w:val="005C5D19"/>
    <w:rsid w:val="005C5E86"/>
    <w:rsid w:val="005C6668"/>
    <w:rsid w:val="005C67AC"/>
    <w:rsid w:val="005C6A11"/>
    <w:rsid w:val="005C70CE"/>
    <w:rsid w:val="005C7309"/>
    <w:rsid w:val="005C7F15"/>
    <w:rsid w:val="005D03C6"/>
    <w:rsid w:val="005D03EF"/>
    <w:rsid w:val="005D03F0"/>
    <w:rsid w:val="005D044D"/>
    <w:rsid w:val="005D0900"/>
    <w:rsid w:val="005D09B3"/>
    <w:rsid w:val="005D0A8B"/>
    <w:rsid w:val="005D0ABD"/>
    <w:rsid w:val="005D0B57"/>
    <w:rsid w:val="005D0EC9"/>
    <w:rsid w:val="005D1435"/>
    <w:rsid w:val="005D18AD"/>
    <w:rsid w:val="005D2502"/>
    <w:rsid w:val="005D26B4"/>
    <w:rsid w:val="005D29CC"/>
    <w:rsid w:val="005D2C6F"/>
    <w:rsid w:val="005D2CC4"/>
    <w:rsid w:val="005D30AD"/>
    <w:rsid w:val="005D38A1"/>
    <w:rsid w:val="005D3AE7"/>
    <w:rsid w:val="005D3AF1"/>
    <w:rsid w:val="005D4341"/>
    <w:rsid w:val="005D4AAE"/>
    <w:rsid w:val="005D4DE6"/>
    <w:rsid w:val="005D4E0E"/>
    <w:rsid w:val="005D5972"/>
    <w:rsid w:val="005D61BE"/>
    <w:rsid w:val="005D68FA"/>
    <w:rsid w:val="005D6BD0"/>
    <w:rsid w:val="005D6F33"/>
    <w:rsid w:val="005D7307"/>
    <w:rsid w:val="005D7AD9"/>
    <w:rsid w:val="005E0050"/>
    <w:rsid w:val="005E02CA"/>
    <w:rsid w:val="005E0DF3"/>
    <w:rsid w:val="005E1072"/>
    <w:rsid w:val="005E15F0"/>
    <w:rsid w:val="005E1995"/>
    <w:rsid w:val="005E238C"/>
    <w:rsid w:val="005E323D"/>
    <w:rsid w:val="005E3497"/>
    <w:rsid w:val="005E356D"/>
    <w:rsid w:val="005E37E2"/>
    <w:rsid w:val="005E39A7"/>
    <w:rsid w:val="005E3EAE"/>
    <w:rsid w:val="005E3FA5"/>
    <w:rsid w:val="005E46B8"/>
    <w:rsid w:val="005E4BFA"/>
    <w:rsid w:val="005E4E5A"/>
    <w:rsid w:val="005E4F39"/>
    <w:rsid w:val="005E50BC"/>
    <w:rsid w:val="005E5169"/>
    <w:rsid w:val="005E5A76"/>
    <w:rsid w:val="005E5C3D"/>
    <w:rsid w:val="005E5D05"/>
    <w:rsid w:val="005E62A2"/>
    <w:rsid w:val="005E6488"/>
    <w:rsid w:val="005E6CBC"/>
    <w:rsid w:val="005E6E05"/>
    <w:rsid w:val="005E71B5"/>
    <w:rsid w:val="005E72FF"/>
    <w:rsid w:val="005E73C0"/>
    <w:rsid w:val="005E73DB"/>
    <w:rsid w:val="005E7742"/>
    <w:rsid w:val="005E791A"/>
    <w:rsid w:val="005E7AD3"/>
    <w:rsid w:val="005E7CCA"/>
    <w:rsid w:val="005E7F63"/>
    <w:rsid w:val="005F07ED"/>
    <w:rsid w:val="005F08C2"/>
    <w:rsid w:val="005F0E4E"/>
    <w:rsid w:val="005F2194"/>
    <w:rsid w:val="005F2706"/>
    <w:rsid w:val="005F2E7F"/>
    <w:rsid w:val="005F3004"/>
    <w:rsid w:val="005F417E"/>
    <w:rsid w:val="005F457F"/>
    <w:rsid w:val="005F49AB"/>
    <w:rsid w:val="005F4B55"/>
    <w:rsid w:val="005F4D6B"/>
    <w:rsid w:val="005F526F"/>
    <w:rsid w:val="005F59D9"/>
    <w:rsid w:val="005F59DD"/>
    <w:rsid w:val="005F5B0D"/>
    <w:rsid w:val="005F6A8F"/>
    <w:rsid w:val="005F6B8F"/>
    <w:rsid w:val="005F6BB7"/>
    <w:rsid w:val="005F707A"/>
    <w:rsid w:val="005F71A2"/>
    <w:rsid w:val="005F7588"/>
    <w:rsid w:val="005F7832"/>
    <w:rsid w:val="005F7D09"/>
    <w:rsid w:val="00600790"/>
    <w:rsid w:val="0060095E"/>
    <w:rsid w:val="00600A2B"/>
    <w:rsid w:val="00601662"/>
    <w:rsid w:val="00601667"/>
    <w:rsid w:val="00601E81"/>
    <w:rsid w:val="00602116"/>
    <w:rsid w:val="006028D3"/>
    <w:rsid w:val="00602B51"/>
    <w:rsid w:val="00602E4B"/>
    <w:rsid w:val="00602EC6"/>
    <w:rsid w:val="00602EE5"/>
    <w:rsid w:val="00603117"/>
    <w:rsid w:val="00603B48"/>
    <w:rsid w:val="00603DB9"/>
    <w:rsid w:val="00604580"/>
    <w:rsid w:val="0060494B"/>
    <w:rsid w:val="00604D3F"/>
    <w:rsid w:val="00604F34"/>
    <w:rsid w:val="00604F8B"/>
    <w:rsid w:val="00604FA0"/>
    <w:rsid w:val="006050A2"/>
    <w:rsid w:val="00606424"/>
    <w:rsid w:val="00606BC9"/>
    <w:rsid w:val="00606FBA"/>
    <w:rsid w:val="006070C6"/>
    <w:rsid w:val="00607669"/>
    <w:rsid w:val="006076E7"/>
    <w:rsid w:val="006076F4"/>
    <w:rsid w:val="00607768"/>
    <w:rsid w:val="00607A1A"/>
    <w:rsid w:val="00607AFD"/>
    <w:rsid w:val="006103AB"/>
    <w:rsid w:val="00610497"/>
    <w:rsid w:val="0061057C"/>
    <w:rsid w:val="00610F5E"/>
    <w:rsid w:val="00611B12"/>
    <w:rsid w:val="00611E07"/>
    <w:rsid w:val="006129A4"/>
    <w:rsid w:val="00612F97"/>
    <w:rsid w:val="006131F1"/>
    <w:rsid w:val="0061345D"/>
    <w:rsid w:val="00613600"/>
    <w:rsid w:val="006147E0"/>
    <w:rsid w:val="006147FF"/>
    <w:rsid w:val="00614910"/>
    <w:rsid w:val="0061549B"/>
    <w:rsid w:val="00615D39"/>
    <w:rsid w:val="0061611D"/>
    <w:rsid w:val="00616802"/>
    <w:rsid w:val="00616B76"/>
    <w:rsid w:val="00616E1F"/>
    <w:rsid w:val="0061721A"/>
    <w:rsid w:val="006177D3"/>
    <w:rsid w:val="00617E12"/>
    <w:rsid w:val="00620839"/>
    <w:rsid w:val="0062094D"/>
    <w:rsid w:val="00620C25"/>
    <w:rsid w:val="00620CE0"/>
    <w:rsid w:val="0062100A"/>
    <w:rsid w:val="00621477"/>
    <w:rsid w:val="006218BE"/>
    <w:rsid w:val="00621ADA"/>
    <w:rsid w:val="00621C99"/>
    <w:rsid w:val="0062213D"/>
    <w:rsid w:val="0062240B"/>
    <w:rsid w:val="00622816"/>
    <w:rsid w:val="00622899"/>
    <w:rsid w:val="006228F4"/>
    <w:rsid w:val="00622D8C"/>
    <w:rsid w:val="00623439"/>
    <w:rsid w:val="0062346F"/>
    <w:rsid w:val="00623767"/>
    <w:rsid w:val="00623B9D"/>
    <w:rsid w:val="00623F57"/>
    <w:rsid w:val="00623F7B"/>
    <w:rsid w:val="00623FD3"/>
    <w:rsid w:val="0062484E"/>
    <w:rsid w:val="00624AF2"/>
    <w:rsid w:val="00624B36"/>
    <w:rsid w:val="00624BD4"/>
    <w:rsid w:val="0062503C"/>
    <w:rsid w:val="006255D9"/>
    <w:rsid w:val="00625755"/>
    <w:rsid w:val="0062580E"/>
    <w:rsid w:val="00625C3D"/>
    <w:rsid w:val="00625C4C"/>
    <w:rsid w:val="00625FEE"/>
    <w:rsid w:val="00626631"/>
    <w:rsid w:val="006268F4"/>
    <w:rsid w:val="00626DED"/>
    <w:rsid w:val="00627D3C"/>
    <w:rsid w:val="006300FD"/>
    <w:rsid w:val="00631314"/>
    <w:rsid w:val="006313B1"/>
    <w:rsid w:val="0063158F"/>
    <w:rsid w:val="0063169B"/>
    <w:rsid w:val="00631A70"/>
    <w:rsid w:val="00631CEE"/>
    <w:rsid w:val="00631D6B"/>
    <w:rsid w:val="00632183"/>
    <w:rsid w:val="00632677"/>
    <w:rsid w:val="0063293F"/>
    <w:rsid w:val="00632D0B"/>
    <w:rsid w:val="006330A1"/>
    <w:rsid w:val="00634507"/>
    <w:rsid w:val="0063479F"/>
    <w:rsid w:val="00634814"/>
    <w:rsid w:val="00634AB8"/>
    <w:rsid w:val="00634CC9"/>
    <w:rsid w:val="006351A4"/>
    <w:rsid w:val="006353F0"/>
    <w:rsid w:val="00635470"/>
    <w:rsid w:val="00635542"/>
    <w:rsid w:val="006357B5"/>
    <w:rsid w:val="00635988"/>
    <w:rsid w:val="00635AC3"/>
    <w:rsid w:val="00635CE3"/>
    <w:rsid w:val="00635DF5"/>
    <w:rsid w:val="00636251"/>
    <w:rsid w:val="00636422"/>
    <w:rsid w:val="006364A1"/>
    <w:rsid w:val="0063678E"/>
    <w:rsid w:val="00636C90"/>
    <w:rsid w:val="00636F0C"/>
    <w:rsid w:val="00636FA6"/>
    <w:rsid w:val="00637663"/>
    <w:rsid w:val="006377A6"/>
    <w:rsid w:val="00637BFD"/>
    <w:rsid w:val="00637C5C"/>
    <w:rsid w:val="0064042C"/>
    <w:rsid w:val="006405B0"/>
    <w:rsid w:val="00640923"/>
    <w:rsid w:val="00640D4E"/>
    <w:rsid w:val="00641982"/>
    <w:rsid w:val="00641C4E"/>
    <w:rsid w:val="00641FB3"/>
    <w:rsid w:val="00642393"/>
    <w:rsid w:val="00642775"/>
    <w:rsid w:val="00642837"/>
    <w:rsid w:val="006430AA"/>
    <w:rsid w:val="006434C6"/>
    <w:rsid w:val="00643673"/>
    <w:rsid w:val="0064374E"/>
    <w:rsid w:val="00643DE8"/>
    <w:rsid w:val="00643E32"/>
    <w:rsid w:val="00643EDA"/>
    <w:rsid w:val="0064434C"/>
    <w:rsid w:val="00644B8C"/>
    <w:rsid w:val="00644CC2"/>
    <w:rsid w:val="00644ED0"/>
    <w:rsid w:val="006453D4"/>
    <w:rsid w:val="0064560F"/>
    <w:rsid w:val="006458AD"/>
    <w:rsid w:val="00645E27"/>
    <w:rsid w:val="00646BB8"/>
    <w:rsid w:val="006471CC"/>
    <w:rsid w:val="006472FE"/>
    <w:rsid w:val="00647745"/>
    <w:rsid w:val="00647A29"/>
    <w:rsid w:val="0065006B"/>
    <w:rsid w:val="0065079F"/>
    <w:rsid w:val="00651C0D"/>
    <w:rsid w:val="00651F03"/>
    <w:rsid w:val="00652486"/>
    <w:rsid w:val="00652A28"/>
    <w:rsid w:val="0065307E"/>
    <w:rsid w:val="0065379F"/>
    <w:rsid w:val="00653806"/>
    <w:rsid w:val="00653CAC"/>
    <w:rsid w:val="00653D88"/>
    <w:rsid w:val="006543D7"/>
    <w:rsid w:val="006545A6"/>
    <w:rsid w:val="00654AB3"/>
    <w:rsid w:val="00654FB8"/>
    <w:rsid w:val="0065500A"/>
    <w:rsid w:val="006554B0"/>
    <w:rsid w:val="00655C3F"/>
    <w:rsid w:val="00655D8D"/>
    <w:rsid w:val="00656130"/>
    <w:rsid w:val="00656188"/>
    <w:rsid w:val="006564F2"/>
    <w:rsid w:val="00656576"/>
    <w:rsid w:val="00656E6C"/>
    <w:rsid w:val="0065715A"/>
    <w:rsid w:val="006572E2"/>
    <w:rsid w:val="006573E1"/>
    <w:rsid w:val="0065749F"/>
    <w:rsid w:val="006574CB"/>
    <w:rsid w:val="00657817"/>
    <w:rsid w:val="00657B20"/>
    <w:rsid w:val="00657D8B"/>
    <w:rsid w:val="0066000A"/>
    <w:rsid w:val="00660B1F"/>
    <w:rsid w:val="00660B2F"/>
    <w:rsid w:val="00660DB6"/>
    <w:rsid w:val="00660F3E"/>
    <w:rsid w:val="006610F1"/>
    <w:rsid w:val="0066145B"/>
    <w:rsid w:val="00661562"/>
    <w:rsid w:val="006616B4"/>
    <w:rsid w:val="00661748"/>
    <w:rsid w:val="00661A06"/>
    <w:rsid w:val="00661C6B"/>
    <w:rsid w:val="00661F1B"/>
    <w:rsid w:val="006626FD"/>
    <w:rsid w:val="0066273C"/>
    <w:rsid w:val="00662C1C"/>
    <w:rsid w:val="00662D21"/>
    <w:rsid w:val="00662D3E"/>
    <w:rsid w:val="00662D4F"/>
    <w:rsid w:val="00662F88"/>
    <w:rsid w:val="0066335C"/>
    <w:rsid w:val="006635FE"/>
    <w:rsid w:val="006636AA"/>
    <w:rsid w:val="00663971"/>
    <w:rsid w:val="00663A65"/>
    <w:rsid w:val="00663F5C"/>
    <w:rsid w:val="00664092"/>
    <w:rsid w:val="00664719"/>
    <w:rsid w:val="0066522B"/>
    <w:rsid w:val="006653E5"/>
    <w:rsid w:val="00665537"/>
    <w:rsid w:val="00665A39"/>
    <w:rsid w:val="00665CF9"/>
    <w:rsid w:val="00665D38"/>
    <w:rsid w:val="00665F53"/>
    <w:rsid w:val="006660B2"/>
    <w:rsid w:val="006667FA"/>
    <w:rsid w:val="00666DE1"/>
    <w:rsid w:val="00667129"/>
    <w:rsid w:val="006672E5"/>
    <w:rsid w:val="00667537"/>
    <w:rsid w:val="00667601"/>
    <w:rsid w:val="00667771"/>
    <w:rsid w:val="00667A54"/>
    <w:rsid w:val="00667AB1"/>
    <w:rsid w:val="00667BE3"/>
    <w:rsid w:val="00667E45"/>
    <w:rsid w:val="0067044D"/>
    <w:rsid w:val="0067066C"/>
    <w:rsid w:val="00671004"/>
    <w:rsid w:val="006711BF"/>
    <w:rsid w:val="00671300"/>
    <w:rsid w:val="0067151D"/>
    <w:rsid w:val="00671580"/>
    <w:rsid w:val="00671FEC"/>
    <w:rsid w:val="00672484"/>
    <w:rsid w:val="00672646"/>
    <w:rsid w:val="006726CB"/>
    <w:rsid w:val="00672C83"/>
    <w:rsid w:val="00673415"/>
    <w:rsid w:val="006740A2"/>
    <w:rsid w:val="0067420B"/>
    <w:rsid w:val="0067440A"/>
    <w:rsid w:val="006746F8"/>
    <w:rsid w:val="00674E42"/>
    <w:rsid w:val="006754CF"/>
    <w:rsid w:val="00675602"/>
    <w:rsid w:val="00675D1C"/>
    <w:rsid w:val="00675F45"/>
    <w:rsid w:val="00676483"/>
    <w:rsid w:val="00676563"/>
    <w:rsid w:val="00676960"/>
    <w:rsid w:val="00676ABB"/>
    <w:rsid w:val="00676B5A"/>
    <w:rsid w:val="00676D50"/>
    <w:rsid w:val="00676EC3"/>
    <w:rsid w:val="00676FB4"/>
    <w:rsid w:val="00677480"/>
    <w:rsid w:val="0067751F"/>
    <w:rsid w:val="0067761E"/>
    <w:rsid w:val="00677A8A"/>
    <w:rsid w:val="00677C91"/>
    <w:rsid w:val="006800AE"/>
    <w:rsid w:val="006802CE"/>
    <w:rsid w:val="006813F8"/>
    <w:rsid w:val="00681AC9"/>
    <w:rsid w:val="00682112"/>
    <w:rsid w:val="00682665"/>
    <w:rsid w:val="00682BA6"/>
    <w:rsid w:val="0068341A"/>
    <w:rsid w:val="0068356E"/>
    <w:rsid w:val="00683A74"/>
    <w:rsid w:val="00683F92"/>
    <w:rsid w:val="006841AA"/>
    <w:rsid w:val="0068464D"/>
    <w:rsid w:val="00684F2E"/>
    <w:rsid w:val="006850D2"/>
    <w:rsid w:val="00685266"/>
    <w:rsid w:val="006854E2"/>
    <w:rsid w:val="00685518"/>
    <w:rsid w:val="0068579F"/>
    <w:rsid w:val="006858E8"/>
    <w:rsid w:val="00685B8C"/>
    <w:rsid w:val="00685C4F"/>
    <w:rsid w:val="00685F74"/>
    <w:rsid w:val="00685FE1"/>
    <w:rsid w:val="0068617D"/>
    <w:rsid w:val="006862B2"/>
    <w:rsid w:val="00686444"/>
    <w:rsid w:val="006865F4"/>
    <w:rsid w:val="00686957"/>
    <w:rsid w:val="00686C8E"/>
    <w:rsid w:val="00686ECD"/>
    <w:rsid w:val="006872BA"/>
    <w:rsid w:val="0068735E"/>
    <w:rsid w:val="006873C6"/>
    <w:rsid w:val="00687B80"/>
    <w:rsid w:val="00690795"/>
    <w:rsid w:val="00690B52"/>
    <w:rsid w:val="00690CE5"/>
    <w:rsid w:val="00690EF0"/>
    <w:rsid w:val="006910B8"/>
    <w:rsid w:val="006914AA"/>
    <w:rsid w:val="00691587"/>
    <w:rsid w:val="006915EE"/>
    <w:rsid w:val="00691648"/>
    <w:rsid w:val="006917D7"/>
    <w:rsid w:val="006921BA"/>
    <w:rsid w:val="006929F2"/>
    <w:rsid w:val="00692F04"/>
    <w:rsid w:val="00692FC5"/>
    <w:rsid w:val="006937AD"/>
    <w:rsid w:val="00693898"/>
    <w:rsid w:val="00693A63"/>
    <w:rsid w:val="006941C3"/>
    <w:rsid w:val="006942D1"/>
    <w:rsid w:val="0069434C"/>
    <w:rsid w:val="00694F44"/>
    <w:rsid w:val="006954E0"/>
    <w:rsid w:val="00696553"/>
    <w:rsid w:val="00696A45"/>
    <w:rsid w:val="00696BED"/>
    <w:rsid w:val="00696EF9"/>
    <w:rsid w:val="00696F51"/>
    <w:rsid w:val="0069727E"/>
    <w:rsid w:val="00697478"/>
    <w:rsid w:val="0069760E"/>
    <w:rsid w:val="00697926"/>
    <w:rsid w:val="006979A5"/>
    <w:rsid w:val="00697B59"/>
    <w:rsid w:val="006A016F"/>
    <w:rsid w:val="006A052D"/>
    <w:rsid w:val="006A097C"/>
    <w:rsid w:val="006A0DF7"/>
    <w:rsid w:val="006A1CB5"/>
    <w:rsid w:val="006A284A"/>
    <w:rsid w:val="006A2BF9"/>
    <w:rsid w:val="006A2C51"/>
    <w:rsid w:val="006A2FAE"/>
    <w:rsid w:val="006A3A10"/>
    <w:rsid w:val="006A3C51"/>
    <w:rsid w:val="006A3EB9"/>
    <w:rsid w:val="006A4321"/>
    <w:rsid w:val="006A43D9"/>
    <w:rsid w:val="006A4BFD"/>
    <w:rsid w:val="006A4F5B"/>
    <w:rsid w:val="006A52EB"/>
    <w:rsid w:val="006A56C6"/>
    <w:rsid w:val="006A5C66"/>
    <w:rsid w:val="006A5CBD"/>
    <w:rsid w:val="006A65F9"/>
    <w:rsid w:val="006A6829"/>
    <w:rsid w:val="006A6B99"/>
    <w:rsid w:val="006A756F"/>
    <w:rsid w:val="006A7E5F"/>
    <w:rsid w:val="006A7F02"/>
    <w:rsid w:val="006B00BE"/>
    <w:rsid w:val="006B03FE"/>
    <w:rsid w:val="006B0948"/>
    <w:rsid w:val="006B0BBE"/>
    <w:rsid w:val="006B0D9F"/>
    <w:rsid w:val="006B14B3"/>
    <w:rsid w:val="006B1998"/>
    <w:rsid w:val="006B1C10"/>
    <w:rsid w:val="006B234B"/>
    <w:rsid w:val="006B261B"/>
    <w:rsid w:val="006B28E2"/>
    <w:rsid w:val="006B2C90"/>
    <w:rsid w:val="006B2C9D"/>
    <w:rsid w:val="006B2E1D"/>
    <w:rsid w:val="006B2E61"/>
    <w:rsid w:val="006B3325"/>
    <w:rsid w:val="006B35E6"/>
    <w:rsid w:val="006B3B31"/>
    <w:rsid w:val="006B3D7E"/>
    <w:rsid w:val="006B3E0A"/>
    <w:rsid w:val="006B437C"/>
    <w:rsid w:val="006B465A"/>
    <w:rsid w:val="006B4736"/>
    <w:rsid w:val="006B4A0B"/>
    <w:rsid w:val="006B502F"/>
    <w:rsid w:val="006B57F6"/>
    <w:rsid w:val="006B5A79"/>
    <w:rsid w:val="006B5EA3"/>
    <w:rsid w:val="006B6119"/>
    <w:rsid w:val="006B6375"/>
    <w:rsid w:val="006B6412"/>
    <w:rsid w:val="006B6991"/>
    <w:rsid w:val="006B6CB9"/>
    <w:rsid w:val="006B6DD0"/>
    <w:rsid w:val="006B71C4"/>
    <w:rsid w:val="006B7326"/>
    <w:rsid w:val="006B7414"/>
    <w:rsid w:val="006B7F39"/>
    <w:rsid w:val="006C0399"/>
    <w:rsid w:val="006C0733"/>
    <w:rsid w:val="006C080B"/>
    <w:rsid w:val="006C0F70"/>
    <w:rsid w:val="006C114F"/>
    <w:rsid w:val="006C15EA"/>
    <w:rsid w:val="006C1955"/>
    <w:rsid w:val="006C19E8"/>
    <w:rsid w:val="006C1CA0"/>
    <w:rsid w:val="006C20F3"/>
    <w:rsid w:val="006C2264"/>
    <w:rsid w:val="006C2A8E"/>
    <w:rsid w:val="006C3255"/>
    <w:rsid w:val="006C350B"/>
    <w:rsid w:val="006C3F26"/>
    <w:rsid w:val="006C515E"/>
    <w:rsid w:val="006C54D5"/>
    <w:rsid w:val="006C56BF"/>
    <w:rsid w:val="006C5FDA"/>
    <w:rsid w:val="006C64F7"/>
    <w:rsid w:val="006C6CB5"/>
    <w:rsid w:val="006C71A0"/>
    <w:rsid w:val="006D0699"/>
    <w:rsid w:val="006D083B"/>
    <w:rsid w:val="006D0C78"/>
    <w:rsid w:val="006D0D17"/>
    <w:rsid w:val="006D0D70"/>
    <w:rsid w:val="006D0DE5"/>
    <w:rsid w:val="006D1265"/>
    <w:rsid w:val="006D138F"/>
    <w:rsid w:val="006D14D7"/>
    <w:rsid w:val="006D1A2A"/>
    <w:rsid w:val="006D1BBD"/>
    <w:rsid w:val="006D2105"/>
    <w:rsid w:val="006D27CE"/>
    <w:rsid w:val="006D27F9"/>
    <w:rsid w:val="006D2BA8"/>
    <w:rsid w:val="006D2C93"/>
    <w:rsid w:val="006D322C"/>
    <w:rsid w:val="006D3C7D"/>
    <w:rsid w:val="006D411F"/>
    <w:rsid w:val="006D4403"/>
    <w:rsid w:val="006D4659"/>
    <w:rsid w:val="006D4A0A"/>
    <w:rsid w:val="006D4F73"/>
    <w:rsid w:val="006D52D2"/>
    <w:rsid w:val="006D5D5F"/>
    <w:rsid w:val="006D68FB"/>
    <w:rsid w:val="006D7094"/>
    <w:rsid w:val="006D76AC"/>
    <w:rsid w:val="006D7832"/>
    <w:rsid w:val="006D7AD9"/>
    <w:rsid w:val="006D7F28"/>
    <w:rsid w:val="006E056A"/>
    <w:rsid w:val="006E06D8"/>
    <w:rsid w:val="006E0878"/>
    <w:rsid w:val="006E0A6C"/>
    <w:rsid w:val="006E146A"/>
    <w:rsid w:val="006E14D2"/>
    <w:rsid w:val="006E1847"/>
    <w:rsid w:val="006E1A80"/>
    <w:rsid w:val="006E1B55"/>
    <w:rsid w:val="006E1E1F"/>
    <w:rsid w:val="006E23B0"/>
    <w:rsid w:val="006E2868"/>
    <w:rsid w:val="006E293C"/>
    <w:rsid w:val="006E2A42"/>
    <w:rsid w:val="006E2C70"/>
    <w:rsid w:val="006E31AA"/>
    <w:rsid w:val="006E3649"/>
    <w:rsid w:val="006E3D0C"/>
    <w:rsid w:val="006E40CA"/>
    <w:rsid w:val="006E423D"/>
    <w:rsid w:val="006E4424"/>
    <w:rsid w:val="006E492C"/>
    <w:rsid w:val="006E4C5C"/>
    <w:rsid w:val="006E527C"/>
    <w:rsid w:val="006E6045"/>
    <w:rsid w:val="006E657C"/>
    <w:rsid w:val="006E7084"/>
    <w:rsid w:val="006E749E"/>
    <w:rsid w:val="006E77AF"/>
    <w:rsid w:val="006E7B3A"/>
    <w:rsid w:val="006E7C69"/>
    <w:rsid w:val="006E7CA9"/>
    <w:rsid w:val="006F0B0F"/>
    <w:rsid w:val="006F143C"/>
    <w:rsid w:val="006F1AE5"/>
    <w:rsid w:val="006F1B3E"/>
    <w:rsid w:val="006F25A7"/>
    <w:rsid w:val="006F306C"/>
    <w:rsid w:val="006F320E"/>
    <w:rsid w:val="006F3408"/>
    <w:rsid w:val="006F3459"/>
    <w:rsid w:val="006F38FA"/>
    <w:rsid w:val="006F3B3A"/>
    <w:rsid w:val="006F3F24"/>
    <w:rsid w:val="006F4329"/>
    <w:rsid w:val="006F47D9"/>
    <w:rsid w:val="006F4803"/>
    <w:rsid w:val="006F4DBD"/>
    <w:rsid w:val="006F4F9C"/>
    <w:rsid w:val="006F577F"/>
    <w:rsid w:val="006F585E"/>
    <w:rsid w:val="006F63A5"/>
    <w:rsid w:val="006F7E08"/>
    <w:rsid w:val="006F7EFF"/>
    <w:rsid w:val="006F7FA5"/>
    <w:rsid w:val="007003AD"/>
    <w:rsid w:val="007004AA"/>
    <w:rsid w:val="0070142B"/>
    <w:rsid w:val="00701467"/>
    <w:rsid w:val="007016AA"/>
    <w:rsid w:val="00702348"/>
    <w:rsid w:val="0070276E"/>
    <w:rsid w:val="00702A75"/>
    <w:rsid w:val="00702BC7"/>
    <w:rsid w:val="00702F8F"/>
    <w:rsid w:val="007030C1"/>
    <w:rsid w:val="0070332F"/>
    <w:rsid w:val="007037F3"/>
    <w:rsid w:val="00703D81"/>
    <w:rsid w:val="0070479E"/>
    <w:rsid w:val="00704A7F"/>
    <w:rsid w:val="00704CDF"/>
    <w:rsid w:val="0070542A"/>
    <w:rsid w:val="007055F2"/>
    <w:rsid w:val="00705AB0"/>
    <w:rsid w:val="00705AE6"/>
    <w:rsid w:val="00706139"/>
    <w:rsid w:val="007066F1"/>
    <w:rsid w:val="00706E0A"/>
    <w:rsid w:val="007079FC"/>
    <w:rsid w:val="00707C54"/>
    <w:rsid w:val="0071033C"/>
    <w:rsid w:val="00710360"/>
    <w:rsid w:val="00710413"/>
    <w:rsid w:val="007106BD"/>
    <w:rsid w:val="00710AEB"/>
    <w:rsid w:val="00710C6C"/>
    <w:rsid w:val="00710EAB"/>
    <w:rsid w:val="00711422"/>
    <w:rsid w:val="007119C5"/>
    <w:rsid w:val="00711A36"/>
    <w:rsid w:val="00711BD8"/>
    <w:rsid w:val="00711D83"/>
    <w:rsid w:val="0071205A"/>
    <w:rsid w:val="007125D3"/>
    <w:rsid w:val="00712766"/>
    <w:rsid w:val="00712A32"/>
    <w:rsid w:val="00713843"/>
    <w:rsid w:val="007138F8"/>
    <w:rsid w:val="00713901"/>
    <w:rsid w:val="00713919"/>
    <w:rsid w:val="00714633"/>
    <w:rsid w:val="00714A30"/>
    <w:rsid w:val="00714C26"/>
    <w:rsid w:val="00714CB0"/>
    <w:rsid w:val="00715262"/>
    <w:rsid w:val="0071529C"/>
    <w:rsid w:val="007157D6"/>
    <w:rsid w:val="007158DB"/>
    <w:rsid w:val="00715CE9"/>
    <w:rsid w:val="00715D89"/>
    <w:rsid w:val="007160E9"/>
    <w:rsid w:val="00716486"/>
    <w:rsid w:val="0071684A"/>
    <w:rsid w:val="007170DA"/>
    <w:rsid w:val="007172AD"/>
    <w:rsid w:val="00717489"/>
    <w:rsid w:val="00717546"/>
    <w:rsid w:val="007175B1"/>
    <w:rsid w:val="00717E74"/>
    <w:rsid w:val="00720164"/>
    <w:rsid w:val="007201C5"/>
    <w:rsid w:val="0072056F"/>
    <w:rsid w:val="00720801"/>
    <w:rsid w:val="00720888"/>
    <w:rsid w:val="0072093D"/>
    <w:rsid w:val="00720A06"/>
    <w:rsid w:val="00720CEC"/>
    <w:rsid w:val="0072108F"/>
    <w:rsid w:val="00721F64"/>
    <w:rsid w:val="00722313"/>
    <w:rsid w:val="00722B1B"/>
    <w:rsid w:val="0072354C"/>
    <w:rsid w:val="00723E8D"/>
    <w:rsid w:val="0072416F"/>
    <w:rsid w:val="007241E8"/>
    <w:rsid w:val="0072470E"/>
    <w:rsid w:val="0072487F"/>
    <w:rsid w:val="00725066"/>
    <w:rsid w:val="0072517E"/>
    <w:rsid w:val="00725D7C"/>
    <w:rsid w:val="007260AD"/>
    <w:rsid w:val="007260D9"/>
    <w:rsid w:val="007268A6"/>
    <w:rsid w:val="00726A82"/>
    <w:rsid w:val="00726F6F"/>
    <w:rsid w:val="0072779D"/>
    <w:rsid w:val="00727A8D"/>
    <w:rsid w:val="00727C94"/>
    <w:rsid w:val="00727D36"/>
    <w:rsid w:val="00727E41"/>
    <w:rsid w:val="00727F4D"/>
    <w:rsid w:val="00727F6B"/>
    <w:rsid w:val="00730137"/>
    <w:rsid w:val="00730221"/>
    <w:rsid w:val="00730249"/>
    <w:rsid w:val="007303FF"/>
    <w:rsid w:val="00730FB7"/>
    <w:rsid w:val="0073108E"/>
    <w:rsid w:val="007310EE"/>
    <w:rsid w:val="007310FC"/>
    <w:rsid w:val="00731590"/>
    <w:rsid w:val="00731AD3"/>
    <w:rsid w:val="00731B0A"/>
    <w:rsid w:val="00731EAE"/>
    <w:rsid w:val="00731FCC"/>
    <w:rsid w:val="007320B3"/>
    <w:rsid w:val="00733073"/>
    <w:rsid w:val="0073448F"/>
    <w:rsid w:val="007346FF"/>
    <w:rsid w:val="00734B6D"/>
    <w:rsid w:val="00734C1D"/>
    <w:rsid w:val="00735033"/>
    <w:rsid w:val="00735076"/>
    <w:rsid w:val="00735328"/>
    <w:rsid w:val="0073596A"/>
    <w:rsid w:val="007359E6"/>
    <w:rsid w:val="00735BC3"/>
    <w:rsid w:val="00735D96"/>
    <w:rsid w:val="0073666E"/>
    <w:rsid w:val="0073685B"/>
    <w:rsid w:val="00736D3D"/>
    <w:rsid w:val="00737269"/>
    <w:rsid w:val="00737770"/>
    <w:rsid w:val="007379A2"/>
    <w:rsid w:val="00737B4A"/>
    <w:rsid w:val="00737BE3"/>
    <w:rsid w:val="00737F3C"/>
    <w:rsid w:val="0074021E"/>
    <w:rsid w:val="007405D8"/>
    <w:rsid w:val="00740820"/>
    <w:rsid w:val="00740BA0"/>
    <w:rsid w:val="00740CAD"/>
    <w:rsid w:val="00740CB4"/>
    <w:rsid w:val="00740DB9"/>
    <w:rsid w:val="0074171E"/>
    <w:rsid w:val="007419CB"/>
    <w:rsid w:val="007428D9"/>
    <w:rsid w:val="0074341F"/>
    <w:rsid w:val="007439E4"/>
    <w:rsid w:val="00743CD5"/>
    <w:rsid w:val="007440F4"/>
    <w:rsid w:val="00744538"/>
    <w:rsid w:val="00744604"/>
    <w:rsid w:val="007449BF"/>
    <w:rsid w:val="007452B7"/>
    <w:rsid w:val="0074538B"/>
    <w:rsid w:val="007457F2"/>
    <w:rsid w:val="00745925"/>
    <w:rsid w:val="007463FE"/>
    <w:rsid w:val="00746898"/>
    <w:rsid w:val="00746BC0"/>
    <w:rsid w:val="007470E1"/>
    <w:rsid w:val="007473EC"/>
    <w:rsid w:val="00747555"/>
    <w:rsid w:val="00747631"/>
    <w:rsid w:val="00747A17"/>
    <w:rsid w:val="00747A8C"/>
    <w:rsid w:val="00747EEA"/>
    <w:rsid w:val="007500CF"/>
    <w:rsid w:val="00750486"/>
    <w:rsid w:val="00750A8F"/>
    <w:rsid w:val="0075101C"/>
    <w:rsid w:val="007510B4"/>
    <w:rsid w:val="007511BA"/>
    <w:rsid w:val="00751C93"/>
    <w:rsid w:val="00751CFB"/>
    <w:rsid w:val="00752142"/>
    <w:rsid w:val="007522AB"/>
    <w:rsid w:val="007523F9"/>
    <w:rsid w:val="007525BD"/>
    <w:rsid w:val="00752DEE"/>
    <w:rsid w:val="0075350B"/>
    <w:rsid w:val="0075357E"/>
    <w:rsid w:val="007539A3"/>
    <w:rsid w:val="00753B29"/>
    <w:rsid w:val="0075403C"/>
    <w:rsid w:val="0075481E"/>
    <w:rsid w:val="007551DC"/>
    <w:rsid w:val="007554B5"/>
    <w:rsid w:val="007556DF"/>
    <w:rsid w:val="00755FD7"/>
    <w:rsid w:val="0075612A"/>
    <w:rsid w:val="0075632D"/>
    <w:rsid w:val="00756831"/>
    <w:rsid w:val="007570BE"/>
    <w:rsid w:val="007571B3"/>
    <w:rsid w:val="00757222"/>
    <w:rsid w:val="00757301"/>
    <w:rsid w:val="00757387"/>
    <w:rsid w:val="007573E8"/>
    <w:rsid w:val="00757CD2"/>
    <w:rsid w:val="007600A8"/>
    <w:rsid w:val="007602E5"/>
    <w:rsid w:val="0076052F"/>
    <w:rsid w:val="0076079D"/>
    <w:rsid w:val="00760C4E"/>
    <w:rsid w:val="00760F9E"/>
    <w:rsid w:val="00761124"/>
    <w:rsid w:val="007616E6"/>
    <w:rsid w:val="00761FCA"/>
    <w:rsid w:val="00761FD0"/>
    <w:rsid w:val="0076221D"/>
    <w:rsid w:val="007626C4"/>
    <w:rsid w:val="007627BE"/>
    <w:rsid w:val="00763141"/>
    <w:rsid w:val="00763154"/>
    <w:rsid w:val="007639D3"/>
    <w:rsid w:val="00763E13"/>
    <w:rsid w:val="007642F6"/>
    <w:rsid w:val="00764891"/>
    <w:rsid w:val="00764F03"/>
    <w:rsid w:val="007654C9"/>
    <w:rsid w:val="00765B1A"/>
    <w:rsid w:val="00765D5E"/>
    <w:rsid w:val="00765DC1"/>
    <w:rsid w:val="007667E2"/>
    <w:rsid w:val="007671D5"/>
    <w:rsid w:val="00767284"/>
    <w:rsid w:val="00767384"/>
    <w:rsid w:val="00767797"/>
    <w:rsid w:val="007708CA"/>
    <w:rsid w:val="00770E54"/>
    <w:rsid w:val="0077112D"/>
    <w:rsid w:val="007716DC"/>
    <w:rsid w:val="00771A98"/>
    <w:rsid w:val="00772407"/>
    <w:rsid w:val="0077311E"/>
    <w:rsid w:val="00773268"/>
    <w:rsid w:val="0077396E"/>
    <w:rsid w:val="00773DD6"/>
    <w:rsid w:val="00773FFE"/>
    <w:rsid w:val="00774AD3"/>
    <w:rsid w:val="00774BEF"/>
    <w:rsid w:val="00774F3B"/>
    <w:rsid w:val="007751E2"/>
    <w:rsid w:val="00775504"/>
    <w:rsid w:val="007756B1"/>
    <w:rsid w:val="00775AC5"/>
    <w:rsid w:val="007760A4"/>
    <w:rsid w:val="007765CB"/>
    <w:rsid w:val="00776883"/>
    <w:rsid w:val="00776966"/>
    <w:rsid w:val="00776A29"/>
    <w:rsid w:val="00776D93"/>
    <w:rsid w:val="00776F67"/>
    <w:rsid w:val="00777187"/>
    <w:rsid w:val="00777335"/>
    <w:rsid w:val="0077778D"/>
    <w:rsid w:val="007778A5"/>
    <w:rsid w:val="00777F00"/>
    <w:rsid w:val="00780148"/>
    <w:rsid w:val="00780BC9"/>
    <w:rsid w:val="007810D4"/>
    <w:rsid w:val="007811CF"/>
    <w:rsid w:val="00781AFC"/>
    <w:rsid w:val="00781D3A"/>
    <w:rsid w:val="00781E0E"/>
    <w:rsid w:val="007821EB"/>
    <w:rsid w:val="0078280E"/>
    <w:rsid w:val="007829C3"/>
    <w:rsid w:val="0078321D"/>
    <w:rsid w:val="007833A0"/>
    <w:rsid w:val="007834ED"/>
    <w:rsid w:val="00783C49"/>
    <w:rsid w:val="00784211"/>
    <w:rsid w:val="007843F2"/>
    <w:rsid w:val="007846FA"/>
    <w:rsid w:val="00785476"/>
    <w:rsid w:val="00785A9F"/>
    <w:rsid w:val="00786151"/>
    <w:rsid w:val="007865E5"/>
    <w:rsid w:val="007868A3"/>
    <w:rsid w:val="00786A21"/>
    <w:rsid w:val="00786C4A"/>
    <w:rsid w:val="007874C4"/>
    <w:rsid w:val="0078763F"/>
    <w:rsid w:val="00787738"/>
    <w:rsid w:val="007877F4"/>
    <w:rsid w:val="00787C16"/>
    <w:rsid w:val="00787DAF"/>
    <w:rsid w:val="007909F0"/>
    <w:rsid w:val="00790AEA"/>
    <w:rsid w:val="00790B1B"/>
    <w:rsid w:val="00790D0C"/>
    <w:rsid w:val="007912DE"/>
    <w:rsid w:val="00791741"/>
    <w:rsid w:val="00791AAA"/>
    <w:rsid w:val="00791BC5"/>
    <w:rsid w:val="007920E6"/>
    <w:rsid w:val="00792175"/>
    <w:rsid w:val="007925DF"/>
    <w:rsid w:val="00793002"/>
    <w:rsid w:val="0079303D"/>
    <w:rsid w:val="007937FA"/>
    <w:rsid w:val="00793BBF"/>
    <w:rsid w:val="00793DEE"/>
    <w:rsid w:val="00793F18"/>
    <w:rsid w:val="00794682"/>
    <w:rsid w:val="007947DB"/>
    <w:rsid w:val="007947F3"/>
    <w:rsid w:val="00795910"/>
    <w:rsid w:val="0079684A"/>
    <w:rsid w:val="0079685B"/>
    <w:rsid w:val="00796EB6"/>
    <w:rsid w:val="00797252"/>
    <w:rsid w:val="00797655"/>
    <w:rsid w:val="007A08AA"/>
    <w:rsid w:val="007A0A12"/>
    <w:rsid w:val="007A132D"/>
    <w:rsid w:val="007A1345"/>
    <w:rsid w:val="007A13A0"/>
    <w:rsid w:val="007A159B"/>
    <w:rsid w:val="007A1748"/>
    <w:rsid w:val="007A1FC6"/>
    <w:rsid w:val="007A2022"/>
    <w:rsid w:val="007A28CF"/>
    <w:rsid w:val="007A2DDB"/>
    <w:rsid w:val="007A2EDC"/>
    <w:rsid w:val="007A2EFA"/>
    <w:rsid w:val="007A3CCD"/>
    <w:rsid w:val="007A402C"/>
    <w:rsid w:val="007A409E"/>
    <w:rsid w:val="007A4434"/>
    <w:rsid w:val="007A4474"/>
    <w:rsid w:val="007A463F"/>
    <w:rsid w:val="007A4CCA"/>
    <w:rsid w:val="007A50C8"/>
    <w:rsid w:val="007A543E"/>
    <w:rsid w:val="007A5522"/>
    <w:rsid w:val="007A5C42"/>
    <w:rsid w:val="007A6120"/>
    <w:rsid w:val="007A642B"/>
    <w:rsid w:val="007A6A1E"/>
    <w:rsid w:val="007A6B26"/>
    <w:rsid w:val="007A6C50"/>
    <w:rsid w:val="007A6D23"/>
    <w:rsid w:val="007A70BA"/>
    <w:rsid w:val="007A71D4"/>
    <w:rsid w:val="007A7598"/>
    <w:rsid w:val="007A77AD"/>
    <w:rsid w:val="007A77BF"/>
    <w:rsid w:val="007A7ED3"/>
    <w:rsid w:val="007A7EDF"/>
    <w:rsid w:val="007B0202"/>
    <w:rsid w:val="007B077D"/>
    <w:rsid w:val="007B0B61"/>
    <w:rsid w:val="007B0D68"/>
    <w:rsid w:val="007B0EA2"/>
    <w:rsid w:val="007B0F03"/>
    <w:rsid w:val="007B11AF"/>
    <w:rsid w:val="007B12C5"/>
    <w:rsid w:val="007B1BB5"/>
    <w:rsid w:val="007B1E4A"/>
    <w:rsid w:val="007B2461"/>
    <w:rsid w:val="007B251D"/>
    <w:rsid w:val="007B262B"/>
    <w:rsid w:val="007B2C42"/>
    <w:rsid w:val="007B2F59"/>
    <w:rsid w:val="007B3351"/>
    <w:rsid w:val="007B3533"/>
    <w:rsid w:val="007B3B76"/>
    <w:rsid w:val="007B3DBB"/>
    <w:rsid w:val="007B4235"/>
    <w:rsid w:val="007B4CC0"/>
    <w:rsid w:val="007B4F58"/>
    <w:rsid w:val="007B5278"/>
    <w:rsid w:val="007B528D"/>
    <w:rsid w:val="007B5343"/>
    <w:rsid w:val="007B6127"/>
    <w:rsid w:val="007B63CA"/>
    <w:rsid w:val="007B63CD"/>
    <w:rsid w:val="007B63F0"/>
    <w:rsid w:val="007B6455"/>
    <w:rsid w:val="007B64D6"/>
    <w:rsid w:val="007B6B51"/>
    <w:rsid w:val="007B77D1"/>
    <w:rsid w:val="007B7B49"/>
    <w:rsid w:val="007B7DD9"/>
    <w:rsid w:val="007C048D"/>
    <w:rsid w:val="007C05D9"/>
    <w:rsid w:val="007C0646"/>
    <w:rsid w:val="007C07C7"/>
    <w:rsid w:val="007C1585"/>
    <w:rsid w:val="007C1C62"/>
    <w:rsid w:val="007C1CD9"/>
    <w:rsid w:val="007C1E55"/>
    <w:rsid w:val="007C2572"/>
    <w:rsid w:val="007C2AD9"/>
    <w:rsid w:val="007C2C15"/>
    <w:rsid w:val="007C2E36"/>
    <w:rsid w:val="007C32EF"/>
    <w:rsid w:val="007C3489"/>
    <w:rsid w:val="007C351C"/>
    <w:rsid w:val="007C361D"/>
    <w:rsid w:val="007C3DE1"/>
    <w:rsid w:val="007C4B84"/>
    <w:rsid w:val="007C5D53"/>
    <w:rsid w:val="007C5E49"/>
    <w:rsid w:val="007C6F62"/>
    <w:rsid w:val="007C70FF"/>
    <w:rsid w:val="007C7800"/>
    <w:rsid w:val="007C7C25"/>
    <w:rsid w:val="007C7EE7"/>
    <w:rsid w:val="007D004F"/>
    <w:rsid w:val="007D035F"/>
    <w:rsid w:val="007D0473"/>
    <w:rsid w:val="007D06B2"/>
    <w:rsid w:val="007D0AA8"/>
    <w:rsid w:val="007D0B38"/>
    <w:rsid w:val="007D0FB4"/>
    <w:rsid w:val="007D13AD"/>
    <w:rsid w:val="007D178A"/>
    <w:rsid w:val="007D1BB4"/>
    <w:rsid w:val="007D1EFF"/>
    <w:rsid w:val="007D216E"/>
    <w:rsid w:val="007D24AC"/>
    <w:rsid w:val="007D2F75"/>
    <w:rsid w:val="007D3441"/>
    <w:rsid w:val="007D349B"/>
    <w:rsid w:val="007D3644"/>
    <w:rsid w:val="007D3880"/>
    <w:rsid w:val="007D3CBA"/>
    <w:rsid w:val="007D3F7C"/>
    <w:rsid w:val="007D40DD"/>
    <w:rsid w:val="007D42A2"/>
    <w:rsid w:val="007D47C4"/>
    <w:rsid w:val="007D4A16"/>
    <w:rsid w:val="007D5180"/>
    <w:rsid w:val="007D5440"/>
    <w:rsid w:val="007D5D9C"/>
    <w:rsid w:val="007D61D0"/>
    <w:rsid w:val="007D649B"/>
    <w:rsid w:val="007D69EB"/>
    <w:rsid w:val="007D73FD"/>
    <w:rsid w:val="007D7EAC"/>
    <w:rsid w:val="007E05CB"/>
    <w:rsid w:val="007E0621"/>
    <w:rsid w:val="007E09FF"/>
    <w:rsid w:val="007E0BAD"/>
    <w:rsid w:val="007E128F"/>
    <w:rsid w:val="007E17D9"/>
    <w:rsid w:val="007E1FC4"/>
    <w:rsid w:val="007E214A"/>
    <w:rsid w:val="007E218F"/>
    <w:rsid w:val="007E23E7"/>
    <w:rsid w:val="007E25E1"/>
    <w:rsid w:val="007E2AFE"/>
    <w:rsid w:val="007E2B8B"/>
    <w:rsid w:val="007E2C85"/>
    <w:rsid w:val="007E2F7F"/>
    <w:rsid w:val="007E31B0"/>
    <w:rsid w:val="007E3AB9"/>
    <w:rsid w:val="007E3C13"/>
    <w:rsid w:val="007E3F29"/>
    <w:rsid w:val="007E3FC8"/>
    <w:rsid w:val="007E4ADC"/>
    <w:rsid w:val="007E4B9B"/>
    <w:rsid w:val="007E50FC"/>
    <w:rsid w:val="007E58B4"/>
    <w:rsid w:val="007E5BFB"/>
    <w:rsid w:val="007E5C74"/>
    <w:rsid w:val="007E5DD1"/>
    <w:rsid w:val="007E6036"/>
    <w:rsid w:val="007E684C"/>
    <w:rsid w:val="007E68CF"/>
    <w:rsid w:val="007E7078"/>
    <w:rsid w:val="007E7CD7"/>
    <w:rsid w:val="007E7F66"/>
    <w:rsid w:val="007F0894"/>
    <w:rsid w:val="007F0A7D"/>
    <w:rsid w:val="007F0F0A"/>
    <w:rsid w:val="007F1017"/>
    <w:rsid w:val="007F1275"/>
    <w:rsid w:val="007F219B"/>
    <w:rsid w:val="007F230E"/>
    <w:rsid w:val="007F2882"/>
    <w:rsid w:val="007F2894"/>
    <w:rsid w:val="007F29E4"/>
    <w:rsid w:val="007F2AE7"/>
    <w:rsid w:val="007F41AD"/>
    <w:rsid w:val="007F41F5"/>
    <w:rsid w:val="007F481F"/>
    <w:rsid w:val="007F4824"/>
    <w:rsid w:val="007F48CA"/>
    <w:rsid w:val="007F4A3F"/>
    <w:rsid w:val="007F4A61"/>
    <w:rsid w:val="007F4B8A"/>
    <w:rsid w:val="007F4CCB"/>
    <w:rsid w:val="007F5255"/>
    <w:rsid w:val="007F56CC"/>
    <w:rsid w:val="007F5C17"/>
    <w:rsid w:val="007F5DE8"/>
    <w:rsid w:val="007F5F5F"/>
    <w:rsid w:val="007F61C2"/>
    <w:rsid w:val="007F6290"/>
    <w:rsid w:val="007F65A2"/>
    <w:rsid w:val="007F6823"/>
    <w:rsid w:val="007F7A57"/>
    <w:rsid w:val="007F7B74"/>
    <w:rsid w:val="0080014E"/>
    <w:rsid w:val="00800563"/>
    <w:rsid w:val="00800634"/>
    <w:rsid w:val="0080193C"/>
    <w:rsid w:val="008019F6"/>
    <w:rsid w:val="00801D6D"/>
    <w:rsid w:val="00801F37"/>
    <w:rsid w:val="008023D2"/>
    <w:rsid w:val="00802D4E"/>
    <w:rsid w:val="008037A0"/>
    <w:rsid w:val="00804BFD"/>
    <w:rsid w:val="00805142"/>
    <w:rsid w:val="0080566B"/>
    <w:rsid w:val="00805879"/>
    <w:rsid w:val="00805C37"/>
    <w:rsid w:val="00805CD5"/>
    <w:rsid w:val="00805FCE"/>
    <w:rsid w:val="00805FF2"/>
    <w:rsid w:val="0080608A"/>
    <w:rsid w:val="0080644E"/>
    <w:rsid w:val="00806D76"/>
    <w:rsid w:val="008073EA"/>
    <w:rsid w:val="00807A8B"/>
    <w:rsid w:val="00807A94"/>
    <w:rsid w:val="00807C60"/>
    <w:rsid w:val="00807D6B"/>
    <w:rsid w:val="0081014D"/>
    <w:rsid w:val="00810660"/>
    <w:rsid w:val="008112A6"/>
    <w:rsid w:val="00811383"/>
    <w:rsid w:val="0081160B"/>
    <w:rsid w:val="00811C9E"/>
    <w:rsid w:val="00812149"/>
    <w:rsid w:val="0081215F"/>
    <w:rsid w:val="008123D8"/>
    <w:rsid w:val="00812757"/>
    <w:rsid w:val="00812791"/>
    <w:rsid w:val="0081296B"/>
    <w:rsid w:val="00812CAC"/>
    <w:rsid w:val="00813BC7"/>
    <w:rsid w:val="0081426C"/>
    <w:rsid w:val="008146BC"/>
    <w:rsid w:val="00814AD1"/>
    <w:rsid w:val="00814AF5"/>
    <w:rsid w:val="00814CAA"/>
    <w:rsid w:val="008158AF"/>
    <w:rsid w:val="00815D53"/>
    <w:rsid w:val="00816361"/>
    <w:rsid w:val="008166EF"/>
    <w:rsid w:val="00816BE1"/>
    <w:rsid w:val="00816FEF"/>
    <w:rsid w:val="0081700F"/>
    <w:rsid w:val="0081796C"/>
    <w:rsid w:val="00817F3F"/>
    <w:rsid w:val="00820A8C"/>
    <w:rsid w:val="008215FB"/>
    <w:rsid w:val="00821834"/>
    <w:rsid w:val="0082190F"/>
    <w:rsid w:val="00821F41"/>
    <w:rsid w:val="008220CC"/>
    <w:rsid w:val="0082219E"/>
    <w:rsid w:val="00822BC5"/>
    <w:rsid w:val="00822BFB"/>
    <w:rsid w:val="00823174"/>
    <w:rsid w:val="0082324D"/>
    <w:rsid w:val="00823B26"/>
    <w:rsid w:val="00823E55"/>
    <w:rsid w:val="0082418B"/>
    <w:rsid w:val="00824683"/>
    <w:rsid w:val="00824776"/>
    <w:rsid w:val="00824844"/>
    <w:rsid w:val="00824955"/>
    <w:rsid w:val="00824A39"/>
    <w:rsid w:val="00824A5F"/>
    <w:rsid w:val="0082509A"/>
    <w:rsid w:val="00825751"/>
    <w:rsid w:val="00825AE0"/>
    <w:rsid w:val="00826347"/>
    <w:rsid w:val="008264EB"/>
    <w:rsid w:val="008265D1"/>
    <w:rsid w:val="00826616"/>
    <w:rsid w:val="00826627"/>
    <w:rsid w:val="008268CE"/>
    <w:rsid w:val="008268FA"/>
    <w:rsid w:val="00827C23"/>
    <w:rsid w:val="00827EE1"/>
    <w:rsid w:val="00827FE0"/>
    <w:rsid w:val="008300BD"/>
    <w:rsid w:val="00830114"/>
    <w:rsid w:val="008307B2"/>
    <w:rsid w:val="008311B8"/>
    <w:rsid w:val="00831257"/>
    <w:rsid w:val="008313A4"/>
    <w:rsid w:val="0083177F"/>
    <w:rsid w:val="00831949"/>
    <w:rsid w:val="00831D7B"/>
    <w:rsid w:val="00831F96"/>
    <w:rsid w:val="0083240B"/>
    <w:rsid w:val="00832F8B"/>
    <w:rsid w:val="0083349E"/>
    <w:rsid w:val="008339A4"/>
    <w:rsid w:val="00833B05"/>
    <w:rsid w:val="00833CB1"/>
    <w:rsid w:val="00834029"/>
    <w:rsid w:val="0083404D"/>
    <w:rsid w:val="008340DE"/>
    <w:rsid w:val="0083455F"/>
    <w:rsid w:val="008346C6"/>
    <w:rsid w:val="008351BB"/>
    <w:rsid w:val="008355DE"/>
    <w:rsid w:val="00835F30"/>
    <w:rsid w:val="008362B4"/>
    <w:rsid w:val="008363F7"/>
    <w:rsid w:val="00837259"/>
    <w:rsid w:val="00837324"/>
    <w:rsid w:val="0084033C"/>
    <w:rsid w:val="00840586"/>
    <w:rsid w:val="00840CA2"/>
    <w:rsid w:val="00841E0F"/>
    <w:rsid w:val="00841ECF"/>
    <w:rsid w:val="00841EDD"/>
    <w:rsid w:val="00842606"/>
    <w:rsid w:val="00842B5F"/>
    <w:rsid w:val="00842C35"/>
    <w:rsid w:val="00842CB7"/>
    <w:rsid w:val="0084374F"/>
    <w:rsid w:val="00844328"/>
    <w:rsid w:val="0084449E"/>
    <w:rsid w:val="00844828"/>
    <w:rsid w:val="00844A22"/>
    <w:rsid w:val="00844BE2"/>
    <w:rsid w:val="00845038"/>
    <w:rsid w:val="008453FC"/>
    <w:rsid w:val="00845DA2"/>
    <w:rsid w:val="00845DDD"/>
    <w:rsid w:val="00845FA0"/>
    <w:rsid w:val="0084691F"/>
    <w:rsid w:val="00846E4D"/>
    <w:rsid w:val="00847198"/>
    <w:rsid w:val="0084740A"/>
    <w:rsid w:val="00847703"/>
    <w:rsid w:val="0084783E"/>
    <w:rsid w:val="008479B3"/>
    <w:rsid w:val="00847AE4"/>
    <w:rsid w:val="00847B98"/>
    <w:rsid w:val="00847DF5"/>
    <w:rsid w:val="0085001C"/>
    <w:rsid w:val="0085020C"/>
    <w:rsid w:val="0085027A"/>
    <w:rsid w:val="0085038A"/>
    <w:rsid w:val="0085038D"/>
    <w:rsid w:val="0085086E"/>
    <w:rsid w:val="00850A01"/>
    <w:rsid w:val="00850A6E"/>
    <w:rsid w:val="00850FC1"/>
    <w:rsid w:val="00851028"/>
    <w:rsid w:val="00851A26"/>
    <w:rsid w:val="00851FE5"/>
    <w:rsid w:val="0085261E"/>
    <w:rsid w:val="00852C61"/>
    <w:rsid w:val="00852DB5"/>
    <w:rsid w:val="0085309D"/>
    <w:rsid w:val="008532C6"/>
    <w:rsid w:val="008535FE"/>
    <w:rsid w:val="008538F3"/>
    <w:rsid w:val="00853A61"/>
    <w:rsid w:val="00854288"/>
    <w:rsid w:val="00855367"/>
    <w:rsid w:val="0085556D"/>
    <w:rsid w:val="008555BC"/>
    <w:rsid w:val="00855FEC"/>
    <w:rsid w:val="008560E0"/>
    <w:rsid w:val="008563EE"/>
    <w:rsid w:val="0085650A"/>
    <w:rsid w:val="00856897"/>
    <w:rsid w:val="00856AA1"/>
    <w:rsid w:val="00856AE2"/>
    <w:rsid w:val="00856C0B"/>
    <w:rsid w:val="00856D5E"/>
    <w:rsid w:val="00856E9A"/>
    <w:rsid w:val="00857272"/>
    <w:rsid w:val="008572D5"/>
    <w:rsid w:val="008576F5"/>
    <w:rsid w:val="00857FE9"/>
    <w:rsid w:val="008606F2"/>
    <w:rsid w:val="0086075D"/>
    <w:rsid w:val="00860763"/>
    <w:rsid w:val="00860CD0"/>
    <w:rsid w:val="008613B0"/>
    <w:rsid w:val="00861407"/>
    <w:rsid w:val="00861993"/>
    <w:rsid w:val="00861B4C"/>
    <w:rsid w:val="00862502"/>
    <w:rsid w:val="00862658"/>
    <w:rsid w:val="00862B06"/>
    <w:rsid w:val="00862CC1"/>
    <w:rsid w:val="00863117"/>
    <w:rsid w:val="00863190"/>
    <w:rsid w:val="00863A6B"/>
    <w:rsid w:val="00863F81"/>
    <w:rsid w:val="008642A7"/>
    <w:rsid w:val="00865830"/>
    <w:rsid w:val="00865CC1"/>
    <w:rsid w:val="00865E9C"/>
    <w:rsid w:val="008660C8"/>
    <w:rsid w:val="008660D4"/>
    <w:rsid w:val="008667BE"/>
    <w:rsid w:val="00866AB9"/>
    <w:rsid w:val="00867988"/>
    <w:rsid w:val="008709C1"/>
    <w:rsid w:val="00870CC0"/>
    <w:rsid w:val="008710CF"/>
    <w:rsid w:val="008717C6"/>
    <w:rsid w:val="00871BD7"/>
    <w:rsid w:val="00871DFE"/>
    <w:rsid w:val="00871FA9"/>
    <w:rsid w:val="00872044"/>
    <w:rsid w:val="008721CA"/>
    <w:rsid w:val="008725E5"/>
    <w:rsid w:val="008728E9"/>
    <w:rsid w:val="008731C9"/>
    <w:rsid w:val="008733CF"/>
    <w:rsid w:val="00873843"/>
    <w:rsid w:val="008747BE"/>
    <w:rsid w:val="008748DD"/>
    <w:rsid w:val="008754CF"/>
    <w:rsid w:val="0087592C"/>
    <w:rsid w:val="0087593D"/>
    <w:rsid w:val="00875C9D"/>
    <w:rsid w:val="008761D5"/>
    <w:rsid w:val="0087689A"/>
    <w:rsid w:val="00877291"/>
    <w:rsid w:val="00877697"/>
    <w:rsid w:val="00877DB4"/>
    <w:rsid w:val="0088027E"/>
    <w:rsid w:val="008804A1"/>
    <w:rsid w:val="0088069B"/>
    <w:rsid w:val="008809AC"/>
    <w:rsid w:val="008815B7"/>
    <w:rsid w:val="0088178C"/>
    <w:rsid w:val="008819A5"/>
    <w:rsid w:val="00881F59"/>
    <w:rsid w:val="00882874"/>
    <w:rsid w:val="00882E3C"/>
    <w:rsid w:val="00882E96"/>
    <w:rsid w:val="0088308A"/>
    <w:rsid w:val="00883381"/>
    <w:rsid w:val="00883787"/>
    <w:rsid w:val="00884AAB"/>
    <w:rsid w:val="00884DB2"/>
    <w:rsid w:val="0088559F"/>
    <w:rsid w:val="008855E4"/>
    <w:rsid w:val="0088563B"/>
    <w:rsid w:val="008859C9"/>
    <w:rsid w:val="00885DC2"/>
    <w:rsid w:val="00885F26"/>
    <w:rsid w:val="0088663E"/>
    <w:rsid w:val="00886CD2"/>
    <w:rsid w:val="0088746F"/>
    <w:rsid w:val="00887787"/>
    <w:rsid w:val="00887CAC"/>
    <w:rsid w:val="008903A8"/>
    <w:rsid w:val="00890809"/>
    <w:rsid w:val="00890AE6"/>
    <w:rsid w:val="00890BD8"/>
    <w:rsid w:val="008912F9"/>
    <w:rsid w:val="008919B8"/>
    <w:rsid w:val="00891CFA"/>
    <w:rsid w:val="00891D88"/>
    <w:rsid w:val="00891E6F"/>
    <w:rsid w:val="0089229A"/>
    <w:rsid w:val="008923EB"/>
    <w:rsid w:val="008924B4"/>
    <w:rsid w:val="0089260A"/>
    <w:rsid w:val="0089275D"/>
    <w:rsid w:val="00892A36"/>
    <w:rsid w:val="0089313D"/>
    <w:rsid w:val="00893239"/>
    <w:rsid w:val="0089351E"/>
    <w:rsid w:val="0089373F"/>
    <w:rsid w:val="008939DA"/>
    <w:rsid w:val="00893AFD"/>
    <w:rsid w:val="00893FE0"/>
    <w:rsid w:val="0089420E"/>
    <w:rsid w:val="00894489"/>
    <w:rsid w:val="00894595"/>
    <w:rsid w:val="00894659"/>
    <w:rsid w:val="00894CD6"/>
    <w:rsid w:val="00894EC9"/>
    <w:rsid w:val="008951AE"/>
    <w:rsid w:val="00895393"/>
    <w:rsid w:val="00895A80"/>
    <w:rsid w:val="0089607B"/>
    <w:rsid w:val="008961EB"/>
    <w:rsid w:val="008963A5"/>
    <w:rsid w:val="00896D57"/>
    <w:rsid w:val="00896D5D"/>
    <w:rsid w:val="00896F6B"/>
    <w:rsid w:val="0089728F"/>
    <w:rsid w:val="008978FD"/>
    <w:rsid w:val="00897B8F"/>
    <w:rsid w:val="008A00B5"/>
    <w:rsid w:val="008A05EF"/>
    <w:rsid w:val="008A0AE8"/>
    <w:rsid w:val="008A0C2D"/>
    <w:rsid w:val="008A108E"/>
    <w:rsid w:val="008A1844"/>
    <w:rsid w:val="008A1B8B"/>
    <w:rsid w:val="008A1BAC"/>
    <w:rsid w:val="008A1C60"/>
    <w:rsid w:val="008A20CA"/>
    <w:rsid w:val="008A24C4"/>
    <w:rsid w:val="008A3158"/>
    <w:rsid w:val="008A3363"/>
    <w:rsid w:val="008A3371"/>
    <w:rsid w:val="008A3886"/>
    <w:rsid w:val="008A399D"/>
    <w:rsid w:val="008A3C3E"/>
    <w:rsid w:val="008A402E"/>
    <w:rsid w:val="008A4576"/>
    <w:rsid w:val="008A464C"/>
    <w:rsid w:val="008A4ADD"/>
    <w:rsid w:val="008A4E19"/>
    <w:rsid w:val="008A4FC4"/>
    <w:rsid w:val="008A52C4"/>
    <w:rsid w:val="008A5BB9"/>
    <w:rsid w:val="008A5FAB"/>
    <w:rsid w:val="008A6111"/>
    <w:rsid w:val="008A66F2"/>
    <w:rsid w:val="008A783C"/>
    <w:rsid w:val="008A785E"/>
    <w:rsid w:val="008A79DE"/>
    <w:rsid w:val="008A7B2B"/>
    <w:rsid w:val="008A7BB7"/>
    <w:rsid w:val="008A7E42"/>
    <w:rsid w:val="008A7EB4"/>
    <w:rsid w:val="008B096D"/>
    <w:rsid w:val="008B096F"/>
    <w:rsid w:val="008B0C08"/>
    <w:rsid w:val="008B0FB3"/>
    <w:rsid w:val="008B1120"/>
    <w:rsid w:val="008B1757"/>
    <w:rsid w:val="008B1C33"/>
    <w:rsid w:val="008B2B4A"/>
    <w:rsid w:val="008B2BAB"/>
    <w:rsid w:val="008B2D76"/>
    <w:rsid w:val="008B4129"/>
    <w:rsid w:val="008B4419"/>
    <w:rsid w:val="008B490E"/>
    <w:rsid w:val="008B4B6F"/>
    <w:rsid w:val="008B527A"/>
    <w:rsid w:val="008B546B"/>
    <w:rsid w:val="008B659B"/>
    <w:rsid w:val="008B77ED"/>
    <w:rsid w:val="008B7992"/>
    <w:rsid w:val="008B7BBD"/>
    <w:rsid w:val="008B7D7E"/>
    <w:rsid w:val="008B7EC3"/>
    <w:rsid w:val="008C011C"/>
    <w:rsid w:val="008C0168"/>
    <w:rsid w:val="008C035F"/>
    <w:rsid w:val="008C0C4C"/>
    <w:rsid w:val="008C0C73"/>
    <w:rsid w:val="008C0EA7"/>
    <w:rsid w:val="008C0EB0"/>
    <w:rsid w:val="008C11E4"/>
    <w:rsid w:val="008C2504"/>
    <w:rsid w:val="008C2DC1"/>
    <w:rsid w:val="008C2F10"/>
    <w:rsid w:val="008C31C8"/>
    <w:rsid w:val="008C3371"/>
    <w:rsid w:val="008C3995"/>
    <w:rsid w:val="008C45DA"/>
    <w:rsid w:val="008C468D"/>
    <w:rsid w:val="008C482D"/>
    <w:rsid w:val="008C4A65"/>
    <w:rsid w:val="008C4BA9"/>
    <w:rsid w:val="008C515B"/>
    <w:rsid w:val="008C5234"/>
    <w:rsid w:val="008C5610"/>
    <w:rsid w:val="008C5739"/>
    <w:rsid w:val="008C5B22"/>
    <w:rsid w:val="008C6722"/>
    <w:rsid w:val="008C6750"/>
    <w:rsid w:val="008C68C8"/>
    <w:rsid w:val="008C6E05"/>
    <w:rsid w:val="008C6E34"/>
    <w:rsid w:val="008C6E37"/>
    <w:rsid w:val="008C7282"/>
    <w:rsid w:val="008C7B20"/>
    <w:rsid w:val="008C7ECB"/>
    <w:rsid w:val="008D01EC"/>
    <w:rsid w:val="008D07C1"/>
    <w:rsid w:val="008D0859"/>
    <w:rsid w:val="008D088F"/>
    <w:rsid w:val="008D09B2"/>
    <w:rsid w:val="008D0BE6"/>
    <w:rsid w:val="008D0C6F"/>
    <w:rsid w:val="008D1149"/>
    <w:rsid w:val="008D11F8"/>
    <w:rsid w:val="008D17C3"/>
    <w:rsid w:val="008D2038"/>
    <w:rsid w:val="008D2670"/>
    <w:rsid w:val="008D2A6D"/>
    <w:rsid w:val="008D2ADB"/>
    <w:rsid w:val="008D2DD2"/>
    <w:rsid w:val="008D367F"/>
    <w:rsid w:val="008D3698"/>
    <w:rsid w:val="008D3840"/>
    <w:rsid w:val="008D3B86"/>
    <w:rsid w:val="008D3D41"/>
    <w:rsid w:val="008D408A"/>
    <w:rsid w:val="008D43FD"/>
    <w:rsid w:val="008D44B1"/>
    <w:rsid w:val="008D4755"/>
    <w:rsid w:val="008D4C3D"/>
    <w:rsid w:val="008D4C7B"/>
    <w:rsid w:val="008D5AC8"/>
    <w:rsid w:val="008D5C2C"/>
    <w:rsid w:val="008D5E3B"/>
    <w:rsid w:val="008D6085"/>
    <w:rsid w:val="008D639B"/>
    <w:rsid w:val="008D63D9"/>
    <w:rsid w:val="008D64AB"/>
    <w:rsid w:val="008D659D"/>
    <w:rsid w:val="008D66F4"/>
    <w:rsid w:val="008D684B"/>
    <w:rsid w:val="008D6B2D"/>
    <w:rsid w:val="008D6EC1"/>
    <w:rsid w:val="008D6FF4"/>
    <w:rsid w:val="008D71D1"/>
    <w:rsid w:val="008D7375"/>
    <w:rsid w:val="008D743C"/>
    <w:rsid w:val="008D760C"/>
    <w:rsid w:val="008D76F3"/>
    <w:rsid w:val="008D77FC"/>
    <w:rsid w:val="008D78BF"/>
    <w:rsid w:val="008D7E7D"/>
    <w:rsid w:val="008E0174"/>
    <w:rsid w:val="008E0236"/>
    <w:rsid w:val="008E02AF"/>
    <w:rsid w:val="008E03DE"/>
    <w:rsid w:val="008E0468"/>
    <w:rsid w:val="008E0D3C"/>
    <w:rsid w:val="008E13C7"/>
    <w:rsid w:val="008E17F5"/>
    <w:rsid w:val="008E1B9E"/>
    <w:rsid w:val="008E2F33"/>
    <w:rsid w:val="008E3443"/>
    <w:rsid w:val="008E3F44"/>
    <w:rsid w:val="008E4530"/>
    <w:rsid w:val="008E474F"/>
    <w:rsid w:val="008E4833"/>
    <w:rsid w:val="008E4AE0"/>
    <w:rsid w:val="008E4FBB"/>
    <w:rsid w:val="008E5567"/>
    <w:rsid w:val="008E55AB"/>
    <w:rsid w:val="008E5A61"/>
    <w:rsid w:val="008E5AFE"/>
    <w:rsid w:val="008E60F9"/>
    <w:rsid w:val="008E6F0E"/>
    <w:rsid w:val="008E7431"/>
    <w:rsid w:val="008E77A3"/>
    <w:rsid w:val="008E7A95"/>
    <w:rsid w:val="008E7F7F"/>
    <w:rsid w:val="008F0338"/>
    <w:rsid w:val="008F0B73"/>
    <w:rsid w:val="008F0BBB"/>
    <w:rsid w:val="008F10CC"/>
    <w:rsid w:val="008F120A"/>
    <w:rsid w:val="008F1846"/>
    <w:rsid w:val="008F1BE8"/>
    <w:rsid w:val="008F2061"/>
    <w:rsid w:val="008F25B4"/>
    <w:rsid w:val="008F27E0"/>
    <w:rsid w:val="008F280B"/>
    <w:rsid w:val="008F28D9"/>
    <w:rsid w:val="008F2AFF"/>
    <w:rsid w:val="008F2F01"/>
    <w:rsid w:val="008F33BB"/>
    <w:rsid w:val="008F3524"/>
    <w:rsid w:val="008F37DC"/>
    <w:rsid w:val="008F48EB"/>
    <w:rsid w:val="008F4C57"/>
    <w:rsid w:val="008F4E1D"/>
    <w:rsid w:val="008F4F0B"/>
    <w:rsid w:val="008F5070"/>
    <w:rsid w:val="008F52B6"/>
    <w:rsid w:val="008F61B7"/>
    <w:rsid w:val="008F65A7"/>
    <w:rsid w:val="008F6811"/>
    <w:rsid w:val="008F7136"/>
    <w:rsid w:val="008F739A"/>
    <w:rsid w:val="008F75FF"/>
    <w:rsid w:val="00900390"/>
    <w:rsid w:val="0090039F"/>
    <w:rsid w:val="00900D78"/>
    <w:rsid w:val="0090122F"/>
    <w:rsid w:val="00901673"/>
    <w:rsid w:val="009016A2"/>
    <w:rsid w:val="009019BF"/>
    <w:rsid w:val="00901B83"/>
    <w:rsid w:val="00901F0C"/>
    <w:rsid w:val="0090201A"/>
    <w:rsid w:val="00902342"/>
    <w:rsid w:val="00902A15"/>
    <w:rsid w:val="00902C64"/>
    <w:rsid w:val="009030B8"/>
    <w:rsid w:val="00903325"/>
    <w:rsid w:val="00903D3B"/>
    <w:rsid w:val="00903E3A"/>
    <w:rsid w:val="009041D8"/>
    <w:rsid w:val="009042F3"/>
    <w:rsid w:val="00904529"/>
    <w:rsid w:val="009046C4"/>
    <w:rsid w:val="00905658"/>
    <w:rsid w:val="00905AD5"/>
    <w:rsid w:val="00905D90"/>
    <w:rsid w:val="0090620B"/>
    <w:rsid w:val="009062A5"/>
    <w:rsid w:val="009066C5"/>
    <w:rsid w:val="009067AD"/>
    <w:rsid w:val="009074DF"/>
    <w:rsid w:val="00907699"/>
    <w:rsid w:val="00907CA1"/>
    <w:rsid w:val="0091054E"/>
    <w:rsid w:val="00910B45"/>
    <w:rsid w:val="00910FA7"/>
    <w:rsid w:val="00911272"/>
    <w:rsid w:val="00911339"/>
    <w:rsid w:val="00912296"/>
    <w:rsid w:val="009125C3"/>
    <w:rsid w:val="00912984"/>
    <w:rsid w:val="00912D00"/>
    <w:rsid w:val="00912FB5"/>
    <w:rsid w:val="009133A9"/>
    <w:rsid w:val="009135D6"/>
    <w:rsid w:val="009136AC"/>
    <w:rsid w:val="00913C96"/>
    <w:rsid w:val="00913E4A"/>
    <w:rsid w:val="009144FE"/>
    <w:rsid w:val="00914971"/>
    <w:rsid w:val="00914C77"/>
    <w:rsid w:val="00915188"/>
    <w:rsid w:val="009151CC"/>
    <w:rsid w:val="00915507"/>
    <w:rsid w:val="00915750"/>
    <w:rsid w:val="009159C7"/>
    <w:rsid w:val="009159F2"/>
    <w:rsid w:val="00915E1B"/>
    <w:rsid w:val="00916BB0"/>
    <w:rsid w:val="00916C22"/>
    <w:rsid w:val="00916EB8"/>
    <w:rsid w:val="00917348"/>
    <w:rsid w:val="009174DD"/>
    <w:rsid w:val="00917F0C"/>
    <w:rsid w:val="00920042"/>
    <w:rsid w:val="0092062C"/>
    <w:rsid w:val="009206AE"/>
    <w:rsid w:val="0092071A"/>
    <w:rsid w:val="00920AF5"/>
    <w:rsid w:val="009213C6"/>
    <w:rsid w:val="0092179E"/>
    <w:rsid w:val="00921ACB"/>
    <w:rsid w:val="00921C4B"/>
    <w:rsid w:val="00921FC8"/>
    <w:rsid w:val="0092206E"/>
    <w:rsid w:val="009225C3"/>
    <w:rsid w:val="00922B42"/>
    <w:rsid w:val="00922BBC"/>
    <w:rsid w:val="00922C4D"/>
    <w:rsid w:val="009233A3"/>
    <w:rsid w:val="0092369B"/>
    <w:rsid w:val="00923709"/>
    <w:rsid w:val="009243CE"/>
    <w:rsid w:val="0092446A"/>
    <w:rsid w:val="009252D6"/>
    <w:rsid w:val="009253BB"/>
    <w:rsid w:val="009259A8"/>
    <w:rsid w:val="0092601B"/>
    <w:rsid w:val="00926243"/>
    <w:rsid w:val="0092634D"/>
    <w:rsid w:val="00926452"/>
    <w:rsid w:val="00926C86"/>
    <w:rsid w:val="00927163"/>
    <w:rsid w:val="009272AC"/>
    <w:rsid w:val="009273A4"/>
    <w:rsid w:val="009273E8"/>
    <w:rsid w:val="00927DD0"/>
    <w:rsid w:val="00927E78"/>
    <w:rsid w:val="0093076D"/>
    <w:rsid w:val="00931074"/>
    <w:rsid w:val="00931663"/>
    <w:rsid w:val="009320BA"/>
    <w:rsid w:val="0093216E"/>
    <w:rsid w:val="009321F7"/>
    <w:rsid w:val="009324B6"/>
    <w:rsid w:val="0093296A"/>
    <w:rsid w:val="00932A78"/>
    <w:rsid w:val="00932DFA"/>
    <w:rsid w:val="00933BA1"/>
    <w:rsid w:val="00933CFE"/>
    <w:rsid w:val="00933D00"/>
    <w:rsid w:val="00934256"/>
    <w:rsid w:val="0093459E"/>
    <w:rsid w:val="00934988"/>
    <w:rsid w:val="00935633"/>
    <w:rsid w:val="00935FC3"/>
    <w:rsid w:val="00936D3E"/>
    <w:rsid w:val="00937074"/>
    <w:rsid w:val="00937089"/>
    <w:rsid w:val="00937329"/>
    <w:rsid w:val="0093773E"/>
    <w:rsid w:val="009377C4"/>
    <w:rsid w:val="009379EC"/>
    <w:rsid w:val="009400DB"/>
    <w:rsid w:val="009400FB"/>
    <w:rsid w:val="009404EB"/>
    <w:rsid w:val="00940B1A"/>
    <w:rsid w:val="00941368"/>
    <w:rsid w:val="00942357"/>
    <w:rsid w:val="00942751"/>
    <w:rsid w:val="0094286D"/>
    <w:rsid w:val="009428C6"/>
    <w:rsid w:val="0094296E"/>
    <w:rsid w:val="00942FED"/>
    <w:rsid w:val="00943271"/>
    <w:rsid w:val="009434F0"/>
    <w:rsid w:val="00943539"/>
    <w:rsid w:val="00943E3C"/>
    <w:rsid w:val="00943E57"/>
    <w:rsid w:val="00943FED"/>
    <w:rsid w:val="00944723"/>
    <w:rsid w:val="0094492B"/>
    <w:rsid w:val="00944F8A"/>
    <w:rsid w:val="00945001"/>
    <w:rsid w:val="00945336"/>
    <w:rsid w:val="00945558"/>
    <w:rsid w:val="0094583D"/>
    <w:rsid w:val="009459BB"/>
    <w:rsid w:val="00945A3B"/>
    <w:rsid w:val="00945BF5"/>
    <w:rsid w:val="009462E4"/>
    <w:rsid w:val="0094636A"/>
    <w:rsid w:val="00946729"/>
    <w:rsid w:val="00946966"/>
    <w:rsid w:val="00946E39"/>
    <w:rsid w:val="009503A6"/>
    <w:rsid w:val="009509BD"/>
    <w:rsid w:val="00950AC7"/>
    <w:rsid w:val="009510A2"/>
    <w:rsid w:val="00951507"/>
    <w:rsid w:val="00951CE2"/>
    <w:rsid w:val="00952115"/>
    <w:rsid w:val="00952D9A"/>
    <w:rsid w:val="00953257"/>
    <w:rsid w:val="00953B7D"/>
    <w:rsid w:val="0095417C"/>
    <w:rsid w:val="0095474C"/>
    <w:rsid w:val="0095522E"/>
    <w:rsid w:val="009553FE"/>
    <w:rsid w:val="00955926"/>
    <w:rsid w:val="009562BA"/>
    <w:rsid w:val="00956363"/>
    <w:rsid w:val="009568F6"/>
    <w:rsid w:val="0095692E"/>
    <w:rsid w:val="00957653"/>
    <w:rsid w:val="00957AF1"/>
    <w:rsid w:val="00957B1A"/>
    <w:rsid w:val="00957D92"/>
    <w:rsid w:val="00957EE4"/>
    <w:rsid w:val="00960030"/>
    <w:rsid w:val="009603B7"/>
    <w:rsid w:val="00960559"/>
    <w:rsid w:val="00960DFB"/>
    <w:rsid w:val="00960E7F"/>
    <w:rsid w:val="009614B5"/>
    <w:rsid w:val="009614E2"/>
    <w:rsid w:val="009616A8"/>
    <w:rsid w:val="009618E5"/>
    <w:rsid w:val="00961F53"/>
    <w:rsid w:val="00961FEA"/>
    <w:rsid w:val="00962211"/>
    <w:rsid w:val="009626F8"/>
    <w:rsid w:val="00962CB9"/>
    <w:rsid w:val="00962D5C"/>
    <w:rsid w:val="00962D81"/>
    <w:rsid w:val="00962E79"/>
    <w:rsid w:val="00962FBF"/>
    <w:rsid w:val="00964312"/>
    <w:rsid w:val="00964491"/>
    <w:rsid w:val="00964B07"/>
    <w:rsid w:val="00964C10"/>
    <w:rsid w:val="00964E77"/>
    <w:rsid w:val="0096509E"/>
    <w:rsid w:val="00965B4A"/>
    <w:rsid w:val="00965B8A"/>
    <w:rsid w:val="00965C02"/>
    <w:rsid w:val="00965D27"/>
    <w:rsid w:val="00965D39"/>
    <w:rsid w:val="0096659D"/>
    <w:rsid w:val="00967093"/>
    <w:rsid w:val="009670D8"/>
    <w:rsid w:val="00967D87"/>
    <w:rsid w:val="00967FAC"/>
    <w:rsid w:val="0097071F"/>
    <w:rsid w:val="0097092F"/>
    <w:rsid w:val="00970BB0"/>
    <w:rsid w:val="009717AC"/>
    <w:rsid w:val="00971CE0"/>
    <w:rsid w:val="00971DA3"/>
    <w:rsid w:val="00971FFF"/>
    <w:rsid w:val="00972A52"/>
    <w:rsid w:val="0097385F"/>
    <w:rsid w:val="00973A41"/>
    <w:rsid w:val="00973AAF"/>
    <w:rsid w:val="00973D8F"/>
    <w:rsid w:val="00973E6F"/>
    <w:rsid w:val="00974B85"/>
    <w:rsid w:val="00974FDD"/>
    <w:rsid w:val="00975018"/>
    <w:rsid w:val="009751C1"/>
    <w:rsid w:val="0097538D"/>
    <w:rsid w:val="00975545"/>
    <w:rsid w:val="00975C96"/>
    <w:rsid w:val="009763E5"/>
    <w:rsid w:val="00976CB7"/>
    <w:rsid w:val="00977502"/>
    <w:rsid w:val="00977806"/>
    <w:rsid w:val="0097790C"/>
    <w:rsid w:val="00977DD1"/>
    <w:rsid w:val="0098018D"/>
    <w:rsid w:val="00980403"/>
    <w:rsid w:val="00980444"/>
    <w:rsid w:val="009805D8"/>
    <w:rsid w:val="009811F1"/>
    <w:rsid w:val="00981259"/>
    <w:rsid w:val="00981683"/>
    <w:rsid w:val="00981907"/>
    <w:rsid w:val="00981974"/>
    <w:rsid w:val="00981BB5"/>
    <w:rsid w:val="00981C49"/>
    <w:rsid w:val="00981D9E"/>
    <w:rsid w:val="0098262F"/>
    <w:rsid w:val="009836E7"/>
    <w:rsid w:val="009837E9"/>
    <w:rsid w:val="00983E57"/>
    <w:rsid w:val="0098400A"/>
    <w:rsid w:val="00984572"/>
    <w:rsid w:val="0098477B"/>
    <w:rsid w:val="00984D28"/>
    <w:rsid w:val="00984FED"/>
    <w:rsid w:val="00985487"/>
    <w:rsid w:val="00985884"/>
    <w:rsid w:val="00985DD4"/>
    <w:rsid w:val="00985DE2"/>
    <w:rsid w:val="00985EAC"/>
    <w:rsid w:val="00985EC5"/>
    <w:rsid w:val="00986160"/>
    <w:rsid w:val="0098616A"/>
    <w:rsid w:val="00986406"/>
    <w:rsid w:val="0098675D"/>
    <w:rsid w:val="009868AE"/>
    <w:rsid w:val="009872B1"/>
    <w:rsid w:val="0098791C"/>
    <w:rsid w:val="00987A64"/>
    <w:rsid w:val="00987BA4"/>
    <w:rsid w:val="009907F6"/>
    <w:rsid w:val="00990A7A"/>
    <w:rsid w:val="0099164B"/>
    <w:rsid w:val="00991F34"/>
    <w:rsid w:val="009926E0"/>
    <w:rsid w:val="00992A8C"/>
    <w:rsid w:val="00992CB1"/>
    <w:rsid w:val="00992F62"/>
    <w:rsid w:val="009937EB"/>
    <w:rsid w:val="00993B17"/>
    <w:rsid w:val="00993C27"/>
    <w:rsid w:val="00993CF8"/>
    <w:rsid w:val="00993E44"/>
    <w:rsid w:val="009940D3"/>
    <w:rsid w:val="0099451E"/>
    <w:rsid w:val="00994539"/>
    <w:rsid w:val="00994863"/>
    <w:rsid w:val="009948BF"/>
    <w:rsid w:val="009948E2"/>
    <w:rsid w:val="00994BA0"/>
    <w:rsid w:val="00994F2F"/>
    <w:rsid w:val="00995029"/>
    <w:rsid w:val="00995039"/>
    <w:rsid w:val="00995669"/>
    <w:rsid w:val="00996659"/>
    <w:rsid w:val="0099677F"/>
    <w:rsid w:val="00996788"/>
    <w:rsid w:val="009967E9"/>
    <w:rsid w:val="00996874"/>
    <w:rsid w:val="009968FC"/>
    <w:rsid w:val="00996983"/>
    <w:rsid w:val="00996B1A"/>
    <w:rsid w:val="0099769D"/>
    <w:rsid w:val="00997889"/>
    <w:rsid w:val="00997C84"/>
    <w:rsid w:val="00997FA9"/>
    <w:rsid w:val="009A0257"/>
    <w:rsid w:val="009A03C9"/>
    <w:rsid w:val="009A0AE9"/>
    <w:rsid w:val="009A0C95"/>
    <w:rsid w:val="009A1730"/>
    <w:rsid w:val="009A17CC"/>
    <w:rsid w:val="009A18F6"/>
    <w:rsid w:val="009A195E"/>
    <w:rsid w:val="009A1C22"/>
    <w:rsid w:val="009A1CFB"/>
    <w:rsid w:val="009A261F"/>
    <w:rsid w:val="009A2CE3"/>
    <w:rsid w:val="009A2DCC"/>
    <w:rsid w:val="009A316F"/>
    <w:rsid w:val="009A373B"/>
    <w:rsid w:val="009A3F22"/>
    <w:rsid w:val="009A3FD2"/>
    <w:rsid w:val="009A497D"/>
    <w:rsid w:val="009A4A79"/>
    <w:rsid w:val="009A4E6E"/>
    <w:rsid w:val="009A531B"/>
    <w:rsid w:val="009A5ABC"/>
    <w:rsid w:val="009A618B"/>
    <w:rsid w:val="009A61DD"/>
    <w:rsid w:val="009A63CE"/>
    <w:rsid w:val="009A6ED1"/>
    <w:rsid w:val="009A7063"/>
    <w:rsid w:val="009A7BA2"/>
    <w:rsid w:val="009A7F10"/>
    <w:rsid w:val="009B053B"/>
    <w:rsid w:val="009B092F"/>
    <w:rsid w:val="009B099C"/>
    <w:rsid w:val="009B1103"/>
    <w:rsid w:val="009B177E"/>
    <w:rsid w:val="009B1EB5"/>
    <w:rsid w:val="009B201A"/>
    <w:rsid w:val="009B2169"/>
    <w:rsid w:val="009B29EB"/>
    <w:rsid w:val="009B2C53"/>
    <w:rsid w:val="009B3082"/>
    <w:rsid w:val="009B3146"/>
    <w:rsid w:val="009B33EF"/>
    <w:rsid w:val="009B33FD"/>
    <w:rsid w:val="009B345D"/>
    <w:rsid w:val="009B3988"/>
    <w:rsid w:val="009B3BEF"/>
    <w:rsid w:val="009B3BF2"/>
    <w:rsid w:val="009B3CF3"/>
    <w:rsid w:val="009B3E26"/>
    <w:rsid w:val="009B404A"/>
    <w:rsid w:val="009B449B"/>
    <w:rsid w:val="009B44AF"/>
    <w:rsid w:val="009B4C3B"/>
    <w:rsid w:val="009B4E11"/>
    <w:rsid w:val="009B56E1"/>
    <w:rsid w:val="009B61CF"/>
    <w:rsid w:val="009B6778"/>
    <w:rsid w:val="009B714D"/>
    <w:rsid w:val="009B755B"/>
    <w:rsid w:val="009B7993"/>
    <w:rsid w:val="009B7BF7"/>
    <w:rsid w:val="009B7C81"/>
    <w:rsid w:val="009C00E1"/>
    <w:rsid w:val="009C0CD3"/>
    <w:rsid w:val="009C0D6E"/>
    <w:rsid w:val="009C0F61"/>
    <w:rsid w:val="009C1271"/>
    <w:rsid w:val="009C13D9"/>
    <w:rsid w:val="009C1E18"/>
    <w:rsid w:val="009C251F"/>
    <w:rsid w:val="009C2A03"/>
    <w:rsid w:val="009C2B1D"/>
    <w:rsid w:val="009C2CB5"/>
    <w:rsid w:val="009C2E20"/>
    <w:rsid w:val="009C31C5"/>
    <w:rsid w:val="009C32CB"/>
    <w:rsid w:val="009C331E"/>
    <w:rsid w:val="009C365D"/>
    <w:rsid w:val="009C3706"/>
    <w:rsid w:val="009C3951"/>
    <w:rsid w:val="009C3A3A"/>
    <w:rsid w:val="009C3B2A"/>
    <w:rsid w:val="009C4070"/>
    <w:rsid w:val="009C426B"/>
    <w:rsid w:val="009C4C86"/>
    <w:rsid w:val="009C4F69"/>
    <w:rsid w:val="009C52E0"/>
    <w:rsid w:val="009C5557"/>
    <w:rsid w:val="009C5620"/>
    <w:rsid w:val="009C6466"/>
    <w:rsid w:val="009C6C4A"/>
    <w:rsid w:val="009C6CEA"/>
    <w:rsid w:val="009C7037"/>
    <w:rsid w:val="009C7483"/>
    <w:rsid w:val="009C7873"/>
    <w:rsid w:val="009C79B6"/>
    <w:rsid w:val="009C7B85"/>
    <w:rsid w:val="009D001B"/>
    <w:rsid w:val="009D0254"/>
    <w:rsid w:val="009D0299"/>
    <w:rsid w:val="009D077E"/>
    <w:rsid w:val="009D1A64"/>
    <w:rsid w:val="009D2754"/>
    <w:rsid w:val="009D2776"/>
    <w:rsid w:val="009D2F8A"/>
    <w:rsid w:val="009D34C0"/>
    <w:rsid w:val="009D3748"/>
    <w:rsid w:val="009D3BBB"/>
    <w:rsid w:val="009D3C05"/>
    <w:rsid w:val="009D428E"/>
    <w:rsid w:val="009D4474"/>
    <w:rsid w:val="009D48DF"/>
    <w:rsid w:val="009D4DDA"/>
    <w:rsid w:val="009D4F00"/>
    <w:rsid w:val="009D4F8F"/>
    <w:rsid w:val="009D52DD"/>
    <w:rsid w:val="009D54E2"/>
    <w:rsid w:val="009D5B91"/>
    <w:rsid w:val="009D5E67"/>
    <w:rsid w:val="009D5FD1"/>
    <w:rsid w:val="009D6129"/>
    <w:rsid w:val="009D6A5A"/>
    <w:rsid w:val="009D70BB"/>
    <w:rsid w:val="009D730F"/>
    <w:rsid w:val="009D745A"/>
    <w:rsid w:val="009D792E"/>
    <w:rsid w:val="009D7ABA"/>
    <w:rsid w:val="009D7BE8"/>
    <w:rsid w:val="009E04E1"/>
    <w:rsid w:val="009E0A9D"/>
    <w:rsid w:val="009E0CF0"/>
    <w:rsid w:val="009E0DFE"/>
    <w:rsid w:val="009E0E41"/>
    <w:rsid w:val="009E13E2"/>
    <w:rsid w:val="009E1C75"/>
    <w:rsid w:val="009E1C8E"/>
    <w:rsid w:val="009E23D8"/>
    <w:rsid w:val="009E2B93"/>
    <w:rsid w:val="009E2BC7"/>
    <w:rsid w:val="009E2E7B"/>
    <w:rsid w:val="009E3187"/>
    <w:rsid w:val="009E31F6"/>
    <w:rsid w:val="009E47E8"/>
    <w:rsid w:val="009E48C8"/>
    <w:rsid w:val="009E4C07"/>
    <w:rsid w:val="009E5141"/>
    <w:rsid w:val="009E51C5"/>
    <w:rsid w:val="009E5665"/>
    <w:rsid w:val="009E58B0"/>
    <w:rsid w:val="009E5977"/>
    <w:rsid w:val="009E5FEC"/>
    <w:rsid w:val="009E69D7"/>
    <w:rsid w:val="009E6C05"/>
    <w:rsid w:val="009E74AE"/>
    <w:rsid w:val="009E777F"/>
    <w:rsid w:val="009E78C4"/>
    <w:rsid w:val="009E791E"/>
    <w:rsid w:val="009E7D29"/>
    <w:rsid w:val="009F0527"/>
    <w:rsid w:val="009F09B0"/>
    <w:rsid w:val="009F0A1A"/>
    <w:rsid w:val="009F1530"/>
    <w:rsid w:val="009F18B6"/>
    <w:rsid w:val="009F1A0F"/>
    <w:rsid w:val="009F1E7C"/>
    <w:rsid w:val="009F2439"/>
    <w:rsid w:val="009F3134"/>
    <w:rsid w:val="009F3A25"/>
    <w:rsid w:val="009F42FC"/>
    <w:rsid w:val="009F4BB4"/>
    <w:rsid w:val="009F4D48"/>
    <w:rsid w:val="009F51F2"/>
    <w:rsid w:val="009F5976"/>
    <w:rsid w:val="009F6120"/>
    <w:rsid w:val="009F6CB3"/>
    <w:rsid w:val="009F7463"/>
    <w:rsid w:val="009F7DA3"/>
    <w:rsid w:val="009F7EC4"/>
    <w:rsid w:val="00A005D8"/>
    <w:rsid w:val="00A00787"/>
    <w:rsid w:val="00A008A3"/>
    <w:rsid w:val="00A008F8"/>
    <w:rsid w:val="00A00CA2"/>
    <w:rsid w:val="00A00D76"/>
    <w:rsid w:val="00A01081"/>
    <w:rsid w:val="00A01184"/>
    <w:rsid w:val="00A01198"/>
    <w:rsid w:val="00A01208"/>
    <w:rsid w:val="00A0122C"/>
    <w:rsid w:val="00A01449"/>
    <w:rsid w:val="00A014B7"/>
    <w:rsid w:val="00A016B0"/>
    <w:rsid w:val="00A01AFE"/>
    <w:rsid w:val="00A01C2E"/>
    <w:rsid w:val="00A01D95"/>
    <w:rsid w:val="00A01F35"/>
    <w:rsid w:val="00A0215F"/>
    <w:rsid w:val="00A02EB4"/>
    <w:rsid w:val="00A02F09"/>
    <w:rsid w:val="00A037C2"/>
    <w:rsid w:val="00A037DE"/>
    <w:rsid w:val="00A03B7E"/>
    <w:rsid w:val="00A03D43"/>
    <w:rsid w:val="00A04130"/>
    <w:rsid w:val="00A04380"/>
    <w:rsid w:val="00A045EF"/>
    <w:rsid w:val="00A04786"/>
    <w:rsid w:val="00A04866"/>
    <w:rsid w:val="00A04C6F"/>
    <w:rsid w:val="00A04CFE"/>
    <w:rsid w:val="00A05005"/>
    <w:rsid w:val="00A0503B"/>
    <w:rsid w:val="00A05472"/>
    <w:rsid w:val="00A0577B"/>
    <w:rsid w:val="00A05C32"/>
    <w:rsid w:val="00A05D4D"/>
    <w:rsid w:val="00A06064"/>
    <w:rsid w:val="00A0637F"/>
    <w:rsid w:val="00A064AD"/>
    <w:rsid w:val="00A0653F"/>
    <w:rsid w:val="00A0679F"/>
    <w:rsid w:val="00A06C43"/>
    <w:rsid w:val="00A07068"/>
    <w:rsid w:val="00A076CD"/>
    <w:rsid w:val="00A07970"/>
    <w:rsid w:val="00A079A4"/>
    <w:rsid w:val="00A07F26"/>
    <w:rsid w:val="00A10BAA"/>
    <w:rsid w:val="00A10D75"/>
    <w:rsid w:val="00A11225"/>
    <w:rsid w:val="00A113D5"/>
    <w:rsid w:val="00A1188D"/>
    <w:rsid w:val="00A119DA"/>
    <w:rsid w:val="00A11AE5"/>
    <w:rsid w:val="00A11B96"/>
    <w:rsid w:val="00A11C1D"/>
    <w:rsid w:val="00A11CD0"/>
    <w:rsid w:val="00A1255E"/>
    <w:rsid w:val="00A12611"/>
    <w:rsid w:val="00A12C78"/>
    <w:rsid w:val="00A131AF"/>
    <w:rsid w:val="00A131D5"/>
    <w:rsid w:val="00A1370F"/>
    <w:rsid w:val="00A137AC"/>
    <w:rsid w:val="00A13948"/>
    <w:rsid w:val="00A13E73"/>
    <w:rsid w:val="00A13EA4"/>
    <w:rsid w:val="00A14FEF"/>
    <w:rsid w:val="00A1505D"/>
    <w:rsid w:val="00A15074"/>
    <w:rsid w:val="00A1512C"/>
    <w:rsid w:val="00A152AC"/>
    <w:rsid w:val="00A153C7"/>
    <w:rsid w:val="00A1555B"/>
    <w:rsid w:val="00A155C5"/>
    <w:rsid w:val="00A157C0"/>
    <w:rsid w:val="00A15A23"/>
    <w:rsid w:val="00A15DE0"/>
    <w:rsid w:val="00A16A92"/>
    <w:rsid w:val="00A16AD8"/>
    <w:rsid w:val="00A171E9"/>
    <w:rsid w:val="00A17232"/>
    <w:rsid w:val="00A17784"/>
    <w:rsid w:val="00A2010E"/>
    <w:rsid w:val="00A2021E"/>
    <w:rsid w:val="00A210B3"/>
    <w:rsid w:val="00A211F8"/>
    <w:rsid w:val="00A2150F"/>
    <w:rsid w:val="00A21C95"/>
    <w:rsid w:val="00A21CF3"/>
    <w:rsid w:val="00A21E12"/>
    <w:rsid w:val="00A221D7"/>
    <w:rsid w:val="00A229D7"/>
    <w:rsid w:val="00A22F2A"/>
    <w:rsid w:val="00A22F6F"/>
    <w:rsid w:val="00A23529"/>
    <w:rsid w:val="00A238D4"/>
    <w:rsid w:val="00A23ACD"/>
    <w:rsid w:val="00A23EF7"/>
    <w:rsid w:val="00A23FB9"/>
    <w:rsid w:val="00A24202"/>
    <w:rsid w:val="00A24813"/>
    <w:rsid w:val="00A248AF"/>
    <w:rsid w:val="00A2517A"/>
    <w:rsid w:val="00A251EF"/>
    <w:rsid w:val="00A252AA"/>
    <w:rsid w:val="00A254EF"/>
    <w:rsid w:val="00A25DD8"/>
    <w:rsid w:val="00A261B0"/>
    <w:rsid w:val="00A265F8"/>
    <w:rsid w:val="00A268A5"/>
    <w:rsid w:val="00A268AE"/>
    <w:rsid w:val="00A26B01"/>
    <w:rsid w:val="00A26C1D"/>
    <w:rsid w:val="00A26EEF"/>
    <w:rsid w:val="00A27356"/>
    <w:rsid w:val="00A27659"/>
    <w:rsid w:val="00A27702"/>
    <w:rsid w:val="00A278BF"/>
    <w:rsid w:val="00A279AA"/>
    <w:rsid w:val="00A27AEC"/>
    <w:rsid w:val="00A30556"/>
    <w:rsid w:val="00A30F1C"/>
    <w:rsid w:val="00A310CB"/>
    <w:rsid w:val="00A31274"/>
    <w:rsid w:val="00A312CA"/>
    <w:rsid w:val="00A31BC4"/>
    <w:rsid w:val="00A320DB"/>
    <w:rsid w:val="00A325B8"/>
    <w:rsid w:val="00A325C1"/>
    <w:rsid w:val="00A32681"/>
    <w:rsid w:val="00A3287F"/>
    <w:rsid w:val="00A32AB6"/>
    <w:rsid w:val="00A33573"/>
    <w:rsid w:val="00A3405F"/>
    <w:rsid w:val="00A34349"/>
    <w:rsid w:val="00A3447F"/>
    <w:rsid w:val="00A34692"/>
    <w:rsid w:val="00A3469B"/>
    <w:rsid w:val="00A34A94"/>
    <w:rsid w:val="00A34C67"/>
    <w:rsid w:val="00A3544C"/>
    <w:rsid w:val="00A35BF7"/>
    <w:rsid w:val="00A35D16"/>
    <w:rsid w:val="00A36569"/>
    <w:rsid w:val="00A36AFF"/>
    <w:rsid w:val="00A36DB8"/>
    <w:rsid w:val="00A36EE1"/>
    <w:rsid w:val="00A373FE"/>
    <w:rsid w:val="00A374F3"/>
    <w:rsid w:val="00A37A5B"/>
    <w:rsid w:val="00A37A7D"/>
    <w:rsid w:val="00A37BCD"/>
    <w:rsid w:val="00A37E5E"/>
    <w:rsid w:val="00A403F2"/>
    <w:rsid w:val="00A404AB"/>
    <w:rsid w:val="00A4117F"/>
    <w:rsid w:val="00A41689"/>
    <w:rsid w:val="00A421D2"/>
    <w:rsid w:val="00A42592"/>
    <w:rsid w:val="00A430AF"/>
    <w:rsid w:val="00A43C59"/>
    <w:rsid w:val="00A43D2D"/>
    <w:rsid w:val="00A43F5D"/>
    <w:rsid w:val="00A44513"/>
    <w:rsid w:val="00A44676"/>
    <w:rsid w:val="00A44D9F"/>
    <w:rsid w:val="00A450E8"/>
    <w:rsid w:val="00A452DD"/>
    <w:rsid w:val="00A45310"/>
    <w:rsid w:val="00A4557B"/>
    <w:rsid w:val="00A457C1"/>
    <w:rsid w:val="00A457F2"/>
    <w:rsid w:val="00A461E2"/>
    <w:rsid w:val="00A46404"/>
    <w:rsid w:val="00A4765E"/>
    <w:rsid w:val="00A47A08"/>
    <w:rsid w:val="00A47DCB"/>
    <w:rsid w:val="00A50278"/>
    <w:rsid w:val="00A504EC"/>
    <w:rsid w:val="00A509E1"/>
    <w:rsid w:val="00A50ECD"/>
    <w:rsid w:val="00A51008"/>
    <w:rsid w:val="00A513D8"/>
    <w:rsid w:val="00A518F3"/>
    <w:rsid w:val="00A51CCB"/>
    <w:rsid w:val="00A51FC9"/>
    <w:rsid w:val="00A52071"/>
    <w:rsid w:val="00A52729"/>
    <w:rsid w:val="00A52C34"/>
    <w:rsid w:val="00A52E1F"/>
    <w:rsid w:val="00A53003"/>
    <w:rsid w:val="00A53214"/>
    <w:rsid w:val="00A53675"/>
    <w:rsid w:val="00A537BA"/>
    <w:rsid w:val="00A53B00"/>
    <w:rsid w:val="00A53E73"/>
    <w:rsid w:val="00A5430D"/>
    <w:rsid w:val="00A549E5"/>
    <w:rsid w:val="00A54B9D"/>
    <w:rsid w:val="00A55170"/>
    <w:rsid w:val="00A55172"/>
    <w:rsid w:val="00A55606"/>
    <w:rsid w:val="00A55D5A"/>
    <w:rsid w:val="00A564D7"/>
    <w:rsid w:val="00A56605"/>
    <w:rsid w:val="00A56B6A"/>
    <w:rsid w:val="00A56D2E"/>
    <w:rsid w:val="00A574DF"/>
    <w:rsid w:val="00A57876"/>
    <w:rsid w:val="00A578DC"/>
    <w:rsid w:val="00A57B3D"/>
    <w:rsid w:val="00A60074"/>
    <w:rsid w:val="00A60437"/>
    <w:rsid w:val="00A609C1"/>
    <w:rsid w:val="00A60F16"/>
    <w:rsid w:val="00A610E3"/>
    <w:rsid w:val="00A61213"/>
    <w:rsid w:val="00A6147C"/>
    <w:rsid w:val="00A61806"/>
    <w:rsid w:val="00A619B0"/>
    <w:rsid w:val="00A61E4A"/>
    <w:rsid w:val="00A629EF"/>
    <w:rsid w:val="00A62EEC"/>
    <w:rsid w:val="00A63DC9"/>
    <w:rsid w:val="00A640E2"/>
    <w:rsid w:val="00A640EE"/>
    <w:rsid w:val="00A64D65"/>
    <w:rsid w:val="00A65077"/>
    <w:rsid w:val="00A65708"/>
    <w:rsid w:val="00A6655C"/>
    <w:rsid w:val="00A669D9"/>
    <w:rsid w:val="00A66D0E"/>
    <w:rsid w:val="00A6709A"/>
    <w:rsid w:val="00A670A4"/>
    <w:rsid w:val="00A6725B"/>
    <w:rsid w:val="00A67931"/>
    <w:rsid w:val="00A67E9F"/>
    <w:rsid w:val="00A67ED6"/>
    <w:rsid w:val="00A67EF6"/>
    <w:rsid w:val="00A70218"/>
    <w:rsid w:val="00A70605"/>
    <w:rsid w:val="00A70B98"/>
    <w:rsid w:val="00A70BEA"/>
    <w:rsid w:val="00A70E6B"/>
    <w:rsid w:val="00A71044"/>
    <w:rsid w:val="00A715A4"/>
    <w:rsid w:val="00A71AF0"/>
    <w:rsid w:val="00A71D2F"/>
    <w:rsid w:val="00A71F10"/>
    <w:rsid w:val="00A7240F"/>
    <w:rsid w:val="00A7242F"/>
    <w:rsid w:val="00A72E9A"/>
    <w:rsid w:val="00A73134"/>
    <w:rsid w:val="00A731EF"/>
    <w:rsid w:val="00A7365A"/>
    <w:rsid w:val="00A739C2"/>
    <w:rsid w:val="00A739EE"/>
    <w:rsid w:val="00A73C68"/>
    <w:rsid w:val="00A7408B"/>
    <w:rsid w:val="00A74261"/>
    <w:rsid w:val="00A74611"/>
    <w:rsid w:val="00A753DB"/>
    <w:rsid w:val="00A75534"/>
    <w:rsid w:val="00A75674"/>
    <w:rsid w:val="00A75F7A"/>
    <w:rsid w:val="00A76001"/>
    <w:rsid w:val="00A762A3"/>
    <w:rsid w:val="00A7684B"/>
    <w:rsid w:val="00A769DB"/>
    <w:rsid w:val="00A76B67"/>
    <w:rsid w:val="00A76FBF"/>
    <w:rsid w:val="00A770D2"/>
    <w:rsid w:val="00A777B2"/>
    <w:rsid w:val="00A77DA5"/>
    <w:rsid w:val="00A80189"/>
    <w:rsid w:val="00A80A7B"/>
    <w:rsid w:val="00A80BFC"/>
    <w:rsid w:val="00A80CF9"/>
    <w:rsid w:val="00A80F9F"/>
    <w:rsid w:val="00A8116B"/>
    <w:rsid w:val="00A815B5"/>
    <w:rsid w:val="00A816E3"/>
    <w:rsid w:val="00A81A5D"/>
    <w:rsid w:val="00A82565"/>
    <w:rsid w:val="00A825D4"/>
    <w:rsid w:val="00A828F6"/>
    <w:rsid w:val="00A82AD7"/>
    <w:rsid w:val="00A82B73"/>
    <w:rsid w:val="00A832D5"/>
    <w:rsid w:val="00A83649"/>
    <w:rsid w:val="00A83C19"/>
    <w:rsid w:val="00A83F1E"/>
    <w:rsid w:val="00A841B3"/>
    <w:rsid w:val="00A84344"/>
    <w:rsid w:val="00A84B42"/>
    <w:rsid w:val="00A84C22"/>
    <w:rsid w:val="00A85406"/>
    <w:rsid w:val="00A854B8"/>
    <w:rsid w:val="00A86455"/>
    <w:rsid w:val="00A86663"/>
    <w:rsid w:val="00A8672E"/>
    <w:rsid w:val="00A86914"/>
    <w:rsid w:val="00A86E8B"/>
    <w:rsid w:val="00A87164"/>
    <w:rsid w:val="00A871A9"/>
    <w:rsid w:val="00A87B0C"/>
    <w:rsid w:val="00A87CDA"/>
    <w:rsid w:val="00A90047"/>
    <w:rsid w:val="00A90296"/>
    <w:rsid w:val="00A90333"/>
    <w:rsid w:val="00A90622"/>
    <w:rsid w:val="00A90852"/>
    <w:rsid w:val="00A908F9"/>
    <w:rsid w:val="00A909DF"/>
    <w:rsid w:val="00A9201B"/>
    <w:rsid w:val="00A921BC"/>
    <w:rsid w:val="00A92F38"/>
    <w:rsid w:val="00A93072"/>
    <w:rsid w:val="00A932F6"/>
    <w:rsid w:val="00A938BD"/>
    <w:rsid w:val="00A93953"/>
    <w:rsid w:val="00A93C86"/>
    <w:rsid w:val="00A9486C"/>
    <w:rsid w:val="00A94A04"/>
    <w:rsid w:val="00A94A7E"/>
    <w:rsid w:val="00A94F32"/>
    <w:rsid w:val="00A952CF"/>
    <w:rsid w:val="00A959D8"/>
    <w:rsid w:val="00A95C44"/>
    <w:rsid w:val="00A962C3"/>
    <w:rsid w:val="00A9652F"/>
    <w:rsid w:val="00A96538"/>
    <w:rsid w:val="00A966A0"/>
    <w:rsid w:val="00A96865"/>
    <w:rsid w:val="00A97F8B"/>
    <w:rsid w:val="00AA0156"/>
    <w:rsid w:val="00AA0159"/>
    <w:rsid w:val="00AA06CC"/>
    <w:rsid w:val="00AA0B90"/>
    <w:rsid w:val="00AA0F38"/>
    <w:rsid w:val="00AA10AC"/>
    <w:rsid w:val="00AA113D"/>
    <w:rsid w:val="00AA11F3"/>
    <w:rsid w:val="00AA1296"/>
    <w:rsid w:val="00AA164C"/>
    <w:rsid w:val="00AA1A87"/>
    <w:rsid w:val="00AA1BF8"/>
    <w:rsid w:val="00AA20B4"/>
    <w:rsid w:val="00AA223D"/>
    <w:rsid w:val="00AA2524"/>
    <w:rsid w:val="00AA2654"/>
    <w:rsid w:val="00AA2888"/>
    <w:rsid w:val="00AA34A0"/>
    <w:rsid w:val="00AA3BF9"/>
    <w:rsid w:val="00AA3E06"/>
    <w:rsid w:val="00AA43C0"/>
    <w:rsid w:val="00AA45C7"/>
    <w:rsid w:val="00AA46E0"/>
    <w:rsid w:val="00AA4B23"/>
    <w:rsid w:val="00AA6688"/>
    <w:rsid w:val="00AA6BD5"/>
    <w:rsid w:val="00AA6BD8"/>
    <w:rsid w:val="00AA6C7D"/>
    <w:rsid w:val="00AA72D9"/>
    <w:rsid w:val="00AA778D"/>
    <w:rsid w:val="00AA7980"/>
    <w:rsid w:val="00AA7DBD"/>
    <w:rsid w:val="00AA7FD6"/>
    <w:rsid w:val="00AB0404"/>
    <w:rsid w:val="00AB042A"/>
    <w:rsid w:val="00AB08B0"/>
    <w:rsid w:val="00AB09D2"/>
    <w:rsid w:val="00AB0BFC"/>
    <w:rsid w:val="00AB0D6A"/>
    <w:rsid w:val="00AB108A"/>
    <w:rsid w:val="00AB11AD"/>
    <w:rsid w:val="00AB123F"/>
    <w:rsid w:val="00AB19EF"/>
    <w:rsid w:val="00AB1D0B"/>
    <w:rsid w:val="00AB1DA8"/>
    <w:rsid w:val="00AB1DFC"/>
    <w:rsid w:val="00AB2273"/>
    <w:rsid w:val="00AB23B5"/>
    <w:rsid w:val="00AB2495"/>
    <w:rsid w:val="00AB2565"/>
    <w:rsid w:val="00AB2613"/>
    <w:rsid w:val="00AB2D34"/>
    <w:rsid w:val="00AB2D95"/>
    <w:rsid w:val="00AB33FE"/>
    <w:rsid w:val="00AB3430"/>
    <w:rsid w:val="00AB3637"/>
    <w:rsid w:val="00AB37B9"/>
    <w:rsid w:val="00AB3961"/>
    <w:rsid w:val="00AB3AF0"/>
    <w:rsid w:val="00AB4AD1"/>
    <w:rsid w:val="00AB4F6E"/>
    <w:rsid w:val="00AB50CE"/>
    <w:rsid w:val="00AB5104"/>
    <w:rsid w:val="00AB522B"/>
    <w:rsid w:val="00AB5B1A"/>
    <w:rsid w:val="00AB5E07"/>
    <w:rsid w:val="00AB6030"/>
    <w:rsid w:val="00AB6256"/>
    <w:rsid w:val="00AB6D2F"/>
    <w:rsid w:val="00AB6FA6"/>
    <w:rsid w:val="00AB7031"/>
    <w:rsid w:val="00AB73E5"/>
    <w:rsid w:val="00AB7728"/>
    <w:rsid w:val="00AB79AB"/>
    <w:rsid w:val="00AB7A81"/>
    <w:rsid w:val="00AB7AAE"/>
    <w:rsid w:val="00AB7CFA"/>
    <w:rsid w:val="00AB7EEA"/>
    <w:rsid w:val="00AC0A23"/>
    <w:rsid w:val="00AC166F"/>
    <w:rsid w:val="00AC1FCA"/>
    <w:rsid w:val="00AC21AE"/>
    <w:rsid w:val="00AC264F"/>
    <w:rsid w:val="00AC2A30"/>
    <w:rsid w:val="00AC3001"/>
    <w:rsid w:val="00AC31E2"/>
    <w:rsid w:val="00AC3400"/>
    <w:rsid w:val="00AC355D"/>
    <w:rsid w:val="00AC3C83"/>
    <w:rsid w:val="00AC4192"/>
    <w:rsid w:val="00AC4C80"/>
    <w:rsid w:val="00AC4D5E"/>
    <w:rsid w:val="00AC4DA0"/>
    <w:rsid w:val="00AC4EF4"/>
    <w:rsid w:val="00AC4F5B"/>
    <w:rsid w:val="00AC570C"/>
    <w:rsid w:val="00AC5B42"/>
    <w:rsid w:val="00AC5B48"/>
    <w:rsid w:val="00AC5DFB"/>
    <w:rsid w:val="00AC5EB9"/>
    <w:rsid w:val="00AC6285"/>
    <w:rsid w:val="00AC74C0"/>
    <w:rsid w:val="00AC7B96"/>
    <w:rsid w:val="00AD05B4"/>
    <w:rsid w:val="00AD066B"/>
    <w:rsid w:val="00AD0D87"/>
    <w:rsid w:val="00AD1450"/>
    <w:rsid w:val="00AD15E8"/>
    <w:rsid w:val="00AD18C1"/>
    <w:rsid w:val="00AD1A60"/>
    <w:rsid w:val="00AD1C18"/>
    <w:rsid w:val="00AD20B0"/>
    <w:rsid w:val="00AD320B"/>
    <w:rsid w:val="00AD356D"/>
    <w:rsid w:val="00AD3E07"/>
    <w:rsid w:val="00AD4171"/>
    <w:rsid w:val="00AD4277"/>
    <w:rsid w:val="00AD4452"/>
    <w:rsid w:val="00AD4549"/>
    <w:rsid w:val="00AD4780"/>
    <w:rsid w:val="00AD4C39"/>
    <w:rsid w:val="00AD50A2"/>
    <w:rsid w:val="00AD5CA1"/>
    <w:rsid w:val="00AD5FC1"/>
    <w:rsid w:val="00AD6502"/>
    <w:rsid w:val="00AD69A1"/>
    <w:rsid w:val="00AD6D15"/>
    <w:rsid w:val="00AD6EF9"/>
    <w:rsid w:val="00AD7328"/>
    <w:rsid w:val="00AD759B"/>
    <w:rsid w:val="00AD7DC2"/>
    <w:rsid w:val="00AE0230"/>
    <w:rsid w:val="00AE0695"/>
    <w:rsid w:val="00AE0971"/>
    <w:rsid w:val="00AE0D37"/>
    <w:rsid w:val="00AE0D86"/>
    <w:rsid w:val="00AE0DB0"/>
    <w:rsid w:val="00AE0F5C"/>
    <w:rsid w:val="00AE0F8B"/>
    <w:rsid w:val="00AE18BA"/>
    <w:rsid w:val="00AE1E64"/>
    <w:rsid w:val="00AE1E88"/>
    <w:rsid w:val="00AE247E"/>
    <w:rsid w:val="00AE29AE"/>
    <w:rsid w:val="00AE35B3"/>
    <w:rsid w:val="00AE38A0"/>
    <w:rsid w:val="00AE3A38"/>
    <w:rsid w:val="00AE3E7E"/>
    <w:rsid w:val="00AE4279"/>
    <w:rsid w:val="00AE4397"/>
    <w:rsid w:val="00AE4791"/>
    <w:rsid w:val="00AE47D6"/>
    <w:rsid w:val="00AE48EA"/>
    <w:rsid w:val="00AE4EDF"/>
    <w:rsid w:val="00AE5019"/>
    <w:rsid w:val="00AE56CF"/>
    <w:rsid w:val="00AE6F45"/>
    <w:rsid w:val="00AE6FB1"/>
    <w:rsid w:val="00AE7E53"/>
    <w:rsid w:val="00AF01A4"/>
    <w:rsid w:val="00AF0D65"/>
    <w:rsid w:val="00AF0E72"/>
    <w:rsid w:val="00AF1315"/>
    <w:rsid w:val="00AF16DA"/>
    <w:rsid w:val="00AF19BF"/>
    <w:rsid w:val="00AF1B44"/>
    <w:rsid w:val="00AF1C54"/>
    <w:rsid w:val="00AF23BF"/>
    <w:rsid w:val="00AF2936"/>
    <w:rsid w:val="00AF2BFC"/>
    <w:rsid w:val="00AF2C2E"/>
    <w:rsid w:val="00AF2DC3"/>
    <w:rsid w:val="00AF303C"/>
    <w:rsid w:val="00AF320F"/>
    <w:rsid w:val="00AF3417"/>
    <w:rsid w:val="00AF38E4"/>
    <w:rsid w:val="00AF3BE5"/>
    <w:rsid w:val="00AF3CCD"/>
    <w:rsid w:val="00AF3E26"/>
    <w:rsid w:val="00AF4386"/>
    <w:rsid w:val="00AF5226"/>
    <w:rsid w:val="00AF5F5C"/>
    <w:rsid w:val="00AF68C4"/>
    <w:rsid w:val="00AF70C6"/>
    <w:rsid w:val="00AF72ED"/>
    <w:rsid w:val="00AF7388"/>
    <w:rsid w:val="00AF778E"/>
    <w:rsid w:val="00AF7A79"/>
    <w:rsid w:val="00B00C55"/>
    <w:rsid w:val="00B00DF2"/>
    <w:rsid w:val="00B0146F"/>
    <w:rsid w:val="00B01562"/>
    <w:rsid w:val="00B01761"/>
    <w:rsid w:val="00B01906"/>
    <w:rsid w:val="00B01E07"/>
    <w:rsid w:val="00B02112"/>
    <w:rsid w:val="00B025BB"/>
    <w:rsid w:val="00B02B3C"/>
    <w:rsid w:val="00B02B95"/>
    <w:rsid w:val="00B0306D"/>
    <w:rsid w:val="00B03340"/>
    <w:rsid w:val="00B033E5"/>
    <w:rsid w:val="00B0358A"/>
    <w:rsid w:val="00B0362B"/>
    <w:rsid w:val="00B03A63"/>
    <w:rsid w:val="00B040F4"/>
    <w:rsid w:val="00B0412E"/>
    <w:rsid w:val="00B042C7"/>
    <w:rsid w:val="00B048A5"/>
    <w:rsid w:val="00B04EA0"/>
    <w:rsid w:val="00B04F4C"/>
    <w:rsid w:val="00B05510"/>
    <w:rsid w:val="00B05B1E"/>
    <w:rsid w:val="00B05D1A"/>
    <w:rsid w:val="00B0606D"/>
    <w:rsid w:val="00B063EC"/>
    <w:rsid w:val="00B06706"/>
    <w:rsid w:val="00B06756"/>
    <w:rsid w:val="00B06B76"/>
    <w:rsid w:val="00B06BE8"/>
    <w:rsid w:val="00B06E73"/>
    <w:rsid w:val="00B07715"/>
    <w:rsid w:val="00B078A0"/>
    <w:rsid w:val="00B07BC9"/>
    <w:rsid w:val="00B10083"/>
    <w:rsid w:val="00B1075A"/>
    <w:rsid w:val="00B11031"/>
    <w:rsid w:val="00B110EA"/>
    <w:rsid w:val="00B11DF0"/>
    <w:rsid w:val="00B12588"/>
    <w:rsid w:val="00B1266D"/>
    <w:rsid w:val="00B129A4"/>
    <w:rsid w:val="00B12D4F"/>
    <w:rsid w:val="00B12EBF"/>
    <w:rsid w:val="00B13170"/>
    <w:rsid w:val="00B135D8"/>
    <w:rsid w:val="00B13C29"/>
    <w:rsid w:val="00B13E85"/>
    <w:rsid w:val="00B146F9"/>
    <w:rsid w:val="00B14ADE"/>
    <w:rsid w:val="00B14C1B"/>
    <w:rsid w:val="00B15115"/>
    <w:rsid w:val="00B159FF"/>
    <w:rsid w:val="00B15B90"/>
    <w:rsid w:val="00B16A86"/>
    <w:rsid w:val="00B16BAF"/>
    <w:rsid w:val="00B16D84"/>
    <w:rsid w:val="00B16DE3"/>
    <w:rsid w:val="00B172B1"/>
    <w:rsid w:val="00B1736F"/>
    <w:rsid w:val="00B17517"/>
    <w:rsid w:val="00B176D3"/>
    <w:rsid w:val="00B17B38"/>
    <w:rsid w:val="00B17EAF"/>
    <w:rsid w:val="00B201A4"/>
    <w:rsid w:val="00B201D1"/>
    <w:rsid w:val="00B20A99"/>
    <w:rsid w:val="00B20DCD"/>
    <w:rsid w:val="00B210C2"/>
    <w:rsid w:val="00B213A6"/>
    <w:rsid w:val="00B235B0"/>
    <w:rsid w:val="00B23A78"/>
    <w:rsid w:val="00B23D2F"/>
    <w:rsid w:val="00B23FC6"/>
    <w:rsid w:val="00B24358"/>
    <w:rsid w:val="00B24618"/>
    <w:rsid w:val="00B248F0"/>
    <w:rsid w:val="00B249F7"/>
    <w:rsid w:val="00B24BCE"/>
    <w:rsid w:val="00B24C18"/>
    <w:rsid w:val="00B24C61"/>
    <w:rsid w:val="00B24DF6"/>
    <w:rsid w:val="00B256C5"/>
    <w:rsid w:val="00B259C2"/>
    <w:rsid w:val="00B26272"/>
    <w:rsid w:val="00B26780"/>
    <w:rsid w:val="00B26881"/>
    <w:rsid w:val="00B26930"/>
    <w:rsid w:val="00B26C14"/>
    <w:rsid w:val="00B26C19"/>
    <w:rsid w:val="00B26C88"/>
    <w:rsid w:val="00B275B3"/>
    <w:rsid w:val="00B27A61"/>
    <w:rsid w:val="00B30EA2"/>
    <w:rsid w:val="00B30EB6"/>
    <w:rsid w:val="00B30EC1"/>
    <w:rsid w:val="00B31665"/>
    <w:rsid w:val="00B31860"/>
    <w:rsid w:val="00B31BD3"/>
    <w:rsid w:val="00B32685"/>
    <w:rsid w:val="00B32A42"/>
    <w:rsid w:val="00B32C9F"/>
    <w:rsid w:val="00B32D52"/>
    <w:rsid w:val="00B32FF3"/>
    <w:rsid w:val="00B33537"/>
    <w:rsid w:val="00B338D3"/>
    <w:rsid w:val="00B339CD"/>
    <w:rsid w:val="00B33B3F"/>
    <w:rsid w:val="00B33C76"/>
    <w:rsid w:val="00B341BC"/>
    <w:rsid w:val="00B34434"/>
    <w:rsid w:val="00B34FD8"/>
    <w:rsid w:val="00B34FE2"/>
    <w:rsid w:val="00B35166"/>
    <w:rsid w:val="00B357D8"/>
    <w:rsid w:val="00B35A57"/>
    <w:rsid w:val="00B35A63"/>
    <w:rsid w:val="00B35EAD"/>
    <w:rsid w:val="00B360F4"/>
    <w:rsid w:val="00B366E2"/>
    <w:rsid w:val="00B36A00"/>
    <w:rsid w:val="00B36CA2"/>
    <w:rsid w:val="00B37274"/>
    <w:rsid w:val="00B37771"/>
    <w:rsid w:val="00B377AA"/>
    <w:rsid w:val="00B3792B"/>
    <w:rsid w:val="00B37BFC"/>
    <w:rsid w:val="00B40038"/>
    <w:rsid w:val="00B40358"/>
    <w:rsid w:val="00B412E3"/>
    <w:rsid w:val="00B41593"/>
    <w:rsid w:val="00B41614"/>
    <w:rsid w:val="00B416ED"/>
    <w:rsid w:val="00B419FB"/>
    <w:rsid w:val="00B41E3E"/>
    <w:rsid w:val="00B41EAC"/>
    <w:rsid w:val="00B41ECE"/>
    <w:rsid w:val="00B421C7"/>
    <w:rsid w:val="00B424EF"/>
    <w:rsid w:val="00B42851"/>
    <w:rsid w:val="00B42F80"/>
    <w:rsid w:val="00B4305B"/>
    <w:rsid w:val="00B4324C"/>
    <w:rsid w:val="00B43448"/>
    <w:rsid w:val="00B435CB"/>
    <w:rsid w:val="00B443B2"/>
    <w:rsid w:val="00B444B2"/>
    <w:rsid w:val="00B449AF"/>
    <w:rsid w:val="00B45246"/>
    <w:rsid w:val="00B45C46"/>
    <w:rsid w:val="00B45F74"/>
    <w:rsid w:val="00B4604D"/>
    <w:rsid w:val="00B46264"/>
    <w:rsid w:val="00B465EC"/>
    <w:rsid w:val="00B46C13"/>
    <w:rsid w:val="00B47321"/>
    <w:rsid w:val="00B475E6"/>
    <w:rsid w:val="00B47752"/>
    <w:rsid w:val="00B47AA5"/>
    <w:rsid w:val="00B47AF1"/>
    <w:rsid w:val="00B47B9A"/>
    <w:rsid w:val="00B47E1A"/>
    <w:rsid w:val="00B47F7F"/>
    <w:rsid w:val="00B505C8"/>
    <w:rsid w:val="00B5067C"/>
    <w:rsid w:val="00B50BCF"/>
    <w:rsid w:val="00B50DB8"/>
    <w:rsid w:val="00B511A9"/>
    <w:rsid w:val="00B51259"/>
    <w:rsid w:val="00B51823"/>
    <w:rsid w:val="00B51EAF"/>
    <w:rsid w:val="00B51FDC"/>
    <w:rsid w:val="00B52098"/>
    <w:rsid w:val="00B525F0"/>
    <w:rsid w:val="00B527F8"/>
    <w:rsid w:val="00B529DE"/>
    <w:rsid w:val="00B52A09"/>
    <w:rsid w:val="00B52BCD"/>
    <w:rsid w:val="00B52CB6"/>
    <w:rsid w:val="00B52E4B"/>
    <w:rsid w:val="00B534AE"/>
    <w:rsid w:val="00B5360F"/>
    <w:rsid w:val="00B5363B"/>
    <w:rsid w:val="00B53654"/>
    <w:rsid w:val="00B536CB"/>
    <w:rsid w:val="00B537E8"/>
    <w:rsid w:val="00B53905"/>
    <w:rsid w:val="00B5390A"/>
    <w:rsid w:val="00B53BD5"/>
    <w:rsid w:val="00B53C50"/>
    <w:rsid w:val="00B540EB"/>
    <w:rsid w:val="00B5447A"/>
    <w:rsid w:val="00B54613"/>
    <w:rsid w:val="00B5464C"/>
    <w:rsid w:val="00B546DB"/>
    <w:rsid w:val="00B54826"/>
    <w:rsid w:val="00B54B5B"/>
    <w:rsid w:val="00B54F19"/>
    <w:rsid w:val="00B5553C"/>
    <w:rsid w:val="00B5562E"/>
    <w:rsid w:val="00B55862"/>
    <w:rsid w:val="00B55963"/>
    <w:rsid w:val="00B55D65"/>
    <w:rsid w:val="00B55F39"/>
    <w:rsid w:val="00B56305"/>
    <w:rsid w:val="00B564EE"/>
    <w:rsid w:val="00B56748"/>
    <w:rsid w:val="00B56829"/>
    <w:rsid w:val="00B56D68"/>
    <w:rsid w:val="00B57000"/>
    <w:rsid w:val="00B57104"/>
    <w:rsid w:val="00B574E8"/>
    <w:rsid w:val="00B60939"/>
    <w:rsid w:val="00B60AFD"/>
    <w:rsid w:val="00B6126D"/>
    <w:rsid w:val="00B61402"/>
    <w:rsid w:val="00B61463"/>
    <w:rsid w:val="00B619A3"/>
    <w:rsid w:val="00B619DB"/>
    <w:rsid w:val="00B61B35"/>
    <w:rsid w:val="00B62715"/>
    <w:rsid w:val="00B628E3"/>
    <w:rsid w:val="00B629E0"/>
    <w:rsid w:val="00B63280"/>
    <w:rsid w:val="00B63B2C"/>
    <w:rsid w:val="00B63E8E"/>
    <w:rsid w:val="00B6442C"/>
    <w:rsid w:val="00B644BA"/>
    <w:rsid w:val="00B65611"/>
    <w:rsid w:val="00B6591B"/>
    <w:rsid w:val="00B65AF5"/>
    <w:rsid w:val="00B65FD2"/>
    <w:rsid w:val="00B666A6"/>
    <w:rsid w:val="00B674FC"/>
    <w:rsid w:val="00B67C83"/>
    <w:rsid w:val="00B7015E"/>
    <w:rsid w:val="00B7024B"/>
    <w:rsid w:val="00B70E8E"/>
    <w:rsid w:val="00B70F1B"/>
    <w:rsid w:val="00B70F9E"/>
    <w:rsid w:val="00B716D1"/>
    <w:rsid w:val="00B71B98"/>
    <w:rsid w:val="00B71BCA"/>
    <w:rsid w:val="00B71EDC"/>
    <w:rsid w:val="00B72223"/>
    <w:rsid w:val="00B72710"/>
    <w:rsid w:val="00B7276B"/>
    <w:rsid w:val="00B72E4C"/>
    <w:rsid w:val="00B730A7"/>
    <w:rsid w:val="00B7418C"/>
    <w:rsid w:val="00B7468E"/>
    <w:rsid w:val="00B74718"/>
    <w:rsid w:val="00B74B20"/>
    <w:rsid w:val="00B74B5E"/>
    <w:rsid w:val="00B74EB6"/>
    <w:rsid w:val="00B74FCB"/>
    <w:rsid w:val="00B7554A"/>
    <w:rsid w:val="00B7562B"/>
    <w:rsid w:val="00B76450"/>
    <w:rsid w:val="00B76C92"/>
    <w:rsid w:val="00B76CC2"/>
    <w:rsid w:val="00B76EB1"/>
    <w:rsid w:val="00B77119"/>
    <w:rsid w:val="00B7766E"/>
    <w:rsid w:val="00B800B4"/>
    <w:rsid w:val="00B800C7"/>
    <w:rsid w:val="00B800E1"/>
    <w:rsid w:val="00B80404"/>
    <w:rsid w:val="00B80DFA"/>
    <w:rsid w:val="00B80EFD"/>
    <w:rsid w:val="00B81019"/>
    <w:rsid w:val="00B811A2"/>
    <w:rsid w:val="00B81884"/>
    <w:rsid w:val="00B818A4"/>
    <w:rsid w:val="00B818F7"/>
    <w:rsid w:val="00B81D8E"/>
    <w:rsid w:val="00B823A0"/>
    <w:rsid w:val="00B82966"/>
    <w:rsid w:val="00B83739"/>
    <w:rsid w:val="00B83E59"/>
    <w:rsid w:val="00B83F61"/>
    <w:rsid w:val="00B84059"/>
    <w:rsid w:val="00B840E6"/>
    <w:rsid w:val="00B84117"/>
    <w:rsid w:val="00B841F7"/>
    <w:rsid w:val="00B843B2"/>
    <w:rsid w:val="00B84713"/>
    <w:rsid w:val="00B848F6"/>
    <w:rsid w:val="00B84E3E"/>
    <w:rsid w:val="00B854C3"/>
    <w:rsid w:val="00B8585C"/>
    <w:rsid w:val="00B858F0"/>
    <w:rsid w:val="00B8595B"/>
    <w:rsid w:val="00B85AA2"/>
    <w:rsid w:val="00B8649C"/>
    <w:rsid w:val="00B8669F"/>
    <w:rsid w:val="00B8695D"/>
    <w:rsid w:val="00B86A1B"/>
    <w:rsid w:val="00B86B3E"/>
    <w:rsid w:val="00B87012"/>
    <w:rsid w:val="00B876A0"/>
    <w:rsid w:val="00B877FA"/>
    <w:rsid w:val="00B87F0A"/>
    <w:rsid w:val="00B87F87"/>
    <w:rsid w:val="00B90E2B"/>
    <w:rsid w:val="00B911EB"/>
    <w:rsid w:val="00B9140E"/>
    <w:rsid w:val="00B91606"/>
    <w:rsid w:val="00B918DA"/>
    <w:rsid w:val="00B91FBF"/>
    <w:rsid w:val="00B920C1"/>
    <w:rsid w:val="00B9244B"/>
    <w:rsid w:val="00B92D0B"/>
    <w:rsid w:val="00B92EA7"/>
    <w:rsid w:val="00B93E47"/>
    <w:rsid w:val="00B94036"/>
    <w:rsid w:val="00B94104"/>
    <w:rsid w:val="00B941CD"/>
    <w:rsid w:val="00B946C7"/>
    <w:rsid w:val="00B947F9"/>
    <w:rsid w:val="00B9481B"/>
    <w:rsid w:val="00B94945"/>
    <w:rsid w:val="00B94DD6"/>
    <w:rsid w:val="00B95149"/>
    <w:rsid w:val="00B954E0"/>
    <w:rsid w:val="00B95576"/>
    <w:rsid w:val="00B9567B"/>
    <w:rsid w:val="00B95D6B"/>
    <w:rsid w:val="00B95DE9"/>
    <w:rsid w:val="00B9614F"/>
    <w:rsid w:val="00B96192"/>
    <w:rsid w:val="00B96409"/>
    <w:rsid w:val="00B9644D"/>
    <w:rsid w:val="00B968C8"/>
    <w:rsid w:val="00B9705C"/>
    <w:rsid w:val="00B97321"/>
    <w:rsid w:val="00B975F5"/>
    <w:rsid w:val="00BA03F7"/>
    <w:rsid w:val="00BA03FF"/>
    <w:rsid w:val="00BA09FA"/>
    <w:rsid w:val="00BA0A2B"/>
    <w:rsid w:val="00BA180B"/>
    <w:rsid w:val="00BA1F1A"/>
    <w:rsid w:val="00BA21D5"/>
    <w:rsid w:val="00BA2264"/>
    <w:rsid w:val="00BA2315"/>
    <w:rsid w:val="00BA2350"/>
    <w:rsid w:val="00BA2354"/>
    <w:rsid w:val="00BA253E"/>
    <w:rsid w:val="00BA2E19"/>
    <w:rsid w:val="00BA322D"/>
    <w:rsid w:val="00BA37C4"/>
    <w:rsid w:val="00BA4467"/>
    <w:rsid w:val="00BA473C"/>
    <w:rsid w:val="00BA50F9"/>
    <w:rsid w:val="00BA525C"/>
    <w:rsid w:val="00BA5B3F"/>
    <w:rsid w:val="00BA5F8E"/>
    <w:rsid w:val="00BA61DC"/>
    <w:rsid w:val="00BA63FA"/>
    <w:rsid w:val="00BA6684"/>
    <w:rsid w:val="00BA6AE3"/>
    <w:rsid w:val="00BA6BE2"/>
    <w:rsid w:val="00BA6E41"/>
    <w:rsid w:val="00BA6F2D"/>
    <w:rsid w:val="00BA7093"/>
    <w:rsid w:val="00BA73C0"/>
    <w:rsid w:val="00BA76A0"/>
    <w:rsid w:val="00BA77D3"/>
    <w:rsid w:val="00BA7C0E"/>
    <w:rsid w:val="00BB00B3"/>
    <w:rsid w:val="00BB04F2"/>
    <w:rsid w:val="00BB0AB0"/>
    <w:rsid w:val="00BB0B70"/>
    <w:rsid w:val="00BB0BDD"/>
    <w:rsid w:val="00BB0E83"/>
    <w:rsid w:val="00BB10DB"/>
    <w:rsid w:val="00BB14D5"/>
    <w:rsid w:val="00BB176C"/>
    <w:rsid w:val="00BB2A73"/>
    <w:rsid w:val="00BB2C01"/>
    <w:rsid w:val="00BB313E"/>
    <w:rsid w:val="00BB3A45"/>
    <w:rsid w:val="00BB3D2D"/>
    <w:rsid w:val="00BB426E"/>
    <w:rsid w:val="00BB4ACC"/>
    <w:rsid w:val="00BB583D"/>
    <w:rsid w:val="00BB5AEF"/>
    <w:rsid w:val="00BB5B64"/>
    <w:rsid w:val="00BB609E"/>
    <w:rsid w:val="00BB6C63"/>
    <w:rsid w:val="00BB703E"/>
    <w:rsid w:val="00BB732D"/>
    <w:rsid w:val="00BB7405"/>
    <w:rsid w:val="00BB789D"/>
    <w:rsid w:val="00BB7CFA"/>
    <w:rsid w:val="00BC04C4"/>
    <w:rsid w:val="00BC05F1"/>
    <w:rsid w:val="00BC07A2"/>
    <w:rsid w:val="00BC0E80"/>
    <w:rsid w:val="00BC1C9F"/>
    <w:rsid w:val="00BC23A6"/>
    <w:rsid w:val="00BC2647"/>
    <w:rsid w:val="00BC2B15"/>
    <w:rsid w:val="00BC3403"/>
    <w:rsid w:val="00BC3631"/>
    <w:rsid w:val="00BC3FBB"/>
    <w:rsid w:val="00BC47B7"/>
    <w:rsid w:val="00BC591F"/>
    <w:rsid w:val="00BC5A75"/>
    <w:rsid w:val="00BC5B9E"/>
    <w:rsid w:val="00BC68E4"/>
    <w:rsid w:val="00BC7191"/>
    <w:rsid w:val="00BC7C02"/>
    <w:rsid w:val="00BC7D6D"/>
    <w:rsid w:val="00BD0257"/>
    <w:rsid w:val="00BD088B"/>
    <w:rsid w:val="00BD09C5"/>
    <w:rsid w:val="00BD09D5"/>
    <w:rsid w:val="00BD1149"/>
    <w:rsid w:val="00BD1BBE"/>
    <w:rsid w:val="00BD2108"/>
    <w:rsid w:val="00BD2174"/>
    <w:rsid w:val="00BD22E6"/>
    <w:rsid w:val="00BD24CE"/>
    <w:rsid w:val="00BD2997"/>
    <w:rsid w:val="00BD2DDE"/>
    <w:rsid w:val="00BD383F"/>
    <w:rsid w:val="00BD3B40"/>
    <w:rsid w:val="00BD3E47"/>
    <w:rsid w:val="00BD3F4E"/>
    <w:rsid w:val="00BD3FC1"/>
    <w:rsid w:val="00BD42D0"/>
    <w:rsid w:val="00BD4382"/>
    <w:rsid w:val="00BD4783"/>
    <w:rsid w:val="00BD4D3D"/>
    <w:rsid w:val="00BD4F19"/>
    <w:rsid w:val="00BD5058"/>
    <w:rsid w:val="00BD51D9"/>
    <w:rsid w:val="00BD52DE"/>
    <w:rsid w:val="00BD5801"/>
    <w:rsid w:val="00BD5C7E"/>
    <w:rsid w:val="00BD5FB8"/>
    <w:rsid w:val="00BD68A3"/>
    <w:rsid w:val="00BD6938"/>
    <w:rsid w:val="00BD6A2D"/>
    <w:rsid w:val="00BD6B91"/>
    <w:rsid w:val="00BD6CF3"/>
    <w:rsid w:val="00BD6E15"/>
    <w:rsid w:val="00BD6EA1"/>
    <w:rsid w:val="00BD788A"/>
    <w:rsid w:val="00BD7F72"/>
    <w:rsid w:val="00BE0516"/>
    <w:rsid w:val="00BE0BC4"/>
    <w:rsid w:val="00BE0DF5"/>
    <w:rsid w:val="00BE0ECA"/>
    <w:rsid w:val="00BE1097"/>
    <w:rsid w:val="00BE1132"/>
    <w:rsid w:val="00BE132C"/>
    <w:rsid w:val="00BE18B8"/>
    <w:rsid w:val="00BE1C7D"/>
    <w:rsid w:val="00BE1D82"/>
    <w:rsid w:val="00BE2180"/>
    <w:rsid w:val="00BE21B5"/>
    <w:rsid w:val="00BE21F2"/>
    <w:rsid w:val="00BE220A"/>
    <w:rsid w:val="00BE2698"/>
    <w:rsid w:val="00BE2796"/>
    <w:rsid w:val="00BE27E9"/>
    <w:rsid w:val="00BE2D2B"/>
    <w:rsid w:val="00BE3550"/>
    <w:rsid w:val="00BE3997"/>
    <w:rsid w:val="00BE3EAA"/>
    <w:rsid w:val="00BE40C8"/>
    <w:rsid w:val="00BE4275"/>
    <w:rsid w:val="00BE44AB"/>
    <w:rsid w:val="00BE49A8"/>
    <w:rsid w:val="00BE4D60"/>
    <w:rsid w:val="00BE5228"/>
    <w:rsid w:val="00BE5393"/>
    <w:rsid w:val="00BE5721"/>
    <w:rsid w:val="00BE5E07"/>
    <w:rsid w:val="00BE6455"/>
    <w:rsid w:val="00BE6AC3"/>
    <w:rsid w:val="00BE7C88"/>
    <w:rsid w:val="00BF03EA"/>
    <w:rsid w:val="00BF048A"/>
    <w:rsid w:val="00BF0680"/>
    <w:rsid w:val="00BF06A2"/>
    <w:rsid w:val="00BF06AE"/>
    <w:rsid w:val="00BF076C"/>
    <w:rsid w:val="00BF0780"/>
    <w:rsid w:val="00BF0E4F"/>
    <w:rsid w:val="00BF0F95"/>
    <w:rsid w:val="00BF19DD"/>
    <w:rsid w:val="00BF1A2A"/>
    <w:rsid w:val="00BF2008"/>
    <w:rsid w:val="00BF219B"/>
    <w:rsid w:val="00BF2433"/>
    <w:rsid w:val="00BF260C"/>
    <w:rsid w:val="00BF28D6"/>
    <w:rsid w:val="00BF28EC"/>
    <w:rsid w:val="00BF294A"/>
    <w:rsid w:val="00BF2BA9"/>
    <w:rsid w:val="00BF2D2F"/>
    <w:rsid w:val="00BF2E6E"/>
    <w:rsid w:val="00BF3959"/>
    <w:rsid w:val="00BF3A97"/>
    <w:rsid w:val="00BF3F24"/>
    <w:rsid w:val="00BF401C"/>
    <w:rsid w:val="00BF4261"/>
    <w:rsid w:val="00BF4284"/>
    <w:rsid w:val="00BF4477"/>
    <w:rsid w:val="00BF4F44"/>
    <w:rsid w:val="00BF501C"/>
    <w:rsid w:val="00BF61C9"/>
    <w:rsid w:val="00BF64C5"/>
    <w:rsid w:val="00BF65C0"/>
    <w:rsid w:val="00BF66D5"/>
    <w:rsid w:val="00BF6C94"/>
    <w:rsid w:val="00BF6FEB"/>
    <w:rsid w:val="00BF71CD"/>
    <w:rsid w:val="00BF7283"/>
    <w:rsid w:val="00BF73BE"/>
    <w:rsid w:val="00BF7C97"/>
    <w:rsid w:val="00BF7DF4"/>
    <w:rsid w:val="00C00424"/>
    <w:rsid w:val="00C00490"/>
    <w:rsid w:val="00C006B2"/>
    <w:rsid w:val="00C00BB0"/>
    <w:rsid w:val="00C01C76"/>
    <w:rsid w:val="00C020E1"/>
    <w:rsid w:val="00C027F5"/>
    <w:rsid w:val="00C0297A"/>
    <w:rsid w:val="00C02ED4"/>
    <w:rsid w:val="00C03446"/>
    <w:rsid w:val="00C034A9"/>
    <w:rsid w:val="00C03C82"/>
    <w:rsid w:val="00C03D7E"/>
    <w:rsid w:val="00C043B0"/>
    <w:rsid w:val="00C04417"/>
    <w:rsid w:val="00C04884"/>
    <w:rsid w:val="00C04A28"/>
    <w:rsid w:val="00C04CD8"/>
    <w:rsid w:val="00C050D8"/>
    <w:rsid w:val="00C05278"/>
    <w:rsid w:val="00C0567B"/>
    <w:rsid w:val="00C0598E"/>
    <w:rsid w:val="00C06031"/>
    <w:rsid w:val="00C0649D"/>
    <w:rsid w:val="00C068F4"/>
    <w:rsid w:val="00C077D9"/>
    <w:rsid w:val="00C077EF"/>
    <w:rsid w:val="00C07CF8"/>
    <w:rsid w:val="00C07EE8"/>
    <w:rsid w:val="00C1054C"/>
    <w:rsid w:val="00C10D2E"/>
    <w:rsid w:val="00C115D0"/>
    <w:rsid w:val="00C1179F"/>
    <w:rsid w:val="00C118CA"/>
    <w:rsid w:val="00C11B4E"/>
    <w:rsid w:val="00C1226B"/>
    <w:rsid w:val="00C127B9"/>
    <w:rsid w:val="00C12852"/>
    <w:rsid w:val="00C128FA"/>
    <w:rsid w:val="00C12B0A"/>
    <w:rsid w:val="00C12B89"/>
    <w:rsid w:val="00C12C14"/>
    <w:rsid w:val="00C135A2"/>
    <w:rsid w:val="00C1377E"/>
    <w:rsid w:val="00C14053"/>
    <w:rsid w:val="00C141BD"/>
    <w:rsid w:val="00C145F9"/>
    <w:rsid w:val="00C14A76"/>
    <w:rsid w:val="00C14C02"/>
    <w:rsid w:val="00C14E9B"/>
    <w:rsid w:val="00C155B1"/>
    <w:rsid w:val="00C1582E"/>
    <w:rsid w:val="00C15CCC"/>
    <w:rsid w:val="00C15F04"/>
    <w:rsid w:val="00C163B6"/>
    <w:rsid w:val="00C164CF"/>
    <w:rsid w:val="00C16742"/>
    <w:rsid w:val="00C16F07"/>
    <w:rsid w:val="00C179B3"/>
    <w:rsid w:val="00C17E3F"/>
    <w:rsid w:val="00C20048"/>
    <w:rsid w:val="00C200AA"/>
    <w:rsid w:val="00C20644"/>
    <w:rsid w:val="00C20B50"/>
    <w:rsid w:val="00C21218"/>
    <w:rsid w:val="00C2122E"/>
    <w:rsid w:val="00C21FEF"/>
    <w:rsid w:val="00C22110"/>
    <w:rsid w:val="00C22393"/>
    <w:rsid w:val="00C226C1"/>
    <w:rsid w:val="00C23233"/>
    <w:rsid w:val="00C2360F"/>
    <w:rsid w:val="00C237C7"/>
    <w:rsid w:val="00C237ED"/>
    <w:rsid w:val="00C2399E"/>
    <w:rsid w:val="00C23A59"/>
    <w:rsid w:val="00C2424B"/>
    <w:rsid w:val="00C24632"/>
    <w:rsid w:val="00C24A50"/>
    <w:rsid w:val="00C24E82"/>
    <w:rsid w:val="00C25418"/>
    <w:rsid w:val="00C25576"/>
    <w:rsid w:val="00C25B3B"/>
    <w:rsid w:val="00C25D9C"/>
    <w:rsid w:val="00C25EEC"/>
    <w:rsid w:val="00C26303"/>
    <w:rsid w:val="00C26400"/>
    <w:rsid w:val="00C268CE"/>
    <w:rsid w:val="00C26C9C"/>
    <w:rsid w:val="00C26E6A"/>
    <w:rsid w:val="00C26E90"/>
    <w:rsid w:val="00C27364"/>
    <w:rsid w:val="00C275D8"/>
    <w:rsid w:val="00C2778B"/>
    <w:rsid w:val="00C2778F"/>
    <w:rsid w:val="00C30542"/>
    <w:rsid w:val="00C30B14"/>
    <w:rsid w:val="00C30C95"/>
    <w:rsid w:val="00C30C97"/>
    <w:rsid w:val="00C30C9E"/>
    <w:rsid w:val="00C30E94"/>
    <w:rsid w:val="00C3138C"/>
    <w:rsid w:val="00C31649"/>
    <w:rsid w:val="00C31FE8"/>
    <w:rsid w:val="00C32F95"/>
    <w:rsid w:val="00C338D3"/>
    <w:rsid w:val="00C3393A"/>
    <w:rsid w:val="00C33DF1"/>
    <w:rsid w:val="00C34255"/>
    <w:rsid w:val="00C342A3"/>
    <w:rsid w:val="00C3434C"/>
    <w:rsid w:val="00C344EB"/>
    <w:rsid w:val="00C3452B"/>
    <w:rsid w:val="00C34947"/>
    <w:rsid w:val="00C34DFA"/>
    <w:rsid w:val="00C35D96"/>
    <w:rsid w:val="00C35E80"/>
    <w:rsid w:val="00C3635F"/>
    <w:rsid w:val="00C36831"/>
    <w:rsid w:val="00C36D61"/>
    <w:rsid w:val="00C373F4"/>
    <w:rsid w:val="00C376A3"/>
    <w:rsid w:val="00C3783D"/>
    <w:rsid w:val="00C37962"/>
    <w:rsid w:val="00C37CB1"/>
    <w:rsid w:val="00C37D44"/>
    <w:rsid w:val="00C40385"/>
    <w:rsid w:val="00C4073F"/>
    <w:rsid w:val="00C408FB"/>
    <w:rsid w:val="00C40932"/>
    <w:rsid w:val="00C40980"/>
    <w:rsid w:val="00C40991"/>
    <w:rsid w:val="00C409CE"/>
    <w:rsid w:val="00C40E50"/>
    <w:rsid w:val="00C41496"/>
    <w:rsid w:val="00C414D8"/>
    <w:rsid w:val="00C415EC"/>
    <w:rsid w:val="00C41768"/>
    <w:rsid w:val="00C42A4B"/>
    <w:rsid w:val="00C438C0"/>
    <w:rsid w:val="00C44A54"/>
    <w:rsid w:val="00C44C1D"/>
    <w:rsid w:val="00C44F3F"/>
    <w:rsid w:val="00C456FF"/>
    <w:rsid w:val="00C45853"/>
    <w:rsid w:val="00C460D6"/>
    <w:rsid w:val="00C46434"/>
    <w:rsid w:val="00C4650C"/>
    <w:rsid w:val="00C4734C"/>
    <w:rsid w:val="00C473E6"/>
    <w:rsid w:val="00C474C2"/>
    <w:rsid w:val="00C475AA"/>
    <w:rsid w:val="00C476EB"/>
    <w:rsid w:val="00C4773F"/>
    <w:rsid w:val="00C47ECD"/>
    <w:rsid w:val="00C50608"/>
    <w:rsid w:val="00C5128B"/>
    <w:rsid w:val="00C523FE"/>
    <w:rsid w:val="00C5255F"/>
    <w:rsid w:val="00C527C7"/>
    <w:rsid w:val="00C52A97"/>
    <w:rsid w:val="00C53283"/>
    <w:rsid w:val="00C5348D"/>
    <w:rsid w:val="00C536E4"/>
    <w:rsid w:val="00C53879"/>
    <w:rsid w:val="00C53C98"/>
    <w:rsid w:val="00C5506E"/>
    <w:rsid w:val="00C55092"/>
    <w:rsid w:val="00C551BE"/>
    <w:rsid w:val="00C55857"/>
    <w:rsid w:val="00C55C7E"/>
    <w:rsid w:val="00C56364"/>
    <w:rsid w:val="00C563C1"/>
    <w:rsid w:val="00C5659B"/>
    <w:rsid w:val="00C56F30"/>
    <w:rsid w:val="00C56FCF"/>
    <w:rsid w:val="00C57059"/>
    <w:rsid w:val="00C57111"/>
    <w:rsid w:val="00C5729D"/>
    <w:rsid w:val="00C572F6"/>
    <w:rsid w:val="00C57487"/>
    <w:rsid w:val="00C57B6C"/>
    <w:rsid w:val="00C57CEA"/>
    <w:rsid w:val="00C60080"/>
    <w:rsid w:val="00C60ABB"/>
    <w:rsid w:val="00C60F5B"/>
    <w:rsid w:val="00C61A59"/>
    <w:rsid w:val="00C61BAB"/>
    <w:rsid w:val="00C6236A"/>
    <w:rsid w:val="00C62867"/>
    <w:rsid w:val="00C628A6"/>
    <w:rsid w:val="00C62FFD"/>
    <w:rsid w:val="00C63A13"/>
    <w:rsid w:val="00C63A34"/>
    <w:rsid w:val="00C641FE"/>
    <w:rsid w:val="00C64344"/>
    <w:rsid w:val="00C64469"/>
    <w:rsid w:val="00C6465B"/>
    <w:rsid w:val="00C647FB"/>
    <w:rsid w:val="00C6492E"/>
    <w:rsid w:val="00C64F95"/>
    <w:rsid w:val="00C65108"/>
    <w:rsid w:val="00C6510D"/>
    <w:rsid w:val="00C654A5"/>
    <w:rsid w:val="00C65576"/>
    <w:rsid w:val="00C65837"/>
    <w:rsid w:val="00C65B75"/>
    <w:rsid w:val="00C65CFC"/>
    <w:rsid w:val="00C65D36"/>
    <w:rsid w:val="00C66165"/>
    <w:rsid w:val="00C667C1"/>
    <w:rsid w:val="00C66AC8"/>
    <w:rsid w:val="00C6753B"/>
    <w:rsid w:val="00C70129"/>
    <w:rsid w:val="00C7027C"/>
    <w:rsid w:val="00C70434"/>
    <w:rsid w:val="00C7060A"/>
    <w:rsid w:val="00C7093A"/>
    <w:rsid w:val="00C70C59"/>
    <w:rsid w:val="00C711FA"/>
    <w:rsid w:val="00C7151A"/>
    <w:rsid w:val="00C71614"/>
    <w:rsid w:val="00C71724"/>
    <w:rsid w:val="00C717E3"/>
    <w:rsid w:val="00C71AE4"/>
    <w:rsid w:val="00C71D95"/>
    <w:rsid w:val="00C71F60"/>
    <w:rsid w:val="00C72241"/>
    <w:rsid w:val="00C72598"/>
    <w:rsid w:val="00C726AA"/>
    <w:rsid w:val="00C72B9A"/>
    <w:rsid w:val="00C73862"/>
    <w:rsid w:val="00C739FB"/>
    <w:rsid w:val="00C7453E"/>
    <w:rsid w:val="00C746F7"/>
    <w:rsid w:val="00C74E94"/>
    <w:rsid w:val="00C74FBC"/>
    <w:rsid w:val="00C750C8"/>
    <w:rsid w:val="00C7560F"/>
    <w:rsid w:val="00C76A59"/>
    <w:rsid w:val="00C76C3B"/>
    <w:rsid w:val="00C76E62"/>
    <w:rsid w:val="00C77148"/>
    <w:rsid w:val="00C7733B"/>
    <w:rsid w:val="00C77578"/>
    <w:rsid w:val="00C7764F"/>
    <w:rsid w:val="00C778AA"/>
    <w:rsid w:val="00C77DD2"/>
    <w:rsid w:val="00C80150"/>
    <w:rsid w:val="00C80424"/>
    <w:rsid w:val="00C80A0E"/>
    <w:rsid w:val="00C80B8A"/>
    <w:rsid w:val="00C80B8E"/>
    <w:rsid w:val="00C81A6C"/>
    <w:rsid w:val="00C820C3"/>
    <w:rsid w:val="00C8213F"/>
    <w:rsid w:val="00C822DF"/>
    <w:rsid w:val="00C82D44"/>
    <w:rsid w:val="00C83032"/>
    <w:rsid w:val="00C8303F"/>
    <w:rsid w:val="00C8315E"/>
    <w:rsid w:val="00C83182"/>
    <w:rsid w:val="00C83B7A"/>
    <w:rsid w:val="00C84C1B"/>
    <w:rsid w:val="00C85154"/>
    <w:rsid w:val="00C85780"/>
    <w:rsid w:val="00C85A70"/>
    <w:rsid w:val="00C85BAE"/>
    <w:rsid w:val="00C86021"/>
    <w:rsid w:val="00C86957"/>
    <w:rsid w:val="00C86BA9"/>
    <w:rsid w:val="00C87167"/>
    <w:rsid w:val="00C874CB"/>
    <w:rsid w:val="00C87899"/>
    <w:rsid w:val="00C8797A"/>
    <w:rsid w:val="00C87C97"/>
    <w:rsid w:val="00C900B8"/>
    <w:rsid w:val="00C9012E"/>
    <w:rsid w:val="00C90197"/>
    <w:rsid w:val="00C90C71"/>
    <w:rsid w:val="00C90CF5"/>
    <w:rsid w:val="00C90E78"/>
    <w:rsid w:val="00C90FEB"/>
    <w:rsid w:val="00C91F40"/>
    <w:rsid w:val="00C91FD1"/>
    <w:rsid w:val="00C92914"/>
    <w:rsid w:val="00C92D63"/>
    <w:rsid w:val="00C92DDF"/>
    <w:rsid w:val="00C9314C"/>
    <w:rsid w:val="00C931CF"/>
    <w:rsid w:val="00C935BB"/>
    <w:rsid w:val="00C9369C"/>
    <w:rsid w:val="00C938CF"/>
    <w:rsid w:val="00C94053"/>
    <w:rsid w:val="00C94497"/>
    <w:rsid w:val="00C94649"/>
    <w:rsid w:val="00C94840"/>
    <w:rsid w:val="00C948E5"/>
    <w:rsid w:val="00C949AB"/>
    <w:rsid w:val="00C9565E"/>
    <w:rsid w:val="00C9624D"/>
    <w:rsid w:val="00C96301"/>
    <w:rsid w:val="00C969DA"/>
    <w:rsid w:val="00C96AD7"/>
    <w:rsid w:val="00C974B1"/>
    <w:rsid w:val="00CA0101"/>
    <w:rsid w:val="00CA0357"/>
    <w:rsid w:val="00CA047F"/>
    <w:rsid w:val="00CA0763"/>
    <w:rsid w:val="00CA121F"/>
    <w:rsid w:val="00CA1451"/>
    <w:rsid w:val="00CA1CBF"/>
    <w:rsid w:val="00CA1DD5"/>
    <w:rsid w:val="00CA1EAF"/>
    <w:rsid w:val="00CA1FD1"/>
    <w:rsid w:val="00CA237E"/>
    <w:rsid w:val="00CA243C"/>
    <w:rsid w:val="00CA29A8"/>
    <w:rsid w:val="00CA29C6"/>
    <w:rsid w:val="00CA2C77"/>
    <w:rsid w:val="00CA3397"/>
    <w:rsid w:val="00CA38B8"/>
    <w:rsid w:val="00CA3A18"/>
    <w:rsid w:val="00CA3A90"/>
    <w:rsid w:val="00CA3F7D"/>
    <w:rsid w:val="00CA43B5"/>
    <w:rsid w:val="00CA444F"/>
    <w:rsid w:val="00CA47DB"/>
    <w:rsid w:val="00CA4802"/>
    <w:rsid w:val="00CA483D"/>
    <w:rsid w:val="00CA4ADC"/>
    <w:rsid w:val="00CA4D15"/>
    <w:rsid w:val="00CA5245"/>
    <w:rsid w:val="00CA5438"/>
    <w:rsid w:val="00CA5BED"/>
    <w:rsid w:val="00CA6AA9"/>
    <w:rsid w:val="00CA6EE3"/>
    <w:rsid w:val="00CA71F4"/>
    <w:rsid w:val="00CA7760"/>
    <w:rsid w:val="00CA779B"/>
    <w:rsid w:val="00CA7B09"/>
    <w:rsid w:val="00CA7CE9"/>
    <w:rsid w:val="00CB0072"/>
    <w:rsid w:val="00CB01DA"/>
    <w:rsid w:val="00CB05D1"/>
    <w:rsid w:val="00CB0B03"/>
    <w:rsid w:val="00CB0B08"/>
    <w:rsid w:val="00CB0BCC"/>
    <w:rsid w:val="00CB0BD2"/>
    <w:rsid w:val="00CB12A5"/>
    <w:rsid w:val="00CB15F5"/>
    <w:rsid w:val="00CB1621"/>
    <w:rsid w:val="00CB16F8"/>
    <w:rsid w:val="00CB18EC"/>
    <w:rsid w:val="00CB1AA9"/>
    <w:rsid w:val="00CB1CAC"/>
    <w:rsid w:val="00CB1DC8"/>
    <w:rsid w:val="00CB2092"/>
    <w:rsid w:val="00CB2915"/>
    <w:rsid w:val="00CB2C61"/>
    <w:rsid w:val="00CB2E01"/>
    <w:rsid w:val="00CB2F2A"/>
    <w:rsid w:val="00CB3303"/>
    <w:rsid w:val="00CB348D"/>
    <w:rsid w:val="00CB386C"/>
    <w:rsid w:val="00CB387A"/>
    <w:rsid w:val="00CB3EA8"/>
    <w:rsid w:val="00CB47F9"/>
    <w:rsid w:val="00CB497D"/>
    <w:rsid w:val="00CB5B1A"/>
    <w:rsid w:val="00CB5B6B"/>
    <w:rsid w:val="00CB5C5F"/>
    <w:rsid w:val="00CB5CFA"/>
    <w:rsid w:val="00CB65A7"/>
    <w:rsid w:val="00CB6B22"/>
    <w:rsid w:val="00CB7132"/>
    <w:rsid w:val="00CB7BD6"/>
    <w:rsid w:val="00CB7F45"/>
    <w:rsid w:val="00CB7F5F"/>
    <w:rsid w:val="00CC05C9"/>
    <w:rsid w:val="00CC06D2"/>
    <w:rsid w:val="00CC073C"/>
    <w:rsid w:val="00CC0B7C"/>
    <w:rsid w:val="00CC0DFE"/>
    <w:rsid w:val="00CC1028"/>
    <w:rsid w:val="00CC1B39"/>
    <w:rsid w:val="00CC1BFA"/>
    <w:rsid w:val="00CC1D0F"/>
    <w:rsid w:val="00CC21C0"/>
    <w:rsid w:val="00CC26B0"/>
    <w:rsid w:val="00CC2C5A"/>
    <w:rsid w:val="00CC2E9F"/>
    <w:rsid w:val="00CC301D"/>
    <w:rsid w:val="00CC31AA"/>
    <w:rsid w:val="00CC35EA"/>
    <w:rsid w:val="00CC3746"/>
    <w:rsid w:val="00CC3848"/>
    <w:rsid w:val="00CC3C60"/>
    <w:rsid w:val="00CC4426"/>
    <w:rsid w:val="00CC49EF"/>
    <w:rsid w:val="00CC4DC7"/>
    <w:rsid w:val="00CC4E1C"/>
    <w:rsid w:val="00CC4E79"/>
    <w:rsid w:val="00CC5549"/>
    <w:rsid w:val="00CC5647"/>
    <w:rsid w:val="00CC572C"/>
    <w:rsid w:val="00CC5A39"/>
    <w:rsid w:val="00CC6D5E"/>
    <w:rsid w:val="00CC7A59"/>
    <w:rsid w:val="00CD0200"/>
    <w:rsid w:val="00CD1CD5"/>
    <w:rsid w:val="00CD25D7"/>
    <w:rsid w:val="00CD2642"/>
    <w:rsid w:val="00CD2D9C"/>
    <w:rsid w:val="00CD3B60"/>
    <w:rsid w:val="00CD3ED4"/>
    <w:rsid w:val="00CD3F77"/>
    <w:rsid w:val="00CD41B3"/>
    <w:rsid w:val="00CD4581"/>
    <w:rsid w:val="00CD4713"/>
    <w:rsid w:val="00CD47CB"/>
    <w:rsid w:val="00CD512E"/>
    <w:rsid w:val="00CD51AE"/>
    <w:rsid w:val="00CD52EE"/>
    <w:rsid w:val="00CD533E"/>
    <w:rsid w:val="00CD572C"/>
    <w:rsid w:val="00CD6131"/>
    <w:rsid w:val="00CD6ADC"/>
    <w:rsid w:val="00CD7193"/>
    <w:rsid w:val="00CD760E"/>
    <w:rsid w:val="00CD7E42"/>
    <w:rsid w:val="00CE02CD"/>
    <w:rsid w:val="00CE060B"/>
    <w:rsid w:val="00CE06C4"/>
    <w:rsid w:val="00CE11E4"/>
    <w:rsid w:val="00CE1B34"/>
    <w:rsid w:val="00CE2646"/>
    <w:rsid w:val="00CE2989"/>
    <w:rsid w:val="00CE36C0"/>
    <w:rsid w:val="00CE38C8"/>
    <w:rsid w:val="00CE3B5D"/>
    <w:rsid w:val="00CE46CE"/>
    <w:rsid w:val="00CE4916"/>
    <w:rsid w:val="00CE4E67"/>
    <w:rsid w:val="00CE509E"/>
    <w:rsid w:val="00CE524F"/>
    <w:rsid w:val="00CE5317"/>
    <w:rsid w:val="00CE546E"/>
    <w:rsid w:val="00CE56F9"/>
    <w:rsid w:val="00CE58CC"/>
    <w:rsid w:val="00CE5A49"/>
    <w:rsid w:val="00CE6274"/>
    <w:rsid w:val="00CE6B1E"/>
    <w:rsid w:val="00CE6C5B"/>
    <w:rsid w:val="00CE77B6"/>
    <w:rsid w:val="00CE77D2"/>
    <w:rsid w:val="00CE7D03"/>
    <w:rsid w:val="00CE7D65"/>
    <w:rsid w:val="00CE7DA0"/>
    <w:rsid w:val="00CF046F"/>
    <w:rsid w:val="00CF0678"/>
    <w:rsid w:val="00CF0758"/>
    <w:rsid w:val="00CF1489"/>
    <w:rsid w:val="00CF1EF8"/>
    <w:rsid w:val="00CF22F1"/>
    <w:rsid w:val="00CF2B8D"/>
    <w:rsid w:val="00CF2E76"/>
    <w:rsid w:val="00CF34C9"/>
    <w:rsid w:val="00CF3843"/>
    <w:rsid w:val="00CF3A1B"/>
    <w:rsid w:val="00CF3B9A"/>
    <w:rsid w:val="00CF3F27"/>
    <w:rsid w:val="00CF4117"/>
    <w:rsid w:val="00CF427A"/>
    <w:rsid w:val="00CF456B"/>
    <w:rsid w:val="00CF45E3"/>
    <w:rsid w:val="00CF4B29"/>
    <w:rsid w:val="00CF4FD8"/>
    <w:rsid w:val="00CF538D"/>
    <w:rsid w:val="00CF5598"/>
    <w:rsid w:val="00CF58D1"/>
    <w:rsid w:val="00CF5A22"/>
    <w:rsid w:val="00CF5DDA"/>
    <w:rsid w:val="00CF6483"/>
    <w:rsid w:val="00CF67DC"/>
    <w:rsid w:val="00CF67E1"/>
    <w:rsid w:val="00CF6DF7"/>
    <w:rsid w:val="00CF7B6B"/>
    <w:rsid w:val="00CF7ECA"/>
    <w:rsid w:val="00D000A6"/>
    <w:rsid w:val="00D00CC5"/>
    <w:rsid w:val="00D00E86"/>
    <w:rsid w:val="00D00F79"/>
    <w:rsid w:val="00D012C3"/>
    <w:rsid w:val="00D01A79"/>
    <w:rsid w:val="00D01C03"/>
    <w:rsid w:val="00D0262E"/>
    <w:rsid w:val="00D027AF"/>
    <w:rsid w:val="00D02BA4"/>
    <w:rsid w:val="00D0358A"/>
    <w:rsid w:val="00D03679"/>
    <w:rsid w:val="00D03B79"/>
    <w:rsid w:val="00D03E34"/>
    <w:rsid w:val="00D04127"/>
    <w:rsid w:val="00D04163"/>
    <w:rsid w:val="00D0442B"/>
    <w:rsid w:val="00D04AFF"/>
    <w:rsid w:val="00D04E25"/>
    <w:rsid w:val="00D04E2B"/>
    <w:rsid w:val="00D055A0"/>
    <w:rsid w:val="00D05E3D"/>
    <w:rsid w:val="00D06139"/>
    <w:rsid w:val="00D062EF"/>
    <w:rsid w:val="00D063EA"/>
    <w:rsid w:val="00D06577"/>
    <w:rsid w:val="00D06794"/>
    <w:rsid w:val="00D06843"/>
    <w:rsid w:val="00D06CA5"/>
    <w:rsid w:val="00D070B4"/>
    <w:rsid w:val="00D0716A"/>
    <w:rsid w:val="00D07644"/>
    <w:rsid w:val="00D078F9"/>
    <w:rsid w:val="00D07C01"/>
    <w:rsid w:val="00D07DB4"/>
    <w:rsid w:val="00D101FF"/>
    <w:rsid w:val="00D10611"/>
    <w:rsid w:val="00D10722"/>
    <w:rsid w:val="00D108D0"/>
    <w:rsid w:val="00D10E3B"/>
    <w:rsid w:val="00D110BD"/>
    <w:rsid w:val="00D11C4C"/>
    <w:rsid w:val="00D12331"/>
    <w:rsid w:val="00D1244C"/>
    <w:rsid w:val="00D12A87"/>
    <w:rsid w:val="00D1330A"/>
    <w:rsid w:val="00D13416"/>
    <w:rsid w:val="00D13675"/>
    <w:rsid w:val="00D13A0F"/>
    <w:rsid w:val="00D13C98"/>
    <w:rsid w:val="00D141E1"/>
    <w:rsid w:val="00D14582"/>
    <w:rsid w:val="00D14851"/>
    <w:rsid w:val="00D14D2E"/>
    <w:rsid w:val="00D15314"/>
    <w:rsid w:val="00D1535E"/>
    <w:rsid w:val="00D158A6"/>
    <w:rsid w:val="00D15B48"/>
    <w:rsid w:val="00D15F4F"/>
    <w:rsid w:val="00D16125"/>
    <w:rsid w:val="00D1647A"/>
    <w:rsid w:val="00D1770E"/>
    <w:rsid w:val="00D17CD7"/>
    <w:rsid w:val="00D17D6C"/>
    <w:rsid w:val="00D17DE0"/>
    <w:rsid w:val="00D20255"/>
    <w:rsid w:val="00D20938"/>
    <w:rsid w:val="00D20B6B"/>
    <w:rsid w:val="00D20C11"/>
    <w:rsid w:val="00D2110C"/>
    <w:rsid w:val="00D213A4"/>
    <w:rsid w:val="00D2155B"/>
    <w:rsid w:val="00D21730"/>
    <w:rsid w:val="00D22490"/>
    <w:rsid w:val="00D22BCF"/>
    <w:rsid w:val="00D239AF"/>
    <w:rsid w:val="00D23A89"/>
    <w:rsid w:val="00D23D11"/>
    <w:rsid w:val="00D23E03"/>
    <w:rsid w:val="00D23FDF"/>
    <w:rsid w:val="00D2404F"/>
    <w:rsid w:val="00D244B6"/>
    <w:rsid w:val="00D24B8C"/>
    <w:rsid w:val="00D24BB0"/>
    <w:rsid w:val="00D2578C"/>
    <w:rsid w:val="00D25E6C"/>
    <w:rsid w:val="00D26E76"/>
    <w:rsid w:val="00D2715F"/>
    <w:rsid w:val="00D2754D"/>
    <w:rsid w:val="00D275EE"/>
    <w:rsid w:val="00D27717"/>
    <w:rsid w:val="00D27725"/>
    <w:rsid w:val="00D27B27"/>
    <w:rsid w:val="00D303D2"/>
    <w:rsid w:val="00D30A0A"/>
    <w:rsid w:val="00D30BCC"/>
    <w:rsid w:val="00D30D5B"/>
    <w:rsid w:val="00D30DD9"/>
    <w:rsid w:val="00D3234D"/>
    <w:rsid w:val="00D326BE"/>
    <w:rsid w:val="00D32B4E"/>
    <w:rsid w:val="00D32E17"/>
    <w:rsid w:val="00D32EA9"/>
    <w:rsid w:val="00D33636"/>
    <w:rsid w:val="00D3391F"/>
    <w:rsid w:val="00D33B2D"/>
    <w:rsid w:val="00D33BE9"/>
    <w:rsid w:val="00D33F93"/>
    <w:rsid w:val="00D34F7C"/>
    <w:rsid w:val="00D3543B"/>
    <w:rsid w:val="00D357FF"/>
    <w:rsid w:val="00D35E76"/>
    <w:rsid w:val="00D36628"/>
    <w:rsid w:val="00D36FC3"/>
    <w:rsid w:val="00D36FF9"/>
    <w:rsid w:val="00D37176"/>
    <w:rsid w:val="00D3737D"/>
    <w:rsid w:val="00D37389"/>
    <w:rsid w:val="00D37662"/>
    <w:rsid w:val="00D37879"/>
    <w:rsid w:val="00D37DD2"/>
    <w:rsid w:val="00D40463"/>
    <w:rsid w:val="00D404BA"/>
    <w:rsid w:val="00D40D4B"/>
    <w:rsid w:val="00D40E48"/>
    <w:rsid w:val="00D40F78"/>
    <w:rsid w:val="00D420C4"/>
    <w:rsid w:val="00D424C7"/>
    <w:rsid w:val="00D425E9"/>
    <w:rsid w:val="00D4274A"/>
    <w:rsid w:val="00D428B1"/>
    <w:rsid w:val="00D428C5"/>
    <w:rsid w:val="00D43250"/>
    <w:rsid w:val="00D43341"/>
    <w:rsid w:val="00D43394"/>
    <w:rsid w:val="00D43B2A"/>
    <w:rsid w:val="00D43CD7"/>
    <w:rsid w:val="00D43CF1"/>
    <w:rsid w:val="00D43D83"/>
    <w:rsid w:val="00D4452E"/>
    <w:rsid w:val="00D448C6"/>
    <w:rsid w:val="00D44BE8"/>
    <w:rsid w:val="00D452B0"/>
    <w:rsid w:val="00D45BBA"/>
    <w:rsid w:val="00D46E48"/>
    <w:rsid w:val="00D46F58"/>
    <w:rsid w:val="00D47561"/>
    <w:rsid w:val="00D47575"/>
    <w:rsid w:val="00D47679"/>
    <w:rsid w:val="00D476B1"/>
    <w:rsid w:val="00D47E0B"/>
    <w:rsid w:val="00D50AD5"/>
    <w:rsid w:val="00D50D6D"/>
    <w:rsid w:val="00D51038"/>
    <w:rsid w:val="00D510DF"/>
    <w:rsid w:val="00D51482"/>
    <w:rsid w:val="00D514F8"/>
    <w:rsid w:val="00D51ECD"/>
    <w:rsid w:val="00D52435"/>
    <w:rsid w:val="00D5243B"/>
    <w:rsid w:val="00D533EC"/>
    <w:rsid w:val="00D5349E"/>
    <w:rsid w:val="00D5377A"/>
    <w:rsid w:val="00D53BCD"/>
    <w:rsid w:val="00D54E92"/>
    <w:rsid w:val="00D56075"/>
    <w:rsid w:val="00D560F9"/>
    <w:rsid w:val="00D56A95"/>
    <w:rsid w:val="00D56C18"/>
    <w:rsid w:val="00D5702D"/>
    <w:rsid w:val="00D574AA"/>
    <w:rsid w:val="00D57A06"/>
    <w:rsid w:val="00D57A41"/>
    <w:rsid w:val="00D6076E"/>
    <w:rsid w:val="00D60B12"/>
    <w:rsid w:val="00D60B9A"/>
    <w:rsid w:val="00D61431"/>
    <w:rsid w:val="00D6159F"/>
    <w:rsid w:val="00D6166F"/>
    <w:rsid w:val="00D627F5"/>
    <w:rsid w:val="00D62C8B"/>
    <w:rsid w:val="00D62EED"/>
    <w:rsid w:val="00D6370E"/>
    <w:rsid w:val="00D64C19"/>
    <w:rsid w:val="00D651D7"/>
    <w:rsid w:val="00D65B96"/>
    <w:rsid w:val="00D6606A"/>
    <w:rsid w:val="00D666D1"/>
    <w:rsid w:val="00D667D1"/>
    <w:rsid w:val="00D6693C"/>
    <w:rsid w:val="00D66DA3"/>
    <w:rsid w:val="00D66E81"/>
    <w:rsid w:val="00D67084"/>
    <w:rsid w:val="00D670A1"/>
    <w:rsid w:val="00D701B5"/>
    <w:rsid w:val="00D7064A"/>
    <w:rsid w:val="00D70D09"/>
    <w:rsid w:val="00D70F16"/>
    <w:rsid w:val="00D70FB4"/>
    <w:rsid w:val="00D7107D"/>
    <w:rsid w:val="00D71313"/>
    <w:rsid w:val="00D7192C"/>
    <w:rsid w:val="00D71A8C"/>
    <w:rsid w:val="00D72362"/>
    <w:rsid w:val="00D72617"/>
    <w:rsid w:val="00D729AA"/>
    <w:rsid w:val="00D72C87"/>
    <w:rsid w:val="00D72F57"/>
    <w:rsid w:val="00D730F6"/>
    <w:rsid w:val="00D73B98"/>
    <w:rsid w:val="00D73D47"/>
    <w:rsid w:val="00D73FD4"/>
    <w:rsid w:val="00D74F3E"/>
    <w:rsid w:val="00D74FF9"/>
    <w:rsid w:val="00D75121"/>
    <w:rsid w:val="00D752C9"/>
    <w:rsid w:val="00D7535B"/>
    <w:rsid w:val="00D75C42"/>
    <w:rsid w:val="00D75E8A"/>
    <w:rsid w:val="00D75F1F"/>
    <w:rsid w:val="00D75F63"/>
    <w:rsid w:val="00D76051"/>
    <w:rsid w:val="00D76A44"/>
    <w:rsid w:val="00D76B75"/>
    <w:rsid w:val="00D76CE4"/>
    <w:rsid w:val="00D76CFE"/>
    <w:rsid w:val="00D76FE7"/>
    <w:rsid w:val="00D77275"/>
    <w:rsid w:val="00D77309"/>
    <w:rsid w:val="00D77B7A"/>
    <w:rsid w:val="00D77CAF"/>
    <w:rsid w:val="00D806F8"/>
    <w:rsid w:val="00D80C7D"/>
    <w:rsid w:val="00D80EA9"/>
    <w:rsid w:val="00D815EF"/>
    <w:rsid w:val="00D81852"/>
    <w:rsid w:val="00D81949"/>
    <w:rsid w:val="00D819F3"/>
    <w:rsid w:val="00D81B52"/>
    <w:rsid w:val="00D81B6F"/>
    <w:rsid w:val="00D81DD3"/>
    <w:rsid w:val="00D81F26"/>
    <w:rsid w:val="00D82234"/>
    <w:rsid w:val="00D822E2"/>
    <w:rsid w:val="00D826A7"/>
    <w:rsid w:val="00D826C2"/>
    <w:rsid w:val="00D827A9"/>
    <w:rsid w:val="00D82970"/>
    <w:rsid w:val="00D83FB1"/>
    <w:rsid w:val="00D840EA"/>
    <w:rsid w:val="00D843F2"/>
    <w:rsid w:val="00D85849"/>
    <w:rsid w:val="00D85B05"/>
    <w:rsid w:val="00D85E91"/>
    <w:rsid w:val="00D85F43"/>
    <w:rsid w:val="00D86231"/>
    <w:rsid w:val="00D86704"/>
    <w:rsid w:val="00D86715"/>
    <w:rsid w:val="00D86D95"/>
    <w:rsid w:val="00D86F5F"/>
    <w:rsid w:val="00D87A86"/>
    <w:rsid w:val="00D90365"/>
    <w:rsid w:val="00D912AB"/>
    <w:rsid w:val="00D916E8"/>
    <w:rsid w:val="00D91776"/>
    <w:rsid w:val="00D91923"/>
    <w:rsid w:val="00D91C53"/>
    <w:rsid w:val="00D91CE4"/>
    <w:rsid w:val="00D9229C"/>
    <w:rsid w:val="00D92588"/>
    <w:rsid w:val="00D92830"/>
    <w:rsid w:val="00D9285B"/>
    <w:rsid w:val="00D92C15"/>
    <w:rsid w:val="00D92D1B"/>
    <w:rsid w:val="00D92D9D"/>
    <w:rsid w:val="00D92DFD"/>
    <w:rsid w:val="00D93010"/>
    <w:rsid w:val="00D93753"/>
    <w:rsid w:val="00D9397E"/>
    <w:rsid w:val="00D93A87"/>
    <w:rsid w:val="00D93B12"/>
    <w:rsid w:val="00D93C6E"/>
    <w:rsid w:val="00D94044"/>
    <w:rsid w:val="00D94449"/>
    <w:rsid w:val="00D94E57"/>
    <w:rsid w:val="00D95F8A"/>
    <w:rsid w:val="00D96A7E"/>
    <w:rsid w:val="00D96CC9"/>
    <w:rsid w:val="00D96D64"/>
    <w:rsid w:val="00D970AB"/>
    <w:rsid w:val="00D97164"/>
    <w:rsid w:val="00D97206"/>
    <w:rsid w:val="00D97769"/>
    <w:rsid w:val="00D97CAC"/>
    <w:rsid w:val="00DA0B35"/>
    <w:rsid w:val="00DA0B8F"/>
    <w:rsid w:val="00DA0F77"/>
    <w:rsid w:val="00DA0FCE"/>
    <w:rsid w:val="00DA120A"/>
    <w:rsid w:val="00DA1543"/>
    <w:rsid w:val="00DA2273"/>
    <w:rsid w:val="00DA3167"/>
    <w:rsid w:val="00DA374E"/>
    <w:rsid w:val="00DA3B2F"/>
    <w:rsid w:val="00DA3FF3"/>
    <w:rsid w:val="00DA4446"/>
    <w:rsid w:val="00DA4AA2"/>
    <w:rsid w:val="00DA4D2D"/>
    <w:rsid w:val="00DA4DC3"/>
    <w:rsid w:val="00DA4F39"/>
    <w:rsid w:val="00DA514C"/>
    <w:rsid w:val="00DA5918"/>
    <w:rsid w:val="00DA5BD4"/>
    <w:rsid w:val="00DA6D0B"/>
    <w:rsid w:val="00DA6F81"/>
    <w:rsid w:val="00DA7118"/>
    <w:rsid w:val="00DA75B6"/>
    <w:rsid w:val="00DA77A5"/>
    <w:rsid w:val="00DA7B0E"/>
    <w:rsid w:val="00DA7BD3"/>
    <w:rsid w:val="00DA7D25"/>
    <w:rsid w:val="00DB06AF"/>
    <w:rsid w:val="00DB072C"/>
    <w:rsid w:val="00DB0D22"/>
    <w:rsid w:val="00DB0E36"/>
    <w:rsid w:val="00DB10DF"/>
    <w:rsid w:val="00DB2723"/>
    <w:rsid w:val="00DB2BE6"/>
    <w:rsid w:val="00DB2DD1"/>
    <w:rsid w:val="00DB3159"/>
    <w:rsid w:val="00DB3410"/>
    <w:rsid w:val="00DB3799"/>
    <w:rsid w:val="00DB3DBF"/>
    <w:rsid w:val="00DB40D0"/>
    <w:rsid w:val="00DB4135"/>
    <w:rsid w:val="00DB41C9"/>
    <w:rsid w:val="00DB4690"/>
    <w:rsid w:val="00DB484F"/>
    <w:rsid w:val="00DB4FC4"/>
    <w:rsid w:val="00DB51E7"/>
    <w:rsid w:val="00DB54A8"/>
    <w:rsid w:val="00DB5E73"/>
    <w:rsid w:val="00DB63A1"/>
    <w:rsid w:val="00DB6B46"/>
    <w:rsid w:val="00DB7072"/>
    <w:rsid w:val="00DB77A8"/>
    <w:rsid w:val="00DB7A92"/>
    <w:rsid w:val="00DB7CFF"/>
    <w:rsid w:val="00DB7E2F"/>
    <w:rsid w:val="00DB7F67"/>
    <w:rsid w:val="00DC0100"/>
    <w:rsid w:val="00DC04D6"/>
    <w:rsid w:val="00DC04F6"/>
    <w:rsid w:val="00DC0690"/>
    <w:rsid w:val="00DC0A85"/>
    <w:rsid w:val="00DC0B8D"/>
    <w:rsid w:val="00DC0FD6"/>
    <w:rsid w:val="00DC14F0"/>
    <w:rsid w:val="00DC1D65"/>
    <w:rsid w:val="00DC1E68"/>
    <w:rsid w:val="00DC1F53"/>
    <w:rsid w:val="00DC25A7"/>
    <w:rsid w:val="00DC2F07"/>
    <w:rsid w:val="00DC37D2"/>
    <w:rsid w:val="00DC3C57"/>
    <w:rsid w:val="00DC41A6"/>
    <w:rsid w:val="00DC520E"/>
    <w:rsid w:val="00DC542F"/>
    <w:rsid w:val="00DC5501"/>
    <w:rsid w:val="00DC5DE4"/>
    <w:rsid w:val="00DC5E40"/>
    <w:rsid w:val="00DC6436"/>
    <w:rsid w:val="00DC64C4"/>
    <w:rsid w:val="00DC6B5D"/>
    <w:rsid w:val="00DC7154"/>
    <w:rsid w:val="00DC7216"/>
    <w:rsid w:val="00DC7430"/>
    <w:rsid w:val="00DC7741"/>
    <w:rsid w:val="00DC7814"/>
    <w:rsid w:val="00DC7E8A"/>
    <w:rsid w:val="00DD01D9"/>
    <w:rsid w:val="00DD0B30"/>
    <w:rsid w:val="00DD0EF9"/>
    <w:rsid w:val="00DD0F78"/>
    <w:rsid w:val="00DD0FB8"/>
    <w:rsid w:val="00DD11E7"/>
    <w:rsid w:val="00DD12FA"/>
    <w:rsid w:val="00DD132C"/>
    <w:rsid w:val="00DD14A5"/>
    <w:rsid w:val="00DD181C"/>
    <w:rsid w:val="00DD1B73"/>
    <w:rsid w:val="00DD1DCF"/>
    <w:rsid w:val="00DD1EC4"/>
    <w:rsid w:val="00DD25ED"/>
    <w:rsid w:val="00DD265C"/>
    <w:rsid w:val="00DD273C"/>
    <w:rsid w:val="00DD2B6E"/>
    <w:rsid w:val="00DD2F1C"/>
    <w:rsid w:val="00DD2F93"/>
    <w:rsid w:val="00DD3D7A"/>
    <w:rsid w:val="00DD3DD0"/>
    <w:rsid w:val="00DD3F28"/>
    <w:rsid w:val="00DD4284"/>
    <w:rsid w:val="00DD4446"/>
    <w:rsid w:val="00DD4537"/>
    <w:rsid w:val="00DD45CE"/>
    <w:rsid w:val="00DD4834"/>
    <w:rsid w:val="00DD4C0E"/>
    <w:rsid w:val="00DD4E15"/>
    <w:rsid w:val="00DD506C"/>
    <w:rsid w:val="00DD5494"/>
    <w:rsid w:val="00DD59D5"/>
    <w:rsid w:val="00DD5E98"/>
    <w:rsid w:val="00DD6356"/>
    <w:rsid w:val="00DD69BC"/>
    <w:rsid w:val="00DD76D1"/>
    <w:rsid w:val="00DD76FB"/>
    <w:rsid w:val="00DD7790"/>
    <w:rsid w:val="00DE12D8"/>
    <w:rsid w:val="00DE1B29"/>
    <w:rsid w:val="00DE1BF4"/>
    <w:rsid w:val="00DE1E20"/>
    <w:rsid w:val="00DE204A"/>
    <w:rsid w:val="00DE21FB"/>
    <w:rsid w:val="00DE2204"/>
    <w:rsid w:val="00DE22FE"/>
    <w:rsid w:val="00DE2304"/>
    <w:rsid w:val="00DE25AE"/>
    <w:rsid w:val="00DE2CEB"/>
    <w:rsid w:val="00DE3138"/>
    <w:rsid w:val="00DE37F8"/>
    <w:rsid w:val="00DE40D7"/>
    <w:rsid w:val="00DE424F"/>
    <w:rsid w:val="00DE4273"/>
    <w:rsid w:val="00DE4F59"/>
    <w:rsid w:val="00DE4FCB"/>
    <w:rsid w:val="00DE5397"/>
    <w:rsid w:val="00DE53BF"/>
    <w:rsid w:val="00DE57B5"/>
    <w:rsid w:val="00DE5D07"/>
    <w:rsid w:val="00DE6434"/>
    <w:rsid w:val="00DE6630"/>
    <w:rsid w:val="00DE6A25"/>
    <w:rsid w:val="00DE704C"/>
    <w:rsid w:val="00DE72A7"/>
    <w:rsid w:val="00DE7397"/>
    <w:rsid w:val="00DE7832"/>
    <w:rsid w:val="00DE7F43"/>
    <w:rsid w:val="00DF0504"/>
    <w:rsid w:val="00DF090C"/>
    <w:rsid w:val="00DF0E95"/>
    <w:rsid w:val="00DF1763"/>
    <w:rsid w:val="00DF17EC"/>
    <w:rsid w:val="00DF18FC"/>
    <w:rsid w:val="00DF249A"/>
    <w:rsid w:val="00DF3307"/>
    <w:rsid w:val="00DF377C"/>
    <w:rsid w:val="00DF4062"/>
    <w:rsid w:val="00DF40BF"/>
    <w:rsid w:val="00DF4176"/>
    <w:rsid w:val="00DF42A3"/>
    <w:rsid w:val="00DF46BC"/>
    <w:rsid w:val="00DF4836"/>
    <w:rsid w:val="00DF48C9"/>
    <w:rsid w:val="00DF4F45"/>
    <w:rsid w:val="00DF50F6"/>
    <w:rsid w:val="00DF5373"/>
    <w:rsid w:val="00DF5D2B"/>
    <w:rsid w:val="00DF5F04"/>
    <w:rsid w:val="00DF6341"/>
    <w:rsid w:val="00DF64ED"/>
    <w:rsid w:val="00DF6E8E"/>
    <w:rsid w:val="00DF790F"/>
    <w:rsid w:val="00DF7C03"/>
    <w:rsid w:val="00E000C5"/>
    <w:rsid w:val="00E00D17"/>
    <w:rsid w:val="00E00E8E"/>
    <w:rsid w:val="00E01063"/>
    <w:rsid w:val="00E0141C"/>
    <w:rsid w:val="00E01D7E"/>
    <w:rsid w:val="00E022F1"/>
    <w:rsid w:val="00E0249B"/>
    <w:rsid w:val="00E02A70"/>
    <w:rsid w:val="00E02FAA"/>
    <w:rsid w:val="00E035A3"/>
    <w:rsid w:val="00E03CA1"/>
    <w:rsid w:val="00E03EB1"/>
    <w:rsid w:val="00E03FD8"/>
    <w:rsid w:val="00E04415"/>
    <w:rsid w:val="00E04574"/>
    <w:rsid w:val="00E045A2"/>
    <w:rsid w:val="00E054A9"/>
    <w:rsid w:val="00E05630"/>
    <w:rsid w:val="00E0566B"/>
    <w:rsid w:val="00E057B5"/>
    <w:rsid w:val="00E05F90"/>
    <w:rsid w:val="00E0611C"/>
    <w:rsid w:val="00E0694B"/>
    <w:rsid w:val="00E06DBB"/>
    <w:rsid w:val="00E07AB6"/>
    <w:rsid w:val="00E07D7C"/>
    <w:rsid w:val="00E07F38"/>
    <w:rsid w:val="00E07F75"/>
    <w:rsid w:val="00E10149"/>
    <w:rsid w:val="00E10F1D"/>
    <w:rsid w:val="00E11340"/>
    <w:rsid w:val="00E119F3"/>
    <w:rsid w:val="00E11A2E"/>
    <w:rsid w:val="00E11C66"/>
    <w:rsid w:val="00E122A1"/>
    <w:rsid w:val="00E127F7"/>
    <w:rsid w:val="00E12957"/>
    <w:rsid w:val="00E12EEA"/>
    <w:rsid w:val="00E13083"/>
    <w:rsid w:val="00E147FD"/>
    <w:rsid w:val="00E148E9"/>
    <w:rsid w:val="00E14B11"/>
    <w:rsid w:val="00E14D6F"/>
    <w:rsid w:val="00E14E2F"/>
    <w:rsid w:val="00E16372"/>
    <w:rsid w:val="00E163FF"/>
    <w:rsid w:val="00E16685"/>
    <w:rsid w:val="00E16AD8"/>
    <w:rsid w:val="00E16D60"/>
    <w:rsid w:val="00E16F90"/>
    <w:rsid w:val="00E1744D"/>
    <w:rsid w:val="00E17FFA"/>
    <w:rsid w:val="00E20434"/>
    <w:rsid w:val="00E20657"/>
    <w:rsid w:val="00E20B37"/>
    <w:rsid w:val="00E20BCB"/>
    <w:rsid w:val="00E20E4D"/>
    <w:rsid w:val="00E20ED6"/>
    <w:rsid w:val="00E20F0E"/>
    <w:rsid w:val="00E21358"/>
    <w:rsid w:val="00E2138E"/>
    <w:rsid w:val="00E216A0"/>
    <w:rsid w:val="00E21779"/>
    <w:rsid w:val="00E2185D"/>
    <w:rsid w:val="00E21B2B"/>
    <w:rsid w:val="00E21E5D"/>
    <w:rsid w:val="00E22056"/>
    <w:rsid w:val="00E22276"/>
    <w:rsid w:val="00E22356"/>
    <w:rsid w:val="00E2249B"/>
    <w:rsid w:val="00E2263B"/>
    <w:rsid w:val="00E226AB"/>
    <w:rsid w:val="00E226D1"/>
    <w:rsid w:val="00E229CC"/>
    <w:rsid w:val="00E22A0D"/>
    <w:rsid w:val="00E22DBF"/>
    <w:rsid w:val="00E22E77"/>
    <w:rsid w:val="00E23214"/>
    <w:rsid w:val="00E2341A"/>
    <w:rsid w:val="00E2379C"/>
    <w:rsid w:val="00E23EB9"/>
    <w:rsid w:val="00E24364"/>
    <w:rsid w:val="00E244A5"/>
    <w:rsid w:val="00E244F6"/>
    <w:rsid w:val="00E245EE"/>
    <w:rsid w:val="00E24745"/>
    <w:rsid w:val="00E24B83"/>
    <w:rsid w:val="00E253D6"/>
    <w:rsid w:val="00E256CE"/>
    <w:rsid w:val="00E258DB"/>
    <w:rsid w:val="00E25CCE"/>
    <w:rsid w:val="00E25D6D"/>
    <w:rsid w:val="00E260C6"/>
    <w:rsid w:val="00E26DCA"/>
    <w:rsid w:val="00E27076"/>
    <w:rsid w:val="00E2771E"/>
    <w:rsid w:val="00E2799C"/>
    <w:rsid w:val="00E301AD"/>
    <w:rsid w:val="00E30D7F"/>
    <w:rsid w:val="00E30E3C"/>
    <w:rsid w:val="00E30E5D"/>
    <w:rsid w:val="00E310C4"/>
    <w:rsid w:val="00E311EF"/>
    <w:rsid w:val="00E316F6"/>
    <w:rsid w:val="00E31BF9"/>
    <w:rsid w:val="00E31C1A"/>
    <w:rsid w:val="00E32180"/>
    <w:rsid w:val="00E32B47"/>
    <w:rsid w:val="00E32D18"/>
    <w:rsid w:val="00E32DEE"/>
    <w:rsid w:val="00E32F89"/>
    <w:rsid w:val="00E3309C"/>
    <w:rsid w:val="00E33A86"/>
    <w:rsid w:val="00E34167"/>
    <w:rsid w:val="00E34948"/>
    <w:rsid w:val="00E349D6"/>
    <w:rsid w:val="00E34A1A"/>
    <w:rsid w:val="00E34EE4"/>
    <w:rsid w:val="00E35012"/>
    <w:rsid w:val="00E3501F"/>
    <w:rsid w:val="00E3519B"/>
    <w:rsid w:val="00E3574E"/>
    <w:rsid w:val="00E35C9F"/>
    <w:rsid w:val="00E35DF8"/>
    <w:rsid w:val="00E361CB"/>
    <w:rsid w:val="00E36A7E"/>
    <w:rsid w:val="00E36DBD"/>
    <w:rsid w:val="00E3733A"/>
    <w:rsid w:val="00E37569"/>
    <w:rsid w:val="00E37D09"/>
    <w:rsid w:val="00E401B2"/>
    <w:rsid w:val="00E40AEB"/>
    <w:rsid w:val="00E40AF6"/>
    <w:rsid w:val="00E410B0"/>
    <w:rsid w:val="00E410E5"/>
    <w:rsid w:val="00E41E30"/>
    <w:rsid w:val="00E41FC9"/>
    <w:rsid w:val="00E4247C"/>
    <w:rsid w:val="00E42617"/>
    <w:rsid w:val="00E42635"/>
    <w:rsid w:val="00E42BAC"/>
    <w:rsid w:val="00E42C51"/>
    <w:rsid w:val="00E42D56"/>
    <w:rsid w:val="00E42DEB"/>
    <w:rsid w:val="00E42F32"/>
    <w:rsid w:val="00E42F73"/>
    <w:rsid w:val="00E43691"/>
    <w:rsid w:val="00E43701"/>
    <w:rsid w:val="00E43771"/>
    <w:rsid w:val="00E43CEA"/>
    <w:rsid w:val="00E43D70"/>
    <w:rsid w:val="00E44130"/>
    <w:rsid w:val="00E441E0"/>
    <w:rsid w:val="00E446AA"/>
    <w:rsid w:val="00E44B73"/>
    <w:rsid w:val="00E44B7B"/>
    <w:rsid w:val="00E44D1C"/>
    <w:rsid w:val="00E45777"/>
    <w:rsid w:val="00E45858"/>
    <w:rsid w:val="00E45DC3"/>
    <w:rsid w:val="00E45DF3"/>
    <w:rsid w:val="00E460B1"/>
    <w:rsid w:val="00E466F3"/>
    <w:rsid w:val="00E47080"/>
    <w:rsid w:val="00E47B2C"/>
    <w:rsid w:val="00E5010C"/>
    <w:rsid w:val="00E5054E"/>
    <w:rsid w:val="00E50AAF"/>
    <w:rsid w:val="00E50DB5"/>
    <w:rsid w:val="00E51139"/>
    <w:rsid w:val="00E513F6"/>
    <w:rsid w:val="00E51560"/>
    <w:rsid w:val="00E51821"/>
    <w:rsid w:val="00E52812"/>
    <w:rsid w:val="00E53362"/>
    <w:rsid w:val="00E5358D"/>
    <w:rsid w:val="00E53622"/>
    <w:rsid w:val="00E53787"/>
    <w:rsid w:val="00E53F44"/>
    <w:rsid w:val="00E53FC8"/>
    <w:rsid w:val="00E54347"/>
    <w:rsid w:val="00E54C4D"/>
    <w:rsid w:val="00E55119"/>
    <w:rsid w:val="00E5541C"/>
    <w:rsid w:val="00E55424"/>
    <w:rsid w:val="00E55797"/>
    <w:rsid w:val="00E55915"/>
    <w:rsid w:val="00E55AEE"/>
    <w:rsid w:val="00E55BB5"/>
    <w:rsid w:val="00E55D38"/>
    <w:rsid w:val="00E56163"/>
    <w:rsid w:val="00E5651E"/>
    <w:rsid w:val="00E56599"/>
    <w:rsid w:val="00E565A2"/>
    <w:rsid w:val="00E56E56"/>
    <w:rsid w:val="00E57221"/>
    <w:rsid w:val="00E60010"/>
    <w:rsid w:val="00E60F29"/>
    <w:rsid w:val="00E6115F"/>
    <w:rsid w:val="00E61181"/>
    <w:rsid w:val="00E611BA"/>
    <w:rsid w:val="00E611DF"/>
    <w:rsid w:val="00E619E4"/>
    <w:rsid w:val="00E619F8"/>
    <w:rsid w:val="00E61E52"/>
    <w:rsid w:val="00E620B8"/>
    <w:rsid w:val="00E621F9"/>
    <w:rsid w:val="00E622E0"/>
    <w:rsid w:val="00E62ACD"/>
    <w:rsid w:val="00E62DE3"/>
    <w:rsid w:val="00E632EB"/>
    <w:rsid w:val="00E63841"/>
    <w:rsid w:val="00E63B64"/>
    <w:rsid w:val="00E63BB8"/>
    <w:rsid w:val="00E643C6"/>
    <w:rsid w:val="00E643DE"/>
    <w:rsid w:val="00E64E18"/>
    <w:rsid w:val="00E650C7"/>
    <w:rsid w:val="00E650F5"/>
    <w:rsid w:val="00E65226"/>
    <w:rsid w:val="00E65E79"/>
    <w:rsid w:val="00E65F79"/>
    <w:rsid w:val="00E6613B"/>
    <w:rsid w:val="00E665FF"/>
    <w:rsid w:val="00E66B52"/>
    <w:rsid w:val="00E66BA2"/>
    <w:rsid w:val="00E67183"/>
    <w:rsid w:val="00E67416"/>
    <w:rsid w:val="00E67AA6"/>
    <w:rsid w:val="00E71258"/>
    <w:rsid w:val="00E71287"/>
    <w:rsid w:val="00E713C8"/>
    <w:rsid w:val="00E7163B"/>
    <w:rsid w:val="00E717CB"/>
    <w:rsid w:val="00E718B6"/>
    <w:rsid w:val="00E71C3D"/>
    <w:rsid w:val="00E71C52"/>
    <w:rsid w:val="00E71D37"/>
    <w:rsid w:val="00E723BA"/>
    <w:rsid w:val="00E7282F"/>
    <w:rsid w:val="00E734C9"/>
    <w:rsid w:val="00E73581"/>
    <w:rsid w:val="00E73EE7"/>
    <w:rsid w:val="00E74380"/>
    <w:rsid w:val="00E74BC3"/>
    <w:rsid w:val="00E74BD2"/>
    <w:rsid w:val="00E74D2B"/>
    <w:rsid w:val="00E74D8C"/>
    <w:rsid w:val="00E7522D"/>
    <w:rsid w:val="00E75609"/>
    <w:rsid w:val="00E75951"/>
    <w:rsid w:val="00E7596E"/>
    <w:rsid w:val="00E75DE5"/>
    <w:rsid w:val="00E75DEA"/>
    <w:rsid w:val="00E766F9"/>
    <w:rsid w:val="00E7675C"/>
    <w:rsid w:val="00E769A2"/>
    <w:rsid w:val="00E76B0D"/>
    <w:rsid w:val="00E76DBE"/>
    <w:rsid w:val="00E770CF"/>
    <w:rsid w:val="00E77C88"/>
    <w:rsid w:val="00E77D4B"/>
    <w:rsid w:val="00E77DF2"/>
    <w:rsid w:val="00E77FF3"/>
    <w:rsid w:val="00E8074E"/>
    <w:rsid w:val="00E80BBF"/>
    <w:rsid w:val="00E80F72"/>
    <w:rsid w:val="00E8133A"/>
    <w:rsid w:val="00E81387"/>
    <w:rsid w:val="00E81406"/>
    <w:rsid w:val="00E818AB"/>
    <w:rsid w:val="00E81B54"/>
    <w:rsid w:val="00E81DBB"/>
    <w:rsid w:val="00E81E96"/>
    <w:rsid w:val="00E81EE1"/>
    <w:rsid w:val="00E821BE"/>
    <w:rsid w:val="00E82E37"/>
    <w:rsid w:val="00E833F7"/>
    <w:rsid w:val="00E83BDF"/>
    <w:rsid w:val="00E8425C"/>
    <w:rsid w:val="00E85281"/>
    <w:rsid w:val="00E8539F"/>
    <w:rsid w:val="00E857C2"/>
    <w:rsid w:val="00E8600C"/>
    <w:rsid w:val="00E86934"/>
    <w:rsid w:val="00E86CAD"/>
    <w:rsid w:val="00E86FCC"/>
    <w:rsid w:val="00E87174"/>
    <w:rsid w:val="00E871F4"/>
    <w:rsid w:val="00E87A1D"/>
    <w:rsid w:val="00E900F7"/>
    <w:rsid w:val="00E9029C"/>
    <w:rsid w:val="00E9046C"/>
    <w:rsid w:val="00E9094A"/>
    <w:rsid w:val="00E90B50"/>
    <w:rsid w:val="00E90CC5"/>
    <w:rsid w:val="00E9108D"/>
    <w:rsid w:val="00E910AC"/>
    <w:rsid w:val="00E91265"/>
    <w:rsid w:val="00E91599"/>
    <w:rsid w:val="00E915CF"/>
    <w:rsid w:val="00E91BB1"/>
    <w:rsid w:val="00E91D35"/>
    <w:rsid w:val="00E9213A"/>
    <w:rsid w:val="00E9223D"/>
    <w:rsid w:val="00E926A5"/>
    <w:rsid w:val="00E92B1C"/>
    <w:rsid w:val="00E93289"/>
    <w:rsid w:val="00E933F5"/>
    <w:rsid w:val="00E93B56"/>
    <w:rsid w:val="00E94F97"/>
    <w:rsid w:val="00E95307"/>
    <w:rsid w:val="00E954B7"/>
    <w:rsid w:val="00E95D08"/>
    <w:rsid w:val="00E95D8B"/>
    <w:rsid w:val="00E95DA7"/>
    <w:rsid w:val="00E962CC"/>
    <w:rsid w:val="00E969D4"/>
    <w:rsid w:val="00E969FF"/>
    <w:rsid w:val="00E97355"/>
    <w:rsid w:val="00E97A9A"/>
    <w:rsid w:val="00E97EFE"/>
    <w:rsid w:val="00EA063E"/>
    <w:rsid w:val="00EA0811"/>
    <w:rsid w:val="00EA09F6"/>
    <w:rsid w:val="00EA0A67"/>
    <w:rsid w:val="00EA0D52"/>
    <w:rsid w:val="00EA0F11"/>
    <w:rsid w:val="00EA142D"/>
    <w:rsid w:val="00EA14F7"/>
    <w:rsid w:val="00EA17C3"/>
    <w:rsid w:val="00EA1A2E"/>
    <w:rsid w:val="00EA1BED"/>
    <w:rsid w:val="00EA1F45"/>
    <w:rsid w:val="00EA21BA"/>
    <w:rsid w:val="00EA2393"/>
    <w:rsid w:val="00EA250A"/>
    <w:rsid w:val="00EA28CA"/>
    <w:rsid w:val="00EA2CAA"/>
    <w:rsid w:val="00EA3045"/>
    <w:rsid w:val="00EA3502"/>
    <w:rsid w:val="00EA3864"/>
    <w:rsid w:val="00EA3892"/>
    <w:rsid w:val="00EA3B94"/>
    <w:rsid w:val="00EA3C7B"/>
    <w:rsid w:val="00EA40A1"/>
    <w:rsid w:val="00EA4473"/>
    <w:rsid w:val="00EA4F14"/>
    <w:rsid w:val="00EA531D"/>
    <w:rsid w:val="00EA5B43"/>
    <w:rsid w:val="00EA5E91"/>
    <w:rsid w:val="00EA63F4"/>
    <w:rsid w:val="00EA6411"/>
    <w:rsid w:val="00EA64BA"/>
    <w:rsid w:val="00EA6B3C"/>
    <w:rsid w:val="00EA6F04"/>
    <w:rsid w:val="00EA793A"/>
    <w:rsid w:val="00EA7F1C"/>
    <w:rsid w:val="00EB0202"/>
    <w:rsid w:val="00EB15B6"/>
    <w:rsid w:val="00EB190F"/>
    <w:rsid w:val="00EB1AA9"/>
    <w:rsid w:val="00EB25E5"/>
    <w:rsid w:val="00EB29D4"/>
    <w:rsid w:val="00EB2BFF"/>
    <w:rsid w:val="00EB3199"/>
    <w:rsid w:val="00EB323B"/>
    <w:rsid w:val="00EB3736"/>
    <w:rsid w:val="00EB3B93"/>
    <w:rsid w:val="00EB3D06"/>
    <w:rsid w:val="00EB4904"/>
    <w:rsid w:val="00EB4916"/>
    <w:rsid w:val="00EB4C48"/>
    <w:rsid w:val="00EB4F75"/>
    <w:rsid w:val="00EB6470"/>
    <w:rsid w:val="00EB650C"/>
    <w:rsid w:val="00EB7018"/>
    <w:rsid w:val="00EB743E"/>
    <w:rsid w:val="00EB76F3"/>
    <w:rsid w:val="00EB77B7"/>
    <w:rsid w:val="00EB7D84"/>
    <w:rsid w:val="00EC00C9"/>
    <w:rsid w:val="00EC03E0"/>
    <w:rsid w:val="00EC09F1"/>
    <w:rsid w:val="00EC0DD9"/>
    <w:rsid w:val="00EC24E1"/>
    <w:rsid w:val="00EC2649"/>
    <w:rsid w:val="00EC28C1"/>
    <w:rsid w:val="00EC29D5"/>
    <w:rsid w:val="00EC31ED"/>
    <w:rsid w:val="00EC38D7"/>
    <w:rsid w:val="00EC3FFA"/>
    <w:rsid w:val="00EC4219"/>
    <w:rsid w:val="00EC4571"/>
    <w:rsid w:val="00EC4995"/>
    <w:rsid w:val="00EC4BDC"/>
    <w:rsid w:val="00EC4E93"/>
    <w:rsid w:val="00EC55F0"/>
    <w:rsid w:val="00EC5836"/>
    <w:rsid w:val="00EC5B38"/>
    <w:rsid w:val="00EC6209"/>
    <w:rsid w:val="00EC6323"/>
    <w:rsid w:val="00EC688C"/>
    <w:rsid w:val="00EC69D5"/>
    <w:rsid w:val="00EC6B06"/>
    <w:rsid w:val="00EC709E"/>
    <w:rsid w:val="00EC7BF6"/>
    <w:rsid w:val="00EC7F04"/>
    <w:rsid w:val="00EC7F0E"/>
    <w:rsid w:val="00ED0285"/>
    <w:rsid w:val="00ED09B0"/>
    <w:rsid w:val="00ED0CBB"/>
    <w:rsid w:val="00ED0D92"/>
    <w:rsid w:val="00ED12C0"/>
    <w:rsid w:val="00ED12E3"/>
    <w:rsid w:val="00ED15EA"/>
    <w:rsid w:val="00ED170A"/>
    <w:rsid w:val="00ED18E8"/>
    <w:rsid w:val="00ED1C35"/>
    <w:rsid w:val="00ED1DE0"/>
    <w:rsid w:val="00ED1EB8"/>
    <w:rsid w:val="00ED207F"/>
    <w:rsid w:val="00ED2344"/>
    <w:rsid w:val="00ED255D"/>
    <w:rsid w:val="00ED27FB"/>
    <w:rsid w:val="00ED2BC4"/>
    <w:rsid w:val="00ED2CA3"/>
    <w:rsid w:val="00ED30BB"/>
    <w:rsid w:val="00ED35B5"/>
    <w:rsid w:val="00ED35E9"/>
    <w:rsid w:val="00ED37AE"/>
    <w:rsid w:val="00ED39C8"/>
    <w:rsid w:val="00ED3E0A"/>
    <w:rsid w:val="00ED3E42"/>
    <w:rsid w:val="00ED482D"/>
    <w:rsid w:val="00ED4B04"/>
    <w:rsid w:val="00ED4CA7"/>
    <w:rsid w:val="00ED57EA"/>
    <w:rsid w:val="00ED5BD4"/>
    <w:rsid w:val="00ED5D8C"/>
    <w:rsid w:val="00ED60C4"/>
    <w:rsid w:val="00ED6CD5"/>
    <w:rsid w:val="00ED727B"/>
    <w:rsid w:val="00ED754F"/>
    <w:rsid w:val="00ED75A4"/>
    <w:rsid w:val="00ED77F8"/>
    <w:rsid w:val="00ED7A3C"/>
    <w:rsid w:val="00ED7AE5"/>
    <w:rsid w:val="00ED7E9B"/>
    <w:rsid w:val="00ED7F64"/>
    <w:rsid w:val="00ED7F9E"/>
    <w:rsid w:val="00EE0079"/>
    <w:rsid w:val="00EE0120"/>
    <w:rsid w:val="00EE07D3"/>
    <w:rsid w:val="00EE084F"/>
    <w:rsid w:val="00EE0B29"/>
    <w:rsid w:val="00EE0C88"/>
    <w:rsid w:val="00EE0F91"/>
    <w:rsid w:val="00EE1996"/>
    <w:rsid w:val="00EE1A35"/>
    <w:rsid w:val="00EE1C01"/>
    <w:rsid w:val="00EE1D8F"/>
    <w:rsid w:val="00EE1ECA"/>
    <w:rsid w:val="00EE21C3"/>
    <w:rsid w:val="00EE224F"/>
    <w:rsid w:val="00EE22AF"/>
    <w:rsid w:val="00EE2316"/>
    <w:rsid w:val="00EE24ED"/>
    <w:rsid w:val="00EE2F13"/>
    <w:rsid w:val="00EE2FE2"/>
    <w:rsid w:val="00EE314B"/>
    <w:rsid w:val="00EE369B"/>
    <w:rsid w:val="00EE3862"/>
    <w:rsid w:val="00EE3A54"/>
    <w:rsid w:val="00EE49CA"/>
    <w:rsid w:val="00EE4C24"/>
    <w:rsid w:val="00EE53C5"/>
    <w:rsid w:val="00EE5913"/>
    <w:rsid w:val="00EE5E31"/>
    <w:rsid w:val="00EE6476"/>
    <w:rsid w:val="00EE6B52"/>
    <w:rsid w:val="00EE6C58"/>
    <w:rsid w:val="00EE719B"/>
    <w:rsid w:val="00EE7434"/>
    <w:rsid w:val="00EE772A"/>
    <w:rsid w:val="00EF00C8"/>
    <w:rsid w:val="00EF0171"/>
    <w:rsid w:val="00EF0629"/>
    <w:rsid w:val="00EF085F"/>
    <w:rsid w:val="00EF0AC4"/>
    <w:rsid w:val="00EF0AFE"/>
    <w:rsid w:val="00EF0DB6"/>
    <w:rsid w:val="00EF0EE1"/>
    <w:rsid w:val="00EF12E7"/>
    <w:rsid w:val="00EF1B25"/>
    <w:rsid w:val="00EF1DA0"/>
    <w:rsid w:val="00EF22C1"/>
    <w:rsid w:val="00EF258F"/>
    <w:rsid w:val="00EF2888"/>
    <w:rsid w:val="00EF292A"/>
    <w:rsid w:val="00EF2B8C"/>
    <w:rsid w:val="00EF3B1A"/>
    <w:rsid w:val="00EF4005"/>
    <w:rsid w:val="00EF4316"/>
    <w:rsid w:val="00EF450B"/>
    <w:rsid w:val="00EF4747"/>
    <w:rsid w:val="00EF49ED"/>
    <w:rsid w:val="00EF4BF8"/>
    <w:rsid w:val="00EF518D"/>
    <w:rsid w:val="00EF5E75"/>
    <w:rsid w:val="00EF5F4F"/>
    <w:rsid w:val="00EF6571"/>
    <w:rsid w:val="00EF6C7F"/>
    <w:rsid w:val="00EF7411"/>
    <w:rsid w:val="00EF78E6"/>
    <w:rsid w:val="00EF7B45"/>
    <w:rsid w:val="00EF7E4E"/>
    <w:rsid w:val="00F00303"/>
    <w:rsid w:val="00F0041B"/>
    <w:rsid w:val="00F004C9"/>
    <w:rsid w:val="00F0057D"/>
    <w:rsid w:val="00F00E38"/>
    <w:rsid w:val="00F0125C"/>
    <w:rsid w:val="00F01288"/>
    <w:rsid w:val="00F015CA"/>
    <w:rsid w:val="00F01849"/>
    <w:rsid w:val="00F01F92"/>
    <w:rsid w:val="00F02253"/>
    <w:rsid w:val="00F02857"/>
    <w:rsid w:val="00F02DE9"/>
    <w:rsid w:val="00F03644"/>
    <w:rsid w:val="00F03C2E"/>
    <w:rsid w:val="00F03FC1"/>
    <w:rsid w:val="00F04051"/>
    <w:rsid w:val="00F046CE"/>
    <w:rsid w:val="00F04983"/>
    <w:rsid w:val="00F04A66"/>
    <w:rsid w:val="00F04B4B"/>
    <w:rsid w:val="00F0516C"/>
    <w:rsid w:val="00F05751"/>
    <w:rsid w:val="00F05892"/>
    <w:rsid w:val="00F05DD2"/>
    <w:rsid w:val="00F05EED"/>
    <w:rsid w:val="00F05F3E"/>
    <w:rsid w:val="00F061D7"/>
    <w:rsid w:val="00F0655A"/>
    <w:rsid w:val="00F065B1"/>
    <w:rsid w:val="00F067A2"/>
    <w:rsid w:val="00F069A8"/>
    <w:rsid w:val="00F06A5E"/>
    <w:rsid w:val="00F06C72"/>
    <w:rsid w:val="00F070E0"/>
    <w:rsid w:val="00F072ED"/>
    <w:rsid w:val="00F0747D"/>
    <w:rsid w:val="00F07B9E"/>
    <w:rsid w:val="00F07BD6"/>
    <w:rsid w:val="00F07DB7"/>
    <w:rsid w:val="00F10020"/>
    <w:rsid w:val="00F1025A"/>
    <w:rsid w:val="00F10A60"/>
    <w:rsid w:val="00F10DBB"/>
    <w:rsid w:val="00F1116F"/>
    <w:rsid w:val="00F11786"/>
    <w:rsid w:val="00F123C6"/>
    <w:rsid w:val="00F1263A"/>
    <w:rsid w:val="00F12B8E"/>
    <w:rsid w:val="00F12D21"/>
    <w:rsid w:val="00F12E85"/>
    <w:rsid w:val="00F13028"/>
    <w:rsid w:val="00F13216"/>
    <w:rsid w:val="00F133AB"/>
    <w:rsid w:val="00F139C5"/>
    <w:rsid w:val="00F140AE"/>
    <w:rsid w:val="00F15085"/>
    <w:rsid w:val="00F153BE"/>
    <w:rsid w:val="00F15B77"/>
    <w:rsid w:val="00F168AD"/>
    <w:rsid w:val="00F177DB"/>
    <w:rsid w:val="00F17C0B"/>
    <w:rsid w:val="00F20170"/>
    <w:rsid w:val="00F205D8"/>
    <w:rsid w:val="00F205EE"/>
    <w:rsid w:val="00F20601"/>
    <w:rsid w:val="00F207C7"/>
    <w:rsid w:val="00F20883"/>
    <w:rsid w:val="00F20C66"/>
    <w:rsid w:val="00F20E58"/>
    <w:rsid w:val="00F21236"/>
    <w:rsid w:val="00F217B2"/>
    <w:rsid w:val="00F21C2E"/>
    <w:rsid w:val="00F21F86"/>
    <w:rsid w:val="00F2273E"/>
    <w:rsid w:val="00F22F93"/>
    <w:rsid w:val="00F235E8"/>
    <w:rsid w:val="00F235F1"/>
    <w:rsid w:val="00F2396D"/>
    <w:rsid w:val="00F239DF"/>
    <w:rsid w:val="00F244A5"/>
    <w:rsid w:val="00F2477C"/>
    <w:rsid w:val="00F24837"/>
    <w:rsid w:val="00F24A61"/>
    <w:rsid w:val="00F250F7"/>
    <w:rsid w:val="00F2575F"/>
    <w:rsid w:val="00F25E9E"/>
    <w:rsid w:val="00F25F62"/>
    <w:rsid w:val="00F26177"/>
    <w:rsid w:val="00F26AA1"/>
    <w:rsid w:val="00F26BF2"/>
    <w:rsid w:val="00F26E2C"/>
    <w:rsid w:val="00F2706D"/>
    <w:rsid w:val="00F27565"/>
    <w:rsid w:val="00F27817"/>
    <w:rsid w:val="00F27D98"/>
    <w:rsid w:val="00F30578"/>
    <w:rsid w:val="00F30946"/>
    <w:rsid w:val="00F30C16"/>
    <w:rsid w:val="00F310D4"/>
    <w:rsid w:val="00F31760"/>
    <w:rsid w:val="00F317D4"/>
    <w:rsid w:val="00F31ACA"/>
    <w:rsid w:val="00F31BB5"/>
    <w:rsid w:val="00F31CA2"/>
    <w:rsid w:val="00F31D5A"/>
    <w:rsid w:val="00F32073"/>
    <w:rsid w:val="00F32A4F"/>
    <w:rsid w:val="00F32B2C"/>
    <w:rsid w:val="00F335B1"/>
    <w:rsid w:val="00F338E8"/>
    <w:rsid w:val="00F33975"/>
    <w:rsid w:val="00F33D5C"/>
    <w:rsid w:val="00F33DE9"/>
    <w:rsid w:val="00F343D9"/>
    <w:rsid w:val="00F34A35"/>
    <w:rsid w:val="00F34C05"/>
    <w:rsid w:val="00F352FF"/>
    <w:rsid w:val="00F35CD8"/>
    <w:rsid w:val="00F35E6D"/>
    <w:rsid w:val="00F3619A"/>
    <w:rsid w:val="00F3624E"/>
    <w:rsid w:val="00F363BD"/>
    <w:rsid w:val="00F36994"/>
    <w:rsid w:val="00F3705A"/>
    <w:rsid w:val="00F40730"/>
    <w:rsid w:val="00F40AAA"/>
    <w:rsid w:val="00F40BA7"/>
    <w:rsid w:val="00F40F9D"/>
    <w:rsid w:val="00F41ACD"/>
    <w:rsid w:val="00F41CD0"/>
    <w:rsid w:val="00F41DF9"/>
    <w:rsid w:val="00F425B1"/>
    <w:rsid w:val="00F42D28"/>
    <w:rsid w:val="00F42F49"/>
    <w:rsid w:val="00F432F4"/>
    <w:rsid w:val="00F43641"/>
    <w:rsid w:val="00F43A83"/>
    <w:rsid w:val="00F43C43"/>
    <w:rsid w:val="00F43E78"/>
    <w:rsid w:val="00F441AF"/>
    <w:rsid w:val="00F447C5"/>
    <w:rsid w:val="00F44974"/>
    <w:rsid w:val="00F44F1D"/>
    <w:rsid w:val="00F451CF"/>
    <w:rsid w:val="00F459FF"/>
    <w:rsid w:val="00F45DA6"/>
    <w:rsid w:val="00F46349"/>
    <w:rsid w:val="00F463DA"/>
    <w:rsid w:val="00F463F8"/>
    <w:rsid w:val="00F46CB6"/>
    <w:rsid w:val="00F470FD"/>
    <w:rsid w:val="00F4749A"/>
    <w:rsid w:val="00F4756D"/>
    <w:rsid w:val="00F47DE8"/>
    <w:rsid w:val="00F50526"/>
    <w:rsid w:val="00F5064B"/>
    <w:rsid w:val="00F50BF8"/>
    <w:rsid w:val="00F51661"/>
    <w:rsid w:val="00F5194F"/>
    <w:rsid w:val="00F5210A"/>
    <w:rsid w:val="00F5258F"/>
    <w:rsid w:val="00F52C48"/>
    <w:rsid w:val="00F542C1"/>
    <w:rsid w:val="00F548EE"/>
    <w:rsid w:val="00F550E3"/>
    <w:rsid w:val="00F553E1"/>
    <w:rsid w:val="00F55595"/>
    <w:rsid w:val="00F556E3"/>
    <w:rsid w:val="00F55701"/>
    <w:rsid w:val="00F55C86"/>
    <w:rsid w:val="00F55E73"/>
    <w:rsid w:val="00F55EDA"/>
    <w:rsid w:val="00F55EF4"/>
    <w:rsid w:val="00F55FE8"/>
    <w:rsid w:val="00F562B8"/>
    <w:rsid w:val="00F56467"/>
    <w:rsid w:val="00F56525"/>
    <w:rsid w:val="00F56719"/>
    <w:rsid w:val="00F56C15"/>
    <w:rsid w:val="00F56C80"/>
    <w:rsid w:val="00F57124"/>
    <w:rsid w:val="00F5790C"/>
    <w:rsid w:val="00F57A60"/>
    <w:rsid w:val="00F57C45"/>
    <w:rsid w:val="00F60092"/>
    <w:rsid w:val="00F6035E"/>
    <w:rsid w:val="00F60466"/>
    <w:rsid w:val="00F60944"/>
    <w:rsid w:val="00F60BE2"/>
    <w:rsid w:val="00F6100C"/>
    <w:rsid w:val="00F6146B"/>
    <w:rsid w:val="00F6190C"/>
    <w:rsid w:val="00F61C18"/>
    <w:rsid w:val="00F61D56"/>
    <w:rsid w:val="00F61E50"/>
    <w:rsid w:val="00F62415"/>
    <w:rsid w:val="00F62706"/>
    <w:rsid w:val="00F62BA8"/>
    <w:rsid w:val="00F62DE6"/>
    <w:rsid w:val="00F62E56"/>
    <w:rsid w:val="00F62EB1"/>
    <w:rsid w:val="00F62EC0"/>
    <w:rsid w:val="00F62FF0"/>
    <w:rsid w:val="00F6320D"/>
    <w:rsid w:val="00F63273"/>
    <w:rsid w:val="00F637CE"/>
    <w:rsid w:val="00F63B60"/>
    <w:rsid w:val="00F643D6"/>
    <w:rsid w:val="00F64892"/>
    <w:rsid w:val="00F64C90"/>
    <w:rsid w:val="00F654A2"/>
    <w:rsid w:val="00F6598C"/>
    <w:rsid w:val="00F65F4B"/>
    <w:rsid w:val="00F6610D"/>
    <w:rsid w:val="00F66275"/>
    <w:rsid w:val="00F66324"/>
    <w:rsid w:val="00F66419"/>
    <w:rsid w:val="00F66422"/>
    <w:rsid w:val="00F664A9"/>
    <w:rsid w:val="00F667A4"/>
    <w:rsid w:val="00F6774B"/>
    <w:rsid w:val="00F67A69"/>
    <w:rsid w:val="00F703FF"/>
    <w:rsid w:val="00F704D2"/>
    <w:rsid w:val="00F706E0"/>
    <w:rsid w:val="00F70BFF"/>
    <w:rsid w:val="00F70C9D"/>
    <w:rsid w:val="00F70D7B"/>
    <w:rsid w:val="00F70EC1"/>
    <w:rsid w:val="00F70EC6"/>
    <w:rsid w:val="00F7156E"/>
    <w:rsid w:val="00F7187C"/>
    <w:rsid w:val="00F7191C"/>
    <w:rsid w:val="00F7195C"/>
    <w:rsid w:val="00F71F52"/>
    <w:rsid w:val="00F724AD"/>
    <w:rsid w:val="00F72589"/>
    <w:rsid w:val="00F72A54"/>
    <w:rsid w:val="00F73A89"/>
    <w:rsid w:val="00F73AD1"/>
    <w:rsid w:val="00F73E08"/>
    <w:rsid w:val="00F740A4"/>
    <w:rsid w:val="00F74895"/>
    <w:rsid w:val="00F74CD9"/>
    <w:rsid w:val="00F75873"/>
    <w:rsid w:val="00F75C26"/>
    <w:rsid w:val="00F76146"/>
    <w:rsid w:val="00F76492"/>
    <w:rsid w:val="00F773BA"/>
    <w:rsid w:val="00F801EE"/>
    <w:rsid w:val="00F809C6"/>
    <w:rsid w:val="00F80A7B"/>
    <w:rsid w:val="00F80C24"/>
    <w:rsid w:val="00F80E5D"/>
    <w:rsid w:val="00F81134"/>
    <w:rsid w:val="00F814F7"/>
    <w:rsid w:val="00F81576"/>
    <w:rsid w:val="00F817A8"/>
    <w:rsid w:val="00F81A64"/>
    <w:rsid w:val="00F81A9B"/>
    <w:rsid w:val="00F81BF4"/>
    <w:rsid w:val="00F81D4F"/>
    <w:rsid w:val="00F81E78"/>
    <w:rsid w:val="00F8283D"/>
    <w:rsid w:val="00F82CAA"/>
    <w:rsid w:val="00F82D06"/>
    <w:rsid w:val="00F82D1A"/>
    <w:rsid w:val="00F82FA4"/>
    <w:rsid w:val="00F832CB"/>
    <w:rsid w:val="00F83916"/>
    <w:rsid w:val="00F83ED5"/>
    <w:rsid w:val="00F8410E"/>
    <w:rsid w:val="00F84147"/>
    <w:rsid w:val="00F844B9"/>
    <w:rsid w:val="00F848BD"/>
    <w:rsid w:val="00F849BC"/>
    <w:rsid w:val="00F84C14"/>
    <w:rsid w:val="00F84F05"/>
    <w:rsid w:val="00F851CE"/>
    <w:rsid w:val="00F852A2"/>
    <w:rsid w:val="00F85515"/>
    <w:rsid w:val="00F855AC"/>
    <w:rsid w:val="00F8570D"/>
    <w:rsid w:val="00F85DB8"/>
    <w:rsid w:val="00F8617C"/>
    <w:rsid w:val="00F863AC"/>
    <w:rsid w:val="00F86BEF"/>
    <w:rsid w:val="00F8702F"/>
    <w:rsid w:val="00F8745B"/>
    <w:rsid w:val="00F87B71"/>
    <w:rsid w:val="00F901B3"/>
    <w:rsid w:val="00F91219"/>
    <w:rsid w:val="00F9197B"/>
    <w:rsid w:val="00F91D3C"/>
    <w:rsid w:val="00F91E55"/>
    <w:rsid w:val="00F92017"/>
    <w:rsid w:val="00F921A2"/>
    <w:rsid w:val="00F92444"/>
    <w:rsid w:val="00F9272A"/>
    <w:rsid w:val="00F92E7C"/>
    <w:rsid w:val="00F93895"/>
    <w:rsid w:val="00F9393E"/>
    <w:rsid w:val="00F9426F"/>
    <w:rsid w:val="00F9495D"/>
    <w:rsid w:val="00F95177"/>
    <w:rsid w:val="00F95309"/>
    <w:rsid w:val="00F95331"/>
    <w:rsid w:val="00F9560F"/>
    <w:rsid w:val="00F95988"/>
    <w:rsid w:val="00F96087"/>
    <w:rsid w:val="00F96FD0"/>
    <w:rsid w:val="00F974E1"/>
    <w:rsid w:val="00F97928"/>
    <w:rsid w:val="00F979D1"/>
    <w:rsid w:val="00F97A78"/>
    <w:rsid w:val="00F97EF4"/>
    <w:rsid w:val="00FA034E"/>
    <w:rsid w:val="00FA0A29"/>
    <w:rsid w:val="00FA0B20"/>
    <w:rsid w:val="00FA0BF5"/>
    <w:rsid w:val="00FA10C8"/>
    <w:rsid w:val="00FA1EA5"/>
    <w:rsid w:val="00FA2026"/>
    <w:rsid w:val="00FA24E7"/>
    <w:rsid w:val="00FA2947"/>
    <w:rsid w:val="00FA2EE0"/>
    <w:rsid w:val="00FA393B"/>
    <w:rsid w:val="00FA3C81"/>
    <w:rsid w:val="00FA3F20"/>
    <w:rsid w:val="00FA453A"/>
    <w:rsid w:val="00FA4DC7"/>
    <w:rsid w:val="00FA5049"/>
    <w:rsid w:val="00FA5100"/>
    <w:rsid w:val="00FA5231"/>
    <w:rsid w:val="00FA53C3"/>
    <w:rsid w:val="00FA5EE6"/>
    <w:rsid w:val="00FA5FAE"/>
    <w:rsid w:val="00FA60D6"/>
    <w:rsid w:val="00FA6D61"/>
    <w:rsid w:val="00FA6DD6"/>
    <w:rsid w:val="00FA7320"/>
    <w:rsid w:val="00FA7511"/>
    <w:rsid w:val="00FA753D"/>
    <w:rsid w:val="00FA7924"/>
    <w:rsid w:val="00FA7956"/>
    <w:rsid w:val="00FA7A79"/>
    <w:rsid w:val="00FB0363"/>
    <w:rsid w:val="00FB0824"/>
    <w:rsid w:val="00FB0C08"/>
    <w:rsid w:val="00FB0DE8"/>
    <w:rsid w:val="00FB1A22"/>
    <w:rsid w:val="00FB1E6B"/>
    <w:rsid w:val="00FB2FCB"/>
    <w:rsid w:val="00FB32CA"/>
    <w:rsid w:val="00FB34E7"/>
    <w:rsid w:val="00FB390B"/>
    <w:rsid w:val="00FB39AC"/>
    <w:rsid w:val="00FB3E79"/>
    <w:rsid w:val="00FB4046"/>
    <w:rsid w:val="00FB40F2"/>
    <w:rsid w:val="00FB490D"/>
    <w:rsid w:val="00FB4C9C"/>
    <w:rsid w:val="00FB4E4E"/>
    <w:rsid w:val="00FB531E"/>
    <w:rsid w:val="00FB68EE"/>
    <w:rsid w:val="00FB7B69"/>
    <w:rsid w:val="00FB7C55"/>
    <w:rsid w:val="00FB7E9F"/>
    <w:rsid w:val="00FB7F10"/>
    <w:rsid w:val="00FB7F86"/>
    <w:rsid w:val="00FB7FDB"/>
    <w:rsid w:val="00FC0169"/>
    <w:rsid w:val="00FC05F4"/>
    <w:rsid w:val="00FC0E2B"/>
    <w:rsid w:val="00FC1074"/>
    <w:rsid w:val="00FC1231"/>
    <w:rsid w:val="00FC1488"/>
    <w:rsid w:val="00FC1884"/>
    <w:rsid w:val="00FC199C"/>
    <w:rsid w:val="00FC1DA8"/>
    <w:rsid w:val="00FC2A5E"/>
    <w:rsid w:val="00FC2A8E"/>
    <w:rsid w:val="00FC2AAE"/>
    <w:rsid w:val="00FC2CCD"/>
    <w:rsid w:val="00FC2DA2"/>
    <w:rsid w:val="00FC3537"/>
    <w:rsid w:val="00FC371D"/>
    <w:rsid w:val="00FC3D44"/>
    <w:rsid w:val="00FC3F0C"/>
    <w:rsid w:val="00FC4765"/>
    <w:rsid w:val="00FC48FD"/>
    <w:rsid w:val="00FC4D2D"/>
    <w:rsid w:val="00FC4F1D"/>
    <w:rsid w:val="00FC50ED"/>
    <w:rsid w:val="00FC587A"/>
    <w:rsid w:val="00FC5922"/>
    <w:rsid w:val="00FC5F0B"/>
    <w:rsid w:val="00FC6266"/>
    <w:rsid w:val="00FC6B1D"/>
    <w:rsid w:val="00FC6C08"/>
    <w:rsid w:val="00FC6FDF"/>
    <w:rsid w:val="00FC7093"/>
    <w:rsid w:val="00FC7158"/>
    <w:rsid w:val="00FC753F"/>
    <w:rsid w:val="00FC7CFE"/>
    <w:rsid w:val="00FC7D94"/>
    <w:rsid w:val="00FD029D"/>
    <w:rsid w:val="00FD0847"/>
    <w:rsid w:val="00FD0923"/>
    <w:rsid w:val="00FD0A52"/>
    <w:rsid w:val="00FD0BA7"/>
    <w:rsid w:val="00FD0BE8"/>
    <w:rsid w:val="00FD0DF9"/>
    <w:rsid w:val="00FD0E2B"/>
    <w:rsid w:val="00FD10CD"/>
    <w:rsid w:val="00FD10FF"/>
    <w:rsid w:val="00FD16D6"/>
    <w:rsid w:val="00FD2100"/>
    <w:rsid w:val="00FD2729"/>
    <w:rsid w:val="00FD29F2"/>
    <w:rsid w:val="00FD2D3F"/>
    <w:rsid w:val="00FD3D0E"/>
    <w:rsid w:val="00FD3EB6"/>
    <w:rsid w:val="00FD40B2"/>
    <w:rsid w:val="00FD436C"/>
    <w:rsid w:val="00FD436F"/>
    <w:rsid w:val="00FD446D"/>
    <w:rsid w:val="00FD4F2C"/>
    <w:rsid w:val="00FD57CE"/>
    <w:rsid w:val="00FD6394"/>
    <w:rsid w:val="00FD6ACE"/>
    <w:rsid w:val="00FD6B82"/>
    <w:rsid w:val="00FD6CD4"/>
    <w:rsid w:val="00FD6CF8"/>
    <w:rsid w:val="00FD721E"/>
    <w:rsid w:val="00FD72DA"/>
    <w:rsid w:val="00FD7846"/>
    <w:rsid w:val="00FD79C7"/>
    <w:rsid w:val="00FD7E18"/>
    <w:rsid w:val="00FD7F60"/>
    <w:rsid w:val="00FE0107"/>
    <w:rsid w:val="00FE01F5"/>
    <w:rsid w:val="00FE04E9"/>
    <w:rsid w:val="00FE0C55"/>
    <w:rsid w:val="00FE0E6C"/>
    <w:rsid w:val="00FE11C9"/>
    <w:rsid w:val="00FE14AF"/>
    <w:rsid w:val="00FE1575"/>
    <w:rsid w:val="00FE176D"/>
    <w:rsid w:val="00FE1BA1"/>
    <w:rsid w:val="00FE1CDC"/>
    <w:rsid w:val="00FE2774"/>
    <w:rsid w:val="00FE311F"/>
    <w:rsid w:val="00FE39A9"/>
    <w:rsid w:val="00FE3B82"/>
    <w:rsid w:val="00FE4015"/>
    <w:rsid w:val="00FE44C8"/>
    <w:rsid w:val="00FE4ADA"/>
    <w:rsid w:val="00FE50A7"/>
    <w:rsid w:val="00FE51BB"/>
    <w:rsid w:val="00FE5811"/>
    <w:rsid w:val="00FE5AF0"/>
    <w:rsid w:val="00FE5FCD"/>
    <w:rsid w:val="00FE6036"/>
    <w:rsid w:val="00FE6B4D"/>
    <w:rsid w:val="00FE6D01"/>
    <w:rsid w:val="00FE6D6F"/>
    <w:rsid w:val="00FE70C3"/>
    <w:rsid w:val="00FE7765"/>
    <w:rsid w:val="00FE7ED3"/>
    <w:rsid w:val="00FF009A"/>
    <w:rsid w:val="00FF019C"/>
    <w:rsid w:val="00FF02DD"/>
    <w:rsid w:val="00FF12D0"/>
    <w:rsid w:val="00FF1383"/>
    <w:rsid w:val="00FF1528"/>
    <w:rsid w:val="00FF173A"/>
    <w:rsid w:val="00FF17F9"/>
    <w:rsid w:val="00FF1A8B"/>
    <w:rsid w:val="00FF257D"/>
    <w:rsid w:val="00FF2AD9"/>
    <w:rsid w:val="00FF359F"/>
    <w:rsid w:val="00FF39AC"/>
    <w:rsid w:val="00FF3DCF"/>
    <w:rsid w:val="00FF3FBF"/>
    <w:rsid w:val="00FF492C"/>
    <w:rsid w:val="00FF4A21"/>
    <w:rsid w:val="00FF4C90"/>
    <w:rsid w:val="00FF4FA2"/>
    <w:rsid w:val="00FF5AA3"/>
    <w:rsid w:val="00FF5AD8"/>
    <w:rsid w:val="00FF5D1A"/>
    <w:rsid w:val="00FF607C"/>
    <w:rsid w:val="00FF6580"/>
    <w:rsid w:val="00FF67BF"/>
    <w:rsid w:val="00FF68B3"/>
    <w:rsid w:val="00FF7121"/>
    <w:rsid w:val="00FF72FA"/>
    <w:rsid w:val="00FF7B2D"/>
    <w:rsid w:val="0251C3C5"/>
    <w:rsid w:val="0B168F68"/>
    <w:rsid w:val="0F508BC0"/>
    <w:rsid w:val="124245CB"/>
    <w:rsid w:val="12745472"/>
    <w:rsid w:val="1D4F4A0C"/>
    <w:rsid w:val="1D8C3B2D"/>
    <w:rsid w:val="1DD2DDC5"/>
    <w:rsid w:val="1E6D7C43"/>
    <w:rsid w:val="242EC2D0"/>
    <w:rsid w:val="25C9CB7C"/>
    <w:rsid w:val="27939C83"/>
    <w:rsid w:val="2908027E"/>
    <w:rsid w:val="2BD6911B"/>
    <w:rsid w:val="2CBD04F7"/>
    <w:rsid w:val="316A1F33"/>
    <w:rsid w:val="3208E14B"/>
    <w:rsid w:val="34B15805"/>
    <w:rsid w:val="360E2879"/>
    <w:rsid w:val="39C3C046"/>
    <w:rsid w:val="3CE53732"/>
    <w:rsid w:val="3E5B680A"/>
    <w:rsid w:val="4065E7E7"/>
    <w:rsid w:val="40BB0374"/>
    <w:rsid w:val="43D13D63"/>
    <w:rsid w:val="449610E6"/>
    <w:rsid w:val="44A21A9C"/>
    <w:rsid w:val="453CFFF2"/>
    <w:rsid w:val="4952259E"/>
    <w:rsid w:val="49B8A17F"/>
    <w:rsid w:val="4A6C065D"/>
    <w:rsid w:val="4B43F5EF"/>
    <w:rsid w:val="4B4F9E12"/>
    <w:rsid w:val="4CD786E5"/>
    <w:rsid w:val="4E59849D"/>
    <w:rsid w:val="4F3B323B"/>
    <w:rsid w:val="50BE902E"/>
    <w:rsid w:val="581C6C42"/>
    <w:rsid w:val="5970E2C6"/>
    <w:rsid w:val="5ABBD103"/>
    <w:rsid w:val="61BF1D91"/>
    <w:rsid w:val="6300BCA3"/>
    <w:rsid w:val="63A6F2E1"/>
    <w:rsid w:val="683813A2"/>
    <w:rsid w:val="6ADF868C"/>
    <w:rsid w:val="6D823B9A"/>
    <w:rsid w:val="6DDA8F25"/>
    <w:rsid w:val="6E86F5F8"/>
    <w:rsid w:val="75ACC248"/>
    <w:rsid w:val="7B170D1E"/>
    <w:rsid w:val="7B2B7CAC"/>
    <w:rsid w:val="7BBEB269"/>
    <w:rsid w:val="7BFEEC15"/>
    <w:rsid w:val="7F0A2EDB"/>
    <w:rsid w:val="7F58D7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link w:val="ListParagraphChar"/>
    <w:uiPriority w:val="72"/>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52250D"/>
    <w:pPr>
      <w:keepLines/>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52250D"/>
    <w:rPr>
      <w:rFonts w:ascii="Arial Narrow" w:hAnsi="Arial Narrow" w:cs="Arial"/>
      <w:snapToGrid w:val="0"/>
      <w:sz w:val="18"/>
      <w:szCs w:val="22"/>
    </w:rPr>
  </w:style>
  <w:style w:type="paragraph" w:styleId="FootnoteText">
    <w:name w:val="footnote text"/>
    <w:basedOn w:val="Normal"/>
    <w:link w:val="FootnoteTextChar"/>
    <w:semiHidden/>
    <w:unhideWhenUsed/>
    <w:rsid w:val="00345618"/>
    <w:rPr>
      <w:sz w:val="20"/>
      <w:szCs w:val="20"/>
    </w:rPr>
  </w:style>
  <w:style w:type="character" w:customStyle="1" w:styleId="FootnoteTextChar">
    <w:name w:val="Footnote Text Char"/>
    <w:basedOn w:val="DefaultParagraphFont"/>
    <w:link w:val="FootnoteText"/>
    <w:semiHidden/>
    <w:rsid w:val="00345618"/>
    <w:rPr>
      <w:rFonts w:ascii="Calibri" w:hAnsi="Calibri" w:cs="Arial"/>
    </w:rPr>
  </w:style>
  <w:style w:type="character" w:styleId="FootnoteReference">
    <w:name w:val="footnote reference"/>
    <w:basedOn w:val="DefaultParagraphFont"/>
    <w:semiHidden/>
    <w:unhideWhenUsed/>
    <w:rsid w:val="00345618"/>
    <w:rPr>
      <w:vertAlign w:val="superscript"/>
    </w:rPr>
  </w:style>
  <w:style w:type="character" w:styleId="Mention">
    <w:name w:val="Mention"/>
    <w:basedOn w:val="DefaultParagraphFont"/>
    <w:uiPriority w:val="99"/>
    <w:unhideWhenUsed/>
    <w:rsid w:val="00B56748"/>
    <w:rPr>
      <w:color w:val="2B579A"/>
      <w:shd w:val="clear" w:color="auto" w:fill="E1DFDD"/>
    </w:rPr>
  </w:style>
  <w:style w:type="character" w:styleId="UnresolvedMention">
    <w:name w:val="Unresolved Mention"/>
    <w:basedOn w:val="DefaultParagraphFont"/>
    <w:uiPriority w:val="99"/>
    <w:semiHidden/>
    <w:unhideWhenUsed/>
    <w:rsid w:val="00CA1DD5"/>
    <w:rPr>
      <w:color w:val="605E5C"/>
      <w:shd w:val="clear" w:color="auto" w:fill="E1DFDD"/>
    </w:rPr>
  </w:style>
  <w:style w:type="character" w:customStyle="1" w:styleId="CaptionFootnoteChar">
    <w:name w:val="Caption Footnote Char"/>
    <w:basedOn w:val="DefaultParagraphFont"/>
    <w:link w:val="CaptionFootnote"/>
    <w:rsid w:val="00933D00"/>
    <w:rPr>
      <w:rFonts w:asciiTheme="minorHAnsi" w:hAnsiTheme="minorHAnsi"/>
      <w:kern w:val="28"/>
      <w:sz w:val="16"/>
      <w:szCs w:val="24"/>
      <w:lang w:eastAsia="en-GB"/>
    </w:rPr>
  </w:style>
  <w:style w:type="paragraph" w:customStyle="1" w:styleId="CaptionFootnote">
    <w:name w:val="Caption Footnote"/>
    <w:basedOn w:val="Normal"/>
    <w:link w:val="CaptionFootnoteChar"/>
    <w:rsid w:val="00933D00"/>
    <w:rPr>
      <w:rFonts w:asciiTheme="minorHAnsi" w:hAnsiTheme="minorHAnsi" w:cs="Times New Roman"/>
      <w:kern w:val="28"/>
      <w:sz w:val="16"/>
      <w:lang w:eastAsia="en-GB"/>
    </w:rPr>
  </w:style>
  <w:style w:type="table" w:styleId="TableGridLight">
    <w:name w:val="Grid Table Light"/>
    <w:basedOn w:val="TableNormal"/>
    <w:uiPriority w:val="40"/>
    <w:rsid w:val="00933D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731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BD51D9"/>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BD51D9"/>
  </w:style>
  <w:style w:type="character" w:customStyle="1" w:styleId="eop">
    <w:name w:val="eop"/>
    <w:basedOn w:val="DefaultParagraphFont"/>
    <w:rsid w:val="00BD51D9"/>
  </w:style>
  <w:style w:type="paragraph" w:customStyle="1" w:styleId="COMESmainissuesbullets">
    <w:name w:val="COM ES main issues bullets"/>
    <w:basedOn w:val="Normal"/>
    <w:link w:val="COMESmainissuesbulletsChar"/>
    <w:qFormat/>
    <w:rsid w:val="00F43641"/>
    <w:pPr>
      <w:spacing w:after="120"/>
      <w:ind w:left="360" w:hanging="36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F43641"/>
    <w:rPr>
      <w:rFonts w:asciiTheme="minorHAnsi" w:hAnsiTheme="minorHAnsi" w:cs="Arial"/>
      <w:snapToGrid w:val="0"/>
      <w:sz w:val="24"/>
      <w:szCs w:val="24"/>
    </w:rPr>
  </w:style>
  <w:style w:type="paragraph" w:customStyle="1" w:styleId="PBACESHeading1">
    <w:name w:val="PBAC ES Heading 1"/>
    <w:basedOn w:val="2-SectionHeading"/>
    <w:next w:val="ListParagraph"/>
    <w:uiPriority w:val="1"/>
    <w:qFormat/>
    <w:rsid w:val="00627D3C"/>
    <w:pPr>
      <w:numPr>
        <w:numId w:val="0"/>
      </w:numPr>
      <w:ind w:left="720" w:hanging="720"/>
    </w:pPr>
  </w:style>
  <w:style w:type="table" w:customStyle="1" w:styleId="TableGrid1">
    <w:name w:val="Table Grid1"/>
    <w:basedOn w:val="TableNormal"/>
    <w:next w:val="TableGrid"/>
    <w:uiPriority w:val="59"/>
    <w:rsid w:val="00627D3C"/>
    <w:pPr>
      <w:spacing w:after="200" w:line="276" w:lineRule="auto"/>
    </w:pPr>
    <w:rPr>
      <w:rFonts w:ascii="Calibri" w:eastAsia="MS Mincho" w:hAnsi="Calibri" w:cstheme="minorBidi"/>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439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221322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7851634">
      <w:bodyDiv w:val="1"/>
      <w:marLeft w:val="0"/>
      <w:marRight w:val="0"/>
      <w:marTop w:val="0"/>
      <w:marBottom w:val="0"/>
      <w:divBdr>
        <w:top w:val="none" w:sz="0" w:space="0" w:color="auto"/>
        <w:left w:val="none" w:sz="0" w:space="0" w:color="auto"/>
        <w:bottom w:val="none" w:sz="0" w:space="0" w:color="auto"/>
        <w:right w:val="none" w:sz="0" w:space="0" w:color="auto"/>
      </w:divBdr>
    </w:div>
    <w:div w:id="273556563">
      <w:bodyDiv w:val="1"/>
      <w:marLeft w:val="0"/>
      <w:marRight w:val="0"/>
      <w:marTop w:val="0"/>
      <w:marBottom w:val="0"/>
      <w:divBdr>
        <w:top w:val="none" w:sz="0" w:space="0" w:color="auto"/>
        <w:left w:val="none" w:sz="0" w:space="0" w:color="auto"/>
        <w:bottom w:val="none" w:sz="0" w:space="0" w:color="auto"/>
        <w:right w:val="none" w:sz="0" w:space="0" w:color="auto"/>
      </w:divBdr>
      <w:divsChild>
        <w:div w:id="189103848">
          <w:marLeft w:val="360"/>
          <w:marRight w:val="0"/>
          <w:marTop w:val="200"/>
          <w:marBottom w:val="0"/>
          <w:divBdr>
            <w:top w:val="none" w:sz="0" w:space="0" w:color="auto"/>
            <w:left w:val="none" w:sz="0" w:space="0" w:color="auto"/>
            <w:bottom w:val="none" w:sz="0" w:space="0" w:color="auto"/>
            <w:right w:val="none" w:sz="0" w:space="0" w:color="auto"/>
          </w:divBdr>
        </w:div>
        <w:div w:id="2038038582">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5675448">
      <w:bodyDiv w:val="1"/>
      <w:marLeft w:val="0"/>
      <w:marRight w:val="0"/>
      <w:marTop w:val="0"/>
      <w:marBottom w:val="0"/>
      <w:divBdr>
        <w:top w:val="none" w:sz="0" w:space="0" w:color="auto"/>
        <w:left w:val="none" w:sz="0" w:space="0" w:color="auto"/>
        <w:bottom w:val="none" w:sz="0" w:space="0" w:color="auto"/>
        <w:right w:val="none" w:sz="0" w:space="0" w:color="auto"/>
      </w:divBdr>
    </w:div>
    <w:div w:id="458189057">
      <w:bodyDiv w:val="1"/>
      <w:marLeft w:val="0"/>
      <w:marRight w:val="0"/>
      <w:marTop w:val="0"/>
      <w:marBottom w:val="0"/>
      <w:divBdr>
        <w:top w:val="none" w:sz="0" w:space="0" w:color="auto"/>
        <w:left w:val="none" w:sz="0" w:space="0" w:color="auto"/>
        <w:bottom w:val="none" w:sz="0" w:space="0" w:color="auto"/>
        <w:right w:val="none" w:sz="0" w:space="0" w:color="auto"/>
      </w:divBdr>
    </w:div>
    <w:div w:id="525170633">
      <w:bodyDiv w:val="1"/>
      <w:marLeft w:val="0"/>
      <w:marRight w:val="0"/>
      <w:marTop w:val="0"/>
      <w:marBottom w:val="0"/>
      <w:divBdr>
        <w:top w:val="none" w:sz="0" w:space="0" w:color="auto"/>
        <w:left w:val="none" w:sz="0" w:space="0" w:color="auto"/>
        <w:bottom w:val="none" w:sz="0" w:space="0" w:color="auto"/>
        <w:right w:val="none" w:sz="0" w:space="0" w:color="auto"/>
      </w:divBdr>
    </w:div>
    <w:div w:id="605771545">
      <w:bodyDiv w:val="1"/>
      <w:marLeft w:val="0"/>
      <w:marRight w:val="0"/>
      <w:marTop w:val="0"/>
      <w:marBottom w:val="0"/>
      <w:divBdr>
        <w:top w:val="none" w:sz="0" w:space="0" w:color="auto"/>
        <w:left w:val="none" w:sz="0" w:space="0" w:color="auto"/>
        <w:bottom w:val="none" w:sz="0" w:space="0" w:color="auto"/>
        <w:right w:val="none" w:sz="0" w:space="0" w:color="auto"/>
      </w:divBdr>
    </w:div>
    <w:div w:id="618680010">
      <w:bodyDiv w:val="1"/>
      <w:marLeft w:val="0"/>
      <w:marRight w:val="0"/>
      <w:marTop w:val="0"/>
      <w:marBottom w:val="0"/>
      <w:divBdr>
        <w:top w:val="none" w:sz="0" w:space="0" w:color="auto"/>
        <w:left w:val="none" w:sz="0" w:space="0" w:color="auto"/>
        <w:bottom w:val="none" w:sz="0" w:space="0" w:color="auto"/>
        <w:right w:val="none" w:sz="0" w:space="0" w:color="auto"/>
      </w:divBdr>
    </w:div>
    <w:div w:id="643894266">
      <w:bodyDiv w:val="1"/>
      <w:marLeft w:val="0"/>
      <w:marRight w:val="0"/>
      <w:marTop w:val="0"/>
      <w:marBottom w:val="0"/>
      <w:divBdr>
        <w:top w:val="none" w:sz="0" w:space="0" w:color="auto"/>
        <w:left w:val="none" w:sz="0" w:space="0" w:color="auto"/>
        <w:bottom w:val="none" w:sz="0" w:space="0" w:color="auto"/>
        <w:right w:val="none" w:sz="0" w:space="0" w:color="auto"/>
      </w:divBdr>
    </w:div>
    <w:div w:id="699284902">
      <w:bodyDiv w:val="1"/>
      <w:marLeft w:val="0"/>
      <w:marRight w:val="0"/>
      <w:marTop w:val="0"/>
      <w:marBottom w:val="0"/>
      <w:divBdr>
        <w:top w:val="none" w:sz="0" w:space="0" w:color="auto"/>
        <w:left w:val="none" w:sz="0" w:space="0" w:color="auto"/>
        <w:bottom w:val="none" w:sz="0" w:space="0" w:color="auto"/>
        <w:right w:val="none" w:sz="0" w:space="0" w:color="auto"/>
      </w:divBdr>
    </w:div>
    <w:div w:id="809516553">
      <w:bodyDiv w:val="1"/>
      <w:marLeft w:val="0"/>
      <w:marRight w:val="0"/>
      <w:marTop w:val="0"/>
      <w:marBottom w:val="0"/>
      <w:divBdr>
        <w:top w:val="none" w:sz="0" w:space="0" w:color="auto"/>
        <w:left w:val="none" w:sz="0" w:space="0" w:color="auto"/>
        <w:bottom w:val="none" w:sz="0" w:space="0" w:color="auto"/>
        <w:right w:val="none" w:sz="0" w:space="0" w:color="auto"/>
      </w:divBdr>
    </w:div>
    <w:div w:id="82085496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1845779">
      <w:bodyDiv w:val="1"/>
      <w:marLeft w:val="0"/>
      <w:marRight w:val="0"/>
      <w:marTop w:val="0"/>
      <w:marBottom w:val="0"/>
      <w:divBdr>
        <w:top w:val="none" w:sz="0" w:space="0" w:color="auto"/>
        <w:left w:val="none" w:sz="0" w:space="0" w:color="auto"/>
        <w:bottom w:val="none" w:sz="0" w:space="0" w:color="auto"/>
        <w:right w:val="none" w:sz="0" w:space="0" w:color="auto"/>
      </w:divBdr>
    </w:div>
    <w:div w:id="895550997">
      <w:bodyDiv w:val="1"/>
      <w:marLeft w:val="0"/>
      <w:marRight w:val="0"/>
      <w:marTop w:val="0"/>
      <w:marBottom w:val="0"/>
      <w:divBdr>
        <w:top w:val="none" w:sz="0" w:space="0" w:color="auto"/>
        <w:left w:val="none" w:sz="0" w:space="0" w:color="auto"/>
        <w:bottom w:val="none" w:sz="0" w:space="0" w:color="auto"/>
        <w:right w:val="none" w:sz="0" w:space="0" w:color="auto"/>
      </w:divBdr>
    </w:div>
    <w:div w:id="904412942">
      <w:bodyDiv w:val="1"/>
      <w:marLeft w:val="0"/>
      <w:marRight w:val="0"/>
      <w:marTop w:val="0"/>
      <w:marBottom w:val="0"/>
      <w:divBdr>
        <w:top w:val="none" w:sz="0" w:space="0" w:color="auto"/>
        <w:left w:val="none" w:sz="0" w:space="0" w:color="auto"/>
        <w:bottom w:val="none" w:sz="0" w:space="0" w:color="auto"/>
        <w:right w:val="none" w:sz="0" w:space="0" w:color="auto"/>
      </w:divBdr>
    </w:div>
    <w:div w:id="929509379">
      <w:bodyDiv w:val="1"/>
      <w:marLeft w:val="0"/>
      <w:marRight w:val="0"/>
      <w:marTop w:val="0"/>
      <w:marBottom w:val="0"/>
      <w:divBdr>
        <w:top w:val="none" w:sz="0" w:space="0" w:color="auto"/>
        <w:left w:val="none" w:sz="0" w:space="0" w:color="auto"/>
        <w:bottom w:val="none" w:sz="0" w:space="0" w:color="auto"/>
        <w:right w:val="none" w:sz="0" w:space="0" w:color="auto"/>
      </w:divBdr>
    </w:div>
    <w:div w:id="953445481">
      <w:bodyDiv w:val="1"/>
      <w:marLeft w:val="0"/>
      <w:marRight w:val="0"/>
      <w:marTop w:val="0"/>
      <w:marBottom w:val="0"/>
      <w:divBdr>
        <w:top w:val="none" w:sz="0" w:space="0" w:color="auto"/>
        <w:left w:val="none" w:sz="0" w:space="0" w:color="auto"/>
        <w:bottom w:val="none" w:sz="0" w:space="0" w:color="auto"/>
        <w:right w:val="none" w:sz="0" w:space="0" w:color="auto"/>
      </w:divBdr>
    </w:div>
    <w:div w:id="977145816">
      <w:bodyDiv w:val="1"/>
      <w:marLeft w:val="0"/>
      <w:marRight w:val="0"/>
      <w:marTop w:val="0"/>
      <w:marBottom w:val="0"/>
      <w:divBdr>
        <w:top w:val="none" w:sz="0" w:space="0" w:color="auto"/>
        <w:left w:val="none" w:sz="0" w:space="0" w:color="auto"/>
        <w:bottom w:val="none" w:sz="0" w:space="0" w:color="auto"/>
        <w:right w:val="none" w:sz="0" w:space="0" w:color="auto"/>
      </w:divBdr>
    </w:div>
    <w:div w:id="979186744">
      <w:bodyDiv w:val="1"/>
      <w:marLeft w:val="0"/>
      <w:marRight w:val="0"/>
      <w:marTop w:val="0"/>
      <w:marBottom w:val="0"/>
      <w:divBdr>
        <w:top w:val="none" w:sz="0" w:space="0" w:color="auto"/>
        <w:left w:val="none" w:sz="0" w:space="0" w:color="auto"/>
        <w:bottom w:val="none" w:sz="0" w:space="0" w:color="auto"/>
        <w:right w:val="none" w:sz="0" w:space="0" w:color="auto"/>
      </w:divBdr>
    </w:div>
    <w:div w:id="984243758">
      <w:bodyDiv w:val="1"/>
      <w:marLeft w:val="0"/>
      <w:marRight w:val="0"/>
      <w:marTop w:val="0"/>
      <w:marBottom w:val="0"/>
      <w:divBdr>
        <w:top w:val="none" w:sz="0" w:space="0" w:color="auto"/>
        <w:left w:val="none" w:sz="0" w:space="0" w:color="auto"/>
        <w:bottom w:val="none" w:sz="0" w:space="0" w:color="auto"/>
        <w:right w:val="none" w:sz="0" w:space="0" w:color="auto"/>
      </w:divBdr>
    </w:div>
    <w:div w:id="1010064849">
      <w:bodyDiv w:val="1"/>
      <w:marLeft w:val="0"/>
      <w:marRight w:val="0"/>
      <w:marTop w:val="0"/>
      <w:marBottom w:val="0"/>
      <w:divBdr>
        <w:top w:val="none" w:sz="0" w:space="0" w:color="auto"/>
        <w:left w:val="none" w:sz="0" w:space="0" w:color="auto"/>
        <w:bottom w:val="none" w:sz="0" w:space="0" w:color="auto"/>
        <w:right w:val="none" w:sz="0" w:space="0" w:color="auto"/>
      </w:divBdr>
    </w:div>
    <w:div w:id="1061058624">
      <w:bodyDiv w:val="1"/>
      <w:marLeft w:val="0"/>
      <w:marRight w:val="0"/>
      <w:marTop w:val="0"/>
      <w:marBottom w:val="0"/>
      <w:divBdr>
        <w:top w:val="none" w:sz="0" w:space="0" w:color="auto"/>
        <w:left w:val="none" w:sz="0" w:space="0" w:color="auto"/>
        <w:bottom w:val="none" w:sz="0" w:space="0" w:color="auto"/>
        <w:right w:val="none" w:sz="0" w:space="0" w:color="auto"/>
      </w:divBdr>
    </w:div>
    <w:div w:id="1068188290">
      <w:bodyDiv w:val="1"/>
      <w:marLeft w:val="0"/>
      <w:marRight w:val="0"/>
      <w:marTop w:val="0"/>
      <w:marBottom w:val="0"/>
      <w:divBdr>
        <w:top w:val="none" w:sz="0" w:space="0" w:color="auto"/>
        <w:left w:val="none" w:sz="0" w:space="0" w:color="auto"/>
        <w:bottom w:val="none" w:sz="0" w:space="0" w:color="auto"/>
        <w:right w:val="none" w:sz="0" w:space="0" w:color="auto"/>
      </w:divBdr>
    </w:div>
    <w:div w:id="108842848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652">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2321573">
      <w:bodyDiv w:val="1"/>
      <w:marLeft w:val="0"/>
      <w:marRight w:val="0"/>
      <w:marTop w:val="0"/>
      <w:marBottom w:val="0"/>
      <w:divBdr>
        <w:top w:val="none" w:sz="0" w:space="0" w:color="auto"/>
        <w:left w:val="none" w:sz="0" w:space="0" w:color="auto"/>
        <w:bottom w:val="none" w:sz="0" w:space="0" w:color="auto"/>
        <w:right w:val="none" w:sz="0" w:space="0" w:color="auto"/>
      </w:divBdr>
    </w:div>
    <w:div w:id="1313369072">
      <w:bodyDiv w:val="1"/>
      <w:marLeft w:val="0"/>
      <w:marRight w:val="0"/>
      <w:marTop w:val="0"/>
      <w:marBottom w:val="0"/>
      <w:divBdr>
        <w:top w:val="none" w:sz="0" w:space="0" w:color="auto"/>
        <w:left w:val="none" w:sz="0" w:space="0" w:color="auto"/>
        <w:bottom w:val="none" w:sz="0" w:space="0" w:color="auto"/>
        <w:right w:val="none" w:sz="0" w:space="0" w:color="auto"/>
      </w:divBdr>
    </w:div>
    <w:div w:id="1322192885">
      <w:bodyDiv w:val="1"/>
      <w:marLeft w:val="0"/>
      <w:marRight w:val="0"/>
      <w:marTop w:val="0"/>
      <w:marBottom w:val="0"/>
      <w:divBdr>
        <w:top w:val="none" w:sz="0" w:space="0" w:color="auto"/>
        <w:left w:val="none" w:sz="0" w:space="0" w:color="auto"/>
        <w:bottom w:val="none" w:sz="0" w:space="0" w:color="auto"/>
        <w:right w:val="none" w:sz="0" w:space="0" w:color="auto"/>
      </w:divBdr>
    </w:div>
    <w:div w:id="1330062413">
      <w:bodyDiv w:val="1"/>
      <w:marLeft w:val="0"/>
      <w:marRight w:val="0"/>
      <w:marTop w:val="0"/>
      <w:marBottom w:val="0"/>
      <w:divBdr>
        <w:top w:val="none" w:sz="0" w:space="0" w:color="auto"/>
        <w:left w:val="none" w:sz="0" w:space="0" w:color="auto"/>
        <w:bottom w:val="none" w:sz="0" w:space="0" w:color="auto"/>
        <w:right w:val="none" w:sz="0" w:space="0" w:color="auto"/>
      </w:divBdr>
      <w:divsChild>
        <w:div w:id="1077173864">
          <w:marLeft w:val="240"/>
          <w:marRight w:val="240"/>
          <w:marTop w:val="100"/>
          <w:marBottom w:val="0"/>
          <w:divBdr>
            <w:top w:val="none" w:sz="0" w:space="0" w:color="auto"/>
            <w:left w:val="none" w:sz="0" w:space="0" w:color="auto"/>
            <w:bottom w:val="none" w:sz="0" w:space="0" w:color="auto"/>
            <w:right w:val="none" w:sz="0" w:space="0" w:color="auto"/>
          </w:divBdr>
          <w:divsChild>
            <w:div w:id="2001152131">
              <w:marLeft w:val="0"/>
              <w:marRight w:val="0"/>
              <w:marTop w:val="0"/>
              <w:marBottom w:val="0"/>
              <w:divBdr>
                <w:top w:val="none" w:sz="0" w:space="0" w:color="auto"/>
                <w:left w:val="none" w:sz="0" w:space="0" w:color="auto"/>
                <w:bottom w:val="none" w:sz="0" w:space="0" w:color="auto"/>
                <w:right w:val="none" w:sz="0" w:space="0" w:color="auto"/>
              </w:divBdr>
              <w:divsChild>
                <w:div w:id="1906139099">
                  <w:marLeft w:val="0"/>
                  <w:marRight w:val="180"/>
                  <w:marTop w:val="240"/>
                  <w:marBottom w:val="120"/>
                  <w:divBdr>
                    <w:top w:val="none" w:sz="0" w:space="0" w:color="auto"/>
                    <w:left w:val="none" w:sz="0" w:space="0" w:color="auto"/>
                    <w:bottom w:val="none" w:sz="0" w:space="0" w:color="auto"/>
                    <w:right w:val="none" w:sz="0" w:space="0" w:color="auto"/>
                  </w:divBdr>
                  <w:divsChild>
                    <w:div w:id="1644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38435">
          <w:marLeft w:val="0"/>
          <w:marRight w:val="0"/>
          <w:marTop w:val="0"/>
          <w:marBottom w:val="0"/>
          <w:divBdr>
            <w:top w:val="none" w:sz="0" w:space="0" w:color="auto"/>
            <w:left w:val="none" w:sz="0" w:space="0" w:color="auto"/>
            <w:bottom w:val="none" w:sz="0" w:space="0" w:color="auto"/>
            <w:right w:val="none" w:sz="0" w:space="0" w:color="auto"/>
          </w:divBdr>
          <w:divsChild>
            <w:div w:id="1538080459">
              <w:marLeft w:val="75"/>
              <w:marRight w:val="0"/>
              <w:marTop w:val="30"/>
              <w:marBottom w:val="0"/>
              <w:divBdr>
                <w:top w:val="none" w:sz="0" w:space="0" w:color="auto"/>
                <w:left w:val="none" w:sz="0" w:space="0" w:color="auto"/>
                <w:bottom w:val="none" w:sz="0" w:space="0" w:color="auto"/>
                <w:right w:val="none" w:sz="0" w:space="0" w:color="auto"/>
              </w:divBdr>
              <w:divsChild>
                <w:div w:id="777607290">
                  <w:marLeft w:val="0"/>
                  <w:marRight w:val="0"/>
                  <w:marTop w:val="0"/>
                  <w:marBottom w:val="0"/>
                  <w:divBdr>
                    <w:top w:val="none" w:sz="0" w:space="0" w:color="auto"/>
                    <w:left w:val="none" w:sz="0" w:space="0" w:color="auto"/>
                    <w:bottom w:val="none" w:sz="0" w:space="0" w:color="auto"/>
                    <w:right w:val="none" w:sz="0" w:space="0" w:color="auto"/>
                  </w:divBdr>
                  <w:divsChild>
                    <w:div w:id="483742036">
                      <w:marLeft w:val="0"/>
                      <w:marRight w:val="0"/>
                      <w:marTop w:val="0"/>
                      <w:marBottom w:val="180"/>
                      <w:divBdr>
                        <w:top w:val="none" w:sz="0" w:space="0" w:color="auto"/>
                        <w:left w:val="none" w:sz="0" w:space="0" w:color="auto"/>
                        <w:bottom w:val="none" w:sz="0" w:space="0" w:color="auto"/>
                        <w:right w:val="none" w:sz="0" w:space="0" w:color="auto"/>
                      </w:divBdr>
                      <w:divsChild>
                        <w:div w:id="1348941788">
                          <w:marLeft w:val="0"/>
                          <w:marRight w:val="0"/>
                          <w:marTop w:val="0"/>
                          <w:marBottom w:val="0"/>
                          <w:divBdr>
                            <w:top w:val="none" w:sz="0" w:space="0" w:color="auto"/>
                            <w:left w:val="none" w:sz="0" w:space="0" w:color="auto"/>
                            <w:bottom w:val="none" w:sz="0" w:space="0" w:color="auto"/>
                            <w:right w:val="none" w:sz="0" w:space="0" w:color="auto"/>
                          </w:divBdr>
                        </w:div>
                        <w:div w:id="1644892520">
                          <w:marLeft w:val="0"/>
                          <w:marRight w:val="0"/>
                          <w:marTop w:val="0"/>
                          <w:marBottom w:val="0"/>
                          <w:divBdr>
                            <w:top w:val="none" w:sz="0" w:space="0" w:color="auto"/>
                            <w:left w:val="none" w:sz="0" w:space="0" w:color="auto"/>
                            <w:bottom w:val="none" w:sz="0" w:space="0" w:color="auto"/>
                            <w:right w:val="none" w:sz="0" w:space="0" w:color="auto"/>
                          </w:divBdr>
                          <w:divsChild>
                            <w:div w:id="346563068">
                              <w:marLeft w:val="30"/>
                              <w:marRight w:val="30"/>
                              <w:marTop w:val="0"/>
                              <w:marBottom w:val="0"/>
                              <w:divBdr>
                                <w:top w:val="none" w:sz="0" w:space="0" w:color="auto"/>
                                <w:left w:val="none" w:sz="0" w:space="0" w:color="auto"/>
                                <w:bottom w:val="none" w:sz="0" w:space="0" w:color="auto"/>
                                <w:right w:val="none" w:sz="0" w:space="0" w:color="auto"/>
                              </w:divBdr>
                              <w:divsChild>
                                <w:div w:id="1440761885">
                                  <w:marLeft w:val="0"/>
                                  <w:marRight w:val="0"/>
                                  <w:marTop w:val="0"/>
                                  <w:marBottom w:val="0"/>
                                  <w:divBdr>
                                    <w:top w:val="none" w:sz="0" w:space="0" w:color="auto"/>
                                    <w:left w:val="none" w:sz="0" w:space="0" w:color="auto"/>
                                    <w:bottom w:val="none" w:sz="0" w:space="0" w:color="auto"/>
                                    <w:right w:val="none" w:sz="0" w:space="0" w:color="auto"/>
                                  </w:divBdr>
                                  <w:divsChild>
                                    <w:div w:id="1963030805">
                                      <w:marLeft w:val="0"/>
                                      <w:marRight w:val="0"/>
                                      <w:marTop w:val="0"/>
                                      <w:marBottom w:val="0"/>
                                      <w:divBdr>
                                        <w:top w:val="none" w:sz="0" w:space="0" w:color="auto"/>
                                        <w:left w:val="none" w:sz="0" w:space="0" w:color="auto"/>
                                        <w:bottom w:val="none" w:sz="0" w:space="0" w:color="auto"/>
                                        <w:right w:val="none" w:sz="0" w:space="0" w:color="auto"/>
                                      </w:divBdr>
                                      <w:divsChild>
                                        <w:div w:id="697630836">
                                          <w:marLeft w:val="0"/>
                                          <w:marRight w:val="0"/>
                                          <w:marTop w:val="0"/>
                                          <w:marBottom w:val="480"/>
                                          <w:divBdr>
                                            <w:top w:val="none" w:sz="0" w:space="0" w:color="auto"/>
                                            <w:left w:val="none" w:sz="0" w:space="0" w:color="auto"/>
                                            <w:bottom w:val="none" w:sz="0" w:space="0" w:color="auto"/>
                                            <w:right w:val="none" w:sz="0" w:space="0" w:color="auto"/>
                                          </w:divBdr>
                                          <w:divsChild>
                                            <w:div w:id="981543606">
                                              <w:marLeft w:val="0"/>
                                              <w:marRight w:val="0"/>
                                              <w:marTop w:val="0"/>
                                              <w:marBottom w:val="0"/>
                                              <w:divBdr>
                                                <w:top w:val="none" w:sz="0" w:space="0" w:color="auto"/>
                                                <w:left w:val="none" w:sz="0" w:space="0" w:color="auto"/>
                                                <w:bottom w:val="none" w:sz="0" w:space="0" w:color="auto"/>
                                                <w:right w:val="none" w:sz="0" w:space="0" w:color="auto"/>
                                              </w:divBdr>
                                              <w:divsChild>
                                                <w:div w:id="2074498466">
                                                  <w:marLeft w:val="0"/>
                                                  <w:marRight w:val="0"/>
                                                  <w:marTop w:val="0"/>
                                                  <w:marBottom w:val="0"/>
                                                  <w:divBdr>
                                                    <w:top w:val="none" w:sz="0" w:space="0" w:color="auto"/>
                                                    <w:left w:val="none" w:sz="0" w:space="0" w:color="auto"/>
                                                    <w:bottom w:val="none" w:sz="0" w:space="0" w:color="auto"/>
                                                    <w:right w:val="none" w:sz="0" w:space="0" w:color="auto"/>
                                                  </w:divBdr>
                                                  <w:divsChild>
                                                    <w:div w:id="1450005119">
                                                      <w:marLeft w:val="0"/>
                                                      <w:marRight w:val="0"/>
                                                      <w:marTop w:val="0"/>
                                                      <w:marBottom w:val="0"/>
                                                      <w:divBdr>
                                                        <w:top w:val="none" w:sz="0" w:space="0" w:color="auto"/>
                                                        <w:left w:val="none" w:sz="0" w:space="0" w:color="auto"/>
                                                        <w:bottom w:val="none" w:sz="0" w:space="0" w:color="auto"/>
                                                        <w:right w:val="none" w:sz="0" w:space="0" w:color="auto"/>
                                                      </w:divBdr>
                                                      <w:divsChild>
                                                        <w:div w:id="1977372666">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sChild>
                                                                <w:div w:id="609703209">
                                                                  <w:marLeft w:val="0"/>
                                                                  <w:marRight w:val="0"/>
                                                                  <w:marTop w:val="0"/>
                                                                  <w:marBottom w:val="0"/>
                                                                  <w:divBdr>
                                                                    <w:top w:val="none" w:sz="0" w:space="0" w:color="auto"/>
                                                                    <w:left w:val="none" w:sz="0" w:space="0" w:color="auto"/>
                                                                    <w:bottom w:val="none" w:sz="0" w:space="0" w:color="auto"/>
                                                                    <w:right w:val="none" w:sz="0" w:space="0" w:color="auto"/>
                                                                  </w:divBdr>
                                                                  <w:divsChild>
                                                                    <w:div w:id="2080395808">
                                                                      <w:marLeft w:val="0"/>
                                                                      <w:marRight w:val="0"/>
                                                                      <w:marTop w:val="0"/>
                                                                      <w:marBottom w:val="0"/>
                                                                      <w:divBdr>
                                                                        <w:top w:val="none" w:sz="0" w:space="0" w:color="auto"/>
                                                                        <w:left w:val="none" w:sz="0" w:space="0" w:color="auto"/>
                                                                        <w:bottom w:val="none" w:sz="0" w:space="0" w:color="auto"/>
                                                                        <w:right w:val="none" w:sz="0" w:space="0" w:color="auto"/>
                                                                      </w:divBdr>
                                                                      <w:divsChild>
                                                                        <w:div w:id="10630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5389">
      <w:bodyDiv w:val="1"/>
      <w:marLeft w:val="0"/>
      <w:marRight w:val="0"/>
      <w:marTop w:val="0"/>
      <w:marBottom w:val="0"/>
      <w:divBdr>
        <w:top w:val="none" w:sz="0" w:space="0" w:color="auto"/>
        <w:left w:val="none" w:sz="0" w:space="0" w:color="auto"/>
        <w:bottom w:val="none" w:sz="0" w:space="0" w:color="auto"/>
        <w:right w:val="none" w:sz="0" w:space="0" w:color="auto"/>
      </w:divBdr>
    </w:div>
    <w:div w:id="1447627178">
      <w:bodyDiv w:val="1"/>
      <w:marLeft w:val="0"/>
      <w:marRight w:val="0"/>
      <w:marTop w:val="0"/>
      <w:marBottom w:val="0"/>
      <w:divBdr>
        <w:top w:val="none" w:sz="0" w:space="0" w:color="auto"/>
        <w:left w:val="none" w:sz="0" w:space="0" w:color="auto"/>
        <w:bottom w:val="none" w:sz="0" w:space="0" w:color="auto"/>
        <w:right w:val="none" w:sz="0" w:space="0" w:color="auto"/>
      </w:divBdr>
    </w:div>
    <w:div w:id="1468233052">
      <w:bodyDiv w:val="1"/>
      <w:marLeft w:val="0"/>
      <w:marRight w:val="0"/>
      <w:marTop w:val="0"/>
      <w:marBottom w:val="0"/>
      <w:divBdr>
        <w:top w:val="none" w:sz="0" w:space="0" w:color="auto"/>
        <w:left w:val="none" w:sz="0" w:space="0" w:color="auto"/>
        <w:bottom w:val="none" w:sz="0" w:space="0" w:color="auto"/>
        <w:right w:val="none" w:sz="0" w:space="0" w:color="auto"/>
      </w:divBdr>
    </w:div>
    <w:div w:id="1549873511">
      <w:bodyDiv w:val="1"/>
      <w:marLeft w:val="0"/>
      <w:marRight w:val="0"/>
      <w:marTop w:val="0"/>
      <w:marBottom w:val="0"/>
      <w:divBdr>
        <w:top w:val="none" w:sz="0" w:space="0" w:color="auto"/>
        <w:left w:val="none" w:sz="0" w:space="0" w:color="auto"/>
        <w:bottom w:val="none" w:sz="0" w:space="0" w:color="auto"/>
        <w:right w:val="none" w:sz="0" w:space="0" w:color="auto"/>
      </w:divBdr>
    </w:div>
    <w:div w:id="1594240230">
      <w:bodyDiv w:val="1"/>
      <w:marLeft w:val="0"/>
      <w:marRight w:val="0"/>
      <w:marTop w:val="0"/>
      <w:marBottom w:val="0"/>
      <w:divBdr>
        <w:top w:val="none" w:sz="0" w:space="0" w:color="auto"/>
        <w:left w:val="none" w:sz="0" w:space="0" w:color="auto"/>
        <w:bottom w:val="none" w:sz="0" w:space="0" w:color="auto"/>
        <w:right w:val="none" w:sz="0" w:space="0" w:color="auto"/>
      </w:divBdr>
    </w:div>
    <w:div w:id="1637107251">
      <w:bodyDiv w:val="1"/>
      <w:marLeft w:val="0"/>
      <w:marRight w:val="0"/>
      <w:marTop w:val="0"/>
      <w:marBottom w:val="0"/>
      <w:divBdr>
        <w:top w:val="none" w:sz="0" w:space="0" w:color="auto"/>
        <w:left w:val="none" w:sz="0" w:space="0" w:color="auto"/>
        <w:bottom w:val="none" w:sz="0" w:space="0" w:color="auto"/>
        <w:right w:val="none" w:sz="0" w:space="0" w:color="auto"/>
      </w:divBdr>
    </w:div>
    <w:div w:id="1646352362">
      <w:bodyDiv w:val="1"/>
      <w:marLeft w:val="0"/>
      <w:marRight w:val="0"/>
      <w:marTop w:val="0"/>
      <w:marBottom w:val="0"/>
      <w:divBdr>
        <w:top w:val="none" w:sz="0" w:space="0" w:color="auto"/>
        <w:left w:val="none" w:sz="0" w:space="0" w:color="auto"/>
        <w:bottom w:val="none" w:sz="0" w:space="0" w:color="auto"/>
        <w:right w:val="none" w:sz="0" w:space="0" w:color="auto"/>
      </w:divBdr>
    </w:div>
    <w:div w:id="1657563843">
      <w:bodyDiv w:val="1"/>
      <w:marLeft w:val="0"/>
      <w:marRight w:val="0"/>
      <w:marTop w:val="0"/>
      <w:marBottom w:val="0"/>
      <w:divBdr>
        <w:top w:val="none" w:sz="0" w:space="0" w:color="auto"/>
        <w:left w:val="none" w:sz="0" w:space="0" w:color="auto"/>
        <w:bottom w:val="none" w:sz="0" w:space="0" w:color="auto"/>
        <w:right w:val="none" w:sz="0" w:space="0" w:color="auto"/>
      </w:divBdr>
    </w:div>
    <w:div w:id="1660648576">
      <w:bodyDiv w:val="1"/>
      <w:marLeft w:val="0"/>
      <w:marRight w:val="0"/>
      <w:marTop w:val="0"/>
      <w:marBottom w:val="0"/>
      <w:divBdr>
        <w:top w:val="none" w:sz="0" w:space="0" w:color="auto"/>
        <w:left w:val="none" w:sz="0" w:space="0" w:color="auto"/>
        <w:bottom w:val="none" w:sz="0" w:space="0" w:color="auto"/>
        <w:right w:val="none" w:sz="0" w:space="0" w:color="auto"/>
      </w:divBdr>
    </w:div>
    <w:div w:id="1666279164">
      <w:bodyDiv w:val="1"/>
      <w:marLeft w:val="0"/>
      <w:marRight w:val="0"/>
      <w:marTop w:val="0"/>
      <w:marBottom w:val="0"/>
      <w:divBdr>
        <w:top w:val="none" w:sz="0" w:space="0" w:color="auto"/>
        <w:left w:val="none" w:sz="0" w:space="0" w:color="auto"/>
        <w:bottom w:val="none" w:sz="0" w:space="0" w:color="auto"/>
        <w:right w:val="none" w:sz="0" w:space="0" w:color="auto"/>
      </w:divBdr>
    </w:div>
    <w:div w:id="1704094611">
      <w:bodyDiv w:val="1"/>
      <w:marLeft w:val="0"/>
      <w:marRight w:val="0"/>
      <w:marTop w:val="0"/>
      <w:marBottom w:val="0"/>
      <w:divBdr>
        <w:top w:val="none" w:sz="0" w:space="0" w:color="auto"/>
        <w:left w:val="none" w:sz="0" w:space="0" w:color="auto"/>
        <w:bottom w:val="none" w:sz="0" w:space="0" w:color="auto"/>
        <w:right w:val="none" w:sz="0" w:space="0" w:color="auto"/>
      </w:divBdr>
    </w:div>
    <w:div w:id="1716612312">
      <w:bodyDiv w:val="1"/>
      <w:marLeft w:val="0"/>
      <w:marRight w:val="0"/>
      <w:marTop w:val="0"/>
      <w:marBottom w:val="0"/>
      <w:divBdr>
        <w:top w:val="none" w:sz="0" w:space="0" w:color="auto"/>
        <w:left w:val="none" w:sz="0" w:space="0" w:color="auto"/>
        <w:bottom w:val="none" w:sz="0" w:space="0" w:color="auto"/>
        <w:right w:val="none" w:sz="0" w:space="0" w:color="auto"/>
      </w:divBdr>
    </w:div>
    <w:div w:id="1753894523">
      <w:bodyDiv w:val="1"/>
      <w:marLeft w:val="0"/>
      <w:marRight w:val="0"/>
      <w:marTop w:val="0"/>
      <w:marBottom w:val="0"/>
      <w:divBdr>
        <w:top w:val="none" w:sz="0" w:space="0" w:color="auto"/>
        <w:left w:val="none" w:sz="0" w:space="0" w:color="auto"/>
        <w:bottom w:val="none" w:sz="0" w:space="0" w:color="auto"/>
        <w:right w:val="none" w:sz="0" w:space="0" w:color="auto"/>
      </w:divBdr>
    </w:div>
    <w:div w:id="1819418697">
      <w:bodyDiv w:val="1"/>
      <w:marLeft w:val="0"/>
      <w:marRight w:val="0"/>
      <w:marTop w:val="0"/>
      <w:marBottom w:val="0"/>
      <w:divBdr>
        <w:top w:val="none" w:sz="0" w:space="0" w:color="auto"/>
        <w:left w:val="none" w:sz="0" w:space="0" w:color="auto"/>
        <w:bottom w:val="none" w:sz="0" w:space="0" w:color="auto"/>
        <w:right w:val="none" w:sz="0" w:space="0" w:color="auto"/>
      </w:divBdr>
    </w:div>
    <w:div w:id="1860581345">
      <w:bodyDiv w:val="1"/>
      <w:marLeft w:val="0"/>
      <w:marRight w:val="0"/>
      <w:marTop w:val="0"/>
      <w:marBottom w:val="0"/>
      <w:divBdr>
        <w:top w:val="none" w:sz="0" w:space="0" w:color="auto"/>
        <w:left w:val="none" w:sz="0" w:space="0" w:color="auto"/>
        <w:bottom w:val="none" w:sz="0" w:space="0" w:color="auto"/>
        <w:right w:val="none" w:sz="0" w:space="0" w:color="auto"/>
      </w:divBdr>
    </w:div>
    <w:div w:id="1867131346">
      <w:bodyDiv w:val="1"/>
      <w:marLeft w:val="0"/>
      <w:marRight w:val="0"/>
      <w:marTop w:val="0"/>
      <w:marBottom w:val="0"/>
      <w:divBdr>
        <w:top w:val="none" w:sz="0" w:space="0" w:color="auto"/>
        <w:left w:val="none" w:sz="0" w:space="0" w:color="auto"/>
        <w:bottom w:val="none" w:sz="0" w:space="0" w:color="auto"/>
        <w:right w:val="none" w:sz="0" w:space="0" w:color="auto"/>
      </w:divBdr>
    </w:div>
    <w:div w:id="189977798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3684713">
      <w:bodyDiv w:val="1"/>
      <w:marLeft w:val="0"/>
      <w:marRight w:val="0"/>
      <w:marTop w:val="0"/>
      <w:marBottom w:val="0"/>
      <w:divBdr>
        <w:top w:val="none" w:sz="0" w:space="0" w:color="auto"/>
        <w:left w:val="none" w:sz="0" w:space="0" w:color="auto"/>
        <w:bottom w:val="none" w:sz="0" w:space="0" w:color="auto"/>
        <w:right w:val="none" w:sz="0" w:space="0" w:color="auto"/>
      </w:divBdr>
    </w:div>
    <w:div w:id="1963725598">
      <w:bodyDiv w:val="1"/>
      <w:marLeft w:val="0"/>
      <w:marRight w:val="0"/>
      <w:marTop w:val="0"/>
      <w:marBottom w:val="0"/>
      <w:divBdr>
        <w:top w:val="none" w:sz="0" w:space="0" w:color="auto"/>
        <w:left w:val="none" w:sz="0" w:space="0" w:color="auto"/>
        <w:bottom w:val="none" w:sz="0" w:space="0" w:color="auto"/>
        <w:right w:val="none" w:sz="0" w:space="0" w:color="auto"/>
      </w:divBdr>
    </w:div>
    <w:div w:id="2059041105">
      <w:bodyDiv w:val="1"/>
      <w:marLeft w:val="0"/>
      <w:marRight w:val="0"/>
      <w:marTop w:val="0"/>
      <w:marBottom w:val="0"/>
      <w:divBdr>
        <w:top w:val="none" w:sz="0" w:space="0" w:color="auto"/>
        <w:left w:val="none" w:sz="0" w:space="0" w:color="auto"/>
        <w:bottom w:val="none" w:sz="0" w:space="0" w:color="auto"/>
        <w:right w:val="none" w:sz="0" w:space="0" w:color="auto"/>
      </w:divBdr>
    </w:div>
    <w:div w:id="2072993408">
      <w:bodyDiv w:val="1"/>
      <w:marLeft w:val="0"/>
      <w:marRight w:val="0"/>
      <w:marTop w:val="0"/>
      <w:marBottom w:val="0"/>
      <w:divBdr>
        <w:top w:val="none" w:sz="0" w:space="0" w:color="auto"/>
        <w:left w:val="none" w:sz="0" w:space="0" w:color="auto"/>
        <w:bottom w:val="none" w:sz="0" w:space="0" w:color="auto"/>
        <w:right w:val="none" w:sz="0" w:space="0" w:color="auto"/>
      </w:divBdr>
    </w:div>
    <w:div w:id="2084907846">
      <w:bodyDiv w:val="1"/>
      <w:marLeft w:val="0"/>
      <w:marRight w:val="0"/>
      <w:marTop w:val="0"/>
      <w:marBottom w:val="0"/>
      <w:divBdr>
        <w:top w:val="none" w:sz="0" w:space="0" w:color="auto"/>
        <w:left w:val="none" w:sz="0" w:space="0" w:color="auto"/>
        <w:bottom w:val="none" w:sz="0" w:space="0" w:color="auto"/>
        <w:right w:val="none" w:sz="0" w:space="0" w:color="auto"/>
      </w:divBdr>
    </w:div>
    <w:div w:id="2111505133">
      <w:bodyDiv w:val="1"/>
      <w:marLeft w:val="0"/>
      <w:marRight w:val="0"/>
      <w:marTop w:val="0"/>
      <w:marBottom w:val="0"/>
      <w:divBdr>
        <w:top w:val="none" w:sz="0" w:space="0" w:color="auto"/>
        <w:left w:val="none" w:sz="0" w:space="0" w:color="auto"/>
        <w:bottom w:val="none" w:sz="0" w:space="0" w:color="auto"/>
        <w:right w:val="none" w:sz="0" w:space="0" w:color="auto"/>
      </w:divBdr>
    </w:div>
    <w:div w:id="21343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linicaltrials.gov/study/NCT02578680?term=KEYNOTE189&amp;rank=5&amp;tab=result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vlcr.org.au/wpcontent/uploads/2018/05/VLCR2022AnnualReport.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ncerallianceqld.health.qld.gov.au/reports/lung20122022websitelungreport2012202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clinicaltrials.gov/study/NCT0133663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36/esmoopen2019000491%2010.1136/esmoopen2019000491" TargetMode="External"/><Relationship Id="rId2" Type="http://schemas.openxmlformats.org/officeDocument/2006/relationships/hyperlink" Target="https://doi.org/10.1080/17512433.2019.1570847" TargetMode="External"/><Relationship Id="rId1" Type="http://schemas.openxmlformats.org/officeDocument/2006/relationships/hyperlink" Target="https://doi.org/10.1016/s14702045(18)301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Gan18</b:Tag>
    <b:SourceType>JournalArticle</b:SourceType>
    <b:Guid>{ED2984AD-6A0A-40C7-AA17-A9F784BA64BC}</b:Guid>
    <b:Title>Pembrolizumab plus Chemotherapy in Metastatic Non-Small-Cell Lung Cancer</b:Title>
    <b:Year>2018</b:Year>
    <b:JournalName>NEJM</b:JournalName>
    <b:Pages>378(22):2078–92</b:Pages>
    <b:Author>
      <b:Author>
        <b:NameList>
          <b:Person>
            <b:Last>Gandhi</b:Last>
            <b:First>L</b:First>
          </b:Person>
          <b:Person>
            <b:Last>Rodriguez-Abreu</b:Last>
            <b:First>D</b:First>
          </b:Person>
          <b:Person>
            <b:Last>Gadgeel</b:Last>
            <b:First>S</b:First>
          </b:Person>
          <b:Person>
            <b:Last>Esteban</b:Last>
            <b:First>E</b:First>
          </b:Person>
          <b:Person>
            <b:Last>Felip</b:Last>
            <b:First>E</b:First>
          </b:Person>
          <b:Person>
            <b:Last>et al</b:Last>
          </b:Person>
        </b:NameList>
      </b:Author>
    </b:Author>
    <b:RefOrder>82</b:RefOrder>
  </b:Source>
  <b:Source>
    <b:Tag>Pla171</b:Tag>
    <b:SourceType>JournalArticle</b:SourceType>
    <b:Guid>{67A1B970-C92F-4B7D-8C33-A831AA9D2650}</b:Guid>
    <b:Title>Dabrafenib plus trametinib in patients with previously untreated BRAFV600E-mutant metastatic non-small-cell lung cancer: an open-label, phase 2 trial</b:Title>
    <b:JournalName>Lancet Oncol</b:JournalName>
    <b:Year>2017</b:Year>
    <b:Pages>18(10):1307-1316</b:Pages>
    <b:Author>
      <b:Author>
        <b:NameList>
          <b:Person>
            <b:Last>Planchard</b:Last>
            <b:First>D</b:First>
          </b:Person>
          <b:Person>
            <b:Last>Smit</b:Last>
            <b:Middle>F</b:Middle>
            <b:First>E</b:First>
          </b:Person>
          <b:Person>
            <b:Last>Groen</b:Last>
            <b:Middle>JM</b:Middle>
            <b:First>H</b:First>
          </b:Person>
          <b:Person>
            <b:Last>Mazieres</b:Last>
            <b:First>J</b:First>
          </b:Person>
          <b:Person>
            <b:Last>Besse</b:Last>
            <b:First>B</b:First>
          </b:Person>
          <b:Person>
            <b:Last>et al</b:Last>
          </b:Person>
        </b:NameList>
      </b:Author>
    </b:Author>
    <b:RefOrder>85</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82199-84DD-4F97-966C-848BE4906E93}">
  <ds:schemaRefs>
    <ds:schemaRef ds:uri="http://schemas.openxmlformats.org/officeDocument/2006/bibliography"/>
  </ds:schemaRefs>
</ds:datastoreItem>
</file>

<file path=customXml/itemProps2.xml><?xml version="1.0" encoding="utf-8"?>
<ds:datastoreItem xmlns:ds="http://schemas.openxmlformats.org/officeDocument/2006/customXml" ds:itemID="{600D94E3-2B7D-468B-A28A-A199859E45E2}">
  <ds:schemaRefs>
    <ds:schemaRef ds:uri="http://schemas.microsoft.com/sharepoint/v3/contenttype/forms"/>
  </ds:schemaRefs>
</ds:datastoreItem>
</file>

<file path=customXml/itemProps3.xml><?xml version="1.0" encoding="utf-8"?>
<ds:datastoreItem xmlns:ds="http://schemas.openxmlformats.org/officeDocument/2006/customXml" ds:itemID="{E81E0E27-F779-4F4E-8EBC-470DF5D84AA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29DF8CA2-E3AC-425B-9427-2C3B4586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14673</Words>
  <Characters>83641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98118</CharactersWithSpaces>
  <SharedDoc>false</SharedDoc>
  <HLinks>
    <vt:vector size="42" baseType="variant">
      <vt:variant>
        <vt:i4>2293866</vt:i4>
      </vt:variant>
      <vt:variant>
        <vt:i4>165</vt:i4>
      </vt:variant>
      <vt:variant>
        <vt:i4>0</vt:i4>
      </vt:variant>
      <vt:variant>
        <vt:i4>5</vt:i4>
      </vt:variant>
      <vt:variant>
        <vt:lpwstr>https://vlcr.org.au/wpcontent/uploads/2018/05/VLCR2022AnnualReport.pdf</vt:lpwstr>
      </vt:variant>
      <vt:variant>
        <vt:lpwstr/>
      </vt:variant>
      <vt:variant>
        <vt:i4>2818165</vt:i4>
      </vt:variant>
      <vt:variant>
        <vt:i4>162</vt:i4>
      </vt:variant>
      <vt:variant>
        <vt:i4>0</vt:i4>
      </vt:variant>
      <vt:variant>
        <vt:i4>5</vt:i4>
      </vt:variant>
      <vt:variant>
        <vt:lpwstr>https://cancerallianceqld.health.qld.gov.au/reports/lung20122022websitelungreport20122021/</vt:lpwstr>
      </vt:variant>
      <vt:variant>
        <vt:lpwstr>tab3</vt:lpwstr>
      </vt:variant>
      <vt:variant>
        <vt:i4>5242900</vt:i4>
      </vt:variant>
      <vt:variant>
        <vt:i4>111</vt:i4>
      </vt:variant>
      <vt:variant>
        <vt:i4>0</vt:i4>
      </vt:variant>
      <vt:variant>
        <vt:i4>5</vt:i4>
      </vt:variant>
      <vt:variant>
        <vt:lpwstr>https://www.clinicaltrials.gov/study/NCT01336634</vt:lpwstr>
      </vt:variant>
      <vt:variant>
        <vt:lpwstr>studyplan</vt:lpwstr>
      </vt:variant>
      <vt:variant>
        <vt:i4>8257641</vt:i4>
      </vt:variant>
      <vt:variant>
        <vt:i4>108</vt:i4>
      </vt:variant>
      <vt:variant>
        <vt:i4>0</vt:i4>
      </vt:variant>
      <vt:variant>
        <vt:i4>5</vt:i4>
      </vt:variant>
      <vt:variant>
        <vt:lpwstr>https://clinicaltrials.gov/study/NCT02578680?term=KEYNOTE189&amp;rank=5&amp;tab=results</vt:lpwstr>
      </vt:variant>
      <vt:variant>
        <vt:lpwstr>adverseevents</vt:lpwstr>
      </vt:variant>
      <vt:variant>
        <vt:i4>917591</vt:i4>
      </vt:variant>
      <vt:variant>
        <vt:i4>6</vt:i4>
      </vt:variant>
      <vt:variant>
        <vt:i4>0</vt:i4>
      </vt:variant>
      <vt:variant>
        <vt:i4>5</vt:i4>
      </vt:variant>
      <vt:variant>
        <vt:lpwstr>https://doi.org/10.1136/esmoopen2019000491 10.1136/esmoopen2019000491</vt:lpwstr>
      </vt:variant>
      <vt:variant>
        <vt:lpwstr/>
      </vt:variant>
      <vt:variant>
        <vt:i4>393286</vt:i4>
      </vt:variant>
      <vt:variant>
        <vt:i4>3</vt:i4>
      </vt:variant>
      <vt:variant>
        <vt:i4>0</vt:i4>
      </vt:variant>
      <vt:variant>
        <vt:i4>5</vt:i4>
      </vt:variant>
      <vt:variant>
        <vt:lpwstr>https://doi.org/10.1080/17512433.2019.1570847</vt:lpwstr>
      </vt:variant>
      <vt:variant>
        <vt:lpwstr/>
      </vt:variant>
      <vt:variant>
        <vt:i4>3276850</vt:i4>
      </vt:variant>
      <vt:variant>
        <vt:i4>0</vt:i4>
      </vt:variant>
      <vt:variant>
        <vt:i4>0</vt:i4>
      </vt:variant>
      <vt:variant>
        <vt:i4>5</vt:i4>
      </vt:variant>
      <vt:variant>
        <vt:lpwstr>https://doi.org/10.1016/s14702045(18)301426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2026-03-04T00:12:00Z</dcterms:created>
  <dcterms:modified xsi:type="dcterms:W3CDTF">2026-03-04T00:15:00Z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79f0746,4fb56327,343259b4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43bc639e,302e1cc1,618da2b6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2025-11-27T03:26:31Z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24a847d3-f957-4061-8e52-6a157a6347a5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SIP_Label_0f488380-630a-4f55-a077-a19445e3f360_ActionId">
    <vt:lpwstr>d0199c72-2fa4-4679-83ca-4beb46e8a5c6</vt:lpwstr>
  </property>
  <property fmtid="{D5CDD505-2E9C-101B-9397-08002B2CF9AE}" pid="18" name="MSIP_Label_0f488380-630a-4f55-a077-a19445e3f360_ContentBits">
    <vt:lpwstr>0</vt:lpwstr>
  </property>
  <property fmtid="{D5CDD505-2E9C-101B-9397-08002B2CF9AE}" pid="19" name="MediaServiceImageTags">
    <vt:lpwstr/>
  </property>
  <property fmtid="{D5CDD505-2E9C-101B-9397-08002B2CF9AE}" pid="20" name="MSIP_Label_0f488380-630a-4f55-a077-a19445e3f360_SiteId">
    <vt:lpwstr>b6e377cf-9db3-46cb-91a2-fad9605bb15c</vt:lpwstr>
  </property>
  <property fmtid="{D5CDD505-2E9C-101B-9397-08002B2CF9AE}" pid="21" name="ContentTypeId">
    <vt:lpwstr>0x0101007FED174C5281F747A8037A05221D6DBD</vt:lpwstr>
  </property>
  <property fmtid="{D5CDD505-2E9C-101B-9397-08002B2CF9AE}" pid="22" name="MSIP_Label_0f488380-630a-4f55-a077-a19445e3f360_Method">
    <vt:lpwstr>Standard</vt:lpwstr>
  </property>
  <property fmtid="{D5CDD505-2E9C-101B-9397-08002B2CF9AE}" pid="23" name="MSIP_Label_0f488380-630a-4f55-a077-a19445e3f360_Name">
    <vt:lpwstr>OFFICIAL - INTERNAL</vt:lpwstr>
  </property>
  <property fmtid="{D5CDD505-2E9C-101B-9397-08002B2CF9AE}" pid="24" name="MSIP_Label_0f488380-630a-4f55-a077-a19445e3f360_Tag">
    <vt:lpwstr>10, 3, 0, 1</vt:lpwstr>
  </property>
  <property fmtid="{D5CDD505-2E9C-101B-9397-08002B2CF9AE}" pid="25" name="docLang">
    <vt:lpwstr>en</vt:lpwstr>
  </property>
  <property fmtid="{D5CDD505-2E9C-101B-9397-08002B2CF9AE}" pid="26" name="MSIP_Label_7cd3e8b9-ffed-43a8-b7f4-cc2fa0382d36_Extended_MSFT_Method">
    <vt:lpwstr>Standard</vt:lpwstr>
  </property>
  <property fmtid="{D5CDD505-2E9C-101B-9397-08002B2CF9AE}" pid="27" name="MSIP_Label_0f488380-630a-4f55-a077-a19445e3f360_Enabled">
    <vt:lpwstr>true</vt:lpwstr>
  </property>
  <property fmtid="{D5CDD505-2E9C-101B-9397-08002B2CF9AE}" pid="28" name="MSIP_Label_0f488380-630a-4f55-a077-a19445e3f360_SetDate">
    <vt:lpwstr>2025-09-15T04:37:17Z</vt:lpwstr>
  </property>
</Properties>
</file>