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8601" w14:textId="0BEB1EF2" w:rsidR="00B62D23" w:rsidRPr="002E75D2" w:rsidRDefault="008454CB" w:rsidP="001712C1">
      <w:pPr>
        <w:pStyle w:val="1-MainHeading"/>
      </w:pPr>
      <w:bookmarkStart w:id="0" w:name="_Toc206426952"/>
      <w:bookmarkStart w:id="1" w:name="_Toc208411837"/>
      <w:bookmarkStart w:id="2" w:name="_Hlk206150835"/>
      <w:r w:rsidRPr="002E75D2">
        <w:t>5.03</w:t>
      </w:r>
      <w:r w:rsidR="00B62D23" w:rsidRPr="002E75D2">
        <w:tab/>
      </w:r>
      <w:r w:rsidR="00D14B67" w:rsidRPr="002E75D2">
        <w:t>DELGOCITINIB</w:t>
      </w:r>
      <w:r w:rsidR="00B62D23" w:rsidRPr="002E75D2">
        <w:t>,</w:t>
      </w:r>
      <w:r w:rsidR="00B62D23" w:rsidRPr="002E75D2">
        <w:br/>
      </w:r>
      <w:r w:rsidR="00D14B67" w:rsidRPr="002E75D2">
        <w:t>20 mg/g (2%) cream,</w:t>
      </w:r>
      <w:r w:rsidR="00B62D23" w:rsidRPr="002E75D2">
        <w:br/>
      </w:r>
      <w:r w:rsidR="00D14B67" w:rsidRPr="002E75D2">
        <w:t>Anzupgo</w:t>
      </w:r>
      <w:r w:rsidR="00B62D23" w:rsidRPr="002E75D2">
        <w:rPr>
          <w:vertAlign w:val="superscript"/>
        </w:rPr>
        <w:t>®</w:t>
      </w:r>
      <w:r w:rsidR="00B62D23" w:rsidRPr="002E75D2">
        <w:t>,</w:t>
      </w:r>
      <w:r w:rsidR="00B62D23" w:rsidRPr="002E75D2">
        <w:br/>
      </w:r>
      <w:r w:rsidR="00D14B67" w:rsidRPr="002E75D2">
        <w:t>LEO PHARMA</w:t>
      </w:r>
      <w:bookmarkEnd w:id="0"/>
      <w:bookmarkEnd w:id="1"/>
      <w:r w:rsidR="00132608">
        <w:t xml:space="preserve"> Pty Ltd</w:t>
      </w:r>
    </w:p>
    <w:p w14:paraId="56C88536" w14:textId="4343D0C3" w:rsidR="00B62D23" w:rsidRPr="002E75D2" w:rsidRDefault="00B62D23" w:rsidP="004A6040">
      <w:pPr>
        <w:pStyle w:val="2-SectionHeading"/>
      </w:pPr>
      <w:bookmarkStart w:id="3" w:name="_Toc206291213"/>
      <w:bookmarkStart w:id="4" w:name="_Toc206426955"/>
      <w:bookmarkStart w:id="5" w:name="_Toc208411839"/>
      <w:r w:rsidRPr="002E75D2">
        <w:t>Purpose of submission</w:t>
      </w:r>
      <w:bookmarkEnd w:id="3"/>
      <w:bookmarkEnd w:id="4"/>
      <w:bookmarkEnd w:id="5"/>
    </w:p>
    <w:p w14:paraId="65AB3C3C" w14:textId="6787B42A" w:rsidR="00B62D23" w:rsidRPr="002E75D2" w:rsidRDefault="004A060D">
      <w:pPr>
        <w:pStyle w:val="3-BodyText"/>
      </w:pPr>
      <w:r w:rsidRPr="002E75D2">
        <w:t xml:space="preserve">The </w:t>
      </w:r>
      <w:r w:rsidR="007147ED" w:rsidRPr="002E75D2">
        <w:t xml:space="preserve">Category 1 </w:t>
      </w:r>
      <w:r w:rsidRPr="002E75D2">
        <w:t>submission requested a General Schedule</w:t>
      </w:r>
      <w:r w:rsidR="000550C9" w:rsidRPr="002E75D2">
        <w:t>,</w:t>
      </w:r>
      <w:r w:rsidRPr="002E75D2">
        <w:t xml:space="preserve"> Authority Required (Written) listing for delgocitinib </w:t>
      </w:r>
      <w:r w:rsidR="00AC2506" w:rsidRPr="002E75D2">
        <w:t>for the treatment of</w:t>
      </w:r>
      <w:r w:rsidRPr="002E75D2">
        <w:t xml:space="preserve"> moderate to severe chronic hand eczema (CHE)</w:t>
      </w:r>
      <w:r w:rsidR="00B62D23" w:rsidRPr="002E75D2">
        <w:t xml:space="preserve">. </w:t>
      </w:r>
    </w:p>
    <w:p w14:paraId="7532BEE8" w14:textId="70091FB3" w:rsidR="00B62D23" w:rsidRPr="002E75D2" w:rsidRDefault="00B62D23" w:rsidP="004E18E9">
      <w:pPr>
        <w:pStyle w:val="3-BodyText"/>
      </w:pPr>
      <w:r w:rsidRPr="002E75D2">
        <w:t>Listing was requested on the basis of a cost-</w:t>
      </w:r>
      <w:r w:rsidR="004A060D" w:rsidRPr="002E75D2">
        <w:t>utility</w:t>
      </w:r>
      <w:r w:rsidRPr="002E75D2">
        <w:t xml:space="preserve"> approach </w:t>
      </w:r>
      <w:r w:rsidR="0011406F" w:rsidRPr="002E75D2">
        <w:t>vs</w:t>
      </w:r>
      <w:r w:rsidRPr="002E75D2">
        <w:t xml:space="preserve"> </w:t>
      </w:r>
      <w:r w:rsidR="004A060D" w:rsidRPr="002E75D2">
        <w:t>standard of care</w:t>
      </w:r>
      <w:r w:rsidRPr="002E75D2">
        <w:t xml:space="preserve"> (</w:t>
      </w:r>
      <w:r w:rsidR="004A060D" w:rsidRPr="002E75D2">
        <w:t>SoC</w:t>
      </w:r>
      <w:r w:rsidRPr="002E75D2">
        <w:t>)</w:t>
      </w:r>
      <w:r w:rsidR="002F5E12" w:rsidRPr="002E75D2">
        <w:t>,</w:t>
      </w:r>
      <w:r w:rsidRPr="002E75D2">
        <w:t xml:space="preserve"> and a </w:t>
      </w:r>
      <w:r w:rsidR="00761B4E" w:rsidRPr="002E75D2">
        <w:t>cost-minimisation approach</w:t>
      </w:r>
      <w:r w:rsidR="004A060D" w:rsidRPr="002E75D2">
        <w:t xml:space="preserve"> </w:t>
      </w:r>
      <w:r w:rsidR="0011406F" w:rsidRPr="002E75D2">
        <w:t>vs</w:t>
      </w:r>
      <w:r w:rsidR="004A060D" w:rsidRPr="002E75D2">
        <w:t xml:space="preserve"> the nominated supplementary comparator dupilumab</w:t>
      </w:r>
      <w:r w:rsidRPr="002E75D2">
        <w:t>.</w:t>
      </w:r>
      <w:r w:rsidR="00AC2506" w:rsidRPr="002E75D2">
        <w:t xml:space="preserve"> </w:t>
      </w:r>
      <w:r w:rsidR="00FC56F3" w:rsidRPr="002E75D2">
        <w:fldChar w:fldCharType="begin"/>
      </w:r>
      <w:r w:rsidR="00FC56F3" w:rsidRPr="002E75D2">
        <w:instrText xml:space="preserve"> REF _Ref206422015 \h </w:instrText>
      </w:r>
      <w:r w:rsidR="00FC56F3" w:rsidRPr="002E75D2">
        <w:fldChar w:fldCharType="separate"/>
      </w:r>
      <w:r w:rsidR="00AA53DD" w:rsidRPr="002E75D2">
        <w:t xml:space="preserve">Table </w:t>
      </w:r>
      <w:r w:rsidR="00AA53DD">
        <w:rPr>
          <w:noProof/>
        </w:rPr>
        <w:t>1</w:t>
      </w:r>
      <w:r w:rsidR="00FC56F3" w:rsidRPr="002E75D2">
        <w:fldChar w:fldCharType="end"/>
      </w:r>
      <w:r w:rsidR="00AC2506" w:rsidRPr="002E75D2">
        <w:t xml:space="preserve"> summarises the components of the overall clinical claim addressed by the submission.</w:t>
      </w:r>
    </w:p>
    <w:p w14:paraId="233FB48B" w14:textId="05AFDD37" w:rsidR="002E3242" w:rsidRPr="002E75D2" w:rsidRDefault="00B62D23" w:rsidP="006B5279">
      <w:pPr>
        <w:pStyle w:val="Caption"/>
      </w:pPr>
      <w:bookmarkStart w:id="6" w:name="_Ref206422015"/>
      <w:r w:rsidRPr="002E75D2">
        <w:lastRenderedPageBreak/>
        <w:t xml:space="preserve">Table </w:t>
      </w:r>
      <w:r w:rsidR="000847A3">
        <w:fldChar w:fldCharType="begin"/>
      </w:r>
      <w:r w:rsidR="000847A3">
        <w:instrText xml:space="preserve"> SEQ Table \* ARABIC </w:instrText>
      </w:r>
      <w:r w:rsidR="000847A3">
        <w:fldChar w:fldCharType="separate"/>
      </w:r>
      <w:r w:rsidR="00AA53DD">
        <w:rPr>
          <w:noProof/>
        </w:rPr>
        <w:t>1</w:t>
      </w:r>
      <w:r w:rsidR="000847A3">
        <w:rPr>
          <w:noProof/>
        </w:rPr>
        <w:fldChar w:fldCharType="end"/>
      </w:r>
      <w:bookmarkEnd w:id="6"/>
      <w:r w:rsidRPr="002E75D2">
        <w:t>: Key components of the clinical issue addressed by the submission</w:t>
      </w:r>
      <w:r w:rsidR="00624CF4" w:rsidRPr="002E75D2">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252"/>
        <w:gridCol w:w="7765"/>
      </w:tblGrid>
      <w:tr w:rsidR="002E3242" w:rsidRPr="002E75D2" w14:paraId="28659A62" w14:textId="77777777" w:rsidTr="0094471E">
        <w:trPr>
          <w:trHeight w:val="20"/>
          <w:tblHeader/>
        </w:trPr>
        <w:tc>
          <w:tcPr>
            <w:tcW w:w="694" w:type="pct"/>
            <w:tcMar>
              <w:left w:w="20" w:type="dxa"/>
              <w:right w:w="20" w:type="dxa"/>
            </w:tcMar>
            <w:vAlign w:val="center"/>
          </w:tcPr>
          <w:p w14:paraId="5DFDF590" w14:textId="77777777" w:rsidR="002E3242" w:rsidRPr="002E75D2" w:rsidRDefault="002E3242" w:rsidP="006B5279">
            <w:pPr>
              <w:pStyle w:val="In-tableHeading"/>
              <w:jc w:val="center"/>
              <w:rPr>
                <w:szCs w:val="20"/>
                <w:lang w:val="en-AU"/>
              </w:rPr>
            </w:pPr>
            <w:r w:rsidRPr="002E75D2">
              <w:rPr>
                <w:szCs w:val="20"/>
                <w:lang w:val="en-AU"/>
              </w:rPr>
              <w:t>Component</w:t>
            </w:r>
          </w:p>
        </w:tc>
        <w:tc>
          <w:tcPr>
            <w:tcW w:w="4306" w:type="pct"/>
            <w:tcMar>
              <w:left w:w="20" w:type="dxa"/>
              <w:right w:w="20" w:type="dxa"/>
            </w:tcMar>
            <w:vAlign w:val="center"/>
          </w:tcPr>
          <w:p w14:paraId="72C27093" w14:textId="77777777" w:rsidR="002E3242" w:rsidRPr="002E75D2" w:rsidRDefault="002E3242" w:rsidP="006B5279">
            <w:pPr>
              <w:pStyle w:val="In-tableHeading"/>
              <w:jc w:val="center"/>
              <w:rPr>
                <w:szCs w:val="20"/>
                <w:lang w:val="en-AU"/>
              </w:rPr>
            </w:pPr>
            <w:r w:rsidRPr="002E75D2">
              <w:rPr>
                <w:szCs w:val="20"/>
                <w:lang w:val="en-AU"/>
              </w:rPr>
              <w:t>Description</w:t>
            </w:r>
          </w:p>
        </w:tc>
      </w:tr>
      <w:tr w:rsidR="002E3242" w:rsidRPr="002E75D2" w14:paraId="18602471" w14:textId="77777777" w:rsidTr="0094471E">
        <w:trPr>
          <w:trHeight w:val="20"/>
        </w:trPr>
        <w:tc>
          <w:tcPr>
            <w:tcW w:w="694" w:type="pct"/>
            <w:tcMar>
              <w:left w:w="20" w:type="dxa"/>
              <w:right w:w="20" w:type="dxa"/>
            </w:tcMar>
            <w:vAlign w:val="center"/>
          </w:tcPr>
          <w:p w14:paraId="5CE0797E" w14:textId="77777777" w:rsidR="002E3242" w:rsidRPr="002E75D2" w:rsidRDefault="002E3242" w:rsidP="006B5279">
            <w:pPr>
              <w:pStyle w:val="TableText0"/>
              <w:keepNext/>
            </w:pPr>
            <w:r w:rsidRPr="002E75D2">
              <w:t>Population</w:t>
            </w:r>
          </w:p>
        </w:tc>
        <w:tc>
          <w:tcPr>
            <w:tcW w:w="4306" w:type="pct"/>
            <w:tcMar>
              <w:left w:w="20" w:type="dxa"/>
              <w:right w:w="20" w:type="dxa"/>
            </w:tcMar>
          </w:tcPr>
          <w:p w14:paraId="2AA1B316" w14:textId="77777777" w:rsidR="002E3242" w:rsidRPr="002E75D2" w:rsidRDefault="002E3242" w:rsidP="006B5279">
            <w:pPr>
              <w:pStyle w:val="TableText0"/>
              <w:keepNext/>
            </w:pPr>
            <w:r w:rsidRPr="002E75D2">
              <w:t>Adults (aged ≥18 years) with moderate to severe CHE who have had an inadequate response to, or for whom topical corticosteroids are not advisable.</w:t>
            </w:r>
          </w:p>
        </w:tc>
      </w:tr>
      <w:tr w:rsidR="002E3242" w:rsidRPr="002E75D2" w14:paraId="71406D0C" w14:textId="77777777" w:rsidTr="0094471E">
        <w:trPr>
          <w:trHeight w:val="20"/>
        </w:trPr>
        <w:tc>
          <w:tcPr>
            <w:tcW w:w="694" w:type="pct"/>
            <w:tcMar>
              <w:left w:w="20" w:type="dxa"/>
              <w:right w:w="20" w:type="dxa"/>
            </w:tcMar>
            <w:vAlign w:val="center"/>
          </w:tcPr>
          <w:p w14:paraId="3B62C789" w14:textId="77777777" w:rsidR="002E3242" w:rsidRPr="002E75D2" w:rsidRDefault="002E3242" w:rsidP="006B5279">
            <w:pPr>
              <w:pStyle w:val="TableText0"/>
              <w:keepNext/>
            </w:pPr>
            <w:r w:rsidRPr="002E75D2">
              <w:t>Intervention</w:t>
            </w:r>
          </w:p>
        </w:tc>
        <w:tc>
          <w:tcPr>
            <w:tcW w:w="4306" w:type="pct"/>
            <w:tcMar>
              <w:left w:w="20" w:type="dxa"/>
              <w:right w:w="20" w:type="dxa"/>
            </w:tcMar>
          </w:tcPr>
          <w:p w14:paraId="30C54540" w14:textId="4F1248C2" w:rsidR="00FC56F3" w:rsidRPr="002E75D2" w:rsidRDefault="002E3242" w:rsidP="006B5279">
            <w:pPr>
              <w:pStyle w:val="TableText0"/>
              <w:keepNext/>
            </w:pPr>
            <w:r w:rsidRPr="002E75D2">
              <w:t xml:space="preserve">Delgocitinib 20 mg/g (2%) </w:t>
            </w:r>
            <w:r w:rsidR="00FC56F3" w:rsidRPr="002E75D2">
              <w:t xml:space="preserve">topical </w:t>
            </w:r>
            <w:r w:rsidRPr="002E75D2">
              <w:t>cream applied twice daily</w:t>
            </w:r>
            <w:r w:rsidR="00FC56F3" w:rsidRPr="002E75D2">
              <w:t xml:space="preserve"> to clean and dry affected skin of the hands and wrists until the skin is clear or almost clear. Patients should avoid using other topical products immediately before and after application of delgocitinib.</w:t>
            </w:r>
          </w:p>
          <w:p w14:paraId="578DAD5B" w14:textId="1AFE8756" w:rsidR="002E3242" w:rsidRPr="002E75D2" w:rsidRDefault="00FC56F3" w:rsidP="006B5279">
            <w:pPr>
              <w:pStyle w:val="TableText0"/>
              <w:keepNext/>
            </w:pPr>
            <w:r w:rsidRPr="002E75D2">
              <w:t>In the event of recurrence of the signs and symptoms of CHE (flares), twice daily treatment of the affected areas can be re-initiated as needed.</w:t>
            </w:r>
          </w:p>
        </w:tc>
      </w:tr>
      <w:tr w:rsidR="002E3242" w:rsidRPr="002E75D2" w14:paraId="26945889" w14:textId="77777777" w:rsidTr="0094471E">
        <w:trPr>
          <w:trHeight w:val="20"/>
        </w:trPr>
        <w:tc>
          <w:tcPr>
            <w:tcW w:w="694" w:type="pct"/>
            <w:tcMar>
              <w:left w:w="20" w:type="dxa"/>
              <w:right w:w="20" w:type="dxa"/>
            </w:tcMar>
            <w:vAlign w:val="center"/>
          </w:tcPr>
          <w:p w14:paraId="4FA46244" w14:textId="77777777" w:rsidR="002E3242" w:rsidRPr="002E75D2" w:rsidRDefault="002E3242" w:rsidP="006B5279">
            <w:pPr>
              <w:pStyle w:val="TableText0"/>
              <w:keepNext/>
            </w:pPr>
            <w:r w:rsidRPr="002E75D2">
              <w:t>Comparator</w:t>
            </w:r>
          </w:p>
        </w:tc>
        <w:tc>
          <w:tcPr>
            <w:tcW w:w="4306" w:type="pct"/>
            <w:tcMar>
              <w:left w:w="20" w:type="dxa"/>
              <w:right w:w="20" w:type="dxa"/>
            </w:tcMar>
          </w:tcPr>
          <w:p w14:paraId="705A9CBF" w14:textId="77777777" w:rsidR="002E3242" w:rsidRPr="002E75D2" w:rsidRDefault="002E3242" w:rsidP="006B5279">
            <w:pPr>
              <w:pStyle w:val="TableText0"/>
              <w:keepNext/>
            </w:pPr>
            <w:r w:rsidRPr="002E75D2">
              <w:t xml:space="preserve">Main: SoC (non-medicated emollient use alone; avoidance of known irritants and allergens) </w:t>
            </w:r>
          </w:p>
          <w:p w14:paraId="5F3C479E" w14:textId="5048CE28" w:rsidR="002E3242" w:rsidRPr="002E75D2" w:rsidRDefault="009125E9" w:rsidP="006B5279">
            <w:pPr>
              <w:pStyle w:val="TableText0"/>
              <w:keepNext/>
            </w:pPr>
            <w:r w:rsidRPr="002E75D2">
              <w:t>Supplementary</w:t>
            </w:r>
            <w:r w:rsidR="002E3242" w:rsidRPr="002E75D2">
              <w:t>: Dupilumab</w:t>
            </w:r>
          </w:p>
        </w:tc>
      </w:tr>
      <w:tr w:rsidR="002E3242" w:rsidRPr="002E75D2" w14:paraId="72C0DE19" w14:textId="77777777" w:rsidTr="0094471E">
        <w:trPr>
          <w:trHeight w:val="20"/>
        </w:trPr>
        <w:tc>
          <w:tcPr>
            <w:tcW w:w="694" w:type="pct"/>
            <w:tcMar>
              <w:left w:w="20" w:type="dxa"/>
              <w:right w:w="20" w:type="dxa"/>
            </w:tcMar>
            <w:vAlign w:val="center"/>
          </w:tcPr>
          <w:p w14:paraId="241534F8" w14:textId="77777777" w:rsidR="002E3242" w:rsidRPr="002E75D2" w:rsidRDefault="002E3242" w:rsidP="006B5279">
            <w:pPr>
              <w:pStyle w:val="TableText0"/>
              <w:keepNext/>
            </w:pPr>
            <w:r w:rsidRPr="002E75D2">
              <w:t>Outcomes</w:t>
            </w:r>
          </w:p>
        </w:tc>
        <w:tc>
          <w:tcPr>
            <w:tcW w:w="4306" w:type="pct"/>
            <w:tcMar>
              <w:left w:w="20" w:type="dxa"/>
              <w:right w:w="20" w:type="dxa"/>
            </w:tcMar>
          </w:tcPr>
          <w:p w14:paraId="5C9DE695" w14:textId="77777777" w:rsidR="002E3242" w:rsidRPr="002E75D2" w:rsidRDefault="002E3242" w:rsidP="006B5279">
            <w:pPr>
              <w:pStyle w:val="TableText0"/>
              <w:keepNext/>
            </w:pPr>
            <w:r w:rsidRPr="002E75D2">
              <w:t xml:space="preserve">Primary outcome </w:t>
            </w:r>
          </w:p>
          <w:p w14:paraId="30A3CFD3" w14:textId="77777777" w:rsidR="002E3242" w:rsidRPr="002E75D2" w:rsidRDefault="002E3242" w:rsidP="006B5279">
            <w:pPr>
              <w:pStyle w:val="TableText0"/>
              <w:keepNext/>
              <w:numPr>
                <w:ilvl w:val="0"/>
                <w:numId w:val="21"/>
              </w:numPr>
            </w:pPr>
            <w:r w:rsidRPr="002E75D2">
              <w:t xml:space="preserve"> IGA – CHE TS at Week 16</w:t>
            </w:r>
          </w:p>
          <w:p w14:paraId="1768A87F" w14:textId="77777777" w:rsidR="002E3242" w:rsidRPr="002E75D2" w:rsidRDefault="002E3242" w:rsidP="006B5279">
            <w:pPr>
              <w:pStyle w:val="TableText0"/>
              <w:keepNext/>
            </w:pPr>
            <w:r w:rsidRPr="002E75D2">
              <w:t>Key secondary outcomes</w:t>
            </w:r>
          </w:p>
          <w:p w14:paraId="2514D79F" w14:textId="77777777" w:rsidR="002E3242" w:rsidRPr="002E75D2" w:rsidRDefault="002E3242" w:rsidP="006B5279">
            <w:pPr>
              <w:pStyle w:val="TableText0"/>
              <w:keepNext/>
              <w:numPr>
                <w:ilvl w:val="0"/>
                <w:numId w:val="21"/>
              </w:numPr>
            </w:pPr>
            <w:r w:rsidRPr="002E75D2">
              <w:t>HECSI-75 (at least 75% improvement) at Week 16</w:t>
            </w:r>
          </w:p>
          <w:p w14:paraId="2BA0AD2E" w14:textId="77777777" w:rsidR="002E3242" w:rsidRPr="002E75D2" w:rsidRDefault="002E3242" w:rsidP="006B5279">
            <w:pPr>
              <w:pStyle w:val="TableText0"/>
              <w:keepNext/>
              <w:numPr>
                <w:ilvl w:val="0"/>
                <w:numId w:val="21"/>
              </w:numPr>
            </w:pPr>
            <w:r w:rsidRPr="002E75D2">
              <w:t>HECSI-75 at Week 8</w:t>
            </w:r>
          </w:p>
          <w:p w14:paraId="4E207CF3" w14:textId="77777777" w:rsidR="002E3242" w:rsidRPr="002E75D2" w:rsidRDefault="002E3242" w:rsidP="006B5279">
            <w:pPr>
              <w:pStyle w:val="TableText0"/>
              <w:keepNext/>
              <w:numPr>
                <w:ilvl w:val="0"/>
                <w:numId w:val="21"/>
              </w:numPr>
            </w:pPr>
            <w:r w:rsidRPr="002E75D2">
              <w:t>HECSI-90 at Week 16</w:t>
            </w:r>
          </w:p>
          <w:p w14:paraId="4F665BCE" w14:textId="77777777" w:rsidR="002E3242" w:rsidRPr="002E75D2" w:rsidRDefault="002E3242" w:rsidP="006B5279">
            <w:pPr>
              <w:pStyle w:val="TableText0"/>
              <w:keepNext/>
              <w:numPr>
                <w:ilvl w:val="0"/>
                <w:numId w:val="21"/>
              </w:numPr>
            </w:pPr>
            <w:r w:rsidRPr="002E75D2">
              <w:t>IGA – CHE TS at Week 8</w:t>
            </w:r>
          </w:p>
          <w:p w14:paraId="24DCCC66" w14:textId="77777777" w:rsidR="002E3242" w:rsidRPr="002E75D2" w:rsidRDefault="002E3242" w:rsidP="006B5279">
            <w:pPr>
              <w:pStyle w:val="TableText0"/>
              <w:keepNext/>
              <w:numPr>
                <w:ilvl w:val="0"/>
                <w:numId w:val="21"/>
              </w:numPr>
            </w:pPr>
            <w:r w:rsidRPr="002E75D2">
              <w:t>IGA-CHE TS at Week 4</w:t>
            </w:r>
          </w:p>
          <w:p w14:paraId="459A215F" w14:textId="77777777" w:rsidR="002E3242" w:rsidRPr="002E75D2" w:rsidRDefault="002E3242" w:rsidP="006B5279">
            <w:pPr>
              <w:pStyle w:val="TableText0"/>
              <w:keepNext/>
              <w:numPr>
                <w:ilvl w:val="0"/>
                <w:numId w:val="21"/>
              </w:numPr>
            </w:pPr>
            <w:r w:rsidRPr="002E75D2">
              <w:t>Percentage change in HECSI score from baseline to Week 16</w:t>
            </w:r>
          </w:p>
          <w:p w14:paraId="44FF1BD1" w14:textId="77777777" w:rsidR="002E3242" w:rsidRPr="002E75D2" w:rsidRDefault="002E3242" w:rsidP="006B5279">
            <w:pPr>
              <w:pStyle w:val="TableText0"/>
              <w:keepNext/>
            </w:pPr>
            <w:r w:rsidRPr="002E75D2">
              <w:t>Safety</w:t>
            </w:r>
          </w:p>
          <w:p w14:paraId="09DB06C2" w14:textId="77777777" w:rsidR="002E3242" w:rsidRPr="002E75D2" w:rsidRDefault="002E3242" w:rsidP="006B5279">
            <w:pPr>
              <w:pStyle w:val="TableText0"/>
              <w:keepNext/>
            </w:pPr>
            <w:r w:rsidRPr="002E75D2">
              <w:t>Quality of Life</w:t>
            </w:r>
          </w:p>
          <w:p w14:paraId="329EEE2F" w14:textId="77777777" w:rsidR="002E3242" w:rsidRPr="002E75D2" w:rsidRDefault="002E3242" w:rsidP="006B5279">
            <w:pPr>
              <w:pStyle w:val="TableText0"/>
              <w:keepNext/>
              <w:numPr>
                <w:ilvl w:val="0"/>
                <w:numId w:val="21"/>
              </w:numPr>
            </w:pPr>
            <w:r w:rsidRPr="002E75D2">
              <w:t>DLQI</w:t>
            </w:r>
          </w:p>
          <w:p w14:paraId="16245346" w14:textId="77777777" w:rsidR="002E3242" w:rsidRPr="002E75D2" w:rsidRDefault="002E3242" w:rsidP="006B5279">
            <w:pPr>
              <w:pStyle w:val="TableText0"/>
              <w:keepNext/>
              <w:numPr>
                <w:ilvl w:val="0"/>
                <w:numId w:val="21"/>
              </w:numPr>
            </w:pPr>
            <w:r w:rsidRPr="002E75D2">
              <w:t>EQ-5D-5L</w:t>
            </w:r>
          </w:p>
          <w:p w14:paraId="0A9B61E0" w14:textId="77777777" w:rsidR="002E3242" w:rsidRPr="002E75D2" w:rsidRDefault="002E3242" w:rsidP="006B5279">
            <w:pPr>
              <w:pStyle w:val="TableText0"/>
              <w:keepNext/>
            </w:pPr>
            <w:r w:rsidRPr="002E75D2">
              <w:t>Patient Reported Outcomes</w:t>
            </w:r>
          </w:p>
          <w:p w14:paraId="06067FC2" w14:textId="77777777" w:rsidR="002E3242" w:rsidRPr="002E75D2" w:rsidRDefault="002E3242" w:rsidP="006B5279">
            <w:pPr>
              <w:pStyle w:val="TableText0"/>
              <w:keepNext/>
              <w:numPr>
                <w:ilvl w:val="0"/>
                <w:numId w:val="21"/>
              </w:numPr>
            </w:pPr>
            <w:r w:rsidRPr="002E75D2">
              <w:t>HEIS</w:t>
            </w:r>
          </w:p>
          <w:p w14:paraId="425FDD7D" w14:textId="77777777" w:rsidR="002E3242" w:rsidRPr="002E75D2" w:rsidRDefault="002E3242" w:rsidP="006B5279">
            <w:pPr>
              <w:pStyle w:val="TableText0"/>
              <w:keepNext/>
              <w:numPr>
                <w:ilvl w:val="0"/>
                <w:numId w:val="21"/>
              </w:numPr>
            </w:pPr>
            <w:r w:rsidRPr="002E75D2">
              <w:t>HESD</w:t>
            </w:r>
          </w:p>
        </w:tc>
      </w:tr>
      <w:tr w:rsidR="002E3242" w:rsidRPr="002E75D2" w14:paraId="6A1A9A55" w14:textId="77777777" w:rsidTr="0094471E">
        <w:trPr>
          <w:trHeight w:val="20"/>
        </w:trPr>
        <w:tc>
          <w:tcPr>
            <w:tcW w:w="694" w:type="pct"/>
            <w:tcMar>
              <w:left w:w="20" w:type="dxa"/>
              <w:right w:w="20" w:type="dxa"/>
            </w:tcMar>
            <w:vAlign w:val="center"/>
          </w:tcPr>
          <w:p w14:paraId="6C154F2E" w14:textId="77777777" w:rsidR="002E3242" w:rsidRPr="002E75D2" w:rsidRDefault="002E3242" w:rsidP="006B5279">
            <w:pPr>
              <w:pStyle w:val="TableText0"/>
              <w:keepNext/>
            </w:pPr>
            <w:r w:rsidRPr="002E75D2">
              <w:t>Clinical claim</w:t>
            </w:r>
          </w:p>
        </w:tc>
        <w:tc>
          <w:tcPr>
            <w:tcW w:w="4306" w:type="pct"/>
            <w:tcMar>
              <w:left w:w="20" w:type="dxa"/>
              <w:right w:w="20" w:type="dxa"/>
            </w:tcMar>
          </w:tcPr>
          <w:p w14:paraId="088B7959" w14:textId="77777777" w:rsidR="002E3242" w:rsidRPr="002E75D2" w:rsidRDefault="002E3242" w:rsidP="006B5279">
            <w:pPr>
              <w:pStyle w:val="TableText0"/>
              <w:keepNext/>
            </w:pPr>
            <w:r w:rsidRPr="002E75D2">
              <w:t>Delgocitinib 20 mg/g cream is superior to SoC in terms of efficacy and non-inferior to SoC in terms of safety.</w:t>
            </w:r>
          </w:p>
          <w:p w14:paraId="69BAF284" w14:textId="77777777" w:rsidR="002E3242" w:rsidRPr="002E75D2" w:rsidRDefault="002E3242" w:rsidP="006B5279">
            <w:pPr>
              <w:pStyle w:val="TableText0"/>
              <w:keepNext/>
            </w:pPr>
            <w:r w:rsidRPr="002E75D2">
              <w:t>Delgocitinib 20 mg/g cream is non-inferior to dupilumab in terms of efficacy.</w:t>
            </w:r>
          </w:p>
          <w:p w14:paraId="43F6B215" w14:textId="4127B9CC" w:rsidR="002E3242" w:rsidRPr="002E75D2" w:rsidRDefault="002E3242" w:rsidP="006B5279">
            <w:pPr>
              <w:pStyle w:val="TableText0"/>
              <w:keepNext/>
            </w:pPr>
            <w:r w:rsidRPr="002E75D2">
              <w:t xml:space="preserve">No safety claims were made </w:t>
            </w:r>
            <w:r w:rsidR="00091CDA" w:rsidRPr="002E75D2">
              <w:t>for</w:t>
            </w:r>
            <w:r w:rsidRPr="002E75D2">
              <w:t xml:space="preserve"> delgocitinib 20 mg/g </w:t>
            </w:r>
            <w:r w:rsidR="0011406F" w:rsidRPr="002E75D2">
              <w:t>vs</w:t>
            </w:r>
            <w:r w:rsidRPr="002E75D2">
              <w:t xml:space="preserve"> dupilumab.</w:t>
            </w:r>
          </w:p>
        </w:tc>
      </w:tr>
    </w:tbl>
    <w:p w14:paraId="199F8C64" w14:textId="77777777" w:rsidR="002E3242" w:rsidRPr="002E75D2" w:rsidRDefault="002E3242" w:rsidP="006B5279">
      <w:pPr>
        <w:pStyle w:val="TableFigureFooter"/>
        <w:keepNext/>
      </w:pPr>
      <w:r w:rsidRPr="002E75D2">
        <w:t>Source: Table 1, p21 of the submission.</w:t>
      </w:r>
    </w:p>
    <w:p w14:paraId="1E13C9B9" w14:textId="41524E76" w:rsidR="00FD0E2A" w:rsidRPr="002E75D2" w:rsidRDefault="002E3242" w:rsidP="006B5279">
      <w:pPr>
        <w:pStyle w:val="TableFigureFooter"/>
        <w:keepNext/>
      </w:pPr>
      <w:r w:rsidRPr="002E75D2">
        <w:t>CHE = chronic hand eczema; DLQI = Dermatology Life Quality Index; EQ-5D-5L = EuroQoL 5 dimensions 5 levels; HECSI = Hand Eczema Severity Index;</w:t>
      </w:r>
      <w:r w:rsidR="00B7538E" w:rsidRPr="002E75D2">
        <w:t xml:space="preserve"> HECSI-75 = Hand Eczema Severity Index 75% improvement; HECSI-90 = Hand Eczema Severity Index 90% improvement;</w:t>
      </w:r>
      <w:r w:rsidRPr="002E75D2">
        <w:t xml:space="preserve"> HEIS = Hand Eczema Impact Scale; HESD = Hand Eczema Symptom Diary; IGA – CHE TS = Investigator’s global assessment</w:t>
      </w:r>
      <w:r w:rsidR="00F20FF5" w:rsidRPr="002E75D2">
        <w:t xml:space="preserve"> </w:t>
      </w:r>
      <w:r w:rsidRPr="002E75D2">
        <w:t>- chronic hand eczema treatment success; SoC = Standard of Care.</w:t>
      </w:r>
    </w:p>
    <w:p w14:paraId="351F7DE9" w14:textId="3BAA6613" w:rsidR="006C6F74" w:rsidRPr="002E75D2" w:rsidRDefault="006C6F74" w:rsidP="006C6F74">
      <w:pPr>
        <w:pStyle w:val="TableFigureFooter"/>
      </w:pPr>
      <w:r w:rsidRPr="002E75D2">
        <w:t>Note: IGA-CHE TS was defined as an IGA-CHE score of 0 (clear) or 1 (almost clear) with ≥2-step improvement from baseline.</w:t>
      </w:r>
    </w:p>
    <w:p w14:paraId="29CE09B5" w14:textId="77777777" w:rsidR="00B62D23" w:rsidRPr="002E75D2" w:rsidRDefault="00B62D23" w:rsidP="004A6040">
      <w:pPr>
        <w:pStyle w:val="2-SectionHeading"/>
      </w:pPr>
      <w:bookmarkStart w:id="7" w:name="_Toc206291214"/>
      <w:bookmarkStart w:id="8" w:name="_Toc206426956"/>
      <w:bookmarkStart w:id="9" w:name="_Toc208411840"/>
      <w:r w:rsidRPr="002E75D2">
        <w:t>Background</w:t>
      </w:r>
      <w:bookmarkEnd w:id="7"/>
      <w:bookmarkEnd w:id="8"/>
      <w:bookmarkEnd w:id="9"/>
    </w:p>
    <w:p w14:paraId="60573BBE" w14:textId="77777777" w:rsidR="00B62D23" w:rsidRPr="002E75D2" w:rsidRDefault="00B62D23" w:rsidP="004A6040">
      <w:pPr>
        <w:pStyle w:val="4-SubsectionHeading"/>
      </w:pPr>
      <w:bookmarkStart w:id="10" w:name="_Toc206291215"/>
      <w:bookmarkStart w:id="11" w:name="_Toc206426957"/>
      <w:bookmarkStart w:id="12" w:name="_Toc208411841"/>
      <w:r w:rsidRPr="002E75D2">
        <w:t>Registration status</w:t>
      </w:r>
      <w:bookmarkEnd w:id="10"/>
      <w:bookmarkEnd w:id="11"/>
      <w:bookmarkEnd w:id="12"/>
    </w:p>
    <w:p w14:paraId="0D9BE3CF" w14:textId="56FEBF52" w:rsidR="00B62D23" w:rsidRPr="002E75D2" w:rsidRDefault="00AE35CB">
      <w:pPr>
        <w:pStyle w:val="3-BodyText"/>
      </w:pPr>
      <w:r w:rsidRPr="0057266F">
        <w:rPr>
          <w:rFonts w:ascii="Calibri" w:eastAsia="Calibri" w:hAnsi="Calibri"/>
          <w:b/>
          <w:i/>
          <w:iCs/>
        </w:rPr>
        <w:t xml:space="preserve">TGA status at time of </w:t>
      </w:r>
      <w:r w:rsidR="003C4F33" w:rsidRPr="0057266F">
        <w:rPr>
          <w:rFonts w:ascii="Calibri" w:eastAsia="Calibri" w:hAnsi="Calibri"/>
          <w:b/>
          <w:i/>
          <w:iCs/>
        </w:rPr>
        <w:t>PBAC consideration</w:t>
      </w:r>
      <w:r w:rsidRPr="0057266F">
        <w:rPr>
          <w:rFonts w:ascii="Calibri" w:eastAsia="Calibri" w:hAnsi="Calibri"/>
          <w:i/>
          <w:iCs/>
        </w:rPr>
        <w:t>:</w:t>
      </w:r>
      <w:r w:rsidR="00641A3F" w:rsidRPr="002E75D2">
        <w:rPr>
          <w:rFonts w:ascii="Calibri" w:eastAsia="Calibri" w:hAnsi="Calibri"/>
          <w:i/>
          <w:iCs/>
        </w:rPr>
        <w:t xml:space="preserve"> </w:t>
      </w:r>
      <w:r w:rsidR="00641A3F" w:rsidRPr="003C4F33">
        <w:rPr>
          <w:rFonts w:ascii="Calibri" w:eastAsia="Calibri" w:hAnsi="Calibri"/>
        </w:rPr>
        <w:t xml:space="preserve">Registered on </w:t>
      </w:r>
      <w:r w:rsidR="008518DC" w:rsidRPr="003C4F33">
        <w:rPr>
          <w:rFonts w:ascii="Calibri" w:eastAsia="Calibri" w:hAnsi="Calibri"/>
        </w:rPr>
        <w:t>5 September 2025.</w:t>
      </w:r>
      <w:r w:rsidRPr="002E75D2">
        <w:rPr>
          <w:rFonts w:ascii="Calibri" w:eastAsia="Calibri" w:hAnsi="Calibri"/>
          <w:i/>
          <w:iCs/>
        </w:rPr>
        <w:t xml:space="preserve"> </w:t>
      </w:r>
      <w:r w:rsidR="00641A3F" w:rsidRPr="002E75D2">
        <w:t>The</w:t>
      </w:r>
      <w:r w:rsidR="00641A3F" w:rsidRPr="002E75D2">
        <w:rPr>
          <w:i/>
          <w:iCs/>
        </w:rPr>
        <w:t xml:space="preserve"> </w:t>
      </w:r>
      <w:r w:rsidR="002E3242" w:rsidRPr="002E75D2">
        <w:t>TGA indication for delgocitinib</w:t>
      </w:r>
      <w:r w:rsidR="001B561E" w:rsidRPr="002E75D2">
        <w:t xml:space="preserve"> </w:t>
      </w:r>
      <w:r w:rsidR="00D94783" w:rsidRPr="002E75D2">
        <w:t>is</w:t>
      </w:r>
      <w:r w:rsidR="002E3242" w:rsidRPr="002E75D2">
        <w:t xml:space="preserve"> for the treatment of moderate to severe CHE in adults for whom topical corticosteroids</w:t>
      </w:r>
      <w:r w:rsidR="005F5FFF" w:rsidRPr="002E75D2">
        <w:t xml:space="preserve"> (TCS)</w:t>
      </w:r>
      <w:r w:rsidR="002E3242" w:rsidRPr="002E75D2">
        <w:t xml:space="preserve"> are inadequate or inappropriate</w:t>
      </w:r>
      <w:r w:rsidR="00B62D23" w:rsidRPr="002E75D2">
        <w:t>.</w:t>
      </w:r>
      <w:r w:rsidR="002E3242" w:rsidRPr="002E75D2">
        <w:t xml:space="preserve"> </w:t>
      </w:r>
    </w:p>
    <w:p w14:paraId="307F3260" w14:textId="77777777" w:rsidR="00B62D23" w:rsidRPr="002E75D2" w:rsidRDefault="00B62D23" w:rsidP="004E18E9">
      <w:pPr>
        <w:pStyle w:val="4-SubsectionHeading"/>
      </w:pPr>
      <w:bookmarkStart w:id="13" w:name="_Toc206291216"/>
      <w:bookmarkStart w:id="14" w:name="_Toc206426958"/>
      <w:bookmarkStart w:id="15" w:name="_Toc208411842"/>
      <w:r w:rsidRPr="002E75D2">
        <w:t>Previous PBAC consideration</w:t>
      </w:r>
      <w:bookmarkEnd w:id="13"/>
      <w:bookmarkEnd w:id="14"/>
      <w:bookmarkEnd w:id="15"/>
    </w:p>
    <w:p w14:paraId="2CF05C16" w14:textId="304462F3" w:rsidR="00D03CE8" w:rsidRPr="002E75D2" w:rsidRDefault="00D03CE8">
      <w:pPr>
        <w:pStyle w:val="3-BodyText"/>
      </w:pPr>
      <w:r w:rsidRPr="002E75D2">
        <w:t xml:space="preserve">This is the first submission for delgocitinib in any indication for PBAC consideration. If recommended, delgocitinib will be the first PBS-listed treatment </w:t>
      </w:r>
      <w:r w:rsidR="007F097B" w:rsidRPr="002E75D2">
        <w:t>specifically</w:t>
      </w:r>
      <w:r w:rsidRPr="002E75D2">
        <w:t xml:space="preserve"> for CHE.</w:t>
      </w:r>
      <w:r w:rsidR="006E5E46" w:rsidRPr="002E75D2">
        <w:t xml:space="preserve"> The PBAC </w:t>
      </w:r>
      <w:r w:rsidR="005B69FB" w:rsidRPr="002E75D2">
        <w:t>recommended</w:t>
      </w:r>
      <w:r w:rsidR="006E5E46" w:rsidRPr="002E75D2">
        <w:t xml:space="preserve"> the</w:t>
      </w:r>
      <w:r w:rsidR="003F5A61">
        <w:t xml:space="preserve"> nominated</w:t>
      </w:r>
      <w:r w:rsidR="006E5E46" w:rsidRPr="002E75D2">
        <w:t xml:space="preserve"> supplementary comparator</w:t>
      </w:r>
      <w:r w:rsidR="00E66496" w:rsidRPr="002E75D2">
        <w:t>,</w:t>
      </w:r>
      <w:r w:rsidR="006E5E46" w:rsidRPr="002E75D2">
        <w:t xml:space="preserve"> dupilumab</w:t>
      </w:r>
      <w:r w:rsidR="00E66496" w:rsidRPr="002E75D2">
        <w:t>,</w:t>
      </w:r>
      <w:r w:rsidR="006E5E46" w:rsidRPr="002E75D2">
        <w:t xml:space="preserve"> for the treatment of patients aged 12 years and older with severe atopic dermatitis who </w:t>
      </w:r>
      <w:r w:rsidR="006E5E46" w:rsidRPr="002E75D2">
        <w:lastRenderedPageBreak/>
        <w:t>are inadequately controlled on topical therapies</w:t>
      </w:r>
      <w:r w:rsidR="00970CE5">
        <w:t xml:space="preserve"> in March 2020</w:t>
      </w:r>
      <w:r w:rsidR="006E5E46" w:rsidRPr="002E75D2">
        <w:t xml:space="preserve"> (paragraph 7.1, dupilumab, </w:t>
      </w:r>
      <w:r w:rsidR="003605ED">
        <w:t xml:space="preserve">Public Summary Document </w:t>
      </w:r>
      <w:r w:rsidR="00021C98">
        <w:t>[</w:t>
      </w:r>
      <w:r w:rsidR="006E5E46" w:rsidRPr="002E75D2">
        <w:t>PSD</w:t>
      </w:r>
      <w:r w:rsidR="00021C98">
        <w:t>]</w:t>
      </w:r>
      <w:r w:rsidR="006E5E46" w:rsidRPr="002E75D2">
        <w:t>, March 2020 PBAC Meeting).</w:t>
      </w:r>
    </w:p>
    <w:p w14:paraId="2EC745B4" w14:textId="77777777" w:rsidR="00B62D23" w:rsidRPr="002E75D2" w:rsidRDefault="00B62D23" w:rsidP="004E18E9">
      <w:pPr>
        <w:pStyle w:val="2-SectionHeading"/>
      </w:pPr>
      <w:bookmarkStart w:id="16" w:name="_Toc206291217"/>
      <w:bookmarkStart w:id="17" w:name="_Toc206426959"/>
      <w:bookmarkStart w:id="18" w:name="_Toc208411843"/>
      <w:r w:rsidRPr="002E75D2">
        <w:t>Requested listing</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2966"/>
        <w:gridCol w:w="1237"/>
        <w:gridCol w:w="1203"/>
        <w:gridCol w:w="1205"/>
        <w:gridCol w:w="1203"/>
        <w:gridCol w:w="1203"/>
      </w:tblGrid>
      <w:tr w:rsidR="00D03CE8" w:rsidRPr="009A2CE5" w14:paraId="74D26BA5" w14:textId="77777777" w:rsidTr="0094471E">
        <w:trPr>
          <w:cantSplit/>
          <w:trHeight w:val="20"/>
        </w:trPr>
        <w:tc>
          <w:tcPr>
            <w:tcW w:w="1645" w:type="pct"/>
            <w:vAlign w:val="center"/>
          </w:tcPr>
          <w:p w14:paraId="30ED8E88" w14:textId="77777777" w:rsidR="00D03CE8" w:rsidRPr="009A2CE5" w:rsidRDefault="00D03CE8" w:rsidP="00FD6019">
            <w:pPr>
              <w:pStyle w:val="TableText0"/>
              <w:rPr>
                <w:b/>
                <w:bCs w:val="0"/>
              </w:rPr>
            </w:pPr>
            <w:r w:rsidRPr="009A2CE5">
              <w:rPr>
                <w:b/>
                <w:bCs w:val="0"/>
              </w:rPr>
              <w:t>MEDICINAL PRODUCT</w:t>
            </w:r>
          </w:p>
          <w:p w14:paraId="2481CB54" w14:textId="77777777" w:rsidR="00D03CE8" w:rsidRPr="009A2CE5" w:rsidRDefault="00D03CE8" w:rsidP="00FD6019">
            <w:pPr>
              <w:pStyle w:val="TableText0"/>
              <w:rPr>
                <w:b/>
                <w:bCs w:val="0"/>
              </w:rPr>
            </w:pPr>
            <w:r w:rsidRPr="009A2CE5">
              <w:rPr>
                <w:b/>
                <w:bCs w:val="0"/>
              </w:rPr>
              <w:t>medicinal product pack</w:t>
            </w:r>
          </w:p>
        </w:tc>
        <w:tc>
          <w:tcPr>
            <w:tcW w:w="686" w:type="pct"/>
            <w:vAlign w:val="center"/>
          </w:tcPr>
          <w:p w14:paraId="226219C7" w14:textId="4E4BB43A" w:rsidR="00D03CE8" w:rsidRPr="009A2CE5" w:rsidRDefault="009A2CE5" w:rsidP="00FD6019">
            <w:pPr>
              <w:pStyle w:val="TableText0"/>
              <w:rPr>
                <w:b/>
                <w:bCs w:val="0"/>
              </w:rPr>
            </w:pPr>
            <w:r w:rsidRPr="009A2CE5">
              <w:rPr>
                <w:b/>
                <w:bCs w:val="0"/>
              </w:rPr>
              <w:t>DPMQ</w:t>
            </w:r>
          </w:p>
        </w:tc>
        <w:tc>
          <w:tcPr>
            <w:tcW w:w="667" w:type="pct"/>
            <w:vAlign w:val="center"/>
          </w:tcPr>
          <w:p w14:paraId="2883ACFA" w14:textId="77777777" w:rsidR="00D03CE8" w:rsidRPr="009A2CE5" w:rsidRDefault="00D03CE8" w:rsidP="00FD6019">
            <w:pPr>
              <w:pStyle w:val="TableText0"/>
              <w:rPr>
                <w:b/>
                <w:bCs w:val="0"/>
              </w:rPr>
            </w:pPr>
            <w:r w:rsidRPr="009A2CE5">
              <w:rPr>
                <w:b/>
                <w:bCs w:val="0"/>
              </w:rPr>
              <w:t>Max. qty packs</w:t>
            </w:r>
          </w:p>
        </w:tc>
        <w:tc>
          <w:tcPr>
            <w:tcW w:w="668" w:type="pct"/>
            <w:vAlign w:val="center"/>
          </w:tcPr>
          <w:p w14:paraId="5E8FC9CF" w14:textId="77777777" w:rsidR="00D03CE8" w:rsidRPr="009A2CE5" w:rsidRDefault="00D03CE8" w:rsidP="00FD6019">
            <w:pPr>
              <w:pStyle w:val="TableText0"/>
              <w:rPr>
                <w:b/>
                <w:bCs w:val="0"/>
              </w:rPr>
            </w:pPr>
            <w:r w:rsidRPr="009A2CE5">
              <w:rPr>
                <w:b/>
                <w:bCs w:val="0"/>
              </w:rPr>
              <w:t>Max. qty units</w:t>
            </w:r>
          </w:p>
        </w:tc>
        <w:tc>
          <w:tcPr>
            <w:tcW w:w="667" w:type="pct"/>
            <w:vAlign w:val="center"/>
          </w:tcPr>
          <w:p w14:paraId="4D3E05FB" w14:textId="77777777" w:rsidR="00D03CE8" w:rsidRPr="009A2CE5" w:rsidRDefault="00D03CE8" w:rsidP="00FD6019">
            <w:pPr>
              <w:pStyle w:val="TableText0"/>
              <w:rPr>
                <w:b/>
                <w:bCs w:val="0"/>
              </w:rPr>
            </w:pPr>
            <w:r w:rsidRPr="009A2CE5">
              <w:rPr>
                <w:b/>
                <w:bCs w:val="0"/>
              </w:rPr>
              <w:t>No. of</w:t>
            </w:r>
          </w:p>
          <w:p w14:paraId="5F784AB8" w14:textId="77777777" w:rsidR="00D03CE8" w:rsidRPr="009A2CE5" w:rsidRDefault="00D03CE8" w:rsidP="00FD6019">
            <w:pPr>
              <w:pStyle w:val="TableText0"/>
              <w:rPr>
                <w:b/>
                <w:bCs w:val="0"/>
              </w:rPr>
            </w:pPr>
            <w:r w:rsidRPr="009A2CE5">
              <w:rPr>
                <w:b/>
                <w:bCs w:val="0"/>
              </w:rPr>
              <w:t>Rpts</w:t>
            </w:r>
          </w:p>
        </w:tc>
        <w:tc>
          <w:tcPr>
            <w:tcW w:w="667" w:type="pct"/>
            <w:vAlign w:val="center"/>
          </w:tcPr>
          <w:p w14:paraId="24D75B33" w14:textId="77777777" w:rsidR="00D03CE8" w:rsidRPr="009A2CE5" w:rsidRDefault="00D03CE8" w:rsidP="00FD6019">
            <w:pPr>
              <w:pStyle w:val="TableText0"/>
              <w:rPr>
                <w:b/>
                <w:bCs w:val="0"/>
              </w:rPr>
            </w:pPr>
            <w:r w:rsidRPr="009A2CE5">
              <w:rPr>
                <w:b/>
                <w:bCs w:val="0"/>
              </w:rPr>
              <w:t>Available brands</w:t>
            </w:r>
          </w:p>
        </w:tc>
      </w:tr>
      <w:tr w:rsidR="00D03CE8" w:rsidRPr="002E75D2" w14:paraId="78DFCEE1" w14:textId="77777777" w:rsidTr="0094471E">
        <w:trPr>
          <w:cantSplit/>
          <w:trHeight w:val="20"/>
        </w:trPr>
        <w:tc>
          <w:tcPr>
            <w:tcW w:w="5000" w:type="pct"/>
            <w:gridSpan w:val="6"/>
            <w:vAlign w:val="center"/>
          </w:tcPr>
          <w:p w14:paraId="47789B04" w14:textId="77777777" w:rsidR="00D03CE8" w:rsidRPr="002E75D2" w:rsidRDefault="00D03CE8" w:rsidP="00FD6019">
            <w:pPr>
              <w:pStyle w:val="TableText0"/>
              <w:rPr>
                <w:rFonts w:cs="Arial"/>
                <w:szCs w:val="20"/>
              </w:rPr>
            </w:pPr>
            <w:r w:rsidRPr="002E75D2">
              <w:t>DELGOCITINIB</w:t>
            </w:r>
          </w:p>
        </w:tc>
      </w:tr>
      <w:tr w:rsidR="00D03CE8" w:rsidRPr="002E75D2" w14:paraId="5659043B" w14:textId="77777777" w:rsidTr="0094471E">
        <w:trPr>
          <w:cantSplit/>
          <w:trHeight w:val="20"/>
        </w:trPr>
        <w:tc>
          <w:tcPr>
            <w:tcW w:w="1645" w:type="pct"/>
            <w:vAlign w:val="center"/>
          </w:tcPr>
          <w:p w14:paraId="3D107331" w14:textId="77777777" w:rsidR="00D03CE8" w:rsidRPr="002E75D2" w:rsidRDefault="00D03CE8" w:rsidP="00FD6019">
            <w:pPr>
              <w:pStyle w:val="TableText0"/>
            </w:pPr>
            <w:r w:rsidRPr="002E75D2">
              <w:t xml:space="preserve">Delgocitinib 20 mg / g (2%) cream </w:t>
            </w:r>
          </w:p>
          <w:p w14:paraId="3B1FF68B" w14:textId="557F4710" w:rsidR="00D03CE8" w:rsidRPr="002E75D2" w:rsidRDefault="00D03CE8" w:rsidP="00FD6019">
            <w:pPr>
              <w:pStyle w:val="TableText0"/>
              <w:rPr>
                <w:color w:val="0066FF"/>
                <w:szCs w:val="20"/>
              </w:rPr>
            </w:pPr>
            <w:r w:rsidRPr="002E75D2">
              <w:t>60 g 1 tube</w:t>
            </w:r>
          </w:p>
        </w:tc>
        <w:tc>
          <w:tcPr>
            <w:tcW w:w="686" w:type="pct"/>
          </w:tcPr>
          <w:p w14:paraId="544200DF" w14:textId="486897F4" w:rsidR="00D03CE8" w:rsidRPr="002E75D2" w:rsidRDefault="00D25DAF" w:rsidP="00FD6019">
            <w:pPr>
              <w:pStyle w:val="TableText0"/>
            </w:pPr>
            <w:r w:rsidRPr="002E75D2">
              <w:t xml:space="preserve">Published: </w:t>
            </w:r>
            <w:r w:rsidR="00D03CE8" w:rsidRPr="00C93468">
              <w:t>$</w:t>
            </w:r>
            <w:r w:rsidR="00D34C8E" w:rsidRPr="00D34C8E">
              <w:rPr>
                <w:highlight w:val="black"/>
              </w:rPr>
              <w:t>&amp;&amp;&amp;&amp;</w:t>
            </w:r>
            <w:r w:rsidR="007D5EAE" w:rsidRPr="00C93468">
              <w:t>*</w:t>
            </w:r>
          </w:p>
        </w:tc>
        <w:tc>
          <w:tcPr>
            <w:tcW w:w="667" w:type="pct"/>
            <w:vAlign w:val="center"/>
          </w:tcPr>
          <w:p w14:paraId="032844B4" w14:textId="77777777" w:rsidR="00D03CE8" w:rsidRPr="002E75D2" w:rsidRDefault="00D03CE8" w:rsidP="00FD6019">
            <w:pPr>
              <w:pStyle w:val="TableText0"/>
              <w:rPr>
                <w:szCs w:val="20"/>
              </w:rPr>
            </w:pPr>
            <w:r w:rsidRPr="002E75D2">
              <w:t>1</w:t>
            </w:r>
          </w:p>
        </w:tc>
        <w:tc>
          <w:tcPr>
            <w:tcW w:w="668" w:type="pct"/>
            <w:vAlign w:val="center"/>
          </w:tcPr>
          <w:p w14:paraId="3AE07120" w14:textId="77777777" w:rsidR="00D03CE8" w:rsidRPr="002E75D2" w:rsidRDefault="00D03CE8" w:rsidP="00FD6019">
            <w:pPr>
              <w:pStyle w:val="TableText0"/>
              <w:rPr>
                <w:szCs w:val="20"/>
              </w:rPr>
            </w:pPr>
            <w:r w:rsidRPr="002E75D2">
              <w:t>1</w:t>
            </w:r>
          </w:p>
        </w:tc>
        <w:tc>
          <w:tcPr>
            <w:tcW w:w="667" w:type="pct"/>
            <w:vAlign w:val="center"/>
          </w:tcPr>
          <w:p w14:paraId="4F60BA42" w14:textId="77777777" w:rsidR="00D03CE8" w:rsidRPr="002E75D2" w:rsidRDefault="00D03CE8" w:rsidP="00FD6019">
            <w:pPr>
              <w:pStyle w:val="TableText0"/>
              <w:rPr>
                <w:szCs w:val="20"/>
              </w:rPr>
            </w:pPr>
            <w:r w:rsidRPr="002E75D2">
              <w:t>1</w:t>
            </w:r>
          </w:p>
        </w:tc>
        <w:tc>
          <w:tcPr>
            <w:tcW w:w="667" w:type="pct"/>
            <w:vAlign w:val="center"/>
          </w:tcPr>
          <w:p w14:paraId="4CD65A74" w14:textId="77777777" w:rsidR="00D03CE8" w:rsidRPr="002E75D2" w:rsidRDefault="00D03CE8" w:rsidP="00FD6019">
            <w:pPr>
              <w:pStyle w:val="TableText0"/>
              <w:rPr>
                <w:color w:val="0066FF"/>
              </w:rPr>
            </w:pPr>
            <w:r w:rsidRPr="002E75D2">
              <w:t>Anzupgo</w:t>
            </w:r>
          </w:p>
        </w:tc>
      </w:tr>
    </w:tbl>
    <w:p w14:paraId="07CAE1AF" w14:textId="3EE8E691" w:rsidR="007D5EAE" w:rsidRPr="007D5EAE" w:rsidRDefault="007D5EAE" w:rsidP="00C93468">
      <w:pPr>
        <w:pStyle w:val="TableFigureFooter"/>
      </w:pPr>
      <w:r w:rsidRPr="007D5EAE">
        <w:rPr>
          <w:rFonts w:eastAsiaTheme="minorHAnsi"/>
        </w:rPr>
        <w:t>* DPMQ updated using July 2025 mark-ups</w:t>
      </w:r>
      <w:r w:rsidR="0080250B">
        <w:rPr>
          <w:rFonts w:eastAsiaTheme="minorHAnsi"/>
        </w:rPr>
        <w:t xml:space="preserve"> (DPMQ proposed in submission was $902.60)</w:t>
      </w:r>
    </w:p>
    <w:p w14:paraId="374B1201" w14:textId="77777777" w:rsidR="005B69FB" w:rsidRPr="009A2CE5" w:rsidRDefault="005B69FB" w:rsidP="009A2CE5">
      <w:pPr>
        <w:pStyle w:val="TableFigureFooter"/>
        <w:spacing w:after="0"/>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quested listing"/>
      </w:tblPr>
      <w:tblGrid>
        <w:gridCol w:w="9017"/>
      </w:tblGrid>
      <w:tr w:rsidR="00D03CE8" w:rsidRPr="002E75D2" w14:paraId="4931D788" w14:textId="77777777" w:rsidTr="0094471E">
        <w:trPr>
          <w:trHeight w:val="20"/>
        </w:trPr>
        <w:tc>
          <w:tcPr>
            <w:tcW w:w="5000" w:type="pct"/>
          </w:tcPr>
          <w:p w14:paraId="2BED49B8" w14:textId="77777777" w:rsidR="00D03CE8" w:rsidRPr="002E75D2" w:rsidRDefault="00D03CE8" w:rsidP="009A2CE5">
            <w:pPr>
              <w:pStyle w:val="TableText0"/>
              <w:keepLines w:val="0"/>
            </w:pPr>
            <w:r w:rsidRPr="002E75D2">
              <w:rPr>
                <w:b/>
              </w:rPr>
              <w:t xml:space="preserve">Category / Program: </w:t>
            </w:r>
            <w:r w:rsidRPr="002E75D2">
              <w:t>GENERAL – General Schedule (Code GE)</w:t>
            </w:r>
          </w:p>
        </w:tc>
      </w:tr>
      <w:tr w:rsidR="00D03CE8" w:rsidRPr="002E75D2" w14:paraId="140C2670" w14:textId="77777777" w:rsidTr="0094471E">
        <w:trPr>
          <w:trHeight w:val="20"/>
        </w:trPr>
        <w:tc>
          <w:tcPr>
            <w:tcW w:w="5000" w:type="pct"/>
          </w:tcPr>
          <w:p w14:paraId="18266562" w14:textId="7922CE69" w:rsidR="00D03CE8" w:rsidRPr="002E75D2" w:rsidRDefault="00D03CE8" w:rsidP="009A2CE5">
            <w:pPr>
              <w:pStyle w:val="TableText0"/>
              <w:keepLines w:val="0"/>
            </w:pPr>
            <w:r w:rsidRPr="002E75D2">
              <w:rPr>
                <w:b/>
              </w:rPr>
              <w:t>Prescriber type:</w:t>
            </w:r>
            <w:r w:rsidR="00F33CA6" w:rsidRPr="002E75D2">
              <w:rPr>
                <w:b/>
              </w:rPr>
              <w:t xml:space="preserve"> </w:t>
            </w:r>
            <w:r w:rsidRPr="002E75D2">
              <w:rPr>
                <w:b/>
              </w:rPr>
              <w:fldChar w:fldCharType="begin">
                <w:ffData>
                  <w:name w:val=""/>
                  <w:enabled/>
                  <w:calcOnExit w:val="0"/>
                  <w:checkBox>
                    <w:sizeAuto/>
                    <w:default w:val="0"/>
                  </w:checkBox>
                </w:ffData>
              </w:fldChar>
            </w:r>
            <w:r w:rsidRPr="002E75D2">
              <w:instrText xml:space="preserve"> FORMCHECKBOX </w:instrText>
            </w:r>
            <w:r w:rsidRPr="002E75D2">
              <w:rPr>
                <w:b/>
              </w:rPr>
            </w:r>
            <w:r w:rsidRPr="002E75D2">
              <w:rPr>
                <w:b/>
              </w:rPr>
              <w:fldChar w:fldCharType="separate"/>
            </w:r>
            <w:r w:rsidRPr="002E75D2">
              <w:rPr>
                <w:b/>
              </w:rPr>
              <w:fldChar w:fldCharType="end"/>
            </w:r>
            <w:r w:rsidRPr="002E75D2">
              <w:t xml:space="preserve">Dental </w:t>
            </w:r>
            <w:r w:rsidRPr="002E75D2">
              <w:rPr>
                <w:b/>
              </w:rPr>
              <w:fldChar w:fldCharType="begin">
                <w:ffData>
                  <w:name w:val=""/>
                  <w:enabled/>
                  <w:calcOnExit w:val="0"/>
                  <w:checkBox>
                    <w:sizeAuto/>
                    <w:default w:val="1"/>
                  </w:checkBox>
                </w:ffData>
              </w:fldChar>
            </w:r>
            <w:r w:rsidRPr="002E75D2">
              <w:instrText xml:space="preserve"> FORMCHECKBOX </w:instrText>
            </w:r>
            <w:r w:rsidRPr="002E75D2">
              <w:rPr>
                <w:b/>
              </w:rPr>
            </w:r>
            <w:r w:rsidRPr="002E75D2">
              <w:rPr>
                <w:b/>
              </w:rPr>
              <w:fldChar w:fldCharType="separate"/>
            </w:r>
            <w:r w:rsidRPr="002E75D2">
              <w:rPr>
                <w:b/>
              </w:rPr>
              <w:fldChar w:fldCharType="end"/>
            </w:r>
            <w:r w:rsidRPr="002E75D2">
              <w:t xml:space="preserve">Medical Practitioners </w:t>
            </w:r>
            <w:r w:rsidRPr="002E75D2">
              <w:rPr>
                <w:b/>
              </w:rPr>
              <w:fldChar w:fldCharType="begin">
                <w:ffData>
                  <w:name w:val="Check3"/>
                  <w:enabled/>
                  <w:calcOnExit w:val="0"/>
                  <w:checkBox>
                    <w:sizeAuto/>
                    <w:default w:val="0"/>
                  </w:checkBox>
                </w:ffData>
              </w:fldChar>
            </w:r>
            <w:r w:rsidRPr="002E75D2">
              <w:instrText xml:space="preserve"> FORMCHECKBOX </w:instrText>
            </w:r>
            <w:r w:rsidRPr="002E75D2">
              <w:rPr>
                <w:b/>
              </w:rPr>
            </w:r>
            <w:r w:rsidRPr="002E75D2">
              <w:rPr>
                <w:b/>
              </w:rPr>
              <w:fldChar w:fldCharType="separate"/>
            </w:r>
            <w:r w:rsidRPr="002E75D2">
              <w:rPr>
                <w:b/>
              </w:rPr>
              <w:fldChar w:fldCharType="end"/>
            </w:r>
            <w:r w:rsidRPr="002E75D2">
              <w:t xml:space="preserve">Nurse practitioners </w:t>
            </w:r>
            <w:r w:rsidRPr="002E75D2">
              <w:rPr>
                <w:b/>
              </w:rPr>
              <w:fldChar w:fldCharType="begin">
                <w:ffData>
                  <w:name w:val=""/>
                  <w:enabled/>
                  <w:calcOnExit w:val="0"/>
                  <w:checkBox>
                    <w:sizeAuto/>
                    <w:default w:val="0"/>
                  </w:checkBox>
                </w:ffData>
              </w:fldChar>
            </w:r>
            <w:r w:rsidRPr="002E75D2">
              <w:instrText xml:space="preserve"> FORMCHECKBOX </w:instrText>
            </w:r>
            <w:r w:rsidRPr="002E75D2">
              <w:rPr>
                <w:b/>
              </w:rPr>
            </w:r>
            <w:r w:rsidRPr="002E75D2">
              <w:rPr>
                <w:b/>
              </w:rPr>
              <w:fldChar w:fldCharType="separate"/>
            </w:r>
            <w:r w:rsidRPr="002E75D2">
              <w:rPr>
                <w:b/>
              </w:rPr>
              <w:fldChar w:fldCharType="end"/>
            </w:r>
            <w:r w:rsidRPr="002E75D2">
              <w:t xml:space="preserve">Optometrists </w:t>
            </w:r>
            <w:r w:rsidRPr="002E75D2">
              <w:rPr>
                <w:b/>
              </w:rPr>
              <w:fldChar w:fldCharType="begin">
                <w:ffData>
                  <w:name w:val="Check5"/>
                  <w:enabled/>
                  <w:calcOnExit w:val="0"/>
                  <w:checkBox>
                    <w:sizeAuto/>
                    <w:default w:val="0"/>
                  </w:checkBox>
                </w:ffData>
              </w:fldChar>
            </w:r>
            <w:r w:rsidRPr="002E75D2">
              <w:instrText xml:space="preserve"> FORMCHECKBOX </w:instrText>
            </w:r>
            <w:r w:rsidRPr="002E75D2">
              <w:rPr>
                <w:b/>
              </w:rPr>
            </w:r>
            <w:r w:rsidRPr="002E75D2">
              <w:rPr>
                <w:b/>
              </w:rPr>
              <w:fldChar w:fldCharType="separate"/>
            </w:r>
            <w:r w:rsidRPr="002E75D2">
              <w:rPr>
                <w:b/>
              </w:rPr>
              <w:fldChar w:fldCharType="end"/>
            </w:r>
            <w:r w:rsidRPr="002E75D2">
              <w:t>Midwives</w:t>
            </w:r>
          </w:p>
        </w:tc>
      </w:tr>
      <w:tr w:rsidR="00D03CE8" w:rsidRPr="002E75D2" w14:paraId="66726BCA" w14:textId="77777777" w:rsidTr="0094471E">
        <w:trPr>
          <w:trHeight w:val="20"/>
        </w:trPr>
        <w:tc>
          <w:tcPr>
            <w:tcW w:w="5000" w:type="pct"/>
          </w:tcPr>
          <w:p w14:paraId="312B5541" w14:textId="77777777" w:rsidR="00D03CE8" w:rsidRPr="002E75D2" w:rsidRDefault="00D03CE8" w:rsidP="009A2CE5">
            <w:pPr>
              <w:pStyle w:val="TableText0"/>
              <w:keepLines w:val="0"/>
            </w:pPr>
            <w:r w:rsidRPr="002E75D2">
              <w:t>Episodicity: Chronic</w:t>
            </w:r>
          </w:p>
        </w:tc>
      </w:tr>
      <w:tr w:rsidR="00D03CE8" w:rsidRPr="002E75D2" w14:paraId="1EB2DC6F" w14:textId="77777777" w:rsidTr="0094471E">
        <w:trPr>
          <w:trHeight w:val="20"/>
        </w:trPr>
        <w:tc>
          <w:tcPr>
            <w:tcW w:w="5000" w:type="pct"/>
          </w:tcPr>
          <w:p w14:paraId="4E9E01AB" w14:textId="77777777" w:rsidR="00D03CE8" w:rsidRPr="002E75D2" w:rsidRDefault="00D03CE8" w:rsidP="009A2CE5">
            <w:pPr>
              <w:pStyle w:val="TableText0"/>
              <w:keepLines w:val="0"/>
            </w:pPr>
            <w:r w:rsidRPr="002E75D2">
              <w:rPr>
                <w:b/>
              </w:rPr>
              <w:t xml:space="preserve">Severity: </w:t>
            </w:r>
            <w:r w:rsidRPr="002E75D2">
              <w:t>Moderate to severe</w:t>
            </w:r>
          </w:p>
        </w:tc>
      </w:tr>
      <w:tr w:rsidR="00D03CE8" w:rsidRPr="002E75D2" w14:paraId="1A91240B" w14:textId="77777777" w:rsidTr="0094471E">
        <w:trPr>
          <w:trHeight w:val="20"/>
        </w:trPr>
        <w:tc>
          <w:tcPr>
            <w:tcW w:w="5000" w:type="pct"/>
          </w:tcPr>
          <w:p w14:paraId="4EBF4399" w14:textId="77777777" w:rsidR="00D03CE8" w:rsidRPr="002E75D2" w:rsidRDefault="00D03CE8" w:rsidP="009A2CE5">
            <w:pPr>
              <w:pStyle w:val="TableText0"/>
              <w:keepLines w:val="0"/>
            </w:pPr>
            <w:r w:rsidRPr="002E75D2">
              <w:rPr>
                <w:b/>
              </w:rPr>
              <w:t xml:space="preserve">Condition: </w:t>
            </w:r>
            <w:r w:rsidRPr="002E75D2">
              <w:t>Chronic hand eczema</w:t>
            </w:r>
          </w:p>
        </w:tc>
      </w:tr>
      <w:tr w:rsidR="00D03CE8" w:rsidRPr="002E75D2" w14:paraId="72703178" w14:textId="77777777" w:rsidTr="0094471E">
        <w:trPr>
          <w:trHeight w:val="20"/>
        </w:trPr>
        <w:tc>
          <w:tcPr>
            <w:tcW w:w="5000" w:type="pct"/>
          </w:tcPr>
          <w:p w14:paraId="4D207D35" w14:textId="77777777" w:rsidR="00D03CE8" w:rsidRPr="002E75D2" w:rsidRDefault="00D03CE8" w:rsidP="009A2CE5">
            <w:pPr>
              <w:pStyle w:val="TableText0"/>
              <w:keepLines w:val="0"/>
            </w:pPr>
            <w:r w:rsidRPr="002E75D2">
              <w:rPr>
                <w:b/>
              </w:rPr>
              <w:t xml:space="preserve">PBS indication: </w:t>
            </w:r>
            <w:r w:rsidRPr="002E75D2">
              <w:t xml:space="preserve">Chronic moderate to severe hand eczema / dermatitis </w:t>
            </w:r>
          </w:p>
        </w:tc>
      </w:tr>
      <w:tr w:rsidR="00D03CE8" w:rsidRPr="002E75D2" w14:paraId="48AAB19E" w14:textId="77777777" w:rsidTr="0094471E">
        <w:trPr>
          <w:trHeight w:val="20"/>
        </w:trPr>
        <w:tc>
          <w:tcPr>
            <w:tcW w:w="5000" w:type="pct"/>
          </w:tcPr>
          <w:p w14:paraId="5526B2EB" w14:textId="77777777" w:rsidR="00D03CE8" w:rsidRPr="002E75D2" w:rsidRDefault="00D03CE8" w:rsidP="009A2CE5">
            <w:pPr>
              <w:pStyle w:val="TableText0"/>
              <w:keepLines w:val="0"/>
            </w:pPr>
            <w:r w:rsidRPr="002E75D2">
              <w:rPr>
                <w:b/>
              </w:rPr>
              <w:t xml:space="preserve">Treatment Phase: </w:t>
            </w:r>
            <w:r w:rsidRPr="002E75D2">
              <w:t>Initial and continuing</w:t>
            </w:r>
          </w:p>
        </w:tc>
      </w:tr>
      <w:tr w:rsidR="00D03CE8" w:rsidRPr="002E75D2" w14:paraId="082D7645" w14:textId="77777777" w:rsidTr="0094471E">
        <w:trPr>
          <w:trHeight w:val="20"/>
        </w:trPr>
        <w:tc>
          <w:tcPr>
            <w:tcW w:w="5000" w:type="pct"/>
          </w:tcPr>
          <w:p w14:paraId="576CE8D7" w14:textId="77777777" w:rsidR="00D03CE8" w:rsidRPr="002E75D2" w:rsidRDefault="00D03CE8" w:rsidP="009A2CE5">
            <w:pPr>
              <w:pStyle w:val="TableText0"/>
              <w:keepLines w:val="0"/>
            </w:pPr>
            <w:r w:rsidRPr="002E75D2">
              <w:t>Restriction Level / Method: Authority Required Written</w:t>
            </w:r>
          </w:p>
        </w:tc>
      </w:tr>
      <w:tr w:rsidR="00D03CE8" w:rsidRPr="002E75D2" w14:paraId="665E308D" w14:textId="77777777" w:rsidTr="0094471E">
        <w:trPr>
          <w:trHeight w:val="20"/>
        </w:trPr>
        <w:tc>
          <w:tcPr>
            <w:tcW w:w="5000" w:type="pct"/>
          </w:tcPr>
          <w:p w14:paraId="531EF9B3" w14:textId="77777777" w:rsidR="00D03CE8" w:rsidRPr="002E75D2" w:rsidRDefault="00D03CE8" w:rsidP="009A2CE5">
            <w:pPr>
              <w:pStyle w:val="TableText0"/>
              <w:keepLines w:val="0"/>
            </w:pPr>
            <w:r w:rsidRPr="002E75D2">
              <w:rPr>
                <w:b/>
              </w:rPr>
              <w:t xml:space="preserve">Treatment criteria: </w:t>
            </w:r>
            <w:r w:rsidRPr="002E75D2">
              <w:t>Must be treated by or in consultation with a dermatologist</w:t>
            </w:r>
          </w:p>
        </w:tc>
      </w:tr>
      <w:tr w:rsidR="00D03CE8" w:rsidRPr="002E75D2" w14:paraId="3D491CC0" w14:textId="77777777" w:rsidTr="0094471E">
        <w:trPr>
          <w:trHeight w:val="20"/>
        </w:trPr>
        <w:tc>
          <w:tcPr>
            <w:tcW w:w="5000" w:type="pct"/>
          </w:tcPr>
          <w:p w14:paraId="467979F9" w14:textId="77777777" w:rsidR="00D03CE8" w:rsidRPr="002E75D2" w:rsidRDefault="00D03CE8" w:rsidP="009A2CE5">
            <w:pPr>
              <w:pStyle w:val="TableText0"/>
              <w:keepLines w:val="0"/>
            </w:pPr>
            <w:r w:rsidRPr="002E75D2">
              <w:t xml:space="preserve">Clinical criteria: </w:t>
            </w:r>
          </w:p>
        </w:tc>
      </w:tr>
      <w:tr w:rsidR="00D03CE8" w:rsidRPr="002E75D2" w14:paraId="20B32B44" w14:textId="77777777" w:rsidTr="0094471E">
        <w:trPr>
          <w:trHeight w:val="20"/>
        </w:trPr>
        <w:tc>
          <w:tcPr>
            <w:tcW w:w="5000" w:type="pct"/>
          </w:tcPr>
          <w:p w14:paraId="38E0BCAE" w14:textId="77777777" w:rsidR="00D03CE8" w:rsidRPr="002E75D2" w:rsidRDefault="00D03CE8" w:rsidP="009A2CE5">
            <w:pPr>
              <w:pStyle w:val="TableText0"/>
              <w:keepLines w:val="0"/>
            </w:pPr>
            <w:r w:rsidRPr="002E75D2">
              <w:t>Patient must have moderate to severe hand eczema with an Investigator Global Assessment-Chronic Hand Eczema (IGA-CHE) score of 3 or 4;</w:t>
            </w:r>
          </w:p>
        </w:tc>
      </w:tr>
      <w:tr w:rsidR="00D03CE8" w:rsidRPr="002E75D2" w14:paraId="62C1D532" w14:textId="77777777" w:rsidTr="0094471E">
        <w:trPr>
          <w:trHeight w:val="20"/>
        </w:trPr>
        <w:tc>
          <w:tcPr>
            <w:tcW w:w="5000" w:type="pct"/>
          </w:tcPr>
          <w:p w14:paraId="148F9132" w14:textId="77777777" w:rsidR="00D03CE8" w:rsidRPr="002E75D2" w:rsidRDefault="00D03CE8" w:rsidP="009A2CE5">
            <w:pPr>
              <w:pStyle w:val="TableText0"/>
              <w:keepLines w:val="0"/>
            </w:pPr>
            <w:r w:rsidRPr="002E75D2">
              <w:t>AND</w:t>
            </w:r>
          </w:p>
        </w:tc>
      </w:tr>
      <w:tr w:rsidR="00D03CE8" w:rsidRPr="002E75D2" w14:paraId="0B1F516B" w14:textId="77777777" w:rsidTr="0094471E">
        <w:trPr>
          <w:trHeight w:val="20"/>
        </w:trPr>
        <w:tc>
          <w:tcPr>
            <w:tcW w:w="5000" w:type="pct"/>
          </w:tcPr>
          <w:p w14:paraId="411CDB8C" w14:textId="77777777" w:rsidR="00D03CE8" w:rsidRPr="002E75D2" w:rsidRDefault="00D03CE8" w:rsidP="009A2CE5">
            <w:pPr>
              <w:pStyle w:val="TableText0"/>
              <w:keepLines w:val="0"/>
            </w:pPr>
            <w:r w:rsidRPr="002E75D2">
              <w:t>Patient must have moderate to severe hand eczema that lasts for more than 3 months at a time, or has returned twice or more within the last 12 months;</w:t>
            </w:r>
          </w:p>
        </w:tc>
      </w:tr>
      <w:tr w:rsidR="00D03CE8" w:rsidRPr="002E75D2" w14:paraId="04850E19" w14:textId="77777777" w:rsidTr="0094471E">
        <w:trPr>
          <w:trHeight w:val="20"/>
        </w:trPr>
        <w:tc>
          <w:tcPr>
            <w:tcW w:w="5000" w:type="pct"/>
          </w:tcPr>
          <w:p w14:paraId="4B833B41" w14:textId="77777777" w:rsidR="00D03CE8" w:rsidRPr="002E75D2" w:rsidRDefault="00D03CE8" w:rsidP="009A2CE5">
            <w:pPr>
              <w:pStyle w:val="TableText0"/>
              <w:keepLines w:val="0"/>
            </w:pPr>
            <w:r w:rsidRPr="002E75D2">
              <w:t>AND</w:t>
            </w:r>
          </w:p>
        </w:tc>
      </w:tr>
      <w:tr w:rsidR="00D03CE8" w:rsidRPr="002E75D2" w14:paraId="1CA472CD" w14:textId="77777777" w:rsidTr="0094471E">
        <w:trPr>
          <w:trHeight w:val="20"/>
        </w:trPr>
        <w:tc>
          <w:tcPr>
            <w:tcW w:w="5000" w:type="pct"/>
          </w:tcPr>
          <w:p w14:paraId="7F7A949E" w14:textId="77777777" w:rsidR="00D03CE8" w:rsidRPr="002E75D2" w:rsidRDefault="00D03CE8" w:rsidP="009A2CE5">
            <w:pPr>
              <w:pStyle w:val="TableText0"/>
              <w:keepLines w:val="0"/>
            </w:pPr>
            <w:r w:rsidRPr="002E75D2">
              <w:t>Patient must have failed to achieve an adequate response to topical medium to high potency corticosteroids in the past 12 months;</w:t>
            </w:r>
          </w:p>
        </w:tc>
      </w:tr>
      <w:tr w:rsidR="00D03CE8" w:rsidRPr="002E75D2" w14:paraId="631FEEE8" w14:textId="77777777" w:rsidTr="0094471E">
        <w:trPr>
          <w:trHeight w:val="20"/>
        </w:trPr>
        <w:tc>
          <w:tcPr>
            <w:tcW w:w="5000" w:type="pct"/>
          </w:tcPr>
          <w:p w14:paraId="6BD4F09F" w14:textId="77777777" w:rsidR="00D03CE8" w:rsidRPr="002E75D2" w:rsidRDefault="00D03CE8" w:rsidP="009A2CE5">
            <w:pPr>
              <w:pStyle w:val="TableText0"/>
              <w:keepLines w:val="0"/>
            </w:pPr>
            <w:r w:rsidRPr="002E75D2">
              <w:t>OR</w:t>
            </w:r>
          </w:p>
        </w:tc>
      </w:tr>
      <w:tr w:rsidR="00D03CE8" w:rsidRPr="002E75D2" w14:paraId="09E98947" w14:textId="77777777" w:rsidTr="0094471E">
        <w:trPr>
          <w:trHeight w:val="20"/>
        </w:trPr>
        <w:tc>
          <w:tcPr>
            <w:tcW w:w="5000" w:type="pct"/>
          </w:tcPr>
          <w:p w14:paraId="5B1D30E4" w14:textId="77777777" w:rsidR="00D03CE8" w:rsidRPr="002E75D2" w:rsidRDefault="00D03CE8" w:rsidP="009A2CE5">
            <w:pPr>
              <w:pStyle w:val="TableText0"/>
              <w:keepLines w:val="0"/>
            </w:pPr>
            <w:r w:rsidRPr="002E75D2">
              <w:t>Use of topical corticosteroids is medically inadvisable for this patient;</w:t>
            </w:r>
          </w:p>
        </w:tc>
      </w:tr>
      <w:tr w:rsidR="00D03CE8" w:rsidRPr="002E75D2" w14:paraId="517C2611" w14:textId="77777777" w:rsidTr="0094471E">
        <w:trPr>
          <w:trHeight w:val="20"/>
        </w:trPr>
        <w:tc>
          <w:tcPr>
            <w:tcW w:w="5000" w:type="pct"/>
          </w:tcPr>
          <w:p w14:paraId="5F44123A" w14:textId="77777777" w:rsidR="00D03CE8" w:rsidRPr="002E75D2" w:rsidRDefault="00D03CE8" w:rsidP="009A2CE5">
            <w:pPr>
              <w:pStyle w:val="TableText0"/>
              <w:keepLines w:val="0"/>
            </w:pPr>
            <w:r w:rsidRPr="002E75D2">
              <w:t>AND</w:t>
            </w:r>
          </w:p>
        </w:tc>
      </w:tr>
      <w:tr w:rsidR="00D03CE8" w:rsidRPr="002E75D2" w14:paraId="3784B5C7" w14:textId="77777777" w:rsidTr="0094471E">
        <w:trPr>
          <w:trHeight w:val="20"/>
        </w:trPr>
        <w:tc>
          <w:tcPr>
            <w:tcW w:w="5000" w:type="pct"/>
          </w:tcPr>
          <w:p w14:paraId="22CD42B4" w14:textId="77777777" w:rsidR="00D03CE8" w:rsidRPr="002E75D2" w:rsidRDefault="00D03CE8" w:rsidP="009A2CE5">
            <w:pPr>
              <w:pStyle w:val="TableText0"/>
              <w:keepLines w:val="0"/>
              <w:rPr>
                <w:b/>
              </w:rPr>
            </w:pPr>
            <w:r w:rsidRPr="002E75D2">
              <w:t>The treatment must be as monotherapy.</w:t>
            </w:r>
          </w:p>
        </w:tc>
      </w:tr>
      <w:tr w:rsidR="00D03CE8" w:rsidRPr="002E75D2" w14:paraId="6A8BC76B" w14:textId="77777777" w:rsidTr="0094471E">
        <w:trPr>
          <w:trHeight w:val="20"/>
        </w:trPr>
        <w:tc>
          <w:tcPr>
            <w:tcW w:w="5000" w:type="pct"/>
          </w:tcPr>
          <w:p w14:paraId="793E6A95" w14:textId="77777777" w:rsidR="00D03CE8" w:rsidRPr="002E75D2" w:rsidRDefault="00D03CE8" w:rsidP="009A2CE5">
            <w:pPr>
              <w:pStyle w:val="TableText0"/>
              <w:keepLines w:val="0"/>
            </w:pPr>
            <w:r w:rsidRPr="002E75D2">
              <w:t>Population criteria:</w:t>
            </w:r>
          </w:p>
        </w:tc>
      </w:tr>
      <w:tr w:rsidR="00D03CE8" w:rsidRPr="002E75D2" w14:paraId="1AA7A7D0" w14:textId="77777777" w:rsidTr="0094471E">
        <w:trPr>
          <w:trHeight w:val="20"/>
        </w:trPr>
        <w:tc>
          <w:tcPr>
            <w:tcW w:w="5000" w:type="pct"/>
          </w:tcPr>
          <w:p w14:paraId="0F6E464A" w14:textId="77777777" w:rsidR="00D03CE8" w:rsidRPr="002E75D2" w:rsidRDefault="00D03CE8" w:rsidP="009A2CE5">
            <w:pPr>
              <w:pStyle w:val="TableText0"/>
              <w:keepLines w:val="0"/>
            </w:pPr>
            <w:r w:rsidRPr="002E75D2">
              <w:t>Prescriber instructions:</w:t>
            </w:r>
          </w:p>
          <w:p w14:paraId="148B4660" w14:textId="77777777" w:rsidR="00D03CE8" w:rsidRPr="002E75D2" w:rsidRDefault="00D03CE8" w:rsidP="009A2CE5">
            <w:pPr>
              <w:pStyle w:val="TableText0"/>
              <w:keepLines w:val="0"/>
            </w:pPr>
            <w:r w:rsidRPr="002E75D2">
              <w:t xml:space="preserve">The authority application must be made in writing and must include: </w:t>
            </w:r>
          </w:p>
          <w:p w14:paraId="3E177AE9" w14:textId="77777777" w:rsidR="00D03CE8" w:rsidRPr="002E75D2" w:rsidRDefault="00D03CE8" w:rsidP="009A2CE5">
            <w:pPr>
              <w:pStyle w:val="TableText0"/>
              <w:keepLines w:val="0"/>
            </w:pPr>
            <w:r w:rsidRPr="002E75D2">
              <w:t>(a) a completed authority prescription form; and</w:t>
            </w:r>
          </w:p>
          <w:p w14:paraId="25D312AA" w14:textId="77777777" w:rsidR="00D03CE8" w:rsidRPr="002E75D2" w:rsidRDefault="00D03CE8" w:rsidP="009A2CE5">
            <w:pPr>
              <w:pStyle w:val="TableText0"/>
              <w:keepLines w:val="0"/>
            </w:pPr>
            <w:r w:rsidRPr="002E75D2">
              <w:t xml:space="preserve">(b) a completed CHE Authority Application – Supporting Information form which includes the following: </w:t>
            </w:r>
          </w:p>
          <w:p w14:paraId="2D7FCB51" w14:textId="77777777" w:rsidR="00D03CE8" w:rsidRPr="002E75D2" w:rsidRDefault="00D03CE8" w:rsidP="009A2CE5">
            <w:pPr>
              <w:pStyle w:val="TableText0"/>
              <w:keepLines w:val="0"/>
            </w:pPr>
            <w:r w:rsidRPr="002E75D2">
              <w:t>(c) the completed current Investigator Global Assessment-Chronic Hand Eczema (IGA-CHE) calculation sheet including the date of assessment of the patient’s condition</w:t>
            </w:r>
          </w:p>
        </w:tc>
      </w:tr>
      <w:tr w:rsidR="00D03CE8" w:rsidRPr="002E75D2" w14:paraId="00665C68" w14:textId="77777777" w:rsidTr="0094471E">
        <w:trPr>
          <w:trHeight w:val="20"/>
        </w:trPr>
        <w:tc>
          <w:tcPr>
            <w:tcW w:w="5000" w:type="pct"/>
          </w:tcPr>
          <w:p w14:paraId="2CDD91AF" w14:textId="77777777" w:rsidR="00D03CE8" w:rsidRPr="002E75D2" w:rsidRDefault="00D03CE8" w:rsidP="009A2CE5">
            <w:pPr>
              <w:pStyle w:val="TableText0"/>
              <w:keepLines w:val="0"/>
            </w:pPr>
            <w:r w:rsidRPr="002E75D2">
              <w:t>Administrative Advice:</w:t>
            </w:r>
          </w:p>
          <w:p w14:paraId="4B2AA61D" w14:textId="77777777" w:rsidR="00D03CE8" w:rsidRPr="002E75D2" w:rsidRDefault="00D03CE8" w:rsidP="009A2CE5">
            <w:pPr>
              <w:pStyle w:val="TableText0"/>
              <w:keepLines w:val="0"/>
            </w:pPr>
            <w:r w:rsidRPr="002E75D2">
              <w:t>NOTE</w:t>
            </w:r>
          </w:p>
          <w:p w14:paraId="3E338193" w14:textId="77777777" w:rsidR="00D03CE8" w:rsidRPr="002E75D2" w:rsidRDefault="00D03CE8" w:rsidP="009A2CE5">
            <w:pPr>
              <w:pStyle w:val="TableText0"/>
              <w:keepLines w:val="0"/>
            </w:pPr>
            <w:r w:rsidRPr="002E75D2">
              <w:t>Moderate to severe chronic hand eczema is defined as IGA-CHE score of 3 or 4</w:t>
            </w:r>
          </w:p>
          <w:p w14:paraId="58FEB27A" w14:textId="77777777" w:rsidR="00D03CE8" w:rsidRPr="009A2CE5" w:rsidRDefault="00D03CE8" w:rsidP="009A2CE5">
            <w:pPr>
              <w:pStyle w:val="TableText0"/>
              <w:keepLines w:val="0"/>
              <w:rPr>
                <w:sz w:val="12"/>
                <w:szCs w:val="12"/>
              </w:rPr>
            </w:pPr>
          </w:p>
          <w:p w14:paraId="3E11D680" w14:textId="77777777" w:rsidR="00D03CE8" w:rsidRPr="002E75D2" w:rsidRDefault="00D03CE8" w:rsidP="009A2CE5">
            <w:pPr>
              <w:pStyle w:val="TableText0"/>
              <w:keepLines w:val="0"/>
            </w:pPr>
            <w:r w:rsidRPr="002E75D2">
              <w:t>NOTE</w:t>
            </w:r>
          </w:p>
          <w:p w14:paraId="4D5EC0B8" w14:textId="77777777" w:rsidR="00D03CE8" w:rsidRPr="002E75D2" w:rsidRDefault="00D03CE8" w:rsidP="009A2CE5">
            <w:pPr>
              <w:pStyle w:val="TableText0"/>
              <w:keepLines w:val="0"/>
            </w:pPr>
            <w:r w:rsidRPr="002E75D2">
              <w:t>Failure to achieve adequate response to topical medium to higher potency corticosteroids is defined as failure to achieve IGA-CHE score of ≤ 2 despite daily use.</w:t>
            </w:r>
          </w:p>
          <w:p w14:paraId="471432FA" w14:textId="77777777" w:rsidR="00D03CE8" w:rsidRPr="009A2CE5" w:rsidRDefault="00D03CE8" w:rsidP="009A2CE5">
            <w:pPr>
              <w:pStyle w:val="TableText0"/>
              <w:keepLines w:val="0"/>
              <w:rPr>
                <w:sz w:val="12"/>
                <w:szCs w:val="12"/>
              </w:rPr>
            </w:pPr>
          </w:p>
          <w:p w14:paraId="6CF47C61" w14:textId="77777777" w:rsidR="00D03CE8" w:rsidRPr="002E75D2" w:rsidRDefault="00D03CE8" w:rsidP="009A2CE5">
            <w:pPr>
              <w:pStyle w:val="TableText0"/>
              <w:keepLines w:val="0"/>
            </w:pPr>
            <w:r w:rsidRPr="002E75D2">
              <w:t>NOTE</w:t>
            </w:r>
          </w:p>
          <w:p w14:paraId="7A549417" w14:textId="77777777" w:rsidR="00D03CE8" w:rsidRPr="002E75D2" w:rsidRDefault="00D03CE8" w:rsidP="009A2CE5">
            <w:pPr>
              <w:pStyle w:val="TableText0"/>
              <w:keepLines w:val="0"/>
            </w:pPr>
            <w:r w:rsidRPr="002E75D2">
              <w:t>No increase in the maximum quantity or number of units may be authorised.</w:t>
            </w:r>
          </w:p>
          <w:p w14:paraId="19C22421" w14:textId="77777777" w:rsidR="00D03CE8" w:rsidRPr="009A2CE5" w:rsidRDefault="00D03CE8" w:rsidP="009A2CE5">
            <w:pPr>
              <w:pStyle w:val="TableText0"/>
              <w:keepLines w:val="0"/>
              <w:rPr>
                <w:sz w:val="12"/>
                <w:szCs w:val="12"/>
              </w:rPr>
            </w:pPr>
          </w:p>
          <w:p w14:paraId="47F0BD83" w14:textId="77777777" w:rsidR="00D03CE8" w:rsidRPr="002E75D2" w:rsidRDefault="00D03CE8" w:rsidP="009A2CE5">
            <w:pPr>
              <w:pStyle w:val="TableText0"/>
              <w:keepLines w:val="0"/>
            </w:pPr>
            <w:r w:rsidRPr="002E75D2">
              <w:t>NOTE</w:t>
            </w:r>
          </w:p>
          <w:p w14:paraId="79A314EA" w14:textId="77777777" w:rsidR="00D03CE8" w:rsidRPr="002E75D2" w:rsidRDefault="00D03CE8" w:rsidP="009A2CE5">
            <w:pPr>
              <w:pStyle w:val="TableText0"/>
              <w:keepLines w:val="0"/>
            </w:pPr>
            <w:r w:rsidRPr="002E75D2">
              <w:t>No increase in the maximum number of repeats may be authorised.</w:t>
            </w:r>
          </w:p>
        </w:tc>
      </w:tr>
    </w:tbl>
    <w:p w14:paraId="42F4887C" w14:textId="4F8B2649" w:rsidR="00B62D23" w:rsidRPr="00F56433" w:rsidRDefault="00EC7C2C" w:rsidP="006A2BFD">
      <w:pPr>
        <w:pStyle w:val="3-BodyText"/>
        <w:spacing w:before="120"/>
      </w:pPr>
      <w:r w:rsidRPr="00F56433">
        <w:lastRenderedPageBreak/>
        <w:t>The submission did not propose a Special Pricing Arrangement (SPA).</w:t>
      </w:r>
    </w:p>
    <w:p w14:paraId="2784A6EB" w14:textId="761638CD" w:rsidR="0056396A" w:rsidRPr="00F56433" w:rsidRDefault="0056396A" w:rsidP="0056396A">
      <w:pPr>
        <w:pStyle w:val="3-BodyText"/>
      </w:pPr>
      <w:r w:rsidRPr="00F56433">
        <w:t xml:space="preserve">The proposed maximum quantity and number of repeats were considered appropriate. </w:t>
      </w:r>
      <w:r w:rsidR="00054C06" w:rsidRPr="00F56433">
        <w:t xml:space="preserve">Across the DELTA 1-3 studies, </w:t>
      </w:r>
      <w:r w:rsidR="009D3D6C">
        <w:t xml:space="preserve">the </w:t>
      </w:r>
      <w:r w:rsidR="00054C06" w:rsidRPr="00F56433">
        <w:t>mean</w:t>
      </w:r>
      <w:r w:rsidR="00AA1349" w:rsidRPr="00F56433">
        <w:t xml:space="preserve"> amount of cream used per week ranged from</w:t>
      </w:r>
      <w:r w:rsidR="00097052" w:rsidRPr="00F56433">
        <w:t xml:space="preserve"> 7.47g (DELTA 3, weighted mean) to 8.54g (DELTA 1).</w:t>
      </w:r>
      <w:r w:rsidRPr="00F56433">
        <w:t xml:space="preserve"> Considering minor variation in use and some wastage, a 60 g tube</w:t>
      </w:r>
      <w:r w:rsidR="00E14D18">
        <w:t xml:space="preserve"> was estimated to last approximately 6 weeks. </w:t>
      </w:r>
    </w:p>
    <w:p w14:paraId="5C5F56BF" w14:textId="33F294A0" w:rsidR="00EC1271" w:rsidRPr="00F56433" w:rsidRDefault="00EC1271" w:rsidP="00175057">
      <w:pPr>
        <w:pStyle w:val="3-BodyText"/>
      </w:pPr>
      <w:r w:rsidRPr="00F56433">
        <w:t xml:space="preserve">The submission proposed that delgocitinib be prescribed by specialist dermatologists to ensure appropriate management of moderate to severe disease in adults with inadequate response to, or unsuitable for, TCS. To support access in rural and remote areas, prescribing by other medical practitioners, such as GPs, under dermatologist guidance was also proposed. </w:t>
      </w:r>
      <w:r w:rsidR="00175057">
        <w:t xml:space="preserve">The PBAC considered that as there are known issues accessing dermatologists, and in recognition of delgocitinib as a topical therapy, that it would be reasonable for delgocitinib to be able to be prescribed by medical practitioners, including general practitioners, for the treatment of moderate to severe CHE. </w:t>
      </w:r>
    </w:p>
    <w:p w14:paraId="5438EC53" w14:textId="0DD5C125" w:rsidR="008C0266" w:rsidRPr="00F56433" w:rsidRDefault="00717813">
      <w:pPr>
        <w:pStyle w:val="3-BodyText"/>
      </w:pPr>
      <w:r w:rsidRPr="00F56433">
        <w:t>The proposed restriction did not include a criterion limiting treatment to adults</w:t>
      </w:r>
      <w:r w:rsidR="00443601" w:rsidRPr="00F56433">
        <w:t xml:space="preserve"> although the draft TGA Product Information (PI) indication referred specifically to adult patients</w:t>
      </w:r>
      <w:r w:rsidR="00202889" w:rsidRPr="00F56433">
        <w:t xml:space="preserve"> and the piv</w:t>
      </w:r>
      <w:r w:rsidR="00ED5B1A" w:rsidRPr="00F56433">
        <w:t xml:space="preserve">otal trials excluded </w:t>
      </w:r>
      <w:r w:rsidR="00EC1271" w:rsidRPr="00F56433">
        <w:t>paediatric</w:t>
      </w:r>
      <w:r w:rsidR="00ED5B1A" w:rsidRPr="00F56433">
        <w:t xml:space="preserve"> patients</w:t>
      </w:r>
      <w:r w:rsidR="00443601" w:rsidRPr="00F56433">
        <w:t>.</w:t>
      </w:r>
      <w:r w:rsidR="00202889" w:rsidRPr="00F56433">
        <w:t xml:space="preserve"> Further, t</w:t>
      </w:r>
      <w:r w:rsidR="00A703E7" w:rsidRPr="00F56433">
        <w:t xml:space="preserve">he economic and financial models in the submission did not include children and adolescents (&lt;18 years). </w:t>
      </w:r>
    </w:p>
    <w:p w14:paraId="0356213C" w14:textId="1D47898F" w:rsidR="001D3BA3" w:rsidRPr="00F56433" w:rsidRDefault="009D3382" w:rsidP="008151AC">
      <w:pPr>
        <w:pStyle w:val="3-BodyText"/>
      </w:pPr>
      <w:r w:rsidRPr="00F56433">
        <w:t xml:space="preserve">The proposed restriction requires that patients have failed to achieve an adequate response to topical medium to high potency corticosteroids or for the use of topical corticosteroids to be inadvisable. </w:t>
      </w:r>
      <w:r w:rsidR="002E7263" w:rsidRPr="00F56433">
        <w:t>T</w:t>
      </w:r>
      <w:r w:rsidR="00067A40" w:rsidRPr="00F56433">
        <w:t>he proposed restriction</w:t>
      </w:r>
      <w:r w:rsidR="00396BD2" w:rsidRPr="00F56433">
        <w:t xml:space="preserve"> defined </w:t>
      </w:r>
      <w:r w:rsidR="007C2B3F" w:rsidRPr="00F56433">
        <w:t xml:space="preserve">‘an inadequate response’ </w:t>
      </w:r>
      <w:r w:rsidR="008151AC" w:rsidRPr="00F56433">
        <w:t xml:space="preserve">as </w:t>
      </w:r>
      <w:r w:rsidR="00A263B6" w:rsidRPr="00F56433">
        <w:t>an Investigator Global Assessment – Chronic Hand Eczema (</w:t>
      </w:r>
      <w:r w:rsidR="00DD0129" w:rsidRPr="00F56433">
        <w:t>IGA-CHE) score of 3 or 4</w:t>
      </w:r>
      <w:r w:rsidR="00764F46">
        <w:t xml:space="preserve"> within the previous 4 weeks</w:t>
      </w:r>
      <w:r w:rsidR="00DD0129" w:rsidRPr="00F56433">
        <w:t xml:space="preserve">. </w:t>
      </w:r>
      <w:r w:rsidR="009F3CB6" w:rsidRPr="00F56433">
        <w:t xml:space="preserve">The IGA-CHE is a novel </w:t>
      </w:r>
      <w:r w:rsidR="007E11CC" w:rsidRPr="00F56433">
        <w:t xml:space="preserve">Clinician-reported outcome measure that assesses CHE severity using the clinical characteristics of </w:t>
      </w:r>
      <w:r w:rsidR="0098726E" w:rsidRPr="00F56433">
        <w:t>erythema, scaling, lichenification/hyperkeratosis, vesiculation, oedema and fissu</w:t>
      </w:r>
      <w:r w:rsidR="001D3BA3" w:rsidRPr="00F56433">
        <w:t>r</w:t>
      </w:r>
      <w:r w:rsidR="0098726E" w:rsidRPr="00F56433">
        <w:t>es.</w:t>
      </w:r>
      <w:r w:rsidR="008151AC" w:rsidRPr="00F56433">
        <w:t xml:space="preserve"> The ESC noted that the submission did not provide a definition of ‘inadvisable’.</w:t>
      </w:r>
    </w:p>
    <w:p w14:paraId="0B538A6C" w14:textId="2352C9A1" w:rsidR="001D3BA3" w:rsidRPr="00F56433" w:rsidRDefault="001D3BA3" w:rsidP="001D3BA3">
      <w:pPr>
        <w:pStyle w:val="3-BodyText"/>
      </w:pPr>
      <w:r w:rsidRPr="00F56433">
        <w:t xml:space="preserve">The submission did not propose a separate restriction for the continuation phase. It stated that patients who completed a course of delgocitinib, responded, and later relapsed could access delgocitinib under the same restriction. The submission noted that patients with a full response would stop treatment and be </w:t>
      </w:r>
      <w:r w:rsidR="00EE35C6">
        <w:t>classified</w:t>
      </w:r>
      <w:r w:rsidR="00EE35C6" w:rsidRPr="00F56433">
        <w:t xml:space="preserve"> </w:t>
      </w:r>
      <w:r w:rsidRPr="00F56433">
        <w:t>as continuing patients. Those with a low or partial response could continue for up to 12 additional weeks; if they then responded, they would also become continuing patients; otherwise, treatment would cease. Non-responders would stop treatment and seek alternatives. Moreover, initial and relapsed patients differ, as initial treatment required failure to respond to medium- to high-potency TCS in the past 12 months, which may not apply to patients who previously responded and then relapsed</w:t>
      </w:r>
      <w:r w:rsidR="00AA48EE">
        <w:t>.</w:t>
      </w:r>
      <w:r w:rsidR="00BB53AE">
        <w:t xml:space="preserve"> </w:t>
      </w:r>
      <w:r w:rsidR="00AA48EE">
        <w:t>T</w:t>
      </w:r>
      <w:r w:rsidR="00BB53AE">
        <w:t xml:space="preserve">he pre-PBAC response stated that continuing patients would re-start treatment when signs and symptoms recur, without the need for another IGA-CHE assessment. </w:t>
      </w:r>
    </w:p>
    <w:p w14:paraId="2C2959C6" w14:textId="6BF482B7" w:rsidR="00D03CE8" w:rsidRPr="00F56433" w:rsidRDefault="00D03CE8">
      <w:pPr>
        <w:pStyle w:val="3-BodyText"/>
      </w:pPr>
      <w:r w:rsidRPr="00F56433">
        <w:lastRenderedPageBreak/>
        <w:t xml:space="preserve">The submission did not propose a separate grandfathering restriction. The submission noted that fewer than 10 patients may require grandfathering at the time of the PBS listing of delgocitinib. </w:t>
      </w:r>
    </w:p>
    <w:p w14:paraId="694F16FA" w14:textId="32CF835F" w:rsidR="003D32FF" w:rsidRPr="00F56433" w:rsidRDefault="003D32FF" w:rsidP="008F0D0C">
      <w:pPr>
        <w:ind w:firstLine="709"/>
      </w:pPr>
      <w:bookmarkStart w:id="19" w:name="_Hlk76375324"/>
      <w:r w:rsidRPr="00C33D30">
        <w:rPr>
          <w:rFonts w:asciiTheme="minorHAnsi" w:hAnsiTheme="minorHAnsi"/>
          <w:i/>
        </w:rPr>
        <w:t>For more detail on PBAC’s view, see section 7 PBAC outcome.</w:t>
      </w:r>
      <w:bookmarkEnd w:id="19"/>
    </w:p>
    <w:p w14:paraId="32B36FDF" w14:textId="77777777" w:rsidR="00B62D23" w:rsidRPr="002E75D2" w:rsidDel="00195452" w:rsidRDefault="00B62D23" w:rsidP="004E18E9">
      <w:pPr>
        <w:pStyle w:val="2-SectionHeading"/>
      </w:pPr>
      <w:bookmarkStart w:id="20" w:name="_Toc206291218"/>
      <w:bookmarkStart w:id="21" w:name="_Toc206426960"/>
      <w:bookmarkStart w:id="22" w:name="_Toc208411844"/>
      <w:r w:rsidRPr="002E75D2" w:rsidDel="00195452">
        <w:t>Population and disease</w:t>
      </w:r>
      <w:bookmarkEnd w:id="20"/>
      <w:bookmarkEnd w:id="21"/>
      <w:bookmarkEnd w:id="22"/>
    </w:p>
    <w:p w14:paraId="28D7827F" w14:textId="1A35797E" w:rsidR="00B62D23" w:rsidRPr="0088728A" w:rsidRDefault="00A32EC0">
      <w:pPr>
        <w:pStyle w:val="3-BodyText"/>
      </w:pPr>
      <w:r w:rsidRPr="0088728A">
        <w:t>CHE is a persistent inflammatory skin disorder mainly affecting the hands and wrists</w:t>
      </w:r>
      <w:r w:rsidR="00B62D23" w:rsidRPr="0088728A">
        <w:t xml:space="preserve">. </w:t>
      </w:r>
      <w:r w:rsidRPr="0088728A">
        <w:t>It is defined by long-lasting or frequently recurring symptoms that involve skin barrier dysfunction, immune dysregulation, and alterations in the skin microbiome. The condition is driven by a combination of genetic and environmental factors. While many cases are triggered by exposure to irritants or allergens, approximately 20% have no identifiable cause</w:t>
      </w:r>
      <w:r w:rsidRPr="0088728A">
        <w:rPr>
          <w:rStyle w:val="FootnoteReference"/>
        </w:rPr>
        <w:footnoteReference w:id="1"/>
      </w:r>
      <w:r w:rsidRPr="0088728A">
        <w:t>. Patients typically report itch and pain, both of which can significantly impact daily activities at home and work.</w:t>
      </w:r>
    </w:p>
    <w:p w14:paraId="675F1BDE" w14:textId="33941529" w:rsidR="00930EBC" w:rsidRPr="0088728A" w:rsidRDefault="00930EBC" w:rsidP="004E18E9">
      <w:pPr>
        <w:pStyle w:val="3-BodyText"/>
      </w:pPr>
      <w:r w:rsidRPr="0088728A">
        <w:t xml:space="preserve">The submission stated that there are no Australian-based epidemiological studies specifically focused on </w:t>
      </w:r>
      <w:r w:rsidR="002D5384" w:rsidRPr="0088728A">
        <w:t>hand eczema</w:t>
      </w:r>
      <w:r w:rsidRPr="0088728A">
        <w:t xml:space="preserve"> or CHE. The submission presented findings from the CHE epidemiology, Care, and Knowledge of real-life burden (CHECK) study</w:t>
      </w:r>
      <w:r w:rsidRPr="0088728A">
        <w:rPr>
          <w:rStyle w:val="FootnoteReference"/>
        </w:rPr>
        <w:footnoteReference w:id="2"/>
      </w:r>
      <w:r w:rsidRPr="0088728A">
        <w:t xml:space="preserve">, a large multinational observational study, which presented evidence from adult populations in 6 countries. It found that 62.7% of participants with physician-diagnosed CHE reported continuous symptoms for over 3 months and at least 2 flares within the past year. An additional 30.3% experienced 2 or more flares with symptoms lasting under 3 months, while 7.0% reported CHE lasting longer than 3 months with only </w:t>
      </w:r>
      <w:r w:rsidR="00212DED" w:rsidRPr="0088728A">
        <w:t>1</w:t>
      </w:r>
      <w:r w:rsidRPr="0088728A">
        <w:t xml:space="preserve"> flare. The annual prevalence rate of CHE was reported to be 4.7%.</w:t>
      </w:r>
    </w:p>
    <w:p w14:paraId="3BA7EB09" w14:textId="3AD226F4" w:rsidR="00B64166" w:rsidRPr="0088728A" w:rsidRDefault="00397FA3">
      <w:pPr>
        <w:pStyle w:val="3-BodyText"/>
      </w:pPr>
      <w:r w:rsidRPr="0088728A">
        <w:t xml:space="preserve">Hand eczema can be classified into aetiological (exogenous and endogenous) subtypes and clinical subtypes as described in the </w:t>
      </w:r>
      <w:r w:rsidR="00454D42" w:rsidRPr="0088728A">
        <w:t>European Society for Contact Dermatitis (</w:t>
      </w:r>
      <w:r w:rsidRPr="0088728A">
        <w:t>ESCD</w:t>
      </w:r>
      <w:r w:rsidR="0073795A" w:rsidRPr="0088728A">
        <w:t>)</w:t>
      </w:r>
      <w:r w:rsidRPr="0088728A">
        <w:t xml:space="preserve"> guidelines</w:t>
      </w:r>
      <w:r w:rsidR="005E53F2" w:rsidRPr="0088728A">
        <w:rPr>
          <w:rStyle w:val="FootnoteReference"/>
        </w:rPr>
        <w:footnoteReference w:id="3"/>
      </w:r>
      <w:r w:rsidRPr="0088728A">
        <w:t xml:space="preserve">. Exogenous causes arise from external factors: allergic contact dermatitis from delayed hypersensitivity to allergens such as metals, fragrances, or rubbers; irritant contact dermatitis from repeated exposure to irritants like detergents, solvents, or soaps; and contact urticaria/protein contact dermatitis </w:t>
      </w:r>
      <w:r w:rsidR="00AC3008" w:rsidRPr="0088728A">
        <w:t xml:space="preserve">which </w:t>
      </w:r>
      <w:r w:rsidRPr="0088728A">
        <w:t xml:space="preserve">is linked to IgE-mediated reactions to proteins such as latex or foodstuffs. Endogenous causes originate within the individual, most commonly atopic hand eczema, which is associated with atopic dermatitis, asthma, or hay fever. Clinical (morphological) subtypes, with no specific cause identified, include acute recurrent vesicular hand eczema (pompholyx) with vesicular eruptions, hyperkeratotic eczema with thickened </w:t>
      </w:r>
      <w:r w:rsidRPr="0088728A">
        <w:lastRenderedPageBreak/>
        <w:t>fissured palms, nummular eczema with coin-shaped lesions, and pulpitis affecting the fingertips.</w:t>
      </w:r>
    </w:p>
    <w:p w14:paraId="2B9AA0F0" w14:textId="5BDC145C" w:rsidR="00635076" w:rsidRPr="0088728A" w:rsidRDefault="00832920">
      <w:pPr>
        <w:pStyle w:val="3-BodyText"/>
      </w:pPr>
      <w:r w:rsidRPr="0088728A">
        <w:t xml:space="preserve">Delgocitinib is a pan-Janus kinase (JAK) inhibitor that acts on all four JAK enzymes, i.e. JAK1, JAK2, JAK3, and tyrosine kinase 2 (TYK2). </w:t>
      </w:r>
      <w:r w:rsidR="00635076" w:rsidRPr="0088728A">
        <w:t xml:space="preserve">The submission noted that more than half of patients with hand eczema present with mixed subtypes, each involving distinct T helper (CD4-positive) cell responses. Despite this variability, all forms share activation of JAK-STAT signalling pathways. By inhibiting all </w:t>
      </w:r>
      <w:r w:rsidR="0096203C" w:rsidRPr="0088728A">
        <w:t xml:space="preserve">four </w:t>
      </w:r>
      <w:r w:rsidR="00635076" w:rsidRPr="0088728A">
        <w:t>JAK enzymes, delgocitinib targets the shared inflammatory mechanisms across subtypes, offering a therapeutic approach that addresses the heterogeneous nature of CHE.</w:t>
      </w:r>
    </w:p>
    <w:p w14:paraId="269BF3E9" w14:textId="4F3925C6" w:rsidR="002D5384" w:rsidRPr="0088728A" w:rsidRDefault="002231AA" w:rsidP="00B724C1">
      <w:pPr>
        <w:pStyle w:val="3-BodyText"/>
      </w:pPr>
      <w:r w:rsidRPr="0088728A">
        <w:t>For the treatment of CHE, delgocitinib is applied twice daily to clean, dry skin on the hands and wrists. Treatment continues until the skin appears clear or nearly clear. Patients should avoid using other topical products immediately before or after applying delgo</w:t>
      </w:r>
      <w:r w:rsidR="00FC6599" w:rsidRPr="0088728A">
        <w:t>ci</w:t>
      </w:r>
      <w:r w:rsidRPr="0088728A">
        <w:t>tinib. In the event of a flare or recurrence of CHE symptoms, twice-daily application can be restarted on affected areas as needed. No dosing adjustment was recommended in the submission or the draft PI.</w:t>
      </w:r>
    </w:p>
    <w:p w14:paraId="2C61573A" w14:textId="5A6F3448" w:rsidR="00656FD5" w:rsidRDefault="00656FD5" w:rsidP="00656FD5">
      <w:pPr>
        <w:pStyle w:val="3-BodyText"/>
      </w:pPr>
      <w:bookmarkStart w:id="23" w:name="_Ref210998691"/>
      <w:bookmarkStart w:id="24" w:name="_Ref210992324"/>
      <w:r w:rsidRPr="0088728A">
        <w:t>The ESC considered that as a topical therapy that would be used in an episodic manner by most patients, the proposed positioning of delgocitinib may not reflect its likely use in practice. The ESC acknowledged the populations in the trials had an inadequate response or were unable to receive TCS, and had a minimum disease severity defined by diagnostic criteria (HESD itch score)</w:t>
      </w:r>
      <w:r w:rsidR="007B0BEE" w:rsidRPr="0088728A">
        <w:t>. H</w:t>
      </w:r>
      <w:r w:rsidRPr="0088728A">
        <w:t>owever, the ESC also considered that in practice, many patients with an inadequate or partial response to TCS would likely continue suboptimal treatment with the strongest tolerated therapy</w:t>
      </w:r>
      <w:r w:rsidR="007B0BEE" w:rsidRPr="0088728A">
        <w:t xml:space="preserve">. This would </w:t>
      </w:r>
      <w:r w:rsidRPr="0088728A">
        <w:t xml:space="preserve">lead to flow-on implications </w:t>
      </w:r>
      <w:r w:rsidR="007B0BEE" w:rsidRPr="0088728A">
        <w:t>including</w:t>
      </w:r>
      <w:r w:rsidRPr="0088728A">
        <w:t xml:space="preserve"> how delgocitinib </w:t>
      </w:r>
      <w:r w:rsidR="007B0BEE" w:rsidRPr="0088728A">
        <w:t>was</w:t>
      </w:r>
      <w:r w:rsidRPr="0088728A">
        <w:t xml:space="preserve"> likely to be positioned in the treatment algorithm, comparator selection, and clinical relevance of the presented clinical and economic analyses.</w:t>
      </w:r>
      <w:bookmarkEnd w:id="23"/>
      <w:r w:rsidRPr="0088728A">
        <w:t xml:space="preserve"> </w:t>
      </w:r>
      <w:bookmarkEnd w:id="24"/>
    </w:p>
    <w:p w14:paraId="70F361DF" w14:textId="13B0E935" w:rsidR="008A3452" w:rsidRDefault="008A3452" w:rsidP="008A3452">
      <w:pPr>
        <w:pStyle w:val="3-BodyText"/>
      </w:pPr>
      <w:r>
        <w:t xml:space="preserve">The Pre-PBAC Response </w:t>
      </w:r>
      <w:r w:rsidR="0065678A">
        <w:t>reiterated that</w:t>
      </w:r>
      <w:r>
        <w:t xml:space="preserve"> the place in therapy proposed in the submission reflected the clinical evidence for delgocitinib in the Australian context and noted that</w:t>
      </w:r>
      <w:r w:rsidR="00890486">
        <w:t>,</w:t>
      </w:r>
      <w:r>
        <w:t xml:space="preserve"> in other markets, alitretinoin was available as a therapeutic alternative in CHE. </w:t>
      </w:r>
    </w:p>
    <w:p w14:paraId="6578CD55" w14:textId="48921D57" w:rsidR="003D32FF" w:rsidRPr="0088728A" w:rsidRDefault="003D32FF" w:rsidP="0065678A">
      <w:pPr>
        <w:ind w:firstLine="709"/>
      </w:pPr>
      <w:r w:rsidRPr="00C33D30">
        <w:rPr>
          <w:rFonts w:asciiTheme="minorHAnsi" w:hAnsiTheme="minorHAnsi"/>
          <w:i/>
        </w:rPr>
        <w:t>For more detail on PBAC’s view, see section 7 PBAC outcome.</w:t>
      </w:r>
    </w:p>
    <w:p w14:paraId="171F6026" w14:textId="77777777" w:rsidR="00B62D23" w:rsidRPr="002E75D2" w:rsidRDefault="00B62D23" w:rsidP="004E18E9">
      <w:pPr>
        <w:pStyle w:val="2-SectionHeading"/>
      </w:pPr>
      <w:bookmarkStart w:id="25" w:name="_Toc206291219"/>
      <w:bookmarkStart w:id="26" w:name="_Toc206426961"/>
      <w:bookmarkStart w:id="27" w:name="_Toc208411845"/>
      <w:r w:rsidRPr="002E75D2">
        <w:t>Comparator</w:t>
      </w:r>
      <w:bookmarkEnd w:id="25"/>
      <w:bookmarkEnd w:id="26"/>
      <w:bookmarkEnd w:id="27"/>
    </w:p>
    <w:p w14:paraId="1FE49EE8" w14:textId="26E9F8DD" w:rsidR="003D1FEE" w:rsidRPr="00370EE7" w:rsidRDefault="00B62D23">
      <w:pPr>
        <w:pStyle w:val="3-BodyText"/>
      </w:pPr>
      <w:bookmarkStart w:id="28" w:name="_Ref207900398"/>
      <w:r w:rsidRPr="00370EE7">
        <w:t xml:space="preserve">The submission nominated </w:t>
      </w:r>
      <w:r w:rsidR="00450B6F" w:rsidRPr="00370EE7">
        <w:t>SoC</w:t>
      </w:r>
      <w:r w:rsidRPr="00370EE7">
        <w:t xml:space="preserve"> as the</w:t>
      </w:r>
      <w:r w:rsidR="00450B6F" w:rsidRPr="00370EE7">
        <w:t xml:space="preserve"> main</w:t>
      </w:r>
      <w:r w:rsidRPr="00370EE7">
        <w:t xml:space="preserve"> comparator in </w:t>
      </w:r>
      <w:r w:rsidR="00450B6F" w:rsidRPr="00370EE7">
        <w:t xml:space="preserve">moderate to </w:t>
      </w:r>
      <w:r w:rsidRPr="00370EE7">
        <w:t xml:space="preserve">severe </w:t>
      </w:r>
      <w:r w:rsidR="00450B6F" w:rsidRPr="00370EE7">
        <w:t>CHE treatment</w:t>
      </w:r>
      <w:r w:rsidRPr="00370EE7">
        <w:t>.</w:t>
      </w:r>
      <w:r w:rsidR="00987B74" w:rsidRPr="00370EE7">
        <w:t xml:space="preserve"> </w:t>
      </w:r>
      <w:bookmarkEnd w:id="28"/>
      <w:r w:rsidR="003D1FEE" w:rsidRPr="00370EE7">
        <w:t xml:space="preserve">The submission positioned delgocitinib before systemic therapy, stating that SoC was the only relevant option given the absence of PBS-listed topical therapies. </w:t>
      </w:r>
      <w:r w:rsidR="00DF7F49" w:rsidRPr="00370EE7">
        <w:t xml:space="preserve">SoC included non-medicated emollient use alone and avoidance of known irritants and allergens. </w:t>
      </w:r>
    </w:p>
    <w:p w14:paraId="0ADDD5BE" w14:textId="45F69AE9" w:rsidR="001D44F7" w:rsidRPr="00370EE7" w:rsidRDefault="009F3EE3" w:rsidP="001D44F7">
      <w:pPr>
        <w:pStyle w:val="3-BodyText"/>
      </w:pPr>
      <w:r>
        <w:t>During the evaluation, t</w:t>
      </w:r>
      <w:r w:rsidR="001E266C" w:rsidRPr="00370EE7">
        <w:t xml:space="preserve">he </w:t>
      </w:r>
      <w:r w:rsidR="00A62C8E">
        <w:t>makeup</w:t>
      </w:r>
      <w:r w:rsidR="00A62C8E" w:rsidRPr="00370EE7">
        <w:t xml:space="preserve"> </w:t>
      </w:r>
      <w:r w:rsidR="001E266C" w:rsidRPr="00370EE7">
        <w:t>of SoC</w:t>
      </w:r>
      <w:r w:rsidR="00A62C8E">
        <w:t xml:space="preserve"> </w:t>
      </w:r>
      <w:r w:rsidR="001E266C" w:rsidRPr="00370EE7">
        <w:t>was considered adequate</w:t>
      </w:r>
      <w:r w:rsidR="00EB073B" w:rsidRPr="00370EE7">
        <w:t xml:space="preserve"> only for </w:t>
      </w:r>
      <w:r w:rsidR="00B11C64" w:rsidRPr="00370EE7">
        <w:t xml:space="preserve">the small </w:t>
      </w:r>
      <w:r w:rsidR="0080752A">
        <w:t>proportion</w:t>
      </w:r>
      <w:r w:rsidR="0080752A" w:rsidRPr="00370EE7">
        <w:t xml:space="preserve"> </w:t>
      </w:r>
      <w:r w:rsidR="00B11C64" w:rsidRPr="00370EE7">
        <w:t>of patients who are contraindicated to TCS</w:t>
      </w:r>
      <w:r w:rsidR="001E266C" w:rsidRPr="00370EE7">
        <w:t xml:space="preserve">. </w:t>
      </w:r>
      <w:r w:rsidR="00B11C64" w:rsidRPr="00370EE7">
        <w:t>The PBAC has previously noted that in</w:t>
      </w:r>
      <w:r w:rsidR="001D44F7" w:rsidRPr="00370EE7">
        <w:t xml:space="preserve"> clinical practice, </w:t>
      </w:r>
      <w:r w:rsidR="00B11C64" w:rsidRPr="00370EE7">
        <w:t>for patients who have an intolerance to TCS or who have failed to achieve satisfactory control with TCS</w:t>
      </w:r>
      <w:r w:rsidR="00880B56" w:rsidRPr="00370EE7">
        <w:t xml:space="preserve">, some degree of continuing TCS use is likely </w:t>
      </w:r>
      <w:r w:rsidR="00880B56" w:rsidRPr="00370EE7">
        <w:lastRenderedPageBreak/>
        <w:t>for symptom management, and TCS</w:t>
      </w:r>
      <w:r w:rsidR="00224C7E" w:rsidRPr="00370EE7">
        <w:t xml:space="preserve"> should be included as a comparator</w:t>
      </w:r>
      <w:r w:rsidR="0077064A" w:rsidRPr="00370EE7">
        <w:t xml:space="preserve"> (paragraph 7.5, crisaborole PSD, November 2018 PBAC meeting</w:t>
      </w:r>
      <w:r w:rsidR="003C5905" w:rsidRPr="00370EE7">
        <w:t xml:space="preserve">). </w:t>
      </w:r>
      <w:r w:rsidR="00EC17BD" w:rsidRPr="00370EE7">
        <w:t xml:space="preserve">It was also noted that tacrolimus ointment </w:t>
      </w:r>
      <w:r w:rsidR="00ED241F" w:rsidRPr="00370EE7">
        <w:t>0.1%</w:t>
      </w:r>
      <w:r w:rsidR="006B45A7" w:rsidRPr="00370EE7">
        <w:t>, which is a topical calcineurin inhibitor (TCI)</w:t>
      </w:r>
      <w:r w:rsidR="00ED241F" w:rsidRPr="00370EE7">
        <w:t xml:space="preserve"> </w:t>
      </w:r>
      <w:r w:rsidR="00EC17BD" w:rsidRPr="00370EE7">
        <w:t xml:space="preserve">was recommended </w:t>
      </w:r>
      <w:r w:rsidR="00ED241F" w:rsidRPr="00370EE7">
        <w:t>in July 2025 for the treatment of moderate to severe atopic dermatitis</w:t>
      </w:r>
      <w:r w:rsidR="00312EBC" w:rsidRPr="00370EE7">
        <w:t xml:space="preserve"> and </w:t>
      </w:r>
      <w:r w:rsidR="00CC2D07" w:rsidRPr="00370EE7">
        <w:t xml:space="preserve">is </w:t>
      </w:r>
      <w:r w:rsidR="00312EBC" w:rsidRPr="00370EE7">
        <w:t xml:space="preserve">potentially </w:t>
      </w:r>
      <w:r w:rsidR="00CC2D07" w:rsidRPr="00370EE7">
        <w:t>a relevant comparator</w:t>
      </w:r>
      <w:r w:rsidR="00312EBC" w:rsidRPr="00370EE7">
        <w:t>.</w:t>
      </w:r>
      <w:r w:rsidR="00EC17BD" w:rsidRPr="00370EE7">
        <w:t xml:space="preserve"> </w:t>
      </w:r>
      <w:r w:rsidR="00B540FD" w:rsidRPr="00370EE7">
        <w:t xml:space="preserve">The </w:t>
      </w:r>
      <w:r w:rsidR="0028063A">
        <w:t>Pre-Sub-Committee Response (</w:t>
      </w:r>
      <w:r w:rsidR="00B540FD" w:rsidRPr="00370EE7">
        <w:t>PSCR</w:t>
      </w:r>
      <w:r w:rsidR="0028063A">
        <w:t>)</w:t>
      </w:r>
      <w:r w:rsidR="00B540FD" w:rsidRPr="00370EE7">
        <w:t xml:space="preserve"> </w:t>
      </w:r>
      <w:r w:rsidR="00293047" w:rsidRPr="00370EE7">
        <w:t>stated</w:t>
      </w:r>
      <w:r w:rsidR="00B540FD" w:rsidRPr="00370EE7">
        <w:t xml:space="preserve"> </w:t>
      </w:r>
      <w:r w:rsidR="000B7586" w:rsidRPr="00370EE7">
        <w:t xml:space="preserve">that </w:t>
      </w:r>
      <w:r w:rsidR="00B540FD" w:rsidRPr="00370EE7">
        <w:t xml:space="preserve">the proposed treatment algorithm separated SoC </w:t>
      </w:r>
      <w:r w:rsidR="00293047" w:rsidRPr="00370EE7">
        <w:t>from</w:t>
      </w:r>
      <w:r w:rsidR="00B540FD" w:rsidRPr="00370EE7">
        <w:t xml:space="preserve"> first-line pharmacotherapy (</w:t>
      </w:r>
      <w:r w:rsidR="00293047" w:rsidRPr="00370EE7">
        <w:t xml:space="preserve">which consists of </w:t>
      </w:r>
      <w:r w:rsidR="00B540FD" w:rsidRPr="00370EE7">
        <w:t xml:space="preserve">TCS or topical calcineurin inhibitors (TCIs)) and that for the target </w:t>
      </w:r>
      <w:r w:rsidR="00293047" w:rsidRPr="00370EE7">
        <w:t xml:space="preserve">delgocitinib </w:t>
      </w:r>
      <w:r w:rsidR="00B540FD" w:rsidRPr="00370EE7">
        <w:t xml:space="preserve">population, first line pharmacotherapy </w:t>
      </w:r>
      <w:r w:rsidR="00293047" w:rsidRPr="00370EE7">
        <w:t>was</w:t>
      </w:r>
      <w:r w:rsidR="00B540FD" w:rsidRPr="00370EE7">
        <w:t xml:space="preserve"> inadequate or not an option</w:t>
      </w:r>
      <w:r w:rsidR="00293047" w:rsidRPr="00370EE7">
        <w:t>. T</w:t>
      </w:r>
      <w:r w:rsidR="00B540FD" w:rsidRPr="00370EE7">
        <w:t>herefore</w:t>
      </w:r>
      <w:r w:rsidR="00293047" w:rsidRPr="00370EE7">
        <w:t>,</w:t>
      </w:r>
      <w:r w:rsidR="00B540FD" w:rsidRPr="00370EE7">
        <w:t xml:space="preserve"> the comparison to SoC </w:t>
      </w:r>
      <w:r w:rsidR="00293047" w:rsidRPr="00370EE7">
        <w:t>wa</w:t>
      </w:r>
      <w:r w:rsidR="00B540FD" w:rsidRPr="00370EE7">
        <w:t>s valid for assessing the clinical claims.</w:t>
      </w:r>
      <w:r w:rsidR="005B7C39" w:rsidRPr="00370EE7">
        <w:t xml:space="preserve"> The PSCR further </w:t>
      </w:r>
      <w:r w:rsidR="00F454D9" w:rsidRPr="00370EE7">
        <w:t xml:space="preserve">noted advice from the </w:t>
      </w:r>
      <w:r w:rsidR="00A162AA" w:rsidRPr="00370EE7">
        <w:t>NICE</w:t>
      </w:r>
      <w:r w:rsidR="00C75E6B" w:rsidRPr="00370EE7">
        <w:t xml:space="preserve"> EAG Report for delgocitinib that suggested </w:t>
      </w:r>
      <w:r w:rsidR="00B862AA" w:rsidRPr="00370EE7">
        <w:t>‘</w:t>
      </w:r>
      <w:r w:rsidR="00C75E6B" w:rsidRPr="00370EE7">
        <w:t>TCIs are oft</w:t>
      </w:r>
      <w:r w:rsidR="00E05C84" w:rsidRPr="00370EE7">
        <w:t>en used as first line optimisation alongside TCS and not as a monotherapy approach</w:t>
      </w:r>
      <w:r w:rsidR="00932773" w:rsidRPr="00370EE7">
        <w:t xml:space="preserve"> in the target patient population</w:t>
      </w:r>
      <w:r w:rsidR="00B862AA" w:rsidRPr="00370EE7">
        <w:t>’</w:t>
      </w:r>
      <w:r w:rsidR="00E05C84" w:rsidRPr="00370EE7">
        <w:t xml:space="preserve">, </w:t>
      </w:r>
      <w:r w:rsidR="00932773" w:rsidRPr="00370EE7">
        <w:t>whereas</w:t>
      </w:r>
      <w:r w:rsidR="00D72F50" w:rsidRPr="00370EE7">
        <w:t xml:space="preserve"> delgocitinib is intended to be a sole PBS subsidised therapy for CHE for patients meeting the relevant criteria. </w:t>
      </w:r>
    </w:p>
    <w:p w14:paraId="73ED33C3" w14:textId="3FBB4E68" w:rsidR="00C273BC" w:rsidRPr="00370EE7" w:rsidRDefault="00787190">
      <w:pPr>
        <w:pStyle w:val="3-BodyText"/>
      </w:pPr>
      <w:bookmarkStart w:id="29" w:name="_Ref210998693"/>
      <w:r w:rsidRPr="00370EE7">
        <w:t>The ESC considered that</w:t>
      </w:r>
      <w:r w:rsidR="00B73E38">
        <w:t>,</w:t>
      </w:r>
      <w:r w:rsidRPr="00370EE7">
        <w:t xml:space="preserve"> given the impact that moderate to severe CHE has on patients’ daily activity of living, </w:t>
      </w:r>
      <w:r w:rsidR="00B73E38">
        <w:t xml:space="preserve">patients </w:t>
      </w:r>
      <w:r w:rsidRPr="00370EE7">
        <w:t>are unlikely to only be treated with</w:t>
      </w:r>
      <w:r w:rsidR="00855B77" w:rsidRPr="00370EE7">
        <w:t xml:space="preserve"> SoC consisting of</w:t>
      </w:r>
      <w:r w:rsidRPr="00370EE7">
        <w:t xml:space="preserve"> non-medicated emollients. </w:t>
      </w:r>
      <w:r w:rsidR="00C273BC" w:rsidRPr="00370EE7">
        <w:t xml:space="preserve">The ESC accepted that </w:t>
      </w:r>
      <w:r w:rsidR="00855B77" w:rsidRPr="00370EE7">
        <w:t>TCS are not</w:t>
      </w:r>
      <w:r w:rsidR="00C273BC" w:rsidRPr="00370EE7">
        <w:t xml:space="preserve"> an appropriate comparator for patients contraindicated to or who cannot tolerate or use TCS, but that for the population who experience an inadequate response to TCS, suboptimal TCS may be an appropriate comparator, as patients may continue suboptimal treatment in practice. Furthermore, the ESC considered that tacrolimus</w:t>
      </w:r>
      <w:r w:rsidR="00DE6DB6">
        <w:t xml:space="preserve"> (compounded or otherwise)</w:t>
      </w:r>
      <w:r w:rsidR="00C273BC" w:rsidRPr="00370EE7">
        <w:t xml:space="preserve"> may be a </w:t>
      </w:r>
      <w:r w:rsidR="00032865" w:rsidRPr="00370EE7">
        <w:t>relevant</w:t>
      </w:r>
      <w:r w:rsidR="00C273BC" w:rsidRPr="00370EE7">
        <w:t xml:space="preserve"> comparator for</w:t>
      </w:r>
      <w:r w:rsidR="0075082E" w:rsidRPr="00370EE7">
        <w:t>, at least,</w:t>
      </w:r>
      <w:r w:rsidR="00C273BC" w:rsidRPr="00370EE7">
        <w:t xml:space="preserve"> the atopic subtype of chronic hand eczema.</w:t>
      </w:r>
      <w:bookmarkEnd w:id="29"/>
      <w:r w:rsidR="00A52955" w:rsidRPr="00370EE7">
        <w:t xml:space="preserve"> The ESC</w:t>
      </w:r>
      <w:r w:rsidR="003F1A59" w:rsidRPr="00370EE7">
        <w:t xml:space="preserve"> also</w:t>
      </w:r>
      <w:r w:rsidR="00A52955" w:rsidRPr="00370EE7">
        <w:t xml:space="preserve"> noted </w:t>
      </w:r>
      <w:r w:rsidR="005842FE" w:rsidRPr="00370EE7">
        <w:t xml:space="preserve">that </w:t>
      </w:r>
      <w:r w:rsidR="00725471" w:rsidRPr="00370EE7">
        <w:t>the</w:t>
      </w:r>
      <w:r w:rsidR="003F1A59" w:rsidRPr="00370EE7">
        <w:t xml:space="preserve"> 2019</w:t>
      </w:r>
      <w:r w:rsidR="004B4B23" w:rsidRPr="00370EE7">
        <w:t xml:space="preserve"> Cochrane Review</w:t>
      </w:r>
      <w:r w:rsidR="004B4B23" w:rsidRPr="00370EE7">
        <w:rPr>
          <w:rStyle w:val="FootnoteReference"/>
        </w:rPr>
        <w:footnoteReference w:id="4"/>
      </w:r>
      <w:r w:rsidR="00725471" w:rsidRPr="00370EE7">
        <w:t>,</w:t>
      </w:r>
      <w:r w:rsidR="000E5EB9" w:rsidRPr="00370EE7">
        <w:t xml:space="preserve"> </w:t>
      </w:r>
      <w:r w:rsidR="00725471" w:rsidRPr="00370EE7">
        <w:t xml:space="preserve">‘Interventions for hand eczema’, </w:t>
      </w:r>
      <w:r w:rsidR="004B4B23" w:rsidRPr="00370EE7">
        <w:t xml:space="preserve">concluded tacrolimus 0.1% </w:t>
      </w:r>
      <w:r w:rsidR="00FC62E2" w:rsidRPr="00370EE7">
        <w:t>probably improves investigator-rated symptom control</w:t>
      </w:r>
      <w:r w:rsidR="00D15514" w:rsidRPr="00370EE7">
        <w:t xml:space="preserve"> measured after three weeks compared to veh</w:t>
      </w:r>
      <w:r w:rsidR="004B50FF" w:rsidRPr="00370EE7">
        <w:t>icle</w:t>
      </w:r>
      <w:r w:rsidR="006A091D" w:rsidRPr="00370EE7">
        <w:t xml:space="preserve">. </w:t>
      </w:r>
    </w:p>
    <w:p w14:paraId="436EA5CE" w14:textId="09793898" w:rsidR="00F335EB" w:rsidRPr="00370EE7" w:rsidRDefault="00450B6F">
      <w:pPr>
        <w:pStyle w:val="3-BodyText"/>
      </w:pPr>
      <w:r w:rsidRPr="00370EE7">
        <w:t>Dupilumab</w:t>
      </w:r>
      <w:r w:rsidR="006D3478" w:rsidRPr="00370EE7">
        <w:t xml:space="preserve"> </w:t>
      </w:r>
      <w:r w:rsidRPr="00370EE7">
        <w:t xml:space="preserve">was nominated as </w:t>
      </w:r>
      <w:r w:rsidR="00D644F6" w:rsidRPr="00370EE7">
        <w:t xml:space="preserve">a </w:t>
      </w:r>
      <w:r w:rsidRPr="00370EE7">
        <w:t>supplementary comparator</w:t>
      </w:r>
      <w:r w:rsidR="006D3478" w:rsidRPr="00370EE7">
        <w:t xml:space="preserve"> due to its widespread use in clinical practice for the atopic subtype of CHE. </w:t>
      </w:r>
      <w:r w:rsidR="00F335EB" w:rsidRPr="00370EE7">
        <w:t xml:space="preserve">Upadacitinib may have also been considered an alternative treatment as it is used in the same population as dupilumab. </w:t>
      </w:r>
      <w:r w:rsidR="002A6AA7" w:rsidRPr="00370EE7">
        <w:t>The ESC considered</w:t>
      </w:r>
      <w:r w:rsidR="0075082E" w:rsidRPr="00370EE7">
        <w:t xml:space="preserve"> that,</w:t>
      </w:r>
      <w:r w:rsidR="002A6AA7" w:rsidRPr="00370EE7">
        <w:t xml:space="preserve"> </w:t>
      </w:r>
      <w:r w:rsidR="0075082E" w:rsidRPr="00370EE7">
        <w:t>as a topical therapy that would be used in an episodic manner by most patients, delgocitinib is unlikely to replace systemic treatments in a substantial proportion of patients.</w:t>
      </w:r>
    </w:p>
    <w:p w14:paraId="29B846A2" w14:textId="4A2CB2F6" w:rsidR="00B62D23" w:rsidRPr="00370EE7" w:rsidRDefault="001E266C">
      <w:pPr>
        <w:pStyle w:val="3-BodyText"/>
      </w:pPr>
      <w:r w:rsidRPr="00370EE7">
        <w:t xml:space="preserve">The submission </w:t>
      </w:r>
      <w:r w:rsidR="002B4866" w:rsidRPr="00370EE7">
        <w:t xml:space="preserve">also </w:t>
      </w:r>
      <w:r w:rsidR="00655FDD" w:rsidRPr="00370EE7">
        <w:t xml:space="preserve">stated </w:t>
      </w:r>
      <w:r w:rsidRPr="00370EE7">
        <w:t xml:space="preserve">that some dermatologists </w:t>
      </w:r>
      <w:r w:rsidR="002B4866" w:rsidRPr="00370EE7">
        <w:t xml:space="preserve">may </w:t>
      </w:r>
      <w:r w:rsidRPr="00370EE7">
        <w:t xml:space="preserve">prescribe dupilumab </w:t>
      </w:r>
      <w:r w:rsidR="00F335EB" w:rsidRPr="00370EE7">
        <w:t>(</w:t>
      </w:r>
      <w:r w:rsidRPr="00370EE7">
        <w:t>and upadacitinib</w:t>
      </w:r>
      <w:r w:rsidR="00F335EB" w:rsidRPr="00370EE7">
        <w:t>)</w:t>
      </w:r>
      <w:r w:rsidRPr="00370EE7">
        <w:t xml:space="preserve"> for CHE subtypes beyond those explicitly covered by their PBS listings</w:t>
      </w:r>
      <w:r w:rsidR="00CD3231" w:rsidRPr="00370EE7">
        <w:t xml:space="preserve"> (i.e. non atopic subtypes)</w:t>
      </w:r>
      <w:r w:rsidRPr="00370EE7">
        <w:t xml:space="preserve">, supporting its inclusion for comparison where treatment overlap exists. </w:t>
      </w:r>
      <w:r w:rsidR="006C2865" w:rsidRPr="00370EE7">
        <w:t>Atopic dermatitis affecting the hands is part of systemic atopy</w:t>
      </w:r>
      <w:r w:rsidR="00403EB5" w:rsidRPr="00370EE7">
        <w:t xml:space="preserve">, associated with </w:t>
      </w:r>
      <w:r w:rsidR="006C2865" w:rsidRPr="00370EE7">
        <w:t xml:space="preserve">immune dysregulation and barrier </w:t>
      </w:r>
      <w:r w:rsidR="00403EB5" w:rsidRPr="00370EE7">
        <w:t>dysfunction,</w:t>
      </w:r>
      <w:r w:rsidR="006C2865" w:rsidRPr="00370EE7">
        <w:t xml:space="preserve"> and often occurs alongside lesions elsewhere</w:t>
      </w:r>
      <w:r w:rsidR="00403EB5" w:rsidRPr="00370EE7">
        <w:t>. CHE, by</w:t>
      </w:r>
      <w:r w:rsidR="006C2865" w:rsidRPr="00370EE7">
        <w:t xml:space="preserve"> contrast, </w:t>
      </w:r>
      <w:r w:rsidR="00403EB5" w:rsidRPr="00370EE7">
        <w:t xml:space="preserve">is </w:t>
      </w:r>
      <w:r w:rsidR="006C2865" w:rsidRPr="00370EE7">
        <w:t xml:space="preserve">generally </w:t>
      </w:r>
      <w:r w:rsidR="00403EB5" w:rsidRPr="00370EE7">
        <w:t>limited</w:t>
      </w:r>
      <w:r w:rsidR="006C2865" w:rsidRPr="00370EE7">
        <w:t xml:space="preserve"> to the hands and </w:t>
      </w:r>
      <w:r w:rsidR="00403EB5" w:rsidRPr="00370EE7">
        <w:t xml:space="preserve">results from </w:t>
      </w:r>
      <w:r w:rsidR="006C2865" w:rsidRPr="00370EE7">
        <w:t>repeated exposure to irritants or allergens</w:t>
      </w:r>
      <w:r w:rsidR="00403EB5" w:rsidRPr="00370EE7">
        <w:t>. Atopic dermatitis is usually</w:t>
      </w:r>
      <w:r w:rsidR="006C2865" w:rsidRPr="00370EE7">
        <w:t xml:space="preserve"> erythematous, scaly, and lichenified, </w:t>
      </w:r>
      <w:r w:rsidR="00403EB5" w:rsidRPr="00370EE7">
        <w:t>while</w:t>
      </w:r>
      <w:r w:rsidR="006C2865" w:rsidRPr="00370EE7">
        <w:t xml:space="preserve"> CHE often shows </w:t>
      </w:r>
      <w:r w:rsidR="00403EB5" w:rsidRPr="00370EE7">
        <w:t xml:space="preserve">vesicles, hyperkeratosis, </w:t>
      </w:r>
      <w:r w:rsidR="00403EB5" w:rsidRPr="00370EE7">
        <w:lastRenderedPageBreak/>
        <w:t>or fissures.</w:t>
      </w:r>
      <w:r w:rsidR="006C2865" w:rsidRPr="00370EE7">
        <w:t xml:space="preserve"> The main </w:t>
      </w:r>
      <w:r w:rsidR="00403EB5" w:rsidRPr="00370EE7">
        <w:t>distinctions are aetiology</w:t>
      </w:r>
      <w:r w:rsidR="006C2865" w:rsidRPr="00370EE7">
        <w:t>, systemic involvement, and morphology.</w:t>
      </w:r>
      <w:r w:rsidR="00A7555C" w:rsidRPr="00370EE7">
        <w:t xml:space="preserve"> The use of dupilumab for </w:t>
      </w:r>
      <w:r w:rsidR="00CD3231" w:rsidRPr="00370EE7">
        <w:t xml:space="preserve">non-atopic </w:t>
      </w:r>
      <w:r w:rsidR="00A7555C" w:rsidRPr="00370EE7">
        <w:t xml:space="preserve">CHE </w:t>
      </w:r>
      <w:r w:rsidR="00F43B6F" w:rsidRPr="00370EE7">
        <w:t xml:space="preserve">may result from either uncertainty in identifying the clinical features or subtype, or from off-label use based on the assumption that the underlying pathophysiology would still respond to </w:t>
      </w:r>
      <w:r w:rsidR="00286D2A" w:rsidRPr="00370EE7">
        <w:t>dupilumab</w:t>
      </w:r>
      <w:r w:rsidR="00F43B6F" w:rsidRPr="00370EE7">
        <w:t xml:space="preserve"> or </w:t>
      </w:r>
      <w:r w:rsidR="00286D2A" w:rsidRPr="00370EE7">
        <w:t>upadacitinib</w:t>
      </w:r>
      <w:r w:rsidR="00F43B6F" w:rsidRPr="00370EE7">
        <w:t>.</w:t>
      </w:r>
    </w:p>
    <w:p w14:paraId="0AA8E2E0" w14:textId="0F5741B0" w:rsidR="00693821" w:rsidRPr="00370EE7" w:rsidRDefault="005B5543" w:rsidP="00693821">
      <w:pPr>
        <w:pStyle w:val="3-BodyText"/>
      </w:pPr>
      <w:r w:rsidRPr="00370EE7">
        <w:t>Phototherapy could be considered a relevant comparator to delgocitinib as it is a publicly funded, non-systemic treatment used in moderate to severe CHE when TCS are unsuitable. It occupies a similar place in therapy to delgocitinib prior to systemic immunosuppressants, provides a non-pharmacological alternative, and was a key comparator to delgocitinib in the National Institute for Health and Care Excellence (NICE) assessment</w:t>
      </w:r>
      <w:r w:rsidR="009049B7" w:rsidRPr="00370EE7">
        <w:rPr>
          <w:vertAlign w:val="superscript"/>
        </w:rPr>
        <w:footnoteReference w:id="5"/>
      </w:r>
      <w:r w:rsidRPr="00370EE7">
        <w:t>. While the submission argued against its use due to access issues</w:t>
      </w:r>
      <w:r w:rsidR="009049B7" w:rsidRPr="00370EE7">
        <w:rPr>
          <w:vertAlign w:val="superscript"/>
        </w:rPr>
        <w:footnoteReference w:id="6"/>
      </w:r>
      <w:r w:rsidRPr="00370EE7">
        <w:t>, these challenges are not unique to phototherapy and also apply to other specialist-delivered treatments.</w:t>
      </w:r>
      <w:r w:rsidR="00382614" w:rsidRPr="00370EE7">
        <w:t xml:space="preserve"> The PBAC previously noted that </w:t>
      </w:r>
      <w:r w:rsidR="00CA1310" w:rsidRPr="00370EE7">
        <w:t xml:space="preserve">there may be some use of phototherapy in </w:t>
      </w:r>
      <w:r w:rsidR="00280B71" w:rsidRPr="00370EE7">
        <w:t>patients with chronic moderate to severe atopic dermatitis</w:t>
      </w:r>
      <w:r w:rsidR="000C10DD" w:rsidRPr="00370EE7">
        <w:t>; however,</w:t>
      </w:r>
      <w:r w:rsidR="00CA1310" w:rsidRPr="00370EE7">
        <w:t xml:space="preserve"> there </w:t>
      </w:r>
      <w:r w:rsidR="00280B71" w:rsidRPr="00370EE7">
        <w:t>was</w:t>
      </w:r>
      <w:r w:rsidR="00CA1310" w:rsidRPr="00370EE7">
        <w:t xml:space="preserve"> likely to be limited clinical evidence to inform a comparison with dupilumab</w:t>
      </w:r>
      <w:r w:rsidR="0015701F" w:rsidRPr="00370EE7">
        <w:t xml:space="preserve"> (para</w:t>
      </w:r>
      <w:r w:rsidR="00EC055B" w:rsidRPr="00370EE7">
        <w:t xml:space="preserve">graph 5.4, dupilumab, PSD, </w:t>
      </w:r>
      <w:r w:rsidR="00063F74" w:rsidRPr="00370EE7">
        <w:t>July 2019 PBAC meeting).</w:t>
      </w:r>
      <w:r w:rsidR="005559D9" w:rsidRPr="00370EE7">
        <w:t xml:space="preserve"> </w:t>
      </w:r>
      <w:r w:rsidR="0025616F" w:rsidRPr="00370EE7">
        <w:t xml:space="preserve">Further, </w:t>
      </w:r>
      <w:r w:rsidR="005559D9" w:rsidRPr="00370EE7">
        <w:t xml:space="preserve">uptake of phototherapy was limited by patient access to this service and the considerable </w:t>
      </w:r>
      <w:r w:rsidR="000C10DD" w:rsidRPr="00370EE7">
        <w:t>out-of-pocket</w:t>
      </w:r>
      <w:r w:rsidR="005559D9" w:rsidRPr="00370EE7">
        <w:t xml:space="preserve"> expenses associated with it (paragraph 5.3, dupilumab, PSD, July 2019 PBAC meeting).</w:t>
      </w:r>
      <w:r w:rsidR="00693821" w:rsidRPr="00370EE7">
        <w:t xml:space="preserve"> </w:t>
      </w:r>
      <w:r w:rsidR="00BE2A0F" w:rsidRPr="00370EE7">
        <w:t xml:space="preserve">The PSCR </w:t>
      </w:r>
      <w:r w:rsidR="002B2D3C" w:rsidRPr="00370EE7">
        <w:t xml:space="preserve">stated that </w:t>
      </w:r>
      <w:r w:rsidR="00332573" w:rsidRPr="00370EE7">
        <w:t xml:space="preserve">the </w:t>
      </w:r>
      <w:r w:rsidR="00841649" w:rsidRPr="00370EE7">
        <w:t xml:space="preserve">MBS </w:t>
      </w:r>
      <w:r w:rsidR="000162A6" w:rsidRPr="00370EE7">
        <w:t>listing</w:t>
      </w:r>
      <w:r w:rsidR="00841649" w:rsidRPr="00370EE7">
        <w:t xml:space="preserve"> for phototherapy (item 14050) restrict</w:t>
      </w:r>
      <w:r w:rsidR="002B2D3C" w:rsidRPr="00370EE7">
        <w:t>ed</w:t>
      </w:r>
      <w:r w:rsidR="00841649" w:rsidRPr="00370EE7">
        <w:t xml:space="preserve"> </w:t>
      </w:r>
      <w:r w:rsidR="002B2D3C" w:rsidRPr="00370EE7">
        <w:t xml:space="preserve">use </w:t>
      </w:r>
      <w:r w:rsidR="00841649" w:rsidRPr="00370EE7">
        <w:t xml:space="preserve">to when topical therapy has failed or is inappropriate, and </w:t>
      </w:r>
      <w:r w:rsidR="006F7A5E" w:rsidRPr="00370EE7">
        <w:t xml:space="preserve">it </w:t>
      </w:r>
      <w:r w:rsidR="00841649" w:rsidRPr="00370EE7">
        <w:t xml:space="preserve">would therefore be positioned after delgocitinib in the treatment algorithm. </w:t>
      </w:r>
    </w:p>
    <w:p w14:paraId="2BA7CCC3" w14:textId="6664D8D3" w:rsidR="00F335EB" w:rsidRPr="00370EE7" w:rsidRDefault="0020698D" w:rsidP="0025616F">
      <w:pPr>
        <w:pStyle w:val="3-BodyText"/>
      </w:pPr>
      <w:r w:rsidRPr="00370EE7">
        <w:t xml:space="preserve">The submission noted that </w:t>
      </w:r>
      <w:r w:rsidR="00F335EB" w:rsidRPr="00370EE7">
        <w:t>immunosuppressants including methotrexate, azathioprine, ciclosporin, and mycophenolate mofetil, were either associated with greater safety concerns or lacked formal listing</w:t>
      </w:r>
      <w:r w:rsidR="00EA6B08" w:rsidRPr="00370EE7">
        <w:t xml:space="preserve"> </w:t>
      </w:r>
      <w:r w:rsidR="00F335EB" w:rsidRPr="00370EE7">
        <w:t>making them unsuitable comparators. Methotrexate, azathioprine, ciclosporin, and mycophenolate mofetil have not been considered as comparators for other treatments, including dupilumab and upadacitinib. The PBAC previously considered ciclosporin A to be an additional relevant comparator to dupilumab (paragraph 5,4, dupilumab, PSD, July 2019 PBAC Meeting). However,</w:t>
      </w:r>
      <w:r w:rsidR="003A3D8A">
        <w:t xml:space="preserve"> </w:t>
      </w:r>
      <w:r w:rsidR="00F335EB" w:rsidRPr="00370EE7">
        <w:t>it acknowledged that ciclosporin was associated with considerable toxicity, of note renal toxicity and the need to limit the duration of exposure (paragraph 6.35, dupilumab, PSD, July 2019 PBAC Meeting).</w:t>
      </w:r>
    </w:p>
    <w:p w14:paraId="354594B8" w14:textId="7F72D7EA" w:rsidR="003D32FF" w:rsidRPr="00370EE7" w:rsidRDefault="003D32FF" w:rsidP="003E3837">
      <w:pPr>
        <w:ind w:firstLine="709"/>
      </w:pPr>
      <w:r w:rsidRPr="00C33D30">
        <w:rPr>
          <w:rFonts w:asciiTheme="minorHAnsi" w:hAnsiTheme="minorHAnsi"/>
          <w:i/>
        </w:rPr>
        <w:t>For more detail on PBAC’s view, see section 7 PBAC outcome.</w:t>
      </w:r>
    </w:p>
    <w:p w14:paraId="2CDC95E9" w14:textId="77777777" w:rsidR="00B62D23" w:rsidRPr="002E75D2" w:rsidRDefault="00B62D23" w:rsidP="00223D5A">
      <w:pPr>
        <w:pStyle w:val="2-SectionHeading"/>
        <w:numPr>
          <w:ilvl w:val="0"/>
          <w:numId w:val="1"/>
        </w:numPr>
      </w:pPr>
      <w:bookmarkStart w:id="30" w:name="_Toc206291220"/>
      <w:bookmarkStart w:id="31" w:name="_Toc206426962"/>
      <w:bookmarkStart w:id="32" w:name="_Toc208411846"/>
      <w:bookmarkStart w:id="33" w:name="_Toc22897640"/>
      <w:r w:rsidRPr="002E75D2">
        <w:lastRenderedPageBreak/>
        <w:t>Consideration of the evidence</w:t>
      </w:r>
      <w:bookmarkEnd w:id="30"/>
      <w:bookmarkEnd w:id="31"/>
      <w:bookmarkEnd w:id="32"/>
    </w:p>
    <w:p w14:paraId="3DA9C610" w14:textId="77777777" w:rsidR="005234AD" w:rsidRPr="006E1229" w:rsidRDefault="005234AD" w:rsidP="00801B57">
      <w:pPr>
        <w:pStyle w:val="3-SubsectionHeading"/>
        <w:outlineLvl w:val="1"/>
        <w:rPr>
          <w:lang w:eastAsia="en-AU"/>
        </w:rPr>
      </w:pPr>
      <w:bookmarkStart w:id="34" w:name="_Hlk76375935"/>
      <w:bookmarkStart w:id="35" w:name="_Toc206291221"/>
      <w:bookmarkStart w:id="36" w:name="_Toc206426963"/>
      <w:bookmarkStart w:id="37" w:name="_Toc208411847"/>
      <w:r w:rsidRPr="006E1229">
        <w:rPr>
          <w:lang w:eastAsia="en-AU"/>
        </w:rPr>
        <w:t>Sponsor hearing</w:t>
      </w:r>
    </w:p>
    <w:p w14:paraId="439AA200" w14:textId="0A36093E" w:rsidR="005234AD" w:rsidRPr="003B56A6" w:rsidRDefault="003B56A6" w:rsidP="00127ADA">
      <w:pPr>
        <w:widowControl w:val="0"/>
        <w:numPr>
          <w:ilvl w:val="1"/>
          <w:numId w:val="1"/>
        </w:numPr>
        <w:spacing w:after="120"/>
        <w:ind w:left="720"/>
        <w:rPr>
          <w:rFonts w:cs="Calibri"/>
          <w:bCs/>
          <w:snapToGrid w:val="0"/>
        </w:rPr>
      </w:pPr>
      <w:r w:rsidRPr="003B56A6">
        <w:rPr>
          <w:rFonts w:asciiTheme="minorHAnsi" w:hAnsiTheme="minorHAnsi"/>
          <w:bCs/>
          <w:snapToGrid w:val="0"/>
        </w:rPr>
        <w:t xml:space="preserve">The </w:t>
      </w:r>
      <w:r w:rsidR="003E3837">
        <w:rPr>
          <w:rFonts w:asciiTheme="minorHAnsi" w:hAnsiTheme="minorHAnsi"/>
          <w:bCs/>
          <w:snapToGrid w:val="0"/>
        </w:rPr>
        <w:t>s</w:t>
      </w:r>
      <w:r w:rsidRPr="003B56A6">
        <w:rPr>
          <w:rFonts w:asciiTheme="minorHAnsi" w:hAnsiTheme="minorHAnsi"/>
          <w:bCs/>
          <w:snapToGrid w:val="0"/>
        </w:rPr>
        <w:t xml:space="preserve">ponsor requested a hearing for this item. The clinician discussed the treatment landscape in Australia, the burden of disease on patients and the clinical need for new and effective therapies. The clinician also discussed the results of the clinical trials, that demonstrated patients have improvement and restoration of dexterity and that many patients continued to have clear skin for extended periods following treatment with delgocitinib. The clinician highlighted that patients who receive topical corticosteroids suffer adverse events and thinning of the skin with continuous </w:t>
      </w:r>
      <w:r w:rsidR="001C2CEB" w:rsidRPr="003B56A6">
        <w:rPr>
          <w:rFonts w:asciiTheme="minorHAnsi" w:hAnsiTheme="minorHAnsi"/>
          <w:bCs/>
          <w:snapToGrid w:val="0"/>
        </w:rPr>
        <w:t>use and</w:t>
      </w:r>
      <w:r w:rsidRPr="003B56A6">
        <w:rPr>
          <w:rFonts w:asciiTheme="minorHAnsi" w:hAnsiTheme="minorHAnsi"/>
          <w:bCs/>
          <w:snapToGrid w:val="0"/>
        </w:rPr>
        <w:t xml:space="preserve"> noted the listing of delgocitinib would be particularly advantageous for regional and rural patients where access to dermatologists was limited and managing systemic therapies can be complicated.</w:t>
      </w:r>
    </w:p>
    <w:p w14:paraId="1398FE63" w14:textId="2DEBD9DF" w:rsidR="00140B3F" w:rsidRPr="00140B3F" w:rsidRDefault="005234AD" w:rsidP="00801B57">
      <w:pPr>
        <w:pStyle w:val="3-SubsectionHeading"/>
        <w:outlineLvl w:val="1"/>
        <w:rPr>
          <w:lang w:eastAsia="en-AU"/>
        </w:rPr>
      </w:pPr>
      <w:r w:rsidRPr="006E1229">
        <w:rPr>
          <w:lang w:eastAsia="en-AU"/>
        </w:rPr>
        <w:t xml:space="preserve">Consumer </w:t>
      </w:r>
      <w:r>
        <w:rPr>
          <w:lang w:eastAsia="en-AU"/>
        </w:rPr>
        <w:t>input</w:t>
      </w:r>
      <w:r w:rsidRPr="006E1229">
        <w:rPr>
          <w:lang w:eastAsia="en-AU"/>
        </w:rPr>
        <w:t>s</w:t>
      </w:r>
      <w:bookmarkStart w:id="38" w:name="_Hlk76382618"/>
    </w:p>
    <w:p w14:paraId="06274162" w14:textId="3210C9D9" w:rsidR="00140B3F" w:rsidRPr="00140B3F" w:rsidRDefault="00140B3F" w:rsidP="00140B3F">
      <w:pPr>
        <w:pStyle w:val="3-BodyText"/>
        <w:rPr>
          <w:rFonts w:eastAsia="Times New Roman" w:cs="Arial"/>
          <w:bCs/>
          <w:iCs/>
          <w:snapToGrid w:val="0"/>
          <w:szCs w:val="24"/>
        </w:rPr>
      </w:pPr>
      <w:r w:rsidRPr="00140B3F">
        <w:rPr>
          <w:rFonts w:eastAsia="Times New Roman" w:cs="Arial"/>
          <w:bCs/>
          <w:iCs/>
          <w:snapToGrid w:val="0"/>
          <w:szCs w:val="24"/>
        </w:rPr>
        <w:t>The PBAC noted and welcomed the input from individuals (2), health professionals (2), medical organisation the Australasian College of Dermatologists (ACD), and consumer organisations Eczema Support Australia and Eczema Association Australia, all supporting the listing of delgocitinib.</w:t>
      </w:r>
    </w:p>
    <w:p w14:paraId="566F2F50" w14:textId="32013A00" w:rsidR="00140B3F" w:rsidRPr="00140B3F" w:rsidRDefault="00140B3F" w:rsidP="00140B3F">
      <w:pPr>
        <w:pStyle w:val="3-BodyText"/>
        <w:rPr>
          <w:rFonts w:eastAsia="Times New Roman" w:cs="Arial"/>
          <w:bCs/>
          <w:iCs/>
          <w:snapToGrid w:val="0"/>
          <w:szCs w:val="24"/>
        </w:rPr>
      </w:pPr>
      <w:r w:rsidRPr="00140B3F">
        <w:rPr>
          <w:rFonts w:eastAsia="Times New Roman" w:cs="Arial"/>
          <w:bCs/>
          <w:iCs/>
          <w:snapToGrid w:val="0"/>
          <w:szCs w:val="24"/>
        </w:rPr>
        <w:t xml:space="preserve">The Committee noted the input from individuals described CHE as a relentless condition that causes both physical pain and emotional distress, with daily tasks such as typing, using door handles and opening packaging described as painful obstacles, with a frequent need to take time off work. The input also highlighted the benefits if general practitioners were able to prescribe delgocitinib, due to issues accessing and affording a dermatologist. </w:t>
      </w:r>
    </w:p>
    <w:p w14:paraId="274E50B6" w14:textId="1DD5746D" w:rsidR="00140B3F" w:rsidRPr="00140B3F" w:rsidRDefault="00140B3F" w:rsidP="00140B3F">
      <w:pPr>
        <w:pStyle w:val="3-BodyText"/>
        <w:rPr>
          <w:rFonts w:eastAsia="Times New Roman" w:cs="Arial"/>
          <w:bCs/>
          <w:iCs/>
          <w:snapToGrid w:val="0"/>
          <w:szCs w:val="24"/>
        </w:rPr>
      </w:pPr>
      <w:r w:rsidRPr="00140B3F">
        <w:rPr>
          <w:rFonts w:eastAsia="Times New Roman" w:cs="Arial"/>
          <w:bCs/>
          <w:iCs/>
          <w:snapToGrid w:val="0"/>
          <w:szCs w:val="24"/>
        </w:rPr>
        <w:t xml:space="preserve">The PBAC noted the input from health professionals described delgocitinib as a novel, safe and effective treatment that may prevent the need for systemic </w:t>
      </w:r>
      <w:r w:rsidR="00463C23" w:rsidRPr="00140B3F">
        <w:rPr>
          <w:rFonts w:eastAsia="Times New Roman" w:cs="Arial"/>
          <w:bCs/>
          <w:iCs/>
          <w:snapToGrid w:val="0"/>
          <w:szCs w:val="24"/>
        </w:rPr>
        <w:t>therapies and</w:t>
      </w:r>
      <w:r w:rsidRPr="00140B3F">
        <w:rPr>
          <w:rFonts w:eastAsia="Times New Roman" w:cs="Arial"/>
          <w:bCs/>
          <w:iCs/>
          <w:snapToGrid w:val="0"/>
          <w:szCs w:val="24"/>
        </w:rPr>
        <w:t xml:space="preserve"> discussed the unwanted side effects the arise from long-term use of topical corticosteroids. The input also outlined the limitations of other treatments such as phototherapy, systemic immunosuppressants and targeted therapies including issues accessing specialists to prescribe and/or administer therapies, long-term effectiveness and known safety issues with some therapies.</w:t>
      </w:r>
    </w:p>
    <w:p w14:paraId="4992C233" w14:textId="0E1CAAAD" w:rsidR="00140B3F" w:rsidRPr="00140B3F" w:rsidRDefault="00140B3F" w:rsidP="00140B3F">
      <w:pPr>
        <w:pStyle w:val="3-BodyText"/>
        <w:rPr>
          <w:rFonts w:eastAsia="Times New Roman" w:cs="Arial"/>
          <w:bCs/>
          <w:iCs/>
          <w:snapToGrid w:val="0"/>
          <w:szCs w:val="24"/>
        </w:rPr>
      </w:pPr>
      <w:r w:rsidRPr="00140B3F">
        <w:rPr>
          <w:rFonts w:eastAsia="Times New Roman" w:cs="Arial"/>
          <w:bCs/>
          <w:iCs/>
          <w:snapToGrid w:val="0"/>
          <w:szCs w:val="24"/>
        </w:rPr>
        <w:t xml:space="preserve">The PBAC noted the input from the ACD highlighted the negative impact of CHE on patients and supported the listing of delgocitinib, stating it would be of significant benefit in improving affordability, equitable access and quality of life for patients. </w:t>
      </w:r>
    </w:p>
    <w:p w14:paraId="55A70E7D" w14:textId="6B0A2729" w:rsidR="00140B3F" w:rsidRPr="00463C23" w:rsidRDefault="00140B3F" w:rsidP="00463C23">
      <w:pPr>
        <w:pStyle w:val="3-BodyText"/>
        <w:rPr>
          <w:rFonts w:eastAsia="Times New Roman" w:cs="Arial"/>
          <w:bCs/>
          <w:iCs/>
          <w:snapToGrid w:val="0"/>
          <w:szCs w:val="24"/>
        </w:rPr>
      </w:pPr>
      <w:r w:rsidRPr="00140B3F">
        <w:rPr>
          <w:rFonts w:eastAsia="Times New Roman" w:cs="Arial"/>
          <w:bCs/>
          <w:iCs/>
          <w:snapToGrid w:val="0"/>
          <w:szCs w:val="24"/>
        </w:rPr>
        <w:t xml:space="preserve">The PBAC welcomed the input from Eczema Support Australia, which presented patient voices and the results of a September 2025 hand eczema survey, where patients reported barriers to care included cost of treatment, long wait times and the impacts of their condition on work and personal life. The PBAC also noted the input noted TCS, where used appropriately, remain the cornerstone of eczema treatment, but highlighted targeted therapies such as dupilumab are only available for the atopic </w:t>
      </w:r>
      <w:r w:rsidRPr="00140B3F">
        <w:rPr>
          <w:rFonts w:eastAsia="Times New Roman" w:cs="Arial"/>
          <w:bCs/>
          <w:iCs/>
          <w:snapToGrid w:val="0"/>
          <w:szCs w:val="24"/>
        </w:rPr>
        <w:lastRenderedPageBreak/>
        <w:t xml:space="preserve">dermatitis subtype of CHE and there is a clear gap for patients who need a practical, effective non-steroidal option when TCS are no longer sufficient or appropriate. </w:t>
      </w:r>
    </w:p>
    <w:p w14:paraId="184D1978" w14:textId="77777777" w:rsidR="00463C23" w:rsidRPr="00463C23" w:rsidRDefault="00140B3F" w:rsidP="00140B3F">
      <w:pPr>
        <w:pStyle w:val="3-BodyText"/>
        <w:rPr>
          <w:bCs/>
          <w:snapToGrid w:val="0"/>
        </w:rPr>
      </w:pPr>
      <w:r w:rsidRPr="00140B3F">
        <w:rPr>
          <w:rFonts w:eastAsia="Times New Roman" w:cs="Arial"/>
          <w:bCs/>
          <w:iCs/>
          <w:snapToGrid w:val="0"/>
          <w:szCs w:val="24"/>
        </w:rPr>
        <w:t xml:space="preserve">The PBAC also welcomed the input from Eczema Association Australia, which discussed the current treatment landscape for CHE in Australia, and highlighted many patients report only partial or short-term relief with currently available treatments such as TCS, with clear risks from long-term use, and that systemic immunosuppressants have a poor safety profile, and phototherapy is difficult and costly to access. The PBAC also noted the input discussed CHE the burden of disease and highlighted the need for new safe and effective therapies that are affordable and accessible. The input also discussed the potential for delgocitinib to have a positive and transformative effect on quality of life for some patients. </w:t>
      </w:r>
    </w:p>
    <w:bookmarkEnd w:id="34"/>
    <w:bookmarkEnd w:id="38"/>
    <w:p w14:paraId="256FDF7E" w14:textId="77777777" w:rsidR="00B62D23" w:rsidRPr="002E75D2" w:rsidRDefault="00B62D23" w:rsidP="002E4F02">
      <w:pPr>
        <w:pStyle w:val="4-SubsectionHeading"/>
      </w:pPr>
      <w:r w:rsidRPr="002E75D2">
        <w:t>Clinical trials</w:t>
      </w:r>
      <w:bookmarkEnd w:id="33"/>
      <w:bookmarkEnd w:id="35"/>
      <w:bookmarkEnd w:id="36"/>
      <w:bookmarkEnd w:id="37"/>
    </w:p>
    <w:p w14:paraId="41E5910E" w14:textId="61014BF7" w:rsidR="005125CA" w:rsidRPr="00370EE7" w:rsidRDefault="006E78C2" w:rsidP="005125CA">
      <w:pPr>
        <w:pStyle w:val="3-BodyText"/>
      </w:pPr>
      <w:bookmarkStart w:id="39" w:name="_Hlk207216853"/>
      <w:r w:rsidRPr="00370EE7">
        <w:t xml:space="preserve">The submission was </w:t>
      </w:r>
      <w:r w:rsidR="001765C0" w:rsidRPr="00370EE7">
        <w:t xml:space="preserve">primarily </w:t>
      </w:r>
      <w:r w:rsidRPr="00370EE7">
        <w:t xml:space="preserve">based on </w:t>
      </w:r>
      <w:r w:rsidR="00CC2935" w:rsidRPr="00370EE7">
        <w:t xml:space="preserve">2 </w:t>
      </w:r>
      <w:r w:rsidRPr="00370EE7">
        <w:t>head-to-head randomised controlled trials comparing delgocitinib</w:t>
      </w:r>
      <w:r w:rsidR="00813C4B" w:rsidRPr="00370EE7">
        <w:t xml:space="preserve"> </w:t>
      </w:r>
      <w:r w:rsidRPr="00370EE7">
        <w:t xml:space="preserve">to </w:t>
      </w:r>
      <w:r w:rsidR="00CC2935" w:rsidRPr="00370EE7">
        <w:t xml:space="preserve">a </w:t>
      </w:r>
      <w:r w:rsidRPr="00370EE7">
        <w:t>cream vehicle (representing SoC)</w:t>
      </w:r>
      <w:bookmarkEnd w:id="39"/>
      <w:r w:rsidRPr="00370EE7">
        <w:t>:</w:t>
      </w:r>
    </w:p>
    <w:p w14:paraId="625AB738" w14:textId="45B42BA4" w:rsidR="005125CA" w:rsidRPr="00370EE7" w:rsidRDefault="006E78C2" w:rsidP="00EC37DF">
      <w:pPr>
        <w:pStyle w:val="3-BodyText"/>
        <w:numPr>
          <w:ilvl w:val="1"/>
          <w:numId w:val="24"/>
        </w:numPr>
        <w:ind w:left="1080"/>
      </w:pPr>
      <w:r w:rsidRPr="00370EE7">
        <w:t xml:space="preserve">DELTA 1 trial (N=487) enrolled adults with moderate to severe CHE and compared delgocitinib (n=325) to </w:t>
      </w:r>
      <w:r w:rsidR="002A48F5" w:rsidRPr="00370EE7">
        <w:t>vehicle</w:t>
      </w:r>
      <w:r w:rsidRPr="00370EE7">
        <w:t xml:space="preserve"> (n=162) in </w:t>
      </w:r>
      <w:r w:rsidR="00150B8B" w:rsidRPr="00370EE7">
        <w:t xml:space="preserve">patients </w:t>
      </w:r>
      <w:r w:rsidRPr="00370EE7">
        <w:t xml:space="preserve">with hand eczema </w:t>
      </w:r>
      <w:r w:rsidR="001A7F13" w:rsidRPr="00370EE7">
        <w:t>symptom diary</w:t>
      </w:r>
      <w:r w:rsidRPr="00370EE7">
        <w:t xml:space="preserve"> (HESD) itch score (weekly average) of ≥4 points</w:t>
      </w:r>
      <w:r w:rsidR="0073700A" w:rsidRPr="00370EE7">
        <w:t xml:space="preserve"> [full analysis set (FAS) and safety analysis set (SAF): 487]</w:t>
      </w:r>
    </w:p>
    <w:p w14:paraId="022CC375" w14:textId="2BFB0EDB" w:rsidR="005125CA" w:rsidRPr="00370EE7" w:rsidRDefault="006E78C2" w:rsidP="00EC37DF">
      <w:pPr>
        <w:pStyle w:val="3-BodyText"/>
        <w:numPr>
          <w:ilvl w:val="1"/>
          <w:numId w:val="24"/>
        </w:numPr>
        <w:ind w:left="1080"/>
      </w:pPr>
      <w:r w:rsidRPr="00370EE7">
        <w:t>DELTA 2 trial (N=473) enrolled adults with moderate to severe CHE and compared delgocitinib (n=314) to</w:t>
      </w:r>
      <w:r w:rsidR="00F33CA6" w:rsidRPr="00370EE7">
        <w:t xml:space="preserve"> </w:t>
      </w:r>
      <w:r w:rsidR="002B7796" w:rsidRPr="00370EE7">
        <w:t>vehicle</w:t>
      </w:r>
      <w:r w:rsidRPr="00370EE7">
        <w:t xml:space="preserve"> (n=159) in </w:t>
      </w:r>
      <w:r w:rsidR="00150B8B" w:rsidRPr="00370EE7">
        <w:t xml:space="preserve">patients </w:t>
      </w:r>
      <w:r w:rsidRPr="00370EE7">
        <w:t>with HESD itch score (weekly average) of ≥4 points</w:t>
      </w:r>
      <w:r w:rsidR="0073700A" w:rsidRPr="00370EE7">
        <w:t xml:space="preserve"> [FAS and SA</w:t>
      </w:r>
      <w:r w:rsidR="00747C58" w:rsidRPr="00370EE7">
        <w:t>F</w:t>
      </w:r>
      <w:r w:rsidR="0073700A" w:rsidRPr="00370EE7">
        <w:t>: 47</w:t>
      </w:r>
      <w:r w:rsidR="00747C58" w:rsidRPr="00370EE7">
        <w:t>2</w:t>
      </w:r>
      <w:r w:rsidR="0073700A" w:rsidRPr="00370EE7">
        <w:t>]</w:t>
      </w:r>
      <w:r w:rsidRPr="00370EE7">
        <w:t>.</w:t>
      </w:r>
    </w:p>
    <w:p w14:paraId="20D881CA" w14:textId="10E04D66" w:rsidR="00464393" w:rsidRPr="00370EE7" w:rsidRDefault="006E78C2" w:rsidP="00464393">
      <w:pPr>
        <w:pStyle w:val="3-BodyText"/>
      </w:pPr>
      <w:r w:rsidRPr="00370EE7">
        <w:t xml:space="preserve">The submission identified </w:t>
      </w:r>
      <w:r w:rsidR="00073EBC">
        <w:t>an</w:t>
      </w:r>
      <w:r w:rsidRPr="00370EE7">
        <w:t xml:space="preserve"> extension study from the pivotal trials:</w:t>
      </w:r>
    </w:p>
    <w:p w14:paraId="668B3A5D" w14:textId="1B8E1C87" w:rsidR="006E78C2" w:rsidRPr="00370EE7" w:rsidRDefault="006E78C2" w:rsidP="00EC37DF">
      <w:pPr>
        <w:pStyle w:val="3-BodyText"/>
        <w:numPr>
          <w:ilvl w:val="1"/>
          <w:numId w:val="22"/>
        </w:numPr>
        <w:ind w:left="1080"/>
      </w:pPr>
      <w:r w:rsidRPr="00370EE7">
        <w:t xml:space="preserve">DELTA 3 study (N=810) enrolled </w:t>
      </w:r>
      <w:r w:rsidR="00150B8B" w:rsidRPr="00370EE7">
        <w:t xml:space="preserve">patients </w:t>
      </w:r>
      <w:r w:rsidRPr="00370EE7">
        <w:t xml:space="preserve">who completed </w:t>
      </w:r>
      <w:r w:rsidR="00DC3BFF" w:rsidRPr="00370EE7">
        <w:t xml:space="preserve">either </w:t>
      </w:r>
      <w:r w:rsidRPr="00370EE7">
        <w:t>DELTA 1 or DELTA 2</w:t>
      </w:r>
      <w:r w:rsidR="006706D2">
        <w:t xml:space="preserve">. </w:t>
      </w:r>
      <w:r w:rsidRPr="00370EE7">
        <w:t xml:space="preserve">DELTA 3 </w:t>
      </w:r>
      <w:r w:rsidR="00DC3BFF" w:rsidRPr="00370EE7">
        <w:t>(N=801)</w:t>
      </w:r>
      <w:r w:rsidR="00E623DF" w:rsidRPr="00370EE7">
        <w:t xml:space="preserve"> was an open-label study in which </w:t>
      </w:r>
      <w:r w:rsidR="00150B8B" w:rsidRPr="00370EE7">
        <w:t>patients</w:t>
      </w:r>
      <w:r w:rsidRPr="00370EE7">
        <w:t xml:space="preserve"> could apply delgocitinib </w:t>
      </w:r>
      <w:r w:rsidR="007C1DA5" w:rsidRPr="00370EE7">
        <w:t>cream</w:t>
      </w:r>
      <w:r w:rsidRPr="00370EE7">
        <w:t xml:space="preserve"> as needed based on </w:t>
      </w:r>
      <w:r w:rsidR="0073700A" w:rsidRPr="00370EE7">
        <w:t xml:space="preserve">investigator’s global assessment for </w:t>
      </w:r>
      <w:r w:rsidR="00D7438F" w:rsidRPr="00370EE7">
        <w:t>CHE</w:t>
      </w:r>
      <w:r w:rsidR="0073700A" w:rsidRPr="00370EE7">
        <w:t xml:space="preserve"> (</w:t>
      </w:r>
      <w:r w:rsidRPr="00370EE7">
        <w:t>IGA-CHE</w:t>
      </w:r>
      <w:r w:rsidR="0073700A" w:rsidRPr="00370EE7">
        <w:t>)</w:t>
      </w:r>
      <w:r w:rsidRPr="00370EE7">
        <w:t xml:space="preserve"> score.</w:t>
      </w:r>
    </w:p>
    <w:p w14:paraId="4DE305E4" w14:textId="5A7BECFE" w:rsidR="005D039C" w:rsidRPr="00370EE7" w:rsidRDefault="00DE0856" w:rsidP="005D039C">
      <w:pPr>
        <w:pStyle w:val="3-BodyText"/>
      </w:pPr>
      <w:r w:rsidRPr="00370EE7">
        <w:t>T</w:t>
      </w:r>
      <w:r w:rsidR="0073700A" w:rsidRPr="00370EE7">
        <w:t xml:space="preserve">he submission did not identify any </w:t>
      </w:r>
      <w:r w:rsidR="008C68D9" w:rsidRPr="00370EE7">
        <w:t>head-to-head</w:t>
      </w:r>
      <w:r w:rsidR="0073700A" w:rsidRPr="00370EE7">
        <w:t xml:space="preserve"> trials comparing delgocitinib and dupilumab. As a result, a match</w:t>
      </w:r>
      <w:r w:rsidR="00704BE5" w:rsidRPr="00370EE7">
        <w:t>ing-</w:t>
      </w:r>
      <w:r w:rsidR="0073700A" w:rsidRPr="00370EE7">
        <w:t>adjusted indirect comparison (MAIC)</w:t>
      </w:r>
      <w:r w:rsidR="009329AC">
        <w:t xml:space="preserve"> was conducted using</w:t>
      </w:r>
      <w:r w:rsidR="0073700A" w:rsidRPr="00370EE7">
        <w:t xml:space="preserve"> pooled data from the DELTA 1 and DELTA 2 trials and published data from the </w:t>
      </w:r>
      <w:r w:rsidR="001A7F13" w:rsidRPr="00370EE7">
        <w:t>LIBERTY-AD-HAFT</w:t>
      </w:r>
      <w:r w:rsidR="00CF2965">
        <w:t xml:space="preserve"> dupilumab trial</w:t>
      </w:r>
      <w:r w:rsidR="0073700A" w:rsidRPr="00370EE7">
        <w:t>, with placebo as the common comparator:</w:t>
      </w:r>
    </w:p>
    <w:p w14:paraId="1D887680" w14:textId="7D12F2E1" w:rsidR="0073700A" w:rsidRPr="00370EE7" w:rsidRDefault="0073700A" w:rsidP="00EC37DF">
      <w:pPr>
        <w:pStyle w:val="3-BodyText"/>
        <w:numPr>
          <w:ilvl w:val="1"/>
          <w:numId w:val="25"/>
        </w:numPr>
        <w:ind w:left="1080"/>
      </w:pPr>
      <w:r w:rsidRPr="00370EE7">
        <w:t xml:space="preserve">LIBERTY-AD-HAFT trial enrolled adult and adolescent patients with moderate to severe atopic hand and foot dermatitis and compared </w:t>
      </w:r>
      <w:r w:rsidR="00AE6CF6" w:rsidRPr="00370EE7">
        <w:t xml:space="preserve">dupilumab </w:t>
      </w:r>
      <w:r w:rsidRPr="00370EE7">
        <w:t>(n= 67) and placebo (n=66).</w:t>
      </w:r>
    </w:p>
    <w:p w14:paraId="2311477C" w14:textId="1EDB0DA4" w:rsidR="00AC07F4" w:rsidRPr="002E75D2" w:rsidRDefault="00AC07F4" w:rsidP="00AC07F4">
      <w:pPr>
        <w:pStyle w:val="3-BodyText"/>
        <w:rPr>
          <w:b/>
        </w:rPr>
      </w:pPr>
      <w:r w:rsidRPr="002E75D2">
        <w:t xml:space="preserve">Details of the trials presented in the submission are provided in </w:t>
      </w:r>
      <w:r w:rsidRPr="002E75D2">
        <w:fldChar w:fldCharType="begin"/>
      </w:r>
      <w:r w:rsidRPr="002E75D2">
        <w:instrText xml:space="preserve"> REF _Ref206422173 \h  \* MERGEFORMAT </w:instrText>
      </w:r>
      <w:r w:rsidRPr="002E75D2">
        <w:fldChar w:fldCharType="separate"/>
      </w:r>
      <w:r w:rsidR="00AA53DD" w:rsidRPr="002E75D2">
        <w:t xml:space="preserve">Table </w:t>
      </w:r>
      <w:r w:rsidR="00AA53DD">
        <w:t>2</w:t>
      </w:r>
      <w:r w:rsidRPr="002E75D2">
        <w:fldChar w:fldCharType="end"/>
      </w:r>
      <w:r w:rsidRPr="002E75D2">
        <w:t>.</w:t>
      </w:r>
    </w:p>
    <w:p w14:paraId="68F0123F" w14:textId="596814BD" w:rsidR="00AC07F4" w:rsidRPr="002E75D2" w:rsidRDefault="00AC07F4" w:rsidP="00AC07F4">
      <w:pPr>
        <w:pStyle w:val="Caption"/>
      </w:pPr>
      <w:bookmarkStart w:id="40" w:name="_Ref206422173"/>
      <w:r w:rsidRPr="002E75D2">
        <w:lastRenderedPageBreak/>
        <w:t xml:space="preserve">Table </w:t>
      </w:r>
      <w:r w:rsidR="000847A3">
        <w:fldChar w:fldCharType="begin"/>
      </w:r>
      <w:r w:rsidR="000847A3">
        <w:instrText xml:space="preserve"> SEQ Table \* ARABIC </w:instrText>
      </w:r>
      <w:r w:rsidR="000847A3">
        <w:fldChar w:fldCharType="separate"/>
      </w:r>
      <w:r w:rsidR="00AA53DD">
        <w:rPr>
          <w:noProof/>
        </w:rPr>
        <w:t>2</w:t>
      </w:r>
      <w:r w:rsidR="000847A3">
        <w:rPr>
          <w:noProof/>
        </w:rPr>
        <w:fldChar w:fldCharType="end"/>
      </w:r>
      <w:bookmarkEnd w:id="40"/>
      <w:r w:rsidRPr="002E75D2">
        <w:t>: Key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Key trials and associated reports presented in the submission"/>
      </w:tblPr>
      <w:tblGrid>
        <w:gridCol w:w="1435"/>
        <w:gridCol w:w="5459"/>
        <w:gridCol w:w="2123"/>
      </w:tblGrid>
      <w:tr w:rsidR="00AC07F4" w:rsidRPr="002E75D2" w14:paraId="3740DBD3" w14:textId="77777777" w:rsidTr="00C21DB1">
        <w:trPr>
          <w:cantSplit/>
          <w:tblHeader/>
        </w:trPr>
        <w:tc>
          <w:tcPr>
            <w:tcW w:w="796" w:type="pct"/>
            <w:tcBorders>
              <w:bottom w:val="single" w:sz="4" w:space="0" w:color="auto"/>
            </w:tcBorders>
            <w:vAlign w:val="center"/>
          </w:tcPr>
          <w:p w14:paraId="5CF8EF8C" w14:textId="77777777" w:rsidR="00AC07F4" w:rsidRPr="002E75D2" w:rsidRDefault="00AC07F4">
            <w:pPr>
              <w:pStyle w:val="In-tableHeading"/>
              <w:widowControl w:val="0"/>
              <w:jc w:val="center"/>
              <w:rPr>
                <w:szCs w:val="20"/>
                <w:lang w:val="en-AU"/>
              </w:rPr>
            </w:pPr>
            <w:r w:rsidRPr="002E75D2">
              <w:rPr>
                <w:szCs w:val="20"/>
                <w:lang w:val="en-AU"/>
              </w:rPr>
              <w:t>Trial ID</w:t>
            </w:r>
          </w:p>
        </w:tc>
        <w:tc>
          <w:tcPr>
            <w:tcW w:w="3027" w:type="pct"/>
            <w:tcBorders>
              <w:bottom w:val="single" w:sz="4" w:space="0" w:color="auto"/>
            </w:tcBorders>
            <w:vAlign w:val="center"/>
          </w:tcPr>
          <w:p w14:paraId="550AC6F1" w14:textId="77777777" w:rsidR="00AC07F4" w:rsidRPr="002E75D2" w:rsidRDefault="00AC07F4">
            <w:pPr>
              <w:pStyle w:val="In-tableHeading"/>
              <w:widowControl w:val="0"/>
              <w:jc w:val="center"/>
              <w:rPr>
                <w:szCs w:val="20"/>
                <w:lang w:val="en-AU"/>
              </w:rPr>
            </w:pPr>
            <w:r w:rsidRPr="002E75D2">
              <w:rPr>
                <w:szCs w:val="20"/>
                <w:lang w:val="en-AU"/>
              </w:rPr>
              <w:t>Protocol title/ Publication title</w:t>
            </w:r>
          </w:p>
        </w:tc>
        <w:tc>
          <w:tcPr>
            <w:tcW w:w="1177" w:type="pct"/>
            <w:tcBorders>
              <w:bottom w:val="single" w:sz="4" w:space="0" w:color="auto"/>
            </w:tcBorders>
            <w:vAlign w:val="center"/>
          </w:tcPr>
          <w:p w14:paraId="197EF9C6" w14:textId="77777777" w:rsidR="00AC07F4" w:rsidRPr="002E75D2" w:rsidRDefault="00AC07F4">
            <w:pPr>
              <w:pStyle w:val="In-tableHeading"/>
              <w:widowControl w:val="0"/>
              <w:jc w:val="center"/>
              <w:rPr>
                <w:szCs w:val="20"/>
                <w:lang w:val="en-AU"/>
              </w:rPr>
            </w:pPr>
            <w:r w:rsidRPr="002E75D2">
              <w:rPr>
                <w:szCs w:val="20"/>
                <w:lang w:val="en-AU"/>
              </w:rPr>
              <w:t>Publication citation</w:t>
            </w:r>
          </w:p>
        </w:tc>
      </w:tr>
      <w:tr w:rsidR="00AC07F4" w:rsidRPr="002E75D2" w14:paraId="3B5F0DB5" w14:textId="77777777" w:rsidTr="00C21DB1">
        <w:trPr>
          <w:cantSplit/>
        </w:trPr>
        <w:tc>
          <w:tcPr>
            <w:tcW w:w="5000" w:type="pct"/>
            <w:gridSpan w:val="3"/>
            <w:tcBorders>
              <w:bottom w:val="single" w:sz="4" w:space="0" w:color="auto"/>
            </w:tcBorders>
            <w:vAlign w:val="center"/>
          </w:tcPr>
          <w:p w14:paraId="4E3DFEA6" w14:textId="77777777" w:rsidR="00AC07F4" w:rsidRPr="002E75D2" w:rsidRDefault="00AC07F4">
            <w:pPr>
              <w:pStyle w:val="In-tableHeading"/>
              <w:widowControl w:val="0"/>
              <w:rPr>
                <w:szCs w:val="20"/>
                <w:lang w:val="en-AU"/>
              </w:rPr>
            </w:pPr>
            <w:r w:rsidRPr="002E75D2">
              <w:rPr>
                <w:szCs w:val="20"/>
                <w:lang w:val="en-AU"/>
              </w:rPr>
              <w:t>Delgocitinib trials</w:t>
            </w:r>
          </w:p>
        </w:tc>
      </w:tr>
      <w:tr w:rsidR="00AC07F4" w:rsidRPr="002E75D2" w14:paraId="46DD9153" w14:textId="77777777" w:rsidTr="00C21DB1">
        <w:trPr>
          <w:cantSplit/>
          <w:trHeight w:val="680"/>
        </w:trPr>
        <w:tc>
          <w:tcPr>
            <w:tcW w:w="796" w:type="pct"/>
            <w:tcBorders>
              <w:bottom w:val="single" w:sz="4" w:space="0" w:color="auto"/>
            </w:tcBorders>
          </w:tcPr>
          <w:p w14:paraId="489DA5B4" w14:textId="77777777" w:rsidR="00AC07F4" w:rsidRPr="002E75D2" w:rsidRDefault="00AC07F4">
            <w:pPr>
              <w:pStyle w:val="TableText0"/>
              <w:keepNext/>
            </w:pPr>
            <w:r w:rsidRPr="002E75D2">
              <w:t>DELTA 1</w:t>
            </w:r>
          </w:p>
          <w:p w14:paraId="62EAD922" w14:textId="77777777" w:rsidR="00AC07F4" w:rsidRPr="002E75D2" w:rsidRDefault="00AC07F4">
            <w:pPr>
              <w:pStyle w:val="TableText0"/>
              <w:keepNext/>
            </w:pPr>
          </w:p>
        </w:tc>
        <w:tc>
          <w:tcPr>
            <w:tcW w:w="3027" w:type="pct"/>
            <w:tcBorders>
              <w:bottom w:val="single" w:sz="4" w:space="0" w:color="auto"/>
            </w:tcBorders>
          </w:tcPr>
          <w:p w14:paraId="6698D906" w14:textId="77777777" w:rsidR="00AC07F4" w:rsidRPr="002E75D2" w:rsidRDefault="00AC07F4">
            <w:pPr>
              <w:pStyle w:val="TableText0"/>
              <w:keepNext/>
              <w:rPr>
                <w:szCs w:val="18"/>
              </w:rPr>
            </w:pPr>
            <w:r w:rsidRPr="002E75D2">
              <w:t xml:space="preserve">Clinical Trial Report LP0133-1401: A phase 3 clinical trial to confirm efficacy and evaluate safety of twice-daily delgocitinib cream 20 mg/g compared with cream vehicle for a 16-week treatment period in adult subjects with moderate to severe chronic hand eczema (DELTA 1) </w:t>
            </w:r>
          </w:p>
        </w:tc>
        <w:tc>
          <w:tcPr>
            <w:tcW w:w="1177" w:type="pct"/>
            <w:tcBorders>
              <w:bottom w:val="single" w:sz="4" w:space="0" w:color="auto"/>
            </w:tcBorders>
          </w:tcPr>
          <w:p w14:paraId="10CA95B2" w14:textId="77777777" w:rsidR="00AC07F4" w:rsidRPr="002E75D2" w:rsidRDefault="00AC07F4">
            <w:pPr>
              <w:pStyle w:val="TableText0"/>
              <w:keepNext/>
            </w:pPr>
            <w:r w:rsidRPr="002E75D2">
              <w:rPr>
                <w:i/>
                <w:iCs w:val="0"/>
              </w:rPr>
              <w:t>CSR</w:t>
            </w:r>
            <w:r w:rsidRPr="002E75D2">
              <w:t>, March 2023.</w:t>
            </w:r>
          </w:p>
        </w:tc>
      </w:tr>
      <w:tr w:rsidR="00AC07F4" w:rsidRPr="002E75D2" w14:paraId="1AD172AC" w14:textId="77777777" w:rsidTr="00C21DB1">
        <w:trPr>
          <w:cantSplit/>
          <w:trHeight w:val="708"/>
        </w:trPr>
        <w:tc>
          <w:tcPr>
            <w:tcW w:w="796" w:type="pct"/>
            <w:vMerge w:val="restart"/>
            <w:tcBorders>
              <w:bottom w:val="single" w:sz="4" w:space="0" w:color="auto"/>
            </w:tcBorders>
            <w:vAlign w:val="center"/>
          </w:tcPr>
          <w:p w14:paraId="79F449F0" w14:textId="77777777" w:rsidR="00AC07F4" w:rsidRPr="002E75D2" w:rsidRDefault="00AC07F4">
            <w:pPr>
              <w:pStyle w:val="TableText0"/>
            </w:pPr>
            <w:r w:rsidRPr="002E75D2">
              <w:t>DELTA 2</w:t>
            </w:r>
          </w:p>
          <w:p w14:paraId="2BC587EE" w14:textId="77777777" w:rsidR="00AC07F4" w:rsidRPr="002E75D2" w:rsidRDefault="00AC07F4">
            <w:pPr>
              <w:pStyle w:val="TableText0"/>
            </w:pPr>
          </w:p>
        </w:tc>
        <w:tc>
          <w:tcPr>
            <w:tcW w:w="3027" w:type="pct"/>
            <w:tcBorders>
              <w:top w:val="single" w:sz="4" w:space="0" w:color="auto"/>
              <w:bottom w:val="single" w:sz="4" w:space="0" w:color="auto"/>
            </w:tcBorders>
          </w:tcPr>
          <w:p w14:paraId="53FC8628" w14:textId="77777777" w:rsidR="00AC07F4" w:rsidRPr="002E75D2" w:rsidRDefault="00AC07F4">
            <w:pPr>
              <w:pStyle w:val="TableText0"/>
            </w:pPr>
            <w:r w:rsidRPr="002E75D2">
              <w:t xml:space="preserve">Clinical Trial Report LP0133-1402: A phase 3 clinical trial to confirm efficacy and evaluate safety of twice-daily delgocitinib cream 20 mg/g compared with cream vehicle for a 16-week treatment period in adult subjects with moderate to severe chronic hand eczema (DELTA 2). Clinical trial report, v1.0. Trial ID: </w:t>
            </w:r>
          </w:p>
        </w:tc>
        <w:tc>
          <w:tcPr>
            <w:tcW w:w="1177" w:type="pct"/>
            <w:tcBorders>
              <w:top w:val="single" w:sz="4" w:space="0" w:color="auto"/>
              <w:bottom w:val="single" w:sz="4" w:space="0" w:color="auto"/>
            </w:tcBorders>
          </w:tcPr>
          <w:p w14:paraId="19B39E6D" w14:textId="77777777" w:rsidR="00AC07F4" w:rsidRPr="002E75D2" w:rsidRDefault="00AC07F4">
            <w:pPr>
              <w:pStyle w:val="TableText0"/>
            </w:pPr>
            <w:r w:rsidRPr="002E75D2">
              <w:rPr>
                <w:i/>
                <w:iCs w:val="0"/>
              </w:rPr>
              <w:t>CSR</w:t>
            </w:r>
            <w:r w:rsidRPr="002E75D2">
              <w:t>, April 2023.</w:t>
            </w:r>
          </w:p>
        </w:tc>
      </w:tr>
      <w:tr w:rsidR="00AC07F4" w:rsidRPr="002E75D2" w14:paraId="65813F38" w14:textId="77777777" w:rsidTr="00C21DB1">
        <w:trPr>
          <w:cantSplit/>
        </w:trPr>
        <w:tc>
          <w:tcPr>
            <w:tcW w:w="796" w:type="pct"/>
            <w:vMerge/>
            <w:tcBorders>
              <w:bottom w:val="single" w:sz="4" w:space="0" w:color="auto"/>
            </w:tcBorders>
            <w:vAlign w:val="center"/>
          </w:tcPr>
          <w:p w14:paraId="6C1732D5" w14:textId="77777777" w:rsidR="00AC07F4" w:rsidRPr="002E75D2" w:rsidRDefault="00AC07F4">
            <w:pPr>
              <w:pStyle w:val="TableText0"/>
            </w:pPr>
          </w:p>
        </w:tc>
        <w:tc>
          <w:tcPr>
            <w:tcW w:w="3027" w:type="pct"/>
            <w:tcBorders>
              <w:top w:val="single" w:sz="4" w:space="0" w:color="auto"/>
              <w:bottom w:val="single" w:sz="4" w:space="0" w:color="auto"/>
            </w:tcBorders>
            <w:vAlign w:val="center"/>
          </w:tcPr>
          <w:p w14:paraId="51060000" w14:textId="77777777" w:rsidR="00AC07F4" w:rsidRPr="002E75D2" w:rsidRDefault="00AC07F4">
            <w:pPr>
              <w:pStyle w:val="TableText0"/>
            </w:pPr>
            <w:r w:rsidRPr="00D26E8F">
              <w:rPr>
                <w:lang w:val="da-DK"/>
              </w:rPr>
              <w:t xml:space="preserve">Thaci D, Gooderham M, Lovato P, et al. </w:t>
            </w:r>
            <w:r w:rsidRPr="002E75D2">
              <w:t>Systemic exposure and bioavailability of delgocitinib cream in</w:t>
            </w:r>
            <w:r>
              <w:t xml:space="preserve"> </w:t>
            </w:r>
            <w:r w:rsidRPr="002E75D2">
              <w:t>adults with moderate to severe Chronic Hand Eczema.</w:t>
            </w:r>
          </w:p>
        </w:tc>
        <w:tc>
          <w:tcPr>
            <w:tcW w:w="1177" w:type="pct"/>
            <w:tcBorders>
              <w:top w:val="single" w:sz="4" w:space="0" w:color="auto"/>
              <w:bottom w:val="single" w:sz="4" w:space="0" w:color="auto"/>
            </w:tcBorders>
            <w:vAlign w:val="center"/>
          </w:tcPr>
          <w:p w14:paraId="6E3AEC1E" w14:textId="77777777" w:rsidR="00AC07F4" w:rsidRPr="002E75D2" w:rsidRDefault="00AC07F4">
            <w:pPr>
              <w:pStyle w:val="TableText0"/>
            </w:pPr>
            <w:r w:rsidRPr="002E75D2">
              <w:t>Journal of European Academy Dermatology and Venerology 2025; 00: 1-10.</w:t>
            </w:r>
          </w:p>
        </w:tc>
      </w:tr>
      <w:tr w:rsidR="00AC07F4" w:rsidRPr="002E75D2" w14:paraId="5103EAA0" w14:textId="77777777" w:rsidTr="00C21DB1">
        <w:trPr>
          <w:cantSplit/>
          <w:trHeight w:val="1127"/>
        </w:trPr>
        <w:tc>
          <w:tcPr>
            <w:tcW w:w="796" w:type="pct"/>
            <w:tcBorders>
              <w:top w:val="single" w:sz="4" w:space="0" w:color="auto"/>
            </w:tcBorders>
            <w:vAlign w:val="center"/>
          </w:tcPr>
          <w:p w14:paraId="2A633F28" w14:textId="77777777" w:rsidR="00AC07F4" w:rsidRPr="002E75D2" w:rsidRDefault="00AC07F4">
            <w:pPr>
              <w:pStyle w:val="TableText0"/>
            </w:pPr>
            <w:r w:rsidRPr="002E75D2">
              <w:t>DELTA 1 and DELTA 2 trials</w:t>
            </w:r>
          </w:p>
        </w:tc>
        <w:tc>
          <w:tcPr>
            <w:tcW w:w="3027" w:type="pct"/>
            <w:tcBorders>
              <w:top w:val="single" w:sz="4" w:space="0" w:color="auto"/>
              <w:bottom w:val="single" w:sz="4" w:space="0" w:color="auto"/>
            </w:tcBorders>
            <w:vAlign w:val="center"/>
          </w:tcPr>
          <w:p w14:paraId="3C7AA604" w14:textId="77777777" w:rsidR="00AC07F4" w:rsidRPr="002E75D2" w:rsidRDefault="00AC07F4">
            <w:pPr>
              <w:pStyle w:val="TableText0"/>
            </w:pPr>
            <w:r w:rsidRPr="003778BC">
              <w:rPr>
                <w:lang w:val="it-IT"/>
              </w:rPr>
              <w:t xml:space="preserve">Bissonnette R, Warren RB, Pinter A, et al. </w:t>
            </w:r>
            <w:r w:rsidRPr="002E75D2">
              <w:t>Efficacy and safety of delgocitinib cream in adults with moderate to severe chronic hand eczema (DELTA 1 and DELTA 2): results from multicentre, randomised, controlled, double-blind, phase 3 trials.</w:t>
            </w:r>
          </w:p>
        </w:tc>
        <w:tc>
          <w:tcPr>
            <w:tcW w:w="1177" w:type="pct"/>
            <w:tcBorders>
              <w:top w:val="single" w:sz="4" w:space="0" w:color="auto"/>
              <w:bottom w:val="single" w:sz="4" w:space="0" w:color="auto"/>
            </w:tcBorders>
            <w:vAlign w:val="center"/>
          </w:tcPr>
          <w:p w14:paraId="483FC20B" w14:textId="77777777" w:rsidR="00AC07F4" w:rsidRPr="002E75D2" w:rsidRDefault="00AC07F4">
            <w:pPr>
              <w:pStyle w:val="TableText0"/>
            </w:pPr>
            <w:r w:rsidRPr="002E75D2">
              <w:t>Lancet 2024; 404(10451): 461–473.</w:t>
            </w:r>
          </w:p>
        </w:tc>
      </w:tr>
      <w:tr w:rsidR="00AC07F4" w:rsidRPr="002E75D2" w14:paraId="043ABC19" w14:textId="77777777" w:rsidTr="00C21DB1">
        <w:trPr>
          <w:cantSplit/>
        </w:trPr>
        <w:tc>
          <w:tcPr>
            <w:tcW w:w="5000" w:type="pct"/>
            <w:gridSpan w:val="3"/>
            <w:tcBorders>
              <w:top w:val="single" w:sz="4" w:space="0" w:color="auto"/>
              <w:bottom w:val="single" w:sz="4" w:space="0" w:color="auto"/>
            </w:tcBorders>
            <w:vAlign w:val="center"/>
          </w:tcPr>
          <w:p w14:paraId="1E4CD2AB" w14:textId="77777777" w:rsidR="00AC07F4" w:rsidRPr="002E75D2" w:rsidRDefault="00AC07F4">
            <w:pPr>
              <w:pStyle w:val="TableText0"/>
            </w:pPr>
            <w:r w:rsidRPr="002E75D2">
              <w:t>Non-randomised or open label-studies</w:t>
            </w:r>
          </w:p>
        </w:tc>
      </w:tr>
      <w:tr w:rsidR="00AC07F4" w:rsidRPr="002E75D2" w14:paraId="64EE9692" w14:textId="77777777" w:rsidTr="00C21DB1">
        <w:trPr>
          <w:cantSplit/>
        </w:trPr>
        <w:tc>
          <w:tcPr>
            <w:tcW w:w="796" w:type="pct"/>
            <w:vMerge w:val="restart"/>
            <w:tcBorders>
              <w:top w:val="single" w:sz="4" w:space="0" w:color="auto"/>
              <w:bottom w:val="nil"/>
            </w:tcBorders>
            <w:vAlign w:val="center"/>
          </w:tcPr>
          <w:p w14:paraId="5C4EB39E" w14:textId="77777777" w:rsidR="00AC07F4" w:rsidRPr="002E75D2" w:rsidRDefault="00AC07F4">
            <w:pPr>
              <w:pStyle w:val="TableText0"/>
            </w:pPr>
            <w:r w:rsidRPr="002E75D2">
              <w:t>DELTA 3</w:t>
            </w:r>
          </w:p>
          <w:p w14:paraId="524D9880" w14:textId="77777777" w:rsidR="00AC07F4" w:rsidRPr="002E75D2" w:rsidRDefault="00AC07F4">
            <w:pPr>
              <w:pStyle w:val="TableText0"/>
            </w:pPr>
          </w:p>
        </w:tc>
        <w:tc>
          <w:tcPr>
            <w:tcW w:w="3027" w:type="pct"/>
            <w:tcBorders>
              <w:top w:val="single" w:sz="4" w:space="0" w:color="auto"/>
              <w:bottom w:val="nil"/>
            </w:tcBorders>
          </w:tcPr>
          <w:p w14:paraId="05E05A1E" w14:textId="77777777" w:rsidR="00AC07F4" w:rsidRPr="002E75D2" w:rsidRDefault="00AC07F4">
            <w:pPr>
              <w:pStyle w:val="TableText0"/>
              <w:rPr>
                <w:szCs w:val="18"/>
              </w:rPr>
            </w:pPr>
            <w:r w:rsidRPr="002E75D2">
              <w:t xml:space="preserve">Clinical Trial Report LP0133-1403: A phase 3 extension trial of DELTA 1 and DELTA 2 to evaluate the long-term safety of a twice-daily treatment with delgocitinib cream 20 mg/g as needed for up to 36 weeks in adult subjects with chronic hand eczema (DELTA 3). </w:t>
            </w:r>
          </w:p>
        </w:tc>
        <w:tc>
          <w:tcPr>
            <w:tcW w:w="1177" w:type="pct"/>
            <w:tcBorders>
              <w:top w:val="single" w:sz="4" w:space="0" w:color="auto"/>
              <w:bottom w:val="nil"/>
            </w:tcBorders>
          </w:tcPr>
          <w:p w14:paraId="0AEDEECB" w14:textId="77777777" w:rsidR="00AC07F4" w:rsidRPr="002E75D2" w:rsidRDefault="00AC07F4">
            <w:pPr>
              <w:pStyle w:val="TableText0"/>
            </w:pPr>
            <w:r w:rsidRPr="002E75D2">
              <w:rPr>
                <w:i/>
                <w:iCs w:val="0"/>
              </w:rPr>
              <w:t>CSR</w:t>
            </w:r>
            <w:r w:rsidRPr="002E75D2">
              <w:t>, January 2024.</w:t>
            </w:r>
          </w:p>
        </w:tc>
      </w:tr>
      <w:tr w:rsidR="00AC07F4" w:rsidRPr="002E75D2" w14:paraId="0A52A820" w14:textId="77777777" w:rsidTr="00C21DB1">
        <w:trPr>
          <w:cantSplit/>
        </w:trPr>
        <w:tc>
          <w:tcPr>
            <w:tcW w:w="796" w:type="pct"/>
            <w:vMerge/>
            <w:tcBorders>
              <w:top w:val="single" w:sz="4" w:space="0" w:color="auto"/>
              <w:bottom w:val="single" w:sz="4" w:space="0" w:color="auto"/>
            </w:tcBorders>
            <w:vAlign w:val="center"/>
          </w:tcPr>
          <w:p w14:paraId="3C62BC17" w14:textId="77777777" w:rsidR="00AC07F4" w:rsidRPr="002E75D2" w:rsidRDefault="00AC07F4">
            <w:pPr>
              <w:pStyle w:val="TableText0"/>
            </w:pPr>
          </w:p>
        </w:tc>
        <w:tc>
          <w:tcPr>
            <w:tcW w:w="3027" w:type="pct"/>
            <w:tcBorders>
              <w:top w:val="single" w:sz="4" w:space="0" w:color="auto"/>
              <w:bottom w:val="single" w:sz="4" w:space="0" w:color="auto"/>
            </w:tcBorders>
          </w:tcPr>
          <w:p w14:paraId="32D6A5E8" w14:textId="77777777" w:rsidR="00AC07F4" w:rsidRPr="002E75D2" w:rsidRDefault="00AC07F4">
            <w:pPr>
              <w:pStyle w:val="TableText0"/>
              <w:rPr>
                <w:szCs w:val="18"/>
              </w:rPr>
            </w:pPr>
            <w:r w:rsidRPr="002E75D2">
              <w:t>Gooderham M, Molin S, Bissonnette R, Worm M, Crépy MN, Stingeni L, Warren RB, Schliemann S, Schuttelaar ML, Ferrucci S, Serra-Baldrich E, Silverberg JI, Balita-Crisostomo CL, Oesterdal ML, Plohberger U, Agner T. Long-term safety and efficacy of delgocitinib cream for up to 52 weeks in adults with Chronic Hand Eczema: results of the phase 3 open-label extension DELTA 3 trial following the DELTA 1 and 2 trials.</w:t>
            </w:r>
          </w:p>
        </w:tc>
        <w:tc>
          <w:tcPr>
            <w:tcW w:w="1177" w:type="pct"/>
            <w:tcBorders>
              <w:top w:val="single" w:sz="4" w:space="0" w:color="auto"/>
              <w:bottom w:val="single" w:sz="4" w:space="0" w:color="auto"/>
            </w:tcBorders>
            <w:vAlign w:val="center"/>
          </w:tcPr>
          <w:p w14:paraId="6FA7902B" w14:textId="77777777" w:rsidR="00AC07F4" w:rsidRPr="002E75D2" w:rsidRDefault="00AC07F4">
            <w:pPr>
              <w:pStyle w:val="TableText0"/>
            </w:pPr>
            <w:r w:rsidRPr="002E75D2">
              <w:t>Journal of the American Academy of Dermatology 2025; S0190-9622(25): 00424-4.</w:t>
            </w:r>
          </w:p>
        </w:tc>
      </w:tr>
      <w:tr w:rsidR="00AC07F4" w:rsidRPr="002E75D2" w14:paraId="04FCA20C" w14:textId="77777777" w:rsidTr="00C21DB1">
        <w:trPr>
          <w:cantSplit/>
        </w:trPr>
        <w:tc>
          <w:tcPr>
            <w:tcW w:w="5000" w:type="pct"/>
            <w:gridSpan w:val="3"/>
            <w:tcBorders>
              <w:top w:val="single" w:sz="4" w:space="0" w:color="auto"/>
              <w:bottom w:val="single" w:sz="4" w:space="0" w:color="auto"/>
            </w:tcBorders>
            <w:vAlign w:val="center"/>
          </w:tcPr>
          <w:p w14:paraId="200899AF" w14:textId="77777777" w:rsidR="00AC07F4" w:rsidRPr="002E75D2" w:rsidRDefault="00AC07F4">
            <w:pPr>
              <w:pStyle w:val="TableText0"/>
              <w:keepNext/>
              <w:rPr>
                <w:b/>
                <w:bCs w:val="0"/>
              </w:rPr>
            </w:pPr>
            <w:r w:rsidRPr="002E75D2">
              <w:rPr>
                <w:b/>
                <w:bCs w:val="0"/>
              </w:rPr>
              <w:t>Dupilumab vs placebo</w:t>
            </w:r>
          </w:p>
        </w:tc>
      </w:tr>
      <w:tr w:rsidR="00AC07F4" w:rsidRPr="002E75D2" w14:paraId="5F098017" w14:textId="77777777" w:rsidTr="00C21DB1">
        <w:trPr>
          <w:cantSplit/>
        </w:trPr>
        <w:tc>
          <w:tcPr>
            <w:tcW w:w="796" w:type="pct"/>
            <w:vMerge w:val="restart"/>
            <w:tcBorders>
              <w:top w:val="single" w:sz="4" w:space="0" w:color="auto"/>
            </w:tcBorders>
            <w:vAlign w:val="center"/>
          </w:tcPr>
          <w:p w14:paraId="6AE1672C" w14:textId="77777777" w:rsidR="00AC07F4" w:rsidRPr="002E75D2" w:rsidRDefault="00AC07F4">
            <w:pPr>
              <w:pStyle w:val="TableText0"/>
            </w:pPr>
            <w:r w:rsidRPr="002E75D2">
              <w:t>LIBERTY-AD-HAFT</w:t>
            </w:r>
          </w:p>
          <w:p w14:paraId="643FE164" w14:textId="77777777" w:rsidR="00AC07F4" w:rsidRPr="002E75D2" w:rsidRDefault="00AC07F4">
            <w:pPr>
              <w:pStyle w:val="TableText0"/>
            </w:pPr>
          </w:p>
        </w:tc>
        <w:tc>
          <w:tcPr>
            <w:tcW w:w="3027" w:type="pct"/>
            <w:tcBorders>
              <w:top w:val="single" w:sz="4" w:space="0" w:color="auto"/>
              <w:bottom w:val="single" w:sz="4" w:space="0" w:color="auto"/>
            </w:tcBorders>
          </w:tcPr>
          <w:p w14:paraId="01B6B470" w14:textId="77777777" w:rsidR="00AC07F4" w:rsidRPr="002E75D2" w:rsidRDefault="00AC07F4">
            <w:pPr>
              <w:pStyle w:val="TableText0"/>
              <w:rPr>
                <w:szCs w:val="18"/>
              </w:rPr>
            </w:pPr>
            <w:r w:rsidRPr="002E75D2">
              <w:t xml:space="preserve">Simpson, EL; Silverberg, JI; Worm, M; Honari, G; Masuda, K; Sygula, E; Schuttelaar, MLA; Mortensen, E; Laws, E; Akinlade, B; Patel, N; Maloney, J; Paleczny, H; Delevry, D; Xiao, J; Dubost-Brama, A; Bansal, A. Dupilumab treatment improves signs, symptoms, quality of life and work productivity in patients with atopic hand and foot dermatitis: results from a phase 3, randomized, double-blind, placebo-controlled trial. </w:t>
            </w:r>
          </w:p>
        </w:tc>
        <w:tc>
          <w:tcPr>
            <w:tcW w:w="1177" w:type="pct"/>
            <w:tcBorders>
              <w:top w:val="single" w:sz="4" w:space="0" w:color="auto"/>
              <w:bottom w:val="single" w:sz="4" w:space="0" w:color="auto"/>
            </w:tcBorders>
          </w:tcPr>
          <w:p w14:paraId="5934F0DF" w14:textId="77777777" w:rsidR="00AC07F4" w:rsidRPr="002E75D2" w:rsidRDefault="00AC07F4">
            <w:pPr>
              <w:pStyle w:val="TableText0"/>
            </w:pPr>
            <w:r w:rsidRPr="002E75D2">
              <w:t>Journal of the American Academy of Dermatology 2024; 90(6): 1190-1199.</w:t>
            </w:r>
          </w:p>
        </w:tc>
      </w:tr>
      <w:tr w:rsidR="00AC07F4" w:rsidRPr="002E75D2" w14:paraId="5412CA46" w14:textId="77777777" w:rsidTr="00C21DB1">
        <w:trPr>
          <w:cantSplit/>
        </w:trPr>
        <w:tc>
          <w:tcPr>
            <w:tcW w:w="796" w:type="pct"/>
            <w:vMerge/>
            <w:vAlign w:val="center"/>
          </w:tcPr>
          <w:p w14:paraId="0A83E47A" w14:textId="77777777" w:rsidR="00AC07F4" w:rsidRPr="002E75D2" w:rsidRDefault="00AC07F4">
            <w:pPr>
              <w:pStyle w:val="TableText0"/>
            </w:pPr>
          </w:p>
        </w:tc>
        <w:tc>
          <w:tcPr>
            <w:tcW w:w="3027" w:type="pct"/>
            <w:tcBorders>
              <w:top w:val="single" w:sz="4" w:space="0" w:color="auto"/>
              <w:bottom w:val="single" w:sz="4" w:space="0" w:color="auto"/>
            </w:tcBorders>
          </w:tcPr>
          <w:p w14:paraId="00E0C1F0" w14:textId="77777777" w:rsidR="00AC07F4" w:rsidRPr="002E75D2" w:rsidRDefault="00AC07F4">
            <w:pPr>
              <w:pStyle w:val="TableText0"/>
              <w:rPr>
                <w:szCs w:val="18"/>
              </w:rPr>
            </w:pPr>
            <w:r w:rsidRPr="002E75D2">
              <w:t xml:space="preserve">Margitta Worm, Eric L Simpson, Golara Honari, et al. 566 - Efficacy of dupilumab treatment in atopic hand and foot dermatitis across morphological subtypes: results from a phase 3, randomized, double-blind, placebo-controlled trial. </w:t>
            </w:r>
          </w:p>
        </w:tc>
        <w:tc>
          <w:tcPr>
            <w:tcW w:w="1177" w:type="pct"/>
            <w:tcBorders>
              <w:top w:val="single" w:sz="4" w:space="0" w:color="auto"/>
              <w:bottom w:val="single" w:sz="4" w:space="0" w:color="auto"/>
            </w:tcBorders>
          </w:tcPr>
          <w:p w14:paraId="497CCEB5" w14:textId="77777777" w:rsidR="00AC07F4" w:rsidRPr="002E75D2" w:rsidRDefault="00AC07F4">
            <w:pPr>
              <w:pStyle w:val="TableText0"/>
            </w:pPr>
            <w:r w:rsidRPr="002E75D2">
              <w:t>British journal of dermatology 2024;190(S2): ii60.</w:t>
            </w:r>
          </w:p>
        </w:tc>
      </w:tr>
      <w:tr w:rsidR="00AC07F4" w:rsidRPr="002E75D2" w14:paraId="7639057C" w14:textId="77777777" w:rsidTr="00C21DB1">
        <w:trPr>
          <w:cantSplit/>
        </w:trPr>
        <w:tc>
          <w:tcPr>
            <w:tcW w:w="796" w:type="pct"/>
            <w:vMerge/>
            <w:tcBorders>
              <w:bottom w:val="single" w:sz="4" w:space="0" w:color="auto"/>
            </w:tcBorders>
            <w:vAlign w:val="center"/>
          </w:tcPr>
          <w:p w14:paraId="6FE6C089" w14:textId="77777777" w:rsidR="00AC07F4" w:rsidRPr="002E75D2" w:rsidRDefault="00AC07F4">
            <w:pPr>
              <w:pStyle w:val="TableText0"/>
            </w:pPr>
          </w:p>
        </w:tc>
        <w:tc>
          <w:tcPr>
            <w:tcW w:w="3027" w:type="pct"/>
            <w:tcBorders>
              <w:top w:val="single" w:sz="4" w:space="0" w:color="auto"/>
              <w:bottom w:val="single" w:sz="4" w:space="0" w:color="auto"/>
            </w:tcBorders>
            <w:vAlign w:val="center"/>
          </w:tcPr>
          <w:p w14:paraId="02753133" w14:textId="77777777" w:rsidR="00AC07F4" w:rsidRPr="002E75D2" w:rsidRDefault="00AC07F4">
            <w:pPr>
              <w:pStyle w:val="TableText0"/>
            </w:pPr>
            <w:r w:rsidRPr="002E75D2">
              <w:t>A Study to Evaluate the Efficacy and Safety of Dupilumab in Adult and Adolescent Patients With Moderate-to-Severe Atopic Hand and Foot Dermatitis (Liberty-AD-HAFT)</w:t>
            </w:r>
          </w:p>
        </w:tc>
        <w:tc>
          <w:tcPr>
            <w:tcW w:w="1177" w:type="pct"/>
            <w:tcBorders>
              <w:top w:val="single" w:sz="4" w:space="0" w:color="auto"/>
              <w:bottom w:val="single" w:sz="4" w:space="0" w:color="auto"/>
            </w:tcBorders>
            <w:vAlign w:val="center"/>
          </w:tcPr>
          <w:p w14:paraId="64ED1484" w14:textId="77777777" w:rsidR="00AC07F4" w:rsidRPr="002E75D2" w:rsidRDefault="00AC07F4">
            <w:pPr>
              <w:pStyle w:val="TableText0"/>
            </w:pPr>
            <w:r w:rsidRPr="002E75D2">
              <w:t>Date not provided.</w:t>
            </w:r>
          </w:p>
        </w:tc>
      </w:tr>
    </w:tbl>
    <w:p w14:paraId="04946EB8" w14:textId="53A027D8" w:rsidR="00AC07F4" w:rsidRPr="002E75D2" w:rsidRDefault="00AC07F4" w:rsidP="00AC07F4">
      <w:pPr>
        <w:pStyle w:val="FooterTableFigure"/>
      </w:pPr>
      <w:r w:rsidRPr="002E75D2">
        <w:t xml:space="preserve">Source: Table 20, pp63-66 of the submission. </w:t>
      </w:r>
    </w:p>
    <w:p w14:paraId="4D68484F" w14:textId="77777777" w:rsidR="00AC07F4" w:rsidRPr="002E75D2" w:rsidRDefault="00AC07F4" w:rsidP="00AC07F4">
      <w:pPr>
        <w:pStyle w:val="FooterTableFigure"/>
      </w:pPr>
      <w:r w:rsidRPr="002E75D2">
        <w:t>CSR = clinical study report.</w:t>
      </w:r>
    </w:p>
    <w:p w14:paraId="34AAD2C5" w14:textId="77777777" w:rsidR="00AC07F4" w:rsidRPr="002E75D2" w:rsidRDefault="00AC07F4" w:rsidP="00AC07F4">
      <w:pPr>
        <w:pStyle w:val="FooterTableFigure"/>
        <w:rPr>
          <w:sz w:val="20"/>
        </w:rPr>
      </w:pPr>
      <w:r w:rsidRPr="002E75D2">
        <w:t>Note: Poster or conference presentations or abstract-only publications presented by the submission are excluded from the Table above.</w:t>
      </w:r>
    </w:p>
    <w:p w14:paraId="5D3830C8" w14:textId="2A4D2C77" w:rsidR="00B20F7E" w:rsidRPr="00370EE7" w:rsidRDefault="001A7F13">
      <w:pPr>
        <w:pStyle w:val="3-BodyText"/>
      </w:pPr>
      <w:r w:rsidRPr="00370EE7">
        <w:t>A claim of superior efficacy</w:t>
      </w:r>
      <w:r w:rsidR="00215E43" w:rsidRPr="00370EE7">
        <w:t xml:space="preserve"> for delgocitinib compared to SoC (represented by cream vehicle)</w:t>
      </w:r>
      <w:r w:rsidRPr="00370EE7">
        <w:t xml:space="preserve"> was made on the</w:t>
      </w:r>
      <w:r w:rsidR="004C4554" w:rsidRPr="00370EE7">
        <w:t xml:space="preserve"> m</w:t>
      </w:r>
      <w:r w:rsidRPr="00370EE7">
        <w:t>ain outcome: IGA-CHE Treatment Success (TS)</w:t>
      </w:r>
      <w:r w:rsidR="00FC0916" w:rsidRPr="00370EE7">
        <w:t xml:space="preserve"> from the DELTA 1 and 2 trials</w:t>
      </w:r>
      <w:r w:rsidRPr="00370EE7">
        <w:t xml:space="preserve"> defined as an IGA-CHE score of 0 [clear] or 1 [almost clear] with at least a 2-step improvement at Week 16</w:t>
      </w:r>
      <w:r w:rsidR="004C4554" w:rsidRPr="00370EE7">
        <w:t>, and k</w:t>
      </w:r>
      <w:r w:rsidRPr="00370EE7">
        <w:t xml:space="preserve">ey secondary outcomes: </w:t>
      </w:r>
      <w:r w:rsidR="00B7538E" w:rsidRPr="00370EE7">
        <w:t xml:space="preserve">hand eczema </w:t>
      </w:r>
      <w:r w:rsidR="00B7538E" w:rsidRPr="00370EE7">
        <w:lastRenderedPageBreak/>
        <w:t>severity index</w:t>
      </w:r>
      <w:r w:rsidRPr="00370EE7">
        <w:t xml:space="preserve"> (HECSI), hand eczema symptom diary (HESD), and hand eczema impact scale (HEIS) scores and </w:t>
      </w:r>
      <w:r w:rsidR="001E1DB5" w:rsidRPr="00370EE7">
        <w:t>dermatology life quality index</w:t>
      </w:r>
      <w:r w:rsidRPr="00370EE7">
        <w:t xml:space="preserve"> (DLQI)</w:t>
      </w:r>
      <w:r w:rsidR="004C4554" w:rsidRPr="00370EE7">
        <w:t xml:space="preserve">. </w:t>
      </w:r>
    </w:p>
    <w:p w14:paraId="650B300A" w14:textId="7C9A9D86" w:rsidR="00B20F7E" w:rsidRPr="00370EE7" w:rsidRDefault="00B20F7E" w:rsidP="00B20F7E">
      <w:pPr>
        <w:pStyle w:val="3-BodyText"/>
      </w:pPr>
      <w:r w:rsidRPr="00370EE7">
        <w:t xml:space="preserve">A claim of non-inferior efficacy for delgocitinib compared to dupilumab was made on the primary outcome of IGA-CHE (from DELTA 1 and DELTA 2 trials) or hand foot - investigator global assessment (HF-IGA) (from LIBERTY-AD-HAFT trial) score 0/1 at Week 16 and secondary outcomes of HECSI-75, HECSI-90 and HECSI score change from baseline at Week 16. </w:t>
      </w:r>
    </w:p>
    <w:p w14:paraId="4C5992A9" w14:textId="77777777" w:rsidR="00AA53DD" w:rsidRDefault="00661C67" w:rsidP="00CF2965">
      <w:pPr>
        <w:pStyle w:val="3-BodyText"/>
      </w:pPr>
      <w:r w:rsidRPr="00370EE7">
        <w:t xml:space="preserve">The </w:t>
      </w:r>
      <w:r w:rsidR="008266CC" w:rsidRPr="00370EE7">
        <w:t xml:space="preserve">DLQI </w:t>
      </w:r>
      <w:r w:rsidR="00342ECA">
        <w:t>has been included in previous PBAC submissions</w:t>
      </w:r>
      <w:r w:rsidR="00742417">
        <w:t>. The</w:t>
      </w:r>
      <w:r w:rsidR="00CB1FC7" w:rsidRPr="00370EE7">
        <w:t xml:space="preserve"> </w:t>
      </w:r>
      <w:r w:rsidR="00A950B9" w:rsidRPr="00370EE7">
        <w:t xml:space="preserve">IGA-CHE, </w:t>
      </w:r>
      <w:r w:rsidR="00263093" w:rsidRPr="00370EE7">
        <w:t xml:space="preserve">HECSI, </w:t>
      </w:r>
      <w:r w:rsidR="008266CC" w:rsidRPr="00370EE7">
        <w:t xml:space="preserve">HESD </w:t>
      </w:r>
      <w:r w:rsidR="00353C05" w:rsidRPr="00370EE7">
        <w:t xml:space="preserve">or </w:t>
      </w:r>
      <w:r w:rsidR="008266CC" w:rsidRPr="00370EE7">
        <w:t>HEIS</w:t>
      </w:r>
      <w:r w:rsidR="00742417">
        <w:t xml:space="preserve"> have not been included in previous PBAC submissions</w:t>
      </w:r>
      <w:r w:rsidR="008266CC" w:rsidRPr="00370EE7">
        <w:t>.</w:t>
      </w:r>
      <w:r w:rsidR="00502BDF" w:rsidRPr="00370EE7">
        <w:t xml:space="preserve"> </w:t>
      </w:r>
      <w:r w:rsidR="005B67F5" w:rsidRPr="00370EE7">
        <w:fldChar w:fldCharType="begin"/>
      </w:r>
      <w:r w:rsidR="005B67F5" w:rsidRPr="00370EE7">
        <w:instrText xml:space="preserve"> REF _Ref208243569 \h </w:instrText>
      </w:r>
      <w:r w:rsidR="00E43972" w:rsidRPr="00370EE7">
        <w:instrText xml:space="preserve"> \* MERGEFORMAT </w:instrText>
      </w:r>
      <w:r w:rsidR="005B67F5" w:rsidRPr="00370EE7">
        <w:fldChar w:fldCharType="separate"/>
      </w:r>
    </w:p>
    <w:p w14:paraId="0DCD71B6" w14:textId="2446E464" w:rsidR="00CF2965" w:rsidRDefault="00AA53DD" w:rsidP="00CF2965">
      <w:pPr>
        <w:pStyle w:val="3-BodyText"/>
      </w:pPr>
      <w:r w:rsidRPr="002E75D2">
        <w:t xml:space="preserve">Table </w:t>
      </w:r>
      <w:r>
        <w:rPr>
          <w:noProof/>
        </w:rPr>
        <w:t>3</w:t>
      </w:r>
      <w:r w:rsidR="005B67F5" w:rsidRPr="00370EE7">
        <w:fldChar w:fldCharType="end"/>
      </w:r>
      <w:r w:rsidR="005B67F5" w:rsidRPr="00370EE7">
        <w:t xml:space="preserve"> </w:t>
      </w:r>
      <w:r w:rsidR="00502BDF" w:rsidRPr="00370EE7">
        <w:t xml:space="preserve">presents </w:t>
      </w:r>
      <w:r w:rsidR="00751DA9" w:rsidRPr="00370EE7">
        <w:t>definitions of</w:t>
      </w:r>
      <w:r w:rsidR="005F4787" w:rsidRPr="00370EE7">
        <w:t xml:space="preserve"> key</w:t>
      </w:r>
      <w:r w:rsidR="00751DA9" w:rsidRPr="00370EE7">
        <w:t xml:space="preserve"> outcomes and </w:t>
      </w:r>
      <w:r w:rsidR="00CB1FC7" w:rsidRPr="00370EE7">
        <w:t>nominated</w:t>
      </w:r>
      <w:r w:rsidR="00751DA9" w:rsidRPr="00370EE7">
        <w:t xml:space="preserve"> </w:t>
      </w:r>
      <w:r w:rsidR="005F4787" w:rsidRPr="00370EE7">
        <w:t>minimal clinically important difference (MCID)</w:t>
      </w:r>
      <w:r w:rsidR="00C1358B" w:rsidRPr="00370EE7">
        <w:t xml:space="preserve"> </w:t>
      </w:r>
      <w:r w:rsidR="005F4787" w:rsidRPr="00370EE7">
        <w:t>values.</w:t>
      </w:r>
      <w:bookmarkStart w:id="41" w:name="_Ref208243569"/>
    </w:p>
    <w:p w14:paraId="35102538" w14:textId="404839B3" w:rsidR="000A5C06" w:rsidRDefault="000A5C06" w:rsidP="00D34C8E">
      <w:pPr>
        <w:pStyle w:val="TableFigureHeading"/>
        <w:keepLines/>
      </w:pPr>
      <w:r w:rsidRPr="002E75D2">
        <w:lastRenderedPageBreak/>
        <w:t xml:space="preserve">Table </w:t>
      </w:r>
      <w:r w:rsidR="000847A3">
        <w:fldChar w:fldCharType="begin"/>
      </w:r>
      <w:r w:rsidR="000847A3">
        <w:instrText xml:space="preserve"> SEQ Table \* ARABIC </w:instrText>
      </w:r>
      <w:r w:rsidR="000847A3">
        <w:fldChar w:fldCharType="separate"/>
      </w:r>
      <w:r w:rsidR="00AA53DD">
        <w:rPr>
          <w:noProof/>
        </w:rPr>
        <w:t>3</w:t>
      </w:r>
      <w:r w:rsidR="000847A3">
        <w:rPr>
          <w:noProof/>
        </w:rPr>
        <w:fldChar w:fldCharType="end"/>
      </w:r>
      <w:bookmarkEnd w:id="41"/>
      <w:r w:rsidRPr="002E75D2">
        <w:t>: Key outcomes and their definitions</w:t>
      </w:r>
    </w:p>
    <w:tbl>
      <w:tblPr>
        <w:tblStyle w:val="TableGrid"/>
        <w:tblW w:w="5000" w:type="pct"/>
        <w:tblLook w:val="04A0" w:firstRow="1" w:lastRow="0" w:firstColumn="1" w:lastColumn="0" w:noHBand="0" w:noVBand="1"/>
        <w:tblCaption w:val="Table 3: Key outcomes and their definitions"/>
      </w:tblPr>
      <w:tblGrid>
        <w:gridCol w:w="845"/>
        <w:gridCol w:w="5104"/>
        <w:gridCol w:w="3068"/>
      </w:tblGrid>
      <w:tr w:rsidR="000A5C06" w:rsidRPr="002E75D2" w14:paraId="41A04621" w14:textId="77777777" w:rsidTr="00C21DB1">
        <w:trPr>
          <w:trHeight w:val="255"/>
          <w:tblHeader/>
        </w:trPr>
        <w:tc>
          <w:tcPr>
            <w:tcW w:w="469" w:type="pct"/>
            <w:tcMar>
              <w:left w:w="20" w:type="dxa"/>
              <w:right w:w="20" w:type="dxa"/>
            </w:tcMar>
          </w:tcPr>
          <w:p w14:paraId="762726FE" w14:textId="3D63D79B" w:rsidR="000A5C06" w:rsidRPr="002E75D2" w:rsidRDefault="000A5C06" w:rsidP="00D34C8E">
            <w:pPr>
              <w:pStyle w:val="In-tableHeading"/>
              <w:rPr>
                <w:lang w:val="en-AU"/>
              </w:rPr>
            </w:pPr>
            <w:r w:rsidRPr="002E75D2">
              <w:rPr>
                <w:lang w:val="en-AU"/>
              </w:rPr>
              <w:t>Outcome</w:t>
            </w:r>
          </w:p>
        </w:tc>
        <w:tc>
          <w:tcPr>
            <w:tcW w:w="2830" w:type="pct"/>
            <w:tcMar>
              <w:left w:w="20" w:type="dxa"/>
              <w:right w:w="20" w:type="dxa"/>
            </w:tcMar>
          </w:tcPr>
          <w:p w14:paraId="570FE020" w14:textId="75193E72" w:rsidR="000A5C06" w:rsidRPr="002E75D2" w:rsidRDefault="005B67F5" w:rsidP="00D34C8E">
            <w:pPr>
              <w:pStyle w:val="In-tableHeading"/>
              <w:rPr>
                <w:lang w:val="en-AU"/>
              </w:rPr>
            </w:pPr>
            <w:r w:rsidRPr="002E75D2">
              <w:rPr>
                <w:lang w:val="en-AU"/>
              </w:rPr>
              <w:t>Definition</w:t>
            </w:r>
          </w:p>
        </w:tc>
        <w:tc>
          <w:tcPr>
            <w:tcW w:w="1701" w:type="pct"/>
            <w:tcMar>
              <w:left w:w="20" w:type="dxa"/>
              <w:right w:w="20" w:type="dxa"/>
            </w:tcMar>
          </w:tcPr>
          <w:p w14:paraId="1715FD3A" w14:textId="7B3DF366" w:rsidR="000A5C06" w:rsidRPr="002E75D2" w:rsidRDefault="001475BD" w:rsidP="00D34C8E">
            <w:pPr>
              <w:pStyle w:val="In-tableHeading"/>
              <w:rPr>
                <w:lang w:val="en-AU"/>
              </w:rPr>
            </w:pPr>
            <w:r w:rsidRPr="002E75D2">
              <w:rPr>
                <w:lang w:val="en-AU"/>
              </w:rPr>
              <w:t xml:space="preserve">Proposed </w:t>
            </w:r>
            <w:r w:rsidR="005B67F5" w:rsidRPr="002E75D2">
              <w:rPr>
                <w:lang w:val="en-AU"/>
              </w:rPr>
              <w:t>MCID</w:t>
            </w:r>
            <w:r w:rsidR="005B2179" w:rsidRPr="002E75D2">
              <w:rPr>
                <w:lang w:val="en-AU"/>
              </w:rPr>
              <w:t xml:space="preserve"> and </w:t>
            </w:r>
            <w:r w:rsidR="00F46670" w:rsidRPr="002E75D2">
              <w:rPr>
                <w:lang w:val="en-AU"/>
              </w:rPr>
              <w:t>response</w:t>
            </w:r>
          </w:p>
        </w:tc>
      </w:tr>
      <w:tr w:rsidR="000A5C06" w:rsidRPr="002E75D2" w14:paraId="3AB3A877" w14:textId="77777777" w:rsidTr="00C21DB1">
        <w:trPr>
          <w:trHeight w:val="255"/>
        </w:trPr>
        <w:tc>
          <w:tcPr>
            <w:tcW w:w="469" w:type="pct"/>
            <w:tcMar>
              <w:left w:w="20" w:type="dxa"/>
              <w:right w:w="20" w:type="dxa"/>
            </w:tcMar>
          </w:tcPr>
          <w:p w14:paraId="3CAF3256" w14:textId="6AA78D26" w:rsidR="000A5C06" w:rsidRPr="002E75D2" w:rsidRDefault="005B67F5" w:rsidP="00D34C8E">
            <w:pPr>
              <w:pStyle w:val="TableText0"/>
              <w:keepNext/>
              <w:rPr>
                <w:iCs w:val="0"/>
              </w:rPr>
            </w:pPr>
            <w:r w:rsidRPr="002E75D2">
              <w:rPr>
                <w:iCs w:val="0"/>
              </w:rPr>
              <w:t>IGA-CHE</w:t>
            </w:r>
          </w:p>
        </w:tc>
        <w:tc>
          <w:tcPr>
            <w:tcW w:w="2830" w:type="pct"/>
            <w:tcMar>
              <w:left w:w="20" w:type="dxa"/>
              <w:right w:w="20" w:type="dxa"/>
            </w:tcMar>
          </w:tcPr>
          <w:p w14:paraId="282AD89F" w14:textId="313B20BA" w:rsidR="000A5C06" w:rsidRPr="002E75D2" w:rsidRDefault="008D3FC8" w:rsidP="00D34C8E">
            <w:pPr>
              <w:pStyle w:val="TableText0"/>
              <w:keepNext/>
              <w:rPr>
                <w:iCs w:val="0"/>
              </w:rPr>
            </w:pPr>
            <w:r w:rsidRPr="002E75D2">
              <w:rPr>
                <w:iCs w:val="0"/>
              </w:rPr>
              <w:t xml:space="preserve">A </w:t>
            </w:r>
            <w:r w:rsidR="00901143" w:rsidRPr="002E75D2">
              <w:rPr>
                <w:iCs w:val="0"/>
              </w:rPr>
              <w:t>5</w:t>
            </w:r>
            <w:r w:rsidRPr="002E75D2">
              <w:rPr>
                <w:iCs w:val="0"/>
              </w:rPr>
              <w:t xml:space="preserve">-point scale </w:t>
            </w:r>
            <w:r w:rsidR="00C07CA9" w:rsidRPr="002E75D2">
              <w:rPr>
                <w:iCs w:val="0"/>
              </w:rPr>
              <w:t>used by clinicians to</w:t>
            </w:r>
            <w:r w:rsidRPr="002E75D2">
              <w:rPr>
                <w:iCs w:val="0"/>
              </w:rPr>
              <w:t xml:space="preserve"> evaluate the overall severity of a patient’s CHE</w:t>
            </w:r>
            <w:r w:rsidR="008839F0" w:rsidRPr="002E75D2">
              <w:rPr>
                <w:iCs w:val="0"/>
              </w:rPr>
              <w:t xml:space="preserve">. </w:t>
            </w:r>
            <w:r w:rsidR="00CB5FF3" w:rsidRPr="002E75D2">
              <w:rPr>
                <w:iCs w:val="0"/>
              </w:rPr>
              <w:t>The assessment incorporates multiple clinical signs, including erythema, scaling, hyperkeratosis, vesiculation, oedema, and fissures, to determine a single global score for the patient's disease</w:t>
            </w:r>
            <w:r w:rsidR="008839F0" w:rsidRPr="002E75D2">
              <w:rPr>
                <w:iCs w:val="0"/>
              </w:rPr>
              <w:t xml:space="preserve"> (0 is clear and 4 is severe).</w:t>
            </w:r>
          </w:p>
        </w:tc>
        <w:tc>
          <w:tcPr>
            <w:tcW w:w="1701" w:type="pct"/>
            <w:tcMar>
              <w:left w:w="20" w:type="dxa"/>
              <w:right w:w="20" w:type="dxa"/>
            </w:tcMar>
          </w:tcPr>
          <w:p w14:paraId="70A758F7" w14:textId="4E585841" w:rsidR="000A5C06" w:rsidRPr="002E75D2" w:rsidRDefault="00F46670" w:rsidP="00D34C8E">
            <w:pPr>
              <w:pStyle w:val="TableText0"/>
              <w:keepNext/>
              <w:rPr>
                <w:iCs w:val="0"/>
              </w:rPr>
            </w:pPr>
            <w:r w:rsidRPr="002E75D2">
              <w:rPr>
                <w:iCs w:val="0"/>
              </w:rPr>
              <w:t xml:space="preserve">MCID: </w:t>
            </w:r>
            <w:r w:rsidR="007C40CC" w:rsidRPr="002E75D2">
              <w:rPr>
                <w:iCs w:val="0"/>
              </w:rPr>
              <w:t>An IGA-CHE score of 0 (clear) or 1 (almost clear) with a ≥</w:t>
            </w:r>
            <w:r w:rsidR="00F172EB" w:rsidRPr="002E75D2">
              <w:rPr>
                <w:iCs w:val="0"/>
              </w:rPr>
              <w:t xml:space="preserve"> 2-step</w:t>
            </w:r>
            <w:r w:rsidR="007C40CC" w:rsidRPr="002E75D2">
              <w:rPr>
                <w:iCs w:val="0"/>
              </w:rPr>
              <w:t xml:space="preserve"> improvement from baseline</w:t>
            </w:r>
            <w:r w:rsidRPr="002E75D2">
              <w:rPr>
                <w:iCs w:val="0"/>
              </w:rPr>
              <w:t>.</w:t>
            </w:r>
          </w:p>
          <w:p w14:paraId="0E92DBB6" w14:textId="77777777" w:rsidR="00F46670" w:rsidRPr="00383DA5" w:rsidRDefault="00F46670" w:rsidP="00D34C8E">
            <w:pPr>
              <w:pStyle w:val="TableText0"/>
              <w:keepNext/>
              <w:rPr>
                <w:iCs w:val="0"/>
                <w:sz w:val="12"/>
                <w:szCs w:val="12"/>
              </w:rPr>
            </w:pPr>
          </w:p>
          <w:p w14:paraId="0FE4924C" w14:textId="77777777" w:rsidR="00F46670" w:rsidRPr="002E75D2" w:rsidRDefault="00F46670" w:rsidP="00D34C8E">
            <w:pPr>
              <w:pStyle w:val="TableText0"/>
              <w:keepNext/>
              <w:rPr>
                <w:iCs w:val="0"/>
              </w:rPr>
            </w:pPr>
            <w:r w:rsidRPr="002E75D2">
              <w:rPr>
                <w:iCs w:val="0"/>
              </w:rPr>
              <w:t>Response:</w:t>
            </w:r>
          </w:p>
          <w:tbl>
            <w:tblPr>
              <w:tblStyle w:val="TableGrid"/>
              <w:tblW w:w="5000" w:type="pct"/>
              <w:tblLook w:val="0620" w:firstRow="1" w:lastRow="0" w:firstColumn="0" w:lastColumn="0" w:noHBand="1" w:noVBand="1"/>
            </w:tblPr>
            <w:tblGrid>
              <w:gridCol w:w="1249"/>
              <w:gridCol w:w="1769"/>
            </w:tblGrid>
            <w:tr w:rsidR="00D1215A" w:rsidRPr="002E75D2" w14:paraId="230304CC" w14:textId="77777777" w:rsidTr="00383DA5">
              <w:trPr>
                <w:trHeight w:val="254"/>
                <w:tblHeader/>
              </w:trPr>
              <w:tc>
                <w:tcPr>
                  <w:tcW w:w="2069" w:type="pct"/>
                  <w:tcMar>
                    <w:left w:w="20" w:type="dxa"/>
                    <w:right w:w="20" w:type="dxa"/>
                  </w:tcMar>
                </w:tcPr>
                <w:p w14:paraId="65B5BA2C" w14:textId="77777777" w:rsidR="00D1215A" w:rsidRPr="002E75D2" w:rsidRDefault="00D1215A" w:rsidP="00D34C8E">
                  <w:pPr>
                    <w:pStyle w:val="TableText0"/>
                    <w:keepNext/>
                    <w:rPr>
                      <w:b/>
                      <w:bCs w:val="0"/>
                      <w:iCs w:val="0"/>
                    </w:rPr>
                  </w:pPr>
                  <w:r w:rsidRPr="002E75D2">
                    <w:rPr>
                      <w:b/>
                      <w:bCs w:val="0"/>
                      <w:iCs w:val="0"/>
                    </w:rPr>
                    <w:t>Health state</w:t>
                  </w:r>
                </w:p>
              </w:tc>
              <w:tc>
                <w:tcPr>
                  <w:tcW w:w="2931" w:type="pct"/>
                  <w:tcMar>
                    <w:left w:w="20" w:type="dxa"/>
                    <w:right w:w="20" w:type="dxa"/>
                  </w:tcMar>
                </w:tcPr>
                <w:p w14:paraId="07B417D5" w14:textId="77777777" w:rsidR="00D1215A" w:rsidRPr="002E75D2" w:rsidRDefault="00D1215A" w:rsidP="00D34C8E">
                  <w:pPr>
                    <w:pStyle w:val="TableText0"/>
                    <w:keepNext/>
                    <w:rPr>
                      <w:b/>
                      <w:bCs w:val="0"/>
                      <w:iCs w:val="0"/>
                    </w:rPr>
                  </w:pPr>
                  <w:r w:rsidRPr="002E75D2">
                    <w:rPr>
                      <w:b/>
                      <w:bCs w:val="0"/>
                      <w:iCs w:val="0"/>
                    </w:rPr>
                    <w:t xml:space="preserve">IGA - CHE </w:t>
                  </w:r>
                </w:p>
              </w:tc>
            </w:tr>
            <w:tr w:rsidR="00D1215A" w:rsidRPr="002E75D2" w14:paraId="6D75F27B" w14:textId="77777777" w:rsidTr="00383DA5">
              <w:trPr>
                <w:trHeight w:val="454"/>
              </w:trPr>
              <w:tc>
                <w:tcPr>
                  <w:tcW w:w="2069" w:type="pct"/>
                  <w:tcMar>
                    <w:left w:w="20" w:type="dxa"/>
                    <w:right w:w="20" w:type="dxa"/>
                  </w:tcMar>
                </w:tcPr>
                <w:p w14:paraId="45DBC559" w14:textId="77777777" w:rsidR="00D1215A" w:rsidRPr="002E75D2" w:rsidRDefault="00D1215A" w:rsidP="00D34C8E">
                  <w:pPr>
                    <w:pStyle w:val="TableText0"/>
                    <w:keepNext/>
                    <w:rPr>
                      <w:iCs w:val="0"/>
                    </w:rPr>
                  </w:pPr>
                  <w:r w:rsidRPr="002E75D2">
                    <w:rPr>
                      <w:iCs w:val="0"/>
                    </w:rPr>
                    <w:t>Full response</w:t>
                  </w:r>
                </w:p>
              </w:tc>
              <w:tc>
                <w:tcPr>
                  <w:tcW w:w="2931" w:type="pct"/>
                  <w:tcMar>
                    <w:left w:w="20" w:type="dxa"/>
                    <w:right w:w="20" w:type="dxa"/>
                  </w:tcMar>
                </w:tcPr>
                <w:p w14:paraId="1B2ECCDD" w14:textId="05748A93" w:rsidR="00D1215A" w:rsidRPr="002E75D2" w:rsidRDefault="00D1215A" w:rsidP="00D34C8E">
                  <w:pPr>
                    <w:pStyle w:val="TableText0"/>
                    <w:keepNext/>
                    <w:rPr>
                      <w:iCs w:val="0"/>
                    </w:rPr>
                  </w:pPr>
                  <w:r w:rsidRPr="002E75D2">
                    <w:rPr>
                      <w:iCs w:val="0"/>
                    </w:rPr>
                    <w:t xml:space="preserve">0 (Clear) or </w:t>
                  </w:r>
                  <w:r w:rsidR="005C6642" w:rsidRPr="002E75D2">
                    <w:rPr>
                      <w:iCs w:val="0"/>
                    </w:rPr>
                    <w:br/>
                  </w:r>
                  <w:r w:rsidRPr="002E75D2">
                    <w:rPr>
                      <w:iCs w:val="0"/>
                    </w:rPr>
                    <w:t>1 (Almost clear)</w:t>
                  </w:r>
                </w:p>
              </w:tc>
            </w:tr>
            <w:tr w:rsidR="00D1215A" w:rsidRPr="002E75D2" w14:paraId="06BED50F" w14:textId="77777777" w:rsidTr="00383DA5">
              <w:trPr>
                <w:trHeight w:val="127"/>
              </w:trPr>
              <w:tc>
                <w:tcPr>
                  <w:tcW w:w="2069" w:type="pct"/>
                  <w:tcMar>
                    <w:left w:w="20" w:type="dxa"/>
                    <w:right w:w="20" w:type="dxa"/>
                  </w:tcMar>
                </w:tcPr>
                <w:p w14:paraId="60E43B5D" w14:textId="77777777" w:rsidR="00D1215A" w:rsidRPr="002E75D2" w:rsidRDefault="00D1215A" w:rsidP="00D34C8E">
                  <w:pPr>
                    <w:pStyle w:val="TableText0"/>
                    <w:keepNext/>
                    <w:rPr>
                      <w:iCs w:val="0"/>
                    </w:rPr>
                  </w:pPr>
                  <w:r w:rsidRPr="002E75D2">
                    <w:rPr>
                      <w:iCs w:val="0"/>
                    </w:rPr>
                    <w:t xml:space="preserve">Partial response </w:t>
                  </w:r>
                </w:p>
              </w:tc>
              <w:tc>
                <w:tcPr>
                  <w:tcW w:w="2931" w:type="pct"/>
                  <w:tcMar>
                    <w:left w:w="20" w:type="dxa"/>
                    <w:right w:w="20" w:type="dxa"/>
                  </w:tcMar>
                </w:tcPr>
                <w:p w14:paraId="2EC6412B" w14:textId="613ED25A" w:rsidR="00D1215A" w:rsidRPr="002E75D2" w:rsidRDefault="00D1215A" w:rsidP="00D34C8E">
                  <w:pPr>
                    <w:pStyle w:val="TableText0"/>
                    <w:keepNext/>
                    <w:rPr>
                      <w:iCs w:val="0"/>
                    </w:rPr>
                  </w:pPr>
                  <w:r w:rsidRPr="002E75D2">
                    <w:rPr>
                      <w:iCs w:val="0"/>
                    </w:rPr>
                    <w:t>2 (Mild)</w:t>
                  </w:r>
                </w:p>
              </w:tc>
            </w:tr>
            <w:tr w:rsidR="00D1215A" w:rsidRPr="002E75D2" w14:paraId="6890D163" w14:textId="77777777" w:rsidTr="00383DA5">
              <w:trPr>
                <w:trHeight w:val="454"/>
              </w:trPr>
              <w:tc>
                <w:tcPr>
                  <w:tcW w:w="2069" w:type="pct"/>
                  <w:tcMar>
                    <w:left w:w="20" w:type="dxa"/>
                    <w:right w:w="20" w:type="dxa"/>
                  </w:tcMar>
                </w:tcPr>
                <w:p w14:paraId="62004A08" w14:textId="77777777" w:rsidR="00D1215A" w:rsidRPr="002E75D2" w:rsidRDefault="00D1215A" w:rsidP="00D34C8E">
                  <w:pPr>
                    <w:pStyle w:val="TableText0"/>
                    <w:keepNext/>
                    <w:rPr>
                      <w:iCs w:val="0"/>
                    </w:rPr>
                  </w:pPr>
                  <w:r w:rsidRPr="002E75D2">
                    <w:rPr>
                      <w:iCs w:val="0"/>
                    </w:rPr>
                    <w:t>Low response</w:t>
                  </w:r>
                </w:p>
              </w:tc>
              <w:tc>
                <w:tcPr>
                  <w:tcW w:w="2931" w:type="pct"/>
                  <w:tcMar>
                    <w:left w:w="20" w:type="dxa"/>
                    <w:right w:w="20" w:type="dxa"/>
                  </w:tcMar>
                </w:tcPr>
                <w:p w14:paraId="40250DD7" w14:textId="49376BF8" w:rsidR="00D1215A" w:rsidRPr="002E75D2" w:rsidRDefault="00D1215A" w:rsidP="00D34C8E">
                  <w:pPr>
                    <w:pStyle w:val="TableText0"/>
                    <w:keepNext/>
                    <w:rPr>
                      <w:iCs w:val="0"/>
                    </w:rPr>
                  </w:pPr>
                  <w:r w:rsidRPr="002E75D2">
                    <w:rPr>
                      <w:iCs w:val="0"/>
                    </w:rPr>
                    <w:t>3</w:t>
                  </w:r>
                  <w:r w:rsidRPr="002E75D2" w:rsidDel="00FC0308">
                    <w:rPr>
                      <w:iCs w:val="0"/>
                    </w:rPr>
                    <w:t xml:space="preserve"> </w:t>
                  </w:r>
                  <w:r w:rsidRPr="002E75D2">
                    <w:rPr>
                      <w:iCs w:val="0"/>
                    </w:rPr>
                    <w:t>with 1-point improvement from baseline (Moderate)</w:t>
                  </w:r>
                </w:p>
              </w:tc>
            </w:tr>
            <w:tr w:rsidR="00D1215A" w:rsidRPr="002E75D2" w14:paraId="38A733C4" w14:textId="77777777" w:rsidTr="00383DA5">
              <w:trPr>
                <w:trHeight w:val="454"/>
              </w:trPr>
              <w:tc>
                <w:tcPr>
                  <w:tcW w:w="2069" w:type="pct"/>
                  <w:tcMar>
                    <w:left w:w="20" w:type="dxa"/>
                    <w:right w:w="20" w:type="dxa"/>
                  </w:tcMar>
                </w:tcPr>
                <w:p w14:paraId="16BDAC77" w14:textId="77777777" w:rsidR="00D1215A" w:rsidRPr="002E75D2" w:rsidRDefault="00D1215A" w:rsidP="00D34C8E">
                  <w:pPr>
                    <w:pStyle w:val="TableText0"/>
                    <w:keepNext/>
                    <w:rPr>
                      <w:iCs w:val="0"/>
                    </w:rPr>
                  </w:pPr>
                  <w:r w:rsidRPr="002E75D2">
                    <w:rPr>
                      <w:iCs w:val="0"/>
                    </w:rPr>
                    <w:t>Insufficient response</w:t>
                  </w:r>
                </w:p>
              </w:tc>
              <w:tc>
                <w:tcPr>
                  <w:tcW w:w="2931" w:type="pct"/>
                  <w:tcMar>
                    <w:left w:w="20" w:type="dxa"/>
                    <w:right w:w="20" w:type="dxa"/>
                  </w:tcMar>
                </w:tcPr>
                <w:p w14:paraId="058E217C" w14:textId="6778E6AB" w:rsidR="00D1215A" w:rsidRPr="002E75D2" w:rsidRDefault="00D1215A" w:rsidP="00D34C8E">
                  <w:pPr>
                    <w:pStyle w:val="TableText0"/>
                    <w:keepNext/>
                    <w:rPr>
                      <w:iCs w:val="0"/>
                    </w:rPr>
                  </w:pPr>
                  <w:r w:rsidRPr="002E75D2">
                    <w:rPr>
                      <w:iCs w:val="0"/>
                    </w:rPr>
                    <w:t>3 without improvement from baseline or IGA-CHE 4 (Severe)</w:t>
                  </w:r>
                </w:p>
              </w:tc>
            </w:tr>
          </w:tbl>
          <w:p w14:paraId="0EC51B44" w14:textId="1AA19CC5" w:rsidR="00F46670" w:rsidRPr="002E75D2" w:rsidRDefault="00F46670" w:rsidP="00D34C8E">
            <w:pPr>
              <w:pStyle w:val="TableText0"/>
              <w:keepNext/>
              <w:rPr>
                <w:iCs w:val="0"/>
              </w:rPr>
            </w:pPr>
          </w:p>
        </w:tc>
      </w:tr>
      <w:tr w:rsidR="000A5C06" w:rsidRPr="002E75D2" w14:paraId="7308CB7C" w14:textId="77777777" w:rsidTr="00C21DB1">
        <w:trPr>
          <w:trHeight w:val="2606"/>
        </w:trPr>
        <w:tc>
          <w:tcPr>
            <w:tcW w:w="469" w:type="pct"/>
            <w:tcMar>
              <w:left w:w="20" w:type="dxa"/>
              <w:right w:w="20" w:type="dxa"/>
            </w:tcMar>
          </w:tcPr>
          <w:p w14:paraId="1952AFE1" w14:textId="3D054844" w:rsidR="000A5C06" w:rsidRPr="002E75D2" w:rsidRDefault="0077717D" w:rsidP="00D34C8E">
            <w:pPr>
              <w:pStyle w:val="TableText0"/>
              <w:keepNext/>
              <w:rPr>
                <w:iCs w:val="0"/>
              </w:rPr>
            </w:pPr>
            <w:r w:rsidRPr="002E75D2">
              <w:rPr>
                <w:iCs w:val="0"/>
              </w:rPr>
              <w:t>HECSI</w:t>
            </w:r>
          </w:p>
        </w:tc>
        <w:tc>
          <w:tcPr>
            <w:tcW w:w="2830" w:type="pct"/>
            <w:tcMar>
              <w:left w:w="20" w:type="dxa"/>
              <w:right w:w="20" w:type="dxa"/>
            </w:tcMar>
          </w:tcPr>
          <w:p w14:paraId="14320BA1" w14:textId="552D51AB" w:rsidR="000A5C06" w:rsidRPr="002E75D2" w:rsidRDefault="00413E1B" w:rsidP="00D34C8E">
            <w:pPr>
              <w:pStyle w:val="TableText0"/>
              <w:keepNext/>
              <w:rPr>
                <w:iCs w:val="0"/>
              </w:rPr>
            </w:pPr>
            <w:r w:rsidRPr="002E75D2">
              <w:rPr>
                <w:iCs w:val="0"/>
              </w:rPr>
              <w:t>A</w:t>
            </w:r>
            <w:r w:rsidR="00826CD7" w:rsidRPr="002E75D2">
              <w:rPr>
                <w:iCs w:val="0"/>
              </w:rPr>
              <w:t>n investigator</w:t>
            </w:r>
            <w:r w:rsidRPr="002E75D2">
              <w:rPr>
                <w:iCs w:val="0"/>
              </w:rPr>
              <w:t xml:space="preserve">-rated assessment tool that measures hand eczema severity by scoring 6 symptoms, including erythema, infiltration, vesicles, fissuring, scaling, and oedema, across 5 specific hand areas (fingertips, fingers, palms, back of hands, and wrists). The total score, ranging from 0 to 360, is calculated by multiplying the sum of the intensity scores for the 6 signs by the % of affected skin area in each of the 5 regions. </w:t>
            </w:r>
          </w:p>
        </w:tc>
        <w:tc>
          <w:tcPr>
            <w:tcW w:w="1701" w:type="pct"/>
            <w:tcMar>
              <w:left w:w="20" w:type="dxa"/>
              <w:right w:w="20" w:type="dxa"/>
            </w:tcMar>
          </w:tcPr>
          <w:p w14:paraId="27EA1608" w14:textId="19A5EF35" w:rsidR="000A5C06" w:rsidRPr="002E75D2" w:rsidRDefault="002A4C88" w:rsidP="00D34C8E">
            <w:pPr>
              <w:pStyle w:val="TableText0"/>
              <w:keepNext/>
              <w:rPr>
                <w:iCs w:val="0"/>
              </w:rPr>
            </w:pPr>
            <w:r w:rsidRPr="002E75D2">
              <w:rPr>
                <w:iCs w:val="0"/>
              </w:rPr>
              <w:t>MCID</w:t>
            </w:r>
            <w:r w:rsidR="005B2179" w:rsidRPr="002E75D2">
              <w:rPr>
                <w:iCs w:val="0"/>
              </w:rPr>
              <w:t xml:space="preserve"> (2 proposed)</w:t>
            </w:r>
            <w:r w:rsidRPr="002E75D2">
              <w:rPr>
                <w:iCs w:val="0"/>
              </w:rPr>
              <w:t xml:space="preserve">: </w:t>
            </w:r>
            <w:r w:rsidR="001475BD" w:rsidRPr="002E75D2">
              <w:rPr>
                <w:iCs w:val="0"/>
              </w:rPr>
              <w:t>an 8.3-point improvement to capture smaller but clinically meaningful changes, and a 41-point threshold to reflect larger, more conservative improvements.</w:t>
            </w:r>
          </w:p>
          <w:p w14:paraId="0FE85B3C" w14:textId="77777777" w:rsidR="002A4C88" w:rsidRPr="00383DA5" w:rsidRDefault="002A4C88" w:rsidP="00D34C8E">
            <w:pPr>
              <w:pStyle w:val="TableText0"/>
              <w:keepNext/>
              <w:rPr>
                <w:iCs w:val="0"/>
                <w:sz w:val="12"/>
                <w:szCs w:val="12"/>
              </w:rPr>
            </w:pPr>
          </w:p>
          <w:p w14:paraId="42BCAF64" w14:textId="221946F5" w:rsidR="002A4C88" w:rsidRPr="002E75D2" w:rsidRDefault="002A4C88" w:rsidP="00D34C8E">
            <w:pPr>
              <w:pStyle w:val="TableText0"/>
              <w:keepNext/>
              <w:rPr>
                <w:iCs w:val="0"/>
              </w:rPr>
            </w:pPr>
            <w:r w:rsidRPr="002E75D2">
              <w:rPr>
                <w:iCs w:val="0"/>
              </w:rPr>
              <w:t>Response:</w:t>
            </w:r>
          </w:p>
          <w:tbl>
            <w:tblPr>
              <w:tblStyle w:val="TableGrid"/>
              <w:tblW w:w="5000" w:type="pct"/>
              <w:tblLook w:val="0620" w:firstRow="1" w:lastRow="0" w:firstColumn="0" w:lastColumn="0" w:noHBand="1" w:noVBand="1"/>
            </w:tblPr>
            <w:tblGrid>
              <w:gridCol w:w="1383"/>
              <w:gridCol w:w="1635"/>
            </w:tblGrid>
            <w:tr w:rsidR="002A4C88" w:rsidRPr="002E75D2" w14:paraId="14403C20" w14:textId="77777777" w:rsidTr="005C6642">
              <w:trPr>
                <w:trHeight w:val="146"/>
              </w:trPr>
              <w:tc>
                <w:tcPr>
                  <w:tcW w:w="2292" w:type="pct"/>
                  <w:tcMar>
                    <w:left w:w="20" w:type="dxa"/>
                    <w:right w:w="20" w:type="dxa"/>
                  </w:tcMar>
                </w:tcPr>
                <w:p w14:paraId="517564F5" w14:textId="77777777" w:rsidR="002A4C88" w:rsidRPr="002E75D2" w:rsidRDefault="002A4C88" w:rsidP="00D34C8E">
                  <w:pPr>
                    <w:pStyle w:val="TableText0"/>
                    <w:keepNext/>
                    <w:rPr>
                      <w:b/>
                      <w:bCs w:val="0"/>
                      <w:iCs w:val="0"/>
                    </w:rPr>
                  </w:pPr>
                  <w:r w:rsidRPr="002E75D2">
                    <w:rPr>
                      <w:b/>
                      <w:bCs w:val="0"/>
                      <w:iCs w:val="0"/>
                    </w:rPr>
                    <w:t>Health state</w:t>
                  </w:r>
                </w:p>
              </w:tc>
              <w:tc>
                <w:tcPr>
                  <w:tcW w:w="2708" w:type="pct"/>
                  <w:tcMar>
                    <w:left w:w="20" w:type="dxa"/>
                    <w:right w:w="20" w:type="dxa"/>
                  </w:tcMar>
                </w:tcPr>
                <w:p w14:paraId="1FAEE97E" w14:textId="282D8154" w:rsidR="002A4C88" w:rsidRPr="002E75D2" w:rsidRDefault="002A4C88" w:rsidP="00D34C8E">
                  <w:pPr>
                    <w:pStyle w:val="TableText0"/>
                    <w:keepNext/>
                    <w:rPr>
                      <w:b/>
                      <w:bCs w:val="0"/>
                      <w:iCs w:val="0"/>
                    </w:rPr>
                  </w:pPr>
                  <w:r w:rsidRPr="002E75D2">
                    <w:rPr>
                      <w:b/>
                      <w:bCs w:val="0"/>
                      <w:iCs w:val="0"/>
                    </w:rPr>
                    <w:t>HECSI</w:t>
                  </w:r>
                </w:p>
              </w:tc>
            </w:tr>
            <w:tr w:rsidR="003A79DA" w:rsidRPr="002E75D2" w14:paraId="3E243412" w14:textId="77777777" w:rsidTr="005C6642">
              <w:trPr>
                <w:trHeight w:val="146"/>
              </w:trPr>
              <w:tc>
                <w:tcPr>
                  <w:tcW w:w="2292" w:type="pct"/>
                  <w:tcMar>
                    <w:left w:w="20" w:type="dxa"/>
                    <w:right w:w="20" w:type="dxa"/>
                  </w:tcMar>
                </w:tcPr>
                <w:p w14:paraId="7F4F57AF" w14:textId="77777777" w:rsidR="003A79DA" w:rsidRPr="002E75D2" w:rsidRDefault="003A79DA" w:rsidP="00D34C8E">
                  <w:pPr>
                    <w:pStyle w:val="TableText0"/>
                    <w:keepNext/>
                    <w:rPr>
                      <w:iCs w:val="0"/>
                    </w:rPr>
                  </w:pPr>
                  <w:r w:rsidRPr="002E75D2">
                    <w:rPr>
                      <w:iCs w:val="0"/>
                    </w:rPr>
                    <w:t>Full response</w:t>
                  </w:r>
                </w:p>
              </w:tc>
              <w:tc>
                <w:tcPr>
                  <w:tcW w:w="2708" w:type="pct"/>
                  <w:tcMar>
                    <w:left w:w="20" w:type="dxa"/>
                    <w:right w:w="20" w:type="dxa"/>
                  </w:tcMar>
                </w:tcPr>
                <w:p w14:paraId="21E3E065" w14:textId="58E8E067" w:rsidR="003A79DA" w:rsidRPr="002E75D2" w:rsidRDefault="003A79DA" w:rsidP="00D34C8E">
                  <w:pPr>
                    <w:pStyle w:val="TableText0"/>
                    <w:keepNext/>
                    <w:rPr>
                      <w:iCs w:val="0"/>
                    </w:rPr>
                  </w:pPr>
                  <w:r w:rsidRPr="002E75D2">
                    <w:rPr>
                      <w:iCs w:val="0"/>
                    </w:rPr>
                    <w:t>≥90</w:t>
                  </w:r>
                </w:p>
              </w:tc>
            </w:tr>
            <w:tr w:rsidR="003A79DA" w:rsidRPr="002E75D2" w14:paraId="244C1CC4" w14:textId="77777777" w:rsidTr="005C6642">
              <w:trPr>
                <w:trHeight w:val="56"/>
              </w:trPr>
              <w:tc>
                <w:tcPr>
                  <w:tcW w:w="2292" w:type="pct"/>
                  <w:tcMar>
                    <w:left w:w="20" w:type="dxa"/>
                    <w:right w:w="20" w:type="dxa"/>
                  </w:tcMar>
                </w:tcPr>
                <w:p w14:paraId="0DEE64EB" w14:textId="77777777" w:rsidR="003A79DA" w:rsidRPr="002E75D2" w:rsidRDefault="003A79DA" w:rsidP="00D34C8E">
                  <w:pPr>
                    <w:pStyle w:val="TableText0"/>
                    <w:keepNext/>
                    <w:rPr>
                      <w:iCs w:val="0"/>
                    </w:rPr>
                  </w:pPr>
                  <w:r w:rsidRPr="002E75D2">
                    <w:rPr>
                      <w:iCs w:val="0"/>
                    </w:rPr>
                    <w:t xml:space="preserve">Partial response </w:t>
                  </w:r>
                </w:p>
              </w:tc>
              <w:tc>
                <w:tcPr>
                  <w:tcW w:w="2708" w:type="pct"/>
                  <w:tcMar>
                    <w:left w:w="20" w:type="dxa"/>
                    <w:right w:w="20" w:type="dxa"/>
                  </w:tcMar>
                </w:tcPr>
                <w:p w14:paraId="0DA23EB3" w14:textId="1B2B0C57" w:rsidR="003A79DA" w:rsidRPr="002E75D2" w:rsidRDefault="003A79DA" w:rsidP="00D34C8E">
                  <w:pPr>
                    <w:pStyle w:val="TableText0"/>
                    <w:keepNext/>
                    <w:rPr>
                      <w:iCs w:val="0"/>
                    </w:rPr>
                  </w:pPr>
                  <w:r w:rsidRPr="002E75D2">
                    <w:rPr>
                      <w:iCs w:val="0"/>
                    </w:rPr>
                    <w:t>75 to 89</w:t>
                  </w:r>
                </w:p>
              </w:tc>
            </w:tr>
            <w:tr w:rsidR="003A79DA" w:rsidRPr="002E75D2" w14:paraId="1B713E1F" w14:textId="77777777" w:rsidTr="005C6642">
              <w:trPr>
                <w:trHeight w:val="56"/>
              </w:trPr>
              <w:tc>
                <w:tcPr>
                  <w:tcW w:w="2292" w:type="pct"/>
                  <w:tcMar>
                    <w:left w:w="20" w:type="dxa"/>
                    <w:right w:w="20" w:type="dxa"/>
                  </w:tcMar>
                </w:tcPr>
                <w:p w14:paraId="16F84679" w14:textId="77777777" w:rsidR="003A79DA" w:rsidRPr="002E75D2" w:rsidRDefault="003A79DA" w:rsidP="00D34C8E">
                  <w:pPr>
                    <w:pStyle w:val="TableText0"/>
                    <w:keepNext/>
                    <w:rPr>
                      <w:iCs w:val="0"/>
                    </w:rPr>
                  </w:pPr>
                  <w:r w:rsidRPr="002E75D2">
                    <w:rPr>
                      <w:iCs w:val="0"/>
                    </w:rPr>
                    <w:t>Low response</w:t>
                  </w:r>
                </w:p>
              </w:tc>
              <w:tc>
                <w:tcPr>
                  <w:tcW w:w="2708" w:type="pct"/>
                  <w:tcMar>
                    <w:left w:w="20" w:type="dxa"/>
                    <w:right w:w="20" w:type="dxa"/>
                  </w:tcMar>
                </w:tcPr>
                <w:p w14:paraId="4DB45D6F" w14:textId="677DA80A" w:rsidR="003A79DA" w:rsidRPr="002E75D2" w:rsidRDefault="003A79DA" w:rsidP="00D34C8E">
                  <w:pPr>
                    <w:pStyle w:val="TableText0"/>
                    <w:keepNext/>
                    <w:rPr>
                      <w:iCs w:val="0"/>
                    </w:rPr>
                  </w:pPr>
                  <w:r w:rsidRPr="002E75D2">
                    <w:rPr>
                      <w:iCs w:val="0"/>
                    </w:rPr>
                    <w:t>50 to 74</w:t>
                  </w:r>
                </w:p>
              </w:tc>
            </w:tr>
            <w:tr w:rsidR="003A79DA" w:rsidRPr="002E75D2" w14:paraId="2104F25D" w14:textId="77777777" w:rsidTr="005C6642">
              <w:trPr>
                <w:trHeight w:val="454"/>
              </w:trPr>
              <w:tc>
                <w:tcPr>
                  <w:tcW w:w="2292" w:type="pct"/>
                  <w:tcMar>
                    <w:left w:w="20" w:type="dxa"/>
                    <w:right w:w="20" w:type="dxa"/>
                  </w:tcMar>
                </w:tcPr>
                <w:p w14:paraId="6268FA16" w14:textId="77777777" w:rsidR="003A79DA" w:rsidRPr="002E75D2" w:rsidRDefault="003A79DA" w:rsidP="00D34C8E">
                  <w:pPr>
                    <w:pStyle w:val="TableText0"/>
                    <w:keepNext/>
                    <w:rPr>
                      <w:iCs w:val="0"/>
                    </w:rPr>
                  </w:pPr>
                  <w:r w:rsidRPr="002E75D2">
                    <w:rPr>
                      <w:iCs w:val="0"/>
                    </w:rPr>
                    <w:t>Insufficient response</w:t>
                  </w:r>
                </w:p>
              </w:tc>
              <w:tc>
                <w:tcPr>
                  <w:tcW w:w="2708" w:type="pct"/>
                  <w:tcMar>
                    <w:left w:w="20" w:type="dxa"/>
                    <w:right w:w="20" w:type="dxa"/>
                  </w:tcMar>
                </w:tcPr>
                <w:p w14:paraId="704EFB20" w14:textId="488D60F8" w:rsidR="003A79DA" w:rsidRPr="002E75D2" w:rsidRDefault="003A79DA" w:rsidP="00D34C8E">
                  <w:pPr>
                    <w:pStyle w:val="TableText0"/>
                    <w:keepNext/>
                    <w:rPr>
                      <w:iCs w:val="0"/>
                    </w:rPr>
                  </w:pPr>
                  <w:r w:rsidRPr="002E75D2">
                    <w:rPr>
                      <w:iCs w:val="0"/>
                    </w:rPr>
                    <w:t>&lt; 50</w:t>
                  </w:r>
                </w:p>
              </w:tc>
            </w:tr>
          </w:tbl>
          <w:p w14:paraId="5EF4DE80" w14:textId="23838BFD" w:rsidR="002A4C88" w:rsidRPr="002E75D2" w:rsidRDefault="002A4C88" w:rsidP="00D34C8E">
            <w:pPr>
              <w:pStyle w:val="TableText0"/>
              <w:keepNext/>
              <w:rPr>
                <w:iCs w:val="0"/>
              </w:rPr>
            </w:pPr>
          </w:p>
        </w:tc>
      </w:tr>
      <w:tr w:rsidR="000A5C06" w:rsidRPr="002E75D2" w14:paraId="279D5128" w14:textId="77777777" w:rsidTr="00C21DB1">
        <w:trPr>
          <w:trHeight w:val="255"/>
        </w:trPr>
        <w:tc>
          <w:tcPr>
            <w:tcW w:w="469" w:type="pct"/>
            <w:tcMar>
              <w:left w:w="20" w:type="dxa"/>
              <w:right w:w="20" w:type="dxa"/>
            </w:tcMar>
          </w:tcPr>
          <w:p w14:paraId="33733EF8" w14:textId="6E4148B3" w:rsidR="000A5C06" w:rsidRPr="002E75D2" w:rsidRDefault="0077717D" w:rsidP="00D34C8E">
            <w:pPr>
              <w:pStyle w:val="TableText0"/>
              <w:keepNext/>
              <w:rPr>
                <w:iCs w:val="0"/>
              </w:rPr>
            </w:pPr>
            <w:r w:rsidRPr="002E75D2">
              <w:rPr>
                <w:iCs w:val="0"/>
              </w:rPr>
              <w:t>HESD</w:t>
            </w:r>
          </w:p>
        </w:tc>
        <w:tc>
          <w:tcPr>
            <w:tcW w:w="2830" w:type="pct"/>
            <w:tcMar>
              <w:left w:w="20" w:type="dxa"/>
              <w:right w:w="20" w:type="dxa"/>
            </w:tcMar>
          </w:tcPr>
          <w:p w14:paraId="674391B9" w14:textId="1C32D9C9" w:rsidR="000A5C06" w:rsidRPr="002E75D2" w:rsidRDefault="00DE6A5A" w:rsidP="00D34C8E">
            <w:pPr>
              <w:pStyle w:val="TableText0"/>
              <w:keepNext/>
              <w:rPr>
                <w:iCs w:val="0"/>
              </w:rPr>
            </w:pPr>
            <w:r w:rsidRPr="002E75D2">
              <w:rPr>
                <w:iCs w:val="0"/>
              </w:rPr>
              <w:t xml:space="preserve">A patient-reported outcome tool that tracks the severity of 13 symptoms over 24 hours on a 0-10 scale. Patients are asked to report their worst symptoms, such as itching, pain, or cracked skin, to provide data on symptom fluctuations over time. </w:t>
            </w:r>
          </w:p>
        </w:tc>
        <w:tc>
          <w:tcPr>
            <w:tcW w:w="1701" w:type="pct"/>
            <w:tcMar>
              <w:left w:w="20" w:type="dxa"/>
              <w:right w:w="20" w:type="dxa"/>
            </w:tcMar>
          </w:tcPr>
          <w:p w14:paraId="263A5A0C" w14:textId="4BD00266" w:rsidR="000A5C06" w:rsidRPr="002E75D2" w:rsidRDefault="00581AFD" w:rsidP="00D34C8E">
            <w:pPr>
              <w:pStyle w:val="TableText0"/>
              <w:keepNext/>
              <w:rPr>
                <w:iCs w:val="0"/>
              </w:rPr>
            </w:pPr>
            <w:r w:rsidRPr="002E75D2">
              <w:rPr>
                <w:iCs w:val="0"/>
              </w:rPr>
              <w:t>MCID: An improvement of ≥ 4 points in</w:t>
            </w:r>
            <w:r w:rsidR="003436F3" w:rsidRPr="002E75D2">
              <w:rPr>
                <w:iCs w:val="0"/>
              </w:rPr>
              <w:t xml:space="preserve"> the</w:t>
            </w:r>
            <w:r w:rsidRPr="002E75D2">
              <w:rPr>
                <w:iCs w:val="0"/>
              </w:rPr>
              <w:t xml:space="preserve"> 7-day (weekly) average for the HESD itch score, HESD pain score and the HESD scores</w:t>
            </w:r>
          </w:p>
        </w:tc>
      </w:tr>
      <w:tr w:rsidR="000A5C06" w:rsidRPr="002E75D2" w14:paraId="3F16C0A6" w14:textId="77777777" w:rsidTr="00C21DB1">
        <w:trPr>
          <w:trHeight w:val="255"/>
        </w:trPr>
        <w:tc>
          <w:tcPr>
            <w:tcW w:w="469" w:type="pct"/>
            <w:tcMar>
              <w:left w:w="20" w:type="dxa"/>
              <w:right w:w="20" w:type="dxa"/>
            </w:tcMar>
          </w:tcPr>
          <w:p w14:paraId="593F3A5B" w14:textId="59C2C3AD" w:rsidR="000A5C06" w:rsidRPr="002E75D2" w:rsidRDefault="0077717D" w:rsidP="00D34C8E">
            <w:pPr>
              <w:pStyle w:val="TableText0"/>
              <w:keepNext/>
              <w:rPr>
                <w:iCs w:val="0"/>
              </w:rPr>
            </w:pPr>
            <w:r w:rsidRPr="002E75D2">
              <w:rPr>
                <w:iCs w:val="0"/>
              </w:rPr>
              <w:t>HEIS</w:t>
            </w:r>
          </w:p>
        </w:tc>
        <w:tc>
          <w:tcPr>
            <w:tcW w:w="2830" w:type="pct"/>
            <w:tcMar>
              <w:left w:w="20" w:type="dxa"/>
              <w:right w:w="20" w:type="dxa"/>
            </w:tcMar>
          </w:tcPr>
          <w:p w14:paraId="69AE9231" w14:textId="71370FEE" w:rsidR="000A5C06" w:rsidRPr="002E75D2" w:rsidRDefault="002248B8" w:rsidP="00D34C8E">
            <w:pPr>
              <w:pStyle w:val="TableText0"/>
              <w:keepNext/>
              <w:rPr>
                <w:iCs w:val="0"/>
              </w:rPr>
            </w:pPr>
            <w:r w:rsidRPr="002E75D2">
              <w:rPr>
                <w:iCs w:val="0"/>
              </w:rPr>
              <w:t xml:space="preserve">A self-administered patient-reported questionnaire used to assess the impact of hand eczema on a person's daily life, covering symptoms like itching, pain, and frustration, and the resulting difficulty with activities like housework and work, over a 1-week recall period. It consists of </w:t>
            </w:r>
            <w:r w:rsidR="00FB5660" w:rsidRPr="002E75D2">
              <w:rPr>
                <w:iCs w:val="0"/>
              </w:rPr>
              <w:t>9</w:t>
            </w:r>
            <w:r w:rsidRPr="002E75D2">
              <w:rPr>
                <w:iCs w:val="0"/>
              </w:rPr>
              <w:t xml:space="preserve"> items that assess domains related to the ability to use cleaning products, quality of sleep,</w:t>
            </w:r>
            <w:r w:rsidR="00FB5660" w:rsidRPr="002E75D2">
              <w:rPr>
                <w:iCs w:val="0"/>
              </w:rPr>
              <w:t xml:space="preserve"> </w:t>
            </w:r>
            <w:r w:rsidRPr="002E75D2">
              <w:rPr>
                <w:iCs w:val="0"/>
              </w:rPr>
              <w:t xml:space="preserve">embarrassment, and difficulty with daily tasks and work, but it does not directly measure clinical signs of eczema. </w:t>
            </w:r>
          </w:p>
        </w:tc>
        <w:tc>
          <w:tcPr>
            <w:tcW w:w="1701" w:type="pct"/>
            <w:tcMar>
              <w:left w:w="20" w:type="dxa"/>
              <w:right w:w="20" w:type="dxa"/>
            </w:tcMar>
          </w:tcPr>
          <w:p w14:paraId="692B5989" w14:textId="7B8A328C" w:rsidR="000A5C06" w:rsidRPr="002E75D2" w:rsidRDefault="009674D0" w:rsidP="00D34C8E">
            <w:pPr>
              <w:pStyle w:val="TableText0"/>
              <w:keepNext/>
              <w:rPr>
                <w:iCs w:val="0"/>
              </w:rPr>
            </w:pPr>
            <w:r w:rsidRPr="002E75D2">
              <w:rPr>
                <w:iCs w:val="0"/>
              </w:rPr>
              <w:t>MCID: 1.3 points of ≥ 1.3 points in HEIS score and HEIS PDAL score</w:t>
            </w:r>
            <w:r w:rsidR="00C4643C" w:rsidRPr="002E75D2">
              <w:rPr>
                <w:iCs w:val="0"/>
              </w:rPr>
              <w:t>.</w:t>
            </w:r>
          </w:p>
        </w:tc>
      </w:tr>
      <w:tr w:rsidR="000A5C06" w:rsidRPr="002E75D2" w14:paraId="7F08E380" w14:textId="77777777" w:rsidTr="00C21DB1">
        <w:trPr>
          <w:trHeight w:val="238"/>
        </w:trPr>
        <w:tc>
          <w:tcPr>
            <w:tcW w:w="469" w:type="pct"/>
            <w:tcMar>
              <w:left w:w="20" w:type="dxa"/>
              <w:right w:w="20" w:type="dxa"/>
            </w:tcMar>
          </w:tcPr>
          <w:p w14:paraId="66E97F03" w14:textId="7A21EB38" w:rsidR="000A5C06" w:rsidRPr="002E75D2" w:rsidRDefault="0077717D" w:rsidP="00D34C8E">
            <w:pPr>
              <w:pStyle w:val="TableText0"/>
              <w:keepNext/>
              <w:rPr>
                <w:iCs w:val="0"/>
              </w:rPr>
            </w:pPr>
            <w:r w:rsidRPr="002E75D2">
              <w:rPr>
                <w:iCs w:val="0"/>
              </w:rPr>
              <w:t>DLQI</w:t>
            </w:r>
          </w:p>
        </w:tc>
        <w:tc>
          <w:tcPr>
            <w:tcW w:w="2830" w:type="pct"/>
            <w:tcMar>
              <w:left w:w="20" w:type="dxa"/>
              <w:right w:w="20" w:type="dxa"/>
            </w:tcMar>
          </w:tcPr>
          <w:p w14:paraId="26BA86B5" w14:textId="09819CFD" w:rsidR="000A5C06" w:rsidRPr="002E75D2" w:rsidRDefault="00FB5660" w:rsidP="00D34C8E">
            <w:pPr>
              <w:pStyle w:val="TableText0"/>
              <w:keepNext/>
              <w:rPr>
                <w:iCs w:val="0"/>
              </w:rPr>
            </w:pPr>
            <w:r w:rsidRPr="002E75D2">
              <w:rPr>
                <w:iCs w:val="0"/>
              </w:rPr>
              <w:t xml:space="preserve">A 10-item questionnaire that measures how skin diseases, including eczema, affect a patient's quality of life. It uses a 4-point scale (0–3), is reported by the patient, and assesses areas like symptoms, daily activities, and relationships over the past week. The total score ranges from 0 (no impact) to 30 (maximum impact), with higher scores indicating greater impairment. </w:t>
            </w:r>
          </w:p>
        </w:tc>
        <w:tc>
          <w:tcPr>
            <w:tcW w:w="1701" w:type="pct"/>
            <w:tcMar>
              <w:left w:w="20" w:type="dxa"/>
              <w:right w:w="20" w:type="dxa"/>
            </w:tcMar>
          </w:tcPr>
          <w:p w14:paraId="5CCEA7D1" w14:textId="08DA6C3C" w:rsidR="000A5C06" w:rsidRPr="002E75D2" w:rsidRDefault="001326D8" w:rsidP="00D34C8E">
            <w:pPr>
              <w:pStyle w:val="TableText0"/>
              <w:keepNext/>
              <w:rPr>
                <w:iCs w:val="0"/>
              </w:rPr>
            </w:pPr>
            <w:r w:rsidRPr="002E75D2">
              <w:rPr>
                <w:iCs w:val="0"/>
              </w:rPr>
              <w:t xml:space="preserve">MCID: Improvement of ≥4 points </w:t>
            </w:r>
          </w:p>
        </w:tc>
      </w:tr>
    </w:tbl>
    <w:p w14:paraId="550FC34E" w14:textId="42BB4637" w:rsidR="00C1000F" w:rsidRPr="002E75D2" w:rsidRDefault="000A5C06" w:rsidP="00D34C8E">
      <w:pPr>
        <w:pStyle w:val="TableFigureFooter"/>
        <w:keepNext/>
      </w:pPr>
      <w:r w:rsidRPr="002E75D2">
        <w:t>Source:</w:t>
      </w:r>
      <w:r w:rsidR="00C1000F" w:rsidRPr="002E75D2">
        <w:t xml:space="preserve"> Compiled during the evaluation based on pp112-113</w:t>
      </w:r>
      <w:r w:rsidR="00895EBD" w:rsidRPr="002E75D2">
        <w:t xml:space="preserve">, </w:t>
      </w:r>
      <w:r w:rsidR="00901143" w:rsidRPr="002E75D2">
        <w:t xml:space="preserve">118, </w:t>
      </w:r>
      <w:r w:rsidR="00895EBD" w:rsidRPr="002E75D2">
        <w:t>122</w:t>
      </w:r>
      <w:r w:rsidR="00683F96" w:rsidRPr="002E75D2">
        <w:t>-</w:t>
      </w:r>
      <w:r w:rsidR="00F46670" w:rsidRPr="002E75D2">
        <w:t>126</w:t>
      </w:r>
      <w:r w:rsidR="00C1000F" w:rsidRPr="002E75D2">
        <w:t xml:space="preserve"> of the submission</w:t>
      </w:r>
      <w:r w:rsidR="00745E81" w:rsidRPr="002E75D2">
        <w:t>; Attachment 7 of the submission.</w:t>
      </w:r>
    </w:p>
    <w:p w14:paraId="1619E886" w14:textId="428F1CBA" w:rsidR="000A5C06" w:rsidRPr="002E75D2" w:rsidRDefault="008D3FC8" w:rsidP="00D34C8E">
      <w:pPr>
        <w:pStyle w:val="TableFigureFooter"/>
        <w:keepNext/>
      </w:pPr>
      <w:r w:rsidRPr="002E75D2">
        <w:t>CHE</w:t>
      </w:r>
      <w:r w:rsidR="005A1AC9" w:rsidRPr="002E75D2">
        <w:t xml:space="preserve"> = Chronic hand eczema;</w:t>
      </w:r>
      <w:r w:rsidRPr="002E75D2">
        <w:t xml:space="preserve"> </w:t>
      </w:r>
      <w:r w:rsidR="005A1AC9" w:rsidRPr="002E75D2">
        <w:t xml:space="preserve">DLQI = Dermatology life quality index; </w:t>
      </w:r>
      <w:r w:rsidR="0079331A" w:rsidRPr="002E75D2">
        <w:t xml:space="preserve">IGA-CHE = </w:t>
      </w:r>
      <w:r w:rsidR="005A1AC9" w:rsidRPr="002E75D2">
        <w:t>I</w:t>
      </w:r>
      <w:r w:rsidR="0079331A" w:rsidRPr="002E75D2">
        <w:t xml:space="preserve">nvestigator’s global assessment for chronic hand eczema; HECSI = </w:t>
      </w:r>
      <w:r w:rsidR="001338A2" w:rsidRPr="002E75D2">
        <w:t>H</w:t>
      </w:r>
      <w:r w:rsidR="0079331A" w:rsidRPr="002E75D2">
        <w:t xml:space="preserve">and eczema severity index; HESD = </w:t>
      </w:r>
      <w:r w:rsidR="001338A2" w:rsidRPr="002E75D2">
        <w:t>H</w:t>
      </w:r>
      <w:r w:rsidR="0079331A" w:rsidRPr="002E75D2">
        <w:t xml:space="preserve">and eczema severity diary; HEIS = </w:t>
      </w:r>
      <w:r w:rsidR="001338A2" w:rsidRPr="002E75D2">
        <w:t>H</w:t>
      </w:r>
      <w:r w:rsidR="0079331A" w:rsidRPr="002E75D2">
        <w:t xml:space="preserve">and eczema itch scale; MCID = </w:t>
      </w:r>
      <w:r w:rsidR="001338A2" w:rsidRPr="002E75D2">
        <w:t>M</w:t>
      </w:r>
      <w:r w:rsidR="0079331A" w:rsidRPr="002E75D2">
        <w:t>inimal clinically important difference</w:t>
      </w:r>
      <w:r w:rsidR="001338A2" w:rsidRPr="002E75D2">
        <w:t xml:space="preserve">; PDAL = Proximal </w:t>
      </w:r>
      <w:r w:rsidR="00DE6BF4" w:rsidRPr="002E75D2">
        <w:t>daily activity limitations.</w:t>
      </w:r>
    </w:p>
    <w:p w14:paraId="662F3DB0" w14:textId="1DED01DB" w:rsidR="00B62D23" w:rsidRPr="002E75D2" w:rsidRDefault="00B62D23">
      <w:pPr>
        <w:pStyle w:val="3-BodyText"/>
        <w:rPr>
          <w:rStyle w:val="CommentReference"/>
          <w:rFonts w:asciiTheme="minorHAnsi" w:hAnsiTheme="minorHAnsi"/>
          <w:b w:val="0"/>
          <w:color w:val="0066FF"/>
          <w:sz w:val="24"/>
          <w:szCs w:val="22"/>
        </w:rPr>
      </w:pPr>
      <w:r w:rsidRPr="002E75D2">
        <w:t xml:space="preserve">The key features of the </w:t>
      </w:r>
      <w:r w:rsidR="008860CB" w:rsidRPr="002E75D2">
        <w:t>delgocitinib</w:t>
      </w:r>
      <w:r w:rsidRPr="002E75D2">
        <w:t xml:space="preserve"> trials </w:t>
      </w:r>
      <w:r w:rsidR="00041F31" w:rsidRPr="002E75D2">
        <w:t xml:space="preserve">and study </w:t>
      </w:r>
      <w:r w:rsidRPr="002E75D2">
        <w:t xml:space="preserve">are summarised in </w:t>
      </w:r>
      <w:r w:rsidRPr="002E75D2">
        <w:fldChar w:fldCharType="begin"/>
      </w:r>
      <w:r w:rsidRPr="002E75D2">
        <w:instrText xml:space="preserve"> REF _Ref206422255 \h </w:instrText>
      </w:r>
      <w:r w:rsidRPr="002E75D2">
        <w:fldChar w:fldCharType="separate"/>
      </w:r>
      <w:r w:rsidR="00AA53DD" w:rsidRPr="002E75D2">
        <w:t xml:space="preserve">Table </w:t>
      </w:r>
      <w:r w:rsidR="00AA53DD">
        <w:rPr>
          <w:noProof/>
        </w:rPr>
        <w:t>4</w:t>
      </w:r>
      <w:r w:rsidRPr="002E75D2">
        <w:fldChar w:fldCharType="end"/>
      </w:r>
      <w:r w:rsidRPr="002E75D2">
        <w:t>.</w:t>
      </w:r>
    </w:p>
    <w:p w14:paraId="3D5E74B0" w14:textId="616D5E72" w:rsidR="00B62D23" w:rsidRPr="002E75D2" w:rsidRDefault="00B62D23" w:rsidP="001D6E0D">
      <w:pPr>
        <w:pStyle w:val="Caption"/>
      </w:pPr>
      <w:bookmarkStart w:id="42" w:name="_Ref206422255"/>
      <w:r w:rsidRPr="002E75D2">
        <w:lastRenderedPageBreak/>
        <w:t xml:space="preserve">Table </w:t>
      </w:r>
      <w:r w:rsidR="000847A3">
        <w:fldChar w:fldCharType="begin"/>
      </w:r>
      <w:r w:rsidR="000847A3">
        <w:instrText xml:space="preserve"> SEQ Table \* ARABIC </w:instrText>
      </w:r>
      <w:r w:rsidR="000847A3">
        <w:fldChar w:fldCharType="separate"/>
      </w:r>
      <w:r w:rsidR="00AA53DD">
        <w:rPr>
          <w:noProof/>
        </w:rPr>
        <w:t>4</w:t>
      </w:r>
      <w:r w:rsidR="000847A3">
        <w:rPr>
          <w:noProof/>
        </w:rPr>
        <w:fldChar w:fldCharType="end"/>
      </w:r>
      <w:bookmarkEnd w:id="42"/>
      <w:r w:rsidRPr="002E75D2">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4: Key features of the included evidence"/>
      </w:tblPr>
      <w:tblGrid>
        <w:gridCol w:w="796"/>
        <w:gridCol w:w="353"/>
        <w:gridCol w:w="894"/>
        <w:gridCol w:w="590"/>
        <w:gridCol w:w="1432"/>
        <w:gridCol w:w="3461"/>
        <w:gridCol w:w="1491"/>
      </w:tblGrid>
      <w:tr w:rsidR="008860CB" w:rsidRPr="002E75D2" w14:paraId="42445701" w14:textId="77777777" w:rsidTr="00C21DB1">
        <w:trPr>
          <w:trHeight w:val="20"/>
          <w:tblHeader/>
        </w:trPr>
        <w:tc>
          <w:tcPr>
            <w:tcW w:w="441" w:type="pct"/>
            <w:tcMar>
              <w:top w:w="15" w:type="dxa"/>
              <w:left w:w="28" w:type="dxa"/>
              <w:bottom w:w="0" w:type="dxa"/>
              <w:right w:w="28" w:type="dxa"/>
            </w:tcMar>
            <w:vAlign w:val="center"/>
            <w:hideMark/>
          </w:tcPr>
          <w:p w14:paraId="3C9DFC08" w14:textId="77777777" w:rsidR="008860CB" w:rsidRPr="002E75D2" w:rsidRDefault="008860CB" w:rsidP="001D6E0D">
            <w:pPr>
              <w:pStyle w:val="In-tableHeading"/>
              <w:widowControl w:val="0"/>
              <w:jc w:val="center"/>
              <w:rPr>
                <w:szCs w:val="20"/>
                <w:lang w:val="en-AU"/>
              </w:rPr>
            </w:pPr>
            <w:r w:rsidRPr="002E75D2">
              <w:rPr>
                <w:szCs w:val="20"/>
                <w:lang w:val="en-AU"/>
              </w:rPr>
              <w:t>Trial</w:t>
            </w:r>
          </w:p>
        </w:tc>
        <w:tc>
          <w:tcPr>
            <w:tcW w:w="196" w:type="pct"/>
            <w:tcMar>
              <w:top w:w="15" w:type="dxa"/>
              <w:left w:w="28" w:type="dxa"/>
              <w:bottom w:w="0" w:type="dxa"/>
              <w:right w:w="28" w:type="dxa"/>
            </w:tcMar>
            <w:vAlign w:val="center"/>
            <w:hideMark/>
          </w:tcPr>
          <w:p w14:paraId="13DA92FB" w14:textId="77777777" w:rsidR="008860CB" w:rsidRPr="002E75D2" w:rsidRDefault="008860CB" w:rsidP="001D6E0D">
            <w:pPr>
              <w:pStyle w:val="In-tableHeading"/>
              <w:widowControl w:val="0"/>
              <w:jc w:val="center"/>
              <w:rPr>
                <w:szCs w:val="20"/>
                <w:lang w:val="en-AU"/>
              </w:rPr>
            </w:pPr>
            <w:r w:rsidRPr="002E75D2">
              <w:rPr>
                <w:szCs w:val="20"/>
                <w:lang w:val="en-AU"/>
              </w:rPr>
              <w:t>N</w:t>
            </w:r>
          </w:p>
        </w:tc>
        <w:tc>
          <w:tcPr>
            <w:tcW w:w="496" w:type="pct"/>
            <w:tcMar>
              <w:top w:w="15" w:type="dxa"/>
              <w:left w:w="28" w:type="dxa"/>
              <w:bottom w:w="0" w:type="dxa"/>
              <w:right w:w="28" w:type="dxa"/>
            </w:tcMar>
            <w:vAlign w:val="center"/>
            <w:hideMark/>
          </w:tcPr>
          <w:p w14:paraId="43455304" w14:textId="04ECD05F" w:rsidR="008860CB" w:rsidRPr="002E75D2" w:rsidRDefault="008860CB" w:rsidP="001D6E0D">
            <w:pPr>
              <w:pStyle w:val="In-tableHeading"/>
              <w:widowControl w:val="0"/>
              <w:jc w:val="center"/>
              <w:rPr>
                <w:szCs w:val="20"/>
                <w:lang w:val="en-AU"/>
              </w:rPr>
            </w:pPr>
            <w:r w:rsidRPr="002E75D2">
              <w:rPr>
                <w:szCs w:val="20"/>
                <w:lang w:val="en-AU"/>
              </w:rPr>
              <w:t>Design/</w:t>
            </w:r>
            <w:r w:rsidR="00537265" w:rsidRPr="002E75D2">
              <w:rPr>
                <w:szCs w:val="20"/>
                <w:lang w:val="en-AU"/>
              </w:rPr>
              <w:br/>
            </w:r>
            <w:r w:rsidRPr="002E75D2">
              <w:rPr>
                <w:szCs w:val="20"/>
                <w:lang w:val="en-AU"/>
              </w:rPr>
              <w:t>duration</w:t>
            </w:r>
          </w:p>
        </w:tc>
        <w:tc>
          <w:tcPr>
            <w:tcW w:w="327" w:type="pct"/>
            <w:tcMar>
              <w:top w:w="15" w:type="dxa"/>
              <w:left w:w="28" w:type="dxa"/>
              <w:bottom w:w="0" w:type="dxa"/>
              <w:right w:w="28" w:type="dxa"/>
            </w:tcMar>
            <w:vAlign w:val="center"/>
            <w:hideMark/>
          </w:tcPr>
          <w:p w14:paraId="558EA442" w14:textId="77777777" w:rsidR="008860CB" w:rsidRPr="002E75D2" w:rsidRDefault="008860CB" w:rsidP="001D6E0D">
            <w:pPr>
              <w:pStyle w:val="In-tableHeading"/>
              <w:widowControl w:val="0"/>
              <w:jc w:val="center"/>
              <w:rPr>
                <w:szCs w:val="20"/>
                <w:lang w:val="en-AU"/>
              </w:rPr>
            </w:pPr>
            <w:r w:rsidRPr="002E75D2">
              <w:rPr>
                <w:szCs w:val="20"/>
                <w:lang w:val="en-AU"/>
              </w:rPr>
              <w:t>Risk of bias</w:t>
            </w:r>
          </w:p>
        </w:tc>
        <w:tc>
          <w:tcPr>
            <w:tcW w:w="794" w:type="pct"/>
            <w:tcMar>
              <w:top w:w="15" w:type="dxa"/>
              <w:left w:w="28" w:type="dxa"/>
              <w:bottom w:w="0" w:type="dxa"/>
              <w:right w:w="28" w:type="dxa"/>
            </w:tcMar>
            <w:vAlign w:val="center"/>
            <w:hideMark/>
          </w:tcPr>
          <w:p w14:paraId="5C404FB7" w14:textId="77777777" w:rsidR="008860CB" w:rsidRPr="002E75D2" w:rsidRDefault="008860CB" w:rsidP="001D6E0D">
            <w:pPr>
              <w:pStyle w:val="In-tableHeading"/>
              <w:widowControl w:val="0"/>
              <w:jc w:val="center"/>
              <w:rPr>
                <w:szCs w:val="20"/>
                <w:lang w:val="en-AU"/>
              </w:rPr>
            </w:pPr>
            <w:r w:rsidRPr="002E75D2">
              <w:rPr>
                <w:szCs w:val="20"/>
                <w:lang w:val="en-AU"/>
              </w:rPr>
              <w:t>Patient population</w:t>
            </w:r>
          </w:p>
        </w:tc>
        <w:tc>
          <w:tcPr>
            <w:tcW w:w="1919" w:type="pct"/>
            <w:tcMar>
              <w:top w:w="15" w:type="dxa"/>
              <w:left w:w="28" w:type="dxa"/>
              <w:bottom w:w="0" w:type="dxa"/>
              <w:right w:w="28" w:type="dxa"/>
            </w:tcMar>
            <w:vAlign w:val="center"/>
            <w:hideMark/>
          </w:tcPr>
          <w:p w14:paraId="2A3F1438" w14:textId="77777777" w:rsidR="008860CB" w:rsidRPr="002E75D2" w:rsidRDefault="008860CB" w:rsidP="001D6E0D">
            <w:pPr>
              <w:pStyle w:val="In-tableHeading"/>
              <w:widowControl w:val="0"/>
              <w:jc w:val="center"/>
              <w:rPr>
                <w:szCs w:val="20"/>
                <w:lang w:val="en-AU"/>
              </w:rPr>
            </w:pPr>
            <w:r w:rsidRPr="002E75D2">
              <w:rPr>
                <w:szCs w:val="20"/>
                <w:lang w:val="en-AU"/>
              </w:rPr>
              <w:t>Outcome(s)</w:t>
            </w:r>
          </w:p>
        </w:tc>
        <w:tc>
          <w:tcPr>
            <w:tcW w:w="827" w:type="pct"/>
            <w:tcMar>
              <w:top w:w="15" w:type="dxa"/>
              <w:left w:w="28" w:type="dxa"/>
              <w:bottom w:w="0" w:type="dxa"/>
              <w:right w:w="28" w:type="dxa"/>
            </w:tcMar>
            <w:vAlign w:val="center"/>
            <w:hideMark/>
          </w:tcPr>
          <w:p w14:paraId="50F78208" w14:textId="77777777" w:rsidR="008860CB" w:rsidRPr="002E75D2" w:rsidRDefault="008860CB" w:rsidP="001D6E0D">
            <w:pPr>
              <w:pStyle w:val="In-tableHeading"/>
              <w:widowControl w:val="0"/>
              <w:jc w:val="center"/>
              <w:rPr>
                <w:szCs w:val="20"/>
                <w:lang w:val="en-AU"/>
              </w:rPr>
            </w:pPr>
            <w:r w:rsidRPr="002E75D2">
              <w:rPr>
                <w:szCs w:val="20"/>
                <w:lang w:val="en-AU"/>
              </w:rPr>
              <w:t>Use in modelled evaluation</w:t>
            </w:r>
          </w:p>
        </w:tc>
      </w:tr>
      <w:tr w:rsidR="008860CB" w:rsidRPr="002E75D2" w14:paraId="42DBDE1D" w14:textId="77777777" w:rsidTr="00C21DB1">
        <w:trPr>
          <w:trHeight w:val="20"/>
        </w:trPr>
        <w:tc>
          <w:tcPr>
            <w:tcW w:w="5000" w:type="pct"/>
            <w:gridSpan w:val="7"/>
            <w:tcMar>
              <w:top w:w="15" w:type="dxa"/>
              <w:left w:w="28" w:type="dxa"/>
              <w:bottom w:w="0" w:type="dxa"/>
              <w:right w:w="28" w:type="dxa"/>
            </w:tcMar>
            <w:vAlign w:val="center"/>
          </w:tcPr>
          <w:p w14:paraId="52CAA2FE" w14:textId="77777777" w:rsidR="008860CB" w:rsidRPr="002E75D2" w:rsidRDefault="008860CB" w:rsidP="001D6E0D">
            <w:pPr>
              <w:pStyle w:val="In-tableHeading"/>
              <w:widowControl w:val="0"/>
              <w:rPr>
                <w:szCs w:val="20"/>
                <w:lang w:val="en-AU"/>
              </w:rPr>
            </w:pPr>
            <w:r w:rsidRPr="002E75D2">
              <w:rPr>
                <w:szCs w:val="20"/>
                <w:lang w:val="en-AU"/>
              </w:rPr>
              <w:t>Delgocitinib 20 mg/g cream BD or cream vehicle</w:t>
            </w:r>
          </w:p>
        </w:tc>
      </w:tr>
      <w:tr w:rsidR="008860CB" w:rsidRPr="002E75D2" w14:paraId="1A3BEFB8" w14:textId="77777777" w:rsidTr="00C21DB1">
        <w:trPr>
          <w:trHeight w:val="20"/>
        </w:trPr>
        <w:tc>
          <w:tcPr>
            <w:tcW w:w="441" w:type="pct"/>
            <w:tcMar>
              <w:top w:w="15" w:type="dxa"/>
              <w:left w:w="28" w:type="dxa"/>
              <w:bottom w:w="0" w:type="dxa"/>
              <w:right w:w="28" w:type="dxa"/>
            </w:tcMar>
            <w:vAlign w:val="center"/>
            <w:hideMark/>
          </w:tcPr>
          <w:p w14:paraId="07E4D156" w14:textId="77777777" w:rsidR="008860CB" w:rsidRPr="002E75D2" w:rsidRDefault="008860CB" w:rsidP="001D6E0D">
            <w:pPr>
              <w:pStyle w:val="TableText0"/>
              <w:keepNext/>
            </w:pPr>
            <w:r w:rsidRPr="002E75D2">
              <w:t>DELTA 1</w:t>
            </w:r>
          </w:p>
        </w:tc>
        <w:tc>
          <w:tcPr>
            <w:tcW w:w="196" w:type="pct"/>
            <w:tcMar>
              <w:top w:w="15" w:type="dxa"/>
              <w:left w:w="28" w:type="dxa"/>
              <w:bottom w:w="0" w:type="dxa"/>
              <w:right w:w="28" w:type="dxa"/>
            </w:tcMar>
            <w:vAlign w:val="center"/>
            <w:hideMark/>
          </w:tcPr>
          <w:p w14:paraId="703F78B3" w14:textId="77777777" w:rsidR="008860CB" w:rsidRPr="002E75D2" w:rsidRDefault="008860CB" w:rsidP="001D6E0D">
            <w:pPr>
              <w:pStyle w:val="TableText0"/>
              <w:keepNext/>
            </w:pPr>
            <w:r w:rsidRPr="002E75D2">
              <w:t>487</w:t>
            </w:r>
          </w:p>
        </w:tc>
        <w:tc>
          <w:tcPr>
            <w:tcW w:w="496" w:type="pct"/>
            <w:vMerge w:val="restart"/>
            <w:tcMar>
              <w:top w:w="15" w:type="dxa"/>
              <w:left w:w="28" w:type="dxa"/>
              <w:bottom w:w="0" w:type="dxa"/>
              <w:right w:w="28" w:type="dxa"/>
            </w:tcMar>
            <w:vAlign w:val="center"/>
            <w:hideMark/>
          </w:tcPr>
          <w:p w14:paraId="4E066E87" w14:textId="77777777" w:rsidR="008860CB" w:rsidRPr="002E75D2" w:rsidRDefault="008860CB" w:rsidP="001D6E0D">
            <w:pPr>
              <w:pStyle w:val="TableText0"/>
              <w:keepNext/>
            </w:pPr>
            <w:r w:rsidRPr="002E75D2">
              <w:t>R, DB, MC</w:t>
            </w:r>
          </w:p>
          <w:p w14:paraId="67CB027D" w14:textId="77777777" w:rsidR="008860CB" w:rsidRPr="002E75D2" w:rsidRDefault="008860CB" w:rsidP="001D6E0D">
            <w:pPr>
              <w:pStyle w:val="TableText0"/>
              <w:keepNext/>
            </w:pPr>
          </w:p>
          <w:p w14:paraId="722B6041" w14:textId="77777777" w:rsidR="008860CB" w:rsidRPr="002E75D2" w:rsidRDefault="008860CB" w:rsidP="001D6E0D">
            <w:pPr>
              <w:pStyle w:val="TableText0"/>
              <w:keepNext/>
            </w:pPr>
            <w:r w:rsidRPr="002E75D2">
              <w:t>16 weeks</w:t>
            </w:r>
          </w:p>
        </w:tc>
        <w:tc>
          <w:tcPr>
            <w:tcW w:w="327" w:type="pct"/>
            <w:vMerge w:val="restart"/>
            <w:tcMar>
              <w:top w:w="15" w:type="dxa"/>
              <w:left w:w="28" w:type="dxa"/>
              <w:bottom w:w="0" w:type="dxa"/>
              <w:right w:w="28" w:type="dxa"/>
            </w:tcMar>
            <w:vAlign w:val="center"/>
            <w:hideMark/>
          </w:tcPr>
          <w:p w14:paraId="05189E92" w14:textId="77777777" w:rsidR="008860CB" w:rsidRPr="002E75D2" w:rsidRDefault="008860CB" w:rsidP="001D6E0D">
            <w:pPr>
              <w:pStyle w:val="TableText0"/>
              <w:keepNext/>
            </w:pPr>
            <w:r w:rsidRPr="002E75D2">
              <w:t>Low</w:t>
            </w:r>
          </w:p>
        </w:tc>
        <w:tc>
          <w:tcPr>
            <w:tcW w:w="794" w:type="pct"/>
            <w:vMerge w:val="restart"/>
            <w:tcMar>
              <w:top w:w="15" w:type="dxa"/>
              <w:left w:w="28" w:type="dxa"/>
              <w:bottom w:w="0" w:type="dxa"/>
              <w:right w:w="28" w:type="dxa"/>
            </w:tcMar>
            <w:vAlign w:val="center"/>
            <w:hideMark/>
          </w:tcPr>
          <w:p w14:paraId="1C87EB62" w14:textId="77777777" w:rsidR="008860CB" w:rsidRPr="002E75D2" w:rsidRDefault="008860CB" w:rsidP="001D6E0D">
            <w:pPr>
              <w:pStyle w:val="TableText0"/>
              <w:keepNext/>
            </w:pPr>
            <w:r w:rsidRPr="002E75D2">
              <w:t>Adult participants with moderate to severe chronic hand eczema for whom TCS is ineffective or inappropriate.</w:t>
            </w:r>
          </w:p>
        </w:tc>
        <w:tc>
          <w:tcPr>
            <w:tcW w:w="1919" w:type="pct"/>
            <w:tcMar>
              <w:top w:w="15" w:type="dxa"/>
              <w:left w:w="28" w:type="dxa"/>
              <w:bottom w:w="0" w:type="dxa"/>
              <w:right w:w="28" w:type="dxa"/>
            </w:tcMar>
            <w:vAlign w:val="center"/>
            <w:hideMark/>
          </w:tcPr>
          <w:p w14:paraId="255DC5C0" w14:textId="77777777" w:rsidR="008860CB" w:rsidRPr="002E75D2" w:rsidRDefault="008860CB" w:rsidP="001D6E0D">
            <w:pPr>
              <w:pStyle w:val="TableText0"/>
              <w:keepNext/>
            </w:pPr>
            <w:r w:rsidRPr="002E75D2">
              <w:t>Primary: IGA-CHE TS at Week 16 (% responders)</w:t>
            </w:r>
          </w:p>
          <w:p w14:paraId="1978249A" w14:textId="77777777" w:rsidR="008860CB" w:rsidRPr="002E75D2" w:rsidRDefault="008860CB" w:rsidP="001D6E0D">
            <w:pPr>
              <w:pStyle w:val="TableText0"/>
              <w:keepNext/>
            </w:pPr>
            <w:r w:rsidRPr="002E75D2">
              <w:t xml:space="preserve">Secondary: </w:t>
            </w:r>
          </w:p>
          <w:p w14:paraId="3120F738" w14:textId="77777777" w:rsidR="008860CB" w:rsidRPr="002E75D2" w:rsidRDefault="008860CB" w:rsidP="001D6E0D">
            <w:pPr>
              <w:pStyle w:val="TableText0"/>
              <w:keepNext/>
            </w:pPr>
            <w:r w:rsidRPr="002E75D2">
              <w:t xml:space="preserve">• HECSI-75 at Weeks 8 and 16. </w:t>
            </w:r>
          </w:p>
          <w:p w14:paraId="58B8FFED" w14:textId="77777777" w:rsidR="008860CB" w:rsidRPr="002E75D2" w:rsidRDefault="008860CB" w:rsidP="001D6E0D">
            <w:pPr>
              <w:pStyle w:val="TableText0"/>
              <w:keepNext/>
            </w:pPr>
            <w:r w:rsidRPr="002E75D2">
              <w:t xml:space="preserve">• HECSI-90 at Week 16. </w:t>
            </w:r>
          </w:p>
          <w:p w14:paraId="4C3F061B" w14:textId="77777777" w:rsidR="008860CB" w:rsidRPr="002E75D2" w:rsidRDefault="008860CB" w:rsidP="001D6E0D">
            <w:pPr>
              <w:pStyle w:val="TableText0"/>
              <w:keepNext/>
            </w:pPr>
            <w:r w:rsidRPr="002E75D2">
              <w:t xml:space="preserve">• IGA-CHE TS at Weeks 4 and 8. </w:t>
            </w:r>
          </w:p>
          <w:p w14:paraId="28DA1FF0" w14:textId="77777777" w:rsidR="008860CB" w:rsidRPr="002E75D2" w:rsidRDefault="008860CB" w:rsidP="001D6E0D">
            <w:pPr>
              <w:pStyle w:val="TableText0"/>
              <w:keepNext/>
            </w:pPr>
            <w:r w:rsidRPr="002E75D2">
              <w:t>• % change in HECSI score from baseline to Week 16.</w:t>
            </w:r>
          </w:p>
          <w:p w14:paraId="530803C4" w14:textId="77777777" w:rsidR="008860CB" w:rsidRPr="000E2381" w:rsidRDefault="008860CB" w:rsidP="001D6E0D">
            <w:pPr>
              <w:pStyle w:val="TableText0"/>
              <w:keepNext/>
              <w:rPr>
                <w:sz w:val="12"/>
                <w:szCs w:val="12"/>
              </w:rPr>
            </w:pPr>
          </w:p>
          <w:p w14:paraId="75855E47" w14:textId="77777777" w:rsidR="008860CB" w:rsidRPr="002E75D2" w:rsidRDefault="008860CB" w:rsidP="001D6E0D">
            <w:pPr>
              <w:pStyle w:val="TableText0"/>
              <w:keepNext/>
            </w:pPr>
            <w:r w:rsidRPr="002E75D2">
              <w:t xml:space="preserve">Exploratory: </w:t>
            </w:r>
          </w:p>
          <w:p w14:paraId="1033D0CE" w14:textId="278ED26C" w:rsidR="008860CB" w:rsidRPr="002E75D2" w:rsidRDefault="008860CB" w:rsidP="001D6E0D">
            <w:pPr>
              <w:pStyle w:val="TableText0"/>
              <w:keepNext/>
            </w:pPr>
            <w:r w:rsidRPr="002E75D2">
              <w:t>HRQoL: EQ-5D-5L + VAS (Weeks: 1, 4, 8, 12, and 16)</w:t>
            </w:r>
          </w:p>
        </w:tc>
        <w:tc>
          <w:tcPr>
            <w:tcW w:w="827" w:type="pct"/>
            <w:vMerge w:val="restart"/>
            <w:tcMar>
              <w:top w:w="15" w:type="dxa"/>
              <w:left w:w="28" w:type="dxa"/>
              <w:bottom w:w="0" w:type="dxa"/>
              <w:right w:w="28" w:type="dxa"/>
            </w:tcMar>
            <w:vAlign w:val="center"/>
            <w:hideMark/>
          </w:tcPr>
          <w:p w14:paraId="4641D2BF" w14:textId="77777777" w:rsidR="00537265" w:rsidRPr="002E75D2" w:rsidRDefault="008860CB" w:rsidP="001D6E0D">
            <w:pPr>
              <w:pStyle w:val="TableText0"/>
              <w:keepNext/>
            </w:pPr>
            <w:r w:rsidRPr="002E75D2">
              <w:t>Transition probabilities (response/</w:t>
            </w:r>
          </w:p>
          <w:p w14:paraId="2EDE1E44" w14:textId="07FB142E" w:rsidR="008860CB" w:rsidRPr="002E75D2" w:rsidRDefault="008860CB" w:rsidP="001D6E0D">
            <w:pPr>
              <w:pStyle w:val="TableText0"/>
              <w:keepNext/>
            </w:pPr>
            <w:r w:rsidRPr="002E75D2">
              <w:t>treatment effects for different severity levels %, non-response, relapse until Week 12); Utilities</w:t>
            </w:r>
          </w:p>
        </w:tc>
      </w:tr>
      <w:tr w:rsidR="008860CB" w:rsidRPr="002E75D2" w14:paraId="3AFC8751" w14:textId="77777777" w:rsidTr="00C21DB1">
        <w:trPr>
          <w:trHeight w:val="20"/>
        </w:trPr>
        <w:tc>
          <w:tcPr>
            <w:tcW w:w="441" w:type="pct"/>
            <w:tcMar>
              <w:top w:w="15" w:type="dxa"/>
              <w:left w:w="28" w:type="dxa"/>
              <w:bottom w:w="0" w:type="dxa"/>
              <w:right w:w="28" w:type="dxa"/>
            </w:tcMar>
            <w:vAlign w:val="center"/>
            <w:hideMark/>
          </w:tcPr>
          <w:p w14:paraId="08683798" w14:textId="77777777" w:rsidR="008860CB" w:rsidRPr="002E75D2" w:rsidRDefault="008860CB" w:rsidP="001D6E0D">
            <w:pPr>
              <w:pStyle w:val="TableText0"/>
              <w:keepNext/>
            </w:pPr>
            <w:r w:rsidRPr="002E75D2">
              <w:t>DELTA 2</w:t>
            </w:r>
          </w:p>
        </w:tc>
        <w:tc>
          <w:tcPr>
            <w:tcW w:w="196" w:type="pct"/>
            <w:tcMar>
              <w:top w:w="15" w:type="dxa"/>
              <w:left w:w="28" w:type="dxa"/>
              <w:bottom w:w="0" w:type="dxa"/>
              <w:right w:w="28" w:type="dxa"/>
            </w:tcMar>
            <w:vAlign w:val="center"/>
            <w:hideMark/>
          </w:tcPr>
          <w:p w14:paraId="4F8F1415" w14:textId="1A854BCF" w:rsidR="008860CB" w:rsidRPr="002E75D2" w:rsidRDefault="008860CB" w:rsidP="001D6E0D">
            <w:pPr>
              <w:pStyle w:val="TableText0"/>
              <w:keepNext/>
            </w:pPr>
            <w:r w:rsidRPr="002E75D2">
              <w:t>473</w:t>
            </w:r>
          </w:p>
        </w:tc>
        <w:tc>
          <w:tcPr>
            <w:tcW w:w="496" w:type="pct"/>
            <w:vMerge/>
            <w:tcMar>
              <w:top w:w="15" w:type="dxa"/>
              <w:left w:w="28" w:type="dxa"/>
              <w:bottom w:w="0" w:type="dxa"/>
              <w:right w:w="28" w:type="dxa"/>
            </w:tcMar>
            <w:vAlign w:val="center"/>
            <w:hideMark/>
          </w:tcPr>
          <w:p w14:paraId="3F025C1F" w14:textId="77777777" w:rsidR="008860CB" w:rsidRPr="002E75D2" w:rsidRDefault="008860CB" w:rsidP="001D6E0D">
            <w:pPr>
              <w:pStyle w:val="TableText0"/>
              <w:keepNext/>
            </w:pPr>
          </w:p>
        </w:tc>
        <w:tc>
          <w:tcPr>
            <w:tcW w:w="327" w:type="pct"/>
            <w:vMerge/>
            <w:tcMar>
              <w:top w:w="15" w:type="dxa"/>
              <w:left w:w="28" w:type="dxa"/>
              <w:bottom w:w="0" w:type="dxa"/>
              <w:right w:w="28" w:type="dxa"/>
            </w:tcMar>
            <w:vAlign w:val="center"/>
            <w:hideMark/>
          </w:tcPr>
          <w:p w14:paraId="5894D9B7" w14:textId="77777777" w:rsidR="008860CB" w:rsidRPr="002E75D2" w:rsidRDefault="008860CB" w:rsidP="001D6E0D">
            <w:pPr>
              <w:pStyle w:val="TableText0"/>
              <w:keepNext/>
            </w:pPr>
          </w:p>
        </w:tc>
        <w:tc>
          <w:tcPr>
            <w:tcW w:w="794" w:type="pct"/>
            <w:vMerge/>
            <w:tcMar>
              <w:top w:w="15" w:type="dxa"/>
              <w:left w:w="28" w:type="dxa"/>
              <w:bottom w:w="0" w:type="dxa"/>
              <w:right w:w="28" w:type="dxa"/>
            </w:tcMar>
            <w:vAlign w:val="center"/>
            <w:hideMark/>
          </w:tcPr>
          <w:p w14:paraId="6171341E" w14:textId="77777777" w:rsidR="008860CB" w:rsidRPr="002E75D2" w:rsidRDefault="008860CB" w:rsidP="001D6E0D">
            <w:pPr>
              <w:pStyle w:val="TableText0"/>
              <w:keepNext/>
            </w:pPr>
          </w:p>
        </w:tc>
        <w:tc>
          <w:tcPr>
            <w:tcW w:w="1919" w:type="pct"/>
            <w:tcMar>
              <w:top w:w="15" w:type="dxa"/>
              <w:left w:w="28" w:type="dxa"/>
              <w:bottom w:w="0" w:type="dxa"/>
              <w:right w:w="28" w:type="dxa"/>
            </w:tcMar>
            <w:vAlign w:val="center"/>
            <w:hideMark/>
          </w:tcPr>
          <w:p w14:paraId="4EE95FA7" w14:textId="77777777" w:rsidR="008860CB" w:rsidRPr="002E75D2" w:rsidRDefault="008860CB" w:rsidP="001D6E0D">
            <w:pPr>
              <w:pStyle w:val="TableText0"/>
              <w:keepNext/>
            </w:pPr>
            <w:r w:rsidRPr="002E75D2">
              <w:t>Similar to DELTA 1 + pharmacokinetic assessments (Weeks 1, 4 and 16)</w:t>
            </w:r>
          </w:p>
        </w:tc>
        <w:tc>
          <w:tcPr>
            <w:tcW w:w="827" w:type="pct"/>
            <w:vMerge/>
            <w:tcMar>
              <w:top w:w="15" w:type="dxa"/>
              <w:left w:w="28" w:type="dxa"/>
              <w:bottom w:w="0" w:type="dxa"/>
              <w:right w:w="28" w:type="dxa"/>
            </w:tcMar>
            <w:vAlign w:val="center"/>
            <w:hideMark/>
          </w:tcPr>
          <w:p w14:paraId="6A077410" w14:textId="77777777" w:rsidR="008860CB" w:rsidRPr="002E75D2" w:rsidRDefault="008860CB" w:rsidP="001D6E0D">
            <w:pPr>
              <w:pStyle w:val="TableText0"/>
              <w:keepNext/>
            </w:pPr>
          </w:p>
        </w:tc>
      </w:tr>
      <w:tr w:rsidR="008860CB" w:rsidRPr="002E75D2" w14:paraId="2316F9F4" w14:textId="77777777" w:rsidTr="00C21DB1">
        <w:trPr>
          <w:trHeight w:val="20"/>
        </w:trPr>
        <w:tc>
          <w:tcPr>
            <w:tcW w:w="5000" w:type="pct"/>
            <w:gridSpan w:val="7"/>
            <w:tcMar>
              <w:top w:w="15" w:type="dxa"/>
              <w:left w:w="28" w:type="dxa"/>
              <w:bottom w:w="0" w:type="dxa"/>
              <w:right w:w="28" w:type="dxa"/>
            </w:tcMar>
            <w:vAlign w:val="center"/>
          </w:tcPr>
          <w:p w14:paraId="04E011C9" w14:textId="53844188" w:rsidR="008860CB" w:rsidRPr="002E75D2" w:rsidRDefault="008860CB" w:rsidP="001D6E0D">
            <w:pPr>
              <w:pStyle w:val="TableText0"/>
              <w:keepNext/>
              <w:rPr>
                <w:b/>
                <w:bCs w:val="0"/>
              </w:rPr>
            </w:pPr>
            <w:r w:rsidRPr="002E75D2">
              <w:rPr>
                <w:b/>
                <w:bCs w:val="0"/>
              </w:rPr>
              <w:t xml:space="preserve">Delgocitinib 20 mg/g </w:t>
            </w:r>
            <w:r w:rsidR="00661E08" w:rsidRPr="002E75D2">
              <w:rPr>
                <w:b/>
                <w:bCs w:val="0"/>
              </w:rPr>
              <w:t>as needed</w:t>
            </w:r>
            <w:r w:rsidRPr="002E75D2">
              <w:rPr>
                <w:b/>
                <w:bCs w:val="0"/>
              </w:rPr>
              <w:t xml:space="preserve"> (OLE)</w:t>
            </w:r>
          </w:p>
        </w:tc>
      </w:tr>
      <w:tr w:rsidR="008860CB" w:rsidRPr="002E75D2" w14:paraId="50106638" w14:textId="77777777" w:rsidTr="00C21DB1">
        <w:trPr>
          <w:trHeight w:val="20"/>
        </w:trPr>
        <w:tc>
          <w:tcPr>
            <w:tcW w:w="441" w:type="pct"/>
            <w:tcMar>
              <w:top w:w="15" w:type="dxa"/>
              <w:left w:w="28" w:type="dxa"/>
              <w:bottom w:w="0" w:type="dxa"/>
              <w:right w:w="28" w:type="dxa"/>
            </w:tcMar>
            <w:vAlign w:val="center"/>
            <w:hideMark/>
          </w:tcPr>
          <w:p w14:paraId="437FC661" w14:textId="77777777" w:rsidR="008860CB" w:rsidRPr="002E75D2" w:rsidRDefault="008860CB" w:rsidP="001D6E0D">
            <w:pPr>
              <w:pStyle w:val="TableText0"/>
              <w:keepNext/>
            </w:pPr>
            <w:r w:rsidRPr="002E75D2">
              <w:t>DELTA 3</w:t>
            </w:r>
          </w:p>
        </w:tc>
        <w:tc>
          <w:tcPr>
            <w:tcW w:w="196" w:type="pct"/>
            <w:tcMar>
              <w:top w:w="15" w:type="dxa"/>
              <w:left w:w="28" w:type="dxa"/>
              <w:bottom w:w="0" w:type="dxa"/>
              <w:right w:w="28" w:type="dxa"/>
            </w:tcMar>
            <w:vAlign w:val="center"/>
            <w:hideMark/>
          </w:tcPr>
          <w:p w14:paraId="17EA4EAF" w14:textId="77777777" w:rsidR="008860CB" w:rsidRPr="002E75D2" w:rsidRDefault="008860CB" w:rsidP="001D6E0D">
            <w:pPr>
              <w:pStyle w:val="TableText0"/>
              <w:keepNext/>
            </w:pPr>
            <w:r w:rsidRPr="002E75D2">
              <w:t xml:space="preserve">801 </w:t>
            </w:r>
          </w:p>
        </w:tc>
        <w:tc>
          <w:tcPr>
            <w:tcW w:w="496" w:type="pct"/>
            <w:tcMar>
              <w:top w:w="15" w:type="dxa"/>
              <w:left w:w="28" w:type="dxa"/>
              <w:bottom w:w="0" w:type="dxa"/>
              <w:right w:w="28" w:type="dxa"/>
            </w:tcMar>
            <w:vAlign w:val="center"/>
            <w:hideMark/>
          </w:tcPr>
          <w:p w14:paraId="12D94214" w14:textId="77777777" w:rsidR="008860CB" w:rsidRPr="002E75D2" w:rsidRDefault="008860CB" w:rsidP="001D6E0D">
            <w:pPr>
              <w:pStyle w:val="TableText0"/>
              <w:keepNext/>
            </w:pPr>
            <w:r w:rsidRPr="002E75D2">
              <w:t>OLE</w:t>
            </w:r>
          </w:p>
          <w:p w14:paraId="33C8BD14" w14:textId="77777777" w:rsidR="008860CB" w:rsidRPr="000E2381" w:rsidRDefault="008860CB" w:rsidP="001D6E0D">
            <w:pPr>
              <w:pStyle w:val="TableText0"/>
              <w:keepNext/>
              <w:rPr>
                <w:sz w:val="12"/>
                <w:szCs w:val="12"/>
              </w:rPr>
            </w:pPr>
          </w:p>
          <w:p w14:paraId="370A6A81" w14:textId="56866164" w:rsidR="008860CB" w:rsidRPr="002E75D2" w:rsidRDefault="008860CB" w:rsidP="001D6E0D">
            <w:pPr>
              <w:pStyle w:val="TableText0"/>
              <w:keepNext/>
            </w:pPr>
            <w:r w:rsidRPr="002E75D2">
              <w:t xml:space="preserve">Efficacy: 36 </w:t>
            </w:r>
            <w:r w:rsidR="00537265" w:rsidRPr="002E75D2">
              <w:t>w</w:t>
            </w:r>
            <w:r w:rsidRPr="002E75D2">
              <w:t xml:space="preserve">eeks Safety: 36-38 </w:t>
            </w:r>
            <w:r w:rsidR="00537265" w:rsidRPr="002E75D2">
              <w:t>w</w:t>
            </w:r>
            <w:r w:rsidRPr="002E75D2">
              <w:t>eeks</w:t>
            </w:r>
          </w:p>
          <w:p w14:paraId="37A35784" w14:textId="20AA6CF5" w:rsidR="008860CB" w:rsidRPr="002E75D2" w:rsidRDefault="00701C0F" w:rsidP="001D6E0D">
            <w:pPr>
              <w:pStyle w:val="TableText0"/>
              <w:keepNext/>
            </w:pPr>
            <w:r w:rsidRPr="002E75D2">
              <w:t xml:space="preserve">(Total: </w:t>
            </w:r>
            <w:r w:rsidRPr="002E75D2">
              <w:br/>
              <w:t>16+ 36 = 52 weeks)</w:t>
            </w:r>
          </w:p>
        </w:tc>
        <w:tc>
          <w:tcPr>
            <w:tcW w:w="327" w:type="pct"/>
            <w:tcMar>
              <w:top w:w="15" w:type="dxa"/>
              <w:left w:w="28" w:type="dxa"/>
              <w:bottom w:w="0" w:type="dxa"/>
              <w:right w:w="28" w:type="dxa"/>
            </w:tcMar>
            <w:vAlign w:val="center"/>
            <w:hideMark/>
          </w:tcPr>
          <w:p w14:paraId="10612E42" w14:textId="77777777" w:rsidR="008860CB" w:rsidRPr="002E75D2" w:rsidRDefault="008860CB" w:rsidP="001D6E0D">
            <w:pPr>
              <w:pStyle w:val="TableText0"/>
              <w:keepNext/>
            </w:pPr>
            <w:r w:rsidRPr="002E75D2">
              <w:t>High</w:t>
            </w:r>
          </w:p>
        </w:tc>
        <w:tc>
          <w:tcPr>
            <w:tcW w:w="794" w:type="pct"/>
            <w:tcMar>
              <w:top w:w="15" w:type="dxa"/>
              <w:left w:w="28" w:type="dxa"/>
              <w:bottom w:w="0" w:type="dxa"/>
              <w:right w:w="28" w:type="dxa"/>
            </w:tcMar>
            <w:vAlign w:val="center"/>
            <w:hideMark/>
          </w:tcPr>
          <w:p w14:paraId="7B386281" w14:textId="77777777" w:rsidR="008860CB" w:rsidRPr="002E75D2" w:rsidRDefault="008860CB" w:rsidP="001D6E0D">
            <w:pPr>
              <w:pStyle w:val="TableText0"/>
              <w:keepNext/>
            </w:pPr>
            <w:r w:rsidRPr="002E75D2">
              <w:t>Participants from DELTA 1 &amp; 2</w:t>
            </w:r>
          </w:p>
        </w:tc>
        <w:tc>
          <w:tcPr>
            <w:tcW w:w="1919" w:type="pct"/>
            <w:tcMar>
              <w:top w:w="15" w:type="dxa"/>
              <w:left w:w="28" w:type="dxa"/>
              <w:bottom w:w="0" w:type="dxa"/>
              <w:right w:w="28" w:type="dxa"/>
            </w:tcMar>
            <w:vAlign w:val="center"/>
            <w:hideMark/>
          </w:tcPr>
          <w:p w14:paraId="3D27E879" w14:textId="77777777" w:rsidR="008860CB" w:rsidRPr="002E75D2" w:rsidRDefault="008860CB" w:rsidP="001D6E0D">
            <w:pPr>
              <w:pStyle w:val="TableText0"/>
              <w:keepNext/>
            </w:pPr>
            <w:r w:rsidRPr="002E75D2">
              <w:t>Primary: number of TEAEs observed from baseline to Week 38.</w:t>
            </w:r>
          </w:p>
          <w:p w14:paraId="3F0E3C4E" w14:textId="77777777" w:rsidR="008860CB" w:rsidRPr="000E2381" w:rsidRDefault="008860CB" w:rsidP="001D6E0D">
            <w:pPr>
              <w:pStyle w:val="TableText0"/>
              <w:keepNext/>
              <w:rPr>
                <w:sz w:val="12"/>
                <w:szCs w:val="12"/>
              </w:rPr>
            </w:pPr>
          </w:p>
          <w:p w14:paraId="202C47B7" w14:textId="77777777" w:rsidR="008860CB" w:rsidRPr="002E75D2" w:rsidRDefault="008860CB" w:rsidP="001D6E0D">
            <w:pPr>
              <w:pStyle w:val="TableText0"/>
              <w:keepNext/>
            </w:pPr>
            <w:r w:rsidRPr="002E75D2">
              <w:t>Secondary: IGA-CHEs, HECSI, HECSI-75, 90 outcomes from baseline to Week 36</w:t>
            </w:r>
          </w:p>
          <w:p w14:paraId="5DC806FA" w14:textId="77777777" w:rsidR="008860CB" w:rsidRPr="000E2381" w:rsidRDefault="008860CB" w:rsidP="001D6E0D">
            <w:pPr>
              <w:pStyle w:val="TableText0"/>
              <w:keepNext/>
              <w:rPr>
                <w:sz w:val="12"/>
                <w:szCs w:val="12"/>
              </w:rPr>
            </w:pPr>
          </w:p>
          <w:p w14:paraId="5DC09A4E" w14:textId="77777777" w:rsidR="008860CB" w:rsidRPr="002E75D2" w:rsidRDefault="008860CB" w:rsidP="001D6E0D">
            <w:pPr>
              <w:pStyle w:val="TableText0"/>
              <w:keepNext/>
            </w:pPr>
            <w:r w:rsidRPr="002E75D2">
              <w:t>Several exploratory outcomes including EQ-5D-5L</w:t>
            </w:r>
          </w:p>
        </w:tc>
        <w:tc>
          <w:tcPr>
            <w:tcW w:w="827" w:type="pct"/>
            <w:tcMar>
              <w:top w:w="15" w:type="dxa"/>
              <w:left w:w="28" w:type="dxa"/>
              <w:bottom w:w="0" w:type="dxa"/>
              <w:right w:w="28" w:type="dxa"/>
            </w:tcMar>
            <w:vAlign w:val="center"/>
            <w:hideMark/>
          </w:tcPr>
          <w:p w14:paraId="40EC9B58" w14:textId="52C4122D" w:rsidR="008860CB" w:rsidRPr="002E75D2" w:rsidRDefault="008860CB" w:rsidP="001D6E0D">
            <w:pPr>
              <w:pStyle w:val="TableText0"/>
              <w:keepNext/>
            </w:pPr>
            <w:r w:rsidRPr="002E75D2">
              <w:t>Transition probabilities (response or non-response, relapse beyond Week 12, discontinuation)</w:t>
            </w:r>
          </w:p>
        </w:tc>
      </w:tr>
      <w:tr w:rsidR="00913CD3" w:rsidRPr="002E75D2" w14:paraId="3DB2487C" w14:textId="77777777" w:rsidTr="00C21DB1">
        <w:trPr>
          <w:trHeight w:val="20"/>
        </w:trPr>
        <w:tc>
          <w:tcPr>
            <w:tcW w:w="5000" w:type="pct"/>
            <w:gridSpan w:val="7"/>
            <w:tcMar>
              <w:top w:w="15" w:type="dxa"/>
              <w:left w:w="28" w:type="dxa"/>
              <w:bottom w:w="0" w:type="dxa"/>
              <w:right w:w="28" w:type="dxa"/>
            </w:tcMar>
            <w:vAlign w:val="center"/>
          </w:tcPr>
          <w:p w14:paraId="2D30A18C" w14:textId="1B0C8A69" w:rsidR="00913CD3" w:rsidRPr="002E75D2" w:rsidRDefault="00596F10" w:rsidP="001D6E0D">
            <w:pPr>
              <w:pStyle w:val="TableText0"/>
              <w:keepNext/>
              <w:rPr>
                <w:b/>
                <w:bCs w:val="0"/>
              </w:rPr>
            </w:pPr>
            <w:r w:rsidRPr="002E75D2">
              <w:rPr>
                <w:b/>
                <w:bCs w:val="0"/>
              </w:rPr>
              <w:t>Dupilumab vs placebo</w:t>
            </w:r>
          </w:p>
        </w:tc>
      </w:tr>
      <w:tr w:rsidR="006B228B" w:rsidRPr="002E75D2" w14:paraId="5E2AE944" w14:textId="77777777" w:rsidTr="00C21DB1">
        <w:trPr>
          <w:trHeight w:val="20"/>
        </w:trPr>
        <w:tc>
          <w:tcPr>
            <w:tcW w:w="441" w:type="pct"/>
            <w:tcMar>
              <w:top w:w="15" w:type="dxa"/>
              <w:left w:w="28" w:type="dxa"/>
              <w:bottom w:w="0" w:type="dxa"/>
              <w:right w:w="28" w:type="dxa"/>
            </w:tcMar>
            <w:vAlign w:val="center"/>
          </w:tcPr>
          <w:p w14:paraId="557C6AED" w14:textId="77777777" w:rsidR="006B228B" w:rsidRPr="002E75D2" w:rsidRDefault="006B228B" w:rsidP="001D6E0D">
            <w:pPr>
              <w:pStyle w:val="TableText0"/>
              <w:keepNext/>
            </w:pPr>
            <w:r w:rsidRPr="002E75D2">
              <w:t>LIBERTY-AD-HAFT</w:t>
            </w:r>
            <w:r w:rsidRPr="002E75D2">
              <w:rPr>
                <w:vertAlign w:val="superscript"/>
              </w:rPr>
              <w:t>a</w:t>
            </w:r>
          </w:p>
        </w:tc>
        <w:tc>
          <w:tcPr>
            <w:tcW w:w="196" w:type="pct"/>
            <w:tcMar>
              <w:top w:w="15" w:type="dxa"/>
              <w:left w:w="28" w:type="dxa"/>
              <w:bottom w:w="0" w:type="dxa"/>
              <w:right w:w="28" w:type="dxa"/>
            </w:tcMar>
            <w:vAlign w:val="center"/>
          </w:tcPr>
          <w:p w14:paraId="211EE017" w14:textId="77777777" w:rsidR="006B228B" w:rsidRPr="002E75D2" w:rsidRDefault="006B228B" w:rsidP="001D6E0D">
            <w:pPr>
              <w:pStyle w:val="TableText0"/>
              <w:keepNext/>
            </w:pPr>
            <w:r w:rsidRPr="002E75D2">
              <w:t>133</w:t>
            </w:r>
          </w:p>
        </w:tc>
        <w:tc>
          <w:tcPr>
            <w:tcW w:w="496" w:type="pct"/>
            <w:tcMar>
              <w:top w:w="15" w:type="dxa"/>
              <w:left w:w="28" w:type="dxa"/>
              <w:bottom w:w="0" w:type="dxa"/>
              <w:right w:w="28" w:type="dxa"/>
            </w:tcMar>
            <w:vAlign w:val="center"/>
          </w:tcPr>
          <w:p w14:paraId="38878B9A" w14:textId="77777777" w:rsidR="006B228B" w:rsidRPr="002E75D2" w:rsidRDefault="006B228B" w:rsidP="001D6E0D">
            <w:pPr>
              <w:pStyle w:val="TableText0"/>
              <w:keepNext/>
            </w:pPr>
            <w:r w:rsidRPr="002E75D2">
              <w:t>R, DB, MC</w:t>
            </w:r>
          </w:p>
          <w:p w14:paraId="43036418" w14:textId="77777777" w:rsidR="006B228B" w:rsidRPr="002E75D2" w:rsidRDefault="006B228B" w:rsidP="001D6E0D">
            <w:pPr>
              <w:pStyle w:val="TableText0"/>
              <w:keepNext/>
            </w:pPr>
          </w:p>
          <w:p w14:paraId="7423BBB1" w14:textId="0E3883F6" w:rsidR="006B228B" w:rsidRPr="002E75D2" w:rsidRDefault="006B228B" w:rsidP="001D6E0D">
            <w:pPr>
              <w:pStyle w:val="TableText0"/>
              <w:keepNext/>
            </w:pPr>
            <w:r w:rsidRPr="002E75D2">
              <w:t xml:space="preserve">16 weeks + 12 </w:t>
            </w:r>
            <w:r w:rsidR="00537265" w:rsidRPr="002E75D2">
              <w:t>w</w:t>
            </w:r>
            <w:r w:rsidRPr="002E75D2">
              <w:t>eeks follow-up</w:t>
            </w:r>
          </w:p>
        </w:tc>
        <w:tc>
          <w:tcPr>
            <w:tcW w:w="327" w:type="pct"/>
            <w:tcMar>
              <w:top w:w="15" w:type="dxa"/>
              <w:left w:w="28" w:type="dxa"/>
              <w:bottom w:w="0" w:type="dxa"/>
              <w:right w:w="28" w:type="dxa"/>
            </w:tcMar>
            <w:vAlign w:val="center"/>
          </w:tcPr>
          <w:p w14:paraId="19E46060" w14:textId="77777777" w:rsidR="006B228B" w:rsidRPr="002E75D2" w:rsidRDefault="006B228B" w:rsidP="001D6E0D">
            <w:pPr>
              <w:pStyle w:val="TableText0"/>
              <w:keepNext/>
            </w:pPr>
            <w:r w:rsidRPr="002E75D2">
              <w:t>Low</w:t>
            </w:r>
          </w:p>
        </w:tc>
        <w:tc>
          <w:tcPr>
            <w:tcW w:w="794" w:type="pct"/>
            <w:tcMar>
              <w:top w:w="15" w:type="dxa"/>
              <w:left w:w="28" w:type="dxa"/>
              <w:bottom w:w="0" w:type="dxa"/>
              <w:right w:w="28" w:type="dxa"/>
            </w:tcMar>
            <w:vAlign w:val="center"/>
          </w:tcPr>
          <w:p w14:paraId="69520C14" w14:textId="77777777" w:rsidR="006B228B" w:rsidRPr="002E75D2" w:rsidRDefault="006B228B" w:rsidP="001D6E0D">
            <w:pPr>
              <w:pStyle w:val="TableText0"/>
              <w:keepNext/>
            </w:pPr>
            <w:r w:rsidRPr="002E75D2">
              <w:t>Adults (≥18 years) and adolescents (≥12 to &lt;18 years) with moderate-to-severe H/F AD</w:t>
            </w:r>
          </w:p>
        </w:tc>
        <w:tc>
          <w:tcPr>
            <w:tcW w:w="1919" w:type="pct"/>
            <w:tcMar>
              <w:top w:w="15" w:type="dxa"/>
              <w:left w:w="28" w:type="dxa"/>
              <w:bottom w:w="0" w:type="dxa"/>
              <w:right w:w="28" w:type="dxa"/>
            </w:tcMar>
            <w:vAlign w:val="center"/>
          </w:tcPr>
          <w:p w14:paraId="0BA646DE" w14:textId="77777777" w:rsidR="006B228B" w:rsidRPr="002E75D2" w:rsidRDefault="006B228B" w:rsidP="001D6E0D">
            <w:pPr>
              <w:pStyle w:val="TableText0"/>
              <w:keepNext/>
            </w:pPr>
            <w:r w:rsidRPr="002E75D2">
              <w:t>Primary: HF-IGA</w:t>
            </w:r>
          </w:p>
          <w:p w14:paraId="04F95FD6" w14:textId="77777777" w:rsidR="006B228B" w:rsidRPr="002E75D2" w:rsidRDefault="006B228B" w:rsidP="001D6E0D">
            <w:pPr>
              <w:pStyle w:val="TableText0"/>
              <w:keepNext/>
            </w:pPr>
            <w:r w:rsidRPr="002E75D2">
              <w:t>Key secondary: proportion of patients with ≥4-point reduction in HF-Peak Pruritus NRS at Week 16; HECSI-75;</w:t>
            </w:r>
          </w:p>
          <w:p w14:paraId="6DDE3628" w14:textId="77777777" w:rsidR="006B228B" w:rsidRPr="002E75D2" w:rsidRDefault="006B228B" w:rsidP="001D6E0D">
            <w:pPr>
              <w:pStyle w:val="TableText0"/>
              <w:keepNext/>
            </w:pPr>
            <w:r w:rsidRPr="002E75D2">
              <w:t>Change in HECSI score from baseline to Week 16.</w:t>
            </w:r>
          </w:p>
        </w:tc>
        <w:tc>
          <w:tcPr>
            <w:tcW w:w="827" w:type="pct"/>
            <w:tcMar>
              <w:top w:w="15" w:type="dxa"/>
              <w:left w:w="28" w:type="dxa"/>
              <w:bottom w:w="0" w:type="dxa"/>
              <w:right w:w="28" w:type="dxa"/>
            </w:tcMar>
            <w:vAlign w:val="center"/>
          </w:tcPr>
          <w:p w14:paraId="00D09D30" w14:textId="77777777" w:rsidR="006B228B" w:rsidRPr="002E75D2" w:rsidRDefault="006B228B" w:rsidP="001D6E0D">
            <w:pPr>
              <w:pStyle w:val="TableText0"/>
              <w:keepNext/>
            </w:pPr>
            <w:r w:rsidRPr="002E75D2">
              <w:t>Used as the basis for a cost-minimisation approach, informed by the non-inferiority claim between delgocitinib and dupilumab.</w:t>
            </w:r>
          </w:p>
        </w:tc>
      </w:tr>
    </w:tbl>
    <w:p w14:paraId="53891B29" w14:textId="45CF6900" w:rsidR="008860CB" w:rsidRPr="002E75D2" w:rsidRDefault="008860CB" w:rsidP="001D6E0D">
      <w:pPr>
        <w:pStyle w:val="TableFigureFooter"/>
        <w:keepNext/>
        <w:spacing w:after="0"/>
      </w:pPr>
      <w:r w:rsidRPr="002E75D2">
        <w:t>Source: Table 98, p167 of the submission; pp111-121 of the submission</w:t>
      </w:r>
    </w:p>
    <w:p w14:paraId="4DE3D3E1" w14:textId="7B4D9C49" w:rsidR="008860CB" w:rsidRPr="002E75D2" w:rsidRDefault="008860CB" w:rsidP="001D6E0D">
      <w:pPr>
        <w:keepNext/>
        <w:keepLines/>
        <w:rPr>
          <w:rFonts w:ascii="Arial Narrow" w:hAnsi="Arial Narrow"/>
          <w:snapToGrid w:val="0"/>
          <w:sz w:val="18"/>
          <w:szCs w:val="22"/>
        </w:rPr>
      </w:pPr>
      <w:r w:rsidRPr="002E75D2">
        <w:rPr>
          <w:rFonts w:ascii="Arial Narrow" w:hAnsi="Arial Narrow"/>
          <w:snapToGrid w:val="0"/>
          <w:sz w:val="18"/>
          <w:szCs w:val="22"/>
        </w:rPr>
        <w:t xml:space="preserve">AE = Adverse Event; AUC = Area Under the Curve; BD = twice daily; DB = Double blind; DLQI = Dermatology Life Quality Index; EQ-5D-5L = EuroQol 5 Dimensions 5 Levels; HECSI = Hand Eczema Severity Index; HECSI-75 = Hand Eczema Severity Index 75% improvement; HECSI-90 = Hand Eczema Severity Index 90% improvement; HEIS = Hand Eczema Impact Scale; HEIS PDAL = Hand Eczema Impact Scale – </w:t>
      </w:r>
      <w:r w:rsidR="002D3402" w:rsidRPr="002E75D2">
        <w:rPr>
          <w:rFonts w:ascii="Arial Narrow" w:hAnsi="Arial Narrow"/>
          <w:snapToGrid w:val="0"/>
          <w:sz w:val="18"/>
          <w:szCs w:val="22"/>
        </w:rPr>
        <w:t>Proximal</w:t>
      </w:r>
      <w:r w:rsidRPr="002E75D2">
        <w:rPr>
          <w:rFonts w:ascii="Arial Narrow" w:hAnsi="Arial Narrow"/>
          <w:snapToGrid w:val="0"/>
          <w:sz w:val="18"/>
          <w:szCs w:val="22"/>
        </w:rPr>
        <w:t xml:space="preserve"> Daily Activity Limitation; HESD = Hand Eczema Symptom Diary; HRQoL = Health-Related Quality of Life; IGA-CHE TS = Investigator’s Global Assessment for Chronic Hand Eczema Treatment Success; MC = Multi-centre; OLE = Open label extension; PRO = Patient-Reported Outcome; R = Randomised; TEAE = Treatment-Emergent Adverse Event; TCS = Topical Corticosteroid; VAS = Visual Analogue Scale; WPAI: CHE = Work Productivity and Activity Impairment Questionnaire for Chronic Hand Eczema.</w:t>
      </w:r>
    </w:p>
    <w:p w14:paraId="2321B000" w14:textId="27A8C864" w:rsidR="008860CB" w:rsidRPr="002E75D2" w:rsidRDefault="008860CB" w:rsidP="00EC5836">
      <w:pPr>
        <w:pStyle w:val="3-BodyText"/>
      </w:pPr>
      <w:r w:rsidRPr="002E75D2">
        <w:t xml:space="preserve">The overall risk of bias was assessed to be low for the pivotal DELTA 1 and DELTA 2 trials, as blinding was maintained throughout the trials. However, the appropriateness of imputing all missing data in the DELTA 1 and DELTA 2 trials as non-response for binary outcomes, and applying worst observation carried forward (WOCF, including baseline values) for continuous outcomes, was uncertain. While these methods avoided overestimation of treatment effect, they may also introduce bias through </w:t>
      </w:r>
      <w:r w:rsidRPr="002E75D2">
        <w:lastRenderedPageBreak/>
        <w:t>systematic underestimation, and thus, the overall implication of the approach was not fully clear.</w:t>
      </w:r>
    </w:p>
    <w:p w14:paraId="34AECCF2" w14:textId="13CB8380" w:rsidR="00724060" w:rsidRPr="002E75D2" w:rsidRDefault="00724060" w:rsidP="00EC5836">
      <w:pPr>
        <w:pStyle w:val="3-BodyText"/>
      </w:pPr>
      <w:r w:rsidRPr="002E75D2">
        <w:t>The submission did not present the risk of bias assessment of the LIBERTY-AD-HAFT trial used in the indirect comparison of delgocitinib vs dupilumab. However, the overall risk of bias in the LIBERTY-AD-HAFT trial was assessed as low given its randomised, double-blind study design.</w:t>
      </w:r>
    </w:p>
    <w:p w14:paraId="61B8D2F5" w14:textId="677D7F14" w:rsidR="00136F4C" w:rsidRPr="002E75D2" w:rsidRDefault="00136F4C" w:rsidP="00794823">
      <w:pPr>
        <w:pStyle w:val="3-BodyText"/>
      </w:pPr>
      <w:r w:rsidRPr="002E75D2">
        <w:t xml:space="preserve">There were differences between the pivotal </w:t>
      </w:r>
      <w:r w:rsidR="00BD6DC6" w:rsidRPr="002E75D2">
        <w:t>DELTA 1</w:t>
      </w:r>
      <w:r w:rsidRPr="002E75D2">
        <w:t xml:space="preserve"> and DELTA 2 trials, including:</w:t>
      </w:r>
    </w:p>
    <w:p w14:paraId="09368CF8" w14:textId="1B75DCA8" w:rsidR="00BD6DC6" w:rsidRPr="00FB66DE" w:rsidRDefault="00136F4C" w:rsidP="00C7040B">
      <w:pPr>
        <w:pStyle w:val="ListParagraph"/>
      </w:pPr>
      <w:r w:rsidRPr="00FB66DE">
        <w:t>DELTA 1</w:t>
      </w:r>
      <w:r w:rsidR="00BD6DC6" w:rsidRPr="00FB66DE">
        <w:t xml:space="preserve"> enrolled more severe </w:t>
      </w:r>
      <w:r w:rsidR="00AC7894" w:rsidRPr="00FB66DE">
        <w:t>patient</w:t>
      </w:r>
      <w:r w:rsidR="00BD6DC6" w:rsidRPr="00FB66DE">
        <w:t>s compared to DELTA 2, which may reduce treatment responsiveness or alter safety outcomes. This was reflected in the primary efficacy outcome, with the treatment effect in the DELTA 1 trial being notably lower than that observed in the DELTA 2 trial.</w:t>
      </w:r>
    </w:p>
    <w:p w14:paraId="6048E390" w14:textId="10C6B7E4" w:rsidR="00136F4C" w:rsidRPr="002E75D2" w:rsidRDefault="00136F4C" w:rsidP="00C7040B">
      <w:pPr>
        <w:pStyle w:val="ListParagraph"/>
      </w:pPr>
      <w:r w:rsidRPr="003B6BB1">
        <w:t xml:space="preserve">DELTA 1 had higher rates of atopic hand eczema (44.6% </w:t>
      </w:r>
      <w:r w:rsidR="00130795" w:rsidRPr="003B6BB1">
        <w:t>vs</w:t>
      </w:r>
      <w:r w:rsidRPr="003B6BB1">
        <w:t xml:space="preserve"> 27.1%) and allergic contact dermatitis (17.2% </w:t>
      </w:r>
      <w:r w:rsidR="0011406F" w:rsidRPr="003B6BB1">
        <w:t>vs</w:t>
      </w:r>
      <w:r w:rsidRPr="003B6BB1">
        <w:t xml:space="preserve"> 10.4%). In contrast, DELTA 2 had greater proportions of irritant contact dermatitis</w:t>
      </w:r>
      <w:r w:rsidRPr="002E75D2">
        <w:t xml:space="preserve"> (23.9% </w:t>
      </w:r>
      <w:r w:rsidR="0011406F" w:rsidRPr="002E75D2">
        <w:t>vs</w:t>
      </w:r>
      <w:r w:rsidRPr="002E75D2">
        <w:t xml:space="preserve"> 15.4%), contact urticaria (0.2% </w:t>
      </w:r>
      <w:r w:rsidR="0011406F" w:rsidRPr="002E75D2">
        <w:t>vs</w:t>
      </w:r>
      <w:r w:rsidRPr="002E75D2">
        <w:t xml:space="preserve"> 0%), vesicular hand eczema (11.2% compared to 7.0%), and hyperkeratotic hand eczema (27.3% </w:t>
      </w:r>
      <w:r w:rsidR="0011406F" w:rsidRPr="002E75D2">
        <w:t>vs</w:t>
      </w:r>
      <w:r w:rsidRPr="002E75D2">
        <w:t xml:space="preserve"> 15.8%). These differences in subtype distribution may affect treatment response</w:t>
      </w:r>
      <w:r w:rsidR="00616904" w:rsidRPr="002E75D2">
        <w:t xml:space="preserve">. </w:t>
      </w:r>
      <w:r w:rsidR="00A375AB" w:rsidRPr="002E75D2">
        <w:t xml:space="preserve">The submission did not present trial-specific subgroup analyses by CHE subtype; efficacy by subtype was only reported for the pooled </w:t>
      </w:r>
      <w:r w:rsidR="0064281F" w:rsidRPr="002E75D2">
        <w:t>DELTA</w:t>
      </w:r>
      <w:r w:rsidR="00A375AB" w:rsidRPr="002E75D2">
        <w:t xml:space="preserve"> 1 and 2 trials</w:t>
      </w:r>
      <w:r w:rsidR="00F34F98" w:rsidRPr="002E75D2">
        <w:t>.</w:t>
      </w:r>
      <w:r w:rsidR="009652D1" w:rsidRPr="002E75D2">
        <w:t xml:space="preserve"> </w:t>
      </w:r>
    </w:p>
    <w:p w14:paraId="76A4D456" w14:textId="26AB758C" w:rsidR="00B62D23" w:rsidRPr="002E75D2" w:rsidRDefault="00B62D23" w:rsidP="00015EB8">
      <w:pPr>
        <w:pStyle w:val="3-BodyText"/>
      </w:pPr>
      <w:bookmarkStart w:id="43" w:name="_Ref211245916"/>
      <w:r w:rsidRPr="002E75D2">
        <w:t xml:space="preserve">There were differences between the </w:t>
      </w:r>
      <w:r w:rsidR="00015EB8" w:rsidRPr="002E75D2">
        <w:t xml:space="preserve">DELTA 1/2 </w:t>
      </w:r>
      <w:r w:rsidR="008F1276" w:rsidRPr="002E75D2">
        <w:t xml:space="preserve">and </w:t>
      </w:r>
      <w:r w:rsidR="00015EB8" w:rsidRPr="002E75D2">
        <w:t>LIBERTY-AD-HAF</w:t>
      </w:r>
      <w:r w:rsidR="00A0603C" w:rsidRPr="002E75D2">
        <w:t>T</w:t>
      </w:r>
      <w:r w:rsidR="00015EB8" w:rsidRPr="002E75D2">
        <w:t xml:space="preserve"> trials,</w:t>
      </w:r>
      <w:r w:rsidR="004D2BA9">
        <w:t xml:space="preserve"> </w:t>
      </w:r>
      <w:r w:rsidR="00A0603C" w:rsidRPr="002E75D2">
        <w:t>including</w:t>
      </w:r>
      <w:r w:rsidR="006C324C" w:rsidRPr="002E75D2">
        <w:t xml:space="preserve">, age (adults vs 12+), anatomical sites (CHE vs </w:t>
      </w:r>
      <w:r w:rsidR="00825317" w:rsidRPr="002E75D2">
        <w:t xml:space="preserve">atopic dermatitis </w:t>
      </w:r>
      <w:r w:rsidR="006C324C" w:rsidRPr="002E75D2">
        <w:t xml:space="preserve">in hands or feet), and disease duration (CHE for ≥3 months or ≥2 relapses per year vs </w:t>
      </w:r>
      <w:r w:rsidR="003A6968" w:rsidRPr="002E75D2">
        <w:t>atopic dermatitis</w:t>
      </w:r>
      <w:r w:rsidR="006C324C" w:rsidRPr="002E75D2">
        <w:t xml:space="preserve"> in adults for </w:t>
      </w:r>
      <w:r w:rsidR="006C324C" w:rsidRPr="002E75D2">
        <w:rPr>
          <w:rFonts w:cstheme="minorHAnsi"/>
        </w:rPr>
        <w:t>≥ 3</w:t>
      </w:r>
      <w:r w:rsidR="006C324C" w:rsidRPr="002E75D2">
        <w:t xml:space="preserve"> years and adolescents for </w:t>
      </w:r>
      <w:r w:rsidR="006C324C" w:rsidRPr="002E75D2">
        <w:rPr>
          <w:rFonts w:cstheme="minorHAnsi"/>
        </w:rPr>
        <w:t>≥ 1</w:t>
      </w:r>
      <w:r w:rsidR="006C324C" w:rsidRPr="002E75D2">
        <w:t xml:space="preserve"> year)</w:t>
      </w:r>
      <w:r w:rsidR="00E362C2" w:rsidRPr="002E75D2">
        <w:t xml:space="preserve"> which </w:t>
      </w:r>
      <w:r w:rsidR="004E2B97" w:rsidRPr="002E75D2">
        <w:t xml:space="preserve">may have </w:t>
      </w:r>
      <w:r w:rsidR="00E362C2" w:rsidRPr="002E75D2">
        <w:t>affected the assumption of transitivity</w:t>
      </w:r>
      <w:r w:rsidR="00015EB8" w:rsidRPr="002E75D2">
        <w:t>.</w:t>
      </w:r>
      <w:bookmarkEnd w:id="43"/>
      <w:r w:rsidRPr="002E75D2">
        <w:t xml:space="preserve"> </w:t>
      </w:r>
    </w:p>
    <w:p w14:paraId="2C72E37A" w14:textId="77777777" w:rsidR="00B62D23" w:rsidRPr="002E75D2" w:rsidRDefault="00B62D23">
      <w:pPr>
        <w:pStyle w:val="4-SubsectionHeading"/>
      </w:pPr>
      <w:bookmarkStart w:id="44" w:name="_Toc22897641"/>
      <w:bookmarkStart w:id="45" w:name="_Toc206291222"/>
      <w:bookmarkStart w:id="46" w:name="_Toc206426964"/>
      <w:bookmarkStart w:id="47" w:name="_Toc208411848"/>
      <w:r w:rsidRPr="002E75D2">
        <w:t>Comparative effectiveness</w:t>
      </w:r>
      <w:bookmarkEnd w:id="44"/>
      <w:bookmarkEnd w:id="45"/>
      <w:bookmarkEnd w:id="46"/>
      <w:bookmarkEnd w:id="47"/>
    </w:p>
    <w:p w14:paraId="35FA8A2A" w14:textId="4432ECBD" w:rsidR="009E5528" w:rsidRPr="002E75D2" w:rsidRDefault="009E5528" w:rsidP="009E5528">
      <w:pPr>
        <w:pStyle w:val="3-BodyText"/>
        <w:numPr>
          <w:ilvl w:val="0"/>
          <w:numId w:val="0"/>
        </w:numPr>
        <w:ind w:left="720" w:hanging="720"/>
        <w:rPr>
          <w:u w:val="single"/>
          <w:lang w:eastAsia="en-US"/>
        </w:rPr>
      </w:pPr>
      <w:r w:rsidRPr="002E75D2">
        <w:rPr>
          <w:u w:val="single"/>
          <w:lang w:eastAsia="en-US"/>
        </w:rPr>
        <w:t>Comparison with SoC</w:t>
      </w:r>
    </w:p>
    <w:p w14:paraId="246B42EB" w14:textId="437BA8FB" w:rsidR="00B62D23" w:rsidRPr="00370EE7" w:rsidRDefault="003B508F">
      <w:pPr>
        <w:pStyle w:val="3-BodyText"/>
        <w:rPr>
          <w:rStyle w:val="CommentReference"/>
          <w:rFonts w:asciiTheme="minorHAnsi" w:hAnsiTheme="minorHAnsi"/>
          <w:b w:val="0"/>
          <w:sz w:val="24"/>
          <w:szCs w:val="22"/>
        </w:rPr>
      </w:pPr>
      <w:r w:rsidRPr="00370EE7">
        <w:fldChar w:fldCharType="begin"/>
      </w:r>
      <w:r w:rsidRPr="00370EE7">
        <w:instrText xml:space="preserve"> REF _Ref207293223 \h </w:instrText>
      </w:r>
      <w:r w:rsidR="00370EE7" w:rsidRPr="00370EE7">
        <w:instrText xml:space="preserve"> \* MERGEFORMAT </w:instrText>
      </w:r>
      <w:r w:rsidRPr="00370EE7">
        <w:fldChar w:fldCharType="separate"/>
      </w:r>
      <w:r w:rsidR="00AA53DD" w:rsidRPr="002E75D2">
        <w:t xml:space="preserve">Table </w:t>
      </w:r>
      <w:r w:rsidR="00AA53DD">
        <w:t>5</w:t>
      </w:r>
      <w:r w:rsidRPr="00370EE7">
        <w:fldChar w:fldCharType="end"/>
      </w:r>
      <w:r w:rsidRPr="00370EE7">
        <w:t xml:space="preserve"> </w:t>
      </w:r>
      <w:r w:rsidR="00B62D23" w:rsidRPr="00370EE7">
        <w:t xml:space="preserve">presents the </w:t>
      </w:r>
      <w:r w:rsidR="004C69A9" w:rsidRPr="00370EE7">
        <w:t>results</w:t>
      </w:r>
      <w:r w:rsidR="00B62D23" w:rsidRPr="00370EE7">
        <w:t xml:space="preserve"> for the primary</w:t>
      </w:r>
      <w:r w:rsidR="000E4EE8" w:rsidRPr="00370EE7">
        <w:t xml:space="preserve"> and key secondary</w:t>
      </w:r>
      <w:r w:rsidR="00231894" w:rsidRPr="00370EE7">
        <w:t xml:space="preserve"> outcomes</w:t>
      </w:r>
      <w:r w:rsidR="00B62D23" w:rsidRPr="00370EE7">
        <w:t xml:space="preserve"> </w:t>
      </w:r>
      <w:r w:rsidR="000E4EE8" w:rsidRPr="00370EE7">
        <w:t>from the DELTA 1 and DELTA 2 trials</w:t>
      </w:r>
      <w:r w:rsidR="007635BE" w:rsidRPr="00370EE7">
        <w:t xml:space="preserve"> at 16 weeks</w:t>
      </w:r>
      <w:r w:rsidR="00B62D23" w:rsidRPr="00370EE7">
        <w:t xml:space="preserve">. </w:t>
      </w:r>
      <w:r w:rsidR="00236253" w:rsidRPr="00370EE7">
        <w:t>T</w:t>
      </w:r>
      <w:r w:rsidR="004D5451" w:rsidRPr="00370EE7">
        <w:t xml:space="preserve">he ESC noted DELTA 3 </w:t>
      </w:r>
      <w:r w:rsidR="0099147E" w:rsidRPr="00370EE7">
        <w:t xml:space="preserve">provided some data out to </w:t>
      </w:r>
      <w:r w:rsidR="00236253" w:rsidRPr="00370EE7">
        <w:t>W</w:t>
      </w:r>
      <w:r w:rsidR="0099147E" w:rsidRPr="00370EE7">
        <w:t xml:space="preserve">eek 52 that was supportive </w:t>
      </w:r>
      <w:r w:rsidR="00724A8E" w:rsidRPr="00370EE7">
        <w:t>of the effectiveness and safety of delgocitinib over the longer term</w:t>
      </w:r>
      <w:r w:rsidR="004D5451" w:rsidRPr="00370EE7">
        <w:t xml:space="preserve">. </w:t>
      </w:r>
    </w:p>
    <w:p w14:paraId="0F417CC0" w14:textId="423554A0" w:rsidR="003B508F" w:rsidRPr="002E75D2" w:rsidRDefault="003B508F" w:rsidP="0073315E">
      <w:pPr>
        <w:pStyle w:val="Caption"/>
      </w:pPr>
      <w:bookmarkStart w:id="48" w:name="_Ref207293223"/>
      <w:r w:rsidRPr="002E75D2">
        <w:t xml:space="preserve">Table </w:t>
      </w:r>
      <w:r w:rsidR="000847A3">
        <w:fldChar w:fldCharType="begin"/>
      </w:r>
      <w:r w:rsidR="000847A3">
        <w:instrText xml:space="preserve"> SEQ Table \* ARABIC </w:instrText>
      </w:r>
      <w:r w:rsidR="000847A3">
        <w:fldChar w:fldCharType="separate"/>
      </w:r>
      <w:r w:rsidR="00AA53DD">
        <w:rPr>
          <w:noProof/>
        </w:rPr>
        <w:t>5</w:t>
      </w:r>
      <w:r w:rsidR="000847A3">
        <w:rPr>
          <w:noProof/>
        </w:rPr>
        <w:fldChar w:fldCharType="end"/>
      </w:r>
      <w:bookmarkEnd w:id="48"/>
      <w:r w:rsidRPr="002E75D2">
        <w:t>: Results of primary, key secondary and exploratory outcomes across the DELTA 1 and DELTA 2 trials</w:t>
      </w:r>
    </w:p>
    <w:tbl>
      <w:tblPr>
        <w:tblW w:w="5000" w:type="pct"/>
        <w:tblLook w:val="04A0" w:firstRow="1" w:lastRow="0" w:firstColumn="1" w:lastColumn="0" w:noHBand="0" w:noVBand="1"/>
        <w:tblCaption w:val="Table 5: Results of primary, key secondary and exploratory outcomes across the DELTA 1 and DELTA 2 trials"/>
      </w:tblPr>
      <w:tblGrid>
        <w:gridCol w:w="3115"/>
        <w:gridCol w:w="1441"/>
        <w:gridCol w:w="1320"/>
        <w:gridCol w:w="1439"/>
        <w:gridCol w:w="1702"/>
      </w:tblGrid>
      <w:tr w:rsidR="00182A28" w:rsidRPr="002E75D2" w14:paraId="0B6744DC" w14:textId="77777777" w:rsidTr="00C21DB1">
        <w:trPr>
          <w:trHeight w:val="20"/>
          <w:tblHeader/>
        </w:trPr>
        <w:tc>
          <w:tcPr>
            <w:tcW w:w="1727" w:type="pct"/>
            <w:tcBorders>
              <w:top w:val="single" w:sz="4" w:space="0" w:color="auto"/>
              <w:left w:val="single" w:sz="4" w:space="0" w:color="auto"/>
              <w:bottom w:val="single" w:sz="4" w:space="0" w:color="auto"/>
              <w:right w:val="single" w:sz="4" w:space="0" w:color="auto"/>
            </w:tcBorders>
            <w:vAlign w:val="center"/>
            <w:hideMark/>
          </w:tcPr>
          <w:p w14:paraId="6DBF0B25" w14:textId="22F470ED" w:rsidR="0059186A" w:rsidRPr="002E75D2" w:rsidRDefault="0059186A" w:rsidP="000E2381">
            <w:pPr>
              <w:pStyle w:val="In-tableHeading"/>
              <w:keepNext w:val="0"/>
              <w:keepLines w:val="0"/>
              <w:rPr>
                <w:color w:val="000000"/>
                <w:szCs w:val="20"/>
                <w:lang w:val="en-AU"/>
              </w:rPr>
            </w:pPr>
            <w:bookmarkStart w:id="49" w:name="_Hlk207117849"/>
            <w:r w:rsidRPr="002E75D2">
              <w:rPr>
                <w:szCs w:val="20"/>
                <w:lang w:val="en-AU"/>
              </w:rPr>
              <w:t xml:space="preserve">Outcome </w:t>
            </w:r>
            <w:r w:rsidR="00017A6D" w:rsidRPr="002E75D2">
              <w:rPr>
                <w:szCs w:val="20"/>
                <w:lang w:val="en-AU"/>
              </w:rPr>
              <w:t>at Week 16</w:t>
            </w:r>
          </w:p>
        </w:tc>
        <w:tc>
          <w:tcPr>
            <w:tcW w:w="799" w:type="pct"/>
            <w:tcBorders>
              <w:top w:val="single" w:sz="4" w:space="0" w:color="auto"/>
              <w:left w:val="nil"/>
              <w:right w:val="single" w:sz="4" w:space="0" w:color="auto"/>
            </w:tcBorders>
            <w:vAlign w:val="center"/>
            <w:hideMark/>
          </w:tcPr>
          <w:p w14:paraId="1A7DA651" w14:textId="77777777" w:rsidR="0059186A" w:rsidRPr="002E75D2" w:rsidRDefault="0059186A" w:rsidP="000E2381">
            <w:pPr>
              <w:pStyle w:val="In-tableHeading"/>
              <w:keepNext w:val="0"/>
              <w:keepLines w:val="0"/>
              <w:jc w:val="center"/>
              <w:rPr>
                <w:color w:val="000000"/>
                <w:szCs w:val="20"/>
                <w:lang w:val="en-AU"/>
              </w:rPr>
            </w:pPr>
            <w:r w:rsidRPr="002E75D2">
              <w:rPr>
                <w:color w:val="000000"/>
                <w:szCs w:val="20"/>
                <w:lang w:val="en-AU"/>
              </w:rPr>
              <w:t>Trial ID</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173C709A" w14:textId="254D5894" w:rsidR="00182A28" w:rsidRPr="002E75D2" w:rsidRDefault="0059186A" w:rsidP="000E2381">
            <w:pPr>
              <w:pStyle w:val="In-tableHeading"/>
              <w:keepNext w:val="0"/>
              <w:keepLines w:val="0"/>
              <w:jc w:val="center"/>
              <w:rPr>
                <w:snapToGrid w:val="0"/>
                <w:color w:val="000000"/>
                <w:szCs w:val="20"/>
                <w:lang w:val="en-AU"/>
              </w:rPr>
            </w:pPr>
            <w:r w:rsidRPr="002E75D2">
              <w:rPr>
                <w:snapToGrid w:val="0"/>
                <w:color w:val="000000"/>
                <w:szCs w:val="20"/>
                <w:lang w:val="en-AU"/>
              </w:rPr>
              <w:t>Delgocitinib</w:t>
            </w:r>
            <w:r w:rsidR="007304E3" w:rsidRPr="002E75D2">
              <w:rPr>
                <w:snapToGrid w:val="0"/>
                <w:color w:val="000000"/>
                <w:szCs w:val="20"/>
                <w:lang w:val="en-AU"/>
              </w:rPr>
              <w:t>,</w:t>
            </w:r>
          </w:p>
          <w:p w14:paraId="6162384E" w14:textId="6CB28245" w:rsidR="0059186A" w:rsidRPr="002E75D2" w:rsidRDefault="0059186A" w:rsidP="000E2381">
            <w:pPr>
              <w:pStyle w:val="In-tableHeading"/>
              <w:keepNext w:val="0"/>
              <w:keepLines w:val="0"/>
              <w:jc w:val="center"/>
              <w:rPr>
                <w:color w:val="000000"/>
                <w:szCs w:val="20"/>
                <w:lang w:val="en-AU"/>
              </w:rPr>
            </w:pPr>
            <w:r w:rsidRPr="002E75D2">
              <w:rPr>
                <w:snapToGrid w:val="0"/>
                <w:color w:val="000000"/>
                <w:szCs w:val="20"/>
                <w:lang w:val="en-AU"/>
              </w:rPr>
              <w:t>n/N (%)</w:t>
            </w:r>
          </w:p>
        </w:tc>
        <w:tc>
          <w:tcPr>
            <w:tcW w:w="798" w:type="pct"/>
            <w:tcBorders>
              <w:top w:val="single" w:sz="4" w:space="0" w:color="auto"/>
              <w:left w:val="single" w:sz="4" w:space="0" w:color="auto"/>
              <w:bottom w:val="single" w:sz="4" w:space="0" w:color="auto"/>
              <w:right w:val="single" w:sz="4" w:space="0" w:color="auto"/>
            </w:tcBorders>
            <w:noWrap/>
            <w:vAlign w:val="center"/>
            <w:hideMark/>
          </w:tcPr>
          <w:p w14:paraId="37341498" w14:textId="08A34172" w:rsidR="00182A28" w:rsidRPr="002E75D2" w:rsidRDefault="00912803" w:rsidP="000E2381">
            <w:pPr>
              <w:pStyle w:val="In-tableHeading"/>
              <w:keepNext w:val="0"/>
              <w:keepLines w:val="0"/>
              <w:jc w:val="center"/>
              <w:rPr>
                <w:szCs w:val="20"/>
                <w:lang w:val="en-AU"/>
              </w:rPr>
            </w:pPr>
            <w:r>
              <w:rPr>
                <w:szCs w:val="20"/>
                <w:lang w:val="en-AU"/>
              </w:rPr>
              <w:t>V</w:t>
            </w:r>
            <w:r w:rsidR="0059186A" w:rsidRPr="002E75D2">
              <w:rPr>
                <w:szCs w:val="20"/>
                <w:lang w:val="en-AU"/>
              </w:rPr>
              <w:t>ehicle</w:t>
            </w:r>
            <w:r w:rsidR="007304E3" w:rsidRPr="002E75D2">
              <w:rPr>
                <w:szCs w:val="20"/>
                <w:lang w:val="en-AU"/>
              </w:rPr>
              <w:t>,</w:t>
            </w:r>
          </w:p>
          <w:p w14:paraId="10170219" w14:textId="04B88E34" w:rsidR="0059186A" w:rsidRPr="002E75D2" w:rsidRDefault="0059186A" w:rsidP="000E2381">
            <w:pPr>
              <w:pStyle w:val="In-tableHeading"/>
              <w:keepNext w:val="0"/>
              <w:keepLines w:val="0"/>
              <w:jc w:val="center"/>
              <w:rPr>
                <w:color w:val="000000"/>
                <w:szCs w:val="20"/>
                <w:lang w:val="en-AU"/>
              </w:rPr>
            </w:pPr>
            <w:r w:rsidRPr="002E75D2">
              <w:rPr>
                <w:snapToGrid w:val="0"/>
                <w:color w:val="000000"/>
                <w:szCs w:val="20"/>
                <w:lang w:val="en-AU"/>
              </w:rPr>
              <w:t>n/N (%)</w:t>
            </w:r>
          </w:p>
        </w:tc>
        <w:tc>
          <w:tcPr>
            <w:tcW w:w="944" w:type="pct"/>
            <w:tcBorders>
              <w:top w:val="single" w:sz="4" w:space="0" w:color="auto"/>
              <w:left w:val="single" w:sz="4" w:space="0" w:color="auto"/>
              <w:bottom w:val="single" w:sz="4" w:space="0" w:color="auto"/>
              <w:right w:val="single" w:sz="4" w:space="0" w:color="auto"/>
            </w:tcBorders>
            <w:noWrap/>
            <w:vAlign w:val="center"/>
            <w:hideMark/>
          </w:tcPr>
          <w:p w14:paraId="5DB832ED" w14:textId="1F7B742D" w:rsidR="0059186A" w:rsidRPr="002E75D2" w:rsidRDefault="0059186A" w:rsidP="000E2381">
            <w:pPr>
              <w:pStyle w:val="In-tableHeading"/>
              <w:keepNext w:val="0"/>
              <w:keepLines w:val="0"/>
              <w:jc w:val="center"/>
              <w:rPr>
                <w:snapToGrid w:val="0"/>
                <w:color w:val="000000"/>
                <w:szCs w:val="20"/>
                <w:lang w:val="en-AU"/>
              </w:rPr>
            </w:pPr>
            <w:r w:rsidRPr="002E75D2">
              <w:rPr>
                <w:snapToGrid w:val="0"/>
                <w:color w:val="000000"/>
                <w:szCs w:val="20"/>
                <w:lang w:val="en-AU"/>
              </w:rPr>
              <w:t>Risk Difference</w:t>
            </w:r>
            <w:r w:rsidR="007304E3" w:rsidRPr="002E75D2">
              <w:rPr>
                <w:snapToGrid w:val="0"/>
                <w:color w:val="000000"/>
                <w:szCs w:val="20"/>
                <w:lang w:val="en-AU"/>
              </w:rPr>
              <w:t>,</w:t>
            </w:r>
          </w:p>
          <w:p w14:paraId="7E8690A0" w14:textId="77777777" w:rsidR="0059186A" w:rsidRPr="002E75D2" w:rsidRDefault="0059186A" w:rsidP="000E2381">
            <w:pPr>
              <w:pStyle w:val="In-tableHeading"/>
              <w:keepNext w:val="0"/>
              <w:keepLines w:val="0"/>
              <w:jc w:val="center"/>
              <w:rPr>
                <w:color w:val="000000"/>
                <w:szCs w:val="20"/>
                <w:lang w:val="en-AU"/>
              </w:rPr>
            </w:pPr>
            <w:r w:rsidRPr="002E75D2">
              <w:rPr>
                <w:snapToGrid w:val="0"/>
                <w:color w:val="000000"/>
                <w:szCs w:val="20"/>
                <w:lang w:val="en-AU"/>
              </w:rPr>
              <w:t>(95% CI)</w:t>
            </w:r>
          </w:p>
        </w:tc>
      </w:tr>
      <w:tr w:rsidR="0059186A" w:rsidRPr="002E75D2" w14:paraId="326B7A8D" w14:textId="77777777" w:rsidTr="00C21DB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3C973C8" w14:textId="77777777" w:rsidR="0059186A" w:rsidRPr="002E75D2" w:rsidRDefault="0059186A" w:rsidP="000E2381">
            <w:pPr>
              <w:pStyle w:val="TableText0"/>
              <w:keepLines w:val="0"/>
              <w:rPr>
                <w:b/>
                <w:bCs w:val="0"/>
              </w:rPr>
            </w:pPr>
            <w:r w:rsidRPr="002E75D2">
              <w:rPr>
                <w:b/>
                <w:bCs w:val="0"/>
              </w:rPr>
              <w:t>Primary outcome (responder)</w:t>
            </w:r>
          </w:p>
        </w:tc>
      </w:tr>
      <w:tr w:rsidR="00182A28" w:rsidRPr="002E75D2" w14:paraId="55D39FBF" w14:textId="77777777" w:rsidTr="00C21DB1">
        <w:trPr>
          <w:trHeight w:val="20"/>
        </w:trPr>
        <w:tc>
          <w:tcPr>
            <w:tcW w:w="1727" w:type="pct"/>
            <w:vMerge w:val="restart"/>
            <w:tcBorders>
              <w:top w:val="nil"/>
              <w:left w:val="single" w:sz="4" w:space="0" w:color="auto"/>
              <w:right w:val="single" w:sz="4" w:space="0" w:color="auto"/>
            </w:tcBorders>
            <w:vAlign w:val="center"/>
            <w:hideMark/>
          </w:tcPr>
          <w:p w14:paraId="60494438" w14:textId="69B7C7B0" w:rsidR="0059186A" w:rsidRPr="002E75D2" w:rsidRDefault="0059186A" w:rsidP="000E2381">
            <w:pPr>
              <w:pStyle w:val="TableText0"/>
              <w:keepLines w:val="0"/>
            </w:pPr>
            <w:r w:rsidRPr="002E75D2">
              <w:t>IGA-CHE TS</w:t>
            </w:r>
            <w:r w:rsidRPr="002E75D2">
              <w:rPr>
                <w:vertAlign w:val="superscript"/>
              </w:rPr>
              <w:t>a</w:t>
            </w:r>
          </w:p>
        </w:tc>
        <w:tc>
          <w:tcPr>
            <w:tcW w:w="799" w:type="pct"/>
            <w:tcBorders>
              <w:top w:val="nil"/>
              <w:left w:val="nil"/>
              <w:bottom w:val="single" w:sz="4" w:space="0" w:color="auto"/>
              <w:right w:val="single" w:sz="4" w:space="0" w:color="auto"/>
            </w:tcBorders>
            <w:vAlign w:val="center"/>
            <w:hideMark/>
          </w:tcPr>
          <w:p w14:paraId="75CAFFBE" w14:textId="77777777" w:rsidR="0059186A" w:rsidRPr="002E75D2" w:rsidRDefault="0059186A" w:rsidP="000E2381">
            <w:pPr>
              <w:pStyle w:val="TableText0"/>
              <w:keepLines w:val="0"/>
              <w:jc w:val="center"/>
            </w:pPr>
            <w:r w:rsidRPr="002E75D2">
              <w:t>DELTA 1</w:t>
            </w:r>
          </w:p>
        </w:tc>
        <w:tc>
          <w:tcPr>
            <w:tcW w:w="732" w:type="pct"/>
            <w:tcBorders>
              <w:top w:val="nil"/>
              <w:left w:val="nil"/>
              <w:bottom w:val="single" w:sz="4" w:space="0" w:color="auto"/>
              <w:right w:val="single" w:sz="4" w:space="0" w:color="auto"/>
            </w:tcBorders>
            <w:hideMark/>
          </w:tcPr>
          <w:p w14:paraId="07C20F58" w14:textId="77777777" w:rsidR="0059186A" w:rsidRPr="002E75D2" w:rsidRDefault="0059186A" w:rsidP="000E2381">
            <w:pPr>
              <w:pStyle w:val="TableText0"/>
              <w:keepLines w:val="0"/>
              <w:jc w:val="center"/>
            </w:pPr>
            <w:r w:rsidRPr="002E75D2">
              <w:t>64/325 (19.7)</w:t>
            </w:r>
          </w:p>
        </w:tc>
        <w:tc>
          <w:tcPr>
            <w:tcW w:w="798" w:type="pct"/>
            <w:tcBorders>
              <w:top w:val="nil"/>
              <w:left w:val="nil"/>
              <w:bottom w:val="single" w:sz="4" w:space="0" w:color="auto"/>
              <w:right w:val="single" w:sz="4" w:space="0" w:color="auto"/>
            </w:tcBorders>
            <w:hideMark/>
          </w:tcPr>
          <w:p w14:paraId="3AD34510" w14:textId="77777777" w:rsidR="0059186A" w:rsidRPr="002E75D2" w:rsidRDefault="0059186A" w:rsidP="000E2381">
            <w:pPr>
              <w:pStyle w:val="TableText0"/>
              <w:keepLines w:val="0"/>
              <w:jc w:val="center"/>
            </w:pPr>
            <w:r w:rsidRPr="002E75D2">
              <w:t>16/162 (9.9)</w:t>
            </w:r>
          </w:p>
        </w:tc>
        <w:tc>
          <w:tcPr>
            <w:tcW w:w="944" w:type="pct"/>
            <w:tcBorders>
              <w:top w:val="nil"/>
              <w:left w:val="nil"/>
              <w:bottom w:val="single" w:sz="4" w:space="0" w:color="auto"/>
              <w:right w:val="single" w:sz="4" w:space="0" w:color="auto"/>
            </w:tcBorders>
            <w:hideMark/>
          </w:tcPr>
          <w:p w14:paraId="560D4317" w14:textId="73040389" w:rsidR="0059186A" w:rsidRPr="002E75D2" w:rsidRDefault="0059186A" w:rsidP="000E2381">
            <w:pPr>
              <w:pStyle w:val="TableText0"/>
              <w:keepLines w:val="0"/>
              <w:jc w:val="center"/>
              <w:rPr>
                <w:b/>
                <w:bCs w:val="0"/>
              </w:rPr>
            </w:pPr>
            <w:r w:rsidRPr="002E75D2">
              <w:rPr>
                <w:b/>
                <w:bCs w:val="0"/>
              </w:rPr>
              <w:t>9.8% (3.6,</w:t>
            </w:r>
            <w:r w:rsidR="0008407B" w:rsidRPr="002E75D2">
              <w:rPr>
                <w:b/>
                <w:bCs w:val="0"/>
              </w:rPr>
              <w:t xml:space="preserve"> </w:t>
            </w:r>
            <w:r w:rsidRPr="002E75D2">
              <w:rPr>
                <w:b/>
                <w:bCs w:val="0"/>
              </w:rPr>
              <w:t>16.1)</w:t>
            </w:r>
          </w:p>
        </w:tc>
      </w:tr>
      <w:tr w:rsidR="00182A28" w:rsidRPr="002E75D2" w14:paraId="05561107" w14:textId="77777777" w:rsidTr="00C21DB1">
        <w:trPr>
          <w:trHeight w:val="20"/>
        </w:trPr>
        <w:tc>
          <w:tcPr>
            <w:tcW w:w="1727" w:type="pct"/>
            <w:vMerge/>
            <w:tcBorders>
              <w:left w:val="single" w:sz="4" w:space="0" w:color="auto"/>
              <w:right w:val="single" w:sz="4" w:space="0" w:color="auto"/>
            </w:tcBorders>
            <w:vAlign w:val="center"/>
            <w:hideMark/>
          </w:tcPr>
          <w:p w14:paraId="32A44CC9" w14:textId="77777777" w:rsidR="0059186A" w:rsidRPr="002E75D2" w:rsidRDefault="0059186A" w:rsidP="000E2381">
            <w:pPr>
              <w:pStyle w:val="TableText0"/>
              <w:keepLines w:val="0"/>
            </w:pPr>
          </w:p>
        </w:tc>
        <w:tc>
          <w:tcPr>
            <w:tcW w:w="799" w:type="pct"/>
            <w:tcBorders>
              <w:top w:val="nil"/>
              <w:left w:val="nil"/>
              <w:bottom w:val="single" w:sz="4" w:space="0" w:color="auto"/>
              <w:right w:val="single" w:sz="4" w:space="0" w:color="auto"/>
            </w:tcBorders>
            <w:vAlign w:val="center"/>
            <w:hideMark/>
          </w:tcPr>
          <w:p w14:paraId="64229229" w14:textId="77777777" w:rsidR="0059186A" w:rsidRPr="002E75D2" w:rsidRDefault="0059186A" w:rsidP="000E2381">
            <w:pPr>
              <w:pStyle w:val="TableText0"/>
              <w:keepLines w:val="0"/>
              <w:jc w:val="center"/>
            </w:pPr>
            <w:r w:rsidRPr="002E75D2">
              <w:t>DELTA 2</w:t>
            </w:r>
          </w:p>
        </w:tc>
        <w:tc>
          <w:tcPr>
            <w:tcW w:w="732" w:type="pct"/>
            <w:tcBorders>
              <w:top w:val="nil"/>
              <w:left w:val="nil"/>
              <w:bottom w:val="single" w:sz="4" w:space="0" w:color="auto"/>
              <w:right w:val="single" w:sz="4" w:space="0" w:color="auto"/>
            </w:tcBorders>
            <w:hideMark/>
          </w:tcPr>
          <w:p w14:paraId="1D4E1240" w14:textId="23EF51DC" w:rsidR="0059186A" w:rsidRPr="002E75D2" w:rsidRDefault="0059186A" w:rsidP="000E2381">
            <w:pPr>
              <w:pStyle w:val="TableText0"/>
              <w:keepLines w:val="0"/>
              <w:jc w:val="center"/>
            </w:pPr>
            <w:r w:rsidRPr="002E75D2">
              <w:t>91/313 (29</w:t>
            </w:r>
            <w:r w:rsidR="000A2413" w:rsidRPr="002E75D2">
              <w:t>.</w:t>
            </w:r>
            <w:r w:rsidRPr="002E75D2">
              <w:t>1)</w:t>
            </w:r>
          </w:p>
        </w:tc>
        <w:tc>
          <w:tcPr>
            <w:tcW w:w="798" w:type="pct"/>
            <w:tcBorders>
              <w:top w:val="nil"/>
              <w:left w:val="nil"/>
              <w:bottom w:val="single" w:sz="4" w:space="0" w:color="auto"/>
              <w:right w:val="single" w:sz="4" w:space="0" w:color="auto"/>
            </w:tcBorders>
            <w:hideMark/>
          </w:tcPr>
          <w:p w14:paraId="571EF58B" w14:textId="2F242B22" w:rsidR="0059186A" w:rsidRPr="002E75D2" w:rsidRDefault="0059186A" w:rsidP="000E2381">
            <w:pPr>
              <w:pStyle w:val="TableText0"/>
              <w:keepLines w:val="0"/>
              <w:jc w:val="center"/>
            </w:pPr>
            <w:r w:rsidRPr="002E75D2">
              <w:t>11/159 (6</w:t>
            </w:r>
            <w:r w:rsidR="000A2413" w:rsidRPr="002E75D2">
              <w:t>.</w:t>
            </w:r>
            <w:r w:rsidRPr="002E75D2">
              <w:t>9)</w:t>
            </w:r>
          </w:p>
        </w:tc>
        <w:tc>
          <w:tcPr>
            <w:tcW w:w="944" w:type="pct"/>
            <w:tcBorders>
              <w:top w:val="nil"/>
              <w:left w:val="nil"/>
              <w:bottom w:val="single" w:sz="4" w:space="0" w:color="auto"/>
              <w:right w:val="single" w:sz="4" w:space="0" w:color="auto"/>
            </w:tcBorders>
            <w:hideMark/>
          </w:tcPr>
          <w:p w14:paraId="59BEBC99" w14:textId="1189B849" w:rsidR="0059186A" w:rsidRPr="002E75D2" w:rsidRDefault="0059186A" w:rsidP="000E2381">
            <w:pPr>
              <w:pStyle w:val="TableText0"/>
              <w:keepLines w:val="0"/>
              <w:jc w:val="center"/>
              <w:rPr>
                <w:b/>
                <w:bCs w:val="0"/>
              </w:rPr>
            </w:pPr>
            <w:r w:rsidRPr="002E75D2">
              <w:rPr>
                <w:b/>
                <w:bCs w:val="0"/>
              </w:rPr>
              <w:t>22</w:t>
            </w:r>
            <w:r w:rsidR="00211DBE" w:rsidRPr="002E75D2">
              <w:rPr>
                <w:b/>
                <w:bCs w:val="0"/>
              </w:rPr>
              <w:t>.</w:t>
            </w:r>
            <w:r w:rsidRPr="002E75D2">
              <w:rPr>
                <w:b/>
                <w:bCs w:val="0"/>
              </w:rPr>
              <w:t>2% (15</w:t>
            </w:r>
            <w:r w:rsidR="00211DBE" w:rsidRPr="002E75D2">
              <w:rPr>
                <w:b/>
                <w:bCs w:val="0"/>
              </w:rPr>
              <w:t>.</w:t>
            </w:r>
            <w:r w:rsidRPr="002E75D2">
              <w:rPr>
                <w:b/>
                <w:bCs w:val="0"/>
              </w:rPr>
              <w:t>8,</w:t>
            </w:r>
            <w:r w:rsidR="00211DBE" w:rsidRPr="002E75D2">
              <w:rPr>
                <w:b/>
                <w:bCs w:val="0"/>
              </w:rPr>
              <w:t xml:space="preserve"> </w:t>
            </w:r>
            <w:r w:rsidRPr="002E75D2">
              <w:rPr>
                <w:b/>
                <w:bCs w:val="0"/>
              </w:rPr>
              <w:t>28</w:t>
            </w:r>
            <w:r w:rsidR="00211DBE" w:rsidRPr="002E75D2">
              <w:rPr>
                <w:b/>
                <w:bCs w:val="0"/>
              </w:rPr>
              <w:t>.</w:t>
            </w:r>
            <w:r w:rsidRPr="002E75D2">
              <w:rPr>
                <w:b/>
                <w:bCs w:val="0"/>
              </w:rPr>
              <w:t>5)</w:t>
            </w:r>
          </w:p>
        </w:tc>
      </w:tr>
      <w:tr w:rsidR="00182A28" w:rsidRPr="002E75D2" w14:paraId="6586A8D9" w14:textId="77777777" w:rsidTr="00C21DB1">
        <w:trPr>
          <w:trHeight w:val="20"/>
        </w:trPr>
        <w:tc>
          <w:tcPr>
            <w:tcW w:w="1727" w:type="pct"/>
            <w:vMerge/>
            <w:tcBorders>
              <w:left w:val="single" w:sz="4" w:space="0" w:color="auto"/>
              <w:bottom w:val="single" w:sz="4" w:space="0" w:color="auto"/>
              <w:right w:val="single" w:sz="4" w:space="0" w:color="auto"/>
            </w:tcBorders>
            <w:vAlign w:val="center"/>
          </w:tcPr>
          <w:p w14:paraId="51D7EC0B" w14:textId="77777777" w:rsidR="0059186A" w:rsidRPr="002E75D2" w:rsidRDefault="0059186A" w:rsidP="000E2381">
            <w:pPr>
              <w:pStyle w:val="TableText0"/>
              <w:keepLines w:val="0"/>
            </w:pPr>
          </w:p>
        </w:tc>
        <w:tc>
          <w:tcPr>
            <w:tcW w:w="799" w:type="pct"/>
            <w:tcBorders>
              <w:top w:val="nil"/>
              <w:left w:val="nil"/>
              <w:bottom w:val="single" w:sz="4" w:space="0" w:color="auto"/>
              <w:right w:val="single" w:sz="4" w:space="0" w:color="auto"/>
            </w:tcBorders>
            <w:vAlign w:val="center"/>
          </w:tcPr>
          <w:p w14:paraId="63874C2B" w14:textId="29FED7ED" w:rsidR="0059186A" w:rsidRPr="002E75D2" w:rsidRDefault="0059186A" w:rsidP="000E2381">
            <w:pPr>
              <w:pStyle w:val="TableText0"/>
              <w:keepLines w:val="0"/>
              <w:jc w:val="center"/>
            </w:pPr>
            <w:r w:rsidRPr="002E75D2">
              <w:t xml:space="preserve">Pooled </w:t>
            </w:r>
            <w:r w:rsidR="005969B3" w:rsidRPr="002E75D2">
              <w:br/>
            </w:r>
            <w:r w:rsidRPr="002E75D2">
              <w:t>DELTA 1 and 2</w:t>
            </w:r>
          </w:p>
        </w:tc>
        <w:tc>
          <w:tcPr>
            <w:tcW w:w="732" w:type="pct"/>
            <w:tcBorders>
              <w:top w:val="nil"/>
              <w:left w:val="nil"/>
              <w:bottom w:val="single" w:sz="4" w:space="0" w:color="auto"/>
              <w:right w:val="single" w:sz="4" w:space="0" w:color="auto"/>
            </w:tcBorders>
            <w:vAlign w:val="center"/>
          </w:tcPr>
          <w:p w14:paraId="5881F638" w14:textId="77777777" w:rsidR="0059186A" w:rsidRPr="002E75D2" w:rsidRDefault="0059186A" w:rsidP="000E2381">
            <w:pPr>
              <w:pStyle w:val="TableText0"/>
              <w:keepLines w:val="0"/>
              <w:jc w:val="center"/>
              <w:rPr>
                <w:color w:val="000000"/>
              </w:rPr>
            </w:pPr>
            <w:r w:rsidRPr="002E75D2">
              <w:t>155/638 (24.3)</w:t>
            </w:r>
          </w:p>
        </w:tc>
        <w:tc>
          <w:tcPr>
            <w:tcW w:w="798" w:type="pct"/>
            <w:tcBorders>
              <w:top w:val="nil"/>
              <w:left w:val="nil"/>
              <w:bottom w:val="single" w:sz="4" w:space="0" w:color="auto"/>
              <w:right w:val="single" w:sz="4" w:space="0" w:color="auto"/>
            </w:tcBorders>
            <w:vAlign w:val="center"/>
          </w:tcPr>
          <w:p w14:paraId="0CCFB211" w14:textId="77777777" w:rsidR="0059186A" w:rsidRPr="002E75D2" w:rsidRDefault="0059186A" w:rsidP="000E2381">
            <w:pPr>
              <w:pStyle w:val="TableText0"/>
              <w:keepLines w:val="0"/>
              <w:jc w:val="center"/>
              <w:rPr>
                <w:color w:val="000000"/>
              </w:rPr>
            </w:pPr>
            <w:r w:rsidRPr="002E75D2">
              <w:t>27/321 (8.4)</w:t>
            </w:r>
          </w:p>
        </w:tc>
        <w:tc>
          <w:tcPr>
            <w:tcW w:w="944" w:type="pct"/>
            <w:tcBorders>
              <w:top w:val="nil"/>
              <w:left w:val="nil"/>
              <w:bottom w:val="single" w:sz="4" w:space="0" w:color="auto"/>
              <w:right w:val="single" w:sz="4" w:space="0" w:color="auto"/>
            </w:tcBorders>
            <w:vAlign w:val="center"/>
          </w:tcPr>
          <w:p w14:paraId="16EEE2FC" w14:textId="77777777" w:rsidR="0059186A" w:rsidRPr="002E75D2" w:rsidRDefault="0059186A" w:rsidP="000E2381">
            <w:pPr>
              <w:pStyle w:val="TableText0"/>
              <w:keepLines w:val="0"/>
              <w:jc w:val="center"/>
              <w:rPr>
                <w:b/>
                <w:bCs w:val="0"/>
              </w:rPr>
            </w:pPr>
            <w:r w:rsidRPr="002E75D2">
              <w:rPr>
                <w:b/>
                <w:bCs w:val="0"/>
              </w:rPr>
              <w:t>15.9% (11.4, 20.4)</w:t>
            </w:r>
          </w:p>
        </w:tc>
      </w:tr>
      <w:tr w:rsidR="0059186A" w:rsidRPr="002E75D2" w14:paraId="327F61D1" w14:textId="77777777" w:rsidTr="00C21DB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A087BB9" w14:textId="4FDBAEFD" w:rsidR="0059186A" w:rsidRPr="002E75D2" w:rsidRDefault="0059186A" w:rsidP="000E2381">
            <w:pPr>
              <w:pStyle w:val="TableText0"/>
              <w:keepLines w:val="0"/>
              <w:rPr>
                <w:b/>
                <w:bCs w:val="0"/>
              </w:rPr>
            </w:pPr>
            <w:r w:rsidRPr="002E75D2">
              <w:rPr>
                <w:b/>
                <w:bCs w:val="0"/>
              </w:rPr>
              <w:t>Key Secondary outcomes (categorical)</w:t>
            </w:r>
          </w:p>
        </w:tc>
      </w:tr>
      <w:tr w:rsidR="00182A28" w:rsidRPr="002E75D2" w14:paraId="7C2AEEF8" w14:textId="77777777" w:rsidTr="00C21DB1">
        <w:trPr>
          <w:trHeight w:val="20"/>
        </w:trPr>
        <w:tc>
          <w:tcPr>
            <w:tcW w:w="1727" w:type="pct"/>
            <w:vMerge w:val="restart"/>
            <w:tcBorders>
              <w:top w:val="nil"/>
              <w:left w:val="single" w:sz="4" w:space="0" w:color="auto"/>
              <w:bottom w:val="single" w:sz="4" w:space="0" w:color="auto"/>
              <w:right w:val="single" w:sz="4" w:space="0" w:color="auto"/>
            </w:tcBorders>
            <w:vAlign w:val="center"/>
            <w:hideMark/>
          </w:tcPr>
          <w:p w14:paraId="028D7489" w14:textId="4A74A346" w:rsidR="0059186A" w:rsidRPr="002E75D2" w:rsidRDefault="0059186A" w:rsidP="000E2381">
            <w:pPr>
              <w:pStyle w:val="TableText0"/>
              <w:keepLines w:val="0"/>
            </w:pPr>
            <w:r w:rsidRPr="002E75D2">
              <w:t xml:space="preserve">HECSI-75 </w:t>
            </w:r>
          </w:p>
        </w:tc>
        <w:tc>
          <w:tcPr>
            <w:tcW w:w="799" w:type="pct"/>
            <w:tcBorders>
              <w:top w:val="single" w:sz="4" w:space="0" w:color="auto"/>
              <w:left w:val="nil"/>
              <w:bottom w:val="single" w:sz="4" w:space="0" w:color="auto"/>
              <w:right w:val="single" w:sz="4" w:space="0" w:color="auto"/>
            </w:tcBorders>
            <w:vAlign w:val="center"/>
            <w:hideMark/>
          </w:tcPr>
          <w:p w14:paraId="07BC5B47" w14:textId="77777777" w:rsidR="0059186A" w:rsidRPr="002E75D2" w:rsidRDefault="0059186A" w:rsidP="000E2381">
            <w:pPr>
              <w:pStyle w:val="TableText0"/>
              <w:keepLines w:val="0"/>
              <w:jc w:val="center"/>
            </w:pPr>
            <w:r w:rsidRPr="002E75D2">
              <w:t>DELTA 1</w:t>
            </w:r>
          </w:p>
        </w:tc>
        <w:tc>
          <w:tcPr>
            <w:tcW w:w="732" w:type="pct"/>
            <w:tcBorders>
              <w:top w:val="single" w:sz="4" w:space="0" w:color="auto"/>
              <w:left w:val="nil"/>
              <w:bottom w:val="single" w:sz="4" w:space="0" w:color="auto"/>
              <w:right w:val="single" w:sz="4" w:space="0" w:color="auto"/>
            </w:tcBorders>
            <w:hideMark/>
          </w:tcPr>
          <w:p w14:paraId="60066C6A" w14:textId="2E6CD6C5" w:rsidR="0059186A" w:rsidRPr="002E75D2" w:rsidRDefault="0059186A" w:rsidP="000E2381">
            <w:pPr>
              <w:pStyle w:val="TableText0"/>
              <w:keepLines w:val="0"/>
              <w:jc w:val="center"/>
            </w:pPr>
            <w:r w:rsidRPr="002E75D2">
              <w:t>160/325</w:t>
            </w:r>
            <w:r w:rsidR="00F33CA6" w:rsidRPr="002E75D2">
              <w:t xml:space="preserve"> </w:t>
            </w:r>
            <w:r w:rsidRPr="002E75D2">
              <w:t>(49.2)</w:t>
            </w:r>
          </w:p>
        </w:tc>
        <w:tc>
          <w:tcPr>
            <w:tcW w:w="798" w:type="pct"/>
            <w:tcBorders>
              <w:top w:val="single" w:sz="4" w:space="0" w:color="auto"/>
              <w:left w:val="nil"/>
              <w:bottom w:val="single" w:sz="4" w:space="0" w:color="auto"/>
              <w:right w:val="single" w:sz="4" w:space="0" w:color="auto"/>
            </w:tcBorders>
            <w:hideMark/>
          </w:tcPr>
          <w:p w14:paraId="717A0320" w14:textId="3A0FFBD6" w:rsidR="0059186A" w:rsidRPr="002E75D2" w:rsidRDefault="0059186A" w:rsidP="000E2381">
            <w:pPr>
              <w:pStyle w:val="TableText0"/>
              <w:keepLines w:val="0"/>
              <w:jc w:val="center"/>
            </w:pPr>
            <w:r w:rsidRPr="002E75D2">
              <w:t>38/162</w:t>
            </w:r>
            <w:r w:rsidR="00F33CA6" w:rsidRPr="002E75D2">
              <w:t xml:space="preserve"> </w:t>
            </w:r>
            <w:r w:rsidRPr="002E75D2">
              <w:t>(23.5)</w:t>
            </w:r>
          </w:p>
        </w:tc>
        <w:tc>
          <w:tcPr>
            <w:tcW w:w="944" w:type="pct"/>
            <w:tcBorders>
              <w:top w:val="single" w:sz="4" w:space="0" w:color="auto"/>
              <w:left w:val="nil"/>
              <w:bottom w:val="single" w:sz="4" w:space="0" w:color="auto"/>
              <w:right w:val="single" w:sz="4" w:space="0" w:color="auto"/>
            </w:tcBorders>
            <w:vAlign w:val="center"/>
            <w:hideMark/>
          </w:tcPr>
          <w:p w14:paraId="70D6D15E" w14:textId="02545605" w:rsidR="0059186A" w:rsidRPr="002E75D2" w:rsidRDefault="0059186A" w:rsidP="000E2381">
            <w:pPr>
              <w:pStyle w:val="TableText0"/>
              <w:keepLines w:val="0"/>
              <w:jc w:val="center"/>
              <w:rPr>
                <w:b/>
                <w:bCs w:val="0"/>
              </w:rPr>
            </w:pPr>
            <w:r w:rsidRPr="002E75D2">
              <w:rPr>
                <w:b/>
                <w:bCs w:val="0"/>
              </w:rPr>
              <w:t>25.7% (17.2,</w:t>
            </w:r>
            <w:r w:rsidR="0008407B" w:rsidRPr="002E75D2">
              <w:rPr>
                <w:b/>
                <w:bCs w:val="0"/>
              </w:rPr>
              <w:t xml:space="preserve"> </w:t>
            </w:r>
            <w:r w:rsidRPr="002E75D2">
              <w:rPr>
                <w:b/>
                <w:bCs w:val="0"/>
              </w:rPr>
              <w:t>34.3)</w:t>
            </w:r>
          </w:p>
        </w:tc>
      </w:tr>
      <w:tr w:rsidR="00182A28" w:rsidRPr="002E75D2" w14:paraId="3D7C6C4C" w14:textId="77777777" w:rsidTr="00C21DB1">
        <w:trPr>
          <w:trHeight w:val="20"/>
        </w:trPr>
        <w:tc>
          <w:tcPr>
            <w:tcW w:w="1727" w:type="pct"/>
            <w:vMerge/>
            <w:tcBorders>
              <w:top w:val="nil"/>
              <w:left w:val="single" w:sz="4" w:space="0" w:color="auto"/>
              <w:bottom w:val="single" w:sz="4" w:space="0" w:color="auto"/>
              <w:right w:val="single" w:sz="4" w:space="0" w:color="auto"/>
            </w:tcBorders>
            <w:vAlign w:val="center"/>
            <w:hideMark/>
          </w:tcPr>
          <w:p w14:paraId="161E889F" w14:textId="77777777" w:rsidR="0059186A" w:rsidRPr="002E75D2" w:rsidRDefault="0059186A" w:rsidP="000E2381">
            <w:pPr>
              <w:pStyle w:val="TableText0"/>
              <w:keepLines w:val="0"/>
            </w:pPr>
          </w:p>
        </w:tc>
        <w:tc>
          <w:tcPr>
            <w:tcW w:w="799" w:type="pct"/>
            <w:tcBorders>
              <w:top w:val="single" w:sz="4" w:space="0" w:color="auto"/>
              <w:left w:val="nil"/>
              <w:bottom w:val="single" w:sz="4" w:space="0" w:color="auto"/>
              <w:right w:val="single" w:sz="4" w:space="0" w:color="auto"/>
            </w:tcBorders>
            <w:vAlign w:val="center"/>
            <w:hideMark/>
          </w:tcPr>
          <w:p w14:paraId="2C6BFE3A" w14:textId="77777777" w:rsidR="0059186A" w:rsidRPr="002E75D2" w:rsidRDefault="0059186A" w:rsidP="000E2381">
            <w:pPr>
              <w:pStyle w:val="TableText0"/>
              <w:keepLines w:val="0"/>
              <w:jc w:val="center"/>
            </w:pPr>
            <w:r w:rsidRPr="002E75D2">
              <w:t>DELTA 2</w:t>
            </w:r>
          </w:p>
        </w:tc>
        <w:tc>
          <w:tcPr>
            <w:tcW w:w="732" w:type="pct"/>
            <w:tcBorders>
              <w:top w:val="single" w:sz="4" w:space="0" w:color="auto"/>
              <w:left w:val="nil"/>
              <w:bottom w:val="single" w:sz="4" w:space="0" w:color="auto"/>
              <w:right w:val="single" w:sz="4" w:space="0" w:color="auto"/>
            </w:tcBorders>
            <w:hideMark/>
          </w:tcPr>
          <w:p w14:paraId="4604AEF7" w14:textId="77777777" w:rsidR="0059186A" w:rsidRPr="002E75D2" w:rsidRDefault="0059186A" w:rsidP="000E2381">
            <w:pPr>
              <w:pStyle w:val="TableText0"/>
              <w:keepLines w:val="0"/>
              <w:jc w:val="center"/>
            </w:pPr>
            <w:r w:rsidRPr="002E75D2">
              <w:t>155/313 (49.5)</w:t>
            </w:r>
          </w:p>
        </w:tc>
        <w:tc>
          <w:tcPr>
            <w:tcW w:w="798" w:type="pct"/>
            <w:tcBorders>
              <w:top w:val="single" w:sz="4" w:space="0" w:color="auto"/>
              <w:left w:val="nil"/>
              <w:bottom w:val="single" w:sz="4" w:space="0" w:color="auto"/>
              <w:right w:val="single" w:sz="4" w:space="0" w:color="auto"/>
            </w:tcBorders>
            <w:hideMark/>
          </w:tcPr>
          <w:p w14:paraId="3CB926E7" w14:textId="77777777" w:rsidR="0059186A" w:rsidRPr="002E75D2" w:rsidRDefault="0059186A" w:rsidP="000E2381">
            <w:pPr>
              <w:pStyle w:val="TableText0"/>
              <w:keepLines w:val="0"/>
              <w:jc w:val="center"/>
            </w:pPr>
            <w:r w:rsidRPr="002E75D2">
              <w:t>29/159 (18.2)</w:t>
            </w:r>
          </w:p>
        </w:tc>
        <w:tc>
          <w:tcPr>
            <w:tcW w:w="944" w:type="pct"/>
            <w:tcBorders>
              <w:top w:val="single" w:sz="4" w:space="0" w:color="auto"/>
              <w:left w:val="nil"/>
              <w:bottom w:val="single" w:sz="4" w:space="0" w:color="auto"/>
              <w:right w:val="single" w:sz="4" w:space="0" w:color="auto"/>
            </w:tcBorders>
            <w:vAlign w:val="center"/>
            <w:hideMark/>
          </w:tcPr>
          <w:p w14:paraId="26163859" w14:textId="49665099" w:rsidR="0059186A" w:rsidRPr="002E75D2" w:rsidRDefault="0059186A" w:rsidP="000E2381">
            <w:pPr>
              <w:pStyle w:val="TableText0"/>
              <w:keepLines w:val="0"/>
              <w:jc w:val="center"/>
              <w:rPr>
                <w:b/>
                <w:bCs w:val="0"/>
              </w:rPr>
            </w:pPr>
            <w:r w:rsidRPr="002E75D2">
              <w:rPr>
                <w:b/>
                <w:bCs w:val="0"/>
              </w:rPr>
              <w:t>31.3% (23.1,</w:t>
            </w:r>
            <w:r w:rsidR="0008407B" w:rsidRPr="002E75D2">
              <w:rPr>
                <w:b/>
                <w:bCs w:val="0"/>
              </w:rPr>
              <w:t xml:space="preserve"> </w:t>
            </w:r>
            <w:r w:rsidRPr="002E75D2">
              <w:rPr>
                <w:b/>
                <w:bCs w:val="0"/>
              </w:rPr>
              <w:t>39.5)</w:t>
            </w:r>
          </w:p>
        </w:tc>
      </w:tr>
      <w:tr w:rsidR="00182A28" w:rsidRPr="002E75D2" w14:paraId="106E0554" w14:textId="77777777" w:rsidTr="00C21DB1">
        <w:trPr>
          <w:trHeight w:val="20"/>
        </w:trPr>
        <w:tc>
          <w:tcPr>
            <w:tcW w:w="1727" w:type="pct"/>
            <w:vMerge w:val="restart"/>
            <w:tcBorders>
              <w:top w:val="nil"/>
              <w:left w:val="single" w:sz="4" w:space="0" w:color="auto"/>
              <w:bottom w:val="single" w:sz="4" w:space="0" w:color="auto"/>
              <w:right w:val="single" w:sz="4" w:space="0" w:color="auto"/>
            </w:tcBorders>
            <w:vAlign w:val="center"/>
            <w:hideMark/>
          </w:tcPr>
          <w:p w14:paraId="067C021A" w14:textId="77A88353" w:rsidR="0059186A" w:rsidRPr="002E75D2" w:rsidRDefault="0059186A" w:rsidP="000E2381">
            <w:pPr>
              <w:pStyle w:val="TableText0"/>
              <w:keepLines w:val="0"/>
            </w:pPr>
            <w:r w:rsidRPr="002E75D2">
              <w:t xml:space="preserve">HECSI-90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E694D3A" w14:textId="77777777" w:rsidR="0059186A" w:rsidRPr="002E75D2" w:rsidRDefault="0059186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hideMark/>
          </w:tcPr>
          <w:p w14:paraId="08C4833D" w14:textId="49FB7CCA" w:rsidR="0059186A" w:rsidRPr="002E75D2" w:rsidRDefault="0059186A" w:rsidP="000E2381">
            <w:pPr>
              <w:pStyle w:val="TableText0"/>
              <w:keepLines w:val="0"/>
              <w:jc w:val="center"/>
            </w:pPr>
            <w:r w:rsidRPr="002E75D2">
              <w:t>96/325</w:t>
            </w:r>
            <w:r w:rsidR="00F33CA6" w:rsidRPr="002E75D2">
              <w:t xml:space="preserve"> </w:t>
            </w:r>
            <w:r w:rsidRPr="002E75D2">
              <w:t>(29.5)</w:t>
            </w:r>
          </w:p>
        </w:tc>
        <w:tc>
          <w:tcPr>
            <w:tcW w:w="798" w:type="pct"/>
            <w:tcBorders>
              <w:top w:val="single" w:sz="4" w:space="0" w:color="auto"/>
              <w:left w:val="nil"/>
              <w:bottom w:val="single" w:sz="4" w:space="0" w:color="auto"/>
              <w:right w:val="single" w:sz="4" w:space="0" w:color="auto"/>
            </w:tcBorders>
            <w:hideMark/>
          </w:tcPr>
          <w:p w14:paraId="75EB747A" w14:textId="23B08E85" w:rsidR="0059186A" w:rsidRPr="002E75D2" w:rsidRDefault="0059186A" w:rsidP="000E2381">
            <w:pPr>
              <w:pStyle w:val="TableText0"/>
              <w:keepLines w:val="0"/>
              <w:jc w:val="center"/>
            </w:pPr>
            <w:r w:rsidRPr="002E75D2">
              <w:t>20/162</w:t>
            </w:r>
            <w:r w:rsidR="00F33CA6" w:rsidRPr="002E75D2">
              <w:t xml:space="preserve"> </w:t>
            </w:r>
            <w:r w:rsidRPr="002E75D2">
              <w:t>(12.3)</w:t>
            </w:r>
          </w:p>
        </w:tc>
        <w:tc>
          <w:tcPr>
            <w:tcW w:w="944" w:type="pct"/>
            <w:tcBorders>
              <w:top w:val="single" w:sz="4" w:space="0" w:color="auto"/>
              <w:left w:val="nil"/>
              <w:bottom w:val="single" w:sz="4" w:space="0" w:color="auto"/>
              <w:right w:val="single" w:sz="4" w:space="0" w:color="auto"/>
            </w:tcBorders>
            <w:vAlign w:val="center"/>
            <w:hideMark/>
          </w:tcPr>
          <w:p w14:paraId="64E06ACC" w14:textId="30BB3964" w:rsidR="0059186A" w:rsidRPr="002E75D2" w:rsidRDefault="0059186A" w:rsidP="000E2381">
            <w:pPr>
              <w:pStyle w:val="TableText0"/>
              <w:keepLines w:val="0"/>
              <w:jc w:val="center"/>
              <w:rPr>
                <w:b/>
                <w:bCs w:val="0"/>
              </w:rPr>
            </w:pPr>
            <w:r w:rsidRPr="002E75D2">
              <w:rPr>
                <w:b/>
                <w:bCs w:val="0"/>
              </w:rPr>
              <w:t>17.2% (10.1,</w:t>
            </w:r>
            <w:r w:rsidR="0008407B" w:rsidRPr="002E75D2">
              <w:rPr>
                <w:b/>
                <w:bCs w:val="0"/>
              </w:rPr>
              <w:t xml:space="preserve"> </w:t>
            </w:r>
            <w:r w:rsidRPr="002E75D2">
              <w:rPr>
                <w:b/>
                <w:bCs w:val="0"/>
              </w:rPr>
              <w:t>24.3)</w:t>
            </w:r>
          </w:p>
        </w:tc>
      </w:tr>
      <w:tr w:rsidR="00182A28" w:rsidRPr="002E75D2" w14:paraId="5C6DE52A" w14:textId="77777777" w:rsidTr="00C21DB1">
        <w:trPr>
          <w:trHeight w:val="20"/>
        </w:trPr>
        <w:tc>
          <w:tcPr>
            <w:tcW w:w="1727" w:type="pct"/>
            <w:vMerge/>
            <w:tcBorders>
              <w:top w:val="nil"/>
              <w:left w:val="single" w:sz="4" w:space="0" w:color="auto"/>
              <w:bottom w:val="single" w:sz="4" w:space="0" w:color="auto"/>
              <w:right w:val="single" w:sz="4" w:space="0" w:color="auto"/>
            </w:tcBorders>
            <w:vAlign w:val="center"/>
            <w:hideMark/>
          </w:tcPr>
          <w:p w14:paraId="67CF2C99" w14:textId="77777777" w:rsidR="0059186A" w:rsidRPr="002E75D2" w:rsidRDefault="0059186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hideMark/>
          </w:tcPr>
          <w:p w14:paraId="11EED58F" w14:textId="77777777" w:rsidR="0059186A" w:rsidRPr="002E75D2" w:rsidRDefault="0059186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hideMark/>
          </w:tcPr>
          <w:p w14:paraId="1283789D" w14:textId="77777777" w:rsidR="0059186A" w:rsidRPr="002E75D2" w:rsidRDefault="0059186A" w:rsidP="000E2381">
            <w:pPr>
              <w:pStyle w:val="TableText0"/>
              <w:keepLines w:val="0"/>
              <w:jc w:val="center"/>
            </w:pPr>
            <w:r w:rsidRPr="002E75D2">
              <w:t>97/313 (31.0)</w:t>
            </w:r>
          </w:p>
        </w:tc>
        <w:tc>
          <w:tcPr>
            <w:tcW w:w="798" w:type="pct"/>
            <w:tcBorders>
              <w:top w:val="single" w:sz="4" w:space="0" w:color="auto"/>
              <w:left w:val="nil"/>
              <w:bottom w:val="single" w:sz="4" w:space="0" w:color="auto"/>
              <w:right w:val="single" w:sz="4" w:space="0" w:color="auto"/>
            </w:tcBorders>
            <w:hideMark/>
          </w:tcPr>
          <w:p w14:paraId="58B6D236" w14:textId="77777777" w:rsidR="0059186A" w:rsidRPr="002E75D2" w:rsidRDefault="0059186A" w:rsidP="000E2381">
            <w:pPr>
              <w:pStyle w:val="TableText0"/>
              <w:keepLines w:val="0"/>
              <w:jc w:val="center"/>
            </w:pPr>
            <w:r w:rsidRPr="002E75D2">
              <w:t>14/159 (8.8)</w:t>
            </w:r>
          </w:p>
        </w:tc>
        <w:tc>
          <w:tcPr>
            <w:tcW w:w="944" w:type="pct"/>
            <w:tcBorders>
              <w:top w:val="single" w:sz="4" w:space="0" w:color="auto"/>
              <w:left w:val="nil"/>
              <w:bottom w:val="single" w:sz="4" w:space="0" w:color="auto"/>
              <w:right w:val="single" w:sz="4" w:space="0" w:color="auto"/>
            </w:tcBorders>
            <w:vAlign w:val="center"/>
            <w:hideMark/>
          </w:tcPr>
          <w:p w14:paraId="78AB3DC7" w14:textId="436C0886" w:rsidR="0059186A" w:rsidRPr="002E75D2" w:rsidRDefault="0059186A" w:rsidP="000E2381">
            <w:pPr>
              <w:pStyle w:val="TableText0"/>
              <w:keepLines w:val="0"/>
              <w:jc w:val="center"/>
              <w:rPr>
                <w:b/>
                <w:bCs w:val="0"/>
              </w:rPr>
            </w:pPr>
            <w:r w:rsidRPr="002E75D2">
              <w:rPr>
                <w:b/>
                <w:bCs w:val="0"/>
              </w:rPr>
              <w:t>22.2% (15.4,</w:t>
            </w:r>
            <w:r w:rsidR="0008407B" w:rsidRPr="002E75D2">
              <w:rPr>
                <w:b/>
                <w:bCs w:val="0"/>
              </w:rPr>
              <w:t xml:space="preserve"> </w:t>
            </w:r>
            <w:r w:rsidRPr="002E75D2">
              <w:rPr>
                <w:b/>
                <w:bCs w:val="0"/>
              </w:rPr>
              <w:t>29.0)</w:t>
            </w:r>
          </w:p>
        </w:tc>
      </w:tr>
      <w:tr w:rsidR="00182A28" w:rsidRPr="002E75D2" w14:paraId="6E215C86" w14:textId="77777777" w:rsidTr="00C21DB1">
        <w:trPr>
          <w:trHeight w:val="20"/>
        </w:trPr>
        <w:tc>
          <w:tcPr>
            <w:tcW w:w="1727" w:type="pct"/>
            <w:vMerge w:val="restart"/>
            <w:tcBorders>
              <w:top w:val="nil"/>
              <w:left w:val="single" w:sz="4" w:space="0" w:color="auto"/>
              <w:bottom w:val="single" w:sz="4" w:space="0" w:color="auto"/>
              <w:right w:val="single" w:sz="4" w:space="0" w:color="auto"/>
            </w:tcBorders>
            <w:vAlign w:val="center"/>
            <w:hideMark/>
          </w:tcPr>
          <w:p w14:paraId="7EFD6F6B" w14:textId="2CCFE80F" w:rsidR="0059186A" w:rsidRPr="002E75D2" w:rsidRDefault="0059186A" w:rsidP="000E2381">
            <w:pPr>
              <w:pStyle w:val="TableText0"/>
              <w:keepLines w:val="0"/>
            </w:pPr>
            <w:r w:rsidRPr="002E75D2">
              <w:lastRenderedPageBreak/>
              <w:t>HESD itch reduction ≥4 points</w:t>
            </w:r>
            <w:r w:rsidR="00147FBA" w:rsidRPr="002E75D2">
              <w:rPr>
                <w:vertAlign w:val="superscript"/>
              </w:rPr>
              <w:t>b</w:t>
            </w:r>
          </w:p>
        </w:tc>
        <w:tc>
          <w:tcPr>
            <w:tcW w:w="799" w:type="pct"/>
            <w:tcBorders>
              <w:top w:val="single" w:sz="4" w:space="0" w:color="auto"/>
              <w:left w:val="single" w:sz="4" w:space="0" w:color="auto"/>
              <w:bottom w:val="single" w:sz="4" w:space="0" w:color="auto"/>
              <w:right w:val="single" w:sz="4" w:space="0" w:color="auto"/>
            </w:tcBorders>
            <w:vAlign w:val="center"/>
            <w:hideMark/>
          </w:tcPr>
          <w:p w14:paraId="5BA8630A" w14:textId="77777777" w:rsidR="0059186A" w:rsidRPr="002E75D2" w:rsidRDefault="0059186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hideMark/>
          </w:tcPr>
          <w:p w14:paraId="65EC6A8B" w14:textId="77777777" w:rsidR="0059186A" w:rsidRPr="002E75D2" w:rsidRDefault="0059186A" w:rsidP="000E2381">
            <w:pPr>
              <w:pStyle w:val="TableText0"/>
              <w:keepLines w:val="0"/>
              <w:jc w:val="center"/>
            </w:pPr>
            <w:r w:rsidRPr="002E75D2">
              <w:t>152/325 (47.1)</w:t>
            </w:r>
          </w:p>
        </w:tc>
        <w:tc>
          <w:tcPr>
            <w:tcW w:w="798" w:type="pct"/>
            <w:tcBorders>
              <w:top w:val="single" w:sz="4" w:space="0" w:color="auto"/>
              <w:left w:val="nil"/>
              <w:bottom w:val="single" w:sz="4" w:space="0" w:color="auto"/>
              <w:right w:val="single" w:sz="4" w:space="0" w:color="auto"/>
            </w:tcBorders>
            <w:hideMark/>
          </w:tcPr>
          <w:p w14:paraId="39C056A0" w14:textId="77777777" w:rsidR="0059186A" w:rsidRPr="002E75D2" w:rsidRDefault="0059186A" w:rsidP="000E2381">
            <w:pPr>
              <w:pStyle w:val="TableText0"/>
              <w:keepLines w:val="0"/>
              <w:jc w:val="center"/>
            </w:pPr>
            <w:r w:rsidRPr="002E75D2">
              <w:t>37/161 (23.0)</w:t>
            </w:r>
          </w:p>
        </w:tc>
        <w:tc>
          <w:tcPr>
            <w:tcW w:w="944" w:type="pct"/>
            <w:tcBorders>
              <w:top w:val="single" w:sz="4" w:space="0" w:color="auto"/>
              <w:left w:val="nil"/>
              <w:bottom w:val="single" w:sz="4" w:space="0" w:color="auto"/>
              <w:right w:val="single" w:sz="4" w:space="0" w:color="auto"/>
            </w:tcBorders>
            <w:vAlign w:val="center"/>
            <w:hideMark/>
          </w:tcPr>
          <w:p w14:paraId="22C802D5" w14:textId="633E7F58" w:rsidR="0059186A" w:rsidRPr="002E75D2" w:rsidRDefault="0059186A" w:rsidP="000E2381">
            <w:pPr>
              <w:pStyle w:val="TableText0"/>
              <w:keepLines w:val="0"/>
              <w:jc w:val="center"/>
              <w:rPr>
                <w:b/>
                <w:bCs w:val="0"/>
              </w:rPr>
            </w:pPr>
            <w:r w:rsidRPr="002E75D2">
              <w:rPr>
                <w:b/>
                <w:bCs w:val="0"/>
              </w:rPr>
              <w:t>24.1% (15.5,</w:t>
            </w:r>
            <w:r w:rsidR="0008407B" w:rsidRPr="002E75D2">
              <w:rPr>
                <w:b/>
                <w:bCs w:val="0"/>
              </w:rPr>
              <w:t xml:space="preserve"> </w:t>
            </w:r>
            <w:r w:rsidRPr="002E75D2">
              <w:rPr>
                <w:b/>
                <w:bCs w:val="0"/>
              </w:rPr>
              <w:t>32.6)</w:t>
            </w:r>
          </w:p>
        </w:tc>
      </w:tr>
      <w:tr w:rsidR="00182A28" w:rsidRPr="002E75D2" w14:paraId="48A74492" w14:textId="77777777" w:rsidTr="00C21DB1">
        <w:trPr>
          <w:trHeight w:val="20"/>
        </w:trPr>
        <w:tc>
          <w:tcPr>
            <w:tcW w:w="1727" w:type="pct"/>
            <w:vMerge/>
            <w:tcBorders>
              <w:top w:val="nil"/>
              <w:left w:val="single" w:sz="4" w:space="0" w:color="auto"/>
              <w:bottom w:val="single" w:sz="4" w:space="0" w:color="auto"/>
              <w:right w:val="single" w:sz="4" w:space="0" w:color="auto"/>
            </w:tcBorders>
            <w:vAlign w:val="center"/>
            <w:hideMark/>
          </w:tcPr>
          <w:p w14:paraId="10E774E6" w14:textId="77777777" w:rsidR="0059186A" w:rsidRPr="002E75D2" w:rsidRDefault="0059186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hideMark/>
          </w:tcPr>
          <w:p w14:paraId="1A7C448B" w14:textId="77777777" w:rsidR="0059186A" w:rsidRPr="002E75D2" w:rsidRDefault="0059186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hideMark/>
          </w:tcPr>
          <w:p w14:paraId="2C5E49AF" w14:textId="77777777" w:rsidR="0059186A" w:rsidRPr="002E75D2" w:rsidRDefault="0059186A" w:rsidP="000E2381">
            <w:pPr>
              <w:pStyle w:val="TableText0"/>
              <w:keepLines w:val="0"/>
              <w:jc w:val="center"/>
            </w:pPr>
            <w:r w:rsidRPr="002E75D2">
              <w:t>146/309 (47.2)</w:t>
            </w:r>
          </w:p>
        </w:tc>
        <w:tc>
          <w:tcPr>
            <w:tcW w:w="798" w:type="pct"/>
            <w:tcBorders>
              <w:top w:val="single" w:sz="4" w:space="0" w:color="auto"/>
              <w:left w:val="nil"/>
              <w:bottom w:val="single" w:sz="4" w:space="0" w:color="auto"/>
              <w:right w:val="single" w:sz="4" w:space="0" w:color="auto"/>
            </w:tcBorders>
            <w:hideMark/>
          </w:tcPr>
          <w:p w14:paraId="383D9977" w14:textId="77777777" w:rsidR="0059186A" w:rsidRPr="002E75D2" w:rsidRDefault="0059186A" w:rsidP="000E2381">
            <w:pPr>
              <w:pStyle w:val="TableText0"/>
              <w:keepLines w:val="0"/>
              <w:jc w:val="center"/>
            </w:pPr>
            <w:r w:rsidRPr="002E75D2">
              <w:t>31/156 (19.9)</w:t>
            </w:r>
          </w:p>
        </w:tc>
        <w:tc>
          <w:tcPr>
            <w:tcW w:w="944" w:type="pct"/>
            <w:tcBorders>
              <w:top w:val="single" w:sz="4" w:space="0" w:color="auto"/>
              <w:left w:val="nil"/>
              <w:bottom w:val="single" w:sz="4" w:space="0" w:color="auto"/>
              <w:right w:val="single" w:sz="4" w:space="0" w:color="auto"/>
            </w:tcBorders>
            <w:vAlign w:val="center"/>
            <w:hideMark/>
          </w:tcPr>
          <w:p w14:paraId="2E352A5F" w14:textId="26A24285" w:rsidR="0059186A" w:rsidRPr="002E75D2" w:rsidRDefault="0059186A" w:rsidP="000E2381">
            <w:pPr>
              <w:pStyle w:val="TableText0"/>
              <w:keepLines w:val="0"/>
              <w:jc w:val="center"/>
              <w:rPr>
                <w:b/>
                <w:bCs w:val="0"/>
              </w:rPr>
            </w:pPr>
            <w:r w:rsidRPr="002E75D2">
              <w:rPr>
                <w:b/>
                <w:bCs w:val="0"/>
              </w:rPr>
              <w:t>27.4% (19.0,</w:t>
            </w:r>
            <w:r w:rsidR="0008407B" w:rsidRPr="002E75D2">
              <w:rPr>
                <w:b/>
                <w:bCs w:val="0"/>
              </w:rPr>
              <w:t xml:space="preserve"> </w:t>
            </w:r>
            <w:r w:rsidRPr="002E75D2">
              <w:rPr>
                <w:b/>
                <w:bCs w:val="0"/>
              </w:rPr>
              <w:t>35.8)</w:t>
            </w:r>
          </w:p>
        </w:tc>
      </w:tr>
      <w:tr w:rsidR="00182A28" w:rsidRPr="002E75D2" w14:paraId="100E35CE" w14:textId="77777777" w:rsidTr="00C21DB1">
        <w:trPr>
          <w:trHeight w:val="20"/>
        </w:trPr>
        <w:tc>
          <w:tcPr>
            <w:tcW w:w="1727" w:type="pct"/>
            <w:vMerge w:val="restart"/>
            <w:tcBorders>
              <w:top w:val="nil"/>
              <w:left w:val="single" w:sz="4" w:space="0" w:color="auto"/>
              <w:bottom w:val="single" w:sz="4" w:space="0" w:color="auto"/>
              <w:right w:val="single" w:sz="4" w:space="0" w:color="auto"/>
            </w:tcBorders>
            <w:vAlign w:val="center"/>
            <w:hideMark/>
          </w:tcPr>
          <w:p w14:paraId="01FF37F8" w14:textId="3B20F651" w:rsidR="0059186A" w:rsidRPr="002E75D2" w:rsidRDefault="0059186A" w:rsidP="000E2381">
            <w:pPr>
              <w:pStyle w:val="TableText0"/>
              <w:keepLines w:val="0"/>
            </w:pPr>
            <w:r w:rsidRPr="002E75D2">
              <w:t>HESD reduction ≥4 points</w:t>
            </w:r>
            <w:r w:rsidR="00147FBA" w:rsidRPr="002E75D2">
              <w:rPr>
                <w:vertAlign w:val="superscript"/>
              </w:rPr>
              <w:t>b</w:t>
            </w:r>
          </w:p>
        </w:tc>
        <w:tc>
          <w:tcPr>
            <w:tcW w:w="799" w:type="pct"/>
            <w:tcBorders>
              <w:top w:val="single" w:sz="4" w:space="0" w:color="auto"/>
              <w:left w:val="single" w:sz="4" w:space="0" w:color="auto"/>
              <w:bottom w:val="single" w:sz="4" w:space="0" w:color="auto"/>
              <w:right w:val="single" w:sz="4" w:space="0" w:color="auto"/>
            </w:tcBorders>
            <w:vAlign w:val="center"/>
            <w:hideMark/>
          </w:tcPr>
          <w:p w14:paraId="3712D8DF" w14:textId="77777777" w:rsidR="0059186A" w:rsidRPr="002E75D2" w:rsidRDefault="0059186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hideMark/>
          </w:tcPr>
          <w:p w14:paraId="6916AA32" w14:textId="77777777" w:rsidR="0059186A" w:rsidRPr="002E75D2" w:rsidRDefault="0059186A" w:rsidP="000E2381">
            <w:pPr>
              <w:pStyle w:val="TableText0"/>
              <w:keepLines w:val="0"/>
              <w:jc w:val="center"/>
            </w:pPr>
            <w:r w:rsidRPr="002E75D2">
              <w:t>146/309 (47.2)</w:t>
            </w:r>
          </w:p>
        </w:tc>
        <w:tc>
          <w:tcPr>
            <w:tcW w:w="798" w:type="pct"/>
            <w:tcBorders>
              <w:top w:val="single" w:sz="4" w:space="0" w:color="auto"/>
              <w:left w:val="nil"/>
              <w:bottom w:val="single" w:sz="4" w:space="0" w:color="auto"/>
              <w:right w:val="single" w:sz="4" w:space="0" w:color="auto"/>
            </w:tcBorders>
            <w:hideMark/>
          </w:tcPr>
          <w:p w14:paraId="258C2013" w14:textId="77777777" w:rsidR="0059186A" w:rsidRPr="002E75D2" w:rsidRDefault="0059186A" w:rsidP="000E2381">
            <w:pPr>
              <w:pStyle w:val="TableText0"/>
              <w:keepLines w:val="0"/>
              <w:jc w:val="center"/>
            </w:pPr>
            <w:r w:rsidRPr="002E75D2">
              <w:t>38/156 (24.4)</w:t>
            </w:r>
          </w:p>
        </w:tc>
        <w:tc>
          <w:tcPr>
            <w:tcW w:w="944" w:type="pct"/>
            <w:tcBorders>
              <w:top w:val="single" w:sz="4" w:space="0" w:color="auto"/>
              <w:left w:val="nil"/>
              <w:bottom w:val="single" w:sz="4" w:space="0" w:color="auto"/>
              <w:right w:val="single" w:sz="4" w:space="0" w:color="auto"/>
            </w:tcBorders>
            <w:vAlign w:val="center"/>
            <w:hideMark/>
          </w:tcPr>
          <w:p w14:paraId="0BB73F90" w14:textId="225B847A" w:rsidR="0059186A" w:rsidRPr="002E75D2" w:rsidRDefault="0059186A" w:rsidP="000E2381">
            <w:pPr>
              <w:pStyle w:val="TableText0"/>
              <w:keepLines w:val="0"/>
              <w:jc w:val="center"/>
              <w:rPr>
                <w:b/>
                <w:bCs w:val="0"/>
              </w:rPr>
            </w:pPr>
            <w:r w:rsidRPr="002E75D2">
              <w:rPr>
                <w:b/>
                <w:bCs w:val="0"/>
              </w:rPr>
              <w:t>22.8% (14.0,</w:t>
            </w:r>
            <w:r w:rsidR="0008407B" w:rsidRPr="002E75D2">
              <w:rPr>
                <w:b/>
                <w:bCs w:val="0"/>
              </w:rPr>
              <w:t xml:space="preserve"> </w:t>
            </w:r>
            <w:r w:rsidRPr="002E75D2">
              <w:rPr>
                <w:b/>
                <w:bCs w:val="0"/>
              </w:rPr>
              <w:t>31.7)</w:t>
            </w:r>
          </w:p>
        </w:tc>
      </w:tr>
      <w:tr w:rsidR="00182A28" w:rsidRPr="002E75D2" w14:paraId="1FD5ACC1" w14:textId="77777777" w:rsidTr="00C21DB1">
        <w:trPr>
          <w:trHeight w:val="20"/>
        </w:trPr>
        <w:tc>
          <w:tcPr>
            <w:tcW w:w="1727" w:type="pct"/>
            <w:vMerge/>
            <w:tcBorders>
              <w:top w:val="nil"/>
              <w:left w:val="single" w:sz="4" w:space="0" w:color="auto"/>
              <w:bottom w:val="single" w:sz="4" w:space="0" w:color="auto"/>
              <w:right w:val="single" w:sz="4" w:space="0" w:color="auto"/>
            </w:tcBorders>
            <w:vAlign w:val="center"/>
            <w:hideMark/>
          </w:tcPr>
          <w:p w14:paraId="0C32E60C" w14:textId="77777777" w:rsidR="0059186A" w:rsidRPr="002E75D2" w:rsidRDefault="0059186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hideMark/>
          </w:tcPr>
          <w:p w14:paraId="17B01568" w14:textId="77777777" w:rsidR="0059186A" w:rsidRPr="002E75D2" w:rsidRDefault="0059186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hideMark/>
          </w:tcPr>
          <w:p w14:paraId="5931EF5A" w14:textId="77777777" w:rsidR="0059186A" w:rsidRPr="002E75D2" w:rsidRDefault="0059186A" w:rsidP="000E2381">
            <w:pPr>
              <w:pStyle w:val="TableText0"/>
              <w:keepLines w:val="0"/>
              <w:jc w:val="center"/>
            </w:pPr>
            <w:r w:rsidRPr="002E75D2">
              <w:t>137/308 (44.5)</w:t>
            </w:r>
          </w:p>
        </w:tc>
        <w:tc>
          <w:tcPr>
            <w:tcW w:w="798" w:type="pct"/>
            <w:tcBorders>
              <w:top w:val="single" w:sz="4" w:space="0" w:color="auto"/>
              <w:left w:val="nil"/>
              <w:bottom w:val="single" w:sz="4" w:space="0" w:color="auto"/>
              <w:right w:val="single" w:sz="4" w:space="0" w:color="auto"/>
            </w:tcBorders>
            <w:hideMark/>
          </w:tcPr>
          <w:p w14:paraId="6BB82EDA" w14:textId="77777777" w:rsidR="0059186A" w:rsidRPr="002E75D2" w:rsidRDefault="0059186A" w:rsidP="000E2381">
            <w:pPr>
              <w:pStyle w:val="TableText0"/>
              <w:keepLines w:val="0"/>
              <w:jc w:val="center"/>
            </w:pPr>
            <w:r w:rsidRPr="002E75D2">
              <w:t>32/153 (20.9)</w:t>
            </w:r>
          </w:p>
        </w:tc>
        <w:tc>
          <w:tcPr>
            <w:tcW w:w="944" w:type="pct"/>
            <w:tcBorders>
              <w:top w:val="single" w:sz="4" w:space="0" w:color="auto"/>
              <w:left w:val="nil"/>
              <w:bottom w:val="single" w:sz="4" w:space="0" w:color="auto"/>
              <w:right w:val="single" w:sz="4" w:space="0" w:color="auto"/>
            </w:tcBorders>
            <w:vAlign w:val="center"/>
            <w:hideMark/>
          </w:tcPr>
          <w:p w14:paraId="13EA5543" w14:textId="02C4429E" w:rsidR="0059186A" w:rsidRPr="002E75D2" w:rsidRDefault="0059186A" w:rsidP="000E2381">
            <w:pPr>
              <w:pStyle w:val="TableText0"/>
              <w:keepLines w:val="0"/>
              <w:jc w:val="center"/>
              <w:rPr>
                <w:b/>
                <w:bCs w:val="0"/>
              </w:rPr>
            </w:pPr>
            <w:r w:rsidRPr="002E75D2">
              <w:rPr>
                <w:b/>
                <w:bCs w:val="0"/>
              </w:rPr>
              <w:t>23.7% (15.1,</w:t>
            </w:r>
            <w:r w:rsidR="0008407B" w:rsidRPr="002E75D2">
              <w:rPr>
                <w:b/>
                <w:bCs w:val="0"/>
              </w:rPr>
              <w:t xml:space="preserve"> </w:t>
            </w:r>
            <w:r w:rsidRPr="002E75D2">
              <w:rPr>
                <w:b/>
                <w:bCs w:val="0"/>
              </w:rPr>
              <w:t>32.2)</w:t>
            </w:r>
          </w:p>
        </w:tc>
      </w:tr>
      <w:tr w:rsidR="00182A28" w:rsidRPr="002E75D2" w14:paraId="671B4E83" w14:textId="77777777" w:rsidTr="00C21DB1">
        <w:trPr>
          <w:trHeight w:val="20"/>
        </w:trPr>
        <w:tc>
          <w:tcPr>
            <w:tcW w:w="1727" w:type="pct"/>
            <w:vMerge w:val="restart"/>
            <w:tcBorders>
              <w:top w:val="nil"/>
              <w:left w:val="single" w:sz="4" w:space="0" w:color="auto"/>
              <w:bottom w:val="single" w:sz="4" w:space="0" w:color="auto"/>
              <w:right w:val="single" w:sz="4" w:space="0" w:color="auto"/>
            </w:tcBorders>
            <w:vAlign w:val="center"/>
            <w:hideMark/>
          </w:tcPr>
          <w:p w14:paraId="24E7173A" w14:textId="158842F0" w:rsidR="0059186A" w:rsidRPr="002E75D2" w:rsidRDefault="0059186A" w:rsidP="000E2381">
            <w:pPr>
              <w:pStyle w:val="TableText0"/>
              <w:keepLines w:val="0"/>
            </w:pPr>
            <w:r w:rsidRPr="002E75D2">
              <w:t>HESD pain reduction ≥4 points</w:t>
            </w:r>
            <w:r w:rsidR="00147FBA" w:rsidRPr="002E75D2">
              <w:rPr>
                <w:vertAlign w:val="superscript"/>
              </w:rPr>
              <w:t>b</w:t>
            </w:r>
          </w:p>
        </w:tc>
        <w:tc>
          <w:tcPr>
            <w:tcW w:w="799" w:type="pct"/>
            <w:tcBorders>
              <w:top w:val="single" w:sz="4" w:space="0" w:color="auto"/>
              <w:left w:val="single" w:sz="4" w:space="0" w:color="auto"/>
              <w:bottom w:val="single" w:sz="4" w:space="0" w:color="auto"/>
              <w:right w:val="single" w:sz="4" w:space="0" w:color="auto"/>
            </w:tcBorders>
            <w:vAlign w:val="center"/>
            <w:hideMark/>
          </w:tcPr>
          <w:p w14:paraId="5072D9D8" w14:textId="77777777" w:rsidR="0059186A" w:rsidRPr="002E75D2" w:rsidRDefault="0059186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hideMark/>
          </w:tcPr>
          <w:p w14:paraId="611C2223" w14:textId="77777777" w:rsidR="0059186A" w:rsidRPr="002E75D2" w:rsidRDefault="0059186A" w:rsidP="000E2381">
            <w:pPr>
              <w:pStyle w:val="TableText0"/>
              <w:keepLines w:val="0"/>
              <w:jc w:val="center"/>
            </w:pPr>
            <w:r w:rsidRPr="002E75D2">
              <w:t>143/291 (49.1)</w:t>
            </w:r>
          </w:p>
        </w:tc>
        <w:tc>
          <w:tcPr>
            <w:tcW w:w="798" w:type="pct"/>
            <w:tcBorders>
              <w:top w:val="single" w:sz="4" w:space="0" w:color="auto"/>
              <w:left w:val="nil"/>
              <w:bottom w:val="single" w:sz="4" w:space="0" w:color="auto"/>
              <w:right w:val="single" w:sz="4" w:space="0" w:color="auto"/>
            </w:tcBorders>
            <w:hideMark/>
          </w:tcPr>
          <w:p w14:paraId="0F567D6C" w14:textId="77777777" w:rsidR="0059186A" w:rsidRPr="002E75D2" w:rsidRDefault="0059186A" w:rsidP="000E2381">
            <w:pPr>
              <w:pStyle w:val="TableText0"/>
              <w:keepLines w:val="0"/>
              <w:jc w:val="center"/>
            </w:pPr>
            <w:r w:rsidRPr="002E75D2">
              <w:t>41/149 (27.5)</w:t>
            </w:r>
          </w:p>
        </w:tc>
        <w:tc>
          <w:tcPr>
            <w:tcW w:w="944" w:type="pct"/>
            <w:tcBorders>
              <w:top w:val="single" w:sz="4" w:space="0" w:color="auto"/>
              <w:left w:val="nil"/>
              <w:bottom w:val="single" w:sz="4" w:space="0" w:color="auto"/>
              <w:right w:val="single" w:sz="4" w:space="0" w:color="auto"/>
            </w:tcBorders>
            <w:vAlign w:val="center"/>
            <w:hideMark/>
          </w:tcPr>
          <w:p w14:paraId="04165082" w14:textId="5045EB78" w:rsidR="0059186A" w:rsidRPr="002E75D2" w:rsidRDefault="0059186A" w:rsidP="000E2381">
            <w:pPr>
              <w:pStyle w:val="TableText0"/>
              <w:keepLines w:val="0"/>
              <w:jc w:val="center"/>
              <w:rPr>
                <w:b/>
                <w:bCs w:val="0"/>
              </w:rPr>
            </w:pPr>
            <w:r w:rsidRPr="002E75D2">
              <w:rPr>
                <w:b/>
                <w:bCs w:val="0"/>
              </w:rPr>
              <w:t>21.7% (12.4,</w:t>
            </w:r>
            <w:r w:rsidR="0008407B" w:rsidRPr="002E75D2">
              <w:rPr>
                <w:b/>
                <w:bCs w:val="0"/>
              </w:rPr>
              <w:t xml:space="preserve"> </w:t>
            </w:r>
            <w:r w:rsidRPr="002E75D2">
              <w:rPr>
                <w:b/>
                <w:bCs w:val="0"/>
              </w:rPr>
              <w:t>30.9)</w:t>
            </w:r>
          </w:p>
        </w:tc>
      </w:tr>
      <w:tr w:rsidR="00182A28" w:rsidRPr="002E75D2" w14:paraId="56128828" w14:textId="77777777" w:rsidTr="00C21DB1">
        <w:trPr>
          <w:trHeight w:val="20"/>
        </w:trPr>
        <w:tc>
          <w:tcPr>
            <w:tcW w:w="1727" w:type="pct"/>
            <w:vMerge/>
            <w:tcBorders>
              <w:top w:val="nil"/>
              <w:left w:val="single" w:sz="4" w:space="0" w:color="auto"/>
              <w:bottom w:val="single" w:sz="4" w:space="0" w:color="auto"/>
              <w:right w:val="single" w:sz="4" w:space="0" w:color="auto"/>
            </w:tcBorders>
            <w:vAlign w:val="center"/>
            <w:hideMark/>
          </w:tcPr>
          <w:p w14:paraId="1D9FD5C7" w14:textId="77777777" w:rsidR="0059186A" w:rsidRPr="002E75D2" w:rsidRDefault="0059186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hideMark/>
          </w:tcPr>
          <w:p w14:paraId="17D8F322" w14:textId="77777777" w:rsidR="0059186A" w:rsidRPr="002E75D2" w:rsidRDefault="0059186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hideMark/>
          </w:tcPr>
          <w:p w14:paraId="78F42FE5" w14:textId="77777777" w:rsidR="0059186A" w:rsidRPr="002E75D2" w:rsidRDefault="0059186A" w:rsidP="000E2381">
            <w:pPr>
              <w:pStyle w:val="TableText0"/>
              <w:keepLines w:val="0"/>
              <w:jc w:val="center"/>
            </w:pPr>
            <w:r w:rsidRPr="002E75D2">
              <w:t>143/294 (48.6)</w:t>
            </w:r>
          </w:p>
        </w:tc>
        <w:tc>
          <w:tcPr>
            <w:tcW w:w="798" w:type="pct"/>
            <w:tcBorders>
              <w:top w:val="single" w:sz="4" w:space="0" w:color="auto"/>
              <w:left w:val="nil"/>
              <w:bottom w:val="single" w:sz="4" w:space="0" w:color="auto"/>
              <w:right w:val="single" w:sz="4" w:space="0" w:color="auto"/>
            </w:tcBorders>
            <w:hideMark/>
          </w:tcPr>
          <w:p w14:paraId="4ADE6E82" w14:textId="77777777" w:rsidR="0059186A" w:rsidRPr="002E75D2" w:rsidRDefault="0059186A" w:rsidP="000E2381">
            <w:pPr>
              <w:pStyle w:val="TableText0"/>
              <w:keepLines w:val="0"/>
              <w:jc w:val="center"/>
            </w:pPr>
            <w:r w:rsidRPr="002E75D2">
              <w:t>32/141 (22.7)</w:t>
            </w:r>
          </w:p>
        </w:tc>
        <w:tc>
          <w:tcPr>
            <w:tcW w:w="944" w:type="pct"/>
            <w:tcBorders>
              <w:top w:val="single" w:sz="4" w:space="0" w:color="auto"/>
              <w:left w:val="nil"/>
              <w:bottom w:val="single" w:sz="4" w:space="0" w:color="auto"/>
              <w:right w:val="single" w:sz="4" w:space="0" w:color="auto"/>
            </w:tcBorders>
            <w:vAlign w:val="center"/>
            <w:hideMark/>
          </w:tcPr>
          <w:p w14:paraId="5242570E" w14:textId="0C817CC9" w:rsidR="0059186A" w:rsidRPr="002E75D2" w:rsidRDefault="0059186A" w:rsidP="000E2381">
            <w:pPr>
              <w:pStyle w:val="TableText0"/>
              <w:keepLines w:val="0"/>
              <w:jc w:val="center"/>
              <w:rPr>
                <w:b/>
                <w:bCs w:val="0"/>
              </w:rPr>
            </w:pPr>
            <w:r w:rsidRPr="002E75D2">
              <w:rPr>
                <w:b/>
                <w:bCs w:val="0"/>
              </w:rPr>
              <w:t>26.0% (17.0,</w:t>
            </w:r>
            <w:r w:rsidR="0008407B" w:rsidRPr="002E75D2">
              <w:rPr>
                <w:b/>
                <w:bCs w:val="0"/>
              </w:rPr>
              <w:t xml:space="preserve"> </w:t>
            </w:r>
            <w:r w:rsidRPr="002E75D2">
              <w:rPr>
                <w:b/>
                <w:bCs w:val="0"/>
              </w:rPr>
              <w:t>35.1)</w:t>
            </w:r>
          </w:p>
        </w:tc>
      </w:tr>
      <w:tr w:rsidR="00182A28" w:rsidRPr="002E75D2" w14:paraId="682B270B" w14:textId="77777777" w:rsidTr="00C21DB1">
        <w:trPr>
          <w:trHeight w:val="20"/>
        </w:trPr>
        <w:tc>
          <w:tcPr>
            <w:tcW w:w="1727" w:type="pct"/>
            <w:vMerge w:val="restart"/>
            <w:tcBorders>
              <w:top w:val="single" w:sz="4" w:space="0" w:color="auto"/>
              <w:left w:val="single" w:sz="4" w:space="0" w:color="auto"/>
              <w:bottom w:val="single" w:sz="4" w:space="0" w:color="auto"/>
              <w:right w:val="single" w:sz="4" w:space="0" w:color="auto"/>
            </w:tcBorders>
            <w:vAlign w:val="center"/>
            <w:hideMark/>
          </w:tcPr>
          <w:p w14:paraId="27664955" w14:textId="6E020BEC" w:rsidR="0059186A" w:rsidRPr="002E75D2" w:rsidRDefault="0059186A" w:rsidP="000E2381">
            <w:pPr>
              <w:pStyle w:val="TableText0"/>
              <w:keepLines w:val="0"/>
            </w:pPr>
            <w:r w:rsidRPr="002E75D2">
              <w:t>DLQI reduction ≥4 points</w:t>
            </w:r>
            <w:r w:rsidR="00147FBA" w:rsidRPr="002E75D2">
              <w:rPr>
                <w:vertAlign w:val="superscript"/>
              </w:rPr>
              <w:t>b</w:t>
            </w:r>
          </w:p>
        </w:tc>
        <w:tc>
          <w:tcPr>
            <w:tcW w:w="799" w:type="pct"/>
            <w:tcBorders>
              <w:top w:val="single" w:sz="4" w:space="0" w:color="auto"/>
              <w:left w:val="single" w:sz="4" w:space="0" w:color="auto"/>
              <w:bottom w:val="single" w:sz="4" w:space="0" w:color="auto"/>
              <w:right w:val="single" w:sz="4" w:space="0" w:color="auto"/>
            </w:tcBorders>
            <w:vAlign w:val="center"/>
            <w:hideMark/>
          </w:tcPr>
          <w:p w14:paraId="1A17FC7A" w14:textId="77777777" w:rsidR="0059186A" w:rsidRPr="002E75D2" w:rsidRDefault="0059186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hideMark/>
          </w:tcPr>
          <w:p w14:paraId="253D8972" w14:textId="77777777" w:rsidR="0059186A" w:rsidRPr="002E75D2" w:rsidRDefault="0059186A" w:rsidP="000E2381">
            <w:pPr>
              <w:pStyle w:val="TableText0"/>
              <w:keepLines w:val="0"/>
              <w:jc w:val="center"/>
            </w:pPr>
            <w:r w:rsidRPr="002E75D2">
              <w:t>227/291 (74.4)</w:t>
            </w:r>
          </w:p>
        </w:tc>
        <w:tc>
          <w:tcPr>
            <w:tcW w:w="798" w:type="pct"/>
            <w:tcBorders>
              <w:top w:val="single" w:sz="4" w:space="0" w:color="auto"/>
              <w:left w:val="nil"/>
              <w:bottom w:val="single" w:sz="4" w:space="0" w:color="auto"/>
              <w:right w:val="single" w:sz="4" w:space="0" w:color="auto"/>
            </w:tcBorders>
            <w:hideMark/>
          </w:tcPr>
          <w:p w14:paraId="44CEABF0" w14:textId="77777777" w:rsidR="0059186A" w:rsidRPr="002E75D2" w:rsidRDefault="0059186A" w:rsidP="000E2381">
            <w:pPr>
              <w:pStyle w:val="TableText0"/>
              <w:keepLines w:val="0"/>
              <w:jc w:val="center"/>
            </w:pPr>
            <w:r w:rsidRPr="002E75D2">
              <w:t>74/149 (50.0)</w:t>
            </w:r>
          </w:p>
        </w:tc>
        <w:tc>
          <w:tcPr>
            <w:tcW w:w="944" w:type="pct"/>
            <w:tcBorders>
              <w:top w:val="single" w:sz="4" w:space="0" w:color="auto"/>
              <w:left w:val="nil"/>
              <w:bottom w:val="single" w:sz="4" w:space="0" w:color="auto"/>
              <w:right w:val="single" w:sz="4" w:space="0" w:color="auto"/>
            </w:tcBorders>
            <w:vAlign w:val="center"/>
            <w:hideMark/>
          </w:tcPr>
          <w:p w14:paraId="47A6E1A4" w14:textId="5AFBED16" w:rsidR="0059186A" w:rsidRPr="002E75D2" w:rsidRDefault="0059186A" w:rsidP="000E2381">
            <w:pPr>
              <w:pStyle w:val="TableText0"/>
              <w:keepLines w:val="0"/>
              <w:jc w:val="center"/>
              <w:rPr>
                <w:b/>
                <w:bCs w:val="0"/>
              </w:rPr>
            </w:pPr>
            <w:r w:rsidRPr="002E75D2">
              <w:rPr>
                <w:b/>
                <w:bCs w:val="0"/>
              </w:rPr>
              <w:t>24.5% (15.0,</w:t>
            </w:r>
            <w:r w:rsidR="0008407B" w:rsidRPr="002E75D2">
              <w:rPr>
                <w:b/>
                <w:bCs w:val="0"/>
              </w:rPr>
              <w:t xml:space="preserve"> </w:t>
            </w:r>
            <w:r w:rsidRPr="002E75D2">
              <w:rPr>
                <w:b/>
                <w:bCs w:val="0"/>
              </w:rPr>
              <w:t>33.9)</w:t>
            </w:r>
          </w:p>
        </w:tc>
      </w:tr>
      <w:tr w:rsidR="00182A28" w:rsidRPr="002E75D2" w14:paraId="1578157D" w14:textId="77777777" w:rsidTr="00C21DB1">
        <w:trPr>
          <w:trHeight w:val="20"/>
        </w:trPr>
        <w:tc>
          <w:tcPr>
            <w:tcW w:w="1727" w:type="pct"/>
            <w:vMerge/>
            <w:tcBorders>
              <w:top w:val="single" w:sz="4" w:space="0" w:color="auto"/>
              <w:left w:val="single" w:sz="4" w:space="0" w:color="auto"/>
              <w:bottom w:val="single" w:sz="4" w:space="0" w:color="auto"/>
              <w:right w:val="single" w:sz="4" w:space="0" w:color="auto"/>
            </w:tcBorders>
            <w:vAlign w:val="center"/>
            <w:hideMark/>
          </w:tcPr>
          <w:p w14:paraId="5A85C25C" w14:textId="77777777" w:rsidR="0059186A" w:rsidRPr="002E75D2" w:rsidRDefault="0059186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hideMark/>
          </w:tcPr>
          <w:p w14:paraId="587E3CCE" w14:textId="77777777" w:rsidR="0059186A" w:rsidRPr="002E75D2" w:rsidRDefault="0059186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hideMark/>
          </w:tcPr>
          <w:p w14:paraId="7DEF8E90" w14:textId="77777777" w:rsidR="0059186A" w:rsidRPr="002E75D2" w:rsidRDefault="0059186A" w:rsidP="000E2381">
            <w:pPr>
              <w:pStyle w:val="TableText0"/>
              <w:keepLines w:val="0"/>
              <w:jc w:val="center"/>
            </w:pPr>
            <w:r w:rsidRPr="002E75D2">
              <w:t>216/294 (72.2)</w:t>
            </w:r>
          </w:p>
        </w:tc>
        <w:tc>
          <w:tcPr>
            <w:tcW w:w="798" w:type="pct"/>
            <w:tcBorders>
              <w:top w:val="single" w:sz="4" w:space="0" w:color="auto"/>
              <w:left w:val="nil"/>
              <w:bottom w:val="single" w:sz="4" w:space="0" w:color="auto"/>
              <w:right w:val="single" w:sz="4" w:space="0" w:color="auto"/>
            </w:tcBorders>
            <w:hideMark/>
          </w:tcPr>
          <w:p w14:paraId="6A3D2172" w14:textId="77777777" w:rsidR="0059186A" w:rsidRPr="002E75D2" w:rsidRDefault="0059186A" w:rsidP="000E2381">
            <w:pPr>
              <w:pStyle w:val="TableText0"/>
              <w:keepLines w:val="0"/>
              <w:jc w:val="center"/>
            </w:pPr>
            <w:r w:rsidRPr="002E75D2">
              <w:t>70/141 (45.8)</w:t>
            </w:r>
          </w:p>
        </w:tc>
        <w:tc>
          <w:tcPr>
            <w:tcW w:w="944" w:type="pct"/>
            <w:tcBorders>
              <w:top w:val="single" w:sz="4" w:space="0" w:color="auto"/>
              <w:left w:val="nil"/>
              <w:bottom w:val="single" w:sz="4" w:space="0" w:color="auto"/>
              <w:right w:val="single" w:sz="4" w:space="0" w:color="auto"/>
            </w:tcBorders>
            <w:vAlign w:val="center"/>
            <w:hideMark/>
          </w:tcPr>
          <w:p w14:paraId="46390B6C" w14:textId="39A9B980" w:rsidR="0059186A" w:rsidRPr="002E75D2" w:rsidRDefault="0059186A" w:rsidP="000E2381">
            <w:pPr>
              <w:pStyle w:val="TableText0"/>
              <w:keepLines w:val="0"/>
              <w:jc w:val="center"/>
              <w:rPr>
                <w:b/>
                <w:bCs w:val="0"/>
              </w:rPr>
            </w:pPr>
            <w:r w:rsidRPr="002E75D2">
              <w:rPr>
                <w:b/>
                <w:bCs w:val="0"/>
              </w:rPr>
              <w:t>26.4% (17.0,</w:t>
            </w:r>
            <w:r w:rsidR="0008407B" w:rsidRPr="002E75D2">
              <w:rPr>
                <w:b/>
                <w:bCs w:val="0"/>
              </w:rPr>
              <w:t xml:space="preserve"> </w:t>
            </w:r>
            <w:r w:rsidRPr="002E75D2">
              <w:rPr>
                <w:b/>
                <w:bCs w:val="0"/>
              </w:rPr>
              <w:t>35.9)</w:t>
            </w:r>
          </w:p>
        </w:tc>
      </w:tr>
      <w:tr w:rsidR="0059186A" w:rsidRPr="002E75D2" w14:paraId="4C33FDEE" w14:textId="77777777" w:rsidTr="00C21DB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A3C090C" w14:textId="107CD47F" w:rsidR="0059186A" w:rsidRPr="002E75D2" w:rsidRDefault="0059186A" w:rsidP="000E2381">
            <w:pPr>
              <w:pStyle w:val="TableText0"/>
              <w:keepLines w:val="0"/>
              <w:rPr>
                <w:b/>
                <w:bCs w:val="0"/>
              </w:rPr>
            </w:pPr>
            <w:r w:rsidRPr="002E75D2">
              <w:rPr>
                <w:b/>
                <w:bCs w:val="0"/>
              </w:rPr>
              <w:t>Key Secondary outcomes (continuous)</w:t>
            </w:r>
          </w:p>
        </w:tc>
      </w:tr>
      <w:tr w:rsidR="002774CD" w:rsidRPr="002E75D2" w14:paraId="76FC1B99" w14:textId="77777777" w:rsidTr="00C21DB1">
        <w:trPr>
          <w:trHeight w:val="20"/>
        </w:trPr>
        <w:tc>
          <w:tcPr>
            <w:tcW w:w="1727" w:type="pct"/>
            <w:tcBorders>
              <w:top w:val="single" w:sz="4" w:space="0" w:color="auto"/>
              <w:left w:val="single" w:sz="4" w:space="0" w:color="auto"/>
              <w:bottom w:val="single" w:sz="4" w:space="0" w:color="auto"/>
              <w:right w:val="single" w:sz="4" w:space="0" w:color="auto"/>
            </w:tcBorders>
            <w:vAlign w:val="center"/>
          </w:tcPr>
          <w:p w14:paraId="575F7A0C" w14:textId="1418D21B" w:rsidR="0059186A" w:rsidRPr="002E75D2" w:rsidRDefault="0059186A" w:rsidP="000E2381">
            <w:pPr>
              <w:pStyle w:val="In-tableHeading"/>
              <w:keepNext w:val="0"/>
              <w:keepLines w:val="0"/>
              <w:rPr>
                <w:lang w:val="en-AU"/>
              </w:rPr>
            </w:pPr>
            <w:r w:rsidRPr="002E75D2">
              <w:rPr>
                <w:color w:val="000000"/>
                <w:szCs w:val="20"/>
                <w:lang w:val="en-AU"/>
              </w:rPr>
              <w:t>Outcome</w:t>
            </w:r>
          </w:p>
        </w:tc>
        <w:tc>
          <w:tcPr>
            <w:tcW w:w="799" w:type="pct"/>
            <w:tcBorders>
              <w:top w:val="single" w:sz="4" w:space="0" w:color="auto"/>
              <w:left w:val="single" w:sz="4" w:space="0" w:color="auto"/>
              <w:bottom w:val="single" w:sz="4" w:space="0" w:color="auto"/>
              <w:right w:val="single" w:sz="4" w:space="0" w:color="auto"/>
            </w:tcBorders>
            <w:vAlign w:val="center"/>
          </w:tcPr>
          <w:p w14:paraId="04D9F1C2" w14:textId="77777777" w:rsidR="0059186A" w:rsidRPr="002E75D2" w:rsidRDefault="0059186A" w:rsidP="000E2381">
            <w:pPr>
              <w:pStyle w:val="In-tableHeading"/>
              <w:keepNext w:val="0"/>
              <w:keepLines w:val="0"/>
              <w:jc w:val="center"/>
              <w:rPr>
                <w:color w:val="000000"/>
                <w:szCs w:val="20"/>
                <w:lang w:val="en-AU"/>
              </w:rPr>
            </w:pPr>
            <w:r w:rsidRPr="002E75D2">
              <w:rPr>
                <w:color w:val="000000"/>
                <w:szCs w:val="20"/>
                <w:lang w:val="en-AU"/>
              </w:rPr>
              <w:t>Trial ID</w:t>
            </w:r>
          </w:p>
        </w:tc>
        <w:tc>
          <w:tcPr>
            <w:tcW w:w="732" w:type="pct"/>
            <w:tcBorders>
              <w:top w:val="single" w:sz="4" w:space="0" w:color="auto"/>
              <w:left w:val="single" w:sz="4" w:space="0" w:color="auto"/>
              <w:bottom w:val="single" w:sz="4" w:space="0" w:color="auto"/>
              <w:right w:val="single" w:sz="4" w:space="0" w:color="auto"/>
            </w:tcBorders>
            <w:vAlign w:val="center"/>
          </w:tcPr>
          <w:p w14:paraId="381C5952" w14:textId="6DBBDEB4" w:rsidR="0059186A" w:rsidRPr="002E75D2" w:rsidRDefault="0059186A" w:rsidP="000E2381">
            <w:pPr>
              <w:pStyle w:val="In-tableHeading"/>
              <w:keepNext w:val="0"/>
              <w:keepLines w:val="0"/>
              <w:jc w:val="center"/>
              <w:rPr>
                <w:color w:val="000000"/>
                <w:szCs w:val="20"/>
                <w:lang w:val="en-AU"/>
              </w:rPr>
            </w:pPr>
            <w:r w:rsidRPr="002E75D2">
              <w:rPr>
                <w:color w:val="000000"/>
                <w:szCs w:val="20"/>
                <w:lang w:val="en-AU"/>
              </w:rPr>
              <w:t>Delgocitinib</w:t>
            </w:r>
            <w:r w:rsidR="00BC0250" w:rsidRPr="002E75D2">
              <w:rPr>
                <w:color w:val="000000"/>
                <w:szCs w:val="20"/>
                <w:lang w:val="en-AU"/>
              </w:rPr>
              <w:t>,</w:t>
            </w:r>
            <w:r w:rsidRPr="002E75D2">
              <w:rPr>
                <w:color w:val="000000"/>
                <w:szCs w:val="20"/>
                <w:lang w:val="en-AU"/>
              </w:rPr>
              <w:t xml:space="preserve"> LS Mean (SE)</w:t>
            </w:r>
          </w:p>
        </w:tc>
        <w:tc>
          <w:tcPr>
            <w:tcW w:w="798" w:type="pct"/>
            <w:tcBorders>
              <w:top w:val="single" w:sz="4" w:space="0" w:color="auto"/>
              <w:left w:val="nil"/>
              <w:bottom w:val="single" w:sz="4" w:space="0" w:color="auto"/>
              <w:right w:val="single" w:sz="4" w:space="0" w:color="auto"/>
            </w:tcBorders>
            <w:vAlign w:val="center"/>
          </w:tcPr>
          <w:p w14:paraId="329B8152" w14:textId="378E8BCE" w:rsidR="0059186A" w:rsidRPr="002E75D2" w:rsidRDefault="00912803" w:rsidP="000E2381">
            <w:pPr>
              <w:pStyle w:val="In-tableHeading"/>
              <w:keepNext w:val="0"/>
              <w:keepLines w:val="0"/>
              <w:jc w:val="center"/>
              <w:rPr>
                <w:color w:val="000000"/>
                <w:szCs w:val="20"/>
                <w:lang w:val="en-AU"/>
              </w:rPr>
            </w:pPr>
            <w:r>
              <w:rPr>
                <w:color w:val="000000"/>
                <w:szCs w:val="20"/>
                <w:lang w:val="en-AU"/>
              </w:rPr>
              <w:t>V</w:t>
            </w:r>
            <w:r w:rsidR="0059186A" w:rsidRPr="002E75D2">
              <w:rPr>
                <w:color w:val="000000"/>
                <w:szCs w:val="20"/>
                <w:lang w:val="en-AU"/>
              </w:rPr>
              <w:t>ehicle</w:t>
            </w:r>
            <w:r w:rsidR="00BC0250" w:rsidRPr="002E75D2">
              <w:rPr>
                <w:color w:val="000000"/>
                <w:szCs w:val="20"/>
                <w:lang w:val="en-AU"/>
              </w:rPr>
              <w:t>,</w:t>
            </w:r>
            <w:r w:rsidR="0059186A" w:rsidRPr="002E75D2">
              <w:rPr>
                <w:color w:val="000000"/>
                <w:szCs w:val="20"/>
                <w:lang w:val="en-AU"/>
              </w:rPr>
              <w:t xml:space="preserve"> Mean (SE)</w:t>
            </w:r>
          </w:p>
        </w:tc>
        <w:tc>
          <w:tcPr>
            <w:tcW w:w="944" w:type="pct"/>
            <w:tcBorders>
              <w:top w:val="single" w:sz="4" w:space="0" w:color="auto"/>
              <w:left w:val="nil"/>
              <w:bottom w:val="single" w:sz="4" w:space="0" w:color="auto"/>
              <w:right w:val="single" w:sz="4" w:space="0" w:color="auto"/>
            </w:tcBorders>
            <w:vAlign w:val="center"/>
          </w:tcPr>
          <w:p w14:paraId="12BCFB29" w14:textId="0185F53A" w:rsidR="0059186A" w:rsidRPr="002E75D2" w:rsidRDefault="0059186A" w:rsidP="000E2381">
            <w:pPr>
              <w:pStyle w:val="In-tableHeading"/>
              <w:keepNext w:val="0"/>
              <w:keepLines w:val="0"/>
              <w:jc w:val="center"/>
              <w:rPr>
                <w:color w:val="000000"/>
                <w:szCs w:val="20"/>
                <w:lang w:val="en-AU"/>
              </w:rPr>
            </w:pPr>
            <w:r w:rsidRPr="002E75D2">
              <w:rPr>
                <w:color w:val="000000"/>
                <w:szCs w:val="20"/>
                <w:lang w:val="en-AU"/>
              </w:rPr>
              <w:t>Mean Difference</w:t>
            </w:r>
            <w:r w:rsidR="00BC0250" w:rsidRPr="002E75D2">
              <w:rPr>
                <w:color w:val="000000"/>
                <w:szCs w:val="20"/>
                <w:lang w:val="en-AU"/>
              </w:rPr>
              <w:t>,</w:t>
            </w:r>
            <w:r w:rsidRPr="002E75D2">
              <w:rPr>
                <w:color w:val="000000"/>
                <w:szCs w:val="20"/>
                <w:lang w:val="en-AU"/>
              </w:rPr>
              <w:t xml:space="preserve"> (95% CI)</w:t>
            </w:r>
          </w:p>
        </w:tc>
      </w:tr>
      <w:tr w:rsidR="006A57C3" w:rsidRPr="002E75D2" w14:paraId="075FD78D" w14:textId="77777777" w:rsidTr="00C21DB1">
        <w:trPr>
          <w:trHeight w:val="20"/>
        </w:trPr>
        <w:tc>
          <w:tcPr>
            <w:tcW w:w="1727" w:type="pct"/>
            <w:vMerge w:val="restart"/>
            <w:tcBorders>
              <w:top w:val="single" w:sz="4" w:space="0" w:color="auto"/>
              <w:left w:val="single" w:sz="4" w:space="0" w:color="auto"/>
              <w:right w:val="single" w:sz="4" w:space="0" w:color="auto"/>
            </w:tcBorders>
            <w:vAlign w:val="center"/>
          </w:tcPr>
          <w:p w14:paraId="6269AC52" w14:textId="13628946" w:rsidR="006A57C3" w:rsidRPr="002E75D2" w:rsidRDefault="006A57C3" w:rsidP="000E2381">
            <w:pPr>
              <w:pStyle w:val="TableText0"/>
              <w:keepLines w:val="0"/>
            </w:pPr>
            <w:r w:rsidRPr="002E75D2">
              <w:t xml:space="preserve">HECSI scores, </w:t>
            </w:r>
            <w:r w:rsidR="00CE1BA7" w:rsidRPr="002E75D2">
              <w:t>change from</w:t>
            </w:r>
            <w:r w:rsidRPr="002E75D2">
              <w:t xml:space="preserve"> baseline</w:t>
            </w:r>
          </w:p>
        </w:tc>
        <w:tc>
          <w:tcPr>
            <w:tcW w:w="799" w:type="pct"/>
            <w:tcBorders>
              <w:top w:val="single" w:sz="4" w:space="0" w:color="auto"/>
              <w:left w:val="single" w:sz="4" w:space="0" w:color="auto"/>
              <w:bottom w:val="single" w:sz="4" w:space="0" w:color="auto"/>
              <w:right w:val="single" w:sz="4" w:space="0" w:color="auto"/>
            </w:tcBorders>
            <w:vAlign w:val="center"/>
          </w:tcPr>
          <w:p w14:paraId="0B04C000" w14:textId="15D5075B" w:rsidR="006A57C3" w:rsidRPr="002E75D2" w:rsidRDefault="006A57C3"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tcPr>
          <w:p w14:paraId="50467D4A" w14:textId="1CE60713" w:rsidR="006A57C3" w:rsidRPr="002E75D2" w:rsidRDefault="006A57C3" w:rsidP="000E2381">
            <w:pPr>
              <w:pStyle w:val="TableText0"/>
              <w:keepLines w:val="0"/>
              <w:jc w:val="center"/>
            </w:pPr>
            <w:r w:rsidRPr="002E75D2">
              <w:t>50.</w:t>
            </w:r>
            <w:r w:rsidR="00147FBA" w:rsidRPr="002E75D2">
              <w:t>9</w:t>
            </w:r>
            <w:r w:rsidR="00147FBA" w:rsidRPr="002E75D2">
              <w:rPr>
                <w:vertAlign w:val="superscript"/>
              </w:rPr>
              <w:t>c</w:t>
            </w:r>
          </w:p>
        </w:tc>
        <w:tc>
          <w:tcPr>
            <w:tcW w:w="798" w:type="pct"/>
            <w:tcBorders>
              <w:top w:val="single" w:sz="4" w:space="0" w:color="auto"/>
              <w:left w:val="nil"/>
              <w:bottom w:val="single" w:sz="4" w:space="0" w:color="auto"/>
              <w:right w:val="single" w:sz="4" w:space="0" w:color="auto"/>
            </w:tcBorders>
          </w:tcPr>
          <w:p w14:paraId="3B41700D" w14:textId="7F12AA95" w:rsidR="006A57C3" w:rsidRPr="002E75D2" w:rsidRDefault="006A57C3" w:rsidP="000E2381">
            <w:pPr>
              <w:pStyle w:val="TableText0"/>
              <w:keepLines w:val="0"/>
              <w:jc w:val="center"/>
            </w:pPr>
            <w:r w:rsidRPr="002E75D2">
              <w:t>32.</w:t>
            </w:r>
            <w:r w:rsidR="00147FBA" w:rsidRPr="002E75D2">
              <w:t>0</w:t>
            </w:r>
            <w:r w:rsidR="00147FBA" w:rsidRPr="002E75D2">
              <w:rPr>
                <w:vertAlign w:val="superscript"/>
              </w:rPr>
              <w:t>c</w:t>
            </w:r>
          </w:p>
        </w:tc>
        <w:tc>
          <w:tcPr>
            <w:tcW w:w="944" w:type="pct"/>
            <w:tcBorders>
              <w:top w:val="single" w:sz="4" w:space="0" w:color="auto"/>
              <w:left w:val="nil"/>
              <w:bottom w:val="single" w:sz="4" w:space="0" w:color="auto"/>
              <w:right w:val="single" w:sz="4" w:space="0" w:color="auto"/>
            </w:tcBorders>
            <w:vAlign w:val="center"/>
          </w:tcPr>
          <w:p w14:paraId="58747957" w14:textId="0A271669" w:rsidR="006A57C3" w:rsidRPr="002E75D2" w:rsidRDefault="00CE1BA7" w:rsidP="000E2381">
            <w:pPr>
              <w:pStyle w:val="TableText0"/>
              <w:keepLines w:val="0"/>
              <w:jc w:val="center"/>
              <w:rPr>
                <w:b/>
                <w:bCs w:val="0"/>
              </w:rPr>
            </w:pPr>
            <w:r w:rsidRPr="002E75D2">
              <w:rPr>
                <w:b/>
                <w:bCs w:val="0"/>
              </w:rPr>
              <w:t>18.6 (11.3, 25.9)</w:t>
            </w:r>
            <w:r w:rsidR="00147FBA" w:rsidRPr="002E75D2">
              <w:rPr>
                <w:b/>
                <w:bCs w:val="0"/>
                <w:vertAlign w:val="superscript"/>
              </w:rPr>
              <w:t>d</w:t>
            </w:r>
          </w:p>
        </w:tc>
      </w:tr>
      <w:tr w:rsidR="006A57C3" w:rsidRPr="002E75D2" w14:paraId="77070FB7" w14:textId="77777777" w:rsidTr="00C21DB1">
        <w:trPr>
          <w:trHeight w:val="20"/>
        </w:trPr>
        <w:tc>
          <w:tcPr>
            <w:tcW w:w="1727" w:type="pct"/>
            <w:vMerge/>
            <w:tcBorders>
              <w:left w:val="single" w:sz="4" w:space="0" w:color="auto"/>
              <w:right w:val="single" w:sz="4" w:space="0" w:color="auto"/>
            </w:tcBorders>
            <w:vAlign w:val="center"/>
          </w:tcPr>
          <w:p w14:paraId="02DCE0A4" w14:textId="77777777" w:rsidR="006A57C3" w:rsidRPr="002E75D2" w:rsidRDefault="006A57C3"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tcPr>
          <w:p w14:paraId="6EA2B1B1" w14:textId="2887EBA7" w:rsidR="006A57C3" w:rsidRPr="002E75D2" w:rsidRDefault="006A57C3"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tcPr>
          <w:p w14:paraId="7287C365" w14:textId="6AB34080" w:rsidR="006A57C3" w:rsidRPr="002E75D2" w:rsidRDefault="006A57C3" w:rsidP="000E2381">
            <w:pPr>
              <w:pStyle w:val="TableText0"/>
              <w:keepLines w:val="0"/>
              <w:jc w:val="center"/>
            </w:pPr>
            <w:r w:rsidRPr="002E75D2">
              <w:t>44.</w:t>
            </w:r>
            <w:r w:rsidR="00147FBA" w:rsidRPr="002E75D2">
              <w:t>3</w:t>
            </w:r>
            <w:r w:rsidR="00147FBA" w:rsidRPr="002E75D2">
              <w:rPr>
                <w:vertAlign w:val="superscript"/>
              </w:rPr>
              <w:t>c</w:t>
            </w:r>
          </w:p>
        </w:tc>
        <w:tc>
          <w:tcPr>
            <w:tcW w:w="798" w:type="pct"/>
            <w:tcBorders>
              <w:top w:val="single" w:sz="4" w:space="0" w:color="auto"/>
              <w:left w:val="nil"/>
              <w:bottom w:val="single" w:sz="4" w:space="0" w:color="auto"/>
              <w:right w:val="single" w:sz="4" w:space="0" w:color="auto"/>
            </w:tcBorders>
          </w:tcPr>
          <w:p w14:paraId="5D5FE06B" w14:textId="17FA9477" w:rsidR="006A57C3" w:rsidRPr="002E75D2" w:rsidRDefault="006A57C3" w:rsidP="000E2381">
            <w:pPr>
              <w:pStyle w:val="TableText0"/>
              <w:keepLines w:val="0"/>
              <w:jc w:val="center"/>
            </w:pPr>
            <w:r w:rsidRPr="002E75D2">
              <w:t>25.</w:t>
            </w:r>
            <w:r w:rsidR="00147FBA" w:rsidRPr="002E75D2">
              <w:t>0</w:t>
            </w:r>
            <w:r w:rsidR="00147FBA" w:rsidRPr="002E75D2">
              <w:rPr>
                <w:vertAlign w:val="superscript"/>
              </w:rPr>
              <w:t>c</w:t>
            </w:r>
          </w:p>
        </w:tc>
        <w:tc>
          <w:tcPr>
            <w:tcW w:w="944" w:type="pct"/>
            <w:tcBorders>
              <w:top w:val="single" w:sz="4" w:space="0" w:color="auto"/>
              <w:left w:val="nil"/>
              <w:bottom w:val="single" w:sz="4" w:space="0" w:color="auto"/>
              <w:right w:val="single" w:sz="4" w:space="0" w:color="auto"/>
            </w:tcBorders>
            <w:vAlign w:val="center"/>
          </w:tcPr>
          <w:p w14:paraId="423143E9" w14:textId="031E509B" w:rsidR="006A57C3" w:rsidRPr="002E75D2" w:rsidRDefault="000A2513" w:rsidP="000E2381">
            <w:pPr>
              <w:pStyle w:val="TableText0"/>
              <w:keepLines w:val="0"/>
              <w:jc w:val="center"/>
              <w:rPr>
                <w:b/>
                <w:bCs w:val="0"/>
              </w:rPr>
            </w:pPr>
            <w:r w:rsidRPr="002E75D2">
              <w:rPr>
                <w:b/>
                <w:bCs w:val="0"/>
              </w:rPr>
              <w:t>22.7 (17.1, 28.2)</w:t>
            </w:r>
            <w:r w:rsidR="00147FBA" w:rsidRPr="002E75D2">
              <w:rPr>
                <w:b/>
                <w:bCs w:val="0"/>
                <w:vertAlign w:val="superscript"/>
              </w:rPr>
              <w:t>d</w:t>
            </w:r>
          </w:p>
        </w:tc>
      </w:tr>
      <w:tr w:rsidR="00AB091A" w:rsidRPr="002E75D2" w14:paraId="45376E02" w14:textId="77777777" w:rsidTr="00C21DB1">
        <w:trPr>
          <w:trHeight w:val="20"/>
        </w:trPr>
        <w:tc>
          <w:tcPr>
            <w:tcW w:w="1727" w:type="pct"/>
            <w:vMerge w:val="restart"/>
            <w:tcBorders>
              <w:top w:val="single" w:sz="4" w:space="0" w:color="auto"/>
              <w:left w:val="single" w:sz="4" w:space="0" w:color="auto"/>
              <w:right w:val="single" w:sz="4" w:space="0" w:color="auto"/>
            </w:tcBorders>
            <w:vAlign w:val="center"/>
          </w:tcPr>
          <w:p w14:paraId="40BBB644" w14:textId="0D4E9A47" w:rsidR="00AB091A" w:rsidRPr="002E75D2" w:rsidRDefault="00AB091A" w:rsidP="000E2381">
            <w:pPr>
              <w:pStyle w:val="TableText0"/>
              <w:keepLines w:val="0"/>
            </w:pPr>
            <w:r w:rsidRPr="002E75D2">
              <w:t>HECSI % change from baseline</w:t>
            </w:r>
          </w:p>
        </w:tc>
        <w:tc>
          <w:tcPr>
            <w:tcW w:w="799" w:type="pct"/>
            <w:tcBorders>
              <w:top w:val="single" w:sz="4" w:space="0" w:color="auto"/>
              <w:left w:val="single" w:sz="4" w:space="0" w:color="auto"/>
              <w:bottom w:val="single" w:sz="4" w:space="0" w:color="auto"/>
              <w:right w:val="single" w:sz="4" w:space="0" w:color="auto"/>
            </w:tcBorders>
            <w:vAlign w:val="center"/>
          </w:tcPr>
          <w:p w14:paraId="7C4C27F0" w14:textId="77777777" w:rsidR="00AB091A" w:rsidRPr="002E75D2" w:rsidRDefault="00AB091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tcPr>
          <w:p w14:paraId="10A52F35" w14:textId="77777777" w:rsidR="00AB091A" w:rsidRPr="002E75D2" w:rsidRDefault="00AB091A" w:rsidP="000E2381">
            <w:pPr>
              <w:pStyle w:val="TableText0"/>
              <w:keepLines w:val="0"/>
              <w:jc w:val="center"/>
            </w:pPr>
            <w:r w:rsidRPr="002E75D2">
              <w:t>-56.5 (3.4)</w:t>
            </w:r>
          </w:p>
        </w:tc>
        <w:tc>
          <w:tcPr>
            <w:tcW w:w="798" w:type="pct"/>
            <w:tcBorders>
              <w:top w:val="single" w:sz="4" w:space="0" w:color="auto"/>
              <w:left w:val="nil"/>
              <w:bottom w:val="single" w:sz="4" w:space="0" w:color="auto"/>
              <w:right w:val="single" w:sz="4" w:space="0" w:color="auto"/>
            </w:tcBorders>
          </w:tcPr>
          <w:p w14:paraId="2C10B209" w14:textId="77777777" w:rsidR="00AB091A" w:rsidRPr="002E75D2" w:rsidRDefault="00AB091A" w:rsidP="000E2381">
            <w:pPr>
              <w:pStyle w:val="TableText0"/>
              <w:keepLines w:val="0"/>
              <w:jc w:val="center"/>
            </w:pPr>
            <w:r w:rsidRPr="002E75D2">
              <w:t>-21.2 (4.8)</w:t>
            </w:r>
          </w:p>
        </w:tc>
        <w:tc>
          <w:tcPr>
            <w:tcW w:w="944" w:type="pct"/>
            <w:tcBorders>
              <w:top w:val="single" w:sz="4" w:space="0" w:color="auto"/>
              <w:left w:val="nil"/>
              <w:bottom w:val="single" w:sz="4" w:space="0" w:color="auto"/>
              <w:right w:val="single" w:sz="4" w:space="0" w:color="auto"/>
            </w:tcBorders>
            <w:vAlign w:val="center"/>
          </w:tcPr>
          <w:p w14:paraId="178ADC70" w14:textId="77777777" w:rsidR="00AB091A" w:rsidRPr="002E75D2" w:rsidRDefault="00AB091A" w:rsidP="000E2381">
            <w:pPr>
              <w:pStyle w:val="TableText0"/>
              <w:keepLines w:val="0"/>
              <w:jc w:val="center"/>
              <w:rPr>
                <w:b/>
                <w:bCs w:val="0"/>
              </w:rPr>
            </w:pPr>
            <w:r w:rsidRPr="002E75D2">
              <w:rPr>
                <w:b/>
                <w:bCs w:val="0"/>
              </w:rPr>
              <w:t>-35.2 (-46.7, -23.8)</w:t>
            </w:r>
          </w:p>
        </w:tc>
      </w:tr>
      <w:tr w:rsidR="00AB091A" w:rsidRPr="002E75D2" w14:paraId="0C4F30AD" w14:textId="77777777" w:rsidTr="00C21DB1">
        <w:trPr>
          <w:trHeight w:val="20"/>
        </w:trPr>
        <w:tc>
          <w:tcPr>
            <w:tcW w:w="1727" w:type="pct"/>
            <w:vMerge/>
            <w:tcBorders>
              <w:left w:val="single" w:sz="4" w:space="0" w:color="auto"/>
              <w:bottom w:val="single" w:sz="4" w:space="0" w:color="auto"/>
              <w:right w:val="single" w:sz="4" w:space="0" w:color="auto"/>
            </w:tcBorders>
            <w:vAlign w:val="center"/>
          </w:tcPr>
          <w:p w14:paraId="7A841AD7" w14:textId="77777777" w:rsidR="00AB091A" w:rsidRPr="002E75D2" w:rsidRDefault="00AB091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tcPr>
          <w:p w14:paraId="39069B53" w14:textId="77777777" w:rsidR="00AB091A" w:rsidRPr="002E75D2" w:rsidRDefault="00AB091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tcPr>
          <w:p w14:paraId="4D818450" w14:textId="77777777" w:rsidR="00AB091A" w:rsidRPr="002E75D2" w:rsidRDefault="00AB091A" w:rsidP="000E2381">
            <w:pPr>
              <w:pStyle w:val="TableText0"/>
              <w:keepLines w:val="0"/>
              <w:jc w:val="center"/>
            </w:pPr>
            <w:r w:rsidRPr="002E75D2">
              <w:t>-58.9 (3.2)</w:t>
            </w:r>
          </w:p>
        </w:tc>
        <w:tc>
          <w:tcPr>
            <w:tcW w:w="798" w:type="pct"/>
            <w:tcBorders>
              <w:top w:val="single" w:sz="4" w:space="0" w:color="auto"/>
              <w:left w:val="nil"/>
              <w:bottom w:val="single" w:sz="4" w:space="0" w:color="auto"/>
              <w:right w:val="single" w:sz="4" w:space="0" w:color="auto"/>
            </w:tcBorders>
          </w:tcPr>
          <w:p w14:paraId="7CBDBDA3" w14:textId="77777777" w:rsidR="00AB091A" w:rsidRPr="002E75D2" w:rsidRDefault="00AB091A" w:rsidP="000E2381">
            <w:pPr>
              <w:pStyle w:val="TableText0"/>
              <w:keepLines w:val="0"/>
              <w:jc w:val="center"/>
            </w:pPr>
            <w:r w:rsidRPr="002E75D2">
              <w:t>-13.4 (4.5)</w:t>
            </w:r>
          </w:p>
        </w:tc>
        <w:tc>
          <w:tcPr>
            <w:tcW w:w="944" w:type="pct"/>
            <w:tcBorders>
              <w:top w:val="single" w:sz="4" w:space="0" w:color="auto"/>
              <w:left w:val="nil"/>
              <w:bottom w:val="single" w:sz="4" w:space="0" w:color="auto"/>
              <w:right w:val="single" w:sz="4" w:space="0" w:color="auto"/>
            </w:tcBorders>
            <w:vAlign w:val="center"/>
          </w:tcPr>
          <w:p w14:paraId="1621087C" w14:textId="77777777" w:rsidR="00AB091A" w:rsidRPr="002E75D2" w:rsidRDefault="00AB091A" w:rsidP="000E2381">
            <w:pPr>
              <w:pStyle w:val="TableText0"/>
              <w:keepLines w:val="0"/>
              <w:jc w:val="center"/>
              <w:rPr>
                <w:b/>
                <w:bCs w:val="0"/>
              </w:rPr>
            </w:pPr>
            <w:r w:rsidRPr="002E75D2">
              <w:rPr>
                <w:b/>
                <w:bCs w:val="0"/>
              </w:rPr>
              <w:t>-45.5 (-56.4, -34.6)</w:t>
            </w:r>
          </w:p>
        </w:tc>
      </w:tr>
      <w:tr w:rsidR="00AB091A" w:rsidRPr="002E75D2" w14:paraId="2AC325A4" w14:textId="77777777" w:rsidTr="00C21DB1">
        <w:trPr>
          <w:trHeight w:val="20"/>
        </w:trPr>
        <w:tc>
          <w:tcPr>
            <w:tcW w:w="1727" w:type="pct"/>
            <w:vMerge w:val="restart"/>
            <w:tcBorders>
              <w:top w:val="single" w:sz="4" w:space="0" w:color="auto"/>
              <w:left w:val="single" w:sz="4" w:space="0" w:color="auto"/>
              <w:right w:val="single" w:sz="4" w:space="0" w:color="auto"/>
            </w:tcBorders>
            <w:vAlign w:val="center"/>
          </w:tcPr>
          <w:p w14:paraId="550B1618" w14:textId="1B815D6D" w:rsidR="00AB091A" w:rsidRPr="002E75D2" w:rsidRDefault="00AB091A" w:rsidP="000E2381">
            <w:pPr>
              <w:pStyle w:val="TableText0"/>
              <w:keepLines w:val="0"/>
            </w:pPr>
            <w:r w:rsidRPr="002E75D2">
              <w:t>HESD itch change from baseline</w:t>
            </w:r>
          </w:p>
        </w:tc>
        <w:tc>
          <w:tcPr>
            <w:tcW w:w="799" w:type="pct"/>
            <w:tcBorders>
              <w:top w:val="single" w:sz="4" w:space="0" w:color="auto"/>
              <w:left w:val="single" w:sz="4" w:space="0" w:color="auto"/>
              <w:bottom w:val="single" w:sz="4" w:space="0" w:color="auto"/>
              <w:right w:val="single" w:sz="4" w:space="0" w:color="auto"/>
            </w:tcBorders>
            <w:vAlign w:val="center"/>
          </w:tcPr>
          <w:p w14:paraId="255B67DE" w14:textId="77777777" w:rsidR="00AB091A" w:rsidRPr="002E75D2" w:rsidRDefault="00AB091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tcPr>
          <w:p w14:paraId="3EAC7EA0" w14:textId="77777777" w:rsidR="00AB091A" w:rsidRPr="002E75D2" w:rsidRDefault="00AB091A" w:rsidP="000E2381">
            <w:pPr>
              <w:pStyle w:val="TableText0"/>
              <w:keepLines w:val="0"/>
              <w:jc w:val="center"/>
            </w:pPr>
            <w:r w:rsidRPr="002E75D2">
              <w:t>-3.6 (0.2)</w:t>
            </w:r>
          </w:p>
        </w:tc>
        <w:tc>
          <w:tcPr>
            <w:tcW w:w="798" w:type="pct"/>
            <w:tcBorders>
              <w:top w:val="single" w:sz="4" w:space="0" w:color="auto"/>
              <w:left w:val="nil"/>
              <w:bottom w:val="single" w:sz="4" w:space="0" w:color="auto"/>
              <w:right w:val="single" w:sz="4" w:space="0" w:color="auto"/>
            </w:tcBorders>
          </w:tcPr>
          <w:p w14:paraId="7A8284D5" w14:textId="77777777" w:rsidR="00AB091A" w:rsidRPr="002E75D2" w:rsidRDefault="00AB091A" w:rsidP="000E2381">
            <w:pPr>
              <w:pStyle w:val="TableText0"/>
              <w:keepLines w:val="0"/>
              <w:jc w:val="center"/>
            </w:pPr>
            <w:r w:rsidRPr="002E75D2">
              <w:t>-1.9 (0.2)</w:t>
            </w:r>
          </w:p>
        </w:tc>
        <w:tc>
          <w:tcPr>
            <w:tcW w:w="944" w:type="pct"/>
            <w:tcBorders>
              <w:top w:val="single" w:sz="4" w:space="0" w:color="auto"/>
              <w:left w:val="nil"/>
              <w:bottom w:val="single" w:sz="4" w:space="0" w:color="auto"/>
              <w:right w:val="single" w:sz="4" w:space="0" w:color="auto"/>
            </w:tcBorders>
            <w:vAlign w:val="center"/>
          </w:tcPr>
          <w:p w14:paraId="7C2ECEDE" w14:textId="77777777" w:rsidR="00AB091A" w:rsidRPr="002E75D2" w:rsidRDefault="00AB091A" w:rsidP="000E2381">
            <w:pPr>
              <w:pStyle w:val="TableText0"/>
              <w:keepLines w:val="0"/>
              <w:jc w:val="center"/>
              <w:rPr>
                <w:b/>
                <w:bCs w:val="0"/>
              </w:rPr>
            </w:pPr>
            <w:r w:rsidRPr="002E75D2">
              <w:rPr>
                <w:b/>
                <w:bCs w:val="0"/>
              </w:rPr>
              <w:t>-1.7 (-2.3, -1.2)</w:t>
            </w:r>
          </w:p>
        </w:tc>
      </w:tr>
      <w:tr w:rsidR="00AB091A" w:rsidRPr="002E75D2" w14:paraId="0E0620C3" w14:textId="77777777" w:rsidTr="00C21DB1">
        <w:trPr>
          <w:trHeight w:val="20"/>
        </w:trPr>
        <w:tc>
          <w:tcPr>
            <w:tcW w:w="1727" w:type="pct"/>
            <w:vMerge/>
            <w:tcBorders>
              <w:left w:val="single" w:sz="4" w:space="0" w:color="auto"/>
              <w:bottom w:val="single" w:sz="4" w:space="0" w:color="auto"/>
              <w:right w:val="single" w:sz="4" w:space="0" w:color="auto"/>
            </w:tcBorders>
            <w:vAlign w:val="center"/>
          </w:tcPr>
          <w:p w14:paraId="1B87DC52" w14:textId="77777777" w:rsidR="00AB091A" w:rsidRPr="002E75D2" w:rsidRDefault="00AB091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tcPr>
          <w:p w14:paraId="461C042A" w14:textId="77777777" w:rsidR="00AB091A" w:rsidRPr="002E75D2" w:rsidRDefault="00AB091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tcPr>
          <w:p w14:paraId="3BD898F3" w14:textId="77777777" w:rsidR="00AB091A" w:rsidRPr="002E75D2" w:rsidRDefault="00AB091A" w:rsidP="000E2381">
            <w:pPr>
              <w:pStyle w:val="TableText0"/>
              <w:keepLines w:val="0"/>
              <w:jc w:val="center"/>
            </w:pPr>
            <w:r w:rsidRPr="002E75D2">
              <w:t>-3.4 (0.2)</w:t>
            </w:r>
          </w:p>
        </w:tc>
        <w:tc>
          <w:tcPr>
            <w:tcW w:w="798" w:type="pct"/>
            <w:tcBorders>
              <w:top w:val="single" w:sz="4" w:space="0" w:color="auto"/>
              <w:left w:val="nil"/>
              <w:bottom w:val="single" w:sz="4" w:space="0" w:color="auto"/>
              <w:right w:val="single" w:sz="4" w:space="0" w:color="auto"/>
            </w:tcBorders>
          </w:tcPr>
          <w:p w14:paraId="7F706602" w14:textId="77777777" w:rsidR="00AB091A" w:rsidRPr="002E75D2" w:rsidRDefault="00AB091A" w:rsidP="000E2381">
            <w:pPr>
              <w:pStyle w:val="TableText0"/>
              <w:keepLines w:val="0"/>
              <w:jc w:val="center"/>
            </w:pPr>
            <w:r w:rsidRPr="002E75D2">
              <w:t>-1.4 (0.2)</w:t>
            </w:r>
          </w:p>
        </w:tc>
        <w:tc>
          <w:tcPr>
            <w:tcW w:w="944" w:type="pct"/>
            <w:tcBorders>
              <w:top w:val="single" w:sz="4" w:space="0" w:color="auto"/>
              <w:left w:val="nil"/>
              <w:bottom w:val="single" w:sz="4" w:space="0" w:color="auto"/>
              <w:right w:val="single" w:sz="4" w:space="0" w:color="auto"/>
            </w:tcBorders>
            <w:vAlign w:val="center"/>
          </w:tcPr>
          <w:p w14:paraId="160662B9" w14:textId="77777777" w:rsidR="00AB091A" w:rsidRPr="002E75D2" w:rsidRDefault="00AB091A" w:rsidP="000E2381">
            <w:pPr>
              <w:pStyle w:val="TableText0"/>
              <w:keepLines w:val="0"/>
              <w:jc w:val="center"/>
              <w:rPr>
                <w:b/>
                <w:bCs w:val="0"/>
              </w:rPr>
            </w:pPr>
            <w:r w:rsidRPr="002E75D2">
              <w:rPr>
                <w:b/>
                <w:bCs w:val="0"/>
              </w:rPr>
              <w:t>-2.0 (-2.5, -1.4)</w:t>
            </w:r>
          </w:p>
        </w:tc>
      </w:tr>
      <w:tr w:rsidR="00AB091A" w:rsidRPr="002E75D2" w14:paraId="2CF81517" w14:textId="77777777" w:rsidTr="00C21DB1">
        <w:trPr>
          <w:trHeight w:val="20"/>
        </w:trPr>
        <w:tc>
          <w:tcPr>
            <w:tcW w:w="1727" w:type="pct"/>
            <w:vMerge w:val="restart"/>
            <w:tcBorders>
              <w:top w:val="single" w:sz="4" w:space="0" w:color="auto"/>
              <w:left w:val="single" w:sz="4" w:space="0" w:color="auto"/>
              <w:right w:val="single" w:sz="4" w:space="0" w:color="auto"/>
            </w:tcBorders>
            <w:vAlign w:val="center"/>
          </w:tcPr>
          <w:p w14:paraId="1C238C3E" w14:textId="4CE9EAF3" w:rsidR="00AB091A" w:rsidRPr="002E75D2" w:rsidRDefault="00AB091A" w:rsidP="000E2381">
            <w:pPr>
              <w:pStyle w:val="TableText0"/>
              <w:keepLines w:val="0"/>
            </w:pPr>
            <w:r w:rsidRPr="002E75D2">
              <w:t>HESD total score change from baseline</w:t>
            </w:r>
          </w:p>
        </w:tc>
        <w:tc>
          <w:tcPr>
            <w:tcW w:w="799" w:type="pct"/>
            <w:tcBorders>
              <w:top w:val="single" w:sz="4" w:space="0" w:color="auto"/>
              <w:left w:val="single" w:sz="4" w:space="0" w:color="auto"/>
              <w:bottom w:val="single" w:sz="4" w:space="0" w:color="auto"/>
              <w:right w:val="single" w:sz="4" w:space="0" w:color="auto"/>
            </w:tcBorders>
            <w:vAlign w:val="center"/>
          </w:tcPr>
          <w:p w14:paraId="1AC7F13B" w14:textId="77777777" w:rsidR="00AB091A" w:rsidRPr="002E75D2" w:rsidRDefault="00AB091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tcPr>
          <w:p w14:paraId="037E1B96" w14:textId="77777777" w:rsidR="00AB091A" w:rsidRPr="002E75D2" w:rsidRDefault="00AB091A" w:rsidP="000E2381">
            <w:pPr>
              <w:pStyle w:val="TableText0"/>
              <w:keepLines w:val="0"/>
              <w:jc w:val="center"/>
            </w:pPr>
            <w:r w:rsidRPr="002E75D2">
              <w:t>-3.4 (0.1)</w:t>
            </w:r>
          </w:p>
        </w:tc>
        <w:tc>
          <w:tcPr>
            <w:tcW w:w="798" w:type="pct"/>
            <w:tcBorders>
              <w:top w:val="single" w:sz="4" w:space="0" w:color="auto"/>
              <w:left w:val="nil"/>
              <w:bottom w:val="single" w:sz="4" w:space="0" w:color="auto"/>
              <w:right w:val="single" w:sz="4" w:space="0" w:color="auto"/>
            </w:tcBorders>
          </w:tcPr>
          <w:p w14:paraId="17F4F0FB" w14:textId="77777777" w:rsidR="00AB091A" w:rsidRPr="002E75D2" w:rsidRDefault="00AB091A" w:rsidP="000E2381">
            <w:pPr>
              <w:pStyle w:val="TableText0"/>
              <w:keepLines w:val="0"/>
              <w:jc w:val="center"/>
            </w:pPr>
            <w:r w:rsidRPr="002E75D2">
              <w:t>-1.7 (0.2)</w:t>
            </w:r>
          </w:p>
        </w:tc>
        <w:tc>
          <w:tcPr>
            <w:tcW w:w="944" w:type="pct"/>
            <w:tcBorders>
              <w:top w:val="single" w:sz="4" w:space="0" w:color="auto"/>
              <w:left w:val="nil"/>
              <w:bottom w:val="single" w:sz="4" w:space="0" w:color="auto"/>
              <w:right w:val="single" w:sz="4" w:space="0" w:color="auto"/>
            </w:tcBorders>
            <w:vAlign w:val="center"/>
          </w:tcPr>
          <w:p w14:paraId="2ACD9C76" w14:textId="77777777" w:rsidR="00AB091A" w:rsidRPr="002E75D2" w:rsidRDefault="00AB091A" w:rsidP="000E2381">
            <w:pPr>
              <w:pStyle w:val="TableText0"/>
              <w:keepLines w:val="0"/>
              <w:jc w:val="center"/>
              <w:rPr>
                <w:b/>
                <w:bCs w:val="0"/>
              </w:rPr>
            </w:pPr>
            <w:r w:rsidRPr="002E75D2">
              <w:rPr>
                <w:b/>
                <w:bCs w:val="0"/>
              </w:rPr>
              <w:t>-1.7 (-2.2, -1.2)</w:t>
            </w:r>
          </w:p>
        </w:tc>
      </w:tr>
      <w:tr w:rsidR="00AB091A" w:rsidRPr="002E75D2" w14:paraId="51445085" w14:textId="77777777" w:rsidTr="00C21DB1">
        <w:trPr>
          <w:trHeight w:val="20"/>
        </w:trPr>
        <w:tc>
          <w:tcPr>
            <w:tcW w:w="1727" w:type="pct"/>
            <w:vMerge/>
            <w:tcBorders>
              <w:left w:val="single" w:sz="4" w:space="0" w:color="auto"/>
              <w:bottom w:val="single" w:sz="4" w:space="0" w:color="auto"/>
              <w:right w:val="single" w:sz="4" w:space="0" w:color="auto"/>
            </w:tcBorders>
            <w:vAlign w:val="center"/>
          </w:tcPr>
          <w:p w14:paraId="444DCC00" w14:textId="77777777" w:rsidR="00AB091A" w:rsidRPr="002E75D2" w:rsidRDefault="00AB091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tcPr>
          <w:p w14:paraId="77980220" w14:textId="77777777" w:rsidR="00AB091A" w:rsidRPr="002E75D2" w:rsidRDefault="00AB091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tcPr>
          <w:p w14:paraId="1D967592" w14:textId="77777777" w:rsidR="00AB091A" w:rsidRPr="002E75D2" w:rsidRDefault="00AB091A" w:rsidP="000E2381">
            <w:pPr>
              <w:pStyle w:val="TableText0"/>
              <w:keepLines w:val="0"/>
              <w:jc w:val="center"/>
            </w:pPr>
            <w:r w:rsidRPr="002E75D2">
              <w:t>-3.2 (0.1)</w:t>
            </w:r>
          </w:p>
        </w:tc>
        <w:tc>
          <w:tcPr>
            <w:tcW w:w="798" w:type="pct"/>
            <w:tcBorders>
              <w:top w:val="single" w:sz="4" w:space="0" w:color="auto"/>
              <w:left w:val="nil"/>
              <w:bottom w:val="single" w:sz="4" w:space="0" w:color="auto"/>
              <w:right w:val="single" w:sz="4" w:space="0" w:color="auto"/>
            </w:tcBorders>
          </w:tcPr>
          <w:p w14:paraId="302923E7" w14:textId="77777777" w:rsidR="00AB091A" w:rsidRPr="002E75D2" w:rsidRDefault="00AB091A" w:rsidP="000E2381">
            <w:pPr>
              <w:pStyle w:val="TableText0"/>
              <w:keepLines w:val="0"/>
              <w:jc w:val="center"/>
            </w:pPr>
            <w:r w:rsidRPr="002E75D2">
              <w:t>-1.4 (0.2)</w:t>
            </w:r>
          </w:p>
        </w:tc>
        <w:tc>
          <w:tcPr>
            <w:tcW w:w="944" w:type="pct"/>
            <w:tcBorders>
              <w:top w:val="single" w:sz="4" w:space="0" w:color="auto"/>
              <w:left w:val="nil"/>
              <w:bottom w:val="single" w:sz="4" w:space="0" w:color="auto"/>
              <w:right w:val="single" w:sz="4" w:space="0" w:color="auto"/>
            </w:tcBorders>
            <w:vAlign w:val="center"/>
          </w:tcPr>
          <w:p w14:paraId="355321CC" w14:textId="77777777" w:rsidR="00AB091A" w:rsidRPr="002E75D2" w:rsidRDefault="00AB091A" w:rsidP="000E2381">
            <w:pPr>
              <w:pStyle w:val="TableText0"/>
              <w:keepLines w:val="0"/>
              <w:jc w:val="center"/>
              <w:rPr>
                <w:b/>
                <w:bCs w:val="0"/>
              </w:rPr>
            </w:pPr>
            <w:r w:rsidRPr="002E75D2">
              <w:rPr>
                <w:b/>
                <w:bCs w:val="0"/>
              </w:rPr>
              <w:t>-1.9 (-2.4, -1.4)</w:t>
            </w:r>
          </w:p>
        </w:tc>
      </w:tr>
      <w:tr w:rsidR="00AB091A" w:rsidRPr="002E75D2" w14:paraId="1E9905A0" w14:textId="77777777" w:rsidTr="00C21DB1">
        <w:trPr>
          <w:trHeight w:val="20"/>
        </w:trPr>
        <w:tc>
          <w:tcPr>
            <w:tcW w:w="1727" w:type="pct"/>
            <w:vMerge w:val="restart"/>
            <w:tcBorders>
              <w:top w:val="single" w:sz="4" w:space="0" w:color="auto"/>
              <w:left w:val="single" w:sz="4" w:space="0" w:color="auto"/>
              <w:right w:val="single" w:sz="4" w:space="0" w:color="auto"/>
            </w:tcBorders>
            <w:vAlign w:val="center"/>
          </w:tcPr>
          <w:p w14:paraId="44D1EE1C" w14:textId="44E749A3" w:rsidR="00AB091A" w:rsidRPr="002E75D2" w:rsidRDefault="00AB091A" w:rsidP="000E2381">
            <w:pPr>
              <w:pStyle w:val="TableText0"/>
              <w:keepLines w:val="0"/>
            </w:pPr>
            <w:r w:rsidRPr="002E75D2">
              <w:t>HESD pain change from baseline</w:t>
            </w:r>
          </w:p>
        </w:tc>
        <w:tc>
          <w:tcPr>
            <w:tcW w:w="799" w:type="pct"/>
            <w:tcBorders>
              <w:top w:val="single" w:sz="4" w:space="0" w:color="auto"/>
              <w:left w:val="single" w:sz="4" w:space="0" w:color="auto"/>
              <w:bottom w:val="single" w:sz="4" w:space="0" w:color="auto"/>
              <w:right w:val="single" w:sz="4" w:space="0" w:color="auto"/>
            </w:tcBorders>
            <w:vAlign w:val="center"/>
          </w:tcPr>
          <w:p w14:paraId="44A88250" w14:textId="77777777" w:rsidR="00AB091A" w:rsidRPr="002E75D2" w:rsidRDefault="00AB091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tcPr>
          <w:p w14:paraId="0F9BFE3F" w14:textId="77777777" w:rsidR="00AB091A" w:rsidRPr="002E75D2" w:rsidRDefault="00AB091A" w:rsidP="000E2381">
            <w:pPr>
              <w:pStyle w:val="TableText0"/>
              <w:keepLines w:val="0"/>
              <w:jc w:val="center"/>
            </w:pPr>
            <w:r w:rsidRPr="002E75D2">
              <w:t>-3.4 (0.2)</w:t>
            </w:r>
          </w:p>
        </w:tc>
        <w:tc>
          <w:tcPr>
            <w:tcW w:w="798" w:type="pct"/>
            <w:tcBorders>
              <w:top w:val="single" w:sz="4" w:space="0" w:color="auto"/>
              <w:left w:val="nil"/>
              <w:bottom w:val="single" w:sz="4" w:space="0" w:color="auto"/>
              <w:right w:val="single" w:sz="4" w:space="0" w:color="auto"/>
            </w:tcBorders>
          </w:tcPr>
          <w:p w14:paraId="6E757FCA" w14:textId="77777777" w:rsidR="00AB091A" w:rsidRPr="002E75D2" w:rsidRDefault="00AB091A" w:rsidP="000E2381">
            <w:pPr>
              <w:pStyle w:val="TableText0"/>
              <w:keepLines w:val="0"/>
              <w:jc w:val="center"/>
            </w:pPr>
            <w:r w:rsidRPr="002E75D2">
              <w:t>-1.8 (0.2)</w:t>
            </w:r>
          </w:p>
        </w:tc>
        <w:tc>
          <w:tcPr>
            <w:tcW w:w="944" w:type="pct"/>
            <w:tcBorders>
              <w:top w:val="single" w:sz="4" w:space="0" w:color="auto"/>
              <w:left w:val="nil"/>
              <w:bottom w:val="single" w:sz="4" w:space="0" w:color="auto"/>
              <w:right w:val="single" w:sz="4" w:space="0" w:color="auto"/>
            </w:tcBorders>
            <w:vAlign w:val="center"/>
          </w:tcPr>
          <w:p w14:paraId="2CB45E79" w14:textId="77777777" w:rsidR="00AB091A" w:rsidRPr="002E75D2" w:rsidRDefault="00AB091A" w:rsidP="000E2381">
            <w:pPr>
              <w:pStyle w:val="TableText0"/>
              <w:keepLines w:val="0"/>
              <w:jc w:val="center"/>
              <w:rPr>
                <w:b/>
                <w:bCs w:val="0"/>
              </w:rPr>
            </w:pPr>
            <w:r w:rsidRPr="002E75D2">
              <w:rPr>
                <w:b/>
                <w:bCs w:val="0"/>
              </w:rPr>
              <w:t>-1.6 (-2.1, -1.0)</w:t>
            </w:r>
          </w:p>
        </w:tc>
      </w:tr>
      <w:tr w:rsidR="00AB091A" w:rsidRPr="002E75D2" w14:paraId="700B2B4B" w14:textId="77777777" w:rsidTr="00C21DB1">
        <w:trPr>
          <w:trHeight w:val="20"/>
        </w:trPr>
        <w:tc>
          <w:tcPr>
            <w:tcW w:w="1727" w:type="pct"/>
            <w:vMerge/>
            <w:tcBorders>
              <w:left w:val="single" w:sz="4" w:space="0" w:color="auto"/>
              <w:bottom w:val="single" w:sz="4" w:space="0" w:color="auto"/>
              <w:right w:val="single" w:sz="4" w:space="0" w:color="auto"/>
            </w:tcBorders>
            <w:vAlign w:val="center"/>
          </w:tcPr>
          <w:p w14:paraId="6F799168" w14:textId="77777777" w:rsidR="00AB091A" w:rsidRPr="002E75D2" w:rsidRDefault="00AB091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tcPr>
          <w:p w14:paraId="25CC2B29" w14:textId="77777777" w:rsidR="00AB091A" w:rsidRPr="002E75D2" w:rsidRDefault="00AB091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tcPr>
          <w:p w14:paraId="24A0786C" w14:textId="77777777" w:rsidR="00AB091A" w:rsidRPr="002E75D2" w:rsidRDefault="00AB091A" w:rsidP="000E2381">
            <w:pPr>
              <w:pStyle w:val="TableText0"/>
              <w:keepLines w:val="0"/>
              <w:jc w:val="center"/>
            </w:pPr>
            <w:r w:rsidRPr="002E75D2">
              <w:t>-3.3 (0.2)</w:t>
            </w:r>
          </w:p>
        </w:tc>
        <w:tc>
          <w:tcPr>
            <w:tcW w:w="798" w:type="pct"/>
            <w:tcBorders>
              <w:top w:val="single" w:sz="4" w:space="0" w:color="auto"/>
              <w:left w:val="nil"/>
              <w:bottom w:val="single" w:sz="4" w:space="0" w:color="auto"/>
              <w:right w:val="single" w:sz="4" w:space="0" w:color="auto"/>
            </w:tcBorders>
          </w:tcPr>
          <w:p w14:paraId="3B388760" w14:textId="77777777" w:rsidR="00AB091A" w:rsidRPr="002E75D2" w:rsidRDefault="00AB091A" w:rsidP="000E2381">
            <w:pPr>
              <w:pStyle w:val="TableText0"/>
              <w:keepLines w:val="0"/>
              <w:jc w:val="center"/>
            </w:pPr>
            <w:r w:rsidRPr="002E75D2">
              <w:t>-1.3 (0.2)</w:t>
            </w:r>
          </w:p>
        </w:tc>
        <w:tc>
          <w:tcPr>
            <w:tcW w:w="944" w:type="pct"/>
            <w:tcBorders>
              <w:top w:val="single" w:sz="4" w:space="0" w:color="auto"/>
              <w:left w:val="nil"/>
              <w:bottom w:val="single" w:sz="4" w:space="0" w:color="auto"/>
              <w:right w:val="single" w:sz="4" w:space="0" w:color="auto"/>
            </w:tcBorders>
            <w:vAlign w:val="center"/>
          </w:tcPr>
          <w:p w14:paraId="02AE33F0" w14:textId="77777777" w:rsidR="00AB091A" w:rsidRPr="002E75D2" w:rsidRDefault="00AB091A" w:rsidP="000E2381">
            <w:pPr>
              <w:pStyle w:val="TableText0"/>
              <w:keepLines w:val="0"/>
              <w:jc w:val="center"/>
              <w:rPr>
                <w:b/>
                <w:bCs w:val="0"/>
              </w:rPr>
            </w:pPr>
            <w:r w:rsidRPr="002E75D2">
              <w:rPr>
                <w:b/>
                <w:bCs w:val="0"/>
              </w:rPr>
              <w:t>-2.0 (-2.6, -1.5)</w:t>
            </w:r>
          </w:p>
        </w:tc>
      </w:tr>
      <w:tr w:rsidR="00AB091A" w:rsidRPr="002E75D2" w14:paraId="12E1CB35" w14:textId="77777777" w:rsidTr="00C21DB1">
        <w:trPr>
          <w:trHeight w:val="20"/>
        </w:trPr>
        <w:tc>
          <w:tcPr>
            <w:tcW w:w="1727" w:type="pct"/>
            <w:vMerge w:val="restart"/>
            <w:tcBorders>
              <w:top w:val="single" w:sz="4" w:space="0" w:color="auto"/>
              <w:left w:val="single" w:sz="4" w:space="0" w:color="auto"/>
              <w:right w:val="single" w:sz="4" w:space="0" w:color="auto"/>
            </w:tcBorders>
            <w:vAlign w:val="center"/>
          </w:tcPr>
          <w:p w14:paraId="7788C36C" w14:textId="7800D87D" w:rsidR="00AB091A" w:rsidRPr="002E75D2" w:rsidRDefault="00AB091A" w:rsidP="000E2381">
            <w:pPr>
              <w:pStyle w:val="TableText0"/>
              <w:keepLines w:val="0"/>
            </w:pPr>
            <w:r w:rsidRPr="002E75D2">
              <w:t>DLQI change from baseline</w:t>
            </w:r>
          </w:p>
        </w:tc>
        <w:tc>
          <w:tcPr>
            <w:tcW w:w="799" w:type="pct"/>
            <w:tcBorders>
              <w:top w:val="single" w:sz="4" w:space="0" w:color="auto"/>
              <w:left w:val="single" w:sz="4" w:space="0" w:color="auto"/>
              <w:bottom w:val="single" w:sz="4" w:space="0" w:color="auto"/>
              <w:right w:val="single" w:sz="4" w:space="0" w:color="auto"/>
            </w:tcBorders>
            <w:vAlign w:val="center"/>
          </w:tcPr>
          <w:p w14:paraId="54BDFBA5" w14:textId="77777777" w:rsidR="00AB091A" w:rsidRPr="002E75D2" w:rsidRDefault="00AB091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tcPr>
          <w:p w14:paraId="176BDB0F" w14:textId="77777777" w:rsidR="00AB091A" w:rsidRPr="002E75D2" w:rsidRDefault="00AB091A" w:rsidP="000E2381">
            <w:pPr>
              <w:pStyle w:val="TableText0"/>
              <w:keepLines w:val="0"/>
              <w:jc w:val="center"/>
            </w:pPr>
            <w:r w:rsidRPr="002E75D2">
              <w:t>-7.6 (0.3)</w:t>
            </w:r>
          </w:p>
        </w:tc>
        <w:tc>
          <w:tcPr>
            <w:tcW w:w="798" w:type="pct"/>
            <w:tcBorders>
              <w:top w:val="single" w:sz="4" w:space="0" w:color="auto"/>
              <w:left w:val="nil"/>
              <w:bottom w:val="single" w:sz="4" w:space="0" w:color="auto"/>
              <w:right w:val="single" w:sz="4" w:space="0" w:color="auto"/>
            </w:tcBorders>
          </w:tcPr>
          <w:p w14:paraId="1FBF9A6E" w14:textId="77777777" w:rsidR="00AB091A" w:rsidRPr="002E75D2" w:rsidRDefault="00AB091A" w:rsidP="000E2381">
            <w:pPr>
              <w:pStyle w:val="TableText0"/>
              <w:keepLines w:val="0"/>
              <w:jc w:val="center"/>
            </w:pPr>
            <w:r w:rsidRPr="002E75D2">
              <w:t>-3.9 (0.4)</w:t>
            </w:r>
          </w:p>
        </w:tc>
        <w:tc>
          <w:tcPr>
            <w:tcW w:w="944" w:type="pct"/>
            <w:tcBorders>
              <w:top w:val="single" w:sz="4" w:space="0" w:color="auto"/>
              <w:left w:val="nil"/>
              <w:bottom w:val="single" w:sz="4" w:space="0" w:color="auto"/>
              <w:right w:val="single" w:sz="4" w:space="0" w:color="auto"/>
            </w:tcBorders>
            <w:vAlign w:val="center"/>
          </w:tcPr>
          <w:p w14:paraId="1494287C" w14:textId="77777777" w:rsidR="00AB091A" w:rsidRPr="002E75D2" w:rsidRDefault="00AB091A" w:rsidP="000E2381">
            <w:pPr>
              <w:pStyle w:val="TableText0"/>
              <w:keepLines w:val="0"/>
              <w:jc w:val="center"/>
              <w:rPr>
                <w:b/>
                <w:bCs w:val="0"/>
              </w:rPr>
            </w:pPr>
            <w:r w:rsidRPr="002E75D2">
              <w:rPr>
                <w:b/>
                <w:bCs w:val="0"/>
              </w:rPr>
              <w:t>-3.6 (-4.7, -2.6)</w:t>
            </w:r>
          </w:p>
        </w:tc>
      </w:tr>
      <w:tr w:rsidR="00AB091A" w:rsidRPr="002E75D2" w14:paraId="6D0904CF" w14:textId="77777777" w:rsidTr="00C21DB1">
        <w:trPr>
          <w:trHeight w:val="20"/>
        </w:trPr>
        <w:tc>
          <w:tcPr>
            <w:tcW w:w="1727" w:type="pct"/>
            <w:vMerge/>
            <w:tcBorders>
              <w:left w:val="single" w:sz="4" w:space="0" w:color="auto"/>
              <w:bottom w:val="single" w:sz="4" w:space="0" w:color="auto"/>
              <w:right w:val="single" w:sz="4" w:space="0" w:color="auto"/>
            </w:tcBorders>
            <w:vAlign w:val="center"/>
          </w:tcPr>
          <w:p w14:paraId="7B3D5F88" w14:textId="77777777" w:rsidR="00AB091A" w:rsidRPr="002E75D2" w:rsidRDefault="00AB091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tcPr>
          <w:p w14:paraId="7C86D5D8" w14:textId="77777777" w:rsidR="00AB091A" w:rsidRPr="002E75D2" w:rsidRDefault="00AB091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tcPr>
          <w:p w14:paraId="5BC6BFF8" w14:textId="77777777" w:rsidR="00AB091A" w:rsidRPr="002E75D2" w:rsidRDefault="00AB091A" w:rsidP="000E2381">
            <w:pPr>
              <w:pStyle w:val="TableText0"/>
              <w:keepLines w:val="0"/>
              <w:jc w:val="center"/>
            </w:pPr>
            <w:r w:rsidRPr="002E75D2">
              <w:t>-7.0 (0.3)</w:t>
            </w:r>
          </w:p>
        </w:tc>
        <w:tc>
          <w:tcPr>
            <w:tcW w:w="798" w:type="pct"/>
            <w:tcBorders>
              <w:top w:val="single" w:sz="4" w:space="0" w:color="auto"/>
              <w:left w:val="nil"/>
              <w:bottom w:val="single" w:sz="4" w:space="0" w:color="auto"/>
              <w:right w:val="single" w:sz="4" w:space="0" w:color="auto"/>
            </w:tcBorders>
          </w:tcPr>
          <w:p w14:paraId="72BF7AB6" w14:textId="77777777" w:rsidR="00AB091A" w:rsidRPr="002E75D2" w:rsidRDefault="00AB091A" w:rsidP="000E2381">
            <w:pPr>
              <w:pStyle w:val="TableText0"/>
              <w:keepLines w:val="0"/>
              <w:jc w:val="center"/>
            </w:pPr>
            <w:r w:rsidRPr="002E75D2">
              <w:t>-3.1 (0.5)</w:t>
            </w:r>
          </w:p>
        </w:tc>
        <w:tc>
          <w:tcPr>
            <w:tcW w:w="944" w:type="pct"/>
            <w:tcBorders>
              <w:top w:val="single" w:sz="4" w:space="0" w:color="auto"/>
              <w:left w:val="nil"/>
              <w:bottom w:val="single" w:sz="4" w:space="0" w:color="auto"/>
              <w:right w:val="single" w:sz="4" w:space="0" w:color="auto"/>
            </w:tcBorders>
            <w:vAlign w:val="center"/>
          </w:tcPr>
          <w:p w14:paraId="36D38E5B" w14:textId="77777777" w:rsidR="00AB091A" w:rsidRPr="002E75D2" w:rsidRDefault="00AB091A" w:rsidP="000E2381">
            <w:pPr>
              <w:pStyle w:val="TableText0"/>
              <w:keepLines w:val="0"/>
              <w:jc w:val="center"/>
              <w:rPr>
                <w:b/>
                <w:bCs w:val="0"/>
              </w:rPr>
            </w:pPr>
            <w:r w:rsidRPr="002E75D2">
              <w:rPr>
                <w:b/>
                <w:bCs w:val="0"/>
              </w:rPr>
              <w:t>-3.9 (-5.0, -2.8)</w:t>
            </w:r>
          </w:p>
        </w:tc>
      </w:tr>
      <w:tr w:rsidR="00AB091A" w:rsidRPr="002E75D2" w14:paraId="74963246" w14:textId="77777777" w:rsidTr="00C21DB1">
        <w:trPr>
          <w:trHeight w:val="20"/>
        </w:trPr>
        <w:tc>
          <w:tcPr>
            <w:tcW w:w="1727" w:type="pct"/>
            <w:vMerge w:val="restart"/>
            <w:tcBorders>
              <w:top w:val="single" w:sz="4" w:space="0" w:color="auto"/>
              <w:left w:val="single" w:sz="4" w:space="0" w:color="auto"/>
              <w:right w:val="single" w:sz="4" w:space="0" w:color="auto"/>
            </w:tcBorders>
            <w:vAlign w:val="center"/>
          </w:tcPr>
          <w:p w14:paraId="0E0A6B8B" w14:textId="537E314A" w:rsidR="00AB091A" w:rsidRPr="002E75D2" w:rsidRDefault="00AB091A" w:rsidP="000E2381">
            <w:pPr>
              <w:pStyle w:val="TableText0"/>
              <w:keepLines w:val="0"/>
            </w:pPr>
            <w:r w:rsidRPr="002E75D2">
              <w:t>HEIS change from baseline</w:t>
            </w:r>
          </w:p>
        </w:tc>
        <w:tc>
          <w:tcPr>
            <w:tcW w:w="799" w:type="pct"/>
            <w:tcBorders>
              <w:top w:val="single" w:sz="4" w:space="0" w:color="auto"/>
              <w:left w:val="single" w:sz="4" w:space="0" w:color="auto"/>
              <w:bottom w:val="single" w:sz="4" w:space="0" w:color="auto"/>
              <w:right w:val="single" w:sz="4" w:space="0" w:color="auto"/>
            </w:tcBorders>
            <w:vAlign w:val="center"/>
          </w:tcPr>
          <w:p w14:paraId="40CC6E2A" w14:textId="77777777" w:rsidR="00AB091A" w:rsidRPr="002E75D2" w:rsidRDefault="00AB091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tcPr>
          <w:p w14:paraId="7DAB23B6" w14:textId="77777777" w:rsidR="00AB091A" w:rsidRPr="002E75D2" w:rsidRDefault="00AB091A" w:rsidP="000E2381">
            <w:pPr>
              <w:pStyle w:val="TableText0"/>
              <w:keepLines w:val="0"/>
              <w:jc w:val="center"/>
            </w:pPr>
            <w:r w:rsidRPr="002E75D2">
              <w:t>-1.46 (0.05)</w:t>
            </w:r>
          </w:p>
        </w:tc>
        <w:tc>
          <w:tcPr>
            <w:tcW w:w="798" w:type="pct"/>
            <w:tcBorders>
              <w:top w:val="single" w:sz="4" w:space="0" w:color="auto"/>
              <w:left w:val="nil"/>
              <w:bottom w:val="single" w:sz="4" w:space="0" w:color="auto"/>
              <w:right w:val="single" w:sz="4" w:space="0" w:color="auto"/>
            </w:tcBorders>
          </w:tcPr>
          <w:p w14:paraId="2985F0E2" w14:textId="77777777" w:rsidR="00AB091A" w:rsidRPr="002E75D2" w:rsidRDefault="00AB091A" w:rsidP="000E2381">
            <w:pPr>
              <w:pStyle w:val="TableText0"/>
              <w:keepLines w:val="0"/>
              <w:jc w:val="center"/>
            </w:pPr>
            <w:r w:rsidRPr="002E75D2">
              <w:t>-0.82 (0.08)</w:t>
            </w:r>
          </w:p>
        </w:tc>
        <w:tc>
          <w:tcPr>
            <w:tcW w:w="944" w:type="pct"/>
            <w:tcBorders>
              <w:top w:val="single" w:sz="4" w:space="0" w:color="auto"/>
              <w:left w:val="nil"/>
              <w:bottom w:val="single" w:sz="4" w:space="0" w:color="auto"/>
              <w:right w:val="single" w:sz="4" w:space="0" w:color="auto"/>
            </w:tcBorders>
            <w:vAlign w:val="center"/>
          </w:tcPr>
          <w:p w14:paraId="1276DA02" w14:textId="77777777" w:rsidR="00AB091A" w:rsidRPr="002E75D2" w:rsidRDefault="00AB091A" w:rsidP="000E2381">
            <w:pPr>
              <w:pStyle w:val="TableText0"/>
              <w:keepLines w:val="0"/>
              <w:jc w:val="center"/>
              <w:rPr>
                <w:b/>
                <w:bCs w:val="0"/>
              </w:rPr>
            </w:pPr>
            <w:r w:rsidRPr="002E75D2">
              <w:rPr>
                <w:b/>
                <w:bCs w:val="0"/>
              </w:rPr>
              <w:t>-0.64 (-0.83, -0.45)</w:t>
            </w:r>
          </w:p>
        </w:tc>
      </w:tr>
      <w:tr w:rsidR="00AB091A" w:rsidRPr="002E75D2" w14:paraId="1E01C6D9" w14:textId="77777777" w:rsidTr="00C21DB1">
        <w:trPr>
          <w:trHeight w:val="20"/>
        </w:trPr>
        <w:tc>
          <w:tcPr>
            <w:tcW w:w="1727" w:type="pct"/>
            <w:vMerge/>
            <w:tcBorders>
              <w:left w:val="single" w:sz="4" w:space="0" w:color="auto"/>
              <w:bottom w:val="single" w:sz="4" w:space="0" w:color="auto"/>
              <w:right w:val="single" w:sz="4" w:space="0" w:color="auto"/>
            </w:tcBorders>
            <w:vAlign w:val="center"/>
          </w:tcPr>
          <w:p w14:paraId="4113A66F" w14:textId="77777777" w:rsidR="00AB091A" w:rsidRPr="002E75D2" w:rsidRDefault="00AB091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tcPr>
          <w:p w14:paraId="29E4C5AB" w14:textId="77777777" w:rsidR="00AB091A" w:rsidRPr="002E75D2" w:rsidRDefault="00AB091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tcPr>
          <w:p w14:paraId="488006B0" w14:textId="77777777" w:rsidR="00AB091A" w:rsidRPr="002E75D2" w:rsidRDefault="00AB091A" w:rsidP="000E2381">
            <w:pPr>
              <w:pStyle w:val="TableText0"/>
              <w:keepLines w:val="0"/>
              <w:jc w:val="center"/>
            </w:pPr>
            <w:r w:rsidRPr="002E75D2">
              <w:t>-1.45 (0.06)</w:t>
            </w:r>
          </w:p>
        </w:tc>
        <w:tc>
          <w:tcPr>
            <w:tcW w:w="798" w:type="pct"/>
            <w:tcBorders>
              <w:top w:val="single" w:sz="4" w:space="0" w:color="auto"/>
              <w:left w:val="nil"/>
              <w:bottom w:val="single" w:sz="4" w:space="0" w:color="auto"/>
              <w:right w:val="single" w:sz="4" w:space="0" w:color="auto"/>
            </w:tcBorders>
          </w:tcPr>
          <w:p w14:paraId="728D7868" w14:textId="77777777" w:rsidR="00AB091A" w:rsidRPr="002E75D2" w:rsidRDefault="00AB091A" w:rsidP="000E2381">
            <w:pPr>
              <w:pStyle w:val="TableText0"/>
              <w:keepLines w:val="0"/>
              <w:jc w:val="center"/>
            </w:pPr>
            <w:r w:rsidRPr="002E75D2">
              <w:t>-0.64 (0.08)</w:t>
            </w:r>
          </w:p>
        </w:tc>
        <w:tc>
          <w:tcPr>
            <w:tcW w:w="944" w:type="pct"/>
            <w:tcBorders>
              <w:top w:val="single" w:sz="4" w:space="0" w:color="auto"/>
              <w:left w:val="nil"/>
              <w:bottom w:val="single" w:sz="4" w:space="0" w:color="auto"/>
              <w:right w:val="single" w:sz="4" w:space="0" w:color="auto"/>
            </w:tcBorders>
            <w:vAlign w:val="center"/>
          </w:tcPr>
          <w:p w14:paraId="38513241" w14:textId="77777777" w:rsidR="00AB091A" w:rsidRPr="002E75D2" w:rsidRDefault="00AB091A" w:rsidP="000E2381">
            <w:pPr>
              <w:pStyle w:val="TableText0"/>
              <w:keepLines w:val="0"/>
              <w:jc w:val="center"/>
              <w:rPr>
                <w:b/>
                <w:bCs w:val="0"/>
              </w:rPr>
            </w:pPr>
            <w:r w:rsidRPr="002E75D2">
              <w:rPr>
                <w:b/>
                <w:bCs w:val="0"/>
              </w:rPr>
              <w:t>-0.81 (-0.99, -0.62)</w:t>
            </w:r>
          </w:p>
        </w:tc>
      </w:tr>
      <w:tr w:rsidR="00AB091A" w:rsidRPr="002E75D2" w14:paraId="164737D9" w14:textId="77777777" w:rsidTr="00C21DB1">
        <w:trPr>
          <w:trHeight w:val="20"/>
        </w:trPr>
        <w:tc>
          <w:tcPr>
            <w:tcW w:w="1727" w:type="pct"/>
            <w:vMerge w:val="restart"/>
            <w:tcBorders>
              <w:top w:val="single" w:sz="4" w:space="0" w:color="auto"/>
              <w:left w:val="single" w:sz="4" w:space="0" w:color="auto"/>
              <w:right w:val="single" w:sz="4" w:space="0" w:color="auto"/>
            </w:tcBorders>
            <w:vAlign w:val="center"/>
          </w:tcPr>
          <w:p w14:paraId="45364780" w14:textId="2B35C3B8" w:rsidR="00AB091A" w:rsidRPr="002E75D2" w:rsidRDefault="00AB091A" w:rsidP="000E2381">
            <w:pPr>
              <w:pStyle w:val="TableText0"/>
              <w:keepLines w:val="0"/>
            </w:pPr>
            <w:r w:rsidRPr="002E75D2">
              <w:t>HEIS PDAL change from baseline</w:t>
            </w:r>
          </w:p>
        </w:tc>
        <w:tc>
          <w:tcPr>
            <w:tcW w:w="799" w:type="pct"/>
            <w:tcBorders>
              <w:top w:val="single" w:sz="4" w:space="0" w:color="auto"/>
              <w:left w:val="single" w:sz="4" w:space="0" w:color="auto"/>
              <w:bottom w:val="single" w:sz="4" w:space="0" w:color="auto"/>
              <w:right w:val="single" w:sz="4" w:space="0" w:color="auto"/>
            </w:tcBorders>
            <w:vAlign w:val="center"/>
          </w:tcPr>
          <w:p w14:paraId="4E61DD14" w14:textId="77777777" w:rsidR="00AB091A" w:rsidRPr="002E75D2" w:rsidRDefault="00AB091A"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tcPr>
          <w:p w14:paraId="1B6B3178" w14:textId="77777777" w:rsidR="00AB091A" w:rsidRPr="002E75D2" w:rsidRDefault="00AB091A" w:rsidP="000E2381">
            <w:pPr>
              <w:pStyle w:val="TableText0"/>
              <w:keepLines w:val="0"/>
              <w:jc w:val="center"/>
            </w:pPr>
            <w:r w:rsidRPr="002E75D2">
              <w:t>-1.46 (0.06)</w:t>
            </w:r>
          </w:p>
        </w:tc>
        <w:tc>
          <w:tcPr>
            <w:tcW w:w="798" w:type="pct"/>
            <w:tcBorders>
              <w:top w:val="single" w:sz="4" w:space="0" w:color="auto"/>
              <w:left w:val="nil"/>
              <w:bottom w:val="single" w:sz="4" w:space="0" w:color="auto"/>
              <w:right w:val="single" w:sz="4" w:space="0" w:color="auto"/>
            </w:tcBorders>
          </w:tcPr>
          <w:p w14:paraId="7A557CF7" w14:textId="77777777" w:rsidR="00AB091A" w:rsidRPr="002E75D2" w:rsidRDefault="00AB091A" w:rsidP="000E2381">
            <w:pPr>
              <w:pStyle w:val="TableText0"/>
              <w:keepLines w:val="0"/>
              <w:jc w:val="center"/>
            </w:pPr>
            <w:r w:rsidRPr="002E75D2">
              <w:t>-0.86 (0.08)</w:t>
            </w:r>
          </w:p>
        </w:tc>
        <w:tc>
          <w:tcPr>
            <w:tcW w:w="944" w:type="pct"/>
            <w:tcBorders>
              <w:top w:val="single" w:sz="4" w:space="0" w:color="auto"/>
              <w:left w:val="nil"/>
              <w:bottom w:val="single" w:sz="4" w:space="0" w:color="auto"/>
              <w:right w:val="single" w:sz="4" w:space="0" w:color="auto"/>
            </w:tcBorders>
            <w:vAlign w:val="center"/>
          </w:tcPr>
          <w:p w14:paraId="3CA80EA9" w14:textId="77777777" w:rsidR="00AB091A" w:rsidRPr="002E75D2" w:rsidRDefault="00AB091A" w:rsidP="000E2381">
            <w:pPr>
              <w:pStyle w:val="TableText0"/>
              <w:keepLines w:val="0"/>
              <w:jc w:val="center"/>
              <w:rPr>
                <w:b/>
                <w:bCs w:val="0"/>
              </w:rPr>
            </w:pPr>
            <w:r w:rsidRPr="002E75D2">
              <w:rPr>
                <w:b/>
                <w:bCs w:val="0"/>
              </w:rPr>
              <w:t>-0.60 (-0.79, -0.40)</w:t>
            </w:r>
          </w:p>
        </w:tc>
      </w:tr>
      <w:tr w:rsidR="00AB091A" w:rsidRPr="002E75D2" w14:paraId="694341A0" w14:textId="77777777" w:rsidTr="00C21DB1">
        <w:trPr>
          <w:trHeight w:val="20"/>
        </w:trPr>
        <w:tc>
          <w:tcPr>
            <w:tcW w:w="1727" w:type="pct"/>
            <w:vMerge/>
            <w:tcBorders>
              <w:left w:val="single" w:sz="4" w:space="0" w:color="auto"/>
              <w:bottom w:val="single" w:sz="4" w:space="0" w:color="auto"/>
              <w:right w:val="single" w:sz="4" w:space="0" w:color="auto"/>
            </w:tcBorders>
            <w:vAlign w:val="center"/>
          </w:tcPr>
          <w:p w14:paraId="45363A20" w14:textId="77777777" w:rsidR="00AB091A" w:rsidRPr="002E75D2" w:rsidRDefault="00AB091A"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tcPr>
          <w:p w14:paraId="4C60C39A" w14:textId="77777777" w:rsidR="00AB091A" w:rsidRPr="002E75D2" w:rsidRDefault="00AB091A"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tcPr>
          <w:p w14:paraId="373CCCF4" w14:textId="77777777" w:rsidR="00AB091A" w:rsidRPr="002E75D2" w:rsidRDefault="00AB091A" w:rsidP="000E2381">
            <w:pPr>
              <w:pStyle w:val="TableText0"/>
              <w:keepLines w:val="0"/>
              <w:jc w:val="center"/>
            </w:pPr>
            <w:r w:rsidRPr="002E75D2">
              <w:t>-1.48 (0.06)</w:t>
            </w:r>
          </w:p>
        </w:tc>
        <w:tc>
          <w:tcPr>
            <w:tcW w:w="798" w:type="pct"/>
            <w:tcBorders>
              <w:top w:val="single" w:sz="4" w:space="0" w:color="auto"/>
              <w:left w:val="nil"/>
              <w:bottom w:val="single" w:sz="4" w:space="0" w:color="auto"/>
              <w:right w:val="single" w:sz="4" w:space="0" w:color="auto"/>
            </w:tcBorders>
          </w:tcPr>
          <w:p w14:paraId="328F7699" w14:textId="77777777" w:rsidR="00AB091A" w:rsidRPr="002E75D2" w:rsidRDefault="00AB091A" w:rsidP="000E2381">
            <w:pPr>
              <w:pStyle w:val="TableText0"/>
              <w:keepLines w:val="0"/>
              <w:jc w:val="center"/>
            </w:pPr>
            <w:r w:rsidRPr="002E75D2">
              <w:t>-0.66 (0.08)</w:t>
            </w:r>
          </w:p>
        </w:tc>
        <w:tc>
          <w:tcPr>
            <w:tcW w:w="944" w:type="pct"/>
            <w:tcBorders>
              <w:top w:val="single" w:sz="4" w:space="0" w:color="auto"/>
              <w:left w:val="nil"/>
              <w:bottom w:val="single" w:sz="4" w:space="0" w:color="auto"/>
              <w:right w:val="single" w:sz="4" w:space="0" w:color="auto"/>
            </w:tcBorders>
            <w:vAlign w:val="center"/>
          </w:tcPr>
          <w:p w14:paraId="44C589C6" w14:textId="77777777" w:rsidR="00AB091A" w:rsidRPr="002E75D2" w:rsidRDefault="00AB091A" w:rsidP="000E2381">
            <w:pPr>
              <w:pStyle w:val="TableText0"/>
              <w:keepLines w:val="0"/>
              <w:jc w:val="center"/>
              <w:rPr>
                <w:b/>
                <w:bCs w:val="0"/>
              </w:rPr>
            </w:pPr>
            <w:r w:rsidRPr="002E75D2">
              <w:rPr>
                <w:b/>
                <w:bCs w:val="0"/>
              </w:rPr>
              <w:t>-0.82 (-1.01, -0.62)</w:t>
            </w:r>
          </w:p>
        </w:tc>
      </w:tr>
      <w:tr w:rsidR="00E87BA4" w:rsidRPr="002E75D2" w14:paraId="51B73D65" w14:textId="77777777" w:rsidTr="00C21DB1">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710270F" w14:textId="59A87D92" w:rsidR="00E87BA4" w:rsidRPr="002E75D2" w:rsidRDefault="00E87BA4" w:rsidP="000E2381">
            <w:pPr>
              <w:pStyle w:val="TableText0"/>
              <w:keepLines w:val="0"/>
              <w:rPr>
                <w:b/>
                <w:bCs w:val="0"/>
              </w:rPr>
            </w:pPr>
            <w:r w:rsidRPr="002E75D2">
              <w:rPr>
                <w:b/>
                <w:bCs w:val="0"/>
              </w:rPr>
              <w:t>Key exploratory outcome</w:t>
            </w:r>
            <w:r w:rsidR="00AA0183" w:rsidRPr="002E75D2">
              <w:rPr>
                <w:b/>
                <w:bCs w:val="0"/>
              </w:rPr>
              <w:t xml:space="preserve"> (continuous)</w:t>
            </w:r>
          </w:p>
        </w:tc>
      </w:tr>
      <w:tr w:rsidR="008E2B18" w:rsidRPr="002E75D2" w14:paraId="7073E532" w14:textId="77777777" w:rsidTr="00C21DB1">
        <w:trPr>
          <w:trHeight w:val="20"/>
        </w:trPr>
        <w:tc>
          <w:tcPr>
            <w:tcW w:w="1727" w:type="pct"/>
            <w:vMerge w:val="restart"/>
            <w:tcBorders>
              <w:top w:val="single" w:sz="4" w:space="0" w:color="auto"/>
              <w:left w:val="single" w:sz="4" w:space="0" w:color="auto"/>
              <w:right w:val="single" w:sz="4" w:space="0" w:color="auto"/>
            </w:tcBorders>
            <w:vAlign w:val="center"/>
          </w:tcPr>
          <w:p w14:paraId="31C8C8C7" w14:textId="48A22988" w:rsidR="008E2B18" w:rsidRPr="002E75D2" w:rsidRDefault="008E2B18" w:rsidP="000E2381">
            <w:pPr>
              <w:pStyle w:val="TableText0"/>
              <w:keepLines w:val="0"/>
            </w:pPr>
            <w:r w:rsidRPr="002E75D2">
              <w:t>Mean (SE) change in EQ-5D-5L index score from baseline</w:t>
            </w:r>
          </w:p>
        </w:tc>
        <w:tc>
          <w:tcPr>
            <w:tcW w:w="799" w:type="pct"/>
            <w:tcBorders>
              <w:top w:val="single" w:sz="4" w:space="0" w:color="auto"/>
              <w:left w:val="single" w:sz="4" w:space="0" w:color="auto"/>
              <w:bottom w:val="single" w:sz="4" w:space="0" w:color="auto"/>
              <w:right w:val="single" w:sz="4" w:space="0" w:color="auto"/>
            </w:tcBorders>
            <w:vAlign w:val="center"/>
          </w:tcPr>
          <w:p w14:paraId="7ECB4824" w14:textId="57F3F0EC" w:rsidR="008E2B18" w:rsidRPr="002E75D2" w:rsidRDefault="008E2B18" w:rsidP="000E2381">
            <w:pPr>
              <w:pStyle w:val="TableText0"/>
              <w:keepLines w:val="0"/>
              <w:jc w:val="center"/>
            </w:pPr>
            <w:r w:rsidRPr="002E75D2">
              <w:t>DELTA 1</w:t>
            </w:r>
          </w:p>
        </w:tc>
        <w:tc>
          <w:tcPr>
            <w:tcW w:w="732" w:type="pct"/>
            <w:tcBorders>
              <w:top w:val="single" w:sz="4" w:space="0" w:color="auto"/>
              <w:left w:val="single" w:sz="4" w:space="0" w:color="auto"/>
              <w:bottom w:val="single" w:sz="4" w:space="0" w:color="auto"/>
              <w:right w:val="single" w:sz="4" w:space="0" w:color="auto"/>
            </w:tcBorders>
          </w:tcPr>
          <w:p w14:paraId="579B82B7" w14:textId="19CFF9A3" w:rsidR="008E2B18" w:rsidRPr="002E75D2" w:rsidRDefault="008E2B18" w:rsidP="000E2381">
            <w:pPr>
              <w:pStyle w:val="TableText0"/>
              <w:keepLines w:val="0"/>
              <w:jc w:val="center"/>
              <w:rPr>
                <w:color w:val="000000"/>
              </w:rPr>
            </w:pPr>
            <w:r w:rsidRPr="002E75D2">
              <w:t>0.176 (0.011)</w:t>
            </w:r>
            <w:r w:rsidR="00147FBA" w:rsidRPr="002E75D2">
              <w:rPr>
                <w:vertAlign w:val="superscript"/>
              </w:rPr>
              <w:t>e</w:t>
            </w:r>
          </w:p>
        </w:tc>
        <w:tc>
          <w:tcPr>
            <w:tcW w:w="798" w:type="pct"/>
            <w:tcBorders>
              <w:top w:val="single" w:sz="4" w:space="0" w:color="auto"/>
              <w:left w:val="nil"/>
              <w:bottom w:val="single" w:sz="4" w:space="0" w:color="auto"/>
              <w:right w:val="single" w:sz="4" w:space="0" w:color="auto"/>
            </w:tcBorders>
          </w:tcPr>
          <w:p w14:paraId="03F28738" w14:textId="5A6FCAAC" w:rsidR="008E2B18" w:rsidRPr="002E75D2" w:rsidRDefault="008E2B18" w:rsidP="000E2381">
            <w:pPr>
              <w:pStyle w:val="TableText0"/>
              <w:keepLines w:val="0"/>
              <w:jc w:val="center"/>
              <w:rPr>
                <w:color w:val="000000"/>
              </w:rPr>
            </w:pPr>
            <w:r w:rsidRPr="002E75D2">
              <w:t>0.073 (0.015)</w:t>
            </w:r>
          </w:p>
        </w:tc>
        <w:tc>
          <w:tcPr>
            <w:tcW w:w="944" w:type="pct"/>
            <w:tcBorders>
              <w:top w:val="single" w:sz="4" w:space="0" w:color="auto"/>
              <w:left w:val="nil"/>
              <w:bottom w:val="single" w:sz="4" w:space="0" w:color="auto"/>
              <w:right w:val="single" w:sz="4" w:space="0" w:color="auto"/>
            </w:tcBorders>
          </w:tcPr>
          <w:p w14:paraId="0A3A0F91" w14:textId="77075912" w:rsidR="008E2B18" w:rsidRPr="002E75D2" w:rsidRDefault="008E2B18" w:rsidP="000E2381">
            <w:pPr>
              <w:pStyle w:val="TableText0"/>
              <w:keepLines w:val="0"/>
              <w:jc w:val="center"/>
              <w:rPr>
                <w:b/>
                <w:bCs w:val="0"/>
              </w:rPr>
            </w:pPr>
            <w:r w:rsidRPr="002E75D2">
              <w:rPr>
                <w:b/>
                <w:bCs w:val="0"/>
              </w:rPr>
              <w:t>0.10 (0.07,</w:t>
            </w:r>
            <w:r w:rsidR="00D948B4" w:rsidRPr="002E75D2">
              <w:rPr>
                <w:b/>
                <w:bCs w:val="0"/>
              </w:rPr>
              <w:t xml:space="preserve"> </w:t>
            </w:r>
            <w:r w:rsidRPr="002E75D2">
              <w:rPr>
                <w:b/>
                <w:bCs w:val="0"/>
              </w:rPr>
              <w:t>0.14)</w:t>
            </w:r>
          </w:p>
        </w:tc>
      </w:tr>
      <w:tr w:rsidR="008E2B18" w:rsidRPr="002E75D2" w14:paraId="31D01352" w14:textId="77777777" w:rsidTr="00C21DB1">
        <w:trPr>
          <w:trHeight w:val="20"/>
        </w:trPr>
        <w:tc>
          <w:tcPr>
            <w:tcW w:w="1727" w:type="pct"/>
            <w:vMerge/>
            <w:tcBorders>
              <w:left w:val="single" w:sz="4" w:space="0" w:color="auto"/>
              <w:bottom w:val="single" w:sz="4" w:space="0" w:color="auto"/>
              <w:right w:val="single" w:sz="4" w:space="0" w:color="auto"/>
            </w:tcBorders>
            <w:vAlign w:val="center"/>
          </w:tcPr>
          <w:p w14:paraId="2AEAF206" w14:textId="77777777" w:rsidR="008E2B18" w:rsidRPr="002E75D2" w:rsidRDefault="008E2B18" w:rsidP="000E2381">
            <w:pPr>
              <w:pStyle w:val="TableText0"/>
              <w:keepLines w:val="0"/>
            </w:pPr>
          </w:p>
        </w:tc>
        <w:tc>
          <w:tcPr>
            <w:tcW w:w="799" w:type="pct"/>
            <w:tcBorders>
              <w:top w:val="single" w:sz="4" w:space="0" w:color="auto"/>
              <w:left w:val="single" w:sz="4" w:space="0" w:color="auto"/>
              <w:bottom w:val="single" w:sz="4" w:space="0" w:color="auto"/>
              <w:right w:val="single" w:sz="4" w:space="0" w:color="auto"/>
            </w:tcBorders>
            <w:vAlign w:val="center"/>
          </w:tcPr>
          <w:p w14:paraId="1253A4DA" w14:textId="446E7C54" w:rsidR="008E2B18" w:rsidRPr="002E75D2" w:rsidRDefault="008E2B18" w:rsidP="000E2381">
            <w:pPr>
              <w:pStyle w:val="TableText0"/>
              <w:keepLines w:val="0"/>
              <w:jc w:val="center"/>
            </w:pPr>
            <w:r w:rsidRPr="002E75D2">
              <w:t>DELTA 2</w:t>
            </w:r>
          </w:p>
        </w:tc>
        <w:tc>
          <w:tcPr>
            <w:tcW w:w="732" w:type="pct"/>
            <w:tcBorders>
              <w:top w:val="single" w:sz="4" w:space="0" w:color="auto"/>
              <w:left w:val="single" w:sz="4" w:space="0" w:color="auto"/>
              <w:bottom w:val="single" w:sz="4" w:space="0" w:color="auto"/>
              <w:right w:val="single" w:sz="4" w:space="0" w:color="auto"/>
            </w:tcBorders>
          </w:tcPr>
          <w:p w14:paraId="2DE7FC6A" w14:textId="794A4A56" w:rsidR="008E2B18" w:rsidRPr="002E75D2" w:rsidRDefault="008E2B18" w:rsidP="000E2381">
            <w:pPr>
              <w:pStyle w:val="TableText0"/>
              <w:keepLines w:val="0"/>
              <w:jc w:val="center"/>
              <w:rPr>
                <w:color w:val="000000"/>
              </w:rPr>
            </w:pPr>
            <w:r w:rsidRPr="002E75D2">
              <w:t>0.157 (0.011)</w:t>
            </w:r>
          </w:p>
        </w:tc>
        <w:tc>
          <w:tcPr>
            <w:tcW w:w="798" w:type="pct"/>
            <w:tcBorders>
              <w:top w:val="single" w:sz="4" w:space="0" w:color="auto"/>
              <w:left w:val="nil"/>
              <w:bottom w:val="single" w:sz="4" w:space="0" w:color="auto"/>
              <w:right w:val="single" w:sz="4" w:space="0" w:color="auto"/>
            </w:tcBorders>
          </w:tcPr>
          <w:p w14:paraId="37CB3158" w14:textId="732AE2EF" w:rsidR="008E2B18" w:rsidRPr="002E75D2" w:rsidRDefault="008E2B18" w:rsidP="000E2381">
            <w:pPr>
              <w:pStyle w:val="TableText0"/>
              <w:keepLines w:val="0"/>
              <w:jc w:val="center"/>
              <w:rPr>
                <w:color w:val="000000"/>
              </w:rPr>
            </w:pPr>
            <w:r w:rsidRPr="002E75D2">
              <w:t>0.049 (0.015)</w:t>
            </w:r>
          </w:p>
        </w:tc>
        <w:tc>
          <w:tcPr>
            <w:tcW w:w="944" w:type="pct"/>
            <w:tcBorders>
              <w:top w:val="single" w:sz="4" w:space="0" w:color="auto"/>
              <w:left w:val="nil"/>
              <w:bottom w:val="single" w:sz="4" w:space="0" w:color="auto"/>
              <w:right w:val="single" w:sz="4" w:space="0" w:color="auto"/>
            </w:tcBorders>
          </w:tcPr>
          <w:p w14:paraId="0930D7B6" w14:textId="0495EDE9" w:rsidR="008E2B18" w:rsidRPr="002E75D2" w:rsidRDefault="008E2B18" w:rsidP="000E2381">
            <w:pPr>
              <w:pStyle w:val="TableText0"/>
              <w:keepLines w:val="0"/>
              <w:jc w:val="center"/>
              <w:rPr>
                <w:b/>
                <w:bCs w:val="0"/>
              </w:rPr>
            </w:pPr>
            <w:r w:rsidRPr="002E75D2">
              <w:rPr>
                <w:b/>
                <w:bCs w:val="0"/>
              </w:rPr>
              <w:t>0.1</w:t>
            </w:r>
            <w:r w:rsidR="005969B3" w:rsidRPr="002E75D2">
              <w:rPr>
                <w:b/>
                <w:bCs w:val="0"/>
              </w:rPr>
              <w:t>1</w:t>
            </w:r>
            <w:r w:rsidRPr="002E75D2">
              <w:rPr>
                <w:b/>
                <w:bCs w:val="0"/>
              </w:rPr>
              <w:t xml:space="preserve"> (0.07,</w:t>
            </w:r>
            <w:r w:rsidR="00D948B4" w:rsidRPr="002E75D2">
              <w:rPr>
                <w:b/>
                <w:bCs w:val="0"/>
              </w:rPr>
              <w:t xml:space="preserve"> </w:t>
            </w:r>
            <w:r w:rsidRPr="002E75D2">
              <w:rPr>
                <w:b/>
                <w:bCs w:val="0"/>
              </w:rPr>
              <w:t>0.15)</w:t>
            </w:r>
          </w:p>
        </w:tc>
      </w:tr>
    </w:tbl>
    <w:bookmarkEnd w:id="49"/>
    <w:p w14:paraId="3ADD1B6D" w14:textId="6DF4EDCB" w:rsidR="0059186A" w:rsidRPr="002E75D2" w:rsidRDefault="0059186A" w:rsidP="0073315E">
      <w:pPr>
        <w:pStyle w:val="FooterTableFigure"/>
        <w:keepNext/>
        <w:keepLines/>
        <w:rPr>
          <w:i/>
          <w:iCs/>
          <w:sz w:val="20"/>
        </w:rPr>
      </w:pPr>
      <w:r w:rsidRPr="002E75D2">
        <w:t>Source: Based on Table</w:t>
      </w:r>
      <w:r w:rsidR="00231894" w:rsidRPr="002E75D2">
        <w:t xml:space="preserve"> </w:t>
      </w:r>
      <w:r w:rsidRPr="002E75D2">
        <w:t>83, p140; Table 84, p142; Table 85, p143</w:t>
      </w:r>
      <w:r w:rsidR="006A57C3" w:rsidRPr="002E75D2">
        <w:t>; Table 89, p148</w:t>
      </w:r>
      <w:r w:rsidRPr="002E75D2">
        <w:t xml:space="preserve"> of the submission</w:t>
      </w:r>
      <w:r w:rsidR="00CE1BA7" w:rsidRPr="002E75D2">
        <w:t>; p300 of the DELTA 1 CSR; p304 of the DELTA 2 CSR</w:t>
      </w:r>
      <w:r w:rsidRPr="002E75D2">
        <w:t>.</w:t>
      </w:r>
      <w:r w:rsidR="00CE1BA7" w:rsidRPr="002E75D2">
        <w:t xml:space="preserve"> </w:t>
      </w:r>
    </w:p>
    <w:p w14:paraId="3C6E76EB" w14:textId="3D0706B4" w:rsidR="0059186A" w:rsidRPr="002E75D2" w:rsidRDefault="0059186A" w:rsidP="0073315E">
      <w:pPr>
        <w:pStyle w:val="FooterTableFigure"/>
        <w:keepNext/>
        <w:keepLines/>
        <w:rPr>
          <w:rFonts w:eastAsia="Calibri"/>
        </w:rPr>
      </w:pPr>
      <w:r w:rsidRPr="002E75D2">
        <w:rPr>
          <w:rFonts w:eastAsia="Calibri"/>
        </w:rPr>
        <w:t xml:space="preserve">CI = confidence interval; DLQI = Dermatology Life Quality Index; </w:t>
      </w:r>
      <w:r w:rsidR="00825317" w:rsidRPr="002E75D2">
        <w:rPr>
          <w:rFonts w:eastAsia="Calibri"/>
        </w:rPr>
        <w:t xml:space="preserve">EQ-5D-5L = EuroQol-5 Dimensions-5 Levels; </w:t>
      </w:r>
      <w:r w:rsidRPr="002E75D2">
        <w:rPr>
          <w:rFonts w:eastAsia="Calibri"/>
        </w:rPr>
        <w:t xml:space="preserve">FAS=full analysis set; HECSI = Hand Eczema Severity Index; HECSI-75 = at least 75% improvement in HECSI score from baseline; HECSI-90 = at least 90% improvement in HECSI score from baseline; HEIS = Hand Eczema Impact Scale; HESD = Hand Eczema Symptom Diary; IGA-CHE = Investigator’s Global Assessment for chronic hand eczema; IGA-CHE TS = IGA-CHE treatment success, i.e. an IGA-CHE score of 0 (clear) or 1 (almost clear) with a ≥2-step improvement from baseline; LSMean = least squares mean; N = number of </w:t>
      </w:r>
      <w:r w:rsidR="00AC7894" w:rsidRPr="002E75D2">
        <w:rPr>
          <w:rFonts w:eastAsia="Calibri"/>
        </w:rPr>
        <w:t>patient</w:t>
      </w:r>
      <w:r w:rsidRPr="002E75D2">
        <w:rPr>
          <w:rFonts w:eastAsia="Calibri"/>
        </w:rPr>
        <w:t>s with data available at baseline; PDAL = Proximal Daily Activity Limitations; SE = standard error</w:t>
      </w:r>
      <w:r w:rsidR="00231894" w:rsidRPr="002E75D2">
        <w:rPr>
          <w:rFonts w:eastAsia="Calibri"/>
        </w:rPr>
        <w:t>, Wk = week</w:t>
      </w:r>
      <w:r w:rsidRPr="002E75D2">
        <w:rPr>
          <w:rFonts w:eastAsia="Calibri"/>
        </w:rPr>
        <w:t>.</w:t>
      </w:r>
    </w:p>
    <w:p w14:paraId="61D95044" w14:textId="15D8E24E" w:rsidR="0059186A" w:rsidRPr="002E75D2" w:rsidRDefault="0059186A" w:rsidP="0073315E">
      <w:pPr>
        <w:pStyle w:val="FooterTableFigure"/>
        <w:keepNext/>
        <w:keepLines/>
        <w:rPr>
          <w:rFonts w:eastAsia="Calibri"/>
        </w:rPr>
      </w:pPr>
      <w:r w:rsidRPr="002E75D2">
        <w:rPr>
          <w:rFonts w:eastAsia="Calibri"/>
          <w:b/>
        </w:rPr>
        <w:t>Bold</w:t>
      </w:r>
      <w:r w:rsidRPr="002E75D2">
        <w:rPr>
          <w:rFonts w:eastAsia="Calibri"/>
        </w:rPr>
        <w:t xml:space="preserve"> indicates statistically significant results.</w:t>
      </w:r>
    </w:p>
    <w:p w14:paraId="68E92242" w14:textId="77777777" w:rsidR="0059186A" w:rsidRPr="002E75D2" w:rsidRDefault="0059186A" w:rsidP="0073315E">
      <w:pPr>
        <w:pStyle w:val="FooterTableFigure"/>
        <w:keepNext/>
        <w:keepLines/>
        <w:rPr>
          <w:rFonts w:eastAsia="Calibri"/>
        </w:rPr>
      </w:pPr>
      <w:r w:rsidRPr="002E75D2">
        <w:rPr>
          <w:rFonts w:eastAsia="Calibri"/>
          <w:vertAlign w:val="superscript"/>
        </w:rPr>
        <w:t>a</w:t>
      </w:r>
      <w:r w:rsidRPr="002E75D2">
        <w:rPr>
          <w:rFonts w:eastAsia="Calibri"/>
        </w:rPr>
        <w:t xml:space="preserve"> Results from the primary analysis only are presented, as the sensitivity analyses in the submission did not differ substantially from the primary analysis.</w:t>
      </w:r>
    </w:p>
    <w:p w14:paraId="510CAADC" w14:textId="5620F33D" w:rsidR="00147FBA" w:rsidRPr="002E75D2" w:rsidRDefault="006A57C3" w:rsidP="0073315E">
      <w:pPr>
        <w:pStyle w:val="FooterTableFigure"/>
        <w:keepNext/>
        <w:keepLines/>
        <w:rPr>
          <w:rFonts w:eastAsia="Calibri"/>
        </w:rPr>
      </w:pPr>
      <w:r w:rsidRPr="002E75D2">
        <w:rPr>
          <w:rFonts w:eastAsia="Calibri"/>
          <w:vertAlign w:val="superscript"/>
        </w:rPr>
        <w:t>b</w:t>
      </w:r>
      <w:r w:rsidR="0095021E" w:rsidRPr="002E75D2">
        <w:rPr>
          <w:rFonts w:eastAsia="Calibri"/>
          <w:vertAlign w:val="superscript"/>
        </w:rPr>
        <w:t xml:space="preserve"> </w:t>
      </w:r>
      <w:r w:rsidR="000D16F3" w:rsidRPr="002E75D2">
        <w:rPr>
          <w:rFonts w:eastAsia="Calibri"/>
        </w:rPr>
        <w:t>An improvement of ≥ 4 points in 7-day (weekly) average for the HESD Itch score, HESD Pain score and the HESD scores represented a</w:t>
      </w:r>
      <w:r w:rsidR="008911B7" w:rsidRPr="002E75D2">
        <w:rPr>
          <w:rFonts w:eastAsia="Calibri"/>
        </w:rPr>
        <w:t>n</w:t>
      </w:r>
      <w:r w:rsidR="000D16F3" w:rsidRPr="002E75D2">
        <w:rPr>
          <w:rFonts w:eastAsia="Calibri"/>
        </w:rPr>
        <w:t xml:space="preserve"> </w:t>
      </w:r>
      <w:r w:rsidR="008911B7" w:rsidRPr="002E75D2">
        <w:rPr>
          <w:rFonts w:eastAsia="Calibri"/>
        </w:rPr>
        <w:t>MCID</w:t>
      </w:r>
      <w:r w:rsidR="000D16F3" w:rsidRPr="002E75D2">
        <w:rPr>
          <w:rFonts w:eastAsia="Calibri"/>
        </w:rPr>
        <w:t>.</w:t>
      </w:r>
      <w:r w:rsidR="00012EAB" w:rsidRPr="002E75D2">
        <w:rPr>
          <w:rFonts w:eastAsia="Calibri"/>
        </w:rPr>
        <w:t xml:space="preserve"> An improvement of ≥ 4 points from baseline </w:t>
      </w:r>
      <w:r w:rsidR="00140BC3" w:rsidRPr="002E75D2">
        <w:rPr>
          <w:rFonts w:eastAsia="Calibri"/>
        </w:rPr>
        <w:t>for the DLQI score also represented an MCID.</w:t>
      </w:r>
    </w:p>
    <w:p w14:paraId="1E4966BD" w14:textId="3EF2293B" w:rsidR="00CE1BA7" w:rsidRPr="002E75D2" w:rsidRDefault="00147FBA" w:rsidP="0059186A">
      <w:pPr>
        <w:pStyle w:val="FooterTableFigure"/>
        <w:rPr>
          <w:rFonts w:eastAsia="Calibri"/>
        </w:rPr>
      </w:pPr>
      <w:r w:rsidRPr="002E75D2">
        <w:rPr>
          <w:rFonts w:eastAsia="Calibri"/>
          <w:vertAlign w:val="superscript"/>
        </w:rPr>
        <w:t xml:space="preserve">c </w:t>
      </w:r>
      <w:r w:rsidR="00CE1BA7" w:rsidRPr="002E75D2">
        <w:rPr>
          <w:rFonts w:eastAsia="Calibri"/>
        </w:rPr>
        <w:t>% difference from baseline</w:t>
      </w:r>
      <w:r w:rsidR="00585B52" w:rsidRPr="002E75D2">
        <w:rPr>
          <w:rFonts w:eastAsia="Calibri"/>
        </w:rPr>
        <w:t xml:space="preserve"> to Week 16</w:t>
      </w:r>
      <w:r w:rsidR="00CE1BA7" w:rsidRPr="002E75D2">
        <w:rPr>
          <w:rFonts w:eastAsia="Calibri"/>
        </w:rPr>
        <w:t xml:space="preserve"> in DELTA 1 in delgocitinib vs vehicle arms: 65.6% vs 41.4%; DELTA 2: 68.9% vs 36.9%.</w:t>
      </w:r>
    </w:p>
    <w:p w14:paraId="3F5F077C" w14:textId="41198552" w:rsidR="00CE1BA7" w:rsidRPr="002E75D2" w:rsidRDefault="00147FBA" w:rsidP="0059186A">
      <w:pPr>
        <w:pStyle w:val="FooterTableFigure"/>
        <w:rPr>
          <w:rFonts w:eastAsia="Calibri"/>
          <w:vertAlign w:val="superscript"/>
        </w:rPr>
      </w:pPr>
      <w:r w:rsidRPr="002E75D2">
        <w:rPr>
          <w:rFonts w:eastAsia="Calibri"/>
          <w:vertAlign w:val="superscript"/>
        </w:rPr>
        <w:t xml:space="preserve">d </w:t>
      </w:r>
      <w:r w:rsidR="00CE1BA7" w:rsidRPr="002E75D2">
        <w:rPr>
          <w:rFonts w:eastAsia="Calibri"/>
        </w:rPr>
        <w:t xml:space="preserve">Mean(SD) from Week 16 values used to estimate </w:t>
      </w:r>
      <w:r w:rsidR="000A2513" w:rsidRPr="002E75D2">
        <w:rPr>
          <w:rFonts w:eastAsia="Calibri"/>
        </w:rPr>
        <w:t xml:space="preserve">the </w:t>
      </w:r>
      <w:r w:rsidR="00CE1BA7" w:rsidRPr="002E75D2">
        <w:rPr>
          <w:rFonts w:eastAsia="Calibri"/>
        </w:rPr>
        <w:t>mean differences and 95% CI</w:t>
      </w:r>
      <w:r w:rsidR="000A2513" w:rsidRPr="002E75D2">
        <w:rPr>
          <w:rFonts w:eastAsia="Calibri"/>
        </w:rPr>
        <w:t>s</w:t>
      </w:r>
      <w:r w:rsidR="00CE1BA7" w:rsidRPr="002E75D2">
        <w:rPr>
          <w:rFonts w:eastAsia="Calibri"/>
        </w:rPr>
        <w:t>. Calculations were done</w:t>
      </w:r>
      <w:r w:rsidR="00782E38" w:rsidRPr="002E75D2">
        <w:rPr>
          <w:rFonts w:eastAsia="Calibri"/>
        </w:rPr>
        <w:t xml:space="preserve"> during the evaluation</w:t>
      </w:r>
      <w:r w:rsidR="00CE1BA7" w:rsidRPr="002E75D2">
        <w:rPr>
          <w:rFonts w:eastAsia="Calibri"/>
        </w:rPr>
        <w:t xml:space="preserve"> using MedCalc.</w:t>
      </w:r>
      <w:r w:rsidR="000A2513" w:rsidRPr="002E75D2">
        <w:rPr>
          <w:rFonts w:eastAsia="Calibri"/>
        </w:rPr>
        <w:t xml:space="preserve"> P-values for mean differences in both DELTA 1 and DELTA 2 trials were &lt;0.0001.</w:t>
      </w:r>
    </w:p>
    <w:p w14:paraId="7CCC26E7" w14:textId="0B1C760E" w:rsidR="0051380A" w:rsidRPr="002E75D2" w:rsidRDefault="00147FBA" w:rsidP="0059186A">
      <w:pPr>
        <w:pStyle w:val="FooterTableFigure"/>
        <w:rPr>
          <w:rFonts w:eastAsia="Calibri"/>
        </w:rPr>
      </w:pPr>
      <w:r w:rsidRPr="002E75D2">
        <w:rPr>
          <w:rFonts w:eastAsia="Calibri"/>
          <w:vertAlign w:val="superscript"/>
        </w:rPr>
        <w:t xml:space="preserve">e </w:t>
      </w:r>
      <w:r w:rsidR="0051380A" w:rsidRPr="002E75D2">
        <w:rPr>
          <w:rFonts w:eastAsia="Calibri"/>
        </w:rPr>
        <w:t>Corrected during the evaluation.</w:t>
      </w:r>
    </w:p>
    <w:p w14:paraId="19951A86" w14:textId="7CE05DAC" w:rsidR="00471583" w:rsidRPr="00E82A46" w:rsidRDefault="00471583">
      <w:pPr>
        <w:pStyle w:val="3-BodyText"/>
      </w:pPr>
      <w:r w:rsidRPr="00E82A46">
        <w:t xml:space="preserve">At Week 16, the proportion of </w:t>
      </w:r>
      <w:r w:rsidR="00AC7894" w:rsidRPr="00E82A46">
        <w:t>patient</w:t>
      </w:r>
      <w:r w:rsidR="00384E1F" w:rsidRPr="00E82A46">
        <w:t>s</w:t>
      </w:r>
      <w:r w:rsidRPr="00E82A46">
        <w:t xml:space="preserve"> achieving IGA-CHE TS was significantly higher in the delgocitinib arm compared with the</w:t>
      </w:r>
      <w:r w:rsidR="00F33CA6" w:rsidRPr="00E82A46">
        <w:t xml:space="preserve"> </w:t>
      </w:r>
      <w:r w:rsidR="002B7796" w:rsidRPr="00E82A46">
        <w:t>vehicle</w:t>
      </w:r>
      <w:r w:rsidRPr="00E82A46">
        <w:t xml:space="preserve"> arm in both trials, with a </w:t>
      </w:r>
      <w:r w:rsidR="00BA725A" w:rsidRPr="00E82A46">
        <w:t xml:space="preserve">risk </w:t>
      </w:r>
      <w:r w:rsidRPr="00E82A46">
        <w:t>difference of 9.8% (95% CI</w:t>
      </w:r>
      <w:r w:rsidR="008C2CCA" w:rsidRPr="00E82A46">
        <w:t>:</w:t>
      </w:r>
      <w:r w:rsidRPr="00E82A46">
        <w:t xml:space="preserve"> 3.6</w:t>
      </w:r>
      <w:r w:rsidR="008C2CCA" w:rsidRPr="00E82A46">
        <w:t xml:space="preserve">, </w:t>
      </w:r>
      <w:r w:rsidRPr="00E82A46">
        <w:t>16.1</w:t>
      </w:r>
      <w:r w:rsidR="008C2CCA" w:rsidRPr="00E82A46">
        <w:t>;</w:t>
      </w:r>
      <w:r w:rsidRPr="00E82A46">
        <w:t xml:space="preserve"> p=0.0055) in DELTA 1 and 22.2% (95% CI</w:t>
      </w:r>
      <w:r w:rsidR="008C2CCA" w:rsidRPr="00E82A46">
        <w:t>:</w:t>
      </w:r>
      <w:r w:rsidRPr="00E82A46">
        <w:t xml:space="preserve"> 15.8</w:t>
      </w:r>
      <w:r w:rsidR="008C2CCA" w:rsidRPr="00E82A46">
        <w:t xml:space="preserve">, </w:t>
      </w:r>
      <w:r w:rsidRPr="00E82A46">
        <w:t>28.5</w:t>
      </w:r>
      <w:r w:rsidR="0054531A" w:rsidRPr="00E82A46">
        <w:t>;</w:t>
      </w:r>
      <w:r w:rsidRPr="00E82A46">
        <w:t xml:space="preserve"> p&lt;0.0001) in DELTA 2.</w:t>
      </w:r>
    </w:p>
    <w:p w14:paraId="33A268FF" w14:textId="46769D79" w:rsidR="008B7AD3" w:rsidRPr="00E82A46" w:rsidRDefault="008B7AD3">
      <w:pPr>
        <w:pStyle w:val="3-BodyText"/>
      </w:pPr>
      <w:r w:rsidRPr="00E82A46">
        <w:lastRenderedPageBreak/>
        <w:t xml:space="preserve">During the 16-week treatment period in DELTA 1 and DELTA 2, </w:t>
      </w:r>
      <w:r w:rsidR="00571D17" w:rsidRPr="00E82A46">
        <w:t xml:space="preserve">the treatment effect of delgocitinib </w:t>
      </w:r>
      <w:r w:rsidR="00420121" w:rsidRPr="00E82A46">
        <w:t xml:space="preserve">vs vehicle </w:t>
      </w:r>
      <w:r w:rsidR="00571D17" w:rsidRPr="00E82A46">
        <w:t>increased from Week 1 to Week 8</w:t>
      </w:r>
      <w:r w:rsidR="00CE2272" w:rsidRPr="00E82A46">
        <w:t xml:space="preserve">. There were </w:t>
      </w:r>
      <w:r w:rsidR="00420121" w:rsidRPr="00E82A46">
        <w:t>significant differences at Week 4</w:t>
      </w:r>
      <w:r w:rsidR="00571D17" w:rsidRPr="00E82A46">
        <w:t xml:space="preserve"> and </w:t>
      </w:r>
      <w:r w:rsidR="00CE2272" w:rsidRPr="00E82A46">
        <w:t xml:space="preserve">the difference </w:t>
      </w:r>
      <w:r w:rsidR="00571D17" w:rsidRPr="00E82A46">
        <w:t xml:space="preserve">remained stable </w:t>
      </w:r>
      <w:r w:rsidR="00CE2272" w:rsidRPr="00E82A46">
        <w:t>after Week 8.</w:t>
      </w:r>
    </w:p>
    <w:p w14:paraId="1C49E556" w14:textId="17EF49D1" w:rsidR="00EB1908" w:rsidRPr="00E82A46" w:rsidRDefault="008B7AD3" w:rsidP="00981F01">
      <w:pPr>
        <w:pStyle w:val="3-BodyText"/>
      </w:pPr>
      <w:r w:rsidRPr="00E82A46">
        <w:t xml:space="preserve">Key secondary outcomes in the DELTA 1 and </w:t>
      </w:r>
      <w:r w:rsidR="00CE078E" w:rsidRPr="00E82A46">
        <w:t xml:space="preserve">DELTA </w:t>
      </w:r>
      <w:r w:rsidRPr="00E82A46">
        <w:t xml:space="preserve">2 trials consistently favoured delgocitinib over vehicle, with significant benefits observed across HESD, DLQI, HECSI, and </w:t>
      </w:r>
      <w:r w:rsidR="00B7538E" w:rsidRPr="00E82A46">
        <w:t>EuroQoL 5 dimensions 5 levels</w:t>
      </w:r>
      <w:r w:rsidR="007D5907" w:rsidRPr="00E82A46">
        <w:t xml:space="preserve"> (</w:t>
      </w:r>
      <w:r w:rsidRPr="00E82A46">
        <w:t>EQ-5D</w:t>
      </w:r>
      <w:r w:rsidR="00B7538E" w:rsidRPr="00E82A46">
        <w:t>-5L</w:t>
      </w:r>
      <w:r w:rsidR="007D5907" w:rsidRPr="00E82A46">
        <w:t>)</w:t>
      </w:r>
      <w:r w:rsidRPr="00E82A46">
        <w:t xml:space="preserve"> measures.</w:t>
      </w:r>
      <w:r w:rsidR="001B0E42" w:rsidRPr="00E82A46">
        <w:t xml:space="preserve"> </w:t>
      </w:r>
    </w:p>
    <w:p w14:paraId="220AA924" w14:textId="15BF9BA9" w:rsidR="00981F01" w:rsidRPr="00E82A46" w:rsidRDefault="00981F01" w:rsidP="00981F01">
      <w:pPr>
        <w:pStyle w:val="3-BodyText"/>
      </w:pPr>
      <w:r w:rsidRPr="00E82A46">
        <w:t xml:space="preserve">Quality of life, assessed by DLQI, showed significantly higher proportions </w:t>
      </w:r>
      <w:r w:rsidR="00CC1D55">
        <w:t xml:space="preserve">of patients </w:t>
      </w:r>
      <w:r w:rsidRPr="00E82A46">
        <w:t xml:space="preserve">achieving a ≥4-point reduction at Week 16 with delgocitinib (differences of 24.5% and 26.4%, both p&lt;0.001), </w:t>
      </w:r>
      <w:r w:rsidR="003E0578">
        <w:t>and</w:t>
      </w:r>
      <w:r w:rsidR="003E0578" w:rsidRPr="00E82A46">
        <w:t xml:space="preserve"> </w:t>
      </w:r>
      <w:r w:rsidRPr="00E82A46">
        <w:t>greater mean score improvements (differences of −3.6 and −3.9; both p&lt;0.001).</w:t>
      </w:r>
    </w:p>
    <w:p w14:paraId="75026D80" w14:textId="7C0D713E" w:rsidR="008B7AD3" w:rsidRDefault="008B7AD3" w:rsidP="008B7AD3">
      <w:pPr>
        <w:pStyle w:val="3-BodyText"/>
      </w:pPr>
      <w:r w:rsidRPr="00E82A46">
        <w:t>At Week 16, the EQ-5D</w:t>
      </w:r>
      <w:r w:rsidR="00B7538E" w:rsidRPr="00E82A46">
        <w:t>-5L</w:t>
      </w:r>
      <w:r w:rsidRPr="00E82A46">
        <w:t xml:space="preserve"> Index score improved in both trials</w:t>
      </w:r>
      <w:r w:rsidR="00377A0C">
        <w:t xml:space="preserve"> (see</w:t>
      </w:r>
      <w:r w:rsidR="00964509">
        <w:t xml:space="preserve"> </w:t>
      </w:r>
      <w:r w:rsidR="00964509">
        <w:fldChar w:fldCharType="begin"/>
      </w:r>
      <w:r w:rsidR="00964509">
        <w:instrText xml:space="preserve"> REF _Ref207293223 \h </w:instrText>
      </w:r>
      <w:r w:rsidR="00964509">
        <w:fldChar w:fldCharType="separate"/>
      </w:r>
      <w:r w:rsidR="00AA53DD" w:rsidRPr="002E75D2">
        <w:t xml:space="preserve">Table </w:t>
      </w:r>
      <w:r w:rsidR="00AA53DD">
        <w:rPr>
          <w:noProof/>
        </w:rPr>
        <w:t>5</w:t>
      </w:r>
      <w:r w:rsidR="00964509">
        <w:fldChar w:fldCharType="end"/>
      </w:r>
      <w:r w:rsidR="00964509">
        <w:t xml:space="preserve"> and</w:t>
      </w:r>
      <w:r w:rsidR="00377A0C">
        <w:t xml:space="preserve"> </w:t>
      </w:r>
      <w:r w:rsidR="008D56FB">
        <w:fldChar w:fldCharType="begin"/>
      </w:r>
      <w:r w:rsidR="008D56FB">
        <w:instrText xml:space="preserve"> REF _Ref214953164 \h </w:instrText>
      </w:r>
      <w:r w:rsidR="008D56FB">
        <w:fldChar w:fldCharType="separate"/>
      </w:r>
      <w:r w:rsidR="00AA53DD">
        <w:t xml:space="preserve">Figure </w:t>
      </w:r>
      <w:r w:rsidR="00AA53DD">
        <w:rPr>
          <w:noProof/>
        </w:rPr>
        <w:t>1</w:t>
      </w:r>
      <w:r w:rsidR="008D56FB">
        <w:fldChar w:fldCharType="end"/>
      </w:r>
      <w:r w:rsidR="008D56FB">
        <w:t xml:space="preserve"> and </w:t>
      </w:r>
      <w:r w:rsidR="008D56FB">
        <w:fldChar w:fldCharType="begin"/>
      </w:r>
      <w:r w:rsidR="008D56FB">
        <w:instrText xml:space="preserve"> REF _Ref214953171 \h </w:instrText>
      </w:r>
      <w:r w:rsidR="008D56FB">
        <w:fldChar w:fldCharType="separate"/>
      </w:r>
      <w:r w:rsidR="00AA53DD">
        <w:t xml:space="preserve">Figure </w:t>
      </w:r>
      <w:r w:rsidR="00AA53DD">
        <w:rPr>
          <w:noProof/>
        </w:rPr>
        <w:t>2</w:t>
      </w:r>
      <w:r w:rsidR="008D56FB">
        <w:fldChar w:fldCharType="end"/>
      </w:r>
      <w:r w:rsidR="00377A0C">
        <w:t>)</w:t>
      </w:r>
      <w:r w:rsidR="00C17FCF" w:rsidRPr="00E82A46">
        <w:t>. I</w:t>
      </w:r>
      <w:r w:rsidRPr="00E82A46">
        <w:t>n DELTA 1, the delgocitinib arm improved by 0.176 (</w:t>
      </w:r>
      <w:r w:rsidR="00462695">
        <w:t xml:space="preserve">SE = </w:t>
      </w:r>
      <w:r w:rsidRPr="00E82A46">
        <w:t xml:space="preserve">0.011) </w:t>
      </w:r>
      <w:r w:rsidR="0011406F" w:rsidRPr="00E82A46">
        <w:t>vs</w:t>
      </w:r>
      <w:r w:rsidRPr="00E82A46">
        <w:t xml:space="preserve"> 0.073 (</w:t>
      </w:r>
      <w:r w:rsidR="00462695">
        <w:t xml:space="preserve">SE = </w:t>
      </w:r>
      <w:r w:rsidRPr="00E82A46">
        <w:t xml:space="preserve">0.015) in </w:t>
      </w:r>
      <w:r w:rsidR="00C676A3">
        <w:t xml:space="preserve">the </w:t>
      </w:r>
      <w:r w:rsidRPr="00E82A46">
        <w:t>vehicle arm</w:t>
      </w:r>
      <w:r w:rsidR="00C17FCF" w:rsidRPr="00E82A46">
        <w:t>. I</w:t>
      </w:r>
      <w:r w:rsidRPr="00E82A46">
        <w:t>n DELTA 2, the delgocitinib arm improved by 0.157 (</w:t>
      </w:r>
      <w:r w:rsidR="00462695">
        <w:t xml:space="preserve">SE = </w:t>
      </w:r>
      <w:r w:rsidRPr="00E82A46">
        <w:t xml:space="preserve">0.011) </w:t>
      </w:r>
      <w:r w:rsidR="0011406F" w:rsidRPr="00E82A46">
        <w:t>vs</w:t>
      </w:r>
      <w:r w:rsidRPr="00E82A46">
        <w:t xml:space="preserve"> 0.049 (</w:t>
      </w:r>
      <w:r w:rsidR="00462695">
        <w:t xml:space="preserve">SE = </w:t>
      </w:r>
      <w:r w:rsidRPr="00E82A46">
        <w:t xml:space="preserve">0.015) in </w:t>
      </w:r>
      <w:r w:rsidR="00C676A3">
        <w:t>the</w:t>
      </w:r>
      <w:r w:rsidR="00C676A3" w:rsidRPr="00E82A46">
        <w:t xml:space="preserve"> </w:t>
      </w:r>
      <w:r w:rsidRPr="00E82A46">
        <w:t>vehicle arm</w:t>
      </w:r>
      <w:r w:rsidR="008D2826" w:rsidRPr="00E82A46">
        <w:t xml:space="preserve">. The </w:t>
      </w:r>
      <w:r w:rsidRPr="00E82A46">
        <w:t xml:space="preserve">treatment differences </w:t>
      </w:r>
      <w:r w:rsidR="003258C8" w:rsidRPr="00E82A46">
        <w:t xml:space="preserve">were </w:t>
      </w:r>
      <w:r w:rsidRPr="00E82A46">
        <w:t>0.103 (95% CI: 0.067</w:t>
      </w:r>
      <w:r w:rsidR="0054531A" w:rsidRPr="00E82A46">
        <w:t xml:space="preserve">, </w:t>
      </w:r>
      <w:r w:rsidRPr="00E82A46">
        <w:t>0.140) and 0.108 (95% CI: 0.071</w:t>
      </w:r>
      <w:r w:rsidR="0054531A" w:rsidRPr="00E82A46">
        <w:t xml:space="preserve">, </w:t>
      </w:r>
      <w:r w:rsidRPr="00E82A46">
        <w:t xml:space="preserve">0.145), respectively, </w:t>
      </w:r>
      <w:r w:rsidR="003258C8" w:rsidRPr="00E82A46">
        <w:t xml:space="preserve">and </w:t>
      </w:r>
      <w:r w:rsidR="007A69A6" w:rsidRPr="00E82A46">
        <w:t xml:space="preserve">both </w:t>
      </w:r>
      <w:r w:rsidRPr="00E82A46">
        <w:t>were statistically significant.</w:t>
      </w:r>
    </w:p>
    <w:p w14:paraId="3486E862" w14:textId="3B962C0D" w:rsidR="00A860CB" w:rsidRDefault="00A860CB" w:rsidP="00A860CB">
      <w:pPr>
        <w:pStyle w:val="Caption"/>
      </w:pPr>
      <w:bookmarkStart w:id="50" w:name="_Ref214953164"/>
      <w:r>
        <w:t xml:space="preserve">Figure </w:t>
      </w:r>
      <w:r w:rsidR="003C4B74">
        <w:fldChar w:fldCharType="begin"/>
      </w:r>
      <w:r w:rsidR="003C4B74">
        <w:instrText xml:space="preserve"> SEQ Figure \* ARABIC </w:instrText>
      </w:r>
      <w:r w:rsidR="003C4B74">
        <w:fldChar w:fldCharType="separate"/>
      </w:r>
      <w:r w:rsidR="00AA53DD">
        <w:rPr>
          <w:noProof/>
        </w:rPr>
        <w:t>1</w:t>
      </w:r>
      <w:r w:rsidR="003C4B74">
        <w:rPr>
          <w:noProof/>
        </w:rPr>
        <w:fldChar w:fldCharType="end"/>
      </w:r>
      <w:bookmarkEnd w:id="50"/>
      <w:r>
        <w:t xml:space="preserve">: Change in EQ-5D-5L </w:t>
      </w:r>
      <w:r w:rsidR="005F74D1">
        <w:t xml:space="preserve">index score </w:t>
      </w:r>
      <w:r>
        <w:t xml:space="preserve">in DELTA </w:t>
      </w:r>
      <w:r w:rsidR="006452FE">
        <w:t>1</w:t>
      </w:r>
      <w:r w:rsidR="00847DCD">
        <w:t xml:space="preserve"> from baseline to </w:t>
      </w:r>
      <w:r w:rsidR="003C4B74">
        <w:t>W</w:t>
      </w:r>
      <w:r w:rsidR="00847DCD">
        <w:t>eek 16</w:t>
      </w:r>
    </w:p>
    <w:p w14:paraId="7C027AEA" w14:textId="07F60847" w:rsidR="00377A0C" w:rsidRDefault="00377A0C" w:rsidP="00377A0C">
      <w:pPr>
        <w:pStyle w:val="3-BodyText"/>
        <w:numPr>
          <w:ilvl w:val="0"/>
          <w:numId w:val="0"/>
        </w:numPr>
      </w:pPr>
      <w:r>
        <w:rPr>
          <w:noProof/>
        </w:rPr>
        <w:drawing>
          <wp:inline distT="0" distB="0" distL="0" distR="0" wp14:anchorId="04A84711" wp14:editId="3CCDF27B">
            <wp:extent cx="5720486" cy="1894637"/>
            <wp:effectExtent l="0" t="0" r="0" b="0"/>
            <wp:docPr id="721449225" name="Picture 1" descr="Figure 1: Change in EQ-5D-5L index score in DELTA 1 from baseline to We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49225" name="Picture 1" descr="Figure 1: Change in EQ-5D-5L index score in DELTA 1 from baseline to Week 16"/>
                    <pic:cNvPicPr>
                      <a:picLocks noChangeAspect="1"/>
                    </pic:cNvPicPr>
                  </pic:nvPicPr>
                  <pic:blipFill rotWithShape="1">
                    <a:blip r:embed="rId11">
                      <a:extLst>
                        <a:ext uri="{28A0092B-C50C-407E-A947-70E740481C1C}">
                          <a14:useLocalDpi xmlns:a14="http://schemas.microsoft.com/office/drawing/2010/main" val="0"/>
                        </a:ext>
                      </a:extLst>
                    </a:blip>
                    <a:srcRect r="164" b="28380"/>
                    <a:stretch>
                      <a:fillRect/>
                    </a:stretch>
                  </pic:blipFill>
                  <pic:spPr bwMode="auto">
                    <a:xfrm>
                      <a:off x="0" y="0"/>
                      <a:ext cx="5721762" cy="1895060"/>
                    </a:xfrm>
                    <a:prstGeom prst="rect">
                      <a:avLst/>
                    </a:prstGeom>
                    <a:noFill/>
                    <a:ln>
                      <a:noFill/>
                    </a:ln>
                    <a:extLst>
                      <a:ext uri="{53640926-AAD7-44D8-BBD7-CCE9431645EC}">
                        <a14:shadowObscured xmlns:a14="http://schemas.microsoft.com/office/drawing/2010/main"/>
                      </a:ext>
                    </a:extLst>
                  </pic:spPr>
                </pic:pic>
              </a:graphicData>
            </a:graphic>
          </wp:inline>
        </w:drawing>
      </w:r>
    </w:p>
    <w:p w14:paraId="002E09F7" w14:textId="295C21C1" w:rsidR="002B4453" w:rsidRDefault="002B4453" w:rsidP="00C44AC1">
      <w:pPr>
        <w:pStyle w:val="TableFigureFooter"/>
      </w:pPr>
      <w:r>
        <w:t xml:space="preserve">Source: </w:t>
      </w:r>
      <w:r w:rsidR="00FE5435">
        <w:t>Panel 53, p95 of the DELTA 1 CSR</w:t>
      </w:r>
    </w:p>
    <w:p w14:paraId="7A9B670B" w14:textId="02755A02" w:rsidR="00706D96" w:rsidRPr="00706D96" w:rsidRDefault="00706D96" w:rsidP="002F4135">
      <w:pPr>
        <w:pStyle w:val="TableFigureFooter"/>
      </w:pPr>
      <w:r>
        <w:t>EQ-5D-5L = EuroQol 5-Dimension Health Questionnaire 5 Level</w:t>
      </w:r>
      <w:r w:rsidR="002F4135">
        <w:t>; LS = least squares</w:t>
      </w:r>
    </w:p>
    <w:p w14:paraId="3C93DE9B" w14:textId="2BBB8027" w:rsidR="003C4B74" w:rsidRPr="003C4B74" w:rsidRDefault="003C4B74" w:rsidP="00157F0F">
      <w:pPr>
        <w:pStyle w:val="Caption"/>
      </w:pPr>
      <w:bookmarkStart w:id="51" w:name="_Ref214953171"/>
      <w:r>
        <w:lastRenderedPageBreak/>
        <w:t xml:space="preserve">Figure </w:t>
      </w:r>
      <w:r>
        <w:fldChar w:fldCharType="begin"/>
      </w:r>
      <w:r>
        <w:instrText xml:space="preserve"> SEQ Figure \* ARABIC </w:instrText>
      </w:r>
      <w:r>
        <w:fldChar w:fldCharType="separate"/>
      </w:r>
      <w:r w:rsidR="00AA53DD">
        <w:rPr>
          <w:noProof/>
        </w:rPr>
        <w:t>2</w:t>
      </w:r>
      <w:r>
        <w:rPr>
          <w:noProof/>
        </w:rPr>
        <w:fldChar w:fldCharType="end"/>
      </w:r>
      <w:bookmarkEnd w:id="51"/>
      <w:r>
        <w:t>: Change in EQ-5D-5L</w:t>
      </w:r>
      <w:r w:rsidR="005F74D1">
        <w:t xml:space="preserve"> index score</w:t>
      </w:r>
      <w:r>
        <w:t xml:space="preserve"> in DELTA 2 from baseline to Week 16</w:t>
      </w:r>
    </w:p>
    <w:p w14:paraId="730B16F5" w14:textId="22C8E3EA" w:rsidR="00A860CB" w:rsidRDefault="00A860CB" w:rsidP="00157F0F">
      <w:pPr>
        <w:pStyle w:val="3-BodyText"/>
        <w:keepNext/>
        <w:keepLines/>
        <w:numPr>
          <w:ilvl w:val="0"/>
          <w:numId w:val="0"/>
        </w:numPr>
        <w:ind w:left="720" w:hanging="720"/>
      </w:pPr>
      <w:r>
        <w:rPr>
          <w:noProof/>
        </w:rPr>
        <w:drawing>
          <wp:inline distT="0" distB="0" distL="0" distR="0" wp14:anchorId="0FDC411B" wp14:editId="4F870FF3">
            <wp:extent cx="5731510" cy="1887322"/>
            <wp:effectExtent l="0" t="0" r="2540" b="0"/>
            <wp:docPr id="884900386" name="Picture 2" descr="Figure 2: Change in EQ-5D-5L index score in DELTA 2 from baseline to We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00386" name="Picture 2" descr="Figure 2: Change in EQ-5D-5L index score in DELTA 2 from baseline to Week 16"/>
                    <pic:cNvPicPr>
                      <a:picLocks noChangeAspect="1"/>
                    </pic:cNvPicPr>
                  </pic:nvPicPr>
                  <pic:blipFill rotWithShape="1">
                    <a:blip r:embed="rId12">
                      <a:extLst>
                        <a:ext uri="{28A0092B-C50C-407E-A947-70E740481C1C}">
                          <a14:useLocalDpi xmlns:a14="http://schemas.microsoft.com/office/drawing/2010/main" val="0"/>
                        </a:ext>
                      </a:extLst>
                    </a:blip>
                    <a:srcRect b="28640"/>
                    <a:stretch>
                      <a:fillRect/>
                    </a:stretch>
                  </pic:blipFill>
                  <pic:spPr bwMode="auto">
                    <a:xfrm>
                      <a:off x="0" y="0"/>
                      <a:ext cx="5731510" cy="1887322"/>
                    </a:xfrm>
                    <a:prstGeom prst="rect">
                      <a:avLst/>
                    </a:prstGeom>
                    <a:noFill/>
                    <a:ln>
                      <a:noFill/>
                    </a:ln>
                    <a:extLst>
                      <a:ext uri="{53640926-AAD7-44D8-BBD7-CCE9431645EC}">
                        <a14:shadowObscured xmlns:a14="http://schemas.microsoft.com/office/drawing/2010/main"/>
                      </a:ext>
                    </a:extLst>
                  </pic:spPr>
                </pic:pic>
              </a:graphicData>
            </a:graphic>
          </wp:inline>
        </w:drawing>
      </w:r>
    </w:p>
    <w:p w14:paraId="73963637" w14:textId="11370F2A" w:rsidR="003C4B74" w:rsidRDefault="003C4B74" w:rsidP="00157F0F">
      <w:pPr>
        <w:pStyle w:val="TableFigureFooter"/>
        <w:keepNext/>
      </w:pPr>
      <w:r>
        <w:t xml:space="preserve">Source: </w:t>
      </w:r>
      <w:r w:rsidR="00157F0F">
        <w:t>Panel 53, p95 of the DELTA 2 CSR</w:t>
      </w:r>
    </w:p>
    <w:p w14:paraId="2EAC1228" w14:textId="77777777" w:rsidR="002F4135" w:rsidRPr="00706D96" w:rsidRDefault="002F4135" w:rsidP="00157F0F">
      <w:pPr>
        <w:pStyle w:val="TableFigureFooter"/>
        <w:keepNext/>
      </w:pPr>
      <w:r>
        <w:t>EQ-5D-5L = EuroQol 5-Dimension Health Questionnaire 5 Level; LS = least squares</w:t>
      </w:r>
    </w:p>
    <w:p w14:paraId="1A356FE3" w14:textId="7EEA0692" w:rsidR="00F62150" w:rsidRPr="00E82A46" w:rsidRDefault="007160E7" w:rsidP="00F62150">
      <w:pPr>
        <w:pStyle w:val="3-BodyText"/>
      </w:pPr>
      <w:bookmarkStart w:id="52" w:name="_Ref214978956"/>
      <w:r w:rsidRPr="00E82A46">
        <w:t>The submission presented efficacy results by CHE subtype</w:t>
      </w:r>
      <w:r w:rsidR="00D05180" w:rsidRPr="00E82A46">
        <w:t xml:space="preserve"> for </w:t>
      </w:r>
      <w:r w:rsidR="0082058E" w:rsidRPr="00E82A46">
        <w:t>pooled data from the DELTA 1 and DELTA 2 trials at 16 weeks</w:t>
      </w:r>
      <w:r w:rsidR="007762BD">
        <w:t>.</w:t>
      </w:r>
      <w:r w:rsidRPr="00E82A46">
        <w:t xml:space="preserve"> </w:t>
      </w:r>
      <w:r w:rsidR="00F6750A" w:rsidRPr="00E82A46">
        <w:t>Overall, the subgroup findings demonstrated that delgocitinib achieved more favourable outcomes than the vehicle across nearly all CHE subtypes at Week 16.</w:t>
      </w:r>
      <w:r w:rsidR="00F6750A">
        <w:t xml:space="preserve"> </w:t>
      </w:r>
      <w:r w:rsidR="00F6750A" w:rsidRPr="00E82A46">
        <w:t>The ESC noted the results in hyperkeratotic eczema were somewhat less supportive than for the other subtypes.</w:t>
      </w:r>
      <w:bookmarkEnd w:id="52"/>
    </w:p>
    <w:p w14:paraId="0DC6D099" w14:textId="60CB7488" w:rsidR="00BA7D58" w:rsidRPr="00E82A46" w:rsidRDefault="002E5EE0" w:rsidP="00BA7D58">
      <w:pPr>
        <w:pStyle w:val="3-BodyText"/>
      </w:pPr>
      <w:bookmarkStart w:id="53" w:name="_Ref214978962"/>
      <w:r w:rsidRPr="00E82A46">
        <w:t xml:space="preserve">Results from </w:t>
      </w:r>
      <w:r w:rsidR="00905C82" w:rsidRPr="00E82A46">
        <w:t>the DELTA</w:t>
      </w:r>
      <w:r w:rsidR="00BA7D58" w:rsidRPr="00E82A46">
        <w:t xml:space="preserve"> 3 stud</w:t>
      </w:r>
      <w:r w:rsidRPr="00E82A46">
        <w:t>y</w:t>
      </w:r>
      <w:r w:rsidR="00BA7D58" w:rsidRPr="00E82A46">
        <w:t xml:space="preserve"> at Week 52 suggested considerable variability in treatment effects across CHE subtypes. Subtype-specific response rates indicated higher efficacy in irritant contact dermatitis, with IGA-CHE TS achieved by 75.7% of patients and HECSI-75 by 92.5%. Similar high responses were seen in vesicular hand eczema (IGA-CHE TS: 72.5%; HECSI-75: 87.7%) and allergic contact dermatitis (IGA-CHE TS: 66.0%; HECSI-75: 89.4%). Atopic hand eczema showed more modest responses (IGA-CHE TS: 58.9%; HECSI-75: 84.7%), while hyperkeratotic eczema demonstrated the lowest rates (IGA-CHE TS: 38.2%; HECSI-75: 68.6%).</w:t>
      </w:r>
      <w:bookmarkEnd w:id="53"/>
    </w:p>
    <w:p w14:paraId="3E30BC27" w14:textId="07D9CC2A" w:rsidR="006E50D2" w:rsidRPr="00E82A46" w:rsidRDefault="00BB23D0" w:rsidP="00CE2AD0">
      <w:pPr>
        <w:keepNext/>
        <w:keepLines/>
        <w:rPr>
          <w:u w:val="single"/>
        </w:rPr>
      </w:pPr>
      <w:r w:rsidRPr="00E82A46">
        <w:rPr>
          <w:u w:val="single"/>
        </w:rPr>
        <w:t>Comparison with dupilumab</w:t>
      </w:r>
    </w:p>
    <w:p w14:paraId="3ADF889D" w14:textId="0A1381F8" w:rsidR="00B71F39" w:rsidRPr="00E82A46" w:rsidRDefault="00DD7303" w:rsidP="00CE2AD0">
      <w:pPr>
        <w:pStyle w:val="3-BodyText"/>
        <w:keepNext/>
        <w:keepLines/>
      </w:pPr>
      <w:r w:rsidRPr="00E82A46">
        <w:t>The submission presented</w:t>
      </w:r>
      <w:r w:rsidR="00F31A83" w:rsidRPr="00E82A46">
        <w:t xml:space="preserve"> a</w:t>
      </w:r>
      <w:r w:rsidRPr="00E82A46">
        <w:t xml:space="preserve"> </w:t>
      </w:r>
      <w:r w:rsidR="003C6E81" w:rsidRPr="00E82A46">
        <w:t xml:space="preserve">MAIC </w:t>
      </w:r>
      <w:r w:rsidRPr="00E82A46">
        <w:t>between delgocitinib and dupilumab</w:t>
      </w:r>
      <w:r w:rsidR="009F42AD" w:rsidRPr="00E82A46">
        <w:t xml:space="preserve"> based on the DELTA </w:t>
      </w:r>
      <w:r w:rsidR="00F00C53" w:rsidRPr="00E82A46">
        <w:t>1</w:t>
      </w:r>
      <w:r w:rsidR="00810E1B" w:rsidRPr="00E82A46">
        <w:t xml:space="preserve"> and DELTA </w:t>
      </w:r>
      <w:r w:rsidR="00F00C53" w:rsidRPr="00E82A46">
        <w:t>2</w:t>
      </w:r>
      <w:r w:rsidR="009F42AD" w:rsidRPr="00E82A46">
        <w:t xml:space="preserve"> and LIBERTY-AD-HAFT trials</w:t>
      </w:r>
      <w:r w:rsidR="007614C4" w:rsidRPr="00E82A46">
        <w:t xml:space="preserve">. </w:t>
      </w:r>
      <w:r w:rsidR="006942ED">
        <w:t>Although t</w:t>
      </w:r>
      <w:r w:rsidR="0096563F" w:rsidRPr="00E82A46">
        <w:t xml:space="preserve">he LIBERTY-AD-HAFT trial included patients with </w:t>
      </w:r>
      <w:r w:rsidR="0055248B" w:rsidRPr="00E82A46">
        <w:t>atopic dermatitis of the hands or feet</w:t>
      </w:r>
      <w:r w:rsidR="006942ED">
        <w:t xml:space="preserve">, </w:t>
      </w:r>
      <w:r w:rsidR="00790E08">
        <w:t>p</w:t>
      </w:r>
      <w:r w:rsidR="0055248B" w:rsidRPr="00E82A46">
        <w:t xml:space="preserve">atients with </w:t>
      </w:r>
      <w:r w:rsidR="004026B3" w:rsidRPr="00E82A46">
        <w:t xml:space="preserve">atopic dermatitis of the feet (n = 4) were not excluded. </w:t>
      </w:r>
      <w:r w:rsidR="00800943" w:rsidRPr="00E82A46">
        <w:t xml:space="preserve">The submission </w:t>
      </w:r>
      <w:r w:rsidR="00D32BC7" w:rsidRPr="00E82A46">
        <w:t xml:space="preserve">restricted the analysis </w:t>
      </w:r>
      <w:r w:rsidR="00B2379C" w:rsidRPr="00E82A46">
        <w:t xml:space="preserve">of the </w:t>
      </w:r>
      <w:r w:rsidR="0082706F" w:rsidRPr="00E82A46">
        <w:t>DELTA</w:t>
      </w:r>
      <w:r w:rsidR="00810E1B" w:rsidRPr="00E82A46">
        <w:t xml:space="preserve"> </w:t>
      </w:r>
      <w:r w:rsidR="0082706F" w:rsidRPr="00E82A46">
        <w:t>1</w:t>
      </w:r>
      <w:r w:rsidR="00810E1B" w:rsidRPr="00E82A46">
        <w:t xml:space="preserve"> and DELTA </w:t>
      </w:r>
      <w:r w:rsidR="0082706F" w:rsidRPr="00E82A46">
        <w:t>2</w:t>
      </w:r>
      <w:r w:rsidR="00B2379C" w:rsidRPr="00E82A46">
        <w:t xml:space="preserve"> trial</w:t>
      </w:r>
      <w:r w:rsidR="0082706F" w:rsidRPr="00E82A46">
        <w:t>s</w:t>
      </w:r>
      <w:r w:rsidR="00B2379C" w:rsidRPr="00E82A46">
        <w:t xml:space="preserve"> </w:t>
      </w:r>
      <w:r w:rsidR="00D32BC7" w:rsidRPr="00E82A46">
        <w:t xml:space="preserve">to the CHE atopic subtype </w:t>
      </w:r>
      <w:r w:rsidR="00D22CFE" w:rsidRPr="00E82A46">
        <w:t xml:space="preserve">population </w:t>
      </w:r>
      <w:r w:rsidR="00D32BC7" w:rsidRPr="00E82A46">
        <w:t xml:space="preserve">as </w:t>
      </w:r>
      <w:r w:rsidR="0082706F" w:rsidRPr="00E82A46">
        <w:t xml:space="preserve">the </w:t>
      </w:r>
      <w:r w:rsidR="001A2373" w:rsidRPr="00E82A46">
        <w:t>LIBERTY-AD-HAFT</w:t>
      </w:r>
      <w:r w:rsidR="00B2379C" w:rsidRPr="00E82A46">
        <w:t xml:space="preserve"> trial</w:t>
      </w:r>
      <w:r w:rsidR="001A2373" w:rsidRPr="00E82A46">
        <w:t xml:space="preserve"> enrolled </w:t>
      </w:r>
      <w:r w:rsidR="00B31940" w:rsidRPr="00E82A46">
        <w:t>patie</w:t>
      </w:r>
      <w:r w:rsidR="00D22CFE" w:rsidRPr="00E82A46">
        <w:t>nt</w:t>
      </w:r>
      <w:r w:rsidR="00B31940" w:rsidRPr="00E82A46">
        <w:t xml:space="preserve">s with </w:t>
      </w:r>
      <w:r w:rsidR="001A2373" w:rsidRPr="00E82A46">
        <w:t>atopic dermatitis</w:t>
      </w:r>
      <w:r w:rsidR="00B31940" w:rsidRPr="00E82A46">
        <w:t xml:space="preserve"> only</w:t>
      </w:r>
      <w:r w:rsidR="002F6263" w:rsidRPr="00E82A46">
        <w:t>.</w:t>
      </w:r>
      <w:r w:rsidR="0064395E" w:rsidRPr="00E82A46">
        <w:t xml:space="preserve"> The following </w:t>
      </w:r>
      <w:r w:rsidR="00B71F39" w:rsidRPr="00E82A46">
        <w:t xml:space="preserve">effect modifiers were considered: </w:t>
      </w:r>
      <w:r w:rsidR="00AA7B7A">
        <w:t>sex, race</w:t>
      </w:r>
      <w:r w:rsidR="00B403B6">
        <w:t>, baseline disease severity (HECSI score), age and CHE subtype</w:t>
      </w:r>
      <w:r w:rsidR="00E646F7">
        <w:t xml:space="preserve"> (restricted to atopic CHE).</w:t>
      </w:r>
    </w:p>
    <w:p w14:paraId="5C59B78B" w14:textId="6C91F90F" w:rsidR="006F664E" w:rsidRPr="00E82A46" w:rsidRDefault="00936792">
      <w:pPr>
        <w:pStyle w:val="3-BodyText"/>
      </w:pPr>
      <w:r>
        <w:t xml:space="preserve">A propensity score weighting technique was </w:t>
      </w:r>
      <w:r w:rsidR="00AA7B7A">
        <w:t>used to align the baseline characteristics of p</w:t>
      </w:r>
      <w:r w:rsidR="00E32CD9" w:rsidRPr="00E82A46">
        <w:t xml:space="preserve">atients in </w:t>
      </w:r>
      <w:r w:rsidR="00C62EA8" w:rsidRPr="00E82A46">
        <w:t xml:space="preserve">the </w:t>
      </w:r>
      <w:r w:rsidR="00E32CD9" w:rsidRPr="00E82A46">
        <w:t>DELTA 1</w:t>
      </w:r>
      <w:r w:rsidR="00C62EA8" w:rsidRPr="00E82A46">
        <w:t xml:space="preserve"> and DELTA </w:t>
      </w:r>
      <w:r w:rsidR="00E32CD9" w:rsidRPr="00E82A46">
        <w:t xml:space="preserve">2 </w:t>
      </w:r>
      <w:r w:rsidR="00C62EA8" w:rsidRPr="00E82A46">
        <w:t xml:space="preserve">trials </w:t>
      </w:r>
      <w:r w:rsidR="00E32CD9" w:rsidRPr="00E82A46">
        <w:t xml:space="preserve">with those in </w:t>
      </w:r>
      <w:r w:rsidR="00AA7B7A">
        <w:t xml:space="preserve">the </w:t>
      </w:r>
      <w:r w:rsidR="00E32CD9" w:rsidRPr="00E82A46">
        <w:t>LIBERTY-AD-HAFT</w:t>
      </w:r>
      <w:r w:rsidR="00AA7B7A">
        <w:t xml:space="preserve"> trial</w:t>
      </w:r>
      <w:r w:rsidR="00E32CD9" w:rsidRPr="00E82A46">
        <w:t xml:space="preserve">. </w:t>
      </w:r>
    </w:p>
    <w:p w14:paraId="04BA251E" w14:textId="4424FDCC" w:rsidR="00B62D23" w:rsidRPr="00E82A46" w:rsidRDefault="003B508F">
      <w:pPr>
        <w:pStyle w:val="3-BodyText"/>
      </w:pPr>
      <w:r w:rsidRPr="00E82A46">
        <w:fldChar w:fldCharType="begin"/>
      </w:r>
      <w:r w:rsidRPr="00E82A46">
        <w:instrText xml:space="preserve"> REF _Ref207293388 \h </w:instrText>
      </w:r>
      <w:r w:rsidR="00ED3300" w:rsidRPr="00E82A46">
        <w:instrText xml:space="preserve"> \* MERGEFORMAT </w:instrText>
      </w:r>
      <w:r w:rsidRPr="00E82A46">
        <w:fldChar w:fldCharType="separate"/>
      </w:r>
      <w:r w:rsidR="00AA53DD" w:rsidRPr="002E75D2">
        <w:t xml:space="preserve">Table </w:t>
      </w:r>
      <w:r w:rsidR="00AA53DD">
        <w:t>6</w:t>
      </w:r>
      <w:r w:rsidRPr="00E82A46">
        <w:fldChar w:fldCharType="end"/>
      </w:r>
      <w:r w:rsidRPr="00E82A46">
        <w:t xml:space="preserve"> </w:t>
      </w:r>
      <w:r w:rsidR="008A1DDE" w:rsidRPr="00E82A46">
        <w:t>presents</w:t>
      </w:r>
      <w:r w:rsidR="00B62D23" w:rsidRPr="00E82A46">
        <w:t xml:space="preserve"> </w:t>
      </w:r>
      <w:r w:rsidR="008A1DDE" w:rsidRPr="00E82A46">
        <w:t xml:space="preserve">MAIC results for the primary outcome (HF-IGA/IGA-CHE) and secondary outcomes (HECSI-75, HECSI-90, and HECSI percentage change from baseline) for delgocitinib </w:t>
      </w:r>
      <w:r w:rsidR="0011406F" w:rsidRPr="00E82A46">
        <w:t>vs</w:t>
      </w:r>
      <w:r w:rsidR="008A1DDE" w:rsidRPr="00E82A46">
        <w:t xml:space="preserve"> dupilumab at Week 16</w:t>
      </w:r>
      <w:r w:rsidR="00B62D23" w:rsidRPr="00E82A46">
        <w:t>.</w:t>
      </w:r>
    </w:p>
    <w:p w14:paraId="783D65EB" w14:textId="3DB54232" w:rsidR="003B508F" w:rsidRPr="002E75D2" w:rsidRDefault="003B508F" w:rsidP="007E5D30">
      <w:pPr>
        <w:pStyle w:val="Caption"/>
      </w:pPr>
      <w:bookmarkStart w:id="54" w:name="_Ref207293388"/>
      <w:r w:rsidRPr="002E75D2">
        <w:lastRenderedPageBreak/>
        <w:t xml:space="preserve">Table </w:t>
      </w:r>
      <w:r w:rsidR="000847A3">
        <w:fldChar w:fldCharType="begin"/>
      </w:r>
      <w:r w:rsidR="000847A3">
        <w:instrText xml:space="preserve"> SEQ Table \* ARABIC </w:instrText>
      </w:r>
      <w:r w:rsidR="000847A3">
        <w:fldChar w:fldCharType="separate"/>
      </w:r>
      <w:r w:rsidR="00AA53DD">
        <w:rPr>
          <w:noProof/>
        </w:rPr>
        <w:t>6</w:t>
      </w:r>
      <w:r w:rsidR="000847A3">
        <w:rPr>
          <w:noProof/>
        </w:rPr>
        <w:fldChar w:fldCharType="end"/>
      </w:r>
      <w:bookmarkEnd w:id="54"/>
      <w:r w:rsidRPr="002E75D2">
        <w:t>: Summary of ITC results for efficacy endpoints for delgocitinib vs dupilumab at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Table 6: Summary of ITC results for efficacy endpoints for delgocitinib vs dupilumab at Week 16"/>
      </w:tblPr>
      <w:tblGrid>
        <w:gridCol w:w="1675"/>
        <w:gridCol w:w="1681"/>
        <w:gridCol w:w="959"/>
        <w:gridCol w:w="720"/>
        <w:gridCol w:w="2040"/>
        <w:gridCol w:w="1199"/>
        <w:gridCol w:w="743"/>
      </w:tblGrid>
      <w:tr w:rsidR="008A1DDE" w:rsidRPr="002E75D2" w14:paraId="0C00383C" w14:textId="77777777" w:rsidTr="00C21DB1">
        <w:trPr>
          <w:tblHeader/>
        </w:trPr>
        <w:tc>
          <w:tcPr>
            <w:tcW w:w="929" w:type="pct"/>
            <w:tcMar>
              <w:left w:w="20" w:type="dxa"/>
              <w:right w:w="20" w:type="dxa"/>
            </w:tcMar>
            <w:hideMark/>
          </w:tcPr>
          <w:p w14:paraId="28D2006E" w14:textId="77777777" w:rsidR="008A1DDE" w:rsidRPr="002E75D2" w:rsidRDefault="008A1DDE" w:rsidP="007E5D30">
            <w:pPr>
              <w:pStyle w:val="In-tableHeading"/>
              <w:jc w:val="center"/>
              <w:rPr>
                <w:szCs w:val="20"/>
                <w:lang w:val="en-AU"/>
              </w:rPr>
            </w:pPr>
            <w:r w:rsidRPr="002E75D2">
              <w:rPr>
                <w:szCs w:val="20"/>
                <w:lang w:val="en-AU"/>
              </w:rPr>
              <w:t>Endpoints</w:t>
            </w:r>
          </w:p>
        </w:tc>
        <w:tc>
          <w:tcPr>
            <w:tcW w:w="1863" w:type="pct"/>
            <w:gridSpan w:val="3"/>
            <w:tcMar>
              <w:left w:w="20" w:type="dxa"/>
              <w:right w:w="20" w:type="dxa"/>
            </w:tcMar>
            <w:hideMark/>
          </w:tcPr>
          <w:p w14:paraId="1B674A90" w14:textId="1871F0D5" w:rsidR="008A1DDE" w:rsidRPr="002E75D2" w:rsidRDefault="008A1DDE" w:rsidP="007E5D30">
            <w:pPr>
              <w:pStyle w:val="In-tableHeading"/>
              <w:jc w:val="center"/>
              <w:rPr>
                <w:szCs w:val="20"/>
                <w:lang w:val="en-AU"/>
              </w:rPr>
            </w:pPr>
            <w:r w:rsidRPr="002E75D2">
              <w:rPr>
                <w:szCs w:val="20"/>
                <w:lang w:val="en-AU"/>
              </w:rPr>
              <w:t>Odds Ratio (OR) – binary endpoints</w:t>
            </w:r>
          </w:p>
        </w:tc>
        <w:tc>
          <w:tcPr>
            <w:tcW w:w="2208" w:type="pct"/>
            <w:gridSpan w:val="3"/>
            <w:tcMar>
              <w:left w:w="20" w:type="dxa"/>
              <w:right w:w="20" w:type="dxa"/>
            </w:tcMar>
            <w:hideMark/>
          </w:tcPr>
          <w:p w14:paraId="64A43E8B" w14:textId="7B5F6380" w:rsidR="008A1DDE" w:rsidRPr="002E75D2" w:rsidRDefault="008A1DDE" w:rsidP="007E5D30">
            <w:pPr>
              <w:pStyle w:val="In-tableHeading"/>
              <w:jc w:val="center"/>
              <w:rPr>
                <w:szCs w:val="20"/>
                <w:lang w:val="en-AU"/>
              </w:rPr>
            </w:pPr>
            <w:r w:rsidRPr="002E75D2">
              <w:rPr>
                <w:szCs w:val="20"/>
                <w:lang w:val="en-AU"/>
              </w:rPr>
              <w:t>Response Difference (RD) –</w:t>
            </w:r>
            <w:r w:rsidR="005D178E" w:rsidRPr="002E75D2">
              <w:rPr>
                <w:szCs w:val="20"/>
                <w:lang w:val="en-AU"/>
              </w:rPr>
              <w:t xml:space="preserve"> </w:t>
            </w:r>
            <w:r w:rsidR="00C62EA8" w:rsidRPr="002E75D2">
              <w:rPr>
                <w:szCs w:val="20"/>
                <w:lang w:val="en-AU"/>
              </w:rPr>
              <w:t>c</w:t>
            </w:r>
            <w:r w:rsidRPr="002E75D2">
              <w:rPr>
                <w:szCs w:val="20"/>
                <w:lang w:val="en-AU"/>
              </w:rPr>
              <w:t>ontinuous endpoints</w:t>
            </w:r>
          </w:p>
        </w:tc>
      </w:tr>
      <w:tr w:rsidR="008A1DDE" w:rsidRPr="002E75D2" w14:paraId="7D7F2EE6" w14:textId="77777777" w:rsidTr="00C21DB1">
        <w:trPr>
          <w:tblHeader/>
        </w:trPr>
        <w:tc>
          <w:tcPr>
            <w:tcW w:w="929" w:type="pct"/>
            <w:tcMar>
              <w:left w:w="20" w:type="dxa"/>
              <w:right w:w="20" w:type="dxa"/>
            </w:tcMar>
            <w:hideMark/>
          </w:tcPr>
          <w:p w14:paraId="7F7A122F" w14:textId="77777777" w:rsidR="008A1DDE" w:rsidRPr="002E75D2" w:rsidRDefault="008A1DDE" w:rsidP="007E5D30">
            <w:pPr>
              <w:pStyle w:val="In-tableHeading"/>
              <w:jc w:val="center"/>
              <w:rPr>
                <w:lang w:val="en-AU"/>
              </w:rPr>
            </w:pPr>
          </w:p>
        </w:tc>
        <w:tc>
          <w:tcPr>
            <w:tcW w:w="932" w:type="pct"/>
            <w:tcMar>
              <w:left w:w="20" w:type="dxa"/>
              <w:right w:w="20" w:type="dxa"/>
            </w:tcMar>
            <w:hideMark/>
          </w:tcPr>
          <w:p w14:paraId="0918A4B7" w14:textId="679D5A72" w:rsidR="008A1DDE" w:rsidRPr="002E75D2" w:rsidRDefault="008A1DDE" w:rsidP="007E5D30">
            <w:pPr>
              <w:pStyle w:val="In-tableHeading"/>
              <w:jc w:val="center"/>
              <w:rPr>
                <w:szCs w:val="20"/>
                <w:lang w:val="en-AU"/>
              </w:rPr>
            </w:pPr>
            <w:r w:rsidRPr="002E75D2">
              <w:rPr>
                <w:szCs w:val="20"/>
                <w:lang w:val="en-AU"/>
              </w:rPr>
              <w:t>Point estimate (Delgocitinib vs Dupilumab)</w:t>
            </w:r>
            <w:r w:rsidR="00931FB7" w:rsidRPr="002E75D2">
              <w:rPr>
                <w:szCs w:val="20"/>
                <w:vertAlign w:val="superscript"/>
                <w:lang w:val="en-AU"/>
              </w:rPr>
              <w:t>a</w:t>
            </w:r>
          </w:p>
        </w:tc>
        <w:tc>
          <w:tcPr>
            <w:tcW w:w="532" w:type="pct"/>
            <w:tcMar>
              <w:left w:w="20" w:type="dxa"/>
              <w:right w:w="20" w:type="dxa"/>
            </w:tcMar>
            <w:hideMark/>
          </w:tcPr>
          <w:p w14:paraId="1173BBE7" w14:textId="6E909E80" w:rsidR="008A1DDE" w:rsidRPr="002E75D2" w:rsidRDefault="008A1DDE" w:rsidP="007E5D30">
            <w:pPr>
              <w:pStyle w:val="In-tableHeading"/>
              <w:jc w:val="center"/>
              <w:rPr>
                <w:szCs w:val="20"/>
                <w:lang w:val="en-AU"/>
              </w:rPr>
            </w:pPr>
            <w:r w:rsidRPr="002E75D2">
              <w:rPr>
                <w:szCs w:val="20"/>
                <w:lang w:val="en-AU"/>
              </w:rPr>
              <w:t>95%</w:t>
            </w:r>
            <w:r w:rsidR="00C51D12" w:rsidRPr="002E75D2">
              <w:rPr>
                <w:szCs w:val="20"/>
                <w:lang w:val="en-AU"/>
              </w:rPr>
              <w:t xml:space="preserve"> </w:t>
            </w:r>
            <w:r w:rsidRPr="002E75D2">
              <w:rPr>
                <w:szCs w:val="20"/>
                <w:lang w:val="en-AU"/>
              </w:rPr>
              <w:t>CI</w:t>
            </w:r>
          </w:p>
        </w:tc>
        <w:tc>
          <w:tcPr>
            <w:tcW w:w="399" w:type="pct"/>
            <w:tcMar>
              <w:left w:w="20" w:type="dxa"/>
              <w:right w:w="20" w:type="dxa"/>
            </w:tcMar>
            <w:hideMark/>
          </w:tcPr>
          <w:p w14:paraId="1FFC41F8" w14:textId="77777777" w:rsidR="008A1DDE" w:rsidRPr="002E75D2" w:rsidRDefault="008A1DDE" w:rsidP="007E5D30">
            <w:pPr>
              <w:pStyle w:val="In-tableHeading"/>
              <w:jc w:val="center"/>
              <w:rPr>
                <w:szCs w:val="20"/>
                <w:lang w:val="en-AU"/>
              </w:rPr>
            </w:pPr>
            <w:r w:rsidRPr="002E75D2">
              <w:rPr>
                <w:szCs w:val="20"/>
                <w:lang w:val="en-AU"/>
              </w:rPr>
              <w:t>p-value</w:t>
            </w:r>
          </w:p>
        </w:tc>
        <w:tc>
          <w:tcPr>
            <w:tcW w:w="1131" w:type="pct"/>
            <w:tcMar>
              <w:left w:w="20" w:type="dxa"/>
              <w:right w:w="20" w:type="dxa"/>
            </w:tcMar>
            <w:hideMark/>
          </w:tcPr>
          <w:p w14:paraId="2B7B91A6" w14:textId="77777777" w:rsidR="008A1DDE" w:rsidRPr="002E75D2" w:rsidRDefault="008A1DDE" w:rsidP="007E5D30">
            <w:pPr>
              <w:pStyle w:val="In-tableHeading"/>
              <w:jc w:val="center"/>
              <w:rPr>
                <w:szCs w:val="20"/>
                <w:lang w:val="en-AU"/>
              </w:rPr>
            </w:pPr>
            <w:r w:rsidRPr="002E75D2">
              <w:rPr>
                <w:szCs w:val="20"/>
                <w:lang w:val="en-AU"/>
              </w:rPr>
              <w:t>Point estimate (Delgocitinib vs Dupilumab)</w:t>
            </w:r>
          </w:p>
        </w:tc>
        <w:tc>
          <w:tcPr>
            <w:tcW w:w="665" w:type="pct"/>
            <w:tcMar>
              <w:left w:w="20" w:type="dxa"/>
              <w:right w:w="20" w:type="dxa"/>
            </w:tcMar>
            <w:hideMark/>
          </w:tcPr>
          <w:p w14:paraId="3E8F5CE1" w14:textId="602FDEAF" w:rsidR="008A1DDE" w:rsidRPr="002E75D2" w:rsidRDefault="008A1DDE" w:rsidP="007E5D30">
            <w:pPr>
              <w:pStyle w:val="In-tableHeading"/>
              <w:jc w:val="center"/>
              <w:rPr>
                <w:szCs w:val="20"/>
                <w:lang w:val="en-AU"/>
              </w:rPr>
            </w:pPr>
            <w:r w:rsidRPr="002E75D2">
              <w:rPr>
                <w:szCs w:val="20"/>
                <w:lang w:val="en-AU"/>
              </w:rPr>
              <w:t>95%</w:t>
            </w:r>
            <w:r w:rsidR="00C51D12" w:rsidRPr="002E75D2">
              <w:rPr>
                <w:szCs w:val="20"/>
                <w:lang w:val="en-AU"/>
              </w:rPr>
              <w:t xml:space="preserve"> </w:t>
            </w:r>
            <w:r w:rsidRPr="002E75D2">
              <w:rPr>
                <w:szCs w:val="20"/>
                <w:lang w:val="en-AU"/>
              </w:rPr>
              <w:t>CI</w:t>
            </w:r>
          </w:p>
        </w:tc>
        <w:tc>
          <w:tcPr>
            <w:tcW w:w="411" w:type="pct"/>
            <w:tcMar>
              <w:left w:w="20" w:type="dxa"/>
              <w:right w:w="20" w:type="dxa"/>
            </w:tcMar>
            <w:hideMark/>
          </w:tcPr>
          <w:p w14:paraId="1CEAF9D5" w14:textId="77777777" w:rsidR="008A1DDE" w:rsidRPr="002E75D2" w:rsidRDefault="008A1DDE" w:rsidP="007E5D30">
            <w:pPr>
              <w:pStyle w:val="In-tableHeading"/>
              <w:jc w:val="center"/>
              <w:rPr>
                <w:szCs w:val="20"/>
                <w:lang w:val="en-AU"/>
              </w:rPr>
            </w:pPr>
            <w:r w:rsidRPr="002E75D2">
              <w:rPr>
                <w:szCs w:val="20"/>
                <w:lang w:val="en-AU"/>
              </w:rPr>
              <w:t>p-value</w:t>
            </w:r>
          </w:p>
        </w:tc>
      </w:tr>
      <w:tr w:rsidR="008A1DDE" w:rsidRPr="002E75D2" w14:paraId="1908B7C3" w14:textId="77777777" w:rsidTr="00C21DB1">
        <w:tc>
          <w:tcPr>
            <w:tcW w:w="929" w:type="pct"/>
            <w:tcMar>
              <w:left w:w="20" w:type="dxa"/>
              <w:right w:w="20" w:type="dxa"/>
            </w:tcMar>
            <w:hideMark/>
          </w:tcPr>
          <w:p w14:paraId="13373B8C" w14:textId="182BB985" w:rsidR="008A1DDE" w:rsidRPr="002E75D2" w:rsidRDefault="008A1DDE" w:rsidP="007E5D30">
            <w:pPr>
              <w:pStyle w:val="TableText0"/>
              <w:keepNext/>
            </w:pPr>
            <w:r w:rsidRPr="002E75D2">
              <w:t>IGA-CHE/HF-IGA</w:t>
            </w:r>
          </w:p>
        </w:tc>
        <w:tc>
          <w:tcPr>
            <w:tcW w:w="932" w:type="pct"/>
            <w:tcMar>
              <w:left w:w="20" w:type="dxa"/>
              <w:right w:w="20" w:type="dxa"/>
            </w:tcMar>
            <w:hideMark/>
          </w:tcPr>
          <w:p w14:paraId="48F4256D" w14:textId="77777777" w:rsidR="008A1DDE" w:rsidRPr="002E75D2" w:rsidRDefault="008A1DDE" w:rsidP="007E5D30">
            <w:pPr>
              <w:pStyle w:val="TableText0"/>
              <w:keepNext/>
              <w:jc w:val="center"/>
            </w:pPr>
            <w:r w:rsidRPr="002E75D2">
              <w:t>1.1</w:t>
            </w:r>
          </w:p>
        </w:tc>
        <w:tc>
          <w:tcPr>
            <w:tcW w:w="532" w:type="pct"/>
            <w:tcMar>
              <w:left w:w="20" w:type="dxa"/>
              <w:right w:w="20" w:type="dxa"/>
            </w:tcMar>
            <w:hideMark/>
          </w:tcPr>
          <w:p w14:paraId="594CAFF2" w14:textId="77777777" w:rsidR="008A1DDE" w:rsidRPr="002E75D2" w:rsidRDefault="008A1DDE" w:rsidP="007E5D30">
            <w:pPr>
              <w:pStyle w:val="TableText0"/>
              <w:keepNext/>
              <w:jc w:val="center"/>
            </w:pPr>
            <w:r w:rsidRPr="002E75D2">
              <w:t>(0.3, 3.4)</w:t>
            </w:r>
          </w:p>
        </w:tc>
        <w:tc>
          <w:tcPr>
            <w:tcW w:w="399" w:type="pct"/>
            <w:tcMar>
              <w:left w:w="20" w:type="dxa"/>
              <w:right w:w="20" w:type="dxa"/>
            </w:tcMar>
            <w:hideMark/>
          </w:tcPr>
          <w:p w14:paraId="6E06BF96" w14:textId="77777777" w:rsidR="008A1DDE" w:rsidRPr="002E75D2" w:rsidRDefault="008A1DDE" w:rsidP="007E5D30">
            <w:pPr>
              <w:pStyle w:val="TableText0"/>
              <w:keepNext/>
              <w:jc w:val="center"/>
            </w:pPr>
            <w:r w:rsidRPr="002E75D2">
              <w:t>0.890</w:t>
            </w:r>
          </w:p>
        </w:tc>
        <w:tc>
          <w:tcPr>
            <w:tcW w:w="2208" w:type="pct"/>
            <w:gridSpan w:val="3"/>
            <w:tcMar>
              <w:left w:w="20" w:type="dxa"/>
              <w:right w:w="20" w:type="dxa"/>
            </w:tcMar>
            <w:hideMark/>
          </w:tcPr>
          <w:p w14:paraId="13F0D42E" w14:textId="77777777" w:rsidR="008A1DDE" w:rsidRPr="002E75D2" w:rsidRDefault="008A1DDE" w:rsidP="007E5D30">
            <w:pPr>
              <w:pStyle w:val="TableText0"/>
              <w:keepNext/>
              <w:jc w:val="center"/>
            </w:pPr>
            <w:r w:rsidRPr="002E75D2">
              <w:t>NA</w:t>
            </w:r>
          </w:p>
        </w:tc>
      </w:tr>
      <w:tr w:rsidR="008A1DDE" w:rsidRPr="002E75D2" w14:paraId="72A1D1F9" w14:textId="77777777" w:rsidTr="00C21DB1">
        <w:tc>
          <w:tcPr>
            <w:tcW w:w="929" w:type="pct"/>
            <w:tcMar>
              <w:left w:w="20" w:type="dxa"/>
              <w:right w:w="20" w:type="dxa"/>
            </w:tcMar>
            <w:hideMark/>
          </w:tcPr>
          <w:p w14:paraId="7E7E7F84" w14:textId="77777777" w:rsidR="008A1DDE" w:rsidRPr="002E75D2" w:rsidRDefault="008A1DDE" w:rsidP="007E5D30">
            <w:pPr>
              <w:pStyle w:val="TableText0"/>
              <w:keepNext/>
            </w:pPr>
            <w:r w:rsidRPr="002E75D2">
              <w:t>HECSI-90</w:t>
            </w:r>
          </w:p>
        </w:tc>
        <w:tc>
          <w:tcPr>
            <w:tcW w:w="932" w:type="pct"/>
            <w:tcMar>
              <w:left w:w="20" w:type="dxa"/>
              <w:right w:w="20" w:type="dxa"/>
            </w:tcMar>
            <w:hideMark/>
          </w:tcPr>
          <w:p w14:paraId="55EED653" w14:textId="77777777" w:rsidR="008A1DDE" w:rsidRPr="002E75D2" w:rsidRDefault="008A1DDE" w:rsidP="007E5D30">
            <w:pPr>
              <w:pStyle w:val="TableText0"/>
              <w:keepNext/>
              <w:jc w:val="center"/>
            </w:pPr>
            <w:r w:rsidRPr="002E75D2">
              <w:t>1.3</w:t>
            </w:r>
          </w:p>
        </w:tc>
        <w:tc>
          <w:tcPr>
            <w:tcW w:w="532" w:type="pct"/>
            <w:tcMar>
              <w:left w:w="20" w:type="dxa"/>
              <w:right w:w="20" w:type="dxa"/>
            </w:tcMar>
            <w:hideMark/>
          </w:tcPr>
          <w:p w14:paraId="46A1133B" w14:textId="77777777" w:rsidR="008A1DDE" w:rsidRPr="002E75D2" w:rsidRDefault="008A1DDE" w:rsidP="007E5D30">
            <w:pPr>
              <w:pStyle w:val="TableText0"/>
              <w:keepNext/>
              <w:jc w:val="center"/>
            </w:pPr>
            <w:r w:rsidRPr="002E75D2">
              <w:t>(0.4, 4.9)</w:t>
            </w:r>
          </w:p>
        </w:tc>
        <w:tc>
          <w:tcPr>
            <w:tcW w:w="399" w:type="pct"/>
            <w:tcMar>
              <w:left w:w="20" w:type="dxa"/>
              <w:right w:w="20" w:type="dxa"/>
            </w:tcMar>
            <w:hideMark/>
          </w:tcPr>
          <w:p w14:paraId="2C6B998C" w14:textId="77777777" w:rsidR="008A1DDE" w:rsidRPr="002E75D2" w:rsidRDefault="008A1DDE" w:rsidP="007E5D30">
            <w:pPr>
              <w:pStyle w:val="TableText0"/>
              <w:keepNext/>
              <w:jc w:val="center"/>
            </w:pPr>
            <w:r w:rsidRPr="002E75D2">
              <w:t>0.661</w:t>
            </w:r>
          </w:p>
        </w:tc>
        <w:tc>
          <w:tcPr>
            <w:tcW w:w="2208" w:type="pct"/>
            <w:gridSpan w:val="3"/>
            <w:tcMar>
              <w:left w:w="20" w:type="dxa"/>
              <w:right w:w="20" w:type="dxa"/>
            </w:tcMar>
            <w:hideMark/>
          </w:tcPr>
          <w:p w14:paraId="36EE64E7" w14:textId="77777777" w:rsidR="008A1DDE" w:rsidRPr="002E75D2" w:rsidRDefault="008A1DDE" w:rsidP="007E5D30">
            <w:pPr>
              <w:pStyle w:val="TableText0"/>
              <w:keepNext/>
              <w:jc w:val="center"/>
            </w:pPr>
            <w:r w:rsidRPr="002E75D2">
              <w:t>NA</w:t>
            </w:r>
          </w:p>
        </w:tc>
      </w:tr>
      <w:tr w:rsidR="008A1DDE" w:rsidRPr="002E75D2" w14:paraId="3552B288" w14:textId="77777777" w:rsidTr="00C21DB1">
        <w:tc>
          <w:tcPr>
            <w:tcW w:w="929" w:type="pct"/>
            <w:tcMar>
              <w:left w:w="20" w:type="dxa"/>
              <w:right w:w="20" w:type="dxa"/>
            </w:tcMar>
            <w:hideMark/>
          </w:tcPr>
          <w:p w14:paraId="4501386A" w14:textId="77777777" w:rsidR="008A1DDE" w:rsidRPr="002E75D2" w:rsidRDefault="008A1DDE" w:rsidP="007E5D30">
            <w:pPr>
              <w:pStyle w:val="TableText0"/>
              <w:keepNext/>
            </w:pPr>
            <w:r w:rsidRPr="002E75D2">
              <w:t>HECSI-75</w:t>
            </w:r>
          </w:p>
        </w:tc>
        <w:tc>
          <w:tcPr>
            <w:tcW w:w="932" w:type="pct"/>
            <w:tcMar>
              <w:left w:w="20" w:type="dxa"/>
              <w:right w:w="20" w:type="dxa"/>
            </w:tcMar>
            <w:hideMark/>
          </w:tcPr>
          <w:p w14:paraId="5ADE1731" w14:textId="77777777" w:rsidR="008A1DDE" w:rsidRPr="002E75D2" w:rsidRDefault="008A1DDE" w:rsidP="007E5D30">
            <w:pPr>
              <w:pStyle w:val="TableText0"/>
              <w:keepNext/>
              <w:jc w:val="center"/>
            </w:pPr>
            <w:r w:rsidRPr="002E75D2">
              <w:t>1.2</w:t>
            </w:r>
          </w:p>
        </w:tc>
        <w:tc>
          <w:tcPr>
            <w:tcW w:w="532" w:type="pct"/>
            <w:tcMar>
              <w:left w:w="20" w:type="dxa"/>
              <w:right w:w="20" w:type="dxa"/>
            </w:tcMar>
            <w:hideMark/>
          </w:tcPr>
          <w:p w14:paraId="152CA718" w14:textId="77777777" w:rsidR="008A1DDE" w:rsidRPr="002E75D2" w:rsidRDefault="008A1DDE" w:rsidP="007E5D30">
            <w:pPr>
              <w:pStyle w:val="TableText0"/>
              <w:keepNext/>
              <w:jc w:val="center"/>
            </w:pPr>
            <w:r w:rsidRPr="002E75D2">
              <w:t>(0.4, 3.2)</w:t>
            </w:r>
          </w:p>
        </w:tc>
        <w:tc>
          <w:tcPr>
            <w:tcW w:w="399" w:type="pct"/>
            <w:tcMar>
              <w:left w:w="20" w:type="dxa"/>
              <w:right w:w="20" w:type="dxa"/>
            </w:tcMar>
            <w:hideMark/>
          </w:tcPr>
          <w:p w14:paraId="6D12F398" w14:textId="77777777" w:rsidR="008A1DDE" w:rsidRPr="002E75D2" w:rsidRDefault="008A1DDE" w:rsidP="007E5D30">
            <w:pPr>
              <w:pStyle w:val="TableText0"/>
              <w:keepNext/>
              <w:jc w:val="center"/>
            </w:pPr>
            <w:r w:rsidRPr="002E75D2">
              <w:t>0.773</w:t>
            </w:r>
          </w:p>
        </w:tc>
        <w:tc>
          <w:tcPr>
            <w:tcW w:w="2208" w:type="pct"/>
            <w:gridSpan w:val="3"/>
            <w:tcMar>
              <w:left w:w="20" w:type="dxa"/>
              <w:right w:w="20" w:type="dxa"/>
            </w:tcMar>
            <w:hideMark/>
          </w:tcPr>
          <w:p w14:paraId="0B18110C" w14:textId="77777777" w:rsidR="008A1DDE" w:rsidRPr="002E75D2" w:rsidRDefault="008A1DDE" w:rsidP="007E5D30">
            <w:pPr>
              <w:pStyle w:val="TableText0"/>
              <w:keepNext/>
              <w:jc w:val="center"/>
            </w:pPr>
            <w:r w:rsidRPr="002E75D2">
              <w:t>NA</w:t>
            </w:r>
          </w:p>
        </w:tc>
      </w:tr>
      <w:tr w:rsidR="008A1DDE" w:rsidRPr="002E75D2" w14:paraId="6AADB4D3" w14:textId="77777777" w:rsidTr="00C21DB1">
        <w:tc>
          <w:tcPr>
            <w:tcW w:w="929" w:type="pct"/>
            <w:tcMar>
              <w:left w:w="20" w:type="dxa"/>
              <w:right w:w="20" w:type="dxa"/>
            </w:tcMar>
            <w:hideMark/>
          </w:tcPr>
          <w:p w14:paraId="4097D596" w14:textId="77777777" w:rsidR="008A1DDE" w:rsidRPr="002E75D2" w:rsidRDefault="008A1DDE" w:rsidP="007E5D30">
            <w:pPr>
              <w:pStyle w:val="TableText0"/>
              <w:keepNext/>
            </w:pPr>
            <w:r w:rsidRPr="002E75D2">
              <w:t>HECSI percent CfB</w:t>
            </w:r>
          </w:p>
        </w:tc>
        <w:tc>
          <w:tcPr>
            <w:tcW w:w="1863" w:type="pct"/>
            <w:gridSpan w:val="3"/>
            <w:tcMar>
              <w:left w:w="20" w:type="dxa"/>
              <w:right w:w="20" w:type="dxa"/>
            </w:tcMar>
            <w:hideMark/>
          </w:tcPr>
          <w:p w14:paraId="1BE9AE97" w14:textId="77777777" w:rsidR="008A1DDE" w:rsidRPr="002E75D2" w:rsidRDefault="008A1DDE" w:rsidP="007E5D30">
            <w:pPr>
              <w:pStyle w:val="TableText0"/>
              <w:keepNext/>
              <w:jc w:val="center"/>
            </w:pPr>
            <w:r w:rsidRPr="002E75D2">
              <w:t>NA</w:t>
            </w:r>
          </w:p>
        </w:tc>
        <w:tc>
          <w:tcPr>
            <w:tcW w:w="1131" w:type="pct"/>
            <w:tcMar>
              <w:left w:w="20" w:type="dxa"/>
              <w:right w:w="20" w:type="dxa"/>
            </w:tcMar>
            <w:hideMark/>
          </w:tcPr>
          <w:p w14:paraId="6EDB9B30" w14:textId="77777777" w:rsidR="008A1DDE" w:rsidRPr="002E75D2" w:rsidRDefault="008A1DDE" w:rsidP="007E5D30">
            <w:pPr>
              <w:pStyle w:val="TableText0"/>
              <w:keepNext/>
              <w:jc w:val="center"/>
            </w:pPr>
            <w:r w:rsidRPr="002E75D2">
              <w:t>11.7%</w:t>
            </w:r>
          </w:p>
        </w:tc>
        <w:tc>
          <w:tcPr>
            <w:tcW w:w="665" w:type="pct"/>
            <w:tcMar>
              <w:left w:w="20" w:type="dxa"/>
              <w:right w:w="20" w:type="dxa"/>
            </w:tcMar>
            <w:hideMark/>
          </w:tcPr>
          <w:p w14:paraId="79DD7373" w14:textId="1B9DC229" w:rsidR="008A1DDE" w:rsidRPr="002E75D2" w:rsidRDefault="008A1DDE" w:rsidP="007E5D30">
            <w:pPr>
              <w:pStyle w:val="TableText0"/>
              <w:keepNext/>
              <w:jc w:val="center"/>
            </w:pPr>
            <w:r w:rsidRPr="002E75D2">
              <w:t>(</w:t>
            </w:r>
            <w:r w:rsidR="00A450D1" w:rsidRPr="002E75D2">
              <w:t>-</w:t>
            </w:r>
            <w:r w:rsidRPr="002E75D2">
              <w:t>9.2%, 32.7%)</w:t>
            </w:r>
          </w:p>
        </w:tc>
        <w:tc>
          <w:tcPr>
            <w:tcW w:w="411" w:type="pct"/>
            <w:tcMar>
              <w:left w:w="20" w:type="dxa"/>
              <w:right w:w="20" w:type="dxa"/>
            </w:tcMar>
            <w:hideMark/>
          </w:tcPr>
          <w:p w14:paraId="3FA2FC16" w14:textId="77777777" w:rsidR="008A1DDE" w:rsidRPr="002E75D2" w:rsidRDefault="008A1DDE" w:rsidP="007E5D30">
            <w:pPr>
              <w:pStyle w:val="TableText0"/>
              <w:keepNext/>
              <w:jc w:val="center"/>
            </w:pPr>
            <w:r w:rsidRPr="002E75D2">
              <w:t>0.273</w:t>
            </w:r>
          </w:p>
        </w:tc>
      </w:tr>
    </w:tbl>
    <w:p w14:paraId="345930AA" w14:textId="77777777" w:rsidR="000729F7" w:rsidRPr="002E75D2" w:rsidRDefault="000729F7" w:rsidP="0088300E">
      <w:pPr>
        <w:pStyle w:val="TableFigureFooter"/>
      </w:pPr>
      <w:r w:rsidRPr="002E75D2">
        <w:t>Source: Table 124, p239 of the submission.</w:t>
      </w:r>
    </w:p>
    <w:p w14:paraId="5CACB044" w14:textId="169F4617" w:rsidR="000729F7" w:rsidRPr="002E75D2" w:rsidRDefault="000729F7" w:rsidP="0088300E">
      <w:pPr>
        <w:pStyle w:val="TableFigureFooter"/>
      </w:pPr>
      <w:r w:rsidRPr="002E75D2">
        <w:t xml:space="preserve">CHE = chronic hand eczema; CfB = change from baseline; HECSI = Hand Eczema Severity Index; HF = hand and foot; IGA-CHE = Investigator Global Assessment; </w:t>
      </w:r>
      <w:r w:rsidR="00B86367" w:rsidRPr="002E75D2">
        <w:t xml:space="preserve">ITC = indirect treatment comparison; </w:t>
      </w:r>
      <w:r w:rsidRPr="002E75D2">
        <w:t>NA = not applicable</w:t>
      </w:r>
      <w:r w:rsidR="0088300E" w:rsidRPr="002E75D2">
        <w:t>.</w:t>
      </w:r>
    </w:p>
    <w:p w14:paraId="438BFAF6" w14:textId="002426A0" w:rsidR="0088300E" w:rsidRPr="002E75D2" w:rsidRDefault="0088300E" w:rsidP="0088300E">
      <w:pPr>
        <w:pStyle w:val="TableFigureFooter"/>
      </w:pPr>
      <w:r w:rsidRPr="002E75D2">
        <w:t>Note: The MAIC adjusted for age, sex, race, baseline disease severity based on HECSI score and CHE subtype to minimise bias in treatment effect estimates. Analysis was restricted to atopic CHE subtype only to reflect the primary subtype in DELTA 1/2.</w:t>
      </w:r>
    </w:p>
    <w:p w14:paraId="530DC8BE" w14:textId="72ED8151" w:rsidR="00931FB7" w:rsidRPr="002E75D2" w:rsidRDefault="00931FB7" w:rsidP="00931FB7">
      <w:pPr>
        <w:pStyle w:val="TableFigureFooter"/>
        <w:rPr>
          <w:vertAlign w:val="superscript"/>
        </w:rPr>
      </w:pPr>
      <w:r w:rsidRPr="002E75D2">
        <w:rPr>
          <w:vertAlign w:val="superscript"/>
        </w:rPr>
        <w:t xml:space="preserve">a </w:t>
      </w:r>
      <w:r w:rsidRPr="002E75D2">
        <w:t xml:space="preserve">&gt;1 </w:t>
      </w:r>
      <w:r w:rsidR="00403B54" w:rsidRPr="002E75D2">
        <w:t xml:space="preserve">odds ratio </w:t>
      </w:r>
      <w:r w:rsidRPr="002E75D2">
        <w:t>favours delgocitinib.</w:t>
      </w:r>
      <w:r w:rsidRPr="002E75D2">
        <w:rPr>
          <w:vertAlign w:val="superscript"/>
        </w:rPr>
        <w:t xml:space="preserve"> </w:t>
      </w:r>
    </w:p>
    <w:p w14:paraId="3E8978F7" w14:textId="304B41A1" w:rsidR="000729F7" w:rsidRPr="002E75D2" w:rsidRDefault="00885916">
      <w:pPr>
        <w:pStyle w:val="3-BodyText"/>
      </w:pPr>
      <w:r w:rsidRPr="002E75D2">
        <w:t>T</w:t>
      </w:r>
      <w:r w:rsidR="000729F7" w:rsidRPr="002E75D2">
        <w:t>he MAIC results indicated</w:t>
      </w:r>
      <w:r w:rsidR="005E14EF" w:rsidRPr="002E75D2">
        <w:t xml:space="preserve"> no</w:t>
      </w:r>
      <w:r w:rsidR="000662DA" w:rsidRPr="002E75D2">
        <w:t xml:space="preserve"> statistically</w:t>
      </w:r>
      <w:r w:rsidR="005E14EF" w:rsidRPr="002E75D2">
        <w:t xml:space="preserve"> significant differences in efficacy between </w:t>
      </w:r>
      <w:r w:rsidR="000729F7" w:rsidRPr="002E75D2">
        <w:t>delgocitinib and dupilumab.</w:t>
      </w:r>
      <w:r w:rsidRPr="002E75D2">
        <w:t xml:space="preserve"> However, n</w:t>
      </w:r>
      <w:r w:rsidRPr="002E75D2">
        <w:rPr>
          <w:rFonts w:eastAsia="Calibri"/>
        </w:rPr>
        <w:t>o non-inferiority margins were specified for any of the outcomes included in the MAIC, and formal non-inferiority analyses were not undertaken.</w:t>
      </w:r>
    </w:p>
    <w:p w14:paraId="500E4853" w14:textId="68301DCF" w:rsidR="00C33BFE" w:rsidRPr="00E82A46" w:rsidRDefault="00C33BFE">
      <w:pPr>
        <w:pStyle w:val="3-BodyText"/>
      </w:pPr>
      <w:r w:rsidRPr="00E82A46">
        <w:rPr>
          <w:rFonts w:eastAsia="Calibri"/>
        </w:rPr>
        <w:t xml:space="preserve">The PSCR </w:t>
      </w:r>
      <w:r w:rsidR="00896A38" w:rsidRPr="00E82A46">
        <w:rPr>
          <w:rFonts w:eastAsia="Calibri"/>
        </w:rPr>
        <w:t>presented the results of an indirect treatment comparison of delgocitinib and dupilumab (based on DELTA</w:t>
      </w:r>
      <w:r w:rsidR="008B42CA" w:rsidRPr="00E82A46">
        <w:rPr>
          <w:rFonts w:eastAsia="Calibri"/>
        </w:rPr>
        <w:t xml:space="preserve"> 1</w:t>
      </w:r>
      <w:r w:rsidR="00C81622" w:rsidRPr="00E82A46">
        <w:rPr>
          <w:rFonts w:eastAsia="Calibri"/>
        </w:rPr>
        <w:t xml:space="preserve"> and DELTA </w:t>
      </w:r>
      <w:r w:rsidR="008B42CA" w:rsidRPr="00E82A46">
        <w:rPr>
          <w:rFonts w:eastAsia="Calibri"/>
        </w:rPr>
        <w:t>2 and LIBERTY-AD-HAFT) trials using the Bucher method</w:t>
      </w:r>
      <w:r w:rsidR="004D0D46" w:rsidRPr="00E82A46">
        <w:rPr>
          <w:rFonts w:eastAsia="Calibri"/>
        </w:rPr>
        <w:t>, which also found no statistically significant difference</w:t>
      </w:r>
      <w:r w:rsidR="001A49D5" w:rsidRPr="00E82A46">
        <w:rPr>
          <w:rFonts w:eastAsia="Calibri"/>
        </w:rPr>
        <w:t>s</w:t>
      </w:r>
      <w:r w:rsidR="004D0D46" w:rsidRPr="00E82A46">
        <w:rPr>
          <w:rFonts w:eastAsia="Calibri"/>
        </w:rPr>
        <w:t xml:space="preserve"> between delgocitinib and dupilumab for HECSI-75, HECSI-90 and proportion </w:t>
      </w:r>
      <w:r w:rsidR="00486EB2">
        <w:rPr>
          <w:rFonts w:eastAsia="Calibri"/>
        </w:rPr>
        <w:t xml:space="preserve">of patients </w:t>
      </w:r>
      <w:r w:rsidR="004D0D46" w:rsidRPr="00E82A46">
        <w:rPr>
          <w:rFonts w:eastAsia="Calibri"/>
        </w:rPr>
        <w:t>achieving</w:t>
      </w:r>
      <w:r w:rsidR="001A49D5" w:rsidRPr="00E82A46">
        <w:rPr>
          <w:rFonts w:eastAsia="Calibri"/>
        </w:rPr>
        <w:t xml:space="preserve"> an IGA score of 0/1</w:t>
      </w:r>
      <w:r w:rsidR="00B03BC9" w:rsidRPr="00E82A46">
        <w:rPr>
          <w:rFonts w:eastAsia="Calibri"/>
        </w:rPr>
        <w:t xml:space="preserve">. The ESC considered that whilst the sample sizes were larger, the </w:t>
      </w:r>
      <w:r w:rsidR="00AD4589" w:rsidRPr="00E82A46">
        <w:rPr>
          <w:rFonts w:eastAsia="Calibri"/>
        </w:rPr>
        <w:t>analyses did not provide additional confidence to inform a claim of non-inferiority between delgocitinib and dupilumab, as the populations were more heterogeneous with this approach</w:t>
      </w:r>
      <w:r w:rsidR="00074414" w:rsidRPr="00E82A46">
        <w:rPr>
          <w:rFonts w:eastAsia="Calibri"/>
        </w:rPr>
        <w:t xml:space="preserve">. </w:t>
      </w:r>
    </w:p>
    <w:p w14:paraId="0515EFA4" w14:textId="77777777" w:rsidR="00B62D23" w:rsidRPr="002E75D2" w:rsidRDefault="00B62D23" w:rsidP="00D86231">
      <w:pPr>
        <w:pStyle w:val="4-SubsectionHeading"/>
      </w:pPr>
      <w:bookmarkStart w:id="55" w:name="_Toc22897642"/>
      <w:bookmarkStart w:id="56" w:name="_Toc206291223"/>
      <w:bookmarkStart w:id="57" w:name="_Toc206426965"/>
      <w:bookmarkStart w:id="58" w:name="_Toc208411849"/>
      <w:r w:rsidRPr="002E75D2">
        <w:t>Comparative harms</w:t>
      </w:r>
      <w:bookmarkEnd w:id="55"/>
      <w:bookmarkEnd w:id="56"/>
      <w:bookmarkEnd w:id="57"/>
      <w:bookmarkEnd w:id="58"/>
    </w:p>
    <w:p w14:paraId="7F4B4E37" w14:textId="6F11FE98" w:rsidR="00B62D23" w:rsidRPr="002E75D2" w:rsidRDefault="00B62D23">
      <w:pPr>
        <w:pStyle w:val="3-BodyText"/>
      </w:pPr>
      <w:r w:rsidRPr="002E75D2">
        <w:fldChar w:fldCharType="begin"/>
      </w:r>
      <w:r w:rsidRPr="002E75D2">
        <w:instrText xml:space="preserve"> REF _Ref206422589 \h </w:instrText>
      </w:r>
      <w:r w:rsidR="00ED3300" w:rsidRPr="002E75D2">
        <w:instrText xml:space="preserve"> \* MERGEFORMAT </w:instrText>
      </w:r>
      <w:r w:rsidRPr="002E75D2">
        <w:fldChar w:fldCharType="separate"/>
      </w:r>
      <w:r w:rsidR="00AA53DD" w:rsidRPr="002E75D2">
        <w:t xml:space="preserve">Table </w:t>
      </w:r>
      <w:r w:rsidR="00AA53DD">
        <w:t>7</w:t>
      </w:r>
      <w:r w:rsidRPr="002E75D2">
        <w:fldChar w:fldCharType="end"/>
      </w:r>
      <w:r w:rsidRPr="002E75D2">
        <w:t xml:space="preserve"> presents the results of the safety comparison </w:t>
      </w:r>
      <w:r w:rsidR="00A350AF" w:rsidRPr="002E75D2">
        <w:t>for delgocitinib and vehicle based on the pivotal DELTA 1 and DELTA 2 trials</w:t>
      </w:r>
      <w:r w:rsidRPr="002E75D2">
        <w:t xml:space="preserve">. </w:t>
      </w:r>
    </w:p>
    <w:p w14:paraId="070480A1" w14:textId="663346B7" w:rsidR="00B62D23" w:rsidRPr="002E75D2" w:rsidRDefault="00B62D23" w:rsidP="003B6BB1">
      <w:pPr>
        <w:pStyle w:val="Caption"/>
      </w:pPr>
      <w:bookmarkStart w:id="59" w:name="_Ref206422589"/>
      <w:r w:rsidRPr="002E75D2">
        <w:lastRenderedPageBreak/>
        <w:t xml:space="preserve">Table </w:t>
      </w:r>
      <w:r w:rsidR="000847A3">
        <w:fldChar w:fldCharType="begin"/>
      </w:r>
      <w:r w:rsidR="000847A3">
        <w:instrText xml:space="preserve"> SEQ Table \* ARABIC </w:instrText>
      </w:r>
      <w:r w:rsidR="000847A3">
        <w:fldChar w:fldCharType="separate"/>
      </w:r>
      <w:r w:rsidR="00AA53DD">
        <w:rPr>
          <w:noProof/>
        </w:rPr>
        <w:t>7</w:t>
      </w:r>
      <w:r w:rsidR="000847A3">
        <w:rPr>
          <w:noProof/>
        </w:rPr>
        <w:fldChar w:fldCharType="end"/>
      </w:r>
      <w:bookmarkEnd w:id="59"/>
      <w:r w:rsidRPr="002E75D2">
        <w:t xml:space="preserve">: </w:t>
      </w:r>
      <w:r w:rsidR="005A3464" w:rsidRPr="002E75D2">
        <w:t>Summary of adverse events in DELTA 1 and DELTA 2 (SAF)</w:t>
      </w:r>
      <w:r w:rsidR="00BE33F8" w:rsidRPr="002E75D2">
        <w:t xml:space="preserve"> during the trial period of 16 Weeks</w:t>
      </w:r>
    </w:p>
    <w:tbl>
      <w:tblPr>
        <w:tblStyle w:val="TableGrid"/>
        <w:tblW w:w="5000" w:type="pct"/>
        <w:tblLook w:val="04A0" w:firstRow="1" w:lastRow="0" w:firstColumn="1" w:lastColumn="0" w:noHBand="0" w:noVBand="1"/>
        <w:tblCaption w:val="Table 7: Summary of adverse events in DELTA 1 and DELTA 2 (SAF) during the trial period of 16 Weeks"/>
      </w:tblPr>
      <w:tblGrid>
        <w:gridCol w:w="2992"/>
        <w:gridCol w:w="2148"/>
        <w:gridCol w:w="1940"/>
        <w:gridCol w:w="1937"/>
      </w:tblGrid>
      <w:tr w:rsidR="005A3464" w:rsidRPr="002E75D2" w14:paraId="6BD8A8D2" w14:textId="77777777" w:rsidTr="00C21DB1">
        <w:trPr>
          <w:trHeight w:val="20"/>
          <w:tblHeader/>
        </w:trPr>
        <w:tc>
          <w:tcPr>
            <w:tcW w:w="1659" w:type="pct"/>
            <w:hideMark/>
          </w:tcPr>
          <w:p w14:paraId="68FBD99E" w14:textId="77777777" w:rsidR="005A3464" w:rsidRPr="002E75D2" w:rsidRDefault="005A3464" w:rsidP="003B6BB1">
            <w:pPr>
              <w:pStyle w:val="In-tableHeading"/>
              <w:jc w:val="center"/>
              <w:rPr>
                <w:szCs w:val="20"/>
                <w:lang w:val="en-AU"/>
              </w:rPr>
            </w:pPr>
            <w:bookmarkStart w:id="60" w:name="_Hlk207120921"/>
            <w:r w:rsidRPr="002E75D2">
              <w:rPr>
                <w:szCs w:val="20"/>
                <w:lang w:val="en-AU"/>
              </w:rPr>
              <w:t>Trial ID</w:t>
            </w:r>
          </w:p>
        </w:tc>
        <w:tc>
          <w:tcPr>
            <w:tcW w:w="1191" w:type="pct"/>
            <w:hideMark/>
          </w:tcPr>
          <w:p w14:paraId="2D0E8002" w14:textId="5675BBF2" w:rsidR="005A3464" w:rsidRPr="002E75D2" w:rsidRDefault="005A3464" w:rsidP="003B6BB1">
            <w:pPr>
              <w:pStyle w:val="In-tableHeading"/>
              <w:jc w:val="center"/>
              <w:rPr>
                <w:szCs w:val="20"/>
                <w:lang w:val="en-AU"/>
              </w:rPr>
            </w:pPr>
            <w:r w:rsidRPr="002E75D2">
              <w:rPr>
                <w:szCs w:val="20"/>
                <w:lang w:val="en-AU"/>
              </w:rPr>
              <w:t xml:space="preserve">Delgocitinib </w:t>
            </w:r>
            <w:r w:rsidR="00FD5060">
              <w:rPr>
                <w:szCs w:val="20"/>
                <w:lang w:val="en-AU"/>
              </w:rPr>
              <w:br/>
            </w:r>
            <w:r w:rsidRPr="002E75D2">
              <w:rPr>
                <w:szCs w:val="20"/>
                <w:lang w:val="en-AU"/>
              </w:rPr>
              <w:t>n/N (%)</w:t>
            </w:r>
          </w:p>
        </w:tc>
        <w:tc>
          <w:tcPr>
            <w:tcW w:w="1076" w:type="pct"/>
            <w:hideMark/>
          </w:tcPr>
          <w:p w14:paraId="20518C1E" w14:textId="731DB7C5" w:rsidR="005A3464" w:rsidRPr="002E75D2" w:rsidRDefault="00FD5060" w:rsidP="003B6BB1">
            <w:pPr>
              <w:pStyle w:val="In-tableHeading"/>
              <w:jc w:val="center"/>
              <w:rPr>
                <w:szCs w:val="20"/>
                <w:lang w:val="en-AU"/>
              </w:rPr>
            </w:pPr>
            <w:r>
              <w:rPr>
                <w:szCs w:val="20"/>
                <w:lang w:val="en-AU"/>
              </w:rPr>
              <w:t>V</w:t>
            </w:r>
            <w:r w:rsidR="005A3464" w:rsidRPr="002E75D2">
              <w:rPr>
                <w:szCs w:val="20"/>
                <w:lang w:val="en-AU"/>
              </w:rPr>
              <w:t>ehicle</w:t>
            </w:r>
          </w:p>
          <w:p w14:paraId="737927FF" w14:textId="77777777" w:rsidR="005A3464" w:rsidRPr="002E75D2" w:rsidRDefault="005A3464" w:rsidP="003B6BB1">
            <w:pPr>
              <w:pStyle w:val="In-tableHeading"/>
              <w:jc w:val="center"/>
              <w:rPr>
                <w:szCs w:val="20"/>
                <w:lang w:val="en-AU"/>
              </w:rPr>
            </w:pPr>
            <w:r w:rsidRPr="002E75D2">
              <w:rPr>
                <w:szCs w:val="20"/>
                <w:lang w:val="en-AU"/>
              </w:rPr>
              <w:t>n/N (%)</w:t>
            </w:r>
          </w:p>
        </w:tc>
        <w:tc>
          <w:tcPr>
            <w:tcW w:w="1074" w:type="pct"/>
            <w:hideMark/>
          </w:tcPr>
          <w:p w14:paraId="0A005E52" w14:textId="77777777" w:rsidR="005A3464" w:rsidRPr="002E75D2" w:rsidRDefault="005A3464" w:rsidP="003B6BB1">
            <w:pPr>
              <w:pStyle w:val="In-tableHeading"/>
              <w:jc w:val="center"/>
              <w:rPr>
                <w:szCs w:val="20"/>
                <w:lang w:val="en-AU"/>
              </w:rPr>
            </w:pPr>
            <w:r w:rsidRPr="002E75D2">
              <w:rPr>
                <w:szCs w:val="20"/>
                <w:lang w:val="en-AU"/>
              </w:rPr>
              <w:t>Risk Difference</w:t>
            </w:r>
          </w:p>
          <w:p w14:paraId="4B2F2CDB" w14:textId="16F9781F" w:rsidR="005A3464" w:rsidRPr="002E75D2" w:rsidRDefault="005A3464" w:rsidP="003B6BB1">
            <w:pPr>
              <w:pStyle w:val="In-tableHeading"/>
              <w:jc w:val="center"/>
              <w:rPr>
                <w:szCs w:val="20"/>
                <w:lang w:val="en-AU"/>
              </w:rPr>
            </w:pPr>
            <w:r w:rsidRPr="002E75D2">
              <w:rPr>
                <w:szCs w:val="20"/>
                <w:lang w:val="en-AU"/>
              </w:rPr>
              <w:t>(95% CI)</w:t>
            </w:r>
            <w:r w:rsidR="00BA4A5E" w:rsidRPr="002E75D2">
              <w:rPr>
                <w:szCs w:val="20"/>
                <w:vertAlign w:val="superscript"/>
                <w:lang w:val="en-AU"/>
              </w:rPr>
              <w:t>a</w:t>
            </w:r>
          </w:p>
        </w:tc>
      </w:tr>
      <w:tr w:rsidR="005A3464" w:rsidRPr="002E75D2" w14:paraId="08DA25F6" w14:textId="77777777" w:rsidTr="00C21DB1">
        <w:trPr>
          <w:trHeight w:val="20"/>
        </w:trPr>
        <w:tc>
          <w:tcPr>
            <w:tcW w:w="5000" w:type="pct"/>
            <w:gridSpan w:val="4"/>
            <w:hideMark/>
          </w:tcPr>
          <w:p w14:paraId="71D16344" w14:textId="77777777" w:rsidR="005A3464" w:rsidRPr="002E75D2" w:rsidRDefault="005A3464" w:rsidP="003B6BB1">
            <w:pPr>
              <w:pStyle w:val="TableText0"/>
              <w:keepNext/>
              <w:rPr>
                <w:b/>
                <w:bCs w:val="0"/>
              </w:rPr>
            </w:pPr>
            <w:r w:rsidRPr="002E75D2">
              <w:rPr>
                <w:b/>
                <w:bCs w:val="0"/>
              </w:rPr>
              <w:t>DELTA 1</w:t>
            </w:r>
          </w:p>
        </w:tc>
      </w:tr>
      <w:tr w:rsidR="005A3464" w:rsidRPr="002E75D2" w14:paraId="78923274" w14:textId="77777777" w:rsidTr="00C21DB1">
        <w:trPr>
          <w:trHeight w:val="20"/>
        </w:trPr>
        <w:tc>
          <w:tcPr>
            <w:tcW w:w="1659" w:type="pct"/>
            <w:hideMark/>
          </w:tcPr>
          <w:p w14:paraId="33EF0464" w14:textId="77777777" w:rsidR="005A3464" w:rsidRPr="002E75D2" w:rsidRDefault="005A3464" w:rsidP="003B6BB1">
            <w:pPr>
              <w:pStyle w:val="TableText0"/>
              <w:keepNext/>
            </w:pPr>
            <w:r w:rsidRPr="002E75D2">
              <w:t>All adverse events</w:t>
            </w:r>
          </w:p>
        </w:tc>
        <w:tc>
          <w:tcPr>
            <w:tcW w:w="1191" w:type="pct"/>
            <w:hideMark/>
          </w:tcPr>
          <w:p w14:paraId="738848BE" w14:textId="77777777" w:rsidR="005A3464" w:rsidRPr="002E75D2" w:rsidRDefault="005A3464" w:rsidP="003B6BB1">
            <w:pPr>
              <w:pStyle w:val="TableText0"/>
              <w:keepNext/>
              <w:jc w:val="center"/>
            </w:pPr>
            <w:r w:rsidRPr="002E75D2">
              <w:t>147/325 (45%)</w:t>
            </w:r>
          </w:p>
        </w:tc>
        <w:tc>
          <w:tcPr>
            <w:tcW w:w="1076" w:type="pct"/>
            <w:hideMark/>
          </w:tcPr>
          <w:p w14:paraId="4E5B87C0" w14:textId="77777777" w:rsidR="005A3464" w:rsidRPr="002E75D2" w:rsidRDefault="005A3464" w:rsidP="003B6BB1">
            <w:pPr>
              <w:pStyle w:val="TableText0"/>
              <w:keepNext/>
              <w:jc w:val="center"/>
            </w:pPr>
            <w:r w:rsidRPr="002E75D2">
              <w:t>82/162 (51%)</w:t>
            </w:r>
          </w:p>
        </w:tc>
        <w:tc>
          <w:tcPr>
            <w:tcW w:w="1074" w:type="pct"/>
            <w:hideMark/>
          </w:tcPr>
          <w:p w14:paraId="2873ABCA" w14:textId="75D86E55" w:rsidR="005A3464" w:rsidRPr="002E75D2" w:rsidRDefault="005A3464" w:rsidP="003B6BB1">
            <w:pPr>
              <w:pStyle w:val="TableText0"/>
              <w:keepNext/>
              <w:jc w:val="center"/>
            </w:pPr>
            <w:r w:rsidRPr="002E75D2">
              <w:t>–5.4 (–14.7,</w:t>
            </w:r>
            <w:r w:rsidR="00F33CA6" w:rsidRPr="002E75D2">
              <w:t xml:space="preserve"> </w:t>
            </w:r>
            <w:r w:rsidRPr="002E75D2">
              <w:t>4.0)</w:t>
            </w:r>
          </w:p>
        </w:tc>
      </w:tr>
      <w:tr w:rsidR="005A3464" w:rsidRPr="002E75D2" w14:paraId="42C4B3AA" w14:textId="77777777" w:rsidTr="00C21DB1">
        <w:trPr>
          <w:trHeight w:val="20"/>
        </w:trPr>
        <w:tc>
          <w:tcPr>
            <w:tcW w:w="1659" w:type="pct"/>
            <w:hideMark/>
          </w:tcPr>
          <w:p w14:paraId="1BA696B0" w14:textId="77777777" w:rsidR="005A3464" w:rsidRPr="002E75D2" w:rsidRDefault="005A3464" w:rsidP="003B6BB1">
            <w:pPr>
              <w:pStyle w:val="TableText0"/>
              <w:keepNext/>
            </w:pPr>
            <w:r w:rsidRPr="002E75D2">
              <w:t>Serious events</w:t>
            </w:r>
          </w:p>
        </w:tc>
        <w:tc>
          <w:tcPr>
            <w:tcW w:w="1191" w:type="pct"/>
            <w:hideMark/>
          </w:tcPr>
          <w:p w14:paraId="60EF8BDE" w14:textId="77777777" w:rsidR="005A3464" w:rsidRPr="002E75D2" w:rsidRDefault="005A3464" w:rsidP="003B6BB1">
            <w:pPr>
              <w:pStyle w:val="TableText0"/>
              <w:keepNext/>
              <w:jc w:val="center"/>
            </w:pPr>
            <w:r w:rsidRPr="002E75D2">
              <w:t>6/325 (2%)</w:t>
            </w:r>
          </w:p>
        </w:tc>
        <w:tc>
          <w:tcPr>
            <w:tcW w:w="1076" w:type="pct"/>
            <w:hideMark/>
          </w:tcPr>
          <w:p w14:paraId="60D5AAC0" w14:textId="77777777" w:rsidR="005A3464" w:rsidRPr="002E75D2" w:rsidRDefault="005A3464" w:rsidP="003B6BB1">
            <w:pPr>
              <w:pStyle w:val="TableText0"/>
              <w:keepNext/>
              <w:jc w:val="center"/>
            </w:pPr>
            <w:r w:rsidRPr="002E75D2">
              <w:t>3/162 (2%)</w:t>
            </w:r>
          </w:p>
        </w:tc>
        <w:tc>
          <w:tcPr>
            <w:tcW w:w="1074" w:type="pct"/>
            <w:hideMark/>
          </w:tcPr>
          <w:p w14:paraId="00045F32" w14:textId="27D29BFF" w:rsidR="005A3464" w:rsidRPr="002E75D2" w:rsidRDefault="005A3464" w:rsidP="003B6BB1">
            <w:pPr>
              <w:pStyle w:val="TableText0"/>
              <w:keepNext/>
              <w:jc w:val="center"/>
            </w:pPr>
            <w:r w:rsidRPr="002E75D2">
              <w:t>0.0 (–3.6,</w:t>
            </w:r>
            <w:r w:rsidR="00F33CA6" w:rsidRPr="002E75D2">
              <w:t xml:space="preserve"> </w:t>
            </w:r>
            <w:r w:rsidRPr="002E75D2">
              <w:t>2.4)</w:t>
            </w:r>
          </w:p>
        </w:tc>
      </w:tr>
      <w:tr w:rsidR="005A3464" w:rsidRPr="002E75D2" w14:paraId="428C3090" w14:textId="77777777" w:rsidTr="00C21DB1">
        <w:trPr>
          <w:trHeight w:val="20"/>
        </w:trPr>
        <w:tc>
          <w:tcPr>
            <w:tcW w:w="1659" w:type="pct"/>
            <w:hideMark/>
          </w:tcPr>
          <w:p w14:paraId="0F2D6AF0" w14:textId="77777777" w:rsidR="005A3464" w:rsidRPr="002E75D2" w:rsidRDefault="005A3464" w:rsidP="003B6BB1">
            <w:pPr>
              <w:pStyle w:val="TableText0"/>
              <w:keepNext/>
            </w:pPr>
            <w:r w:rsidRPr="002E75D2">
              <w:t>Deaths</w:t>
            </w:r>
          </w:p>
        </w:tc>
        <w:tc>
          <w:tcPr>
            <w:tcW w:w="1191" w:type="pct"/>
            <w:hideMark/>
          </w:tcPr>
          <w:p w14:paraId="5C6C22EC" w14:textId="77777777" w:rsidR="005A3464" w:rsidRPr="002E75D2" w:rsidRDefault="005A3464" w:rsidP="003B6BB1">
            <w:pPr>
              <w:pStyle w:val="TableText0"/>
              <w:keepNext/>
              <w:jc w:val="center"/>
            </w:pPr>
            <w:r w:rsidRPr="002E75D2">
              <w:t>0/325 (0%)</w:t>
            </w:r>
          </w:p>
        </w:tc>
        <w:tc>
          <w:tcPr>
            <w:tcW w:w="1076" w:type="pct"/>
            <w:hideMark/>
          </w:tcPr>
          <w:p w14:paraId="3B84983E" w14:textId="77777777" w:rsidR="005A3464" w:rsidRPr="002E75D2" w:rsidRDefault="005A3464" w:rsidP="003B6BB1">
            <w:pPr>
              <w:pStyle w:val="TableText0"/>
              <w:keepNext/>
              <w:jc w:val="center"/>
            </w:pPr>
            <w:r w:rsidRPr="002E75D2">
              <w:t>0/162 (0%)</w:t>
            </w:r>
          </w:p>
        </w:tc>
        <w:tc>
          <w:tcPr>
            <w:tcW w:w="1074" w:type="pct"/>
            <w:hideMark/>
          </w:tcPr>
          <w:p w14:paraId="68D15A90" w14:textId="72DFEAA4" w:rsidR="005A3464" w:rsidRPr="002E75D2" w:rsidRDefault="005A3464" w:rsidP="003B6BB1">
            <w:pPr>
              <w:pStyle w:val="TableText0"/>
              <w:keepNext/>
              <w:jc w:val="center"/>
            </w:pPr>
            <w:r w:rsidRPr="002E75D2">
              <w:t>0.0 (–2.3,</w:t>
            </w:r>
            <w:r w:rsidR="00F33CA6" w:rsidRPr="002E75D2">
              <w:t xml:space="preserve"> </w:t>
            </w:r>
            <w:r w:rsidRPr="002E75D2">
              <w:t>1.2)</w:t>
            </w:r>
          </w:p>
        </w:tc>
      </w:tr>
      <w:tr w:rsidR="005A3464" w:rsidRPr="002E75D2" w14:paraId="11AF99A0" w14:textId="77777777" w:rsidTr="00C21DB1">
        <w:trPr>
          <w:trHeight w:val="20"/>
        </w:trPr>
        <w:tc>
          <w:tcPr>
            <w:tcW w:w="1659" w:type="pct"/>
            <w:hideMark/>
          </w:tcPr>
          <w:p w14:paraId="172FCD85" w14:textId="77777777" w:rsidR="005A3464" w:rsidRPr="002E75D2" w:rsidRDefault="005A3464" w:rsidP="003B6BB1">
            <w:pPr>
              <w:pStyle w:val="TableText0"/>
              <w:keepNext/>
            </w:pPr>
            <w:r w:rsidRPr="002E75D2">
              <w:t>Mild</w:t>
            </w:r>
          </w:p>
        </w:tc>
        <w:tc>
          <w:tcPr>
            <w:tcW w:w="1191" w:type="pct"/>
            <w:hideMark/>
          </w:tcPr>
          <w:p w14:paraId="1FEC2C8D" w14:textId="77777777" w:rsidR="005A3464" w:rsidRPr="002E75D2" w:rsidRDefault="005A3464" w:rsidP="003B6BB1">
            <w:pPr>
              <w:pStyle w:val="TableText0"/>
              <w:keepNext/>
              <w:jc w:val="center"/>
            </w:pPr>
            <w:r w:rsidRPr="002E75D2">
              <w:t>106/325 (33%)</w:t>
            </w:r>
          </w:p>
        </w:tc>
        <w:tc>
          <w:tcPr>
            <w:tcW w:w="1076" w:type="pct"/>
            <w:hideMark/>
          </w:tcPr>
          <w:p w14:paraId="4275F0C5" w14:textId="77777777" w:rsidR="005A3464" w:rsidRPr="002E75D2" w:rsidRDefault="005A3464" w:rsidP="003B6BB1">
            <w:pPr>
              <w:pStyle w:val="TableText0"/>
              <w:keepNext/>
              <w:jc w:val="center"/>
            </w:pPr>
            <w:r w:rsidRPr="002E75D2">
              <w:t>57/162 (35%)</w:t>
            </w:r>
          </w:p>
        </w:tc>
        <w:tc>
          <w:tcPr>
            <w:tcW w:w="1074" w:type="pct"/>
            <w:hideMark/>
          </w:tcPr>
          <w:p w14:paraId="41A27D59" w14:textId="22ACD169" w:rsidR="005A3464" w:rsidRPr="002E75D2" w:rsidRDefault="005A3464" w:rsidP="003B6BB1">
            <w:pPr>
              <w:pStyle w:val="TableText0"/>
              <w:keepNext/>
              <w:jc w:val="center"/>
            </w:pPr>
            <w:r w:rsidRPr="002E75D2">
              <w:t>–2.6 (–11.6,</w:t>
            </w:r>
            <w:r w:rsidR="00F33CA6" w:rsidRPr="002E75D2">
              <w:t xml:space="preserve"> </w:t>
            </w:r>
            <w:r w:rsidRPr="002E75D2">
              <w:t>6.1)</w:t>
            </w:r>
          </w:p>
        </w:tc>
      </w:tr>
      <w:tr w:rsidR="005A3464" w:rsidRPr="002E75D2" w14:paraId="2BB6A42E" w14:textId="77777777" w:rsidTr="00C21DB1">
        <w:trPr>
          <w:trHeight w:val="20"/>
        </w:trPr>
        <w:tc>
          <w:tcPr>
            <w:tcW w:w="1659" w:type="pct"/>
            <w:hideMark/>
          </w:tcPr>
          <w:p w14:paraId="18A53DE2" w14:textId="77777777" w:rsidR="005A3464" w:rsidRPr="002E75D2" w:rsidRDefault="005A3464" w:rsidP="003B6BB1">
            <w:pPr>
              <w:pStyle w:val="TableText0"/>
              <w:keepNext/>
            </w:pPr>
            <w:r w:rsidRPr="002E75D2">
              <w:t>Moderate</w:t>
            </w:r>
          </w:p>
        </w:tc>
        <w:tc>
          <w:tcPr>
            <w:tcW w:w="1191" w:type="pct"/>
            <w:hideMark/>
          </w:tcPr>
          <w:p w14:paraId="1643C7C4" w14:textId="77777777" w:rsidR="005A3464" w:rsidRPr="002E75D2" w:rsidRDefault="005A3464" w:rsidP="003B6BB1">
            <w:pPr>
              <w:pStyle w:val="TableText0"/>
              <w:keepNext/>
              <w:jc w:val="center"/>
            </w:pPr>
            <w:r w:rsidRPr="002E75D2">
              <w:t>68/325 (21%)</w:t>
            </w:r>
          </w:p>
        </w:tc>
        <w:tc>
          <w:tcPr>
            <w:tcW w:w="1076" w:type="pct"/>
            <w:hideMark/>
          </w:tcPr>
          <w:p w14:paraId="41537AAD" w14:textId="77777777" w:rsidR="005A3464" w:rsidRPr="002E75D2" w:rsidRDefault="005A3464" w:rsidP="003B6BB1">
            <w:pPr>
              <w:pStyle w:val="TableText0"/>
              <w:keepNext/>
              <w:jc w:val="center"/>
            </w:pPr>
            <w:r w:rsidRPr="002E75D2">
              <w:t>38/162 (23%)</w:t>
            </w:r>
          </w:p>
        </w:tc>
        <w:tc>
          <w:tcPr>
            <w:tcW w:w="1074" w:type="pct"/>
            <w:hideMark/>
          </w:tcPr>
          <w:p w14:paraId="3A961BD6" w14:textId="6C26AEF9" w:rsidR="005A3464" w:rsidRPr="002E75D2" w:rsidRDefault="005A3464" w:rsidP="003B6BB1">
            <w:pPr>
              <w:pStyle w:val="TableText0"/>
              <w:keepNext/>
              <w:jc w:val="center"/>
            </w:pPr>
            <w:r w:rsidRPr="002E75D2">
              <w:t>–2.5 (–10.7,</w:t>
            </w:r>
            <w:r w:rsidR="00F33CA6" w:rsidRPr="002E75D2">
              <w:t xml:space="preserve"> </w:t>
            </w:r>
            <w:r w:rsidRPr="002E75D2">
              <w:t>5.0)</w:t>
            </w:r>
          </w:p>
        </w:tc>
      </w:tr>
      <w:tr w:rsidR="005A3464" w:rsidRPr="002E75D2" w14:paraId="1D61F7EC" w14:textId="77777777" w:rsidTr="00C21DB1">
        <w:trPr>
          <w:trHeight w:val="20"/>
        </w:trPr>
        <w:tc>
          <w:tcPr>
            <w:tcW w:w="1659" w:type="pct"/>
            <w:hideMark/>
          </w:tcPr>
          <w:p w14:paraId="18C53E79" w14:textId="77777777" w:rsidR="005A3464" w:rsidRPr="002E75D2" w:rsidRDefault="005A3464" w:rsidP="003B6BB1">
            <w:pPr>
              <w:pStyle w:val="TableText0"/>
              <w:keepNext/>
            </w:pPr>
            <w:r w:rsidRPr="002E75D2">
              <w:t>Severe</w:t>
            </w:r>
          </w:p>
        </w:tc>
        <w:tc>
          <w:tcPr>
            <w:tcW w:w="1191" w:type="pct"/>
            <w:hideMark/>
          </w:tcPr>
          <w:p w14:paraId="61FA5F8D" w14:textId="77777777" w:rsidR="005A3464" w:rsidRPr="002E75D2" w:rsidRDefault="005A3464" w:rsidP="003B6BB1">
            <w:pPr>
              <w:pStyle w:val="TableText0"/>
              <w:keepNext/>
              <w:jc w:val="center"/>
            </w:pPr>
            <w:r w:rsidRPr="002E75D2">
              <w:t>12/325 (4%)</w:t>
            </w:r>
          </w:p>
        </w:tc>
        <w:tc>
          <w:tcPr>
            <w:tcW w:w="1076" w:type="pct"/>
            <w:hideMark/>
          </w:tcPr>
          <w:p w14:paraId="5D309BE2" w14:textId="77777777" w:rsidR="005A3464" w:rsidRPr="002E75D2" w:rsidRDefault="005A3464" w:rsidP="003B6BB1">
            <w:pPr>
              <w:pStyle w:val="TableText0"/>
              <w:keepNext/>
              <w:jc w:val="center"/>
            </w:pPr>
            <w:r w:rsidRPr="002E75D2">
              <w:t>5/162 (3%)</w:t>
            </w:r>
          </w:p>
        </w:tc>
        <w:tc>
          <w:tcPr>
            <w:tcW w:w="1074" w:type="pct"/>
            <w:hideMark/>
          </w:tcPr>
          <w:p w14:paraId="2CD90A04" w14:textId="3ED4368F" w:rsidR="005A3464" w:rsidRPr="002E75D2" w:rsidRDefault="005A3464" w:rsidP="003B6BB1">
            <w:pPr>
              <w:pStyle w:val="TableText0"/>
              <w:keepNext/>
              <w:jc w:val="center"/>
            </w:pPr>
            <w:r w:rsidRPr="002E75D2">
              <w:t>0.6 (–3.6,</w:t>
            </w:r>
            <w:r w:rsidR="00F33CA6" w:rsidRPr="002E75D2">
              <w:t xml:space="preserve"> </w:t>
            </w:r>
            <w:r w:rsidRPr="002E75D2">
              <w:t>3.8)</w:t>
            </w:r>
          </w:p>
        </w:tc>
      </w:tr>
      <w:tr w:rsidR="005A3464" w:rsidRPr="002E75D2" w14:paraId="40304C1D" w14:textId="77777777" w:rsidTr="00C21DB1">
        <w:trPr>
          <w:trHeight w:val="20"/>
        </w:trPr>
        <w:tc>
          <w:tcPr>
            <w:tcW w:w="1659" w:type="pct"/>
            <w:hideMark/>
          </w:tcPr>
          <w:p w14:paraId="5270E29D" w14:textId="77777777" w:rsidR="005A3464" w:rsidRPr="002E75D2" w:rsidRDefault="005A3464" w:rsidP="003B6BB1">
            <w:pPr>
              <w:pStyle w:val="TableText0"/>
              <w:keepNext/>
            </w:pPr>
            <w:r w:rsidRPr="002E75D2">
              <w:t>Related to trial treatment</w:t>
            </w:r>
          </w:p>
        </w:tc>
        <w:tc>
          <w:tcPr>
            <w:tcW w:w="1191" w:type="pct"/>
            <w:hideMark/>
          </w:tcPr>
          <w:p w14:paraId="4FB27E9F" w14:textId="77777777" w:rsidR="005A3464" w:rsidRPr="002E75D2" w:rsidRDefault="005A3464" w:rsidP="003B6BB1">
            <w:pPr>
              <w:pStyle w:val="TableText0"/>
              <w:keepNext/>
              <w:jc w:val="center"/>
            </w:pPr>
            <w:r w:rsidRPr="002E75D2">
              <w:t>12/325 (4%)</w:t>
            </w:r>
          </w:p>
        </w:tc>
        <w:tc>
          <w:tcPr>
            <w:tcW w:w="1076" w:type="pct"/>
            <w:hideMark/>
          </w:tcPr>
          <w:p w14:paraId="0DB06E95" w14:textId="77777777" w:rsidR="005A3464" w:rsidRPr="002E75D2" w:rsidRDefault="005A3464" w:rsidP="003B6BB1">
            <w:pPr>
              <w:pStyle w:val="TableText0"/>
              <w:keepNext/>
              <w:jc w:val="center"/>
            </w:pPr>
            <w:r w:rsidRPr="002E75D2">
              <w:t>13/162 (8%)</w:t>
            </w:r>
          </w:p>
        </w:tc>
        <w:tc>
          <w:tcPr>
            <w:tcW w:w="1074" w:type="pct"/>
            <w:hideMark/>
          </w:tcPr>
          <w:p w14:paraId="448F1548" w14:textId="57016F6D" w:rsidR="005A3464" w:rsidRPr="002E75D2" w:rsidRDefault="005A3464" w:rsidP="003B6BB1">
            <w:pPr>
              <w:pStyle w:val="TableText0"/>
              <w:keepNext/>
              <w:jc w:val="center"/>
            </w:pPr>
            <w:r w:rsidRPr="002E75D2">
              <w:t>–4.3 (–9.8,</w:t>
            </w:r>
            <w:r w:rsidR="00F33CA6" w:rsidRPr="002E75D2">
              <w:t xml:space="preserve"> </w:t>
            </w:r>
            <w:r w:rsidRPr="002E75D2">
              <w:t>–0.1)</w:t>
            </w:r>
          </w:p>
        </w:tc>
      </w:tr>
      <w:tr w:rsidR="005A3464" w:rsidRPr="002E75D2" w14:paraId="3EFBED31" w14:textId="77777777" w:rsidTr="00C21DB1">
        <w:trPr>
          <w:trHeight w:val="20"/>
        </w:trPr>
        <w:tc>
          <w:tcPr>
            <w:tcW w:w="1659" w:type="pct"/>
            <w:hideMark/>
          </w:tcPr>
          <w:p w14:paraId="17E4D006" w14:textId="77777777" w:rsidR="005A3464" w:rsidRPr="002E75D2" w:rsidRDefault="005A3464" w:rsidP="003B6BB1">
            <w:pPr>
              <w:pStyle w:val="TableText0"/>
              <w:keepNext/>
            </w:pPr>
            <w:r w:rsidRPr="002E75D2">
              <w:t>Led to discontinuation</w:t>
            </w:r>
          </w:p>
        </w:tc>
        <w:tc>
          <w:tcPr>
            <w:tcW w:w="1191" w:type="pct"/>
            <w:hideMark/>
          </w:tcPr>
          <w:p w14:paraId="400D47B4" w14:textId="77777777" w:rsidR="005A3464" w:rsidRPr="002E75D2" w:rsidRDefault="005A3464" w:rsidP="003B6BB1">
            <w:pPr>
              <w:pStyle w:val="TableText0"/>
              <w:keepNext/>
              <w:jc w:val="center"/>
            </w:pPr>
            <w:r w:rsidRPr="002E75D2">
              <w:t>2/325 (1%)</w:t>
            </w:r>
          </w:p>
        </w:tc>
        <w:tc>
          <w:tcPr>
            <w:tcW w:w="1076" w:type="pct"/>
            <w:hideMark/>
          </w:tcPr>
          <w:p w14:paraId="58848FD8" w14:textId="77777777" w:rsidR="005A3464" w:rsidRPr="002E75D2" w:rsidRDefault="005A3464" w:rsidP="003B6BB1">
            <w:pPr>
              <w:pStyle w:val="TableText0"/>
              <w:keepNext/>
              <w:jc w:val="center"/>
            </w:pPr>
            <w:r w:rsidRPr="002E75D2">
              <w:t>6/162 (4%)</w:t>
            </w:r>
          </w:p>
        </w:tc>
        <w:tc>
          <w:tcPr>
            <w:tcW w:w="1074" w:type="pct"/>
            <w:hideMark/>
          </w:tcPr>
          <w:p w14:paraId="708F27EF" w14:textId="7A6B8CDB" w:rsidR="005A3464" w:rsidRPr="002E75D2" w:rsidRDefault="005A3464" w:rsidP="003B6BB1">
            <w:pPr>
              <w:pStyle w:val="TableText0"/>
              <w:keepNext/>
              <w:jc w:val="center"/>
            </w:pPr>
            <w:r w:rsidRPr="002E75D2">
              <w:t>–3.1 (–7.3,</w:t>
            </w:r>
            <w:r w:rsidR="00F33CA6" w:rsidRPr="002E75D2">
              <w:t xml:space="preserve"> </w:t>
            </w:r>
            <w:r w:rsidRPr="002E75D2">
              <w:t>–0.5)</w:t>
            </w:r>
          </w:p>
        </w:tc>
      </w:tr>
      <w:tr w:rsidR="005A3464" w:rsidRPr="002E75D2" w14:paraId="348492E4" w14:textId="77777777" w:rsidTr="00C21DB1">
        <w:trPr>
          <w:trHeight w:val="20"/>
        </w:trPr>
        <w:tc>
          <w:tcPr>
            <w:tcW w:w="5000" w:type="pct"/>
            <w:gridSpan w:val="4"/>
            <w:hideMark/>
          </w:tcPr>
          <w:p w14:paraId="61C743E5" w14:textId="77777777" w:rsidR="005A3464" w:rsidRPr="002E75D2" w:rsidRDefault="005A3464" w:rsidP="003B6BB1">
            <w:pPr>
              <w:pStyle w:val="TableText0"/>
              <w:keepNext/>
              <w:rPr>
                <w:b/>
                <w:bCs w:val="0"/>
              </w:rPr>
            </w:pPr>
            <w:r w:rsidRPr="002E75D2">
              <w:rPr>
                <w:b/>
                <w:bCs w:val="0"/>
              </w:rPr>
              <w:t>DELTA 2</w:t>
            </w:r>
          </w:p>
        </w:tc>
      </w:tr>
      <w:tr w:rsidR="005A3464" w:rsidRPr="002E75D2" w14:paraId="56D9E43B" w14:textId="77777777" w:rsidTr="00C21DB1">
        <w:trPr>
          <w:trHeight w:val="20"/>
        </w:trPr>
        <w:tc>
          <w:tcPr>
            <w:tcW w:w="1659" w:type="pct"/>
            <w:hideMark/>
          </w:tcPr>
          <w:p w14:paraId="5D04017A" w14:textId="77777777" w:rsidR="005A3464" w:rsidRPr="002E75D2" w:rsidRDefault="005A3464" w:rsidP="003B6BB1">
            <w:pPr>
              <w:pStyle w:val="TableText0"/>
              <w:keepNext/>
            </w:pPr>
            <w:r w:rsidRPr="002E75D2">
              <w:t>All adverse events</w:t>
            </w:r>
          </w:p>
        </w:tc>
        <w:tc>
          <w:tcPr>
            <w:tcW w:w="1191" w:type="pct"/>
            <w:hideMark/>
          </w:tcPr>
          <w:p w14:paraId="7DB99E8D" w14:textId="77777777" w:rsidR="005A3464" w:rsidRPr="002E75D2" w:rsidRDefault="005A3464" w:rsidP="003B6BB1">
            <w:pPr>
              <w:pStyle w:val="TableText0"/>
              <w:keepNext/>
              <w:jc w:val="center"/>
            </w:pPr>
            <w:r w:rsidRPr="002E75D2">
              <w:t>143/313 (46%)</w:t>
            </w:r>
          </w:p>
        </w:tc>
        <w:tc>
          <w:tcPr>
            <w:tcW w:w="1076" w:type="pct"/>
            <w:hideMark/>
          </w:tcPr>
          <w:p w14:paraId="55048361" w14:textId="77777777" w:rsidR="005A3464" w:rsidRPr="002E75D2" w:rsidRDefault="005A3464" w:rsidP="003B6BB1">
            <w:pPr>
              <w:pStyle w:val="TableText0"/>
              <w:keepNext/>
              <w:jc w:val="center"/>
            </w:pPr>
            <w:r w:rsidRPr="002E75D2">
              <w:t>71/159 (45%)</w:t>
            </w:r>
          </w:p>
        </w:tc>
        <w:tc>
          <w:tcPr>
            <w:tcW w:w="1074" w:type="pct"/>
            <w:hideMark/>
          </w:tcPr>
          <w:p w14:paraId="2930F954" w14:textId="3F3D73A0" w:rsidR="005A3464" w:rsidRPr="002E75D2" w:rsidRDefault="005A3464" w:rsidP="003B6BB1">
            <w:pPr>
              <w:pStyle w:val="TableText0"/>
              <w:keepNext/>
              <w:jc w:val="center"/>
            </w:pPr>
            <w:r w:rsidRPr="002E75D2">
              <w:t>1.0 (–8.4,</w:t>
            </w:r>
            <w:r w:rsidR="00F33CA6" w:rsidRPr="002E75D2">
              <w:t xml:space="preserve"> </w:t>
            </w:r>
            <w:r w:rsidRPr="002E75D2">
              <w:t>10.4)</w:t>
            </w:r>
          </w:p>
        </w:tc>
      </w:tr>
      <w:tr w:rsidR="005A3464" w:rsidRPr="002E75D2" w14:paraId="0C6B5B1F" w14:textId="77777777" w:rsidTr="00C21DB1">
        <w:trPr>
          <w:trHeight w:val="20"/>
        </w:trPr>
        <w:tc>
          <w:tcPr>
            <w:tcW w:w="1659" w:type="pct"/>
            <w:hideMark/>
          </w:tcPr>
          <w:p w14:paraId="001587AD" w14:textId="77777777" w:rsidR="005A3464" w:rsidRPr="002E75D2" w:rsidRDefault="005A3464" w:rsidP="003B6BB1">
            <w:pPr>
              <w:pStyle w:val="TableText0"/>
              <w:keepNext/>
            </w:pPr>
            <w:r w:rsidRPr="002E75D2">
              <w:t>Serious events</w:t>
            </w:r>
          </w:p>
        </w:tc>
        <w:tc>
          <w:tcPr>
            <w:tcW w:w="1191" w:type="pct"/>
            <w:hideMark/>
          </w:tcPr>
          <w:p w14:paraId="55029BF6" w14:textId="77777777" w:rsidR="005A3464" w:rsidRPr="002E75D2" w:rsidRDefault="005A3464" w:rsidP="003B6BB1">
            <w:pPr>
              <w:pStyle w:val="TableText0"/>
              <w:keepNext/>
              <w:jc w:val="center"/>
            </w:pPr>
            <w:r w:rsidRPr="002E75D2">
              <w:t>5/313 (2%)</w:t>
            </w:r>
          </w:p>
        </w:tc>
        <w:tc>
          <w:tcPr>
            <w:tcW w:w="1076" w:type="pct"/>
            <w:hideMark/>
          </w:tcPr>
          <w:p w14:paraId="60261B56" w14:textId="77777777" w:rsidR="005A3464" w:rsidRPr="002E75D2" w:rsidRDefault="005A3464" w:rsidP="003B6BB1">
            <w:pPr>
              <w:pStyle w:val="TableText0"/>
              <w:keepNext/>
              <w:jc w:val="center"/>
            </w:pPr>
            <w:r w:rsidRPr="002E75D2">
              <w:t>3/159 (2%)</w:t>
            </w:r>
          </w:p>
        </w:tc>
        <w:tc>
          <w:tcPr>
            <w:tcW w:w="1074" w:type="pct"/>
            <w:hideMark/>
          </w:tcPr>
          <w:p w14:paraId="30F39A18" w14:textId="3E1C8928" w:rsidR="005A3464" w:rsidRPr="002E75D2" w:rsidRDefault="005A3464" w:rsidP="003B6BB1">
            <w:pPr>
              <w:pStyle w:val="TableText0"/>
              <w:keepNext/>
              <w:jc w:val="center"/>
            </w:pPr>
            <w:r w:rsidRPr="002E75D2">
              <w:t>–0.3 (–3.9,</w:t>
            </w:r>
            <w:r w:rsidR="00F33CA6" w:rsidRPr="002E75D2">
              <w:t xml:space="preserve"> </w:t>
            </w:r>
            <w:r w:rsidRPr="002E75D2">
              <w:t>2.1)</w:t>
            </w:r>
          </w:p>
        </w:tc>
      </w:tr>
      <w:tr w:rsidR="005A3464" w:rsidRPr="002E75D2" w14:paraId="407E2341" w14:textId="77777777" w:rsidTr="00C21DB1">
        <w:trPr>
          <w:trHeight w:val="20"/>
        </w:trPr>
        <w:tc>
          <w:tcPr>
            <w:tcW w:w="1659" w:type="pct"/>
            <w:hideMark/>
          </w:tcPr>
          <w:p w14:paraId="0D9363EB" w14:textId="77777777" w:rsidR="005A3464" w:rsidRPr="002E75D2" w:rsidRDefault="005A3464" w:rsidP="003B6BB1">
            <w:pPr>
              <w:pStyle w:val="TableText0"/>
              <w:keepNext/>
            </w:pPr>
            <w:r w:rsidRPr="002E75D2">
              <w:t>Deaths</w:t>
            </w:r>
          </w:p>
        </w:tc>
        <w:tc>
          <w:tcPr>
            <w:tcW w:w="1191" w:type="pct"/>
            <w:hideMark/>
          </w:tcPr>
          <w:p w14:paraId="6A6CF5ED" w14:textId="77777777" w:rsidR="005A3464" w:rsidRPr="002E75D2" w:rsidRDefault="005A3464" w:rsidP="003B6BB1">
            <w:pPr>
              <w:pStyle w:val="TableText0"/>
              <w:keepNext/>
              <w:jc w:val="center"/>
            </w:pPr>
            <w:r w:rsidRPr="002E75D2">
              <w:t>0/313 (0%)</w:t>
            </w:r>
          </w:p>
        </w:tc>
        <w:tc>
          <w:tcPr>
            <w:tcW w:w="1076" w:type="pct"/>
            <w:hideMark/>
          </w:tcPr>
          <w:p w14:paraId="712370D8" w14:textId="77777777" w:rsidR="005A3464" w:rsidRPr="002E75D2" w:rsidRDefault="005A3464" w:rsidP="003B6BB1">
            <w:pPr>
              <w:pStyle w:val="TableText0"/>
              <w:keepNext/>
              <w:jc w:val="center"/>
            </w:pPr>
            <w:r w:rsidRPr="002E75D2">
              <w:t>0/159 (0%)</w:t>
            </w:r>
          </w:p>
        </w:tc>
        <w:tc>
          <w:tcPr>
            <w:tcW w:w="1074" w:type="pct"/>
            <w:hideMark/>
          </w:tcPr>
          <w:p w14:paraId="77ACEFF3" w14:textId="49B57581" w:rsidR="005A3464" w:rsidRPr="002E75D2" w:rsidRDefault="005A3464" w:rsidP="003B6BB1">
            <w:pPr>
              <w:pStyle w:val="TableText0"/>
              <w:keepNext/>
              <w:jc w:val="center"/>
            </w:pPr>
            <w:r w:rsidRPr="002E75D2">
              <w:t>0.0 (–2.4,</w:t>
            </w:r>
            <w:r w:rsidR="00F33CA6" w:rsidRPr="002E75D2">
              <w:t xml:space="preserve"> </w:t>
            </w:r>
            <w:r w:rsidRPr="002E75D2">
              <w:t>1.2)</w:t>
            </w:r>
          </w:p>
        </w:tc>
      </w:tr>
      <w:tr w:rsidR="005A3464" w:rsidRPr="002E75D2" w14:paraId="56CC91FD" w14:textId="77777777" w:rsidTr="00C21DB1">
        <w:trPr>
          <w:trHeight w:val="20"/>
        </w:trPr>
        <w:tc>
          <w:tcPr>
            <w:tcW w:w="1659" w:type="pct"/>
            <w:hideMark/>
          </w:tcPr>
          <w:p w14:paraId="421B56B2" w14:textId="77777777" w:rsidR="005A3464" w:rsidRPr="002E75D2" w:rsidRDefault="005A3464" w:rsidP="003B6BB1">
            <w:pPr>
              <w:pStyle w:val="TableText0"/>
              <w:keepNext/>
            </w:pPr>
            <w:r w:rsidRPr="002E75D2">
              <w:t>Mild</w:t>
            </w:r>
          </w:p>
        </w:tc>
        <w:tc>
          <w:tcPr>
            <w:tcW w:w="1191" w:type="pct"/>
            <w:hideMark/>
          </w:tcPr>
          <w:p w14:paraId="2DD9BB97" w14:textId="77777777" w:rsidR="005A3464" w:rsidRPr="002E75D2" w:rsidRDefault="005A3464" w:rsidP="003B6BB1">
            <w:pPr>
              <w:pStyle w:val="TableText0"/>
              <w:keepNext/>
              <w:jc w:val="center"/>
            </w:pPr>
            <w:r w:rsidRPr="002E75D2">
              <w:t>116/313 (37%)</w:t>
            </w:r>
          </w:p>
        </w:tc>
        <w:tc>
          <w:tcPr>
            <w:tcW w:w="1076" w:type="pct"/>
            <w:hideMark/>
          </w:tcPr>
          <w:p w14:paraId="14FE49EE" w14:textId="77777777" w:rsidR="005A3464" w:rsidRPr="002E75D2" w:rsidRDefault="005A3464" w:rsidP="003B6BB1">
            <w:pPr>
              <w:pStyle w:val="TableText0"/>
              <w:keepNext/>
              <w:jc w:val="center"/>
            </w:pPr>
            <w:r w:rsidRPr="002E75D2">
              <w:t>63/159 (40%)</w:t>
            </w:r>
          </w:p>
        </w:tc>
        <w:tc>
          <w:tcPr>
            <w:tcW w:w="1074" w:type="pct"/>
            <w:hideMark/>
          </w:tcPr>
          <w:p w14:paraId="7A66DA2B" w14:textId="5C2D9917" w:rsidR="005A3464" w:rsidRPr="002E75D2" w:rsidRDefault="005A3464" w:rsidP="003B6BB1">
            <w:pPr>
              <w:pStyle w:val="TableText0"/>
              <w:keepNext/>
              <w:jc w:val="center"/>
            </w:pPr>
            <w:r w:rsidRPr="002E75D2">
              <w:t>–2.6 (–11.9,</w:t>
            </w:r>
            <w:r w:rsidR="00F33CA6" w:rsidRPr="002E75D2">
              <w:t xml:space="preserve"> </w:t>
            </w:r>
            <w:r w:rsidRPr="002E75D2">
              <w:t>6.5)</w:t>
            </w:r>
          </w:p>
        </w:tc>
      </w:tr>
      <w:tr w:rsidR="005A3464" w:rsidRPr="002E75D2" w14:paraId="26CF0332" w14:textId="77777777" w:rsidTr="00C21DB1">
        <w:trPr>
          <w:trHeight w:val="20"/>
        </w:trPr>
        <w:tc>
          <w:tcPr>
            <w:tcW w:w="1659" w:type="pct"/>
            <w:hideMark/>
          </w:tcPr>
          <w:p w14:paraId="0109862F" w14:textId="77777777" w:rsidR="005A3464" w:rsidRPr="002E75D2" w:rsidRDefault="005A3464" w:rsidP="003B6BB1">
            <w:pPr>
              <w:pStyle w:val="TableText0"/>
              <w:keepNext/>
            </w:pPr>
            <w:r w:rsidRPr="002E75D2">
              <w:t>Moderate</w:t>
            </w:r>
          </w:p>
        </w:tc>
        <w:tc>
          <w:tcPr>
            <w:tcW w:w="1191" w:type="pct"/>
            <w:hideMark/>
          </w:tcPr>
          <w:p w14:paraId="656D626F" w14:textId="77777777" w:rsidR="005A3464" w:rsidRPr="002E75D2" w:rsidRDefault="005A3464" w:rsidP="003B6BB1">
            <w:pPr>
              <w:pStyle w:val="TableText0"/>
              <w:keepNext/>
              <w:jc w:val="center"/>
            </w:pPr>
            <w:r w:rsidRPr="002E75D2">
              <w:t>50/313 (16%)</w:t>
            </w:r>
          </w:p>
        </w:tc>
        <w:tc>
          <w:tcPr>
            <w:tcW w:w="1076" w:type="pct"/>
            <w:hideMark/>
          </w:tcPr>
          <w:p w14:paraId="3066205B" w14:textId="77777777" w:rsidR="005A3464" w:rsidRPr="002E75D2" w:rsidRDefault="005A3464" w:rsidP="003B6BB1">
            <w:pPr>
              <w:pStyle w:val="TableText0"/>
              <w:keepNext/>
              <w:jc w:val="center"/>
            </w:pPr>
            <w:r w:rsidRPr="002E75D2">
              <w:t>22/159 (14%)</w:t>
            </w:r>
          </w:p>
        </w:tc>
        <w:tc>
          <w:tcPr>
            <w:tcW w:w="1074" w:type="pct"/>
            <w:hideMark/>
          </w:tcPr>
          <w:p w14:paraId="58F414CE" w14:textId="0E90CFBE" w:rsidR="005A3464" w:rsidRPr="002E75D2" w:rsidRDefault="005A3464" w:rsidP="003B6BB1">
            <w:pPr>
              <w:pStyle w:val="TableText0"/>
              <w:keepNext/>
              <w:jc w:val="center"/>
            </w:pPr>
            <w:r w:rsidRPr="002E75D2">
              <w:t>2.1 (–5.1,</w:t>
            </w:r>
            <w:r w:rsidR="00F33CA6" w:rsidRPr="002E75D2">
              <w:t xml:space="preserve"> </w:t>
            </w:r>
            <w:r w:rsidRPr="002E75D2">
              <w:t>8.5)</w:t>
            </w:r>
          </w:p>
        </w:tc>
      </w:tr>
      <w:tr w:rsidR="005A3464" w:rsidRPr="002E75D2" w14:paraId="11E489E6" w14:textId="77777777" w:rsidTr="00C21DB1">
        <w:trPr>
          <w:trHeight w:val="20"/>
        </w:trPr>
        <w:tc>
          <w:tcPr>
            <w:tcW w:w="1659" w:type="pct"/>
            <w:hideMark/>
          </w:tcPr>
          <w:p w14:paraId="6EBA5F44" w14:textId="77777777" w:rsidR="005A3464" w:rsidRPr="002E75D2" w:rsidRDefault="005A3464" w:rsidP="003B6BB1">
            <w:pPr>
              <w:pStyle w:val="TableText0"/>
              <w:keepNext/>
            </w:pPr>
            <w:r w:rsidRPr="002E75D2">
              <w:t>Severe</w:t>
            </w:r>
          </w:p>
        </w:tc>
        <w:tc>
          <w:tcPr>
            <w:tcW w:w="1191" w:type="pct"/>
            <w:hideMark/>
          </w:tcPr>
          <w:p w14:paraId="7EE5A631" w14:textId="77777777" w:rsidR="005A3464" w:rsidRPr="002E75D2" w:rsidRDefault="005A3464" w:rsidP="003B6BB1">
            <w:pPr>
              <w:pStyle w:val="TableText0"/>
              <w:keepNext/>
              <w:jc w:val="center"/>
            </w:pPr>
            <w:r w:rsidRPr="002E75D2">
              <w:t>3/313 (1%)</w:t>
            </w:r>
          </w:p>
        </w:tc>
        <w:tc>
          <w:tcPr>
            <w:tcW w:w="1076" w:type="pct"/>
            <w:hideMark/>
          </w:tcPr>
          <w:p w14:paraId="4B25949F" w14:textId="77777777" w:rsidR="005A3464" w:rsidRPr="002E75D2" w:rsidRDefault="005A3464" w:rsidP="003B6BB1">
            <w:pPr>
              <w:pStyle w:val="TableText0"/>
              <w:keepNext/>
              <w:jc w:val="center"/>
            </w:pPr>
            <w:r w:rsidRPr="002E75D2">
              <w:t>4/159 (3%)</w:t>
            </w:r>
          </w:p>
        </w:tc>
        <w:tc>
          <w:tcPr>
            <w:tcW w:w="1074" w:type="pct"/>
            <w:hideMark/>
          </w:tcPr>
          <w:p w14:paraId="7BC3641C" w14:textId="5E172F33" w:rsidR="005A3464" w:rsidRPr="002E75D2" w:rsidRDefault="005A3464" w:rsidP="003B6BB1">
            <w:pPr>
              <w:pStyle w:val="TableText0"/>
              <w:keepNext/>
              <w:jc w:val="center"/>
            </w:pPr>
            <w:r w:rsidRPr="002E75D2">
              <w:t>–1.6 (–5.4,</w:t>
            </w:r>
            <w:r w:rsidR="00F33CA6" w:rsidRPr="002E75D2">
              <w:t xml:space="preserve"> </w:t>
            </w:r>
            <w:r w:rsidRPr="002E75D2">
              <w:t>0.8)</w:t>
            </w:r>
          </w:p>
        </w:tc>
      </w:tr>
      <w:tr w:rsidR="005A3464" w:rsidRPr="002E75D2" w14:paraId="4DE5B32A" w14:textId="77777777" w:rsidTr="00C21DB1">
        <w:trPr>
          <w:trHeight w:val="20"/>
        </w:trPr>
        <w:tc>
          <w:tcPr>
            <w:tcW w:w="1659" w:type="pct"/>
            <w:hideMark/>
          </w:tcPr>
          <w:p w14:paraId="078AFC9F" w14:textId="77777777" w:rsidR="005A3464" w:rsidRPr="002E75D2" w:rsidRDefault="005A3464" w:rsidP="003B6BB1">
            <w:pPr>
              <w:pStyle w:val="TableText0"/>
              <w:keepNext/>
            </w:pPr>
            <w:r w:rsidRPr="002E75D2">
              <w:t>Related to trial treatment</w:t>
            </w:r>
          </w:p>
        </w:tc>
        <w:tc>
          <w:tcPr>
            <w:tcW w:w="1191" w:type="pct"/>
            <w:hideMark/>
          </w:tcPr>
          <w:p w14:paraId="7A0A1ED9" w14:textId="77777777" w:rsidR="005A3464" w:rsidRPr="002E75D2" w:rsidRDefault="005A3464" w:rsidP="003B6BB1">
            <w:pPr>
              <w:pStyle w:val="TableText0"/>
              <w:keepNext/>
              <w:jc w:val="center"/>
            </w:pPr>
            <w:r w:rsidRPr="002E75D2">
              <w:t>22/313 (7%)</w:t>
            </w:r>
          </w:p>
        </w:tc>
        <w:tc>
          <w:tcPr>
            <w:tcW w:w="1076" w:type="pct"/>
            <w:hideMark/>
          </w:tcPr>
          <w:p w14:paraId="714E68C9" w14:textId="77777777" w:rsidR="005A3464" w:rsidRPr="002E75D2" w:rsidRDefault="005A3464" w:rsidP="003B6BB1">
            <w:pPr>
              <w:pStyle w:val="TableText0"/>
              <w:keepNext/>
              <w:jc w:val="center"/>
            </w:pPr>
            <w:r w:rsidRPr="002E75D2">
              <w:t>11/159 (7%)</w:t>
            </w:r>
          </w:p>
        </w:tc>
        <w:tc>
          <w:tcPr>
            <w:tcW w:w="1074" w:type="pct"/>
            <w:hideMark/>
          </w:tcPr>
          <w:p w14:paraId="6816CDE5" w14:textId="0B07F63F" w:rsidR="005A3464" w:rsidRPr="002E75D2" w:rsidRDefault="005A3464" w:rsidP="003B6BB1">
            <w:pPr>
              <w:pStyle w:val="TableText0"/>
              <w:keepNext/>
              <w:jc w:val="center"/>
            </w:pPr>
            <w:r w:rsidRPr="002E75D2">
              <w:t>0.1 (–5.5,</w:t>
            </w:r>
            <w:r w:rsidR="00F33CA6" w:rsidRPr="002E75D2">
              <w:t xml:space="preserve"> </w:t>
            </w:r>
            <w:r w:rsidRPr="002E75D2">
              <w:t>4.6)</w:t>
            </w:r>
          </w:p>
        </w:tc>
      </w:tr>
      <w:tr w:rsidR="005A3464" w:rsidRPr="002E75D2" w14:paraId="47975C13" w14:textId="77777777" w:rsidTr="00C21DB1">
        <w:trPr>
          <w:trHeight w:val="20"/>
        </w:trPr>
        <w:tc>
          <w:tcPr>
            <w:tcW w:w="1659" w:type="pct"/>
            <w:hideMark/>
          </w:tcPr>
          <w:p w14:paraId="00173E75" w14:textId="77777777" w:rsidR="005A3464" w:rsidRPr="002E75D2" w:rsidRDefault="005A3464" w:rsidP="003B6BB1">
            <w:pPr>
              <w:pStyle w:val="TableText0"/>
              <w:keepNext/>
            </w:pPr>
            <w:r w:rsidRPr="002E75D2">
              <w:t>Led to discontinuation</w:t>
            </w:r>
          </w:p>
        </w:tc>
        <w:tc>
          <w:tcPr>
            <w:tcW w:w="1191" w:type="pct"/>
            <w:hideMark/>
          </w:tcPr>
          <w:p w14:paraId="16C3CD12" w14:textId="77777777" w:rsidR="005A3464" w:rsidRPr="002E75D2" w:rsidRDefault="005A3464" w:rsidP="003B6BB1">
            <w:pPr>
              <w:pStyle w:val="TableText0"/>
              <w:keepNext/>
              <w:jc w:val="center"/>
            </w:pPr>
            <w:r w:rsidRPr="002E75D2">
              <w:t>1/313 (&lt;1%)</w:t>
            </w:r>
          </w:p>
        </w:tc>
        <w:tc>
          <w:tcPr>
            <w:tcW w:w="1076" w:type="pct"/>
            <w:hideMark/>
          </w:tcPr>
          <w:p w14:paraId="709EF8B7" w14:textId="77777777" w:rsidR="005A3464" w:rsidRPr="002E75D2" w:rsidRDefault="005A3464" w:rsidP="003B6BB1">
            <w:pPr>
              <w:pStyle w:val="TableText0"/>
              <w:keepNext/>
              <w:jc w:val="center"/>
            </w:pPr>
            <w:r w:rsidRPr="002E75D2">
              <w:t>5/159 (3%)</w:t>
            </w:r>
          </w:p>
        </w:tc>
        <w:tc>
          <w:tcPr>
            <w:tcW w:w="1074" w:type="pct"/>
            <w:hideMark/>
          </w:tcPr>
          <w:p w14:paraId="1DB86F6D" w14:textId="50561034" w:rsidR="005A3464" w:rsidRPr="002E75D2" w:rsidRDefault="005A3464" w:rsidP="003B6BB1">
            <w:pPr>
              <w:pStyle w:val="TableText0"/>
              <w:keepNext/>
              <w:jc w:val="center"/>
            </w:pPr>
            <w:r w:rsidRPr="002E75D2">
              <w:t>–2.8 (–6.8,</w:t>
            </w:r>
            <w:r w:rsidR="00F33CA6" w:rsidRPr="002E75D2">
              <w:t xml:space="preserve"> </w:t>
            </w:r>
            <w:r w:rsidRPr="002E75D2">
              <w:t>–0.5)</w:t>
            </w:r>
          </w:p>
        </w:tc>
      </w:tr>
    </w:tbl>
    <w:bookmarkEnd w:id="60"/>
    <w:p w14:paraId="00F5120E" w14:textId="77777777" w:rsidR="005A3464" w:rsidRPr="002E75D2" w:rsidRDefault="005A3464" w:rsidP="003B6BB1">
      <w:pPr>
        <w:pStyle w:val="TableFigureFooter"/>
        <w:keepNext/>
      </w:pPr>
      <w:r w:rsidRPr="002E75D2">
        <w:t>Based on Table 102, p188 of the submission.</w:t>
      </w:r>
    </w:p>
    <w:p w14:paraId="54C255BD" w14:textId="77777777" w:rsidR="005A3464" w:rsidRPr="002E75D2" w:rsidRDefault="005A3464" w:rsidP="003B6BB1">
      <w:pPr>
        <w:pStyle w:val="TableFigureFooter"/>
        <w:keepNext/>
      </w:pPr>
      <w:r w:rsidRPr="002E75D2">
        <w:t>NA=not applicable; SAF=safety analysis set</w:t>
      </w:r>
    </w:p>
    <w:p w14:paraId="25E1E901" w14:textId="188C1733" w:rsidR="005A3464" w:rsidRPr="002E75D2" w:rsidRDefault="00BA4A5E" w:rsidP="003B6BB1">
      <w:pPr>
        <w:pStyle w:val="TableFigureFooter"/>
        <w:keepNext/>
      </w:pPr>
      <w:r w:rsidRPr="002E75D2">
        <w:rPr>
          <w:vertAlign w:val="superscript"/>
        </w:rPr>
        <w:t>a</w:t>
      </w:r>
      <w:r w:rsidRPr="002E75D2">
        <w:t xml:space="preserve"> No differences were statistically significant</w:t>
      </w:r>
      <w:r w:rsidR="00783A86" w:rsidRPr="002E75D2">
        <w:t>.</w:t>
      </w:r>
    </w:p>
    <w:p w14:paraId="36DCFF7C" w14:textId="50955F20" w:rsidR="005A3464" w:rsidRPr="002E75D2" w:rsidRDefault="00013AA2" w:rsidP="003B6BB1">
      <w:pPr>
        <w:pStyle w:val="TableFigureFooter"/>
        <w:keepNext/>
      </w:pPr>
      <w:r w:rsidRPr="002E75D2">
        <w:t xml:space="preserve">Note: Adverse events of special interest, including eczema herpeticum, deep vein thrombosis, and pulmonary embolism, were not observed in any of the </w:t>
      </w:r>
      <w:r w:rsidR="00AC7894" w:rsidRPr="002E75D2">
        <w:t>patient</w:t>
      </w:r>
      <w:r w:rsidR="00384E1F" w:rsidRPr="002E75D2">
        <w:t>s</w:t>
      </w:r>
      <w:r w:rsidRPr="002E75D2">
        <w:t xml:space="preserve"> in DELTA 1 and DELTA 2 trials.</w:t>
      </w:r>
    </w:p>
    <w:p w14:paraId="6D38EFD3" w14:textId="639057CB" w:rsidR="00B62D23" w:rsidRPr="002E75D2" w:rsidRDefault="005A3464" w:rsidP="000A6241">
      <w:pPr>
        <w:pStyle w:val="3-BodyText"/>
      </w:pPr>
      <w:r w:rsidRPr="002E75D2">
        <w:t xml:space="preserve">AEs were reported by a similar proportion of </w:t>
      </w:r>
      <w:r w:rsidR="00AC7894" w:rsidRPr="002E75D2">
        <w:t>patient</w:t>
      </w:r>
      <w:r w:rsidRPr="002E75D2">
        <w:t>s across both trials. In DELTA 1, 45% of those using delgocitinib and 51% using the vehicle experienced AEs; in DELTA 2, the rates were 46% and 45%, respectively. Most events were mild to moderate and not considered related to the treatment.</w:t>
      </w:r>
      <w:r w:rsidR="006315CF" w:rsidRPr="002E75D2">
        <w:t xml:space="preserve"> No safety concerns emerged based on the assessment of </w:t>
      </w:r>
      <w:r w:rsidR="00CA775D" w:rsidRPr="002E75D2">
        <w:t>AEs</w:t>
      </w:r>
      <w:r w:rsidR="006315CF" w:rsidRPr="002E75D2">
        <w:t xml:space="preserve">, laboratory results, vital signs, physical examinations, or </w:t>
      </w:r>
      <w:r w:rsidR="00D64575" w:rsidRPr="002E75D2">
        <w:t>electrocardiogram (</w:t>
      </w:r>
      <w:r w:rsidR="006315CF" w:rsidRPr="002E75D2">
        <w:t>ECG</w:t>
      </w:r>
      <w:r w:rsidR="00D64575" w:rsidRPr="002E75D2">
        <w:t>)</w:t>
      </w:r>
      <w:r w:rsidR="006315CF" w:rsidRPr="002E75D2">
        <w:t xml:space="preserve"> findings.</w:t>
      </w:r>
    </w:p>
    <w:p w14:paraId="61E9FAC3" w14:textId="3F73E550" w:rsidR="006315CF" w:rsidRPr="002E75D2" w:rsidRDefault="006315CF" w:rsidP="000A6241">
      <w:pPr>
        <w:pStyle w:val="3-BodyText"/>
      </w:pPr>
      <w:r w:rsidRPr="002E75D2">
        <w:t>The most commonly reported AEs included COVID-19</w:t>
      </w:r>
      <w:r w:rsidR="00B30B4C">
        <w:t xml:space="preserve"> </w:t>
      </w:r>
      <w:r w:rsidR="00B30B4C" w:rsidRPr="002E75D2">
        <w:t>(</w:t>
      </w:r>
      <w:r w:rsidR="00B30B4C">
        <w:t>10.8</w:t>
      </w:r>
      <w:r w:rsidR="00B30B4C" w:rsidRPr="002E75D2">
        <w:t xml:space="preserve">% vs 8.6% for delgocitinib vs vehicle in DELTA 1, </w:t>
      </w:r>
      <w:r w:rsidR="00B30B4C">
        <w:t>11.5</w:t>
      </w:r>
      <w:r w:rsidR="00B30B4C" w:rsidRPr="002E75D2">
        <w:t xml:space="preserve">% vs </w:t>
      </w:r>
      <w:r w:rsidR="006215E0">
        <w:t>12.6</w:t>
      </w:r>
      <w:r w:rsidR="00B30B4C" w:rsidRPr="002E75D2">
        <w:t>% in DELTA 2)</w:t>
      </w:r>
      <w:r w:rsidRPr="002E75D2">
        <w:t>, nasopharyngitis</w:t>
      </w:r>
      <w:r w:rsidR="00A24D69" w:rsidRPr="002E75D2">
        <w:t xml:space="preserve"> (7.1% vs 8.6% for in DELTA 1, 6.7% vs 6.3% in DELTA 2)</w:t>
      </w:r>
      <w:r w:rsidRPr="002E75D2">
        <w:t>, and headache</w:t>
      </w:r>
      <w:r w:rsidR="00A75901" w:rsidRPr="002E75D2">
        <w:t xml:space="preserve"> (2.8% vs 2.5% in DELTA 1, 6.1% vs 5.7% in DELTA 2)</w:t>
      </w:r>
      <w:r w:rsidRPr="002E75D2">
        <w:t xml:space="preserve">. Discontinuation due to AEs occurred less frequently among </w:t>
      </w:r>
      <w:r w:rsidR="00AC7894" w:rsidRPr="002E75D2">
        <w:t>patient</w:t>
      </w:r>
      <w:r w:rsidRPr="002E75D2">
        <w:t xml:space="preserve">s using delgocitinib (1% in DELTA 1 and &lt;1% in DELTA 2) compared to those using the vehicle (4% in DELTA 1 and 3% in DELTA 2). </w:t>
      </w:r>
    </w:p>
    <w:p w14:paraId="55078D38" w14:textId="1077942E" w:rsidR="006315CF" w:rsidRPr="002E75D2" w:rsidRDefault="00B64FC1" w:rsidP="000A6241">
      <w:pPr>
        <w:pStyle w:val="3-BodyText"/>
      </w:pPr>
      <w:r w:rsidRPr="002E75D2">
        <w:t xml:space="preserve">Results from DELTA 3 demonstrated that </w:t>
      </w:r>
      <w:r w:rsidR="006315CF" w:rsidRPr="002E75D2">
        <w:t xml:space="preserve">delgocitinib had a safety profile comparable to the vehicle over 36 weeks, with no emerging safety concerns and a low incidence of treatment-related AEs or </w:t>
      </w:r>
      <w:r w:rsidR="00BE33F8" w:rsidRPr="002E75D2">
        <w:t xml:space="preserve">serious </w:t>
      </w:r>
      <w:r w:rsidR="00CA775D" w:rsidRPr="002E75D2">
        <w:t>AEs</w:t>
      </w:r>
      <w:r w:rsidR="00BE33F8" w:rsidRPr="002E75D2">
        <w:t xml:space="preserve"> (SAEs)</w:t>
      </w:r>
      <w:r w:rsidR="006315CF" w:rsidRPr="002E75D2">
        <w:t xml:space="preserve">. However, long-term safety beyond 36 </w:t>
      </w:r>
      <w:r w:rsidR="00C50632" w:rsidRPr="002E75D2">
        <w:t>w</w:t>
      </w:r>
      <w:r w:rsidR="006315CF" w:rsidRPr="002E75D2">
        <w:t xml:space="preserve">eeks was uncertain. The TGA PI </w:t>
      </w:r>
      <w:r w:rsidR="00454842">
        <w:t>states</w:t>
      </w:r>
      <w:r w:rsidR="00454842" w:rsidRPr="002E75D2">
        <w:t xml:space="preserve"> </w:t>
      </w:r>
      <w:r w:rsidR="006315CF" w:rsidRPr="002E75D2">
        <w:t xml:space="preserve">that there </w:t>
      </w:r>
      <w:r w:rsidR="00454842">
        <w:t>are</w:t>
      </w:r>
      <w:r w:rsidR="00454842" w:rsidRPr="002E75D2">
        <w:t xml:space="preserve"> </w:t>
      </w:r>
      <w:r w:rsidR="006315CF" w:rsidRPr="002E75D2">
        <w:t xml:space="preserve">limited data </w:t>
      </w:r>
      <w:r w:rsidR="00C50632" w:rsidRPr="002E75D2">
        <w:t xml:space="preserve">for </w:t>
      </w:r>
      <w:r w:rsidR="006315CF" w:rsidRPr="002E75D2">
        <w:t xml:space="preserve">the use of delgocitinib in pregnant women, and it </w:t>
      </w:r>
      <w:r w:rsidR="00454842">
        <w:t>i</w:t>
      </w:r>
      <w:r w:rsidR="006315CF" w:rsidRPr="002E75D2">
        <w:t>s preferable to avoid the use of delgocitinib during pregnancy. Further,</w:t>
      </w:r>
      <w:r w:rsidR="009D1B90">
        <w:t xml:space="preserve"> the</w:t>
      </w:r>
      <w:r w:rsidR="006315CF" w:rsidRPr="002E75D2">
        <w:t xml:space="preserve"> </w:t>
      </w:r>
      <w:r w:rsidR="00F84FA8" w:rsidRPr="002E75D2">
        <w:t>TGA</w:t>
      </w:r>
      <w:r w:rsidR="006315CF" w:rsidRPr="002E75D2">
        <w:t xml:space="preserve"> PI </w:t>
      </w:r>
      <w:r w:rsidR="00454842">
        <w:t>states</w:t>
      </w:r>
      <w:r w:rsidR="00454842" w:rsidRPr="002E75D2">
        <w:t xml:space="preserve"> </w:t>
      </w:r>
      <w:r w:rsidR="006315CF" w:rsidRPr="002E75D2">
        <w:t xml:space="preserve">that non-melanoma skin cancer, primarily basal cell carcinoma, had been reported in patients treated with topical JAK inhibitors. As a precaution, periodic skin examinations of the application site </w:t>
      </w:r>
      <w:r w:rsidR="00F84FA8" w:rsidRPr="002E75D2">
        <w:t xml:space="preserve">are </w:t>
      </w:r>
      <w:r w:rsidR="006315CF" w:rsidRPr="002E75D2">
        <w:t xml:space="preserve">recommended for all patients, particularly those with known risk factors for skin cancer. </w:t>
      </w:r>
    </w:p>
    <w:p w14:paraId="3C5555E8" w14:textId="77777777" w:rsidR="00B62D23" w:rsidRPr="002E75D2" w:rsidRDefault="00B62D23" w:rsidP="00D86231">
      <w:pPr>
        <w:pStyle w:val="4-SubsectionHeading"/>
      </w:pPr>
      <w:bookmarkStart w:id="61" w:name="_Toc22897643"/>
      <w:bookmarkStart w:id="62" w:name="_Toc206291224"/>
      <w:bookmarkStart w:id="63" w:name="_Toc206426966"/>
      <w:bookmarkStart w:id="64" w:name="_Toc208411850"/>
      <w:r w:rsidRPr="002E75D2">
        <w:lastRenderedPageBreak/>
        <w:t>Benefits/harms</w:t>
      </w:r>
      <w:bookmarkEnd w:id="61"/>
      <w:bookmarkEnd w:id="62"/>
      <w:bookmarkEnd w:id="63"/>
      <w:bookmarkEnd w:id="64"/>
    </w:p>
    <w:p w14:paraId="56CC1759" w14:textId="12C5209A" w:rsidR="00B62D23" w:rsidRPr="002E75D2" w:rsidRDefault="00B62D23" w:rsidP="008C35F4">
      <w:pPr>
        <w:pStyle w:val="3-BodyText"/>
        <w:rPr>
          <w:rStyle w:val="CommentReference"/>
          <w:rFonts w:asciiTheme="minorHAnsi" w:hAnsiTheme="minorHAnsi"/>
          <w:b w:val="0"/>
          <w:color w:val="0066FF"/>
          <w:sz w:val="24"/>
          <w:szCs w:val="22"/>
        </w:rPr>
      </w:pPr>
      <w:r w:rsidRPr="002E75D2">
        <w:t xml:space="preserve">A summary of the comparative benefits and harms for </w:t>
      </w:r>
      <w:r w:rsidR="005A207A" w:rsidRPr="002E75D2">
        <w:t xml:space="preserve">delgocitinib vs vehicle </w:t>
      </w:r>
      <w:r w:rsidRPr="002E75D2">
        <w:t xml:space="preserve">is presented in </w:t>
      </w:r>
      <w:r w:rsidR="003B508F" w:rsidRPr="002E75D2">
        <w:fldChar w:fldCharType="begin"/>
      </w:r>
      <w:r w:rsidR="003B508F" w:rsidRPr="002E75D2">
        <w:instrText xml:space="preserve"> REF _Ref207293527 \h </w:instrText>
      </w:r>
      <w:r w:rsidR="003B508F" w:rsidRPr="002E75D2">
        <w:fldChar w:fldCharType="separate"/>
      </w:r>
      <w:r w:rsidR="00AA53DD" w:rsidRPr="002E75D2">
        <w:t xml:space="preserve">Table </w:t>
      </w:r>
      <w:r w:rsidR="00AA53DD">
        <w:rPr>
          <w:noProof/>
        </w:rPr>
        <w:t>8</w:t>
      </w:r>
      <w:r w:rsidR="003B508F" w:rsidRPr="002E75D2">
        <w:fldChar w:fldCharType="end"/>
      </w:r>
      <w:r w:rsidR="003B508F" w:rsidRPr="002E75D2">
        <w:t>.</w:t>
      </w:r>
    </w:p>
    <w:p w14:paraId="2271365A" w14:textId="5B2A1773" w:rsidR="003B508F" w:rsidRPr="002E75D2" w:rsidRDefault="003B508F" w:rsidP="00E37FD5">
      <w:pPr>
        <w:pStyle w:val="Caption"/>
      </w:pPr>
      <w:bookmarkStart w:id="65" w:name="_Ref207293527"/>
      <w:r w:rsidRPr="002E75D2">
        <w:t xml:space="preserve">Table </w:t>
      </w:r>
      <w:r w:rsidR="000847A3">
        <w:fldChar w:fldCharType="begin"/>
      </w:r>
      <w:r w:rsidR="000847A3">
        <w:instrText xml:space="preserve"> SEQ Table \* ARABIC </w:instrText>
      </w:r>
      <w:r w:rsidR="000847A3">
        <w:fldChar w:fldCharType="separate"/>
      </w:r>
      <w:r w:rsidR="00AA53DD">
        <w:rPr>
          <w:noProof/>
        </w:rPr>
        <w:t>8</w:t>
      </w:r>
      <w:r w:rsidR="000847A3">
        <w:rPr>
          <w:noProof/>
        </w:rPr>
        <w:fldChar w:fldCharType="end"/>
      </w:r>
      <w:bookmarkEnd w:id="65"/>
      <w:r w:rsidRPr="002E75D2">
        <w:t>: Summary of comparative benefits and harms for delgocitinib and SoC (vehicle)</w:t>
      </w:r>
    </w:p>
    <w:tbl>
      <w:tblPr>
        <w:tblStyle w:val="CMATableTemplate1"/>
        <w:tblW w:w="5000" w:type="pct"/>
        <w:jc w:val="center"/>
        <w:tblLook w:val="04A0" w:firstRow="1" w:lastRow="0" w:firstColumn="1" w:lastColumn="0" w:noHBand="0" w:noVBand="1"/>
        <w:tblCaption w:val="Table 8: Summary of comparative benefits and harms for delgocitinib and SoC (vehicle)"/>
      </w:tblPr>
      <w:tblGrid>
        <w:gridCol w:w="1417"/>
        <w:gridCol w:w="1414"/>
        <w:gridCol w:w="1562"/>
        <w:gridCol w:w="1380"/>
        <w:gridCol w:w="36"/>
        <w:gridCol w:w="1275"/>
        <w:gridCol w:w="1933"/>
      </w:tblGrid>
      <w:tr w:rsidR="001B2F6C" w:rsidRPr="002E75D2" w14:paraId="1F998091" w14:textId="77777777" w:rsidTr="00C21DB1">
        <w:trPr>
          <w:trHeight w:val="20"/>
          <w:jc w:val="center"/>
        </w:trPr>
        <w:tc>
          <w:tcPr>
            <w:tcW w:w="786" w:type="pct"/>
            <w:vMerge w:val="restart"/>
          </w:tcPr>
          <w:p w14:paraId="4AB13801" w14:textId="77777777" w:rsidR="0077353A" w:rsidRPr="002E75D2" w:rsidRDefault="0077353A" w:rsidP="00E37FD5">
            <w:pPr>
              <w:pStyle w:val="In-tableHeading"/>
              <w:rPr>
                <w:sz w:val="20"/>
                <w:szCs w:val="20"/>
                <w:lang w:val="en-AU"/>
              </w:rPr>
            </w:pPr>
          </w:p>
        </w:tc>
        <w:tc>
          <w:tcPr>
            <w:tcW w:w="784" w:type="pct"/>
            <w:vMerge w:val="restart"/>
            <w:vAlign w:val="center"/>
          </w:tcPr>
          <w:p w14:paraId="2DE96357" w14:textId="70D65076" w:rsidR="0077353A" w:rsidRPr="002E75D2" w:rsidRDefault="0077353A" w:rsidP="00E37FD5">
            <w:pPr>
              <w:pStyle w:val="In-tableHeading"/>
              <w:jc w:val="center"/>
              <w:rPr>
                <w:rFonts w:cstheme="majorBidi"/>
                <w:sz w:val="20"/>
                <w:szCs w:val="20"/>
                <w:lang w:val="en-AU"/>
              </w:rPr>
            </w:pPr>
            <w:r w:rsidRPr="002E75D2">
              <w:rPr>
                <w:rFonts w:cstheme="majorBidi"/>
                <w:sz w:val="20"/>
                <w:szCs w:val="20"/>
                <w:lang w:val="en-AU"/>
              </w:rPr>
              <w:t>Delgo</w:t>
            </w:r>
            <w:r w:rsidR="0095021E" w:rsidRPr="002E75D2">
              <w:rPr>
                <w:rFonts w:cstheme="majorBidi"/>
                <w:sz w:val="20"/>
                <w:szCs w:val="20"/>
                <w:lang w:val="en-AU"/>
              </w:rPr>
              <w:t>citinib</w:t>
            </w:r>
          </w:p>
          <w:p w14:paraId="0BBE6BB0" w14:textId="6D94CA42" w:rsidR="0077353A" w:rsidRPr="002E75D2" w:rsidRDefault="0077353A" w:rsidP="00E37FD5">
            <w:pPr>
              <w:pStyle w:val="In-tableHeading"/>
              <w:jc w:val="center"/>
              <w:rPr>
                <w:sz w:val="20"/>
                <w:szCs w:val="20"/>
                <w:lang w:val="en-AU"/>
              </w:rPr>
            </w:pPr>
            <w:r w:rsidRPr="002E75D2">
              <w:rPr>
                <w:rFonts w:cstheme="majorBidi"/>
                <w:sz w:val="20"/>
                <w:szCs w:val="20"/>
                <w:lang w:val="en-AU"/>
              </w:rPr>
              <w:t>n/N (%)</w:t>
            </w:r>
          </w:p>
        </w:tc>
        <w:tc>
          <w:tcPr>
            <w:tcW w:w="866" w:type="pct"/>
            <w:vMerge w:val="restart"/>
            <w:vAlign w:val="center"/>
          </w:tcPr>
          <w:p w14:paraId="6E9EE225" w14:textId="77777777" w:rsidR="0077353A" w:rsidRPr="002E75D2" w:rsidRDefault="0077353A" w:rsidP="00E37FD5">
            <w:pPr>
              <w:pStyle w:val="In-tableHeading"/>
              <w:jc w:val="center"/>
              <w:rPr>
                <w:rFonts w:cstheme="majorBidi"/>
                <w:sz w:val="20"/>
                <w:szCs w:val="20"/>
                <w:lang w:val="en-AU"/>
              </w:rPr>
            </w:pPr>
            <w:r w:rsidRPr="002E75D2">
              <w:rPr>
                <w:rFonts w:cstheme="majorBidi"/>
                <w:sz w:val="20"/>
                <w:szCs w:val="20"/>
                <w:lang w:val="en-AU"/>
              </w:rPr>
              <w:t>Vehicle</w:t>
            </w:r>
          </w:p>
          <w:p w14:paraId="67B5BD46" w14:textId="6056A3C5" w:rsidR="0077353A" w:rsidRPr="002E75D2" w:rsidRDefault="0077353A" w:rsidP="00E37FD5">
            <w:pPr>
              <w:pStyle w:val="In-tableHeading"/>
              <w:jc w:val="center"/>
              <w:rPr>
                <w:sz w:val="20"/>
                <w:szCs w:val="20"/>
                <w:lang w:val="en-AU"/>
              </w:rPr>
            </w:pPr>
            <w:r w:rsidRPr="002E75D2">
              <w:rPr>
                <w:rFonts w:cstheme="majorBidi"/>
                <w:sz w:val="20"/>
                <w:szCs w:val="20"/>
                <w:lang w:val="en-AU"/>
              </w:rPr>
              <w:t>n/N (%)</w:t>
            </w:r>
          </w:p>
        </w:tc>
        <w:tc>
          <w:tcPr>
            <w:tcW w:w="1492" w:type="pct"/>
            <w:gridSpan w:val="3"/>
          </w:tcPr>
          <w:p w14:paraId="348DC0D2" w14:textId="77777777" w:rsidR="0077353A" w:rsidRPr="002E75D2" w:rsidRDefault="0077353A" w:rsidP="00E37FD5">
            <w:pPr>
              <w:pStyle w:val="In-tableHeading"/>
              <w:jc w:val="center"/>
              <w:rPr>
                <w:sz w:val="20"/>
                <w:szCs w:val="20"/>
                <w:lang w:val="en-AU"/>
              </w:rPr>
            </w:pPr>
            <w:r w:rsidRPr="002E75D2">
              <w:rPr>
                <w:sz w:val="20"/>
                <w:szCs w:val="20"/>
                <w:lang w:val="en-AU"/>
              </w:rPr>
              <w:t>Event rate/100 patients</w:t>
            </w:r>
          </w:p>
        </w:tc>
        <w:tc>
          <w:tcPr>
            <w:tcW w:w="1072" w:type="pct"/>
            <w:vMerge w:val="restart"/>
          </w:tcPr>
          <w:p w14:paraId="3D2B0D7C" w14:textId="3A1677E3" w:rsidR="0077353A" w:rsidRPr="002E75D2" w:rsidRDefault="0077353A" w:rsidP="00E37FD5">
            <w:pPr>
              <w:pStyle w:val="In-tableHeading"/>
              <w:jc w:val="center"/>
              <w:rPr>
                <w:sz w:val="20"/>
                <w:szCs w:val="20"/>
                <w:lang w:val="en-AU"/>
              </w:rPr>
            </w:pPr>
            <w:r w:rsidRPr="002E75D2">
              <w:rPr>
                <w:sz w:val="20"/>
                <w:szCs w:val="20"/>
                <w:lang w:val="en-AU"/>
              </w:rPr>
              <w:t>RD</w:t>
            </w:r>
          </w:p>
          <w:p w14:paraId="37B115AE" w14:textId="77777777" w:rsidR="0077353A" w:rsidRPr="002E75D2" w:rsidRDefault="0077353A" w:rsidP="00E37FD5">
            <w:pPr>
              <w:pStyle w:val="In-tableHeading"/>
              <w:jc w:val="center"/>
              <w:rPr>
                <w:sz w:val="20"/>
                <w:szCs w:val="20"/>
                <w:lang w:val="en-AU"/>
              </w:rPr>
            </w:pPr>
            <w:r w:rsidRPr="002E75D2">
              <w:rPr>
                <w:sz w:val="20"/>
                <w:szCs w:val="20"/>
                <w:lang w:val="en-AU"/>
              </w:rPr>
              <w:t>(95% CI)</w:t>
            </w:r>
          </w:p>
        </w:tc>
      </w:tr>
      <w:tr w:rsidR="001B2F6C" w:rsidRPr="002E75D2" w14:paraId="31AB7EFE" w14:textId="77777777" w:rsidTr="00C21DB1">
        <w:trPr>
          <w:trHeight w:val="20"/>
          <w:jc w:val="center"/>
        </w:trPr>
        <w:tc>
          <w:tcPr>
            <w:tcW w:w="786" w:type="pct"/>
            <w:vMerge/>
          </w:tcPr>
          <w:p w14:paraId="5EE5F1AC" w14:textId="77777777" w:rsidR="0077353A" w:rsidRPr="002E75D2" w:rsidRDefault="0077353A" w:rsidP="00E37FD5">
            <w:pPr>
              <w:pStyle w:val="In-tableHeading"/>
              <w:rPr>
                <w:sz w:val="20"/>
                <w:szCs w:val="20"/>
                <w:lang w:val="en-AU"/>
              </w:rPr>
            </w:pPr>
          </w:p>
        </w:tc>
        <w:tc>
          <w:tcPr>
            <w:tcW w:w="784" w:type="pct"/>
            <w:vMerge/>
          </w:tcPr>
          <w:p w14:paraId="367539C3" w14:textId="77777777" w:rsidR="0077353A" w:rsidRPr="002E75D2" w:rsidRDefault="0077353A" w:rsidP="00E37FD5">
            <w:pPr>
              <w:pStyle w:val="In-tableHeading"/>
              <w:jc w:val="center"/>
              <w:rPr>
                <w:sz w:val="20"/>
                <w:szCs w:val="20"/>
                <w:lang w:val="en-AU"/>
              </w:rPr>
            </w:pPr>
          </w:p>
        </w:tc>
        <w:tc>
          <w:tcPr>
            <w:tcW w:w="866" w:type="pct"/>
            <w:vMerge/>
          </w:tcPr>
          <w:p w14:paraId="4A35C55B" w14:textId="77777777" w:rsidR="0077353A" w:rsidRPr="002E75D2" w:rsidRDefault="0077353A" w:rsidP="00E37FD5">
            <w:pPr>
              <w:pStyle w:val="In-tableHeading"/>
              <w:jc w:val="center"/>
              <w:rPr>
                <w:sz w:val="20"/>
                <w:szCs w:val="20"/>
                <w:lang w:val="en-AU"/>
              </w:rPr>
            </w:pPr>
          </w:p>
        </w:tc>
        <w:tc>
          <w:tcPr>
            <w:tcW w:w="765" w:type="pct"/>
          </w:tcPr>
          <w:p w14:paraId="54C4F7E1" w14:textId="26CB0F4E" w:rsidR="0077353A" w:rsidRPr="002E75D2" w:rsidRDefault="0077353A" w:rsidP="00E37FD5">
            <w:pPr>
              <w:pStyle w:val="In-tableHeading"/>
              <w:jc w:val="center"/>
              <w:rPr>
                <w:sz w:val="20"/>
                <w:szCs w:val="20"/>
                <w:lang w:val="en-AU"/>
              </w:rPr>
            </w:pPr>
            <w:r w:rsidRPr="002E75D2">
              <w:rPr>
                <w:sz w:val="20"/>
                <w:szCs w:val="20"/>
                <w:lang w:val="en-AU"/>
              </w:rPr>
              <w:t>Delgo</w:t>
            </w:r>
            <w:r w:rsidR="0095021E" w:rsidRPr="002E75D2">
              <w:rPr>
                <w:sz w:val="20"/>
                <w:szCs w:val="20"/>
                <w:lang w:val="en-AU"/>
              </w:rPr>
              <w:t>citinib</w:t>
            </w:r>
          </w:p>
        </w:tc>
        <w:tc>
          <w:tcPr>
            <w:tcW w:w="727" w:type="pct"/>
            <w:gridSpan w:val="2"/>
          </w:tcPr>
          <w:p w14:paraId="23665BB7" w14:textId="1FD2A36E" w:rsidR="0077353A" w:rsidRPr="002E75D2" w:rsidRDefault="0077353A" w:rsidP="00E37FD5">
            <w:pPr>
              <w:pStyle w:val="In-tableHeading"/>
              <w:jc w:val="center"/>
              <w:rPr>
                <w:sz w:val="20"/>
                <w:szCs w:val="20"/>
                <w:lang w:val="en-AU"/>
              </w:rPr>
            </w:pPr>
            <w:r w:rsidRPr="002E75D2">
              <w:rPr>
                <w:sz w:val="20"/>
                <w:szCs w:val="20"/>
                <w:lang w:val="en-AU"/>
              </w:rPr>
              <w:t>Vehicle</w:t>
            </w:r>
          </w:p>
        </w:tc>
        <w:tc>
          <w:tcPr>
            <w:tcW w:w="1072" w:type="pct"/>
            <w:vMerge/>
          </w:tcPr>
          <w:p w14:paraId="28D94151" w14:textId="77777777" w:rsidR="0077353A" w:rsidRPr="002E75D2" w:rsidRDefault="0077353A" w:rsidP="00E37FD5">
            <w:pPr>
              <w:pStyle w:val="In-tableHeading"/>
              <w:jc w:val="center"/>
              <w:rPr>
                <w:sz w:val="20"/>
                <w:szCs w:val="20"/>
                <w:lang w:val="en-AU"/>
              </w:rPr>
            </w:pPr>
          </w:p>
        </w:tc>
      </w:tr>
      <w:tr w:rsidR="00C47005" w:rsidRPr="002E75D2" w14:paraId="77A4B546" w14:textId="77777777" w:rsidTr="00C21DB1">
        <w:trPr>
          <w:trHeight w:val="20"/>
          <w:jc w:val="center"/>
        </w:trPr>
        <w:tc>
          <w:tcPr>
            <w:tcW w:w="5000" w:type="pct"/>
            <w:gridSpan w:val="7"/>
          </w:tcPr>
          <w:p w14:paraId="18B87672" w14:textId="4D468552" w:rsidR="00C47005" w:rsidRPr="002E75D2" w:rsidRDefault="00C47005" w:rsidP="00E37FD5">
            <w:pPr>
              <w:pStyle w:val="In-tableHeading"/>
              <w:rPr>
                <w:sz w:val="20"/>
                <w:szCs w:val="20"/>
                <w:lang w:val="en-AU"/>
              </w:rPr>
            </w:pPr>
            <w:r w:rsidRPr="002E75D2">
              <w:rPr>
                <w:sz w:val="20"/>
                <w:szCs w:val="20"/>
                <w:lang w:val="en-AU"/>
              </w:rPr>
              <w:t>BENEFITS</w:t>
            </w:r>
          </w:p>
        </w:tc>
      </w:tr>
      <w:tr w:rsidR="00C47005" w:rsidRPr="002E75D2" w14:paraId="7E54E728" w14:textId="77777777" w:rsidTr="00C21DB1">
        <w:trPr>
          <w:trHeight w:val="20"/>
          <w:jc w:val="center"/>
        </w:trPr>
        <w:tc>
          <w:tcPr>
            <w:tcW w:w="5000" w:type="pct"/>
            <w:gridSpan w:val="7"/>
          </w:tcPr>
          <w:p w14:paraId="61E3E1A8" w14:textId="77777777" w:rsidR="00C47005" w:rsidRPr="002E75D2" w:rsidRDefault="00C47005" w:rsidP="00E37FD5">
            <w:pPr>
              <w:pStyle w:val="In-tableHeading"/>
              <w:rPr>
                <w:sz w:val="20"/>
                <w:szCs w:val="20"/>
                <w:lang w:val="en-AU"/>
              </w:rPr>
            </w:pPr>
            <w:r w:rsidRPr="002E75D2">
              <w:rPr>
                <w:sz w:val="20"/>
                <w:szCs w:val="20"/>
                <w:lang w:val="en-AU"/>
              </w:rPr>
              <w:t>IGA-CHE TS</w:t>
            </w:r>
          </w:p>
        </w:tc>
      </w:tr>
      <w:tr w:rsidR="001B2F6C" w:rsidRPr="002E75D2" w14:paraId="2EAD6AC8" w14:textId="77777777" w:rsidTr="00C21DB1">
        <w:trPr>
          <w:trHeight w:val="20"/>
          <w:jc w:val="center"/>
        </w:trPr>
        <w:tc>
          <w:tcPr>
            <w:tcW w:w="786" w:type="pct"/>
          </w:tcPr>
          <w:p w14:paraId="1B33A374" w14:textId="66205DE8" w:rsidR="0077353A" w:rsidRPr="002E75D2" w:rsidRDefault="0077353A" w:rsidP="00E37FD5">
            <w:pPr>
              <w:pStyle w:val="TableText0"/>
              <w:keepNext/>
            </w:pPr>
            <w:r w:rsidRPr="002E75D2">
              <w:t>DELTA 1</w:t>
            </w:r>
          </w:p>
        </w:tc>
        <w:tc>
          <w:tcPr>
            <w:tcW w:w="784" w:type="pct"/>
          </w:tcPr>
          <w:p w14:paraId="27125011" w14:textId="3B5F8F21" w:rsidR="0077353A" w:rsidRPr="002E75D2" w:rsidRDefault="0077353A" w:rsidP="00E37FD5">
            <w:pPr>
              <w:pStyle w:val="TableText0"/>
              <w:keepNext/>
              <w:jc w:val="center"/>
            </w:pPr>
            <w:r w:rsidRPr="002E75D2">
              <w:t>64/325</w:t>
            </w:r>
          </w:p>
        </w:tc>
        <w:tc>
          <w:tcPr>
            <w:tcW w:w="866" w:type="pct"/>
          </w:tcPr>
          <w:p w14:paraId="04965520" w14:textId="00A10ECC" w:rsidR="0077353A" w:rsidRPr="002E75D2" w:rsidRDefault="0077353A" w:rsidP="00E37FD5">
            <w:pPr>
              <w:pStyle w:val="TableText0"/>
              <w:keepNext/>
              <w:jc w:val="center"/>
            </w:pPr>
            <w:r w:rsidRPr="002E75D2">
              <w:t>16/162</w:t>
            </w:r>
          </w:p>
        </w:tc>
        <w:tc>
          <w:tcPr>
            <w:tcW w:w="765" w:type="pct"/>
          </w:tcPr>
          <w:p w14:paraId="0B549404" w14:textId="082C9BEA" w:rsidR="0077353A" w:rsidRPr="002E75D2" w:rsidRDefault="0077353A" w:rsidP="00E37FD5">
            <w:pPr>
              <w:pStyle w:val="TableText0"/>
              <w:keepNext/>
              <w:jc w:val="center"/>
            </w:pPr>
            <w:r w:rsidRPr="002E75D2">
              <w:t>20</w:t>
            </w:r>
          </w:p>
        </w:tc>
        <w:tc>
          <w:tcPr>
            <w:tcW w:w="727" w:type="pct"/>
            <w:gridSpan w:val="2"/>
          </w:tcPr>
          <w:p w14:paraId="46BF20AA" w14:textId="0E76EB35" w:rsidR="0077353A" w:rsidRPr="002E75D2" w:rsidRDefault="0077353A" w:rsidP="00E37FD5">
            <w:pPr>
              <w:pStyle w:val="TableText0"/>
              <w:keepNext/>
              <w:jc w:val="center"/>
            </w:pPr>
            <w:r w:rsidRPr="002E75D2">
              <w:t>10</w:t>
            </w:r>
          </w:p>
        </w:tc>
        <w:tc>
          <w:tcPr>
            <w:tcW w:w="1072" w:type="pct"/>
          </w:tcPr>
          <w:p w14:paraId="2D54F0FA" w14:textId="2CF28E7B" w:rsidR="0077353A" w:rsidRPr="002E75D2" w:rsidRDefault="0077353A" w:rsidP="00E37FD5">
            <w:pPr>
              <w:pStyle w:val="TableText0"/>
              <w:keepNext/>
              <w:jc w:val="center"/>
              <w:rPr>
                <w:b/>
                <w:bCs w:val="0"/>
              </w:rPr>
            </w:pPr>
            <w:r w:rsidRPr="002E75D2">
              <w:rPr>
                <w:b/>
                <w:bCs w:val="0"/>
              </w:rPr>
              <w:t>9.8 (3.</w:t>
            </w:r>
            <w:r w:rsidR="0045736E" w:rsidRPr="002E75D2">
              <w:rPr>
                <w:b/>
                <w:bCs w:val="0"/>
              </w:rPr>
              <w:t>6</w:t>
            </w:r>
            <w:r w:rsidRPr="002E75D2">
              <w:rPr>
                <w:b/>
                <w:bCs w:val="0"/>
              </w:rPr>
              <w:t>, 16.1)</w:t>
            </w:r>
          </w:p>
        </w:tc>
      </w:tr>
      <w:tr w:rsidR="001B2F6C" w:rsidRPr="002E75D2" w14:paraId="4A5194C0" w14:textId="77777777" w:rsidTr="00C21DB1">
        <w:trPr>
          <w:trHeight w:val="20"/>
          <w:jc w:val="center"/>
        </w:trPr>
        <w:tc>
          <w:tcPr>
            <w:tcW w:w="786" w:type="pct"/>
          </w:tcPr>
          <w:p w14:paraId="4DE64AD4" w14:textId="31B2E315" w:rsidR="0077353A" w:rsidRPr="002E75D2" w:rsidRDefault="0077353A" w:rsidP="00E37FD5">
            <w:pPr>
              <w:pStyle w:val="TableText0"/>
              <w:keepNext/>
            </w:pPr>
            <w:r w:rsidRPr="002E75D2">
              <w:t>DELTA 2</w:t>
            </w:r>
          </w:p>
        </w:tc>
        <w:tc>
          <w:tcPr>
            <w:tcW w:w="784" w:type="pct"/>
          </w:tcPr>
          <w:p w14:paraId="16D18E7F" w14:textId="723147BC" w:rsidR="0077353A" w:rsidRPr="002E75D2" w:rsidRDefault="0077353A" w:rsidP="00E37FD5">
            <w:pPr>
              <w:pStyle w:val="TableText0"/>
              <w:keepNext/>
              <w:jc w:val="center"/>
            </w:pPr>
            <w:r w:rsidRPr="002E75D2">
              <w:t>91/313</w:t>
            </w:r>
          </w:p>
        </w:tc>
        <w:tc>
          <w:tcPr>
            <w:tcW w:w="866" w:type="pct"/>
          </w:tcPr>
          <w:p w14:paraId="00544BB3" w14:textId="165756AB" w:rsidR="0077353A" w:rsidRPr="002E75D2" w:rsidRDefault="0077353A" w:rsidP="00E37FD5">
            <w:pPr>
              <w:pStyle w:val="TableText0"/>
              <w:keepNext/>
              <w:jc w:val="center"/>
            </w:pPr>
            <w:r w:rsidRPr="002E75D2">
              <w:t>11/159</w:t>
            </w:r>
          </w:p>
        </w:tc>
        <w:tc>
          <w:tcPr>
            <w:tcW w:w="765" w:type="pct"/>
          </w:tcPr>
          <w:p w14:paraId="45B1DCC8" w14:textId="571F1001" w:rsidR="0077353A" w:rsidRPr="002E75D2" w:rsidRDefault="0077353A" w:rsidP="00E37FD5">
            <w:pPr>
              <w:pStyle w:val="TableText0"/>
              <w:keepNext/>
              <w:jc w:val="center"/>
            </w:pPr>
            <w:r w:rsidRPr="002E75D2">
              <w:t>29</w:t>
            </w:r>
          </w:p>
        </w:tc>
        <w:tc>
          <w:tcPr>
            <w:tcW w:w="727" w:type="pct"/>
            <w:gridSpan w:val="2"/>
          </w:tcPr>
          <w:p w14:paraId="536FCA09" w14:textId="5DB5D42C" w:rsidR="0077353A" w:rsidRPr="002E75D2" w:rsidRDefault="0077353A" w:rsidP="00E37FD5">
            <w:pPr>
              <w:pStyle w:val="TableText0"/>
              <w:keepNext/>
              <w:jc w:val="center"/>
            </w:pPr>
            <w:r w:rsidRPr="002E75D2">
              <w:t>7</w:t>
            </w:r>
          </w:p>
        </w:tc>
        <w:tc>
          <w:tcPr>
            <w:tcW w:w="1072" w:type="pct"/>
          </w:tcPr>
          <w:p w14:paraId="02A68BE5" w14:textId="07FFCFF9" w:rsidR="0077353A" w:rsidRPr="002E75D2" w:rsidRDefault="0077353A" w:rsidP="00E37FD5">
            <w:pPr>
              <w:pStyle w:val="TableText0"/>
              <w:keepNext/>
              <w:jc w:val="center"/>
              <w:rPr>
                <w:b/>
                <w:bCs w:val="0"/>
              </w:rPr>
            </w:pPr>
            <w:r w:rsidRPr="002E75D2">
              <w:rPr>
                <w:b/>
                <w:bCs w:val="0"/>
              </w:rPr>
              <w:t>22.2 (15.8, 28.5)</w:t>
            </w:r>
          </w:p>
        </w:tc>
      </w:tr>
      <w:tr w:rsidR="001B2F6C" w:rsidRPr="002E75D2" w14:paraId="43D2B0E5" w14:textId="6E78B633" w:rsidTr="00C21DB1">
        <w:trPr>
          <w:trHeight w:val="20"/>
          <w:jc w:val="center"/>
        </w:trPr>
        <w:tc>
          <w:tcPr>
            <w:tcW w:w="5000" w:type="pct"/>
            <w:gridSpan w:val="7"/>
          </w:tcPr>
          <w:p w14:paraId="27F2BD7D" w14:textId="774D5C63" w:rsidR="0077353A" w:rsidRPr="002E75D2" w:rsidRDefault="00C47005" w:rsidP="00E37FD5">
            <w:pPr>
              <w:pStyle w:val="TableText0"/>
              <w:keepNext/>
              <w:rPr>
                <w:b/>
                <w:bCs w:val="0"/>
              </w:rPr>
            </w:pPr>
            <w:r w:rsidRPr="002E75D2">
              <w:rPr>
                <w:b/>
                <w:bCs w:val="0"/>
              </w:rPr>
              <w:t>HARMS</w:t>
            </w:r>
          </w:p>
        </w:tc>
      </w:tr>
      <w:tr w:rsidR="001B2F6C" w:rsidRPr="002E75D2" w14:paraId="059ACC9B" w14:textId="18ED752E" w:rsidTr="00C21DB1">
        <w:trPr>
          <w:trHeight w:val="20"/>
          <w:jc w:val="center"/>
        </w:trPr>
        <w:tc>
          <w:tcPr>
            <w:tcW w:w="5000" w:type="pct"/>
            <w:gridSpan w:val="7"/>
          </w:tcPr>
          <w:p w14:paraId="68B51E48" w14:textId="33F3F386" w:rsidR="00CA78B8" w:rsidRPr="002E75D2" w:rsidRDefault="00517AC9" w:rsidP="00E37FD5">
            <w:pPr>
              <w:pStyle w:val="TableText0"/>
              <w:keepNext/>
              <w:rPr>
                <w:b/>
                <w:bCs w:val="0"/>
              </w:rPr>
            </w:pPr>
            <w:r w:rsidRPr="002E75D2">
              <w:rPr>
                <w:b/>
                <w:bCs w:val="0"/>
              </w:rPr>
              <w:t>AEs</w:t>
            </w:r>
          </w:p>
        </w:tc>
      </w:tr>
      <w:tr w:rsidR="00517AC9" w:rsidRPr="002E75D2" w14:paraId="52FA1CF8" w14:textId="77777777" w:rsidTr="00C21DB1">
        <w:trPr>
          <w:trHeight w:val="20"/>
          <w:jc w:val="center"/>
        </w:trPr>
        <w:tc>
          <w:tcPr>
            <w:tcW w:w="786" w:type="pct"/>
          </w:tcPr>
          <w:p w14:paraId="1EA80AB0" w14:textId="7EB24498" w:rsidR="00517AC9" w:rsidRPr="002E75D2" w:rsidRDefault="00517AC9" w:rsidP="00E37FD5">
            <w:pPr>
              <w:pStyle w:val="TableText0"/>
              <w:keepNext/>
            </w:pPr>
            <w:r w:rsidRPr="002E75D2">
              <w:t>DELTA 1</w:t>
            </w:r>
          </w:p>
        </w:tc>
        <w:tc>
          <w:tcPr>
            <w:tcW w:w="784" w:type="pct"/>
          </w:tcPr>
          <w:p w14:paraId="2FAEB424" w14:textId="1BC623E7" w:rsidR="00517AC9" w:rsidRPr="002E75D2" w:rsidRDefault="00CF0D69" w:rsidP="00E37FD5">
            <w:pPr>
              <w:pStyle w:val="TableText0"/>
              <w:keepNext/>
              <w:jc w:val="center"/>
            </w:pPr>
            <w:r w:rsidRPr="002E75D2">
              <w:t>147</w:t>
            </w:r>
            <w:r w:rsidR="00517AC9" w:rsidRPr="002E75D2">
              <w:t>/325</w:t>
            </w:r>
          </w:p>
        </w:tc>
        <w:tc>
          <w:tcPr>
            <w:tcW w:w="866" w:type="pct"/>
          </w:tcPr>
          <w:p w14:paraId="5C419760" w14:textId="37DCD848" w:rsidR="00517AC9" w:rsidRPr="002E75D2" w:rsidRDefault="00CF0D69" w:rsidP="00E37FD5">
            <w:pPr>
              <w:pStyle w:val="TableText0"/>
              <w:keepNext/>
              <w:jc w:val="center"/>
            </w:pPr>
            <w:r w:rsidRPr="002E75D2">
              <w:t>82</w:t>
            </w:r>
            <w:r w:rsidR="00517AC9" w:rsidRPr="002E75D2">
              <w:t>/162</w:t>
            </w:r>
          </w:p>
        </w:tc>
        <w:tc>
          <w:tcPr>
            <w:tcW w:w="785" w:type="pct"/>
            <w:gridSpan w:val="2"/>
          </w:tcPr>
          <w:p w14:paraId="089E433A" w14:textId="2C141A12" w:rsidR="00517AC9" w:rsidRPr="002E75D2" w:rsidRDefault="00D67E01" w:rsidP="00E37FD5">
            <w:pPr>
              <w:pStyle w:val="TableText0"/>
              <w:keepNext/>
              <w:jc w:val="center"/>
            </w:pPr>
            <w:r w:rsidRPr="002E75D2">
              <w:t>45</w:t>
            </w:r>
          </w:p>
        </w:tc>
        <w:tc>
          <w:tcPr>
            <w:tcW w:w="707" w:type="pct"/>
          </w:tcPr>
          <w:p w14:paraId="3A85C2F7" w14:textId="13C962DA" w:rsidR="00517AC9" w:rsidRPr="002E75D2" w:rsidRDefault="00D67E01" w:rsidP="00E37FD5">
            <w:pPr>
              <w:pStyle w:val="TableText0"/>
              <w:keepNext/>
              <w:jc w:val="center"/>
            </w:pPr>
            <w:r w:rsidRPr="002E75D2">
              <w:t>51</w:t>
            </w:r>
          </w:p>
        </w:tc>
        <w:tc>
          <w:tcPr>
            <w:tcW w:w="1072" w:type="pct"/>
          </w:tcPr>
          <w:p w14:paraId="38954EBB" w14:textId="5631B877" w:rsidR="00517AC9" w:rsidRPr="002E75D2" w:rsidRDefault="00D67E01" w:rsidP="00E37FD5">
            <w:pPr>
              <w:pStyle w:val="TableText0"/>
              <w:keepNext/>
              <w:jc w:val="center"/>
            </w:pPr>
            <w:r w:rsidRPr="002E75D2">
              <w:t>-5.4 (-14.8,4</w:t>
            </w:r>
            <w:r w:rsidR="009B51DD" w:rsidRPr="002E75D2">
              <w:t>.0</w:t>
            </w:r>
            <w:r w:rsidRPr="002E75D2">
              <w:t>)</w:t>
            </w:r>
          </w:p>
        </w:tc>
      </w:tr>
      <w:tr w:rsidR="00517AC9" w:rsidRPr="002E75D2" w14:paraId="667E86DD" w14:textId="77777777" w:rsidTr="00C21DB1">
        <w:trPr>
          <w:trHeight w:val="20"/>
          <w:jc w:val="center"/>
        </w:trPr>
        <w:tc>
          <w:tcPr>
            <w:tcW w:w="786" w:type="pct"/>
          </w:tcPr>
          <w:p w14:paraId="60364968" w14:textId="1AF99727" w:rsidR="00517AC9" w:rsidRPr="002E75D2" w:rsidRDefault="00517AC9" w:rsidP="00E37FD5">
            <w:pPr>
              <w:pStyle w:val="TableText0"/>
              <w:keepNext/>
            </w:pPr>
            <w:r w:rsidRPr="002E75D2">
              <w:t>DELTA 2</w:t>
            </w:r>
          </w:p>
        </w:tc>
        <w:tc>
          <w:tcPr>
            <w:tcW w:w="784" w:type="pct"/>
          </w:tcPr>
          <w:p w14:paraId="1DAB0987" w14:textId="0FBD7999" w:rsidR="00517AC9" w:rsidRPr="002E75D2" w:rsidRDefault="00D67E01" w:rsidP="00E37FD5">
            <w:pPr>
              <w:pStyle w:val="TableText0"/>
              <w:keepNext/>
              <w:jc w:val="center"/>
            </w:pPr>
            <w:r w:rsidRPr="002E75D2">
              <w:t>143</w:t>
            </w:r>
            <w:r w:rsidR="00517AC9" w:rsidRPr="002E75D2">
              <w:t>/313</w:t>
            </w:r>
          </w:p>
        </w:tc>
        <w:tc>
          <w:tcPr>
            <w:tcW w:w="866" w:type="pct"/>
          </w:tcPr>
          <w:p w14:paraId="4599455A" w14:textId="45DD10AC" w:rsidR="00517AC9" w:rsidRPr="002E75D2" w:rsidRDefault="00D67E01" w:rsidP="00E37FD5">
            <w:pPr>
              <w:pStyle w:val="TableText0"/>
              <w:keepNext/>
              <w:jc w:val="center"/>
            </w:pPr>
            <w:r w:rsidRPr="002E75D2">
              <w:t>71</w:t>
            </w:r>
            <w:r w:rsidR="00517AC9" w:rsidRPr="002E75D2">
              <w:t>/159</w:t>
            </w:r>
          </w:p>
        </w:tc>
        <w:tc>
          <w:tcPr>
            <w:tcW w:w="785" w:type="pct"/>
            <w:gridSpan w:val="2"/>
          </w:tcPr>
          <w:p w14:paraId="24D8A348" w14:textId="0D71F49D" w:rsidR="00517AC9" w:rsidRPr="002E75D2" w:rsidRDefault="00D67E01" w:rsidP="00E37FD5">
            <w:pPr>
              <w:pStyle w:val="TableText0"/>
              <w:keepNext/>
              <w:jc w:val="center"/>
            </w:pPr>
            <w:r w:rsidRPr="002E75D2">
              <w:t>46</w:t>
            </w:r>
          </w:p>
        </w:tc>
        <w:tc>
          <w:tcPr>
            <w:tcW w:w="707" w:type="pct"/>
          </w:tcPr>
          <w:p w14:paraId="25FCB575" w14:textId="14203227" w:rsidR="00517AC9" w:rsidRPr="002E75D2" w:rsidRDefault="00D67E01" w:rsidP="00E37FD5">
            <w:pPr>
              <w:pStyle w:val="TableText0"/>
              <w:keepNext/>
              <w:jc w:val="center"/>
            </w:pPr>
            <w:r w:rsidRPr="002E75D2">
              <w:t>45</w:t>
            </w:r>
          </w:p>
        </w:tc>
        <w:tc>
          <w:tcPr>
            <w:tcW w:w="1072" w:type="pct"/>
          </w:tcPr>
          <w:p w14:paraId="6ACA1B19" w14:textId="6614A103" w:rsidR="00517AC9" w:rsidRPr="002E75D2" w:rsidRDefault="00D67E01" w:rsidP="00E37FD5">
            <w:pPr>
              <w:pStyle w:val="TableText0"/>
              <w:keepNext/>
              <w:jc w:val="center"/>
            </w:pPr>
            <w:r w:rsidRPr="002E75D2">
              <w:t>1.1 (-8.</w:t>
            </w:r>
            <w:r w:rsidR="009B51DD" w:rsidRPr="002E75D2">
              <w:t>5</w:t>
            </w:r>
            <w:r w:rsidRPr="002E75D2">
              <w:t>,10.</w:t>
            </w:r>
            <w:r w:rsidR="009B51DD" w:rsidRPr="002E75D2">
              <w:t>5</w:t>
            </w:r>
            <w:r w:rsidRPr="002E75D2">
              <w:t>)</w:t>
            </w:r>
          </w:p>
        </w:tc>
      </w:tr>
      <w:tr w:rsidR="001B2F6C" w:rsidRPr="002E75D2" w14:paraId="14BDEA01" w14:textId="0B8B11DA" w:rsidTr="00C21DB1">
        <w:trPr>
          <w:trHeight w:val="20"/>
          <w:jc w:val="center"/>
        </w:trPr>
        <w:tc>
          <w:tcPr>
            <w:tcW w:w="2436" w:type="pct"/>
            <w:gridSpan w:val="3"/>
          </w:tcPr>
          <w:p w14:paraId="06DAD8DA" w14:textId="70FC1106" w:rsidR="0077353A" w:rsidRPr="002E75D2" w:rsidRDefault="00517AC9" w:rsidP="00E37FD5">
            <w:pPr>
              <w:pStyle w:val="TableText0"/>
              <w:keepNext/>
              <w:rPr>
                <w:b/>
                <w:bCs w:val="0"/>
              </w:rPr>
            </w:pPr>
            <w:r w:rsidRPr="002E75D2">
              <w:rPr>
                <w:b/>
                <w:bCs w:val="0"/>
              </w:rPr>
              <w:t>Related SAEs</w:t>
            </w:r>
          </w:p>
        </w:tc>
        <w:tc>
          <w:tcPr>
            <w:tcW w:w="2564" w:type="pct"/>
            <w:gridSpan w:val="4"/>
          </w:tcPr>
          <w:p w14:paraId="713882AD" w14:textId="77777777" w:rsidR="0077353A" w:rsidRPr="002E75D2" w:rsidRDefault="0077353A" w:rsidP="00E37FD5">
            <w:pPr>
              <w:pStyle w:val="TableText0"/>
              <w:keepNext/>
              <w:rPr>
                <w:b/>
                <w:bCs w:val="0"/>
              </w:rPr>
            </w:pPr>
          </w:p>
        </w:tc>
      </w:tr>
      <w:tr w:rsidR="00517AC9" w:rsidRPr="002E75D2" w14:paraId="373D2D2D" w14:textId="77777777" w:rsidTr="00C21DB1">
        <w:trPr>
          <w:trHeight w:val="20"/>
          <w:jc w:val="center"/>
        </w:trPr>
        <w:tc>
          <w:tcPr>
            <w:tcW w:w="786" w:type="pct"/>
          </w:tcPr>
          <w:p w14:paraId="54C6F4CA" w14:textId="66913041" w:rsidR="00517AC9" w:rsidRPr="002E75D2" w:rsidRDefault="00517AC9" w:rsidP="00E37FD5">
            <w:pPr>
              <w:pStyle w:val="TableText0"/>
              <w:keepNext/>
            </w:pPr>
            <w:r w:rsidRPr="002E75D2">
              <w:t>DELTA 1</w:t>
            </w:r>
          </w:p>
        </w:tc>
        <w:tc>
          <w:tcPr>
            <w:tcW w:w="784" w:type="pct"/>
          </w:tcPr>
          <w:p w14:paraId="6FA9CDB6" w14:textId="4CD57B1D" w:rsidR="00517AC9" w:rsidRPr="002E75D2" w:rsidRDefault="00D67E01" w:rsidP="00E37FD5">
            <w:pPr>
              <w:pStyle w:val="TableText0"/>
              <w:keepNext/>
              <w:jc w:val="center"/>
            </w:pPr>
            <w:r w:rsidRPr="002E75D2">
              <w:t>6</w:t>
            </w:r>
            <w:r w:rsidR="00517AC9" w:rsidRPr="002E75D2">
              <w:t>/325</w:t>
            </w:r>
          </w:p>
        </w:tc>
        <w:tc>
          <w:tcPr>
            <w:tcW w:w="866" w:type="pct"/>
          </w:tcPr>
          <w:p w14:paraId="6045A146" w14:textId="31DF954C" w:rsidR="00517AC9" w:rsidRPr="002E75D2" w:rsidRDefault="00D67E01" w:rsidP="00E37FD5">
            <w:pPr>
              <w:pStyle w:val="TableText0"/>
              <w:keepNext/>
              <w:jc w:val="center"/>
            </w:pPr>
            <w:r w:rsidRPr="002E75D2">
              <w:t>3</w:t>
            </w:r>
            <w:r w:rsidR="00517AC9" w:rsidRPr="002E75D2">
              <w:t>/162</w:t>
            </w:r>
          </w:p>
        </w:tc>
        <w:tc>
          <w:tcPr>
            <w:tcW w:w="785" w:type="pct"/>
            <w:gridSpan w:val="2"/>
          </w:tcPr>
          <w:p w14:paraId="06BF2FD9" w14:textId="1C17C1D8" w:rsidR="00517AC9" w:rsidRPr="002E75D2" w:rsidRDefault="006661D6" w:rsidP="00E37FD5">
            <w:pPr>
              <w:pStyle w:val="TableText0"/>
              <w:keepNext/>
              <w:jc w:val="center"/>
            </w:pPr>
            <w:r w:rsidRPr="002E75D2">
              <w:t>2</w:t>
            </w:r>
          </w:p>
        </w:tc>
        <w:tc>
          <w:tcPr>
            <w:tcW w:w="707" w:type="pct"/>
          </w:tcPr>
          <w:p w14:paraId="6F9B3AAC" w14:textId="56744892" w:rsidR="00517AC9" w:rsidRPr="002E75D2" w:rsidRDefault="006661D6" w:rsidP="00E37FD5">
            <w:pPr>
              <w:pStyle w:val="TableText0"/>
              <w:keepNext/>
              <w:jc w:val="center"/>
            </w:pPr>
            <w:r w:rsidRPr="002E75D2">
              <w:t>2</w:t>
            </w:r>
          </w:p>
        </w:tc>
        <w:tc>
          <w:tcPr>
            <w:tcW w:w="1072" w:type="pct"/>
          </w:tcPr>
          <w:p w14:paraId="3126C415" w14:textId="4071ED25" w:rsidR="00517AC9" w:rsidRPr="002E75D2" w:rsidRDefault="00D67E01" w:rsidP="00E37FD5">
            <w:pPr>
              <w:pStyle w:val="TableText0"/>
              <w:keepNext/>
              <w:jc w:val="center"/>
            </w:pPr>
            <w:r w:rsidRPr="002E75D2">
              <w:t>-0.006 (-2.</w:t>
            </w:r>
            <w:r w:rsidR="009B51DD" w:rsidRPr="002E75D2">
              <w:t>5</w:t>
            </w:r>
            <w:r w:rsidRPr="002E75D2">
              <w:t>,2.5)</w:t>
            </w:r>
          </w:p>
        </w:tc>
      </w:tr>
      <w:tr w:rsidR="00517AC9" w:rsidRPr="002E75D2" w14:paraId="3D31FBE0" w14:textId="77777777" w:rsidTr="00C21DB1">
        <w:trPr>
          <w:trHeight w:val="20"/>
          <w:jc w:val="center"/>
        </w:trPr>
        <w:tc>
          <w:tcPr>
            <w:tcW w:w="786" w:type="pct"/>
          </w:tcPr>
          <w:p w14:paraId="40FADF21" w14:textId="58115D72" w:rsidR="00517AC9" w:rsidRPr="002E75D2" w:rsidRDefault="00517AC9" w:rsidP="00E37FD5">
            <w:pPr>
              <w:pStyle w:val="TableText0"/>
              <w:keepNext/>
            </w:pPr>
            <w:r w:rsidRPr="002E75D2">
              <w:t>DELTA 2</w:t>
            </w:r>
          </w:p>
        </w:tc>
        <w:tc>
          <w:tcPr>
            <w:tcW w:w="784" w:type="pct"/>
          </w:tcPr>
          <w:p w14:paraId="734ECF46" w14:textId="34E0DF34" w:rsidR="00517AC9" w:rsidRPr="002E75D2" w:rsidRDefault="00D67E01" w:rsidP="00E37FD5">
            <w:pPr>
              <w:pStyle w:val="TableText0"/>
              <w:keepNext/>
              <w:jc w:val="center"/>
            </w:pPr>
            <w:r w:rsidRPr="002E75D2">
              <w:t>5</w:t>
            </w:r>
            <w:r w:rsidR="00517AC9" w:rsidRPr="002E75D2">
              <w:t>/313</w:t>
            </w:r>
          </w:p>
        </w:tc>
        <w:tc>
          <w:tcPr>
            <w:tcW w:w="866" w:type="pct"/>
          </w:tcPr>
          <w:p w14:paraId="3172ABEA" w14:textId="696F626B" w:rsidR="00517AC9" w:rsidRPr="002E75D2" w:rsidRDefault="00D67E01" w:rsidP="00E37FD5">
            <w:pPr>
              <w:pStyle w:val="TableText0"/>
              <w:keepNext/>
              <w:jc w:val="center"/>
            </w:pPr>
            <w:r w:rsidRPr="002E75D2">
              <w:t>3</w:t>
            </w:r>
            <w:r w:rsidR="00517AC9" w:rsidRPr="002E75D2">
              <w:t>/159</w:t>
            </w:r>
          </w:p>
        </w:tc>
        <w:tc>
          <w:tcPr>
            <w:tcW w:w="785" w:type="pct"/>
            <w:gridSpan w:val="2"/>
          </w:tcPr>
          <w:p w14:paraId="24D2C6F6" w14:textId="4610DF5B" w:rsidR="00517AC9" w:rsidRPr="002E75D2" w:rsidRDefault="006661D6" w:rsidP="00E37FD5">
            <w:pPr>
              <w:pStyle w:val="TableText0"/>
              <w:keepNext/>
              <w:jc w:val="center"/>
            </w:pPr>
            <w:r w:rsidRPr="002E75D2">
              <w:t>2</w:t>
            </w:r>
          </w:p>
        </w:tc>
        <w:tc>
          <w:tcPr>
            <w:tcW w:w="707" w:type="pct"/>
          </w:tcPr>
          <w:p w14:paraId="452781FD" w14:textId="1055897E" w:rsidR="00517AC9" w:rsidRPr="002E75D2" w:rsidRDefault="006661D6" w:rsidP="00E37FD5">
            <w:pPr>
              <w:pStyle w:val="TableText0"/>
              <w:keepNext/>
              <w:jc w:val="center"/>
            </w:pPr>
            <w:r w:rsidRPr="002E75D2">
              <w:t>2</w:t>
            </w:r>
          </w:p>
        </w:tc>
        <w:tc>
          <w:tcPr>
            <w:tcW w:w="1072" w:type="pct"/>
          </w:tcPr>
          <w:p w14:paraId="17B2B0B6" w14:textId="08CBF7D1" w:rsidR="00517AC9" w:rsidRPr="002E75D2" w:rsidRDefault="00D67E01" w:rsidP="00E37FD5">
            <w:pPr>
              <w:pStyle w:val="TableText0"/>
              <w:keepNext/>
              <w:jc w:val="center"/>
            </w:pPr>
            <w:r w:rsidRPr="002E75D2">
              <w:t>-0.3 (-2.8, 2,2)</w:t>
            </w:r>
          </w:p>
        </w:tc>
      </w:tr>
      <w:tr w:rsidR="001B2F6C" w:rsidRPr="002E75D2" w14:paraId="0E0B178E" w14:textId="5E242875" w:rsidTr="00C21DB1">
        <w:trPr>
          <w:trHeight w:val="20"/>
          <w:jc w:val="center"/>
        </w:trPr>
        <w:tc>
          <w:tcPr>
            <w:tcW w:w="5000" w:type="pct"/>
            <w:gridSpan w:val="7"/>
          </w:tcPr>
          <w:p w14:paraId="2C30EB3E" w14:textId="6FDAF00D" w:rsidR="00CA78B8" w:rsidRPr="002E75D2" w:rsidRDefault="00517AC9" w:rsidP="00E37FD5">
            <w:pPr>
              <w:pStyle w:val="TableText0"/>
              <w:keepNext/>
              <w:rPr>
                <w:b/>
                <w:bCs w:val="0"/>
              </w:rPr>
            </w:pPr>
            <w:r w:rsidRPr="002E75D2">
              <w:rPr>
                <w:b/>
                <w:bCs w:val="0"/>
              </w:rPr>
              <w:t>AEs</w:t>
            </w:r>
            <w:r w:rsidR="00CA78B8" w:rsidRPr="002E75D2">
              <w:rPr>
                <w:b/>
                <w:bCs w:val="0"/>
              </w:rPr>
              <w:t xml:space="preserve"> leading to discontinuation</w:t>
            </w:r>
          </w:p>
        </w:tc>
      </w:tr>
      <w:tr w:rsidR="00517AC9" w:rsidRPr="002E75D2" w14:paraId="418A6554" w14:textId="77777777" w:rsidTr="00C21DB1">
        <w:trPr>
          <w:trHeight w:val="20"/>
          <w:jc w:val="center"/>
        </w:trPr>
        <w:tc>
          <w:tcPr>
            <w:tcW w:w="786" w:type="pct"/>
          </w:tcPr>
          <w:p w14:paraId="5A9349C6" w14:textId="2473028F" w:rsidR="00517AC9" w:rsidRPr="002E75D2" w:rsidRDefault="00517AC9" w:rsidP="00E37FD5">
            <w:pPr>
              <w:pStyle w:val="TableText0"/>
              <w:keepNext/>
            </w:pPr>
            <w:r w:rsidRPr="002E75D2">
              <w:t>DELTA 1</w:t>
            </w:r>
          </w:p>
        </w:tc>
        <w:tc>
          <w:tcPr>
            <w:tcW w:w="784" w:type="pct"/>
          </w:tcPr>
          <w:p w14:paraId="5F820AB1" w14:textId="711F8C98" w:rsidR="00517AC9" w:rsidRPr="002E75D2" w:rsidRDefault="00D67E01" w:rsidP="00E37FD5">
            <w:pPr>
              <w:pStyle w:val="TableText0"/>
              <w:keepNext/>
              <w:jc w:val="center"/>
            </w:pPr>
            <w:r w:rsidRPr="002E75D2">
              <w:t>2</w:t>
            </w:r>
            <w:r w:rsidR="00517AC9" w:rsidRPr="002E75D2">
              <w:t>/325</w:t>
            </w:r>
          </w:p>
        </w:tc>
        <w:tc>
          <w:tcPr>
            <w:tcW w:w="866" w:type="pct"/>
          </w:tcPr>
          <w:p w14:paraId="1AE1195F" w14:textId="6261885F" w:rsidR="00517AC9" w:rsidRPr="002E75D2" w:rsidRDefault="00D67E01" w:rsidP="00E37FD5">
            <w:pPr>
              <w:pStyle w:val="TableText0"/>
              <w:keepNext/>
              <w:jc w:val="center"/>
            </w:pPr>
            <w:r w:rsidRPr="002E75D2">
              <w:t>6</w:t>
            </w:r>
            <w:r w:rsidR="00517AC9" w:rsidRPr="002E75D2">
              <w:t>/162</w:t>
            </w:r>
          </w:p>
        </w:tc>
        <w:tc>
          <w:tcPr>
            <w:tcW w:w="785" w:type="pct"/>
            <w:gridSpan w:val="2"/>
          </w:tcPr>
          <w:p w14:paraId="6534093E" w14:textId="42107B89" w:rsidR="00517AC9" w:rsidRPr="002E75D2" w:rsidRDefault="00D67E01" w:rsidP="00E37FD5">
            <w:pPr>
              <w:pStyle w:val="TableText0"/>
              <w:keepNext/>
              <w:jc w:val="center"/>
            </w:pPr>
            <w:r w:rsidRPr="002E75D2">
              <w:t>1</w:t>
            </w:r>
          </w:p>
        </w:tc>
        <w:tc>
          <w:tcPr>
            <w:tcW w:w="707" w:type="pct"/>
          </w:tcPr>
          <w:p w14:paraId="1853852A" w14:textId="0D6001ED" w:rsidR="00517AC9" w:rsidRPr="002E75D2" w:rsidRDefault="00D67E01" w:rsidP="00E37FD5">
            <w:pPr>
              <w:pStyle w:val="TableText0"/>
              <w:keepNext/>
              <w:jc w:val="center"/>
            </w:pPr>
            <w:r w:rsidRPr="002E75D2">
              <w:t>4</w:t>
            </w:r>
          </w:p>
        </w:tc>
        <w:tc>
          <w:tcPr>
            <w:tcW w:w="1072" w:type="pct"/>
          </w:tcPr>
          <w:p w14:paraId="5728567A" w14:textId="2300EE28" w:rsidR="00517AC9" w:rsidRPr="002E75D2" w:rsidRDefault="00D67E01" w:rsidP="00E37FD5">
            <w:pPr>
              <w:pStyle w:val="TableText0"/>
              <w:keepNext/>
              <w:jc w:val="center"/>
            </w:pPr>
            <w:r w:rsidRPr="002E75D2">
              <w:t>-3.1 (-6.1, -0.06)</w:t>
            </w:r>
          </w:p>
        </w:tc>
      </w:tr>
      <w:tr w:rsidR="00517AC9" w:rsidRPr="002E75D2" w14:paraId="6E4B4C12" w14:textId="77777777" w:rsidTr="00C21DB1">
        <w:trPr>
          <w:trHeight w:val="20"/>
          <w:jc w:val="center"/>
        </w:trPr>
        <w:tc>
          <w:tcPr>
            <w:tcW w:w="786" w:type="pct"/>
          </w:tcPr>
          <w:p w14:paraId="755E2DA4" w14:textId="0FF58AD2" w:rsidR="00517AC9" w:rsidRPr="002E75D2" w:rsidRDefault="00517AC9" w:rsidP="00E37FD5">
            <w:pPr>
              <w:pStyle w:val="TableText0"/>
              <w:keepNext/>
            </w:pPr>
            <w:r w:rsidRPr="002E75D2">
              <w:t>DELTA 2</w:t>
            </w:r>
          </w:p>
        </w:tc>
        <w:tc>
          <w:tcPr>
            <w:tcW w:w="784" w:type="pct"/>
          </w:tcPr>
          <w:p w14:paraId="3909DC86" w14:textId="52B986BE" w:rsidR="00517AC9" w:rsidRPr="002E75D2" w:rsidRDefault="00D67E01" w:rsidP="00E37FD5">
            <w:pPr>
              <w:pStyle w:val="TableText0"/>
              <w:keepNext/>
              <w:jc w:val="center"/>
            </w:pPr>
            <w:r w:rsidRPr="002E75D2">
              <w:t>1</w:t>
            </w:r>
            <w:r w:rsidR="00517AC9" w:rsidRPr="002E75D2">
              <w:t>/313</w:t>
            </w:r>
          </w:p>
        </w:tc>
        <w:tc>
          <w:tcPr>
            <w:tcW w:w="866" w:type="pct"/>
          </w:tcPr>
          <w:p w14:paraId="4A5DC28B" w14:textId="327305E2" w:rsidR="00517AC9" w:rsidRPr="002E75D2" w:rsidRDefault="00D67E01" w:rsidP="00E37FD5">
            <w:pPr>
              <w:pStyle w:val="TableText0"/>
              <w:keepNext/>
              <w:jc w:val="center"/>
            </w:pPr>
            <w:r w:rsidRPr="002E75D2">
              <w:t>5</w:t>
            </w:r>
            <w:r w:rsidR="00517AC9" w:rsidRPr="002E75D2">
              <w:t>/159</w:t>
            </w:r>
          </w:p>
        </w:tc>
        <w:tc>
          <w:tcPr>
            <w:tcW w:w="785" w:type="pct"/>
            <w:gridSpan w:val="2"/>
          </w:tcPr>
          <w:p w14:paraId="4E0FF349" w14:textId="202E06E8" w:rsidR="00517AC9" w:rsidRPr="002E75D2" w:rsidRDefault="00D67E01" w:rsidP="00E37FD5">
            <w:pPr>
              <w:pStyle w:val="TableText0"/>
              <w:keepNext/>
              <w:jc w:val="center"/>
            </w:pPr>
            <w:r w:rsidRPr="002E75D2">
              <w:t>0.3</w:t>
            </w:r>
          </w:p>
        </w:tc>
        <w:tc>
          <w:tcPr>
            <w:tcW w:w="707" w:type="pct"/>
          </w:tcPr>
          <w:p w14:paraId="54F52750" w14:textId="20CBBDBC" w:rsidR="00517AC9" w:rsidRPr="002E75D2" w:rsidRDefault="00D67E01" w:rsidP="00E37FD5">
            <w:pPr>
              <w:pStyle w:val="TableText0"/>
              <w:keepNext/>
              <w:jc w:val="center"/>
            </w:pPr>
            <w:r w:rsidRPr="002E75D2">
              <w:t>3</w:t>
            </w:r>
          </w:p>
        </w:tc>
        <w:tc>
          <w:tcPr>
            <w:tcW w:w="1072" w:type="pct"/>
          </w:tcPr>
          <w:p w14:paraId="5BF20233" w14:textId="6DA38459" w:rsidR="00517AC9" w:rsidRPr="002E75D2" w:rsidRDefault="00D67E01" w:rsidP="00E37FD5">
            <w:pPr>
              <w:pStyle w:val="TableText0"/>
              <w:keepNext/>
              <w:jc w:val="center"/>
            </w:pPr>
            <w:r w:rsidRPr="002E75D2">
              <w:t>-2.8 (-5.6, -0.0</w:t>
            </w:r>
            <w:r w:rsidR="009B51DD" w:rsidRPr="002E75D2">
              <w:t>4</w:t>
            </w:r>
            <w:r w:rsidRPr="002E75D2">
              <w:t>)</w:t>
            </w:r>
          </w:p>
        </w:tc>
      </w:tr>
    </w:tbl>
    <w:p w14:paraId="4BA33F12" w14:textId="50E53680" w:rsidR="00B62D23" w:rsidRPr="002E75D2" w:rsidRDefault="00B62D23" w:rsidP="008C35F4">
      <w:pPr>
        <w:pStyle w:val="FooterTableFigure"/>
        <w:keepNext/>
        <w:keepLines/>
        <w:jc w:val="left"/>
        <w:rPr>
          <w:sz w:val="20"/>
          <w:szCs w:val="20"/>
        </w:rPr>
      </w:pPr>
      <w:r w:rsidRPr="002E75D2">
        <w:rPr>
          <w:sz w:val="20"/>
          <w:szCs w:val="20"/>
        </w:rPr>
        <w:t xml:space="preserve">Source: Table </w:t>
      </w:r>
      <w:r w:rsidR="00517AC9" w:rsidRPr="002E75D2">
        <w:rPr>
          <w:sz w:val="20"/>
          <w:szCs w:val="20"/>
        </w:rPr>
        <w:t>109</w:t>
      </w:r>
      <w:r w:rsidRPr="002E75D2">
        <w:rPr>
          <w:sz w:val="20"/>
          <w:szCs w:val="20"/>
        </w:rPr>
        <w:t>, 1</w:t>
      </w:r>
      <w:r w:rsidR="00517AC9" w:rsidRPr="002E75D2">
        <w:rPr>
          <w:sz w:val="20"/>
          <w:szCs w:val="20"/>
        </w:rPr>
        <w:t>86</w:t>
      </w:r>
      <w:r w:rsidRPr="002E75D2">
        <w:rPr>
          <w:sz w:val="20"/>
          <w:szCs w:val="20"/>
        </w:rPr>
        <w:t xml:space="preserve"> of the submission</w:t>
      </w:r>
      <w:r w:rsidR="00D67E01" w:rsidRPr="002E75D2">
        <w:rPr>
          <w:sz w:val="20"/>
          <w:szCs w:val="20"/>
        </w:rPr>
        <w:t>; Table 103, p180 of the submission.</w:t>
      </w:r>
    </w:p>
    <w:p w14:paraId="50B76988" w14:textId="34206FAC" w:rsidR="00B62D23" w:rsidRPr="002E75D2" w:rsidRDefault="00B62D23" w:rsidP="008C35F4">
      <w:pPr>
        <w:pStyle w:val="FooterTableFigure"/>
        <w:keepNext/>
        <w:keepLines/>
        <w:jc w:val="left"/>
      </w:pPr>
      <w:r w:rsidRPr="002E75D2">
        <w:t xml:space="preserve">AE = adverse event; CI = confidence interval; </w:t>
      </w:r>
      <w:r w:rsidR="007A025A" w:rsidRPr="002E75D2">
        <w:t>IGA-CHE</w:t>
      </w:r>
      <w:r w:rsidR="002D3402" w:rsidRPr="002E75D2">
        <w:t xml:space="preserve"> TS</w:t>
      </w:r>
      <w:r w:rsidR="007A025A" w:rsidRPr="002E75D2">
        <w:t xml:space="preserve"> = Investigator’s global assessment - chronic hand eczema</w:t>
      </w:r>
      <w:r w:rsidR="002D3402" w:rsidRPr="002E75D2">
        <w:t xml:space="preserve"> treatment success</w:t>
      </w:r>
      <w:r w:rsidR="007A025A" w:rsidRPr="002E75D2">
        <w:t xml:space="preserve">; </w:t>
      </w:r>
      <w:r w:rsidRPr="002E75D2">
        <w:t>N = number of patients;</w:t>
      </w:r>
      <w:r w:rsidR="002D3402" w:rsidRPr="002E75D2">
        <w:t xml:space="preserve"> NA = Not applicable;</w:t>
      </w:r>
      <w:r w:rsidRPr="002E75D2">
        <w:t xml:space="preserve"> RD = risk difference; SAE = serious adverse event</w:t>
      </w:r>
      <w:r w:rsidR="00517AC9" w:rsidRPr="002E75D2">
        <w:t>.</w:t>
      </w:r>
    </w:p>
    <w:p w14:paraId="72A63C5E" w14:textId="77461300" w:rsidR="0045736E" w:rsidRPr="002E75D2" w:rsidRDefault="00CF0D69" w:rsidP="008C35F4">
      <w:pPr>
        <w:pStyle w:val="FooterTableFigure"/>
        <w:keepNext/>
        <w:keepLines/>
      </w:pPr>
      <w:r w:rsidRPr="002E75D2">
        <w:t xml:space="preserve">Note: </w:t>
      </w:r>
      <w:r w:rsidR="0045736E" w:rsidRPr="002E75D2">
        <w:rPr>
          <w:b/>
          <w:bCs/>
        </w:rPr>
        <w:t>Bold</w:t>
      </w:r>
      <w:r w:rsidR="0045736E" w:rsidRPr="002E75D2">
        <w:t xml:space="preserve"> indicates statistically significant results.</w:t>
      </w:r>
    </w:p>
    <w:p w14:paraId="27587800" w14:textId="22780D62" w:rsidR="00B62D23" w:rsidRPr="002E75D2" w:rsidRDefault="00B62D23" w:rsidP="008C35F4">
      <w:pPr>
        <w:pStyle w:val="FooterTableFigure"/>
        <w:keepNext/>
        <w:keepLines/>
      </w:pPr>
      <w:r w:rsidRPr="002E75D2">
        <w:t xml:space="preserve">Maximum duration of follow-up: </w:t>
      </w:r>
      <w:r w:rsidR="00517AC9" w:rsidRPr="002E75D2">
        <w:t>16 Weeks in both trials.</w:t>
      </w:r>
    </w:p>
    <w:p w14:paraId="414E2CAC" w14:textId="77777777" w:rsidR="00B62D23" w:rsidRPr="002E75D2" w:rsidRDefault="00B62D23">
      <w:pPr>
        <w:pStyle w:val="FooterTableFigure"/>
        <w:keepNext/>
        <w:keepLines/>
        <w:rPr>
          <w:i/>
          <w:iCs/>
        </w:rPr>
      </w:pPr>
      <w:r w:rsidRPr="002E75D2">
        <w:rPr>
          <w:i/>
          <w:iCs/>
        </w:rPr>
        <w:t>Italics calculated during the evaluation</w:t>
      </w:r>
    </w:p>
    <w:p w14:paraId="6F148F5C" w14:textId="03D4015F" w:rsidR="00B62D23" w:rsidRPr="002E75D2" w:rsidRDefault="00B62D23" w:rsidP="00E9094A">
      <w:pPr>
        <w:pStyle w:val="3-BodyText"/>
      </w:pPr>
      <w:r w:rsidRPr="002E75D2">
        <w:t>On the basis of direct comparison evidence</w:t>
      </w:r>
      <w:r w:rsidR="00EB7572" w:rsidRPr="002E75D2">
        <w:t xml:space="preserve"> from the DELTA 1 and DELTA 2 trials</w:t>
      </w:r>
      <w:r w:rsidRPr="002E75D2">
        <w:t xml:space="preserve">, for every 100 patients treated with </w:t>
      </w:r>
      <w:r w:rsidR="008173C5" w:rsidRPr="002E75D2">
        <w:t>delgocitinib</w:t>
      </w:r>
      <w:r w:rsidRPr="002E75D2">
        <w:t xml:space="preserve"> in comparison with</w:t>
      </w:r>
      <w:r w:rsidR="00F33CA6" w:rsidRPr="002E75D2">
        <w:t xml:space="preserve"> </w:t>
      </w:r>
      <w:r w:rsidR="002B7796" w:rsidRPr="002E75D2">
        <w:t>vehicle</w:t>
      </w:r>
      <w:r w:rsidR="008173C5" w:rsidRPr="002E75D2">
        <w:t xml:space="preserve"> (SoC)</w:t>
      </w:r>
      <w:r w:rsidRPr="002E75D2">
        <w:t xml:space="preserve"> over a maximum duration of exposure of </w:t>
      </w:r>
      <w:r w:rsidR="008173C5" w:rsidRPr="002E75D2">
        <w:t>16</w:t>
      </w:r>
      <w:r w:rsidRPr="002E75D2">
        <w:t xml:space="preserve"> weeks:</w:t>
      </w:r>
    </w:p>
    <w:p w14:paraId="42449E5F" w14:textId="04CAF688" w:rsidR="0045736E" w:rsidRPr="002E75D2" w:rsidRDefault="0045736E" w:rsidP="00C7040B">
      <w:pPr>
        <w:pStyle w:val="ListParagraph"/>
      </w:pPr>
      <w:bookmarkStart w:id="66" w:name="_Hlk206226365"/>
      <w:r w:rsidRPr="002E75D2">
        <w:t xml:space="preserve">Approximately 10 to 22 more patients would </w:t>
      </w:r>
      <w:r w:rsidR="00852B92" w:rsidRPr="002E75D2">
        <w:t>achieve an</w:t>
      </w:r>
      <w:r w:rsidRPr="002E75D2">
        <w:t xml:space="preserve"> IGA-CHE TS</w:t>
      </w:r>
      <w:r w:rsidR="00937CAA" w:rsidRPr="002E75D2">
        <w:t>, i.e. an IGA-CHE score of 0 [clear] or 1 [almost clear] with a ≥2-step improvement from baseline</w:t>
      </w:r>
      <w:r w:rsidRPr="002E75D2">
        <w:t>.</w:t>
      </w:r>
    </w:p>
    <w:p w14:paraId="3D41D5B8" w14:textId="35F835FE" w:rsidR="00A57193" w:rsidRPr="002E75D2" w:rsidRDefault="00A57193" w:rsidP="00C7040B">
      <w:pPr>
        <w:pStyle w:val="ListParagraph"/>
      </w:pPr>
      <w:r w:rsidRPr="002E75D2">
        <w:t xml:space="preserve">There would be no significant differences in </w:t>
      </w:r>
      <w:r w:rsidR="003351CC" w:rsidRPr="002E75D2">
        <w:t>AEs, serious AEs or AEs leading to treatment discontinuation.</w:t>
      </w:r>
    </w:p>
    <w:p w14:paraId="5097729F" w14:textId="77777777" w:rsidR="00E666BD" w:rsidRPr="002E75D2" w:rsidRDefault="00E666BD" w:rsidP="00E666BD">
      <w:pPr>
        <w:pStyle w:val="3-BodyText"/>
      </w:pPr>
      <w:r w:rsidRPr="002E75D2">
        <w:t>A benefits and harms table was not presented for the delgocitinib vs dupilumab comparison as the submission made a claim of non-inferiority.</w:t>
      </w:r>
    </w:p>
    <w:p w14:paraId="254B1F53" w14:textId="77777777" w:rsidR="00B62D23" w:rsidRPr="002E75D2" w:rsidRDefault="00B62D23">
      <w:pPr>
        <w:pStyle w:val="4-SubsectionHeading"/>
      </w:pPr>
      <w:bookmarkStart w:id="67" w:name="_Toc22897644"/>
      <w:bookmarkStart w:id="68" w:name="_Toc206291225"/>
      <w:bookmarkStart w:id="69" w:name="_Toc206426967"/>
      <w:bookmarkStart w:id="70" w:name="_Toc208411851"/>
      <w:bookmarkEnd w:id="66"/>
      <w:r w:rsidRPr="002E75D2">
        <w:t>Clinical claim</w:t>
      </w:r>
      <w:bookmarkEnd w:id="67"/>
      <w:bookmarkEnd w:id="68"/>
      <w:bookmarkEnd w:id="69"/>
      <w:bookmarkEnd w:id="70"/>
    </w:p>
    <w:p w14:paraId="7B55163C" w14:textId="4E1F9B6E" w:rsidR="0082184C" w:rsidRPr="00D94F2B" w:rsidRDefault="00775F68">
      <w:pPr>
        <w:pStyle w:val="3-BodyText"/>
      </w:pPr>
      <w:bookmarkStart w:id="71" w:name="_Toc22897645"/>
      <w:bookmarkStart w:id="72" w:name="_Toc22897647"/>
      <w:r w:rsidRPr="00D94F2B">
        <w:t xml:space="preserve">The </w:t>
      </w:r>
      <w:r w:rsidR="00EB7572" w:rsidRPr="00D94F2B">
        <w:t xml:space="preserve">ESC considered that the </w:t>
      </w:r>
      <w:r w:rsidRPr="00D94F2B">
        <w:t xml:space="preserve">therapeutic conclusion that delgocitinib demonstrated superior efficacy over SoC was supported by the evidence in the submission, with all primary and key secondary endpoints showing statistically significant improvements in favour of delgocitinib compared with SoC. </w:t>
      </w:r>
      <w:r w:rsidR="00EB7572" w:rsidRPr="00D94F2B">
        <w:t>However, t</w:t>
      </w:r>
      <w:r w:rsidRPr="00D94F2B">
        <w:t xml:space="preserve">he </w:t>
      </w:r>
      <w:r w:rsidR="00EB7572" w:rsidRPr="00D94F2B">
        <w:t xml:space="preserve">ESC noted that the </w:t>
      </w:r>
      <w:r w:rsidRPr="00D94F2B">
        <w:t xml:space="preserve">comparative efficacy results </w:t>
      </w:r>
      <w:r w:rsidR="008D418C" w:rsidRPr="00D94F2B">
        <w:t>should</w:t>
      </w:r>
      <w:r w:rsidRPr="00D94F2B">
        <w:t xml:space="preserve"> be interpreted in the context of the following limitations</w:t>
      </w:r>
      <w:r w:rsidR="0082184C" w:rsidRPr="00D94F2B">
        <w:t>:</w:t>
      </w:r>
    </w:p>
    <w:p w14:paraId="7C637D24" w14:textId="0863E40E" w:rsidR="00ED03C4" w:rsidRPr="002E75D2" w:rsidRDefault="00ED03C4" w:rsidP="00C7040B">
      <w:pPr>
        <w:pStyle w:val="ListParagraph"/>
      </w:pPr>
      <w:r w:rsidRPr="002E75D2">
        <w:t xml:space="preserve">The composition of SoC </w:t>
      </w:r>
      <w:r w:rsidR="00BD55DE" w:rsidRPr="002E75D2">
        <w:t xml:space="preserve">in the DELTA 1 and DELTA 2 trials (vehicle) </w:t>
      </w:r>
      <w:r w:rsidRPr="002E75D2">
        <w:t xml:space="preserve">was not reflective </w:t>
      </w:r>
      <w:r w:rsidR="00DB4EF0" w:rsidRPr="002E75D2">
        <w:t xml:space="preserve">what would be received in clinical practice. </w:t>
      </w:r>
      <w:r w:rsidR="00BD55DE" w:rsidRPr="002E75D2">
        <w:t>F</w:t>
      </w:r>
      <w:r w:rsidR="00DB4EF0" w:rsidRPr="002E75D2">
        <w:t xml:space="preserve">or </w:t>
      </w:r>
      <w:r w:rsidR="00825E7B" w:rsidRPr="002E75D2">
        <w:t xml:space="preserve">most </w:t>
      </w:r>
      <w:r w:rsidR="00DB4EF0" w:rsidRPr="002E75D2">
        <w:t xml:space="preserve">patients who have </w:t>
      </w:r>
      <w:r w:rsidR="00DB4EF0" w:rsidRPr="002E75D2">
        <w:lastRenderedPageBreak/>
        <w:t>an intolerance to TCS</w:t>
      </w:r>
      <w:r w:rsidR="00825E7B" w:rsidRPr="002E75D2">
        <w:t xml:space="preserve"> or have failed to achieve satisfactory control with TCS, some degree of continuing TCS would be likely for symptom management.</w:t>
      </w:r>
    </w:p>
    <w:p w14:paraId="46E43C82" w14:textId="5FF9AB97" w:rsidR="0082184C" w:rsidRPr="002E75D2" w:rsidRDefault="0082184C" w:rsidP="00C7040B">
      <w:pPr>
        <w:pStyle w:val="ListParagraph"/>
      </w:pPr>
      <w:r w:rsidRPr="002E75D2">
        <w:t xml:space="preserve">The main phase of the DELTA 1 and DELTA 2 trials was relatively short, lasting only 16 weeks, and </w:t>
      </w:r>
      <w:r w:rsidR="002C58C8" w:rsidRPr="002E75D2">
        <w:t xml:space="preserve">the longer-term efficacy from DELTA 3 was an open label, uncontrolled trial. </w:t>
      </w:r>
    </w:p>
    <w:p w14:paraId="53290D28" w14:textId="34520311" w:rsidR="00C22F7E" w:rsidRDefault="00A828FA" w:rsidP="0067350E">
      <w:pPr>
        <w:pStyle w:val="3-BodyText"/>
      </w:pPr>
      <w:bookmarkStart w:id="73" w:name="_Hlk207182795"/>
      <w:r w:rsidRPr="00D94F2B">
        <w:t xml:space="preserve">The </w:t>
      </w:r>
      <w:r w:rsidR="004D0A16" w:rsidRPr="00D94F2B">
        <w:t xml:space="preserve">ESC considered that the </w:t>
      </w:r>
      <w:r w:rsidR="00934EDF" w:rsidRPr="00D94F2B">
        <w:t xml:space="preserve">claim of </w:t>
      </w:r>
      <w:r w:rsidRPr="00D94F2B">
        <w:t xml:space="preserve">non-inferior safety of delgocitinib compared to SoC was reasonable, </w:t>
      </w:r>
      <w:r w:rsidR="005D23D0" w:rsidRPr="00D94F2B">
        <w:t xml:space="preserve">noting </w:t>
      </w:r>
      <w:r w:rsidRPr="00D94F2B">
        <w:t xml:space="preserve">no emerging safety concerns and a low incidence of treatment-related AEs or SAEs. However, long-term safety </w:t>
      </w:r>
      <w:r w:rsidR="00934EDF" w:rsidRPr="00D94F2B">
        <w:t xml:space="preserve">remained </w:t>
      </w:r>
      <w:r w:rsidRPr="00D94F2B">
        <w:t>uncertain.</w:t>
      </w:r>
    </w:p>
    <w:p w14:paraId="0F1682FE" w14:textId="11C9BE5C" w:rsidR="00F24D93" w:rsidRPr="00DF2F0E" w:rsidRDefault="00F24D93" w:rsidP="00F24D93">
      <w:pPr>
        <w:pStyle w:val="3-BodyText"/>
        <w:rPr>
          <w:snapToGrid w:val="0"/>
        </w:rPr>
      </w:pPr>
      <w:r w:rsidRPr="00DF2F0E">
        <w:rPr>
          <w:iCs/>
          <w:snapToGrid w:val="0"/>
        </w:rPr>
        <w:t>The</w:t>
      </w:r>
      <w:r w:rsidRPr="00DF2F0E">
        <w:rPr>
          <w:snapToGrid w:val="0"/>
        </w:rPr>
        <w:t xml:space="preserve"> PBAC considered that the claim of superior comparative effectiveness to SoC was reasonable for the submission</w:t>
      </w:r>
      <w:r w:rsidR="00002D72">
        <w:rPr>
          <w:snapToGrid w:val="0"/>
        </w:rPr>
        <w:t>’</w:t>
      </w:r>
      <w:r w:rsidR="00FD0E40">
        <w:rPr>
          <w:snapToGrid w:val="0"/>
        </w:rPr>
        <w:t>s</w:t>
      </w:r>
      <w:r w:rsidRPr="00DF2F0E">
        <w:rPr>
          <w:snapToGrid w:val="0"/>
        </w:rPr>
        <w:t xml:space="preserve"> definition of SoC, which included emollients and avoidance of irritants</w:t>
      </w:r>
    </w:p>
    <w:p w14:paraId="6DAC0816" w14:textId="77777777" w:rsidR="00F24D93" w:rsidRPr="00DF2F0E" w:rsidRDefault="00F24D93" w:rsidP="00F24D93">
      <w:pPr>
        <w:pStyle w:val="3-BodyText"/>
        <w:rPr>
          <w:snapToGrid w:val="0"/>
        </w:rPr>
      </w:pPr>
      <w:r w:rsidRPr="00DF2F0E">
        <w:rPr>
          <w:snapToGrid w:val="0"/>
        </w:rPr>
        <w:t>The PBAC considered that the claim of non-inferior comparative safety to SoC was reasonable.</w:t>
      </w:r>
    </w:p>
    <w:p w14:paraId="2E59AFC4" w14:textId="1F848F18" w:rsidR="000736DF" w:rsidRPr="00D94F2B" w:rsidRDefault="009334A2" w:rsidP="003F0C01">
      <w:pPr>
        <w:pStyle w:val="3-BodyText"/>
      </w:pPr>
      <w:r w:rsidRPr="00D94F2B">
        <w:t xml:space="preserve">The submission described delgocitinib as non-inferior in terms of effectiveness compared to dupilumab. </w:t>
      </w:r>
      <w:r w:rsidR="005D23D0" w:rsidRPr="00D94F2B">
        <w:t>T</w:t>
      </w:r>
      <w:r w:rsidR="00997F08" w:rsidRPr="00D94F2B">
        <w:t>he</w:t>
      </w:r>
      <w:r w:rsidR="00472B86" w:rsidRPr="00D94F2B">
        <w:t xml:space="preserve"> ESC considered the</w:t>
      </w:r>
      <w:r w:rsidR="00997F08" w:rsidRPr="00D94F2B">
        <w:t xml:space="preserve"> </w:t>
      </w:r>
      <w:r w:rsidR="00934EDF" w:rsidRPr="00D94F2B">
        <w:t>claim</w:t>
      </w:r>
      <w:r w:rsidR="00997F08" w:rsidRPr="00D94F2B">
        <w:t xml:space="preserve"> of non-inferior efficacy</w:t>
      </w:r>
      <w:r w:rsidR="0082184C" w:rsidRPr="00D94F2B">
        <w:t xml:space="preserve"> was</w:t>
      </w:r>
      <w:r w:rsidR="00997F08" w:rsidRPr="00D94F2B">
        <w:t xml:space="preserve"> </w:t>
      </w:r>
      <w:r w:rsidR="0082184C" w:rsidRPr="00D94F2B">
        <w:t xml:space="preserve">uncertain due to several differences between </w:t>
      </w:r>
      <w:r w:rsidR="00934EDF" w:rsidRPr="00D94F2B">
        <w:t xml:space="preserve">the </w:t>
      </w:r>
      <w:r w:rsidR="0082184C" w:rsidRPr="00D94F2B">
        <w:t>pooled DELTA 1</w:t>
      </w:r>
      <w:r w:rsidR="002E505C">
        <w:t>/2</w:t>
      </w:r>
      <w:r w:rsidR="0082184C" w:rsidRPr="00D94F2B">
        <w:t xml:space="preserve"> and LIBERTY-AD-HAFT trials, which</w:t>
      </w:r>
      <w:r w:rsidR="004E2B97" w:rsidRPr="00D94F2B">
        <w:t xml:space="preserve"> may have</w:t>
      </w:r>
      <w:r w:rsidR="0082184C" w:rsidRPr="00D94F2B">
        <w:t xml:space="preserve"> affected the transitivity of the trials</w:t>
      </w:r>
      <w:r w:rsidR="003F0C01" w:rsidRPr="00D94F2B">
        <w:t xml:space="preserve"> (see paragraph</w:t>
      </w:r>
      <w:r w:rsidR="00E66892" w:rsidRPr="00D94F2B">
        <w:t xml:space="preserve"> </w:t>
      </w:r>
      <w:r w:rsidR="00E66892" w:rsidRPr="00D94F2B">
        <w:fldChar w:fldCharType="begin"/>
      </w:r>
      <w:r w:rsidR="00E66892" w:rsidRPr="00D94F2B">
        <w:instrText xml:space="preserve"> REF _Ref211245916 \r \h </w:instrText>
      </w:r>
      <w:r w:rsidR="00D94F2B">
        <w:instrText xml:space="preserve"> \* MERGEFORMAT </w:instrText>
      </w:r>
      <w:r w:rsidR="00E66892" w:rsidRPr="00D94F2B">
        <w:fldChar w:fldCharType="separate"/>
      </w:r>
      <w:r w:rsidR="00AA53DD">
        <w:t>6.20</w:t>
      </w:r>
      <w:r w:rsidR="00E66892" w:rsidRPr="00D94F2B">
        <w:fldChar w:fldCharType="end"/>
      </w:r>
      <w:r w:rsidR="00E66892" w:rsidRPr="00D94F2B">
        <w:t>).</w:t>
      </w:r>
      <w:r w:rsidR="004D2BA9">
        <w:t xml:space="preserve"> </w:t>
      </w:r>
      <w:r w:rsidR="00E07576" w:rsidRPr="00D94F2B">
        <w:t xml:space="preserve">The ESC considered the Bucher indirect comparison presented in the PSCR did not add additional certainty to inform the claim of non-inferiority to dupilumab. </w:t>
      </w:r>
    </w:p>
    <w:p w14:paraId="4EC291A4" w14:textId="0C7C9758" w:rsidR="00895DF7" w:rsidRDefault="0027790F" w:rsidP="00A828FA">
      <w:pPr>
        <w:pStyle w:val="3-BodyText"/>
      </w:pPr>
      <w:r w:rsidRPr="00D94F2B">
        <w:t xml:space="preserve">The submission made no safety claim for delgocitinib </w:t>
      </w:r>
      <w:r w:rsidR="0011406F" w:rsidRPr="00D94F2B">
        <w:t>vs</w:t>
      </w:r>
      <w:r w:rsidRPr="00D94F2B">
        <w:t xml:space="preserve"> dupilumab.</w:t>
      </w:r>
      <w:r w:rsidR="003F73BF" w:rsidRPr="00D94F2B">
        <w:t xml:space="preserve"> </w:t>
      </w:r>
    </w:p>
    <w:p w14:paraId="354D6F8D" w14:textId="6651E70E" w:rsidR="006869E3" w:rsidRPr="00DF2F0E" w:rsidRDefault="006869E3" w:rsidP="00E154A1">
      <w:pPr>
        <w:pStyle w:val="3-BodyText"/>
        <w:rPr>
          <w:snapToGrid w:val="0"/>
        </w:rPr>
      </w:pPr>
      <w:r w:rsidRPr="00DF2F0E">
        <w:rPr>
          <w:snapToGrid w:val="0"/>
        </w:rPr>
        <w:t>The PBAC</w:t>
      </w:r>
      <w:r w:rsidR="0036590C">
        <w:rPr>
          <w:snapToGrid w:val="0"/>
        </w:rPr>
        <w:t xml:space="preserve"> </w:t>
      </w:r>
      <w:r w:rsidR="0036590C" w:rsidRPr="00DF2F0E">
        <w:rPr>
          <w:snapToGrid w:val="0"/>
        </w:rPr>
        <w:t>based on its view o</w:t>
      </w:r>
      <w:r w:rsidR="00BB161F">
        <w:rPr>
          <w:snapToGrid w:val="0"/>
        </w:rPr>
        <w:t>n</w:t>
      </w:r>
      <w:r w:rsidR="0036590C" w:rsidRPr="00DF2F0E">
        <w:rPr>
          <w:snapToGrid w:val="0"/>
        </w:rPr>
        <w:t xml:space="preserve"> the most appropriate place in therapy for delgocitinib</w:t>
      </w:r>
      <w:r w:rsidR="00BB161F">
        <w:rPr>
          <w:snapToGrid w:val="0"/>
        </w:rPr>
        <w:t xml:space="preserve"> and</w:t>
      </w:r>
      <w:r w:rsidRPr="00DF2F0E">
        <w:rPr>
          <w:snapToGrid w:val="0"/>
        </w:rPr>
        <w:t xml:space="preserve"> considered the claims versus dupilumab were not relevant</w:t>
      </w:r>
      <w:r w:rsidR="0036590C">
        <w:rPr>
          <w:snapToGrid w:val="0"/>
        </w:rPr>
        <w:t>.</w:t>
      </w:r>
    </w:p>
    <w:p w14:paraId="30B68BC9" w14:textId="77777777" w:rsidR="00DC7D3C" w:rsidRPr="002E75D2" w:rsidRDefault="00DC7D3C" w:rsidP="00DC7D3C">
      <w:pPr>
        <w:pStyle w:val="4-SubsectionHeading"/>
      </w:pPr>
      <w:bookmarkStart w:id="74" w:name="_Toc202884179"/>
      <w:bookmarkStart w:id="75" w:name="_Toc208411852"/>
      <w:bookmarkEnd w:id="71"/>
      <w:bookmarkEnd w:id="72"/>
      <w:bookmarkEnd w:id="73"/>
      <w:r w:rsidRPr="002E75D2">
        <w:t>Economic analysis</w:t>
      </w:r>
      <w:bookmarkEnd w:id="74"/>
      <w:bookmarkEnd w:id="75"/>
      <w:r w:rsidRPr="002E75D2">
        <w:t xml:space="preserve"> </w:t>
      </w:r>
    </w:p>
    <w:p w14:paraId="37B31070" w14:textId="51A8C8F9" w:rsidR="0079584D" w:rsidRPr="002E75D2" w:rsidRDefault="00DC7D3C" w:rsidP="00DC7D3C">
      <w:pPr>
        <w:pStyle w:val="3-BodyText"/>
      </w:pPr>
      <w:r w:rsidRPr="002E75D2">
        <w:t>The submission presented a cost-utility analysis</w:t>
      </w:r>
      <w:r w:rsidR="00C714FD" w:rsidRPr="002E75D2">
        <w:t xml:space="preserve"> </w:t>
      </w:r>
      <w:r w:rsidR="00C3541C" w:rsidRPr="002E75D2">
        <w:t>between</w:t>
      </w:r>
      <w:r w:rsidR="00C714FD" w:rsidRPr="002E75D2">
        <w:t xml:space="preserve"> del</w:t>
      </w:r>
      <w:r w:rsidR="00C47ADC" w:rsidRPr="002E75D2">
        <w:t>gocitinib</w:t>
      </w:r>
      <w:r w:rsidRPr="002E75D2">
        <w:t xml:space="preserve"> </w:t>
      </w:r>
      <w:r w:rsidR="00C3541C" w:rsidRPr="002E75D2">
        <w:t>and</w:t>
      </w:r>
      <w:r w:rsidRPr="002E75D2">
        <w:t xml:space="preserve"> SoC</w:t>
      </w:r>
      <w:r w:rsidR="0079584D" w:rsidRPr="002E75D2">
        <w:t xml:space="preserve"> and a cost-minimisation approach </w:t>
      </w:r>
      <w:r w:rsidR="001C0833" w:rsidRPr="002E75D2">
        <w:t>vs</w:t>
      </w:r>
      <w:r w:rsidR="0079584D" w:rsidRPr="002E75D2">
        <w:t xml:space="preserve"> dupilumab</w:t>
      </w:r>
      <w:r w:rsidRPr="002E75D2">
        <w:t>.</w:t>
      </w:r>
    </w:p>
    <w:p w14:paraId="2AB55F72" w14:textId="0C9D8703" w:rsidR="0079584D" w:rsidRPr="002E75D2" w:rsidRDefault="003418B2" w:rsidP="001C0833">
      <w:pPr>
        <w:pStyle w:val="3-BodyText"/>
        <w:numPr>
          <w:ilvl w:val="0"/>
          <w:numId w:val="0"/>
        </w:numPr>
        <w:rPr>
          <w:b/>
          <w:bCs/>
        </w:rPr>
      </w:pPr>
      <w:r w:rsidRPr="002E75D2">
        <w:rPr>
          <w:b/>
          <w:bCs/>
        </w:rPr>
        <w:t>Cost-utility analysis</w:t>
      </w:r>
    </w:p>
    <w:p w14:paraId="14667AC5" w14:textId="712EC24B" w:rsidR="00DC7D3C" w:rsidRPr="002E75D2" w:rsidRDefault="00DC7D3C" w:rsidP="00DC7D3C">
      <w:pPr>
        <w:pStyle w:val="3-BodyText"/>
      </w:pPr>
      <w:r w:rsidRPr="002E75D2">
        <w:t xml:space="preserve">Key components of the economic evaluation are given in </w:t>
      </w:r>
      <w:r w:rsidRPr="002E75D2">
        <w:fldChar w:fldCharType="begin"/>
      </w:r>
      <w:r w:rsidRPr="002E75D2">
        <w:instrText xml:space="preserve"> REF _Ref204938739 \h </w:instrText>
      </w:r>
      <w:r w:rsidRPr="002E75D2">
        <w:fldChar w:fldCharType="separate"/>
      </w:r>
      <w:r w:rsidR="00AA53DD" w:rsidRPr="002E75D2">
        <w:t xml:space="preserve">Table </w:t>
      </w:r>
      <w:r w:rsidR="00AA53DD">
        <w:rPr>
          <w:noProof/>
        </w:rPr>
        <w:t>9</w:t>
      </w:r>
      <w:r w:rsidRPr="002E75D2">
        <w:fldChar w:fldCharType="end"/>
      </w:r>
      <w:r w:rsidRPr="002E75D2">
        <w:t>.</w:t>
      </w:r>
    </w:p>
    <w:p w14:paraId="6F60424E" w14:textId="19A0D87D" w:rsidR="00DC7D3C" w:rsidRPr="002E75D2" w:rsidRDefault="00DC7D3C" w:rsidP="00E37FD5">
      <w:pPr>
        <w:pStyle w:val="Caption"/>
        <w:rPr>
          <w:rStyle w:val="CommentReference"/>
          <w:b/>
          <w:szCs w:val="24"/>
        </w:rPr>
      </w:pPr>
      <w:bookmarkStart w:id="76" w:name="_Ref204938739"/>
      <w:r w:rsidRPr="002E75D2">
        <w:t xml:space="preserve">Table </w:t>
      </w:r>
      <w:r w:rsidR="000847A3">
        <w:fldChar w:fldCharType="begin"/>
      </w:r>
      <w:r w:rsidR="000847A3">
        <w:instrText xml:space="preserve"> SEQ Table \* ARABIC </w:instrText>
      </w:r>
      <w:r w:rsidR="000847A3">
        <w:fldChar w:fldCharType="separate"/>
      </w:r>
      <w:r w:rsidR="00AA53DD">
        <w:rPr>
          <w:noProof/>
        </w:rPr>
        <w:t>9</w:t>
      </w:r>
      <w:r w:rsidR="000847A3">
        <w:rPr>
          <w:noProof/>
        </w:rPr>
        <w:fldChar w:fldCharType="end"/>
      </w:r>
      <w:bookmarkEnd w:id="76"/>
      <w:r w:rsidR="007147ED" w:rsidRPr="002E75D2">
        <w:t>:</w:t>
      </w:r>
      <w:r w:rsidRPr="002E75D2">
        <w:t xml:space="preserve"> </w:t>
      </w:r>
      <w:r w:rsidRPr="002E75D2">
        <w:rPr>
          <w:rStyle w:val="CommentReference"/>
          <w:b/>
          <w:szCs w:val="24"/>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ummary of model structure, key inputs and rationale"/>
      </w:tblPr>
      <w:tblGrid>
        <w:gridCol w:w="1414"/>
        <w:gridCol w:w="7603"/>
      </w:tblGrid>
      <w:tr w:rsidR="00DC7D3C" w:rsidRPr="00D94F2B" w14:paraId="358E6857" w14:textId="77777777" w:rsidTr="00C21DB1">
        <w:trPr>
          <w:tblHeader/>
        </w:trPr>
        <w:tc>
          <w:tcPr>
            <w:tcW w:w="784" w:type="pct"/>
            <w:vAlign w:val="center"/>
          </w:tcPr>
          <w:p w14:paraId="5ADC9D59" w14:textId="77777777" w:rsidR="00DC7D3C" w:rsidRPr="00D94F2B" w:rsidRDefault="00DC7D3C" w:rsidP="00E37FD5">
            <w:pPr>
              <w:pStyle w:val="In-tableHeading"/>
              <w:jc w:val="center"/>
              <w:rPr>
                <w:szCs w:val="20"/>
                <w:lang w:val="en-AU"/>
              </w:rPr>
            </w:pPr>
            <w:r w:rsidRPr="00D94F2B">
              <w:rPr>
                <w:szCs w:val="20"/>
                <w:lang w:val="en-AU"/>
              </w:rPr>
              <w:t>Component</w:t>
            </w:r>
          </w:p>
        </w:tc>
        <w:tc>
          <w:tcPr>
            <w:tcW w:w="4216" w:type="pct"/>
          </w:tcPr>
          <w:p w14:paraId="5C8D58A4" w14:textId="77777777" w:rsidR="00DC7D3C" w:rsidRPr="00D94F2B" w:rsidRDefault="00DC7D3C" w:rsidP="00E37FD5">
            <w:pPr>
              <w:pStyle w:val="In-tableHeading"/>
              <w:jc w:val="center"/>
              <w:rPr>
                <w:szCs w:val="20"/>
                <w:lang w:val="en-AU"/>
              </w:rPr>
            </w:pPr>
            <w:r w:rsidRPr="00D94F2B">
              <w:rPr>
                <w:szCs w:val="20"/>
                <w:lang w:val="en-AU"/>
              </w:rPr>
              <w:t>Summary</w:t>
            </w:r>
          </w:p>
        </w:tc>
      </w:tr>
      <w:tr w:rsidR="00DC7D3C" w:rsidRPr="00D94F2B" w14:paraId="11C3F772" w14:textId="77777777" w:rsidTr="00C21DB1">
        <w:trPr>
          <w:trHeight w:val="60"/>
        </w:trPr>
        <w:tc>
          <w:tcPr>
            <w:tcW w:w="784" w:type="pct"/>
            <w:vAlign w:val="center"/>
          </w:tcPr>
          <w:p w14:paraId="3345A680" w14:textId="77777777" w:rsidR="00DC7D3C" w:rsidRPr="00D94F2B" w:rsidRDefault="00DC7D3C" w:rsidP="00E37FD5">
            <w:pPr>
              <w:pStyle w:val="TableText0"/>
              <w:keepNext/>
              <w:rPr>
                <w:iCs w:val="0"/>
              </w:rPr>
            </w:pPr>
            <w:r w:rsidRPr="00D94F2B">
              <w:rPr>
                <w:iCs w:val="0"/>
              </w:rPr>
              <w:t>Type of analysis</w:t>
            </w:r>
          </w:p>
        </w:tc>
        <w:tc>
          <w:tcPr>
            <w:tcW w:w="4216" w:type="pct"/>
          </w:tcPr>
          <w:p w14:paraId="3D020699" w14:textId="474F5283" w:rsidR="00DC7D3C" w:rsidRPr="00D94F2B" w:rsidRDefault="00DC7D3C" w:rsidP="00E37FD5">
            <w:pPr>
              <w:pStyle w:val="TableText0"/>
              <w:keepNext/>
              <w:rPr>
                <w:iCs w:val="0"/>
              </w:rPr>
            </w:pPr>
            <w:r w:rsidRPr="00D94F2B">
              <w:rPr>
                <w:iCs w:val="0"/>
              </w:rPr>
              <w:t>Cost-utility analysis</w:t>
            </w:r>
          </w:p>
        </w:tc>
      </w:tr>
      <w:tr w:rsidR="00DC7D3C" w:rsidRPr="00D94F2B" w14:paraId="2F84D6D5" w14:textId="77777777" w:rsidTr="00C21DB1">
        <w:tc>
          <w:tcPr>
            <w:tcW w:w="784" w:type="pct"/>
            <w:vAlign w:val="center"/>
          </w:tcPr>
          <w:p w14:paraId="25F89E6B" w14:textId="77777777" w:rsidR="00DC7D3C" w:rsidRPr="00D94F2B" w:rsidRDefault="00DC7D3C" w:rsidP="00E37FD5">
            <w:pPr>
              <w:pStyle w:val="TableText0"/>
              <w:keepNext/>
              <w:rPr>
                <w:iCs w:val="0"/>
              </w:rPr>
            </w:pPr>
            <w:r w:rsidRPr="00D94F2B">
              <w:rPr>
                <w:iCs w:val="0"/>
              </w:rPr>
              <w:t>Comparator</w:t>
            </w:r>
          </w:p>
        </w:tc>
        <w:tc>
          <w:tcPr>
            <w:tcW w:w="4216" w:type="pct"/>
          </w:tcPr>
          <w:p w14:paraId="77CDDC2E" w14:textId="10EF0A54" w:rsidR="00DC7D3C" w:rsidRPr="00D94F2B" w:rsidRDefault="00DC7D3C" w:rsidP="00E37FD5">
            <w:pPr>
              <w:pStyle w:val="TableText0"/>
              <w:keepNext/>
              <w:rPr>
                <w:iCs w:val="0"/>
              </w:rPr>
            </w:pPr>
            <w:r w:rsidRPr="00D94F2B">
              <w:rPr>
                <w:iCs w:val="0"/>
              </w:rPr>
              <w:t>SoC (defined as non-medicated emollient use alone and avoidance of known irritants and allergens)</w:t>
            </w:r>
          </w:p>
        </w:tc>
      </w:tr>
      <w:tr w:rsidR="00DC7D3C" w:rsidRPr="00D94F2B" w14:paraId="10F3B3F9" w14:textId="77777777" w:rsidTr="00C21DB1">
        <w:tc>
          <w:tcPr>
            <w:tcW w:w="784" w:type="pct"/>
            <w:vAlign w:val="center"/>
          </w:tcPr>
          <w:p w14:paraId="1632889E" w14:textId="77777777" w:rsidR="00DC7D3C" w:rsidRPr="00D94F2B" w:rsidRDefault="00DC7D3C" w:rsidP="00E37FD5">
            <w:pPr>
              <w:pStyle w:val="TableText0"/>
              <w:keepNext/>
              <w:rPr>
                <w:iCs w:val="0"/>
              </w:rPr>
            </w:pPr>
            <w:r w:rsidRPr="00D94F2B">
              <w:rPr>
                <w:iCs w:val="0"/>
              </w:rPr>
              <w:t>Outcomes</w:t>
            </w:r>
          </w:p>
        </w:tc>
        <w:tc>
          <w:tcPr>
            <w:tcW w:w="4216" w:type="pct"/>
          </w:tcPr>
          <w:p w14:paraId="2BAFC3B5" w14:textId="3D1B249D" w:rsidR="00DC7D3C" w:rsidRPr="00D94F2B" w:rsidRDefault="00DC7D3C" w:rsidP="00E37FD5">
            <w:pPr>
              <w:pStyle w:val="TableText0"/>
              <w:keepNext/>
              <w:rPr>
                <w:iCs w:val="0"/>
              </w:rPr>
            </w:pPr>
            <w:r w:rsidRPr="00D94F2B">
              <w:rPr>
                <w:iCs w:val="0"/>
              </w:rPr>
              <w:t xml:space="preserve">Life years gained, quality-adjusted life-years. </w:t>
            </w:r>
          </w:p>
        </w:tc>
      </w:tr>
      <w:tr w:rsidR="00DC7D3C" w:rsidRPr="00D94F2B" w14:paraId="474F6130" w14:textId="77777777" w:rsidTr="00C21DB1">
        <w:tc>
          <w:tcPr>
            <w:tcW w:w="784" w:type="pct"/>
            <w:vAlign w:val="center"/>
          </w:tcPr>
          <w:p w14:paraId="704C1A4A" w14:textId="77777777" w:rsidR="00DC7D3C" w:rsidRPr="00D94F2B" w:rsidRDefault="00DC7D3C" w:rsidP="00E37FD5">
            <w:pPr>
              <w:pStyle w:val="TableText0"/>
              <w:keepNext/>
              <w:rPr>
                <w:iCs w:val="0"/>
              </w:rPr>
            </w:pPr>
            <w:r w:rsidRPr="00D94F2B">
              <w:rPr>
                <w:iCs w:val="0"/>
              </w:rPr>
              <w:t>Time horizon</w:t>
            </w:r>
          </w:p>
        </w:tc>
        <w:tc>
          <w:tcPr>
            <w:tcW w:w="4216" w:type="pct"/>
          </w:tcPr>
          <w:p w14:paraId="329989FC" w14:textId="55587E64" w:rsidR="00DC7D3C" w:rsidRPr="00D94F2B" w:rsidRDefault="00DC7D3C" w:rsidP="00E37FD5">
            <w:pPr>
              <w:pStyle w:val="TableText0"/>
              <w:keepNext/>
              <w:rPr>
                <w:iCs w:val="0"/>
              </w:rPr>
            </w:pPr>
            <w:r w:rsidRPr="00D94F2B">
              <w:rPr>
                <w:iCs w:val="0"/>
              </w:rPr>
              <w:t>10 years in the model base case vs</w:t>
            </w:r>
            <w:r w:rsidR="00130795" w:rsidRPr="00D94F2B">
              <w:rPr>
                <w:iCs w:val="0"/>
              </w:rPr>
              <w:t xml:space="preserve"> </w:t>
            </w:r>
            <w:r w:rsidRPr="00D94F2B">
              <w:rPr>
                <w:iCs w:val="0"/>
              </w:rPr>
              <w:t xml:space="preserve">16 weeks in the DELTA trials. </w:t>
            </w:r>
          </w:p>
        </w:tc>
      </w:tr>
      <w:tr w:rsidR="00DC7D3C" w:rsidRPr="00D94F2B" w14:paraId="466B7C4A" w14:textId="77777777" w:rsidTr="00C21DB1">
        <w:tc>
          <w:tcPr>
            <w:tcW w:w="784" w:type="pct"/>
            <w:vAlign w:val="center"/>
          </w:tcPr>
          <w:p w14:paraId="4B5043B5" w14:textId="77777777" w:rsidR="00DC7D3C" w:rsidRPr="00D94F2B" w:rsidRDefault="00DC7D3C" w:rsidP="00FD6019">
            <w:pPr>
              <w:pStyle w:val="TableText0"/>
              <w:rPr>
                <w:iCs w:val="0"/>
              </w:rPr>
            </w:pPr>
            <w:r w:rsidRPr="00D94F2B">
              <w:rPr>
                <w:iCs w:val="0"/>
              </w:rPr>
              <w:t>Methods used to generate results</w:t>
            </w:r>
          </w:p>
        </w:tc>
        <w:tc>
          <w:tcPr>
            <w:tcW w:w="4216" w:type="pct"/>
          </w:tcPr>
          <w:p w14:paraId="6142455A" w14:textId="3EF5969F" w:rsidR="00DC7D3C" w:rsidRPr="00D94F2B" w:rsidRDefault="00DC7D3C" w:rsidP="00FD6019">
            <w:pPr>
              <w:pStyle w:val="TableText0"/>
              <w:rPr>
                <w:iCs w:val="0"/>
              </w:rPr>
            </w:pPr>
            <w:r w:rsidRPr="00D94F2B">
              <w:rPr>
                <w:iCs w:val="0"/>
              </w:rPr>
              <w:t xml:space="preserve">Markov cohort model. </w:t>
            </w:r>
          </w:p>
        </w:tc>
      </w:tr>
      <w:tr w:rsidR="00DC7D3C" w:rsidRPr="00D94F2B" w14:paraId="03872D00" w14:textId="77777777" w:rsidTr="00C21DB1">
        <w:tc>
          <w:tcPr>
            <w:tcW w:w="784" w:type="pct"/>
            <w:vAlign w:val="center"/>
          </w:tcPr>
          <w:p w14:paraId="248C009F" w14:textId="77777777" w:rsidR="00DC7D3C" w:rsidRPr="00D94F2B" w:rsidRDefault="00DC7D3C" w:rsidP="00FD6019">
            <w:pPr>
              <w:pStyle w:val="TableText0"/>
              <w:rPr>
                <w:iCs w:val="0"/>
              </w:rPr>
            </w:pPr>
            <w:r w:rsidRPr="00D94F2B">
              <w:rPr>
                <w:iCs w:val="0"/>
              </w:rPr>
              <w:t>Health states</w:t>
            </w:r>
          </w:p>
        </w:tc>
        <w:tc>
          <w:tcPr>
            <w:tcW w:w="4216" w:type="pct"/>
          </w:tcPr>
          <w:p w14:paraId="2A009028" w14:textId="4AD32194" w:rsidR="00DC7D3C" w:rsidRPr="00D94F2B" w:rsidRDefault="00DC7D3C" w:rsidP="00FD6019">
            <w:pPr>
              <w:pStyle w:val="TableText0"/>
              <w:rPr>
                <w:iCs w:val="0"/>
              </w:rPr>
            </w:pPr>
            <w:r w:rsidRPr="00D94F2B">
              <w:rPr>
                <w:iCs w:val="0"/>
              </w:rPr>
              <w:t>On treatment: full response</w:t>
            </w:r>
            <w:r w:rsidR="00F74A3E" w:rsidRPr="00D94F2B">
              <w:rPr>
                <w:iCs w:val="0"/>
              </w:rPr>
              <w:t xml:space="preserve"> (IGA-CHE 0 (Clear) or 1 (Almost clear))</w:t>
            </w:r>
          </w:p>
          <w:p w14:paraId="72A71170" w14:textId="30786B1F" w:rsidR="00DC7D3C" w:rsidRPr="00D94F2B" w:rsidRDefault="00DC7D3C" w:rsidP="00FD6019">
            <w:pPr>
              <w:pStyle w:val="TableText0"/>
              <w:rPr>
                <w:iCs w:val="0"/>
              </w:rPr>
            </w:pPr>
            <w:r w:rsidRPr="00D94F2B">
              <w:rPr>
                <w:iCs w:val="0"/>
              </w:rPr>
              <w:t>On treatment: partial response</w:t>
            </w:r>
            <w:r w:rsidR="00F54383" w:rsidRPr="00D94F2B">
              <w:rPr>
                <w:iCs w:val="0"/>
              </w:rPr>
              <w:t xml:space="preserve"> (IGA-CHE 2 (Mild))</w:t>
            </w:r>
          </w:p>
          <w:p w14:paraId="0E54FDC3" w14:textId="3E6DB33F" w:rsidR="00DC7D3C" w:rsidRPr="00D94F2B" w:rsidRDefault="00DC7D3C" w:rsidP="00FD6019">
            <w:pPr>
              <w:pStyle w:val="TableText0"/>
              <w:rPr>
                <w:iCs w:val="0"/>
              </w:rPr>
            </w:pPr>
            <w:r w:rsidRPr="00D94F2B">
              <w:rPr>
                <w:iCs w:val="0"/>
              </w:rPr>
              <w:t>On treatment: low response</w:t>
            </w:r>
            <w:r w:rsidR="00E03F27" w:rsidRPr="00D94F2B">
              <w:rPr>
                <w:iCs w:val="0"/>
              </w:rPr>
              <w:t xml:space="preserve"> (IGA-CHE 3</w:t>
            </w:r>
            <w:r w:rsidR="00E03F27" w:rsidRPr="00D94F2B" w:rsidDel="00FC0308">
              <w:rPr>
                <w:iCs w:val="0"/>
              </w:rPr>
              <w:t xml:space="preserve"> </w:t>
            </w:r>
            <w:r w:rsidR="00E03F27" w:rsidRPr="00D94F2B">
              <w:rPr>
                <w:iCs w:val="0"/>
              </w:rPr>
              <w:t>with 1-point improvement from baseline (Moderate))</w:t>
            </w:r>
          </w:p>
          <w:p w14:paraId="6D97CFEB" w14:textId="00650F4F" w:rsidR="00DC7D3C" w:rsidRPr="00D94F2B" w:rsidRDefault="00DC7D3C" w:rsidP="00FD6019">
            <w:pPr>
              <w:pStyle w:val="TableText0"/>
              <w:rPr>
                <w:iCs w:val="0"/>
              </w:rPr>
            </w:pPr>
            <w:r w:rsidRPr="00D94F2B">
              <w:rPr>
                <w:iCs w:val="0"/>
              </w:rPr>
              <w:t>On treatment: insufficient response</w:t>
            </w:r>
            <w:r w:rsidR="00631299" w:rsidRPr="00D94F2B">
              <w:rPr>
                <w:iCs w:val="0"/>
              </w:rPr>
              <w:t xml:space="preserve"> (IGA-CHE 3 without improvement from baseline or IGA-CHE 4 (Severe))</w:t>
            </w:r>
          </w:p>
          <w:p w14:paraId="74105F68" w14:textId="24549392" w:rsidR="00DC7D3C" w:rsidRPr="00D94F2B" w:rsidRDefault="00DC7D3C" w:rsidP="00FD6019">
            <w:pPr>
              <w:pStyle w:val="TableText0"/>
              <w:rPr>
                <w:iCs w:val="0"/>
              </w:rPr>
            </w:pPr>
            <w:r w:rsidRPr="00D94F2B">
              <w:rPr>
                <w:iCs w:val="0"/>
              </w:rPr>
              <w:t>Off treatment: full response</w:t>
            </w:r>
            <w:r w:rsidR="004A5AA2" w:rsidRPr="00D94F2B">
              <w:rPr>
                <w:iCs w:val="0"/>
              </w:rPr>
              <w:t xml:space="preserve"> (IGA-CHE 0 (Clear) or 1 (Almost clear))</w:t>
            </w:r>
          </w:p>
          <w:p w14:paraId="33290E7F" w14:textId="77777777" w:rsidR="00DC7D3C" w:rsidRPr="00D94F2B" w:rsidRDefault="00DC7D3C" w:rsidP="00FD6019">
            <w:pPr>
              <w:pStyle w:val="TableText0"/>
              <w:rPr>
                <w:iCs w:val="0"/>
              </w:rPr>
            </w:pPr>
            <w:r w:rsidRPr="00D94F2B">
              <w:rPr>
                <w:iCs w:val="0"/>
              </w:rPr>
              <w:t>Relapse: mild</w:t>
            </w:r>
          </w:p>
          <w:p w14:paraId="491DDF66" w14:textId="77777777" w:rsidR="00DC7D3C" w:rsidRPr="00D94F2B" w:rsidRDefault="00DC7D3C" w:rsidP="00FD6019">
            <w:pPr>
              <w:pStyle w:val="TableText0"/>
              <w:rPr>
                <w:iCs w:val="0"/>
              </w:rPr>
            </w:pPr>
            <w:r w:rsidRPr="00D94F2B">
              <w:rPr>
                <w:iCs w:val="0"/>
              </w:rPr>
              <w:t>Relapse: moderate</w:t>
            </w:r>
          </w:p>
          <w:p w14:paraId="1A102DEA" w14:textId="77777777" w:rsidR="00DC7D3C" w:rsidRPr="00D94F2B" w:rsidRDefault="00DC7D3C" w:rsidP="00FD6019">
            <w:pPr>
              <w:pStyle w:val="TableText0"/>
              <w:rPr>
                <w:iCs w:val="0"/>
              </w:rPr>
            </w:pPr>
            <w:r w:rsidRPr="00D94F2B">
              <w:rPr>
                <w:iCs w:val="0"/>
              </w:rPr>
              <w:lastRenderedPageBreak/>
              <w:t>Relapse: severe</w:t>
            </w:r>
          </w:p>
          <w:p w14:paraId="79BE2606" w14:textId="77777777" w:rsidR="00DC7D3C" w:rsidRPr="00D94F2B" w:rsidRDefault="00DC7D3C" w:rsidP="00FD6019">
            <w:pPr>
              <w:pStyle w:val="TableText0"/>
              <w:rPr>
                <w:iCs w:val="0"/>
              </w:rPr>
            </w:pPr>
            <w:r w:rsidRPr="00D94F2B">
              <w:rPr>
                <w:iCs w:val="0"/>
              </w:rPr>
              <w:t>Permanent discontinuation: next-line treatment</w:t>
            </w:r>
          </w:p>
          <w:p w14:paraId="0EC5A0FB" w14:textId="73206E1D" w:rsidR="00DC7D3C" w:rsidRPr="00D94F2B" w:rsidRDefault="00DC7D3C" w:rsidP="00FD6019">
            <w:pPr>
              <w:pStyle w:val="TableText0"/>
              <w:rPr>
                <w:iCs w:val="0"/>
              </w:rPr>
            </w:pPr>
            <w:r w:rsidRPr="00D94F2B">
              <w:rPr>
                <w:iCs w:val="0"/>
              </w:rPr>
              <w:t>Permanent discontinuation: best supportive care</w:t>
            </w:r>
            <w:r w:rsidR="00420B5F" w:rsidRPr="00D94F2B">
              <w:rPr>
                <w:iCs w:val="0"/>
              </w:rPr>
              <w:t xml:space="preserve"> (BSC)</w:t>
            </w:r>
            <w:r w:rsidR="0073094C" w:rsidRPr="00D94F2B">
              <w:rPr>
                <w:iCs w:val="0"/>
              </w:rPr>
              <w:t xml:space="preserve">. </w:t>
            </w:r>
          </w:p>
          <w:p w14:paraId="531C6623" w14:textId="622AE862" w:rsidR="00DC7D3C" w:rsidRPr="00D94F2B" w:rsidRDefault="00DC7D3C" w:rsidP="00FD6019">
            <w:pPr>
              <w:pStyle w:val="TableText0"/>
              <w:rPr>
                <w:iCs w:val="0"/>
              </w:rPr>
            </w:pPr>
            <w:r w:rsidRPr="00D94F2B">
              <w:rPr>
                <w:iCs w:val="0"/>
              </w:rPr>
              <w:t>Death</w:t>
            </w:r>
          </w:p>
        </w:tc>
      </w:tr>
      <w:tr w:rsidR="00DC7D3C" w:rsidRPr="00D94F2B" w14:paraId="089CDDE4" w14:textId="77777777" w:rsidTr="00C21DB1">
        <w:tc>
          <w:tcPr>
            <w:tcW w:w="784" w:type="pct"/>
            <w:vAlign w:val="center"/>
          </w:tcPr>
          <w:p w14:paraId="73D61C22" w14:textId="77777777" w:rsidR="00DC7D3C" w:rsidRPr="00D94F2B" w:rsidRDefault="00DC7D3C" w:rsidP="00FD6019">
            <w:pPr>
              <w:pStyle w:val="TableText0"/>
              <w:rPr>
                <w:iCs w:val="0"/>
              </w:rPr>
            </w:pPr>
            <w:r w:rsidRPr="00D94F2B">
              <w:rPr>
                <w:iCs w:val="0"/>
              </w:rPr>
              <w:lastRenderedPageBreak/>
              <w:t>Cycle length</w:t>
            </w:r>
          </w:p>
        </w:tc>
        <w:tc>
          <w:tcPr>
            <w:tcW w:w="4216" w:type="pct"/>
          </w:tcPr>
          <w:p w14:paraId="78023AF6" w14:textId="327F3853" w:rsidR="00DC7D3C" w:rsidRPr="00D94F2B" w:rsidRDefault="00DC7D3C" w:rsidP="00FD6019">
            <w:pPr>
              <w:pStyle w:val="TableText0"/>
              <w:rPr>
                <w:iCs w:val="0"/>
              </w:rPr>
            </w:pPr>
            <w:r w:rsidRPr="00D94F2B">
              <w:rPr>
                <w:iCs w:val="0"/>
              </w:rPr>
              <w:t xml:space="preserve">4 </w:t>
            </w:r>
            <w:r w:rsidR="006403BC" w:rsidRPr="00D94F2B">
              <w:rPr>
                <w:iCs w:val="0"/>
              </w:rPr>
              <w:t>weeks.</w:t>
            </w:r>
          </w:p>
        </w:tc>
      </w:tr>
      <w:tr w:rsidR="00DC7D3C" w:rsidRPr="00D94F2B" w14:paraId="4DAA737D" w14:textId="77777777" w:rsidTr="00C21DB1">
        <w:tc>
          <w:tcPr>
            <w:tcW w:w="784" w:type="pct"/>
            <w:vAlign w:val="center"/>
          </w:tcPr>
          <w:p w14:paraId="04F92450" w14:textId="77777777" w:rsidR="00DC7D3C" w:rsidRPr="00D94F2B" w:rsidRDefault="00DC7D3C" w:rsidP="00FD6019">
            <w:pPr>
              <w:pStyle w:val="TableText0"/>
              <w:rPr>
                <w:iCs w:val="0"/>
              </w:rPr>
            </w:pPr>
            <w:r w:rsidRPr="00D94F2B">
              <w:rPr>
                <w:iCs w:val="0"/>
              </w:rPr>
              <w:t>Mean starting age</w:t>
            </w:r>
          </w:p>
        </w:tc>
        <w:tc>
          <w:tcPr>
            <w:tcW w:w="4216" w:type="pct"/>
          </w:tcPr>
          <w:p w14:paraId="64F2B22E" w14:textId="3A590B7C" w:rsidR="00DC7D3C" w:rsidRPr="00D94F2B" w:rsidRDefault="00DC7D3C" w:rsidP="00FD6019">
            <w:pPr>
              <w:pStyle w:val="TableText0"/>
              <w:rPr>
                <w:iCs w:val="0"/>
              </w:rPr>
            </w:pPr>
            <w:r w:rsidRPr="00D94F2B">
              <w:rPr>
                <w:iCs w:val="0"/>
              </w:rPr>
              <w:t xml:space="preserve">44 years. </w:t>
            </w:r>
            <w:r w:rsidR="004A2A48" w:rsidRPr="00D94F2B">
              <w:rPr>
                <w:iCs w:val="0"/>
              </w:rPr>
              <w:t xml:space="preserve">Derived from DELTA 1 and DELTA 2 </w:t>
            </w:r>
            <w:r w:rsidR="006403BC" w:rsidRPr="00D94F2B">
              <w:rPr>
                <w:iCs w:val="0"/>
              </w:rPr>
              <w:t>trials.</w:t>
            </w:r>
          </w:p>
        </w:tc>
      </w:tr>
      <w:tr w:rsidR="00DC7D3C" w:rsidRPr="00D94F2B" w14:paraId="799EE2BE" w14:textId="77777777" w:rsidTr="00C21DB1">
        <w:tc>
          <w:tcPr>
            <w:tcW w:w="784" w:type="pct"/>
            <w:vAlign w:val="center"/>
          </w:tcPr>
          <w:p w14:paraId="705F38AF" w14:textId="77777777" w:rsidR="00DC7D3C" w:rsidRPr="00D94F2B" w:rsidRDefault="00DC7D3C" w:rsidP="00FD6019">
            <w:pPr>
              <w:pStyle w:val="TableText0"/>
              <w:rPr>
                <w:iCs w:val="0"/>
              </w:rPr>
            </w:pPr>
            <w:r w:rsidRPr="00D94F2B">
              <w:rPr>
                <w:iCs w:val="0"/>
              </w:rPr>
              <w:t>Severity of CHE</w:t>
            </w:r>
          </w:p>
        </w:tc>
        <w:tc>
          <w:tcPr>
            <w:tcW w:w="4216" w:type="pct"/>
          </w:tcPr>
          <w:p w14:paraId="100E73E2" w14:textId="77777777" w:rsidR="00DC7D3C" w:rsidRPr="003778BC" w:rsidRDefault="00DC7D3C" w:rsidP="00FD6019">
            <w:pPr>
              <w:pStyle w:val="TableText0"/>
              <w:rPr>
                <w:iCs w:val="0"/>
                <w:lang w:val="it-IT"/>
              </w:rPr>
            </w:pPr>
            <w:r w:rsidRPr="003778BC">
              <w:rPr>
                <w:iCs w:val="0"/>
                <w:lang w:val="it-IT"/>
              </w:rPr>
              <w:t>Moderate (IGA-CHE 3): 57.8%</w:t>
            </w:r>
          </w:p>
          <w:p w14:paraId="45C599CC" w14:textId="77777777" w:rsidR="001E2F7A" w:rsidRPr="003778BC" w:rsidRDefault="00DC7D3C" w:rsidP="00FD6019">
            <w:pPr>
              <w:pStyle w:val="TableText0"/>
              <w:rPr>
                <w:iCs w:val="0"/>
                <w:lang w:val="it-IT"/>
              </w:rPr>
            </w:pPr>
            <w:r w:rsidRPr="003778BC">
              <w:rPr>
                <w:iCs w:val="0"/>
                <w:lang w:val="it-IT"/>
              </w:rPr>
              <w:t xml:space="preserve">Severe (IGA-CHE 4): 42.2%. </w:t>
            </w:r>
          </w:p>
          <w:p w14:paraId="15806492" w14:textId="4E581B16" w:rsidR="00DC7D3C" w:rsidRPr="00D94F2B" w:rsidRDefault="004A2A48" w:rsidP="00FD6019">
            <w:pPr>
              <w:pStyle w:val="TableText0"/>
              <w:rPr>
                <w:iCs w:val="0"/>
              </w:rPr>
            </w:pPr>
            <w:r w:rsidRPr="00D94F2B">
              <w:rPr>
                <w:iCs w:val="0"/>
              </w:rPr>
              <w:t xml:space="preserve">Derived from </w:t>
            </w:r>
            <w:r w:rsidR="006403BC" w:rsidRPr="00D94F2B">
              <w:rPr>
                <w:iCs w:val="0"/>
              </w:rPr>
              <w:t>RWEAL.</w:t>
            </w:r>
          </w:p>
        </w:tc>
      </w:tr>
      <w:tr w:rsidR="00DC7D3C" w:rsidRPr="00D94F2B" w14:paraId="1B2F46D5" w14:textId="77777777" w:rsidTr="00C21DB1">
        <w:tc>
          <w:tcPr>
            <w:tcW w:w="784" w:type="pct"/>
            <w:vAlign w:val="center"/>
          </w:tcPr>
          <w:p w14:paraId="5F6D8B95" w14:textId="77777777" w:rsidR="00DC7D3C" w:rsidRPr="00D94F2B" w:rsidRDefault="00DC7D3C" w:rsidP="00FD6019">
            <w:pPr>
              <w:pStyle w:val="TableText0"/>
              <w:rPr>
                <w:iCs w:val="0"/>
              </w:rPr>
            </w:pPr>
            <w:bookmarkStart w:id="77" w:name="_Hlk204174122"/>
            <w:r w:rsidRPr="00D94F2B">
              <w:rPr>
                <w:iCs w:val="0"/>
              </w:rPr>
              <w:t>Transition probabilities</w:t>
            </w:r>
          </w:p>
        </w:tc>
        <w:tc>
          <w:tcPr>
            <w:tcW w:w="4216" w:type="pct"/>
          </w:tcPr>
          <w:p w14:paraId="0890B703" w14:textId="518B9E21" w:rsidR="00DC7D3C" w:rsidRPr="00D94F2B" w:rsidRDefault="00DC7D3C" w:rsidP="00FD6019">
            <w:pPr>
              <w:pStyle w:val="TableText0"/>
              <w:rPr>
                <w:iCs w:val="0"/>
              </w:rPr>
            </w:pPr>
            <w:r w:rsidRPr="00D94F2B">
              <w:rPr>
                <w:iCs w:val="0"/>
              </w:rPr>
              <w:t xml:space="preserve">Probability of full response at 12 weeks: Delgocitinib: 28.3%, SoC 11.1%. </w:t>
            </w:r>
            <w:r w:rsidR="001E2F7A" w:rsidRPr="00D94F2B">
              <w:rPr>
                <w:iCs w:val="0"/>
              </w:rPr>
              <w:br/>
            </w:r>
            <w:r w:rsidRPr="00D94F2B">
              <w:rPr>
                <w:iCs w:val="0"/>
              </w:rPr>
              <w:t>Derived from DELTA 1 and DELTA 2 trials.</w:t>
            </w:r>
          </w:p>
          <w:p w14:paraId="32C9A670" w14:textId="77777777" w:rsidR="00DC7D3C" w:rsidRPr="00D94F2B" w:rsidRDefault="00DC7D3C" w:rsidP="00FD6019">
            <w:pPr>
              <w:pStyle w:val="TableText0"/>
              <w:rPr>
                <w:iCs w:val="0"/>
                <w:sz w:val="12"/>
                <w:szCs w:val="12"/>
              </w:rPr>
            </w:pPr>
          </w:p>
          <w:p w14:paraId="7D02E0F0" w14:textId="77777777" w:rsidR="00DC7D3C" w:rsidRPr="00D94F2B" w:rsidRDefault="00DC7D3C" w:rsidP="00FD6019">
            <w:pPr>
              <w:pStyle w:val="TableText0"/>
              <w:rPr>
                <w:iCs w:val="0"/>
              </w:rPr>
            </w:pPr>
            <w:r w:rsidRPr="00D94F2B">
              <w:rPr>
                <w:iCs w:val="0"/>
              </w:rPr>
              <w:t>IGA-CHE severity state at 12 weeks:</w:t>
            </w:r>
          </w:p>
          <w:p w14:paraId="727C579D" w14:textId="01863AD9" w:rsidR="00DC7D3C" w:rsidRPr="003778BC" w:rsidRDefault="00DC7D3C" w:rsidP="00FD6019">
            <w:pPr>
              <w:pStyle w:val="TableText0"/>
              <w:rPr>
                <w:iCs w:val="0"/>
                <w:lang w:val="it-IT"/>
              </w:rPr>
            </w:pPr>
            <w:r w:rsidRPr="003778BC">
              <w:rPr>
                <w:iCs w:val="0"/>
                <w:lang w:val="it-IT"/>
              </w:rPr>
              <w:t>Delgocitinib: IGA-CHE 2 = 52.7%, IGA-CHE 3 = 38.5%, IGA-CHE 4 = 8.9%.</w:t>
            </w:r>
          </w:p>
          <w:p w14:paraId="273A08C4" w14:textId="0C6A611C" w:rsidR="00DC7D3C" w:rsidRPr="00D94F2B" w:rsidRDefault="00DC7D3C" w:rsidP="00FD6019">
            <w:pPr>
              <w:pStyle w:val="TableText0"/>
              <w:rPr>
                <w:iCs w:val="0"/>
              </w:rPr>
            </w:pPr>
            <w:r w:rsidRPr="003778BC">
              <w:rPr>
                <w:iCs w:val="0"/>
                <w:lang w:val="it-IT"/>
              </w:rPr>
              <w:t xml:space="preserve">SoC: IGA-CHE 2 = 28.1%, IGA-CHE 3 = 47.4%, IGA-CHE 4 = 24.5%. </w:t>
            </w:r>
            <w:r w:rsidR="001E2F7A" w:rsidRPr="003778BC">
              <w:rPr>
                <w:iCs w:val="0"/>
                <w:lang w:val="it-IT"/>
              </w:rPr>
              <w:br/>
            </w:r>
            <w:r w:rsidRPr="00D94F2B">
              <w:rPr>
                <w:iCs w:val="0"/>
              </w:rPr>
              <w:t xml:space="preserve">Derived from DELTA 1 and DELTA 2 </w:t>
            </w:r>
            <w:r w:rsidR="006403BC" w:rsidRPr="00D94F2B">
              <w:rPr>
                <w:iCs w:val="0"/>
              </w:rPr>
              <w:t>trials.</w:t>
            </w:r>
          </w:p>
          <w:p w14:paraId="786EFBE0" w14:textId="77777777" w:rsidR="00DC7D3C" w:rsidRPr="00D94F2B" w:rsidRDefault="00DC7D3C" w:rsidP="00FD6019">
            <w:pPr>
              <w:pStyle w:val="TableText0"/>
              <w:rPr>
                <w:iCs w:val="0"/>
                <w:sz w:val="12"/>
                <w:szCs w:val="12"/>
              </w:rPr>
            </w:pPr>
          </w:p>
          <w:p w14:paraId="54C1B4D0" w14:textId="3C37EFCB" w:rsidR="00DC7D3C" w:rsidRPr="00D94F2B" w:rsidRDefault="00DC7D3C" w:rsidP="00FD6019">
            <w:pPr>
              <w:pStyle w:val="TableText0"/>
              <w:rPr>
                <w:iCs w:val="0"/>
              </w:rPr>
            </w:pPr>
            <w:r w:rsidRPr="00D94F2B">
              <w:rPr>
                <w:iCs w:val="0"/>
              </w:rPr>
              <w:t>Per-cycle probability of full response with continued treatment by non-responder health state</w:t>
            </w:r>
            <w:r w:rsidR="009F1E16" w:rsidRPr="00D94F2B">
              <w:rPr>
                <w:iCs w:val="0"/>
              </w:rPr>
              <w:t xml:space="preserve"> (partial response, low response and insufficient response)</w:t>
            </w:r>
            <w:r w:rsidRPr="00D94F2B">
              <w:rPr>
                <w:iCs w:val="0"/>
              </w:rPr>
              <w:t xml:space="preserve">: From partial response 10.5%, From low response 3.0%, From insufficient response: 0%. </w:t>
            </w:r>
            <w:r w:rsidR="001E2F7A" w:rsidRPr="00D94F2B">
              <w:rPr>
                <w:iCs w:val="0"/>
              </w:rPr>
              <w:br/>
            </w:r>
            <w:r w:rsidR="003E3AB2">
              <w:rPr>
                <w:iCs w:val="0"/>
              </w:rPr>
              <w:t>Derived</w:t>
            </w:r>
            <w:r w:rsidRPr="00D94F2B">
              <w:rPr>
                <w:iCs w:val="0"/>
              </w:rPr>
              <w:t xml:space="preserve"> from DELTA 3 </w:t>
            </w:r>
            <w:r w:rsidR="006403BC" w:rsidRPr="00D94F2B">
              <w:rPr>
                <w:iCs w:val="0"/>
              </w:rPr>
              <w:t>trial.</w:t>
            </w:r>
          </w:p>
          <w:p w14:paraId="264273E5" w14:textId="77777777" w:rsidR="00DC7D3C" w:rsidRPr="00D94F2B" w:rsidRDefault="00DC7D3C" w:rsidP="00FD6019">
            <w:pPr>
              <w:pStyle w:val="TableText0"/>
              <w:rPr>
                <w:iCs w:val="0"/>
                <w:sz w:val="12"/>
                <w:szCs w:val="12"/>
              </w:rPr>
            </w:pPr>
          </w:p>
          <w:p w14:paraId="5E64D3FC" w14:textId="718B6953" w:rsidR="00DC7D3C" w:rsidRPr="00D94F2B" w:rsidRDefault="00DC7D3C" w:rsidP="00FD6019">
            <w:pPr>
              <w:pStyle w:val="TableText0"/>
              <w:rPr>
                <w:iCs w:val="0"/>
              </w:rPr>
            </w:pPr>
            <w:r w:rsidRPr="00D94F2B">
              <w:rPr>
                <w:iCs w:val="0"/>
              </w:rPr>
              <w:t xml:space="preserve">Per cycle probability of relapse: delgocitinib arm: 37% to mild, 20.9% to moderate, 2.2% to severe, SoC arm: 36.7% to mild, 20.9% moderate, 2.2% to severe. </w:t>
            </w:r>
            <w:r w:rsidR="001E2F7A" w:rsidRPr="00D94F2B">
              <w:rPr>
                <w:iCs w:val="0"/>
              </w:rPr>
              <w:br/>
            </w:r>
            <w:r w:rsidRPr="00D94F2B">
              <w:rPr>
                <w:iCs w:val="0"/>
              </w:rPr>
              <w:t>Delgocitinib arm values from DELTA FORCE trial, SoC arm values from DELTA 3 trial.</w:t>
            </w:r>
            <w:r w:rsidR="00A94BD2" w:rsidRPr="00D94F2B">
              <w:rPr>
                <w:iCs w:val="0"/>
              </w:rPr>
              <w:t xml:space="preserve"> </w:t>
            </w:r>
          </w:p>
          <w:p w14:paraId="5D254270" w14:textId="77777777" w:rsidR="00DC7D3C" w:rsidRPr="00D94F2B" w:rsidRDefault="00DC7D3C" w:rsidP="00FD6019">
            <w:pPr>
              <w:pStyle w:val="TableText0"/>
              <w:rPr>
                <w:iCs w:val="0"/>
                <w:sz w:val="12"/>
                <w:szCs w:val="12"/>
              </w:rPr>
            </w:pPr>
          </w:p>
          <w:p w14:paraId="79729EFF" w14:textId="7C834E3A" w:rsidR="00DC7D3C" w:rsidRPr="00D94F2B" w:rsidRDefault="00DC7D3C" w:rsidP="00FD6019">
            <w:pPr>
              <w:pStyle w:val="TableText0"/>
              <w:rPr>
                <w:iCs w:val="0"/>
              </w:rPr>
            </w:pPr>
            <w:r w:rsidRPr="00D94F2B">
              <w:rPr>
                <w:iCs w:val="0"/>
              </w:rPr>
              <w:t xml:space="preserve">Per-cycle probability of full response with re-treatment following relapse 20.2%, </w:t>
            </w:r>
            <w:r w:rsidR="004A2A48" w:rsidRPr="00D94F2B">
              <w:rPr>
                <w:iCs w:val="0"/>
              </w:rPr>
              <w:br/>
            </w:r>
            <w:r w:rsidR="007A50E9">
              <w:rPr>
                <w:iCs w:val="0"/>
              </w:rPr>
              <w:t>Derived</w:t>
            </w:r>
            <w:r w:rsidRPr="00D94F2B">
              <w:rPr>
                <w:iCs w:val="0"/>
              </w:rPr>
              <w:t xml:space="preserve"> from DELTA 3 </w:t>
            </w:r>
            <w:r w:rsidR="006403BC" w:rsidRPr="00D94F2B">
              <w:rPr>
                <w:iCs w:val="0"/>
              </w:rPr>
              <w:t>trial.</w:t>
            </w:r>
          </w:p>
          <w:p w14:paraId="3D4A9473" w14:textId="77777777" w:rsidR="00DC7D3C" w:rsidRPr="00D94F2B" w:rsidRDefault="00DC7D3C" w:rsidP="00FD6019">
            <w:pPr>
              <w:pStyle w:val="TableText0"/>
              <w:rPr>
                <w:iCs w:val="0"/>
                <w:sz w:val="12"/>
                <w:szCs w:val="12"/>
              </w:rPr>
            </w:pPr>
          </w:p>
          <w:p w14:paraId="712DC456" w14:textId="3C3B0EE6" w:rsidR="00DC7D3C" w:rsidRPr="00D94F2B" w:rsidRDefault="00DC7D3C" w:rsidP="00FD6019">
            <w:pPr>
              <w:pStyle w:val="TableText0"/>
              <w:rPr>
                <w:iCs w:val="0"/>
              </w:rPr>
            </w:pPr>
            <w:r w:rsidRPr="00D94F2B">
              <w:rPr>
                <w:iCs w:val="0"/>
              </w:rPr>
              <w:t>Per-cycle probability of discontinuation from initial treatment and re-treatment for delgocitinib: 2.8%</w:t>
            </w:r>
            <w:r w:rsidRPr="00D94F2B">
              <w:rPr>
                <w:iCs w:val="0"/>
                <w:vertAlign w:val="superscript"/>
              </w:rPr>
              <w:t>a.</w:t>
            </w:r>
            <w:r w:rsidRPr="00D94F2B">
              <w:rPr>
                <w:iCs w:val="0"/>
              </w:rPr>
              <w:t xml:space="preserve"> </w:t>
            </w:r>
            <w:r w:rsidR="00B74392" w:rsidRPr="00D94F2B">
              <w:rPr>
                <w:iCs w:val="0"/>
              </w:rPr>
              <w:br/>
            </w:r>
            <w:r w:rsidR="007A50E9">
              <w:rPr>
                <w:iCs w:val="0"/>
              </w:rPr>
              <w:t>Derived</w:t>
            </w:r>
            <w:r w:rsidRPr="00D94F2B">
              <w:rPr>
                <w:iCs w:val="0"/>
              </w:rPr>
              <w:t xml:space="preserve"> from DELTA FORCE trial. </w:t>
            </w:r>
          </w:p>
          <w:p w14:paraId="03D1F8CE" w14:textId="77777777" w:rsidR="00DC7D3C" w:rsidRPr="00D94F2B" w:rsidRDefault="00DC7D3C" w:rsidP="00FD6019">
            <w:pPr>
              <w:pStyle w:val="TableText0"/>
              <w:rPr>
                <w:iCs w:val="0"/>
                <w:sz w:val="12"/>
                <w:szCs w:val="12"/>
              </w:rPr>
            </w:pPr>
          </w:p>
          <w:p w14:paraId="29429722" w14:textId="21B18F38" w:rsidR="00DC7D3C" w:rsidRPr="00D94F2B" w:rsidRDefault="00DC7D3C" w:rsidP="00FD6019">
            <w:pPr>
              <w:pStyle w:val="TableText0"/>
              <w:rPr>
                <w:iCs w:val="0"/>
              </w:rPr>
            </w:pPr>
            <w:r w:rsidRPr="00D94F2B">
              <w:rPr>
                <w:iCs w:val="0"/>
              </w:rPr>
              <w:t>Per-cycle probability of opting-out from re-treatment for delgocitinib: 4.6%</w:t>
            </w:r>
            <w:r w:rsidRPr="00D94F2B">
              <w:rPr>
                <w:iCs w:val="0"/>
                <w:vertAlign w:val="superscript"/>
              </w:rPr>
              <w:t>b</w:t>
            </w:r>
            <w:r w:rsidRPr="00D94F2B">
              <w:rPr>
                <w:iCs w:val="0"/>
              </w:rPr>
              <w:t xml:space="preserve">. </w:t>
            </w:r>
            <w:r w:rsidR="00B74392" w:rsidRPr="00D94F2B">
              <w:rPr>
                <w:iCs w:val="0"/>
              </w:rPr>
              <w:br/>
            </w:r>
            <w:r w:rsidR="00ED0289">
              <w:rPr>
                <w:iCs w:val="0"/>
              </w:rPr>
              <w:t>Derived</w:t>
            </w:r>
            <w:r w:rsidRPr="00D94F2B">
              <w:rPr>
                <w:iCs w:val="0"/>
              </w:rPr>
              <w:t xml:space="preserve"> from DELTA 3 </w:t>
            </w:r>
            <w:r w:rsidR="00072437" w:rsidRPr="00D94F2B">
              <w:rPr>
                <w:iCs w:val="0"/>
              </w:rPr>
              <w:t>trial.</w:t>
            </w:r>
          </w:p>
          <w:p w14:paraId="7AACB1D7" w14:textId="77777777" w:rsidR="00DC7D3C" w:rsidRPr="00D94F2B" w:rsidRDefault="00DC7D3C" w:rsidP="00FD6019">
            <w:pPr>
              <w:pStyle w:val="TableText0"/>
              <w:rPr>
                <w:iCs w:val="0"/>
                <w:sz w:val="12"/>
                <w:szCs w:val="12"/>
              </w:rPr>
            </w:pPr>
          </w:p>
          <w:p w14:paraId="73730B6A" w14:textId="1B25F8CB" w:rsidR="00DC7D3C" w:rsidRPr="00D94F2B" w:rsidRDefault="00DC7D3C" w:rsidP="00FD6019">
            <w:pPr>
              <w:pStyle w:val="TableText0"/>
              <w:rPr>
                <w:iCs w:val="0"/>
              </w:rPr>
            </w:pPr>
            <w:r w:rsidRPr="00D94F2B">
              <w:rPr>
                <w:iCs w:val="0"/>
              </w:rPr>
              <w:t>Probability of adverse event per cycle: Headache 0.67%, Nasopharyngitis 2.08</w:t>
            </w:r>
            <w:r w:rsidR="00072437" w:rsidRPr="00D94F2B">
              <w:rPr>
                <w:iCs w:val="0"/>
              </w:rPr>
              <w:t>%.</w:t>
            </w:r>
          </w:p>
          <w:p w14:paraId="1F89E2E9" w14:textId="77777777" w:rsidR="00DC7D3C" w:rsidRPr="00D94F2B" w:rsidRDefault="00DC7D3C" w:rsidP="00FD6019">
            <w:pPr>
              <w:pStyle w:val="TableText0"/>
              <w:rPr>
                <w:iCs w:val="0"/>
                <w:sz w:val="12"/>
                <w:szCs w:val="12"/>
              </w:rPr>
            </w:pPr>
          </w:p>
          <w:p w14:paraId="07D2D2CC" w14:textId="287F1991" w:rsidR="00DC7D3C" w:rsidRPr="00D94F2B" w:rsidRDefault="00E05747" w:rsidP="00FD6019">
            <w:pPr>
              <w:pStyle w:val="TableText0"/>
              <w:rPr>
                <w:iCs w:val="0"/>
              </w:rPr>
            </w:pPr>
            <w:r w:rsidRPr="00D94F2B">
              <w:rPr>
                <w:iCs w:val="0"/>
              </w:rPr>
              <w:t>Utility values associated with different levels of response were generated from pooled DELTA 1 and DELTA 2 trial results</w:t>
            </w:r>
            <w:r w:rsidR="00942601" w:rsidRPr="00D94F2B">
              <w:rPr>
                <w:iCs w:val="0"/>
              </w:rPr>
              <w:t xml:space="preserve"> (see below)</w:t>
            </w:r>
            <w:r w:rsidRPr="00D94F2B">
              <w:rPr>
                <w:iCs w:val="0"/>
              </w:rPr>
              <w:t>.</w:t>
            </w:r>
          </w:p>
          <w:p w14:paraId="3DEDA0E5" w14:textId="77777777" w:rsidR="00DC7D3C" w:rsidRPr="00D94F2B" w:rsidRDefault="00DC7D3C" w:rsidP="00FD6019">
            <w:pPr>
              <w:pStyle w:val="TableText0"/>
              <w:rPr>
                <w:iCs w:val="0"/>
                <w:sz w:val="12"/>
                <w:szCs w:val="12"/>
              </w:rPr>
            </w:pPr>
          </w:p>
          <w:p w14:paraId="6042414A" w14:textId="44749285" w:rsidR="00DC7D3C" w:rsidRPr="00D94F2B" w:rsidRDefault="00DC7D3C" w:rsidP="00FD6019">
            <w:pPr>
              <w:pStyle w:val="TableText0"/>
              <w:rPr>
                <w:iCs w:val="0"/>
              </w:rPr>
            </w:pPr>
            <w:r w:rsidRPr="00D94F2B">
              <w:rPr>
                <w:iCs w:val="0"/>
              </w:rPr>
              <w:t>Probability that patients who discontinue first line treatment</w:t>
            </w:r>
            <w:r w:rsidR="00C434E8" w:rsidRPr="00D94F2B">
              <w:rPr>
                <w:iCs w:val="0"/>
              </w:rPr>
              <w:t xml:space="preserve"> (delgocitinib)</w:t>
            </w:r>
            <w:r w:rsidRPr="00D94F2B">
              <w:rPr>
                <w:iCs w:val="0"/>
              </w:rPr>
              <w:t xml:space="preserve"> then move on to second line therapy</w:t>
            </w:r>
            <w:r w:rsidR="00C434E8" w:rsidRPr="00D94F2B">
              <w:rPr>
                <w:iCs w:val="0"/>
              </w:rPr>
              <w:t xml:space="preserve"> (basket composition: emollients 100% of patients, TCS 99.2%, TCI 6.5%</w:t>
            </w:r>
            <w:r w:rsidR="00672FA2" w:rsidRPr="00D94F2B">
              <w:rPr>
                <w:iCs w:val="0"/>
              </w:rPr>
              <w:t>)</w:t>
            </w:r>
            <w:r w:rsidR="00C434E8" w:rsidRPr="00D94F2B">
              <w:rPr>
                <w:iCs w:val="0"/>
              </w:rPr>
              <w:t>. From RWEAL study</w:t>
            </w:r>
            <w:r w:rsidRPr="00D94F2B">
              <w:rPr>
                <w:iCs w:val="0"/>
              </w:rPr>
              <w:t xml:space="preserve"> = 28</w:t>
            </w:r>
            <w:r w:rsidR="00072437" w:rsidRPr="00D94F2B">
              <w:rPr>
                <w:iCs w:val="0"/>
              </w:rPr>
              <w:t>%.</w:t>
            </w:r>
          </w:p>
          <w:p w14:paraId="68CF9463" w14:textId="77777777" w:rsidR="00DC7D3C" w:rsidRPr="00D94F2B" w:rsidRDefault="00DC7D3C" w:rsidP="00FD6019">
            <w:pPr>
              <w:pStyle w:val="TableText0"/>
              <w:rPr>
                <w:iCs w:val="0"/>
                <w:sz w:val="12"/>
                <w:szCs w:val="12"/>
              </w:rPr>
            </w:pPr>
          </w:p>
          <w:p w14:paraId="7E7C985E" w14:textId="13212181" w:rsidR="00DC7D3C" w:rsidRPr="00D94F2B" w:rsidRDefault="00DC7D3C" w:rsidP="00FD6019">
            <w:pPr>
              <w:pStyle w:val="TableText0"/>
              <w:rPr>
                <w:iCs w:val="0"/>
              </w:rPr>
            </w:pPr>
            <w:r w:rsidRPr="00D94F2B">
              <w:rPr>
                <w:iCs w:val="0"/>
              </w:rPr>
              <w:t xml:space="preserve">Probability that patients who discontinue first line treatment </w:t>
            </w:r>
            <w:r w:rsidR="006715DE" w:rsidRPr="00D94F2B">
              <w:rPr>
                <w:iCs w:val="0"/>
              </w:rPr>
              <w:t>(delgoc</w:t>
            </w:r>
            <w:r w:rsidR="00256599" w:rsidRPr="00D94F2B">
              <w:rPr>
                <w:iCs w:val="0"/>
              </w:rPr>
              <w:t>i</w:t>
            </w:r>
            <w:r w:rsidR="006715DE" w:rsidRPr="00D94F2B">
              <w:rPr>
                <w:iCs w:val="0"/>
              </w:rPr>
              <w:t xml:space="preserve">tinib) </w:t>
            </w:r>
            <w:r w:rsidRPr="00D94F2B">
              <w:rPr>
                <w:iCs w:val="0"/>
              </w:rPr>
              <w:t>then move on to best supportive care = 72</w:t>
            </w:r>
            <w:r w:rsidR="00072437" w:rsidRPr="00D94F2B">
              <w:rPr>
                <w:iCs w:val="0"/>
              </w:rPr>
              <w:t>%.</w:t>
            </w:r>
          </w:p>
          <w:p w14:paraId="0CEE3866" w14:textId="77777777" w:rsidR="00DC7D3C" w:rsidRPr="00D94F2B" w:rsidRDefault="00DC7D3C" w:rsidP="00FD6019">
            <w:pPr>
              <w:pStyle w:val="TableText0"/>
              <w:rPr>
                <w:iCs w:val="0"/>
                <w:sz w:val="12"/>
                <w:szCs w:val="12"/>
              </w:rPr>
            </w:pPr>
          </w:p>
          <w:p w14:paraId="55A42321" w14:textId="4580951A" w:rsidR="00B521B3" w:rsidRPr="00D94F2B" w:rsidRDefault="00DC7D3C" w:rsidP="00FD6019">
            <w:pPr>
              <w:pStyle w:val="TableText0"/>
              <w:rPr>
                <w:iCs w:val="0"/>
              </w:rPr>
            </w:pPr>
            <w:r w:rsidRPr="00D94F2B">
              <w:rPr>
                <w:iCs w:val="0"/>
              </w:rPr>
              <w:t>Probability that patients receiving a basket of next-line treatments will have a full response at any given time = 40.6%</w:t>
            </w:r>
          </w:p>
          <w:p w14:paraId="1BD6D17C" w14:textId="31150FE8" w:rsidR="00DC7D3C" w:rsidRPr="00D94F2B" w:rsidRDefault="00B521B3" w:rsidP="00FD6019">
            <w:pPr>
              <w:pStyle w:val="TableText0"/>
              <w:rPr>
                <w:iCs w:val="0"/>
              </w:rPr>
            </w:pPr>
            <w:r w:rsidRPr="00D94F2B">
              <w:rPr>
                <w:iCs w:val="0"/>
              </w:rPr>
              <w:t>B</w:t>
            </w:r>
            <w:r w:rsidR="006925F5" w:rsidRPr="00D94F2B">
              <w:rPr>
                <w:iCs w:val="0"/>
              </w:rPr>
              <w:t xml:space="preserve">ased on the </w:t>
            </w:r>
            <w:r w:rsidR="00556554" w:rsidRPr="00D94F2B">
              <w:rPr>
                <w:iCs w:val="0"/>
              </w:rPr>
              <w:t>RWEAL study</w:t>
            </w:r>
            <w:r w:rsidR="00DC7D3C" w:rsidRPr="00D94F2B">
              <w:rPr>
                <w:iCs w:val="0"/>
              </w:rPr>
              <w:t>.</w:t>
            </w:r>
          </w:p>
        </w:tc>
      </w:tr>
      <w:bookmarkEnd w:id="77"/>
      <w:tr w:rsidR="00DC7D3C" w:rsidRPr="00D94F2B" w14:paraId="19510A78" w14:textId="77777777" w:rsidTr="00C21DB1">
        <w:tc>
          <w:tcPr>
            <w:tcW w:w="784" w:type="pct"/>
            <w:vAlign w:val="center"/>
          </w:tcPr>
          <w:p w14:paraId="7FBD2979" w14:textId="77777777" w:rsidR="00DC7D3C" w:rsidRPr="00D94F2B" w:rsidRDefault="00DC7D3C" w:rsidP="00FD6019">
            <w:pPr>
              <w:pStyle w:val="TableText0"/>
              <w:rPr>
                <w:iCs w:val="0"/>
              </w:rPr>
            </w:pPr>
            <w:r w:rsidRPr="00D94F2B">
              <w:rPr>
                <w:iCs w:val="0"/>
              </w:rPr>
              <w:t>Utilities</w:t>
            </w:r>
          </w:p>
        </w:tc>
        <w:tc>
          <w:tcPr>
            <w:tcW w:w="4216" w:type="pct"/>
          </w:tcPr>
          <w:p w14:paraId="16119C4D" w14:textId="1CB28DC8" w:rsidR="00705351" w:rsidRPr="00D94F2B" w:rsidRDefault="00705351" w:rsidP="00FD6019">
            <w:pPr>
              <w:pStyle w:val="TableText0"/>
              <w:rPr>
                <w:iCs w:val="0"/>
              </w:rPr>
            </w:pPr>
            <w:r w:rsidRPr="00D94F2B">
              <w:rPr>
                <w:iCs w:val="0"/>
              </w:rPr>
              <w:t xml:space="preserve">All utilities </w:t>
            </w:r>
            <w:r w:rsidR="006B76AB" w:rsidRPr="00D94F2B">
              <w:rPr>
                <w:iCs w:val="0"/>
              </w:rPr>
              <w:t xml:space="preserve">were </w:t>
            </w:r>
            <w:r w:rsidRPr="00D94F2B">
              <w:rPr>
                <w:iCs w:val="0"/>
              </w:rPr>
              <w:t xml:space="preserve">from the DELTA 1 </w:t>
            </w:r>
            <w:r w:rsidR="00261A52" w:rsidRPr="00D94F2B">
              <w:rPr>
                <w:iCs w:val="0"/>
              </w:rPr>
              <w:t xml:space="preserve">and DELTA </w:t>
            </w:r>
            <w:r w:rsidRPr="00D94F2B">
              <w:rPr>
                <w:iCs w:val="0"/>
              </w:rPr>
              <w:t>2 trials.</w:t>
            </w:r>
          </w:p>
          <w:p w14:paraId="16ED0DD5" w14:textId="77777777" w:rsidR="00DC7D3C" w:rsidRPr="00D94F2B" w:rsidRDefault="00DC7D3C" w:rsidP="00FD6019">
            <w:pPr>
              <w:pStyle w:val="TableText0"/>
              <w:rPr>
                <w:iCs w:val="0"/>
              </w:rPr>
            </w:pPr>
            <w:r w:rsidRPr="00D94F2B">
              <w:rPr>
                <w:iCs w:val="0"/>
              </w:rPr>
              <w:t>Baseline: 0.672</w:t>
            </w:r>
          </w:p>
          <w:p w14:paraId="1F38560F" w14:textId="77777777" w:rsidR="00DC7D3C" w:rsidRPr="00D94F2B" w:rsidRDefault="00DC7D3C" w:rsidP="00FD6019">
            <w:pPr>
              <w:pStyle w:val="TableText0"/>
              <w:rPr>
                <w:iCs w:val="0"/>
              </w:rPr>
            </w:pPr>
            <w:r w:rsidRPr="00D94F2B">
              <w:rPr>
                <w:iCs w:val="0"/>
                <w:u w:val="single"/>
              </w:rPr>
              <w:t>Delgocitinib</w:t>
            </w:r>
            <w:r w:rsidRPr="00D94F2B">
              <w:rPr>
                <w:iCs w:val="0"/>
              </w:rPr>
              <w:t>:</w:t>
            </w:r>
          </w:p>
          <w:p w14:paraId="4F4A4155" w14:textId="77777777" w:rsidR="00DC7D3C" w:rsidRPr="00D94F2B" w:rsidRDefault="00DC7D3C" w:rsidP="00FD6019">
            <w:pPr>
              <w:pStyle w:val="TableText0"/>
              <w:rPr>
                <w:iCs w:val="0"/>
              </w:rPr>
            </w:pPr>
            <w:r w:rsidRPr="00D94F2B">
              <w:rPr>
                <w:iCs w:val="0"/>
              </w:rPr>
              <w:t>Full response: 0.897</w:t>
            </w:r>
          </w:p>
          <w:p w14:paraId="6EB94972" w14:textId="77777777" w:rsidR="00DC7D3C" w:rsidRPr="00D94F2B" w:rsidRDefault="00DC7D3C" w:rsidP="00FD6019">
            <w:pPr>
              <w:pStyle w:val="TableText0"/>
              <w:rPr>
                <w:iCs w:val="0"/>
              </w:rPr>
            </w:pPr>
            <w:r w:rsidRPr="00D94F2B">
              <w:rPr>
                <w:iCs w:val="0"/>
              </w:rPr>
              <w:t>Partial response: 0.835</w:t>
            </w:r>
          </w:p>
          <w:p w14:paraId="55438603" w14:textId="77777777" w:rsidR="00DC7D3C" w:rsidRPr="00D94F2B" w:rsidRDefault="00DC7D3C" w:rsidP="00FD6019">
            <w:pPr>
              <w:pStyle w:val="TableText0"/>
              <w:rPr>
                <w:iCs w:val="0"/>
              </w:rPr>
            </w:pPr>
            <w:r w:rsidRPr="00D94F2B">
              <w:rPr>
                <w:iCs w:val="0"/>
              </w:rPr>
              <w:t>Low response: 0.748</w:t>
            </w:r>
          </w:p>
          <w:p w14:paraId="1A78F4A3" w14:textId="77777777" w:rsidR="00DC7D3C" w:rsidRPr="00D94F2B" w:rsidRDefault="00DC7D3C" w:rsidP="00FD6019">
            <w:pPr>
              <w:pStyle w:val="TableText0"/>
              <w:rPr>
                <w:iCs w:val="0"/>
              </w:rPr>
            </w:pPr>
            <w:r w:rsidRPr="00D94F2B">
              <w:rPr>
                <w:iCs w:val="0"/>
              </w:rPr>
              <w:t>Insufficient response: 0.659</w:t>
            </w:r>
          </w:p>
          <w:p w14:paraId="2D4DD8FF" w14:textId="77777777" w:rsidR="00DC7D3C" w:rsidRPr="00D94F2B" w:rsidRDefault="00DC7D3C" w:rsidP="00FD6019">
            <w:pPr>
              <w:pStyle w:val="TableText0"/>
              <w:rPr>
                <w:iCs w:val="0"/>
                <w:u w:val="single"/>
              </w:rPr>
            </w:pPr>
            <w:r w:rsidRPr="00D94F2B">
              <w:rPr>
                <w:iCs w:val="0"/>
                <w:u w:val="single"/>
              </w:rPr>
              <w:t>SoC:</w:t>
            </w:r>
          </w:p>
          <w:p w14:paraId="1E8A88ED" w14:textId="77777777" w:rsidR="00DC7D3C" w:rsidRPr="00D94F2B" w:rsidRDefault="00DC7D3C" w:rsidP="00FD6019">
            <w:pPr>
              <w:pStyle w:val="TableText0"/>
              <w:rPr>
                <w:iCs w:val="0"/>
              </w:rPr>
            </w:pPr>
            <w:r w:rsidRPr="00D94F2B">
              <w:rPr>
                <w:iCs w:val="0"/>
              </w:rPr>
              <w:lastRenderedPageBreak/>
              <w:t>Full response: 0.873</w:t>
            </w:r>
          </w:p>
          <w:p w14:paraId="43B3C137" w14:textId="77777777" w:rsidR="00DC7D3C" w:rsidRPr="00D94F2B" w:rsidRDefault="00DC7D3C" w:rsidP="00FD6019">
            <w:pPr>
              <w:pStyle w:val="TableText0"/>
              <w:rPr>
                <w:iCs w:val="0"/>
              </w:rPr>
            </w:pPr>
            <w:r w:rsidRPr="00D94F2B">
              <w:rPr>
                <w:iCs w:val="0"/>
              </w:rPr>
              <w:t>Partial response: 0.811</w:t>
            </w:r>
          </w:p>
          <w:p w14:paraId="62084201" w14:textId="77777777" w:rsidR="00DC7D3C" w:rsidRPr="00D94F2B" w:rsidRDefault="00DC7D3C" w:rsidP="00FD6019">
            <w:pPr>
              <w:pStyle w:val="TableText0"/>
              <w:rPr>
                <w:iCs w:val="0"/>
              </w:rPr>
            </w:pPr>
            <w:r w:rsidRPr="00D94F2B">
              <w:rPr>
                <w:iCs w:val="0"/>
              </w:rPr>
              <w:t>Low response: 0.725</w:t>
            </w:r>
          </w:p>
          <w:p w14:paraId="71D91732" w14:textId="77777777" w:rsidR="00DC7D3C" w:rsidRPr="00D94F2B" w:rsidRDefault="00DC7D3C" w:rsidP="00FD6019">
            <w:pPr>
              <w:pStyle w:val="TableText0"/>
              <w:rPr>
                <w:iCs w:val="0"/>
              </w:rPr>
            </w:pPr>
            <w:r w:rsidRPr="00D94F2B">
              <w:rPr>
                <w:iCs w:val="0"/>
              </w:rPr>
              <w:t>Insufficient response: 0.635</w:t>
            </w:r>
          </w:p>
          <w:p w14:paraId="305BDC84" w14:textId="77777777" w:rsidR="00DC7D3C" w:rsidRPr="00D94F2B" w:rsidRDefault="00DC7D3C" w:rsidP="00FD6019">
            <w:pPr>
              <w:pStyle w:val="TableText0"/>
              <w:rPr>
                <w:iCs w:val="0"/>
              </w:rPr>
            </w:pPr>
            <w:r w:rsidRPr="00D94F2B">
              <w:rPr>
                <w:iCs w:val="0"/>
              </w:rPr>
              <w:t>Second line: 0.808</w:t>
            </w:r>
          </w:p>
          <w:p w14:paraId="4F277777" w14:textId="3C12D229" w:rsidR="00DC7D3C" w:rsidRPr="00D94F2B" w:rsidRDefault="00DC7D3C" w:rsidP="00FD6019">
            <w:pPr>
              <w:pStyle w:val="TableText0"/>
              <w:rPr>
                <w:iCs w:val="0"/>
              </w:rPr>
            </w:pPr>
            <w:r w:rsidRPr="00D94F2B">
              <w:rPr>
                <w:iCs w:val="0"/>
              </w:rPr>
              <w:t>Headache disutility: 0.038</w:t>
            </w:r>
          </w:p>
          <w:p w14:paraId="381EDCF5" w14:textId="39153122" w:rsidR="00DC7D3C" w:rsidRPr="00D94F2B" w:rsidRDefault="00DC7D3C" w:rsidP="00FD6019">
            <w:pPr>
              <w:pStyle w:val="TableText0"/>
              <w:rPr>
                <w:iCs w:val="0"/>
              </w:rPr>
            </w:pPr>
            <w:r w:rsidRPr="00D94F2B">
              <w:rPr>
                <w:iCs w:val="0"/>
              </w:rPr>
              <w:t>Nasopharyngitis disutility: 0.038</w:t>
            </w:r>
          </w:p>
          <w:p w14:paraId="54353C24" w14:textId="3AC3E918" w:rsidR="00DC7D3C" w:rsidRPr="00D94F2B" w:rsidRDefault="00DC7D3C" w:rsidP="00FD6019">
            <w:pPr>
              <w:pStyle w:val="TableText0"/>
              <w:rPr>
                <w:iCs w:val="0"/>
              </w:rPr>
            </w:pPr>
            <w:r w:rsidRPr="00D94F2B">
              <w:rPr>
                <w:iCs w:val="0"/>
              </w:rPr>
              <w:t>BSC: equal to baseline</w:t>
            </w:r>
          </w:p>
        </w:tc>
      </w:tr>
      <w:tr w:rsidR="00DC7D3C" w:rsidRPr="00D94F2B" w14:paraId="0C7C148C" w14:textId="77777777" w:rsidTr="00C21DB1">
        <w:tc>
          <w:tcPr>
            <w:tcW w:w="784" w:type="pct"/>
            <w:vAlign w:val="center"/>
          </w:tcPr>
          <w:p w14:paraId="550B6BD1" w14:textId="77777777" w:rsidR="00DC7D3C" w:rsidRPr="00D94F2B" w:rsidRDefault="00DC7D3C" w:rsidP="00FD6019">
            <w:pPr>
              <w:pStyle w:val="TableText0"/>
              <w:rPr>
                <w:iCs w:val="0"/>
              </w:rPr>
            </w:pPr>
            <w:r w:rsidRPr="00D94F2B">
              <w:rPr>
                <w:iCs w:val="0"/>
              </w:rPr>
              <w:lastRenderedPageBreak/>
              <w:t>Costs</w:t>
            </w:r>
          </w:p>
        </w:tc>
        <w:tc>
          <w:tcPr>
            <w:tcW w:w="4216" w:type="pct"/>
          </w:tcPr>
          <w:p w14:paraId="3234230B" w14:textId="121F78E0" w:rsidR="00DC7D3C" w:rsidRPr="00D94F2B" w:rsidRDefault="00EA171E" w:rsidP="00FD6019">
            <w:pPr>
              <w:pStyle w:val="TableText0"/>
              <w:rPr>
                <w:iCs w:val="0"/>
              </w:rPr>
            </w:pPr>
            <w:r w:rsidRPr="00D94F2B">
              <w:rPr>
                <w:iCs w:val="0"/>
              </w:rPr>
              <w:t xml:space="preserve">Amount applied </w:t>
            </w:r>
            <w:r w:rsidR="00DC7D3C" w:rsidRPr="00D94F2B">
              <w:rPr>
                <w:iCs w:val="0"/>
              </w:rPr>
              <w:t xml:space="preserve">per week of delgocitinib from DELTA </w:t>
            </w:r>
            <w:r w:rsidR="00261A52" w:rsidRPr="00D94F2B">
              <w:rPr>
                <w:iCs w:val="0"/>
              </w:rPr>
              <w:t xml:space="preserve">1, DELTA 2 </w:t>
            </w:r>
            <w:r w:rsidR="005A0FB0" w:rsidRPr="00D94F2B">
              <w:rPr>
                <w:iCs w:val="0"/>
              </w:rPr>
              <w:t>and DELTA FORCE</w:t>
            </w:r>
            <w:r w:rsidR="00DC7D3C" w:rsidRPr="00D94F2B">
              <w:rPr>
                <w:iCs w:val="0"/>
              </w:rPr>
              <w:t xml:space="preserve"> trials</w:t>
            </w:r>
            <w:r w:rsidR="00435F8B" w:rsidRPr="00D94F2B">
              <w:rPr>
                <w:iCs w:val="0"/>
              </w:rPr>
              <w:t xml:space="preserve"> to achieve</w:t>
            </w:r>
            <w:r w:rsidR="00DC7D3C" w:rsidRPr="00D94F2B">
              <w:rPr>
                <w:iCs w:val="0"/>
              </w:rPr>
              <w:t>:</w:t>
            </w:r>
          </w:p>
          <w:p w14:paraId="153128FA" w14:textId="77777777" w:rsidR="00DC7D3C" w:rsidRPr="00D94F2B" w:rsidRDefault="00DC7D3C" w:rsidP="00FD6019">
            <w:pPr>
              <w:pStyle w:val="TableText0"/>
              <w:rPr>
                <w:iCs w:val="0"/>
              </w:rPr>
            </w:pPr>
            <w:r w:rsidRPr="00D94F2B">
              <w:rPr>
                <w:iCs w:val="0"/>
              </w:rPr>
              <w:t>Full response: 8.24 g</w:t>
            </w:r>
          </w:p>
          <w:p w14:paraId="19FDB958" w14:textId="77777777" w:rsidR="00DC7D3C" w:rsidRPr="00D94F2B" w:rsidRDefault="00DC7D3C" w:rsidP="00FD6019">
            <w:pPr>
              <w:pStyle w:val="TableText0"/>
              <w:rPr>
                <w:iCs w:val="0"/>
              </w:rPr>
            </w:pPr>
            <w:r w:rsidRPr="00D94F2B">
              <w:rPr>
                <w:iCs w:val="0"/>
              </w:rPr>
              <w:t>Partial response: 8.75 g</w:t>
            </w:r>
          </w:p>
          <w:p w14:paraId="35BC1320" w14:textId="77777777" w:rsidR="00DC7D3C" w:rsidRPr="00D94F2B" w:rsidRDefault="00DC7D3C" w:rsidP="00FD6019">
            <w:pPr>
              <w:pStyle w:val="TableText0"/>
              <w:rPr>
                <w:iCs w:val="0"/>
              </w:rPr>
            </w:pPr>
            <w:r w:rsidRPr="00D94F2B">
              <w:rPr>
                <w:iCs w:val="0"/>
              </w:rPr>
              <w:t>Low response: 8.78 g</w:t>
            </w:r>
          </w:p>
          <w:p w14:paraId="0B368846" w14:textId="77777777" w:rsidR="00DC7D3C" w:rsidRPr="00D94F2B" w:rsidRDefault="00DC7D3C" w:rsidP="00FD6019">
            <w:pPr>
              <w:pStyle w:val="TableText0"/>
              <w:rPr>
                <w:iCs w:val="0"/>
              </w:rPr>
            </w:pPr>
            <w:r w:rsidRPr="00D94F2B">
              <w:rPr>
                <w:iCs w:val="0"/>
              </w:rPr>
              <w:t>Insufficient response: 8.61 g</w:t>
            </w:r>
          </w:p>
          <w:p w14:paraId="69BE876E" w14:textId="6CAF483F" w:rsidR="00DC7D3C" w:rsidRPr="00D94F2B" w:rsidRDefault="00DC7D3C" w:rsidP="00FD6019">
            <w:pPr>
              <w:pStyle w:val="TableText0"/>
              <w:rPr>
                <w:iCs w:val="0"/>
                <w:sz w:val="12"/>
                <w:szCs w:val="12"/>
              </w:rPr>
            </w:pPr>
          </w:p>
          <w:p w14:paraId="4D5E6692" w14:textId="5C0BE04D" w:rsidR="00DC7D3C" w:rsidRPr="00D94F2B" w:rsidRDefault="00CD2C32" w:rsidP="00FD6019">
            <w:pPr>
              <w:pStyle w:val="TableText0"/>
              <w:rPr>
                <w:iCs w:val="0"/>
              </w:rPr>
            </w:pPr>
            <w:r w:rsidRPr="00D94F2B">
              <w:rPr>
                <w:iCs w:val="0"/>
              </w:rPr>
              <w:t>EMP =</w:t>
            </w:r>
            <w:r w:rsidR="00DC7D3C" w:rsidRPr="00D94F2B">
              <w:rPr>
                <w:iCs w:val="0"/>
              </w:rPr>
              <w:t>$</w:t>
            </w:r>
            <w:r w:rsidR="00D34C8E" w:rsidRPr="00D34C8E">
              <w:rPr>
                <w:iCs w:val="0"/>
                <w:highlight w:val="black"/>
              </w:rPr>
              <w:t>&amp;&amp;&amp;&amp;</w:t>
            </w:r>
            <w:r w:rsidR="004901A1" w:rsidRPr="00D94F2B">
              <w:rPr>
                <w:iCs w:val="0"/>
              </w:rPr>
              <w:t>; DPMQ = $</w:t>
            </w:r>
            <w:r w:rsidR="00D34C8E" w:rsidRPr="00D34C8E">
              <w:rPr>
                <w:iCs w:val="0"/>
                <w:highlight w:val="black"/>
              </w:rPr>
              <w:t>&amp;&amp;&amp;&amp;</w:t>
            </w:r>
            <w:r w:rsidR="00DC7D3C" w:rsidRPr="00D94F2B">
              <w:rPr>
                <w:iCs w:val="0"/>
              </w:rPr>
              <w:t xml:space="preserve"> per 60g tube</w:t>
            </w:r>
            <w:r w:rsidR="0084252E">
              <w:rPr>
                <w:iCs w:val="0"/>
                <w:vertAlign w:val="superscript"/>
              </w:rPr>
              <w:t>c</w:t>
            </w:r>
            <w:r w:rsidR="00DC7D3C" w:rsidRPr="00D94F2B">
              <w:rPr>
                <w:iCs w:val="0"/>
              </w:rPr>
              <w:t xml:space="preserve">. </w:t>
            </w:r>
          </w:p>
          <w:p w14:paraId="3991C030" w14:textId="77777777" w:rsidR="00DC7D3C" w:rsidRPr="00D94F2B" w:rsidRDefault="00DC7D3C" w:rsidP="00FD6019">
            <w:pPr>
              <w:pStyle w:val="TableText0"/>
              <w:rPr>
                <w:iCs w:val="0"/>
                <w:sz w:val="12"/>
                <w:szCs w:val="12"/>
              </w:rPr>
            </w:pPr>
          </w:p>
          <w:p w14:paraId="20EB8B7A" w14:textId="70DD79D5" w:rsidR="00DC7D3C" w:rsidRPr="00D94F2B" w:rsidRDefault="00DC7D3C" w:rsidP="004901A1">
            <w:pPr>
              <w:pStyle w:val="TableText0"/>
              <w:rPr>
                <w:iCs w:val="0"/>
              </w:rPr>
            </w:pPr>
            <w:r w:rsidRPr="00D94F2B">
              <w:rPr>
                <w:iCs w:val="0"/>
              </w:rPr>
              <w:t>Costs of the following treatments in 2nd line therapy</w:t>
            </w:r>
            <w:r w:rsidR="004901A1" w:rsidRPr="00D94F2B">
              <w:rPr>
                <w:iCs w:val="0"/>
              </w:rPr>
              <w:t xml:space="preserve">: </w:t>
            </w:r>
            <w:r w:rsidRPr="00D94F2B">
              <w:rPr>
                <w:iCs w:val="0"/>
              </w:rPr>
              <w:t>Ciclosporin</w:t>
            </w:r>
            <w:r w:rsidR="004901A1" w:rsidRPr="00D94F2B">
              <w:rPr>
                <w:iCs w:val="0"/>
              </w:rPr>
              <w:t xml:space="preserve">, </w:t>
            </w:r>
            <w:r w:rsidRPr="00D94F2B">
              <w:rPr>
                <w:iCs w:val="0"/>
              </w:rPr>
              <w:t>Methotrexate</w:t>
            </w:r>
            <w:r w:rsidR="004901A1" w:rsidRPr="00D94F2B">
              <w:rPr>
                <w:iCs w:val="0"/>
              </w:rPr>
              <w:t xml:space="preserve">, </w:t>
            </w:r>
            <w:r w:rsidRPr="00D94F2B">
              <w:rPr>
                <w:iCs w:val="0"/>
              </w:rPr>
              <w:t>Acitretin</w:t>
            </w:r>
            <w:r w:rsidR="004901A1" w:rsidRPr="00D94F2B">
              <w:rPr>
                <w:iCs w:val="0"/>
              </w:rPr>
              <w:t xml:space="preserve">, </w:t>
            </w:r>
            <w:r w:rsidRPr="00D94F2B">
              <w:rPr>
                <w:iCs w:val="0"/>
              </w:rPr>
              <w:t>Azathioprine</w:t>
            </w:r>
            <w:r w:rsidR="004901A1" w:rsidRPr="00D94F2B">
              <w:rPr>
                <w:iCs w:val="0"/>
              </w:rPr>
              <w:t xml:space="preserve">, </w:t>
            </w:r>
            <w:r w:rsidRPr="00D94F2B">
              <w:rPr>
                <w:iCs w:val="0"/>
              </w:rPr>
              <w:t>Oral steroids</w:t>
            </w:r>
            <w:r w:rsidR="004901A1" w:rsidRPr="00D94F2B">
              <w:rPr>
                <w:iCs w:val="0"/>
              </w:rPr>
              <w:t xml:space="preserve">, </w:t>
            </w:r>
            <w:r w:rsidRPr="00D94F2B">
              <w:rPr>
                <w:iCs w:val="0"/>
              </w:rPr>
              <w:t>UVB</w:t>
            </w:r>
            <w:r w:rsidR="004901A1" w:rsidRPr="00D94F2B">
              <w:rPr>
                <w:iCs w:val="0"/>
              </w:rPr>
              <w:t xml:space="preserve">, </w:t>
            </w:r>
            <w:r w:rsidRPr="00D94F2B">
              <w:rPr>
                <w:iCs w:val="0"/>
              </w:rPr>
              <w:t>Dupilumab</w:t>
            </w:r>
          </w:p>
          <w:p w14:paraId="0752830B" w14:textId="77777777" w:rsidR="00DC7D3C" w:rsidRPr="00D94F2B" w:rsidRDefault="00DC7D3C" w:rsidP="00FD6019">
            <w:pPr>
              <w:pStyle w:val="TableText0"/>
              <w:rPr>
                <w:iCs w:val="0"/>
              </w:rPr>
            </w:pPr>
            <w:r w:rsidRPr="00D94F2B">
              <w:rPr>
                <w:iCs w:val="0"/>
              </w:rPr>
              <w:t>Weighted average per cycle cost of $340.03.</w:t>
            </w:r>
          </w:p>
          <w:p w14:paraId="76B51304" w14:textId="77777777" w:rsidR="00DC7D3C" w:rsidRPr="00D94F2B" w:rsidRDefault="00DC7D3C" w:rsidP="00FD6019">
            <w:pPr>
              <w:pStyle w:val="TableText0"/>
              <w:rPr>
                <w:iCs w:val="0"/>
                <w:sz w:val="12"/>
                <w:szCs w:val="12"/>
              </w:rPr>
            </w:pPr>
          </w:p>
          <w:p w14:paraId="1BA777E4" w14:textId="77777777" w:rsidR="00DC7D3C" w:rsidRPr="00D94F2B" w:rsidRDefault="00DC7D3C" w:rsidP="00FD6019">
            <w:pPr>
              <w:pStyle w:val="TableText0"/>
              <w:rPr>
                <w:iCs w:val="0"/>
              </w:rPr>
            </w:pPr>
            <w:r w:rsidRPr="00D94F2B">
              <w:rPr>
                <w:iCs w:val="0"/>
              </w:rPr>
              <w:t>Health state costs per model cycle:</w:t>
            </w:r>
          </w:p>
          <w:p w14:paraId="02AF2DFD" w14:textId="34949CBD" w:rsidR="00DC7D3C" w:rsidRPr="00D94F2B" w:rsidRDefault="00DC7D3C" w:rsidP="00FD6019">
            <w:pPr>
              <w:pStyle w:val="TableText0"/>
              <w:rPr>
                <w:iCs w:val="0"/>
              </w:rPr>
            </w:pPr>
            <w:r w:rsidRPr="00D94F2B">
              <w:rPr>
                <w:iCs w:val="0"/>
              </w:rPr>
              <w:t>Full response $8.86</w:t>
            </w:r>
          </w:p>
          <w:p w14:paraId="1583F351" w14:textId="7B65891B" w:rsidR="00DC7D3C" w:rsidRPr="00D94F2B" w:rsidRDefault="00DC7D3C" w:rsidP="00FD6019">
            <w:pPr>
              <w:pStyle w:val="TableText0"/>
              <w:rPr>
                <w:iCs w:val="0"/>
              </w:rPr>
            </w:pPr>
            <w:r w:rsidRPr="00D94F2B">
              <w:rPr>
                <w:iCs w:val="0"/>
              </w:rPr>
              <w:t xml:space="preserve">Partial </w:t>
            </w:r>
            <w:r w:rsidR="004901A1" w:rsidRPr="00D94F2B">
              <w:rPr>
                <w:iCs w:val="0"/>
              </w:rPr>
              <w:t xml:space="preserve">and low </w:t>
            </w:r>
            <w:r w:rsidRPr="00D94F2B">
              <w:rPr>
                <w:iCs w:val="0"/>
              </w:rPr>
              <w:t xml:space="preserve">response $29.19 </w:t>
            </w:r>
          </w:p>
          <w:p w14:paraId="40EE3917" w14:textId="77777777" w:rsidR="00DC7D3C" w:rsidRPr="00D94F2B" w:rsidRDefault="00DC7D3C" w:rsidP="00FD6019">
            <w:pPr>
              <w:pStyle w:val="TableText0"/>
              <w:rPr>
                <w:iCs w:val="0"/>
              </w:rPr>
            </w:pPr>
            <w:r w:rsidRPr="00D94F2B">
              <w:rPr>
                <w:iCs w:val="0"/>
              </w:rPr>
              <w:t xml:space="preserve">Insufficient response $29.19 </w:t>
            </w:r>
          </w:p>
          <w:p w14:paraId="0E110386" w14:textId="69210DA4" w:rsidR="00DC7D3C" w:rsidRPr="00D94F2B" w:rsidRDefault="00DC7D3C" w:rsidP="00FD6019">
            <w:pPr>
              <w:pStyle w:val="TableText0"/>
              <w:rPr>
                <w:iCs w:val="0"/>
              </w:rPr>
            </w:pPr>
            <w:r w:rsidRPr="00D94F2B">
              <w:rPr>
                <w:iCs w:val="0"/>
              </w:rPr>
              <w:t xml:space="preserve">Second-line </w:t>
            </w:r>
            <w:r w:rsidR="004901A1" w:rsidRPr="00D94F2B">
              <w:rPr>
                <w:iCs w:val="0"/>
              </w:rPr>
              <w:t xml:space="preserve">and third line </w:t>
            </w:r>
            <w:r w:rsidRPr="00D94F2B">
              <w:rPr>
                <w:iCs w:val="0"/>
              </w:rPr>
              <w:t xml:space="preserve">treatment $20.94 </w:t>
            </w:r>
          </w:p>
          <w:p w14:paraId="2B57B20A" w14:textId="77777777" w:rsidR="00DC7D3C" w:rsidRPr="00D94F2B" w:rsidRDefault="00DC7D3C" w:rsidP="00FD6019">
            <w:pPr>
              <w:pStyle w:val="TableText0"/>
              <w:rPr>
                <w:iCs w:val="0"/>
              </w:rPr>
            </w:pPr>
            <w:r w:rsidRPr="00D94F2B">
              <w:rPr>
                <w:iCs w:val="0"/>
              </w:rPr>
              <w:t>BSC $29.19</w:t>
            </w:r>
          </w:p>
          <w:p w14:paraId="24EFA935" w14:textId="77777777" w:rsidR="00DC7D3C" w:rsidRPr="00D94F2B" w:rsidRDefault="00DC7D3C" w:rsidP="00FD6019">
            <w:pPr>
              <w:pStyle w:val="TableText0"/>
              <w:rPr>
                <w:iCs w:val="0"/>
                <w:sz w:val="12"/>
                <w:szCs w:val="12"/>
              </w:rPr>
            </w:pPr>
          </w:p>
          <w:p w14:paraId="0D944732" w14:textId="53016D1C" w:rsidR="00DC7D3C" w:rsidRPr="00D94F2B" w:rsidRDefault="00DC7D3C" w:rsidP="00FD6019">
            <w:pPr>
              <w:pStyle w:val="TableText0"/>
              <w:rPr>
                <w:iCs w:val="0"/>
              </w:rPr>
            </w:pPr>
            <w:r w:rsidRPr="00D94F2B">
              <w:rPr>
                <w:iCs w:val="0"/>
              </w:rPr>
              <w:t>Patients experiencing AEs were assumed to visit their general practitioner once at a cost of $42.85 (MBS item 23</w:t>
            </w:r>
            <w:r w:rsidR="00072437" w:rsidRPr="00D94F2B">
              <w:rPr>
                <w:iCs w:val="0"/>
              </w:rPr>
              <w:t>).</w:t>
            </w:r>
          </w:p>
        </w:tc>
      </w:tr>
      <w:tr w:rsidR="00DC7D3C" w:rsidRPr="00D94F2B" w14:paraId="793D3B7C" w14:textId="77777777" w:rsidTr="00C21DB1">
        <w:tc>
          <w:tcPr>
            <w:tcW w:w="784" w:type="pct"/>
            <w:vAlign w:val="center"/>
          </w:tcPr>
          <w:p w14:paraId="0F2CE800" w14:textId="77777777" w:rsidR="00DC7D3C" w:rsidRPr="00D94F2B" w:rsidRDefault="00DC7D3C" w:rsidP="00FD6019">
            <w:pPr>
              <w:pStyle w:val="TableText0"/>
              <w:rPr>
                <w:iCs w:val="0"/>
              </w:rPr>
            </w:pPr>
            <w:r w:rsidRPr="00D94F2B">
              <w:rPr>
                <w:iCs w:val="0"/>
              </w:rPr>
              <w:t>Software package</w:t>
            </w:r>
          </w:p>
        </w:tc>
        <w:tc>
          <w:tcPr>
            <w:tcW w:w="4216" w:type="pct"/>
          </w:tcPr>
          <w:p w14:paraId="48CCF0C3" w14:textId="0533AF0A" w:rsidR="00DC7D3C" w:rsidRPr="00D94F2B" w:rsidRDefault="00DC7D3C" w:rsidP="00FD6019">
            <w:pPr>
              <w:pStyle w:val="TableText0"/>
              <w:rPr>
                <w:iCs w:val="0"/>
              </w:rPr>
            </w:pPr>
            <w:r w:rsidRPr="00D94F2B">
              <w:rPr>
                <w:iCs w:val="0"/>
              </w:rPr>
              <w:t xml:space="preserve">Microsoft Excel </w:t>
            </w:r>
            <w:r w:rsidR="00072437" w:rsidRPr="00D94F2B">
              <w:rPr>
                <w:iCs w:val="0"/>
              </w:rPr>
              <w:t>365.</w:t>
            </w:r>
          </w:p>
        </w:tc>
      </w:tr>
    </w:tbl>
    <w:p w14:paraId="3D1FEB4C" w14:textId="77777777" w:rsidR="00DC7D3C" w:rsidRPr="002E75D2" w:rsidRDefault="00DC7D3C" w:rsidP="00DC7D3C">
      <w:pPr>
        <w:pStyle w:val="FooterTableFigure"/>
      </w:pPr>
      <w:r w:rsidRPr="002E75D2">
        <w:t>Source: Table 129, pp252-253, Table 131, p257, Table 133, p261, Table 134, p263, p270, Table 135, p265, Table 139, p270, Table 140, p272, Table 141, pp272-3, Table 142, p274, Table 143, p275, Table 146, p279, Table 149, p283, Table 156, p293 of the submission, economic model sheet IGA_breakdownBE, e_discontinuation.</w:t>
      </w:r>
    </w:p>
    <w:p w14:paraId="0C92A824" w14:textId="328C85E4" w:rsidR="00DC7D3C" w:rsidRPr="002E75D2" w:rsidRDefault="00DC7D3C" w:rsidP="00DC7D3C">
      <w:pPr>
        <w:pStyle w:val="FooterTableFigure"/>
      </w:pPr>
      <w:r w:rsidRPr="002E75D2">
        <w:t>AE = adverse event</w:t>
      </w:r>
      <w:r w:rsidR="00C92092" w:rsidRPr="002E75D2">
        <w:t xml:space="preserve">; </w:t>
      </w:r>
      <w:r w:rsidRPr="002E75D2">
        <w:t>BSC = best supportive care</w:t>
      </w:r>
      <w:r w:rsidR="00C92092" w:rsidRPr="002E75D2">
        <w:t xml:space="preserve">; </w:t>
      </w:r>
      <w:r w:rsidRPr="002E75D2">
        <w:t>CHE = chronic hand eczema; DPMQ = dispensed price for maximum quantity</w:t>
      </w:r>
      <w:r w:rsidR="00C92092" w:rsidRPr="002E75D2">
        <w:t xml:space="preserve">; </w:t>
      </w:r>
      <w:r w:rsidR="007F21D8" w:rsidRPr="002E75D2">
        <w:t xml:space="preserve">EMP = ex-manufacturer price; </w:t>
      </w:r>
      <w:r w:rsidRPr="002E75D2">
        <w:t>IGA-CHE = Investigator's Global Assessment for chronic hand eczema</w:t>
      </w:r>
      <w:r w:rsidR="00C92092" w:rsidRPr="002E75D2">
        <w:t xml:space="preserve">; </w:t>
      </w:r>
      <w:r w:rsidRPr="002E75D2">
        <w:t>MBS = Medicare Benefits Schedule</w:t>
      </w:r>
      <w:r w:rsidR="00C92092" w:rsidRPr="002E75D2">
        <w:t xml:space="preserve">; </w:t>
      </w:r>
      <w:r w:rsidRPr="002E75D2">
        <w:t>NICE = National Institute for Health and Care Excellence</w:t>
      </w:r>
      <w:r w:rsidR="00C92092" w:rsidRPr="002E75D2">
        <w:t>;</w:t>
      </w:r>
      <w:r w:rsidR="004E090F" w:rsidRPr="002E75D2">
        <w:t xml:space="preserve"> RWEAL = Real-World trEatment &amp; mAnagement of chronic hand eczema in cLinical practice;</w:t>
      </w:r>
      <w:r w:rsidR="00C92092" w:rsidRPr="002E75D2">
        <w:t xml:space="preserve"> </w:t>
      </w:r>
      <w:r w:rsidRPr="002E75D2">
        <w:t>SoC = standard of care</w:t>
      </w:r>
      <w:r w:rsidR="00C92092" w:rsidRPr="002E75D2">
        <w:t xml:space="preserve">; </w:t>
      </w:r>
      <w:r w:rsidRPr="002E75D2">
        <w:t>TCI = Topical calcineurin inhibitor</w:t>
      </w:r>
      <w:r w:rsidR="00C92092" w:rsidRPr="002E75D2">
        <w:t xml:space="preserve">; </w:t>
      </w:r>
      <w:r w:rsidRPr="002E75D2">
        <w:t>TCS = topical corticosteroids</w:t>
      </w:r>
      <w:r w:rsidR="00BA639B" w:rsidRPr="002E75D2">
        <w:t>; UVB = Ultraviolet B.</w:t>
      </w:r>
    </w:p>
    <w:p w14:paraId="71492546" w14:textId="77777777" w:rsidR="00DC7D3C" w:rsidRPr="002E75D2" w:rsidRDefault="00DC7D3C" w:rsidP="00DC7D3C">
      <w:pPr>
        <w:pStyle w:val="FooterTableFigure"/>
      </w:pPr>
      <w:r w:rsidRPr="002E75D2">
        <w:rPr>
          <w:vertAlign w:val="superscript"/>
        </w:rPr>
        <w:t>a</w:t>
      </w:r>
      <w:r w:rsidRPr="002E75D2">
        <w:t xml:space="preserve"> Given as 2.8% in economic model and 1.4% in submission report (Table 139, p270).</w:t>
      </w:r>
    </w:p>
    <w:p w14:paraId="1E27D11D" w14:textId="77777777" w:rsidR="00DC7D3C" w:rsidRPr="002E75D2" w:rsidRDefault="00DC7D3C" w:rsidP="00DC7D3C">
      <w:pPr>
        <w:pStyle w:val="FooterTableFigure"/>
      </w:pPr>
      <w:r w:rsidRPr="002E75D2">
        <w:rPr>
          <w:vertAlign w:val="superscript"/>
        </w:rPr>
        <w:t>b</w:t>
      </w:r>
      <w:r w:rsidRPr="002E75D2">
        <w:t xml:space="preserve"> Given as 4.6% in economic model and 4.8% in submission report (Table 139, p270).</w:t>
      </w:r>
    </w:p>
    <w:p w14:paraId="5B245176" w14:textId="4EA8D0EC" w:rsidR="006447D9" w:rsidRPr="002E75D2" w:rsidRDefault="0084252E" w:rsidP="00DC7D3C">
      <w:pPr>
        <w:pStyle w:val="FooterTableFigure"/>
      </w:pPr>
      <w:r>
        <w:rPr>
          <w:vertAlign w:val="superscript"/>
        </w:rPr>
        <w:t>c</w:t>
      </w:r>
      <w:r w:rsidR="006447D9">
        <w:t xml:space="preserve"> The DPMQ applied in the model differed slightly from that</w:t>
      </w:r>
      <w:r w:rsidR="00AC708B">
        <w:t xml:space="preserve"> proposed in the submission of $</w:t>
      </w:r>
      <w:r w:rsidR="00D34C8E" w:rsidRPr="00D34C8E">
        <w:rPr>
          <w:highlight w:val="black"/>
        </w:rPr>
        <w:t>&amp;&amp;&amp;&amp;</w:t>
      </w:r>
      <w:r w:rsidR="007A35C2">
        <w:t xml:space="preserve"> (using July 2025 mark-ups)</w:t>
      </w:r>
    </w:p>
    <w:p w14:paraId="74F227D9" w14:textId="6BDA7F44" w:rsidR="00DC7D3C" w:rsidRPr="002E75D2" w:rsidRDefault="00DC7D3C" w:rsidP="00DC7D3C">
      <w:pPr>
        <w:pStyle w:val="3-BodyText"/>
      </w:pPr>
      <w:r w:rsidRPr="002E75D2">
        <w:t xml:space="preserve">The model structure is </w:t>
      </w:r>
      <w:r w:rsidR="00261A52" w:rsidRPr="002E75D2">
        <w:t>presented</w:t>
      </w:r>
      <w:r w:rsidRPr="002E75D2">
        <w:t xml:space="preserve"> in </w:t>
      </w:r>
      <w:r w:rsidRPr="002E75D2">
        <w:fldChar w:fldCharType="begin"/>
      </w:r>
      <w:r w:rsidRPr="002E75D2">
        <w:instrText xml:space="preserve"> REF _Ref204938568 \h  \* MERGEFORMAT </w:instrText>
      </w:r>
      <w:r w:rsidRPr="002E75D2">
        <w:fldChar w:fldCharType="separate"/>
      </w:r>
      <w:r w:rsidR="00AA53DD" w:rsidRPr="002E75D2">
        <w:t xml:space="preserve">Figure </w:t>
      </w:r>
      <w:r w:rsidR="00AA53DD">
        <w:t>3</w:t>
      </w:r>
      <w:r w:rsidRPr="002E75D2">
        <w:fldChar w:fldCharType="end"/>
      </w:r>
      <w:r w:rsidRPr="002E75D2">
        <w:t>.</w:t>
      </w:r>
      <w:r w:rsidR="00453D6F" w:rsidRPr="002E75D2">
        <w:t xml:space="preserve"> </w:t>
      </w:r>
      <w:r w:rsidR="00453D6F" w:rsidRPr="00D94F2B">
        <w:t xml:space="preserve">The ESC considered the model structure may be unnecessarily complicated but acknowledged </w:t>
      </w:r>
      <w:r w:rsidR="00A17EBE" w:rsidRPr="00D94F2B">
        <w:t>a</w:t>
      </w:r>
      <w:r w:rsidR="00C542F7" w:rsidRPr="00D94F2B">
        <w:t xml:space="preserve"> model </w:t>
      </w:r>
      <w:r w:rsidR="00A17EBE" w:rsidRPr="00D94F2B">
        <w:t xml:space="preserve">with the same </w:t>
      </w:r>
      <w:r w:rsidR="00C542F7" w:rsidRPr="00D94F2B">
        <w:t xml:space="preserve">structure was </w:t>
      </w:r>
      <w:r w:rsidR="00A17EBE" w:rsidRPr="00D94F2B">
        <w:t>included in the submission to</w:t>
      </w:r>
      <w:r w:rsidR="00C542F7" w:rsidRPr="00D94F2B">
        <w:t xml:space="preserve"> NICE. </w:t>
      </w:r>
    </w:p>
    <w:p w14:paraId="6A83E628" w14:textId="376A8522" w:rsidR="00DC7D3C" w:rsidRPr="002E75D2" w:rsidRDefault="00DC7D3C" w:rsidP="00DC7D3C">
      <w:pPr>
        <w:pStyle w:val="Caption"/>
        <w:rPr>
          <w:rStyle w:val="CommentReference"/>
          <w:b/>
          <w:szCs w:val="24"/>
        </w:rPr>
      </w:pPr>
      <w:bookmarkStart w:id="78" w:name="_Ref204938568"/>
      <w:r w:rsidRPr="002E75D2">
        <w:lastRenderedPageBreak/>
        <w:t xml:space="preserve">Figure </w:t>
      </w:r>
      <w:r w:rsidR="003C4B74">
        <w:fldChar w:fldCharType="begin"/>
      </w:r>
      <w:r w:rsidR="003C4B74">
        <w:instrText xml:space="preserve"> SEQ Figure \* ARABIC </w:instrText>
      </w:r>
      <w:r w:rsidR="003C4B74">
        <w:fldChar w:fldCharType="separate"/>
      </w:r>
      <w:r w:rsidR="00AA53DD">
        <w:rPr>
          <w:noProof/>
        </w:rPr>
        <w:t>3</w:t>
      </w:r>
      <w:r w:rsidR="003C4B74">
        <w:rPr>
          <w:noProof/>
        </w:rPr>
        <w:fldChar w:fldCharType="end"/>
      </w:r>
      <w:bookmarkEnd w:id="78"/>
      <w:r w:rsidRPr="002E75D2">
        <w:t>:</w:t>
      </w:r>
      <w:r w:rsidRPr="002E75D2">
        <w:rPr>
          <w:rStyle w:val="CommentReference"/>
          <w:b/>
          <w:szCs w:val="24"/>
        </w:rPr>
        <w:t xml:space="preserve"> Structure of economic model</w:t>
      </w:r>
    </w:p>
    <w:p w14:paraId="61216B17" w14:textId="77777777" w:rsidR="00DC7D3C" w:rsidRPr="002E75D2" w:rsidRDefault="00DC7D3C" w:rsidP="00DC7D3C">
      <w:pPr>
        <w:pStyle w:val="FooterTableFigure"/>
      </w:pPr>
      <w:r w:rsidRPr="002E75D2">
        <w:rPr>
          <w:noProof/>
        </w:rPr>
        <w:drawing>
          <wp:inline distT="0" distB="0" distL="0" distR="0" wp14:anchorId="42475694" wp14:editId="7B589E9C">
            <wp:extent cx="4592320" cy="5697855"/>
            <wp:effectExtent l="0" t="0" r="0" b="0"/>
            <wp:docPr id="864239524" name="Picture 1" descr="Figure 3: Structure of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39524" name="Picture 1" descr="Figure 3: Structure of economic mod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2320" cy="5697855"/>
                    </a:xfrm>
                    <a:prstGeom prst="rect">
                      <a:avLst/>
                    </a:prstGeom>
                    <a:noFill/>
                    <a:ln>
                      <a:noFill/>
                    </a:ln>
                  </pic:spPr>
                </pic:pic>
              </a:graphicData>
            </a:graphic>
          </wp:inline>
        </w:drawing>
      </w:r>
    </w:p>
    <w:p w14:paraId="5A163409" w14:textId="77777777" w:rsidR="00DC7D3C" w:rsidRPr="002E75D2" w:rsidRDefault="00DC7D3C" w:rsidP="00DC7D3C">
      <w:pPr>
        <w:pStyle w:val="FooterTableFigure"/>
      </w:pPr>
      <w:r w:rsidRPr="002E75D2">
        <w:t xml:space="preserve">Source: Figure 47, p255 of the submission </w:t>
      </w:r>
    </w:p>
    <w:p w14:paraId="20D71F94" w14:textId="084F1D6A" w:rsidR="00DC7D3C" w:rsidRPr="002E75D2" w:rsidRDefault="00DC7D3C" w:rsidP="00DC7D3C">
      <w:pPr>
        <w:pStyle w:val="FooterTableFigure"/>
      </w:pPr>
      <w:r w:rsidRPr="002E75D2">
        <w:t>BSC</w:t>
      </w:r>
      <w:r w:rsidR="00C92092" w:rsidRPr="002E75D2">
        <w:t xml:space="preserve">; </w:t>
      </w:r>
      <w:r w:rsidRPr="002E75D2">
        <w:t>best supportive care; CHE</w:t>
      </w:r>
      <w:r w:rsidR="00C92092" w:rsidRPr="002E75D2">
        <w:t xml:space="preserve">; </w:t>
      </w:r>
      <w:r w:rsidRPr="002E75D2">
        <w:t>chronic hand eczema; TCS</w:t>
      </w:r>
      <w:r w:rsidR="00C92092" w:rsidRPr="002E75D2">
        <w:t xml:space="preserve">; </w:t>
      </w:r>
      <w:r w:rsidRPr="002E75D2">
        <w:t xml:space="preserve">topical corticosteroids. </w:t>
      </w:r>
    </w:p>
    <w:p w14:paraId="77E3303A" w14:textId="77777777" w:rsidR="00DC7D3C" w:rsidRPr="002E75D2" w:rsidRDefault="00DC7D3C" w:rsidP="00DC7D3C">
      <w:pPr>
        <w:pStyle w:val="FooterTableFigure"/>
        <w:rPr>
          <w:i/>
          <w:iCs/>
        </w:rPr>
      </w:pPr>
      <w:r w:rsidRPr="002E75D2">
        <w:t>Note: Re-initiation of treatment at partial response is applicable to delgocitinib only</w:t>
      </w:r>
    </w:p>
    <w:p w14:paraId="1BA9FEED" w14:textId="158F4A26" w:rsidR="00854167" w:rsidRPr="009E0811" w:rsidRDefault="00854167" w:rsidP="00854167">
      <w:pPr>
        <w:pStyle w:val="3-BodyText"/>
      </w:pPr>
      <w:r w:rsidRPr="009E0811">
        <w:t xml:space="preserve">In the base case analysis, treatment was assumed to continue for the first 12 weeks. During this period, patients started in a baseline state and could transition to </w:t>
      </w:r>
      <w:r w:rsidR="00E16D68" w:rsidRPr="009E0811">
        <w:t>full</w:t>
      </w:r>
      <w:r w:rsidRPr="009E0811">
        <w:t xml:space="preserve"> response during any cycle.</w:t>
      </w:r>
    </w:p>
    <w:p w14:paraId="5531F635" w14:textId="595D1E54" w:rsidR="00DC7D3C" w:rsidRPr="009E0811" w:rsidRDefault="00DC7D3C" w:rsidP="00DC7D3C">
      <w:pPr>
        <w:pStyle w:val="3-BodyText"/>
      </w:pPr>
      <w:r w:rsidRPr="009E0811">
        <w:t xml:space="preserve">Full response was defined as </w:t>
      </w:r>
      <w:r w:rsidR="000629D6" w:rsidRPr="009E0811">
        <w:t xml:space="preserve">an IGA-CHE TS score of 0 or 1, partial response was a score of 2, low response was a score of 3 with a 1-point improvement, and insufficient response was </w:t>
      </w:r>
      <w:r w:rsidR="003E2137" w:rsidRPr="009E0811">
        <w:t xml:space="preserve">a score of </w:t>
      </w:r>
      <w:r w:rsidRPr="009E0811">
        <w:t xml:space="preserve">4 or </w:t>
      </w:r>
      <w:r w:rsidR="003E2137" w:rsidRPr="009E0811">
        <w:t xml:space="preserve">a score of </w:t>
      </w:r>
      <w:r w:rsidRPr="009E0811">
        <w:t>3 without a 1-point improvement.</w:t>
      </w:r>
      <w:r w:rsidR="0013356B" w:rsidRPr="009E0811">
        <w:t xml:space="preserve"> IGA-CHE TS score was the primary outcome of the DELTA 1 and DELTA 2 tr</w:t>
      </w:r>
      <w:r w:rsidR="00DA74D4" w:rsidRPr="009E0811">
        <w:t>i</w:t>
      </w:r>
      <w:r w:rsidR="0013356B" w:rsidRPr="009E0811">
        <w:t>als</w:t>
      </w:r>
      <w:r w:rsidR="002E2578" w:rsidRPr="009E0811">
        <w:t>. A sensitivity analysis using the secondary outcome of HECSI 90 was presented in the submission.</w:t>
      </w:r>
      <w:r w:rsidR="004065A5" w:rsidRPr="009E0811">
        <w:t xml:space="preserve"> Patients were assumed to discontinue treatment after achieving full response. Given the </w:t>
      </w:r>
      <w:r w:rsidR="004065A5" w:rsidRPr="009E0811">
        <w:lastRenderedPageBreak/>
        <w:t xml:space="preserve">relapsing-remitting nature of CHE, relapses are a key component of the condition and were reflected in the economic model. Relapse was defined as the transition from a full responder off-treatment to an IGA-CHE ≥ 2. A transition from full response to a mild state (IGA-CHE 2) </w:t>
      </w:r>
      <w:r w:rsidR="00AA77A0" w:rsidRPr="009E0811">
        <w:t>was</w:t>
      </w:r>
      <w:r w:rsidR="004065A5" w:rsidRPr="009E0811">
        <w:t xml:space="preserve"> described as a loss of response</w:t>
      </w:r>
      <w:r w:rsidR="000629D6" w:rsidRPr="009E0811">
        <w:t>,</w:t>
      </w:r>
      <w:r w:rsidR="004065A5" w:rsidRPr="009E0811">
        <w:t xml:space="preserve"> whilst a transition to a moderate or severe state (IGA-CHE 3 or 4) </w:t>
      </w:r>
      <w:r w:rsidR="00AA77A0" w:rsidRPr="009E0811">
        <w:t>was</w:t>
      </w:r>
      <w:r w:rsidR="004065A5" w:rsidRPr="009E0811">
        <w:t xml:space="preserve"> described as a relapse.</w:t>
      </w:r>
    </w:p>
    <w:p w14:paraId="311EF62E" w14:textId="693E5962" w:rsidR="00DC7D3C" w:rsidRPr="009E0811" w:rsidRDefault="005D5E16">
      <w:pPr>
        <w:pStyle w:val="3-BodyText"/>
      </w:pPr>
      <w:r w:rsidRPr="009E0811">
        <w:t xml:space="preserve">At </w:t>
      </w:r>
      <w:r w:rsidR="001427BE" w:rsidRPr="009E0811">
        <w:t xml:space="preserve">Week </w:t>
      </w:r>
      <w:r w:rsidRPr="009E0811">
        <w:t xml:space="preserve">12, patients not yet in full response were distributed across three </w:t>
      </w:r>
      <w:r w:rsidR="00AA44FE" w:rsidRPr="009E0811">
        <w:t>other on treatment</w:t>
      </w:r>
      <w:r w:rsidRPr="009E0811">
        <w:t xml:space="preserve"> health states</w:t>
      </w:r>
      <w:r w:rsidR="00A772DC" w:rsidRPr="009E0811">
        <w:t>, partial, low and insufficient,</w:t>
      </w:r>
      <w:r w:rsidRPr="009E0811">
        <w:t xml:space="preserve"> based on data from the DELTA trials.</w:t>
      </w:r>
      <w:r w:rsidR="00AA44FE" w:rsidRPr="009E0811">
        <w:t xml:space="preserve"> </w:t>
      </w:r>
      <w:r w:rsidR="0023300B">
        <w:t>P</w:t>
      </w:r>
      <w:r w:rsidR="00DC7D3C" w:rsidRPr="009E0811">
        <w:t xml:space="preserve">atients who had not yet achieved full response </w:t>
      </w:r>
      <w:r w:rsidR="00902EC0" w:rsidRPr="009E0811">
        <w:t xml:space="preserve">(i.e. those in the partial or low response states) </w:t>
      </w:r>
      <w:r w:rsidR="00DC7D3C" w:rsidRPr="009E0811">
        <w:t xml:space="preserve">by </w:t>
      </w:r>
      <w:r w:rsidR="0056680E" w:rsidRPr="009E0811">
        <w:t xml:space="preserve">Week </w:t>
      </w:r>
      <w:r w:rsidR="00DC7D3C" w:rsidRPr="009E0811">
        <w:t xml:space="preserve">12 could continue treatment and go on to achieve full response at a later timepoint. Evidence from a </w:t>
      </w:r>
      <w:r w:rsidR="00DC7D3C" w:rsidRPr="00115953">
        <w:rPr>
          <w:i/>
          <w:iCs/>
        </w:rPr>
        <w:t>post-hoc</w:t>
      </w:r>
      <w:r w:rsidR="00DC7D3C" w:rsidRPr="009E0811">
        <w:t xml:space="preserve"> analysis of the DELTA 3 trial indicated that partial</w:t>
      </w:r>
      <w:r w:rsidR="00902EC0" w:rsidRPr="009E0811">
        <w:t>/low</w:t>
      </w:r>
      <w:r w:rsidR="00DC7D3C" w:rsidRPr="009E0811">
        <w:t xml:space="preserve"> responders might achieve full response with further delgocitinib therapy. </w:t>
      </w:r>
      <w:r w:rsidR="00710A0B">
        <w:t>P</w:t>
      </w:r>
      <w:r w:rsidR="00DC7D3C" w:rsidRPr="009E0811">
        <w:t xml:space="preserve">atients with an insufficient response discontinued treatment at </w:t>
      </w:r>
      <w:r w:rsidR="0056680E" w:rsidRPr="009E0811">
        <w:t xml:space="preserve">Week </w:t>
      </w:r>
      <w:r w:rsidR="00DC7D3C" w:rsidRPr="009E0811">
        <w:t xml:space="preserve">12. </w:t>
      </w:r>
      <w:r w:rsidR="00574CEA" w:rsidRPr="009E0811">
        <w:t xml:space="preserve">However, </w:t>
      </w:r>
      <w:r w:rsidR="002C03F9" w:rsidRPr="009E0811">
        <w:t xml:space="preserve">as the </w:t>
      </w:r>
      <w:r w:rsidR="00902EC0" w:rsidRPr="009E0811">
        <w:t xml:space="preserve">proposed </w:t>
      </w:r>
      <w:r w:rsidR="002C03F9" w:rsidRPr="009E0811">
        <w:t xml:space="preserve">restriction </w:t>
      </w:r>
      <w:r w:rsidR="00902EC0" w:rsidRPr="009E0811">
        <w:t xml:space="preserve">did not include </w:t>
      </w:r>
      <w:r w:rsidR="002C03F9" w:rsidRPr="009E0811">
        <w:t xml:space="preserve">a stopping rule, the assumption implicitly </w:t>
      </w:r>
      <w:r w:rsidR="008A63A6" w:rsidRPr="009E0811">
        <w:t>relies on clinical practice occurring in a specific way</w:t>
      </w:r>
      <w:r w:rsidR="00B246BF" w:rsidRPr="009E0811">
        <w:t xml:space="preserve"> that is not bound by the restriction</w:t>
      </w:r>
      <w:r w:rsidR="00DC7D3C" w:rsidRPr="009E0811">
        <w:t>.</w:t>
      </w:r>
    </w:p>
    <w:p w14:paraId="3A08AD14" w14:textId="2DF2EE00" w:rsidR="002944D6" w:rsidRPr="009E0811" w:rsidRDefault="002944D6" w:rsidP="002944D6">
      <w:pPr>
        <w:pStyle w:val="3-BodyText"/>
      </w:pPr>
      <w:r w:rsidRPr="009E0811">
        <w:t>After ceasing initial treatment, patients could relapse to mild, moderate or severe CHE and could recommence delgocitinib</w:t>
      </w:r>
      <w:r w:rsidR="00DF2258" w:rsidRPr="009E0811">
        <w:t xml:space="preserve">. </w:t>
      </w:r>
      <w:r w:rsidRPr="009E0811">
        <w:t xml:space="preserve">Relapsing patients who did not achieve full response discontinued delgocitinib and moved to next-line treatment or best supportive care (BSC). </w:t>
      </w:r>
    </w:p>
    <w:p w14:paraId="6C202C30" w14:textId="77777777" w:rsidR="00DC7D3C" w:rsidRPr="009E0811" w:rsidRDefault="00DC7D3C" w:rsidP="00DC7D3C">
      <w:pPr>
        <w:pStyle w:val="3-BodyText"/>
      </w:pPr>
      <w:r w:rsidRPr="009E0811">
        <w:t>Patients who discontinued, after not responding or for any other reason, moved on to next-line therapy or BSC.</w:t>
      </w:r>
    </w:p>
    <w:p w14:paraId="4B06371C" w14:textId="598B58A7" w:rsidR="00853414" w:rsidRPr="009E0811" w:rsidRDefault="002E7F0B" w:rsidP="00853414">
      <w:pPr>
        <w:pStyle w:val="3-BodyText"/>
        <w:rPr>
          <w:color w:val="000000" w:themeColor="text1"/>
        </w:rPr>
      </w:pPr>
      <w:r w:rsidRPr="009E0811">
        <w:rPr>
          <w:color w:val="000000" w:themeColor="text1"/>
        </w:rPr>
        <w:t xml:space="preserve">Whilst the ESC considered that a 10 year time horizon was long compared to the 16 week comparative data, it noted that all patients had discontinued </w:t>
      </w:r>
      <w:r w:rsidR="000B4882" w:rsidRPr="009E0811">
        <w:rPr>
          <w:color w:val="000000" w:themeColor="text1"/>
        </w:rPr>
        <w:t xml:space="preserve">delgocitinib </w:t>
      </w:r>
      <w:r w:rsidRPr="009E0811">
        <w:rPr>
          <w:color w:val="000000" w:themeColor="text1"/>
        </w:rPr>
        <w:t xml:space="preserve">treatment by </w:t>
      </w:r>
      <w:r w:rsidR="000B4882" w:rsidRPr="009E0811">
        <w:rPr>
          <w:color w:val="000000" w:themeColor="text1"/>
        </w:rPr>
        <w:t>5 years.</w:t>
      </w:r>
    </w:p>
    <w:p w14:paraId="6D244A2C" w14:textId="690C3475" w:rsidR="00DC7D3C" w:rsidRPr="009E0811" w:rsidRDefault="00452C87" w:rsidP="00DC7D3C">
      <w:pPr>
        <w:pStyle w:val="3-BodyText"/>
      </w:pPr>
      <w:r w:rsidRPr="002E75D2">
        <w:t xml:space="preserve">The percentage of patients remaining on treatment with delgocitinib at </w:t>
      </w:r>
      <w:r w:rsidR="00505CC5" w:rsidRPr="002E75D2">
        <w:t xml:space="preserve">2 years was </w:t>
      </w:r>
      <w:r w:rsidR="00946E76">
        <w:t xml:space="preserve">approximately </w:t>
      </w:r>
      <w:r w:rsidR="00505CC5" w:rsidRPr="002E75D2">
        <w:t>6%</w:t>
      </w:r>
      <w:r w:rsidR="00B6412C">
        <w:t xml:space="preserve"> (i.e. those in the partial and low response health states)</w:t>
      </w:r>
      <w:r w:rsidR="00505CC5" w:rsidRPr="002E75D2">
        <w:t xml:space="preserve">. </w:t>
      </w:r>
      <w:r w:rsidR="0017258D" w:rsidRPr="002E75D2">
        <w:t>Th</w:t>
      </w:r>
      <w:r w:rsidR="00405061" w:rsidRPr="002E75D2">
        <w:t xml:space="preserve">e evaluation considered that the mean treatment duration of delgocitinib was </w:t>
      </w:r>
      <w:r w:rsidR="00405061" w:rsidRPr="009E0811">
        <w:t>potentially underestimated</w:t>
      </w:r>
      <w:r w:rsidR="00C02EE7">
        <w:t>.</w:t>
      </w:r>
      <w:r w:rsidR="00405061" w:rsidRPr="009E0811">
        <w:t xml:space="preserve"> </w:t>
      </w:r>
      <w:r w:rsidR="00DC7D3C" w:rsidRPr="009E0811">
        <w:t xml:space="preserve">The ICER was sensitive </w:t>
      </w:r>
      <w:r w:rsidR="00A96F68" w:rsidRPr="009E0811">
        <w:t xml:space="preserve">to the </w:t>
      </w:r>
      <w:r w:rsidR="00523C6E" w:rsidRPr="009E0811">
        <w:t xml:space="preserve">proportion of patients </w:t>
      </w:r>
      <w:r w:rsidR="00DC7D3C" w:rsidRPr="009E0811">
        <w:t xml:space="preserve">remaining on treatment. </w:t>
      </w:r>
      <w:r w:rsidR="00D312E7" w:rsidRPr="009E0811">
        <w:t>If treatment duration increases, it is possible that QALYs in the delgocitinib arm would also increase. However, a</w:t>
      </w:r>
      <w:r w:rsidR="00DC7D3C" w:rsidRPr="009E0811">
        <w:t>ssuming no</w:t>
      </w:r>
      <w:r w:rsidR="005A038F" w:rsidRPr="009E0811">
        <w:t xml:space="preserve"> such</w:t>
      </w:r>
      <w:r w:rsidR="00DC7D3C" w:rsidRPr="009E0811">
        <w:t xml:space="preserve"> change in QALYs</w:t>
      </w:r>
      <w:r w:rsidR="00777A99">
        <w:t xml:space="preserve"> and</w:t>
      </w:r>
      <w:r w:rsidR="00DC7D3C" w:rsidRPr="009E0811">
        <w:t xml:space="preserve"> </w:t>
      </w:r>
      <w:r w:rsidR="00DA1869" w:rsidRPr="009E0811">
        <w:t>increasing the proportion of patients remaining on treatment at 2 years to 25%</w:t>
      </w:r>
      <w:r w:rsidR="002F77D0">
        <w:t>,</w:t>
      </w:r>
      <w:r w:rsidR="00DA1869" w:rsidRPr="009E0811">
        <w:t xml:space="preserve"> increased the ICER from </w:t>
      </w:r>
      <w:r w:rsidR="00E218D5" w:rsidRPr="00E218D5">
        <w:t>$45,000 to &lt; $55,000</w:t>
      </w:r>
      <w:r w:rsidR="006C6589" w:rsidRPr="009E0811">
        <w:t xml:space="preserve"> to </w:t>
      </w:r>
      <w:r w:rsidR="002043C5" w:rsidRPr="002043C5">
        <w:t>$95,000 to &lt; $115,000</w:t>
      </w:r>
      <w:r w:rsidR="00E40604" w:rsidRPr="009E0811">
        <w:t xml:space="preserve"> </w:t>
      </w:r>
      <w:r w:rsidR="00DC7D3C" w:rsidRPr="009E0811">
        <w:t>per QALY gained.</w:t>
      </w:r>
      <w:r w:rsidR="00805468" w:rsidRPr="009E0811">
        <w:t xml:space="preserve"> Overall, the ESC considered </w:t>
      </w:r>
      <w:r w:rsidR="00155C4E" w:rsidRPr="009E0811">
        <w:t xml:space="preserve">the assumption that </w:t>
      </w:r>
      <w:r w:rsidR="00805468" w:rsidRPr="009E0811">
        <w:t xml:space="preserve">6% of patients </w:t>
      </w:r>
      <w:r w:rsidR="008D6E94">
        <w:t>c</w:t>
      </w:r>
      <w:r w:rsidR="008D6E94" w:rsidRPr="009E0811">
        <w:t xml:space="preserve">ould </w:t>
      </w:r>
      <w:r w:rsidR="00F75C5A">
        <w:t>continue receiving</w:t>
      </w:r>
      <w:r w:rsidR="00805468" w:rsidRPr="009E0811">
        <w:t xml:space="preserve"> treatment at 2 years was implausibly low but accepted that 25% may not be an appropriate alternative input. </w:t>
      </w:r>
      <w:r w:rsidR="00543E05">
        <w:t xml:space="preserve">The Pre-PBAC Response </w:t>
      </w:r>
      <w:r w:rsidR="00C02EE7">
        <w:t>stated that</w:t>
      </w:r>
      <w:r w:rsidR="00D32777">
        <w:t xml:space="preserve"> a</w:t>
      </w:r>
      <w:r w:rsidR="00D52199">
        <w:t xml:space="preserve">ssumptions of increased continuous use of delgocitinib without </w:t>
      </w:r>
      <w:r w:rsidR="00246858">
        <w:t>considering a commensurate gain in QALYs w</w:t>
      </w:r>
      <w:r w:rsidR="00C02EE7">
        <w:t>ere</w:t>
      </w:r>
      <w:r w:rsidR="00246858">
        <w:t xml:space="preserve"> implausible </w:t>
      </w:r>
      <w:r w:rsidR="001E635E">
        <w:t xml:space="preserve">and overly conservative. </w:t>
      </w:r>
    </w:p>
    <w:p w14:paraId="0BAE9784" w14:textId="1CED3F09" w:rsidR="00DC7D3C" w:rsidRPr="009E0811" w:rsidRDefault="00DC7D3C" w:rsidP="00DC7D3C">
      <w:pPr>
        <w:pStyle w:val="3-BodyText"/>
      </w:pPr>
      <w:r w:rsidRPr="009E0811">
        <w:t>For each response health state</w:t>
      </w:r>
      <w:r w:rsidR="00A96F68" w:rsidRPr="009E0811">
        <w:t>,</w:t>
      </w:r>
      <w:r w:rsidRPr="009E0811">
        <w:t xml:space="preserve"> the</w:t>
      </w:r>
      <w:r w:rsidR="006C6589" w:rsidRPr="009E0811">
        <w:t xml:space="preserve"> submission applied </w:t>
      </w:r>
      <w:r w:rsidRPr="009E0811">
        <w:t>a treatment effect</w:t>
      </w:r>
      <w:r w:rsidR="006C6589" w:rsidRPr="009E0811">
        <w:t xml:space="preserve"> utility benefit to patients receiving </w:t>
      </w:r>
      <w:r w:rsidRPr="009E0811">
        <w:t xml:space="preserve">delgocitinib of 0.024. </w:t>
      </w:r>
      <w:r w:rsidR="00C02EE7">
        <w:t>However</w:t>
      </w:r>
      <w:r w:rsidR="00F37646" w:rsidRPr="009E0811">
        <w:t>,</w:t>
      </w:r>
      <w:r w:rsidR="006E30EE" w:rsidRPr="009E0811">
        <w:t xml:space="preserve"> for any given health state,</w:t>
      </w:r>
      <w:r w:rsidR="004D770A" w:rsidRPr="009E0811">
        <w:t xml:space="preserve"> it </w:t>
      </w:r>
      <w:r w:rsidR="00F37646" w:rsidRPr="009E0811">
        <w:t>was</w:t>
      </w:r>
      <w:r w:rsidR="004D770A" w:rsidRPr="009E0811">
        <w:t xml:space="preserve"> not clear</w:t>
      </w:r>
      <w:r w:rsidR="006E30EE" w:rsidRPr="009E0811">
        <w:t xml:space="preserve"> what benefit delgocitinib </w:t>
      </w:r>
      <w:r w:rsidR="00F37646" w:rsidRPr="009E0811">
        <w:t>had over</w:t>
      </w:r>
      <w:r w:rsidR="00D62B07" w:rsidRPr="009E0811">
        <w:t xml:space="preserve"> SoC</w:t>
      </w:r>
      <w:r w:rsidRPr="009E0811">
        <w:t>. Assuming no treatment effect</w:t>
      </w:r>
      <w:r w:rsidR="00F37646" w:rsidRPr="009E0811">
        <w:t xml:space="preserve"> increased the </w:t>
      </w:r>
      <w:r w:rsidRPr="009E0811">
        <w:t xml:space="preserve">ICER </w:t>
      </w:r>
      <w:r w:rsidR="00F37646" w:rsidRPr="009E0811">
        <w:t xml:space="preserve">from </w:t>
      </w:r>
      <w:r w:rsidR="004403FC" w:rsidRPr="004403FC">
        <w:t>$45,000 to &lt; $55,000</w:t>
      </w:r>
      <w:r w:rsidRPr="009E0811">
        <w:t xml:space="preserve"> to </w:t>
      </w:r>
      <w:r w:rsidR="004403FC" w:rsidRPr="004403FC">
        <w:t>$45,000 to &lt; $55,000</w:t>
      </w:r>
      <w:r w:rsidR="00F37646" w:rsidRPr="009E0811">
        <w:t xml:space="preserve"> </w:t>
      </w:r>
      <w:r w:rsidRPr="009E0811">
        <w:t>per QALY gained.</w:t>
      </w:r>
      <w:r w:rsidR="00BA6DAE" w:rsidRPr="009E0811">
        <w:t xml:space="preserve"> The PSCR </w:t>
      </w:r>
      <w:r w:rsidR="00155C4E" w:rsidRPr="009E0811">
        <w:t>stated</w:t>
      </w:r>
      <w:r w:rsidR="00BA6DAE" w:rsidRPr="009E0811">
        <w:t xml:space="preserve"> that delgocitinib demonstrated a statistically significant </w:t>
      </w:r>
      <w:r w:rsidR="00BA6DAE" w:rsidRPr="009E0811">
        <w:lastRenderedPageBreak/>
        <w:t>benefit in health-related quality of life</w:t>
      </w:r>
      <w:r w:rsidR="006B6CCC" w:rsidRPr="009E0811">
        <w:t xml:space="preserve"> in the clinical </w:t>
      </w:r>
      <w:r w:rsidR="003E75F9" w:rsidRPr="009E0811">
        <w:t>trials</w:t>
      </w:r>
      <w:r w:rsidR="006B6CCC" w:rsidRPr="009E0811">
        <w:t xml:space="preserve"> over vehicle (DELTA 1/2) </w:t>
      </w:r>
      <w:r w:rsidR="00200B03" w:rsidRPr="009E0811">
        <w:t xml:space="preserve">and that in the context of </w:t>
      </w:r>
      <w:r w:rsidR="00E35F25">
        <w:t>the</w:t>
      </w:r>
      <w:r w:rsidR="00E35F25" w:rsidRPr="009E0811">
        <w:t xml:space="preserve"> </w:t>
      </w:r>
      <w:r w:rsidR="00200B03" w:rsidRPr="009E0811">
        <w:t>observed benefit, it would be implausible to assume delgocitinib provides no utility benefit.</w:t>
      </w:r>
      <w:r w:rsidR="00C542F7" w:rsidRPr="009E0811">
        <w:t xml:space="preserve"> </w:t>
      </w:r>
      <w:r w:rsidR="004E0657" w:rsidRPr="009E0811">
        <w:t xml:space="preserve">The ESC considered the addition of a </w:t>
      </w:r>
      <w:r w:rsidR="00A84D18" w:rsidRPr="009E0811">
        <w:t xml:space="preserve">treatment specific </w:t>
      </w:r>
      <w:r w:rsidR="004E0657" w:rsidRPr="009E0811">
        <w:t>utility benefit</w:t>
      </w:r>
      <w:r w:rsidR="00055209" w:rsidRPr="009E0811">
        <w:t xml:space="preserve"> for delgocitinib</w:t>
      </w:r>
      <w:r w:rsidR="004E0657" w:rsidRPr="009E0811">
        <w:t xml:space="preserve"> </w:t>
      </w:r>
      <w:r w:rsidR="00634BE6" w:rsidRPr="009E0811">
        <w:t xml:space="preserve">in addition to </w:t>
      </w:r>
      <w:r w:rsidR="00055209" w:rsidRPr="009E0811">
        <w:t>the benefit associated with responding to treatment</w:t>
      </w:r>
      <w:r w:rsidR="004E0657" w:rsidRPr="009E0811">
        <w:t xml:space="preserve"> to be </w:t>
      </w:r>
      <w:r w:rsidR="00927CE4">
        <w:t>inadequately</w:t>
      </w:r>
      <w:r w:rsidR="004E0657" w:rsidRPr="009E0811">
        <w:t xml:space="preserve"> supported.</w:t>
      </w:r>
      <w:r w:rsidR="00267F99">
        <w:t xml:space="preserve"> The Pre-PBAC Response </w:t>
      </w:r>
      <w:r w:rsidR="007D2EEC">
        <w:t>stated that</w:t>
      </w:r>
      <w:r w:rsidR="00267F99">
        <w:t xml:space="preserve"> a statistically significant effect on EQ-5D improvement was observed in the trials, and </w:t>
      </w:r>
      <w:r w:rsidR="00DD3F49">
        <w:t xml:space="preserve">the </w:t>
      </w:r>
      <w:r w:rsidR="00AE7E1A">
        <w:t>W</w:t>
      </w:r>
      <w:r w:rsidR="00DD3F49">
        <w:t>eek 16 change was modelled as a function of age, baseline utility, HECSI</w:t>
      </w:r>
      <w:r w:rsidR="007923C1">
        <w:t xml:space="preserve">, symptom diary, pain score and treatment received, and the </w:t>
      </w:r>
      <w:r w:rsidR="007D1F89">
        <w:t>results demonstrated a strong effect that could not be fully explained by t</w:t>
      </w:r>
      <w:r w:rsidR="00993ED3">
        <w:t xml:space="preserve">he health states and other parameters. The </w:t>
      </w:r>
      <w:r w:rsidR="00CC2AFB">
        <w:t xml:space="preserve">pre-PBAC </w:t>
      </w:r>
      <w:r w:rsidR="00993ED3">
        <w:t xml:space="preserve">Response also </w:t>
      </w:r>
      <w:r w:rsidR="000C6EAB">
        <w:t>stated that</w:t>
      </w:r>
      <w:r w:rsidR="00993ED3">
        <w:t xml:space="preserve"> the</w:t>
      </w:r>
      <w:r w:rsidR="00E9320C">
        <w:t xml:space="preserve"> approach preferred by the ESC of setting the delgocitinib utility gains to be the same as </w:t>
      </w:r>
      <w:r w:rsidR="00C61DAA">
        <w:t>vehicle introduces inappropriate bias by excluding delgocitinib patients from the analysis</w:t>
      </w:r>
      <w:r w:rsidR="00281B91">
        <w:t>.</w:t>
      </w:r>
    </w:p>
    <w:p w14:paraId="447C8B72" w14:textId="0688DDAD" w:rsidR="00DC7D3C" w:rsidRPr="009E0811" w:rsidRDefault="00DC7D3C" w:rsidP="00DC7D3C">
      <w:pPr>
        <w:pStyle w:val="3-BodyText"/>
      </w:pPr>
      <w:r w:rsidRPr="009E0811">
        <w:t>The submission assumed no wastage of delgocitinib. Assuming wastage of half a tube of delgocitinib for all patients</w:t>
      </w:r>
      <w:r w:rsidR="007E1E06">
        <w:t xml:space="preserve"> increased</w:t>
      </w:r>
      <w:r w:rsidRPr="009E0811">
        <w:t xml:space="preserve"> the ICER from </w:t>
      </w:r>
      <w:r w:rsidR="004403FC" w:rsidRPr="004403FC">
        <w:t>$45,000 to &lt; $55,000</w:t>
      </w:r>
      <w:r w:rsidRPr="009E0811">
        <w:t xml:space="preserve"> to </w:t>
      </w:r>
      <w:r w:rsidR="004403FC" w:rsidRPr="004403FC">
        <w:t>$45,000 to &lt; $55,000</w:t>
      </w:r>
      <w:r w:rsidRPr="009E0811">
        <w:t xml:space="preserve"> per QALY gained.</w:t>
      </w:r>
      <w:r w:rsidR="001C3F34" w:rsidRPr="009E0811">
        <w:t xml:space="preserve"> The ESC considered it was appropriate for </w:t>
      </w:r>
      <w:r w:rsidR="008C0495" w:rsidRPr="009E0811">
        <w:t xml:space="preserve">some </w:t>
      </w:r>
      <w:r w:rsidR="001C3F34" w:rsidRPr="009E0811">
        <w:t xml:space="preserve">wastage to be considered in the model. </w:t>
      </w:r>
    </w:p>
    <w:p w14:paraId="75472EC0" w14:textId="59B36EF4" w:rsidR="00DC7D3C" w:rsidRPr="009E0811" w:rsidRDefault="00DC7D3C" w:rsidP="00DC7D3C">
      <w:pPr>
        <w:pStyle w:val="3-BodyText"/>
      </w:pPr>
      <w:r w:rsidRPr="009E0811">
        <w:t xml:space="preserve">Key drivers of the economic model are given in </w:t>
      </w:r>
      <w:r w:rsidRPr="009E0811">
        <w:fldChar w:fldCharType="begin"/>
      </w:r>
      <w:r w:rsidRPr="009E0811">
        <w:instrText xml:space="preserve"> REF _Ref104805122 \h </w:instrText>
      </w:r>
      <w:r w:rsidR="008919B2" w:rsidRPr="009E0811">
        <w:instrText xml:space="preserve"> \* MERGEFORMAT </w:instrText>
      </w:r>
      <w:r w:rsidRPr="009E0811">
        <w:fldChar w:fldCharType="separate"/>
      </w:r>
      <w:r w:rsidR="00AA53DD" w:rsidRPr="002E75D2">
        <w:t xml:space="preserve">Table </w:t>
      </w:r>
      <w:r w:rsidR="00AA53DD">
        <w:t>10</w:t>
      </w:r>
      <w:r w:rsidRPr="009E0811">
        <w:fldChar w:fldCharType="end"/>
      </w:r>
      <w:r w:rsidRPr="009E0811">
        <w:t>.</w:t>
      </w:r>
    </w:p>
    <w:p w14:paraId="1F52BE87" w14:textId="0E30D457" w:rsidR="00DC7D3C" w:rsidRPr="002E75D2" w:rsidRDefault="00DC7D3C" w:rsidP="00AC0905">
      <w:pPr>
        <w:pStyle w:val="Caption"/>
        <w:jc w:val="left"/>
        <w:rPr>
          <w:rStyle w:val="CommentReference"/>
          <w:b/>
          <w:szCs w:val="24"/>
        </w:rPr>
      </w:pPr>
      <w:bookmarkStart w:id="79" w:name="_Ref104805122"/>
      <w:r w:rsidRPr="002E75D2">
        <w:t xml:space="preserve">Table </w:t>
      </w:r>
      <w:r w:rsidR="000847A3">
        <w:fldChar w:fldCharType="begin"/>
      </w:r>
      <w:r w:rsidR="000847A3">
        <w:instrText xml:space="preserve"> SEQ Table \* ARABIC </w:instrText>
      </w:r>
      <w:r w:rsidR="000847A3">
        <w:fldChar w:fldCharType="separate"/>
      </w:r>
      <w:r w:rsidR="00AA53DD">
        <w:rPr>
          <w:noProof/>
        </w:rPr>
        <w:t>10</w:t>
      </w:r>
      <w:r w:rsidR="000847A3">
        <w:rPr>
          <w:noProof/>
        </w:rPr>
        <w:fldChar w:fldCharType="end"/>
      </w:r>
      <w:bookmarkEnd w:id="79"/>
      <w:r w:rsidRPr="002E75D2">
        <w:t>:</w:t>
      </w:r>
      <w:r w:rsidRPr="002E75D2">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554"/>
        <w:gridCol w:w="4395"/>
        <w:gridCol w:w="3068"/>
      </w:tblGrid>
      <w:tr w:rsidR="00DC7D3C" w:rsidRPr="002E75D2" w14:paraId="2327194A" w14:textId="77777777" w:rsidTr="00C21DB1">
        <w:trPr>
          <w:tblHeader/>
        </w:trPr>
        <w:tc>
          <w:tcPr>
            <w:tcW w:w="862" w:type="pct"/>
            <w:vAlign w:val="center"/>
          </w:tcPr>
          <w:p w14:paraId="4463FC3D" w14:textId="77777777" w:rsidR="00DC7D3C" w:rsidRPr="002E75D2" w:rsidRDefault="00DC7D3C" w:rsidP="00AC0905">
            <w:pPr>
              <w:pStyle w:val="In-tableHeading"/>
              <w:jc w:val="center"/>
              <w:rPr>
                <w:szCs w:val="20"/>
                <w:lang w:val="en-AU"/>
              </w:rPr>
            </w:pPr>
            <w:r w:rsidRPr="002E75D2">
              <w:rPr>
                <w:szCs w:val="20"/>
                <w:lang w:val="en-AU"/>
              </w:rPr>
              <w:t>Description</w:t>
            </w:r>
          </w:p>
        </w:tc>
        <w:tc>
          <w:tcPr>
            <w:tcW w:w="2437" w:type="pct"/>
            <w:vAlign w:val="center"/>
          </w:tcPr>
          <w:p w14:paraId="4AD076AB" w14:textId="77777777" w:rsidR="00DC7D3C" w:rsidRPr="002E75D2" w:rsidRDefault="00DC7D3C" w:rsidP="00AC0905">
            <w:pPr>
              <w:pStyle w:val="In-tableHeading"/>
              <w:jc w:val="center"/>
              <w:rPr>
                <w:szCs w:val="20"/>
                <w:lang w:val="en-AU"/>
              </w:rPr>
            </w:pPr>
            <w:r w:rsidRPr="002E75D2">
              <w:rPr>
                <w:szCs w:val="20"/>
                <w:lang w:val="en-AU"/>
              </w:rPr>
              <w:t>Method/Value</w:t>
            </w:r>
          </w:p>
        </w:tc>
        <w:tc>
          <w:tcPr>
            <w:tcW w:w="1701" w:type="pct"/>
            <w:vAlign w:val="center"/>
          </w:tcPr>
          <w:p w14:paraId="3A65550A" w14:textId="77777777" w:rsidR="00DC7D3C" w:rsidRPr="002E75D2" w:rsidRDefault="00DC7D3C" w:rsidP="00AC0905">
            <w:pPr>
              <w:pStyle w:val="In-tableHeading"/>
              <w:jc w:val="center"/>
              <w:rPr>
                <w:szCs w:val="20"/>
                <w:lang w:val="en-AU"/>
              </w:rPr>
            </w:pPr>
            <w:r w:rsidRPr="002E75D2">
              <w:rPr>
                <w:szCs w:val="20"/>
                <w:lang w:val="en-AU"/>
              </w:rPr>
              <w:t>Impact</w:t>
            </w:r>
          </w:p>
          <w:p w14:paraId="5C7C2F15" w14:textId="3D63DD9A" w:rsidR="00DC7D3C" w:rsidRPr="002E75D2" w:rsidRDefault="00DC7D3C" w:rsidP="00AC0905">
            <w:pPr>
              <w:pStyle w:val="In-tableHeading"/>
              <w:jc w:val="center"/>
              <w:rPr>
                <w:szCs w:val="20"/>
                <w:lang w:val="en-AU"/>
              </w:rPr>
            </w:pPr>
            <w:r w:rsidRPr="002E75D2">
              <w:rPr>
                <w:rFonts w:cs="Arial"/>
                <w:szCs w:val="20"/>
                <w:lang w:val="en-AU"/>
              </w:rPr>
              <w:t>Base case: $</w:t>
            </w:r>
            <w:r w:rsidR="00D34C8E" w:rsidRPr="00D34C8E">
              <w:rPr>
                <w:rFonts w:cs="Arial"/>
                <w:szCs w:val="20"/>
                <w:highlight w:val="black"/>
                <w:lang w:val="en-AU"/>
              </w:rPr>
              <w:t>&amp;&amp;&amp;&amp;</w:t>
            </w:r>
            <w:r w:rsidR="00CD11A9">
              <w:rPr>
                <w:rFonts w:cs="Arial"/>
                <w:b w:val="0"/>
                <w:bCs/>
                <w:szCs w:val="20"/>
                <w:vertAlign w:val="superscript"/>
                <w:lang w:val="en-AU"/>
              </w:rPr>
              <w:t>1</w:t>
            </w:r>
            <w:r w:rsidRPr="002E75D2">
              <w:rPr>
                <w:rFonts w:cs="Arial"/>
                <w:szCs w:val="20"/>
                <w:lang w:val="en-AU"/>
              </w:rPr>
              <w:t>/QALY gained</w:t>
            </w:r>
          </w:p>
        </w:tc>
      </w:tr>
      <w:tr w:rsidR="00DC7D3C" w:rsidRPr="002E75D2" w14:paraId="5C01F695" w14:textId="77777777" w:rsidTr="00C21DB1">
        <w:tc>
          <w:tcPr>
            <w:tcW w:w="862" w:type="pct"/>
            <w:vAlign w:val="center"/>
          </w:tcPr>
          <w:p w14:paraId="2E01EB80" w14:textId="77777777" w:rsidR="00DC7D3C" w:rsidRPr="002E75D2" w:rsidRDefault="00DC7D3C" w:rsidP="00AC0905">
            <w:pPr>
              <w:pStyle w:val="TableText0"/>
              <w:keepNext/>
              <w:rPr>
                <w:iCs w:val="0"/>
              </w:rPr>
            </w:pPr>
            <w:r w:rsidRPr="002E75D2">
              <w:rPr>
                <w:iCs w:val="0"/>
              </w:rPr>
              <w:t>Time on delgocitinib treatment</w:t>
            </w:r>
          </w:p>
        </w:tc>
        <w:tc>
          <w:tcPr>
            <w:tcW w:w="2437" w:type="pct"/>
            <w:vAlign w:val="center"/>
          </w:tcPr>
          <w:p w14:paraId="1AB44925" w14:textId="2EE43FAE" w:rsidR="00DC7D3C" w:rsidRPr="002E75D2" w:rsidRDefault="00141B26" w:rsidP="00AC0905">
            <w:pPr>
              <w:pStyle w:val="TableText0"/>
              <w:keepNext/>
              <w:rPr>
                <w:iCs w:val="0"/>
              </w:rPr>
            </w:pPr>
            <w:r w:rsidRPr="002E75D2">
              <w:rPr>
                <w:iCs w:val="0"/>
              </w:rPr>
              <w:t xml:space="preserve">The percentage of patients </w:t>
            </w:r>
            <w:r w:rsidR="00F75C5A">
              <w:rPr>
                <w:iCs w:val="0"/>
              </w:rPr>
              <w:t>continuing to receive</w:t>
            </w:r>
            <w:r w:rsidRPr="002E75D2">
              <w:rPr>
                <w:iCs w:val="0"/>
              </w:rPr>
              <w:t xml:space="preserve"> treatment with delgocitinib at 2 years was </w:t>
            </w:r>
            <w:r w:rsidR="00EF4709">
              <w:rPr>
                <w:iCs w:val="0"/>
              </w:rPr>
              <w:t xml:space="preserve">approximately </w:t>
            </w:r>
            <w:r w:rsidRPr="002E75D2">
              <w:rPr>
                <w:iCs w:val="0"/>
              </w:rPr>
              <w:t xml:space="preserve">6%. </w:t>
            </w:r>
          </w:p>
        </w:tc>
        <w:tc>
          <w:tcPr>
            <w:tcW w:w="1701" w:type="pct"/>
            <w:vAlign w:val="center"/>
          </w:tcPr>
          <w:p w14:paraId="31D5393F" w14:textId="081944DA" w:rsidR="00DC7D3C" w:rsidRPr="002E75D2" w:rsidRDefault="00DC7D3C" w:rsidP="00AC0905">
            <w:pPr>
              <w:pStyle w:val="TableText0"/>
              <w:keepNext/>
              <w:rPr>
                <w:iCs w:val="0"/>
              </w:rPr>
            </w:pPr>
            <w:r w:rsidRPr="002E75D2">
              <w:rPr>
                <w:iCs w:val="0"/>
              </w:rPr>
              <w:t xml:space="preserve">High impact, </w:t>
            </w:r>
            <w:r w:rsidR="00E11617" w:rsidRPr="002E75D2">
              <w:rPr>
                <w:iCs w:val="0"/>
              </w:rPr>
              <w:t xml:space="preserve">likely </w:t>
            </w:r>
            <w:r w:rsidRPr="002E75D2">
              <w:rPr>
                <w:iCs w:val="0"/>
              </w:rPr>
              <w:t xml:space="preserve">favours delgocitinib. </w:t>
            </w:r>
          </w:p>
        </w:tc>
      </w:tr>
      <w:tr w:rsidR="00B0311B" w:rsidRPr="002E75D2" w14:paraId="0CB8295C" w14:textId="77777777" w:rsidTr="00C21DB1">
        <w:trPr>
          <w:trHeight w:val="890"/>
        </w:trPr>
        <w:tc>
          <w:tcPr>
            <w:tcW w:w="862" w:type="pct"/>
            <w:vAlign w:val="center"/>
          </w:tcPr>
          <w:p w14:paraId="525DA405" w14:textId="46A6D566" w:rsidR="00B0311B" w:rsidRPr="002E75D2" w:rsidRDefault="003C59A3" w:rsidP="00AC0905">
            <w:pPr>
              <w:pStyle w:val="TableText0"/>
              <w:keepNext/>
              <w:rPr>
                <w:iCs w:val="0"/>
              </w:rPr>
            </w:pPr>
            <w:r>
              <w:rPr>
                <w:iCs w:val="0"/>
              </w:rPr>
              <w:t>Extent</w:t>
            </w:r>
            <w:r w:rsidR="00B0311B" w:rsidRPr="002E75D2">
              <w:rPr>
                <w:iCs w:val="0"/>
              </w:rPr>
              <w:t xml:space="preserve"> of </w:t>
            </w:r>
            <w:r>
              <w:rPr>
                <w:iCs w:val="0"/>
              </w:rPr>
              <w:t>wasta</w:t>
            </w:r>
            <w:r w:rsidR="00EA778F">
              <w:rPr>
                <w:iCs w:val="0"/>
              </w:rPr>
              <w:t xml:space="preserve">ge of </w:t>
            </w:r>
            <w:r w:rsidR="00B0311B" w:rsidRPr="002E75D2">
              <w:rPr>
                <w:iCs w:val="0"/>
              </w:rPr>
              <w:t>delgocitinib</w:t>
            </w:r>
          </w:p>
        </w:tc>
        <w:tc>
          <w:tcPr>
            <w:tcW w:w="2437" w:type="pct"/>
            <w:vAlign w:val="center"/>
          </w:tcPr>
          <w:p w14:paraId="6D6A3140" w14:textId="70FC0FCF" w:rsidR="00B0311B" w:rsidRPr="002E75D2" w:rsidRDefault="00B0311B" w:rsidP="00AC0905">
            <w:pPr>
              <w:pStyle w:val="TableText0"/>
              <w:keepNext/>
              <w:rPr>
                <w:iCs w:val="0"/>
              </w:rPr>
            </w:pPr>
            <w:r w:rsidRPr="002E75D2">
              <w:rPr>
                <w:iCs w:val="0"/>
              </w:rPr>
              <w:t>No wastage of delgocitinib assumed.</w:t>
            </w:r>
          </w:p>
        </w:tc>
        <w:tc>
          <w:tcPr>
            <w:tcW w:w="1701" w:type="pct"/>
            <w:vAlign w:val="center"/>
          </w:tcPr>
          <w:p w14:paraId="1A6B474A" w14:textId="77777777" w:rsidR="00B0311B" w:rsidRPr="002E75D2" w:rsidRDefault="00B0311B" w:rsidP="00AC0905">
            <w:pPr>
              <w:pStyle w:val="TableText0"/>
              <w:keepNext/>
              <w:rPr>
                <w:iCs w:val="0"/>
              </w:rPr>
            </w:pPr>
            <w:r w:rsidRPr="002E75D2">
              <w:rPr>
                <w:iCs w:val="0"/>
              </w:rPr>
              <w:t>Moderate impact, favours delgocitinib.</w:t>
            </w:r>
          </w:p>
          <w:p w14:paraId="277348AF" w14:textId="3B393E0E" w:rsidR="00B0311B" w:rsidRPr="002E75D2" w:rsidRDefault="00F33828" w:rsidP="00AC0905">
            <w:pPr>
              <w:pStyle w:val="TableText0"/>
              <w:keepNext/>
              <w:rPr>
                <w:iCs w:val="0"/>
              </w:rPr>
            </w:pPr>
            <w:r w:rsidRPr="002E75D2">
              <w:rPr>
                <w:iCs w:val="0"/>
              </w:rPr>
              <w:t xml:space="preserve">Assuming </w:t>
            </w:r>
            <w:r w:rsidR="003D0596" w:rsidRPr="002E75D2">
              <w:rPr>
                <w:iCs w:val="0"/>
              </w:rPr>
              <w:t xml:space="preserve">wastage of half a tube of delgocitinib </w:t>
            </w:r>
            <w:r w:rsidR="00B0311B" w:rsidRPr="002E75D2">
              <w:rPr>
                <w:iCs w:val="0"/>
              </w:rPr>
              <w:t>increased the ICER to $</w:t>
            </w:r>
            <w:r w:rsidR="00D34C8E" w:rsidRPr="00D34C8E">
              <w:rPr>
                <w:iCs w:val="0"/>
                <w:highlight w:val="black"/>
              </w:rPr>
              <w:t>&amp;&amp;&amp;&amp;</w:t>
            </w:r>
            <w:r w:rsidR="00CD11A9">
              <w:rPr>
                <w:iCs w:val="0"/>
                <w:vertAlign w:val="superscript"/>
              </w:rPr>
              <w:t>1</w:t>
            </w:r>
            <w:r w:rsidR="00B0311B" w:rsidRPr="002E75D2">
              <w:rPr>
                <w:iCs w:val="0"/>
              </w:rPr>
              <w:t xml:space="preserve"> per QALY.</w:t>
            </w:r>
          </w:p>
        </w:tc>
      </w:tr>
      <w:tr w:rsidR="001E0A17" w:rsidRPr="002E75D2" w14:paraId="1A0378DC" w14:textId="77777777" w:rsidTr="00C21DB1">
        <w:tc>
          <w:tcPr>
            <w:tcW w:w="862" w:type="pct"/>
            <w:vAlign w:val="center"/>
          </w:tcPr>
          <w:p w14:paraId="7F15BF81" w14:textId="617A0DE7" w:rsidR="001E0A17" w:rsidRPr="002E75D2" w:rsidRDefault="00CC2AFB" w:rsidP="00AC0905">
            <w:pPr>
              <w:pStyle w:val="TableText0"/>
              <w:keepNext/>
              <w:rPr>
                <w:iCs w:val="0"/>
              </w:rPr>
            </w:pPr>
            <w:r>
              <w:rPr>
                <w:iCs w:val="0"/>
              </w:rPr>
              <w:t>Utilities</w:t>
            </w:r>
          </w:p>
        </w:tc>
        <w:tc>
          <w:tcPr>
            <w:tcW w:w="2437" w:type="pct"/>
            <w:vAlign w:val="center"/>
          </w:tcPr>
          <w:p w14:paraId="0060AD5B" w14:textId="079D5F06" w:rsidR="001E0A17" w:rsidRPr="002E75D2" w:rsidRDefault="001E0A17" w:rsidP="00AC0905">
            <w:pPr>
              <w:pStyle w:val="TableText0"/>
              <w:keepNext/>
              <w:rPr>
                <w:iCs w:val="0"/>
              </w:rPr>
            </w:pPr>
            <w:r w:rsidRPr="002E75D2">
              <w:rPr>
                <w:iCs w:val="0"/>
              </w:rPr>
              <w:t>For each response health state there was a utility treatment effect of delgocitinib vs SoC of 0.024. For any given health state, it was not clear what benefit delgocitinib had over SoC</w:t>
            </w:r>
            <w:r w:rsidR="00230F29" w:rsidRPr="002E75D2">
              <w:rPr>
                <w:iCs w:val="0"/>
              </w:rPr>
              <w:t xml:space="preserve"> in addition to </w:t>
            </w:r>
            <w:r w:rsidR="00D415CE" w:rsidRPr="002E75D2">
              <w:rPr>
                <w:iCs w:val="0"/>
              </w:rPr>
              <w:t>re</w:t>
            </w:r>
            <w:r w:rsidR="007E3C4F" w:rsidRPr="002E75D2">
              <w:rPr>
                <w:iCs w:val="0"/>
              </w:rPr>
              <w:t>s</w:t>
            </w:r>
            <w:r w:rsidR="00D415CE" w:rsidRPr="002E75D2">
              <w:rPr>
                <w:iCs w:val="0"/>
              </w:rPr>
              <w:t>ponse</w:t>
            </w:r>
            <w:r w:rsidRPr="002E75D2">
              <w:rPr>
                <w:iCs w:val="0"/>
              </w:rPr>
              <w:t>.</w:t>
            </w:r>
          </w:p>
        </w:tc>
        <w:tc>
          <w:tcPr>
            <w:tcW w:w="1701" w:type="pct"/>
            <w:vAlign w:val="center"/>
          </w:tcPr>
          <w:p w14:paraId="12EFA79A" w14:textId="77777777" w:rsidR="001E0A17" w:rsidRPr="002E75D2" w:rsidRDefault="001E0A17" w:rsidP="00AC0905">
            <w:pPr>
              <w:pStyle w:val="TableText0"/>
              <w:keepNext/>
              <w:rPr>
                <w:iCs w:val="0"/>
              </w:rPr>
            </w:pPr>
            <w:r w:rsidRPr="002E75D2">
              <w:rPr>
                <w:iCs w:val="0"/>
              </w:rPr>
              <w:t>Moderate impact, favours delgocitinib.</w:t>
            </w:r>
          </w:p>
          <w:p w14:paraId="17E72858" w14:textId="28D81516" w:rsidR="001E0A17" w:rsidRPr="002E75D2" w:rsidRDefault="001E0A17" w:rsidP="00AC0905">
            <w:pPr>
              <w:pStyle w:val="TableText0"/>
              <w:keepNext/>
              <w:rPr>
                <w:iCs w:val="0"/>
              </w:rPr>
            </w:pPr>
            <w:r w:rsidRPr="002E75D2">
              <w:rPr>
                <w:iCs w:val="0"/>
              </w:rPr>
              <w:t xml:space="preserve">Assuming no treatment </w:t>
            </w:r>
            <w:r w:rsidR="00D415CE" w:rsidRPr="002E75D2">
              <w:rPr>
                <w:iCs w:val="0"/>
              </w:rPr>
              <w:t>specific</w:t>
            </w:r>
            <w:r w:rsidRPr="002E75D2">
              <w:rPr>
                <w:iCs w:val="0"/>
              </w:rPr>
              <w:t xml:space="preserve"> utilities, the ICER increased $</w:t>
            </w:r>
            <w:r w:rsidR="00D34C8E" w:rsidRPr="00D34C8E">
              <w:rPr>
                <w:iCs w:val="0"/>
                <w:highlight w:val="black"/>
              </w:rPr>
              <w:t>&amp;&amp;&amp;&amp;</w:t>
            </w:r>
            <w:r w:rsidR="00CD11A9">
              <w:rPr>
                <w:iCs w:val="0"/>
                <w:vertAlign w:val="superscript"/>
              </w:rPr>
              <w:t>1</w:t>
            </w:r>
            <w:r w:rsidRPr="002E75D2">
              <w:rPr>
                <w:iCs w:val="0"/>
              </w:rPr>
              <w:t xml:space="preserve"> to $</w:t>
            </w:r>
            <w:r w:rsidR="00D34C8E" w:rsidRPr="00D34C8E">
              <w:rPr>
                <w:iCs w:val="0"/>
                <w:highlight w:val="black"/>
              </w:rPr>
              <w:t>&amp;&amp;&amp;&amp;</w:t>
            </w:r>
            <w:r w:rsidR="00CD11A9">
              <w:rPr>
                <w:iCs w:val="0"/>
                <w:vertAlign w:val="superscript"/>
              </w:rPr>
              <w:t>1</w:t>
            </w:r>
            <w:r w:rsidRPr="002E75D2">
              <w:rPr>
                <w:iCs w:val="0"/>
              </w:rPr>
              <w:t xml:space="preserve"> per QALY.</w:t>
            </w:r>
          </w:p>
        </w:tc>
      </w:tr>
    </w:tbl>
    <w:p w14:paraId="12405D4F" w14:textId="10CECDAB" w:rsidR="00DC7D3C" w:rsidRPr="002E75D2" w:rsidRDefault="00DC7D3C" w:rsidP="00DC7D3C">
      <w:pPr>
        <w:pStyle w:val="FooterTableFigure"/>
      </w:pPr>
      <w:r w:rsidRPr="002E75D2">
        <w:t xml:space="preserve">Source: Table 148, pp280-2 of the submission, Table 158, p299 </w:t>
      </w:r>
      <w:r w:rsidR="000E1FDC" w:rsidRPr="002E75D2">
        <w:t>of the submission</w:t>
      </w:r>
      <w:r w:rsidRPr="002E75D2">
        <w:t xml:space="preserve">. </w:t>
      </w:r>
    </w:p>
    <w:p w14:paraId="174CE33B" w14:textId="77777777" w:rsidR="00084768" w:rsidRDefault="00DC7D3C" w:rsidP="00084768">
      <w:pPr>
        <w:pStyle w:val="FooterTableFigure"/>
        <w:rPr>
          <w:i/>
          <w:szCs w:val="18"/>
        </w:rPr>
      </w:pPr>
      <w:r w:rsidRPr="002E75D2">
        <w:t xml:space="preserve">AEMP = </w:t>
      </w:r>
      <w:r w:rsidR="00BC0BE7" w:rsidRPr="002E75D2">
        <w:t>Approved</w:t>
      </w:r>
      <w:r w:rsidRPr="002E75D2">
        <w:t xml:space="preserve"> Ex-Manufacturer Price; DPMQ = dispensed price for maximum quantity; ICER = incremental cost-effectiveness ratio; NICE = National Institute of Health and Care Excellence, SOC = Standard of care; QALY = quality-adjusted life-year.</w:t>
      </w:r>
      <w:bookmarkStart w:id="80" w:name="_Hlk218761266"/>
      <w:bookmarkStart w:id="81" w:name="_Hlk218771933"/>
      <w:r w:rsidR="00084768" w:rsidRPr="00084768">
        <w:rPr>
          <w:i/>
          <w:szCs w:val="18"/>
        </w:rPr>
        <w:t xml:space="preserve"> </w:t>
      </w:r>
    </w:p>
    <w:p w14:paraId="20DAAF0D" w14:textId="7DBEAF02" w:rsidR="00084768" w:rsidRPr="00084768" w:rsidRDefault="00084768" w:rsidP="00084768">
      <w:pPr>
        <w:pStyle w:val="FooterTableFigure"/>
        <w:rPr>
          <w:i/>
        </w:rPr>
      </w:pPr>
      <w:r w:rsidRPr="00084768">
        <w:rPr>
          <w:i/>
        </w:rPr>
        <w:t xml:space="preserve">The redacted values correspond to the following ranges: </w:t>
      </w:r>
    </w:p>
    <w:p w14:paraId="007A4CD5" w14:textId="6F46226D" w:rsidR="00084768" w:rsidRPr="00084768" w:rsidRDefault="00084768" w:rsidP="00084768">
      <w:pPr>
        <w:pStyle w:val="FooterTableFigure"/>
        <w:rPr>
          <w:i/>
        </w:rPr>
      </w:pPr>
      <w:r w:rsidRPr="00084768">
        <w:rPr>
          <w:i/>
          <w:vertAlign w:val="superscript"/>
        </w:rPr>
        <w:t>1</w:t>
      </w:r>
      <w:r w:rsidRPr="00084768">
        <w:rPr>
          <w:i/>
        </w:rPr>
        <w:t xml:space="preserve"> </w:t>
      </w:r>
      <w:bookmarkStart w:id="82" w:name="_Hlk218778101"/>
      <w:r w:rsidR="00CD11A9" w:rsidRPr="00CD11A9">
        <w:rPr>
          <w:i/>
        </w:rPr>
        <w:t>$45,000 to &lt; $55,000</w:t>
      </w:r>
      <w:bookmarkEnd w:id="82"/>
    </w:p>
    <w:bookmarkEnd w:id="80"/>
    <w:bookmarkEnd w:id="81"/>
    <w:p w14:paraId="4A484D03" w14:textId="035A7D0B" w:rsidR="00DC7D3C" w:rsidRPr="002E75D2" w:rsidRDefault="00DC7D3C" w:rsidP="00DC7D3C">
      <w:pPr>
        <w:pStyle w:val="FooterTableFigure"/>
      </w:pPr>
    </w:p>
    <w:p w14:paraId="0F798EB9" w14:textId="5484EF99" w:rsidR="00DC7D3C" w:rsidRPr="002E75D2" w:rsidRDefault="00DC7D3C" w:rsidP="00DC7D3C">
      <w:pPr>
        <w:pStyle w:val="3-BodyText"/>
      </w:pPr>
      <w:r w:rsidRPr="002E75D2">
        <w:t>The base case results</w:t>
      </w:r>
      <w:r w:rsidR="003B627D" w:rsidRPr="002E75D2">
        <w:t>, using the DPMQ for delgocitinib,</w:t>
      </w:r>
      <w:r w:rsidRPr="002E75D2">
        <w:t xml:space="preserve"> are given in </w:t>
      </w:r>
      <w:r w:rsidRPr="002E75D2">
        <w:fldChar w:fldCharType="begin"/>
      </w:r>
      <w:r w:rsidRPr="002E75D2">
        <w:instrText xml:space="preserve"> REF _Ref205484144 \h </w:instrText>
      </w:r>
      <w:r w:rsidRPr="002E75D2">
        <w:fldChar w:fldCharType="separate"/>
      </w:r>
      <w:r w:rsidR="00AA53DD" w:rsidRPr="002E75D2">
        <w:t xml:space="preserve">Table </w:t>
      </w:r>
      <w:r w:rsidR="00AA53DD">
        <w:rPr>
          <w:noProof/>
        </w:rPr>
        <w:t>11</w:t>
      </w:r>
      <w:r w:rsidRPr="002E75D2">
        <w:fldChar w:fldCharType="end"/>
      </w:r>
      <w:r w:rsidRPr="002E75D2">
        <w:t>.</w:t>
      </w:r>
      <w:r w:rsidR="00AC0905" w:rsidRPr="002E75D2">
        <w:t xml:space="preserve"> The submission did not present a stepped evaluation.</w:t>
      </w:r>
    </w:p>
    <w:p w14:paraId="4564F6C5" w14:textId="77777777" w:rsidR="00DC7D3C" w:rsidRPr="002E75D2" w:rsidRDefault="00DC7D3C" w:rsidP="00DC7D3C">
      <w:pPr>
        <w:pStyle w:val="Caption"/>
      </w:pPr>
      <w:bookmarkStart w:id="83" w:name="_Ref104805181"/>
    </w:p>
    <w:p w14:paraId="4D5BB9CF" w14:textId="38FF04B9" w:rsidR="00DC7D3C" w:rsidRPr="002E75D2" w:rsidRDefault="00DC7D3C" w:rsidP="00DC7D3C">
      <w:pPr>
        <w:pStyle w:val="Caption"/>
      </w:pPr>
      <w:bookmarkStart w:id="84" w:name="_Ref205484144"/>
      <w:r w:rsidRPr="002E75D2">
        <w:t xml:space="preserve">Table </w:t>
      </w:r>
      <w:r w:rsidR="000847A3">
        <w:fldChar w:fldCharType="begin"/>
      </w:r>
      <w:r w:rsidR="000847A3">
        <w:instrText xml:space="preserve"> SEQ Table \* ARABIC </w:instrText>
      </w:r>
      <w:r w:rsidR="000847A3">
        <w:fldChar w:fldCharType="separate"/>
      </w:r>
      <w:r w:rsidR="00AA53DD">
        <w:rPr>
          <w:noProof/>
        </w:rPr>
        <w:t>11</w:t>
      </w:r>
      <w:r w:rsidR="000847A3">
        <w:rPr>
          <w:noProof/>
        </w:rPr>
        <w:fldChar w:fldCharType="end"/>
      </w:r>
      <w:bookmarkEnd w:id="83"/>
      <w:bookmarkEnd w:id="84"/>
      <w:r w:rsidRPr="002E75D2">
        <w:rPr>
          <w:rStyle w:val="CommentReference"/>
          <w:b/>
          <w:szCs w:val="24"/>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economic evaluation"/>
      </w:tblPr>
      <w:tblGrid>
        <w:gridCol w:w="2757"/>
        <w:gridCol w:w="2451"/>
        <w:gridCol w:w="2298"/>
        <w:gridCol w:w="1511"/>
      </w:tblGrid>
      <w:tr w:rsidR="00DC7D3C" w:rsidRPr="002E75D2" w14:paraId="6BE622C6" w14:textId="77777777" w:rsidTr="00C21DB1">
        <w:trPr>
          <w:tblHeader/>
        </w:trPr>
        <w:tc>
          <w:tcPr>
            <w:tcW w:w="1529" w:type="pct"/>
            <w:vAlign w:val="center"/>
          </w:tcPr>
          <w:p w14:paraId="52F416A9" w14:textId="77777777" w:rsidR="00DC7D3C" w:rsidRPr="002E75D2" w:rsidRDefault="00DC7D3C">
            <w:pPr>
              <w:pStyle w:val="In-tableHeading"/>
              <w:jc w:val="center"/>
              <w:rPr>
                <w:szCs w:val="20"/>
                <w:lang w:val="en-AU"/>
              </w:rPr>
            </w:pPr>
            <w:r w:rsidRPr="002E75D2">
              <w:rPr>
                <w:szCs w:val="20"/>
                <w:lang w:val="en-AU"/>
              </w:rPr>
              <w:t>Component</w:t>
            </w:r>
          </w:p>
        </w:tc>
        <w:tc>
          <w:tcPr>
            <w:tcW w:w="1359" w:type="pct"/>
            <w:vAlign w:val="center"/>
          </w:tcPr>
          <w:p w14:paraId="791630C6" w14:textId="77777777" w:rsidR="00DC7D3C" w:rsidRPr="002E75D2" w:rsidRDefault="00DC7D3C" w:rsidP="00EA7F7E">
            <w:pPr>
              <w:pStyle w:val="In-tableHeading"/>
              <w:jc w:val="center"/>
              <w:rPr>
                <w:szCs w:val="20"/>
                <w:lang w:val="en-AU"/>
              </w:rPr>
            </w:pPr>
            <w:r w:rsidRPr="002E75D2">
              <w:rPr>
                <w:szCs w:val="20"/>
                <w:lang w:val="en-AU"/>
              </w:rPr>
              <w:t>Delgocitinib</w:t>
            </w:r>
          </w:p>
        </w:tc>
        <w:tc>
          <w:tcPr>
            <w:tcW w:w="1274" w:type="pct"/>
            <w:vAlign w:val="center"/>
          </w:tcPr>
          <w:p w14:paraId="635A24E6" w14:textId="77777777" w:rsidR="00DC7D3C" w:rsidRPr="002E75D2" w:rsidRDefault="00DC7D3C" w:rsidP="00EA7F7E">
            <w:pPr>
              <w:pStyle w:val="In-tableHeading"/>
              <w:jc w:val="center"/>
              <w:rPr>
                <w:szCs w:val="20"/>
                <w:lang w:val="en-AU"/>
              </w:rPr>
            </w:pPr>
            <w:r w:rsidRPr="002E75D2">
              <w:rPr>
                <w:szCs w:val="20"/>
                <w:lang w:val="en-AU"/>
              </w:rPr>
              <w:t>Standard of care</w:t>
            </w:r>
          </w:p>
        </w:tc>
        <w:tc>
          <w:tcPr>
            <w:tcW w:w="838" w:type="pct"/>
            <w:vAlign w:val="center"/>
          </w:tcPr>
          <w:p w14:paraId="144666E5" w14:textId="77777777" w:rsidR="00DC7D3C" w:rsidRPr="002E75D2" w:rsidRDefault="00DC7D3C" w:rsidP="00EA7F7E">
            <w:pPr>
              <w:pStyle w:val="In-tableHeading"/>
              <w:jc w:val="center"/>
              <w:rPr>
                <w:szCs w:val="20"/>
                <w:lang w:val="en-AU"/>
              </w:rPr>
            </w:pPr>
            <w:r w:rsidRPr="002E75D2">
              <w:rPr>
                <w:szCs w:val="20"/>
                <w:lang w:val="en-AU"/>
              </w:rPr>
              <w:t>Increment</w:t>
            </w:r>
          </w:p>
        </w:tc>
      </w:tr>
      <w:tr w:rsidR="00DC7D3C" w:rsidRPr="002E75D2" w14:paraId="11BFBC4B" w14:textId="77777777" w:rsidTr="00C21DB1">
        <w:tc>
          <w:tcPr>
            <w:tcW w:w="1529" w:type="pct"/>
            <w:vAlign w:val="center"/>
          </w:tcPr>
          <w:p w14:paraId="76D0FFFC" w14:textId="77777777" w:rsidR="00DC7D3C" w:rsidRPr="002E75D2" w:rsidRDefault="00DC7D3C" w:rsidP="00FD6019">
            <w:pPr>
              <w:pStyle w:val="TableText0"/>
              <w:rPr>
                <w:iCs w:val="0"/>
              </w:rPr>
            </w:pPr>
            <w:r w:rsidRPr="002E75D2">
              <w:rPr>
                <w:iCs w:val="0"/>
              </w:rPr>
              <w:t>Discounted Costs</w:t>
            </w:r>
          </w:p>
        </w:tc>
        <w:tc>
          <w:tcPr>
            <w:tcW w:w="1359" w:type="pct"/>
          </w:tcPr>
          <w:p w14:paraId="4AF962B4" w14:textId="04ADB933" w:rsidR="00DA1923" w:rsidRPr="002E75D2" w:rsidRDefault="00FD6019" w:rsidP="00EA7F7E">
            <w:pPr>
              <w:pStyle w:val="TableText0"/>
              <w:jc w:val="center"/>
              <w:rPr>
                <w:iCs w:val="0"/>
              </w:rPr>
            </w:pPr>
            <w:r w:rsidRPr="002E75D2">
              <w:rPr>
                <w:iCs w:val="0"/>
              </w:rPr>
              <w:t>$</w:t>
            </w:r>
            <w:r w:rsidR="00D34C8E" w:rsidRPr="00D34C8E">
              <w:rPr>
                <w:iCs w:val="0"/>
                <w:highlight w:val="black"/>
              </w:rPr>
              <w:t>&amp;&amp;&amp;&amp;</w:t>
            </w:r>
          </w:p>
        </w:tc>
        <w:tc>
          <w:tcPr>
            <w:tcW w:w="1274" w:type="pct"/>
          </w:tcPr>
          <w:p w14:paraId="5C4C6C7B" w14:textId="433474F4" w:rsidR="00DC7D3C" w:rsidRPr="002E75D2" w:rsidRDefault="00DC7D3C" w:rsidP="00EA7F7E">
            <w:pPr>
              <w:pStyle w:val="TableText0"/>
              <w:jc w:val="center"/>
              <w:rPr>
                <w:iCs w:val="0"/>
              </w:rPr>
            </w:pPr>
            <w:r w:rsidRPr="002E75D2">
              <w:rPr>
                <w:iCs w:val="0"/>
              </w:rPr>
              <w:t>$5,</w:t>
            </w:r>
            <w:r w:rsidR="00C70A3F" w:rsidRPr="002E75D2">
              <w:rPr>
                <w:iCs w:val="0"/>
              </w:rPr>
              <w:t>850</w:t>
            </w:r>
          </w:p>
        </w:tc>
        <w:tc>
          <w:tcPr>
            <w:tcW w:w="838" w:type="pct"/>
          </w:tcPr>
          <w:p w14:paraId="7AEA8365" w14:textId="17A68297" w:rsidR="00DC7D3C" w:rsidRPr="002E75D2" w:rsidRDefault="004D7F69" w:rsidP="00EA7F7E">
            <w:pPr>
              <w:pStyle w:val="TableText0"/>
              <w:jc w:val="center"/>
              <w:rPr>
                <w:iCs w:val="0"/>
              </w:rPr>
            </w:pPr>
            <w:r w:rsidRPr="002E75D2">
              <w:rPr>
                <w:iCs w:val="0"/>
              </w:rPr>
              <w:t>$</w:t>
            </w:r>
            <w:r w:rsidR="00D34C8E" w:rsidRPr="00D34C8E">
              <w:rPr>
                <w:iCs w:val="0"/>
                <w:highlight w:val="black"/>
              </w:rPr>
              <w:t>&amp;&amp;&amp;&amp;</w:t>
            </w:r>
          </w:p>
        </w:tc>
      </w:tr>
      <w:tr w:rsidR="00DC7D3C" w:rsidRPr="002E75D2" w14:paraId="2A6E6E63" w14:textId="77777777" w:rsidTr="00C21DB1">
        <w:tc>
          <w:tcPr>
            <w:tcW w:w="1529" w:type="pct"/>
            <w:vAlign w:val="center"/>
          </w:tcPr>
          <w:p w14:paraId="03A753CE" w14:textId="77777777" w:rsidR="00DC7D3C" w:rsidRPr="002E75D2" w:rsidRDefault="00DC7D3C" w:rsidP="00FD6019">
            <w:pPr>
              <w:pStyle w:val="TableText0"/>
              <w:rPr>
                <w:iCs w:val="0"/>
              </w:rPr>
            </w:pPr>
            <w:r w:rsidRPr="002E75D2">
              <w:rPr>
                <w:iCs w:val="0"/>
              </w:rPr>
              <w:t>Discounted QALYs</w:t>
            </w:r>
          </w:p>
        </w:tc>
        <w:tc>
          <w:tcPr>
            <w:tcW w:w="1359" w:type="pct"/>
          </w:tcPr>
          <w:p w14:paraId="4546AF0C" w14:textId="77777777" w:rsidR="00DC7D3C" w:rsidRPr="002E75D2" w:rsidRDefault="00DC7D3C" w:rsidP="00EA7F7E">
            <w:pPr>
              <w:pStyle w:val="TableText0"/>
              <w:jc w:val="center"/>
              <w:rPr>
                <w:iCs w:val="0"/>
              </w:rPr>
            </w:pPr>
            <w:r w:rsidRPr="002E75D2">
              <w:rPr>
                <w:iCs w:val="0"/>
              </w:rPr>
              <w:t>5.327</w:t>
            </w:r>
          </w:p>
        </w:tc>
        <w:tc>
          <w:tcPr>
            <w:tcW w:w="1274" w:type="pct"/>
          </w:tcPr>
          <w:p w14:paraId="43B63574" w14:textId="77777777" w:rsidR="00DC7D3C" w:rsidRPr="002E75D2" w:rsidRDefault="00DC7D3C" w:rsidP="00EA7F7E">
            <w:pPr>
              <w:pStyle w:val="TableText0"/>
              <w:jc w:val="center"/>
              <w:rPr>
                <w:iCs w:val="0"/>
              </w:rPr>
            </w:pPr>
            <w:r w:rsidRPr="002E75D2">
              <w:rPr>
                <w:iCs w:val="0"/>
              </w:rPr>
              <w:t>5.243</w:t>
            </w:r>
          </w:p>
        </w:tc>
        <w:tc>
          <w:tcPr>
            <w:tcW w:w="838" w:type="pct"/>
          </w:tcPr>
          <w:p w14:paraId="402D71AA" w14:textId="77777777" w:rsidR="00DC7D3C" w:rsidRPr="002E75D2" w:rsidRDefault="00DC7D3C" w:rsidP="00EA7F7E">
            <w:pPr>
              <w:pStyle w:val="TableText0"/>
              <w:jc w:val="center"/>
              <w:rPr>
                <w:iCs w:val="0"/>
              </w:rPr>
            </w:pPr>
            <w:r w:rsidRPr="002E75D2">
              <w:rPr>
                <w:iCs w:val="0"/>
              </w:rPr>
              <w:t>0.083</w:t>
            </w:r>
          </w:p>
        </w:tc>
      </w:tr>
      <w:tr w:rsidR="00DC7D3C" w:rsidRPr="002E75D2" w14:paraId="0EC14BE7" w14:textId="77777777" w:rsidTr="00C21DB1">
        <w:tc>
          <w:tcPr>
            <w:tcW w:w="4162" w:type="pct"/>
            <w:gridSpan w:val="3"/>
            <w:vAlign w:val="center"/>
          </w:tcPr>
          <w:p w14:paraId="698D8775" w14:textId="77777777" w:rsidR="00DC7D3C" w:rsidRPr="002E75D2" w:rsidRDefault="00DC7D3C" w:rsidP="00AC0905">
            <w:pPr>
              <w:pStyle w:val="TableText0"/>
              <w:rPr>
                <w:b/>
                <w:bCs w:val="0"/>
                <w:iCs w:val="0"/>
              </w:rPr>
            </w:pPr>
            <w:r w:rsidRPr="002E75D2">
              <w:rPr>
                <w:b/>
                <w:bCs w:val="0"/>
                <w:iCs w:val="0"/>
              </w:rPr>
              <w:t>Incremental cost/extra QALY gained</w:t>
            </w:r>
          </w:p>
        </w:tc>
        <w:tc>
          <w:tcPr>
            <w:tcW w:w="838" w:type="pct"/>
            <w:vAlign w:val="center"/>
          </w:tcPr>
          <w:p w14:paraId="759275E2" w14:textId="69ECA302" w:rsidR="00DC7D3C" w:rsidRPr="00913FF6" w:rsidRDefault="00381FD0" w:rsidP="00EA7F7E">
            <w:pPr>
              <w:pStyle w:val="TableText0"/>
              <w:jc w:val="center"/>
              <w:rPr>
                <w:b/>
                <w:bCs w:val="0"/>
                <w:iCs w:val="0"/>
                <w:vertAlign w:val="superscript"/>
              </w:rPr>
            </w:pPr>
            <w:r w:rsidRPr="002E75D2">
              <w:rPr>
                <w:b/>
                <w:bCs w:val="0"/>
                <w:iCs w:val="0"/>
              </w:rPr>
              <w:t>$</w:t>
            </w:r>
            <w:r w:rsidR="00D34C8E" w:rsidRPr="00D34C8E">
              <w:rPr>
                <w:b/>
                <w:bCs w:val="0"/>
                <w:iCs w:val="0"/>
                <w:highlight w:val="black"/>
              </w:rPr>
              <w:t>&amp;&amp;&amp;&amp;</w:t>
            </w:r>
            <w:r w:rsidR="00913FF6" w:rsidRPr="00913FF6">
              <w:rPr>
                <w:iCs w:val="0"/>
                <w:vertAlign w:val="superscript"/>
              </w:rPr>
              <w:t>1</w:t>
            </w:r>
          </w:p>
        </w:tc>
      </w:tr>
    </w:tbl>
    <w:p w14:paraId="0E3F8893" w14:textId="77777777" w:rsidR="00913FF6" w:rsidRDefault="00DC7D3C" w:rsidP="00913FF6">
      <w:pPr>
        <w:pStyle w:val="TableFigureFooter"/>
        <w:rPr>
          <w:i/>
        </w:rPr>
      </w:pPr>
      <w:r w:rsidRPr="002E75D2">
        <w:t>Source: Adapted from Table 155, p292 of the submission.</w:t>
      </w:r>
      <w:r w:rsidRPr="002E75D2">
        <w:br/>
      </w:r>
      <w:r w:rsidRPr="002E75D2">
        <w:rPr>
          <w:rFonts w:eastAsia="Calibri"/>
          <w:szCs w:val="20"/>
        </w:rPr>
        <w:t>QALY = quality adjusted life year.</w:t>
      </w:r>
      <w:r w:rsidR="00913FF6" w:rsidRPr="00913FF6">
        <w:rPr>
          <w:i/>
        </w:rPr>
        <w:t xml:space="preserve"> </w:t>
      </w:r>
    </w:p>
    <w:p w14:paraId="45DDCAC7" w14:textId="02583D97" w:rsidR="00913FF6" w:rsidRPr="00913FF6" w:rsidRDefault="00913FF6" w:rsidP="00913FF6">
      <w:pPr>
        <w:pStyle w:val="TableFigureFooter"/>
        <w:rPr>
          <w:rFonts w:eastAsia="Calibri"/>
          <w:i/>
          <w:szCs w:val="20"/>
        </w:rPr>
      </w:pPr>
      <w:r w:rsidRPr="00913FF6">
        <w:rPr>
          <w:rFonts w:eastAsia="Calibri"/>
          <w:i/>
          <w:szCs w:val="20"/>
        </w:rPr>
        <w:t xml:space="preserve">The redacted values correspond to the following ranges: </w:t>
      </w:r>
    </w:p>
    <w:p w14:paraId="68B91C84" w14:textId="77777777" w:rsidR="00913FF6" w:rsidRPr="00913FF6" w:rsidRDefault="00913FF6" w:rsidP="00913FF6">
      <w:pPr>
        <w:pStyle w:val="TableFigureFooter"/>
        <w:rPr>
          <w:rFonts w:eastAsia="Calibri"/>
          <w:i/>
          <w:szCs w:val="20"/>
        </w:rPr>
      </w:pPr>
      <w:r w:rsidRPr="00913FF6">
        <w:rPr>
          <w:rFonts w:eastAsia="Calibri"/>
          <w:i/>
          <w:szCs w:val="20"/>
          <w:vertAlign w:val="superscript"/>
        </w:rPr>
        <w:t>1</w:t>
      </w:r>
      <w:r w:rsidRPr="00913FF6">
        <w:rPr>
          <w:rFonts w:eastAsia="Calibri"/>
          <w:i/>
          <w:szCs w:val="20"/>
        </w:rPr>
        <w:t xml:space="preserve"> $45,000 to &lt; $55,000</w:t>
      </w:r>
    </w:p>
    <w:p w14:paraId="7E982D33" w14:textId="2087E732" w:rsidR="00D04571" w:rsidRPr="002E75D2" w:rsidRDefault="00D04571" w:rsidP="00D04571">
      <w:pPr>
        <w:pStyle w:val="TableFigureFooter"/>
        <w:rPr>
          <w:rFonts w:eastAsia="Calibri"/>
          <w:szCs w:val="20"/>
        </w:rPr>
      </w:pPr>
    </w:p>
    <w:p w14:paraId="117DE39C" w14:textId="4955420C" w:rsidR="00DC7D3C" w:rsidRPr="002E75D2" w:rsidRDefault="00DC7D3C" w:rsidP="00DC7D3C">
      <w:pPr>
        <w:pStyle w:val="3-BodyText"/>
      </w:pPr>
      <w:r w:rsidRPr="002E75D2">
        <w:lastRenderedPageBreak/>
        <w:t xml:space="preserve">The results of key sensitivity analyses are summarised in </w:t>
      </w:r>
      <w:r w:rsidRPr="002E75D2">
        <w:fldChar w:fldCharType="begin"/>
      </w:r>
      <w:r w:rsidRPr="002E75D2">
        <w:instrText xml:space="preserve"> REF _Ref104804865 \h </w:instrText>
      </w:r>
      <w:r w:rsidRPr="002E75D2">
        <w:fldChar w:fldCharType="separate"/>
      </w:r>
      <w:r w:rsidR="00AA53DD" w:rsidRPr="002E75D2">
        <w:t xml:space="preserve">Table </w:t>
      </w:r>
      <w:r w:rsidR="00AA53DD">
        <w:rPr>
          <w:noProof/>
        </w:rPr>
        <w:t>12</w:t>
      </w:r>
      <w:r w:rsidRPr="002E75D2">
        <w:fldChar w:fldCharType="end"/>
      </w:r>
      <w:r w:rsidRPr="002E75D2">
        <w:t>.</w:t>
      </w:r>
    </w:p>
    <w:p w14:paraId="5DECC772" w14:textId="467B550E" w:rsidR="00DC7D3C" w:rsidRPr="002E75D2" w:rsidRDefault="00DC7D3C" w:rsidP="00B4149F">
      <w:pPr>
        <w:pStyle w:val="Caption"/>
        <w:rPr>
          <w:rStyle w:val="CommentReference"/>
          <w:b/>
          <w:szCs w:val="24"/>
        </w:rPr>
      </w:pPr>
      <w:bookmarkStart w:id="85" w:name="_Ref104804865"/>
      <w:r w:rsidRPr="002E75D2">
        <w:t xml:space="preserve">Table </w:t>
      </w:r>
      <w:r w:rsidR="000847A3">
        <w:fldChar w:fldCharType="begin"/>
      </w:r>
      <w:r w:rsidR="000847A3">
        <w:instrText xml:space="preserve"> SEQ Table \* ARABIC </w:instrText>
      </w:r>
      <w:r w:rsidR="000847A3">
        <w:fldChar w:fldCharType="separate"/>
      </w:r>
      <w:r w:rsidR="00AA53DD">
        <w:rPr>
          <w:noProof/>
        </w:rPr>
        <w:t>12</w:t>
      </w:r>
      <w:r w:rsidR="000847A3">
        <w:rPr>
          <w:noProof/>
        </w:rPr>
        <w:fldChar w:fldCharType="end"/>
      </w:r>
      <w:bookmarkEnd w:id="85"/>
      <w:r w:rsidRPr="002E75D2">
        <w:t>:</w:t>
      </w:r>
      <w:r w:rsidRPr="002E75D2">
        <w:rPr>
          <w:rStyle w:val="CommentReference"/>
          <w:b/>
          <w:szCs w:val="24"/>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Sensitivity analyses"/>
      </w:tblPr>
      <w:tblGrid>
        <w:gridCol w:w="4389"/>
        <w:gridCol w:w="1275"/>
        <w:gridCol w:w="1277"/>
        <w:gridCol w:w="994"/>
        <w:gridCol w:w="1082"/>
      </w:tblGrid>
      <w:tr w:rsidR="00DC7D3C" w:rsidRPr="009662B7" w14:paraId="499D7E74" w14:textId="77777777" w:rsidTr="00C21DB1">
        <w:trPr>
          <w:cantSplit/>
          <w:tblHeader/>
        </w:trPr>
        <w:tc>
          <w:tcPr>
            <w:tcW w:w="2434" w:type="pct"/>
          </w:tcPr>
          <w:p w14:paraId="5FAC4EDB" w14:textId="77777777" w:rsidR="00DC7D3C" w:rsidRPr="009662B7" w:rsidRDefault="00DC7D3C" w:rsidP="00B4149F">
            <w:pPr>
              <w:pStyle w:val="In-tableHeading"/>
              <w:jc w:val="center"/>
              <w:rPr>
                <w:szCs w:val="20"/>
                <w:lang w:val="en-AU"/>
              </w:rPr>
            </w:pPr>
            <w:r w:rsidRPr="009662B7">
              <w:rPr>
                <w:szCs w:val="20"/>
                <w:lang w:val="en-AU"/>
              </w:rPr>
              <w:t>Analyses</w:t>
            </w:r>
          </w:p>
        </w:tc>
        <w:tc>
          <w:tcPr>
            <w:tcW w:w="707" w:type="pct"/>
          </w:tcPr>
          <w:p w14:paraId="705A1DB8" w14:textId="77777777" w:rsidR="00DC7D3C" w:rsidRPr="009662B7" w:rsidRDefault="00DC7D3C" w:rsidP="00B4149F">
            <w:pPr>
              <w:pStyle w:val="In-tableHeading"/>
              <w:jc w:val="center"/>
              <w:rPr>
                <w:szCs w:val="20"/>
                <w:lang w:val="en-AU"/>
              </w:rPr>
            </w:pPr>
            <w:r w:rsidRPr="009662B7">
              <w:rPr>
                <w:szCs w:val="20"/>
                <w:lang w:val="en-AU"/>
              </w:rPr>
              <w:t>Incremental cost</w:t>
            </w:r>
          </w:p>
        </w:tc>
        <w:tc>
          <w:tcPr>
            <w:tcW w:w="708" w:type="pct"/>
          </w:tcPr>
          <w:p w14:paraId="4C3306D7" w14:textId="77777777" w:rsidR="00DC7D3C" w:rsidRPr="009662B7" w:rsidRDefault="00DC7D3C" w:rsidP="00B4149F">
            <w:pPr>
              <w:pStyle w:val="In-tableHeading"/>
              <w:jc w:val="center"/>
              <w:rPr>
                <w:szCs w:val="20"/>
                <w:lang w:val="en-AU"/>
              </w:rPr>
            </w:pPr>
            <w:r w:rsidRPr="009662B7">
              <w:rPr>
                <w:szCs w:val="20"/>
                <w:lang w:val="en-AU"/>
              </w:rPr>
              <w:t>Incremental QALY</w:t>
            </w:r>
          </w:p>
        </w:tc>
        <w:tc>
          <w:tcPr>
            <w:tcW w:w="551" w:type="pct"/>
          </w:tcPr>
          <w:p w14:paraId="5C9A4EA1" w14:textId="77777777" w:rsidR="00DC7D3C" w:rsidRPr="009662B7" w:rsidRDefault="00DC7D3C" w:rsidP="00B4149F">
            <w:pPr>
              <w:pStyle w:val="In-tableHeading"/>
              <w:jc w:val="center"/>
              <w:rPr>
                <w:szCs w:val="20"/>
                <w:lang w:val="en-AU"/>
              </w:rPr>
            </w:pPr>
            <w:r w:rsidRPr="009662B7">
              <w:rPr>
                <w:szCs w:val="20"/>
                <w:lang w:val="en-AU"/>
              </w:rPr>
              <w:t>ICER</w:t>
            </w:r>
          </w:p>
        </w:tc>
        <w:tc>
          <w:tcPr>
            <w:tcW w:w="600" w:type="pct"/>
          </w:tcPr>
          <w:p w14:paraId="26C75F3D" w14:textId="77777777" w:rsidR="00DC7D3C" w:rsidRPr="009662B7" w:rsidRDefault="00DC7D3C" w:rsidP="00B4149F">
            <w:pPr>
              <w:pStyle w:val="In-tableHeading"/>
              <w:jc w:val="center"/>
              <w:rPr>
                <w:szCs w:val="20"/>
                <w:lang w:val="en-AU"/>
              </w:rPr>
            </w:pPr>
            <w:r w:rsidRPr="009662B7">
              <w:rPr>
                <w:szCs w:val="20"/>
                <w:lang w:val="en-AU"/>
              </w:rPr>
              <w:t>% change to ICER</w:t>
            </w:r>
          </w:p>
        </w:tc>
      </w:tr>
      <w:tr w:rsidR="00DC7D3C" w:rsidRPr="009662B7" w14:paraId="01431C00" w14:textId="77777777" w:rsidTr="00C21DB1">
        <w:trPr>
          <w:cantSplit/>
        </w:trPr>
        <w:tc>
          <w:tcPr>
            <w:tcW w:w="2434" w:type="pct"/>
          </w:tcPr>
          <w:p w14:paraId="3A08F312" w14:textId="77777777" w:rsidR="00DC7D3C" w:rsidRPr="009662B7" w:rsidRDefault="00DC7D3C" w:rsidP="00B4149F">
            <w:pPr>
              <w:pStyle w:val="TableText0"/>
              <w:keepNext/>
              <w:rPr>
                <w:b/>
                <w:bCs w:val="0"/>
                <w:iCs w:val="0"/>
              </w:rPr>
            </w:pPr>
            <w:r w:rsidRPr="009662B7">
              <w:rPr>
                <w:b/>
                <w:bCs w:val="0"/>
                <w:iCs w:val="0"/>
              </w:rPr>
              <w:t>Base case</w:t>
            </w:r>
          </w:p>
        </w:tc>
        <w:tc>
          <w:tcPr>
            <w:tcW w:w="707" w:type="pct"/>
          </w:tcPr>
          <w:p w14:paraId="0461C598" w14:textId="363680DC" w:rsidR="00DC7D3C" w:rsidRPr="009662B7" w:rsidRDefault="003F27CF" w:rsidP="00B4149F">
            <w:pPr>
              <w:pStyle w:val="TableText0"/>
              <w:keepNext/>
              <w:jc w:val="center"/>
              <w:rPr>
                <w:b/>
                <w:bCs w:val="0"/>
                <w:iCs w:val="0"/>
                <w:highlight w:val="black"/>
              </w:rPr>
            </w:pPr>
            <w:r w:rsidRPr="009662B7">
              <w:rPr>
                <w:b/>
                <w:bCs w:val="0"/>
                <w:iCs w:val="0"/>
              </w:rPr>
              <w:t>$</w:t>
            </w:r>
            <w:r w:rsidR="00D34C8E" w:rsidRPr="00D34C8E">
              <w:rPr>
                <w:b/>
                <w:bCs w:val="0"/>
                <w:iCs w:val="0"/>
                <w:highlight w:val="black"/>
              </w:rPr>
              <w:t>&amp;&amp;&amp;&amp;</w:t>
            </w:r>
          </w:p>
        </w:tc>
        <w:tc>
          <w:tcPr>
            <w:tcW w:w="708" w:type="pct"/>
          </w:tcPr>
          <w:p w14:paraId="35E619B5" w14:textId="77777777" w:rsidR="00DC7D3C" w:rsidRPr="009662B7" w:rsidRDefault="00DC7D3C" w:rsidP="00B4149F">
            <w:pPr>
              <w:pStyle w:val="TableText0"/>
              <w:keepNext/>
              <w:jc w:val="center"/>
              <w:rPr>
                <w:b/>
                <w:bCs w:val="0"/>
                <w:iCs w:val="0"/>
              </w:rPr>
            </w:pPr>
            <w:r w:rsidRPr="009662B7">
              <w:rPr>
                <w:b/>
                <w:bCs w:val="0"/>
                <w:iCs w:val="0"/>
              </w:rPr>
              <w:t>0.083</w:t>
            </w:r>
          </w:p>
        </w:tc>
        <w:tc>
          <w:tcPr>
            <w:tcW w:w="551" w:type="pct"/>
          </w:tcPr>
          <w:p w14:paraId="57750527" w14:textId="63FA386F" w:rsidR="00DC7D3C" w:rsidRPr="00A52F5D" w:rsidRDefault="003F27CF" w:rsidP="00B4149F">
            <w:pPr>
              <w:pStyle w:val="TableText0"/>
              <w:keepNext/>
              <w:jc w:val="center"/>
              <w:rPr>
                <w:iCs w:val="0"/>
                <w:highlight w:val="black"/>
                <w:vertAlign w:val="superscript"/>
              </w:rPr>
            </w:pPr>
            <w:r w:rsidRPr="009662B7">
              <w:rPr>
                <w:b/>
                <w:bCs w:val="0"/>
                <w:iCs w:val="0"/>
              </w:rPr>
              <w:t>$</w:t>
            </w:r>
            <w:r w:rsidR="00D34C8E" w:rsidRPr="00D34C8E">
              <w:rPr>
                <w:b/>
                <w:bCs w:val="0"/>
                <w:iCs w:val="0"/>
                <w:highlight w:val="black"/>
              </w:rPr>
              <w:t>&amp;&amp;&amp;&amp;</w:t>
            </w:r>
            <w:r w:rsidR="00A52F5D" w:rsidRPr="00A52F5D">
              <w:rPr>
                <w:iCs w:val="0"/>
                <w:vertAlign w:val="superscript"/>
              </w:rPr>
              <w:t>1</w:t>
            </w:r>
          </w:p>
        </w:tc>
        <w:tc>
          <w:tcPr>
            <w:tcW w:w="600" w:type="pct"/>
          </w:tcPr>
          <w:p w14:paraId="3F537F30" w14:textId="77777777" w:rsidR="00DC7D3C" w:rsidRPr="009662B7" w:rsidRDefault="00DC7D3C" w:rsidP="00B4149F">
            <w:pPr>
              <w:pStyle w:val="TableText0"/>
              <w:keepNext/>
              <w:jc w:val="center"/>
              <w:rPr>
                <w:b/>
                <w:bCs w:val="0"/>
                <w:iCs w:val="0"/>
              </w:rPr>
            </w:pPr>
            <w:r w:rsidRPr="009662B7">
              <w:rPr>
                <w:b/>
                <w:bCs w:val="0"/>
                <w:iCs w:val="0"/>
              </w:rPr>
              <w:t>-</w:t>
            </w:r>
          </w:p>
        </w:tc>
      </w:tr>
      <w:tr w:rsidR="00DC7D3C" w:rsidRPr="009662B7" w14:paraId="249B6AB2" w14:textId="77777777" w:rsidTr="00C21DB1">
        <w:trPr>
          <w:cantSplit/>
        </w:trPr>
        <w:tc>
          <w:tcPr>
            <w:tcW w:w="2434" w:type="pct"/>
          </w:tcPr>
          <w:p w14:paraId="0695CB06" w14:textId="30098E66" w:rsidR="00DC7D3C" w:rsidRPr="009662B7" w:rsidRDefault="00DC7D3C" w:rsidP="00B4149F">
            <w:pPr>
              <w:pStyle w:val="TableText0"/>
              <w:keepNext/>
              <w:rPr>
                <w:iCs w:val="0"/>
              </w:rPr>
            </w:pPr>
            <w:r w:rsidRPr="009662B7">
              <w:rPr>
                <w:iCs w:val="0"/>
              </w:rPr>
              <w:t>Discount rate 0%</w:t>
            </w:r>
            <w:r w:rsidR="00F00F20" w:rsidRPr="009662B7">
              <w:rPr>
                <w:iCs w:val="0"/>
              </w:rPr>
              <w:t xml:space="preserve"> (base case: 5%) </w:t>
            </w:r>
          </w:p>
        </w:tc>
        <w:tc>
          <w:tcPr>
            <w:tcW w:w="707" w:type="pct"/>
          </w:tcPr>
          <w:p w14:paraId="3B9A604D" w14:textId="1153E33A" w:rsidR="00DC7D3C" w:rsidRPr="009662B7" w:rsidRDefault="00DE2D1D" w:rsidP="00B4149F">
            <w:pPr>
              <w:pStyle w:val="TableText0"/>
              <w:keepNext/>
              <w:jc w:val="center"/>
              <w:rPr>
                <w:iCs w:val="0"/>
                <w:highlight w:val="black"/>
              </w:rPr>
            </w:pPr>
            <w:r w:rsidRPr="009662B7">
              <w:rPr>
                <w:iCs w:val="0"/>
              </w:rPr>
              <w:t>$</w:t>
            </w:r>
            <w:r w:rsidR="00D34C8E" w:rsidRPr="00D34C8E">
              <w:rPr>
                <w:iCs w:val="0"/>
                <w:highlight w:val="black"/>
              </w:rPr>
              <w:t>&amp;&amp;&amp;&amp;</w:t>
            </w:r>
          </w:p>
        </w:tc>
        <w:tc>
          <w:tcPr>
            <w:tcW w:w="708" w:type="pct"/>
          </w:tcPr>
          <w:p w14:paraId="2C6D3503" w14:textId="77777777" w:rsidR="00DC7D3C" w:rsidRPr="009662B7" w:rsidRDefault="00DC7D3C" w:rsidP="00B4149F">
            <w:pPr>
              <w:pStyle w:val="TableText0"/>
              <w:keepNext/>
              <w:jc w:val="center"/>
              <w:rPr>
                <w:iCs w:val="0"/>
              </w:rPr>
            </w:pPr>
            <w:r w:rsidRPr="009662B7">
              <w:rPr>
                <w:iCs w:val="0"/>
              </w:rPr>
              <w:t>0.090</w:t>
            </w:r>
          </w:p>
        </w:tc>
        <w:tc>
          <w:tcPr>
            <w:tcW w:w="551" w:type="pct"/>
          </w:tcPr>
          <w:p w14:paraId="74976FCE" w14:textId="5A40E6EF" w:rsidR="00DC7D3C" w:rsidRPr="00A52F5D" w:rsidRDefault="00654FFE" w:rsidP="00B4149F">
            <w:pPr>
              <w:pStyle w:val="TableText0"/>
              <w:keepNext/>
              <w:jc w:val="center"/>
              <w:rPr>
                <w:iCs w:val="0"/>
                <w:highlight w:val="black"/>
                <w:vertAlign w:val="superscript"/>
              </w:rPr>
            </w:pPr>
            <w:r w:rsidRPr="009662B7">
              <w:rPr>
                <w:iCs w:val="0"/>
              </w:rPr>
              <w:t>$</w:t>
            </w:r>
            <w:r w:rsidR="00D34C8E" w:rsidRPr="00D34C8E">
              <w:rPr>
                <w:iCs w:val="0"/>
                <w:highlight w:val="black"/>
              </w:rPr>
              <w:t>&amp;&amp;&amp;&amp;</w:t>
            </w:r>
            <w:r w:rsidR="00A52F5D" w:rsidRPr="00A52F5D">
              <w:rPr>
                <w:iCs w:val="0"/>
                <w:vertAlign w:val="superscript"/>
              </w:rPr>
              <w:t>1</w:t>
            </w:r>
          </w:p>
        </w:tc>
        <w:tc>
          <w:tcPr>
            <w:tcW w:w="600" w:type="pct"/>
          </w:tcPr>
          <w:p w14:paraId="70A9291E" w14:textId="181A292E" w:rsidR="00DC7D3C" w:rsidRPr="009662B7" w:rsidRDefault="00DC7D3C" w:rsidP="00B4149F">
            <w:pPr>
              <w:pStyle w:val="TableText0"/>
              <w:keepNext/>
              <w:jc w:val="center"/>
              <w:rPr>
                <w:iCs w:val="0"/>
              </w:rPr>
            </w:pPr>
            <w:r w:rsidRPr="009662B7">
              <w:rPr>
                <w:iCs w:val="0"/>
              </w:rPr>
              <w:t>-</w:t>
            </w:r>
            <w:r w:rsidR="00D34C8E" w:rsidRPr="00D34C8E">
              <w:rPr>
                <w:iCs w:val="0"/>
                <w:highlight w:val="black"/>
              </w:rPr>
              <w:t>&amp;&amp;&amp;&amp;</w:t>
            </w:r>
            <w:r w:rsidRPr="009662B7">
              <w:rPr>
                <w:iCs w:val="0"/>
              </w:rPr>
              <w:t>%</w:t>
            </w:r>
          </w:p>
        </w:tc>
      </w:tr>
      <w:tr w:rsidR="00DC7D3C" w:rsidRPr="009662B7" w14:paraId="57F7DFB0" w14:textId="77777777" w:rsidTr="00C21DB1">
        <w:trPr>
          <w:cantSplit/>
          <w:trHeight w:val="60"/>
        </w:trPr>
        <w:tc>
          <w:tcPr>
            <w:tcW w:w="2434" w:type="pct"/>
          </w:tcPr>
          <w:p w14:paraId="7958FFCF" w14:textId="79A8B97D" w:rsidR="00DC7D3C" w:rsidRPr="009662B7" w:rsidRDefault="00DC7D3C" w:rsidP="00B4149F">
            <w:pPr>
              <w:pStyle w:val="TableText0"/>
              <w:keepNext/>
              <w:rPr>
                <w:iCs w:val="0"/>
              </w:rPr>
            </w:pPr>
            <w:r w:rsidRPr="009662B7">
              <w:rPr>
                <w:iCs w:val="0"/>
              </w:rPr>
              <w:t>Discount rate 3.5%</w:t>
            </w:r>
            <w:r w:rsidR="00A50389" w:rsidRPr="009662B7">
              <w:rPr>
                <w:iCs w:val="0"/>
                <w:vertAlign w:val="superscript"/>
              </w:rPr>
              <w:t xml:space="preserve"> </w:t>
            </w:r>
            <w:r w:rsidR="00A50389" w:rsidRPr="009662B7">
              <w:rPr>
                <w:iCs w:val="0"/>
              </w:rPr>
              <w:t>(base case: 5%)</w:t>
            </w:r>
          </w:p>
        </w:tc>
        <w:tc>
          <w:tcPr>
            <w:tcW w:w="707" w:type="pct"/>
          </w:tcPr>
          <w:p w14:paraId="665A9D89" w14:textId="3EAA8428" w:rsidR="00DC7D3C" w:rsidRPr="009662B7" w:rsidRDefault="00B37B4A" w:rsidP="00B4149F">
            <w:pPr>
              <w:pStyle w:val="TableText0"/>
              <w:keepNext/>
              <w:jc w:val="center"/>
              <w:rPr>
                <w:iCs w:val="0"/>
                <w:highlight w:val="black"/>
              </w:rPr>
            </w:pPr>
            <w:r w:rsidRPr="009662B7">
              <w:rPr>
                <w:iCs w:val="0"/>
              </w:rPr>
              <w:t>$</w:t>
            </w:r>
            <w:r w:rsidR="00D34C8E" w:rsidRPr="00D34C8E">
              <w:rPr>
                <w:iCs w:val="0"/>
                <w:highlight w:val="black"/>
              </w:rPr>
              <w:t>&amp;&amp;&amp;&amp;</w:t>
            </w:r>
          </w:p>
        </w:tc>
        <w:tc>
          <w:tcPr>
            <w:tcW w:w="708" w:type="pct"/>
          </w:tcPr>
          <w:p w14:paraId="3D5A7BFE" w14:textId="77777777" w:rsidR="00DC7D3C" w:rsidRPr="009662B7" w:rsidRDefault="00DC7D3C" w:rsidP="00B4149F">
            <w:pPr>
              <w:pStyle w:val="TableText0"/>
              <w:keepNext/>
              <w:jc w:val="center"/>
              <w:rPr>
                <w:iCs w:val="0"/>
              </w:rPr>
            </w:pPr>
            <w:r w:rsidRPr="009662B7">
              <w:rPr>
                <w:iCs w:val="0"/>
              </w:rPr>
              <w:t>0.085</w:t>
            </w:r>
          </w:p>
        </w:tc>
        <w:tc>
          <w:tcPr>
            <w:tcW w:w="551" w:type="pct"/>
          </w:tcPr>
          <w:p w14:paraId="53539657" w14:textId="2E9CC015" w:rsidR="00DC7D3C" w:rsidRPr="009662B7" w:rsidRDefault="00B37B4A" w:rsidP="00B4149F">
            <w:pPr>
              <w:pStyle w:val="TableText0"/>
              <w:keepNext/>
              <w:jc w:val="center"/>
              <w:rPr>
                <w:iCs w:val="0"/>
                <w:highlight w:val="black"/>
              </w:rPr>
            </w:pPr>
            <w:r w:rsidRPr="009662B7">
              <w:rPr>
                <w:iCs w:val="0"/>
              </w:rPr>
              <w:t>$</w:t>
            </w:r>
            <w:r w:rsidR="00D34C8E" w:rsidRPr="00D34C8E">
              <w:rPr>
                <w:iCs w:val="0"/>
                <w:highlight w:val="black"/>
              </w:rPr>
              <w:t>&amp;&amp;&amp;&amp;</w:t>
            </w:r>
            <w:r w:rsidR="00A52F5D" w:rsidRPr="00A52F5D">
              <w:rPr>
                <w:iCs w:val="0"/>
                <w:vertAlign w:val="superscript"/>
              </w:rPr>
              <w:t>1</w:t>
            </w:r>
          </w:p>
        </w:tc>
        <w:tc>
          <w:tcPr>
            <w:tcW w:w="600" w:type="pct"/>
          </w:tcPr>
          <w:p w14:paraId="48BB63FE" w14:textId="62985065" w:rsidR="00DC7D3C" w:rsidRPr="009662B7" w:rsidRDefault="00DC7D3C" w:rsidP="00B4149F">
            <w:pPr>
              <w:pStyle w:val="TableText0"/>
              <w:keepNext/>
              <w:jc w:val="center"/>
              <w:rPr>
                <w:iCs w:val="0"/>
              </w:rPr>
            </w:pPr>
            <w:r w:rsidRPr="009662B7">
              <w:rPr>
                <w:iCs w:val="0"/>
              </w:rPr>
              <w:t>-</w:t>
            </w:r>
            <w:r w:rsidR="00D34C8E" w:rsidRPr="00D34C8E">
              <w:rPr>
                <w:iCs w:val="0"/>
                <w:highlight w:val="black"/>
              </w:rPr>
              <w:t>&amp;&amp;&amp;&amp;</w:t>
            </w:r>
            <w:r w:rsidRPr="009662B7">
              <w:rPr>
                <w:iCs w:val="0"/>
              </w:rPr>
              <w:t>%</w:t>
            </w:r>
          </w:p>
        </w:tc>
      </w:tr>
      <w:tr w:rsidR="00DC7D3C" w:rsidRPr="009662B7" w14:paraId="17765125" w14:textId="77777777" w:rsidTr="00C21DB1">
        <w:trPr>
          <w:cantSplit/>
          <w:trHeight w:val="86"/>
        </w:trPr>
        <w:tc>
          <w:tcPr>
            <w:tcW w:w="2434" w:type="pct"/>
          </w:tcPr>
          <w:p w14:paraId="5B4D49AA" w14:textId="58E0F9D4" w:rsidR="00DC7D3C" w:rsidRPr="009662B7" w:rsidRDefault="00DC7D3C" w:rsidP="00FD6019">
            <w:pPr>
              <w:pStyle w:val="TableText0"/>
              <w:rPr>
                <w:iCs w:val="0"/>
              </w:rPr>
            </w:pPr>
            <w:r w:rsidRPr="009662B7">
              <w:rPr>
                <w:iCs w:val="0"/>
              </w:rPr>
              <w:t>Response is defined as HECSI 90</w:t>
            </w:r>
            <w:r w:rsidR="00A50389" w:rsidRPr="009662B7">
              <w:rPr>
                <w:iCs w:val="0"/>
                <w:vertAlign w:val="superscript"/>
              </w:rPr>
              <w:t xml:space="preserve"> </w:t>
            </w:r>
            <w:r w:rsidR="00A50389" w:rsidRPr="009662B7">
              <w:rPr>
                <w:iCs w:val="0"/>
              </w:rPr>
              <w:t>(base case: IGA-CHE)</w:t>
            </w:r>
          </w:p>
        </w:tc>
        <w:tc>
          <w:tcPr>
            <w:tcW w:w="707" w:type="pct"/>
          </w:tcPr>
          <w:p w14:paraId="3F0FD9B9" w14:textId="08511035" w:rsidR="00DC7D3C" w:rsidRPr="009662B7" w:rsidRDefault="006516AD" w:rsidP="00EA7F7E">
            <w:pPr>
              <w:pStyle w:val="TableText0"/>
              <w:jc w:val="center"/>
              <w:rPr>
                <w:iCs w:val="0"/>
              </w:rPr>
            </w:pPr>
            <w:r w:rsidRPr="009662B7">
              <w:rPr>
                <w:iCs w:val="0"/>
              </w:rPr>
              <w:t>$</w:t>
            </w:r>
            <w:r w:rsidR="00D34C8E" w:rsidRPr="00D34C8E">
              <w:rPr>
                <w:iCs w:val="0"/>
                <w:highlight w:val="black"/>
              </w:rPr>
              <w:t>&amp;&amp;&amp;&amp;</w:t>
            </w:r>
          </w:p>
        </w:tc>
        <w:tc>
          <w:tcPr>
            <w:tcW w:w="708" w:type="pct"/>
          </w:tcPr>
          <w:p w14:paraId="5E205550" w14:textId="77777777" w:rsidR="00DC7D3C" w:rsidRPr="009662B7" w:rsidRDefault="00DC7D3C" w:rsidP="00EA7F7E">
            <w:pPr>
              <w:pStyle w:val="TableText0"/>
              <w:jc w:val="center"/>
              <w:rPr>
                <w:iCs w:val="0"/>
              </w:rPr>
            </w:pPr>
            <w:r w:rsidRPr="009662B7">
              <w:rPr>
                <w:iCs w:val="0"/>
              </w:rPr>
              <w:t>0.095</w:t>
            </w:r>
          </w:p>
        </w:tc>
        <w:tc>
          <w:tcPr>
            <w:tcW w:w="551" w:type="pct"/>
          </w:tcPr>
          <w:p w14:paraId="1975C65E" w14:textId="28E768BE" w:rsidR="00DC7D3C" w:rsidRPr="00F86D0B" w:rsidRDefault="00C34605" w:rsidP="00EA7F7E">
            <w:pPr>
              <w:pStyle w:val="TableText0"/>
              <w:jc w:val="center"/>
              <w:rPr>
                <w:iCs w:val="0"/>
                <w:vertAlign w:val="superscript"/>
              </w:rPr>
            </w:pPr>
            <w:r w:rsidRPr="009662B7">
              <w:rPr>
                <w:iCs w:val="0"/>
              </w:rPr>
              <w:t>$</w:t>
            </w:r>
            <w:r w:rsidR="00D34C8E" w:rsidRPr="00D34C8E">
              <w:rPr>
                <w:iCs w:val="0"/>
                <w:highlight w:val="black"/>
              </w:rPr>
              <w:t>&amp;&amp;&amp;&amp;</w:t>
            </w:r>
            <w:r w:rsidR="00F86D0B">
              <w:rPr>
                <w:iCs w:val="0"/>
                <w:vertAlign w:val="superscript"/>
              </w:rPr>
              <w:t>2</w:t>
            </w:r>
          </w:p>
        </w:tc>
        <w:tc>
          <w:tcPr>
            <w:tcW w:w="600" w:type="pct"/>
          </w:tcPr>
          <w:p w14:paraId="5647B1A1" w14:textId="50AA104C" w:rsidR="00DC7D3C" w:rsidRPr="009662B7" w:rsidRDefault="00DC7D3C" w:rsidP="00EA7F7E">
            <w:pPr>
              <w:pStyle w:val="TableText0"/>
              <w:jc w:val="center"/>
              <w:rPr>
                <w:iCs w:val="0"/>
              </w:rPr>
            </w:pPr>
            <w:r w:rsidRPr="009662B7">
              <w:rPr>
                <w:iCs w:val="0"/>
              </w:rPr>
              <w:t>-</w:t>
            </w:r>
            <w:r w:rsidR="00D34C8E" w:rsidRPr="00D34C8E">
              <w:rPr>
                <w:iCs w:val="0"/>
                <w:highlight w:val="black"/>
              </w:rPr>
              <w:t>&amp;&amp;&amp;&amp;</w:t>
            </w:r>
            <w:r w:rsidRPr="009662B7">
              <w:rPr>
                <w:iCs w:val="0"/>
              </w:rPr>
              <w:t>%</w:t>
            </w:r>
          </w:p>
        </w:tc>
      </w:tr>
      <w:tr w:rsidR="00DC7D3C" w:rsidRPr="009662B7" w14:paraId="0A9693B0" w14:textId="77777777" w:rsidTr="00C21DB1">
        <w:trPr>
          <w:cantSplit/>
          <w:trHeight w:val="86"/>
        </w:trPr>
        <w:tc>
          <w:tcPr>
            <w:tcW w:w="2434" w:type="pct"/>
          </w:tcPr>
          <w:p w14:paraId="3113C23F" w14:textId="42130170" w:rsidR="00DC7D3C" w:rsidRPr="009662B7" w:rsidRDefault="00DC7D3C" w:rsidP="00FD6019">
            <w:pPr>
              <w:pStyle w:val="TableText0"/>
              <w:rPr>
                <w:iCs w:val="0"/>
              </w:rPr>
            </w:pPr>
            <w:r w:rsidRPr="009662B7">
              <w:rPr>
                <w:iCs w:val="0"/>
              </w:rPr>
              <w:t xml:space="preserve">Time horizon </w:t>
            </w:r>
            <w:r w:rsidR="00E7487A">
              <w:rPr>
                <w:iCs w:val="0"/>
              </w:rPr>
              <w:t>reduced</w:t>
            </w:r>
            <w:r w:rsidR="00E7487A" w:rsidRPr="009662B7">
              <w:rPr>
                <w:iCs w:val="0"/>
              </w:rPr>
              <w:t xml:space="preserve"> </w:t>
            </w:r>
            <w:r w:rsidRPr="009662B7">
              <w:rPr>
                <w:iCs w:val="0"/>
              </w:rPr>
              <w:t>from 10 to 3 years</w:t>
            </w:r>
          </w:p>
        </w:tc>
        <w:tc>
          <w:tcPr>
            <w:tcW w:w="707" w:type="pct"/>
          </w:tcPr>
          <w:p w14:paraId="5E0FC181" w14:textId="27401432" w:rsidR="00DC7D3C" w:rsidRPr="009662B7" w:rsidRDefault="004D7142" w:rsidP="00EA7F7E">
            <w:pPr>
              <w:pStyle w:val="TableText0"/>
              <w:jc w:val="center"/>
              <w:rPr>
                <w:iCs w:val="0"/>
              </w:rPr>
            </w:pPr>
            <w:r w:rsidRPr="009662B7">
              <w:rPr>
                <w:iCs w:val="0"/>
              </w:rPr>
              <w:t>$</w:t>
            </w:r>
            <w:r w:rsidR="00D34C8E" w:rsidRPr="00D34C8E">
              <w:rPr>
                <w:iCs w:val="0"/>
                <w:highlight w:val="black"/>
              </w:rPr>
              <w:t>&amp;&amp;&amp;&amp;</w:t>
            </w:r>
          </w:p>
        </w:tc>
        <w:tc>
          <w:tcPr>
            <w:tcW w:w="708" w:type="pct"/>
          </w:tcPr>
          <w:p w14:paraId="1D7F4ACE" w14:textId="77777777" w:rsidR="00DC7D3C" w:rsidRPr="009662B7" w:rsidRDefault="00DC7D3C" w:rsidP="00EA7F7E">
            <w:pPr>
              <w:pStyle w:val="TableText0"/>
              <w:jc w:val="center"/>
              <w:rPr>
                <w:iCs w:val="0"/>
              </w:rPr>
            </w:pPr>
            <w:r w:rsidRPr="009662B7">
              <w:rPr>
                <w:iCs w:val="0"/>
              </w:rPr>
              <w:t>0.074</w:t>
            </w:r>
          </w:p>
        </w:tc>
        <w:tc>
          <w:tcPr>
            <w:tcW w:w="551" w:type="pct"/>
          </w:tcPr>
          <w:p w14:paraId="37658B9D" w14:textId="60537ACF" w:rsidR="00DC7D3C" w:rsidRPr="009662B7" w:rsidRDefault="00757812" w:rsidP="00EA7F7E">
            <w:pPr>
              <w:pStyle w:val="TableText0"/>
              <w:jc w:val="center"/>
              <w:rPr>
                <w:iCs w:val="0"/>
              </w:rPr>
            </w:pPr>
            <w:r w:rsidRPr="009662B7">
              <w:rPr>
                <w:iCs w:val="0"/>
              </w:rPr>
              <w:t>$</w:t>
            </w:r>
            <w:r w:rsidR="00D34C8E" w:rsidRPr="00D34C8E">
              <w:rPr>
                <w:iCs w:val="0"/>
                <w:highlight w:val="black"/>
              </w:rPr>
              <w:t>&amp;&amp;&amp;&amp;</w:t>
            </w:r>
            <w:r w:rsidR="00A52F5D" w:rsidRPr="00A52F5D">
              <w:rPr>
                <w:iCs w:val="0"/>
                <w:vertAlign w:val="superscript"/>
              </w:rPr>
              <w:t>1</w:t>
            </w:r>
          </w:p>
        </w:tc>
        <w:tc>
          <w:tcPr>
            <w:tcW w:w="600" w:type="pct"/>
          </w:tcPr>
          <w:p w14:paraId="4DA9EA83" w14:textId="7D9B3D53" w:rsidR="00DC7D3C" w:rsidRPr="009662B7" w:rsidRDefault="00D34C8E" w:rsidP="00EA7F7E">
            <w:pPr>
              <w:pStyle w:val="TableText0"/>
              <w:jc w:val="center"/>
              <w:rPr>
                <w:iCs w:val="0"/>
              </w:rPr>
            </w:pPr>
            <w:r w:rsidRPr="00D34C8E">
              <w:rPr>
                <w:iCs w:val="0"/>
                <w:highlight w:val="black"/>
              </w:rPr>
              <w:t>&amp;&amp;&amp;&amp;</w:t>
            </w:r>
            <w:r w:rsidR="00DC7D3C" w:rsidRPr="009662B7">
              <w:rPr>
                <w:iCs w:val="0"/>
              </w:rPr>
              <w:t>%</w:t>
            </w:r>
          </w:p>
        </w:tc>
      </w:tr>
      <w:tr w:rsidR="00DC7D3C" w:rsidRPr="009662B7" w14:paraId="05F0DFA0" w14:textId="77777777" w:rsidTr="00C21DB1">
        <w:trPr>
          <w:cantSplit/>
          <w:trHeight w:val="283"/>
        </w:trPr>
        <w:tc>
          <w:tcPr>
            <w:tcW w:w="2434" w:type="pct"/>
          </w:tcPr>
          <w:p w14:paraId="4DAC7039" w14:textId="6E2AF363" w:rsidR="00DC7D3C" w:rsidRPr="009662B7" w:rsidRDefault="00DC7D3C" w:rsidP="00FD6019">
            <w:pPr>
              <w:pStyle w:val="TableText0"/>
              <w:rPr>
                <w:iCs w:val="0"/>
              </w:rPr>
            </w:pPr>
            <w:r w:rsidRPr="009662B7">
              <w:rPr>
                <w:iCs w:val="0"/>
              </w:rPr>
              <w:t xml:space="preserve">Data is extracted </w:t>
            </w:r>
            <w:r w:rsidR="00F85CAE" w:rsidRPr="009662B7">
              <w:rPr>
                <w:iCs w:val="0"/>
              </w:rPr>
              <w:t>at W</w:t>
            </w:r>
            <w:r w:rsidRPr="009662B7">
              <w:rPr>
                <w:iCs w:val="0"/>
              </w:rPr>
              <w:t>eek 16 endpoint from the DELTA</w:t>
            </w:r>
            <w:r w:rsidR="00B54234" w:rsidRPr="009662B7">
              <w:rPr>
                <w:iCs w:val="0"/>
              </w:rPr>
              <w:t xml:space="preserve"> 1 and DELTA 2</w:t>
            </w:r>
            <w:r w:rsidRPr="009662B7">
              <w:rPr>
                <w:iCs w:val="0"/>
              </w:rPr>
              <w:t xml:space="preserve"> trials</w:t>
            </w:r>
            <w:r w:rsidR="00F85CAE" w:rsidRPr="009662B7">
              <w:rPr>
                <w:iCs w:val="0"/>
                <w:sz w:val="18"/>
                <w:szCs w:val="22"/>
                <w:vertAlign w:val="superscript"/>
              </w:rPr>
              <w:t xml:space="preserve"> </w:t>
            </w:r>
            <w:r w:rsidR="00F85CAE" w:rsidRPr="009662B7">
              <w:rPr>
                <w:iCs w:val="0"/>
                <w:sz w:val="18"/>
                <w:szCs w:val="22"/>
              </w:rPr>
              <w:t>(</w:t>
            </w:r>
            <w:r w:rsidR="00F85CAE" w:rsidRPr="009662B7">
              <w:rPr>
                <w:iCs w:val="0"/>
                <w:szCs w:val="20"/>
              </w:rPr>
              <w:t>base case</w:t>
            </w:r>
            <w:r w:rsidR="00526633" w:rsidRPr="009662B7">
              <w:rPr>
                <w:iCs w:val="0"/>
                <w:szCs w:val="20"/>
              </w:rPr>
              <w:t>: Week 12 endpoint)</w:t>
            </w:r>
          </w:p>
        </w:tc>
        <w:tc>
          <w:tcPr>
            <w:tcW w:w="707" w:type="pct"/>
          </w:tcPr>
          <w:p w14:paraId="6B5A17C4" w14:textId="478C8918" w:rsidR="00DC7D3C" w:rsidRPr="009662B7" w:rsidRDefault="002513CA" w:rsidP="00EA7F7E">
            <w:pPr>
              <w:pStyle w:val="TableText0"/>
              <w:jc w:val="center"/>
              <w:rPr>
                <w:iCs w:val="0"/>
              </w:rPr>
            </w:pPr>
            <w:r w:rsidRPr="009662B7">
              <w:rPr>
                <w:iCs w:val="0"/>
              </w:rPr>
              <w:t>$</w:t>
            </w:r>
            <w:r w:rsidR="00D34C8E" w:rsidRPr="00D34C8E">
              <w:rPr>
                <w:iCs w:val="0"/>
                <w:highlight w:val="black"/>
              </w:rPr>
              <w:t>&amp;&amp;&amp;&amp;</w:t>
            </w:r>
          </w:p>
        </w:tc>
        <w:tc>
          <w:tcPr>
            <w:tcW w:w="708" w:type="pct"/>
          </w:tcPr>
          <w:p w14:paraId="7A4EAAF8" w14:textId="3F74FFA5" w:rsidR="00DC7D3C" w:rsidRPr="009662B7" w:rsidRDefault="002513CA" w:rsidP="00EA7F7E">
            <w:pPr>
              <w:pStyle w:val="TableText0"/>
              <w:jc w:val="center"/>
              <w:rPr>
                <w:iCs w:val="0"/>
              </w:rPr>
            </w:pPr>
            <w:r w:rsidRPr="009662B7">
              <w:rPr>
                <w:iCs w:val="0"/>
              </w:rPr>
              <w:t>0.075</w:t>
            </w:r>
          </w:p>
        </w:tc>
        <w:tc>
          <w:tcPr>
            <w:tcW w:w="551" w:type="pct"/>
          </w:tcPr>
          <w:p w14:paraId="3701D42C" w14:textId="757445F1" w:rsidR="00DC7D3C" w:rsidRPr="009662B7" w:rsidRDefault="00604E15" w:rsidP="00EA7F7E">
            <w:pPr>
              <w:pStyle w:val="TableText0"/>
              <w:jc w:val="center"/>
              <w:rPr>
                <w:iCs w:val="0"/>
              </w:rPr>
            </w:pPr>
            <w:r w:rsidRPr="009662B7">
              <w:rPr>
                <w:iCs w:val="0"/>
              </w:rPr>
              <w:t>$</w:t>
            </w:r>
            <w:r w:rsidR="00D34C8E" w:rsidRPr="00D34C8E">
              <w:rPr>
                <w:iCs w:val="0"/>
                <w:highlight w:val="black"/>
              </w:rPr>
              <w:t>&amp;&amp;&amp;&amp;</w:t>
            </w:r>
            <w:r w:rsidR="00A52F5D" w:rsidRPr="00A52F5D">
              <w:rPr>
                <w:iCs w:val="0"/>
                <w:vertAlign w:val="superscript"/>
              </w:rPr>
              <w:t>1</w:t>
            </w:r>
          </w:p>
        </w:tc>
        <w:tc>
          <w:tcPr>
            <w:tcW w:w="600" w:type="pct"/>
          </w:tcPr>
          <w:p w14:paraId="5C355AFF" w14:textId="08AC21CB" w:rsidR="00DC7D3C" w:rsidRPr="009662B7" w:rsidRDefault="00D34C8E" w:rsidP="00EA7F7E">
            <w:pPr>
              <w:pStyle w:val="TableText0"/>
              <w:jc w:val="center"/>
              <w:rPr>
                <w:iCs w:val="0"/>
              </w:rPr>
            </w:pPr>
            <w:r w:rsidRPr="00D34C8E">
              <w:rPr>
                <w:iCs w:val="0"/>
                <w:highlight w:val="black"/>
              </w:rPr>
              <w:t>&amp;&amp;&amp;&amp;</w:t>
            </w:r>
            <w:r w:rsidR="00DC7D3C" w:rsidRPr="009662B7">
              <w:rPr>
                <w:iCs w:val="0"/>
              </w:rPr>
              <w:t>%</w:t>
            </w:r>
          </w:p>
        </w:tc>
      </w:tr>
      <w:tr w:rsidR="00DC7D3C" w:rsidRPr="009662B7" w14:paraId="2643223F" w14:textId="77777777" w:rsidTr="00C21DB1">
        <w:trPr>
          <w:cantSplit/>
          <w:trHeight w:val="110"/>
        </w:trPr>
        <w:tc>
          <w:tcPr>
            <w:tcW w:w="2434" w:type="pct"/>
          </w:tcPr>
          <w:p w14:paraId="04BFC1B0" w14:textId="00C804AB" w:rsidR="00DC7D3C" w:rsidRPr="009662B7" w:rsidRDefault="00B23393" w:rsidP="00FD6019">
            <w:pPr>
              <w:pStyle w:val="TableText0"/>
              <w:rPr>
                <w:iCs w:val="0"/>
              </w:rPr>
            </w:pPr>
            <w:r w:rsidRPr="009662B7">
              <w:rPr>
                <w:iCs w:val="0"/>
              </w:rPr>
              <w:t>Health state u</w:t>
            </w:r>
            <w:r w:rsidR="00DC7D3C" w:rsidRPr="009662B7">
              <w:rPr>
                <w:iCs w:val="0"/>
              </w:rPr>
              <w:t xml:space="preserve">tilities </w:t>
            </w:r>
            <w:r w:rsidR="00D0372D" w:rsidRPr="009662B7">
              <w:rPr>
                <w:iCs w:val="0"/>
              </w:rPr>
              <w:t xml:space="preserve">are </w:t>
            </w:r>
            <w:r w:rsidR="00DC7D3C" w:rsidRPr="009662B7">
              <w:rPr>
                <w:iCs w:val="0"/>
              </w:rPr>
              <w:t>treatment independent</w:t>
            </w:r>
            <w:r w:rsidR="00183129" w:rsidRPr="009662B7">
              <w:rPr>
                <w:iCs w:val="0"/>
              </w:rPr>
              <w:t>, i.e. equal to vehicle treatment arm</w:t>
            </w:r>
            <w:r w:rsidR="00D0372D" w:rsidRPr="009662B7">
              <w:rPr>
                <w:iCs w:val="0"/>
                <w:sz w:val="18"/>
                <w:szCs w:val="22"/>
              </w:rPr>
              <w:t xml:space="preserve"> </w:t>
            </w:r>
            <w:r w:rsidR="00D0372D" w:rsidRPr="009662B7">
              <w:rPr>
                <w:iCs w:val="0"/>
                <w:szCs w:val="20"/>
              </w:rPr>
              <w:t xml:space="preserve">(base case: 0.024 </w:t>
            </w:r>
            <w:r w:rsidR="0083159E" w:rsidRPr="009662B7">
              <w:rPr>
                <w:iCs w:val="0"/>
                <w:szCs w:val="20"/>
              </w:rPr>
              <w:t xml:space="preserve">utility benefit applied to </w:t>
            </w:r>
            <w:r w:rsidR="00183129" w:rsidRPr="009662B7">
              <w:rPr>
                <w:iCs w:val="0"/>
                <w:szCs w:val="20"/>
              </w:rPr>
              <w:t xml:space="preserve">each health state for </w:t>
            </w:r>
            <w:r w:rsidR="0083159E" w:rsidRPr="009662B7">
              <w:rPr>
                <w:iCs w:val="0"/>
                <w:szCs w:val="20"/>
              </w:rPr>
              <w:t>delgocitinib patients)</w:t>
            </w:r>
          </w:p>
        </w:tc>
        <w:tc>
          <w:tcPr>
            <w:tcW w:w="707" w:type="pct"/>
          </w:tcPr>
          <w:p w14:paraId="4B763821" w14:textId="4E992A4F" w:rsidR="00DC7D3C" w:rsidRPr="009662B7" w:rsidRDefault="000E3AF2" w:rsidP="00EA7F7E">
            <w:pPr>
              <w:pStyle w:val="TableText0"/>
              <w:jc w:val="center"/>
              <w:rPr>
                <w:iCs w:val="0"/>
              </w:rPr>
            </w:pPr>
            <w:r w:rsidRPr="009662B7">
              <w:rPr>
                <w:iCs w:val="0"/>
              </w:rPr>
              <w:t>$</w:t>
            </w:r>
            <w:r w:rsidR="00D34C8E" w:rsidRPr="00D34C8E">
              <w:rPr>
                <w:iCs w:val="0"/>
                <w:highlight w:val="black"/>
              </w:rPr>
              <w:t>&amp;&amp;&amp;&amp;</w:t>
            </w:r>
          </w:p>
        </w:tc>
        <w:tc>
          <w:tcPr>
            <w:tcW w:w="708" w:type="pct"/>
          </w:tcPr>
          <w:p w14:paraId="115436DD" w14:textId="77777777" w:rsidR="00DC7D3C" w:rsidRPr="009662B7" w:rsidRDefault="00DC7D3C" w:rsidP="00EA7F7E">
            <w:pPr>
              <w:pStyle w:val="TableText0"/>
              <w:jc w:val="center"/>
              <w:rPr>
                <w:iCs w:val="0"/>
              </w:rPr>
            </w:pPr>
            <w:r w:rsidRPr="009662B7">
              <w:rPr>
                <w:iCs w:val="0"/>
              </w:rPr>
              <w:t>0.079</w:t>
            </w:r>
          </w:p>
        </w:tc>
        <w:tc>
          <w:tcPr>
            <w:tcW w:w="551" w:type="pct"/>
          </w:tcPr>
          <w:p w14:paraId="66C96CD6" w14:textId="64F8F010" w:rsidR="00DC7D3C" w:rsidRPr="009662B7" w:rsidRDefault="000E3AF2" w:rsidP="00EA7F7E">
            <w:pPr>
              <w:pStyle w:val="TableText0"/>
              <w:jc w:val="center"/>
              <w:rPr>
                <w:iCs w:val="0"/>
              </w:rPr>
            </w:pPr>
            <w:r w:rsidRPr="009662B7">
              <w:rPr>
                <w:iCs w:val="0"/>
              </w:rPr>
              <w:t>$</w:t>
            </w:r>
            <w:r w:rsidR="00D34C8E" w:rsidRPr="00D34C8E">
              <w:rPr>
                <w:iCs w:val="0"/>
                <w:highlight w:val="black"/>
              </w:rPr>
              <w:t>&amp;&amp;&amp;&amp;</w:t>
            </w:r>
            <w:r w:rsidR="00A52F5D" w:rsidRPr="00A52F5D">
              <w:rPr>
                <w:iCs w:val="0"/>
                <w:vertAlign w:val="superscript"/>
              </w:rPr>
              <w:t>1</w:t>
            </w:r>
          </w:p>
        </w:tc>
        <w:tc>
          <w:tcPr>
            <w:tcW w:w="600" w:type="pct"/>
          </w:tcPr>
          <w:p w14:paraId="5861428E" w14:textId="3D1E8E13" w:rsidR="00DC7D3C" w:rsidRPr="009662B7" w:rsidRDefault="00D34C8E" w:rsidP="00EA7F7E">
            <w:pPr>
              <w:pStyle w:val="TableText0"/>
              <w:jc w:val="center"/>
              <w:rPr>
                <w:iCs w:val="0"/>
              </w:rPr>
            </w:pPr>
            <w:r w:rsidRPr="00D34C8E">
              <w:rPr>
                <w:iCs w:val="0"/>
                <w:highlight w:val="black"/>
              </w:rPr>
              <w:t>&amp;&amp;&amp;&amp;</w:t>
            </w:r>
            <w:r w:rsidR="00DC7D3C" w:rsidRPr="009662B7">
              <w:rPr>
                <w:iCs w:val="0"/>
              </w:rPr>
              <w:t>%</w:t>
            </w:r>
          </w:p>
        </w:tc>
      </w:tr>
      <w:tr w:rsidR="00DC7D3C" w:rsidRPr="009662B7" w14:paraId="2D967B5C" w14:textId="77777777" w:rsidTr="00C21DB1">
        <w:trPr>
          <w:cantSplit/>
          <w:trHeight w:val="283"/>
        </w:trPr>
        <w:tc>
          <w:tcPr>
            <w:tcW w:w="2434" w:type="pct"/>
          </w:tcPr>
          <w:p w14:paraId="0CFA885A" w14:textId="1C313099" w:rsidR="00DC7D3C" w:rsidRPr="009662B7" w:rsidRDefault="00DC7D3C" w:rsidP="00FD6019">
            <w:pPr>
              <w:pStyle w:val="TableText0"/>
              <w:rPr>
                <w:iCs w:val="0"/>
              </w:rPr>
            </w:pPr>
            <w:r w:rsidRPr="009662B7">
              <w:rPr>
                <w:iCs w:val="0"/>
              </w:rPr>
              <w:t xml:space="preserve">Increase the total usage of delgocitinib by a factor of 2.06 to yield percentage of people </w:t>
            </w:r>
            <w:r w:rsidR="00D20205">
              <w:rPr>
                <w:iCs w:val="0"/>
              </w:rPr>
              <w:t>continuing to receive</w:t>
            </w:r>
            <w:r w:rsidRPr="009662B7">
              <w:rPr>
                <w:iCs w:val="0"/>
              </w:rPr>
              <w:t xml:space="preserve"> treatment with delgocitinib at 2 years in the model of 25%.</w:t>
            </w:r>
            <w:r w:rsidR="00B54234" w:rsidRPr="009662B7">
              <w:rPr>
                <w:iCs w:val="0"/>
              </w:rPr>
              <w:t xml:space="preserve"> (base case:</w:t>
            </w:r>
            <w:r w:rsidR="004D2BA9">
              <w:rPr>
                <w:iCs w:val="0"/>
              </w:rPr>
              <w:t xml:space="preserve"> </w:t>
            </w:r>
            <w:r w:rsidR="000C0532" w:rsidRPr="009662B7">
              <w:rPr>
                <w:iCs w:val="0"/>
              </w:rPr>
              <w:t>6</w:t>
            </w:r>
            <w:r w:rsidR="00B54234" w:rsidRPr="009662B7">
              <w:rPr>
                <w:iCs w:val="0"/>
              </w:rPr>
              <w:t xml:space="preserve">% </w:t>
            </w:r>
            <w:r w:rsidR="00D20205">
              <w:rPr>
                <w:iCs w:val="0"/>
              </w:rPr>
              <w:t>continuing to receive</w:t>
            </w:r>
            <w:r w:rsidR="00B54234" w:rsidRPr="009662B7">
              <w:rPr>
                <w:iCs w:val="0"/>
              </w:rPr>
              <w:t xml:space="preserve"> treatment at 2 years)</w:t>
            </w:r>
          </w:p>
        </w:tc>
        <w:tc>
          <w:tcPr>
            <w:tcW w:w="707" w:type="pct"/>
          </w:tcPr>
          <w:p w14:paraId="024DAB95" w14:textId="583D36D5" w:rsidR="00DC7D3C" w:rsidRPr="009662B7" w:rsidRDefault="006A3A3A" w:rsidP="00EA7F7E">
            <w:pPr>
              <w:pStyle w:val="TableText0"/>
              <w:jc w:val="center"/>
              <w:rPr>
                <w:iCs w:val="0"/>
              </w:rPr>
            </w:pPr>
            <w:r w:rsidRPr="009662B7">
              <w:rPr>
                <w:iCs w:val="0"/>
              </w:rPr>
              <w:t>$</w:t>
            </w:r>
            <w:r w:rsidR="00D34C8E" w:rsidRPr="00D34C8E">
              <w:rPr>
                <w:iCs w:val="0"/>
                <w:highlight w:val="black"/>
              </w:rPr>
              <w:t>&amp;&amp;&amp;&amp;</w:t>
            </w:r>
          </w:p>
        </w:tc>
        <w:tc>
          <w:tcPr>
            <w:tcW w:w="708" w:type="pct"/>
          </w:tcPr>
          <w:p w14:paraId="78BC2028" w14:textId="77777777" w:rsidR="00DC7D3C" w:rsidRPr="009662B7" w:rsidRDefault="00DC7D3C" w:rsidP="00EA7F7E">
            <w:pPr>
              <w:pStyle w:val="TableText0"/>
              <w:jc w:val="center"/>
              <w:rPr>
                <w:iCs w:val="0"/>
              </w:rPr>
            </w:pPr>
            <w:r w:rsidRPr="009662B7">
              <w:rPr>
                <w:iCs w:val="0"/>
              </w:rPr>
              <w:t>0.083</w:t>
            </w:r>
          </w:p>
        </w:tc>
        <w:tc>
          <w:tcPr>
            <w:tcW w:w="551" w:type="pct"/>
          </w:tcPr>
          <w:p w14:paraId="642AA51A" w14:textId="3F6D719B" w:rsidR="00DC7D3C" w:rsidRPr="00EA6158" w:rsidRDefault="006A3A3A" w:rsidP="00EA7F7E">
            <w:pPr>
              <w:pStyle w:val="TableText0"/>
              <w:jc w:val="center"/>
              <w:rPr>
                <w:iCs w:val="0"/>
                <w:vertAlign w:val="superscript"/>
              </w:rPr>
            </w:pPr>
            <w:r w:rsidRPr="009662B7">
              <w:rPr>
                <w:iCs w:val="0"/>
              </w:rPr>
              <w:t>$</w:t>
            </w:r>
            <w:r w:rsidR="00D34C8E" w:rsidRPr="00D34C8E">
              <w:rPr>
                <w:iCs w:val="0"/>
                <w:highlight w:val="black"/>
              </w:rPr>
              <w:t>&amp;&amp;&amp;&amp;</w:t>
            </w:r>
            <w:r w:rsidR="00EA6158">
              <w:rPr>
                <w:iCs w:val="0"/>
                <w:vertAlign w:val="superscript"/>
              </w:rPr>
              <w:t>3</w:t>
            </w:r>
          </w:p>
        </w:tc>
        <w:tc>
          <w:tcPr>
            <w:tcW w:w="600" w:type="pct"/>
          </w:tcPr>
          <w:p w14:paraId="530CD00E" w14:textId="388F36DA" w:rsidR="00DC7D3C" w:rsidRPr="009662B7" w:rsidRDefault="00D34C8E" w:rsidP="00EA7F7E">
            <w:pPr>
              <w:pStyle w:val="TableText0"/>
              <w:jc w:val="center"/>
              <w:rPr>
                <w:iCs w:val="0"/>
              </w:rPr>
            </w:pPr>
            <w:r w:rsidRPr="00D34C8E">
              <w:rPr>
                <w:iCs w:val="0"/>
                <w:highlight w:val="black"/>
              </w:rPr>
              <w:t>&amp;&amp;&amp;&amp;</w:t>
            </w:r>
            <w:r w:rsidR="00DC7D3C" w:rsidRPr="009662B7">
              <w:rPr>
                <w:iCs w:val="0"/>
              </w:rPr>
              <w:t>%</w:t>
            </w:r>
          </w:p>
        </w:tc>
      </w:tr>
      <w:tr w:rsidR="00390A65" w:rsidRPr="009662B7" w14:paraId="52026BFE" w14:textId="77777777" w:rsidTr="00C21DB1">
        <w:trPr>
          <w:cantSplit/>
          <w:trHeight w:val="283"/>
        </w:trPr>
        <w:tc>
          <w:tcPr>
            <w:tcW w:w="2434" w:type="pct"/>
          </w:tcPr>
          <w:p w14:paraId="71008D02" w14:textId="0334A6CA" w:rsidR="00390A65" w:rsidRPr="009662B7" w:rsidRDefault="00390A65" w:rsidP="00FD6019">
            <w:pPr>
              <w:pStyle w:val="TableText0"/>
              <w:rPr>
                <w:iCs w:val="0"/>
              </w:rPr>
            </w:pPr>
            <w:r w:rsidRPr="009662B7">
              <w:rPr>
                <w:iCs w:val="0"/>
              </w:rPr>
              <w:t xml:space="preserve">Increase the total usage of delgocitinib by a factor of </w:t>
            </w:r>
            <w:r w:rsidR="00BE0D3F" w:rsidRPr="009662B7">
              <w:rPr>
                <w:iCs w:val="0"/>
              </w:rPr>
              <w:t>1.05</w:t>
            </w:r>
            <w:r w:rsidRPr="009662B7">
              <w:rPr>
                <w:iCs w:val="0"/>
              </w:rPr>
              <w:t xml:space="preserve"> to yield percentage of people </w:t>
            </w:r>
            <w:r w:rsidR="00D20205">
              <w:rPr>
                <w:iCs w:val="0"/>
              </w:rPr>
              <w:t>continuing to receive</w:t>
            </w:r>
            <w:r w:rsidRPr="009662B7">
              <w:rPr>
                <w:iCs w:val="0"/>
              </w:rPr>
              <w:t xml:space="preserve"> treatment with delgocitinib at 2 years in the model of 15%. (base case:</w:t>
            </w:r>
            <w:r w:rsidR="004D2BA9">
              <w:rPr>
                <w:iCs w:val="0"/>
              </w:rPr>
              <w:t xml:space="preserve"> </w:t>
            </w:r>
            <w:r w:rsidR="000C0532" w:rsidRPr="009662B7">
              <w:rPr>
                <w:iCs w:val="0"/>
              </w:rPr>
              <w:t>6</w:t>
            </w:r>
            <w:r w:rsidRPr="009662B7">
              <w:rPr>
                <w:iCs w:val="0"/>
              </w:rPr>
              <w:t xml:space="preserve">% </w:t>
            </w:r>
            <w:r w:rsidR="00D20205">
              <w:rPr>
                <w:iCs w:val="0"/>
              </w:rPr>
              <w:t>continuing to receive</w:t>
            </w:r>
            <w:r w:rsidRPr="009662B7">
              <w:rPr>
                <w:iCs w:val="0"/>
              </w:rPr>
              <w:t xml:space="preserve"> treatment at 2 years)</w:t>
            </w:r>
          </w:p>
        </w:tc>
        <w:tc>
          <w:tcPr>
            <w:tcW w:w="707" w:type="pct"/>
          </w:tcPr>
          <w:p w14:paraId="3D2E8481" w14:textId="6938129F" w:rsidR="00390A65" w:rsidRPr="009662B7" w:rsidRDefault="000C0532" w:rsidP="00EA7F7E">
            <w:pPr>
              <w:pStyle w:val="TableText0"/>
              <w:jc w:val="center"/>
              <w:rPr>
                <w:iCs w:val="0"/>
              </w:rPr>
            </w:pPr>
            <w:r w:rsidRPr="009662B7">
              <w:rPr>
                <w:iCs w:val="0"/>
              </w:rPr>
              <w:t>$</w:t>
            </w:r>
            <w:r w:rsidR="00D34C8E" w:rsidRPr="00D34C8E">
              <w:rPr>
                <w:iCs w:val="0"/>
                <w:highlight w:val="black"/>
              </w:rPr>
              <w:t>&amp;&amp;&amp;&amp;</w:t>
            </w:r>
          </w:p>
        </w:tc>
        <w:tc>
          <w:tcPr>
            <w:tcW w:w="708" w:type="pct"/>
          </w:tcPr>
          <w:p w14:paraId="3C9E2F97" w14:textId="1475B5D2" w:rsidR="00390A65" w:rsidRPr="009662B7" w:rsidRDefault="000C0532" w:rsidP="00EA7F7E">
            <w:pPr>
              <w:pStyle w:val="TableText0"/>
              <w:jc w:val="center"/>
              <w:rPr>
                <w:iCs w:val="0"/>
              </w:rPr>
            </w:pPr>
            <w:r w:rsidRPr="009662B7">
              <w:rPr>
                <w:iCs w:val="0"/>
              </w:rPr>
              <w:t>0.083</w:t>
            </w:r>
          </w:p>
        </w:tc>
        <w:tc>
          <w:tcPr>
            <w:tcW w:w="551" w:type="pct"/>
          </w:tcPr>
          <w:p w14:paraId="1B948ED2" w14:textId="272F5E44" w:rsidR="00390A65" w:rsidRPr="002466FE" w:rsidRDefault="000C0532" w:rsidP="00EA7F7E">
            <w:pPr>
              <w:pStyle w:val="TableText0"/>
              <w:jc w:val="center"/>
              <w:rPr>
                <w:iCs w:val="0"/>
                <w:vertAlign w:val="superscript"/>
              </w:rPr>
            </w:pPr>
            <w:r w:rsidRPr="009662B7">
              <w:rPr>
                <w:iCs w:val="0"/>
              </w:rPr>
              <w:t>$</w:t>
            </w:r>
            <w:r w:rsidR="00D34C8E" w:rsidRPr="00D34C8E">
              <w:rPr>
                <w:iCs w:val="0"/>
                <w:highlight w:val="black"/>
              </w:rPr>
              <w:t>&amp;&amp;&amp;&amp;</w:t>
            </w:r>
            <w:r w:rsidR="002466FE">
              <w:rPr>
                <w:iCs w:val="0"/>
                <w:vertAlign w:val="superscript"/>
              </w:rPr>
              <w:t>4</w:t>
            </w:r>
          </w:p>
        </w:tc>
        <w:tc>
          <w:tcPr>
            <w:tcW w:w="600" w:type="pct"/>
          </w:tcPr>
          <w:p w14:paraId="2D37D566" w14:textId="5F401DE2" w:rsidR="00390A65" w:rsidRPr="009662B7" w:rsidRDefault="00D34C8E" w:rsidP="00EA7F7E">
            <w:pPr>
              <w:pStyle w:val="TableText0"/>
              <w:jc w:val="center"/>
              <w:rPr>
                <w:iCs w:val="0"/>
              </w:rPr>
            </w:pPr>
            <w:r w:rsidRPr="00D34C8E">
              <w:rPr>
                <w:iCs w:val="0"/>
                <w:highlight w:val="black"/>
              </w:rPr>
              <w:t>&amp;&amp;&amp;&amp;</w:t>
            </w:r>
            <w:r w:rsidR="000C0532" w:rsidRPr="009662B7">
              <w:rPr>
                <w:iCs w:val="0"/>
              </w:rPr>
              <w:t>%</w:t>
            </w:r>
          </w:p>
        </w:tc>
      </w:tr>
      <w:tr w:rsidR="00DC7D3C" w:rsidRPr="009662B7" w14:paraId="5B10100B" w14:textId="77777777" w:rsidTr="00C21DB1">
        <w:trPr>
          <w:cantSplit/>
          <w:trHeight w:val="62"/>
        </w:trPr>
        <w:tc>
          <w:tcPr>
            <w:tcW w:w="2434" w:type="pct"/>
          </w:tcPr>
          <w:p w14:paraId="3FE9ABC6" w14:textId="77777777" w:rsidR="000536B0" w:rsidRPr="009662B7" w:rsidRDefault="00DC7D3C" w:rsidP="00FD6019">
            <w:pPr>
              <w:pStyle w:val="TableText0"/>
              <w:rPr>
                <w:iCs w:val="0"/>
              </w:rPr>
            </w:pPr>
            <w:r w:rsidRPr="009662B7">
              <w:rPr>
                <w:iCs w:val="0"/>
              </w:rPr>
              <w:t>Allow for wastage of</w:t>
            </w:r>
            <w:r w:rsidR="000536B0" w:rsidRPr="009662B7">
              <w:rPr>
                <w:iCs w:val="0"/>
              </w:rPr>
              <w:t>:</w:t>
            </w:r>
          </w:p>
          <w:p w14:paraId="6F77F37F" w14:textId="08D5FEA4" w:rsidR="00DC7D3C" w:rsidRPr="009662B7" w:rsidRDefault="00390A65" w:rsidP="00FD6019">
            <w:pPr>
              <w:pStyle w:val="TableText0"/>
              <w:rPr>
                <w:iCs w:val="0"/>
                <w:sz w:val="18"/>
                <w:szCs w:val="22"/>
                <w:vertAlign w:val="superscript"/>
              </w:rPr>
            </w:pPr>
            <w:r w:rsidRPr="009662B7">
              <w:rPr>
                <w:iCs w:val="0"/>
              </w:rPr>
              <w:t>-</w:t>
            </w:r>
            <w:r w:rsidR="00DC7D3C" w:rsidRPr="009662B7">
              <w:rPr>
                <w:iCs w:val="0"/>
              </w:rPr>
              <w:t xml:space="preserve"> </w:t>
            </w:r>
            <w:r w:rsidR="0059139F" w:rsidRPr="009662B7">
              <w:rPr>
                <w:iCs w:val="0"/>
              </w:rPr>
              <w:t xml:space="preserve">50% of a tube of </w:t>
            </w:r>
            <w:r w:rsidR="00DC7D3C" w:rsidRPr="009662B7">
              <w:rPr>
                <w:iCs w:val="0"/>
              </w:rPr>
              <w:t>delgocitinib</w:t>
            </w:r>
          </w:p>
          <w:p w14:paraId="01073CD6" w14:textId="14968E68" w:rsidR="00390A65" w:rsidRPr="009662B7" w:rsidRDefault="00390A65" w:rsidP="00FD6019">
            <w:pPr>
              <w:pStyle w:val="TableText0"/>
              <w:rPr>
                <w:iCs w:val="0"/>
              </w:rPr>
            </w:pPr>
            <w:r w:rsidRPr="009662B7">
              <w:rPr>
                <w:iCs w:val="0"/>
                <w:sz w:val="18"/>
                <w:szCs w:val="22"/>
              </w:rPr>
              <w:t xml:space="preserve">- </w:t>
            </w:r>
            <w:r w:rsidRPr="009662B7">
              <w:rPr>
                <w:iCs w:val="0"/>
                <w:szCs w:val="20"/>
              </w:rPr>
              <w:t>25% of a tube of delgocitinib</w:t>
            </w:r>
          </w:p>
        </w:tc>
        <w:tc>
          <w:tcPr>
            <w:tcW w:w="707" w:type="pct"/>
          </w:tcPr>
          <w:p w14:paraId="7F7D4165" w14:textId="77777777" w:rsidR="00390A65" w:rsidRPr="009662B7" w:rsidRDefault="00390A65" w:rsidP="00EA7F7E">
            <w:pPr>
              <w:pStyle w:val="TableText0"/>
              <w:jc w:val="center"/>
              <w:rPr>
                <w:iCs w:val="0"/>
              </w:rPr>
            </w:pPr>
          </w:p>
          <w:p w14:paraId="34CF9120" w14:textId="39C7565F" w:rsidR="00DC7D3C" w:rsidRPr="009662B7" w:rsidRDefault="00F616F1" w:rsidP="00EA7F7E">
            <w:pPr>
              <w:pStyle w:val="TableText0"/>
              <w:jc w:val="center"/>
              <w:rPr>
                <w:iCs w:val="0"/>
              </w:rPr>
            </w:pPr>
            <w:r w:rsidRPr="009662B7">
              <w:rPr>
                <w:iCs w:val="0"/>
              </w:rPr>
              <w:t>$</w:t>
            </w:r>
            <w:r w:rsidR="00D34C8E" w:rsidRPr="00D34C8E">
              <w:rPr>
                <w:iCs w:val="0"/>
                <w:highlight w:val="black"/>
              </w:rPr>
              <w:t>&amp;&amp;&amp;&amp;</w:t>
            </w:r>
          </w:p>
          <w:p w14:paraId="0DB58B01" w14:textId="2F494A3D" w:rsidR="000C0532" w:rsidRPr="009662B7" w:rsidRDefault="000C0532" w:rsidP="00EA7F7E">
            <w:pPr>
              <w:pStyle w:val="TableText0"/>
              <w:jc w:val="center"/>
              <w:rPr>
                <w:iCs w:val="0"/>
              </w:rPr>
            </w:pPr>
            <w:r w:rsidRPr="009662B7">
              <w:rPr>
                <w:iCs w:val="0"/>
              </w:rPr>
              <w:t>$</w:t>
            </w:r>
            <w:r w:rsidR="00D34C8E" w:rsidRPr="00D34C8E">
              <w:rPr>
                <w:iCs w:val="0"/>
                <w:highlight w:val="black"/>
              </w:rPr>
              <w:t>&amp;&amp;&amp;&amp;</w:t>
            </w:r>
          </w:p>
        </w:tc>
        <w:tc>
          <w:tcPr>
            <w:tcW w:w="708" w:type="pct"/>
          </w:tcPr>
          <w:p w14:paraId="068643AE" w14:textId="77777777" w:rsidR="00390A65" w:rsidRPr="009662B7" w:rsidRDefault="00390A65" w:rsidP="00EA7F7E">
            <w:pPr>
              <w:pStyle w:val="TableText0"/>
              <w:jc w:val="center"/>
              <w:rPr>
                <w:iCs w:val="0"/>
              </w:rPr>
            </w:pPr>
          </w:p>
          <w:p w14:paraId="1AFB2400" w14:textId="77777777" w:rsidR="00DC7D3C" w:rsidRPr="009662B7" w:rsidRDefault="00DC7D3C" w:rsidP="00EA7F7E">
            <w:pPr>
              <w:pStyle w:val="TableText0"/>
              <w:jc w:val="center"/>
              <w:rPr>
                <w:iCs w:val="0"/>
              </w:rPr>
            </w:pPr>
            <w:r w:rsidRPr="009662B7">
              <w:rPr>
                <w:iCs w:val="0"/>
              </w:rPr>
              <w:t>0.083</w:t>
            </w:r>
          </w:p>
          <w:p w14:paraId="08A24DC1" w14:textId="72A7B027" w:rsidR="000C0532" w:rsidRPr="009662B7" w:rsidRDefault="000C0532" w:rsidP="00EA7F7E">
            <w:pPr>
              <w:pStyle w:val="TableText0"/>
              <w:jc w:val="center"/>
              <w:rPr>
                <w:iCs w:val="0"/>
              </w:rPr>
            </w:pPr>
            <w:r w:rsidRPr="009662B7">
              <w:rPr>
                <w:iCs w:val="0"/>
              </w:rPr>
              <w:t>0.083</w:t>
            </w:r>
          </w:p>
        </w:tc>
        <w:tc>
          <w:tcPr>
            <w:tcW w:w="551" w:type="pct"/>
          </w:tcPr>
          <w:p w14:paraId="213BB179" w14:textId="77777777" w:rsidR="00390A65" w:rsidRPr="009662B7" w:rsidRDefault="00390A65" w:rsidP="00EA7F7E">
            <w:pPr>
              <w:pStyle w:val="TableText0"/>
              <w:jc w:val="center"/>
              <w:rPr>
                <w:iCs w:val="0"/>
              </w:rPr>
            </w:pPr>
          </w:p>
          <w:p w14:paraId="19229C5A" w14:textId="29B1C3D4" w:rsidR="00DC7D3C" w:rsidRPr="009662B7" w:rsidRDefault="00F616F1" w:rsidP="00EA7F7E">
            <w:pPr>
              <w:pStyle w:val="TableText0"/>
              <w:jc w:val="center"/>
              <w:rPr>
                <w:iCs w:val="0"/>
              </w:rPr>
            </w:pPr>
            <w:r w:rsidRPr="009662B7">
              <w:rPr>
                <w:iCs w:val="0"/>
              </w:rPr>
              <w:t>$</w:t>
            </w:r>
            <w:r w:rsidR="00D34C8E" w:rsidRPr="00D34C8E">
              <w:rPr>
                <w:iCs w:val="0"/>
                <w:highlight w:val="black"/>
              </w:rPr>
              <w:t>&amp;&amp;&amp;&amp;</w:t>
            </w:r>
            <w:r w:rsidR="00A52F5D" w:rsidRPr="00A52F5D">
              <w:rPr>
                <w:iCs w:val="0"/>
                <w:vertAlign w:val="superscript"/>
              </w:rPr>
              <w:t>1</w:t>
            </w:r>
          </w:p>
          <w:p w14:paraId="558DA06B" w14:textId="0D71E5FD" w:rsidR="000C0532" w:rsidRPr="009662B7" w:rsidRDefault="000C0532" w:rsidP="00EA7F7E">
            <w:pPr>
              <w:pStyle w:val="TableText0"/>
              <w:jc w:val="center"/>
              <w:rPr>
                <w:iCs w:val="0"/>
              </w:rPr>
            </w:pPr>
            <w:r w:rsidRPr="009662B7">
              <w:rPr>
                <w:iCs w:val="0"/>
              </w:rPr>
              <w:t>$</w:t>
            </w:r>
            <w:r w:rsidR="00D34C8E" w:rsidRPr="00D34C8E">
              <w:rPr>
                <w:iCs w:val="0"/>
                <w:highlight w:val="black"/>
              </w:rPr>
              <w:t>&amp;&amp;&amp;&amp;</w:t>
            </w:r>
            <w:r w:rsidR="00A52F5D" w:rsidRPr="00A52F5D">
              <w:rPr>
                <w:iCs w:val="0"/>
                <w:vertAlign w:val="superscript"/>
              </w:rPr>
              <w:t>1</w:t>
            </w:r>
          </w:p>
        </w:tc>
        <w:tc>
          <w:tcPr>
            <w:tcW w:w="600" w:type="pct"/>
          </w:tcPr>
          <w:p w14:paraId="4D3769A1" w14:textId="77777777" w:rsidR="00390A65" w:rsidRPr="009662B7" w:rsidRDefault="00390A65" w:rsidP="00EA7F7E">
            <w:pPr>
              <w:pStyle w:val="TableText0"/>
              <w:jc w:val="center"/>
              <w:rPr>
                <w:iCs w:val="0"/>
              </w:rPr>
            </w:pPr>
          </w:p>
          <w:p w14:paraId="25383C01" w14:textId="6590CF5C" w:rsidR="00DC7D3C" w:rsidRPr="009662B7" w:rsidRDefault="00D34C8E" w:rsidP="00EA7F7E">
            <w:pPr>
              <w:pStyle w:val="TableText0"/>
              <w:jc w:val="center"/>
              <w:rPr>
                <w:iCs w:val="0"/>
              </w:rPr>
            </w:pPr>
            <w:r w:rsidRPr="00D34C8E">
              <w:rPr>
                <w:iCs w:val="0"/>
                <w:highlight w:val="black"/>
              </w:rPr>
              <w:t>&amp;&amp;&amp;&amp;</w:t>
            </w:r>
            <w:r w:rsidR="00DC7D3C" w:rsidRPr="009662B7">
              <w:rPr>
                <w:iCs w:val="0"/>
              </w:rPr>
              <w:t>%</w:t>
            </w:r>
          </w:p>
          <w:p w14:paraId="35500D04" w14:textId="7F6FDBF4" w:rsidR="000C0532" w:rsidRPr="009662B7" w:rsidRDefault="00D34C8E" w:rsidP="00EA7F7E">
            <w:pPr>
              <w:pStyle w:val="TableText0"/>
              <w:jc w:val="center"/>
              <w:rPr>
                <w:iCs w:val="0"/>
              </w:rPr>
            </w:pPr>
            <w:r w:rsidRPr="00D34C8E">
              <w:rPr>
                <w:iCs w:val="0"/>
                <w:highlight w:val="black"/>
              </w:rPr>
              <w:t>&amp;&amp;&amp;&amp;</w:t>
            </w:r>
            <w:r w:rsidR="000C0532" w:rsidRPr="009662B7">
              <w:rPr>
                <w:iCs w:val="0"/>
              </w:rPr>
              <w:t>%</w:t>
            </w:r>
          </w:p>
        </w:tc>
      </w:tr>
      <w:tr w:rsidR="00FC5C95" w:rsidRPr="009662B7" w14:paraId="228FD980" w14:textId="77777777" w:rsidTr="00C21DB1">
        <w:trPr>
          <w:cantSplit/>
          <w:trHeight w:val="283"/>
        </w:trPr>
        <w:tc>
          <w:tcPr>
            <w:tcW w:w="2434" w:type="pct"/>
          </w:tcPr>
          <w:p w14:paraId="6EB93095" w14:textId="488D153B" w:rsidR="00FC5C95" w:rsidRPr="009662B7" w:rsidRDefault="00562FD6" w:rsidP="00FD6019">
            <w:pPr>
              <w:pStyle w:val="TableText0"/>
              <w:rPr>
                <w:iCs w:val="0"/>
              </w:rPr>
            </w:pPr>
            <w:r w:rsidRPr="009662B7">
              <w:rPr>
                <w:iCs w:val="0"/>
              </w:rPr>
              <w:t xml:space="preserve">Per-cycle probability of full response with re-treatment following relapse </w:t>
            </w:r>
            <w:r w:rsidR="00BD6137" w:rsidRPr="009662B7">
              <w:rPr>
                <w:iCs w:val="0"/>
              </w:rPr>
              <w:t xml:space="preserve">= 10% </w:t>
            </w:r>
            <w:r w:rsidRPr="009662B7">
              <w:rPr>
                <w:iCs w:val="0"/>
              </w:rPr>
              <w:t>(base case</w:t>
            </w:r>
            <w:r w:rsidR="00BD6137" w:rsidRPr="009662B7">
              <w:rPr>
                <w:iCs w:val="0"/>
              </w:rPr>
              <w:t>:</w:t>
            </w:r>
            <w:r w:rsidRPr="009662B7">
              <w:rPr>
                <w:iCs w:val="0"/>
              </w:rPr>
              <w:t xml:space="preserve"> 20.2%)</w:t>
            </w:r>
          </w:p>
        </w:tc>
        <w:tc>
          <w:tcPr>
            <w:tcW w:w="707" w:type="pct"/>
          </w:tcPr>
          <w:p w14:paraId="5189B558" w14:textId="01561030" w:rsidR="00FC5C95" w:rsidRPr="009662B7" w:rsidRDefault="001C4AB1" w:rsidP="00EA7F7E">
            <w:pPr>
              <w:pStyle w:val="TableText0"/>
              <w:jc w:val="center"/>
              <w:rPr>
                <w:iCs w:val="0"/>
              </w:rPr>
            </w:pPr>
            <w:r w:rsidRPr="009662B7">
              <w:rPr>
                <w:iCs w:val="0"/>
              </w:rPr>
              <w:t>$</w:t>
            </w:r>
            <w:r w:rsidR="00D34C8E" w:rsidRPr="00D34C8E">
              <w:rPr>
                <w:iCs w:val="0"/>
                <w:highlight w:val="black"/>
              </w:rPr>
              <w:t>&amp;&amp;&amp;&amp;</w:t>
            </w:r>
          </w:p>
        </w:tc>
        <w:tc>
          <w:tcPr>
            <w:tcW w:w="708" w:type="pct"/>
          </w:tcPr>
          <w:p w14:paraId="2AFEDC7E" w14:textId="758A04D4" w:rsidR="00FC5C95" w:rsidRPr="009662B7" w:rsidRDefault="00E83BC7" w:rsidP="00EA7F7E">
            <w:pPr>
              <w:pStyle w:val="TableText0"/>
              <w:jc w:val="center"/>
              <w:rPr>
                <w:iCs w:val="0"/>
              </w:rPr>
            </w:pPr>
            <w:r w:rsidRPr="009662B7">
              <w:rPr>
                <w:iCs w:val="0"/>
              </w:rPr>
              <w:t>0.058</w:t>
            </w:r>
          </w:p>
        </w:tc>
        <w:tc>
          <w:tcPr>
            <w:tcW w:w="551" w:type="pct"/>
          </w:tcPr>
          <w:p w14:paraId="0E5D9A5A" w14:textId="5DB7AE51" w:rsidR="00FC5C95" w:rsidRPr="002466FE" w:rsidRDefault="00E83BC7" w:rsidP="00EA7F7E">
            <w:pPr>
              <w:pStyle w:val="TableText0"/>
              <w:jc w:val="center"/>
              <w:rPr>
                <w:iCs w:val="0"/>
                <w:vertAlign w:val="superscript"/>
              </w:rPr>
            </w:pPr>
            <w:r w:rsidRPr="009662B7">
              <w:rPr>
                <w:iCs w:val="0"/>
              </w:rPr>
              <w:t>$</w:t>
            </w:r>
            <w:r w:rsidR="00D34C8E" w:rsidRPr="00D34C8E">
              <w:rPr>
                <w:iCs w:val="0"/>
                <w:highlight w:val="black"/>
              </w:rPr>
              <w:t>&amp;&amp;&amp;&amp;</w:t>
            </w:r>
            <w:r w:rsidR="002466FE">
              <w:rPr>
                <w:iCs w:val="0"/>
                <w:vertAlign w:val="superscript"/>
              </w:rPr>
              <w:t>4</w:t>
            </w:r>
          </w:p>
        </w:tc>
        <w:tc>
          <w:tcPr>
            <w:tcW w:w="600" w:type="pct"/>
          </w:tcPr>
          <w:p w14:paraId="37F73A99" w14:textId="3003FFB0" w:rsidR="00FC5C95" w:rsidRPr="009662B7" w:rsidRDefault="00D34C8E" w:rsidP="00EA7F7E">
            <w:pPr>
              <w:pStyle w:val="TableText0"/>
              <w:jc w:val="center"/>
              <w:rPr>
                <w:iCs w:val="0"/>
              </w:rPr>
            </w:pPr>
            <w:r w:rsidRPr="00D34C8E">
              <w:rPr>
                <w:iCs w:val="0"/>
                <w:highlight w:val="black"/>
              </w:rPr>
              <w:t>&amp;&amp;&amp;&amp;</w:t>
            </w:r>
            <w:r w:rsidR="00E83BC7" w:rsidRPr="009662B7">
              <w:rPr>
                <w:iCs w:val="0"/>
              </w:rPr>
              <w:t>%</w:t>
            </w:r>
          </w:p>
        </w:tc>
      </w:tr>
      <w:tr w:rsidR="009C4961" w:rsidRPr="009662B7" w14:paraId="6623DFC4" w14:textId="77777777" w:rsidTr="00C21DB1">
        <w:trPr>
          <w:cantSplit/>
          <w:trHeight w:val="283"/>
        </w:trPr>
        <w:tc>
          <w:tcPr>
            <w:tcW w:w="2434" w:type="pct"/>
          </w:tcPr>
          <w:p w14:paraId="6DFD902B" w14:textId="67744AC7" w:rsidR="009C4961" w:rsidRPr="009662B7" w:rsidRDefault="009C4961">
            <w:pPr>
              <w:pStyle w:val="TableText0"/>
              <w:rPr>
                <w:iCs w:val="0"/>
              </w:rPr>
            </w:pPr>
            <w:r w:rsidRPr="009662B7">
              <w:rPr>
                <w:iCs w:val="0"/>
              </w:rPr>
              <w:t xml:space="preserve">HRQoL in BSC assumed equal to vehicle arm of the DELTA 1/DELTA 2 trials at Week 12 (0.72) (base case: </w:t>
            </w:r>
            <w:r w:rsidR="0074429E" w:rsidRPr="009662B7">
              <w:rPr>
                <w:iCs w:val="0"/>
              </w:rPr>
              <w:t>0.672)</w:t>
            </w:r>
          </w:p>
        </w:tc>
        <w:tc>
          <w:tcPr>
            <w:tcW w:w="707" w:type="pct"/>
          </w:tcPr>
          <w:p w14:paraId="3390B1DD" w14:textId="2474CE8B" w:rsidR="009C4961" w:rsidRPr="009662B7" w:rsidRDefault="009C4961">
            <w:pPr>
              <w:pStyle w:val="TableText0"/>
              <w:jc w:val="center"/>
              <w:rPr>
                <w:iCs w:val="0"/>
              </w:rPr>
            </w:pPr>
            <w:r w:rsidRPr="009662B7">
              <w:rPr>
                <w:iCs w:val="0"/>
              </w:rPr>
              <w:t>$</w:t>
            </w:r>
            <w:r w:rsidR="00D34C8E" w:rsidRPr="00D34C8E">
              <w:rPr>
                <w:iCs w:val="0"/>
                <w:highlight w:val="black"/>
              </w:rPr>
              <w:t>&amp;&amp;&amp;&amp;</w:t>
            </w:r>
          </w:p>
        </w:tc>
        <w:tc>
          <w:tcPr>
            <w:tcW w:w="708" w:type="pct"/>
          </w:tcPr>
          <w:p w14:paraId="51044905" w14:textId="77777777" w:rsidR="009C4961" w:rsidRPr="009662B7" w:rsidRDefault="009C4961">
            <w:pPr>
              <w:pStyle w:val="TableText0"/>
              <w:jc w:val="center"/>
              <w:rPr>
                <w:iCs w:val="0"/>
              </w:rPr>
            </w:pPr>
            <w:r w:rsidRPr="009662B7">
              <w:rPr>
                <w:iCs w:val="0"/>
              </w:rPr>
              <w:t>0.058</w:t>
            </w:r>
          </w:p>
        </w:tc>
        <w:tc>
          <w:tcPr>
            <w:tcW w:w="551" w:type="pct"/>
          </w:tcPr>
          <w:p w14:paraId="2C722793" w14:textId="3024688A" w:rsidR="009C4961" w:rsidRPr="002466FE" w:rsidRDefault="009C4961">
            <w:pPr>
              <w:pStyle w:val="TableText0"/>
              <w:jc w:val="center"/>
              <w:rPr>
                <w:iCs w:val="0"/>
                <w:vertAlign w:val="superscript"/>
              </w:rPr>
            </w:pPr>
            <w:r w:rsidRPr="009662B7">
              <w:rPr>
                <w:iCs w:val="0"/>
              </w:rPr>
              <w:t>$</w:t>
            </w:r>
            <w:r w:rsidR="00D34C8E" w:rsidRPr="00D34C8E">
              <w:rPr>
                <w:iCs w:val="0"/>
                <w:highlight w:val="black"/>
              </w:rPr>
              <w:t>&amp;&amp;&amp;&amp;</w:t>
            </w:r>
            <w:r w:rsidR="002466FE">
              <w:rPr>
                <w:iCs w:val="0"/>
                <w:vertAlign w:val="superscript"/>
              </w:rPr>
              <w:t>4</w:t>
            </w:r>
          </w:p>
        </w:tc>
        <w:tc>
          <w:tcPr>
            <w:tcW w:w="600" w:type="pct"/>
          </w:tcPr>
          <w:p w14:paraId="3264F551" w14:textId="32527CF6" w:rsidR="009C4961" w:rsidRPr="009662B7" w:rsidRDefault="00D34C8E">
            <w:pPr>
              <w:pStyle w:val="TableText0"/>
              <w:jc w:val="center"/>
              <w:rPr>
                <w:iCs w:val="0"/>
              </w:rPr>
            </w:pPr>
            <w:r w:rsidRPr="00D34C8E">
              <w:rPr>
                <w:iCs w:val="0"/>
                <w:highlight w:val="black"/>
              </w:rPr>
              <w:t>&amp;&amp;&amp;&amp;</w:t>
            </w:r>
            <w:r w:rsidR="009C4961" w:rsidRPr="009662B7">
              <w:rPr>
                <w:iCs w:val="0"/>
              </w:rPr>
              <w:t>%</w:t>
            </w:r>
          </w:p>
        </w:tc>
      </w:tr>
    </w:tbl>
    <w:p w14:paraId="789BFFA3" w14:textId="77777777" w:rsidR="00DC7D3C" w:rsidRPr="009662B7" w:rsidRDefault="00DC7D3C" w:rsidP="00DC7D3C">
      <w:pPr>
        <w:pStyle w:val="FooterTableFigure"/>
        <w:rPr>
          <w:rStyle w:val="CommentReference"/>
        </w:rPr>
      </w:pPr>
      <w:r w:rsidRPr="009662B7">
        <w:t>Source: Economic model of the submission.</w:t>
      </w:r>
    </w:p>
    <w:p w14:paraId="7E7563FE" w14:textId="081D295D" w:rsidR="004F76A4" w:rsidRPr="004F76A4" w:rsidRDefault="00DC7D3C" w:rsidP="004F76A4">
      <w:pPr>
        <w:pStyle w:val="FooterTableFigure"/>
        <w:rPr>
          <w:rFonts w:eastAsia="Calibri"/>
          <w:i/>
          <w:szCs w:val="20"/>
        </w:rPr>
      </w:pPr>
      <w:r w:rsidRPr="009662B7">
        <w:rPr>
          <w:rFonts w:eastAsia="Calibri"/>
          <w:szCs w:val="20"/>
        </w:rPr>
        <w:t xml:space="preserve">AEMP = </w:t>
      </w:r>
      <w:r w:rsidR="00BC0BE7" w:rsidRPr="009662B7">
        <w:rPr>
          <w:rFonts w:eastAsia="Calibri"/>
          <w:szCs w:val="20"/>
        </w:rPr>
        <w:t>approved</w:t>
      </w:r>
      <w:r w:rsidRPr="009662B7">
        <w:rPr>
          <w:rFonts w:eastAsia="Calibri"/>
          <w:szCs w:val="20"/>
        </w:rPr>
        <w:t xml:space="preserve"> ex-manufacturer price</w:t>
      </w:r>
      <w:r w:rsidR="00C92092" w:rsidRPr="009662B7">
        <w:rPr>
          <w:rFonts w:eastAsia="Calibri"/>
          <w:szCs w:val="20"/>
        </w:rPr>
        <w:t xml:space="preserve">; </w:t>
      </w:r>
      <w:r w:rsidRPr="009662B7">
        <w:rPr>
          <w:rFonts w:eastAsia="Calibri"/>
          <w:szCs w:val="20"/>
        </w:rPr>
        <w:t>BSC = best supportive care</w:t>
      </w:r>
      <w:r w:rsidR="00C92092" w:rsidRPr="009662B7">
        <w:rPr>
          <w:rFonts w:eastAsia="Calibri"/>
          <w:szCs w:val="20"/>
        </w:rPr>
        <w:t xml:space="preserve">; </w:t>
      </w:r>
      <w:r w:rsidRPr="009662B7">
        <w:rPr>
          <w:rFonts w:eastAsia="Calibri"/>
          <w:szCs w:val="20"/>
        </w:rPr>
        <w:t>DPMQ = dispensed price for maximum quantity</w:t>
      </w:r>
      <w:r w:rsidR="00C92092" w:rsidRPr="009662B7">
        <w:rPr>
          <w:rFonts w:eastAsia="Calibri"/>
          <w:szCs w:val="20"/>
        </w:rPr>
        <w:t xml:space="preserve">; </w:t>
      </w:r>
      <w:r w:rsidRPr="009662B7">
        <w:rPr>
          <w:rFonts w:eastAsia="Calibri"/>
          <w:szCs w:val="20"/>
        </w:rPr>
        <w:t>HECSI</w:t>
      </w:r>
      <w:r w:rsidR="00C92092" w:rsidRPr="009662B7">
        <w:rPr>
          <w:rFonts w:eastAsia="Calibri"/>
          <w:szCs w:val="20"/>
        </w:rPr>
        <w:t xml:space="preserve">; </w:t>
      </w:r>
      <w:r w:rsidRPr="009662B7">
        <w:rPr>
          <w:rFonts w:eastAsia="Calibri"/>
          <w:szCs w:val="20"/>
        </w:rPr>
        <w:t>hand eczema severity index</w:t>
      </w:r>
      <w:r w:rsidR="00C92092" w:rsidRPr="009662B7">
        <w:rPr>
          <w:rFonts w:eastAsia="Calibri"/>
          <w:szCs w:val="20"/>
        </w:rPr>
        <w:t xml:space="preserve">; </w:t>
      </w:r>
      <w:r w:rsidRPr="009662B7">
        <w:rPr>
          <w:rFonts w:eastAsia="Calibri"/>
          <w:szCs w:val="20"/>
        </w:rPr>
        <w:t>HRQoL = health-related quality of life</w:t>
      </w:r>
      <w:r w:rsidR="00C92092" w:rsidRPr="009662B7">
        <w:rPr>
          <w:rFonts w:eastAsia="Calibri"/>
          <w:szCs w:val="20"/>
        </w:rPr>
        <w:t xml:space="preserve">; </w:t>
      </w:r>
      <w:r w:rsidRPr="009662B7">
        <w:rPr>
          <w:rFonts w:eastAsia="Calibri"/>
          <w:szCs w:val="20"/>
        </w:rPr>
        <w:t>ICER = incremental cost-effectiveness ratio</w:t>
      </w:r>
      <w:r w:rsidR="00C92092" w:rsidRPr="009662B7">
        <w:rPr>
          <w:rFonts w:eastAsia="Calibri"/>
          <w:szCs w:val="20"/>
        </w:rPr>
        <w:t xml:space="preserve">; </w:t>
      </w:r>
      <w:r w:rsidRPr="009662B7">
        <w:rPr>
          <w:rFonts w:eastAsia="Calibri"/>
          <w:szCs w:val="20"/>
        </w:rPr>
        <w:t>QALY = quality adjusted life year.</w:t>
      </w:r>
      <w:r w:rsidR="004F76A4" w:rsidRPr="004F76A4">
        <w:rPr>
          <w:i/>
          <w:szCs w:val="18"/>
        </w:rPr>
        <w:t xml:space="preserve"> </w:t>
      </w:r>
      <w:r w:rsidR="004F76A4" w:rsidRPr="004F76A4">
        <w:rPr>
          <w:rFonts w:eastAsia="Calibri"/>
          <w:i/>
          <w:szCs w:val="20"/>
        </w:rPr>
        <w:t xml:space="preserve">The redacted values correspond to the following ranges: </w:t>
      </w:r>
    </w:p>
    <w:p w14:paraId="788A0719" w14:textId="35E2B845" w:rsidR="004F76A4" w:rsidRPr="004F76A4" w:rsidRDefault="004F76A4" w:rsidP="004F76A4">
      <w:pPr>
        <w:pStyle w:val="FooterTableFigure"/>
        <w:rPr>
          <w:rFonts w:eastAsia="Calibri"/>
          <w:i/>
          <w:szCs w:val="20"/>
        </w:rPr>
      </w:pPr>
      <w:r w:rsidRPr="004F76A4">
        <w:rPr>
          <w:rFonts w:eastAsia="Calibri"/>
          <w:i/>
          <w:szCs w:val="20"/>
          <w:vertAlign w:val="superscript"/>
        </w:rPr>
        <w:t>1</w:t>
      </w:r>
      <w:r w:rsidRPr="004F76A4">
        <w:rPr>
          <w:rFonts w:eastAsia="Calibri"/>
          <w:i/>
          <w:szCs w:val="20"/>
        </w:rPr>
        <w:t xml:space="preserve"> </w:t>
      </w:r>
      <w:r w:rsidR="00A52F5D" w:rsidRPr="00A52F5D">
        <w:rPr>
          <w:rFonts w:eastAsia="Calibri"/>
          <w:i/>
          <w:szCs w:val="20"/>
        </w:rPr>
        <w:t>$45,000 to &lt; $55,000</w:t>
      </w:r>
    </w:p>
    <w:p w14:paraId="623F45C9" w14:textId="0EBB1F8D" w:rsidR="004F76A4" w:rsidRPr="004F76A4" w:rsidRDefault="004F76A4" w:rsidP="004F76A4">
      <w:pPr>
        <w:pStyle w:val="FooterTableFigure"/>
        <w:rPr>
          <w:rFonts w:eastAsia="Calibri"/>
          <w:i/>
          <w:szCs w:val="20"/>
        </w:rPr>
      </w:pPr>
      <w:r w:rsidRPr="004F76A4">
        <w:rPr>
          <w:rFonts w:eastAsia="Calibri"/>
          <w:i/>
          <w:szCs w:val="20"/>
          <w:vertAlign w:val="superscript"/>
        </w:rPr>
        <w:t>2</w:t>
      </w:r>
      <w:r w:rsidRPr="004F76A4">
        <w:rPr>
          <w:rFonts w:eastAsia="Calibri"/>
          <w:i/>
          <w:szCs w:val="20"/>
        </w:rPr>
        <w:t xml:space="preserve"> </w:t>
      </w:r>
      <w:r w:rsidR="00A954B3" w:rsidRPr="00A954B3">
        <w:rPr>
          <w:rFonts w:eastAsia="Calibri"/>
          <w:i/>
          <w:szCs w:val="20"/>
        </w:rPr>
        <w:t>$35,000 to &lt; $45,000</w:t>
      </w:r>
    </w:p>
    <w:p w14:paraId="30652C07" w14:textId="6F0B61CE" w:rsidR="004F76A4" w:rsidRPr="004F76A4" w:rsidRDefault="004F76A4" w:rsidP="004F76A4">
      <w:pPr>
        <w:pStyle w:val="FooterTableFigure"/>
        <w:rPr>
          <w:rFonts w:eastAsia="Calibri"/>
          <w:i/>
          <w:szCs w:val="20"/>
        </w:rPr>
      </w:pPr>
      <w:r w:rsidRPr="004F76A4">
        <w:rPr>
          <w:rFonts w:eastAsia="Calibri"/>
          <w:i/>
          <w:szCs w:val="20"/>
          <w:vertAlign w:val="superscript"/>
        </w:rPr>
        <w:t>3</w:t>
      </w:r>
      <w:r w:rsidRPr="004F76A4">
        <w:rPr>
          <w:rFonts w:eastAsia="Calibri"/>
          <w:i/>
          <w:szCs w:val="20"/>
        </w:rPr>
        <w:t xml:space="preserve"> </w:t>
      </w:r>
      <w:r w:rsidR="00EA6158" w:rsidRPr="00EA6158">
        <w:rPr>
          <w:rFonts w:eastAsia="Calibri"/>
          <w:i/>
          <w:szCs w:val="20"/>
        </w:rPr>
        <w:t>$95,000 to &lt; $115,000</w:t>
      </w:r>
    </w:p>
    <w:p w14:paraId="0FF7FA47" w14:textId="19248183" w:rsidR="00DC7D3C" w:rsidRPr="002E75D2" w:rsidRDefault="004F76A4" w:rsidP="00DC7D3C">
      <w:pPr>
        <w:pStyle w:val="FooterTableFigure"/>
        <w:rPr>
          <w:rFonts w:eastAsia="Calibri"/>
          <w:i/>
          <w:szCs w:val="20"/>
        </w:rPr>
      </w:pPr>
      <w:r w:rsidRPr="004F76A4">
        <w:rPr>
          <w:rFonts w:eastAsia="Calibri"/>
          <w:i/>
          <w:szCs w:val="20"/>
          <w:vertAlign w:val="superscript"/>
        </w:rPr>
        <w:t>4</w:t>
      </w:r>
      <w:r w:rsidRPr="004F76A4">
        <w:rPr>
          <w:rFonts w:eastAsia="Calibri"/>
          <w:i/>
          <w:szCs w:val="20"/>
        </w:rPr>
        <w:t xml:space="preserve"> </w:t>
      </w:r>
      <w:bookmarkStart w:id="86" w:name="_Hlk218772033"/>
      <w:r w:rsidR="002466FE" w:rsidRPr="002466FE">
        <w:rPr>
          <w:rFonts w:eastAsia="Calibri"/>
          <w:i/>
          <w:szCs w:val="20"/>
        </w:rPr>
        <w:t>$55,000 to &lt; $75,000</w:t>
      </w:r>
      <w:bookmarkEnd w:id="86"/>
    </w:p>
    <w:p w14:paraId="5E2C4FDF" w14:textId="4FD11AE1" w:rsidR="00D305A3" w:rsidRPr="00AB54B3" w:rsidRDefault="00435FA3" w:rsidP="00DC7D3C">
      <w:pPr>
        <w:pStyle w:val="3-BodyText"/>
        <w:rPr>
          <w:rFonts w:eastAsia="Calibri"/>
          <w:szCs w:val="20"/>
        </w:rPr>
      </w:pPr>
      <w:r>
        <w:t>G</w:t>
      </w:r>
      <w:r w:rsidR="00AE693F" w:rsidRPr="008F6ABE">
        <w:t xml:space="preserve">iven its view on the most appropriate place in therapy and comparator(s) for delgocitinib (see paragraphs </w:t>
      </w:r>
      <w:r w:rsidR="00AE693F" w:rsidRPr="008F6ABE">
        <w:fldChar w:fldCharType="begin"/>
      </w:r>
      <w:r w:rsidR="00AE693F" w:rsidRPr="008F6ABE">
        <w:instrText xml:space="preserve"> REF _Ref210998691 \r \h </w:instrText>
      </w:r>
      <w:r w:rsidR="008F6ABE">
        <w:instrText xml:space="preserve"> \* MERGEFORMAT </w:instrText>
      </w:r>
      <w:r w:rsidR="00AE693F" w:rsidRPr="008F6ABE">
        <w:fldChar w:fldCharType="separate"/>
      </w:r>
      <w:r w:rsidR="00AA53DD">
        <w:t>4.6</w:t>
      </w:r>
      <w:r w:rsidR="00AE693F" w:rsidRPr="008F6ABE">
        <w:fldChar w:fldCharType="end"/>
      </w:r>
      <w:r w:rsidR="00AE693F" w:rsidRPr="008F6ABE">
        <w:t xml:space="preserve"> and </w:t>
      </w:r>
      <w:r w:rsidR="00AE693F" w:rsidRPr="008F6ABE">
        <w:fldChar w:fldCharType="begin"/>
      </w:r>
      <w:r w:rsidR="00AE693F" w:rsidRPr="008F6ABE">
        <w:instrText xml:space="preserve"> REF _Ref210998693 \r \h </w:instrText>
      </w:r>
      <w:r w:rsidR="008F6ABE">
        <w:instrText xml:space="preserve"> \* MERGEFORMAT </w:instrText>
      </w:r>
      <w:r w:rsidR="00AE693F" w:rsidRPr="008F6ABE">
        <w:fldChar w:fldCharType="separate"/>
      </w:r>
      <w:r w:rsidR="00AA53DD">
        <w:t>5.3</w:t>
      </w:r>
      <w:r w:rsidR="00AE693F" w:rsidRPr="008F6ABE">
        <w:fldChar w:fldCharType="end"/>
      </w:r>
      <w:r w:rsidR="00AE693F" w:rsidRPr="008F6ABE">
        <w:t>)</w:t>
      </w:r>
      <w:r w:rsidR="00E26E2A" w:rsidRPr="008F6ABE">
        <w:t xml:space="preserve">, the ESC considered the model </w:t>
      </w:r>
      <w:r w:rsidR="005C54F6" w:rsidRPr="008F6ABE">
        <w:t>was only useful if</w:t>
      </w:r>
      <w:r w:rsidR="003249CD" w:rsidRPr="008F6ABE">
        <w:t xml:space="preserve"> the proposed place in therapy </w:t>
      </w:r>
      <w:r w:rsidR="005C54F6" w:rsidRPr="008F6ABE">
        <w:t>was</w:t>
      </w:r>
      <w:r w:rsidR="003249CD" w:rsidRPr="008F6ABE">
        <w:t xml:space="preserve"> accepted. If the proposed place in therapy </w:t>
      </w:r>
      <w:r w:rsidR="005C54F6" w:rsidRPr="008F6ABE">
        <w:t xml:space="preserve">was </w:t>
      </w:r>
      <w:r w:rsidR="003249CD" w:rsidRPr="008F6ABE">
        <w:t xml:space="preserve">not accepted by the PBAC, a new economic modelling approach would be required. </w:t>
      </w:r>
    </w:p>
    <w:p w14:paraId="7C9CAD30" w14:textId="027653C3" w:rsidR="00782B0B" w:rsidRPr="00407696" w:rsidRDefault="00762821" w:rsidP="00DC7D3C">
      <w:pPr>
        <w:pStyle w:val="3-BodyText"/>
        <w:rPr>
          <w:rFonts w:eastAsia="Calibri"/>
          <w:szCs w:val="20"/>
        </w:rPr>
      </w:pPr>
      <w:bookmarkStart w:id="87" w:name="_Ref213677934"/>
      <w:r>
        <w:t>The</w:t>
      </w:r>
      <w:r w:rsidR="00194C8E">
        <w:t xml:space="preserve"> PBAC considered the economic </w:t>
      </w:r>
      <w:r w:rsidR="00533EA6">
        <w:t>evaluation</w:t>
      </w:r>
      <w:r w:rsidR="00194C8E">
        <w:t xml:space="preserve"> provided in the submission was not </w:t>
      </w:r>
      <w:r w:rsidR="00F13235">
        <w:t>reliable</w:t>
      </w:r>
      <w:r w:rsidR="00194C8E">
        <w:t xml:space="preserve"> for decision-making</w:t>
      </w:r>
      <w:r w:rsidR="00F13235">
        <w:t>.</w:t>
      </w:r>
      <w:r w:rsidR="00930863">
        <w:t xml:space="preserve"> The PBAC considered</w:t>
      </w:r>
      <w:r w:rsidR="0042029E">
        <w:t xml:space="preserve"> a</w:t>
      </w:r>
      <w:r w:rsidR="00930863">
        <w:t xml:space="preserve"> trial</w:t>
      </w:r>
      <w:r w:rsidR="0042029E">
        <w:t>-</w:t>
      </w:r>
      <w:r w:rsidR="00930863">
        <w:t xml:space="preserve">based analyses using the </w:t>
      </w:r>
      <w:r w:rsidR="00361955">
        <w:t xml:space="preserve">EQ-5D-5L index scores and extent of use of delgocitinib </w:t>
      </w:r>
      <w:r w:rsidR="00EB51DF">
        <w:t xml:space="preserve">from the DELTA 1 and DELTA 2 trials to be informative. </w:t>
      </w:r>
      <w:r w:rsidR="00AD4253">
        <w:t xml:space="preserve">The </w:t>
      </w:r>
      <w:r w:rsidR="00407696">
        <w:t xml:space="preserve">EQ-5D-5L </w:t>
      </w:r>
      <w:r w:rsidR="00AD4253">
        <w:t xml:space="preserve">results are presented in </w:t>
      </w:r>
      <w:r w:rsidR="00674CF6">
        <w:fldChar w:fldCharType="begin"/>
      </w:r>
      <w:r w:rsidR="00674CF6">
        <w:instrText xml:space="preserve"> REF _Ref214973835 \h </w:instrText>
      </w:r>
      <w:r w:rsidR="00674CF6">
        <w:fldChar w:fldCharType="separate"/>
      </w:r>
      <w:r w:rsidR="00AA53DD">
        <w:t xml:space="preserve">Table </w:t>
      </w:r>
      <w:r w:rsidR="00AA53DD">
        <w:rPr>
          <w:noProof/>
        </w:rPr>
        <w:t>13</w:t>
      </w:r>
      <w:r w:rsidR="00674CF6">
        <w:fldChar w:fldCharType="end"/>
      </w:r>
      <w:r w:rsidR="00AD4253">
        <w:t>.</w:t>
      </w:r>
      <w:bookmarkEnd w:id="87"/>
      <w:r w:rsidR="0068343F">
        <w:t xml:space="preserve"> The PBAC noted that </w:t>
      </w:r>
      <w:r w:rsidR="00F22016">
        <w:t>an alternative approach of assuming a linear trend between time points would result in a</w:t>
      </w:r>
      <w:r w:rsidR="003567B5">
        <w:t xml:space="preserve">s slightly smaller QALY gain over 16 weeks. </w:t>
      </w:r>
    </w:p>
    <w:p w14:paraId="2C1DC684" w14:textId="6FFAADFB" w:rsidR="00407696" w:rsidRPr="00964774" w:rsidRDefault="00407696" w:rsidP="00674CF6">
      <w:pPr>
        <w:pStyle w:val="Caption"/>
        <w:rPr>
          <w:rFonts w:eastAsia="Calibri"/>
          <w:szCs w:val="20"/>
        </w:rPr>
      </w:pPr>
      <w:bookmarkStart w:id="88" w:name="_Ref214973835"/>
      <w:r>
        <w:lastRenderedPageBreak/>
        <w:t xml:space="preserve">Table </w:t>
      </w:r>
      <w:r w:rsidR="000847A3">
        <w:fldChar w:fldCharType="begin"/>
      </w:r>
      <w:r w:rsidR="000847A3">
        <w:instrText xml:space="preserve"> SEQ Table \* ARABIC </w:instrText>
      </w:r>
      <w:r w:rsidR="000847A3">
        <w:fldChar w:fldCharType="separate"/>
      </w:r>
      <w:r w:rsidR="00AA53DD">
        <w:rPr>
          <w:noProof/>
        </w:rPr>
        <w:t>13</w:t>
      </w:r>
      <w:r w:rsidR="000847A3">
        <w:rPr>
          <w:noProof/>
        </w:rPr>
        <w:fldChar w:fldCharType="end"/>
      </w:r>
      <w:bookmarkEnd w:id="88"/>
      <w:r>
        <w:t xml:space="preserve">: </w:t>
      </w:r>
      <w:r w:rsidR="00151247">
        <w:t xml:space="preserve">Change in </w:t>
      </w:r>
      <w:r w:rsidR="006A101A">
        <w:t xml:space="preserve">mean </w:t>
      </w:r>
      <w:r w:rsidR="00151247">
        <w:t>EQ-5D-5L index score from baseline by visit</w:t>
      </w:r>
    </w:p>
    <w:tbl>
      <w:tblPr>
        <w:tblStyle w:val="TableGrid"/>
        <w:tblW w:w="5000" w:type="pct"/>
        <w:tblLook w:val="04A0" w:firstRow="1" w:lastRow="0" w:firstColumn="1" w:lastColumn="0" w:noHBand="0" w:noVBand="1"/>
        <w:tblCaption w:val="Table 13: Change in mean EQ-5D-5L index score from baseline by visit"/>
      </w:tblPr>
      <w:tblGrid>
        <w:gridCol w:w="845"/>
        <w:gridCol w:w="1154"/>
        <w:gridCol w:w="830"/>
        <w:gridCol w:w="83"/>
        <w:gridCol w:w="1019"/>
        <w:gridCol w:w="1001"/>
        <w:gridCol w:w="1154"/>
        <w:gridCol w:w="913"/>
        <w:gridCol w:w="1019"/>
        <w:gridCol w:w="999"/>
      </w:tblGrid>
      <w:tr w:rsidR="003B2D12" w14:paraId="35C20BD9" w14:textId="77777777" w:rsidTr="00C21DB1">
        <w:tc>
          <w:tcPr>
            <w:tcW w:w="469" w:type="pct"/>
            <w:vMerge w:val="restart"/>
            <w:tcMar>
              <w:left w:w="57" w:type="dxa"/>
              <w:right w:w="57" w:type="dxa"/>
            </w:tcMar>
          </w:tcPr>
          <w:p w14:paraId="3E4FCC9B" w14:textId="77777777" w:rsidR="003B2D12" w:rsidRDefault="003B2D12" w:rsidP="00674CF6">
            <w:pPr>
              <w:pStyle w:val="TableText0"/>
              <w:keepNext/>
              <w:rPr>
                <w:rFonts w:eastAsia="Calibri"/>
              </w:rPr>
            </w:pPr>
          </w:p>
        </w:tc>
        <w:tc>
          <w:tcPr>
            <w:tcW w:w="2266" w:type="pct"/>
            <w:gridSpan w:val="5"/>
            <w:tcMar>
              <w:left w:w="57" w:type="dxa"/>
              <w:right w:w="57" w:type="dxa"/>
            </w:tcMar>
          </w:tcPr>
          <w:p w14:paraId="00352D61" w14:textId="49014E25" w:rsidR="003B2D12" w:rsidRPr="003B2D12" w:rsidRDefault="003B2D12" w:rsidP="00674CF6">
            <w:pPr>
              <w:pStyle w:val="TableText0"/>
              <w:keepNext/>
              <w:jc w:val="center"/>
              <w:rPr>
                <w:rFonts w:eastAsia="Calibri"/>
                <w:b/>
                <w:bCs w:val="0"/>
              </w:rPr>
            </w:pPr>
            <w:r w:rsidRPr="003B2D12">
              <w:rPr>
                <w:rFonts w:eastAsia="Calibri"/>
                <w:b/>
                <w:bCs w:val="0"/>
              </w:rPr>
              <w:t>DELTA 1</w:t>
            </w:r>
            <w:r w:rsidR="006D0205">
              <w:rPr>
                <w:rFonts w:eastAsia="Calibri"/>
                <w:b/>
                <w:bCs w:val="0"/>
              </w:rPr>
              <w:t xml:space="preserve"> (N = 479)</w:t>
            </w:r>
          </w:p>
        </w:tc>
        <w:tc>
          <w:tcPr>
            <w:tcW w:w="2266" w:type="pct"/>
            <w:gridSpan w:val="4"/>
            <w:tcMar>
              <w:left w:w="57" w:type="dxa"/>
              <w:right w:w="57" w:type="dxa"/>
            </w:tcMar>
          </w:tcPr>
          <w:p w14:paraId="72B8C748" w14:textId="64B1353F" w:rsidR="003B2D12" w:rsidRPr="003B2D12" w:rsidRDefault="003B2D12" w:rsidP="00674CF6">
            <w:pPr>
              <w:pStyle w:val="TableText0"/>
              <w:keepNext/>
              <w:jc w:val="center"/>
              <w:rPr>
                <w:rFonts w:eastAsia="Calibri"/>
                <w:b/>
                <w:bCs w:val="0"/>
              </w:rPr>
            </w:pPr>
            <w:r w:rsidRPr="003B2D12">
              <w:rPr>
                <w:rFonts w:eastAsia="Calibri"/>
                <w:b/>
                <w:bCs w:val="0"/>
              </w:rPr>
              <w:t>DELTA 2</w:t>
            </w:r>
            <w:r w:rsidR="006D0205">
              <w:rPr>
                <w:rFonts w:eastAsia="Calibri"/>
                <w:b/>
                <w:bCs w:val="0"/>
              </w:rPr>
              <w:t xml:space="preserve"> (N = </w:t>
            </w:r>
            <w:r w:rsidR="00111B3D">
              <w:rPr>
                <w:rFonts w:eastAsia="Calibri"/>
                <w:b/>
                <w:bCs w:val="0"/>
              </w:rPr>
              <w:t>469)</w:t>
            </w:r>
          </w:p>
        </w:tc>
      </w:tr>
      <w:tr w:rsidR="003B2D12" w14:paraId="0A2A7535" w14:textId="77777777" w:rsidTr="00C21DB1">
        <w:tc>
          <w:tcPr>
            <w:tcW w:w="469" w:type="pct"/>
            <w:vMerge/>
            <w:tcMar>
              <w:left w:w="57" w:type="dxa"/>
              <w:right w:w="57" w:type="dxa"/>
            </w:tcMar>
          </w:tcPr>
          <w:p w14:paraId="1FB32DB0" w14:textId="77777777" w:rsidR="003B2D12" w:rsidRDefault="003B2D12" w:rsidP="00674CF6">
            <w:pPr>
              <w:pStyle w:val="TableText0"/>
              <w:keepNext/>
              <w:rPr>
                <w:rFonts w:eastAsia="Calibri"/>
              </w:rPr>
            </w:pPr>
          </w:p>
        </w:tc>
        <w:tc>
          <w:tcPr>
            <w:tcW w:w="640" w:type="pct"/>
            <w:tcMar>
              <w:left w:w="57" w:type="dxa"/>
              <w:right w:w="57" w:type="dxa"/>
            </w:tcMar>
          </w:tcPr>
          <w:p w14:paraId="37EC6A2B" w14:textId="0CC725F6" w:rsidR="003B2D12" w:rsidRPr="003B2D12" w:rsidRDefault="003B2D12" w:rsidP="00674CF6">
            <w:pPr>
              <w:pStyle w:val="TableText0"/>
              <w:keepNext/>
              <w:jc w:val="center"/>
              <w:rPr>
                <w:rFonts w:eastAsia="Calibri"/>
                <w:b/>
                <w:bCs w:val="0"/>
              </w:rPr>
            </w:pPr>
            <w:r w:rsidRPr="003B2D12">
              <w:rPr>
                <w:rFonts w:eastAsia="Calibri"/>
                <w:b/>
                <w:bCs w:val="0"/>
              </w:rPr>
              <w:t>Delgocitinib</w:t>
            </w:r>
          </w:p>
        </w:tc>
        <w:tc>
          <w:tcPr>
            <w:tcW w:w="506" w:type="pct"/>
            <w:gridSpan w:val="2"/>
            <w:tcMar>
              <w:left w:w="57" w:type="dxa"/>
              <w:right w:w="57" w:type="dxa"/>
            </w:tcMar>
          </w:tcPr>
          <w:p w14:paraId="03B1B410" w14:textId="537DE444" w:rsidR="003B2D12" w:rsidRPr="003B2D12" w:rsidRDefault="003B2D12" w:rsidP="00674CF6">
            <w:pPr>
              <w:pStyle w:val="TableText0"/>
              <w:keepNext/>
              <w:jc w:val="center"/>
              <w:rPr>
                <w:rFonts w:eastAsia="Calibri"/>
                <w:b/>
                <w:bCs w:val="0"/>
              </w:rPr>
            </w:pPr>
            <w:r w:rsidRPr="003B2D12">
              <w:rPr>
                <w:rFonts w:eastAsia="Calibri"/>
                <w:b/>
                <w:bCs w:val="0"/>
              </w:rPr>
              <w:t>Vehicle</w:t>
            </w:r>
          </w:p>
        </w:tc>
        <w:tc>
          <w:tcPr>
            <w:tcW w:w="564" w:type="pct"/>
            <w:tcMar>
              <w:left w:w="57" w:type="dxa"/>
              <w:right w:w="57" w:type="dxa"/>
            </w:tcMar>
          </w:tcPr>
          <w:p w14:paraId="53558561" w14:textId="3720FAB1" w:rsidR="003B2D12" w:rsidRPr="003B2D12" w:rsidRDefault="003B2D12" w:rsidP="00674CF6">
            <w:pPr>
              <w:pStyle w:val="TableText0"/>
              <w:keepNext/>
              <w:jc w:val="center"/>
              <w:rPr>
                <w:rFonts w:eastAsia="Calibri"/>
                <w:b/>
                <w:bCs w:val="0"/>
              </w:rPr>
            </w:pPr>
            <w:r w:rsidRPr="003B2D12">
              <w:rPr>
                <w:rFonts w:eastAsia="Calibri"/>
                <w:b/>
                <w:bCs w:val="0"/>
              </w:rPr>
              <w:t>Difference</w:t>
            </w:r>
          </w:p>
        </w:tc>
        <w:tc>
          <w:tcPr>
            <w:tcW w:w="555" w:type="pct"/>
            <w:tcMar>
              <w:left w:w="57" w:type="dxa"/>
              <w:right w:w="57" w:type="dxa"/>
            </w:tcMar>
          </w:tcPr>
          <w:p w14:paraId="12EAC397" w14:textId="5CAFE959" w:rsidR="003B2D12" w:rsidRPr="003B2D12" w:rsidRDefault="005B72EA" w:rsidP="00674CF6">
            <w:pPr>
              <w:pStyle w:val="TableText0"/>
              <w:keepNext/>
              <w:jc w:val="center"/>
              <w:rPr>
                <w:rFonts w:eastAsia="Calibri"/>
                <w:b/>
                <w:bCs w:val="0"/>
              </w:rPr>
            </w:pPr>
            <w:r>
              <w:rPr>
                <w:rFonts w:eastAsia="Calibri"/>
                <w:b/>
                <w:bCs w:val="0"/>
              </w:rPr>
              <w:t>U</w:t>
            </w:r>
            <w:r>
              <w:rPr>
                <w:rFonts w:eastAsia="Calibri"/>
                <w:b/>
              </w:rPr>
              <w:t xml:space="preserve">tility difference per </w:t>
            </w:r>
            <w:r w:rsidR="00E65A1F">
              <w:rPr>
                <w:rFonts w:eastAsia="Calibri"/>
                <w:b/>
              </w:rPr>
              <w:t>period</w:t>
            </w:r>
          </w:p>
        </w:tc>
        <w:tc>
          <w:tcPr>
            <w:tcW w:w="640" w:type="pct"/>
            <w:tcMar>
              <w:left w:w="57" w:type="dxa"/>
              <w:right w:w="57" w:type="dxa"/>
            </w:tcMar>
          </w:tcPr>
          <w:p w14:paraId="535E3A2B" w14:textId="7B57C786" w:rsidR="003B2D12" w:rsidRPr="003B2D12" w:rsidRDefault="003B2D12" w:rsidP="00674CF6">
            <w:pPr>
              <w:pStyle w:val="TableText0"/>
              <w:keepNext/>
              <w:jc w:val="center"/>
              <w:rPr>
                <w:rFonts w:eastAsia="Calibri"/>
                <w:b/>
                <w:bCs w:val="0"/>
              </w:rPr>
            </w:pPr>
            <w:r w:rsidRPr="003B2D12">
              <w:rPr>
                <w:rFonts w:eastAsia="Calibri"/>
                <w:b/>
                <w:bCs w:val="0"/>
              </w:rPr>
              <w:t>Delgocitinib</w:t>
            </w:r>
          </w:p>
        </w:tc>
        <w:tc>
          <w:tcPr>
            <w:tcW w:w="506" w:type="pct"/>
            <w:tcMar>
              <w:left w:w="57" w:type="dxa"/>
              <w:right w:w="57" w:type="dxa"/>
            </w:tcMar>
          </w:tcPr>
          <w:p w14:paraId="60EA53F1" w14:textId="26391F48" w:rsidR="003B2D12" w:rsidRPr="003B2D12" w:rsidRDefault="003B2D12" w:rsidP="00674CF6">
            <w:pPr>
              <w:pStyle w:val="TableText0"/>
              <w:keepNext/>
              <w:jc w:val="center"/>
              <w:rPr>
                <w:rFonts w:eastAsia="Calibri"/>
                <w:b/>
                <w:bCs w:val="0"/>
              </w:rPr>
            </w:pPr>
            <w:r w:rsidRPr="003B2D12">
              <w:rPr>
                <w:rFonts w:eastAsia="Calibri"/>
                <w:b/>
                <w:bCs w:val="0"/>
              </w:rPr>
              <w:t>Vehicle</w:t>
            </w:r>
          </w:p>
        </w:tc>
        <w:tc>
          <w:tcPr>
            <w:tcW w:w="564" w:type="pct"/>
            <w:tcMar>
              <w:left w:w="57" w:type="dxa"/>
              <w:right w:w="57" w:type="dxa"/>
            </w:tcMar>
          </w:tcPr>
          <w:p w14:paraId="18A339F7" w14:textId="6A5F4889" w:rsidR="003B2D12" w:rsidRPr="003B2D12" w:rsidRDefault="003B2D12" w:rsidP="00674CF6">
            <w:pPr>
              <w:pStyle w:val="TableText0"/>
              <w:keepNext/>
              <w:jc w:val="center"/>
              <w:rPr>
                <w:rFonts w:eastAsia="Calibri"/>
                <w:b/>
                <w:bCs w:val="0"/>
              </w:rPr>
            </w:pPr>
            <w:r w:rsidRPr="003B2D12">
              <w:rPr>
                <w:rFonts w:eastAsia="Calibri"/>
                <w:b/>
                <w:bCs w:val="0"/>
              </w:rPr>
              <w:t>Difference</w:t>
            </w:r>
          </w:p>
        </w:tc>
        <w:tc>
          <w:tcPr>
            <w:tcW w:w="555" w:type="pct"/>
            <w:tcMar>
              <w:left w:w="57" w:type="dxa"/>
              <w:right w:w="57" w:type="dxa"/>
            </w:tcMar>
          </w:tcPr>
          <w:p w14:paraId="48F38468" w14:textId="7590778C" w:rsidR="003B2D12" w:rsidRPr="003B2D12" w:rsidRDefault="005B72EA" w:rsidP="00674CF6">
            <w:pPr>
              <w:pStyle w:val="TableText0"/>
              <w:keepNext/>
              <w:jc w:val="center"/>
              <w:rPr>
                <w:rFonts w:eastAsia="Calibri"/>
                <w:b/>
                <w:bCs w:val="0"/>
              </w:rPr>
            </w:pPr>
            <w:r>
              <w:rPr>
                <w:rFonts w:eastAsia="Calibri"/>
                <w:b/>
                <w:bCs w:val="0"/>
              </w:rPr>
              <w:t>U</w:t>
            </w:r>
            <w:r>
              <w:rPr>
                <w:rFonts w:eastAsia="Calibri"/>
                <w:b/>
              </w:rPr>
              <w:t xml:space="preserve">tility difference per </w:t>
            </w:r>
            <w:r w:rsidR="00E65A1F">
              <w:rPr>
                <w:rFonts w:eastAsia="Calibri"/>
                <w:b/>
              </w:rPr>
              <w:t>period</w:t>
            </w:r>
          </w:p>
        </w:tc>
      </w:tr>
      <w:tr w:rsidR="003B2D12" w14:paraId="3CCAA888" w14:textId="77777777" w:rsidTr="00C21DB1">
        <w:tc>
          <w:tcPr>
            <w:tcW w:w="469" w:type="pct"/>
            <w:tcMar>
              <w:left w:w="57" w:type="dxa"/>
              <w:right w:w="57" w:type="dxa"/>
            </w:tcMar>
          </w:tcPr>
          <w:p w14:paraId="704D4398" w14:textId="662AF165" w:rsidR="00961F1E" w:rsidRDefault="00497C6F" w:rsidP="00674CF6">
            <w:pPr>
              <w:pStyle w:val="TableText0"/>
              <w:keepNext/>
              <w:rPr>
                <w:rFonts w:eastAsia="Calibri"/>
              </w:rPr>
            </w:pPr>
            <w:r>
              <w:rPr>
                <w:rFonts w:eastAsia="Calibri"/>
              </w:rPr>
              <w:t>Week 1</w:t>
            </w:r>
          </w:p>
        </w:tc>
        <w:tc>
          <w:tcPr>
            <w:tcW w:w="640" w:type="pct"/>
            <w:tcMar>
              <w:left w:w="57" w:type="dxa"/>
              <w:right w:w="57" w:type="dxa"/>
            </w:tcMar>
          </w:tcPr>
          <w:p w14:paraId="5F270E29" w14:textId="62DCCA2D" w:rsidR="00961F1E" w:rsidRDefault="00285E91" w:rsidP="00674CF6">
            <w:pPr>
              <w:pStyle w:val="TableText0"/>
              <w:keepNext/>
              <w:jc w:val="center"/>
              <w:rPr>
                <w:rFonts w:eastAsia="Calibri"/>
              </w:rPr>
            </w:pPr>
            <w:r>
              <w:rPr>
                <w:rFonts w:eastAsia="Calibri"/>
              </w:rPr>
              <w:t>0.091</w:t>
            </w:r>
          </w:p>
        </w:tc>
        <w:tc>
          <w:tcPr>
            <w:tcW w:w="506" w:type="pct"/>
            <w:gridSpan w:val="2"/>
            <w:tcMar>
              <w:left w:w="57" w:type="dxa"/>
              <w:right w:w="57" w:type="dxa"/>
            </w:tcMar>
          </w:tcPr>
          <w:p w14:paraId="7857231E" w14:textId="061DBC96" w:rsidR="00961F1E" w:rsidRDefault="00285E91" w:rsidP="00674CF6">
            <w:pPr>
              <w:pStyle w:val="TableText0"/>
              <w:keepNext/>
              <w:jc w:val="center"/>
              <w:rPr>
                <w:rFonts w:eastAsia="Calibri"/>
              </w:rPr>
            </w:pPr>
            <w:r>
              <w:rPr>
                <w:rFonts w:eastAsia="Calibri"/>
              </w:rPr>
              <w:t>0.037</w:t>
            </w:r>
          </w:p>
        </w:tc>
        <w:tc>
          <w:tcPr>
            <w:tcW w:w="564" w:type="pct"/>
            <w:tcMar>
              <w:left w:w="57" w:type="dxa"/>
              <w:right w:w="57" w:type="dxa"/>
            </w:tcMar>
          </w:tcPr>
          <w:p w14:paraId="41EB2923" w14:textId="537454B6" w:rsidR="00961F1E" w:rsidRDefault="00285E91" w:rsidP="00674CF6">
            <w:pPr>
              <w:pStyle w:val="TableText0"/>
              <w:keepNext/>
              <w:jc w:val="center"/>
              <w:rPr>
                <w:rFonts w:eastAsia="Calibri"/>
              </w:rPr>
            </w:pPr>
            <w:r>
              <w:rPr>
                <w:rFonts w:eastAsia="Calibri"/>
              </w:rPr>
              <w:t>0.054</w:t>
            </w:r>
          </w:p>
        </w:tc>
        <w:tc>
          <w:tcPr>
            <w:tcW w:w="555" w:type="pct"/>
            <w:tcMar>
              <w:left w:w="57" w:type="dxa"/>
              <w:right w:w="57" w:type="dxa"/>
            </w:tcMar>
          </w:tcPr>
          <w:p w14:paraId="75960BA3" w14:textId="2EA77F64" w:rsidR="00961F1E" w:rsidRDefault="00471941" w:rsidP="00674CF6">
            <w:pPr>
              <w:pStyle w:val="TableText0"/>
              <w:keepNext/>
              <w:jc w:val="center"/>
              <w:rPr>
                <w:rFonts w:eastAsia="Calibri"/>
              </w:rPr>
            </w:pPr>
            <w:r>
              <w:rPr>
                <w:rFonts w:eastAsia="Calibri"/>
              </w:rPr>
              <w:t>0.0010</w:t>
            </w:r>
            <w:r w:rsidR="00120324">
              <w:rPr>
                <w:rFonts w:eastAsia="Calibri"/>
              </w:rPr>
              <w:t>4</w:t>
            </w:r>
          </w:p>
        </w:tc>
        <w:tc>
          <w:tcPr>
            <w:tcW w:w="640" w:type="pct"/>
            <w:tcMar>
              <w:left w:w="57" w:type="dxa"/>
              <w:right w:w="57" w:type="dxa"/>
            </w:tcMar>
          </w:tcPr>
          <w:p w14:paraId="184969F3" w14:textId="40CC0642" w:rsidR="00961F1E" w:rsidRDefault="00550160" w:rsidP="00674CF6">
            <w:pPr>
              <w:pStyle w:val="TableText0"/>
              <w:keepNext/>
              <w:jc w:val="center"/>
              <w:rPr>
                <w:rFonts w:eastAsia="Calibri"/>
              </w:rPr>
            </w:pPr>
            <w:r>
              <w:rPr>
                <w:rFonts w:eastAsia="Calibri"/>
              </w:rPr>
              <w:t>0.071</w:t>
            </w:r>
          </w:p>
        </w:tc>
        <w:tc>
          <w:tcPr>
            <w:tcW w:w="506" w:type="pct"/>
            <w:tcMar>
              <w:left w:w="57" w:type="dxa"/>
              <w:right w:w="57" w:type="dxa"/>
            </w:tcMar>
          </w:tcPr>
          <w:p w14:paraId="53723AF6" w14:textId="1710DF93" w:rsidR="00961F1E" w:rsidRDefault="00550160" w:rsidP="00674CF6">
            <w:pPr>
              <w:pStyle w:val="TableText0"/>
              <w:keepNext/>
              <w:jc w:val="center"/>
              <w:rPr>
                <w:rFonts w:eastAsia="Calibri"/>
              </w:rPr>
            </w:pPr>
            <w:r>
              <w:rPr>
                <w:rFonts w:eastAsia="Calibri"/>
              </w:rPr>
              <w:t>0.07</w:t>
            </w:r>
            <w:r w:rsidR="00A76DD0">
              <w:rPr>
                <w:rFonts w:eastAsia="Calibri"/>
              </w:rPr>
              <w:t>0</w:t>
            </w:r>
          </w:p>
        </w:tc>
        <w:tc>
          <w:tcPr>
            <w:tcW w:w="564" w:type="pct"/>
            <w:tcMar>
              <w:left w:w="57" w:type="dxa"/>
              <w:right w:w="57" w:type="dxa"/>
            </w:tcMar>
          </w:tcPr>
          <w:p w14:paraId="604CC53C" w14:textId="718122AB" w:rsidR="00961F1E" w:rsidRDefault="00550160" w:rsidP="00674CF6">
            <w:pPr>
              <w:pStyle w:val="TableText0"/>
              <w:keepNext/>
              <w:jc w:val="center"/>
              <w:rPr>
                <w:rFonts w:eastAsia="Calibri"/>
              </w:rPr>
            </w:pPr>
            <w:r>
              <w:rPr>
                <w:rFonts w:eastAsia="Calibri"/>
              </w:rPr>
              <w:t>0.000</w:t>
            </w:r>
          </w:p>
        </w:tc>
        <w:tc>
          <w:tcPr>
            <w:tcW w:w="555" w:type="pct"/>
            <w:tcMar>
              <w:left w:w="57" w:type="dxa"/>
              <w:right w:w="57" w:type="dxa"/>
            </w:tcMar>
          </w:tcPr>
          <w:p w14:paraId="7C376EC7" w14:textId="3D68A394" w:rsidR="00961F1E" w:rsidRDefault="006B5D72" w:rsidP="00674CF6">
            <w:pPr>
              <w:pStyle w:val="TableText0"/>
              <w:keepNext/>
              <w:jc w:val="center"/>
              <w:rPr>
                <w:rFonts w:eastAsia="Calibri"/>
              </w:rPr>
            </w:pPr>
            <w:r>
              <w:rPr>
                <w:rFonts w:eastAsia="Calibri"/>
              </w:rPr>
              <w:t>0.000</w:t>
            </w:r>
            <w:r w:rsidR="00120324">
              <w:rPr>
                <w:rFonts w:eastAsia="Calibri"/>
              </w:rPr>
              <w:t>00</w:t>
            </w:r>
          </w:p>
        </w:tc>
      </w:tr>
      <w:tr w:rsidR="003B2D12" w14:paraId="72728CE1" w14:textId="77777777" w:rsidTr="00C21DB1">
        <w:tc>
          <w:tcPr>
            <w:tcW w:w="469" w:type="pct"/>
            <w:tcMar>
              <w:left w:w="57" w:type="dxa"/>
              <w:right w:w="57" w:type="dxa"/>
            </w:tcMar>
          </w:tcPr>
          <w:p w14:paraId="58C0F6E3" w14:textId="3709C6A2" w:rsidR="00961F1E" w:rsidRDefault="00497C6F" w:rsidP="00674CF6">
            <w:pPr>
              <w:pStyle w:val="TableText0"/>
              <w:keepNext/>
              <w:rPr>
                <w:rFonts w:eastAsia="Calibri"/>
              </w:rPr>
            </w:pPr>
            <w:r>
              <w:rPr>
                <w:rFonts w:eastAsia="Calibri"/>
              </w:rPr>
              <w:t>Week 4</w:t>
            </w:r>
          </w:p>
        </w:tc>
        <w:tc>
          <w:tcPr>
            <w:tcW w:w="640" w:type="pct"/>
            <w:tcMar>
              <w:left w:w="57" w:type="dxa"/>
              <w:right w:w="57" w:type="dxa"/>
            </w:tcMar>
          </w:tcPr>
          <w:p w14:paraId="7DCC4F7B" w14:textId="54C9ED63" w:rsidR="00961F1E" w:rsidRDefault="00285E91" w:rsidP="00674CF6">
            <w:pPr>
              <w:pStyle w:val="TableText0"/>
              <w:keepNext/>
              <w:jc w:val="center"/>
              <w:rPr>
                <w:rFonts w:eastAsia="Calibri"/>
              </w:rPr>
            </w:pPr>
            <w:r>
              <w:rPr>
                <w:rFonts w:eastAsia="Calibri"/>
              </w:rPr>
              <w:t>0.142</w:t>
            </w:r>
          </w:p>
        </w:tc>
        <w:tc>
          <w:tcPr>
            <w:tcW w:w="506" w:type="pct"/>
            <w:gridSpan w:val="2"/>
            <w:tcMar>
              <w:left w:w="57" w:type="dxa"/>
              <w:right w:w="57" w:type="dxa"/>
            </w:tcMar>
          </w:tcPr>
          <w:p w14:paraId="22122CE7" w14:textId="7A94ADC9" w:rsidR="00961F1E" w:rsidRDefault="00285E91" w:rsidP="00674CF6">
            <w:pPr>
              <w:pStyle w:val="TableText0"/>
              <w:keepNext/>
              <w:jc w:val="center"/>
              <w:rPr>
                <w:rFonts w:eastAsia="Calibri"/>
              </w:rPr>
            </w:pPr>
            <w:r>
              <w:rPr>
                <w:rFonts w:eastAsia="Calibri"/>
              </w:rPr>
              <w:t>0.063</w:t>
            </w:r>
          </w:p>
        </w:tc>
        <w:tc>
          <w:tcPr>
            <w:tcW w:w="564" w:type="pct"/>
            <w:tcMar>
              <w:left w:w="57" w:type="dxa"/>
              <w:right w:w="57" w:type="dxa"/>
            </w:tcMar>
          </w:tcPr>
          <w:p w14:paraId="2E516047" w14:textId="46A4922E" w:rsidR="00961F1E" w:rsidRDefault="00285E91" w:rsidP="00674CF6">
            <w:pPr>
              <w:pStyle w:val="TableText0"/>
              <w:keepNext/>
              <w:jc w:val="center"/>
              <w:rPr>
                <w:rFonts w:eastAsia="Calibri"/>
              </w:rPr>
            </w:pPr>
            <w:r>
              <w:rPr>
                <w:rFonts w:eastAsia="Calibri"/>
              </w:rPr>
              <w:t>0.079</w:t>
            </w:r>
          </w:p>
        </w:tc>
        <w:tc>
          <w:tcPr>
            <w:tcW w:w="555" w:type="pct"/>
            <w:tcMar>
              <w:left w:w="57" w:type="dxa"/>
              <w:right w:w="57" w:type="dxa"/>
            </w:tcMar>
          </w:tcPr>
          <w:p w14:paraId="02E74CC7" w14:textId="03552459" w:rsidR="00961F1E" w:rsidRDefault="00471941" w:rsidP="00674CF6">
            <w:pPr>
              <w:pStyle w:val="TableText0"/>
              <w:keepNext/>
              <w:jc w:val="center"/>
              <w:rPr>
                <w:rFonts w:eastAsia="Calibri"/>
              </w:rPr>
            </w:pPr>
            <w:r>
              <w:rPr>
                <w:rFonts w:eastAsia="Calibri"/>
              </w:rPr>
              <w:t>0.0045</w:t>
            </w:r>
            <w:r w:rsidR="00120324">
              <w:rPr>
                <w:rFonts w:eastAsia="Calibri"/>
              </w:rPr>
              <w:t>6</w:t>
            </w:r>
          </w:p>
        </w:tc>
        <w:tc>
          <w:tcPr>
            <w:tcW w:w="640" w:type="pct"/>
            <w:tcMar>
              <w:left w:w="57" w:type="dxa"/>
              <w:right w:w="57" w:type="dxa"/>
            </w:tcMar>
          </w:tcPr>
          <w:p w14:paraId="7E791E9E" w14:textId="3A48C159" w:rsidR="00961F1E" w:rsidRDefault="00550160" w:rsidP="00674CF6">
            <w:pPr>
              <w:pStyle w:val="TableText0"/>
              <w:keepNext/>
              <w:jc w:val="center"/>
              <w:rPr>
                <w:rFonts w:eastAsia="Calibri"/>
              </w:rPr>
            </w:pPr>
            <w:r>
              <w:rPr>
                <w:rFonts w:eastAsia="Calibri"/>
              </w:rPr>
              <w:t>0.139</w:t>
            </w:r>
          </w:p>
        </w:tc>
        <w:tc>
          <w:tcPr>
            <w:tcW w:w="506" w:type="pct"/>
            <w:tcMar>
              <w:left w:w="57" w:type="dxa"/>
              <w:right w:w="57" w:type="dxa"/>
            </w:tcMar>
          </w:tcPr>
          <w:p w14:paraId="079899AD" w14:textId="4FF85D2B" w:rsidR="00674BE0" w:rsidRDefault="00550160" w:rsidP="00674CF6">
            <w:pPr>
              <w:pStyle w:val="TableText0"/>
              <w:keepNext/>
              <w:jc w:val="center"/>
              <w:rPr>
                <w:rFonts w:eastAsia="Calibri"/>
              </w:rPr>
            </w:pPr>
            <w:r>
              <w:rPr>
                <w:rFonts w:eastAsia="Calibri"/>
              </w:rPr>
              <w:t>0.064</w:t>
            </w:r>
          </w:p>
        </w:tc>
        <w:tc>
          <w:tcPr>
            <w:tcW w:w="564" w:type="pct"/>
            <w:tcMar>
              <w:left w:w="57" w:type="dxa"/>
              <w:right w:w="57" w:type="dxa"/>
            </w:tcMar>
          </w:tcPr>
          <w:p w14:paraId="044C3939" w14:textId="2F6EB641" w:rsidR="00961F1E" w:rsidRDefault="009F4E09" w:rsidP="00674CF6">
            <w:pPr>
              <w:pStyle w:val="TableText0"/>
              <w:keepNext/>
              <w:jc w:val="center"/>
              <w:rPr>
                <w:rFonts w:eastAsia="Calibri"/>
              </w:rPr>
            </w:pPr>
            <w:r>
              <w:rPr>
                <w:rFonts w:eastAsia="Calibri"/>
              </w:rPr>
              <w:t>0.075</w:t>
            </w:r>
          </w:p>
        </w:tc>
        <w:tc>
          <w:tcPr>
            <w:tcW w:w="555" w:type="pct"/>
            <w:tcMar>
              <w:left w:w="57" w:type="dxa"/>
              <w:right w:w="57" w:type="dxa"/>
            </w:tcMar>
          </w:tcPr>
          <w:p w14:paraId="7B3BFC19" w14:textId="5A0E0C52" w:rsidR="00961F1E" w:rsidRDefault="000A6F99" w:rsidP="00674CF6">
            <w:pPr>
              <w:pStyle w:val="TableText0"/>
              <w:keepNext/>
              <w:jc w:val="center"/>
              <w:rPr>
                <w:rFonts w:eastAsia="Calibri"/>
              </w:rPr>
            </w:pPr>
            <w:r>
              <w:rPr>
                <w:rFonts w:eastAsia="Calibri"/>
              </w:rPr>
              <w:t>0.00433</w:t>
            </w:r>
          </w:p>
        </w:tc>
      </w:tr>
      <w:tr w:rsidR="003B2D12" w14:paraId="0579BEA1" w14:textId="77777777" w:rsidTr="00C21DB1">
        <w:tc>
          <w:tcPr>
            <w:tcW w:w="469" w:type="pct"/>
            <w:tcMar>
              <w:left w:w="57" w:type="dxa"/>
              <w:right w:w="57" w:type="dxa"/>
            </w:tcMar>
          </w:tcPr>
          <w:p w14:paraId="783C68D6" w14:textId="17138319" w:rsidR="00961F1E" w:rsidRDefault="00497C6F" w:rsidP="00674CF6">
            <w:pPr>
              <w:pStyle w:val="TableText0"/>
              <w:keepNext/>
              <w:rPr>
                <w:rFonts w:eastAsia="Calibri"/>
              </w:rPr>
            </w:pPr>
            <w:r>
              <w:rPr>
                <w:rFonts w:eastAsia="Calibri"/>
              </w:rPr>
              <w:t>Week 8</w:t>
            </w:r>
          </w:p>
        </w:tc>
        <w:tc>
          <w:tcPr>
            <w:tcW w:w="640" w:type="pct"/>
            <w:tcMar>
              <w:left w:w="57" w:type="dxa"/>
              <w:right w:w="57" w:type="dxa"/>
            </w:tcMar>
          </w:tcPr>
          <w:p w14:paraId="408EDB85" w14:textId="5F60BECA" w:rsidR="00961F1E" w:rsidRDefault="00285E91" w:rsidP="00674CF6">
            <w:pPr>
              <w:pStyle w:val="TableText0"/>
              <w:keepNext/>
              <w:jc w:val="center"/>
              <w:rPr>
                <w:rFonts w:eastAsia="Calibri"/>
              </w:rPr>
            </w:pPr>
            <w:r>
              <w:rPr>
                <w:rFonts w:eastAsia="Calibri"/>
              </w:rPr>
              <w:t>0.172</w:t>
            </w:r>
          </w:p>
        </w:tc>
        <w:tc>
          <w:tcPr>
            <w:tcW w:w="506" w:type="pct"/>
            <w:gridSpan w:val="2"/>
            <w:tcMar>
              <w:left w:w="57" w:type="dxa"/>
              <w:right w:w="57" w:type="dxa"/>
            </w:tcMar>
          </w:tcPr>
          <w:p w14:paraId="438847DF" w14:textId="0B7E6430" w:rsidR="00961F1E" w:rsidRDefault="00285E91" w:rsidP="00674CF6">
            <w:pPr>
              <w:pStyle w:val="TableText0"/>
              <w:keepNext/>
              <w:jc w:val="center"/>
              <w:rPr>
                <w:rFonts w:eastAsia="Calibri"/>
              </w:rPr>
            </w:pPr>
            <w:r>
              <w:rPr>
                <w:rFonts w:eastAsia="Calibri"/>
              </w:rPr>
              <w:t>0.083</w:t>
            </w:r>
          </w:p>
        </w:tc>
        <w:tc>
          <w:tcPr>
            <w:tcW w:w="564" w:type="pct"/>
            <w:tcMar>
              <w:left w:w="57" w:type="dxa"/>
              <w:right w:w="57" w:type="dxa"/>
            </w:tcMar>
          </w:tcPr>
          <w:p w14:paraId="5E3A0596" w14:textId="24E47DF3" w:rsidR="00961F1E" w:rsidRDefault="00285E91" w:rsidP="00674CF6">
            <w:pPr>
              <w:pStyle w:val="TableText0"/>
              <w:keepNext/>
              <w:jc w:val="center"/>
              <w:rPr>
                <w:rFonts w:eastAsia="Calibri"/>
              </w:rPr>
            </w:pPr>
            <w:r>
              <w:rPr>
                <w:rFonts w:eastAsia="Calibri"/>
              </w:rPr>
              <w:t>0.089</w:t>
            </w:r>
          </w:p>
        </w:tc>
        <w:tc>
          <w:tcPr>
            <w:tcW w:w="555" w:type="pct"/>
            <w:tcMar>
              <w:left w:w="57" w:type="dxa"/>
              <w:right w:w="57" w:type="dxa"/>
            </w:tcMar>
          </w:tcPr>
          <w:p w14:paraId="72F52195" w14:textId="26C6CAD1" w:rsidR="00BB1C3B" w:rsidRDefault="00117279" w:rsidP="00674CF6">
            <w:pPr>
              <w:pStyle w:val="TableText0"/>
              <w:keepNext/>
              <w:jc w:val="center"/>
              <w:rPr>
                <w:rFonts w:eastAsia="Calibri"/>
              </w:rPr>
            </w:pPr>
            <w:r>
              <w:rPr>
                <w:rFonts w:eastAsia="Calibri"/>
              </w:rPr>
              <w:t>0.0068</w:t>
            </w:r>
            <w:r w:rsidR="00120324">
              <w:rPr>
                <w:rFonts w:eastAsia="Calibri"/>
              </w:rPr>
              <w:t>5</w:t>
            </w:r>
          </w:p>
        </w:tc>
        <w:tc>
          <w:tcPr>
            <w:tcW w:w="640" w:type="pct"/>
            <w:tcMar>
              <w:left w:w="57" w:type="dxa"/>
              <w:right w:w="57" w:type="dxa"/>
            </w:tcMar>
          </w:tcPr>
          <w:p w14:paraId="41164604" w14:textId="6E762368" w:rsidR="00961F1E" w:rsidRDefault="00550160" w:rsidP="00674CF6">
            <w:pPr>
              <w:pStyle w:val="TableText0"/>
              <w:keepNext/>
              <w:jc w:val="center"/>
              <w:rPr>
                <w:rFonts w:eastAsia="Calibri"/>
              </w:rPr>
            </w:pPr>
            <w:r>
              <w:rPr>
                <w:rFonts w:eastAsia="Calibri"/>
              </w:rPr>
              <w:t>0.149</w:t>
            </w:r>
          </w:p>
        </w:tc>
        <w:tc>
          <w:tcPr>
            <w:tcW w:w="506" w:type="pct"/>
            <w:tcMar>
              <w:left w:w="57" w:type="dxa"/>
              <w:right w:w="57" w:type="dxa"/>
            </w:tcMar>
          </w:tcPr>
          <w:p w14:paraId="0E88EF15" w14:textId="40B794F1" w:rsidR="00961F1E" w:rsidRDefault="00550160" w:rsidP="00674CF6">
            <w:pPr>
              <w:pStyle w:val="TableText0"/>
              <w:keepNext/>
              <w:jc w:val="center"/>
              <w:rPr>
                <w:rFonts w:eastAsia="Calibri"/>
              </w:rPr>
            </w:pPr>
            <w:r>
              <w:rPr>
                <w:rFonts w:eastAsia="Calibri"/>
              </w:rPr>
              <w:t>0.059</w:t>
            </w:r>
          </w:p>
        </w:tc>
        <w:tc>
          <w:tcPr>
            <w:tcW w:w="564" w:type="pct"/>
            <w:tcMar>
              <w:left w:w="57" w:type="dxa"/>
              <w:right w:w="57" w:type="dxa"/>
            </w:tcMar>
          </w:tcPr>
          <w:p w14:paraId="3648B41F" w14:textId="07A0870A" w:rsidR="00961F1E" w:rsidRDefault="009F4E09" w:rsidP="00674CF6">
            <w:pPr>
              <w:pStyle w:val="TableText0"/>
              <w:keepNext/>
              <w:jc w:val="center"/>
              <w:rPr>
                <w:rFonts w:eastAsia="Calibri"/>
              </w:rPr>
            </w:pPr>
            <w:r>
              <w:rPr>
                <w:rFonts w:eastAsia="Calibri"/>
              </w:rPr>
              <w:t>0.09</w:t>
            </w:r>
            <w:r w:rsidR="00A76DD0">
              <w:rPr>
                <w:rFonts w:eastAsia="Calibri"/>
              </w:rPr>
              <w:t>0</w:t>
            </w:r>
          </w:p>
        </w:tc>
        <w:tc>
          <w:tcPr>
            <w:tcW w:w="555" w:type="pct"/>
            <w:tcMar>
              <w:left w:w="57" w:type="dxa"/>
              <w:right w:w="57" w:type="dxa"/>
            </w:tcMar>
          </w:tcPr>
          <w:p w14:paraId="1E32EBA5" w14:textId="37A6840C" w:rsidR="00961F1E" w:rsidRDefault="000A6F99" w:rsidP="00674CF6">
            <w:pPr>
              <w:pStyle w:val="TableText0"/>
              <w:keepNext/>
              <w:jc w:val="center"/>
              <w:rPr>
                <w:rFonts w:eastAsia="Calibri"/>
              </w:rPr>
            </w:pPr>
            <w:r>
              <w:rPr>
                <w:rFonts w:eastAsia="Calibri"/>
              </w:rPr>
              <w:t>0.00692</w:t>
            </w:r>
          </w:p>
        </w:tc>
      </w:tr>
      <w:tr w:rsidR="003B2D12" w14:paraId="2F49F5BA" w14:textId="77777777" w:rsidTr="00C21DB1">
        <w:tc>
          <w:tcPr>
            <w:tcW w:w="469" w:type="pct"/>
            <w:tcMar>
              <w:left w:w="57" w:type="dxa"/>
              <w:right w:w="57" w:type="dxa"/>
            </w:tcMar>
          </w:tcPr>
          <w:p w14:paraId="2B3435D3" w14:textId="0C3BE6F4" w:rsidR="00961F1E" w:rsidRDefault="00497C6F" w:rsidP="00674CF6">
            <w:pPr>
              <w:pStyle w:val="TableText0"/>
              <w:keepNext/>
              <w:rPr>
                <w:rFonts w:eastAsia="Calibri"/>
              </w:rPr>
            </w:pPr>
            <w:r>
              <w:rPr>
                <w:rFonts w:eastAsia="Calibri"/>
              </w:rPr>
              <w:t>Week 12</w:t>
            </w:r>
          </w:p>
        </w:tc>
        <w:tc>
          <w:tcPr>
            <w:tcW w:w="640" w:type="pct"/>
            <w:tcMar>
              <w:left w:w="57" w:type="dxa"/>
              <w:right w:w="57" w:type="dxa"/>
            </w:tcMar>
          </w:tcPr>
          <w:p w14:paraId="0D01B23A" w14:textId="3F6135E5" w:rsidR="00961F1E" w:rsidRDefault="00285E91" w:rsidP="00674CF6">
            <w:pPr>
              <w:pStyle w:val="TableText0"/>
              <w:keepNext/>
              <w:jc w:val="center"/>
              <w:rPr>
                <w:rFonts w:eastAsia="Calibri"/>
              </w:rPr>
            </w:pPr>
            <w:r>
              <w:rPr>
                <w:rFonts w:eastAsia="Calibri"/>
              </w:rPr>
              <w:t>0.171</w:t>
            </w:r>
          </w:p>
        </w:tc>
        <w:tc>
          <w:tcPr>
            <w:tcW w:w="506" w:type="pct"/>
            <w:gridSpan w:val="2"/>
            <w:tcMar>
              <w:left w:w="57" w:type="dxa"/>
              <w:right w:w="57" w:type="dxa"/>
            </w:tcMar>
          </w:tcPr>
          <w:p w14:paraId="151F14FE" w14:textId="08E36D6F" w:rsidR="00961F1E" w:rsidRDefault="00285E91" w:rsidP="00674CF6">
            <w:pPr>
              <w:pStyle w:val="TableText0"/>
              <w:keepNext/>
              <w:jc w:val="center"/>
              <w:rPr>
                <w:rFonts w:eastAsia="Calibri"/>
              </w:rPr>
            </w:pPr>
            <w:r>
              <w:rPr>
                <w:rFonts w:eastAsia="Calibri"/>
              </w:rPr>
              <w:t>0.078</w:t>
            </w:r>
          </w:p>
        </w:tc>
        <w:tc>
          <w:tcPr>
            <w:tcW w:w="564" w:type="pct"/>
            <w:tcMar>
              <w:left w:w="57" w:type="dxa"/>
              <w:right w:w="57" w:type="dxa"/>
            </w:tcMar>
          </w:tcPr>
          <w:p w14:paraId="64751768" w14:textId="21F5AEF6" w:rsidR="00961F1E" w:rsidRDefault="00285E91" w:rsidP="00674CF6">
            <w:pPr>
              <w:pStyle w:val="TableText0"/>
              <w:keepNext/>
              <w:jc w:val="center"/>
              <w:rPr>
                <w:rFonts w:eastAsia="Calibri"/>
              </w:rPr>
            </w:pPr>
            <w:r>
              <w:rPr>
                <w:rFonts w:eastAsia="Calibri"/>
              </w:rPr>
              <w:t>0.</w:t>
            </w:r>
            <w:r w:rsidR="00B958C0">
              <w:rPr>
                <w:rFonts w:eastAsia="Calibri"/>
              </w:rPr>
              <w:t>093</w:t>
            </w:r>
          </w:p>
        </w:tc>
        <w:tc>
          <w:tcPr>
            <w:tcW w:w="555" w:type="pct"/>
            <w:tcMar>
              <w:left w:w="57" w:type="dxa"/>
              <w:right w:w="57" w:type="dxa"/>
            </w:tcMar>
          </w:tcPr>
          <w:p w14:paraId="7B0FE764" w14:textId="1064A2D1" w:rsidR="00961F1E" w:rsidRDefault="00117279" w:rsidP="00674CF6">
            <w:pPr>
              <w:pStyle w:val="TableText0"/>
              <w:keepNext/>
              <w:jc w:val="center"/>
              <w:rPr>
                <w:rFonts w:eastAsia="Calibri"/>
              </w:rPr>
            </w:pPr>
            <w:r>
              <w:rPr>
                <w:rFonts w:eastAsia="Calibri"/>
              </w:rPr>
              <w:t>0.00715</w:t>
            </w:r>
          </w:p>
        </w:tc>
        <w:tc>
          <w:tcPr>
            <w:tcW w:w="640" w:type="pct"/>
            <w:tcMar>
              <w:left w:w="57" w:type="dxa"/>
              <w:right w:w="57" w:type="dxa"/>
            </w:tcMar>
          </w:tcPr>
          <w:p w14:paraId="2C2CD5C6" w14:textId="4E08CADD" w:rsidR="00961F1E" w:rsidRDefault="00550160" w:rsidP="00674CF6">
            <w:pPr>
              <w:pStyle w:val="TableText0"/>
              <w:keepNext/>
              <w:jc w:val="center"/>
              <w:rPr>
                <w:rFonts w:eastAsia="Calibri"/>
              </w:rPr>
            </w:pPr>
            <w:r>
              <w:rPr>
                <w:rFonts w:eastAsia="Calibri"/>
              </w:rPr>
              <w:t>0.151</w:t>
            </w:r>
          </w:p>
        </w:tc>
        <w:tc>
          <w:tcPr>
            <w:tcW w:w="506" w:type="pct"/>
            <w:tcMar>
              <w:left w:w="57" w:type="dxa"/>
              <w:right w:w="57" w:type="dxa"/>
            </w:tcMar>
          </w:tcPr>
          <w:p w14:paraId="4F11DCE1" w14:textId="68C929EE" w:rsidR="00961F1E" w:rsidRDefault="00550160" w:rsidP="00674CF6">
            <w:pPr>
              <w:pStyle w:val="TableText0"/>
              <w:keepNext/>
              <w:jc w:val="center"/>
              <w:rPr>
                <w:rFonts w:eastAsia="Calibri"/>
              </w:rPr>
            </w:pPr>
            <w:r>
              <w:rPr>
                <w:rFonts w:eastAsia="Calibri"/>
              </w:rPr>
              <w:t>0.044</w:t>
            </w:r>
          </w:p>
        </w:tc>
        <w:tc>
          <w:tcPr>
            <w:tcW w:w="564" w:type="pct"/>
            <w:tcMar>
              <w:left w:w="57" w:type="dxa"/>
              <w:right w:w="57" w:type="dxa"/>
            </w:tcMar>
          </w:tcPr>
          <w:p w14:paraId="7B53764E" w14:textId="6F067AA2" w:rsidR="00961F1E" w:rsidRDefault="009F4E09" w:rsidP="00674CF6">
            <w:pPr>
              <w:pStyle w:val="TableText0"/>
              <w:keepNext/>
              <w:jc w:val="center"/>
              <w:rPr>
                <w:rFonts w:eastAsia="Calibri"/>
              </w:rPr>
            </w:pPr>
            <w:r>
              <w:rPr>
                <w:rFonts w:eastAsia="Calibri"/>
              </w:rPr>
              <w:t>0.107</w:t>
            </w:r>
          </w:p>
        </w:tc>
        <w:tc>
          <w:tcPr>
            <w:tcW w:w="555" w:type="pct"/>
            <w:tcMar>
              <w:left w:w="57" w:type="dxa"/>
              <w:right w:w="57" w:type="dxa"/>
            </w:tcMar>
          </w:tcPr>
          <w:p w14:paraId="4BEE94FB" w14:textId="708B8530" w:rsidR="00961F1E" w:rsidRDefault="000A6F99" w:rsidP="00674CF6">
            <w:pPr>
              <w:pStyle w:val="TableText0"/>
              <w:keepNext/>
              <w:jc w:val="center"/>
              <w:rPr>
                <w:rFonts w:eastAsia="Calibri"/>
              </w:rPr>
            </w:pPr>
            <w:r>
              <w:rPr>
                <w:rFonts w:eastAsia="Calibri"/>
              </w:rPr>
              <w:t>0.00823</w:t>
            </w:r>
          </w:p>
        </w:tc>
      </w:tr>
      <w:tr w:rsidR="003B2D12" w14:paraId="30127F3E" w14:textId="77777777" w:rsidTr="00C21DB1">
        <w:tc>
          <w:tcPr>
            <w:tcW w:w="469" w:type="pct"/>
            <w:tcMar>
              <w:left w:w="57" w:type="dxa"/>
              <w:right w:w="57" w:type="dxa"/>
            </w:tcMar>
          </w:tcPr>
          <w:p w14:paraId="29FECBB2" w14:textId="51FEF76B" w:rsidR="00961F1E" w:rsidRDefault="00497C6F" w:rsidP="00674CF6">
            <w:pPr>
              <w:pStyle w:val="TableText0"/>
              <w:keepNext/>
              <w:rPr>
                <w:rFonts w:eastAsia="Calibri"/>
              </w:rPr>
            </w:pPr>
            <w:r>
              <w:rPr>
                <w:rFonts w:eastAsia="Calibri"/>
              </w:rPr>
              <w:t>Week 16</w:t>
            </w:r>
          </w:p>
        </w:tc>
        <w:tc>
          <w:tcPr>
            <w:tcW w:w="640" w:type="pct"/>
            <w:tcMar>
              <w:left w:w="57" w:type="dxa"/>
              <w:right w:w="57" w:type="dxa"/>
            </w:tcMar>
          </w:tcPr>
          <w:p w14:paraId="2ED92FA0" w14:textId="6005BBA9" w:rsidR="00961F1E" w:rsidRDefault="00285E91" w:rsidP="00674CF6">
            <w:pPr>
              <w:pStyle w:val="TableText0"/>
              <w:keepNext/>
              <w:jc w:val="center"/>
              <w:rPr>
                <w:rFonts w:eastAsia="Calibri"/>
              </w:rPr>
            </w:pPr>
            <w:r>
              <w:rPr>
                <w:rFonts w:eastAsia="Calibri"/>
              </w:rPr>
              <w:t>0.176</w:t>
            </w:r>
          </w:p>
        </w:tc>
        <w:tc>
          <w:tcPr>
            <w:tcW w:w="506" w:type="pct"/>
            <w:gridSpan w:val="2"/>
            <w:tcMar>
              <w:left w:w="57" w:type="dxa"/>
              <w:right w:w="57" w:type="dxa"/>
            </w:tcMar>
          </w:tcPr>
          <w:p w14:paraId="5D04DD4C" w14:textId="2585C9E4" w:rsidR="00961F1E" w:rsidRDefault="00285E91" w:rsidP="00674CF6">
            <w:pPr>
              <w:pStyle w:val="TableText0"/>
              <w:keepNext/>
              <w:jc w:val="center"/>
              <w:rPr>
                <w:rFonts w:eastAsia="Calibri"/>
              </w:rPr>
            </w:pPr>
            <w:r>
              <w:rPr>
                <w:rFonts w:eastAsia="Calibri"/>
              </w:rPr>
              <w:t>0.073</w:t>
            </w:r>
          </w:p>
        </w:tc>
        <w:tc>
          <w:tcPr>
            <w:tcW w:w="564" w:type="pct"/>
            <w:tcMar>
              <w:left w:w="57" w:type="dxa"/>
              <w:right w:w="57" w:type="dxa"/>
            </w:tcMar>
          </w:tcPr>
          <w:p w14:paraId="1EAA9416" w14:textId="61910D13" w:rsidR="00961F1E" w:rsidRDefault="00B958C0" w:rsidP="00674CF6">
            <w:pPr>
              <w:pStyle w:val="TableText0"/>
              <w:keepNext/>
              <w:jc w:val="center"/>
              <w:rPr>
                <w:rFonts w:eastAsia="Calibri"/>
              </w:rPr>
            </w:pPr>
            <w:r>
              <w:rPr>
                <w:rFonts w:eastAsia="Calibri"/>
              </w:rPr>
              <w:t>0.103</w:t>
            </w:r>
          </w:p>
        </w:tc>
        <w:tc>
          <w:tcPr>
            <w:tcW w:w="555" w:type="pct"/>
            <w:tcMar>
              <w:left w:w="57" w:type="dxa"/>
              <w:right w:w="57" w:type="dxa"/>
            </w:tcMar>
          </w:tcPr>
          <w:p w14:paraId="10FFE3EA" w14:textId="6A617381" w:rsidR="00961F1E" w:rsidRDefault="00117279" w:rsidP="00674CF6">
            <w:pPr>
              <w:pStyle w:val="TableText0"/>
              <w:keepNext/>
              <w:jc w:val="center"/>
              <w:rPr>
                <w:rFonts w:eastAsia="Calibri"/>
              </w:rPr>
            </w:pPr>
            <w:r>
              <w:rPr>
                <w:rFonts w:eastAsia="Calibri"/>
              </w:rPr>
              <w:t>0.00792</w:t>
            </w:r>
          </w:p>
        </w:tc>
        <w:tc>
          <w:tcPr>
            <w:tcW w:w="640" w:type="pct"/>
            <w:tcMar>
              <w:left w:w="57" w:type="dxa"/>
              <w:right w:w="57" w:type="dxa"/>
            </w:tcMar>
          </w:tcPr>
          <w:p w14:paraId="43D74C45" w14:textId="5FD55F7A" w:rsidR="00961F1E" w:rsidRDefault="00550160" w:rsidP="00674CF6">
            <w:pPr>
              <w:pStyle w:val="TableText0"/>
              <w:keepNext/>
              <w:jc w:val="center"/>
              <w:rPr>
                <w:rFonts w:eastAsia="Calibri"/>
              </w:rPr>
            </w:pPr>
            <w:r>
              <w:rPr>
                <w:rFonts w:eastAsia="Calibri"/>
              </w:rPr>
              <w:t>0.157</w:t>
            </w:r>
          </w:p>
        </w:tc>
        <w:tc>
          <w:tcPr>
            <w:tcW w:w="506" w:type="pct"/>
            <w:tcMar>
              <w:left w:w="57" w:type="dxa"/>
              <w:right w:w="57" w:type="dxa"/>
            </w:tcMar>
          </w:tcPr>
          <w:p w14:paraId="3595B8C0" w14:textId="06E9631B" w:rsidR="00961F1E" w:rsidRDefault="00550160" w:rsidP="00674CF6">
            <w:pPr>
              <w:pStyle w:val="TableText0"/>
              <w:keepNext/>
              <w:jc w:val="center"/>
              <w:rPr>
                <w:rFonts w:eastAsia="Calibri"/>
              </w:rPr>
            </w:pPr>
            <w:r>
              <w:rPr>
                <w:rFonts w:eastAsia="Calibri"/>
              </w:rPr>
              <w:t>0.049</w:t>
            </w:r>
          </w:p>
        </w:tc>
        <w:tc>
          <w:tcPr>
            <w:tcW w:w="564" w:type="pct"/>
            <w:tcMar>
              <w:left w:w="57" w:type="dxa"/>
              <w:right w:w="57" w:type="dxa"/>
            </w:tcMar>
          </w:tcPr>
          <w:p w14:paraId="4BDD74BE" w14:textId="0AC00000" w:rsidR="00961F1E" w:rsidRDefault="009F4E09" w:rsidP="00674CF6">
            <w:pPr>
              <w:pStyle w:val="TableText0"/>
              <w:keepNext/>
              <w:jc w:val="center"/>
              <w:rPr>
                <w:rFonts w:eastAsia="Calibri"/>
              </w:rPr>
            </w:pPr>
            <w:r>
              <w:rPr>
                <w:rFonts w:eastAsia="Calibri"/>
              </w:rPr>
              <w:t>0.108</w:t>
            </w:r>
          </w:p>
        </w:tc>
        <w:tc>
          <w:tcPr>
            <w:tcW w:w="555" w:type="pct"/>
            <w:tcMar>
              <w:left w:w="57" w:type="dxa"/>
              <w:right w:w="57" w:type="dxa"/>
            </w:tcMar>
          </w:tcPr>
          <w:p w14:paraId="09D47272" w14:textId="4C52CABF" w:rsidR="00961F1E" w:rsidRDefault="000A6F99" w:rsidP="00674CF6">
            <w:pPr>
              <w:pStyle w:val="TableText0"/>
              <w:keepNext/>
              <w:jc w:val="center"/>
              <w:rPr>
                <w:rFonts w:eastAsia="Calibri"/>
              </w:rPr>
            </w:pPr>
            <w:r>
              <w:rPr>
                <w:rFonts w:eastAsia="Calibri"/>
              </w:rPr>
              <w:t>0.00831</w:t>
            </w:r>
          </w:p>
        </w:tc>
      </w:tr>
      <w:tr w:rsidR="00E90C91" w14:paraId="5B97399B" w14:textId="77777777" w:rsidTr="00C21DB1">
        <w:tc>
          <w:tcPr>
            <w:tcW w:w="2180" w:type="pct"/>
            <w:gridSpan w:val="5"/>
            <w:tcMar>
              <w:left w:w="57" w:type="dxa"/>
              <w:right w:w="57" w:type="dxa"/>
            </w:tcMar>
          </w:tcPr>
          <w:p w14:paraId="35FFBFFE" w14:textId="606B59A7" w:rsidR="00E90C91" w:rsidRDefault="00E90C91" w:rsidP="00674CF6">
            <w:pPr>
              <w:pStyle w:val="TableText0"/>
              <w:keepNext/>
              <w:rPr>
                <w:rFonts w:eastAsia="Calibri"/>
              </w:rPr>
            </w:pPr>
            <w:r>
              <w:rPr>
                <w:rFonts w:eastAsia="Calibri"/>
              </w:rPr>
              <w:t>Total per 16 weeks</w:t>
            </w:r>
          </w:p>
        </w:tc>
        <w:tc>
          <w:tcPr>
            <w:tcW w:w="555" w:type="pct"/>
            <w:tcMar>
              <w:left w:w="57" w:type="dxa"/>
              <w:right w:w="57" w:type="dxa"/>
            </w:tcMar>
          </w:tcPr>
          <w:p w14:paraId="2F75549B" w14:textId="281F8F37" w:rsidR="00E90C91" w:rsidRDefault="00117279" w:rsidP="00674CF6">
            <w:pPr>
              <w:pStyle w:val="TableText0"/>
              <w:keepNext/>
              <w:jc w:val="center"/>
              <w:rPr>
                <w:rFonts w:eastAsia="Calibri"/>
              </w:rPr>
            </w:pPr>
            <w:r>
              <w:rPr>
                <w:rFonts w:eastAsia="Calibri"/>
              </w:rPr>
              <w:t>0.0275</w:t>
            </w:r>
            <w:r w:rsidR="00120324">
              <w:rPr>
                <w:rFonts w:eastAsia="Calibri"/>
              </w:rPr>
              <w:t>2</w:t>
            </w:r>
          </w:p>
        </w:tc>
        <w:tc>
          <w:tcPr>
            <w:tcW w:w="1711" w:type="pct"/>
            <w:gridSpan w:val="3"/>
            <w:tcMar>
              <w:left w:w="57" w:type="dxa"/>
              <w:right w:w="57" w:type="dxa"/>
            </w:tcMar>
          </w:tcPr>
          <w:p w14:paraId="1C6CB972" w14:textId="77777777" w:rsidR="00E90C91" w:rsidRDefault="00E90C91" w:rsidP="00674CF6">
            <w:pPr>
              <w:pStyle w:val="TableText0"/>
              <w:keepNext/>
              <w:jc w:val="center"/>
              <w:rPr>
                <w:rFonts w:eastAsia="Calibri"/>
              </w:rPr>
            </w:pPr>
          </w:p>
        </w:tc>
        <w:tc>
          <w:tcPr>
            <w:tcW w:w="555" w:type="pct"/>
            <w:tcMar>
              <w:left w:w="57" w:type="dxa"/>
              <w:right w:w="57" w:type="dxa"/>
            </w:tcMar>
          </w:tcPr>
          <w:p w14:paraId="12130F47" w14:textId="57BB0920" w:rsidR="00E90C91" w:rsidRDefault="000A6F99" w:rsidP="00674CF6">
            <w:pPr>
              <w:pStyle w:val="TableText0"/>
              <w:keepNext/>
              <w:jc w:val="center"/>
              <w:rPr>
                <w:rFonts w:eastAsia="Calibri"/>
              </w:rPr>
            </w:pPr>
            <w:r>
              <w:rPr>
                <w:rFonts w:eastAsia="Calibri"/>
              </w:rPr>
              <w:t>0.02781</w:t>
            </w:r>
          </w:p>
        </w:tc>
      </w:tr>
      <w:tr w:rsidR="00D5784A" w14:paraId="717F276E" w14:textId="77777777" w:rsidTr="00C21DB1">
        <w:trPr>
          <w:trHeight w:val="64"/>
        </w:trPr>
        <w:tc>
          <w:tcPr>
            <w:tcW w:w="1569" w:type="pct"/>
            <w:gridSpan w:val="3"/>
            <w:tcMar>
              <w:left w:w="57" w:type="dxa"/>
              <w:right w:w="57" w:type="dxa"/>
            </w:tcMar>
          </w:tcPr>
          <w:p w14:paraId="70F78519" w14:textId="0BE48827" w:rsidR="00D5784A" w:rsidRDefault="006D0205" w:rsidP="00674CF6">
            <w:pPr>
              <w:pStyle w:val="TableText0"/>
              <w:keepNext/>
              <w:rPr>
                <w:rFonts w:eastAsia="Calibri"/>
              </w:rPr>
            </w:pPr>
            <w:r>
              <w:rPr>
                <w:rFonts w:eastAsia="Calibri"/>
              </w:rPr>
              <w:t>Weighted</w:t>
            </w:r>
            <w:r w:rsidR="00D5784A">
              <w:rPr>
                <w:rFonts w:eastAsia="Calibri"/>
              </w:rPr>
              <w:t xml:space="preserve"> QALY gain </w:t>
            </w:r>
            <w:r w:rsidR="001B73F7">
              <w:rPr>
                <w:rFonts w:eastAsia="Calibri"/>
              </w:rPr>
              <w:t>over 16 weeks</w:t>
            </w:r>
          </w:p>
        </w:tc>
        <w:tc>
          <w:tcPr>
            <w:tcW w:w="3431" w:type="pct"/>
            <w:gridSpan w:val="7"/>
            <w:tcMar>
              <w:left w:w="57" w:type="dxa"/>
              <w:right w:w="57" w:type="dxa"/>
            </w:tcMar>
          </w:tcPr>
          <w:p w14:paraId="62F87A78" w14:textId="4812CB32" w:rsidR="00D5784A" w:rsidRDefault="001A40E0" w:rsidP="00674CF6">
            <w:pPr>
              <w:pStyle w:val="TableText0"/>
              <w:keepNext/>
              <w:jc w:val="center"/>
              <w:rPr>
                <w:rFonts w:eastAsia="Calibri"/>
              </w:rPr>
            </w:pPr>
            <w:r>
              <w:rPr>
                <w:rFonts w:eastAsia="Calibri"/>
              </w:rPr>
              <w:t>0.027</w:t>
            </w:r>
            <w:r w:rsidR="001C5644">
              <w:rPr>
                <w:rFonts w:eastAsia="Calibri"/>
              </w:rPr>
              <w:t>66</w:t>
            </w:r>
          </w:p>
        </w:tc>
      </w:tr>
    </w:tbl>
    <w:p w14:paraId="55B2A226" w14:textId="677B4CE7" w:rsidR="00151247" w:rsidRDefault="00151247" w:rsidP="00674CF6">
      <w:pPr>
        <w:pStyle w:val="TableFigureFooter"/>
        <w:keepNext/>
      </w:pPr>
      <w:r>
        <w:t xml:space="preserve">Source: </w:t>
      </w:r>
      <w:r w:rsidR="000847A3">
        <w:t xml:space="preserve">Table 2.7.2, p470 of the DELTA 1 CSR and </w:t>
      </w:r>
      <w:r>
        <w:t>Table 2.7.2</w:t>
      </w:r>
      <w:r w:rsidR="000847A3">
        <w:t>, p474 of the DELTA 2 CSR</w:t>
      </w:r>
    </w:p>
    <w:p w14:paraId="11648031" w14:textId="77777777" w:rsidR="00864045" w:rsidRDefault="0068485A" w:rsidP="00864045">
      <w:pPr>
        <w:pStyle w:val="3-BodyText"/>
        <w:rPr>
          <w:rStyle w:val="cf01"/>
          <w:rFonts w:asciiTheme="minorHAnsi" w:hAnsiTheme="minorHAnsi" w:cstheme="minorHAnsi"/>
          <w:sz w:val="24"/>
          <w:szCs w:val="24"/>
        </w:rPr>
      </w:pPr>
      <w:r>
        <w:t xml:space="preserve">Noting the differences between </w:t>
      </w:r>
      <w:r w:rsidR="005A4D2F">
        <w:t>patients</w:t>
      </w:r>
      <w:r w:rsidR="00A62E54">
        <w:t xml:space="preserve"> and the responses in the trials</w:t>
      </w:r>
      <w:r w:rsidR="005A4D2F">
        <w:t xml:space="preserve">, the PBAC considered that using a weighted QALY gain </w:t>
      </w:r>
      <w:r w:rsidR="0082211D">
        <w:t>would be reasonable.</w:t>
      </w:r>
      <w:r w:rsidR="00D00DB5">
        <w:t xml:space="preserve"> </w:t>
      </w:r>
      <w:r w:rsidR="00A62E54">
        <w:rPr>
          <w:rStyle w:val="cf01"/>
          <w:rFonts w:asciiTheme="minorHAnsi" w:hAnsiTheme="minorHAnsi" w:cstheme="minorHAnsi"/>
          <w:sz w:val="24"/>
          <w:szCs w:val="24"/>
        </w:rPr>
        <w:t>T</w:t>
      </w:r>
      <w:r w:rsidR="00822A34" w:rsidRPr="00822A34">
        <w:rPr>
          <w:rStyle w:val="cf01"/>
          <w:rFonts w:asciiTheme="minorHAnsi" w:hAnsiTheme="minorHAnsi" w:cstheme="minorHAnsi"/>
          <w:sz w:val="24"/>
          <w:szCs w:val="24"/>
        </w:rPr>
        <w:t xml:space="preserve">he PBAC noted </w:t>
      </w:r>
      <w:r w:rsidR="00A62E54">
        <w:rPr>
          <w:rStyle w:val="cf01"/>
          <w:rFonts w:asciiTheme="minorHAnsi" w:hAnsiTheme="minorHAnsi" w:cstheme="minorHAnsi"/>
          <w:sz w:val="24"/>
          <w:szCs w:val="24"/>
        </w:rPr>
        <w:t xml:space="preserve">that patients </w:t>
      </w:r>
      <w:r w:rsidR="00822A34" w:rsidRPr="00822A34">
        <w:rPr>
          <w:rStyle w:val="cf01"/>
          <w:rFonts w:asciiTheme="minorHAnsi" w:hAnsiTheme="minorHAnsi" w:cstheme="minorHAnsi"/>
          <w:sz w:val="24"/>
          <w:szCs w:val="24"/>
        </w:rPr>
        <w:t xml:space="preserve">in the DELTA 1 and DELTA 2 trials </w:t>
      </w:r>
      <w:r w:rsidR="00A62E54">
        <w:rPr>
          <w:rStyle w:val="cf01"/>
          <w:rFonts w:asciiTheme="minorHAnsi" w:hAnsiTheme="minorHAnsi" w:cstheme="minorHAnsi"/>
          <w:sz w:val="24"/>
          <w:szCs w:val="24"/>
        </w:rPr>
        <w:t>used</w:t>
      </w:r>
      <w:r w:rsidR="00822A34" w:rsidRPr="00822A34">
        <w:rPr>
          <w:rStyle w:val="cf01"/>
          <w:rFonts w:asciiTheme="minorHAnsi" w:hAnsiTheme="minorHAnsi" w:cstheme="minorHAnsi"/>
          <w:sz w:val="24"/>
          <w:szCs w:val="24"/>
        </w:rPr>
        <w:t xml:space="preserve"> a mean of 133 g and 120 g, respectively, </w:t>
      </w:r>
      <w:r w:rsidR="00822A34">
        <w:rPr>
          <w:rStyle w:val="cf01"/>
          <w:rFonts w:asciiTheme="minorHAnsi" w:hAnsiTheme="minorHAnsi" w:cstheme="minorHAnsi"/>
          <w:sz w:val="24"/>
          <w:szCs w:val="24"/>
        </w:rPr>
        <w:t xml:space="preserve">of delgocitinib </w:t>
      </w:r>
      <w:r w:rsidR="00A62E54">
        <w:rPr>
          <w:rStyle w:val="cf01"/>
          <w:rFonts w:asciiTheme="minorHAnsi" w:hAnsiTheme="minorHAnsi" w:cstheme="minorHAnsi"/>
          <w:sz w:val="24"/>
          <w:szCs w:val="24"/>
        </w:rPr>
        <w:t>over 16 weeks</w:t>
      </w:r>
      <w:r w:rsidR="00822A34">
        <w:rPr>
          <w:rStyle w:val="cf01"/>
          <w:rFonts w:asciiTheme="minorHAnsi" w:hAnsiTheme="minorHAnsi" w:cstheme="minorHAnsi"/>
          <w:sz w:val="24"/>
          <w:szCs w:val="24"/>
        </w:rPr>
        <w:t xml:space="preserve">, resulting in a weighted average of </w:t>
      </w:r>
      <w:r w:rsidR="00E70560">
        <w:rPr>
          <w:rStyle w:val="cf01"/>
          <w:rFonts w:asciiTheme="minorHAnsi" w:hAnsiTheme="minorHAnsi" w:cstheme="minorHAnsi"/>
          <w:sz w:val="24"/>
          <w:szCs w:val="24"/>
        </w:rPr>
        <w:t>126.6</w:t>
      </w:r>
      <w:r w:rsidR="00D821B0">
        <w:rPr>
          <w:rStyle w:val="cf01"/>
          <w:rFonts w:asciiTheme="minorHAnsi" w:hAnsiTheme="minorHAnsi" w:cstheme="minorHAnsi"/>
          <w:sz w:val="24"/>
          <w:szCs w:val="24"/>
        </w:rPr>
        <w:t xml:space="preserve"> g</w:t>
      </w:r>
      <w:r w:rsidR="001B7D68">
        <w:rPr>
          <w:rStyle w:val="cf01"/>
          <w:rFonts w:asciiTheme="minorHAnsi" w:hAnsiTheme="minorHAnsi" w:cstheme="minorHAnsi"/>
          <w:sz w:val="24"/>
          <w:szCs w:val="24"/>
        </w:rPr>
        <w:t>.</w:t>
      </w:r>
      <w:r w:rsidR="0075039A">
        <w:rPr>
          <w:rStyle w:val="cf01"/>
          <w:rFonts w:asciiTheme="minorHAnsi" w:hAnsiTheme="minorHAnsi" w:cstheme="minorHAnsi"/>
          <w:sz w:val="24"/>
          <w:szCs w:val="24"/>
        </w:rPr>
        <w:t xml:space="preserve"> </w:t>
      </w:r>
      <w:bookmarkStart w:id="89" w:name="_Ref214973945"/>
    </w:p>
    <w:p w14:paraId="0AE748DB" w14:textId="39AE7F6B" w:rsidR="000847A3" w:rsidRPr="00A62E54" w:rsidRDefault="000847A3" w:rsidP="000847A3">
      <w:pPr>
        <w:pStyle w:val="Caption"/>
        <w:rPr>
          <w:rStyle w:val="cf01"/>
          <w:rFonts w:asciiTheme="minorHAnsi" w:hAnsiTheme="minorHAnsi" w:cstheme="minorBidi"/>
          <w:sz w:val="24"/>
          <w:szCs w:val="22"/>
        </w:rPr>
      </w:pPr>
      <w:r>
        <w:t xml:space="preserve">Table </w:t>
      </w:r>
      <w:r>
        <w:fldChar w:fldCharType="begin"/>
      </w:r>
      <w:r>
        <w:instrText xml:space="preserve"> SEQ Table \* ARABIC </w:instrText>
      </w:r>
      <w:r>
        <w:fldChar w:fldCharType="separate"/>
      </w:r>
      <w:r w:rsidR="00AA53DD">
        <w:rPr>
          <w:noProof/>
        </w:rPr>
        <w:t>14</w:t>
      </w:r>
      <w:r>
        <w:rPr>
          <w:noProof/>
        </w:rPr>
        <w:fldChar w:fldCharType="end"/>
      </w:r>
      <w:bookmarkEnd w:id="89"/>
      <w:r>
        <w:t xml:space="preserve">: </w:t>
      </w:r>
      <w:r w:rsidR="0042029E">
        <w:t xml:space="preserve">Trial based economic analysis </w:t>
      </w:r>
      <w:r w:rsidR="00FB66DE">
        <w:t xml:space="preserve">based on </w:t>
      </w:r>
      <w:r w:rsidR="0075039A">
        <w:t>16 weeks of delgocitinib use</w:t>
      </w:r>
    </w:p>
    <w:tbl>
      <w:tblPr>
        <w:tblStyle w:val="TableGrid"/>
        <w:tblW w:w="5000" w:type="pct"/>
        <w:tblLook w:val="04A0" w:firstRow="1" w:lastRow="0" w:firstColumn="1" w:lastColumn="0" w:noHBand="0" w:noVBand="1"/>
        <w:tblCaption w:val="Table 14: Trial based economic analysis based on 16 weeks of delgocitinib use"/>
      </w:tblPr>
      <w:tblGrid>
        <w:gridCol w:w="2215"/>
        <w:gridCol w:w="1262"/>
        <w:gridCol w:w="1006"/>
        <w:gridCol w:w="1536"/>
        <w:gridCol w:w="1499"/>
        <w:gridCol w:w="1499"/>
      </w:tblGrid>
      <w:tr w:rsidR="007C7FD8" w:rsidRPr="000B0DF3" w14:paraId="5C236DEB" w14:textId="522C466B" w:rsidTr="00C21DB1">
        <w:tc>
          <w:tcPr>
            <w:tcW w:w="1228" w:type="pct"/>
          </w:tcPr>
          <w:p w14:paraId="16557A54" w14:textId="77777777" w:rsidR="007C7FD8" w:rsidRPr="000B0DF3" w:rsidRDefault="007C7FD8" w:rsidP="000B0DF3">
            <w:pPr>
              <w:pStyle w:val="TableText0"/>
              <w:rPr>
                <w:b/>
                <w:bCs w:val="0"/>
              </w:rPr>
            </w:pPr>
          </w:p>
        </w:tc>
        <w:tc>
          <w:tcPr>
            <w:tcW w:w="700" w:type="pct"/>
          </w:tcPr>
          <w:p w14:paraId="6842B5FD" w14:textId="59E722CB" w:rsidR="007C7FD8" w:rsidRPr="000B0DF3" w:rsidRDefault="000B0DF3" w:rsidP="00627B41">
            <w:pPr>
              <w:pStyle w:val="TableText0"/>
              <w:jc w:val="center"/>
              <w:rPr>
                <w:b/>
                <w:bCs w:val="0"/>
              </w:rPr>
            </w:pPr>
            <w:r>
              <w:rPr>
                <w:b/>
                <w:bCs w:val="0"/>
              </w:rPr>
              <w:t>Use of del</w:t>
            </w:r>
            <w:r w:rsidR="0075039A">
              <w:rPr>
                <w:b/>
                <w:bCs w:val="0"/>
              </w:rPr>
              <w:t>go</w:t>
            </w:r>
            <w:r>
              <w:rPr>
                <w:b/>
                <w:bCs w:val="0"/>
              </w:rPr>
              <w:t>citinib</w:t>
            </w:r>
          </w:p>
        </w:tc>
        <w:tc>
          <w:tcPr>
            <w:tcW w:w="558" w:type="pct"/>
          </w:tcPr>
          <w:p w14:paraId="624CA411" w14:textId="3A48A98B" w:rsidR="007C7FD8" w:rsidRPr="000B0DF3" w:rsidRDefault="007C7FD8" w:rsidP="00627B41">
            <w:pPr>
              <w:pStyle w:val="TableText0"/>
              <w:jc w:val="center"/>
              <w:rPr>
                <w:b/>
                <w:bCs w:val="0"/>
              </w:rPr>
            </w:pPr>
            <w:r w:rsidRPr="000B0DF3">
              <w:rPr>
                <w:b/>
                <w:bCs w:val="0"/>
              </w:rPr>
              <w:t>Cost per 60 g tube</w:t>
            </w:r>
          </w:p>
        </w:tc>
        <w:tc>
          <w:tcPr>
            <w:tcW w:w="852" w:type="pct"/>
          </w:tcPr>
          <w:p w14:paraId="313F155D" w14:textId="45B33CC9" w:rsidR="007C7FD8" w:rsidRPr="000B0DF3" w:rsidRDefault="007C7FD8" w:rsidP="00627B41">
            <w:pPr>
              <w:pStyle w:val="TableText0"/>
              <w:jc w:val="center"/>
              <w:rPr>
                <w:b/>
                <w:bCs w:val="0"/>
              </w:rPr>
            </w:pPr>
            <w:r w:rsidRPr="000B0DF3">
              <w:rPr>
                <w:b/>
                <w:bCs w:val="0"/>
              </w:rPr>
              <w:t>Total cost over 16 weeks</w:t>
            </w:r>
          </w:p>
        </w:tc>
        <w:tc>
          <w:tcPr>
            <w:tcW w:w="831" w:type="pct"/>
          </w:tcPr>
          <w:p w14:paraId="7D467555" w14:textId="112634D5" w:rsidR="007C7FD8" w:rsidRPr="000B0DF3" w:rsidRDefault="001B73F7" w:rsidP="00627B41">
            <w:pPr>
              <w:pStyle w:val="TableText0"/>
              <w:jc w:val="center"/>
              <w:rPr>
                <w:b/>
                <w:bCs w:val="0"/>
              </w:rPr>
            </w:pPr>
            <w:r>
              <w:rPr>
                <w:b/>
                <w:bCs w:val="0"/>
              </w:rPr>
              <w:t xml:space="preserve">QALY </w:t>
            </w:r>
            <w:r w:rsidR="00613049" w:rsidRPr="000B0DF3">
              <w:rPr>
                <w:b/>
                <w:bCs w:val="0"/>
              </w:rPr>
              <w:t>gain</w:t>
            </w:r>
          </w:p>
        </w:tc>
        <w:tc>
          <w:tcPr>
            <w:tcW w:w="831" w:type="pct"/>
          </w:tcPr>
          <w:p w14:paraId="07964EC4" w14:textId="792D82E7" w:rsidR="007C7FD8" w:rsidRPr="000B0DF3" w:rsidRDefault="00C579EA" w:rsidP="00627B41">
            <w:pPr>
              <w:pStyle w:val="TableText0"/>
              <w:jc w:val="center"/>
              <w:rPr>
                <w:b/>
                <w:bCs w:val="0"/>
              </w:rPr>
            </w:pPr>
            <w:r w:rsidRPr="000B0DF3">
              <w:rPr>
                <w:b/>
                <w:bCs w:val="0"/>
              </w:rPr>
              <w:t>ICER</w:t>
            </w:r>
          </w:p>
        </w:tc>
      </w:tr>
      <w:tr w:rsidR="00E65F21" w14:paraId="36C6AB04" w14:textId="236CD9E3" w:rsidTr="00C21DB1">
        <w:tc>
          <w:tcPr>
            <w:tcW w:w="1228" w:type="pct"/>
          </w:tcPr>
          <w:p w14:paraId="563CC81B" w14:textId="4B1AD4B8" w:rsidR="00E65F21" w:rsidRDefault="00E65F21" w:rsidP="000B0DF3">
            <w:pPr>
              <w:pStyle w:val="TableText0"/>
            </w:pPr>
            <w:r>
              <w:t>No wastage</w:t>
            </w:r>
          </w:p>
        </w:tc>
        <w:tc>
          <w:tcPr>
            <w:tcW w:w="700" w:type="pct"/>
          </w:tcPr>
          <w:p w14:paraId="74D597AF" w14:textId="3BC50DD5" w:rsidR="00E65F21" w:rsidRDefault="00E65F21" w:rsidP="00627B41">
            <w:pPr>
              <w:pStyle w:val="TableText0"/>
              <w:jc w:val="center"/>
            </w:pPr>
            <w:r>
              <w:t>126.6 g</w:t>
            </w:r>
          </w:p>
        </w:tc>
        <w:tc>
          <w:tcPr>
            <w:tcW w:w="558" w:type="pct"/>
            <w:vMerge w:val="restart"/>
          </w:tcPr>
          <w:p w14:paraId="412919A6" w14:textId="2190C635" w:rsidR="00E65F21" w:rsidRDefault="00E65F21" w:rsidP="00627B41">
            <w:pPr>
              <w:pStyle w:val="TableText0"/>
              <w:jc w:val="center"/>
            </w:pPr>
            <w:r>
              <w:t>$</w:t>
            </w:r>
            <w:r w:rsidR="00D34C8E" w:rsidRPr="00D34C8E">
              <w:rPr>
                <w:highlight w:val="black"/>
              </w:rPr>
              <w:t>&amp;&amp;&amp;&amp;</w:t>
            </w:r>
          </w:p>
        </w:tc>
        <w:tc>
          <w:tcPr>
            <w:tcW w:w="852" w:type="pct"/>
          </w:tcPr>
          <w:p w14:paraId="60C9BF8F" w14:textId="4A1094C1" w:rsidR="00E65F21" w:rsidRDefault="00E65F21" w:rsidP="00627B41">
            <w:pPr>
              <w:pStyle w:val="TableText0"/>
              <w:jc w:val="center"/>
            </w:pPr>
            <w:r>
              <w:t>$</w:t>
            </w:r>
            <w:r w:rsidR="00D34C8E" w:rsidRPr="00D34C8E">
              <w:rPr>
                <w:highlight w:val="black"/>
              </w:rPr>
              <w:t>&amp;&amp;&amp;&amp;</w:t>
            </w:r>
          </w:p>
        </w:tc>
        <w:tc>
          <w:tcPr>
            <w:tcW w:w="831" w:type="pct"/>
            <w:vMerge w:val="restart"/>
          </w:tcPr>
          <w:p w14:paraId="0E22202D" w14:textId="3C9DBC3F" w:rsidR="00E65F21" w:rsidRDefault="00E65F21" w:rsidP="00627B41">
            <w:pPr>
              <w:pStyle w:val="TableText0"/>
              <w:jc w:val="center"/>
            </w:pPr>
            <w:r w:rsidRPr="005556C3">
              <w:t>0.02766</w:t>
            </w:r>
          </w:p>
        </w:tc>
        <w:tc>
          <w:tcPr>
            <w:tcW w:w="831" w:type="pct"/>
          </w:tcPr>
          <w:p w14:paraId="21EF8DB1" w14:textId="79277E1C" w:rsidR="00E65F21" w:rsidRPr="00C64C06" w:rsidRDefault="00E65F21" w:rsidP="00627B41">
            <w:pPr>
              <w:pStyle w:val="TableText0"/>
              <w:jc w:val="center"/>
              <w:rPr>
                <w:vertAlign w:val="superscript"/>
              </w:rPr>
            </w:pPr>
            <w:r>
              <w:t>$</w:t>
            </w:r>
            <w:r w:rsidR="00D34C8E" w:rsidRPr="00D34C8E">
              <w:rPr>
                <w:highlight w:val="black"/>
              </w:rPr>
              <w:t>&amp;&amp;&amp;&amp;</w:t>
            </w:r>
            <w:r w:rsidR="00C64C06">
              <w:rPr>
                <w:vertAlign w:val="superscript"/>
              </w:rPr>
              <w:t>1</w:t>
            </w:r>
          </w:p>
        </w:tc>
      </w:tr>
      <w:tr w:rsidR="00E65F21" w14:paraId="313332BC" w14:textId="3D956669" w:rsidTr="00C21DB1">
        <w:tc>
          <w:tcPr>
            <w:tcW w:w="1228" w:type="pct"/>
          </w:tcPr>
          <w:p w14:paraId="7E9B78AA" w14:textId="4C80260E" w:rsidR="00E65F21" w:rsidRDefault="00E65F21" w:rsidP="000B0DF3">
            <w:pPr>
              <w:pStyle w:val="TableText0"/>
            </w:pPr>
            <w:r>
              <w:t>+ 25% wastage</w:t>
            </w:r>
          </w:p>
        </w:tc>
        <w:tc>
          <w:tcPr>
            <w:tcW w:w="700" w:type="pct"/>
          </w:tcPr>
          <w:p w14:paraId="2D710526" w14:textId="73C416CF" w:rsidR="00E65F21" w:rsidRDefault="00E65F21" w:rsidP="00627B41">
            <w:pPr>
              <w:pStyle w:val="TableText0"/>
              <w:jc w:val="center"/>
            </w:pPr>
            <w:r>
              <w:t>158.2 g</w:t>
            </w:r>
          </w:p>
        </w:tc>
        <w:tc>
          <w:tcPr>
            <w:tcW w:w="558" w:type="pct"/>
            <w:vMerge/>
          </w:tcPr>
          <w:p w14:paraId="63DF5227" w14:textId="77777777" w:rsidR="00E65F21" w:rsidRDefault="00E65F21" w:rsidP="00627B41">
            <w:pPr>
              <w:pStyle w:val="TableText0"/>
              <w:jc w:val="center"/>
            </w:pPr>
          </w:p>
        </w:tc>
        <w:tc>
          <w:tcPr>
            <w:tcW w:w="852" w:type="pct"/>
          </w:tcPr>
          <w:p w14:paraId="095F89B9" w14:textId="7B1DFBBE" w:rsidR="00E65F21" w:rsidRDefault="00E65F21" w:rsidP="00627B41">
            <w:pPr>
              <w:pStyle w:val="TableText0"/>
              <w:jc w:val="center"/>
            </w:pPr>
            <w:r>
              <w:t>$</w:t>
            </w:r>
            <w:r w:rsidR="00D34C8E" w:rsidRPr="00D34C8E">
              <w:rPr>
                <w:highlight w:val="black"/>
              </w:rPr>
              <w:t>&amp;&amp;&amp;&amp;</w:t>
            </w:r>
          </w:p>
        </w:tc>
        <w:tc>
          <w:tcPr>
            <w:tcW w:w="831" w:type="pct"/>
            <w:vMerge/>
          </w:tcPr>
          <w:p w14:paraId="12055D55" w14:textId="77777777" w:rsidR="00E65F21" w:rsidRDefault="00E65F21" w:rsidP="00627B41">
            <w:pPr>
              <w:pStyle w:val="TableText0"/>
              <w:jc w:val="center"/>
            </w:pPr>
          </w:p>
        </w:tc>
        <w:tc>
          <w:tcPr>
            <w:tcW w:w="831" w:type="pct"/>
          </w:tcPr>
          <w:p w14:paraId="2786A004" w14:textId="484FA6BA" w:rsidR="00E65F21" w:rsidRPr="0039186C" w:rsidRDefault="00E65F21" w:rsidP="00627B41">
            <w:pPr>
              <w:pStyle w:val="TableText0"/>
              <w:jc w:val="center"/>
              <w:rPr>
                <w:vertAlign w:val="superscript"/>
              </w:rPr>
            </w:pPr>
            <w:r>
              <w:t>$</w:t>
            </w:r>
            <w:r w:rsidR="00D34C8E" w:rsidRPr="00D34C8E">
              <w:rPr>
                <w:highlight w:val="black"/>
              </w:rPr>
              <w:t>&amp;&amp;&amp;&amp;</w:t>
            </w:r>
            <w:r w:rsidR="0039186C">
              <w:rPr>
                <w:vertAlign w:val="superscript"/>
              </w:rPr>
              <w:t>2</w:t>
            </w:r>
          </w:p>
        </w:tc>
      </w:tr>
      <w:tr w:rsidR="00E65F21" w14:paraId="44B5C118" w14:textId="77777777" w:rsidTr="00C21DB1">
        <w:tc>
          <w:tcPr>
            <w:tcW w:w="1228" w:type="pct"/>
          </w:tcPr>
          <w:p w14:paraId="6D50C98A" w14:textId="1ECE001C" w:rsidR="00E65F21" w:rsidRDefault="00E65F21" w:rsidP="000B0DF3">
            <w:pPr>
              <w:pStyle w:val="TableText0"/>
            </w:pPr>
            <w:r>
              <w:t>+ 33% wastage</w:t>
            </w:r>
          </w:p>
        </w:tc>
        <w:tc>
          <w:tcPr>
            <w:tcW w:w="700" w:type="pct"/>
          </w:tcPr>
          <w:p w14:paraId="4F50AB3E" w14:textId="012D2B94" w:rsidR="00E65F21" w:rsidRDefault="00E65F21" w:rsidP="00627B41">
            <w:pPr>
              <w:pStyle w:val="TableText0"/>
              <w:jc w:val="center"/>
            </w:pPr>
            <w:r>
              <w:t>168.3 g</w:t>
            </w:r>
          </w:p>
        </w:tc>
        <w:tc>
          <w:tcPr>
            <w:tcW w:w="558" w:type="pct"/>
            <w:vMerge/>
          </w:tcPr>
          <w:p w14:paraId="64C649F4" w14:textId="77777777" w:rsidR="00E65F21" w:rsidRDefault="00E65F21" w:rsidP="00627B41">
            <w:pPr>
              <w:pStyle w:val="TableText0"/>
              <w:jc w:val="center"/>
            </w:pPr>
          </w:p>
        </w:tc>
        <w:tc>
          <w:tcPr>
            <w:tcW w:w="852" w:type="pct"/>
          </w:tcPr>
          <w:p w14:paraId="26100D14" w14:textId="32BC0D68" w:rsidR="00E65F21" w:rsidRDefault="00E65F21" w:rsidP="00627B41">
            <w:pPr>
              <w:pStyle w:val="TableText0"/>
              <w:jc w:val="center"/>
            </w:pPr>
            <w:r>
              <w:t>$</w:t>
            </w:r>
            <w:r w:rsidR="00D34C8E" w:rsidRPr="00D34C8E">
              <w:rPr>
                <w:highlight w:val="black"/>
              </w:rPr>
              <w:t>&amp;&amp;&amp;&amp;</w:t>
            </w:r>
          </w:p>
        </w:tc>
        <w:tc>
          <w:tcPr>
            <w:tcW w:w="831" w:type="pct"/>
            <w:vMerge/>
          </w:tcPr>
          <w:p w14:paraId="50D28045" w14:textId="77777777" w:rsidR="00E65F21" w:rsidRDefault="00E65F21" w:rsidP="00627B41">
            <w:pPr>
              <w:pStyle w:val="TableText0"/>
              <w:jc w:val="center"/>
            </w:pPr>
          </w:p>
        </w:tc>
        <w:tc>
          <w:tcPr>
            <w:tcW w:w="831" w:type="pct"/>
          </w:tcPr>
          <w:p w14:paraId="368FC643" w14:textId="735B0E78" w:rsidR="00E65F21" w:rsidRPr="0039186C" w:rsidRDefault="00E65F21" w:rsidP="00627B41">
            <w:pPr>
              <w:pStyle w:val="TableText0"/>
              <w:jc w:val="center"/>
              <w:rPr>
                <w:vertAlign w:val="superscript"/>
              </w:rPr>
            </w:pPr>
            <w:r>
              <w:t>$</w:t>
            </w:r>
            <w:r w:rsidR="00D34C8E" w:rsidRPr="00D34C8E">
              <w:rPr>
                <w:highlight w:val="black"/>
              </w:rPr>
              <w:t>&amp;&amp;&amp;&amp;</w:t>
            </w:r>
            <w:r w:rsidR="0039186C">
              <w:rPr>
                <w:vertAlign w:val="superscript"/>
              </w:rPr>
              <w:t>2</w:t>
            </w:r>
          </w:p>
        </w:tc>
      </w:tr>
      <w:tr w:rsidR="00E65F21" w14:paraId="3B7D3EAD" w14:textId="77777777" w:rsidTr="00C21DB1">
        <w:tc>
          <w:tcPr>
            <w:tcW w:w="1228" w:type="pct"/>
          </w:tcPr>
          <w:p w14:paraId="1B218AAE" w14:textId="1D93E603" w:rsidR="00E65F21" w:rsidRDefault="00E65F21" w:rsidP="000B0DF3">
            <w:pPr>
              <w:pStyle w:val="TableText0"/>
            </w:pPr>
            <w:r>
              <w:t>+ 50% wastage</w:t>
            </w:r>
            <w:r w:rsidRPr="00E65F21">
              <w:rPr>
                <w:vertAlign w:val="superscript"/>
              </w:rPr>
              <w:t>a</w:t>
            </w:r>
          </w:p>
        </w:tc>
        <w:tc>
          <w:tcPr>
            <w:tcW w:w="700" w:type="pct"/>
          </w:tcPr>
          <w:p w14:paraId="70D1E90F" w14:textId="362819E1" w:rsidR="00E65F21" w:rsidRDefault="00E65F21" w:rsidP="00627B41">
            <w:pPr>
              <w:pStyle w:val="TableText0"/>
              <w:jc w:val="center"/>
            </w:pPr>
            <w:r>
              <w:t>189.9 g</w:t>
            </w:r>
          </w:p>
        </w:tc>
        <w:tc>
          <w:tcPr>
            <w:tcW w:w="558" w:type="pct"/>
            <w:vMerge/>
          </w:tcPr>
          <w:p w14:paraId="3FE6D8F7" w14:textId="77777777" w:rsidR="00E65F21" w:rsidRDefault="00E65F21" w:rsidP="00627B41">
            <w:pPr>
              <w:pStyle w:val="TableText0"/>
              <w:jc w:val="center"/>
            </w:pPr>
          </w:p>
        </w:tc>
        <w:tc>
          <w:tcPr>
            <w:tcW w:w="852" w:type="pct"/>
          </w:tcPr>
          <w:p w14:paraId="161E4098" w14:textId="0746FA92" w:rsidR="00E65F21" w:rsidRDefault="00E65F21" w:rsidP="00627B41">
            <w:pPr>
              <w:pStyle w:val="TableText0"/>
              <w:jc w:val="center"/>
            </w:pPr>
            <w:r>
              <w:t>$</w:t>
            </w:r>
            <w:r w:rsidR="00D34C8E" w:rsidRPr="00D34C8E">
              <w:rPr>
                <w:highlight w:val="black"/>
              </w:rPr>
              <w:t>&amp;&amp;&amp;&amp;</w:t>
            </w:r>
          </w:p>
        </w:tc>
        <w:tc>
          <w:tcPr>
            <w:tcW w:w="831" w:type="pct"/>
            <w:vMerge/>
          </w:tcPr>
          <w:p w14:paraId="21A0B7ED" w14:textId="77777777" w:rsidR="00E65F21" w:rsidRDefault="00E65F21" w:rsidP="00627B41">
            <w:pPr>
              <w:pStyle w:val="TableText0"/>
              <w:jc w:val="center"/>
            </w:pPr>
          </w:p>
        </w:tc>
        <w:tc>
          <w:tcPr>
            <w:tcW w:w="831" w:type="pct"/>
          </w:tcPr>
          <w:p w14:paraId="2DBCB51F" w14:textId="490778F2" w:rsidR="00E65F21" w:rsidRPr="0039186C" w:rsidRDefault="00E65F21" w:rsidP="00627B41">
            <w:pPr>
              <w:pStyle w:val="TableText0"/>
              <w:jc w:val="center"/>
              <w:rPr>
                <w:vertAlign w:val="superscript"/>
              </w:rPr>
            </w:pPr>
            <w:r>
              <w:t>$</w:t>
            </w:r>
            <w:r w:rsidR="00D34C8E" w:rsidRPr="00D34C8E">
              <w:rPr>
                <w:highlight w:val="black"/>
              </w:rPr>
              <w:t>&amp;&amp;&amp;&amp;</w:t>
            </w:r>
            <w:r w:rsidR="0039186C">
              <w:rPr>
                <w:vertAlign w:val="superscript"/>
              </w:rPr>
              <w:t>3</w:t>
            </w:r>
          </w:p>
        </w:tc>
      </w:tr>
    </w:tbl>
    <w:p w14:paraId="1D8E65F2" w14:textId="180A048E" w:rsidR="00A62E54" w:rsidRDefault="0075039A" w:rsidP="001B73F7">
      <w:pPr>
        <w:pStyle w:val="TableFigureFooter"/>
      </w:pPr>
      <w:r>
        <w:t>Source: Created during PBAC consideration</w:t>
      </w:r>
    </w:p>
    <w:p w14:paraId="0B90CB0C" w14:textId="70983BAB" w:rsidR="0082211D" w:rsidRDefault="0075039A" w:rsidP="00FB66DE">
      <w:pPr>
        <w:pStyle w:val="TableFigureFooter"/>
      </w:pPr>
      <w:r>
        <w:t>ICER = increm</w:t>
      </w:r>
      <w:r w:rsidR="001B73F7">
        <w:t>ental cost-effectiveness ratio; QALY = quality adjusted life year</w:t>
      </w:r>
    </w:p>
    <w:p w14:paraId="46CD70E1" w14:textId="77777777" w:rsidR="00C64C06" w:rsidRDefault="00E65F21" w:rsidP="00C64C06">
      <w:pPr>
        <w:pStyle w:val="TableFigureFooter"/>
        <w:rPr>
          <w:rFonts w:eastAsia="Calibri"/>
          <w:i/>
          <w:szCs w:val="20"/>
        </w:rPr>
      </w:pPr>
      <w:r w:rsidRPr="00E65F21">
        <w:rPr>
          <w:vertAlign w:val="superscript"/>
        </w:rPr>
        <w:t>a</w:t>
      </w:r>
      <w:r>
        <w:t xml:space="preserve"> Based on sensitivity analyses in the pre-PBAC response which included 50% wastage</w:t>
      </w:r>
      <w:r w:rsidR="00C64C06" w:rsidRPr="00C64C06">
        <w:rPr>
          <w:rFonts w:eastAsia="Calibri"/>
          <w:i/>
          <w:szCs w:val="20"/>
        </w:rPr>
        <w:t xml:space="preserve"> </w:t>
      </w:r>
    </w:p>
    <w:p w14:paraId="3BFCC39C" w14:textId="19CC1EFC" w:rsidR="00C64C06" w:rsidRPr="00C64C06" w:rsidRDefault="00C64C06" w:rsidP="00C64C06">
      <w:pPr>
        <w:pStyle w:val="TableFigureFooter"/>
        <w:rPr>
          <w:i/>
        </w:rPr>
      </w:pPr>
      <w:r w:rsidRPr="00C64C06">
        <w:rPr>
          <w:i/>
        </w:rPr>
        <w:t xml:space="preserve">The redacted values correspond to the following ranges: </w:t>
      </w:r>
    </w:p>
    <w:p w14:paraId="6AE90C6A" w14:textId="3AD8415D" w:rsidR="00C64C06" w:rsidRPr="00C64C06" w:rsidRDefault="00C64C06" w:rsidP="00C64C06">
      <w:pPr>
        <w:pStyle w:val="TableFigureFooter"/>
        <w:rPr>
          <w:i/>
        </w:rPr>
      </w:pPr>
      <w:r w:rsidRPr="00C64C06">
        <w:rPr>
          <w:i/>
          <w:vertAlign w:val="superscript"/>
        </w:rPr>
        <w:t>1</w:t>
      </w:r>
      <w:r w:rsidRPr="00C64C06">
        <w:rPr>
          <w:i/>
        </w:rPr>
        <w:t xml:space="preserve"> $55,000 to &lt; $75,000</w:t>
      </w:r>
    </w:p>
    <w:p w14:paraId="098E290F" w14:textId="745099D2" w:rsidR="00C64C06" w:rsidRPr="00C64C06" w:rsidRDefault="00C64C06" w:rsidP="00C64C06">
      <w:pPr>
        <w:pStyle w:val="TableFigureFooter"/>
        <w:rPr>
          <w:i/>
        </w:rPr>
      </w:pPr>
      <w:r w:rsidRPr="00C64C06">
        <w:rPr>
          <w:i/>
          <w:vertAlign w:val="superscript"/>
        </w:rPr>
        <w:t>2</w:t>
      </w:r>
      <w:r w:rsidRPr="00C64C06">
        <w:rPr>
          <w:i/>
        </w:rPr>
        <w:t xml:space="preserve"> </w:t>
      </w:r>
      <w:r w:rsidR="0039186C" w:rsidRPr="0039186C">
        <w:rPr>
          <w:i/>
        </w:rPr>
        <w:t>$75,000 to &lt; $95,000</w:t>
      </w:r>
    </w:p>
    <w:p w14:paraId="022FD68E" w14:textId="08D3D489" w:rsidR="00E65F21" w:rsidRPr="00E65F21" w:rsidRDefault="00C64C06" w:rsidP="00E65F21">
      <w:pPr>
        <w:pStyle w:val="TableFigureFooter"/>
      </w:pPr>
      <w:r w:rsidRPr="00C64C06">
        <w:rPr>
          <w:i/>
          <w:vertAlign w:val="superscript"/>
        </w:rPr>
        <w:t>3</w:t>
      </w:r>
      <w:r w:rsidRPr="00C64C06">
        <w:rPr>
          <w:i/>
        </w:rPr>
        <w:t xml:space="preserve"> $95,000 to &lt; $115,000</w:t>
      </w:r>
    </w:p>
    <w:p w14:paraId="4A860EBB" w14:textId="77777777" w:rsidR="00E7190F" w:rsidRPr="002E75D2" w:rsidRDefault="003418B2" w:rsidP="00E7190F">
      <w:pPr>
        <w:pStyle w:val="3-BodyText"/>
        <w:numPr>
          <w:ilvl w:val="0"/>
          <w:numId w:val="0"/>
        </w:numPr>
        <w:ind w:left="720" w:hanging="720"/>
        <w:rPr>
          <w:b/>
          <w:bCs/>
        </w:rPr>
      </w:pPr>
      <w:r w:rsidRPr="002E75D2">
        <w:rPr>
          <w:b/>
          <w:bCs/>
        </w:rPr>
        <w:t>Cost-minimisation approach</w:t>
      </w:r>
    </w:p>
    <w:p w14:paraId="02D9802A" w14:textId="0F871ABC" w:rsidR="00E7190F" w:rsidRPr="008F6ABE" w:rsidRDefault="00DC7D3C" w:rsidP="00E7190F">
      <w:pPr>
        <w:pStyle w:val="3-BodyText"/>
      </w:pPr>
      <w:r w:rsidRPr="008F6ABE">
        <w:t xml:space="preserve">The submission also presented a cost-minimisation approach </w:t>
      </w:r>
      <w:r w:rsidR="00130795" w:rsidRPr="008F6ABE">
        <w:t>vs</w:t>
      </w:r>
      <w:r w:rsidRPr="008F6ABE">
        <w:t xml:space="preserve"> dupilumab. </w:t>
      </w:r>
    </w:p>
    <w:p w14:paraId="4E39F108" w14:textId="3B33D380" w:rsidR="00584B4F" w:rsidRPr="008F6ABE" w:rsidRDefault="00584B4F" w:rsidP="00E7190F">
      <w:pPr>
        <w:pStyle w:val="3-BodyText"/>
      </w:pPr>
      <w:r w:rsidRPr="008F6ABE">
        <w:t>The</w:t>
      </w:r>
      <w:r w:rsidR="00AA0119" w:rsidRPr="008F6ABE">
        <w:t xml:space="preserve"> evaluation considered</w:t>
      </w:r>
      <w:r w:rsidR="00F7360A" w:rsidRPr="008F6ABE">
        <w:t xml:space="preserve"> a</w:t>
      </w:r>
      <w:r w:rsidRPr="008F6ABE">
        <w:t xml:space="preserve"> cost minimisation approach may not be reasonable as the claim of non-inferior efficacy between delgocitinib and dupilumab was uncertain and no claim regarding safety was presented.</w:t>
      </w:r>
      <w:r w:rsidR="00803E5D" w:rsidRPr="008F6ABE">
        <w:t xml:space="preserve"> The ESC</w:t>
      </w:r>
      <w:r w:rsidR="00BB3931">
        <w:t xml:space="preserve"> and PBAC</w:t>
      </w:r>
      <w:r w:rsidR="00803E5D" w:rsidRPr="008F6ABE">
        <w:t xml:space="preserve"> considered the CMA to dupilumab was not informative </w:t>
      </w:r>
      <w:r w:rsidR="009E0B2F" w:rsidRPr="008F6ABE">
        <w:t>for determining a cost effective price as</w:t>
      </w:r>
      <w:r w:rsidR="00F25C02">
        <w:t xml:space="preserve"> </w:t>
      </w:r>
      <w:r w:rsidR="00803E5D" w:rsidRPr="008F6ABE">
        <w:t xml:space="preserve">(i) it is unclear </w:t>
      </w:r>
      <w:r w:rsidR="006049C2" w:rsidRPr="008F6ABE">
        <w:t xml:space="preserve">whether </w:t>
      </w:r>
      <w:r w:rsidR="00803E5D" w:rsidRPr="008F6ABE">
        <w:t>dupilumab will be replaced in clinical practice, (ii) such a comparison is only relevant to the atopic subtype and (ii</w:t>
      </w:r>
      <w:r w:rsidR="00F75513" w:rsidRPr="008F6ABE">
        <w:t>i</w:t>
      </w:r>
      <w:r w:rsidR="00803E5D" w:rsidRPr="008F6ABE">
        <w:t>) there was substantial uncertainty in the clinical comparison that meant the clinical claim of non-inferior comparative effectiveness</w:t>
      </w:r>
      <w:r w:rsidR="009741FF" w:rsidRPr="008F6ABE">
        <w:t xml:space="preserve"> was not adequately supported.</w:t>
      </w:r>
      <w:r w:rsidR="00BB3931">
        <w:t xml:space="preserve"> Therefore, further detail on t</w:t>
      </w:r>
      <w:r w:rsidR="00782B0B">
        <w:t>he proposed CMA is not presented.</w:t>
      </w:r>
    </w:p>
    <w:p w14:paraId="2BA1A203" w14:textId="77777777" w:rsidR="00DC7D3C" w:rsidRPr="002E75D2" w:rsidRDefault="00DC7D3C" w:rsidP="00DC7D3C">
      <w:pPr>
        <w:pStyle w:val="4-SubsectionHeading"/>
      </w:pPr>
      <w:bookmarkStart w:id="90" w:name="_Toc22897646"/>
      <w:bookmarkStart w:id="91" w:name="_Toc202884180"/>
      <w:bookmarkStart w:id="92" w:name="_Toc208411853"/>
      <w:r w:rsidRPr="002E75D2">
        <w:t>Drug cost/patient/course</w:t>
      </w:r>
      <w:bookmarkEnd w:id="90"/>
      <w:bookmarkEnd w:id="91"/>
      <w:bookmarkEnd w:id="92"/>
    </w:p>
    <w:p w14:paraId="72D12760" w14:textId="770C83C1" w:rsidR="00DC7D3C" w:rsidRPr="002E75D2" w:rsidRDefault="00DC7D3C" w:rsidP="00DC7D3C">
      <w:pPr>
        <w:pStyle w:val="3-BodyText"/>
        <w:rPr>
          <w:i/>
          <w:iCs/>
          <w:color w:val="0066FF"/>
        </w:rPr>
      </w:pPr>
      <w:bookmarkStart w:id="93" w:name="_Ref104805102"/>
      <w:r w:rsidRPr="002E75D2">
        <w:rPr>
          <w:color w:val="000000" w:themeColor="text1"/>
        </w:rPr>
        <w:t xml:space="preserve">The drug cost per patient per course is given in </w:t>
      </w:r>
      <w:r w:rsidRPr="002E75D2">
        <w:rPr>
          <w:color w:val="000000" w:themeColor="text1"/>
        </w:rPr>
        <w:fldChar w:fldCharType="begin"/>
      </w:r>
      <w:r w:rsidRPr="002E75D2">
        <w:rPr>
          <w:color w:val="000000" w:themeColor="text1"/>
        </w:rPr>
        <w:instrText xml:space="preserve"> REF _Ref207375313 \h </w:instrText>
      </w:r>
      <w:r w:rsidRPr="002E75D2">
        <w:rPr>
          <w:color w:val="000000" w:themeColor="text1"/>
        </w:rPr>
      </w:r>
      <w:r w:rsidRPr="002E75D2">
        <w:rPr>
          <w:color w:val="000000" w:themeColor="text1"/>
        </w:rPr>
        <w:fldChar w:fldCharType="separate"/>
      </w:r>
      <w:r w:rsidR="00AA53DD" w:rsidRPr="002E75D2">
        <w:t xml:space="preserve">Table </w:t>
      </w:r>
      <w:r w:rsidR="00AA53DD">
        <w:rPr>
          <w:noProof/>
        </w:rPr>
        <w:t>15</w:t>
      </w:r>
      <w:r w:rsidRPr="002E75D2">
        <w:rPr>
          <w:color w:val="000000" w:themeColor="text1"/>
        </w:rPr>
        <w:fldChar w:fldCharType="end"/>
      </w:r>
      <w:r w:rsidRPr="002E75D2">
        <w:rPr>
          <w:color w:val="000000" w:themeColor="text1"/>
        </w:rPr>
        <w:t>.</w:t>
      </w:r>
    </w:p>
    <w:p w14:paraId="4CA0CF77" w14:textId="07ED9BFC" w:rsidR="00DC7D3C" w:rsidRPr="002E75D2" w:rsidRDefault="00DC7D3C" w:rsidP="00DC7D3C">
      <w:pPr>
        <w:pStyle w:val="Caption"/>
        <w:rPr>
          <w:rStyle w:val="CommentReference"/>
          <w:b/>
          <w:szCs w:val="24"/>
        </w:rPr>
      </w:pPr>
      <w:bookmarkStart w:id="94" w:name="_Ref207375313"/>
      <w:r w:rsidRPr="002E75D2">
        <w:lastRenderedPageBreak/>
        <w:t xml:space="preserve">Table </w:t>
      </w:r>
      <w:r w:rsidR="000847A3">
        <w:fldChar w:fldCharType="begin"/>
      </w:r>
      <w:r w:rsidR="000847A3">
        <w:instrText xml:space="preserve"> SEQ Table \* ARABIC </w:instrText>
      </w:r>
      <w:r w:rsidR="000847A3">
        <w:fldChar w:fldCharType="separate"/>
      </w:r>
      <w:r w:rsidR="00AA53DD">
        <w:rPr>
          <w:noProof/>
        </w:rPr>
        <w:t>15</w:t>
      </w:r>
      <w:r w:rsidR="000847A3">
        <w:rPr>
          <w:noProof/>
        </w:rPr>
        <w:fldChar w:fldCharType="end"/>
      </w:r>
      <w:bookmarkEnd w:id="93"/>
      <w:bookmarkEnd w:id="94"/>
      <w:r w:rsidRPr="002E75D2">
        <w:t>:</w:t>
      </w:r>
      <w:r w:rsidRPr="002E75D2">
        <w:rPr>
          <w:rStyle w:val="CommentReference"/>
          <w:b/>
          <w:szCs w:val="24"/>
        </w:rPr>
        <w:t xml:space="preserve"> Drug cost per patient for delgocitinib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Drug cost per patient for delgocitinib"/>
      </w:tblPr>
      <w:tblGrid>
        <w:gridCol w:w="1610"/>
        <w:gridCol w:w="2469"/>
        <w:gridCol w:w="2469"/>
        <w:gridCol w:w="2469"/>
      </w:tblGrid>
      <w:tr w:rsidR="00DC7D3C" w:rsidRPr="002E75D2" w14:paraId="1DD7A5A8" w14:textId="77777777" w:rsidTr="00C21DB1">
        <w:trPr>
          <w:cantSplit/>
          <w:tblHeader/>
        </w:trPr>
        <w:tc>
          <w:tcPr>
            <w:tcW w:w="893" w:type="pct"/>
            <w:vAlign w:val="center"/>
          </w:tcPr>
          <w:p w14:paraId="5043E537" w14:textId="77777777" w:rsidR="00DC7D3C" w:rsidRPr="002E75D2" w:rsidRDefault="00DC7D3C">
            <w:pPr>
              <w:pStyle w:val="In-tableHeading"/>
              <w:jc w:val="center"/>
              <w:rPr>
                <w:b w:val="0"/>
                <w:bCs/>
                <w:lang w:val="en-AU"/>
              </w:rPr>
            </w:pPr>
          </w:p>
        </w:tc>
        <w:tc>
          <w:tcPr>
            <w:tcW w:w="1369" w:type="pct"/>
            <w:vAlign w:val="center"/>
          </w:tcPr>
          <w:p w14:paraId="57BD58C7" w14:textId="77777777" w:rsidR="00DC7D3C" w:rsidRPr="002E75D2" w:rsidRDefault="00DC7D3C">
            <w:pPr>
              <w:pStyle w:val="In-tableHeading"/>
              <w:jc w:val="center"/>
              <w:rPr>
                <w:szCs w:val="20"/>
                <w:lang w:val="en-AU"/>
              </w:rPr>
            </w:pPr>
            <w:r w:rsidRPr="002E75D2">
              <w:rPr>
                <w:szCs w:val="20"/>
                <w:lang w:val="en-AU"/>
              </w:rPr>
              <w:t>Delgocitinib</w:t>
            </w:r>
          </w:p>
          <w:p w14:paraId="1603B66B" w14:textId="77777777" w:rsidR="00DC7D3C" w:rsidRPr="002E75D2" w:rsidRDefault="00DC7D3C">
            <w:pPr>
              <w:pStyle w:val="In-tableHeading"/>
              <w:jc w:val="center"/>
              <w:rPr>
                <w:szCs w:val="20"/>
                <w:lang w:val="en-AU"/>
              </w:rPr>
            </w:pPr>
            <w:r w:rsidRPr="002E75D2">
              <w:rPr>
                <w:szCs w:val="20"/>
                <w:lang w:val="en-AU"/>
              </w:rPr>
              <w:t>Trial dose and duration</w:t>
            </w:r>
          </w:p>
        </w:tc>
        <w:tc>
          <w:tcPr>
            <w:tcW w:w="1369" w:type="pct"/>
            <w:vAlign w:val="center"/>
          </w:tcPr>
          <w:p w14:paraId="2779DE78" w14:textId="77777777" w:rsidR="00DC7D3C" w:rsidRPr="002E75D2" w:rsidRDefault="00DC7D3C">
            <w:pPr>
              <w:pStyle w:val="In-tableHeading"/>
              <w:jc w:val="center"/>
              <w:rPr>
                <w:szCs w:val="20"/>
                <w:lang w:val="en-AU"/>
              </w:rPr>
            </w:pPr>
            <w:r w:rsidRPr="002E75D2">
              <w:rPr>
                <w:szCs w:val="20"/>
                <w:lang w:val="en-AU"/>
              </w:rPr>
              <w:t>Delgocitinib</w:t>
            </w:r>
          </w:p>
          <w:p w14:paraId="095872E5" w14:textId="77777777" w:rsidR="00DC7D3C" w:rsidRPr="002E75D2" w:rsidRDefault="00DC7D3C">
            <w:pPr>
              <w:pStyle w:val="In-tableHeading"/>
              <w:jc w:val="center"/>
              <w:rPr>
                <w:szCs w:val="20"/>
                <w:lang w:val="en-AU"/>
              </w:rPr>
            </w:pPr>
            <w:r w:rsidRPr="002E75D2">
              <w:rPr>
                <w:szCs w:val="20"/>
                <w:lang w:val="en-AU"/>
              </w:rPr>
              <w:t>Model</w:t>
            </w:r>
          </w:p>
        </w:tc>
        <w:tc>
          <w:tcPr>
            <w:tcW w:w="1369" w:type="pct"/>
            <w:vAlign w:val="center"/>
          </w:tcPr>
          <w:p w14:paraId="213C71BE" w14:textId="77777777" w:rsidR="00DC7D3C" w:rsidRPr="002E75D2" w:rsidRDefault="00DC7D3C">
            <w:pPr>
              <w:pStyle w:val="In-tableHeading"/>
              <w:jc w:val="center"/>
              <w:rPr>
                <w:szCs w:val="20"/>
                <w:lang w:val="en-AU"/>
              </w:rPr>
            </w:pPr>
            <w:r w:rsidRPr="002E75D2">
              <w:rPr>
                <w:szCs w:val="20"/>
                <w:lang w:val="en-AU"/>
              </w:rPr>
              <w:t>Delgocitinib</w:t>
            </w:r>
          </w:p>
          <w:p w14:paraId="26E4427E" w14:textId="77777777" w:rsidR="00DC7D3C" w:rsidRPr="002E75D2" w:rsidRDefault="00DC7D3C">
            <w:pPr>
              <w:pStyle w:val="In-tableHeading"/>
              <w:jc w:val="center"/>
              <w:rPr>
                <w:szCs w:val="20"/>
                <w:lang w:val="en-AU"/>
              </w:rPr>
            </w:pPr>
            <w:r w:rsidRPr="002E75D2">
              <w:rPr>
                <w:szCs w:val="20"/>
                <w:lang w:val="en-AU"/>
              </w:rPr>
              <w:t>Financial estimates</w:t>
            </w:r>
          </w:p>
        </w:tc>
      </w:tr>
      <w:tr w:rsidR="00DC7D3C" w:rsidRPr="002E75D2" w14:paraId="03838AFE" w14:textId="77777777" w:rsidTr="00C21DB1">
        <w:trPr>
          <w:cantSplit/>
        </w:trPr>
        <w:tc>
          <w:tcPr>
            <w:tcW w:w="893" w:type="pct"/>
            <w:vAlign w:val="center"/>
          </w:tcPr>
          <w:p w14:paraId="74FAD540" w14:textId="77777777" w:rsidR="00DC7D3C" w:rsidRPr="002E75D2" w:rsidRDefault="00DC7D3C" w:rsidP="00FD6019">
            <w:pPr>
              <w:pStyle w:val="TableText0"/>
              <w:rPr>
                <w:iCs w:val="0"/>
              </w:rPr>
            </w:pPr>
            <w:r w:rsidRPr="002E75D2">
              <w:rPr>
                <w:iCs w:val="0"/>
              </w:rPr>
              <w:t>Mean dose</w:t>
            </w:r>
          </w:p>
        </w:tc>
        <w:tc>
          <w:tcPr>
            <w:tcW w:w="1369" w:type="pct"/>
            <w:vAlign w:val="center"/>
          </w:tcPr>
          <w:p w14:paraId="55D3F36E" w14:textId="2570EEEF" w:rsidR="00DC7D3C" w:rsidRPr="002E75D2" w:rsidRDefault="00DC7D3C" w:rsidP="003E3503">
            <w:pPr>
              <w:pStyle w:val="TableText0"/>
              <w:jc w:val="center"/>
              <w:rPr>
                <w:iCs w:val="0"/>
              </w:rPr>
            </w:pPr>
            <w:r w:rsidRPr="002E75D2">
              <w:rPr>
                <w:iCs w:val="0"/>
              </w:rPr>
              <w:t xml:space="preserve">DELTA 1 weekly dose </w:t>
            </w:r>
            <w:r w:rsidR="00823A38" w:rsidRPr="002E75D2">
              <w:rPr>
                <w:iCs w:val="0"/>
              </w:rPr>
              <w:t>8.54</w:t>
            </w:r>
            <w:r w:rsidR="00C92092" w:rsidRPr="002E75D2">
              <w:rPr>
                <w:iCs w:val="0"/>
              </w:rPr>
              <w:t xml:space="preserve"> </w:t>
            </w:r>
            <w:r w:rsidRPr="002E75D2">
              <w:rPr>
                <w:iCs w:val="0"/>
              </w:rPr>
              <w:t xml:space="preserve">g DELTA 2 weekly dose </w:t>
            </w:r>
            <w:r w:rsidR="00B71096" w:rsidRPr="002E75D2">
              <w:rPr>
                <w:iCs w:val="0"/>
              </w:rPr>
              <w:t>7.72</w:t>
            </w:r>
            <w:r w:rsidR="00C92092" w:rsidRPr="002E75D2">
              <w:rPr>
                <w:iCs w:val="0"/>
              </w:rPr>
              <w:t xml:space="preserve"> </w:t>
            </w:r>
            <w:r w:rsidRPr="002E75D2">
              <w:rPr>
                <w:iCs w:val="0"/>
              </w:rPr>
              <w:t>g</w:t>
            </w:r>
          </w:p>
        </w:tc>
        <w:tc>
          <w:tcPr>
            <w:tcW w:w="2738" w:type="pct"/>
            <w:gridSpan w:val="2"/>
            <w:vAlign w:val="center"/>
          </w:tcPr>
          <w:p w14:paraId="3F2EB47A" w14:textId="20EA68CA" w:rsidR="00DC7D3C" w:rsidRPr="002E75D2" w:rsidRDefault="00C12982" w:rsidP="003E3503">
            <w:pPr>
              <w:pStyle w:val="TableText0"/>
              <w:jc w:val="center"/>
              <w:rPr>
                <w:iCs w:val="0"/>
              </w:rPr>
            </w:pPr>
            <w:r w:rsidRPr="002E75D2">
              <w:rPr>
                <w:iCs w:val="0"/>
              </w:rPr>
              <w:t>Weekly dose to obtain:</w:t>
            </w:r>
          </w:p>
          <w:p w14:paraId="7DCE8D46" w14:textId="77777777" w:rsidR="00DC7D3C" w:rsidRPr="002E75D2" w:rsidRDefault="00DC7D3C" w:rsidP="003E3503">
            <w:pPr>
              <w:pStyle w:val="TableText0"/>
              <w:jc w:val="center"/>
              <w:rPr>
                <w:iCs w:val="0"/>
              </w:rPr>
            </w:pPr>
            <w:r w:rsidRPr="002E75D2">
              <w:rPr>
                <w:iCs w:val="0"/>
              </w:rPr>
              <w:t>Full response: 8.24 g</w:t>
            </w:r>
          </w:p>
          <w:p w14:paraId="780EB847" w14:textId="77777777" w:rsidR="00DC7D3C" w:rsidRPr="002E75D2" w:rsidRDefault="00DC7D3C" w:rsidP="003E3503">
            <w:pPr>
              <w:pStyle w:val="TableText0"/>
              <w:jc w:val="center"/>
              <w:rPr>
                <w:iCs w:val="0"/>
              </w:rPr>
            </w:pPr>
            <w:r w:rsidRPr="002E75D2">
              <w:rPr>
                <w:iCs w:val="0"/>
              </w:rPr>
              <w:t>Partial response: 8.75 g</w:t>
            </w:r>
          </w:p>
          <w:p w14:paraId="67C073C0" w14:textId="77777777" w:rsidR="00DC7D3C" w:rsidRPr="002E75D2" w:rsidRDefault="00DC7D3C" w:rsidP="003E3503">
            <w:pPr>
              <w:pStyle w:val="TableText0"/>
              <w:jc w:val="center"/>
              <w:rPr>
                <w:iCs w:val="0"/>
              </w:rPr>
            </w:pPr>
            <w:r w:rsidRPr="002E75D2">
              <w:rPr>
                <w:iCs w:val="0"/>
              </w:rPr>
              <w:t>Low response: 8.78 g</w:t>
            </w:r>
          </w:p>
          <w:p w14:paraId="5D25859C" w14:textId="77777777" w:rsidR="00DC7D3C" w:rsidRPr="002E75D2" w:rsidRDefault="00DC7D3C" w:rsidP="003E3503">
            <w:pPr>
              <w:pStyle w:val="TableText0"/>
              <w:jc w:val="center"/>
              <w:rPr>
                <w:iCs w:val="0"/>
              </w:rPr>
            </w:pPr>
            <w:r w:rsidRPr="002E75D2">
              <w:rPr>
                <w:iCs w:val="0"/>
              </w:rPr>
              <w:t>Insufficient response: 8.61 g</w:t>
            </w:r>
          </w:p>
        </w:tc>
      </w:tr>
      <w:tr w:rsidR="00DC7D3C" w:rsidRPr="002E75D2" w14:paraId="53D67CF0" w14:textId="77777777" w:rsidTr="00C21DB1">
        <w:trPr>
          <w:cantSplit/>
        </w:trPr>
        <w:tc>
          <w:tcPr>
            <w:tcW w:w="893" w:type="pct"/>
            <w:vAlign w:val="center"/>
          </w:tcPr>
          <w:p w14:paraId="6877D32A" w14:textId="77777777" w:rsidR="00DC7D3C" w:rsidRPr="002E75D2" w:rsidRDefault="00DC7D3C" w:rsidP="00FD6019">
            <w:pPr>
              <w:pStyle w:val="TableText0"/>
              <w:rPr>
                <w:iCs w:val="0"/>
              </w:rPr>
            </w:pPr>
            <w:r w:rsidRPr="002E75D2">
              <w:rPr>
                <w:iCs w:val="0"/>
              </w:rPr>
              <w:t>Mean duration</w:t>
            </w:r>
          </w:p>
        </w:tc>
        <w:tc>
          <w:tcPr>
            <w:tcW w:w="1369" w:type="pct"/>
            <w:vAlign w:val="center"/>
          </w:tcPr>
          <w:p w14:paraId="57ECE87E" w14:textId="2EDD5E40" w:rsidR="00DC7D3C" w:rsidRPr="002E75D2" w:rsidRDefault="00DC7D3C" w:rsidP="003E3503">
            <w:pPr>
              <w:pStyle w:val="TableText0"/>
              <w:jc w:val="center"/>
              <w:rPr>
                <w:iCs w:val="0"/>
              </w:rPr>
            </w:pPr>
            <w:r w:rsidRPr="002E75D2">
              <w:rPr>
                <w:iCs w:val="0"/>
              </w:rPr>
              <w:t>DELTA 1: 3.6 months</w:t>
            </w:r>
            <w:r w:rsidR="009638EC" w:rsidRPr="002E75D2">
              <w:rPr>
                <w:iCs w:val="0"/>
                <w:vertAlign w:val="superscript"/>
              </w:rPr>
              <w:t>a</w:t>
            </w:r>
          </w:p>
          <w:p w14:paraId="36A01BBE" w14:textId="1F890931" w:rsidR="00DC7D3C" w:rsidRPr="002E75D2" w:rsidRDefault="00DC7D3C" w:rsidP="003E3503">
            <w:pPr>
              <w:pStyle w:val="TableText0"/>
              <w:jc w:val="center"/>
              <w:rPr>
                <w:iCs w:val="0"/>
              </w:rPr>
            </w:pPr>
            <w:r w:rsidRPr="002E75D2">
              <w:rPr>
                <w:iCs w:val="0"/>
              </w:rPr>
              <w:t xml:space="preserve">DELTA 2: 3.6 </w:t>
            </w:r>
            <w:r w:rsidR="00DC4B06" w:rsidRPr="002E75D2">
              <w:rPr>
                <w:iCs w:val="0"/>
              </w:rPr>
              <w:t>months</w:t>
            </w:r>
            <w:r w:rsidR="009638EC" w:rsidRPr="002E75D2">
              <w:rPr>
                <w:iCs w:val="0"/>
                <w:vertAlign w:val="superscript"/>
              </w:rPr>
              <w:t>a</w:t>
            </w:r>
          </w:p>
        </w:tc>
        <w:tc>
          <w:tcPr>
            <w:tcW w:w="2738" w:type="pct"/>
            <w:gridSpan w:val="2"/>
          </w:tcPr>
          <w:p w14:paraId="37550611" w14:textId="6CBB97C8" w:rsidR="00DC7D3C" w:rsidRPr="002E75D2" w:rsidRDefault="00DC7D3C" w:rsidP="003E3503">
            <w:pPr>
              <w:pStyle w:val="TableText0"/>
              <w:jc w:val="center"/>
              <w:rPr>
                <w:iCs w:val="0"/>
              </w:rPr>
            </w:pPr>
            <w:r w:rsidRPr="002E75D2">
              <w:rPr>
                <w:iCs w:val="0"/>
              </w:rPr>
              <w:t>6.94 months</w:t>
            </w:r>
            <w:r w:rsidR="00B054CC" w:rsidRPr="002E75D2">
              <w:rPr>
                <w:iCs w:val="0"/>
                <w:vertAlign w:val="superscript"/>
              </w:rPr>
              <w:t>d</w:t>
            </w:r>
            <w:r w:rsidR="00F437F3">
              <w:rPr>
                <w:iCs w:val="0"/>
                <w:vertAlign w:val="superscript"/>
              </w:rPr>
              <w:t>b</w:t>
            </w:r>
          </w:p>
        </w:tc>
      </w:tr>
      <w:tr w:rsidR="00DC7D3C" w:rsidRPr="002E75D2" w14:paraId="35278D10" w14:textId="77777777" w:rsidTr="00C21DB1">
        <w:trPr>
          <w:cantSplit/>
        </w:trPr>
        <w:tc>
          <w:tcPr>
            <w:tcW w:w="893" w:type="pct"/>
            <w:vAlign w:val="center"/>
          </w:tcPr>
          <w:p w14:paraId="6683D6F5" w14:textId="77777777" w:rsidR="00DC7D3C" w:rsidRPr="002E75D2" w:rsidRDefault="00DC7D3C" w:rsidP="00FD6019">
            <w:pPr>
              <w:pStyle w:val="TableText0"/>
              <w:rPr>
                <w:iCs w:val="0"/>
              </w:rPr>
            </w:pPr>
            <w:r w:rsidRPr="002E75D2">
              <w:rPr>
                <w:iCs w:val="0"/>
              </w:rPr>
              <w:t>Cost/patient/month</w:t>
            </w:r>
          </w:p>
        </w:tc>
        <w:tc>
          <w:tcPr>
            <w:tcW w:w="1369" w:type="pct"/>
            <w:vAlign w:val="center"/>
          </w:tcPr>
          <w:p w14:paraId="547CC13A" w14:textId="645D1F66" w:rsidR="00DC7D3C" w:rsidRPr="002E75D2" w:rsidRDefault="00F137AE" w:rsidP="003E3503">
            <w:pPr>
              <w:pStyle w:val="TableText0"/>
              <w:jc w:val="center"/>
              <w:rPr>
                <w:iCs w:val="0"/>
              </w:rPr>
            </w:pPr>
            <w:r>
              <w:rPr>
                <w:iCs w:val="0"/>
              </w:rPr>
              <w:t>-</w:t>
            </w:r>
          </w:p>
        </w:tc>
        <w:tc>
          <w:tcPr>
            <w:tcW w:w="2738" w:type="pct"/>
            <w:gridSpan w:val="2"/>
          </w:tcPr>
          <w:p w14:paraId="13656D87" w14:textId="3EB7C7D0" w:rsidR="00DC7D3C" w:rsidRPr="002E75D2" w:rsidRDefault="00DC7D3C" w:rsidP="003E3503">
            <w:pPr>
              <w:pStyle w:val="TableText0"/>
              <w:jc w:val="center"/>
              <w:rPr>
                <w:iCs w:val="0"/>
              </w:rPr>
            </w:pPr>
            <w:r w:rsidRPr="002E75D2">
              <w:rPr>
                <w:iCs w:val="0"/>
              </w:rPr>
              <w:t>$</w:t>
            </w:r>
            <w:r w:rsidR="00D34C8E" w:rsidRPr="00D34C8E">
              <w:rPr>
                <w:iCs w:val="0"/>
                <w:highlight w:val="black"/>
              </w:rPr>
              <w:t>&amp;&amp;&amp;&amp;</w:t>
            </w:r>
          </w:p>
        </w:tc>
      </w:tr>
      <w:tr w:rsidR="00DC7D3C" w:rsidRPr="002E75D2" w14:paraId="72E3DFAA" w14:textId="77777777" w:rsidTr="00C21DB1">
        <w:trPr>
          <w:cantSplit/>
        </w:trPr>
        <w:tc>
          <w:tcPr>
            <w:tcW w:w="893" w:type="pct"/>
            <w:vAlign w:val="center"/>
          </w:tcPr>
          <w:p w14:paraId="495B816B" w14:textId="77777777" w:rsidR="00DC7D3C" w:rsidRPr="002E75D2" w:rsidRDefault="00DC7D3C" w:rsidP="00FD6019">
            <w:pPr>
              <w:pStyle w:val="TableText0"/>
              <w:rPr>
                <w:iCs w:val="0"/>
              </w:rPr>
            </w:pPr>
            <w:r w:rsidRPr="002E75D2">
              <w:rPr>
                <w:iCs w:val="0"/>
              </w:rPr>
              <w:t>Cost/patient/course</w:t>
            </w:r>
          </w:p>
        </w:tc>
        <w:tc>
          <w:tcPr>
            <w:tcW w:w="1369" w:type="pct"/>
            <w:vAlign w:val="center"/>
          </w:tcPr>
          <w:p w14:paraId="2480F834" w14:textId="73B7B049" w:rsidR="00DC7D3C" w:rsidRPr="002E75D2" w:rsidRDefault="00F137AE" w:rsidP="003E3503">
            <w:pPr>
              <w:pStyle w:val="TableText0"/>
              <w:jc w:val="center"/>
              <w:rPr>
                <w:iCs w:val="0"/>
              </w:rPr>
            </w:pPr>
            <w:r>
              <w:rPr>
                <w:iCs w:val="0"/>
              </w:rPr>
              <w:t>-</w:t>
            </w:r>
          </w:p>
        </w:tc>
        <w:tc>
          <w:tcPr>
            <w:tcW w:w="2738" w:type="pct"/>
            <w:gridSpan w:val="2"/>
          </w:tcPr>
          <w:p w14:paraId="696F6E35" w14:textId="2B793F9F" w:rsidR="00DC7D3C" w:rsidRPr="002E75D2" w:rsidRDefault="00B90FB6" w:rsidP="00F137AE">
            <w:pPr>
              <w:pStyle w:val="TableText0"/>
              <w:jc w:val="center"/>
              <w:rPr>
                <w:iCs w:val="0"/>
              </w:rPr>
            </w:pPr>
            <w:bookmarkStart w:id="95" w:name="_Hlk205447503"/>
            <w:r w:rsidRPr="002E75D2">
              <w:rPr>
                <w:iCs w:val="0"/>
              </w:rPr>
              <w:t>$</w:t>
            </w:r>
            <w:bookmarkEnd w:id="95"/>
            <w:r w:rsidR="00D34C8E" w:rsidRPr="00D34C8E">
              <w:rPr>
                <w:iCs w:val="0"/>
                <w:highlight w:val="black"/>
              </w:rPr>
              <w:t>&amp;&amp;&amp;&amp;</w:t>
            </w:r>
          </w:p>
        </w:tc>
      </w:tr>
    </w:tbl>
    <w:p w14:paraId="48DEEB81" w14:textId="32A936A2" w:rsidR="009638EC" w:rsidRPr="002E75D2" w:rsidRDefault="009638EC" w:rsidP="009638EC">
      <w:pPr>
        <w:pStyle w:val="FooterTableFigure"/>
      </w:pPr>
      <w:r w:rsidRPr="002E75D2">
        <w:rPr>
          <w:vertAlign w:val="superscript"/>
        </w:rPr>
        <w:t>a</w:t>
      </w:r>
      <w:r w:rsidRPr="002E75D2">
        <w:t xml:space="preserve"> Table 74, p127 of the submission. Note, DELTA 1 and DELTA 2 had a duration of 16 weeks.</w:t>
      </w:r>
    </w:p>
    <w:p w14:paraId="2B0869A1" w14:textId="4EC43893" w:rsidR="00DC7D3C" w:rsidRPr="002E75D2" w:rsidRDefault="00F115DE" w:rsidP="00DC7D3C">
      <w:pPr>
        <w:pStyle w:val="FooterTableFigure"/>
      </w:pPr>
      <w:r>
        <w:rPr>
          <w:vertAlign w:val="superscript"/>
        </w:rPr>
        <w:t>b</w:t>
      </w:r>
      <w:r w:rsidR="00DC7D3C" w:rsidRPr="002E75D2">
        <w:t xml:space="preserve"> Calculated from data in Delgo_Engine worksheet of the economic model</w:t>
      </w:r>
      <w:r>
        <w:t xml:space="preserve"> and included patients who had </w:t>
      </w:r>
      <w:r w:rsidR="00496ACB">
        <w:t>ei</w:t>
      </w:r>
      <w:r>
        <w:t>ther</w:t>
      </w:r>
      <w:r w:rsidR="00FD6608">
        <w:t xml:space="preserve"> had a full</w:t>
      </w:r>
      <w:r>
        <w:t xml:space="preserve"> respon</w:t>
      </w:r>
      <w:r w:rsidR="00FD6608">
        <w:t>se</w:t>
      </w:r>
      <w:r>
        <w:t xml:space="preserve"> </w:t>
      </w:r>
      <w:r w:rsidR="00496ACB">
        <w:t xml:space="preserve">and </w:t>
      </w:r>
      <w:r w:rsidR="00FD6608">
        <w:t xml:space="preserve">ceased or had responded and restarted treatment, </w:t>
      </w:r>
      <w:r>
        <w:t>those with a partial or low response who continued treatment</w:t>
      </w:r>
      <w:r w:rsidR="00FD6608">
        <w:t>, and those who had an insufficient response and ceased treatment</w:t>
      </w:r>
    </w:p>
    <w:p w14:paraId="3B068BF5" w14:textId="77777777" w:rsidR="00E261DE" w:rsidRPr="002E75D2" w:rsidRDefault="00E261DE" w:rsidP="005A49C2">
      <w:pPr>
        <w:pStyle w:val="4-SubsectionHeading"/>
      </w:pPr>
      <w:bookmarkStart w:id="96" w:name="_Toc202884181"/>
      <w:bookmarkStart w:id="97" w:name="_Toc208411854"/>
      <w:bookmarkStart w:id="98" w:name="_Hlk107307804"/>
      <w:r w:rsidRPr="002E75D2">
        <w:t>Estimated PBS usage &amp; financial implications</w:t>
      </w:r>
      <w:bookmarkEnd w:id="96"/>
      <w:bookmarkEnd w:id="97"/>
    </w:p>
    <w:p w14:paraId="5CC6ABA9" w14:textId="02C8774C" w:rsidR="00E261DE" w:rsidRPr="002E75D2" w:rsidRDefault="00E261DE" w:rsidP="00E261DE">
      <w:pPr>
        <w:pStyle w:val="3-BodyText"/>
        <w:rPr>
          <w:color w:val="0066FF"/>
        </w:rPr>
      </w:pPr>
      <w:r w:rsidRPr="002E75D2">
        <w:t xml:space="preserve">This submission </w:t>
      </w:r>
      <w:r w:rsidR="00ED3300" w:rsidRPr="002E75D2">
        <w:t xml:space="preserve">was not </w:t>
      </w:r>
      <w:r w:rsidRPr="002E75D2">
        <w:t>considered by DUSC</w:t>
      </w:r>
      <w:r w:rsidRPr="002E75D2">
        <w:rPr>
          <w:color w:val="0070C0"/>
        </w:rPr>
        <w:t xml:space="preserve">. </w:t>
      </w:r>
      <w:r w:rsidRPr="002E75D2">
        <w:t>The submission used an epidemiological approach</w:t>
      </w:r>
      <w:r w:rsidR="000429CB" w:rsidRPr="002E75D2">
        <w:t xml:space="preserve"> to estimate the utilisation of delgocitinib</w:t>
      </w:r>
      <w:r w:rsidRPr="002E75D2">
        <w:t xml:space="preserve">. </w:t>
      </w:r>
    </w:p>
    <w:p w14:paraId="4CB454DA" w14:textId="1915B7E3" w:rsidR="00E261DE" w:rsidRPr="002E75D2" w:rsidRDefault="00E261DE" w:rsidP="00467071">
      <w:pPr>
        <w:pStyle w:val="3-BodyText"/>
        <w:spacing w:after="120"/>
      </w:pPr>
      <w:r w:rsidRPr="002E75D2">
        <w:t xml:space="preserve">Key inputs for financial estimates are given in </w:t>
      </w:r>
      <w:r w:rsidRPr="002E75D2">
        <w:fldChar w:fldCharType="begin"/>
      </w:r>
      <w:r w:rsidRPr="002E75D2">
        <w:instrText xml:space="preserve"> REF _Ref104805262 \h  \* MERGEFORMAT </w:instrText>
      </w:r>
      <w:r w:rsidRPr="002E75D2">
        <w:fldChar w:fldCharType="separate"/>
      </w:r>
      <w:r w:rsidR="00AA53DD" w:rsidRPr="002E75D2">
        <w:t xml:space="preserve">Table </w:t>
      </w:r>
      <w:r w:rsidR="00AA53DD">
        <w:t>16</w:t>
      </w:r>
      <w:r w:rsidRPr="002E75D2">
        <w:fldChar w:fldCharType="end"/>
      </w:r>
      <w:r w:rsidRPr="002E75D2">
        <w:t>.</w:t>
      </w:r>
    </w:p>
    <w:p w14:paraId="42124569" w14:textId="574FA521" w:rsidR="00E261DE" w:rsidRPr="002E75D2" w:rsidRDefault="00E261DE" w:rsidP="00B4149F">
      <w:pPr>
        <w:pStyle w:val="Caption"/>
        <w:rPr>
          <w:rStyle w:val="CommentReference"/>
          <w:b/>
          <w:szCs w:val="24"/>
        </w:rPr>
      </w:pPr>
      <w:bookmarkStart w:id="99" w:name="_Ref104805262"/>
      <w:r w:rsidRPr="002E75D2">
        <w:t xml:space="preserve">Table </w:t>
      </w:r>
      <w:r w:rsidR="000847A3">
        <w:fldChar w:fldCharType="begin"/>
      </w:r>
      <w:r w:rsidR="000847A3">
        <w:instrText xml:space="preserve"> SEQ Table \* ARABIC </w:instrText>
      </w:r>
      <w:r w:rsidR="000847A3">
        <w:fldChar w:fldCharType="separate"/>
      </w:r>
      <w:r w:rsidR="00AA53DD">
        <w:rPr>
          <w:noProof/>
        </w:rPr>
        <w:t>16</w:t>
      </w:r>
      <w:r w:rsidR="000847A3">
        <w:rPr>
          <w:noProof/>
        </w:rPr>
        <w:fldChar w:fldCharType="end"/>
      </w:r>
      <w:bookmarkEnd w:id="99"/>
      <w:r w:rsidRPr="002E75D2">
        <w:t>:</w:t>
      </w:r>
      <w:r w:rsidRPr="002E75D2">
        <w:rPr>
          <w:rStyle w:val="CommentReference"/>
          <w:b/>
          <w:szCs w:val="24"/>
        </w:rPr>
        <w:t xml:space="preserve"> Key inputs for financial estimates</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Key inputs for financial estimates"/>
      </w:tblPr>
      <w:tblGrid>
        <w:gridCol w:w="2755"/>
        <w:gridCol w:w="1636"/>
        <w:gridCol w:w="2085"/>
        <w:gridCol w:w="2541"/>
      </w:tblGrid>
      <w:tr w:rsidR="00041F31" w:rsidRPr="002E75D2" w14:paraId="3A4BA07C" w14:textId="77777777" w:rsidTr="00C21DB1">
        <w:trPr>
          <w:cnfStyle w:val="100000000000" w:firstRow="1" w:lastRow="0" w:firstColumn="0" w:lastColumn="0" w:oddVBand="0" w:evenVBand="0" w:oddHBand="0" w:evenHBand="0" w:firstRowFirstColumn="0" w:firstRowLastColumn="0" w:lastRowFirstColumn="0" w:lastRowLastColumn="0"/>
          <w:cantSplit/>
          <w:trHeight w:val="62"/>
          <w:tblHeader/>
        </w:trPr>
        <w:tc>
          <w:tcPr>
            <w:tcW w:w="1528" w:type="pct"/>
            <w:shd w:val="clear" w:color="auto" w:fill="auto"/>
            <w:tcMar>
              <w:left w:w="20" w:type="dxa"/>
              <w:right w:w="20" w:type="dxa"/>
            </w:tcMar>
            <w:hideMark/>
          </w:tcPr>
          <w:p w14:paraId="51FDA017" w14:textId="77777777"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b/>
                <w:bCs/>
                <w:sz w:val="20"/>
                <w:szCs w:val="20"/>
                <w:lang w:val="en-AU"/>
              </w:rPr>
              <w:t>Data</w:t>
            </w:r>
          </w:p>
        </w:tc>
        <w:tc>
          <w:tcPr>
            <w:tcW w:w="907" w:type="pct"/>
            <w:shd w:val="clear" w:color="auto" w:fill="auto"/>
            <w:tcMar>
              <w:left w:w="20" w:type="dxa"/>
              <w:right w:w="20" w:type="dxa"/>
            </w:tcMar>
            <w:hideMark/>
          </w:tcPr>
          <w:p w14:paraId="09F36F1F" w14:textId="77777777"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b/>
                <w:bCs/>
                <w:sz w:val="20"/>
                <w:szCs w:val="20"/>
                <w:lang w:val="en-AU"/>
              </w:rPr>
              <w:t>Value</w:t>
            </w:r>
          </w:p>
        </w:tc>
        <w:tc>
          <w:tcPr>
            <w:tcW w:w="1156" w:type="pct"/>
            <w:shd w:val="clear" w:color="auto" w:fill="auto"/>
            <w:tcMar>
              <w:left w:w="20" w:type="dxa"/>
              <w:right w:w="20" w:type="dxa"/>
            </w:tcMar>
            <w:hideMark/>
          </w:tcPr>
          <w:p w14:paraId="5AFAA6CA" w14:textId="77777777"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b/>
                <w:bCs/>
                <w:sz w:val="20"/>
                <w:szCs w:val="20"/>
                <w:lang w:val="en-AU"/>
              </w:rPr>
              <w:t>Source</w:t>
            </w:r>
          </w:p>
        </w:tc>
        <w:tc>
          <w:tcPr>
            <w:tcW w:w="1410" w:type="pct"/>
            <w:shd w:val="clear" w:color="auto" w:fill="auto"/>
            <w:tcMar>
              <w:left w:w="20" w:type="dxa"/>
              <w:right w:w="20" w:type="dxa"/>
            </w:tcMar>
          </w:tcPr>
          <w:p w14:paraId="5CDD8BDE" w14:textId="77777777" w:rsidR="00E261DE" w:rsidRPr="002E75D2" w:rsidRDefault="00E261DE" w:rsidP="00B4149F">
            <w:pPr>
              <w:keepNext/>
              <w:keepLines/>
              <w:jc w:val="left"/>
              <w:rPr>
                <w:rFonts w:ascii="Arial Narrow" w:hAnsi="Arial Narrow"/>
                <w:b/>
                <w:bCs/>
                <w:sz w:val="20"/>
                <w:szCs w:val="20"/>
                <w:lang w:val="en-AU"/>
              </w:rPr>
            </w:pPr>
            <w:r w:rsidRPr="002E75D2">
              <w:rPr>
                <w:rFonts w:ascii="Arial Narrow" w:hAnsi="Arial Narrow"/>
                <w:b/>
                <w:bCs/>
                <w:sz w:val="20"/>
                <w:szCs w:val="20"/>
                <w:lang w:val="en-AU"/>
              </w:rPr>
              <w:t>Comment</w:t>
            </w:r>
          </w:p>
        </w:tc>
      </w:tr>
      <w:tr w:rsidR="00F137AE" w:rsidRPr="002E75D2" w14:paraId="3AA47F28" w14:textId="77777777" w:rsidTr="00C21DB1">
        <w:trPr>
          <w:cantSplit/>
          <w:trHeight w:val="182"/>
        </w:trPr>
        <w:tc>
          <w:tcPr>
            <w:tcW w:w="5000" w:type="pct"/>
            <w:gridSpan w:val="4"/>
            <w:tcMar>
              <w:left w:w="20" w:type="dxa"/>
              <w:right w:w="20" w:type="dxa"/>
            </w:tcMar>
            <w:hideMark/>
          </w:tcPr>
          <w:p w14:paraId="1ABC08A6" w14:textId="29960EBC" w:rsidR="00F137AE" w:rsidRPr="002E75D2" w:rsidRDefault="00F137AE" w:rsidP="00B4149F">
            <w:pPr>
              <w:keepNext/>
              <w:keepLines/>
              <w:jc w:val="left"/>
              <w:rPr>
                <w:rFonts w:ascii="Arial Narrow" w:hAnsi="Arial Narrow"/>
                <w:b/>
                <w:bCs/>
                <w:color w:val="7030A0"/>
                <w:sz w:val="20"/>
                <w:szCs w:val="20"/>
                <w:lang w:val="en-AU"/>
              </w:rPr>
            </w:pPr>
            <w:r w:rsidRPr="002E75D2">
              <w:rPr>
                <w:rFonts w:ascii="Arial Narrow" w:hAnsi="Arial Narrow"/>
                <w:b/>
                <w:bCs/>
                <w:sz w:val="20"/>
                <w:szCs w:val="20"/>
                <w:lang w:val="en-AU"/>
              </w:rPr>
              <w:t>Eligible population </w:t>
            </w:r>
          </w:p>
        </w:tc>
      </w:tr>
      <w:tr w:rsidR="00E261DE" w:rsidRPr="002E75D2" w14:paraId="2344E1C6" w14:textId="77777777" w:rsidTr="00C21DB1">
        <w:trPr>
          <w:cantSplit/>
          <w:trHeight w:val="300"/>
        </w:trPr>
        <w:tc>
          <w:tcPr>
            <w:tcW w:w="1528" w:type="pct"/>
            <w:tcMar>
              <w:left w:w="20" w:type="dxa"/>
              <w:right w:w="20" w:type="dxa"/>
            </w:tcMar>
            <w:hideMark/>
          </w:tcPr>
          <w:p w14:paraId="53AEEA83" w14:textId="77777777"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sz w:val="20"/>
                <w:szCs w:val="20"/>
                <w:lang w:val="en-AU"/>
              </w:rPr>
              <w:t>Australian population by year, with growth included</w:t>
            </w:r>
          </w:p>
        </w:tc>
        <w:tc>
          <w:tcPr>
            <w:tcW w:w="907" w:type="pct"/>
            <w:tcMar>
              <w:left w:w="20" w:type="dxa"/>
              <w:right w:w="20" w:type="dxa"/>
            </w:tcMar>
            <w:hideMark/>
          </w:tcPr>
          <w:p w14:paraId="78677A47" w14:textId="77777777"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sz w:val="20"/>
                <w:szCs w:val="20"/>
                <w:lang w:val="en-AU"/>
              </w:rPr>
              <w:t>Aged ≥18 to 90 years</w:t>
            </w:r>
          </w:p>
        </w:tc>
        <w:tc>
          <w:tcPr>
            <w:tcW w:w="1156" w:type="pct"/>
            <w:tcMar>
              <w:left w:w="20" w:type="dxa"/>
              <w:right w:w="20" w:type="dxa"/>
            </w:tcMar>
            <w:hideMark/>
          </w:tcPr>
          <w:p w14:paraId="34CAFC11" w14:textId="1AE0E67A"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sz w:val="20"/>
                <w:szCs w:val="20"/>
                <w:lang w:val="en-AU"/>
              </w:rPr>
              <w:t>ABS population</w:t>
            </w:r>
            <w:r w:rsidR="001D3342" w:rsidRPr="002E75D2">
              <w:rPr>
                <w:rFonts w:ascii="Arial Narrow" w:hAnsi="Arial Narrow"/>
                <w:sz w:val="20"/>
                <w:szCs w:val="20"/>
                <w:lang w:val="en-AU"/>
              </w:rPr>
              <w:t xml:space="preserve"> </w:t>
            </w:r>
          </w:p>
          <w:p w14:paraId="6A34DED5" w14:textId="77777777"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sz w:val="20"/>
                <w:szCs w:val="20"/>
                <w:lang w:val="en-AU"/>
              </w:rPr>
              <w:t>3222.0 Series B </w:t>
            </w:r>
          </w:p>
        </w:tc>
        <w:tc>
          <w:tcPr>
            <w:tcW w:w="1410" w:type="pct"/>
            <w:tcMar>
              <w:left w:w="20" w:type="dxa"/>
              <w:right w:w="20" w:type="dxa"/>
            </w:tcMar>
          </w:tcPr>
          <w:p w14:paraId="2EA5A202" w14:textId="7FA5E268" w:rsidR="00E261DE" w:rsidRPr="002E75D2" w:rsidRDefault="00A02CB4" w:rsidP="00B4149F">
            <w:pPr>
              <w:keepNext/>
              <w:keepLines/>
              <w:jc w:val="left"/>
              <w:rPr>
                <w:rFonts w:ascii="Arial Narrow" w:hAnsi="Arial Narrow"/>
                <w:sz w:val="20"/>
                <w:szCs w:val="20"/>
                <w:lang w:val="en-AU"/>
              </w:rPr>
            </w:pPr>
            <w:r w:rsidRPr="002E75D2">
              <w:rPr>
                <w:rFonts w:ascii="Arial Narrow" w:hAnsi="Arial Narrow"/>
                <w:sz w:val="20"/>
                <w:szCs w:val="20"/>
                <w:lang w:val="en-AU"/>
              </w:rPr>
              <w:t>I</w:t>
            </w:r>
            <w:r w:rsidR="00E261DE" w:rsidRPr="002E75D2">
              <w:rPr>
                <w:rFonts w:ascii="Arial Narrow" w:hAnsi="Arial Narrow"/>
                <w:sz w:val="20"/>
                <w:szCs w:val="20"/>
                <w:lang w:val="en-AU"/>
              </w:rPr>
              <w:t xml:space="preserve">t is not clear why </w:t>
            </w:r>
            <w:r w:rsidRPr="002E75D2">
              <w:rPr>
                <w:rFonts w:ascii="Arial Narrow" w:hAnsi="Arial Narrow"/>
                <w:sz w:val="20"/>
                <w:szCs w:val="20"/>
                <w:lang w:val="en-AU"/>
              </w:rPr>
              <w:t xml:space="preserve">patients aged </w:t>
            </w:r>
            <w:r w:rsidR="00E261DE" w:rsidRPr="002E75D2">
              <w:rPr>
                <w:rFonts w:ascii="Arial Narrow" w:hAnsi="Arial Narrow"/>
                <w:sz w:val="20"/>
                <w:szCs w:val="20"/>
                <w:lang w:val="en-AU"/>
              </w:rPr>
              <w:t xml:space="preserve">&gt;90 years </w:t>
            </w:r>
            <w:r w:rsidRPr="002E75D2">
              <w:rPr>
                <w:rFonts w:ascii="Arial Narrow" w:hAnsi="Arial Narrow"/>
                <w:sz w:val="20"/>
                <w:szCs w:val="20"/>
                <w:lang w:val="en-AU"/>
              </w:rPr>
              <w:t xml:space="preserve">were </w:t>
            </w:r>
            <w:r w:rsidR="00E261DE" w:rsidRPr="002E75D2">
              <w:rPr>
                <w:rFonts w:ascii="Arial Narrow" w:hAnsi="Arial Narrow"/>
                <w:sz w:val="20"/>
                <w:szCs w:val="20"/>
                <w:lang w:val="en-AU"/>
              </w:rPr>
              <w:t>excluded</w:t>
            </w:r>
            <w:r w:rsidRPr="002E75D2">
              <w:rPr>
                <w:rFonts w:ascii="Arial Narrow" w:hAnsi="Arial Narrow"/>
                <w:sz w:val="20"/>
                <w:szCs w:val="20"/>
                <w:lang w:val="en-AU"/>
              </w:rPr>
              <w:t>. Additionally, although limiting the patient population to adults only aligns with the proposed TGA indication, it does not align with the proposed PBS restriction which was age agnostic.</w:t>
            </w:r>
          </w:p>
        </w:tc>
      </w:tr>
      <w:tr w:rsidR="00E261DE" w:rsidRPr="002E75D2" w14:paraId="6B0A66FF" w14:textId="77777777" w:rsidTr="00C21DB1">
        <w:trPr>
          <w:cantSplit/>
          <w:trHeight w:val="300"/>
        </w:trPr>
        <w:tc>
          <w:tcPr>
            <w:tcW w:w="1528" w:type="pct"/>
            <w:tcMar>
              <w:left w:w="20" w:type="dxa"/>
              <w:right w:w="20" w:type="dxa"/>
            </w:tcMar>
          </w:tcPr>
          <w:p w14:paraId="24962181" w14:textId="77777777"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sz w:val="20"/>
                <w:szCs w:val="20"/>
                <w:lang w:val="en-AU"/>
              </w:rPr>
              <w:t>Pooled incidence HE in adults</w:t>
            </w:r>
          </w:p>
        </w:tc>
        <w:tc>
          <w:tcPr>
            <w:tcW w:w="907" w:type="pct"/>
            <w:tcMar>
              <w:left w:w="20" w:type="dxa"/>
              <w:right w:w="20" w:type="dxa"/>
            </w:tcMar>
          </w:tcPr>
          <w:p w14:paraId="66F5C318" w14:textId="20EA00E1"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sz w:val="20"/>
                <w:szCs w:val="20"/>
                <w:lang w:val="en-AU"/>
              </w:rPr>
              <w:t>7.5 cases/1000 person-years</w:t>
            </w:r>
            <w:r w:rsidR="0010495E" w:rsidRPr="002E75D2">
              <w:rPr>
                <w:rFonts w:ascii="Arial Narrow" w:hAnsi="Arial Narrow"/>
                <w:sz w:val="20"/>
                <w:szCs w:val="20"/>
                <w:lang w:val="en-AU"/>
              </w:rPr>
              <w:t xml:space="preserve"> </w:t>
            </w:r>
            <w:r w:rsidRPr="002E75D2">
              <w:rPr>
                <w:rFonts w:ascii="Arial Narrow" w:hAnsi="Arial Narrow"/>
                <w:sz w:val="20"/>
                <w:szCs w:val="20"/>
                <w:lang w:val="en-AU"/>
              </w:rPr>
              <w:t>(95%</w:t>
            </w:r>
            <w:r w:rsidR="006934C3" w:rsidRPr="002E75D2">
              <w:rPr>
                <w:rFonts w:ascii="Arial Narrow" w:hAnsi="Arial Narrow"/>
                <w:sz w:val="20"/>
                <w:szCs w:val="20"/>
                <w:lang w:val="en-AU"/>
              </w:rPr>
              <w:t xml:space="preserve"> </w:t>
            </w:r>
            <w:r w:rsidRPr="002E75D2">
              <w:rPr>
                <w:rFonts w:ascii="Arial Narrow" w:hAnsi="Arial Narrow"/>
                <w:sz w:val="20"/>
                <w:szCs w:val="20"/>
                <w:lang w:val="en-AU"/>
              </w:rPr>
              <w:t>CI: 5.2</w:t>
            </w:r>
            <w:r w:rsidR="006934C3" w:rsidRPr="002E75D2">
              <w:rPr>
                <w:rFonts w:ascii="Arial Narrow" w:hAnsi="Arial Narrow"/>
                <w:sz w:val="20"/>
                <w:szCs w:val="20"/>
                <w:lang w:val="en-AU"/>
              </w:rPr>
              <w:t>,</w:t>
            </w:r>
            <w:r w:rsidRPr="002E75D2">
              <w:rPr>
                <w:rFonts w:ascii="Arial Narrow" w:hAnsi="Arial Narrow"/>
                <w:sz w:val="20"/>
                <w:szCs w:val="20"/>
                <w:lang w:val="en-AU"/>
              </w:rPr>
              <w:t xml:space="preserve"> 9.5)</w:t>
            </w:r>
          </w:p>
        </w:tc>
        <w:tc>
          <w:tcPr>
            <w:tcW w:w="1156" w:type="pct"/>
            <w:tcMar>
              <w:left w:w="20" w:type="dxa"/>
              <w:right w:w="20" w:type="dxa"/>
            </w:tcMar>
          </w:tcPr>
          <w:p w14:paraId="7D4A576B" w14:textId="77777777" w:rsidR="00E261DE" w:rsidRPr="002E75D2" w:rsidRDefault="00E261DE" w:rsidP="00B4149F">
            <w:pPr>
              <w:keepNext/>
              <w:keepLines/>
              <w:jc w:val="left"/>
              <w:rPr>
                <w:rFonts w:ascii="Arial Narrow" w:hAnsi="Arial Narrow"/>
                <w:sz w:val="20"/>
                <w:szCs w:val="20"/>
                <w:lang w:val="en-AU"/>
              </w:rPr>
            </w:pPr>
            <w:r w:rsidRPr="002E75D2">
              <w:rPr>
                <w:rFonts w:ascii="Arial Narrow" w:hAnsi="Arial Narrow"/>
                <w:sz w:val="20"/>
                <w:szCs w:val="20"/>
                <w:lang w:val="en-AU"/>
              </w:rPr>
              <w:t xml:space="preserve">Quaade 2021 </w:t>
            </w:r>
          </w:p>
        </w:tc>
        <w:tc>
          <w:tcPr>
            <w:tcW w:w="1410" w:type="pct"/>
            <w:tcMar>
              <w:left w:w="20" w:type="dxa"/>
              <w:right w:w="20" w:type="dxa"/>
            </w:tcMar>
          </w:tcPr>
          <w:p w14:paraId="28088CB3" w14:textId="696FCC0B" w:rsidR="00E261DE" w:rsidRPr="002E75D2" w:rsidRDefault="00721280" w:rsidP="00B4149F">
            <w:pPr>
              <w:keepNext/>
              <w:keepLines/>
              <w:jc w:val="left"/>
              <w:rPr>
                <w:rFonts w:ascii="Arial Narrow" w:hAnsi="Arial Narrow"/>
                <w:sz w:val="20"/>
                <w:szCs w:val="20"/>
                <w:lang w:val="en-AU"/>
              </w:rPr>
            </w:pPr>
            <w:r w:rsidRPr="002E75D2">
              <w:rPr>
                <w:rFonts w:ascii="Arial Narrow" w:hAnsi="Arial Narrow"/>
                <w:sz w:val="20"/>
                <w:szCs w:val="20"/>
                <w:lang w:val="en-AU"/>
              </w:rPr>
              <w:t>T</w:t>
            </w:r>
            <w:r w:rsidR="00CD3498" w:rsidRPr="002E75D2">
              <w:rPr>
                <w:rFonts w:ascii="Arial Narrow" w:hAnsi="Arial Narrow"/>
                <w:sz w:val="20"/>
                <w:szCs w:val="20"/>
                <w:lang w:val="en-AU"/>
              </w:rPr>
              <w:t xml:space="preserve">he source </w:t>
            </w:r>
            <w:r w:rsidR="00E261DE" w:rsidRPr="002E75D2">
              <w:rPr>
                <w:rFonts w:ascii="Arial Narrow" w:hAnsi="Arial Narrow"/>
                <w:sz w:val="20"/>
                <w:szCs w:val="20"/>
                <w:lang w:val="en-AU"/>
              </w:rPr>
              <w:t>did not include Australian data (</w:t>
            </w:r>
            <w:r w:rsidR="00CD3498" w:rsidRPr="002E75D2">
              <w:rPr>
                <w:rFonts w:ascii="Arial Narrow" w:hAnsi="Arial Narrow"/>
                <w:sz w:val="20"/>
                <w:szCs w:val="20"/>
                <w:lang w:val="en-AU"/>
              </w:rPr>
              <w:t xml:space="preserve">only </w:t>
            </w:r>
            <w:r w:rsidR="00E261DE" w:rsidRPr="002E75D2">
              <w:rPr>
                <w:rFonts w:ascii="Arial Narrow" w:hAnsi="Arial Narrow"/>
                <w:sz w:val="20"/>
                <w:szCs w:val="20"/>
                <w:lang w:val="en-AU"/>
              </w:rPr>
              <w:t>included European studies).</w:t>
            </w:r>
          </w:p>
        </w:tc>
      </w:tr>
      <w:tr w:rsidR="00E261DE" w:rsidRPr="002E75D2" w14:paraId="6F032ED9" w14:textId="77777777" w:rsidTr="00C21DB1">
        <w:trPr>
          <w:cantSplit/>
          <w:trHeight w:val="300"/>
        </w:trPr>
        <w:tc>
          <w:tcPr>
            <w:tcW w:w="1528" w:type="pct"/>
            <w:tcMar>
              <w:left w:w="20" w:type="dxa"/>
              <w:right w:w="20" w:type="dxa"/>
            </w:tcMar>
          </w:tcPr>
          <w:p w14:paraId="091E38C7"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Proportion of HE that is CHE based on definition used in this submission </w:t>
            </w:r>
          </w:p>
        </w:tc>
        <w:tc>
          <w:tcPr>
            <w:tcW w:w="907" w:type="pct"/>
            <w:tcMar>
              <w:left w:w="20" w:type="dxa"/>
              <w:right w:w="20" w:type="dxa"/>
            </w:tcMar>
          </w:tcPr>
          <w:p w14:paraId="6774F2BF"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52.2%</w:t>
            </w:r>
          </w:p>
        </w:tc>
        <w:tc>
          <w:tcPr>
            <w:tcW w:w="1156" w:type="pct"/>
            <w:tcMar>
              <w:left w:w="20" w:type="dxa"/>
              <w:right w:w="20" w:type="dxa"/>
            </w:tcMar>
          </w:tcPr>
          <w:p w14:paraId="444FEEEF" w14:textId="0578AF9E"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CHECK Study Final Report </w:t>
            </w:r>
          </w:p>
        </w:tc>
        <w:tc>
          <w:tcPr>
            <w:tcW w:w="1410" w:type="pct"/>
            <w:tcMar>
              <w:left w:w="20" w:type="dxa"/>
              <w:right w:w="20" w:type="dxa"/>
            </w:tcMar>
          </w:tcPr>
          <w:p w14:paraId="498E3139" w14:textId="2ECD01BF" w:rsidR="00E261DE" w:rsidRPr="002E75D2" w:rsidRDefault="00A9708C" w:rsidP="00CF31F1">
            <w:pPr>
              <w:jc w:val="left"/>
              <w:rPr>
                <w:rFonts w:ascii="Arial Narrow" w:hAnsi="Arial Narrow"/>
                <w:sz w:val="20"/>
                <w:szCs w:val="20"/>
                <w:lang w:val="en-AU"/>
              </w:rPr>
            </w:pPr>
            <w:r w:rsidRPr="002E75D2">
              <w:rPr>
                <w:rFonts w:ascii="Arial Narrow" w:hAnsi="Arial Narrow"/>
                <w:sz w:val="20"/>
                <w:szCs w:val="20"/>
                <w:lang w:val="en-AU"/>
              </w:rPr>
              <w:t>-</w:t>
            </w:r>
          </w:p>
        </w:tc>
      </w:tr>
      <w:tr w:rsidR="00E261DE" w:rsidRPr="002E75D2" w14:paraId="145C105D" w14:textId="77777777" w:rsidTr="00C21DB1">
        <w:trPr>
          <w:cantSplit/>
          <w:trHeight w:val="300"/>
        </w:trPr>
        <w:tc>
          <w:tcPr>
            <w:tcW w:w="1528" w:type="pct"/>
            <w:tcMar>
              <w:left w:w="20" w:type="dxa"/>
              <w:right w:w="20" w:type="dxa"/>
            </w:tcMar>
          </w:tcPr>
          <w:p w14:paraId="68291E2F" w14:textId="014E9DEF" w:rsidR="00E261DE" w:rsidRPr="002E75D2" w:rsidRDefault="00E261DE" w:rsidP="00CF31F1">
            <w:pPr>
              <w:jc w:val="left"/>
              <w:rPr>
                <w:rFonts w:ascii="Arial Narrow" w:hAnsi="Arial Narrow" w:cstheme="minorHAnsi"/>
                <w:sz w:val="20"/>
                <w:szCs w:val="20"/>
                <w:lang w:val="en-AU"/>
              </w:rPr>
            </w:pPr>
            <w:r w:rsidRPr="002E75D2">
              <w:rPr>
                <w:rFonts w:ascii="Arial Narrow" w:hAnsi="Arial Narrow" w:cstheme="minorHAnsi"/>
                <w:sz w:val="20"/>
                <w:szCs w:val="20"/>
                <w:lang w:val="en-AU"/>
              </w:rPr>
              <w:t xml:space="preserve">12-month </w:t>
            </w:r>
            <w:r w:rsidR="00340934" w:rsidRPr="002E75D2">
              <w:rPr>
                <w:rFonts w:ascii="Arial Narrow" w:hAnsi="Arial Narrow" w:cstheme="minorHAnsi"/>
                <w:sz w:val="20"/>
                <w:szCs w:val="20"/>
                <w:lang w:val="en-AU"/>
              </w:rPr>
              <w:t>p</w:t>
            </w:r>
            <w:r w:rsidRPr="002E75D2">
              <w:rPr>
                <w:rFonts w:ascii="Arial Narrow" w:hAnsi="Arial Narrow" w:cstheme="minorHAnsi"/>
                <w:sz w:val="20"/>
                <w:szCs w:val="20"/>
                <w:lang w:val="en-AU"/>
              </w:rPr>
              <w:t>revalence of CHE</w:t>
            </w:r>
          </w:p>
        </w:tc>
        <w:tc>
          <w:tcPr>
            <w:tcW w:w="907" w:type="pct"/>
            <w:tcMar>
              <w:left w:w="20" w:type="dxa"/>
              <w:right w:w="20" w:type="dxa"/>
            </w:tcMar>
          </w:tcPr>
          <w:p w14:paraId="6FA10BC6" w14:textId="1E5350F4" w:rsidR="00E261DE" w:rsidRPr="002E75D2" w:rsidRDefault="00E261DE" w:rsidP="0048336E">
            <w:pPr>
              <w:jc w:val="left"/>
              <w:rPr>
                <w:rFonts w:ascii="Arial Narrow" w:hAnsi="Arial Narrow" w:cstheme="minorHAnsi"/>
                <w:sz w:val="20"/>
                <w:szCs w:val="20"/>
                <w:lang w:val="en-AU"/>
              </w:rPr>
            </w:pPr>
            <w:r w:rsidRPr="002E75D2">
              <w:rPr>
                <w:rFonts w:ascii="Arial Narrow" w:hAnsi="Arial Narrow" w:cstheme="minorHAnsi"/>
                <w:sz w:val="20"/>
                <w:szCs w:val="20"/>
                <w:lang w:val="en-AU"/>
              </w:rPr>
              <w:t>4.7%</w:t>
            </w:r>
            <w:r w:rsidR="0048336E" w:rsidRPr="002E75D2">
              <w:rPr>
                <w:rFonts w:ascii="Arial Narrow" w:hAnsi="Arial Narrow" w:cstheme="minorHAnsi"/>
                <w:sz w:val="20"/>
                <w:szCs w:val="20"/>
                <w:lang w:val="en-AU"/>
              </w:rPr>
              <w:t xml:space="preserve"> </w:t>
            </w:r>
            <w:r w:rsidRPr="002E75D2">
              <w:rPr>
                <w:rFonts w:ascii="Arial Narrow" w:hAnsi="Arial Narrow" w:cstheme="minorHAnsi"/>
                <w:sz w:val="20"/>
                <w:szCs w:val="20"/>
                <w:lang w:val="en-AU"/>
              </w:rPr>
              <w:t>(95% CI: 4.5</w:t>
            </w:r>
            <w:r w:rsidR="00340934" w:rsidRPr="002E75D2">
              <w:rPr>
                <w:rFonts w:ascii="Arial Narrow" w:hAnsi="Arial Narrow" w:cstheme="minorHAnsi"/>
                <w:sz w:val="20"/>
                <w:szCs w:val="20"/>
                <w:lang w:val="en-AU"/>
              </w:rPr>
              <w:t>,</w:t>
            </w:r>
            <w:r w:rsidRPr="002E75D2">
              <w:rPr>
                <w:rFonts w:ascii="Arial Narrow" w:hAnsi="Arial Narrow" w:cstheme="minorHAnsi"/>
                <w:sz w:val="20"/>
                <w:szCs w:val="20"/>
                <w:lang w:val="en-AU"/>
              </w:rPr>
              <w:t xml:space="preserve"> 4.9)</w:t>
            </w:r>
          </w:p>
        </w:tc>
        <w:tc>
          <w:tcPr>
            <w:tcW w:w="1156" w:type="pct"/>
            <w:tcMar>
              <w:left w:w="20" w:type="dxa"/>
              <w:right w:w="20" w:type="dxa"/>
            </w:tcMar>
          </w:tcPr>
          <w:p w14:paraId="104DA07F" w14:textId="77777777" w:rsidR="00E261DE" w:rsidRPr="002E75D2" w:rsidRDefault="00E261DE" w:rsidP="00CF31F1">
            <w:pPr>
              <w:jc w:val="left"/>
              <w:rPr>
                <w:rFonts w:ascii="Arial Narrow" w:hAnsi="Arial Narrow" w:cstheme="minorHAnsi"/>
                <w:sz w:val="20"/>
                <w:szCs w:val="20"/>
                <w:lang w:val="en-AU"/>
              </w:rPr>
            </w:pPr>
            <w:r w:rsidRPr="002E75D2">
              <w:rPr>
                <w:rFonts w:ascii="Arial Narrow" w:hAnsi="Arial Narrow" w:cstheme="minorHAnsi"/>
                <w:sz w:val="20"/>
                <w:szCs w:val="20"/>
                <w:lang w:val="en-AU"/>
              </w:rPr>
              <w:t>Apfelbacher 2025</w:t>
            </w:r>
          </w:p>
          <w:p w14:paraId="0D12DB77" w14:textId="77777777" w:rsidR="00E261DE" w:rsidRPr="002E75D2" w:rsidRDefault="00E261DE" w:rsidP="00CF31F1">
            <w:pPr>
              <w:jc w:val="left"/>
              <w:rPr>
                <w:rFonts w:ascii="Arial Narrow" w:hAnsi="Arial Narrow" w:cstheme="minorHAnsi"/>
                <w:sz w:val="20"/>
                <w:szCs w:val="20"/>
                <w:lang w:val="en-AU"/>
              </w:rPr>
            </w:pPr>
            <w:r w:rsidRPr="002E75D2">
              <w:rPr>
                <w:rFonts w:ascii="Arial Narrow" w:hAnsi="Arial Narrow" w:cstheme="minorHAnsi"/>
                <w:sz w:val="20"/>
                <w:szCs w:val="20"/>
                <w:lang w:val="en-AU"/>
              </w:rPr>
              <w:t>Voorberg 2022</w:t>
            </w:r>
          </w:p>
        </w:tc>
        <w:tc>
          <w:tcPr>
            <w:tcW w:w="1410" w:type="pct"/>
            <w:tcMar>
              <w:left w:w="20" w:type="dxa"/>
              <w:right w:w="20" w:type="dxa"/>
            </w:tcMar>
          </w:tcPr>
          <w:p w14:paraId="277A27F8" w14:textId="7EE65284" w:rsidR="00E261DE" w:rsidRPr="002E75D2" w:rsidRDefault="00A9708C" w:rsidP="00CF31F1">
            <w:pPr>
              <w:jc w:val="left"/>
              <w:rPr>
                <w:rFonts w:ascii="Arial Narrow" w:hAnsi="Arial Narrow" w:cstheme="minorHAnsi"/>
                <w:sz w:val="20"/>
                <w:szCs w:val="20"/>
                <w:lang w:val="en-AU"/>
              </w:rPr>
            </w:pPr>
            <w:r w:rsidRPr="002E75D2">
              <w:rPr>
                <w:rFonts w:ascii="Arial Narrow" w:hAnsi="Arial Narrow" w:cstheme="minorHAnsi"/>
                <w:sz w:val="20"/>
                <w:szCs w:val="20"/>
                <w:lang w:val="en-AU"/>
              </w:rPr>
              <w:t>-</w:t>
            </w:r>
          </w:p>
        </w:tc>
      </w:tr>
      <w:tr w:rsidR="00E261DE" w:rsidRPr="002E75D2" w14:paraId="75599952" w14:textId="77777777" w:rsidTr="00C21DB1">
        <w:trPr>
          <w:cantSplit/>
          <w:trHeight w:val="300"/>
        </w:trPr>
        <w:tc>
          <w:tcPr>
            <w:tcW w:w="1528" w:type="pct"/>
            <w:tcMar>
              <w:left w:w="20" w:type="dxa"/>
              <w:right w:w="20" w:type="dxa"/>
            </w:tcMar>
          </w:tcPr>
          <w:p w14:paraId="15802F63" w14:textId="7970CC6D" w:rsidR="00E261DE" w:rsidRPr="002E75D2" w:rsidRDefault="00E261DE" w:rsidP="00CF31F1">
            <w:pPr>
              <w:jc w:val="left"/>
              <w:rPr>
                <w:rFonts w:ascii="Arial Narrow" w:hAnsi="Arial Narrow"/>
                <w:sz w:val="20"/>
                <w:szCs w:val="20"/>
                <w:lang w:val="en-AU"/>
              </w:rPr>
            </w:pPr>
            <w:r w:rsidRPr="002E75D2" w:rsidDel="0068435D">
              <w:rPr>
                <w:rFonts w:ascii="Arial Narrow" w:hAnsi="Arial Narrow"/>
                <w:sz w:val="20"/>
                <w:szCs w:val="20"/>
                <w:lang w:val="en-AU"/>
              </w:rPr>
              <w:t>Proportion of moderate to severe CHE patients using TCS-only</w:t>
            </w:r>
          </w:p>
        </w:tc>
        <w:tc>
          <w:tcPr>
            <w:tcW w:w="907" w:type="pct"/>
            <w:tcMar>
              <w:left w:w="20" w:type="dxa"/>
              <w:right w:w="20" w:type="dxa"/>
            </w:tcMar>
          </w:tcPr>
          <w:p w14:paraId="71A6B337" w14:textId="1C79C476" w:rsidR="00E261DE" w:rsidRPr="002E75D2" w:rsidDel="0068435D" w:rsidRDefault="00E261DE" w:rsidP="00CF31F1">
            <w:pPr>
              <w:jc w:val="left"/>
              <w:rPr>
                <w:rFonts w:ascii="Arial Narrow" w:hAnsi="Arial Narrow"/>
                <w:sz w:val="20"/>
                <w:szCs w:val="20"/>
                <w:lang w:val="en-AU"/>
              </w:rPr>
            </w:pPr>
            <w:r w:rsidRPr="002E75D2" w:rsidDel="0068435D">
              <w:rPr>
                <w:rFonts w:ascii="Arial Narrow" w:hAnsi="Arial Narrow"/>
                <w:sz w:val="20"/>
                <w:szCs w:val="20"/>
                <w:lang w:val="en-AU"/>
              </w:rPr>
              <w:t>22.2%</w:t>
            </w:r>
          </w:p>
          <w:p w14:paraId="23364569" w14:textId="77777777" w:rsidR="00E261DE" w:rsidRPr="002E75D2" w:rsidRDefault="00E261DE" w:rsidP="00CF31F1">
            <w:pPr>
              <w:jc w:val="left"/>
              <w:rPr>
                <w:rFonts w:ascii="Arial Narrow" w:hAnsi="Arial Narrow"/>
                <w:sz w:val="20"/>
                <w:szCs w:val="20"/>
                <w:lang w:val="en-AU"/>
              </w:rPr>
            </w:pPr>
          </w:p>
        </w:tc>
        <w:tc>
          <w:tcPr>
            <w:tcW w:w="1156" w:type="pct"/>
            <w:tcMar>
              <w:left w:w="20" w:type="dxa"/>
              <w:right w:w="20" w:type="dxa"/>
            </w:tcMar>
          </w:tcPr>
          <w:p w14:paraId="74118D81" w14:textId="7BBD56E9" w:rsidR="00E261DE" w:rsidRPr="002E75D2" w:rsidDel="0068435D" w:rsidRDefault="00E261DE" w:rsidP="00CF31F1">
            <w:pPr>
              <w:jc w:val="left"/>
              <w:rPr>
                <w:rFonts w:ascii="Arial Narrow" w:hAnsi="Arial Narrow"/>
                <w:sz w:val="20"/>
                <w:szCs w:val="20"/>
                <w:lang w:val="en-AU"/>
              </w:rPr>
            </w:pPr>
            <w:r w:rsidRPr="002E75D2" w:rsidDel="0068435D">
              <w:rPr>
                <w:rFonts w:ascii="Arial Narrow" w:hAnsi="Arial Narrow"/>
                <w:sz w:val="20"/>
                <w:szCs w:val="20"/>
                <w:lang w:val="en-AU"/>
              </w:rPr>
              <w:t>CHECK Study Final Report</w:t>
            </w:r>
          </w:p>
          <w:p w14:paraId="606E8F30" w14:textId="29BC1AE9" w:rsidR="00E261DE" w:rsidRPr="002E75D2" w:rsidRDefault="00E261DE" w:rsidP="00CF31F1">
            <w:pPr>
              <w:jc w:val="left"/>
              <w:rPr>
                <w:rFonts w:ascii="Arial Narrow" w:hAnsi="Arial Narrow"/>
                <w:sz w:val="20"/>
                <w:szCs w:val="20"/>
                <w:lang w:val="en-AU"/>
              </w:rPr>
            </w:pPr>
            <w:r w:rsidRPr="002E75D2" w:rsidDel="0068435D">
              <w:rPr>
                <w:rFonts w:ascii="Arial Narrow" w:hAnsi="Arial Narrow"/>
                <w:sz w:val="20"/>
                <w:szCs w:val="20"/>
                <w:lang w:val="en-AU"/>
              </w:rPr>
              <w:t>Table 53, page 77</w:t>
            </w:r>
          </w:p>
        </w:tc>
        <w:tc>
          <w:tcPr>
            <w:tcW w:w="1410" w:type="pct"/>
            <w:tcMar>
              <w:left w:w="20" w:type="dxa"/>
              <w:right w:w="20" w:type="dxa"/>
            </w:tcMar>
          </w:tcPr>
          <w:p w14:paraId="0C781210" w14:textId="68C59AB0" w:rsidR="00E261DE" w:rsidRPr="002E75D2" w:rsidRDefault="00E261DE" w:rsidP="00CF31F1">
            <w:pPr>
              <w:jc w:val="left"/>
              <w:rPr>
                <w:rFonts w:ascii="Arial Narrow" w:hAnsi="Arial Narrow"/>
                <w:sz w:val="20"/>
                <w:szCs w:val="20"/>
                <w:lang w:val="en-AU"/>
              </w:rPr>
            </w:pPr>
            <w:r w:rsidRPr="002E75D2" w:rsidDel="0068435D">
              <w:rPr>
                <w:rFonts w:ascii="Arial Narrow" w:hAnsi="Arial Narrow"/>
                <w:sz w:val="20"/>
                <w:szCs w:val="20"/>
                <w:lang w:val="en-AU"/>
              </w:rPr>
              <w:t xml:space="preserve">The proportion of participants was 21.7%, rather than 22.2%. However, this </w:t>
            </w:r>
            <w:r w:rsidR="0048336E" w:rsidRPr="002E75D2">
              <w:rPr>
                <w:rFonts w:ascii="Arial Narrow" w:hAnsi="Arial Narrow"/>
                <w:sz w:val="20"/>
                <w:szCs w:val="20"/>
                <w:lang w:val="en-AU"/>
              </w:rPr>
              <w:t>had a minimal effect on the results</w:t>
            </w:r>
            <w:r w:rsidRPr="002E75D2" w:rsidDel="0068435D">
              <w:rPr>
                <w:rFonts w:ascii="Arial Narrow" w:hAnsi="Arial Narrow"/>
                <w:sz w:val="20"/>
                <w:szCs w:val="20"/>
                <w:lang w:val="en-AU"/>
              </w:rPr>
              <w:t>.</w:t>
            </w:r>
          </w:p>
        </w:tc>
      </w:tr>
      <w:tr w:rsidR="00E261DE" w:rsidRPr="002E75D2" w14:paraId="2EEF857B" w14:textId="77777777" w:rsidTr="00C21DB1">
        <w:trPr>
          <w:cantSplit/>
          <w:trHeight w:val="300"/>
        </w:trPr>
        <w:tc>
          <w:tcPr>
            <w:tcW w:w="1528" w:type="pct"/>
            <w:tcMar>
              <w:left w:w="20" w:type="dxa"/>
              <w:right w:w="20" w:type="dxa"/>
            </w:tcMar>
          </w:tcPr>
          <w:p w14:paraId="330F2F54" w14:textId="3F025B70"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Proportion of </w:t>
            </w:r>
            <w:r w:rsidR="001F6E91" w:rsidRPr="002E75D2">
              <w:rPr>
                <w:rFonts w:ascii="Arial Narrow" w:hAnsi="Arial Narrow"/>
                <w:sz w:val="20"/>
                <w:szCs w:val="20"/>
                <w:lang w:val="en-AU"/>
              </w:rPr>
              <w:t xml:space="preserve">moderate to severe </w:t>
            </w:r>
            <w:r w:rsidRPr="002E75D2">
              <w:rPr>
                <w:rFonts w:ascii="Arial Narrow" w:hAnsi="Arial Narrow"/>
                <w:sz w:val="20"/>
                <w:szCs w:val="20"/>
                <w:lang w:val="en-AU"/>
              </w:rPr>
              <w:t>CHE patients with an inadequate response to TCS or contraindicated to TCS, %</w:t>
            </w:r>
          </w:p>
        </w:tc>
        <w:tc>
          <w:tcPr>
            <w:tcW w:w="907" w:type="pct"/>
            <w:tcMar>
              <w:left w:w="20" w:type="dxa"/>
              <w:right w:w="20" w:type="dxa"/>
            </w:tcMar>
          </w:tcPr>
          <w:p w14:paraId="689770C5"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41.3%</w:t>
            </w:r>
          </w:p>
        </w:tc>
        <w:tc>
          <w:tcPr>
            <w:tcW w:w="1156" w:type="pct"/>
            <w:tcMar>
              <w:left w:w="20" w:type="dxa"/>
              <w:right w:w="20" w:type="dxa"/>
            </w:tcMar>
          </w:tcPr>
          <w:p w14:paraId="14CE2BCE" w14:textId="77777777" w:rsidR="00E261DE" w:rsidRPr="002E75D2" w:rsidRDefault="00E261DE" w:rsidP="00CF31F1">
            <w:pPr>
              <w:jc w:val="left"/>
              <w:rPr>
                <w:rFonts w:ascii="Arial Narrow" w:hAnsi="Arial Narrow"/>
                <w:sz w:val="20"/>
                <w:szCs w:val="20"/>
                <w:vertAlign w:val="superscript"/>
                <w:lang w:val="en-AU"/>
              </w:rPr>
            </w:pPr>
            <w:r w:rsidRPr="002E75D2">
              <w:rPr>
                <w:rFonts w:ascii="Arial Narrow" w:hAnsi="Arial Narrow"/>
                <w:sz w:val="20"/>
                <w:szCs w:val="20"/>
                <w:lang w:val="en-AU"/>
              </w:rPr>
              <w:t>Census population</w:t>
            </w:r>
            <w:r w:rsidRPr="002E75D2">
              <w:rPr>
                <w:rFonts w:ascii="Arial Narrow" w:hAnsi="Arial Narrow"/>
                <w:sz w:val="20"/>
                <w:szCs w:val="20"/>
                <w:vertAlign w:val="superscript"/>
                <w:lang w:val="en-AU"/>
              </w:rPr>
              <w:t>a</w:t>
            </w:r>
          </w:p>
          <w:p w14:paraId="44734970" w14:textId="18C206A4"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RWEAL Study Final Report</w:t>
            </w:r>
          </w:p>
        </w:tc>
        <w:tc>
          <w:tcPr>
            <w:tcW w:w="1410" w:type="pct"/>
            <w:tcMar>
              <w:left w:w="20" w:type="dxa"/>
              <w:right w:w="20" w:type="dxa"/>
            </w:tcMar>
          </w:tcPr>
          <w:p w14:paraId="15D53218" w14:textId="29B51071" w:rsidR="00E261DE" w:rsidRPr="002E75D2" w:rsidRDefault="00A9708C" w:rsidP="00CF31F1">
            <w:pPr>
              <w:jc w:val="left"/>
              <w:rPr>
                <w:rFonts w:ascii="Arial Narrow" w:hAnsi="Arial Narrow"/>
                <w:sz w:val="20"/>
                <w:szCs w:val="20"/>
                <w:lang w:val="en-AU"/>
              </w:rPr>
            </w:pPr>
            <w:r w:rsidRPr="002E75D2">
              <w:rPr>
                <w:rFonts w:ascii="Arial Narrow" w:hAnsi="Arial Narrow"/>
                <w:sz w:val="20"/>
                <w:szCs w:val="20"/>
                <w:lang w:val="en-AU"/>
              </w:rPr>
              <w:t>-</w:t>
            </w:r>
          </w:p>
        </w:tc>
      </w:tr>
      <w:tr w:rsidR="00A9708C" w:rsidRPr="002E75D2" w14:paraId="393783F1" w14:textId="77777777" w:rsidTr="00C21DB1">
        <w:trPr>
          <w:cantSplit/>
          <w:trHeight w:val="122"/>
        </w:trPr>
        <w:tc>
          <w:tcPr>
            <w:tcW w:w="5000" w:type="pct"/>
            <w:gridSpan w:val="4"/>
            <w:tcMar>
              <w:left w:w="20" w:type="dxa"/>
              <w:right w:w="20" w:type="dxa"/>
            </w:tcMar>
            <w:hideMark/>
          </w:tcPr>
          <w:p w14:paraId="0385A5D5" w14:textId="4B2CF26E" w:rsidR="00A9708C" w:rsidRPr="002E75D2" w:rsidRDefault="00A9708C" w:rsidP="00CF31F1">
            <w:pPr>
              <w:jc w:val="left"/>
              <w:rPr>
                <w:rFonts w:ascii="Arial Narrow" w:hAnsi="Arial Narrow"/>
                <w:b/>
                <w:bCs/>
                <w:color w:val="7030A0"/>
                <w:sz w:val="20"/>
                <w:szCs w:val="20"/>
                <w:lang w:val="en-AU"/>
              </w:rPr>
            </w:pPr>
            <w:r w:rsidRPr="002E75D2">
              <w:rPr>
                <w:rFonts w:ascii="Arial Narrow" w:hAnsi="Arial Narrow"/>
                <w:b/>
                <w:bCs/>
                <w:sz w:val="20"/>
                <w:szCs w:val="20"/>
                <w:lang w:val="en-AU"/>
              </w:rPr>
              <w:t>Uptake </w:t>
            </w:r>
          </w:p>
        </w:tc>
      </w:tr>
      <w:tr w:rsidR="00E261DE" w:rsidRPr="002E75D2" w14:paraId="0DC768A1" w14:textId="77777777" w:rsidTr="00C21DB1">
        <w:trPr>
          <w:cantSplit/>
          <w:trHeight w:val="300"/>
        </w:trPr>
        <w:tc>
          <w:tcPr>
            <w:tcW w:w="1528" w:type="pct"/>
            <w:tcMar>
              <w:left w:w="20" w:type="dxa"/>
              <w:right w:w="20" w:type="dxa"/>
            </w:tcMar>
            <w:hideMark/>
          </w:tcPr>
          <w:p w14:paraId="21CD8ACC"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Proportion of eligible patients prescribed treatment with delgocitinib</w:t>
            </w:r>
          </w:p>
        </w:tc>
        <w:tc>
          <w:tcPr>
            <w:tcW w:w="907" w:type="pct"/>
            <w:tcMar>
              <w:left w:w="20" w:type="dxa"/>
              <w:right w:w="20" w:type="dxa"/>
            </w:tcMar>
            <w:hideMark/>
          </w:tcPr>
          <w:p w14:paraId="65526A35" w14:textId="34023493" w:rsidR="00E261DE" w:rsidRPr="002E75D2" w:rsidRDefault="00E261DE" w:rsidP="00CF31F1">
            <w:pPr>
              <w:jc w:val="left"/>
              <w:rPr>
                <w:rFonts w:ascii="Arial Narrow" w:hAnsi="Arial Narrow"/>
                <w:sz w:val="20"/>
                <w:szCs w:val="20"/>
                <w:highlight w:val="yellow"/>
                <w:lang w:val="en-AU"/>
              </w:rPr>
            </w:pPr>
            <w:r w:rsidRPr="002E75D2">
              <w:rPr>
                <w:rFonts w:ascii="Arial Narrow" w:hAnsi="Arial Narrow"/>
                <w:sz w:val="20"/>
                <w:szCs w:val="20"/>
                <w:lang w:val="en-AU"/>
              </w:rPr>
              <w:t xml:space="preserve">Years 1 to 6: </w:t>
            </w:r>
            <w:r w:rsidR="00D34C8E" w:rsidRPr="00D34C8E">
              <w:rPr>
                <w:rFonts w:ascii="Arial Narrow" w:hAnsi="Arial Narrow"/>
                <w:sz w:val="20"/>
                <w:szCs w:val="20"/>
                <w:highlight w:val="black"/>
                <w:lang w:val="en-AU"/>
              </w:rPr>
              <w:t>&amp;&amp;&amp;&amp;</w:t>
            </w:r>
            <w:r w:rsidRPr="002E75D2">
              <w:rPr>
                <w:rFonts w:ascii="Arial Narrow" w:hAnsi="Arial Narrow"/>
                <w:sz w:val="20"/>
                <w:szCs w:val="20"/>
                <w:lang w:val="en-AU"/>
              </w:rPr>
              <w:t>%</w:t>
            </w:r>
          </w:p>
        </w:tc>
        <w:tc>
          <w:tcPr>
            <w:tcW w:w="1156" w:type="pct"/>
            <w:tcMar>
              <w:left w:w="20" w:type="dxa"/>
              <w:right w:w="20" w:type="dxa"/>
            </w:tcMar>
            <w:hideMark/>
          </w:tcPr>
          <w:p w14:paraId="25C152A4"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Expert opinion</w:t>
            </w:r>
          </w:p>
        </w:tc>
        <w:tc>
          <w:tcPr>
            <w:tcW w:w="1410" w:type="pct"/>
            <w:tcMar>
              <w:left w:w="20" w:type="dxa"/>
              <w:right w:w="20" w:type="dxa"/>
            </w:tcMar>
          </w:tcPr>
          <w:p w14:paraId="048C19D3" w14:textId="55D4C272" w:rsidR="00E261DE" w:rsidRPr="002E75D2" w:rsidRDefault="00A9708C" w:rsidP="00CF31F1">
            <w:pPr>
              <w:jc w:val="left"/>
              <w:rPr>
                <w:rFonts w:ascii="Arial Narrow" w:hAnsi="Arial Narrow"/>
                <w:sz w:val="20"/>
                <w:szCs w:val="20"/>
                <w:lang w:val="en-AU"/>
              </w:rPr>
            </w:pPr>
            <w:r w:rsidRPr="002E75D2">
              <w:rPr>
                <w:rFonts w:ascii="Arial Narrow" w:hAnsi="Arial Narrow"/>
                <w:sz w:val="20"/>
                <w:szCs w:val="20"/>
                <w:lang w:val="en-AU"/>
              </w:rPr>
              <w:t>-</w:t>
            </w:r>
          </w:p>
        </w:tc>
      </w:tr>
      <w:tr w:rsidR="00A9708C" w:rsidRPr="002E75D2" w14:paraId="31CD4B4D" w14:textId="77777777" w:rsidTr="00C21DB1">
        <w:trPr>
          <w:cantSplit/>
          <w:trHeight w:val="146"/>
        </w:trPr>
        <w:tc>
          <w:tcPr>
            <w:tcW w:w="5000" w:type="pct"/>
            <w:gridSpan w:val="4"/>
            <w:tcMar>
              <w:left w:w="20" w:type="dxa"/>
              <w:right w:w="20" w:type="dxa"/>
            </w:tcMar>
          </w:tcPr>
          <w:p w14:paraId="12A7289A" w14:textId="49CB39E6" w:rsidR="00A9708C" w:rsidRPr="002E75D2" w:rsidRDefault="00A9708C" w:rsidP="00CF31F1">
            <w:pPr>
              <w:jc w:val="left"/>
              <w:rPr>
                <w:rFonts w:ascii="Arial Narrow" w:hAnsi="Arial Narrow"/>
                <w:b/>
                <w:bCs/>
                <w:sz w:val="20"/>
                <w:szCs w:val="20"/>
                <w:lang w:val="en-AU"/>
              </w:rPr>
            </w:pPr>
            <w:r w:rsidRPr="002E75D2">
              <w:rPr>
                <w:rFonts w:ascii="Arial Narrow" w:hAnsi="Arial Narrow"/>
                <w:b/>
                <w:bCs/>
                <w:sz w:val="20"/>
                <w:szCs w:val="20"/>
                <w:lang w:val="en-AU"/>
              </w:rPr>
              <w:t xml:space="preserve">Initial treatment </w:t>
            </w:r>
          </w:p>
        </w:tc>
      </w:tr>
      <w:tr w:rsidR="00E261DE" w:rsidRPr="002E75D2" w14:paraId="18316C23" w14:textId="77777777" w:rsidTr="00C21DB1">
        <w:trPr>
          <w:cantSplit/>
          <w:trHeight w:val="56"/>
        </w:trPr>
        <w:tc>
          <w:tcPr>
            <w:tcW w:w="1528" w:type="pct"/>
            <w:tcMar>
              <w:left w:w="20" w:type="dxa"/>
              <w:right w:w="20" w:type="dxa"/>
            </w:tcMar>
            <w:hideMark/>
          </w:tcPr>
          <w:p w14:paraId="2BCE9B05"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Duration of treatment</w:t>
            </w:r>
          </w:p>
        </w:tc>
        <w:tc>
          <w:tcPr>
            <w:tcW w:w="907" w:type="pct"/>
            <w:tcMar>
              <w:left w:w="20" w:type="dxa"/>
              <w:right w:w="20" w:type="dxa"/>
            </w:tcMar>
            <w:hideMark/>
          </w:tcPr>
          <w:p w14:paraId="301DE4AF"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12 weeks</w:t>
            </w:r>
          </w:p>
        </w:tc>
        <w:tc>
          <w:tcPr>
            <w:tcW w:w="1156" w:type="pct"/>
            <w:tcMar>
              <w:left w:w="20" w:type="dxa"/>
              <w:right w:w="20" w:type="dxa"/>
            </w:tcMar>
            <w:hideMark/>
          </w:tcPr>
          <w:p w14:paraId="05DAED90" w14:textId="2655C4FC"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Proposed Australian</w:t>
            </w:r>
            <w:r w:rsidR="0048336E" w:rsidRPr="002E75D2">
              <w:rPr>
                <w:rFonts w:ascii="Arial Narrow" w:hAnsi="Arial Narrow"/>
                <w:sz w:val="20"/>
                <w:szCs w:val="20"/>
                <w:lang w:val="en-AU"/>
              </w:rPr>
              <w:t xml:space="preserve"> PI</w:t>
            </w:r>
          </w:p>
        </w:tc>
        <w:tc>
          <w:tcPr>
            <w:tcW w:w="1410" w:type="pct"/>
            <w:tcMar>
              <w:left w:w="20" w:type="dxa"/>
              <w:right w:w="20" w:type="dxa"/>
            </w:tcMar>
          </w:tcPr>
          <w:p w14:paraId="3AD85493" w14:textId="04F72EF4" w:rsidR="00E261DE" w:rsidRPr="002E75D2" w:rsidRDefault="000E447F" w:rsidP="00CF31F1">
            <w:pPr>
              <w:jc w:val="left"/>
              <w:rPr>
                <w:rFonts w:ascii="Arial Narrow" w:hAnsi="Arial Narrow"/>
                <w:sz w:val="20"/>
                <w:szCs w:val="20"/>
                <w:lang w:val="en-AU"/>
              </w:rPr>
            </w:pPr>
            <w:r>
              <w:rPr>
                <w:rFonts w:ascii="Arial Narrow" w:hAnsi="Arial Narrow"/>
                <w:sz w:val="20"/>
                <w:szCs w:val="20"/>
                <w:lang w:val="en-AU"/>
              </w:rPr>
              <w:t>-</w:t>
            </w:r>
          </w:p>
        </w:tc>
      </w:tr>
      <w:tr w:rsidR="00E261DE" w:rsidRPr="002E75D2" w14:paraId="7758762B" w14:textId="77777777" w:rsidTr="00C21DB1">
        <w:trPr>
          <w:cantSplit/>
          <w:trHeight w:val="1058"/>
        </w:trPr>
        <w:tc>
          <w:tcPr>
            <w:tcW w:w="1528" w:type="pct"/>
            <w:tcMar>
              <w:left w:w="20" w:type="dxa"/>
              <w:right w:w="20" w:type="dxa"/>
            </w:tcMar>
          </w:tcPr>
          <w:p w14:paraId="3B0E414C" w14:textId="25681072"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lastRenderedPageBreak/>
              <w:t>Proportion by response type</w:t>
            </w:r>
            <w:r w:rsidRPr="002E75D2">
              <w:rPr>
                <w:rFonts w:ascii="Arial Narrow" w:hAnsi="Arial Narrow"/>
                <w:sz w:val="20"/>
                <w:szCs w:val="20"/>
                <w:vertAlign w:val="superscript"/>
                <w:lang w:val="en-AU"/>
              </w:rPr>
              <w:t>b</w:t>
            </w:r>
            <w:r w:rsidRPr="002E75D2">
              <w:rPr>
                <w:rFonts w:ascii="Arial Narrow" w:hAnsi="Arial Narrow"/>
                <w:sz w:val="20"/>
                <w:szCs w:val="20"/>
                <w:lang w:val="en-AU"/>
              </w:rPr>
              <w:t xml:space="preserve"> within initial treatment period</w:t>
            </w:r>
            <w:r w:rsidR="0048336E" w:rsidRPr="002E75D2">
              <w:rPr>
                <w:rFonts w:ascii="Arial Narrow" w:hAnsi="Arial Narrow"/>
                <w:sz w:val="20"/>
                <w:szCs w:val="20"/>
                <w:lang w:val="en-AU"/>
              </w:rPr>
              <w:t>:</w:t>
            </w:r>
            <w:r w:rsidRPr="002E75D2">
              <w:rPr>
                <w:rFonts w:ascii="Arial Narrow" w:hAnsi="Arial Narrow"/>
                <w:sz w:val="20"/>
                <w:szCs w:val="20"/>
                <w:lang w:val="en-AU"/>
              </w:rPr>
              <w:t> </w:t>
            </w:r>
          </w:p>
          <w:p w14:paraId="2CEBDE7F"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Full response </w:t>
            </w:r>
          </w:p>
          <w:p w14:paraId="6FC37877"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Partial response </w:t>
            </w:r>
          </w:p>
          <w:p w14:paraId="38F14E43"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Low response </w:t>
            </w:r>
          </w:p>
          <w:p w14:paraId="1C5442E0"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Insufficient response </w:t>
            </w:r>
          </w:p>
        </w:tc>
        <w:tc>
          <w:tcPr>
            <w:tcW w:w="907" w:type="pct"/>
            <w:tcMar>
              <w:left w:w="20" w:type="dxa"/>
              <w:right w:w="20" w:type="dxa"/>
            </w:tcMar>
          </w:tcPr>
          <w:p w14:paraId="67963961" w14:textId="77777777" w:rsidR="00E261DE" w:rsidRPr="002E75D2" w:rsidRDefault="00E261DE" w:rsidP="00CF31F1">
            <w:pPr>
              <w:jc w:val="left"/>
              <w:rPr>
                <w:rFonts w:ascii="Arial Narrow" w:hAnsi="Arial Narrow"/>
                <w:sz w:val="20"/>
                <w:szCs w:val="20"/>
                <w:lang w:val="en-AU"/>
              </w:rPr>
            </w:pPr>
          </w:p>
          <w:p w14:paraId="4BC4A605" w14:textId="77777777" w:rsidR="00E261DE" w:rsidRPr="002E75D2" w:rsidRDefault="00E261DE" w:rsidP="00CF31F1">
            <w:pPr>
              <w:jc w:val="left"/>
              <w:rPr>
                <w:rFonts w:ascii="Arial Narrow" w:hAnsi="Arial Narrow"/>
                <w:sz w:val="20"/>
                <w:szCs w:val="20"/>
                <w:lang w:val="en-AU"/>
              </w:rPr>
            </w:pPr>
          </w:p>
          <w:p w14:paraId="5221E70E"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28.3%</w:t>
            </w:r>
          </w:p>
          <w:p w14:paraId="79A9EABC"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37.8%</w:t>
            </w:r>
          </w:p>
          <w:p w14:paraId="069F28A9"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10.0%</w:t>
            </w:r>
          </w:p>
          <w:p w14:paraId="22E78056"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23.9%</w:t>
            </w:r>
          </w:p>
        </w:tc>
        <w:tc>
          <w:tcPr>
            <w:tcW w:w="1156" w:type="pct"/>
            <w:tcMar>
              <w:left w:w="20" w:type="dxa"/>
              <w:right w:w="20" w:type="dxa"/>
            </w:tcMar>
          </w:tcPr>
          <w:p w14:paraId="26332BC6" w14:textId="67B34896"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Pooled DELTA 1 </w:t>
            </w:r>
            <w:r w:rsidR="0060339B" w:rsidRPr="002E75D2">
              <w:rPr>
                <w:rFonts w:ascii="Arial Narrow" w:hAnsi="Arial Narrow"/>
                <w:sz w:val="20"/>
                <w:szCs w:val="20"/>
                <w:lang w:val="en-AU"/>
              </w:rPr>
              <w:t>and DELTA</w:t>
            </w:r>
            <w:r w:rsidRPr="002E75D2">
              <w:rPr>
                <w:rFonts w:ascii="Arial Narrow" w:hAnsi="Arial Narrow"/>
                <w:sz w:val="20"/>
                <w:szCs w:val="20"/>
                <w:lang w:val="en-AU"/>
              </w:rPr>
              <w:t xml:space="preserve"> 2 trials.</w:t>
            </w:r>
          </w:p>
          <w:p w14:paraId="14231E2E" w14:textId="65DC24C1" w:rsidR="00E261DE" w:rsidRPr="002E75D2" w:rsidRDefault="00E261DE" w:rsidP="00CF31F1">
            <w:pPr>
              <w:jc w:val="left"/>
              <w:rPr>
                <w:rFonts w:ascii="Arial Narrow" w:hAnsi="Arial Narrow"/>
                <w:sz w:val="20"/>
                <w:szCs w:val="20"/>
                <w:lang w:val="en-AU"/>
              </w:rPr>
            </w:pPr>
          </w:p>
        </w:tc>
        <w:tc>
          <w:tcPr>
            <w:tcW w:w="1410" w:type="pct"/>
            <w:tcMar>
              <w:left w:w="20" w:type="dxa"/>
              <w:right w:w="20" w:type="dxa"/>
            </w:tcMar>
          </w:tcPr>
          <w:p w14:paraId="2249769F" w14:textId="6C9787CF" w:rsidR="00E261DE" w:rsidRPr="002E75D2" w:rsidRDefault="00A9708C" w:rsidP="00CF31F1">
            <w:pPr>
              <w:jc w:val="left"/>
              <w:rPr>
                <w:rFonts w:ascii="Arial Narrow" w:hAnsi="Arial Narrow"/>
                <w:sz w:val="20"/>
                <w:szCs w:val="20"/>
                <w:lang w:val="en-AU"/>
              </w:rPr>
            </w:pPr>
            <w:r w:rsidRPr="002E75D2">
              <w:rPr>
                <w:rFonts w:ascii="Arial Narrow" w:hAnsi="Arial Narrow"/>
                <w:sz w:val="20"/>
                <w:szCs w:val="20"/>
                <w:lang w:val="en-AU"/>
              </w:rPr>
              <w:t>-</w:t>
            </w:r>
          </w:p>
        </w:tc>
      </w:tr>
      <w:tr w:rsidR="00E261DE" w:rsidRPr="002E75D2" w14:paraId="02BBFE0F" w14:textId="77777777" w:rsidTr="00C21DB1">
        <w:trPr>
          <w:cantSplit/>
          <w:trHeight w:val="254"/>
        </w:trPr>
        <w:tc>
          <w:tcPr>
            <w:tcW w:w="1528" w:type="pct"/>
            <w:tcMar>
              <w:left w:w="20" w:type="dxa"/>
              <w:right w:w="20" w:type="dxa"/>
            </w:tcMar>
          </w:tcPr>
          <w:p w14:paraId="17BA499B"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Compliance rate in initial treatment period (100% minus days missed)</w:t>
            </w:r>
          </w:p>
        </w:tc>
        <w:tc>
          <w:tcPr>
            <w:tcW w:w="907" w:type="pct"/>
            <w:tcMar>
              <w:left w:w="20" w:type="dxa"/>
              <w:right w:w="20" w:type="dxa"/>
            </w:tcMar>
          </w:tcPr>
          <w:p w14:paraId="60A68E0E" w14:textId="77777777" w:rsidR="00E261DE" w:rsidRPr="002E75D2" w:rsidRDefault="00E261DE" w:rsidP="00CF31F1">
            <w:pPr>
              <w:ind w:right="400"/>
              <w:jc w:val="left"/>
              <w:rPr>
                <w:rFonts w:ascii="Arial Narrow" w:hAnsi="Arial Narrow"/>
                <w:sz w:val="20"/>
                <w:szCs w:val="20"/>
                <w:lang w:val="en-AU"/>
              </w:rPr>
            </w:pPr>
            <w:r w:rsidRPr="002E75D2">
              <w:rPr>
                <w:rFonts w:ascii="Arial Narrow" w:hAnsi="Arial Narrow"/>
                <w:sz w:val="20"/>
                <w:szCs w:val="20"/>
                <w:lang w:val="en-AU"/>
              </w:rPr>
              <w:t>81.66%</w:t>
            </w:r>
          </w:p>
        </w:tc>
        <w:tc>
          <w:tcPr>
            <w:tcW w:w="1156" w:type="pct"/>
            <w:tcMar>
              <w:left w:w="20" w:type="dxa"/>
              <w:right w:w="20" w:type="dxa"/>
            </w:tcMar>
          </w:tcPr>
          <w:p w14:paraId="70A4AB9D" w14:textId="137A0932"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DELTA 1 </w:t>
            </w:r>
            <w:r w:rsidR="0060339B" w:rsidRPr="002E75D2">
              <w:rPr>
                <w:rFonts w:ascii="Arial Narrow" w:hAnsi="Arial Narrow"/>
                <w:sz w:val="20"/>
                <w:szCs w:val="20"/>
                <w:lang w:val="en-AU"/>
              </w:rPr>
              <w:t>and DELTA</w:t>
            </w:r>
            <w:r w:rsidRPr="002E75D2">
              <w:rPr>
                <w:rFonts w:ascii="Arial Narrow" w:hAnsi="Arial Narrow"/>
                <w:sz w:val="20"/>
                <w:szCs w:val="20"/>
                <w:lang w:val="en-AU"/>
              </w:rPr>
              <w:t xml:space="preserve"> 2 trials</w:t>
            </w:r>
          </w:p>
        </w:tc>
        <w:tc>
          <w:tcPr>
            <w:tcW w:w="1410" w:type="pct"/>
            <w:tcMar>
              <w:left w:w="20" w:type="dxa"/>
              <w:right w:w="20" w:type="dxa"/>
            </w:tcMar>
          </w:tcPr>
          <w:p w14:paraId="7B478B68" w14:textId="067A60EE" w:rsidR="00E261DE" w:rsidRPr="002E75D2" w:rsidRDefault="008428BE" w:rsidP="00C714A8">
            <w:pPr>
              <w:jc w:val="left"/>
              <w:rPr>
                <w:rFonts w:ascii="Arial Narrow" w:hAnsi="Arial Narrow"/>
                <w:sz w:val="20"/>
                <w:szCs w:val="20"/>
                <w:lang w:val="en-AU"/>
              </w:rPr>
            </w:pPr>
            <w:r w:rsidRPr="002E75D2">
              <w:rPr>
                <w:rFonts w:ascii="Arial Narrow" w:hAnsi="Arial Narrow"/>
                <w:sz w:val="20"/>
                <w:szCs w:val="20"/>
                <w:lang w:val="en-AU"/>
              </w:rPr>
              <w:t>T</w:t>
            </w:r>
            <w:r w:rsidR="00E261DE" w:rsidRPr="002E75D2">
              <w:rPr>
                <w:rFonts w:ascii="Arial Narrow" w:hAnsi="Arial Narrow"/>
                <w:sz w:val="20"/>
                <w:szCs w:val="20"/>
                <w:lang w:val="en-AU"/>
              </w:rPr>
              <w:t>he data could not be verified</w:t>
            </w:r>
            <w:r w:rsidR="00C714A8" w:rsidRPr="002E75D2">
              <w:rPr>
                <w:rFonts w:ascii="Arial Narrow" w:hAnsi="Arial Narrow"/>
                <w:sz w:val="20"/>
                <w:szCs w:val="20"/>
                <w:lang w:val="en-AU"/>
              </w:rPr>
              <w:t>; h</w:t>
            </w:r>
            <w:r w:rsidR="00E261DE" w:rsidRPr="002E75D2">
              <w:rPr>
                <w:rFonts w:ascii="Arial Narrow" w:hAnsi="Arial Narrow"/>
                <w:sz w:val="20"/>
                <w:szCs w:val="20"/>
                <w:lang w:val="en-AU"/>
              </w:rPr>
              <w:t xml:space="preserve">owever, </w:t>
            </w:r>
            <w:r w:rsidR="00A77426" w:rsidRPr="002E75D2">
              <w:rPr>
                <w:rFonts w:ascii="Arial Narrow" w:hAnsi="Arial Narrow"/>
                <w:sz w:val="20"/>
                <w:szCs w:val="20"/>
                <w:lang w:val="en-AU"/>
              </w:rPr>
              <w:t xml:space="preserve">it is </w:t>
            </w:r>
            <w:r w:rsidR="00E261DE" w:rsidRPr="002E75D2">
              <w:rPr>
                <w:rFonts w:ascii="Arial Narrow" w:hAnsi="Arial Narrow"/>
                <w:sz w:val="20"/>
                <w:szCs w:val="20"/>
                <w:lang w:val="en-AU"/>
              </w:rPr>
              <w:t>likely to be an overestimate due to clinical trial population and conditions.</w:t>
            </w:r>
          </w:p>
        </w:tc>
      </w:tr>
      <w:tr w:rsidR="00A9708C" w:rsidRPr="002E75D2" w14:paraId="6D01275C" w14:textId="77777777" w:rsidTr="00C21DB1">
        <w:trPr>
          <w:cantSplit/>
          <w:trHeight w:val="56"/>
        </w:trPr>
        <w:tc>
          <w:tcPr>
            <w:tcW w:w="5000" w:type="pct"/>
            <w:gridSpan w:val="4"/>
            <w:tcMar>
              <w:left w:w="20" w:type="dxa"/>
              <w:right w:w="20" w:type="dxa"/>
            </w:tcMar>
          </w:tcPr>
          <w:p w14:paraId="1ADB6011" w14:textId="7676FDD7" w:rsidR="00A9708C" w:rsidRPr="002E75D2" w:rsidRDefault="00A9708C" w:rsidP="006D742D">
            <w:pPr>
              <w:keepNext/>
              <w:jc w:val="left"/>
              <w:rPr>
                <w:rFonts w:ascii="Arial Narrow" w:hAnsi="Arial Narrow"/>
                <w:b/>
                <w:bCs/>
                <w:sz w:val="20"/>
                <w:szCs w:val="20"/>
                <w:lang w:val="en-AU"/>
              </w:rPr>
            </w:pPr>
            <w:r w:rsidRPr="002E75D2">
              <w:rPr>
                <w:rFonts w:ascii="Arial Narrow" w:hAnsi="Arial Narrow"/>
                <w:b/>
                <w:bCs/>
                <w:sz w:val="20"/>
                <w:szCs w:val="20"/>
                <w:lang w:val="en-AU"/>
              </w:rPr>
              <w:t xml:space="preserve">Continuing treatment – compliance assumed as per initial treatment period </w:t>
            </w:r>
          </w:p>
        </w:tc>
      </w:tr>
      <w:tr w:rsidR="00E261DE" w:rsidRPr="002E75D2" w14:paraId="57C3A0E4" w14:textId="77777777" w:rsidTr="00C21DB1">
        <w:trPr>
          <w:cantSplit/>
          <w:trHeight w:val="300"/>
        </w:trPr>
        <w:tc>
          <w:tcPr>
            <w:tcW w:w="1528" w:type="pct"/>
            <w:tcMar>
              <w:left w:w="20" w:type="dxa"/>
              <w:right w:w="20" w:type="dxa"/>
            </w:tcMar>
          </w:tcPr>
          <w:p w14:paraId="604FF483"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Continuing treatment based upon initial response</w:t>
            </w:r>
          </w:p>
          <w:p w14:paraId="76642006"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Full response</w:t>
            </w:r>
          </w:p>
          <w:p w14:paraId="7A2D8F98" w14:textId="77777777" w:rsidR="00E261DE" w:rsidRPr="002E75D2" w:rsidRDefault="00E261DE" w:rsidP="00CF31F1">
            <w:pPr>
              <w:jc w:val="left"/>
              <w:rPr>
                <w:rFonts w:ascii="Arial Narrow" w:hAnsi="Arial Narrow"/>
                <w:sz w:val="20"/>
                <w:szCs w:val="20"/>
                <w:lang w:val="en-AU"/>
              </w:rPr>
            </w:pPr>
          </w:p>
          <w:p w14:paraId="40EABF84" w14:textId="77777777" w:rsidR="00E261DE" w:rsidRPr="002E75D2" w:rsidRDefault="00E261DE" w:rsidP="00CF31F1">
            <w:pPr>
              <w:jc w:val="left"/>
              <w:rPr>
                <w:rFonts w:ascii="Arial Narrow" w:hAnsi="Arial Narrow"/>
                <w:sz w:val="20"/>
                <w:szCs w:val="20"/>
                <w:lang w:val="en-AU"/>
              </w:rPr>
            </w:pPr>
          </w:p>
          <w:p w14:paraId="08C20A31" w14:textId="0DC4DE0E"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Partial or low response</w:t>
            </w:r>
          </w:p>
          <w:p w14:paraId="170DA81C" w14:textId="77777777" w:rsidR="00E261DE" w:rsidRPr="002E75D2" w:rsidRDefault="00E261DE" w:rsidP="00CF31F1">
            <w:pPr>
              <w:jc w:val="left"/>
              <w:rPr>
                <w:rFonts w:ascii="Arial Narrow" w:hAnsi="Arial Narrow"/>
                <w:sz w:val="20"/>
                <w:szCs w:val="20"/>
                <w:lang w:val="en-AU"/>
              </w:rPr>
            </w:pPr>
          </w:p>
          <w:p w14:paraId="01F6F764" w14:textId="77777777" w:rsidR="00E261DE" w:rsidRPr="002E75D2" w:rsidRDefault="00E261DE" w:rsidP="00CF31F1">
            <w:pPr>
              <w:jc w:val="left"/>
              <w:rPr>
                <w:rFonts w:ascii="Arial Narrow" w:hAnsi="Arial Narrow"/>
                <w:sz w:val="20"/>
                <w:szCs w:val="20"/>
                <w:lang w:val="en-AU"/>
              </w:rPr>
            </w:pPr>
          </w:p>
          <w:p w14:paraId="7A7D7A29" w14:textId="77777777" w:rsidR="00E261DE" w:rsidRPr="002E75D2" w:rsidRDefault="00E261DE" w:rsidP="00CF31F1">
            <w:pPr>
              <w:jc w:val="left"/>
              <w:rPr>
                <w:rFonts w:ascii="Arial Narrow" w:hAnsi="Arial Narrow"/>
                <w:sz w:val="20"/>
                <w:szCs w:val="20"/>
                <w:lang w:val="en-AU"/>
              </w:rPr>
            </w:pPr>
          </w:p>
          <w:p w14:paraId="6365A480" w14:textId="77777777" w:rsidR="0010495E" w:rsidRPr="002E75D2" w:rsidRDefault="0010495E" w:rsidP="00CF31F1">
            <w:pPr>
              <w:jc w:val="left"/>
              <w:rPr>
                <w:rFonts w:ascii="Arial Narrow" w:hAnsi="Arial Narrow"/>
                <w:sz w:val="20"/>
                <w:szCs w:val="20"/>
                <w:lang w:val="en-AU"/>
              </w:rPr>
            </w:pPr>
          </w:p>
          <w:p w14:paraId="3AC47800" w14:textId="2E007A6E"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Insufficient response</w:t>
            </w:r>
          </w:p>
        </w:tc>
        <w:tc>
          <w:tcPr>
            <w:tcW w:w="907" w:type="pct"/>
            <w:tcMar>
              <w:left w:w="20" w:type="dxa"/>
              <w:right w:w="20" w:type="dxa"/>
            </w:tcMar>
          </w:tcPr>
          <w:p w14:paraId="3252DFC9" w14:textId="49153F2F"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Patients cease treatment and remain at risk of recurrence/</w:t>
            </w:r>
            <w:r w:rsidR="0010495E" w:rsidRPr="002E75D2">
              <w:rPr>
                <w:rFonts w:ascii="Arial Narrow" w:hAnsi="Arial Narrow"/>
                <w:sz w:val="20"/>
                <w:szCs w:val="20"/>
                <w:lang w:val="en-AU"/>
              </w:rPr>
              <w:t xml:space="preserve"> </w:t>
            </w:r>
            <w:r w:rsidRPr="002E75D2">
              <w:rPr>
                <w:rFonts w:ascii="Arial Narrow" w:hAnsi="Arial Narrow"/>
                <w:sz w:val="20"/>
                <w:szCs w:val="20"/>
                <w:lang w:val="en-AU"/>
              </w:rPr>
              <w:t>exacerbation.</w:t>
            </w:r>
          </w:p>
          <w:p w14:paraId="7EF996E4" w14:textId="77777777" w:rsidR="0060339B" w:rsidRPr="002E75D2" w:rsidRDefault="0060339B" w:rsidP="00CF31F1">
            <w:pPr>
              <w:jc w:val="left"/>
              <w:rPr>
                <w:rFonts w:ascii="Arial Narrow" w:hAnsi="Arial Narrow"/>
                <w:sz w:val="20"/>
                <w:szCs w:val="20"/>
                <w:lang w:val="en-AU"/>
              </w:rPr>
            </w:pPr>
          </w:p>
          <w:p w14:paraId="305FFC4F" w14:textId="275581FC"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47.8% </w:t>
            </w:r>
            <w:r w:rsidR="00B93CCF" w:rsidRPr="002E75D2">
              <w:rPr>
                <w:rFonts w:ascii="Arial Narrow" w:hAnsi="Arial Narrow"/>
                <w:sz w:val="20"/>
                <w:szCs w:val="20"/>
                <w:lang w:val="en-AU"/>
              </w:rPr>
              <w:t>of patients</w:t>
            </w:r>
            <w:r w:rsidRPr="002E75D2">
              <w:rPr>
                <w:rFonts w:ascii="Arial Narrow" w:hAnsi="Arial Narrow"/>
                <w:sz w:val="20"/>
                <w:szCs w:val="20"/>
                <w:lang w:val="en-AU"/>
              </w:rPr>
              <w:t xml:space="preserve"> continue treatment for up to a further 12 weeks.</w:t>
            </w:r>
          </w:p>
          <w:p w14:paraId="6D5F37D1" w14:textId="77777777" w:rsidR="00E261DE" w:rsidRPr="002E75D2" w:rsidRDefault="00E261DE" w:rsidP="00CF31F1">
            <w:pPr>
              <w:jc w:val="left"/>
              <w:rPr>
                <w:rFonts w:ascii="Arial Narrow" w:hAnsi="Arial Narrow"/>
                <w:sz w:val="20"/>
                <w:szCs w:val="20"/>
                <w:lang w:val="en-AU"/>
              </w:rPr>
            </w:pPr>
          </w:p>
          <w:p w14:paraId="78ED33F3" w14:textId="4D64BAD6"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Patients cease treatment.</w:t>
            </w:r>
          </w:p>
        </w:tc>
        <w:tc>
          <w:tcPr>
            <w:tcW w:w="1156" w:type="pct"/>
            <w:tcMar>
              <w:left w:w="20" w:type="dxa"/>
              <w:right w:w="20" w:type="dxa"/>
            </w:tcMar>
          </w:tcPr>
          <w:p w14:paraId="3EEEE830" w14:textId="67626CBF" w:rsidR="00E261DE" w:rsidRPr="002E75D2" w:rsidRDefault="0060339B" w:rsidP="00CF31F1">
            <w:pPr>
              <w:jc w:val="left"/>
              <w:rPr>
                <w:rFonts w:ascii="Arial Narrow" w:hAnsi="Arial Narrow"/>
                <w:sz w:val="20"/>
                <w:szCs w:val="20"/>
                <w:lang w:val="en-AU"/>
              </w:rPr>
            </w:pPr>
            <w:r w:rsidRPr="002E75D2">
              <w:rPr>
                <w:rFonts w:ascii="Arial Narrow" w:hAnsi="Arial Narrow"/>
                <w:sz w:val="20"/>
                <w:szCs w:val="20"/>
                <w:lang w:val="en-AU"/>
              </w:rPr>
              <w:t>DELTA 1 and DELTA 2 trials</w:t>
            </w:r>
          </w:p>
          <w:p w14:paraId="6E4E5D77" w14:textId="77777777" w:rsidR="00E261DE" w:rsidRPr="002E75D2" w:rsidRDefault="00E261DE" w:rsidP="00CF31F1">
            <w:pPr>
              <w:jc w:val="left"/>
              <w:rPr>
                <w:rFonts w:ascii="Arial Narrow" w:hAnsi="Arial Narrow"/>
                <w:sz w:val="20"/>
                <w:szCs w:val="20"/>
                <w:lang w:val="en-AU"/>
              </w:rPr>
            </w:pPr>
          </w:p>
          <w:p w14:paraId="4F648AE0" w14:textId="77777777" w:rsidR="00E261DE" w:rsidRPr="002E75D2" w:rsidRDefault="00E261DE" w:rsidP="00CF31F1">
            <w:pPr>
              <w:jc w:val="left"/>
              <w:rPr>
                <w:rFonts w:ascii="Arial Narrow" w:hAnsi="Arial Narrow"/>
                <w:sz w:val="20"/>
                <w:szCs w:val="20"/>
                <w:lang w:val="en-AU"/>
              </w:rPr>
            </w:pPr>
          </w:p>
          <w:p w14:paraId="4FAE905D" w14:textId="77777777" w:rsidR="00F137AE" w:rsidRDefault="00F137AE" w:rsidP="00CF31F1">
            <w:pPr>
              <w:jc w:val="left"/>
              <w:rPr>
                <w:rFonts w:ascii="Arial Narrow" w:hAnsi="Arial Narrow"/>
                <w:sz w:val="20"/>
                <w:szCs w:val="20"/>
                <w:lang w:val="en-AU"/>
              </w:rPr>
            </w:pPr>
          </w:p>
          <w:p w14:paraId="1F355D6B" w14:textId="78BB9776"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47.8% is derived from partial response (37.8%) plus low response (10%) values above.</w:t>
            </w:r>
          </w:p>
        </w:tc>
        <w:tc>
          <w:tcPr>
            <w:tcW w:w="1410" w:type="pct"/>
            <w:tcMar>
              <w:left w:w="20" w:type="dxa"/>
              <w:right w:w="20" w:type="dxa"/>
            </w:tcMar>
          </w:tcPr>
          <w:p w14:paraId="5D4D9DEC" w14:textId="76442E11" w:rsidR="00E261DE" w:rsidRPr="002E75D2" w:rsidRDefault="00E261DE" w:rsidP="00CF31F1">
            <w:pPr>
              <w:jc w:val="left"/>
              <w:rPr>
                <w:rFonts w:ascii="Arial Narrow" w:hAnsi="Arial Narrow"/>
                <w:sz w:val="20"/>
                <w:szCs w:val="20"/>
                <w:lang w:val="en-AU"/>
              </w:rPr>
            </w:pPr>
          </w:p>
          <w:p w14:paraId="05B04E97" w14:textId="1EE48BFF" w:rsidR="00E261DE" w:rsidRPr="002E75D2" w:rsidRDefault="00A9708C" w:rsidP="00CF31F1">
            <w:pPr>
              <w:jc w:val="left"/>
              <w:rPr>
                <w:rFonts w:ascii="Arial Narrow" w:hAnsi="Arial Narrow"/>
                <w:sz w:val="20"/>
                <w:szCs w:val="20"/>
                <w:lang w:val="en-AU"/>
              </w:rPr>
            </w:pPr>
            <w:r w:rsidRPr="002E75D2">
              <w:rPr>
                <w:rFonts w:ascii="Arial Narrow" w:hAnsi="Arial Narrow"/>
                <w:sz w:val="20"/>
                <w:szCs w:val="20"/>
                <w:lang w:val="en-AU"/>
              </w:rPr>
              <w:t>-</w:t>
            </w:r>
          </w:p>
        </w:tc>
      </w:tr>
      <w:tr w:rsidR="00A9708C" w:rsidRPr="002E75D2" w14:paraId="2A917DB7" w14:textId="77777777" w:rsidTr="00C21DB1">
        <w:trPr>
          <w:cantSplit/>
          <w:trHeight w:val="74"/>
        </w:trPr>
        <w:tc>
          <w:tcPr>
            <w:tcW w:w="5000" w:type="pct"/>
            <w:gridSpan w:val="4"/>
            <w:tcMar>
              <w:left w:w="20" w:type="dxa"/>
              <w:right w:w="20" w:type="dxa"/>
            </w:tcMar>
          </w:tcPr>
          <w:p w14:paraId="2AF8EC64" w14:textId="3984BCCD" w:rsidR="00A9708C" w:rsidRPr="002E75D2" w:rsidRDefault="00A9708C" w:rsidP="00CF31F1">
            <w:pPr>
              <w:jc w:val="left"/>
              <w:rPr>
                <w:rFonts w:ascii="Arial Narrow" w:hAnsi="Arial Narrow"/>
                <w:b/>
                <w:bCs/>
                <w:sz w:val="20"/>
                <w:szCs w:val="20"/>
                <w:lang w:val="en-AU"/>
              </w:rPr>
            </w:pPr>
            <w:r w:rsidRPr="002E75D2">
              <w:rPr>
                <w:rFonts w:ascii="Arial Narrow" w:hAnsi="Arial Narrow"/>
                <w:b/>
                <w:bCs/>
                <w:sz w:val="20"/>
                <w:szCs w:val="20"/>
                <w:lang w:val="en-AU"/>
              </w:rPr>
              <w:t>Drug costs</w:t>
            </w:r>
          </w:p>
        </w:tc>
      </w:tr>
      <w:tr w:rsidR="00E261DE" w:rsidRPr="002E75D2" w14:paraId="0E035448" w14:textId="77777777" w:rsidTr="00C21DB1">
        <w:trPr>
          <w:cantSplit/>
          <w:trHeight w:val="300"/>
        </w:trPr>
        <w:tc>
          <w:tcPr>
            <w:tcW w:w="1528" w:type="pct"/>
            <w:tcMar>
              <w:left w:w="20" w:type="dxa"/>
              <w:right w:w="20" w:type="dxa"/>
            </w:tcMar>
          </w:tcPr>
          <w:p w14:paraId="2A90909A"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 xml:space="preserve">Delgocitinib 20 mg/g cream, </w:t>
            </w:r>
          </w:p>
          <w:p w14:paraId="0708237D" w14:textId="7777777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60-gram tube</w:t>
            </w:r>
          </w:p>
        </w:tc>
        <w:tc>
          <w:tcPr>
            <w:tcW w:w="907" w:type="pct"/>
            <w:tcMar>
              <w:left w:w="20" w:type="dxa"/>
              <w:right w:w="20" w:type="dxa"/>
            </w:tcMar>
          </w:tcPr>
          <w:p w14:paraId="5E462715" w14:textId="53A7C6F7" w:rsidR="00E261DE" w:rsidRPr="002E75D2" w:rsidRDefault="00E261DE" w:rsidP="00CF31F1">
            <w:pPr>
              <w:jc w:val="left"/>
              <w:rPr>
                <w:rFonts w:ascii="Arial Narrow" w:hAnsi="Arial Narrow"/>
                <w:sz w:val="20"/>
                <w:szCs w:val="20"/>
                <w:lang w:val="en-AU"/>
              </w:rPr>
            </w:pPr>
            <w:r w:rsidRPr="002E75D2">
              <w:rPr>
                <w:rFonts w:ascii="Arial Narrow" w:hAnsi="Arial Narrow"/>
                <w:sz w:val="20"/>
                <w:szCs w:val="20"/>
                <w:lang w:val="en-AU"/>
              </w:rPr>
              <w:t>Effective DPMQ</w:t>
            </w:r>
            <w:r w:rsidR="0060339B" w:rsidRPr="002E75D2">
              <w:rPr>
                <w:rFonts w:ascii="Arial Narrow" w:hAnsi="Arial Narrow"/>
                <w:sz w:val="20"/>
                <w:szCs w:val="20"/>
                <w:lang w:val="en-AU"/>
              </w:rPr>
              <w:t xml:space="preserve"> =</w:t>
            </w:r>
            <w:r w:rsidRPr="002E75D2">
              <w:rPr>
                <w:rFonts w:ascii="Arial Narrow" w:hAnsi="Arial Narrow"/>
                <w:sz w:val="20"/>
                <w:szCs w:val="20"/>
                <w:lang w:val="en-AU"/>
              </w:rPr>
              <w:t xml:space="preserve"> $</w:t>
            </w:r>
            <w:r w:rsidR="00D34C8E" w:rsidRPr="00D34C8E">
              <w:rPr>
                <w:rFonts w:ascii="Arial Narrow" w:hAnsi="Arial Narrow"/>
                <w:sz w:val="20"/>
                <w:szCs w:val="20"/>
                <w:highlight w:val="black"/>
                <w:lang w:val="en-AU"/>
              </w:rPr>
              <w:t>&amp;&amp;&amp;&amp;</w:t>
            </w:r>
            <w:r w:rsidR="002B2D59" w:rsidRPr="002B2D59">
              <w:rPr>
                <w:rFonts w:ascii="Arial Narrow" w:hAnsi="Arial Narrow"/>
                <w:sz w:val="20"/>
                <w:szCs w:val="20"/>
                <w:vertAlign w:val="superscript"/>
                <w:lang w:val="en-AU"/>
              </w:rPr>
              <w:t>c</w:t>
            </w:r>
          </w:p>
        </w:tc>
        <w:tc>
          <w:tcPr>
            <w:tcW w:w="1156" w:type="pct"/>
            <w:tcMar>
              <w:left w:w="20" w:type="dxa"/>
              <w:right w:w="20" w:type="dxa"/>
            </w:tcMar>
          </w:tcPr>
          <w:p w14:paraId="44564511" w14:textId="30A827EE" w:rsidR="00E261DE" w:rsidRPr="002E75D2" w:rsidRDefault="00635A89" w:rsidP="00CF31F1">
            <w:pPr>
              <w:jc w:val="left"/>
              <w:rPr>
                <w:rFonts w:ascii="Arial Narrow" w:hAnsi="Arial Narrow"/>
                <w:sz w:val="20"/>
                <w:szCs w:val="20"/>
                <w:lang w:val="en-AU"/>
              </w:rPr>
            </w:pPr>
            <w:r w:rsidRPr="002E75D2">
              <w:rPr>
                <w:rFonts w:ascii="Arial Narrow" w:hAnsi="Arial Narrow"/>
                <w:sz w:val="20"/>
                <w:szCs w:val="20"/>
                <w:lang w:val="en-AU"/>
              </w:rPr>
              <w:t>Submission</w:t>
            </w:r>
          </w:p>
        </w:tc>
        <w:tc>
          <w:tcPr>
            <w:tcW w:w="1410" w:type="pct"/>
            <w:tcMar>
              <w:left w:w="20" w:type="dxa"/>
              <w:right w:w="20" w:type="dxa"/>
            </w:tcMar>
          </w:tcPr>
          <w:p w14:paraId="3CA4815B" w14:textId="79E8901E" w:rsidR="00E261DE" w:rsidRPr="002E75D2" w:rsidRDefault="00A9708C" w:rsidP="00CF31F1">
            <w:pPr>
              <w:jc w:val="left"/>
              <w:rPr>
                <w:rFonts w:ascii="Arial Narrow" w:hAnsi="Arial Narrow"/>
                <w:sz w:val="20"/>
                <w:szCs w:val="20"/>
                <w:lang w:val="en-AU"/>
              </w:rPr>
            </w:pPr>
            <w:r w:rsidRPr="002E75D2">
              <w:rPr>
                <w:rFonts w:ascii="Arial Narrow" w:hAnsi="Arial Narrow"/>
                <w:sz w:val="20"/>
                <w:szCs w:val="20"/>
                <w:lang w:val="en-AU"/>
              </w:rPr>
              <w:t>-</w:t>
            </w:r>
          </w:p>
        </w:tc>
      </w:tr>
    </w:tbl>
    <w:p w14:paraId="30C507ED" w14:textId="5132FB40" w:rsidR="00E261DE" w:rsidRPr="002E75D2" w:rsidRDefault="00E261DE" w:rsidP="00E261DE">
      <w:pPr>
        <w:pStyle w:val="FooterTableFigure"/>
        <w:rPr>
          <w:i/>
          <w:iCs/>
        </w:rPr>
      </w:pPr>
      <w:r w:rsidRPr="002E75D2">
        <w:t xml:space="preserve">Source: Table 163, pp311-313 of the submission. </w:t>
      </w:r>
    </w:p>
    <w:p w14:paraId="11CDEAAA" w14:textId="77777777" w:rsidR="00E261DE" w:rsidRPr="002E75D2" w:rsidRDefault="00E261DE" w:rsidP="00E261DE">
      <w:pPr>
        <w:pStyle w:val="FooterTableFigure"/>
      </w:pPr>
      <w:r w:rsidRPr="002E75D2">
        <w:t>ABS, Australian Bureau of Statistics; ATC = Anatomical Therapeutic Chemical, CHE = chronic hand eczema; CSR = clinical study report; DPMQ = dispensed price for maximum quantity; HE = hand eczema; TCS = topical corticosteroid.</w:t>
      </w:r>
    </w:p>
    <w:p w14:paraId="23B02DE3" w14:textId="77777777" w:rsidR="00E261DE" w:rsidRPr="002E75D2" w:rsidRDefault="00E261DE" w:rsidP="00E261DE">
      <w:pPr>
        <w:pStyle w:val="FooterTableFigure"/>
      </w:pPr>
      <w:r w:rsidRPr="002E75D2">
        <w:rPr>
          <w:vertAlign w:val="superscript"/>
        </w:rPr>
        <w:t>a</w:t>
      </w:r>
      <w:r w:rsidRPr="002E75D2">
        <w:t xml:space="preserve"> RWEAL Study criteria for inclusion in the census population were: Adult patients aged 18 years or over; Patients with moderate to severe CHE at the time of the last visit; and Patients seen in consultation by the physician in the past 12 months prior to the enrolment date. Additional patient criteria for inclusion in the focus population were patients who had been treated with TCS, in combination or not with other CHE treatments, in the 12 months prior to the last visit, or for whom TCS were contraindicated.</w:t>
      </w:r>
    </w:p>
    <w:p w14:paraId="38DD24CC" w14:textId="77777777" w:rsidR="00E261DE" w:rsidRDefault="00E261DE" w:rsidP="00E261DE">
      <w:pPr>
        <w:pStyle w:val="FooterTableFigure"/>
      </w:pPr>
      <w:r w:rsidRPr="002E75D2">
        <w:rPr>
          <w:vertAlign w:val="superscript"/>
        </w:rPr>
        <w:t>b</w:t>
      </w:r>
      <w:r w:rsidRPr="002E75D2">
        <w:t xml:space="preserve"> Full response (IGA-CHE score 0/1 TS); Partial response (IGA-CHE score 2); Low response (IGA-CHE score 3, with 1-point improvement from baseline); Insufficient response (IGA-CHE 3 without improvement from baseline or IGA-CHE 4</w:t>
      </w:r>
    </w:p>
    <w:p w14:paraId="10AF11F7" w14:textId="6688CA38" w:rsidR="002B2D59" w:rsidRPr="002E75D2" w:rsidRDefault="002B2D59" w:rsidP="00E261DE">
      <w:pPr>
        <w:pStyle w:val="FooterTableFigure"/>
      </w:pPr>
      <w:r w:rsidRPr="007111AD">
        <w:rPr>
          <w:vertAlign w:val="superscript"/>
        </w:rPr>
        <w:t>c</w:t>
      </w:r>
      <w:r>
        <w:t xml:space="preserve"> The price applied in the financial model differed slightly from that </w:t>
      </w:r>
      <w:r w:rsidR="007111AD">
        <w:t>proposed in the submission ($</w:t>
      </w:r>
      <w:r w:rsidR="00D34C8E" w:rsidRPr="00D34C8E">
        <w:rPr>
          <w:highlight w:val="black"/>
        </w:rPr>
        <w:t>&amp;&amp;&amp;&amp;</w:t>
      </w:r>
      <w:r w:rsidR="007111AD">
        <w:t xml:space="preserve"> using July 2025 mark-ups)</w:t>
      </w:r>
    </w:p>
    <w:p w14:paraId="309B6420" w14:textId="335A4116" w:rsidR="00E261DE" w:rsidRPr="002E75D2" w:rsidRDefault="00E261DE" w:rsidP="00E261DE">
      <w:pPr>
        <w:pStyle w:val="3-BodyText"/>
      </w:pPr>
      <w:bookmarkStart w:id="100" w:name="_Ref207976934"/>
      <w:r w:rsidRPr="002E75D2">
        <w:t xml:space="preserve">The estimated use and financial implications of listing delgocitinib are given in </w:t>
      </w:r>
      <w:r w:rsidRPr="002E75D2">
        <w:fldChar w:fldCharType="begin"/>
      </w:r>
      <w:r w:rsidRPr="002E75D2">
        <w:instrText xml:space="preserve"> REF _Ref104805295 \h </w:instrText>
      </w:r>
      <w:r w:rsidR="008919B2" w:rsidRPr="002E75D2">
        <w:instrText xml:space="preserve"> \* MERGEFORMAT </w:instrText>
      </w:r>
      <w:r w:rsidRPr="002E75D2">
        <w:fldChar w:fldCharType="separate"/>
      </w:r>
      <w:r w:rsidR="00AA53DD" w:rsidRPr="002E75D2">
        <w:t xml:space="preserve">Table </w:t>
      </w:r>
      <w:r w:rsidR="00AA53DD">
        <w:t>17</w:t>
      </w:r>
      <w:r w:rsidRPr="002E75D2">
        <w:fldChar w:fldCharType="end"/>
      </w:r>
      <w:r w:rsidRPr="002E75D2">
        <w:t>.</w:t>
      </w:r>
    </w:p>
    <w:p w14:paraId="09BF0B3D" w14:textId="37194778" w:rsidR="00E261DE" w:rsidRPr="002E75D2" w:rsidRDefault="00E261DE" w:rsidP="00003976">
      <w:pPr>
        <w:pStyle w:val="Caption"/>
      </w:pPr>
      <w:bookmarkStart w:id="101" w:name="_Ref104805295"/>
      <w:r w:rsidRPr="002E75D2">
        <w:lastRenderedPageBreak/>
        <w:t xml:space="preserve">Table </w:t>
      </w:r>
      <w:r w:rsidR="000847A3">
        <w:fldChar w:fldCharType="begin"/>
      </w:r>
      <w:r w:rsidR="000847A3">
        <w:instrText xml:space="preserve"> SEQ Table \* ARABIC </w:instrText>
      </w:r>
      <w:r w:rsidR="000847A3">
        <w:fldChar w:fldCharType="separate"/>
      </w:r>
      <w:r w:rsidR="00AA53DD">
        <w:rPr>
          <w:noProof/>
        </w:rPr>
        <w:t>17</w:t>
      </w:r>
      <w:r w:rsidR="000847A3">
        <w:rPr>
          <w:noProof/>
        </w:rPr>
        <w:fldChar w:fldCharType="end"/>
      </w:r>
      <w:bookmarkEnd w:id="100"/>
      <w:bookmarkEnd w:id="101"/>
      <w:r w:rsidRPr="002E75D2">
        <w:t>:</w:t>
      </w:r>
      <w:r w:rsidRPr="002E75D2">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Estimated use and financial implications"/>
      </w:tblPr>
      <w:tblGrid>
        <w:gridCol w:w="2405"/>
        <w:gridCol w:w="1102"/>
        <w:gridCol w:w="1102"/>
        <w:gridCol w:w="1102"/>
        <w:gridCol w:w="1102"/>
        <w:gridCol w:w="1102"/>
        <w:gridCol w:w="1102"/>
      </w:tblGrid>
      <w:tr w:rsidR="00E261DE" w:rsidRPr="002E75D2" w14:paraId="34FE5E96" w14:textId="77777777" w:rsidTr="00C21DB1">
        <w:trPr>
          <w:tblHeader/>
        </w:trPr>
        <w:tc>
          <w:tcPr>
            <w:tcW w:w="1334" w:type="pct"/>
            <w:vAlign w:val="center"/>
          </w:tcPr>
          <w:p w14:paraId="011EE254" w14:textId="77777777" w:rsidR="00E261DE" w:rsidRPr="002E75D2" w:rsidRDefault="00E261DE" w:rsidP="00003976">
            <w:pPr>
              <w:pStyle w:val="In-tableHeading"/>
              <w:jc w:val="center"/>
              <w:rPr>
                <w:lang w:val="en-AU"/>
              </w:rPr>
            </w:pPr>
          </w:p>
        </w:tc>
        <w:tc>
          <w:tcPr>
            <w:tcW w:w="611" w:type="pct"/>
            <w:vAlign w:val="center"/>
          </w:tcPr>
          <w:p w14:paraId="18DD68B7" w14:textId="77777777" w:rsidR="00E261DE" w:rsidRPr="002E75D2" w:rsidRDefault="00E261DE" w:rsidP="00003976">
            <w:pPr>
              <w:pStyle w:val="In-tableHeading"/>
              <w:jc w:val="center"/>
              <w:rPr>
                <w:lang w:val="en-AU"/>
              </w:rPr>
            </w:pPr>
            <w:r w:rsidRPr="002E75D2">
              <w:rPr>
                <w:lang w:val="en-AU"/>
              </w:rPr>
              <w:t>Year 1</w:t>
            </w:r>
          </w:p>
        </w:tc>
        <w:tc>
          <w:tcPr>
            <w:tcW w:w="611" w:type="pct"/>
            <w:vAlign w:val="center"/>
          </w:tcPr>
          <w:p w14:paraId="0106F0CE" w14:textId="77777777" w:rsidR="00E261DE" w:rsidRPr="002E75D2" w:rsidRDefault="00E261DE" w:rsidP="00003976">
            <w:pPr>
              <w:pStyle w:val="In-tableHeading"/>
              <w:jc w:val="center"/>
              <w:rPr>
                <w:lang w:val="en-AU"/>
              </w:rPr>
            </w:pPr>
            <w:r w:rsidRPr="002E75D2">
              <w:rPr>
                <w:lang w:val="en-AU"/>
              </w:rPr>
              <w:t>Year 2</w:t>
            </w:r>
          </w:p>
        </w:tc>
        <w:tc>
          <w:tcPr>
            <w:tcW w:w="611" w:type="pct"/>
            <w:vAlign w:val="center"/>
          </w:tcPr>
          <w:p w14:paraId="0250AFEC" w14:textId="77777777" w:rsidR="00E261DE" w:rsidRPr="002E75D2" w:rsidRDefault="00E261DE" w:rsidP="00003976">
            <w:pPr>
              <w:pStyle w:val="In-tableHeading"/>
              <w:jc w:val="center"/>
              <w:rPr>
                <w:lang w:val="en-AU"/>
              </w:rPr>
            </w:pPr>
            <w:r w:rsidRPr="002E75D2">
              <w:rPr>
                <w:lang w:val="en-AU"/>
              </w:rPr>
              <w:t>Year 3</w:t>
            </w:r>
          </w:p>
        </w:tc>
        <w:tc>
          <w:tcPr>
            <w:tcW w:w="611" w:type="pct"/>
            <w:vAlign w:val="center"/>
          </w:tcPr>
          <w:p w14:paraId="6C79987C" w14:textId="77777777" w:rsidR="00E261DE" w:rsidRPr="002E75D2" w:rsidRDefault="00E261DE" w:rsidP="00003976">
            <w:pPr>
              <w:pStyle w:val="In-tableHeading"/>
              <w:jc w:val="center"/>
              <w:rPr>
                <w:lang w:val="en-AU"/>
              </w:rPr>
            </w:pPr>
            <w:r w:rsidRPr="002E75D2">
              <w:rPr>
                <w:lang w:val="en-AU"/>
              </w:rPr>
              <w:t>Year 4</w:t>
            </w:r>
          </w:p>
        </w:tc>
        <w:tc>
          <w:tcPr>
            <w:tcW w:w="611" w:type="pct"/>
            <w:vAlign w:val="center"/>
          </w:tcPr>
          <w:p w14:paraId="0FDBAD08" w14:textId="77777777" w:rsidR="00E261DE" w:rsidRPr="002E75D2" w:rsidRDefault="00E261DE" w:rsidP="00003976">
            <w:pPr>
              <w:pStyle w:val="In-tableHeading"/>
              <w:jc w:val="center"/>
              <w:rPr>
                <w:lang w:val="en-AU"/>
              </w:rPr>
            </w:pPr>
            <w:r w:rsidRPr="002E75D2">
              <w:rPr>
                <w:lang w:val="en-AU"/>
              </w:rPr>
              <w:t>Year 5</w:t>
            </w:r>
          </w:p>
        </w:tc>
        <w:tc>
          <w:tcPr>
            <w:tcW w:w="611" w:type="pct"/>
          </w:tcPr>
          <w:p w14:paraId="7989C2AD" w14:textId="77777777" w:rsidR="00E261DE" w:rsidRPr="002E75D2" w:rsidRDefault="00E261DE" w:rsidP="00003976">
            <w:pPr>
              <w:pStyle w:val="In-tableHeading"/>
              <w:jc w:val="center"/>
              <w:rPr>
                <w:lang w:val="en-AU"/>
              </w:rPr>
            </w:pPr>
            <w:r w:rsidRPr="002E75D2">
              <w:rPr>
                <w:lang w:val="en-AU"/>
              </w:rPr>
              <w:t>Year 6</w:t>
            </w:r>
          </w:p>
        </w:tc>
      </w:tr>
      <w:tr w:rsidR="00E261DE" w:rsidRPr="002E75D2" w14:paraId="3A4C112E" w14:textId="77777777" w:rsidTr="00C21DB1">
        <w:tc>
          <w:tcPr>
            <w:tcW w:w="5000" w:type="pct"/>
            <w:gridSpan w:val="7"/>
            <w:vAlign w:val="center"/>
          </w:tcPr>
          <w:p w14:paraId="1D7F5E29" w14:textId="4BDACFB5" w:rsidR="00E261DE" w:rsidRPr="002E75D2" w:rsidRDefault="00E261DE" w:rsidP="00003976">
            <w:pPr>
              <w:pStyle w:val="In-tableHeading"/>
              <w:rPr>
                <w:bCs/>
                <w:color w:val="000000"/>
                <w:lang w:val="en-AU"/>
              </w:rPr>
            </w:pPr>
            <w:r w:rsidRPr="002E75D2">
              <w:rPr>
                <w:bCs/>
                <w:color w:val="000000"/>
                <w:lang w:val="en-AU"/>
              </w:rPr>
              <w:t xml:space="preserve">Estimated extent of </w:t>
            </w:r>
            <w:r w:rsidR="00B226FB" w:rsidRPr="002E75D2">
              <w:rPr>
                <w:bCs/>
                <w:color w:val="000000"/>
                <w:lang w:val="en-AU"/>
              </w:rPr>
              <w:t xml:space="preserve">delgocitinib </w:t>
            </w:r>
            <w:r w:rsidRPr="002E75D2">
              <w:rPr>
                <w:bCs/>
                <w:color w:val="000000"/>
                <w:lang w:val="en-AU"/>
              </w:rPr>
              <w:t>use</w:t>
            </w:r>
          </w:p>
        </w:tc>
      </w:tr>
      <w:tr w:rsidR="00E261DE" w:rsidRPr="00DC1595" w14:paraId="3B3E0C29" w14:textId="77777777" w:rsidTr="00C21DB1">
        <w:trPr>
          <w:trHeight w:val="98"/>
        </w:trPr>
        <w:tc>
          <w:tcPr>
            <w:tcW w:w="1334" w:type="pct"/>
            <w:vAlign w:val="center"/>
          </w:tcPr>
          <w:p w14:paraId="133BD3BA" w14:textId="5B2F4AA1" w:rsidR="00E261DE" w:rsidRPr="00DC1595" w:rsidRDefault="00E261DE" w:rsidP="00003976">
            <w:pPr>
              <w:pStyle w:val="TableText0"/>
              <w:keepNext/>
              <w:rPr>
                <w:iCs w:val="0"/>
              </w:rPr>
            </w:pPr>
            <w:r w:rsidRPr="00DC1595">
              <w:rPr>
                <w:iCs w:val="0"/>
              </w:rPr>
              <w:t xml:space="preserve">Number of patients </w:t>
            </w:r>
            <w:r w:rsidR="00876928" w:rsidRPr="00DC1595">
              <w:rPr>
                <w:iCs w:val="0"/>
              </w:rPr>
              <w:t>treated</w:t>
            </w:r>
          </w:p>
        </w:tc>
        <w:tc>
          <w:tcPr>
            <w:tcW w:w="611" w:type="pct"/>
          </w:tcPr>
          <w:p w14:paraId="2ECA5CF3" w14:textId="28C2B40A" w:rsidR="00E261DE" w:rsidRPr="00042DDC" w:rsidRDefault="00D34C8E" w:rsidP="00003976">
            <w:pPr>
              <w:pStyle w:val="TableText0"/>
              <w:keepNext/>
              <w:jc w:val="center"/>
              <w:rPr>
                <w:iCs w:val="0"/>
                <w:vertAlign w:val="superscript"/>
              </w:rPr>
            </w:pPr>
            <w:r w:rsidRPr="00D34C8E">
              <w:rPr>
                <w:iCs w:val="0"/>
                <w:highlight w:val="black"/>
              </w:rPr>
              <w:t>&amp;&amp;&amp;&amp;</w:t>
            </w:r>
            <w:r w:rsidR="00042DDC">
              <w:rPr>
                <w:iCs w:val="0"/>
                <w:vertAlign w:val="superscript"/>
              </w:rPr>
              <w:t>1</w:t>
            </w:r>
          </w:p>
        </w:tc>
        <w:tc>
          <w:tcPr>
            <w:tcW w:w="611" w:type="pct"/>
          </w:tcPr>
          <w:p w14:paraId="12E5E02F" w14:textId="5081BA79" w:rsidR="00E261DE" w:rsidRPr="00042DDC" w:rsidRDefault="00D34C8E" w:rsidP="00003976">
            <w:pPr>
              <w:pStyle w:val="TableText0"/>
              <w:keepNext/>
              <w:jc w:val="center"/>
              <w:rPr>
                <w:iCs w:val="0"/>
                <w:vertAlign w:val="superscript"/>
              </w:rPr>
            </w:pPr>
            <w:r w:rsidRPr="00D34C8E">
              <w:rPr>
                <w:iCs w:val="0"/>
                <w:highlight w:val="black"/>
              </w:rPr>
              <w:t>&amp;&amp;&amp;&amp;</w:t>
            </w:r>
            <w:r w:rsidR="00042DDC">
              <w:rPr>
                <w:iCs w:val="0"/>
                <w:vertAlign w:val="superscript"/>
              </w:rPr>
              <w:t>1</w:t>
            </w:r>
          </w:p>
        </w:tc>
        <w:tc>
          <w:tcPr>
            <w:tcW w:w="611" w:type="pct"/>
          </w:tcPr>
          <w:p w14:paraId="10330CCC" w14:textId="1BDBA1CE" w:rsidR="00E261DE" w:rsidRPr="001C4F1B" w:rsidRDefault="00D34C8E" w:rsidP="00003976">
            <w:pPr>
              <w:pStyle w:val="TableText0"/>
              <w:keepNext/>
              <w:jc w:val="center"/>
              <w:rPr>
                <w:iCs w:val="0"/>
                <w:vertAlign w:val="superscript"/>
              </w:rPr>
            </w:pPr>
            <w:r w:rsidRPr="00D34C8E">
              <w:rPr>
                <w:iCs w:val="0"/>
                <w:highlight w:val="black"/>
              </w:rPr>
              <w:t>&amp;&amp;&amp;&amp;</w:t>
            </w:r>
            <w:r w:rsidR="001C4F1B">
              <w:rPr>
                <w:iCs w:val="0"/>
                <w:vertAlign w:val="superscript"/>
              </w:rPr>
              <w:t>2</w:t>
            </w:r>
          </w:p>
        </w:tc>
        <w:tc>
          <w:tcPr>
            <w:tcW w:w="611" w:type="pct"/>
          </w:tcPr>
          <w:p w14:paraId="4417D17F" w14:textId="53DB1A40" w:rsidR="00E261DE" w:rsidRPr="001C4F1B" w:rsidRDefault="00D34C8E" w:rsidP="00003976">
            <w:pPr>
              <w:pStyle w:val="TableText0"/>
              <w:keepNext/>
              <w:jc w:val="center"/>
              <w:rPr>
                <w:iCs w:val="0"/>
                <w:vertAlign w:val="superscript"/>
              </w:rPr>
            </w:pPr>
            <w:r w:rsidRPr="00D34C8E">
              <w:rPr>
                <w:iCs w:val="0"/>
                <w:highlight w:val="black"/>
              </w:rPr>
              <w:t>&amp;&amp;&amp;&amp;</w:t>
            </w:r>
            <w:r w:rsidR="001C4F1B">
              <w:rPr>
                <w:iCs w:val="0"/>
                <w:vertAlign w:val="superscript"/>
              </w:rPr>
              <w:t>2</w:t>
            </w:r>
          </w:p>
        </w:tc>
        <w:tc>
          <w:tcPr>
            <w:tcW w:w="611" w:type="pct"/>
          </w:tcPr>
          <w:p w14:paraId="2E12E8A3" w14:textId="178AEEDB" w:rsidR="00E261DE" w:rsidRPr="001C4F1B" w:rsidRDefault="00D34C8E" w:rsidP="00003976">
            <w:pPr>
              <w:pStyle w:val="TableText0"/>
              <w:keepNext/>
              <w:jc w:val="center"/>
              <w:rPr>
                <w:iCs w:val="0"/>
                <w:vertAlign w:val="superscript"/>
              </w:rPr>
            </w:pPr>
            <w:r w:rsidRPr="00D34C8E">
              <w:rPr>
                <w:iCs w:val="0"/>
                <w:highlight w:val="black"/>
              </w:rPr>
              <w:t>&amp;&amp;&amp;&amp;</w:t>
            </w:r>
            <w:r w:rsidR="001C4F1B">
              <w:rPr>
                <w:iCs w:val="0"/>
                <w:vertAlign w:val="superscript"/>
              </w:rPr>
              <w:t>2</w:t>
            </w:r>
          </w:p>
        </w:tc>
        <w:tc>
          <w:tcPr>
            <w:tcW w:w="611" w:type="pct"/>
          </w:tcPr>
          <w:p w14:paraId="394F88C0" w14:textId="47FA06B9" w:rsidR="00E261DE" w:rsidRPr="001C4F1B" w:rsidRDefault="00D34C8E" w:rsidP="00003976">
            <w:pPr>
              <w:pStyle w:val="TableText0"/>
              <w:keepNext/>
              <w:jc w:val="center"/>
              <w:rPr>
                <w:iCs w:val="0"/>
                <w:vertAlign w:val="superscript"/>
              </w:rPr>
            </w:pPr>
            <w:r w:rsidRPr="00D34C8E">
              <w:rPr>
                <w:iCs w:val="0"/>
                <w:highlight w:val="black"/>
              </w:rPr>
              <w:t>&amp;&amp;&amp;&amp;</w:t>
            </w:r>
            <w:r w:rsidR="001C4F1B">
              <w:rPr>
                <w:iCs w:val="0"/>
                <w:vertAlign w:val="superscript"/>
              </w:rPr>
              <w:t>2</w:t>
            </w:r>
          </w:p>
        </w:tc>
      </w:tr>
      <w:tr w:rsidR="00E261DE" w:rsidRPr="002E75D2" w14:paraId="1688D433" w14:textId="77777777" w:rsidTr="00C21DB1">
        <w:tc>
          <w:tcPr>
            <w:tcW w:w="1334" w:type="pct"/>
            <w:vAlign w:val="center"/>
          </w:tcPr>
          <w:p w14:paraId="566555A3" w14:textId="77777777" w:rsidR="00E261DE" w:rsidRPr="002E75D2" w:rsidRDefault="00E261DE" w:rsidP="00003976">
            <w:pPr>
              <w:pStyle w:val="TableText0"/>
              <w:keepNext/>
              <w:rPr>
                <w:rFonts w:ascii="Times" w:hAnsi="Times"/>
                <w:iCs w:val="0"/>
              </w:rPr>
            </w:pPr>
            <w:r w:rsidRPr="002E75D2">
              <w:rPr>
                <w:iCs w:val="0"/>
              </w:rPr>
              <w:t>Number of scripts dispensed</w:t>
            </w:r>
          </w:p>
        </w:tc>
        <w:tc>
          <w:tcPr>
            <w:tcW w:w="611" w:type="pct"/>
          </w:tcPr>
          <w:p w14:paraId="12F575EC" w14:textId="5DE0C5C4" w:rsidR="00E261DE" w:rsidRPr="001C4F1B" w:rsidRDefault="00D34C8E" w:rsidP="00003976">
            <w:pPr>
              <w:pStyle w:val="TableText0"/>
              <w:keepNext/>
              <w:jc w:val="center"/>
              <w:rPr>
                <w:iCs w:val="0"/>
                <w:vertAlign w:val="superscript"/>
              </w:rPr>
            </w:pPr>
            <w:r w:rsidRPr="00D34C8E">
              <w:rPr>
                <w:iCs w:val="0"/>
                <w:highlight w:val="black"/>
              </w:rPr>
              <w:t>&amp;&amp;&amp;&amp;</w:t>
            </w:r>
            <w:r w:rsidR="001C4F1B">
              <w:rPr>
                <w:iCs w:val="0"/>
                <w:vertAlign w:val="superscript"/>
              </w:rPr>
              <w:t>2</w:t>
            </w:r>
          </w:p>
        </w:tc>
        <w:tc>
          <w:tcPr>
            <w:tcW w:w="611" w:type="pct"/>
          </w:tcPr>
          <w:p w14:paraId="035BD118" w14:textId="130FD2E3" w:rsidR="00E261DE" w:rsidRPr="001C4F1B" w:rsidRDefault="00D34C8E" w:rsidP="00003976">
            <w:pPr>
              <w:pStyle w:val="TableText0"/>
              <w:keepNext/>
              <w:jc w:val="center"/>
              <w:rPr>
                <w:iCs w:val="0"/>
                <w:vertAlign w:val="superscript"/>
              </w:rPr>
            </w:pPr>
            <w:r w:rsidRPr="00D34C8E">
              <w:rPr>
                <w:iCs w:val="0"/>
                <w:highlight w:val="black"/>
              </w:rPr>
              <w:t>&amp;&amp;&amp;&amp;</w:t>
            </w:r>
            <w:r w:rsidR="001C4F1B">
              <w:rPr>
                <w:iCs w:val="0"/>
                <w:vertAlign w:val="superscript"/>
              </w:rPr>
              <w:t>2</w:t>
            </w:r>
          </w:p>
        </w:tc>
        <w:tc>
          <w:tcPr>
            <w:tcW w:w="611" w:type="pct"/>
          </w:tcPr>
          <w:p w14:paraId="379D79F9" w14:textId="611A0A68" w:rsidR="00E261DE" w:rsidRPr="001C4F1B" w:rsidRDefault="00D34C8E" w:rsidP="00003976">
            <w:pPr>
              <w:pStyle w:val="TableText0"/>
              <w:keepNext/>
              <w:jc w:val="center"/>
              <w:rPr>
                <w:iCs w:val="0"/>
                <w:vertAlign w:val="superscript"/>
              </w:rPr>
            </w:pPr>
            <w:r w:rsidRPr="00D34C8E">
              <w:rPr>
                <w:iCs w:val="0"/>
                <w:highlight w:val="black"/>
              </w:rPr>
              <w:t>&amp;&amp;&amp;&amp;</w:t>
            </w:r>
            <w:r w:rsidR="001C4F1B">
              <w:rPr>
                <w:iCs w:val="0"/>
                <w:vertAlign w:val="superscript"/>
              </w:rPr>
              <w:t>2</w:t>
            </w:r>
          </w:p>
        </w:tc>
        <w:tc>
          <w:tcPr>
            <w:tcW w:w="611" w:type="pct"/>
          </w:tcPr>
          <w:p w14:paraId="22587A5A" w14:textId="3F0E1D9C" w:rsidR="00E261DE" w:rsidRPr="006F0FED" w:rsidRDefault="00D34C8E" w:rsidP="00003976">
            <w:pPr>
              <w:pStyle w:val="TableText0"/>
              <w:keepNext/>
              <w:jc w:val="center"/>
              <w:rPr>
                <w:iCs w:val="0"/>
                <w:color w:val="000000"/>
                <w:vertAlign w:val="superscript"/>
              </w:rPr>
            </w:pPr>
            <w:r w:rsidRPr="00D34C8E">
              <w:rPr>
                <w:iCs w:val="0"/>
                <w:highlight w:val="black"/>
              </w:rPr>
              <w:t>&amp;&amp;&amp;&amp;</w:t>
            </w:r>
            <w:r w:rsidR="006F0FED">
              <w:rPr>
                <w:iCs w:val="0"/>
                <w:vertAlign w:val="superscript"/>
              </w:rPr>
              <w:t>3</w:t>
            </w:r>
          </w:p>
        </w:tc>
        <w:tc>
          <w:tcPr>
            <w:tcW w:w="611" w:type="pct"/>
          </w:tcPr>
          <w:p w14:paraId="2A5134D8" w14:textId="1B92BDBE" w:rsidR="00E261DE" w:rsidRPr="006F0FED" w:rsidRDefault="00D34C8E" w:rsidP="00003976">
            <w:pPr>
              <w:pStyle w:val="TableText0"/>
              <w:keepNext/>
              <w:jc w:val="center"/>
              <w:rPr>
                <w:iCs w:val="0"/>
                <w:color w:val="000000"/>
                <w:vertAlign w:val="superscript"/>
              </w:rPr>
            </w:pPr>
            <w:r w:rsidRPr="00D34C8E">
              <w:rPr>
                <w:iCs w:val="0"/>
                <w:highlight w:val="black"/>
              </w:rPr>
              <w:t>&amp;&amp;&amp;&amp;</w:t>
            </w:r>
            <w:r w:rsidR="006F0FED">
              <w:rPr>
                <w:iCs w:val="0"/>
                <w:vertAlign w:val="superscript"/>
              </w:rPr>
              <w:t>3</w:t>
            </w:r>
          </w:p>
        </w:tc>
        <w:tc>
          <w:tcPr>
            <w:tcW w:w="611" w:type="pct"/>
          </w:tcPr>
          <w:p w14:paraId="24D18FDD" w14:textId="6785F438" w:rsidR="00E261DE" w:rsidRPr="00890732" w:rsidRDefault="00D34C8E" w:rsidP="00003976">
            <w:pPr>
              <w:pStyle w:val="TableText0"/>
              <w:keepNext/>
              <w:jc w:val="center"/>
              <w:rPr>
                <w:iCs w:val="0"/>
                <w:color w:val="000000"/>
                <w:vertAlign w:val="superscript"/>
              </w:rPr>
            </w:pPr>
            <w:r w:rsidRPr="00D34C8E">
              <w:rPr>
                <w:iCs w:val="0"/>
                <w:highlight w:val="black"/>
              </w:rPr>
              <w:t>&amp;&amp;&amp;&amp;</w:t>
            </w:r>
            <w:r w:rsidR="00890732">
              <w:rPr>
                <w:iCs w:val="0"/>
                <w:vertAlign w:val="superscript"/>
              </w:rPr>
              <w:t>4</w:t>
            </w:r>
          </w:p>
        </w:tc>
      </w:tr>
      <w:tr w:rsidR="00E261DE" w:rsidRPr="002E75D2" w14:paraId="59A13674" w14:textId="77777777" w:rsidTr="00C21DB1">
        <w:tc>
          <w:tcPr>
            <w:tcW w:w="5000" w:type="pct"/>
            <w:gridSpan w:val="7"/>
            <w:vAlign w:val="center"/>
          </w:tcPr>
          <w:p w14:paraId="1A4163E0" w14:textId="77777777" w:rsidR="00E261DE" w:rsidRPr="002E75D2" w:rsidRDefault="00E261DE" w:rsidP="00003976">
            <w:pPr>
              <w:pStyle w:val="In-tableHeading"/>
              <w:rPr>
                <w:lang w:val="en-AU"/>
              </w:rPr>
            </w:pPr>
            <w:r w:rsidRPr="002E75D2">
              <w:rPr>
                <w:lang w:val="en-AU"/>
              </w:rPr>
              <w:t>Estimated financial implications of delgocitinib</w:t>
            </w:r>
          </w:p>
        </w:tc>
      </w:tr>
      <w:tr w:rsidR="00E261DE" w:rsidRPr="002E75D2" w14:paraId="10CA1A3F" w14:textId="77777777" w:rsidTr="00C21DB1">
        <w:tc>
          <w:tcPr>
            <w:tcW w:w="1334" w:type="pct"/>
            <w:vAlign w:val="center"/>
          </w:tcPr>
          <w:p w14:paraId="18B2F52E" w14:textId="404EEC5D" w:rsidR="00E261DE" w:rsidRPr="002E75D2" w:rsidRDefault="00E261DE" w:rsidP="00003976">
            <w:pPr>
              <w:pStyle w:val="TableText0"/>
              <w:keepNext/>
              <w:rPr>
                <w:iCs w:val="0"/>
              </w:rPr>
            </w:pPr>
            <w:r w:rsidRPr="002E75D2">
              <w:rPr>
                <w:iCs w:val="0"/>
              </w:rPr>
              <w:t xml:space="preserve">Cost to PBS/RPBS less </w:t>
            </w:r>
            <w:r w:rsidR="00876928" w:rsidRPr="002E75D2">
              <w:rPr>
                <w:iCs w:val="0"/>
              </w:rPr>
              <w:t>copayments</w:t>
            </w:r>
          </w:p>
        </w:tc>
        <w:tc>
          <w:tcPr>
            <w:tcW w:w="611" w:type="pct"/>
            <w:vAlign w:val="center"/>
          </w:tcPr>
          <w:p w14:paraId="2C4D2843" w14:textId="18F6EC27" w:rsidR="00E261DE" w:rsidRPr="00112882"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vAlign w:val="center"/>
          </w:tcPr>
          <w:p w14:paraId="6AFDA48F" w14:textId="53CE458B" w:rsidR="00E261DE" w:rsidRPr="00112882"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vAlign w:val="center"/>
          </w:tcPr>
          <w:p w14:paraId="3039B9E7" w14:textId="2B4EDA3C" w:rsidR="00E261DE" w:rsidRPr="00112882"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vAlign w:val="center"/>
          </w:tcPr>
          <w:p w14:paraId="05B4E5C9" w14:textId="0B17097D" w:rsidR="00E261DE" w:rsidRPr="00112882"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vAlign w:val="center"/>
          </w:tcPr>
          <w:p w14:paraId="39600063" w14:textId="0DD3C426" w:rsidR="00E261DE" w:rsidRPr="00750EF5"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750EF5">
              <w:rPr>
                <w:iCs w:val="0"/>
                <w:vertAlign w:val="superscript"/>
              </w:rPr>
              <w:t>6</w:t>
            </w:r>
          </w:p>
        </w:tc>
        <w:tc>
          <w:tcPr>
            <w:tcW w:w="611" w:type="pct"/>
            <w:vAlign w:val="center"/>
          </w:tcPr>
          <w:p w14:paraId="78D14ED4" w14:textId="1018A114" w:rsidR="00E261DE" w:rsidRPr="00750EF5"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750EF5">
              <w:rPr>
                <w:iCs w:val="0"/>
                <w:vertAlign w:val="superscript"/>
              </w:rPr>
              <w:t>6</w:t>
            </w:r>
          </w:p>
        </w:tc>
      </w:tr>
      <w:tr w:rsidR="00E261DE" w:rsidRPr="002E75D2" w14:paraId="07D6A302" w14:textId="77777777" w:rsidTr="00C21DB1">
        <w:tc>
          <w:tcPr>
            <w:tcW w:w="5000" w:type="pct"/>
            <w:gridSpan w:val="7"/>
            <w:vAlign w:val="center"/>
          </w:tcPr>
          <w:p w14:paraId="345DA6D9" w14:textId="01799DD6" w:rsidR="00E261DE" w:rsidRPr="002E75D2" w:rsidRDefault="00E261DE" w:rsidP="00003976">
            <w:pPr>
              <w:pStyle w:val="TableText0"/>
              <w:keepNext/>
              <w:rPr>
                <w:b/>
                <w:bCs w:val="0"/>
                <w:iCs w:val="0"/>
              </w:rPr>
            </w:pPr>
            <w:r w:rsidRPr="002E75D2">
              <w:rPr>
                <w:b/>
                <w:bCs w:val="0"/>
                <w:iCs w:val="0"/>
              </w:rPr>
              <w:t xml:space="preserve">Estimated financial implications for </w:t>
            </w:r>
            <w:r w:rsidR="00B226FB" w:rsidRPr="002E75D2">
              <w:rPr>
                <w:b/>
                <w:bCs w:val="0"/>
                <w:iCs w:val="0"/>
              </w:rPr>
              <w:t>s</w:t>
            </w:r>
            <w:r w:rsidRPr="002E75D2">
              <w:rPr>
                <w:b/>
                <w:bCs w:val="0"/>
                <w:iCs w:val="0"/>
              </w:rPr>
              <w:t xml:space="preserve">tandard of </w:t>
            </w:r>
            <w:r w:rsidR="00B226FB" w:rsidRPr="002E75D2">
              <w:rPr>
                <w:b/>
                <w:bCs w:val="0"/>
                <w:iCs w:val="0"/>
              </w:rPr>
              <w:t>c</w:t>
            </w:r>
            <w:r w:rsidRPr="002E75D2">
              <w:rPr>
                <w:b/>
                <w:bCs w:val="0"/>
                <w:iCs w:val="0"/>
              </w:rPr>
              <w:t>are</w:t>
            </w:r>
          </w:p>
        </w:tc>
      </w:tr>
      <w:tr w:rsidR="00E261DE" w:rsidRPr="002E75D2" w14:paraId="19535116" w14:textId="77777777" w:rsidTr="00C21DB1">
        <w:tc>
          <w:tcPr>
            <w:tcW w:w="1334" w:type="pct"/>
            <w:vAlign w:val="center"/>
          </w:tcPr>
          <w:p w14:paraId="503844D7" w14:textId="77777777" w:rsidR="00E261DE" w:rsidRPr="002E75D2" w:rsidRDefault="00E261DE" w:rsidP="00003976">
            <w:pPr>
              <w:pStyle w:val="TableText0"/>
              <w:keepNext/>
              <w:rPr>
                <w:iCs w:val="0"/>
              </w:rPr>
            </w:pPr>
            <w:r w:rsidRPr="002E75D2">
              <w:rPr>
                <w:iCs w:val="0"/>
              </w:rPr>
              <w:t>Cost to PBS/RPBS less copayments</w:t>
            </w:r>
          </w:p>
        </w:tc>
        <w:tc>
          <w:tcPr>
            <w:tcW w:w="611" w:type="pct"/>
            <w:vAlign w:val="center"/>
          </w:tcPr>
          <w:p w14:paraId="19B5C007" w14:textId="05053D45" w:rsidR="00A76320" w:rsidRPr="002E75D2" w:rsidRDefault="00E261DE" w:rsidP="00003976">
            <w:pPr>
              <w:pStyle w:val="TableText0"/>
              <w:keepNext/>
              <w:jc w:val="center"/>
              <w:rPr>
                <w:iCs w:val="0"/>
              </w:rPr>
            </w:pPr>
            <w:r w:rsidRPr="002E75D2">
              <w:rPr>
                <w:iCs w:val="0"/>
              </w:rPr>
              <w:t>$0</w:t>
            </w:r>
          </w:p>
        </w:tc>
        <w:tc>
          <w:tcPr>
            <w:tcW w:w="611" w:type="pct"/>
            <w:vAlign w:val="center"/>
          </w:tcPr>
          <w:p w14:paraId="6C9490CD" w14:textId="77777777" w:rsidR="00E261DE" w:rsidRPr="002E75D2" w:rsidRDefault="00E261DE" w:rsidP="00003976">
            <w:pPr>
              <w:pStyle w:val="TableText0"/>
              <w:keepNext/>
              <w:jc w:val="center"/>
              <w:rPr>
                <w:iCs w:val="0"/>
              </w:rPr>
            </w:pPr>
            <w:r w:rsidRPr="002E75D2">
              <w:rPr>
                <w:iCs w:val="0"/>
              </w:rPr>
              <w:t>$0</w:t>
            </w:r>
          </w:p>
        </w:tc>
        <w:tc>
          <w:tcPr>
            <w:tcW w:w="611" w:type="pct"/>
            <w:vAlign w:val="center"/>
          </w:tcPr>
          <w:p w14:paraId="1A83F486" w14:textId="77777777" w:rsidR="00E261DE" w:rsidRPr="002E75D2" w:rsidRDefault="00E261DE" w:rsidP="00003976">
            <w:pPr>
              <w:pStyle w:val="TableText0"/>
              <w:keepNext/>
              <w:jc w:val="center"/>
              <w:rPr>
                <w:iCs w:val="0"/>
              </w:rPr>
            </w:pPr>
            <w:r w:rsidRPr="002E75D2">
              <w:rPr>
                <w:iCs w:val="0"/>
              </w:rPr>
              <w:t>$0</w:t>
            </w:r>
          </w:p>
        </w:tc>
        <w:tc>
          <w:tcPr>
            <w:tcW w:w="611" w:type="pct"/>
            <w:vAlign w:val="center"/>
          </w:tcPr>
          <w:p w14:paraId="53486975" w14:textId="77777777" w:rsidR="00E261DE" w:rsidRPr="002E75D2" w:rsidRDefault="00E261DE" w:rsidP="00003976">
            <w:pPr>
              <w:pStyle w:val="TableText0"/>
              <w:keepNext/>
              <w:jc w:val="center"/>
              <w:rPr>
                <w:iCs w:val="0"/>
              </w:rPr>
            </w:pPr>
            <w:r w:rsidRPr="002E75D2">
              <w:rPr>
                <w:iCs w:val="0"/>
              </w:rPr>
              <w:t>$0</w:t>
            </w:r>
          </w:p>
        </w:tc>
        <w:tc>
          <w:tcPr>
            <w:tcW w:w="611" w:type="pct"/>
            <w:vAlign w:val="center"/>
          </w:tcPr>
          <w:p w14:paraId="1C0290DD" w14:textId="77777777" w:rsidR="00E261DE" w:rsidRPr="002E75D2" w:rsidRDefault="00E261DE" w:rsidP="00003976">
            <w:pPr>
              <w:pStyle w:val="TableText0"/>
              <w:keepNext/>
              <w:jc w:val="center"/>
              <w:rPr>
                <w:iCs w:val="0"/>
              </w:rPr>
            </w:pPr>
            <w:r w:rsidRPr="002E75D2">
              <w:rPr>
                <w:iCs w:val="0"/>
              </w:rPr>
              <w:t>$0</w:t>
            </w:r>
          </w:p>
        </w:tc>
        <w:tc>
          <w:tcPr>
            <w:tcW w:w="611" w:type="pct"/>
            <w:vAlign w:val="center"/>
          </w:tcPr>
          <w:p w14:paraId="297C1C38" w14:textId="77777777" w:rsidR="00E261DE" w:rsidRPr="002E75D2" w:rsidRDefault="00E261DE" w:rsidP="00003976">
            <w:pPr>
              <w:pStyle w:val="TableText0"/>
              <w:keepNext/>
              <w:jc w:val="center"/>
              <w:rPr>
                <w:iCs w:val="0"/>
              </w:rPr>
            </w:pPr>
            <w:r w:rsidRPr="002E75D2">
              <w:rPr>
                <w:iCs w:val="0"/>
              </w:rPr>
              <w:t>$0</w:t>
            </w:r>
          </w:p>
        </w:tc>
      </w:tr>
      <w:tr w:rsidR="00E261DE" w:rsidRPr="002E75D2" w14:paraId="23A40D68" w14:textId="77777777" w:rsidTr="00C21DB1">
        <w:tc>
          <w:tcPr>
            <w:tcW w:w="5000" w:type="pct"/>
            <w:gridSpan w:val="7"/>
            <w:vAlign w:val="center"/>
          </w:tcPr>
          <w:p w14:paraId="2C5A6A12" w14:textId="77777777" w:rsidR="00E261DE" w:rsidRPr="002E75D2" w:rsidRDefault="00E261DE" w:rsidP="00003976">
            <w:pPr>
              <w:pStyle w:val="In-tableHeading"/>
              <w:rPr>
                <w:lang w:val="en-AU"/>
              </w:rPr>
            </w:pPr>
            <w:r w:rsidRPr="002E75D2">
              <w:rPr>
                <w:lang w:val="en-AU"/>
              </w:rPr>
              <w:t>Net financial implications</w:t>
            </w:r>
          </w:p>
        </w:tc>
      </w:tr>
      <w:tr w:rsidR="00E261DE" w:rsidRPr="002E75D2" w14:paraId="3750EEC1" w14:textId="77777777" w:rsidTr="00C21DB1">
        <w:tc>
          <w:tcPr>
            <w:tcW w:w="1334" w:type="pct"/>
            <w:vAlign w:val="center"/>
          </w:tcPr>
          <w:p w14:paraId="67A31297" w14:textId="77777777" w:rsidR="00E261DE" w:rsidRPr="002E75D2" w:rsidRDefault="00E261DE" w:rsidP="00003976">
            <w:pPr>
              <w:pStyle w:val="TableText0"/>
              <w:keepNext/>
              <w:rPr>
                <w:iCs w:val="0"/>
              </w:rPr>
            </w:pPr>
            <w:r w:rsidRPr="002E75D2">
              <w:rPr>
                <w:iCs w:val="0"/>
              </w:rPr>
              <w:t>Net cost to PBS/RPBS</w:t>
            </w:r>
          </w:p>
        </w:tc>
        <w:tc>
          <w:tcPr>
            <w:tcW w:w="611" w:type="pct"/>
          </w:tcPr>
          <w:p w14:paraId="6EB038DB" w14:textId="1BE82361" w:rsidR="00E261DE" w:rsidRPr="00112882" w:rsidRDefault="00E261DE" w:rsidP="00003976">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tcPr>
          <w:p w14:paraId="108BFAF8" w14:textId="33A21309" w:rsidR="00E261DE" w:rsidRPr="00112882" w:rsidRDefault="00E261DE" w:rsidP="00003976">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tcPr>
          <w:p w14:paraId="421F1C54" w14:textId="6BC10F17" w:rsidR="00E261DE" w:rsidRPr="00112882" w:rsidRDefault="00E261DE" w:rsidP="00003976">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tcPr>
          <w:p w14:paraId="7DD7FA55" w14:textId="686CE8DA" w:rsidR="00E261DE" w:rsidRPr="00112882" w:rsidRDefault="00E261DE" w:rsidP="00003976">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tcPr>
          <w:p w14:paraId="0F18594F" w14:textId="352DEB02" w:rsidR="00E261DE" w:rsidRPr="00750EF5" w:rsidRDefault="00E261DE" w:rsidP="00003976">
            <w:pPr>
              <w:pStyle w:val="TableText0"/>
              <w:keepNext/>
              <w:jc w:val="center"/>
              <w:rPr>
                <w:iCs w:val="0"/>
                <w:vertAlign w:val="superscript"/>
              </w:rPr>
            </w:pPr>
            <w:r w:rsidRPr="002E75D2">
              <w:rPr>
                <w:iCs w:val="0"/>
              </w:rPr>
              <w:t>$</w:t>
            </w:r>
            <w:r w:rsidR="00D34C8E" w:rsidRPr="00D34C8E">
              <w:rPr>
                <w:iCs w:val="0"/>
                <w:highlight w:val="black"/>
              </w:rPr>
              <w:t>&amp;&amp;&amp;&amp;</w:t>
            </w:r>
            <w:r w:rsidR="00750EF5">
              <w:rPr>
                <w:iCs w:val="0"/>
                <w:vertAlign w:val="superscript"/>
              </w:rPr>
              <w:t>6</w:t>
            </w:r>
          </w:p>
        </w:tc>
        <w:tc>
          <w:tcPr>
            <w:tcW w:w="611" w:type="pct"/>
          </w:tcPr>
          <w:p w14:paraId="523E33AA" w14:textId="3D9D7036" w:rsidR="00E261DE" w:rsidRPr="00750EF5" w:rsidRDefault="00E261DE" w:rsidP="00003976">
            <w:pPr>
              <w:pStyle w:val="TableText0"/>
              <w:keepNext/>
              <w:jc w:val="center"/>
              <w:rPr>
                <w:iCs w:val="0"/>
                <w:vertAlign w:val="superscript"/>
              </w:rPr>
            </w:pPr>
            <w:r w:rsidRPr="002E75D2">
              <w:rPr>
                <w:iCs w:val="0"/>
              </w:rPr>
              <w:t>$</w:t>
            </w:r>
            <w:r w:rsidR="00D34C8E" w:rsidRPr="00D34C8E">
              <w:rPr>
                <w:iCs w:val="0"/>
                <w:highlight w:val="black"/>
              </w:rPr>
              <w:t>&amp;&amp;&amp;&amp;</w:t>
            </w:r>
            <w:r w:rsidR="00750EF5">
              <w:rPr>
                <w:iCs w:val="0"/>
                <w:vertAlign w:val="superscript"/>
              </w:rPr>
              <w:t>6</w:t>
            </w:r>
          </w:p>
        </w:tc>
      </w:tr>
      <w:tr w:rsidR="00E261DE" w:rsidRPr="002E75D2" w14:paraId="16C78581" w14:textId="77777777" w:rsidTr="00C21DB1">
        <w:tc>
          <w:tcPr>
            <w:tcW w:w="1334" w:type="pct"/>
            <w:vAlign w:val="center"/>
          </w:tcPr>
          <w:p w14:paraId="36E42E77" w14:textId="350C25B8" w:rsidR="00E261DE" w:rsidRPr="002E75D2" w:rsidRDefault="00E261DE" w:rsidP="00003976">
            <w:pPr>
              <w:pStyle w:val="TableText0"/>
              <w:keepNext/>
              <w:rPr>
                <w:rFonts w:ascii="Times" w:hAnsi="Times"/>
                <w:iCs w:val="0"/>
              </w:rPr>
            </w:pPr>
            <w:r w:rsidRPr="002E75D2">
              <w:rPr>
                <w:iCs w:val="0"/>
              </w:rPr>
              <w:t>Net cost to MBS/Services Australia/other</w:t>
            </w:r>
          </w:p>
        </w:tc>
        <w:tc>
          <w:tcPr>
            <w:tcW w:w="611" w:type="pct"/>
            <w:vAlign w:val="center"/>
          </w:tcPr>
          <w:p w14:paraId="6AD76897" w14:textId="77777777" w:rsidR="00E261DE" w:rsidRPr="002E75D2" w:rsidRDefault="00E261DE" w:rsidP="00003976">
            <w:pPr>
              <w:pStyle w:val="TableText0"/>
              <w:keepNext/>
              <w:jc w:val="center"/>
              <w:rPr>
                <w:iCs w:val="0"/>
              </w:rPr>
            </w:pPr>
            <w:r w:rsidRPr="002E75D2">
              <w:rPr>
                <w:iCs w:val="0"/>
              </w:rPr>
              <w:t>$0</w:t>
            </w:r>
          </w:p>
        </w:tc>
        <w:tc>
          <w:tcPr>
            <w:tcW w:w="611" w:type="pct"/>
            <w:vAlign w:val="center"/>
          </w:tcPr>
          <w:p w14:paraId="64D44F21" w14:textId="77777777" w:rsidR="00E261DE" w:rsidRPr="002E75D2" w:rsidRDefault="00E261DE" w:rsidP="00003976">
            <w:pPr>
              <w:pStyle w:val="TableText0"/>
              <w:keepNext/>
              <w:jc w:val="center"/>
              <w:rPr>
                <w:iCs w:val="0"/>
              </w:rPr>
            </w:pPr>
            <w:r w:rsidRPr="002E75D2">
              <w:rPr>
                <w:iCs w:val="0"/>
              </w:rPr>
              <w:t>$0</w:t>
            </w:r>
          </w:p>
        </w:tc>
        <w:tc>
          <w:tcPr>
            <w:tcW w:w="611" w:type="pct"/>
            <w:vAlign w:val="center"/>
          </w:tcPr>
          <w:p w14:paraId="3FECA2F1" w14:textId="77777777" w:rsidR="00E261DE" w:rsidRPr="002E75D2" w:rsidRDefault="00E261DE" w:rsidP="00003976">
            <w:pPr>
              <w:pStyle w:val="TableText0"/>
              <w:keepNext/>
              <w:jc w:val="center"/>
              <w:rPr>
                <w:iCs w:val="0"/>
              </w:rPr>
            </w:pPr>
            <w:r w:rsidRPr="002E75D2">
              <w:rPr>
                <w:iCs w:val="0"/>
              </w:rPr>
              <w:t>$0</w:t>
            </w:r>
          </w:p>
        </w:tc>
        <w:tc>
          <w:tcPr>
            <w:tcW w:w="611" w:type="pct"/>
            <w:vAlign w:val="center"/>
          </w:tcPr>
          <w:p w14:paraId="7433DE59" w14:textId="77777777" w:rsidR="00E261DE" w:rsidRPr="002E75D2" w:rsidRDefault="00E261DE" w:rsidP="00003976">
            <w:pPr>
              <w:pStyle w:val="TableText0"/>
              <w:keepNext/>
              <w:jc w:val="center"/>
              <w:rPr>
                <w:iCs w:val="0"/>
              </w:rPr>
            </w:pPr>
            <w:r w:rsidRPr="002E75D2">
              <w:rPr>
                <w:iCs w:val="0"/>
              </w:rPr>
              <w:t>$0</w:t>
            </w:r>
          </w:p>
        </w:tc>
        <w:tc>
          <w:tcPr>
            <w:tcW w:w="611" w:type="pct"/>
            <w:vAlign w:val="center"/>
          </w:tcPr>
          <w:p w14:paraId="04E604A1" w14:textId="77777777" w:rsidR="00E261DE" w:rsidRPr="002E75D2" w:rsidRDefault="00E261DE" w:rsidP="00003976">
            <w:pPr>
              <w:pStyle w:val="TableText0"/>
              <w:keepNext/>
              <w:jc w:val="center"/>
              <w:rPr>
                <w:iCs w:val="0"/>
              </w:rPr>
            </w:pPr>
            <w:r w:rsidRPr="002E75D2">
              <w:rPr>
                <w:iCs w:val="0"/>
              </w:rPr>
              <w:t>$0</w:t>
            </w:r>
          </w:p>
        </w:tc>
        <w:tc>
          <w:tcPr>
            <w:tcW w:w="611" w:type="pct"/>
            <w:vAlign w:val="center"/>
          </w:tcPr>
          <w:p w14:paraId="074C578E" w14:textId="77777777" w:rsidR="00E261DE" w:rsidRPr="002E75D2" w:rsidRDefault="00E261DE" w:rsidP="00003976">
            <w:pPr>
              <w:pStyle w:val="TableText0"/>
              <w:keepNext/>
              <w:jc w:val="center"/>
              <w:rPr>
                <w:iCs w:val="0"/>
              </w:rPr>
            </w:pPr>
            <w:r w:rsidRPr="002E75D2">
              <w:rPr>
                <w:iCs w:val="0"/>
              </w:rPr>
              <w:t>$0</w:t>
            </w:r>
          </w:p>
        </w:tc>
      </w:tr>
      <w:tr w:rsidR="00E261DE" w:rsidRPr="002E75D2" w14:paraId="6A5F8A99" w14:textId="77777777" w:rsidTr="00C21DB1">
        <w:tc>
          <w:tcPr>
            <w:tcW w:w="1334" w:type="pct"/>
            <w:vAlign w:val="center"/>
          </w:tcPr>
          <w:p w14:paraId="7F597210" w14:textId="2E0FD508" w:rsidR="00E261DE" w:rsidRPr="002E75D2" w:rsidRDefault="00E261DE" w:rsidP="00003976">
            <w:pPr>
              <w:pStyle w:val="TableText0"/>
              <w:keepNext/>
              <w:rPr>
                <w:iCs w:val="0"/>
              </w:rPr>
            </w:pPr>
            <w:r w:rsidRPr="002E75D2">
              <w:rPr>
                <w:iCs w:val="0"/>
              </w:rPr>
              <w:t>Net cost to PBS/RPBS/MBS/</w:t>
            </w:r>
            <w:r w:rsidR="00B226FB" w:rsidRPr="002E75D2">
              <w:rPr>
                <w:iCs w:val="0"/>
              </w:rPr>
              <w:t xml:space="preserve"> </w:t>
            </w:r>
            <w:r w:rsidRPr="002E75D2">
              <w:rPr>
                <w:iCs w:val="0"/>
              </w:rPr>
              <w:t>Services Australia</w:t>
            </w:r>
          </w:p>
        </w:tc>
        <w:tc>
          <w:tcPr>
            <w:tcW w:w="611" w:type="pct"/>
            <w:vAlign w:val="center"/>
          </w:tcPr>
          <w:p w14:paraId="4B9E6D1A" w14:textId="5BE6A234" w:rsidR="00E261DE" w:rsidRPr="00112882"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vAlign w:val="center"/>
          </w:tcPr>
          <w:p w14:paraId="14EDDF7F" w14:textId="39E995E2" w:rsidR="00E261DE" w:rsidRPr="00112882"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vAlign w:val="center"/>
          </w:tcPr>
          <w:p w14:paraId="1B1624B7" w14:textId="5127D5A5" w:rsidR="00E261DE" w:rsidRPr="00112882"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vAlign w:val="center"/>
          </w:tcPr>
          <w:p w14:paraId="689C956C" w14:textId="003BECEB" w:rsidR="00E261DE" w:rsidRPr="00112882"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112882">
              <w:rPr>
                <w:iCs w:val="0"/>
                <w:vertAlign w:val="superscript"/>
              </w:rPr>
              <w:t>5</w:t>
            </w:r>
          </w:p>
        </w:tc>
        <w:tc>
          <w:tcPr>
            <w:tcW w:w="611" w:type="pct"/>
            <w:vAlign w:val="center"/>
          </w:tcPr>
          <w:p w14:paraId="2CEF408C" w14:textId="15FC9BE9" w:rsidR="00E261DE" w:rsidRPr="00750EF5"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750EF5">
              <w:rPr>
                <w:iCs w:val="0"/>
                <w:vertAlign w:val="superscript"/>
              </w:rPr>
              <w:t>6</w:t>
            </w:r>
          </w:p>
        </w:tc>
        <w:tc>
          <w:tcPr>
            <w:tcW w:w="611" w:type="pct"/>
            <w:vAlign w:val="center"/>
          </w:tcPr>
          <w:p w14:paraId="260008D5" w14:textId="16F5F764" w:rsidR="00E261DE" w:rsidRPr="00750EF5" w:rsidRDefault="00E261DE" w:rsidP="00FA53A4">
            <w:pPr>
              <w:pStyle w:val="TableText0"/>
              <w:keepNext/>
              <w:jc w:val="center"/>
              <w:rPr>
                <w:iCs w:val="0"/>
                <w:vertAlign w:val="superscript"/>
              </w:rPr>
            </w:pPr>
            <w:r w:rsidRPr="002E75D2">
              <w:rPr>
                <w:iCs w:val="0"/>
              </w:rPr>
              <w:t>$</w:t>
            </w:r>
            <w:r w:rsidR="00D34C8E" w:rsidRPr="00D34C8E">
              <w:rPr>
                <w:iCs w:val="0"/>
                <w:highlight w:val="black"/>
              </w:rPr>
              <w:t>&amp;&amp;&amp;&amp;</w:t>
            </w:r>
            <w:r w:rsidR="00750EF5">
              <w:rPr>
                <w:iCs w:val="0"/>
                <w:vertAlign w:val="superscript"/>
              </w:rPr>
              <w:t>6</w:t>
            </w:r>
          </w:p>
        </w:tc>
      </w:tr>
    </w:tbl>
    <w:p w14:paraId="6E550AC3" w14:textId="274DB975" w:rsidR="00E261DE" w:rsidRPr="002E75D2" w:rsidRDefault="00E261DE" w:rsidP="00E261DE">
      <w:pPr>
        <w:pStyle w:val="FooterTableFigure"/>
      </w:pPr>
      <w:r w:rsidRPr="002E75D2">
        <w:t>Source: Table 164, p316 and Table 168, p321 of the submission.</w:t>
      </w:r>
      <w:r w:rsidR="004D2BA9">
        <w:t xml:space="preserve"> </w:t>
      </w:r>
      <w:r w:rsidR="00382794" w:rsidRPr="002E75D2">
        <w:t>Only evaluation-corrected figures presented.</w:t>
      </w:r>
    </w:p>
    <w:p w14:paraId="405E119B" w14:textId="23CFA197" w:rsidR="007C497D" w:rsidRPr="007C497D" w:rsidRDefault="00E261DE" w:rsidP="007C497D">
      <w:pPr>
        <w:pStyle w:val="FooterTableFigure"/>
        <w:rPr>
          <w:i/>
        </w:rPr>
      </w:pPr>
      <w:r w:rsidRPr="002E75D2">
        <w:t>MBS = Medicare Benefits Schedule; PBS = Pharmaceutical Benefits Scheme, RPBS = Repatriation Pharmaceutical Benefits Scheme</w:t>
      </w:r>
      <w:bookmarkStart w:id="102" w:name="_Hlk218762753"/>
      <w:bookmarkStart w:id="103" w:name="_Hlk218764868"/>
      <w:r w:rsidR="007C497D" w:rsidRPr="007C497D">
        <w:rPr>
          <w:i/>
          <w:szCs w:val="18"/>
        </w:rPr>
        <w:t xml:space="preserve"> </w:t>
      </w:r>
      <w:r w:rsidR="007C497D" w:rsidRPr="007C497D">
        <w:rPr>
          <w:i/>
        </w:rPr>
        <w:t xml:space="preserve">The redacted values correspond to the following ranges: </w:t>
      </w:r>
    </w:p>
    <w:p w14:paraId="73D643D8" w14:textId="29ACBF33" w:rsidR="007C497D" w:rsidRPr="007C497D" w:rsidRDefault="007C497D" w:rsidP="007C497D">
      <w:pPr>
        <w:pStyle w:val="FooterTableFigure"/>
        <w:rPr>
          <w:i/>
        </w:rPr>
      </w:pPr>
      <w:r w:rsidRPr="007C497D">
        <w:rPr>
          <w:i/>
          <w:vertAlign w:val="superscript"/>
        </w:rPr>
        <w:t>1</w:t>
      </w:r>
      <w:r w:rsidRPr="007C497D">
        <w:rPr>
          <w:i/>
        </w:rPr>
        <w:t xml:space="preserve"> </w:t>
      </w:r>
      <w:bookmarkStart w:id="104" w:name="_Hlk218774930"/>
      <w:r w:rsidR="00042DDC" w:rsidRPr="00042DDC">
        <w:rPr>
          <w:i/>
        </w:rPr>
        <w:t>5,000 to &lt; 10,000</w:t>
      </w:r>
      <w:bookmarkEnd w:id="104"/>
    </w:p>
    <w:p w14:paraId="7DF59BD1" w14:textId="1D6AAD62" w:rsidR="007C497D" w:rsidRPr="007C497D" w:rsidRDefault="007C497D" w:rsidP="007C497D">
      <w:pPr>
        <w:pStyle w:val="FooterTableFigure"/>
        <w:rPr>
          <w:i/>
        </w:rPr>
      </w:pPr>
      <w:r w:rsidRPr="007C497D">
        <w:rPr>
          <w:i/>
          <w:vertAlign w:val="superscript"/>
        </w:rPr>
        <w:t>2</w:t>
      </w:r>
      <w:r w:rsidRPr="007C497D">
        <w:rPr>
          <w:i/>
        </w:rPr>
        <w:t xml:space="preserve"> </w:t>
      </w:r>
      <w:r w:rsidR="001C4F1B" w:rsidRPr="001C4F1B">
        <w:rPr>
          <w:i/>
        </w:rPr>
        <w:t>10,000 to &lt; 20,000</w:t>
      </w:r>
    </w:p>
    <w:p w14:paraId="5267A5EC" w14:textId="1EF80559" w:rsidR="007C497D" w:rsidRPr="007C497D" w:rsidRDefault="007C497D" w:rsidP="007C497D">
      <w:pPr>
        <w:pStyle w:val="FooterTableFigure"/>
        <w:rPr>
          <w:i/>
        </w:rPr>
      </w:pPr>
      <w:r w:rsidRPr="007C497D">
        <w:rPr>
          <w:i/>
          <w:vertAlign w:val="superscript"/>
        </w:rPr>
        <w:t>3</w:t>
      </w:r>
      <w:r w:rsidRPr="007C497D">
        <w:rPr>
          <w:i/>
        </w:rPr>
        <w:t xml:space="preserve"> </w:t>
      </w:r>
      <w:bookmarkStart w:id="105" w:name="_Hlk218775766"/>
      <w:r w:rsidR="006F0FED" w:rsidRPr="006F0FED">
        <w:rPr>
          <w:i/>
        </w:rPr>
        <w:t>20,000 to &lt; 30,000</w:t>
      </w:r>
      <w:bookmarkEnd w:id="105"/>
    </w:p>
    <w:p w14:paraId="6D553875" w14:textId="0F41ABB2" w:rsidR="007C497D" w:rsidRPr="007C497D" w:rsidRDefault="007C497D" w:rsidP="007C497D">
      <w:pPr>
        <w:pStyle w:val="FooterTableFigure"/>
        <w:rPr>
          <w:i/>
        </w:rPr>
      </w:pPr>
      <w:r w:rsidRPr="007C497D">
        <w:rPr>
          <w:i/>
          <w:vertAlign w:val="superscript"/>
        </w:rPr>
        <w:t>4</w:t>
      </w:r>
      <w:r w:rsidRPr="007C497D">
        <w:rPr>
          <w:i/>
        </w:rPr>
        <w:t xml:space="preserve"> </w:t>
      </w:r>
      <w:r w:rsidR="00890732" w:rsidRPr="00890732">
        <w:rPr>
          <w:i/>
        </w:rPr>
        <w:t>30,000 to &lt; 40,000</w:t>
      </w:r>
    </w:p>
    <w:p w14:paraId="7963C5A7" w14:textId="75ACED5B" w:rsidR="007C497D" w:rsidRPr="007C497D" w:rsidRDefault="007C497D" w:rsidP="007C497D">
      <w:pPr>
        <w:pStyle w:val="FooterTableFigure"/>
        <w:rPr>
          <w:i/>
        </w:rPr>
      </w:pPr>
      <w:r w:rsidRPr="007C497D">
        <w:rPr>
          <w:i/>
          <w:vertAlign w:val="superscript"/>
        </w:rPr>
        <w:t>5</w:t>
      </w:r>
      <w:r w:rsidRPr="007C497D">
        <w:rPr>
          <w:i/>
        </w:rPr>
        <w:t xml:space="preserve"> </w:t>
      </w:r>
      <w:r w:rsidR="00112882" w:rsidRPr="00112882">
        <w:rPr>
          <w:i/>
        </w:rPr>
        <w:t>$10 million to &lt; $20 million</w:t>
      </w:r>
    </w:p>
    <w:bookmarkEnd w:id="102"/>
    <w:p w14:paraId="4F8ACC5B" w14:textId="43220F53" w:rsidR="00E261DE" w:rsidRPr="002E75D2" w:rsidRDefault="007C497D" w:rsidP="00E261DE">
      <w:pPr>
        <w:pStyle w:val="FooterTableFigure"/>
        <w:rPr>
          <w:rStyle w:val="CommentReference"/>
        </w:rPr>
      </w:pPr>
      <w:r w:rsidRPr="007C497D">
        <w:rPr>
          <w:i/>
          <w:vertAlign w:val="superscript"/>
        </w:rPr>
        <w:t>6</w:t>
      </w:r>
      <w:r w:rsidRPr="007C497D">
        <w:rPr>
          <w:i/>
        </w:rPr>
        <w:t xml:space="preserve"> </w:t>
      </w:r>
      <w:bookmarkStart w:id="106" w:name="_Hlk218776071"/>
      <w:r w:rsidR="00750EF5" w:rsidRPr="00750EF5">
        <w:rPr>
          <w:i/>
        </w:rPr>
        <w:t>$20 million to &lt; $30 million</w:t>
      </w:r>
      <w:bookmarkEnd w:id="103"/>
      <w:bookmarkEnd w:id="106"/>
    </w:p>
    <w:p w14:paraId="54EE1CF6" w14:textId="77777777" w:rsidR="00E261DE" w:rsidRPr="002E75D2" w:rsidRDefault="00E261DE" w:rsidP="00E261DE">
      <w:pPr>
        <w:pStyle w:val="FooterTableFigure"/>
      </w:pPr>
    </w:p>
    <w:p w14:paraId="4DD9FB8F" w14:textId="5F2DA768" w:rsidR="00E261DE" w:rsidRPr="008F6ABE" w:rsidRDefault="00E261DE" w:rsidP="00E261DE">
      <w:pPr>
        <w:pStyle w:val="3-BodyText"/>
        <w:rPr>
          <w:color w:val="0066FF"/>
        </w:rPr>
      </w:pPr>
      <w:r w:rsidRPr="008F6ABE">
        <w:t xml:space="preserve">The total cost to the PBS/RPBS of listing delgocitinib was estimated to be </w:t>
      </w:r>
      <w:r w:rsidR="007C744B" w:rsidRPr="007C744B">
        <w:t>$20 million to &lt; $30 million</w:t>
      </w:r>
      <w:r w:rsidRPr="008F6ABE">
        <w:t xml:space="preserve"> in Year 6, and total </w:t>
      </w:r>
      <w:r w:rsidR="00726EFD" w:rsidRPr="00726EFD">
        <w:t>$100 million to &lt; $200 million</w:t>
      </w:r>
      <w:r w:rsidRPr="008F6ABE">
        <w:t xml:space="preserve"> </w:t>
      </w:r>
      <w:r w:rsidR="00836EBE" w:rsidRPr="008F6ABE">
        <w:t>over</w:t>
      </w:r>
      <w:r w:rsidRPr="008F6ABE">
        <w:t xml:space="preserve"> the first 6 years of listing. </w:t>
      </w:r>
    </w:p>
    <w:p w14:paraId="3E946FE5" w14:textId="17CA4BCD" w:rsidR="00E261DE" w:rsidRPr="008F6ABE" w:rsidRDefault="00E261DE" w:rsidP="004306C8">
      <w:pPr>
        <w:pStyle w:val="3-BodyText"/>
      </w:pPr>
      <w:r w:rsidRPr="008F6ABE">
        <w:t xml:space="preserve">The submission assumed no displacement </w:t>
      </w:r>
      <w:r w:rsidR="00F629DB" w:rsidRPr="008F6ABE">
        <w:t xml:space="preserve">or replacement </w:t>
      </w:r>
      <w:r w:rsidRPr="008F6ABE">
        <w:t xml:space="preserve">of dupilumab </w:t>
      </w:r>
      <w:r w:rsidR="0054783E" w:rsidRPr="008F6ABE">
        <w:t xml:space="preserve">or other subsequent treatments </w:t>
      </w:r>
      <w:r w:rsidRPr="008F6ABE">
        <w:t>by delgocitinib</w:t>
      </w:r>
      <w:r w:rsidR="00BD58E6" w:rsidRPr="008F6ABE">
        <w:t>.</w:t>
      </w:r>
      <w:r w:rsidR="0054783E" w:rsidRPr="008F6ABE">
        <w:t xml:space="preserve"> </w:t>
      </w:r>
      <w:r w:rsidR="00F04170" w:rsidRPr="008F6ABE">
        <w:t xml:space="preserve">The ESC considered </w:t>
      </w:r>
      <w:r w:rsidR="00676D4B" w:rsidRPr="008F6ABE">
        <w:t xml:space="preserve">that </w:t>
      </w:r>
      <w:r w:rsidR="00F04170" w:rsidRPr="008F6ABE">
        <w:t xml:space="preserve">the </w:t>
      </w:r>
      <w:r w:rsidR="00676D4B" w:rsidRPr="008F6ABE">
        <w:t>replacement of dupilumab was likely to be relatively small.</w:t>
      </w:r>
    </w:p>
    <w:p w14:paraId="05BB9A94" w14:textId="4297A31C" w:rsidR="00132C9D" w:rsidRDefault="00DC24ED" w:rsidP="00300896">
      <w:pPr>
        <w:pStyle w:val="3-BodyText"/>
      </w:pPr>
      <w:r>
        <w:t>T</w:t>
      </w:r>
      <w:r w:rsidR="00132C9D" w:rsidRPr="008F6ABE">
        <w:t xml:space="preserve">he ESC considered </w:t>
      </w:r>
      <w:r w:rsidR="0024381E" w:rsidRPr="008F6ABE">
        <w:t xml:space="preserve">a number of </w:t>
      </w:r>
      <w:r w:rsidR="00132C9D" w:rsidRPr="008F6ABE">
        <w:t>inputs to the model</w:t>
      </w:r>
      <w:r w:rsidR="00676D4B" w:rsidRPr="008F6ABE">
        <w:t>,</w:t>
      </w:r>
      <w:r w:rsidR="00132C9D" w:rsidRPr="008F6ABE">
        <w:t xml:space="preserve"> including duration of treatment</w:t>
      </w:r>
      <w:r w:rsidR="00430C62" w:rsidRPr="008F6ABE">
        <w:t>,</w:t>
      </w:r>
      <w:r w:rsidR="00132C9D" w:rsidRPr="008F6ABE">
        <w:t xml:space="preserve"> were uncertain and could be highly impactful to the likely overall cost of delgocitinib. The ESC also considered there was a substantial risk of greater than expected use due to use </w:t>
      </w:r>
      <w:r w:rsidR="0024381E" w:rsidRPr="008F6ABE">
        <w:t xml:space="preserve">on </w:t>
      </w:r>
      <w:r w:rsidR="00132C9D" w:rsidRPr="008F6ABE">
        <w:t>other body areas.</w:t>
      </w:r>
      <w:r w:rsidR="00EE41E7">
        <w:t xml:space="preserve"> </w:t>
      </w:r>
      <w:r w:rsidR="00A323BA">
        <w:t xml:space="preserve">The Pre-PBAC Response </w:t>
      </w:r>
      <w:r w:rsidR="00587B63">
        <w:t xml:space="preserve">stated that </w:t>
      </w:r>
      <w:r w:rsidR="00E31812">
        <w:t xml:space="preserve">the </w:t>
      </w:r>
      <w:r w:rsidR="005A5085">
        <w:t xml:space="preserve">utilisation estimates </w:t>
      </w:r>
      <w:r w:rsidR="00D510F1">
        <w:t xml:space="preserve">would be </w:t>
      </w:r>
      <w:r w:rsidR="00E31812">
        <w:t>limited</w:t>
      </w:r>
      <w:r w:rsidR="00D510F1">
        <w:t xml:space="preserve"> in practice by </w:t>
      </w:r>
      <w:r w:rsidR="001A54E0">
        <w:t>access to dermatologists</w:t>
      </w:r>
      <w:r w:rsidR="00C468EF">
        <w:t xml:space="preserve"> to prescribe delgocitinib. </w:t>
      </w:r>
    </w:p>
    <w:p w14:paraId="4263ED7F" w14:textId="77E76A56" w:rsidR="006D6D60" w:rsidRDefault="00EE41E7" w:rsidP="00E31812">
      <w:pPr>
        <w:ind w:firstLine="709"/>
        <w:rPr>
          <w:rFonts w:asciiTheme="minorHAnsi" w:hAnsiTheme="minorHAnsi"/>
          <w:i/>
        </w:rPr>
      </w:pPr>
      <w:r w:rsidRPr="00C33D30">
        <w:rPr>
          <w:rFonts w:asciiTheme="minorHAnsi" w:hAnsiTheme="minorHAnsi"/>
          <w:i/>
        </w:rPr>
        <w:t>For more detail on PBAC’s view, see section 7 PBAC outcome.</w:t>
      </w:r>
    </w:p>
    <w:p w14:paraId="52DBD7D1" w14:textId="77777777" w:rsidR="006D6D60" w:rsidRPr="0090150D" w:rsidRDefault="006D6D60" w:rsidP="006D6D60">
      <w:pPr>
        <w:pStyle w:val="2-SectionHeading"/>
        <w:numPr>
          <w:ilvl w:val="0"/>
          <w:numId w:val="1"/>
        </w:numPr>
      </w:pPr>
      <w:bookmarkStart w:id="107" w:name="_Hlk76381249"/>
      <w:bookmarkStart w:id="108" w:name="_Hlk76377955"/>
      <w:r w:rsidRPr="0090150D">
        <w:t>PBAC Outcome</w:t>
      </w:r>
    </w:p>
    <w:p w14:paraId="3A5302A9" w14:textId="1ABEBB72" w:rsidR="000F62D2" w:rsidRPr="00C226BC" w:rsidRDefault="000F62D2" w:rsidP="00C226BC">
      <w:pPr>
        <w:widowControl w:val="0"/>
        <w:numPr>
          <w:ilvl w:val="1"/>
          <w:numId w:val="1"/>
        </w:numPr>
        <w:spacing w:after="120"/>
        <w:ind w:left="720"/>
        <w:rPr>
          <w:rFonts w:asciiTheme="minorHAnsi" w:hAnsiTheme="minorHAnsi"/>
          <w:snapToGrid w:val="0"/>
          <w:lang w:val="en-GB"/>
        </w:rPr>
      </w:pPr>
      <w:bookmarkStart w:id="109" w:name="_Ref213664839"/>
      <w:bookmarkStart w:id="110" w:name="_Hlk111543188"/>
      <w:r w:rsidRPr="000F62D2">
        <w:rPr>
          <w:rFonts w:asciiTheme="minorHAnsi" w:hAnsiTheme="minorHAnsi"/>
          <w:snapToGrid w:val="0"/>
          <w:lang w:val="en-GB"/>
        </w:rPr>
        <w:t xml:space="preserve">The PBAC recommended the General Schedule, Authority Required (telephone/electronic) listing of delgocitinib cream formulation for the treatment of moderate to severe chronic hand eczema (CHE), in patients who have previously not adequately responded to ongoing treatment with </w:t>
      </w:r>
      <w:r w:rsidR="00814BC9">
        <w:rPr>
          <w:rFonts w:asciiTheme="minorHAnsi" w:hAnsiTheme="minorHAnsi"/>
          <w:snapToGrid w:val="0"/>
          <w:lang w:val="en-GB"/>
        </w:rPr>
        <w:t xml:space="preserve">medium to </w:t>
      </w:r>
      <w:r w:rsidR="007B78FE">
        <w:rPr>
          <w:rFonts w:asciiTheme="minorHAnsi" w:hAnsiTheme="minorHAnsi"/>
          <w:snapToGrid w:val="0"/>
          <w:lang w:val="en-GB"/>
        </w:rPr>
        <w:t xml:space="preserve">high potency </w:t>
      </w:r>
      <w:r w:rsidRPr="000F62D2">
        <w:rPr>
          <w:rFonts w:asciiTheme="minorHAnsi" w:hAnsiTheme="minorHAnsi"/>
          <w:snapToGrid w:val="0"/>
          <w:lang w:val="en-GB"/>
        </w:rPr>
        <w:t xml:space="preserve">topical corticosteroids (TCS), or where eczema has repeatedly recurred, or for patients who are contraindicated to TCS. In making this recommendation, the PBAC considered </w:t>
      </w:r>
      <w:r w:rsidRPr="000F62D2">
        <w:rPr>
          <w:rFonts w:asciiTheme="minorHAnsi" w:hAnsiTheme="minorHAnsi"/>
          <w:snapToGrid w:val="0"/>
          <w:lang w:val="en-GB"/>
        </w:rPr>
        <w:lastRenderedPageBreak/>
        <w:t xml:space="preserve">delgocitinib should be available for prescribing by medical practitioners, with flexibility to allow for clinical decision-making in terms of patient age and potential combination therapy with other treatments, but with limits on the </w:t>
      </w:r>
      <w:r w:rsidR="00916BBC">
        <w:rPr>
          <w:rFonts w:asciiTheme="minorHAnsi" w:hAnsiTheme="minorHAnsi"/>
          <w:snapToGrid w:val="0"/>
          <w:lang w:val="en-GB"/>
        </w:rPr>
        <w:t>quantity</w:t>
      </w:r>
      <w:r w:rsidRPr="000F62D2">
        <w:rPr>
          <w:rFonts w:asciiTheme="minorHAnsi" w:hAnsiTheme="minorHAnsi"/>
          <w:snapToGrid w:val="0"/>
          <w:lang w:val="en-GB"/>
        </w:rPr>
        <w:t xml:space="preserve"> of delgocitinib to be </w:t>
      </w:r>
      <w:r w:rsidR="00916BBC">
        <w:rPr>
          <w:rFonts w:asciiTheme="minorHAnsi" w:hAnsiTheme="minorHAnsi"/>
          <w:snapToGrid w:val="0"/>
          <w:lang w:val="en-GB"/>
        </w:rPr>
        <w:t>dispensed</w:t>
      </w:r>
      <w:r w:rsidRPr="000F62D2">
        <w:rPr>
          <w:rFonts w:asciiTheme="minorHAnsi" w:hAnsiTheme="minorHAnsi"/>
          <w:snapToGrid w:val="0"/>
          <w:lang w:val="en-GB"/>
        </w:rPr>
        <w:t xml:space="preserve"> to ensure use is limited to CHE and not eczema on other body areas. </w:t>
      </w:r>
      <w:r w:rsidR="00C226BC" w:rsidRPr="00CE42B4">
        <w:rPr>
          <w:rFonts w:asciiTheme="minorHAnsi" w:hAnsiTheme="minorHAnsi"/>
          <w:snapToGrid w:val="0"/>
          <w:lang w:val="en-GB"/>
        </w:rPr>
        <w:t xml:space="preserve">The PBAC </w:t>
      </w:r>
      <w:r w:rsidR="00C226BC">
        <w:rPr>
          <w:rFonts w:asciiTheme="minorHAnsi" w:hAnsiTheme="minorHAnsi"/>
          <w:snapToGrid w:val="0"/>
          <w:lang w:val="en-GB"/>
        </w:rPr>
        <w:t>was</w:t>
      </w:r>
      <w:r w:rsidR="00C226BC" w:rsidRPr="00CE42B4">
        <w:rPr>
          <w:rFonts w:asciiTheme="minorHAnsi" w:hAnsiTheme="minorHAnsi"/>
          <w:snapToGrid w:val="0"/>
          <w:lang w:val="en-GB"/>
        </w:rPr>
        <w:t xml:space="preserve"> satisfied that </w:t>
      </w:r>
      <w:r w:rsidR="00C226BC">
        <w:rPr>
          <w:rFonts w:asciiTheme="minorHAnsi" w:hAnsiTheme="minorHAnsi"/>
          <w:snapToGrid w:val="0"/>
          <w:lang w:val="en-GB"/>
        </w:rPr>
        <w:t xml:space="preserve">delgocitinib </w:t>
      </w:r>
      <w:r w:rsidR="00C226BC" w:rsidRPr="00CE42B4">
        <w:rPr>
          <w:rFonts w:asciiTheme="minorHAnsi" w:hAnsiTheme="minorHAnsi"/>
          <w:snapToGrid w:val="0"/>
          <w:lang w:val="en-GB"/>
        </w:rPr>
        <w:t xml:space="preserve">provides, for some patients, a significant improvement in efficacy </w:t>
      </w:r>
      <w:r w:rsidR="00C226BC">
        <w:rPr>
          <w:rFonts w:asciiTheme="minorHAnsi" w:hAnsiTheme="minorHAnsi"/>
          <w:snapToGrid w:val="0"/>
          <w:lang w:val="en-GB"/>
        </w:rPr>
        <w:t>over vehicle</w:t>
      </w:r>
      <w:r w:rsidR="0053240C">
        <w:rPr>
          <w:rFonts w:asciiTheme="minorHAnsi" w:hAnsiTheme="minorHAnsi"/>
          <w:snapToGrid w:val="0"/>
          <w:lang w:val="en-GB"/>
        </w:rPr>
        <w:t xml:space="preserve"> (</w:t>
      </w:r>
      <w:r w:rsidR="008C0E3C">
        <w:rPr>
          <w:rFonts w:asciiTheme="minorHAnsi" w:hAnsiTheme="minorHAnsi"/>
          <w:snapToGrid w:val="0"/>
          <w:lang w:val="en-GB"/>
        </w:rPr>
        <w:t>representing standard of care</w:t>
      </w:r>
      <w:r w:rsidR="00F34E67">
        <w:rPr>
          <w:rFonts w:asciiTheme="minorHAnsi" w:hAnsiTheme="minorHAnsi"/>
          <w:snapToGrid w:val="0"/>
          <w:lang w:val="en-GB"/>
        </w:rPr>
        <w:t>; SoC</w:t>
      </w:r>
      <w:r w:rsidR="008C0E3C">
        <w:rPr>
          <w:rFonts w:asciiTheme="minorHAnsi" w:hAnsiTheme="minorHAnsi"/>
          <w:snapToGrid w:val="0"/>
          <w:lang w:val="en-GB"/>
        </w:rPr>
        <w:t>)</w:t>
      </w:r>
      <w:r w:rsidR="007B78FE">
        <w:rPr>
          <w:rFonts w:asciiTheme="minorHAnsi" w:hAnsiTheme="minorHAnsi"/>
          <w:snapToGrid w:val="0"/>
          <w:lang w:val="en-GB"/>
        </w:rPr>
        <w:t>, and ha</w:t>
      </w:r>
      <w:r w:rsidR="001F34A4">
        <w:rPr>
          <w:rFonts w:asciiTheme="minorHAnsi" w:hAnsiTheme="minorHAnsi"/>
          <w:snapToGrid w:val="0"/>
          <w:lang w:val="en-GB"/>
        </w:rPr>
        <w:t>s</w:t>
      </w:r>
      <w:r w:rsidR="007B78FE">
        <w:rPr>
          <w:rFonts w:asciiTheme="minorHAnsi" w:hAnsiTheme="minorHAnsi"/>
          <w:snapToGrid w:val="0"/>
          <w:lang w:val="en-GB"/>
        </w:rPr>
        <w:t xml:space="preserve"> a clinical place after </w:t>
      </w:r>
      <w:r w:rsidR="004432BC">
        <w:rPr>
          <w:rFonts w:asciiTheme="minorHAnsi" w:hAnsiTheme="minorHAnsi"/>
          <w:snapToGrid w:val="0"/>
          <w:lang w:val="en-GB"/>
        </w:rPr>
        <w:t xml:space="preserve">inadequate response to </w:t>
      </w:r>
      <w:r w:rsidR="007B78FE">
        <w:rPr>
          <w:rFonts w:asciiTheme="minorHAnsi" w:hAnsiTheme="minorHAnsi"/>
          <w:snapToGrid w:val="0"/>
          <w:lang w:val="en-GB"/>
        </w:rPr>
        <w:t>high dose TCS</w:t>
      </w:r>
      <w:r w:rsidR="00D35303">
        <w:rPr>
          <w:rFonts w:asciiTheme="minorHAnsi" w:hAnsiTheme="minorHAnsi"/>
          <w:snapToGrid w:val="0"/>
          <w:lang w:val="en-GB"/>
        </w:rPr>
        <w:t>.</w:t>
      </w:r>
      <w:r w:rsidR="00C226BC">
        <w:rPr>
          <w:rFonts w:asciiTheme="minorHAnsi" w:hAnsiTheme="minorHAnsi"/>
          <w:snapToGrid w:val="0"/>
          <w:lang w:val="en-GB"/>
        </w:rPr>
        <w:t xml:space="preserve"> </w:t>
      </w:r>
      <w:r w:rsidRPr="00C226BC">
        <w:rPr>
          <w:rFonts w:asciiTheme="minorHAnsi" w:hAnsiTheme="minorHAnsi"/>
          <w:snapToGrid w:val="0"/>
          <w:lang w:val="en-GB"/>
        </w:rPr>
        <w:t xml:space="preserve">The PBAC considered that the economic model was not useful for decision-making </w:t>
      </w:r>
      <w:r w:rsidR="003872E6" w:rsidRPr="00C226BC">
        <w:rPr>
          <w:rFonts w:asciiTheme="minorHAnsi" w:hAnsiTheme="minorHAnsi"/>
          <w:snapToGrid w:val="0"/>
          <w:lang w:val="en-GB"/>
        </w:rPr>
        <w:t xml:space="preserve">as it was based on </w:t>
      </w:r>
      <w:r w:rsidR="003B65D7" w:rsidRPr="00C226BC">
        <w:rPr>
          <w:rFonts w:asciiTheme="minorHAnsi" w:hAnsiTheme="minorHAnsi"/>
          <w:snapToGrid w:val="0"/>
          <w:lang w:val="en-GB"/>
        </w:rPr>
        <w:t>multiple treatment cycles for which there was no comparative data</w:t>
      </w:r>
      <w:r w:rsidR="00E11073">
        <w:rPr>
          <w:rFonts w:asciiTheme="minorHAnsi" w:hAnsiTheme="minorHAnsi"/>
          <w:snapToGrid w:val="0"/>
          <w:lang w:val="en-GB"/>
        </w:rPr>
        <w:t>,</w:t>
      </w:r>
      <w:r w:rsidR="00E40689" w:rsidRPr="00C226BC">
        <w:rPr>
          <w:rFonts w:asciiTheme="minorHAnsi" w:hAnsiTheme="minorHAnsi"/>
          <w:snapToGrid w:val="0"/>
          <w:lang w:val="en-GB"/>
        </w:rPr>
        <w:t xml:space="preserve"> </w:t>
      </w:r>
      <w:r w:rsidR="007D542E" w:rsidRPr="00C226BC">
        <w:rPr>
          <w:rFonts w:asciiTheme="minorHAnsi" w:hAnsiTheme="minorHAnsi"/>
          <w:snapToGrid w:val="0"/>
          <w:lang w:val="en-GB"/>
        </w:rPr>
        <w:t>it was unclear if the modelled treatment duration reflect</w:t>
      </w:r>
      <w:r w:rsidR="00E11073">
        <w:rPr>
          <w:rFonts w:asciiTheme="minorHAnsi" w:hAnsiTheme="minorHAnsi"/>
          <w:snapToGrid w:val="0"/>
          <w:lang w:val="en-GB"/>
        </w:rPr>
        <w:t>ed</w:t>
      </w:r>
      <w:r w:rsidR="007D542E" w:rsidRPr="00C226BC">
        <w:rPr>
          <w:rFonts w:asciiTheme="minorHAnsi" w:hAnsiTheme="minorHAnsi"/>
          <w:snapToGrid w:val="0"/>
          <w:lang w:val="en-GB"/>
        </w:rPr>
        <w:t xml:space="preserve"> that expected in clinical practice</w:t>
      </w:r>
      <w:r w:rsidR="00D454BF">
        <w:rPr>
          <w:rFonts w:asciiTheme="minorHAnsi" w:hAnsiTheme="minorHAnsi"/>
          <w:snapToGrid w:val="0"/>
          <w:lang w:val="en-GB"/>
        </w:rPr>
        <w:t xml:space="preserve"> and there were applicability concerns regarding </w:t>
      </w:r>
      <w:r w:rsidR="00BC6A07">
        <w:rPr>
          <w:rFonts w:asciiTheme="minorHAnsi" w:hAnsiTheme="minorHAnsi"/>
          <w:snapToGrid w:val="0"/>
          <w:lang w:val="en-GB"/>
        </w:rPr>
        <w:t>the use of standard of care</w:t>
      </w:r>
      <w:r w:rsidR="00CB7E4D">
        <w:rPr>
          <w:rFonts w:asciiTheme="minorHAnsi" w:hAnsiTheme="minorHAnsi"/>
          <w:snapToGrid w:val="0"/>
          <w:lang w:val="en-GB"/>
        </w:rPr>
        <w:t xml:space="preserve"> (SoC)</w:t>
      </w:r>
      <w:r w:rsidR="00BC6A07">
        <w:rPr>
          <w:rFonts w:asciiTheme="minorHAnsi" w:hAnsiTheme="minorHAnsi"/>
          <w:snapToGrid w:val="0"/>
          <w:lang w:val="en-GB"/>
        </w:rPr>
        <w:t xml:space="preserve"> as the comparator</w:t>
      </w:r>
      <w:r w:rsidR="003B65D7" w:rsidRPr="00C226BC">
        <w:rPr>
          <w:rFonts w:asciiTheme="minorHAnsi" w:hAnsiTheme="minorHAnsi"/>
          <w:snapToGrid w:val="0"/>
          <w:lang w:val="en-GB"/>
        </w:rPr>
        <w:t xml:space="preserve">. Instead, </w:t>
      </w:r>
      <w:r w:rsidR="005D16D7" w:rsidRPr="00C226BC">
        <w:rPr>
          <w:rFonts w:asciiTheme="minorHAnsi" w:hAnsiTheme="minorHAnsi"/>
          <w:snapToGrid w:val="0"/>
          <w:lang w:val="en-GB"/>
        </w:rPr>
        <w:t xml:space="preserve">given the likely episodic nature of delgocitinib use </w:t>
      </w:r>
      <w:r w:rsidR="00E565D8" w:rsidRPr="00C226BC">
        <w:rPr>
          <w:rFonts w:asciiTheme="minorHAnsi" w:hAnsiTheme="minorHAnsi"/>
          <w:snapToGrid w:val="0"/>
          <w:lang w:val="en-GB"/>
        </w:rPr>
        <w:t>for most patients</w:t>
      </w:r>
      <w:r w:rsidR="00154030" w:rsidRPr="00C226BC">
        <w:rPr>
          <w:rFonts w:asciiTheme="minorHAnsi" w:hAnsiTheme="minorHAnsi"/>
          <w:snapToGrid w:val="0"/>
          <w:lang w:val="en-GB"/>
        </w:rPr>
        <w:t xml:space="preserve"> and </w:t>
      </w:r>
      <w:r w:rsidR="00A70DBA" w:rsidRPr="00C226BC">
        <w:rPr>
          <w:rFonts w:asciiTheme="minorHAnsi" w:hAnsiTheme="minorHAnsi"/>
          <w:snapToGrid w:val="0"/>
          <w:lang w:val="en-GB"/>
        </w:rPr>
        <w:t>the availability of utility values from the comparative trials</w:t>
      </w:r>
      <w:r w:rsidR="00E565D8" w:rsidRPr="00C226BC">
        <w:rPr>
          <w:rFonts w:asciiTheme="minorHAnsi" w:hAnsiTheme="minorHAnsi"/>
          <w:snapToGrid w:val="0"/>
          <w:lang w:val="en-GB"/>
        </w:rPr>
        <w:t xml:space="preserve">, </w:t>
      </w:r>
      <w:r w:rsidR="003B65D7" w:rsidRPr="00C226BC">
        <w:rPr>
          <w:rFonts w:asciiTheme="minorHAnsi" w:hAnsiTheme="minorHAnsi"/>
          <w:snapToGrid w:val="0"/>
          <w:lang w:val="en-GB"/>
        </w:rPr>
        <w:t xml:space="preserve">the PBAC </w:t>
      </w:r>
      <w:r w:rsidRPr="00C226BC">
        <w:rPr>
          <w:rFonts w:asciiTheme="minorHAnsi" w:hAnsiTheme="minorHAnsi"/>
          <w:snapToGrid w:val="0"/>
          <w:lang w:val="en-GB"/>
        </w:rPr>
        <w:t xml:space="preserve">considered </w:t>
      </w:r>
      <w:r w:rsidR="003B65D7" w:rsidRPr="00C226BC">
        <w:rPr>
          <w:rFonts w:asciiTheme="minorHAnsi" w:hAnsiTheme="minorHAnsi"/>
          <w:snapToGrid w:val="0"/>
          <w:lang w:val="en-GB"/>
        </w:rPr>
        <w:t xml:space="preserve">that </w:t>
      </w:r>
      <w:r w:rsidRPr="00C226BC">
        <w:rPr>
          <w:rFonts w:asciiTheme="minorHAnsi" w:hAnsiTheme="minorHAnsi"/>
          <w:snapToGrid w:val="0"/>
          <w:lang w:val="en-GB"/>
        </w:rPr>
        <w:t>a</w:t>
      </w:r>
      <w:r w:rsidR="000C6D7D" w:rsidRPr="00C226BC">
        <w:rPr>
          <w:rFonts w:asciiTheme="minorHAnsi" w:hAnsiTheme="minorHAnsi"/>
          <w:snapToGrid w:val="0"/>
          <w:lang w:val="en-GB"/>
        </w:rPr>
        <w:t xml:space="preserve"> trial based</w:t>
      </w:r>
      <w:r w:rsidRPr="00C226BC">
        <w:rPr>
          <w:rFonts w:asciiTheme="minorHAnsi" w:hAnsiTheme="minorHAnsi"/>
          <w:snapToGrid w:val="0"/>
          <w:lang w:val="en-GB"/>
        </w:rPr>
        <w:t xml:space="preserve"> economic analysis </w:t>
      </w:r>
      <w:r w:rsidR="00F1476B" w:rsidRPr="00C226BC">
        <w:rPr>
          <w:rFonts w:asciiTheme="minorHAnsi" w:hAnsiTheme="minorHAnsi"/>
          <w:snapToGrid w:val="0"/>
          <w:lang w:val="en-GB"/>
        </w:rPr>
        <w:t>using</w:t>
      </w:r>
      <w:r w:rsidRPr="00C226BC">
        <w:rPr>
          <w:rFonts w:asciiTheme="minorHAnsi" w:hAnsiTheme="minorHAnsi"/>
          <w:snapToGrid w:val="0"/>
          <w:lang w:val="en-GB"/>
        </w:rPr>
        <w:t xml:space="preserve"> the utility </w:t>
      </w:r>
      <w:r w:rsidR="000C6D7D" w:rsidRPr="00C226BC">
        <w:rPr>
          <w:rFonts w:asciiTheme="minorHAnsi" w:hAnsiTheme="minorHAnsi"/>
          <w:snapToGrid w:val="0"/>
          <w:lang w:val="en-GB"/>
        </w:rPr>
        <w:t>values</w:t>
      </w:r>
      <w:r w:rsidR="005D16D7" w:rsidRPr="00C226BC">
        <w:rPr>
          <w:rFonts w:asciiTheme="minorHAnsi" w:hAnsiTheme="minorHAnsi"/>
          <w:snapToGrid w:val="0"/>
          <w:lang w:val="en-GB"/>
        </w:rPr>
        <w:t xml:space="preserve"> and delgocitinib use</w:t>
      </w:r>
      <w:r w:rsidRPr="00C226BC">
        <w:rPr>
          <w:rFonts w:asciiTheme="minorHAnsi" w:hAnsiTheme="minorHAnsi"/>
          <w:snapToGrid w:val="0"/>
          <w:lang w:val="en-GB"/>
        </w:rPr>
        <w:t xml:space="preserve"> </w:t>
      </w:r>
      <w:r w:rsidR="00F3078F">
        <w:rPr>
          <w:rFonts w:asciiTheme="minorHAnsi" w:hAnsiTheme="minorHAnsi"/>
          <w:snapToGrid w:val="0"/>
          <w:lang w:val="en-GB"/>
        </w:rPr>
        <w:t xml:space="preserve">over 16 weeks </w:t>
      </w:r>
      <w:r w:rsidRPr="00C226BC">
        <w:rPr>
          <w:rFonts w:asciiTheme="minorHAnsi" w:hAnsiTheme="minorHAnsi"/>
          <w:snapToGrid w:val="0"/>
          <w:lang w:val="en-GB"/>
        </w:rPr>
        <w:t>was a reasonable basis for assessing cost effectiveness</w:t>
      </w:r>
      <w:r w:rsidR="00916BBC" w:rsidRPr="00C226BC">
        <w:rPr>
          <w:rFonts w:asciiTheme="minorHAnsi" w:hAnsiTheme="minorHAnsi"/>
          <w:snapToGrid w:val="0"/>
          <w:lang w:val="en-GB"/>
        </w:rPr>
        <w:t>.</w:t>
      </w:r>
      <w:r w:rsidRPr="00C226BC">
        <w:rPr>
          <w:rFonts w:asciiTheme="minorHAnsi" w:hAnsiTheme="minorHAnsi"/>
          <w:snapToGrid w:val="0"/>
          <w:lang w:val="en-GB"/>
        </w:rPr>
        <w:t xml:space="preserve"> </w:t>
      </w:r>
      <w:r w:rsidR="00916BBC" w:rsidRPr="00C226BC">
        <w:rPr>
          <w:rFonts w:asciiTheme="minorHAnsi" w:hAnsiTheme="minorHAnsi"/>
          <w:snapToGrid w:val="0"/>
          <w:lang w:val="en-GB"/>
        </w:rPr>
        <w:t>B</w:t>
      </w:r>
      <w:r w:rsidRPr="00C226BC">
        <w:rPr>
          <w:rFonts w:asciiTheme="minorHAnsi" w:hAnsiTheme="minorHAnsi"/>
          <w:snapToGrid w:val="0"/>
          <w:lang w:val="en-GB"/>
        </w:rPr>
        <w:t>ased on this approach</w:t>
      </w:r>
      <w:r w:rsidR="00916BBC" w:rsidRPr="00C226BC">
        <w:rPr>
          <w:rFonts w:asciiTheme="minorHAnsi" w:hAnsiTheme="minorHAnsi"/>
          <w:snapToGrid w:val="0"/>
          <w:lang w:val="en-GB"/>
        </w:rPr>
        <w:t>, the PBAC</w:t>
      </w:r>
      <w:r w:rsidRPr="00C226BC">
        <w:rPr>
          <w:rFonts w:asciiTheme="minorHAnsi" w:hAnsiTheme="minorHAnsi"/>
          <w:snapToGrid w:val="0"/>
          <w:lang w:val="en-GB"/>
        </w:rPr>
        <w:t xml:space="preserve"> considered delgocitinib would be acceptably cost effective </w:t>
      </w:r>
      <w:r w:rsidR="00D822C3" w:rsidRPr="00C226BC">
        <w:rPr>
          <w:rFonts w:asciiTheme="minorHAnsi" w:hAnsiTheme="minorHAnsi"/>
          <w:snapToGrid w:val="0"/>
          <w:lang w:val="en-GB"/>
        </w:rPr>
        <w:t xml:space="preserve">with </w:t>
      </w:r>
      <w:r w:rsidRPr="00C226BC">
        <w:rPr>
          <w:rFonts w:asciiTheme="minorHAnsi" w:hAnsiTheme="minorHAnsi"/>
          <w:snapToGrid w:val="0"/>
          <w:lang w:val="en-GB"/>
        </w:rPr>
        <w:t>a reduced price.</w:t>
      </w:r>
      <w:bookmarkEnd w:id="109"/>
    </w:p>
    <w:p w14:paraId="600A3ACC" w14:textId="7CD28402" w:rsidR="000C78C0" w:rsidRDefault="000C78C0" w:rsidP="00E761D8">
      <w:pPr>
        <w:widowControl w:val="0"/>
        <w:numPr>
          <w:ilvl w:val="1"/>
          <w:numId w:val="1"/>
        </w:numPr>
        <w:spacing w:after="120"/>
        <w:ind w:left="720"/>
        <w:rPr>
          <w:rFonts w:asciiTheme="minorHAnsi" w:hAnsiTheme="minorHAnsi"/>
          <w:snapToGrid w:val="0"/>
          <w:lang w:val="en-GB"/>
        </w:rPr>
      </w:pPr>
      <w:bookmarkStart w:id="111" w:name="_Ref214974593"/>
      <w:bookmarkEnd w:id="110"/>
      <w:r>
        <w:rPr>
          <w:rFonts w:asciiTheme="minorHAnsi" w:hAnsiTheme="minorHAnsi"/>
          <w:snapToGrid w:val="0"/>
          <w:lang w:val="en-GB"/>
        </w:rPr>
        <w:t xml:space="preserve">The PBAC </w:t>
      </w:r>
      <w:r w:rsidR="00AB2D00">
        <w:rPr>
          <w:rFonts w:asciiTheme="minorHAnsi" w:hAnsiTheme="minorHAnsi"/>
          <w:snapToGrid w:val="0"/>
          <w:lang w:val="en-GB"/>
        </w:rPr>
        <w:t xml:space="preserve">acknowledged </w:t>
      </w:r>
      <w:r>
        <w:rPr>
          <w:rFonts w:asciiTheme="minorHAnsi" w:hAnsiTheme="minorHAnsi"/>
          <w:snapToGrid w:val="0"/>
          <w:lang w:val="en-GB"/>
        </w:rPr>
        <w:t xml:space="preserve">CHE is a debilitating form of dermatitis that has a particular impact for patients </w:t>
      </w:r>
      <w:r w:rsidR="00032981">
        <w:rPr>
          <w:rFonts w:asciiTheme="minorHAnsi" w:hAnsiTheme="minorHAnsi"/>
          <w:snapToGrid w:val="0"/>
          <w:lang w:val="en-GB"/>
        </w:rPr>
        <w:t xml:space="preserve">and </w:t>
      </w:r>
      <w:r>
        <w:rPr>
          <w:rFonts w:asciiTheme="minorHAnsi" w:hAnsiTheme="minorHAnsi"/>
          <w:snapToGrid w:val="0"/>
          <w:lang w:val="en-GB"/>
        </w:rPr>
        <w:t xml:space="preserve">that in </w:t>
      </w:r>
      <w:r w:rsidR="00AB60C6">
        <w:rPr>
          <w:rFonts w:asciiTheme="minorHAnsi" w:hAnsiTheme="minorHAnsi"/>
          <w:snapToGrid w:val="0"/>
          <w:lang w:val="en-GB"/>
        </w:rPr>
        <w:t xml:space="preserve">more </w:t>
      </w:r>
      <w:r>
        <w:rPr>
          <w:rFonts w:asciiTheme="minorHAnsi" w:hAnsiTheme="minorHAnsi"/>
          <w:snapToGrid w:val="0"/>
          <w:lang w:val="en-GB"/>
        </w:rPr>
        <w:t xml:space="preserve">severe cases </w:t>
      </w:r>
      <w:r w:rsidR="00032981">
        <w:rPr>
          <w:rFonts w:asciiTheme="minorHAnsi" w:hAnsiTheme="minorHAnsi"/>
          <w:snapToGrid w:val="0"/>
          <w:lang w:val="en-GB"/>
        </w:rPr>
        <w:t xml:space="preserve">it </w:t>
      </w:r>
      <w:r>
        <w:rPr>
          <w:rFonts w:asciiTheme="minorHAnsi" w:hAnsiTheme="minorHAnsi"/>
          <w:snapToGrid w:val="0"/>
          <w:lang w:val="en-GB"/>
        </w:rPr>
        <w:t>can be painful</w:t>
      </w:r>
      <w:r w:rsidR="0008725A">
        <w:rPr>
          <w:rFonts w:asciiTheme="minorHAnsi" w:hAnsiTheme="minorHAnsi"/>
          <w:snapToGrid w:val="0"/>
          <w:lang w:val="en-GB"/>
        </w:rPr>
        <w:t>,</w:t>
      </w:r>
      <w:r>
        <w:rPr>
          <w:rFonts w:asciiTheme="minorHAnsi" w:hAnsiTheme="minorHAnsi"/>
          <w:snapToGrid w:val="0"/>
          <w:lang w:val="en-GB"/>
        </w:rPr>
        <w:t xml:space="preserve"> impede daily activities</w:t>
      </w:r>
      <w:r w:rsidR="008648A5">
        <w:rPr>
          <w:rFonts w:asciiTheme="minorHAnsi" w:hAnsiTheme="minorHAnsi"/>
          <w:snapToGrid w:val="0"/>
          <w:lang w:val="en-GB"/>
        </w:rPr>
        <w:t>,</w:t>
      </w:r>
      <w:r w:rsidR="0059755A">
        <w:rPr>
          <w:rFonts w:asciiTheme="minorHAnsi" w:hAnsiTheme="minorHAnsi"/>
          <w:snapToGrid w:val="0"/>
          <w:lang w:val="en-GB"/>
        </w:rPr>
        <w:t xml:space="preserve"> and the </w:t>
      </w:r>
      <w:r>
        <w:rPr>
          <w:rFonts w:asciiTheme="minorHAnsi" w:hAnsiTheme="minorHAnsi"/>
          <w:snapToGrid w:val="0"/>
          <w:lang w:val="en-GB"/>
        </w:rPr>
        <w:t xml:space="preserve">ability to work and function in society. The PBAC acknowledged there is a clinical need for additional effective therapies, as many patients with CHE </w:t>
      </w:r>
      <w:r w:rsidR="00740970">
        <w:rPr>
          <w:rFonts w:asciiTheme="minorHAnsi" w:hAnsiTheme="minorHAnsi"/>
          <w:snapToGrid w:val="0"/>
          <w:lang w:val="en-GB"/>
        </w:rPr>
        <w:t>have repeatedly recurring disease,</w:t>
      </w:r>
      <w:r w:rsidR="00D35303">
        <w:rPr>
          <w:rFonts w:asciiTheme="minorHAnsi" w:hAnsiTheme="minorHAnsi"/>
          <w:snapToGrid w:val="0"/>
          <w:lang w:val="en-GB"/>
        </w:rPr>
        <w:t xml:space="preserve"> </w:t>
      </w:r>
      <w:r>
        <w:rPr>
          <w:rFonts w:asciiTheme="minorHAnsi" w:hAnsiTheme="minorHAnsi"/>
          <w:snapToGrid w:val="0"/>
          <w:lang w:val="en-GB"/>
        </w:rPr>
        <w:t>have used TCS long-term with inadequate effect</w:t>
      </w:r>
      <w:r w:rsidR="007B78FE">
        <w:rPr>
          <w:rFonts w:asciiTheme="minorHAnsi" w:hAnsiTheme="minorHAnsi"/>
          <w:snapToGrid w:val="0"/>
          <w:lang w:val="en-GB"/>
        </w:rPr>
        <w:t xml:space="preserve"> or may have contraindications to TCS</w:t>
      </w:r>
      <w:r w:rsidR="0059755A">
        <w:rPr>
          <w:rFonts w:asciiTheme="minorHAnsi" w:hAnsiTheme="minorHAnsi"/>
          <w:snapToGrid w:val="0"/>
          <w:lang w:val="en-GB"/>
        </w:rPr>
        <w:t>. The PBAC acknowledged that</w:t>
      </w:r>
      <w:r>
        <w:rPr>
          <w:rFonts w:asciiTheme="minorHAnsi" w:hAnsiTheme="minorHAnsi"/>
          <w:snapToGrid w:val="0"/>
          <w:lang w:val="en-GB"/>
        </w:rPr>
        <w:t xml:space="preserve"> a therapeutic gap exists as patients have limited alternative</w:t>
      </w:r>
      <w:r w:rsidR="007A760A">
        <w:rPr>
          <w:rFonts w:asciiTheme="minorHAnsi" w:hAnsiTheme="minorHAnsi"/>
          <w:snapToGrid w:val="0"/>
          <w:lang w:val="en-GB"/>
        </w:rPr>
        <w:t xml:space="preserve"> topical treatment</w:t>
      </w:r>
      <w:r>
        <w:rPr>
          <w:rFonts w:asciiTheme="minorHAnsi" w:hAnsiTheme="minorHAnsi"/>
          <w:snapToGrid w:val="0"/>
          <w:lang w:val="en-GB"/>
        </w:rPr>
        <w:t>s</w:t>
      </w:r>
      <w:r w:rsidR="00D86C70">
        <w:rPr>
          <w:rFonts w:asciiTheme="minorHAnsi" w:hAnsiTheme="minorHAnsi"/>
          <w:snapToGrid w:val="0"/>
          <w:lang w:val="en-GB"/>
        </w:rPr>
        <w:t>, as well as</w:t>
      </w:r>
      <w:r w:rsidR="000D4643">
        <w:rPr>
          <w:rFonts w:asciiTheme="minorHAnsi" w:hAnsiTheme="minorHAnsi"/>
          <w:snapToGrid w:val="0"/>
          <w:lang w:val="en-GB"/>
        </w:rPr>
        <w:t xml:space="preserve"> limited</w:t>
      </w:r>
      <w:r w:rsidR="00D86C70">
        <w:rPr>
          <w:rFonts w:asciiTheme="minorHAnsi" w:hAnsiTheme="minorHAnsi"/>
          <w:snapToGrid w:val="0"/>
          <w:lang w:val="en-GB"/>
        </w:rPr>
        <w:t xml:space="preserve"> acceptable</w:t>
      </w:r>
      <w:r>
        <w:rPr>
          <w:rFonts w:asciiTheme="minorHAnsi" w:hAnsiTheme="minorHAnsi"/>
          <w:snapToGrid w:val="0"/>
          <w:lang w:val="en-GB"/>
        </w:rPr>
        <w:t xml:space="preserve"> systemic</w:t>
      </w:r>
      <w:r w:rsidR="00940423">
        <w:rPr>
          <w:rFonts w:asciiTheme="minorHAnsi" w:hAnsiTheme="minorHAnsi"/>
          <w:snapToGrid w:val="0"/>
          <w:lang w:val="en-GB"/>
        </w:rPr>
        <w:t xml:space="preserve"> treatments given</w:t>
      </w:r>
      <w:r>
        <w:rPr>
          <w:rFonts w:asciiTheme="minorHAnsi" w:hAnsiTheme="minorHAnsi"/>
          <w:snapToGrid w:val="0"/>
          <w:lang w:val="en-GB"/>
        </w:rPr>
        <w:t xml:space="preserve"> immunosuppressants have known safety issues, </w:t>
      </w:r>
      <w:r w:rsidR="00A50270">
        <w:rPr>
          <w:rFonts w:asciiTheme="minorHAnsi" w:hAnsiTheme="minorHAnsi"/>
          <w:snapToGrid w:val="0"/>
          <w:lang w:val="en-GB"/>
        </w:rPr>
        <w:t xml:space="preserve">and </w:t>
      </w:r>
      <w:r w:rsidR="00EC082F">
        <w:rPr>
          <w:rFonts w:asciiTheme="minorHAnsi" w:hAnsiTheme="minorHAnsi"/>
          <w:snapToGrid w:val="0"/>
          <w:lang w:val="en-GB"/>
        </w:rPr>
        <w:t xml:space="preserve">the </w:t>
      </w:r>
      <w:r w:rsidR="00FF73A0">
        <w:rPr>
          <w:rFonts w:asciiTheme="minorHAnsi" w:hAnsiTheme="minorHAnsi"/>
          <w:snapToGrid w:val="0"/>
          <w:lang w:val="en-GB"/>
        </w:rPr>
        <w:t xml:space="preserve">use </w:t>
      </w:r>
      <w:r w:rsidR="001B3E50">
        <w:rPr>
          <w:rFonts w:asciiTheme="minorHAnsi" w:hAnsiTheme="minorHAnsi"/>
          <w:snapToGrid w:val="0"/>
          <w:lang w:val="en-GB"/>
        </w:rPr>
        <w:t xml:space="preserve">of </w:t>
      </w:r>
      <w:r>
        <w:rPr>
          <w:rFonts w:asciiTheme="minorHAnsi" w:hAnsiTheme="minorHAnsi"/>
          <w:snapToGrid w:val="0"/>
          <w:lang w:val="en-GB"/>
        </w:rPr>
        <w:t>biologics or targeted therapies (dupilumab or upadacitinib)</w:t>
      </w:r>
      <w:r w:rsidR="00B808A1">
        <w:rPr>
          <w:rFonts w:asciiTheme="minorHAnsi" w:hAnsiTheme="minorHAnsi"/>
          <w:snapToGrid w:val="0"/>
          <w:lang w:val="en-GB"/>
        </w:rPr>
        <w:t xml:space="preserve"> are </w:t>
      </w:r>
      <w:r w:rsidR="000D4643">
        <w:rPr>
          <w:rFonts w:asciiTheme="minorHAnsi" w:hAnsiTheme="minorHAnsi"/>
          <w:snapToGrid w:val="0"/>
          <w:lang w:val="en-GB"/>
        </w:rPr>
        <w:t>restricted</w:t>
      </w:r>
      <w:r w:rsidR="00FF73A0">
        <w:rPr>
          <w:rFonts w:asciiTheme="minorHAnsi" w:hAnsiTheme="minorHAnsi"/>
          <w:snapToGrid w:val="0"/>
          <w:lang w:val="en-GB"/>
        </w:rPr>
        <w:t xml:space="preserve"> on the PBS</w:t>
      </w:r>
      <w:r w:rsidR="00B808A1">
        <w:rPr>
          <w:rFonts w:asciiTheme="minorHAnsi" w:hAnsiTheme="minorHAnsi"/>
          <w:snapToGrid w:val="0"/>
          <w:lang w:val="en-GB"/>
        </w:rPr>
        <w:t xml:space="preserve"> to the atopic subtype with</w:t>
      </w:r>
      <w:r>
        <w:rPr>
          <w:rFonts w:asciiTheme="minorHAnsi" w:hAnsiTheme="minorHAnsi"/>
          <w:snapToGrid w:val="0"/>
          <w:lang w:val="en-GB"/>
        </w:rPr>
        <w:t xml:space="preserve"> severe symptoms. </w:t>
      </w:r>
      <w:r w:rsidR="00B85EDE">
        <w:rPr>
          <w:rFonts w:asciiTheme="minorHAnsi" w:hAnsiTheme="minorHAnsi"/>
          <w:snapToGrid w:val="0"/>
          <w:lang w:val="en-GB"/>
        </w:rPr>
        <w:t xml:space="preserve">The </w:t>
      </w:r>
      <w:r w:rsidR="007F176A">
        <w:rPr>
          <w:rFonts w:asciiTheme="minorHAnsi" w:hAnsiTheme="minorHAnsi"/>
          <w:snapToGrid w:val="0"/>
          <w:lang w:val="en-GB"/>
        </w:rPr>
        <w:t>PBAC noted that</w:t>
      </w:r>
      <w:r w:rsidR="00B85EDE">
        <w:rPr>
          <w:rFonts w:asciiTheme="minorHAnsi" w:hAnsiTheme="minorHAnsi"/>
          <w:snapToGrid w:val="0"/>
          <w:lang w:val="en-GB"/>
        </w:rPr>
        <w:t xml:space="preserve"> phototherapy </w:t>
      </w:r>
      <w:r w:rsidR="007F176A">
        <w:rPr>
          <w:rFonts w:asciiTheme="minorHAnsi" w:hAnsiTheme="minorHAnsi"/>
          <w:snapToGrid w:val="0"/>
          <w:lang w:val="en-GB"/>
        </w:rPr>
        <w:t>may</w:t>
      </w:r>
      <w:r w:rsidR="00B64C7C">
        <w:rPr>
          <w:rFonts w:asciiTheme="minorHAnsi" w:hAnsiTheme="minorHAnsi"/>
          <w:snapToGrid w:val="0"/>
          <w:lang w:val="en-GB"/>
        </w:rPr>
        <w:t xml:space="preserve"> also</w:t>
      </w:r>
      <w:r w:rsidR="007F176A">
        <w:rPr>
          <w:rFonts w:asciiTheme="minorHAnsi" w:hAnsiTheme="minorHAnsi"/>
          <w:snapToGrid w:val="0"/>
          <w:lang w:val="en-GB"/>
        </w:rPr>
        <w:t xml:space="preserve"> be used</w:t>
      </w:r>
      <w:r w:rsidR="00B85EDE">
        <w:rPr>
          <w:rFonts w:asciiTheme="minorHAnsi" w:hAnsiTheme="minorHAnsi"/>
          <w:snapToGrid w:val="0"/>
          <w:lang w:val="en-GB"/>
        </w:rPr>
        <w:t xml:space="preserve">, but that </w:t>
      </w:r>
      <w:r w:rsidR="00B64C7C">
        <w:rPr>
          <w:rFonts w:asciiTheme="minorHAnsi" w:hAnsiTheme="minorHAnsi"/>
          <w:snapToGrid w:val="0"/>
          <w:lang w:val="en-GB"/>
        </w:rPr>
        <w:t xml:space="preserve">access </w:t>
      </w:r>
      <w:r w:rsidR="00B85EDE">
        <w:rPr>
          <w:rFonts w:asciiTheme="minorHAnsi" w:hAnsiTheme="minorHAnsi"/>
          <w:snapToGrid w:val="0"/>
          <w:lang w:val="en-GB"/>
        </w:rPr>
        <w:t xml:space="preserve">was limited. </w:t>
      </w:r>
      <w:r>
        <w:rPr>
          <w:rFonts w:asciiTheme="minorHAnsi" w:hAnsiTheme="minorHAnsi"/>
          <w:snapToGrid w:val="0"/>
          <w:lang w:val="en-GB"/>
        </w:rPr>
        <w:t xml:space="preserve">The PBAC </w:t>
      </w:r>
      <w:r w:rsidR="00544143">
        <w:rPr>
          <w:rFonts w:asciiTheme="minorHAnsi" w:hAnsiTheme="minorHAnsi"/>
          <w:snapToGrid w:val="0"/>
          <w:lang w:val="en-GB"/>
        </w:rPr>
        <w:t xml:space="preserve">also </w:t>
      </w:r>
      <w:r>
        <w:rPr>
          <w:rFonts w:asciiTheme="minorHAnsi" w:hAnsiTheme="minorHAnsi"/>
          <w:snapToGrid w:val="0"/>
          <w:lang w:val="en-GB"/>
        </w:rPr>
        <w:t>recalled it had recommended tacrolimus cream (a TCI) for atopic dermatitis in July 2025</w:t>
      </w:r>
      <w:r w:rsidR="00544143">
        <w:rPr>
          <w:rFonts w:asciiTheme="minorHAnsi" w:hAnsiTheme="minorHAnsi"/>
          <w:snapToGrid w:val="0"/>
          <w:lang w:val="en-GB"/>
        </w:rPr>
        <w:t xml:space="preserve"> for use in the first line setting</w:t>
      </w:r>
      <w:r>
        <w:rPr>
          <w:rFonts w:asciiTheme="minorHAnsi" w:hAnsiTheme="minorHAnsi"/>
          <w:snapToGrid w:val="0"/>
          <w:lang w:val="en-GB"/>
        </w:rPr>
        <w:t>, but that at time of consideration of delgocitinib</w:t>
      </w:r>
      <w:r w:rsidR="00843472">
        <w:rPr>
          <w:rFonts w:asciiTheme="minorHAnsi" w:hAnsiTheme="minorHAnsi"/>
          <w:snapToGrid w:val="0"/>
          <w:lang w:val="en-GB"/>
        </w:rPr>
        <w:t xml:space="preserve"> it</w:t>
      </w:r>
      <w:r>
        <w:rPr>
          <w:rFonts w:asciiTheme="minorHAnsi" w:hAnsiTheme="minorHAnsi"/>
          <w:snapToGrid w:val="0"/>
          <w:lang w:val="en-GB"/>
        </w:rPr>
        <w:t xml:space="preserve"> had not progressed to a listing.</w:t>
      </w:r>
      <w:bookmarkEnd w:id="111"/>
      <w:r>
        <w:rPr>
          <w:rFonts w:asciiTheme="minorHAnsi" w:hAnsiTheme="minorHAnsi"/>
          <w:snapToGrid w:val="0"/>
          <w:lang w:val="en-GB"/>
        </w:rPr>
        <w:t xml:space="preserve"> </w:t>
      </w:r>
    </w:p>
    <w:p w14:paraId="0C3B551A" w14:textId="6904DBD5" w:rsidR="006D6D60" w:rsidRPr="00444BFE" w:rsidRDefault="00552F32" w:rsidP="00B649BD">
      <w:pPr>
        <w:widowControl w:val="0"/>
        <w:numPr>
          <w:ilvl w:val="1"/>
          <w:numId w:val="1"/>
        </w:numPr>
        <w:spacing w:after="120"/>
        <w:ind w:left="720"/>
        <w:contextualSpacing/>
        <w:rPr>
          <w:rFonts w:asciiTheme="minorHAnsi" w:hAnsiTheme="minorHAnsi"/>
          <w:snapToGrid w:val="0"/>
          <w:lang w:val="en-GB"/>
        </w:rPr>
      </w:pPr>
      <w:bookmarkStart w:id="112" w:name="_Ref213676874"/>
      <w:r w:rsidRPr="00444BFE">
        <w:rPr>
          <w:rFonts w:asciiTheme="minorHAnsi" w:hAnsiTheme="minorHAnsi"/>
          <w:snapToGrid w:val="0"/>
          <w:lang w:val="en-GB"/>
        </w:rPr>
        <w:t xml:space="preserve">The PBAC </w:t>
      </w:r>
      <w:r w:rsidR="005718D6" w:rsidRPr="00444BFE">
        <w:rPr>
          <w:rFonts w:asciiTheme="minorHAnsi" w:hAnsiTheme="minorHAnsi"/>
          <w:snapToGrid w:val="0"/>
          <w:lang w:val="en-GB"/>
        </w:rPr>
        <w:t xml:space="preserve">provided </w:t>
      </w:r>
      <w:r w:rsidR="007E7302" w:rsidRPr="00444BFE">
        <w:rPr>
          <w:rFonts w:asciiTheme="minorHAnsi" w:hAnsiTheme="minorHAnsi"/>
          <w:snapToGrid w:val="0"/>
          <w:lang w:val="en-GB"/>
        </w:rPr>
        <w:t xml:space="preserve">advice regarding the </w:t>
      </w:r>
      <w:r w:rsidR="00EE777F" w:rsidRPr="00444BFE">
        <w:rPr>
          <w:rFonts w:asciiTheme="minorHAnsi" w:hAnsiTheme="minorHAnsi"/>
          <w:snapToGrid w:val="0"/>
          <w:lang w:val="en-GB"/>
        </w:rPr>
        <w:t>restriction</w:t>
      </w:r>
      <w:r w:rsidR="00951AB7">
        <w:rPr>
          <w:rFonts w:asciiTheme="minorHAnsi" w:hAnsiTheme="minorHAnsi"/>
          <w:snapToGrid w:val="0"/>
          <w:lang w:val="en-GB"/>
        </w:rPr>
        <w:t>, suggesting that it should</w:t>
      </w:r>
      <w:r w:rsidR="00EE777F" w:rsidRPr="00444BFE">
        <w:rPr>
          <w:rFonts w:asciiTheme="minorHAnsi" w:hAnsiTheme="minorHAnsi"/>
          <w:snapToGrid w:val="0"/>
          <w:lang w:val="en-GB"/>
        </w:rPr>
        <w:t>:</w:t>
      </w:r>
      <w:bookmarkEnd w:id="112"/>
      <w:r w:rsidR="00EE777F" w:rsidRPr="00444BFE">
        <w:rPr>
          <w:rFonts w:asciiTheme="minorHAnsi" w:hAnsiTheme="minorHAnsi"/>
          <w:snapToGrid w:val="0"/>
          <w:lang w:val="en-GB"/>
        </w:rPr>
        <w:t xml:space="preserve"> </w:t>
      </w:r>
    </w:p>
    <w:p w14:paraId="5B3C7845" w14:textId="467215D3" w:rsidR="006D6D60" w:rsidRDefault="00717FB2" w:rsidP="00C7040B">
      <w:pPr>
        <w:pStyle w:val="ListParagraph"/>
      </w:pPr>
      <w:r>
        <w:t>A</w:t>
      </w:r>
      <w:r w:rsidR="00B85818">
        <w:t>llow</w:t>
      </w:r>
      <w:r w:rsidR="00A21F43">
        <w:t xml:space="preserve"> </w:t>
      </w:r>
      <w:r w:rsidR="00B85818">
        <w:t xml:space="preserve">prescribing </w:t>
      </w:r>
      <w:r w:rsidR="00A21F43">
        <w:t xml:space="preserve">by medical practitioners of any kind (noting </w:t>
      </w:r>
      <w:r>
        <w:t xml:space="preserve">that although </w:t>
      </w:r>
      <w:r w:rsidR="00A21F43">
        <w:t>the submission had requested restricting to or in consultation with a dermatologist</w:t>
      </w:r>
      <w:r>
        <w:t>, there were know</w:t>
      </w:r>
      <w:r w:rsidR="00194866">
        <w:t>n issues accessing dermatologists</w:t>
      </w:r>
      <w:r w:rsidR="00A21F43">
        <w:t>);</w:t>
      </w:r>
      <w:r w:rsidR="003E2A5D">
        <w:t xml:space="preserve"> </w:t>
      </w:r>
    </w:p>
    <w:p w14:paraId="1CAF983D" w14:textId="2F89FC91" w:rsidR="008A082D" w:rsidRPr="00CE42B4" w:rsidRDefault="00194866" w:rsidP="00C7040B">
      <w:pPr>
        <w:pStyle w:val="ListParagraph"/>
      </w:pPr>
      <w:r>
        <w:t xml:space="preserve">Include </w:t>
      </w:r>
      <w:r w:rsidR="00AF62E0">
        <w:t xml:space="preserve">limitations on </w:t>
      </w:r>
      <w:r>
        <w:t xml:space="preserve">the </w:t>
      </w:r>
      <w:r w:rsidR="00AF62E0">
        <w:t>quantit</w:t>
      </w:r>
      <w:r w:rsidR="006561FC">
        <w:t xml:space="preserve">y dispensed and the number of </w:t>
      </w:r>
      <w:r w:rsidR="00AF62E0">
        <w:t xml:space="preserve">repeats to ensure PBS subsidy is limited to quantities necessary to treat CHE </w:t>
      </w:r>
      <w:r>
        <w:t xml:space="preserve">only, </w:t>
      </w:r>
      <w:r w:rsidR="00AF62E0">
        <w:t>not other body areas;</w:t>
      </w:r>
    </w:p>
    <w:p w14:paraId="491FD557" w14:textId="42E94A2D" w:rsidR="001E3D9E" w:rsidRDefault="000F7A24" w:rsidP="00C7040B">
      <w:pPr>
        <w:pStyle w:val="ListParagraph"/>
      </w:pPr>
      <w:r>
        <w:t xml:space="preserve">Have </w:t>
      </w:r>
      <w:r w:rsidR="004B6677">
        <w:t xml:space="preserve">an initial </w:t>
      </w:r>
      <w:r w:rsidR="006A6F76">
        <w:t xml:space="preserve">12 week treatment </w:t>
      </w:r>
      <w:r w:rsidR="00131A56">
        <w:t>phase restriction</w:t>
      </w:r>
      <w:r w:rsidR="00CA7F84">
        <w:t xml:space="preserve">. Patients who presented an insufficient response </w:t>
      </w:r>
      <w:r w:rsidR="00E023DA">
        <w:t xml:space="preserve">(based on the IGA – CHE scoring system) </w:t>
      </w:r>
      <w:r w:rsidR="00CA7F84">
        <w:t>would no longer be able to access PBS-subsidised delgocitinib treatment</w:t>
      </w:r>
      <w:r w:rsidR="00C4439F">
        <w:t xml:space="preserve"> (i.e. a stopping rule)</w:t>
      </w:r>
      <w:r w:rsidR="00CA7F84">
        <w:t xml:space="preserve">. </w:t>
      </w:r>
      <w:r w:rsidR="0000727B">
        <w:t>However, p</w:t>
      </w:r>
      <w:r w:rsidR="00CA7F84">
        <w:t xml:space="preserve">atients who </w:t>
      </w:r>
      <w:r w:rsidR="004436EF">
        <w:t>presented</w:t>
      </w:r>
      <w:r w:rsidR="00CA7F84">
        <w:t xml:space="preserve"> a partial or low response would be able to </w:t>
      </w:r>
      <w:r w:rsidR="00CA7F84">
        <w:lastRenderedPageBreak/>
        <w:t xml:space="preserve">access </w:t>
      </w:r>
      <w:r w:rsidR="00972760">
        <w:t xml:space="preserve">therapy </w:t>
      </w:r>
      <w:r w:rsidR="00E974C6">
        <w:t>under the ‘</w:t>
      </w:r>
      <w:r w:rsidR="00757348" w:rsidRPr="00757348">
        <w:rPr>
          <w:lang w:val="en-AU"/>
        </w:rPr>
        <w:t>Additional 12 weeks in a treatment course</w:t>
      </w:r>
      <w:r w:rsidR="00757348">
        <w:rPr>
          <w:lang w:val="en-AU"/>
        </w:rPr>
        <w:t>’ treatment phase</w:t>
      </w:r>
      <w:r w:rsidR="00F6204B">
        <w:t>;</w:t>
      </w:r>
    </w:p>
    <w:p w14:paraId="03FCAA8A" w14:textId="4C0CB4F3" w:rsidR="009D10E1" w:rsidRPr="004436EF" w:rsidRDefault="009D10E1">
      <w:pPr>
        <w:pStyle w:val="ListParagraph"/>
      </w:pPr>
      <w:r>
        <w:t xml:space="preserve">Have both treatment phases </w:t>
      </w:r>
      <w:r w:rsidR="00292794">
        <w:t>as Authority</w:t>
      </w:r>
      <w:r>
        <w:t xml:space="preserve"> Required </w:t>
      </w:r>
      <w:r w:rsidR="00172168">
        <w:t>(</w:t>
      </w:r>
      <w:r>
        <w:t>telephone/electronic</w:t>
      </w:r>
      <w:r w:rsidR="00172168">
        <w:t>)</w:t>
      </w:r>
      <w:r>
        <w:t xml:space="preserve"> listings;</w:t>
      </w:r>
    </w:p>
    <w:p w14:paraId="0CDCDB0B" w14:textId="1BCB68D6" w:rsidR="00F6204B" w:rsidRDefault="00F6204B" w:rsidP="00C7040B">
      <w:pPr>
        <w:pStyle w:val="ListParagraph"/>
      </w:pPr>
      <w:r>
        <w:t>Clearly outline that patients should take a break in treatment and reinitiate only if there is an active flare-up of their CHE;</w:t>
      </w:r>
    </w:p>
    <w:p w14:paraId="1900D1EC" w14:textId="68A1DB46" w:rsidR="00834FC2" w:rsidRPr="00C7040B" w:rsidRDefault="00834FC2" w:rsidP="00C7040B">
      <w:pPr>
        <w:pStyle w:val="ListParagraph"/>
      </w:pPr>
      <w:r w:rsidRPr="00C7040B">
        <w:t xml:space="preserve">Continue to require an assessment of </w:t>
      </w:r>
      <w:r w:rsidR="002F2320" w:rsidRPr="00C7040B">
        <w:t>moderate-to-severe CHE with an</w:t>
      </w:r>
      <w:r w:rsidR="00B226AC" w:rsidRPr="00C7040B">
        <w:t xml:space="preserve"> investigator’s global assessment of CHE</w:t>
      </w:r>
      <w:r w:rsidR="002F2320" w:rsidRPr="00C7040B">
        <w:t xml:space="preserve"> </w:t>
      </w:r>
      <w:r w:rsidR="00B226AC" w:rsidRPr="00C7040B">
        <w:t>(</w:t>
      </w:r>
      <w:r w:rsidR="002F2320" w:rsidRPr="00C7040B">
        <w:t>IGA-CHE</w:t>
      </w:r>
      <w:r w:rsidR="00B226AC" w:rsidRPr="00C7040B">
        <w:t>)</w:t>
      </w:r>
      <w:r w:rsidR="002F2320" w:rsidRPr="00C7040B">
        <w:t xml:space="preserve"> score of 3 or 4</w:t>
      </w:r>
      <w:r w:rsidR="006C528D">
        <w:t xml:space="preserve"> that has lasted fo</w:t>
      </w:r>
      <w:r w:rsidR="00172168">
        <w:t>r</w:t>
      </w:r>
      <w:r w:rsidR="006C528D">
        <w:t xml:space="preserve"> more than 3 months prior to initiating their most recent course of PBS-subsidised treatment with this drug</w:t>
      </w:r>
      <w:r w:rsidR="002F2320" w:rsidRPr="00C7040B">
        <w:t>;</w:t>
      </w:r>
    </w:p>
    <w:p w14:paraId="4DA73FFD" w14:textId="7CC18875" w:rsidR="00CA6F35" w:rsidRDefault="00F6204B" w:rsidP="00C7040B">
      <w:pPr>
        <w:pStyle w:val="ListParagraph"/>
      </w:pPr>
      <w:r>
        <w:t xml:space="preserve">Allow </w:t>
      </w:r>
      <w:r w:rsidR="00EE44B5">
        <w:t xml:space="preserve">patients to retrial </w:t>
      </w:r>
      <w:r w:rsidR="008149EF">
        <w:t>therapy</w:t>
      </w:r>
      <w:r w:rsidR="00EE44B5">
        <w:t xml:space="preserve"> with delgocitinib</w:t>
      </w:r>
      <w:r w:rsidR="00592F07">
        <w:t>,</w:t>
      </w:r>
      <w:r w:rsidR="00EE44B5">
        <w:t xml:space="preserve"> if they have </w:t>
      </w:r>
      <w:r w:rsidR="00A61C2A">
        <w:t>experienced a flare up</w:t>
      </w:r>
      <w:r w:rsidR="003F0E5A">
        <w:t xml:space="preserve"> that has returned twice or more within the last 12 months</w:t>
      </w:r>
      <w:r>
        <w:t>;</w:t>
      </w:r>
    </w:p>
    <w:p w14:paraId="74265F37" w14:textId="5BAB0B3C" w:rsidR="00A61C2A" w:rsidRDefault="00F6204B" w:rsidP="00C7040B">
      <w:pPr>
        <w:pStyle w:val="ListParagraph"/>
      </w:pPr>
      <w:r>
        <w:t>Include</w:t>
      </w:r>
      <w:r w:rsidR="00EF0F58">
        <w:t xml:space="preserve"> the wording ‘medium to high potency’ </w:t>
      </w:r>
      <w:r>
        <w:t>in relation to topical corticosteroid therapy and</w:t>
      </w:r>
      <w:r w:rsidR="00EF0F58">
        <w:t xml:space="preserve"> </w:t>
      </w:r>
      <w:r w:rsidR="00827771">
        <w:t>ensure that patients only need to present that they were unable to respon</w:t>
      </w:r>
      <w:r w:rsidR="004662A9">
        <w:t>d to topical corticosteroid therapy</w:t>
      </w:r>
      <w:r w:rsidR="00827771">
        <w:t xml:space="preserve"> prior to receiving their </w:t>
      </w:r>
      <w:r w:rsidR="00827771" w:rsidRPr="004662A9">
        <w:rPr>
          <w:u w:val="single"/>
        </w:rPr>
        <w:t>first</w:t>
      </w:r>
      <w:r w:rsidR="00827771">
        <w:t xml:space="preserve"> PBS-subsidised treatment with this drug for this condition. </w:t>
      </w:r>
      <w:r w:rsidR="004662A9">
        <w:t xml:space="preserve">This will ensure patients who are </w:t>
      </w:r>
      <w:r w:rsidR="00FD6F28">
        <w:t>experiencing a flare-up will not need to</w:t>
      </w:r>
      <w:r>
        <w:t xml:space="preserve"> cease delgocitinib and</w:t>
      </w:r>
      <w:r w:rsidR="00FD6F28">
        <w:t xml:space="preserve"> retrial </w:t>
      </w:r>
      <w:r w:rsidR="00EC14FB">
        <w:t xml:space="preserve">topical corticosteroid therapy again for 12 months, in order to access </w:t>
      </w:r>
      <w:r>
        <w:t xml:space="preserve">further treatment with </w:t>
      </w:r>
      <w:r w:rsidR="00EC14FB">
        <w:t>PBS-subsidised delgocitinib.</w:t>
      </w:r>
    </w:p>
    <w:p w14:paraId="10E7B309" w14:textId="5AD4739F" w:rsidR="003B37AC" w:rsidRDefault="003B37AC" w:rsidP="00C7040B">
      <w:pPr>
        <w:pStyle w:val="ListParagraph"/>
      </w:pPr>
      <w:r>
        <w:t>Be age agnostic;</w:t>
      </w:r>
      <w:r w:rsidR="006B343D">
        <w:t xml:space="preserve"> and</w:t>
      </w:r>
    </w:p>
    <w:p w14:paraId="1030C975" w14:textId="4830448E" w:rsidR="002F2320" w:rsidRDefault="00AA299A" w:rsidP="00C7040B">
      <w:pPr>
        <w:pStyle w:val="ListParagraph"/>
      </w:pPr>
      <w:r>
        <w:t xml:space="preserve">Not include a </w:t>
      </w:r>
      <w:r w:rsidR="00E70C14">
        <w:t>requirement for treatment to be as monotherapy</w:t>
      </w:r>
      <w:r w:rsidR="00F141B2">
        <w:t>.</w:t>
      </w:r>
    </w:p>
    <w:p w14:paraId="09129357" w14:textId="5CB992E0" w:rsidR="0059371C" w:rsidRDefault="004B2186" w:rsidP="00AC305B">
      <w:pPr>
        <w:pStyle w:val="3-BodyText"/>
      </w:pPr>
      <w:r>
        <w:rPr>
          <w:snapToGrid w:val="0"/>
          <w:lang w:val="en-GB"/>
        </w:rPr>
        <w:t xml:space="preserve">The PBAC noted that </w:t>
      </w:r>
      <w:r w:rsidR="00AE6899">
        <w:rPr>
          <w:snapToGrid w:val="0"/>
          <w:lang w:val="en-GB"/>
        </w:rPr>
        <w:t xml:space="preserve">the </w:t>
      </w:r>
      <w:r w:rsidR="00D47999">
        <w:rPr>
          <w:snapToGrid w:val="0"/>
          <w:lang w:val="en-GB"/>
        </w:rPr>
        <w:t>submission</w:t>
      </w:r>
      <w:r w:rsidR="00AE6899">
        <w:rPr>
          <w:snapToGrid w:val="0"/>
          <w:lang w:val="en-GB"/>
        </w:rPr>
        <w:t xml:space="preserve"> </w:t>
      </w:r>
      <w:r w:rsidR="00A1472E">
        <w:rPr>
          <w:snapToGrid w:val="0"/>
          <w:lang w:val="en-GB"/>
        </w:rPr>
        <w:t xml:space="preserve">did not </w:t>
      </w:r>
      <w:r w:rsidR="00D47999">
        <w:rPr>
          <w:snapToGrid w:val="0"/>
          <w:lang w:val="en-GB"/>
        </w:rPr>
        <w:t>propose</w:t>
      </w:r>
      <w:r w:rsidR="00A1472E">
        <w:rPr>
          <w:snapToGrid w:val="0"/>
          <w:lang w:val="en-GB"/>
        </w:rPr>
        <w:t xml:space="preserve"> a grandfather </w:t>
      </w:r>
      <w:r w:rsidR="00747BEF">
        <w:rPr>
          <w:snapToGrid w:val="0"/>
          <w:lang w:val="en-GB"/>
        </w:rPr>
        <w:t>restriction</w:t>
      </w:r>
      <w:r w:rsidR="00CC1D90">
        <w:rPr>
          <w:snapToGrid w:val="0"/>
          <w:lang w:val="en-GB"/>
        </w:rPr>
        <w:t>. The PBAC noted</w:t>
      </w:r>
      <w:r w:rsidR="003C3D37">
        <w:rPr>
          <w:snapToGrid w:val="0"/>
          <w:lang w:val="en-GB"/>
        </w:rPr>
        <w:t xml:space="preserve"> </w:t>
      </w:r>
      <w:r w:rsidR="003A4FCC">
        <w:rPr>
          <w:snapToGrid w:val="0"/>
          <w:lang w:val="en-GB"/>
        </w:rPr>
        <w:t>that wording</w:t>
      </w:r>
      <w:r w:rsidR="00AC305B">
        <w:rPr>
          <w:snapToGrid w:val="0"/>
          <w:lang w:val="en-GB"/>
        </w:rPr>
        <w:t xml:space="preserve"> </w:t>
      </w:r>
      <w:r w:rsidR="003C3D37">
        <w:rPr>
          <w:snapToGrid w:val="0"/>
          <w:lang w:val="en-GB"/>
        </w:rPr>
        <w:t xml:space="preserve">to accommodate for </w:t>
      </w:r>
      <w:r w:rsidR="00780CBC">
        <w:rPr>
          <w:snapToGrid w:val="0"/>
          <w:lang w:val="en-GB"/>
        </w:rPr>
        <w:t xml:space="preserve">patients </w:t>
      </w:r>
      <w:r w:rsidR="00FD569F">
        <w:rPr>
          <w:snapToGrid w:val="0"/>
          <w:lang w:val="en-GB"/>
        </w:rPr>
        <w:t xml:space="preserve">wishing to </w:t>
      </w:r>
      <w:r w:rsidR="00F141B2">
        <w:rPr>
          <w:snapToGrid w:val="0"/>
          <w:lang w:val="en-GB"/>
        </w:rPr>
        <w:t>transition from</w:t>
      </w:r>
      <w:r w:rsidR="003C3D37">
        <w:rPr>
          <w:snapToGrid w:val="0"/>
          <w:lang w:val="en-GB"/>
        </w:rPr>
        <w:t xml:space="preserve"> non-PBS subsidised to PBS</w:t>
      </w:r>
      <w:r w:rsidR="00F141B2">
        <w:rPr>
          <w:snapToGrid w:val="0"/>
          <w:lang w:val="en-GB"/>
        </w:rPr>
        <w:t xml:space="preserve"> </w:t>
      </w:r>
      <w:r w:rsidR="003C3D37">
        <w:rPr>
          <w:snapToGrid w:val="0"/>
          <w:lang w:val="en-GB"/>
        </w:rPr>
        <w:t xml:space="preserve">subsidised treatment </w:t>
      </w:r>
      <w:r w:rsidR="00AC305B" w:rsidRPr="00F56433">
        <w:t>may</w:t>
      </w:r>
      <w:r w:rsidR="003C3D37">
        <w:t xml:space="preserve"> be</w:t>
      </w:r>
      <w:r w:rsidR="00AC305B" w:rsidRPr="00F56433">
        <w:t xml:space="preserve"> require</w:t>
      </w:r>
      <w:r w:rsidR="003C3D37">
        <w:t>d</w:t>
      </w:r>
      <w:r w:rsidR="00AC305B" w:rsidRPr="00F56433">
        <w:t xml:space="preserve"> at the time of the PBS listing of delgocitinib. </w:t>
      </w:r>
    </w:p>
    <w:p w14:paraId="6E111567" w14:textId="4DF03C28" w:rsidR="00D34914" w:rsidRDefault="00D34914" w:rsidP="00D34914">
      <w:pPr>
        <w:pStyle w:val="3-BodyText"/>
        <w:rPr>
          <w:snapToGrid w:val="0"/>
          <w:lang w:val="en-GB"/>
        </w:rPr>
      </w:pPr>
      <w:r w:rsidRPr="002742EF">
        <w:rPr>
          <w:snapToGrid w:val="0"/>
          <w:lang w:val="en-GB"/>
        </w:rPr>
        <w:t xml:space="preserve">The PBAC noted </w:t>
      </w:r>
      <w:r>
        <w:rPr>
          <w:snapToGrid w:val="0"/>
          <w:lang w:val="en-GB"/>
        </w:rPr>
        <w:t>that</w:t>
      </w:r>
      <w:r w:rsidRPr="002742EF">
        <w:rPr>
          <w:snapToGrid w:val="0"/>
          <w:lang w:val="en-GB"/>
        </w:rPr>
        <w:t xml:space="preserve"> flow-on restriction changes </w:t>
      </w:r>
      <w:r>
        <w:rPr>
          <w:snapToGrid w:val="0"/>
          <w:lang w:val="en-GB"/>
        </w:rPr>
        <w:t xml:space="preserve">would be </w:t>
      </w:r>
      <w:r w:rsidRPr="002742EF">
        <w:rPr>
          <w:snapToGrid w:val="0"/>
          <w:lang w:val="en-GB"/>
        </w:rPr>
        <w:t xml:space="preserve">required </w:t>
      </w:r>
      <w:r>
        <w:rPr>
          <w:snapToGrid w:val="0"/>
          <w:lang w:val="en-GB"/>
        </w:rPr>
        <w:t>for</w:t>
      </w:r>
      <w:r w:rsidRPr="002742EF">
        <w:rPr>
          <w:snapToGrid w:val="0"/>
          <w:lang w:val="en-GB"/>
        </w:rPr>
        <w:t xml:space="preserve"> dupilumab and upadacitinib, for </w:t>
      </w:r>
      <w:r>
        <w:rPr>
          <w:snapToGrid w:val="0"/>
          <w:lang w:val="en-GB"/>
        </w:rPr>
        <w:t xml:space="preserve">use in </w:t>
      </w:r>
      <w:r w:rsidRPr="002742EF">
        <w:rPr>
          <w:snapToGrid w:val="0"/>
          <w:lang w:val="en-GB"/>
        </w:rPr>
        <w:t>patients aged 12 years or older</w:t>
      </w:r>
      <w:r>
        <w:rPr>
          <w:snapToGrid w:val="0"/>
          <w:lang w:val="en-GB"/>
        </w:rPr>
        <w:t>,</w:t>
      </w:r>
      <w:r w:rsidRPr="002742EF">
        <w:rPr>
          <w:snapToGrid w:val="0"/>
          <w:lang w:val="en-GB"/>
        </w:rPr>
        <w:t xml:space="preserve"> to allow use following treatment with delgocitinib after confirmation of a diagnosis </w:t>
      </w:r>
      <w:r w:rsidR="00D55F21">
        <w:rPr>
          <w:snapToGrid w:val="0"/>
          <w:lang w:val="en-GB"/>
        </w:rPr>
        <w:t>of</w:t>
      </w:r>
      <w:r w:rsidRPr="002742EF">
        <w:rPr>
          <w:snapToGrid w:val="0"/>
          <w:lang w:val="en-GB"/>
        </w:rPr>
        <w:t xml:space="preserve"> chronic</w:t>
      </w:r>
      <w:r w:rsidR="00D55F21">
        <w:rPr>
          <w:snapToGrid w:val="0"/>
          <w:lang w:val="en-GB"/>
        </w:rPr>
        <w:t>,</w:t>
      </w:r>
      <w:r w:rsidRPr="002742EF">
        <w:rPr>
          <w:snapToGrid w:val="0"/>
          <w:lang w:val="en-GB"/>
        </w:rPr>
        <w:t xml:space="preserve"> severe atopic dermatitis of the hand.</w:t>
      </w:r>
    </w:p>
    <w:p w14:paraId="6761C7AD" w14:textId="44B64157" w:rsidR="007C6DD5" w:rsidRPr="00662256" w:rsidRDefault="007C6DD5" w:rsidP="00662256">
      <w:pPr>
        <w:widowControl w:val="0"/>
        <w:numPr>
          <w:ilvl w:val="1"/>
          <w:numId w:val="1"/>
        </w:numPr>
        <w:spacing w:after="120"/>
        <w:ind w:left="720"/>
        <w:rPr>
          <w:rFonts w:asciiTheme="minorHAnsi" w:hAnsiTheme="minorHAnsi"/>
          <w:snapToGrid w:val="0"/>
          <w:lang w:val="en-GB"/>
        </w:rPr>
      </w:pPr>
      <w:r w:rsidRPr="007C6DD5">
        <w:rPr>
          <w:rFonts w:asciiTheme="minorHAnsi" w:hAnsiTheme="minorHAnsi"/>
          <w:snapToGrid w:val="0"/>
          <w:lang w:val="en-GB"/>
        </w:rPr>
        <w:t>The Committee noted the submission requested a second line listing for patients who had failed prior treatment with TCS, or for patients who are contraindicated or are intolerant to TCS, but prior to systemic or targeted therapies, and nominated S</w:t>
      </w:r>
      <w:r w:rsidR="00F34E67">
        <w:rPr>
          <w:rFonts w:asciiTheme="minorHAnsi" w:hAnsiTheme="minorHAnsi"/>
          <w:snapToGrid w:val="0"/>
          <w:lang w:val="en-GB"/>
        </w:rPr>
        <w:t>o</w:t>
      </w:r>
      <w:r w:rsidRPr="007C6DD5">
        <w:rPr>
          <w:rFonts w:asciiTheme="minorHAnsi" w:hAnsiTheme="minorHAnsi"/>
          <w:snapToGrid w:val="0"/>
          <w:lang w:val="en-GB"/>
        </w:rPr>
        <w:t xml:space="preserve">C, consisting of non-medicated emollients and avoidance of known irritants, as the main comparator. </w:t>
      </w:r>
      <w:r w:rsidR="00617DBE" w:rsidRPr="00617DBE">
        <w:rPr>
          <w:rFonts w:asciiTheme="minorHAnsi" w:hAnsiTheme="minorHAnsi"/>
          <w:snapToGrid w:val="0"/>
        </w:rPr>
        <w:t xml:space="preserve">The PBAC considered </w:t>
      </w:r>
      <w:r w:rsidR="00617DBE">
        <w:rPr>
          <w:rFonts w:asciiTheme="minorHAnsi" w:hAnsiTheme="minorHAnsi"/>
          <w:snapToGrid w:val="0"/>
        </w:rPr>
        <w:t xml:space="preserve">that </w:t>
      </w:r>
      <w:r w:rsidR="00617DBE" w:rsidRPr="00617DBE">
        <w:rPr>
          <w:rFonts w:asciiTheme="minorHAnsi" w:hAnsiTheme="minorHAnsi"/>
          <w:snapToGrid w:val="0"/>
        </w:rPr>
        <w:t xml:space="preserve">the make-up of </w:t>
      </w:r>
      <w:r w:rsidR="00600CC2" w:rsidRPr="00617DBE">
        <w:rPr>
          <w:rFonts w:asciiTheme="minorHAnsi" w:hAnsiTheme="minorHAnsi"/>
          <w:snapToGrid w:val="0"/>
        </w:rPr>
        <w:t>S</w:t>
      </w:r>
      <w:r w:rsidR="00600CC2">
        <w:rPr>
          <w:rFonts w:asciiTheme="minorHAnsi" w:hAnsiTheme="minorHAnsi"/>
          <w:snapToGrid w:val="0"/>
        </w:rPr>
        <w:t>o</w:t>
      </w:r>
      <w:r w:rsidR="00600CC2" w:rsidRPr="00617DBE">
        <w:rPr>
          <w:rFonts w:asciiTheme="minorHAnsi" w:hAnsiTheme="minorHAnsi"/>
          <w:snapToGrid w:val="0"/>
        </w:rPr>
        <w:t>C</w:t>
      </w:r>
      <w:r w:rsidR="00617DBE">
        <w:rPr>
          <w:rFonts w:asciiTheme="minorHAnsi" w:hAnsiTheme="minorHAnsi"/>
          <w:snapToGrid w:val="0"/>
        </w:rPr>
        <w:t>,</w:t>
      </w:r>
      <w:r w:rsidR="00617DBE" w:rsidRPr="00617DBE">
        <w:rPr>
          <w:rFonts w:asciiTheme="minorHAnsi" w:hAnsiTheme="minorHAnsi"/>
          <w:snapToGrid w:val="0"/>
        </w:rPr>
        <w:t xml:space="preserve"> as defined </w:t>
      </w:r>
      <w:r w:rsidR="00617DBE">
        <w:rPr>
          <w:rFonts w:asciiTheme="minorHAnsi" w:hAnsiTheme="minorHAnsi"/>
          <w:snapToGrid w:val="0"/>
        </w:rPr>
        <w:t xml:space="preserve">in the submission, </w:t>
      </w:r>
      <w:r w:rsidR="00617DBE" w:rsidRPr="00617DBE">
        <w:rPr>
          <w:rFonts w:asciiTheme="minorHAnsi" w:hAnsiTheme="minorHAnsi"/>
          <w:snapToGrid w:val="0"/>
        </w:rPr>
        <w:t>did not reflect the treatments likely to be replaced in practice, and that at least a proportion of patients would be receiving TCS</w:t>
      </w:r>
      <w:r w:rsidR="005E2092">
        <w:rPr>
          <w:rFonts w:asciiTheme="minorHAnsi" w:hAnsiTheme="minorHAnsi"/>
          <w:snapToGrid w:val="0"/>
        </w:rPr>
        <w:t xml:space="preserve"> </w:t>
      </w:r>
      <w:r w:rsidR="005E2092" w:rsidRPr="00662256">
        <w:rPr>
          <w:rFonts w:asciiTheme="minorHAnsi" w:hAnsiTheme="minorHAnsi"/>
          <w:snapToGrid w:val="0"/>
        </w:rPr>
        <w:t xml:space="preserve">(see paragraph </w:t>
      </w:r>
      <w:r w:rsidR="005E2092" w:rsidRPr="00662256">
        <w:rPr>
          <w:rFonts w:asciiTheme="minorHAnsi" w:hAnsiTheme="minorHAnsi"/>
          <w:snapToGrid w:val="0"/>
        </w:rPr>
        <w:fldChar w:fldCharType="begin"/>
      </w:r>
      <w:r w:rsidR="005E2092" w:rsidRPr="00662256">
        <w:rPr>
          <w:rFonts w:asciiTheme="minorHAnsi" w:hAnsiTheme="minorHAnsi"/>
          <w:snapToGrid w:val="0"/>
        </w:rPr>
        <w:instrText xml:space="preserve"> REF _Ref214974593 \r \h </w:instrText>
      </w:r>
      <w:r w:rsidR="005E2092" w:rsidRPr="00662256">
        <w:rPr>
          <w:rFonts w:asciiTheme="minorHAnsi" w:hAnsiTheme="minorHAnsi"/>
          <w:snapToGrid w:val="0"/>
        </w:rPr>
      </w:r>
      <w:r w:rsidR="005E2092" w:rsidRPr="00662256">
        <w:rPr>
          <w:rFonts w:asciiTheme="minorHAnsi" w:hAnsiTheme="minorHAnsi"/>
          <w:snapToGrid w:val="0"/>
        </w:rPr>
        <w:fldChar w:fldCharType="separate"/>
      </w:r>
      <w:r w:rsidR="00AA53DD">
        <w:rPr>
          <w:rFonts w:asciiTheme="minorHAnsi" w:hAnsiTheme="minorHAnsi"/>
          <w:snapToGrid w:val="0"/>
        </w:rPr>
        <w:t>7.2</w:t>
      </w:r>
      <w:r w:rsidR="005E2092" w:rsidRPr="00662256">
        <w:rPr>
          <w:rFonts w:asciiTheme="minorHAnsi" w:hAnsiTheme="minorHAnsi"/>
          <w:snapToGrid w:val="0"/>
        </w:rPr>
        <w:fldChar w:fldCharType="end"/>
      </w:r>
      <w:r w:rsidR="005E2092" w:rsidRPr="00662256">
        <w:rPr>
          <w:rFonts w:asciiTheme="minorHAnsi" w:hAnsiTheme="minorHAnsi"/>
          <w:snapToGrid w:val="0"/>
        </w:rPr>
        <w:t>)</w:t>
      </w:r>
      <w:r w:rsidR="00617DBE" w:rsidRPr="00617DBE">
        <w:rPr>
          <w:rFonts w:asciiTheme="minorHAnsi" w:hAnsiTheme="minorHAnsi"/>
          <w:snapToGrid w:val="0"/>
        </w:rPr>
        <w:t xml:space="preserve">. However, noting that clinical evidence against TCS was unlikely to become available, the PBAC accepted the comparison versus </w:t>
      </w:r>
      <w:r w:rsidR="00600CC2">
        <w:rPr>
          <w:rFonts w:asciiTheme="minorHAnsi" w:hAnsiTheme="minorHAnsi"/>
          <w:snapToGrid w:val="0"/>
        </w:rPr>
        <w:t xml:space="preserve">SoC. </w:t>
      </w:r>
      <w:r w:rsidR="009C666B" w:rsidRPr="00662256">
        <w:rPr>
          <w:rFonts w:asciiTheme="minorHAnsi" w:hAnsiTheme="minorHAnsi"/>
          <w:snapToGrid w:val="0"/>
        </w:rPr>
        <w:t xml:space="preserve">The PBAC </w:t>
      </w:r>
      <w:r w:rsidR="003D286B" w:rsidRPr="00662256">
        <w:rPr>
          <w:rFonts w:asciiTheme="minorHAnsi" w:hAnsiTheme="minorHAnsi"/>
          <w:snapToGrid w:val="0"/>
        </w:rPr>
        <w:t>noted that dupilumab was proposed by the submission as a secondary comparator</w:t>
      </w:r>
      <w:r w:rsidR="006A4036" w:rsidRPr="00662256">
        <w:rPr>
          <w:rFonts w:asciiTheme="minorHAnsi" w:hAnsiTheme="minorHAnsi"/>
          <w:snapToGrid w:val="0"/>
        </w:rPr>
        <w:t xml:space="preserve">, but considered that </w:t>
      </w:r>
      <w:r w:rsidR="00455761" w:rsidRPr="00662256">
        <w:rPr>
          <w:rFonts w:asciiTheme="minorHAnsi" w:hAnsiTheme="minorHAnsi"/>
          <w:snapToGrid w:val="0"/>
        </w:rPr>
        <w:t xml:space="preserve">this was not appropriate as, </w:t>
      </w:r>
      <w:r w:rsidR="006A4036" w:rsidRPr="00662256">
        <w:rPr>
          <w:rFonts w:asciiTheme="minorHAnsi" w:hAnsiTheme="minorHAnsi"/>
          <w:snapToGrid w:val="0"/>
        </w:rPr>
        <w:t xml:space="preserve">although there may be some displacement of dupilumab in a proportion of patients with the </w:t>
      </w:r>
      <w:r w:rsidR="004D2E0C" w:rsidRPr="00662256">
        <w:rPr>
          <w:rFonts w:asciiTheme="minorHAnsi" w:hAnsiTheme="minorHAnsi"/>
          <w:snapToGrid w:val="0"/>
        </w:rPr>
        <w:t>atopic subtype</w:t>
      </w:r>
      <w:r w:rsidR="006A4036" w:rsidRPr="00662256">
        <w:rPr>
          <w:rFonts w:asciiTheme="minorHAnsi" w:hAnsiTheme="minorHAnsi"/>
          <w:snapToGrid w:val="0"/>
        </w:rPr>
        <w:t>, the extent of replacement was likely to be small</w:t>
      </w:r>
      <w:r w:rsidR="004D2E0C" w:rsidRPr="00662256">
        <w:rPr>
          <w:rFonts w:asciiTheme="minorHAnsi" w:hAnsiTheme="minorHAnsi"/>
          <w:snapToGrid w:val="0"/>
        </w:rPr>
        <w:t>.</w:t>
      </w:r>
    </w:p>
    <w:p w14:paraId="5CE481DF" w14:textId="6C266907" w:rsidR="004A3766" w:rsidRDefault="004A3766" w:rsidP="0065672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the submission was supported primarily by two randomised </w:t>
      </w:r>
      <w:r>
        <w:rPr>
          <w:rFonts w:asciiTheme="minorHAnsi" w:hAnsiTheme="minorHAnsi"/>
          <w:snapToGrid w:val="0"/>
          <w:lang w:val="en-GB"/>
        </w:rPr>
        <w:lastRenderedPageBreak/>
        <w:t xml:space="preserve">controlled trials (DELTA 1 </w:t>
      </w:r>
      <w:r w:rsidR="000F6930">
        <w:rPr>
          <w:rFonts w:asciiTheme="minorHAnsi" w:hAnsiTheme="minorHAnsi"/>
          <w:snapToGrid w:val="0"/>
          <w:lang w:val="en-GB"/>
        </w:rPr>
        <w:t xml:space="preserve">and DELTA </w:t>
      </w:r>
      <w:r>
        <w:rPr>
          <w:rFonts w:asciiTheme="minorHAnsi" w:hAnsiTheme="minorHAnsi"/>
          <w:snapToGrid w:val="0"/>
          <w:lang w:val="en-GB"/>
        </w:rPr>
        <w:t>2) comparing delgocitinib</w:t>
      </w:r>
      <w:r w:rsidR="003D2D49">
        <w:rPr>
          <w:rFonts w:asciiTheme="minorHAnsi" w:hAnsiTheme="minorHAnsi"/>
          <w:snapToGrid w:val="0"/>
          <w:lang w:val="en-GB"/>
        </w:rPr>
        <w:t xml:space="preserve"> over 16 weeks</w:t>
      </w:r>
      <w:r>
        <w:rPr>
          <w:rFonts w:asciiTheme="minorHAnsi" w:hAnsiTheme="minorHAnsi"/>
          <w:snapToGrid w:val="0"/>
          <w:lang w:val="en-GB"/>
        </w:rPr>
        <w:t xml:space="preserve">, as monotherapy, </w:t>
      </w:r>
      <w:r w:rsidR="005C661B">
        <w:rPr>
          <w:rFonts w:asciiTheme="minorHAnsi" w:hAnsiTheme="minorHAnsi"/>
          <w:snapToGrid w:val="0"/>
          <w:lang w:val="en-GB"/>
        </w:rPr>
        <w:t>compared with</w:t>
      </w:r>
      <w:r>
        <w:rPr>
          <w:rFonts w:asciiTheme="minorHAnsi" w:hAnsiTheme="minorHAnsi"/>
          <w:snapToGrid w:val="0"/>
          <w:lang w:val="en-GB"/>
        </w:rPr>
        <w:t xml:space="preserve"> </w:t>
      </w:r>
      <w:r w:rsidR="002F6353">
        <w:rPr>
          <w:rFonts w:asciiTheme="minorHAnsi" w:hAnsiTheme="minorHAnsi"/>
          <w:snapToGrid w:val="0"/>
          <w:lang w:val="en-GB"/>
        </w:rPr>
        <w:t xml:space="preserve">vehicle </w:t>
      </w:r>
      <w:r w:rsidR="005433F6">
        <w:rPr>
          <w:rFonts w:asciiTheme="minorHAnsi" w:hAnsiTheme="minorHAnsi"/>
          <w:snapToGrid w:val="0"/>
          <w:lang w:val="en-GB"/>
        </w:rPr>
        <w:t xml:space="preserve">in patients </w:t>
      </w:r>
      <w:r w:rsidR="006A4E75">
        <w:rPr>
          <w:rFonts w:asciiTheme="minorHAnsi" w:hAnsiTheme="minorHAnsi"/>
          <w:snapToGrid w:val="0"/>
          <w:lang w:val="en-GB"/>
        </w:rPr>
        <w:t>in whom</w:t>
      </w:r>
      <w:r w:rsidR="005433F6">
        <w:rPr>
          <w:rFonts w:asciiTheme="minorHAnsi" w:hAnsiTheme="minorHAnsi"/>
          <w:snapToGrid w:val="0"/>
          <w:lang w:val="en-GB"/>
        </w:rPr>
        <w:t xml:space="preserve"> </w:t>
      </w:r>
      <w:r w:rsidR="006A4E75" w:rsidRPr="006A4E75">
        <w:rPr>
          <w:rFonts w:asciiTheme="minorHAnsi" w:hAnsiTheme="minorHAnsi"/>
          <w:snapToGrid w:val="0"/>
          <w:lang w:val="en-GB"/>
        </w:rPr>
        <w:t xml:space="preserve">TCS </w:t>
      </w:r>
      <w:r w:rsidR="006A4E75">
        <w:rPr>
          <w:rFonts w:asciiTheme="minorHAnsi" w:hAnsiTheme="minorHAnsi"/>
          <w:snapToGrid w:val="0"/>
          <w:lang w:val="en-GB"/>
        </w:rPr>
        <w:t>was</w:t>
      </w:r>
      <w:r w:rsidR="006A4E75" w:rsidRPr="006A4E75">
        <w:rPr>
          <w:rFonts w:asciiTheme="minorHAnsi" w:hAnsiTheme="minorHAnsi"/>
          <w:snapToGrid w:val="0"/>
          <w:lang w:val="en-GB"/>
        </w:rPr>
        <w:t xml:space="preserve"> ineffective or inappropriate</w:t>
      </w:r>
      <w:r w:rsidR="006A4E75">
        <w:rPr>
          <w:rFonts w:asciiTheme="minorHAnsi" w:hAnsiTheme="minorHAnsi"/>
          <w:snapToGrid w:val="0"/>
          <w:lang w:val="en-GB"/>
        </w:rPr>
        <w:t xml:space="preserve">, and the </w:t>
      </w:r>
      <w:r w:rsidR="003D2D49">
        <w:rPr>
          <w:rFonts w:asciiTheme="minorHAnsi" w:hAnsiTheme="minorHAnsi"/>
          <w:snapToGrid w:val="0"/>
          <w:lang w:val="en-GB"/>
        </w:rPr>
        <w:t xml:space="preserve">open label extension study of these trials (DELTA 3). </w:t>
      </w:r>
    </w:p>
    <w:p w14:paraId="20EA4C4D" w14:textId="35DE49CA" w:rsidR="00922DC4" w:rsidRDefault="005A6A5B" w:rsidP="006E65CD">
      <w:pPr>
        <w:widowControl w:val="0"/>
        <w:numPr>
          <w:ilvl w:val="1"/>
          <w:numId w:val="1"/>
        </w:numPr>
        <w:spacing w:after="120"/>
        <w:ind w:left="720"/>
        <w:rPr>
          <w:rFonts w:asciiTheme="minorHAnsi" w:hAnsiTheme="minorHAnsi"/>
          <w:snapToGrid w:val="0"/>
          <w:lang w:val="en-GB"/>
        </w:rPr>
      </w:pPr>
      <w:r w:rsidRPr="005A6A5B">
        <w:rPr>
          <w:rFonts w:asciiTheme="minorHAnsi" w:hAnsiTheme="minorHAnsi"/>
          <w:snapToGrid w:val="0"/>
          <w:lang w:val="en-GB"/>
        </w:rPr>
        <w:t xml:space="preserve">The PBAC noted </w:t>
      </w:r>
      <w:r w:rsidR="000F6930">
        <w:rPr>
          <w:rFonts w:asciiTheme="minorHAnsi" w:hAnsiTheme="minorHAnsi"/>
          <w:snapToGrid w:val="0"/>
          <w:lang w:val="en-GB"/>
        </w:rPr>
        <w:t xml:space="preserve">that </w:t>
      </w:r>
      <w:r w:rsidRPr="005A6A5B">
        <w:rPr>
          <w:rFonts w:asciiTheme="minorHAnsi" w:hAnsiTheme="minorHAnsi"/>
          <w:snapToGrid w:val="0"/>
          <w:lang w:val="en-GB"/>
        </w:rPr>
        <w:t xml:space="preserve">the pooled results of the </w:t>
      </w:r>
      <w:r w:rsidR="000F6930">
        <w:rPr>
          <w:rFonts w:asciiTheme="minorHAnsi" w:hAnsiTheme="minorHAnsi"/>
          <w:snapToGrid w:val="0"/>
          <w:lang w:val="en-GB"/>
        </w:rPr>
        <w:t xml:space="preserve">DELTA 1 and DELTA 2 </w:t>
      </w:r>
      <w:r w:rsidRPr="005A6A5B">
        <w:rPr>
          <w:rFonts w:asciiTheme="minorHAnsi" w:hAnsiTheme="minorHAnsi"/>
          <w:snapToGrid w:val="0"/>
          <w:lang w:val="en-GB"/>
        </w:rPr>
        <w:t xml:space="preserve">trials found delgocitinib was associated with a statistically significantly higher chance of achieving IGA-CHE treatment success, with a 24.3% responder rate for delgocitinib and 8.4% for </w:t>
      </w:r>
      <w:r w:rsidR="001033F7">
        <w:rPr>
          <w:rFonts w:asciiTheme="minorHAnsi" w:hAnsiTheme="minorHAnsi"/>
          <w:snapToGrid w:val="0"/>
          <w:lang w:val="en-GB"/>
        </w:rPr>
        <w:t>vehicle</w:t>
      </w:r>
      <w:r w:rsidR="001033F7" w:rsidRPr="005A6A5B">
        <w:rPr>
          <w:rFonts w:asciiTheme="minorHAnsi" w:hAnsiTheme="minorHAnsi"/>
          <w:snapToGrid w:val="0"/>
          <w:lang w:val="en-GB"/>
        </w:rPr>
        <w:t xml:space="preserve"> </w:t>
      </w:r>
      <w:r w:rsidRPr="005A6A5B">
        <w:rPr>
          <w:rFonts w:asciiTheme="minorHAnsi" w:hAnsiTheme="minorHAnsi"/>
          <w:snapToGrid w:val="0"/>
          <w:lang w:val="en-GB"/>
        </w:rPr>
        <w:t>(risk difference (RD) 15.9%, 95% CI 11.4, 20.4)</w:t>
      </w:r>
      <w:r w:rsidR="007F2570">
        <w:rPr>
          <w:rFonts w:asciiTheme="minorHAnsi" w:hAnsiTheme="minorHAnsi"/>
          <w:snapToGrid w:val="0"/>
          <w:lang w:val="en-GB"/>
        </w:rPr>
        <w:t>. Additionally, there were</w:t>
      </w:r>
      <w:r w:rsidR="004D2BA9">
        <w:rPr>
          <w:rFonts w:asciiTheme="minorHAnsi" w:hAnsiTheme="minorHAnsi"/>
          <w:snapToGrid w:val="0"/>
          <w:lang w:val="en-GB"/>
        </w:rPr>
        <w:t xml:space="preserve"> </w:t>
      </w:r>
      <w:r w:rsidRPr="005A6A5B">
        <w:rPr>
          <w:rFonts w:asciiTheme="minorHAnsi" w:hAnsiTheme="minorHAnsi"/>
          <w:snapToGrid w:val="0"/>
          <w:lang w:val="en-GB"/>
        </w:rPr>
        <w:t xml:space="preserve">statistically significant differences favouring delgocitinib </w:t>
      </w:r>
      <w:r w:rsidR="00680CCE">
        <w:rPr>
          <w:rFonts w:asciiTheme="minorHAnsi" w:hAnsiTheme="minorHAnsi"/>
          <w:snapToGrid w:val="0"/>
          <w:lang w:val="en-GB"/>
        </w:rPr>
        <w:t xml:space="preserve">in both the DELTA 1 and DELTA 2 trials </w:t>
      </w:r>
      <w:r w:rsidRPr="005A6A5B">
        <w:rPr>
          <w:rFonts w:asciiTheme="minorHAnsi" w:hAnsiTheme="minorHAnsi"/>
          <w:snapToGrid w:val="0"/>
          <w:lang w:val="en-GB"/>
        </w:rPr>
        <w:t>for secondary outcomes including HECSI-75 and -90, HESD itch and pain reduction health-related quality of life (HRQoL) outcomes including DLQI and EQ-5D-5L</w:t>
      </w:r>
      <w:r w:rsidR="00455761">
        <w:rPr>
          <w:rFonts w:asciiTheme="minorHAnsi" w:hAnsiTheme="minorHAnsi"/>
          <w:snapToGrid w:val="0"/>
          <w:lang w:val="en-GB"/>
        </w:rPr>
        <w:t xml:space="preserve"> </w:t>
      </w:r>
      <w:r w:rsidR="004F3BB8">
        <w:rPr>
          <w:rFonts w:asciiTheme="minorHAnsi" w:hAnsiTheme="minorHAnsi"/>
          <w:snapToGrid w:val="0"/>
          <w:lang w:val="en-GB"/>
        </w:rPr>
        <w:t xml:space="preserve">index scores </w:t>
      </w:r>
      <w:r w:rsidR="00455761">
        <w:rPr>
          <w:rFonts w:asciiTheme="minorHAnsi" w:hAnsiTheme="minorHAnsi"/>
          <w:snapToGrid w:val="0"/>
          <w:lang w:val="en-GB"/>
        </w:rPr>
        <w:t>(</w:t>
      </w:r>
      <w:r w:rsidR="00534DA0">
        <w:rPr>
          <w:rFonts w:asciiTheme="minorHAnsi" w:hAnsiTheme="minorHAnsi"/>
          <w:snapToGrid w:val="0"/>
          <w:lang w:val="en-GB"/>
        </w:rPr>
        <w:t>treatment difference = 0.</w:t>
      </w:r>
      <w:r w:rsidR="0045470E">
        <w:rPr>
          <w:rFonts w:asciiTheme="minorHAnsi" w:hAnsiTheme="minorHAnsi"/>
          <w:snapToGrid w:val="0"/>
          <w:lang w:val="en-GB"/>
        </w:rPr>
        <w:t>103; 95% CI: 0.067, 0.140</w:t>
      </w:r>
      <w:r w:rsidR="00680CCE">
        <w:rPr>
          <w:rFonts w:asciiTheme="minorHAnsi" w:hAnsiTheme="minorHAnsi"/>
          <w:snapToGrid w:val="0"/>
          <w:lang w:val="en-GB"/>
        </w:rPr>
        <w:t xml:space="preserve"> in DELTA 1 and </w:t>
      </w:r>
      <w:r w:rsidR="00420B93">
        <w:rPr>
          <w:rFonts w:asciiTheme="minorHAnsi" w:hAnsiTheme="minorHAnsi"/>
          <w:snapToGrid w:val="0"/>
          <w:lang w:val="en-GB"/>
        </w:rPr>
        <w:t>treatment difference = 0.108</w:t>
      </w:r>
      <w:r w:rsidR="004F3BB8">
        <w:rPr>
          <w:rFonts w:asciiTheme="minorHAnsi" w:hAnsiTheme="minorHAnsi"/>
          <w:snapToGrid w:val="0"/>
          <w:lang w:val="en-GB"/>
        </w:rPr>
        <w:t xml:space="preserve">; </w:t>
      </w:r>
      <w:r w:rsidR="00420B93">
        <w:rPr>
          <w:rFonts w:asciiTheme="minorHAnsi" w:hAnsiTheme="minorHAnsi"/>
          <w:snapToGrid w:val="0"/>
          <w:lang w:val="en-GB"/>
        </w:rPr>
        <w:t xml:space="preserve">95% CI: </w:t>
      </w:r>
      <w:r w:rsidR="004F3BB8">
        <w:rPr>
          <w:rFonts w:asciiTheme="minorHAnsi" w:hAnsiTheme="minorHAnsi"/>
          <w:snapToGrid w:val="0"/>
          <w:lang w:val="en-GB"/>
        </w:rPr>
        <w:t>0.071, 0.145 in DELTA 2)</w:t>
      </w:r>
      <w:r w:rsidRPr="005A6A5B">
        <w:rPr>
          <w:rFonts w:asciiTheme="minorHAnsi" w:hAnsiTheme="minorHAnsi"/>
          <w:snapToGrid w:val="0"/>
          <w:lang w:val="en-GB"/>
        </w:rPr>
        <w:t>. The Committee noted subgroup analyses by CHE subtype, as well as the results of the DELTA-3 open label extension (OLE) study, indicated some variation in response between subtypes but acknowledged the results generally favoured delgocitinib (</w:t>
      </w:r>
      <w:r w:rsidR="0052443B">
        <w:rPr>
          <w:rFonts w:asciiTheme="minorHAnsi" w:hAnsiTheme="minorHAnsi"/>
          <w:snapToGrid w:val="0"/>
          <w:lang w:val="en-GB"/>
        </w:rPr>
        <w:t xml:space="preserve">see </w:t>
      </w:r>
      <w:r w:rsidRPr="005A6A5B">
        <w:rPr>
          <w:rFonts w:asciiTheme="minorHAnsi" w:hAnsiTheme="minorHAnsi"/>
          <w:snapToGrid w:val="0"/>
          <w:lang w:val="en-GB"/>
        </w:rPr>
        <w:t xml:space="preserve">paragraphs </w:t>
      </w:r>
      <w:r w:rsidR="00E65A1F">
        <w:rPr>
          <w:rFonts w:asciiTheme="minorHAnsi" w:hAnsiTheme="minorHAnsi"/>
          <w:snapToGrid w:val="0"/>
          <w:lang w:val="en-GB"/>
        </w:rPr>
        <w:fldChar w:fldCharType="begin"/>
      </w:r>
      <w:r w:rsidR="00E65A1F">
        <w:rPr>
          <w:rFonts w:asciiTheme="minorHAnsi" w:hAnsiTheme="minorHAnsi"/>
          <w:snapToGrid w:val="0"/>
          <w:lang w:val="en-GB"/>
        </w:rPr>
        <w:instrText xml:space="preserve"> REF _Ref214978956 \r \h </w:instrText>
      </w:r>
      <w:r w:rsidR="00E65A1F">
        <w:rPr>
          <w:rFonts w:asciiTheme="minorHAnsi" w:hAnsiTheme="minorHAnsi"/>
          <w:snapToGrid w:val="0"/>
          <w:lang w:val="en-GB"/>
        </w:rPr>
      </w:r>
      <w:r w:rsidR="00E65A1F">
        <w:rPr>
          <w:rFonts w:asciiTheme="minorHAnsi" w:hAnsiTheme="minorHAnsi"/>
          <w:snapToGrid w:val="0"/>
          <w:lang w:val="en-GB"/>
        </w:rPr>
        <w:fldChar w:fldCharType="separate"/>
      </w:r>
      <w:r w:rsidR="00AA53DD">
        <w:rPr>
          <w:rFonts w:asciiTheme="minorHAnsi" w:hAnsiTheme="minorHAnsi"/>
          <w:snapToGrid w:val="0"/>
          <w:lang w:val="en-GB"/>
        </w:rPr>
        <w:t>6.27</w:t>
      </w:r>
      <w:r w:rsidR="00E65A1F">
        <w:rPr>
          <w:rFonts w:asciiTheme="minorHAnsi" w:hAnsiTheme="minorHAnsi"/>
          <w:snapToGrid w:val="0"/>
          <w:lang w:val="en-GB"/>
        </w:rPr>
        <w:fldChar w:fldCharType="end"/>
      </w:r>
      <w:r w:rsidR="00BE6690">
        <w:rPr>
          <w:rFonts w:asciiTheme="minorHAnsi" w:hAnsiTheme="minorHAnsi"/>
          <w:snapToGrid w:val="0"/>
          <w:lang w:val="en-GB"/>
        </w:rPr>
        <w:t xml:space="preserve"> </w:t>
      </w:r>
      <w:r w:rsidRPr="005A6A5B">
        <w:rPr>
          <w:rFonts w:asciiTheme="minorHAnsi" w:hAnsiTheme="minorHAnsi"/>
          <w:snapToGrid w:val="0"/>
          <w:lang w:val="en-GB"/>
        </w:rPr>
        <w:t xml:space="preserve">and </w:t>
      </w:r>
      <w:r w:rsidR="00E65A1F">
        <w:rPr>
          <w:rFonts w:asciiTheme="minorHAnsi" w:hAnsiTheme="minorHAnsi"/>
          <w:snapToGrid w:val="0"/>
          <w:lang w:val="en-GB"/>
        </w:rPr>
        <w:fldChar w:fldCharType="begin"/>
      </w:r>
      <w:r w:rsidR="00E65A1F">
        <w:rPr>
          <w:rFonts w:asciiTheme="minorHAnsi" w:hAnsiTheme="minorHAnsi"/>
          <w:snapToGrid w:val="0"/>
          <w:lang w:val="en-GB"/>
        </w:rPr>
        <w:instrText xml:space="preserve"> REF _Ref214978962 \r \h </w:instrText>
      </w:r>
      <w:r w:rsidR="00E65A1F">
        <w:rPr>
          <w:rFonts w:asciiTheme="minorHAnsi" w:hAnsiTheme="minorHAnsi"/>
          <w:snapToGrid w:val="0"/>
          <w:lang w:val="en-GB"/>
        </w:rPr>
      </w:r>
      <w:r w:rsidR="00E65A1F">
        <w:rPr>
          <w:rFonts w:asciiTheme="minorHAnsi" w:hAnsiTheme="minorHAnsi"/>
          <w:snapToGrid w:val="0"/>
          <w:lang w:val="en-GB"/>
        </w:rPr>
        <w:fldChar w:fldCharType="separate"/>
      </w:r>
      <w:r w:rsidR="00AA53DD">
        <w:rPr>
          <w:rFonts w:asciiTheme="minorHAnsi" w:hAnsiTheme="minorHAnsi"/>
          <w:snapToGrid w:val="0"/>
          <w:lang w:val="en-GB"/>
        </w:rPr>
        <w:t>6.28</w:t>
      </w:r>
      <w:r w:rsidR="00E65A1F">
        <w:rPr>
          <w:rFonts w:asciiTheme="minorHAnsi" w:hAnsiTheme="minorHAnsi"/>
          <w:snapToGrid w:val="0"/>
          <w:lang w:val="en-GB"/>
        </w:rPr>
        <w:fldChar w:fldCharType="end"/>
      </w:r>
      <w:r w:rsidRPr="005A6A5B">
        <w:rPr>
          <w:rFonts w:asciiTheme="minorHAnsi" w:hAnsiTheme="minorHAnsi"/>
          <w:snapToGrid w:val="0"/>
          <w:lang w:val="en-GB"/>
        </w:rPr>
        <w:t xml:space="preserve">). Overall, the PBAC considered delgocitinib was superior </w:t>
      </w:r>
      <w:r w:rsidR="0052443B">
        <w:rPr>
          <w:rFonts w:asciiTheme="minorHAnsi" w:hAnsiTheme="minorHAnsi"/>
          <w:snapToGrid w:val="0"/>
          <w:lang w:val="en-GB"/>
        </w:rPr>
        <w:t xml:space="preserve">in terms of </w:t>
      </w:r>
      <w:r w:rsidRPr="005A6A5B">
        <w:rPr>
          <w:rFonts w:asciiTheme="minorHAnsi" w:hAnsiTheme="minorHAnsi"/>
          <w:snapToGrid w:val="0"/>
          <w:lang w:val="en-GB"/>
        </w:rPr>
        <w:t xml:space="preserve">comparative effectiveness </w:t>
      </w:r>
      <w:r w:rsidR="0052443B">
        <w:rPr>
          <w:rFonts w:asciiTheme="minorHAnsi" w:hAnsiTheme="minorHAnsi"/>
          <w:snapToGrid w:val="0"/>
          <w:lang w:val="en-GB"/>
        </w:rPr>
        <w:t xml:space="preserve">compared </w:t>
      </w:r>
      <w:r w:rsidRPr="005A6A5B">
        <w:rPr>
          <w:rFonts w:asciiTheme="minorHAnsi" w:hAnsiTheme="minorHAnsi"/>
          <w:snapToGrid w:val="0"/>
          <w:lang w:val="en-GB"/>
        </w:rPr>
        <w:t xml:space="preserve">to </w:t>
      </w:r>
      <w:r w:rsidR="00667A1E">
        <w:rPr>
          <w:rFonts w:asciiTheme="minorHAnsi" w:hAnsiTheme="minorHAnsi"/>
          <w:snapToGrid w:val="0"/>
          <w:lang w:val="en-GB"/>
        </w:rPr>
        <w:t>vehicle</w:t>
      </w:r>
      <w:r w:rsidR="0052443B">
        <w:rPr>
          <w:rFonts w:asciiTheme="minorHAnsi" w:hAnsiTheme="minorHAnsi"/>
          <w:snapToGrid w:val="0"/>
          <w:lang w:val="en-GB"/>
        </w:rPr>
        <w:t xml:space="preserve">. </w:t>
      </w:r>
    </w:p>
    <w:p w14:paraId="6C2C12C1" w14:textId="77777777" w:rsidR="00B13571" w:rsidRPr="00B13571" w:rsidRDefault="00712DB4" w:rsidP="00482085">
      <w:pPr>
        <w:widowControl w:val="0"/>
        <w:numPr>
          <w:ilvl w:val="1"/>
          <w:numId w:val="1"/>
        </w:numPr>
        <w:spacing w:after="120"/>
        <w:ind w:left="720"/>
        <w:rPr>
          <w:rFonts w:asciiTheme="minorHAnsi" w:hAnsiTheme="minorHAnsi" w:cstheme="minorHAnsi"/>
        </w:rPr>
      </w:pPr>
      <w:r w:rsidRPr="00712DB4">
        <w:rPr>
          <w:rFonts w:asciiTheme="minorHAnsi" w:hAnsiTheme="minorHAnsi"/>
          <w:snapToGrid w:val="0"/>
          <w:lang w:val="en-GB"/>
        </w:rPr>
        <w:t xml:space="preserve">The PBAC noted the safety data </w:t>
      </w:r>
      <w:r w:rsidR="009006DD">
        <w:rPr>
          <w:rFonts w:asciiTheme="minorHAnsi" w:hAnsiTheme="minorHAnsi"/>
          <w:snapToGrid w:val="0"/>
          <w:lang w:val="en-GB"/>
        </w:rPr>
        <w:t xml:space="preserve">reported in </w:t>
      </w:r>
      <w:r w:rsidRPr="00712DB4">
        <w:rPr>
          <w:rFonts w:asciiTheme="minorHAnsi" w:hAnsiTheme="minorHAnsi"/>
          <w:snapToGrid w:val="0"/>
          <w:lang w:val="en-GB"/>
        </w:rPr>
        <w:t>DELTA 1</w:t>
      </w:r>
      <w:r w:rsidR="009006DD">
        <w:rPr>
          <w:rFonts w:asciiTheme="minorHAnsi" w:hAnsiTheme="minorHAnsi"/>
          <w:snapToGrid w:val="0"/>
          <w:lang w:val="en-GB"/>
        </w:rPr>
        <w:t xml:space="preserve">, DELTA </w:t>
      </w:r>
      <w:r w:rsidRPr="00712DB4">
        <w:rPr>
          <w:rFonts w:asciiTheme="minorHAnsi" w:hAnsiTheme="minorHAnsi"/>
          <w:snapToGrid w:val="0"/>
          <w:lang w:val="en-GB"/>
        </w:rPr>
        <w:t xml:space="preserve">2 and DELTA 3 OLE found delgocitinib had a </w:t>
      </w:r>
      <w:r w:rsidR="009006DD">
        <w:rPr>
          <w:rFonts w:asciiTheme="minorHAnsi" w:hAnsiTheme="minorHAnsi"/>
          <w:snapToGrid w:val="0"/>
          <w:lang w:val="en-GB"/>
        </w:rPr>
        <w:t xml:space="preserve">comparable </w:t>
      </w:r>
      <w:r w:rsidRPr="00712DB4">
        <w:rPr>
          <w:rFonts w:asciiTheme="minorHAnsi" w:hAnsiTheme="minorHAnsi"/>
          <w:snapToGrid w:val="0"/>
          <w:lang w:val="en-GB"/>
        </w:rPr>
        <w:t xml:space="preserve">safety profile to </w:t>
      </w:r>
      <w:r w:rsidR="00EB55D0">
        <w:rPr>
          <w:rFonts w:asciiTheme="minorHAnsi" w:hAnsiTheme="minorHAnsi"/>
          <w:snapToGrid w:val="0"/>
          <w:lang w:val="en-GB"/>
        </w:rPr>
        <w:t>vehicle</w:t>
      </w:r>
      <w:r w:rsidR="009006DD">
        <w:rPr>
          <w:rFonts w:asciiTheme="minorHAnsi" w:hAnsiTheme="minorHAnsi"/>
          <w:snapToGrid w:val="0"/>
          <w:lang w:val="en-GB"/>
        </w:rPr>
        <w:t>. D</w:t>
      </w:r>
      <w:r w:rsidRPr="00712DB4">
        <w:rPr>
          <w:rFonts w:asciiTheme="minorHAnsi" w:hAnsiTheme="minorHAnsi"/>
          <w:snapToGrid w:val="0"/>
          <w:lang w:val="en-GB"/>
        </w:rPr>
        <w:t xml:space="preserve">elgocitinib </w:t>
      </w:r>
      <w:r w:rsidR="009006DD">
        <w:rPr>
          <w:rFonts w:asciiTheme="minorHAnsi" w:hAnsiTheme="minorHAnsi"/>
          <w:snapToGrid w:val="0"/>
          <w:lang w:val="en-GB"/>
        </w:rPr>
        <w:t xml:space="preserve">was </w:t>
      </w:r>
      <w:r w:rsidRPr="00712DB4">
        <w:rPr>
          <w:rFonts w:asciiTheme="minorHAnsi" w:hAnsiTheme="minorHAnsi"/>
          <w:snapToGrid w:val="0"/>
          <w:lang w:val="en-GB"/>
        </w:rPr>
        <w:t xml:space="preserve">well-tolerated and </w:t>
      </w:r>
      <w:r w:rsidR="009006DD">
        <w:rPr>
          <w:rFonts w:asciiTheme="minorHAnsi" w:hAnsiTheme="minorHAnsi"/>
          <w:snapToGrid w:val="0"/>
          <w:lang w:val="en-GB"/>
        </w:rPr>
        <w:t xml:space="preserve">there were </w:t>
      </w:r>
      <w:r w:rsidRPr="00712DB4">
        <w:rPr>
          <w:rFonts w:asciiTheme="minorHAnsi" w:hAnsiTheme="minorHAnsi"/>
          <w:snapToGrid w:val="0"/>
          <w:lang w:val="en-GB"/>
        </w:rPr>
        <w:t>no emerging safety concerns observed</w:t>
      </w:r>
      <w:r w:rsidR="009006DD">
        <w:rPr>
          <w:rFonts w:asciiTheme="minorHAnsi" w:hAnsiTheme="minorHAnsi"/>
          <w:snapToGrid w:val="0"/>
          <w:lang w:val="en-GB"/>
        </w:rPr>
        <w:t xml:space="preserve"> up to 36 weeks</w:t>
      </w:r>
      <w:r w:rsidR="00482085">
        <w:rPr>
          <w:rFonts w:asciiTheme="minorHAnsi" w:hAnsiTheme="minorHAnsi"/>
          <w:snapToGrid w:val="0"/>
          <w:lang w:val="en-GB"/>
        </w:rPr>
        <w:t>.</w:t>
      </w:r>
    </w:p>
    <w:p w14:paraId="05FB9BCD" w14:textId="104FDC8B" w:rsidR="00482085" w:rsidRPr="00482085" w:rsidRDefault="00616841" w:rsidP="00482085">
      <w:pPr>
        <w:widowControl w:val="0"/>
        <w:numPr>
          <w:ilvl w:val="1"/>
          <w:numId w:val="1"/>
        </w:numPr>
        <w:spacing w:after="120"/>
        <w:ind w:left="720"/>
        <w:rPr>
          <w:rStyle w:val="cf01"/>
          <w:rFonts w:asciiTheme="minorHAnsi" w:hAnsiTheme="minorHAnsi" w:cstheme="minorHAnsi"/>
          <w:sz w:val="24"/>
          <w:szCs w:val="24"/>
        </w:rPr>
      </w:pPr>
      <w:r w:rsidRPr="00482085">
        <w:rPr>
          <w:rStyle w:val="cf01"/>
          <w:rFonts w:asciiTheme="minorHAnsi" w:hAnsiTheme="minorHAnsi" w:cstheme="minorHAnsi"/>
          <w:sz w:val="24"/>
          <w:szCs w:val="24"/>
        </w:rPr>
        <w:t>The PBAC considered the economic evaluation as presented was not reliable for decision making. The PBAC noted the model assessed multiple treatment cycles with delgocitinib</w:t>
      </w:r>
      <w:r w:rsidR="00C167AC">
        <w:rPr>
          <w:rStyle w:val="cf01"/>
          <w:rFonts w:asciiTheme="minorHAnsi" w:hAnsiTheme="minorHAnsi" w:cstheme="minorHAnsi"/>
          <w:sz w:val="24"/>
          <w:szCs w:val="24"/>
        </w:rPr>
        <w:t>;</w:t>
      </w:r>
      <w:r w:rsidRPr="00482085">
        <w:rPr>
          <w:rStyle w:val="cf01"/>
          <w:rFonts w:asciiTheme="minorHAnsi" w:hAnsiTheme="minorHAnsi" w:cstheme="minorHAnsi"/>
          <w:sz w:val="24"/>
          <w:szCs w:val="24"/>
        </w:rPr>
        <w:t xml:space="preserve"> however</w:t>
      </w:r>
      <w:r w:rsidR="00C167AC">
        <w:rPr>
          <w:rStyle w:val="cf01"/>
          <w:rFonts w:asciiTheme="minorHAnsi" w:hAnsiTheme="minorHAnsi" w:cstheme="minorHAnsi"/>
          <w:sz w:val="24"/>
          <w:szCs w:val="24"/>
        </w:rPr>
        <w:t>,</w:t>
      </w:r>
      <w:r w:rsidRPr="00482085">
        <w:rPr>
          <w:rStyle w:val="cf01"/>
          <w:rFonts w:asciiTheme="minorHAnsi" w:hAnsiTheme="minorHAnsi" w:cstheme="minorHAnsi"/>
          <w:sz w:val="24"/>
          <w:szCs w:val="24"/>
        </w:rPr>
        <w:t xml:space="preserve"> there was comparative clinical evidence for only one treatment cycle, and considerable uncertainty regarding the likely duration over which delgocitinib would be used. The PBAC noted that in the model at 2 years </w:t>
      </w:r>
      <w:r w:rsidRPr="00752727">
        <w:rPr>
          <w:rStyle w:val="cf01"/>
          <w:rFonts w:asciiTheme="minorHAnsi" w:hAnsiTheme="minorHAnsi" w:cstheme="minorHAnsi"/>
          <w:sz w:val="24"/>
          <w:szCs w:val="24"/>
        </w:rPr>
        <w:t xml:space="preserve">only </w:t>
      </w:r>
      <w:r w:rsidR="00752727" w:rsidRPr="00752727">
        <w:rPr>
          <w:rStyle w:val="cf01"/>
          <w:rFonts w:asciiTheme="minorHAnsi" w:hAnsiTheme="minorHAnsi" w:cstheme="minorHAnsi"/>
          <w:sz w:val="24"/>
          <w:szCs w:val="24"/>
        </w:rPr>
        <w:t>6</w:t>
      </w:r>
      <w:r w:rsidRPr="00752727">
        <w:rPr>
          <w:rStyle w:val="cf01"/>
          <w:rFonts w:asciiTheme="minorHAnsi" w:hAnsiTheme="minorHAnsi" w:cstheme="minorHAnsi"/>
          <w:sz w:val="24"/>
          <w:szCs w:val="24"/>
        </w:rPr>
        <w:t xml:space="preserve">% of patients </w:t>
      </w:r>
      <w:r w:rsidR="00752727" w:rsidRPr="00752727">
        <w:rPr>
          <w:rStyle w:val="cf01"/>
          <w:rFonts w:asciiTheme="minorHAnsi" w:hAnsiTheme="minorHAnsi" w:cstheme="minorHAnsi"/>
          <w:sz w:val="24"/>
          <w:szCs w:val="24"/>
        </w:rPr>
        <w:t>continued to receive</w:t>
      </w:r>
      <w:r w:rsidRPr="00752727">
        <w:rPr>
          <w:rStyle w:val="cf01"/>
          <w:rFonts w:asciiTheme="minorHAnsi" w:hAnsiTheme="minorHAnsi" w:cstheme="minorHAnsi"/>
          <w:sz w:val="24"/>
          <w:szCs w:val="24"/>
        </w:rPr>
        <w:t xml:space="preserve"> delgocitinib</w:t>
      </w:r>
      <w:r w:rsidR="00752727" w:rsidRPr="00752727">
        <w:rPr>
          <w:rStyle w:val="cf01"/>
          <w:rFonts w:asciiTheme="minorHAnsi" w:hAnsiTheme="minorHAnsi" w:cstheme="minorHAnsi"/>
          <w:sz w:val="24"/>
          <w:szCs w:val="24"/>
        </w:rPr>
        <w:t xml:space="preserve"> (i.e. they were in the </w:t>
      </w:r>
      <w:r w:rsidR="00431CEA">
        <w:rPr>
          <w:rStyle w:val="cf01"/>
          <w:rFonts w:asciiTheme="minorHAnsi" w:hAnsiTheme="minorHAnsi" w:cstheme="minorHAnsi"/>
          <w:sz w:val="24"/>
          <w:szCs w:val="24"/>
        </w:rPr>
        <w:t>‘</w:t>
      </w:r>
      <w:r w:rsidR="00752727" w:rsidRPr="00752727">
        <w:rPr>
          <w:rStyle w:val="cf01"/>
          <w:rFonts w:asciiTheme="minorHAnsi" w:hAnsiTheme="minorHAnsi" w:cstheme="minorHAnsi"/>
          <w:sz w:val="24"/>
          <w:szCs w:val="24"/>
        </w:rPr>
        <w:t>partial</w:t>
      </w:r>
      <w:r w:rsidR="00431CEA">
        <w:rPr>
          <w:rStyle w:val="cf01"/>
          <w:rFonts w:asciiTheme="minorHAnsi" w:hAnsiTheme="minorHAnsi" w:cstheme="minorHAnsi"/>
          <w:sz w:val="24"/>
          <w:szCs w:val="24"/>
        </w:rPr>
        <w:t>’</w:t>
      </w:r>
      <w:r w:rsidR="00752727" w:rsidRPr="00752727">
        <w:rPr>
          <w:rStyle w:val="cf01"/>
          <w:rFonts w:asciiTheme="minorHAnsi" w:hAnsiTheme="minorHAnsi" w:cstheme="minorHAnsi"/>
          <w:sz w:val="24"/>
          <w:szCs w:val="24"/>
        </w:rPr>
        <w:t xml:space="preserve"> or </w:t>
      </w:r>
      <w:r w:rsidR="00431CEA">
        <w:rPr>
          <w:rStyle w:val="cf01"/>
          <w:rFonts w:asciiTheme="minorHAnsi" w:hAnsiTheme="minorHAnsi" w:cstheme="minorHAnsi"/>
          <w:sz w:val="24"/>
          <w:szCs w:val="24"/>
        </w:rPr>
        <w:t>‘</w:t>
      </w:r>
      <w:r w:rsidR="00752727" w:rsidRPr="00752727">
        <w:rPr>
          <w:rStyle w:val="cf01"/>
          <w:rFonts w:asciiTheme="minorHAnsi" w:hAnsiTheme="minorHAnsi" w:cstheme="minorHAnsi"/>
          <w:sz w:val="24"/>
          <w:szCs w:val="24"/>
        </w:rPr>
        <w:t>low response</w:t>
      </w:r>
      <w:r w:rsidR="00431CEA">
        <w:rPr>
          <w:rStyle w:val="cf01"/>
          <w:rFonts w:asciiTheme="minorHAnsi" w:hAnsiTheme="minorHAnsi" w:cstheme="minorHAnsi"/>
          <w:sz w:val="24"/>
          <w:szCs w:val="24"/>
        </w:rPr>
        <w:t>’</w:t>
      </w:r>
      <w:r w:rsidR="00752727" w:rsidRPr="00752727">
        <w:rPr>
          <w:rStyle w:val="cf01"/>
          <w:rFonts w:asciiTheme="minorHAnsi" w:hAnsiTheme="minorHAnsi" w:cstheme="minorHAnsi"/>
          <w:sz w:val="24"/>
          <w:szCs w:val="24"/>
        </w:rPr>
        <w:t xml:space="preserve"> health state</w:t>
      </w:r>
      <w:r w:rsidR="00431CEA">
        <w:rPr>
          <w:rStyle w:val="cf01"/>
          <w:rFonts w:asciiTheme="minorHAnsi" w:hAnsiTheme="minorHAnsi" w:cstheme="minorHAnsi"/>
          <w:sz w:val="24"/>
          <w:szCs w:val="24"/>
        </w:rPr>
        <w:t>s</w:t>
      </w:r>
      <w:r w:rsidR="00752727" w:rsidRPr="00752727">
        <w:rPr>
          <w:rStyle w:val="cf01"/>
          <w:rFonts w:asciiTheme="minorHAnsi" w:hAnsiTheme="minorHAnsi" w:cstheme="minorHAnsi"/>
          <w:sz w:val="24"/>
          <w:szCs w:val="24"/>
        </w:rPr>
        <w:t>)</w:t>
      </w:r>
      <w:r w:rsidRPr="00752727">
        <w:rPr>
          <w:rStyle w:val="cf01"/>
          <w:rFonts w:asciiTheme="minorHAnsi" w:hAnsiTheme="minorHAnsi" w:cstheme="minorHAnsi"/>
          <w:sz w:val="24"/>
          <w:szCs w:val="24"/>
        </w:rPr>
        <w:t xml:space="preserve"> with an additional </w:t>
      </w:r>
      <w:r w:rsidR="00752727" w:rsidRPr="00752727">
        <w:rPr>
          <w:rStyle w:val="cf01"/>
          <w:rFonts w:asciiTheme="minorHAnsi" w:hAnsiTheme="minorHAnsi" w:cstheme="minorHAnsi"/>
          <w:sz w:val="24"/>
          <w:szCs w:val="24"/>
        </w:rPr>
        <w:t>4</w:t>
      </w:r>
      <w:r w:rsidRPr="00752727">
        <w:rPr>
          <w:rStyle w:val="cf01"/>
          <w:rFonts w:asciiTheme="minorHAnsi" w:hAnsiTheme="minorHAnsi" w:cstheme="minorHAnsi"/>
          <w:sz w:val="24"/>
          <w:szCs w:val="24"/>
        </w:rPr>
        <w:t>%</w:t>
      </w:r>
      <w:r w:rsidR="00E34C74" w:rsidRPr="00752727">
        <w:rPr>
          <w:rStyle w:val="cf01"/>
          <w:rFonts w:asciiTheme="minorHAnsi" w:hAnsiTheme="minorHAnsi" w:cstheme="minorHAnsi"/>
          <w:sz w:val="24"/>
          <w:szCs w:val="24"/>
        </w:rPr>
        <w:t xml:space="preserve"> of patients</w:t>
      </w:r>
      <w:r w:rsidRPr="00752727">
        <w:rPr>
          <w:rStyle w:val="cf01"/>
          <w:rFonts w:asciiTheme="minorHAnsi" w:hAnsiTheme="minorHAnsi" w:cstheme="minorHAnsi"/>
          <w:sz w:val="24"/>
          <w:szCs w:val="24"/>
        </w:rPr>
        <w:t xml:space="preserve"> eligible</w:t>
      </w:r>
      <w:r w:rsidRPr="00482085">
        <w:rPr>
          <w:rStyle w:val="cf01"/>
          <w:rFonts w:asciiTheme="minorHAnsi" w:hAnsiTheme="minorHAnsi" w:cstheme="minorHAnsi"/>
          <w:sz w:val="24"/>
          <w:szCs w:val="24"/>
        </w:rPr>
        <w:t xml:space="preserve"> for a subsequent course of delgocitinib treatment</w:t>
      </w:r>
      <w:r w:rsidR="00752727">
        <w:rPr>
          <w:rStyle w:val="cf01"/>
          <w:rFonts w:asciiTheme="minorHAnsi" w:hAnsiTheme="minorHAnsi" w:cstheme="minorHAnsi"/>
          <w:sz w:val="24"/>
          <w:szCs w:val="24"/>
        </w:rPr>
        <w:t xml:space="preserve"> (i.e. in the </w:t>
      </w:r>
      <w:r w:rsidR="00431CEA">
        <w:rPr>
          <w:rStyle w:val="cf01"/>
          <w:rFonts w:asciiTheme="minorHAnsi" w:hAnsiTheme="minorHAnsi" w:cstheme="minorHAnsi"/>
          <w:sz w:val="24"/>
          <w:szCs w:val="24"/>
        </w:rPr>
        <w:t>‘</w:t>
      </w:r>
      <w:r w:rsidR="00752727">
        <w:rPr>
          <w:rStyle w:val="cf01"/>
          <w:rFonts w:asciiTheme="minorHAnsi" w:hAnsiTheme="minorHAnsi" w:cstheme="minorHAnsi"/>
          <w:sz w:val="24"/>
          <w:szCs w:val="24"/>
        </w:rPr>
        <w:t>full response</w:t>
      </w:r>
      <w:r w:rsidR="00431CEA">
        <w:rPr>
          <w:rStyle w:val="cf01"/>
          <w:rFonts w:asciiTheme="minorHAnsi" w:hAnsiTheme="minorHAnsi" w:cstheme="minorHAnsi"/>
          <w:sz w:val="24"/>
          <w:szCs w:val="24"/>
        </w:rPr>
        <w:t>’</w:t>
      </w:r>
      <w:r w:rsidR="00752727">
        <w:rPr>
          <w:rStyle w:val="cf01"/>
          <w:rFonts w:asciiTheme="minorHAnsi" w:hAnsiTheme="minorHAnsi" w:cstheme="minorHAnsi"/>
          <w:sz w:val="24"/>
          <w:szCs w:val="24"/>
        </w:rPr>
        <w:t xml:space="preserve"> health state)</w:t>
      </w:r>
      <w:r w:rsidRPr="00482085">
        <w:rPr>
          <w:rStyle w:val="cf01"/>
          <w:rFonts w:asciiTheme="minorHAnsi" w:hAnsiTheme="minorHAnsi" w:cstheme="minorHAnsi"/>
          <w:sz w:val="24"/>
          <w:szCs w:val="24"/>
        </w:rPr>
        <w:t xml:space="preserve">. The remaining 90% of patients </w:t>
      </w:r>
      <w:r w:rsidR="000D10BA">
        <w:rPr>
          <w:rStyle w:val="cf01"/>
          <w:rFonts w:asciiTheme="minorHAnsi" w:hAnsiTheme="minorHAnsi" w:cstheme="minorHAnsi"/>
          <w:sz w:val="24"/>
          <w:szCs w:val="24"/>
        </w:rPr>
        <w:t xml:space="preserve">either had ‘insufficient response’ or </w:t>
      </w:r>
      <w:r w:rsidRPr="00482085">
        <w:rPr>
          <w:rStyle w:val="cf01"/>
          <w:rFonts w:asciiTheme="minorHAnsi" w:hAnsiTheme="minorHAnsi" w:cstheme="minorHAnsi"/>
          <w:sz w:val="24"/>
          <w:szCs w:val="24"/>
        </w:rPr>
        <w:t xml:space="preserve">were treated with ‘next line treatment or BSC’ (or were dead) and unable to be re-treated with delgocitinib (see </w:t>
      </w:r>
      <w:r w:rsidR="00C167AC">
        <w:rPr>
          <w:rStyle w:val="cf01"/>
          <w:rFonts w:asciiTheme="minorHAnsi" w:hAnsiTheme="minorHAnsi" w:cstheme="minorHAnsi"/>
          <w:sz w:val="24"/>
          <w:szCs w:val="24"/>
        </w:rPr>
        <w:fldChar w:fldCharType="begin"/>
      </w:r>
      <w:r w:rsidR="00C167AC">
        <w:rPr>
          <w:rStyle w:val="cf01"/>
          <w:rFonts w:asciiTheme="minorHAnsi" w:hAnsiTheme="minorHAnsi" w:cstheme="minorHAnsi"/>
          <w:sz w:val="24"/>
          <w:szCs w:val="24"/>
        </w:rPr>
        <w:instrText xml:space="preserve"> REF _Ref204938568 \h </w:instrText>
      </w:r>
      <w:r w:rsidR="00C167AC">
        <w:rPr>
          <w:rStyle w:val="cf01"/>
          <w:rFonts w:asciiTheme="minorHAnsi" w:hAnsiTheme="minorHAnsi" w:cstheme="minorHAnsi"/>
          <w:sz w:val="24"/>
          <w:szCs w:val="24"/>
        </w:rPr>
      </w:r>
      <w:r w:rsidR="00C167AC">
        <w:rPr>
          <w:rStyle w:val="cf01"/>
          <w:rFonts w:asciiTheme="minorHAnsi" w:hAnsiTheme="minorHAnsi" w:cstheme="minorHAnsi"/>
          <w:sz w:val="24"/>
          <w:szCs w:val="24"/>
        </w:rPr>
        <w:fldChar w:fldCharType="separate"/>
      </w:r>
      <w:r w:rsidR="00AA53DD" w:rsidRPr="002E75D2">
        <w:t xml:space="preserve">Figure </w:t>
      </w:r>
      <w:r w:rsidR="00AA53DD">
        <w:rPr>
          <w:noProof/>
        </w:rPr>
        <w:t>3</w:t>
      </w:r>
      <w:r w:rsidR="00C167AC">
        <w:rPr>
          <w:rStyle w:val="cf01"/>
          <w:rFonts w:asciiTheme="minorHAnsi" w:hAnsiTheme="minorHAnsi" w:cstheme="minorHAnsi"/>
          <w:sz w:val="24"/>
          <w:szCs w:val="24"/>
        </w:rPr>
        <w:fldChar w:fldCharType="end"/>
      </w:r>
      <w:r w:rsidRPr="00482085">
        <w:rPr>
          <w:rStyle w:val="cf01"/>
          <w:rFonts w:asciiTheme="minorHAnsi" w:hAnsiTheme="minorHAnsi" w:cstheme="minorHAnsi"/>
          <w:sz w:val="24"/>
          <w:szCs w:val="24"/>
        </w:rPr>
        <w:t xml:space="preserve">). The PBAC considered this likely underestimated the duration over which delgocitinib would be used in clinical practice. </w:t>
      </w:r>
    </w:p>
    <w:p w14:paraId="37449CFC" w14:textId="77777777" w:rsidR="00AA53DD" w:rsidRDefault="00482085" w:rsidP="00864045">
      <w:pPr>
        <w:pStyle w:val="3-BodyText"/>
        <w:rPr>
          <w:rStyle w:val="cf01"/>
          <w:rFonts w:asciiTheme="minorHAnsi" w:hAnsiTheme="minorHAnsi" w:cstheme="minorHAnsi"/>
          <w:sz w:val="24"/>
          <w:szCs w:val="24"/>
        </w:rPr>
      </w:pPr>
      <w:r w:rsidRPr="00482085">
        <w:rPr>
          <w:rStyle w:val="cf01"/>
          <w:rFonts w:asciiTheme="minorHAnsi" w:hAnsiTheme="minorHAnsi" w:cstheme="minorHAnsi"/>
          <w:sz w:val="24"/>
          <w:szCs w:val="24"/>
        </w:rPr>
        <w:t>In the context of utility values being available directly from the DELTA 1 and DELTA 2 trials (collected using the EQ-5D-5L), the PBAC considered a trial</w:t>
      </w:r>
      <w:r w:rsidR="00B51544">
        <w:rPr>
          <w:rStyle w:val="cf01"/>
          <w:rFonts w:asciiTheme="minorHAnsi" w:hAnsiTheme="minorHAnsi" w:cstheme="minorHAnsi"/>
          <w:sz w:val="24"/>
          <w:szCs w:val="24"/>
        </w:rPr>
        <w:t>-</w:t>
      </w:r>
      <w:r w:rsidRPr="00482085">
        <w:rPr>
          <w:rStyle w:val="cf01"/>
          <w:rFonts w:asciiTheme="minorHAnsi" w:hAnsiTheme="minorHAnsi" w:cstheme="minorHAnsi"/>
          <w:sz w:val="24"/>
          <w:szCs w:val="24"/>
        </w:rPr>
        <w:t>based analysis using the</w:t>
      </w:r>
      <w:r w:rsidR="00E62BA7">
        <w:rPr>
          <w:rStyle w:val="cf01"/>
          <w:rFonts w:asciiTheme="minorHAnsi" w:hAnsiTheme="minorHAnsi" w:cstheme="minorHAnsi"/>
          <w:sz w:val="24"/>
          <w:szCs w:val="24"/>
        </w:rPr>
        <w:t xml:space="preserve"> weighted</w:t>
      </w:r>
      <w:r w:rsidRPr="00482085">
        <w:rPr>
          <w:rStyle w:val="cf01"/>
          <w:rFonts w:asciiTheme="minorHAnsi" w:hAnsiTheme="minorHAnsi" w:cstheme="minorHAnsi"/>
          <w:sz w:val="24"/>
          <w:szCs w:val="24"/>
        </w:rPr>
        <w:t xml:space="preserve"> utility values and cost of delgocitinib to be a reasonable approach for assessing cost-effectiveness (see </w:t>
      </w:r>
      <w:r w:rsidR="00B03A75">
        <w:rPr>
          <w:rStyle w:val="cf01"/>
          <w:rFonts w:asciiTheme="minorHAnsi" w:hAnsiTheme="minorHAnsi" w:cstheme="minorHAnsi"/>
          <w:sz w:val="24"/>
          <w:szCs w:val="24"/>
        </w:rPr>
        <w:fldChar w:fldCharType="begin"/>
      </w:r>
      <w:r w:rsidR="00B03A75">
        <w:rPr>
          <w:rStyle w:val="cf01"/>
          <w:rFonts w:asciiTheme="minorHAnsi" w:hAnsiTheme="minorHAnsi" w:cstheme="minorHAnsi"/>
          <w:sz w:val="24"/>
          <w:szCs w:val="24"/>
        </w:rPr>
        <w:instrText xml:space="preserve"> REF _Ref214973945 \h </w:instrText>
      </w:r>
      <w:r w:rsidR="00B03A75">
        <w:rPr>
          <w:rStyle w:val="cf01"/>
          <w:rFonts w:asciiTheme="minorHAnsi" w:hAnsiTheme="minorHAnsi" w:cstheme="minorHAnsi"/>
          <w:sz w:val="24"/>
          <w:szCs w:val="24"/>
        </w:rPr>
      </w:r>
      <w:r w:rsidR="00B03A75">
        <w:rPr>
          <w:rStyle w:val="cf01"/>
          <w:rFonts w:asciiTheme="minorHAnsi" w:hAnsiTheme="minorHAnsi" w:cstheme="minorHAnsi"/>
          <w:sz w:val="24"/>
          <w:szCs w:val="24"/>
        </w:rPr>
        <w:fldChar w:fldCharType="separate"/>
      </w:r>
    </w:p>
    <w:p w14:paraId="4A574148" w14:textId="71471C15" w:rsidR="00482085" w:rsidRPr="00482085" w:rsidRDefault="00AA53DD" w:rsidP="00482085">
      <w:pPr>
        <w:widowControl w:val="0"/>
        <w:numPr>
          <w:ilvl w:val="1"/>
          <w:numId w:val="1"/>
        </w:numPr>
        <w:spacing w:after="120"/>
        <w:ind w:left="720"/>
        <w:rPr>
          <w:rFonts w:asciiTheme="minorHAnsi" w:hAnsiTheme="minorHAnsi" w:cstheme="minorHAnsi"/>
        </w:rPr>
      </w:pPr>
      <w:r>
        <w:t xml:space="preserve">Table </w:t>
      </w:r>
      <w:r>
        <w:rPr>
          <w:noProof/>
        </w:rPr>
        <w:t>14</w:t>
      </w:r>
      <w:r w:rsidR="00B03A75">
        <w:rPr>
          <w:rStyle w:val="cf01"/>
          <w:rFonts w:asciiTheme="minorHAnsi" w:hAnsiTheme="minorHAnsi" w:cstheme="minorHAnsi"/>
          <w:sz w:val="24"/>
          <w:szCs w:val="24"/>
        </w:rPr>
        <w:fldChar w:fldCharType="end"/>
      </w:r>
      <w:r w:rsidR="00482085" w:rsidRPr="00482085">
        <w:rPr>
          <w:rStyle w:val="cf01"/>
          <w:rFonts w:asciiTheme="minorHAnsi" w:hAnsiTheme="minorHAnsi" w:cstheme="minorHAnsi"/>
          <w:sz w:val="24"/>
          <w:szCs w:val="24"/>
        </w:rPr>
        <w:t xml:space="preserve">). The PBAC noted </w:t>
      </w:r>
      <w:r w:rsidR="00FA0F71">
        <w:rPr>
          <w:rStyle w:val="cf01"/>
          <w:rFonts w:asciiTheme="minorHAnsi" w:hAnsiTheme="minorHAnsi" w:cstheme="minorHAnsi"/>
          <w:sz w:val="24"/>
          <w:szCs w:val="24"/>
        </w:rPr>
        <w:t xml:space="preserve">the </w:t>
      </w:r>
      <w:r w:rsidR="00482085" w:rsidRPr="00482085">
        <w:rPr>
          <w:rStyle w:val="cf01"/>
          <w:rFonts w:asciiTheme="minorHAnsi" w:hAnsiTheme="minorHAnsi" w:cstheme="minorHAnsi"/>
          <w:sz w:val="24"/>
          <w:szCs w:val="24"/>
        </w:rPr>
        <w:t xml:space="preserve">resulting ICER approximately </w:t>
      </w:r>
      <w:r w:rsidR="000B24B7" w:rsidRPr="000B24B7">
        <w:rPr>
          <w:rStyle w:val="cf01"/>
          <w:rFonts w:asciiTheme="minorHAnsi" w:hAnsiTheme="minorHAnsi" w:cstheme="minorHAnsi"/>
          <w:sz w:val="24"/>
          <w:szCs w:val="24"/>
        </w:rPr>
        <w:t>$55,000 to &lt; $75,000</w:t>
      </w:r>
      <w:r w:rsidR="001D6E0D">
        <w:rPr>
          <w:rStyle w:val="cf01"/>
          <w:rFonts w:asciiTheme="minorHAnsi" w:hAnsiTheme="minorHAnsi" w:cstheme="minorHAnsi"/>
          <w:sz w:val="24"/>
          <w:szCs w:val="24"/>
        </w:rPr>
        <w:t xml:space="preserve"> </w:t>
      </w:r>
      <w:r w:rsidR="00482085" w:rsidRPr="00482085">
        <w:rPr>
          <w:rStyle w:val="cf01"/>
          <w:rFonts w:asciiTheme="minorHAnsi" w:hAnsiTheme="minorHAnsi" w:cstheme="minorHAnsi"/>
          <w:sz w:val="24"/>
          <w:szCs w:val="24"/>
        </w:rPr>
        <w:t xml:space="preserve">per QALY gained assuming no wastage with delgocitinib. Noting patients will cease treatment when the skin is clear or almost clear, the PBAC considered there will likely be substantial wastage. The PBAC noted the ICER increased to approximately </w:t>
      </w:r>
      <w:r w:rsidR="005768F7" w:rsidRPr="005768F7">
        <w:rPr>
          <w:rStyle w:val="cf01"/>
          <w:rFonts w:asciiTheme="minorHAnsi" w:hAnsiTheme="minorHAnsi" w:cstheme="minorHAnsi"/>
          <w:sz w:val="24"/>
          <w:szCs w:val="24"/>
        </w:rPr>
        <w:t>$75,000 to &lt; $95,000</w:t>
      </w:r>
      <w:r w:rsidR="001D6E0D">
        <w:rPr>
          <w:rStyle w:val="cf01"/>
          <w:rFonts w:asciiTheme="minorHAnsi" w:hAnsiTheme="minorHAnsi" w:cstheme="minorHAnsi"/>
          <w:sz w:val="24"/>
          <w:szCs w:val="24"/>
        </w:rPr>
        <w:t xml:space="preserve"> </w:t>
      </w:r>
      <w:r w:rsidR="00482085" w:rsidRPr="00482085">
        <w:rPr>
          <w:rStyle w:val="cf01"/>
          <w:rFonts w:asciiTheme="minorHAnsi" w:hAnsiTheme="minorHAnsi" w:cstheme="minorHAnsi"/>
          <w:sz w:val="24"/>
          <w:szCs w:val="24"/>
        </w:rPr>
        <w:t>per QALY gained assuming 25% wastage</w:t>
      </w:r>
      <w:r w:rsidR="008D76A9">
        <w:rPr>
          <w:rStyle w:val="cf01"/>
          <w:rFonts w:asciiTheme="minorHAnsi" w:hAnsiTheme="minorHAnsi" w:cstheme="minorHAnsi"/>
          <w:sz w:val="24"/>
          <w:szCs w:val="24"/>
        </w:rPr>
        <w:t xml:space="preserve"> and</w:t>
      </w:r>
      <w:r w:rsidR="00B916D9">
        <w:rPr>
          <w:rStyle w:val="cf01"/>
          <w:rFonts w:asciiTheme="minorHAnsi" w:hAnsiTheme="minorHAnsi" w:cstheme="minorHAnsi"/>
          <w:sz w:val="24"/>
          <w:szCs w:val="24"/>
        </w:rPr>
        <w:t xml:space="preserve"> </w:t>
      </w:r>
      <w:r w:rsidR="00482085" w:rsidRPr="00482085">
        <w:rPr>
          <w:rStyle w:val="cf01"/>
          <w:rFonts w:asciiTheme="minorHAnsi" w:hAnsiTheme="minorHAnsi" w:cstheme="minorHAnsi"/>
          <w:sz w:val="24"/>
          <w:szCs w:val="24"/>
        </w:rPr>
        <w:t xml:space="preserve">to </w:t>
      </w:r>
      <w:r w:rsidR="005768F7" w:rsidRPr="005768F7">
        <w:rPr>
          <w:rStyle w:val="cf01"/>
          <w:rFonts w:asciiTheme="minorHAnsi" w:hAnsiTheme="minorHAnsi" w:cstheme="minorHAnsi"/>
          <w:sz w:val="24"/>
          <w:szCs w:val="24"/>
        </w:rPr>
        <w:t>$75,000 to &lt; $95,000</w:t>
      </w:r>
      <w:r w:rsidR="001D6E0D">
        <w:rPr>
          <w:rStyle w:val="cf01"/>
          <w:rFonts w:asciiTheme="minorHAnsi" w:hAnsiTheme="minorHAnsi" w:cstheme="minorHAnsi"/>
          <w:sz w:val="24"/>
          <w:szCs w:val="24"/>
        </w:rPr>
        <w:t xml:space="preserve"> </w:t>
      </w:r>
      <w:r w:rsidR="00482085" w:rsidRPr="00482085">
        <w:rPr>
          <w:rStyle w:val="cf01"/>
          <w:rFonts w:asciiTheme="minorHAnsi" w:hAnsiTheme="minorHAnsi" w:cstheme="minorHAnsi"/>
          <w:sz w:val="24"/>
          <w:szCs w:val="24"/>
        </w:rPr>
        <w:t xml:space="preserve">per </w:t>
      </w:r>
      <w:r w:rsidR="00482085" w:rsidRPr="00482085">
        <w:rPr>
          <w:rStyle w:val="cf01"/>
          <w:rFonts w:asciiTheme="minorHAnsi" w:hAnsiTheme="minorHAnsi" w:cstheme="minorHAnsi"/>
          <w:sz w:val="24"/>
          <w:szCs w:val="24"/>
        </w:rPr>
        <w:lastRenderedPageBreak/>
        <w:t xml:space="preserve">QALY gained assuming 33% wastage. The PBAC considered these ICERs unacceptably high. In the context of the simplified approach, </w:t>
      </w:r>
      <w:r w:rsidR="004F585E">
        <w:rPr>
          <w:rStyle w:val="cf01"/>
          <w:rFonts w:asciiTheme="minorHAnsi" w:hAnsiTheme="minorHAnsi" w:cstheme="minorHAnsi"/>
          <w:sz w:val="24"/>
          <w:szCs w:val="24"/>
        </w:rPr>
        <w:t>the</w:t>
      </w:r>
      <w:r w:rsidR="004F585E" w:rsidRPr="00482085">
        <w:rPr>
          <w:rStyle w:val="cf01"/>
          <w:rFonts w:asciiTheme="minorHAnsi" w:hAnsiTheme="minorHAnsi" w:cstheme="minorHAnsi"/>
          <w:sz w:val="24"/>
          <w:szCs w:val="24"/>
        </w:rPr>
        <w:t xml:space="preserve"> </w:t>
      </w:r>
      <w:r w:rsidR="00482085" w:rsidRPr="00482085">
        <w:rPr>
          <w:rStyle w:val="cf01"/>
          <w:rFonts w:asciiTheme="minorHAnsi" w:hAnsiTheme="minorHAnsi" w:cstheme="minorHAnsi"/>
          <w:sz w:val="24"/>
          <w:szCs w:val="24"/>
        </w:rPr>
        <w:t>unknown cost-effectiveness of delgoc</w:t>
      </w:r>
      <w:r w:rsidR="00482085" w:rsidRPr="00482085">
        <w:rPr>
          <w:rFonts w:asciiTheme="minorHAnsi" w:hAnsiTheme="minorHAnsi" w:cstheme="minorHAnsi"/>
        </w:rPr>
        <w:t>itinib</w:t>
      </w:r>
      <w:r w:rsidR="007B2D03">
        <w:rPr>
          <w:rFonts w:asciiTheme="minorHAnsi" w:hAnsiTheme="minorHAnsi" w:cstheme="minorHAnsi"/>
        </w:rPr>
        <w:t xml:space="preserve"> </w:t>
      </w:r>
      <w:r w:rsidR="00ED543B">
        <w:rPr>
          <w:rFonts w:asciiTheme="minorHAnsi" w:hAnsiTheme="minorHAnsi" w:cstheme="minorHAnsi"/>
        </w:rPr>
        <w:t>when used</w:t>
      </w:r>
      <w:r w:rsidR="007B2D03">
        <w:rPr>
          <w:rFonts w:asciiTheme="minorHAnsi" w:hAnsiTheme="minorHAnsi" w:cstheme="minorHAnsi"/>
        </w:rPr>
        <w:t xml:space="preserve"> beyond 16 weeks</w:t>
      </w:r>
      <w:r w:rsidR="00034DC9">
        <w:rPr>
          <w:rFonts w:asciiTheme="minorHAnsi" w:hAnsiTheme="minorHAnsi" w:cstheme="minorHAnsi"/>
        </w:rPr>
        <w:t xml:space="preserve"> and</w:t>
      </w:r>
      <w:r w:rsidR="00482085" w:rsidRPr="00482085">
        <w:rPr>
          <w:rFonts w:asciiTheme="minorHAnsi" w:hAnsiTheme="minorHAnsi" w:cstheme="minorHAnsi"/>
        </w:rPr>
        <w:t xml:space="preserve"> over more than one treatment cycle, </w:t>
      </w:r>
      <w:r w:rsidR="00483DD7">
        <w:rPr>
          <w:rFonts w:asciiTheme="minorHAnsi" w:hAnsiTheme="minorHAnsi" w:cstheme="minorHAnsi"/>
        </w:rPr>
        <w:t>and applicability concerns regarding SOC as defined</w:t>
      </w:r>
      <w:r w:rsidR="004846F9">
        <w:rPr>
          <w:rFonts w:asciiTheme="minorHAnsi" w:hAnsiTheme="minorHAnsi" w:cstheme="minorHAnsi"/>
        </w:rPr>
        <w:t xml:space="preserve"> above</w:t>
      </w:r>
      <w:r w:rsidR="00483DD7">
        <w:rPr>
          <w:rFonts w:asciiTheme="minorHAnsi" w:hAnsiTheme="minorHAnsi" w:cstheme="minorHAnsi"/>
        </w:rPr>
        <w:t xml:space="preserve">, </w:t>
      </w:r>
      <w:r w:rsidR="00482085" w:rsidRPr="00482085">
        <w:rPr>
          <w:rFonts w:asciiTheme="minorHAnsi" w:hAnsiTheme="minorHAnsi" w:cstheme="minorHAnsi"/>
        </w:rPr>
        <w:t xml:space="preserve">the PBAC considered delgocitinib would be cost-effective if the ICER was less than </w:t>
      </w:r>
      <w:r w:rsidR="00A278BE" w:rsidRPr="00A278BE">
        <w:rPr>
          <w:rFonts w:asciiTheme="minorHAnsi" w:hAnsiTheme="minorHAnsi" w:cstheme="minorHAnsi"/>
        </w:rPr>
        <w:t xml:space="preserve">$5,000 to &lt; $15,000 </w:t>
      </w:r>
      <w:r w:rsidR="00482085" w:rsidRPr="00EF55F1">
        <w:rPr>
          <w:rFonts w:asciiTheme="minorHAnsi" w:hAnsiTheme="minorHAnsi" w:cstheme="minorHAnsi"/>
        </w:rPr>
        <w:t>per QALY</w:t>
      </w:r>
      <w:r w:rsidR="00E22D71">
        <w:rPr>
          <w:rStyle w:val="FootnoteReference"/>
          <w:rFonts w:asciiTheme="minorHAnsi" w:hAnsiTheme="minorHAnsi" w:cstheme="minorHAnsi"/>
        </w:rPr>
        <w:footnoteReference w:id="7"/>
      </w:r>
      <w:r w:rsidR="00482085" w:rsidRPr="00EF55F1">
        <w:rPr>
          <w:rFonts w:asciiTheme="minorHAnsi" w:hAnsiTheme="minorHAnsi" w:cstheme="minorHAnsi"/>
        </w:rPr>
        <w:t xml:space="preserve"> gained for the scenario which assumed 25%</w:t>
      </w:r>
      <w:r w:rsidR="00482085" w:rsidRPr="00482085">
        <w:rPr>
          <w:rFonts w:asciiTheme="minorHAnsi" w:hAnsiTheme="minorHAnsi" w:cstheme="minorHAnsi"/>
        </w:rPr>
        <w:t xml:space="preserve"> wastage.</w:t>
      </w:r>
    </w:p>
    <w:p w14:paraId="69E2AA7F" w14:textId="54E2496D" w:rsidR="006D6D60" w:rsidRPr="00CE42B4" w:rsidRDefault="001F742A" w:rsidP="006E65CD">
      <w:pPr>
        <w:widowControl w:val="0"/>
        <w:numPr>
          <w:ilvl w:val="1"/>
          <w:numId w:val="1"/>
        </w:numPr>
        <w:spacing w:after="120"/>
        <w:ind w:left="720"/>
      </w:pPr>
      <w:r>
        <w:rPr>
          <w:rFonts w:asciiTheme="minorHAnsi" w:hAnsiTheme="minorHAnsi"/>
          <w:snapToGrid w:val="0"/>
          <w:lang w:val="en-GB"/>
        </w:rPr>
        <w:t xml:space="preserve">The PBAC considered the </w:t>
      </w:r>
      <w:r w:rsidR="00F230DB">
        <w:rPr>
          <w:rFonts w:asciiTheme="minorHAnsi" w:hAnsiTheme="minorHAnsi"/>
          <w:snapToGrid w:val="0"/>
          <w:lang w:val="en-GB"/>
        </w:rPr>
        <w:t>utilisation</w:t>
      </w:r>
      <w:r>
        <w:rPr>
          <w:rFonts w:asciiTheme="minorHAnsi" w:hAnsiTheme="minorHAnsi"/>
          <w:snapToGrid w:val="0"/>
          <w:lang w:val="en-GB"/>
        </w:rPr>
        <w:t xml:space="preserve"> estimates </w:t>
      </w:r>
      <w:r w:rsidR="005A07C1">
        <w:rPr>
          <w:rFonts w:asciiTheme="minorHAnsi" w:hAnsiTheme="minorHAnsi"/>
          <w:snapToGrid w:val="0"/>
          <w:lang w:val="en-GB"/>
        </w:rPr>
        <w:t>to</w:t>
      </w:r>
      <w:r>
        <w:rPr>
          <w:rFonts w:asciiTheme="minorHAnsi" w:hAnsiTheme="minorHAnsi"/>
          <w:snapToGrid w:val="0"/>
          <w:lang w:val="en-GB"/>
        </w:rPr>
        <w:t xml:space="preserve"> be</w:t>
      </w:r>
      <w:r w:rsidR="007D26FB">
        <w:rPr>
          <w:rFonts w:asciiTheme="minorHAnsi" w:hAnsiTheme="minorHAnsi"/>
          <w:snapToGrid w:val="0"/>
          <w:lang w:val="en-GB"/>
        </w:rPr>
        <w:t xml:space="preserve"> reasonable</w:t>
      </w:r>
      <w:r w:rsidR="007F499C">
        <w:rPr>
          <w:rFonts w:asciiTheme="minorHAnsi" w:hAnsiTheme="minorHAnsi"/>
          <w:snapToGrid w:val="0"/>
          <w:lang w:val="en-GB"/>
        </w:rPr>
        <w:t xml:space="preserve">. </w:t>
      </w:r>
      <w:r w:rsidR="00B772C3">
        <w:rPr>
          <w:rFonts w:asciiTheme="minorHAnsi" w:hAnsiTheme="minorHAnsi"/>
          <w:snapToGrid w:val="0"/>
          <w:lang w:val="en-GB"/>
        </w:rPr>
        <w:t>T</w:t>
      </w:r>
      <w:r w:rsidR="007F499C">
        <w:rPr>
          <w:rFonts w:asciiTheme="minorHAnsi" w:hAnsiTheme="minorHAnsi"/>
          <w:snapToGrid w:val="0"/>
          <w:lang w:val="en-GB"/>
        </w:rPr>
        <w:t>he PBAC noted that</w:t>
      </w:r>
      <w:r w:rsidR="007D26FB">
        <w:rPr>
          <w:rFonts w:asciiTheme="minorHAnsi" w:hAnsiTheme="minorHAnsi"/>
          <w:snapToGrid w:val="0"/>
          <w:lang w:val="en-GB"/>
        </w:rPr>
        <w:t xml:space="preserve"> there were uncertainties arising from how delgocitinib may be used in practice, the extent to which it would replace other</w:t>
      </w:r>
      <w:r w:rsidR="006B16A0">
        <w:rPr>
          <w:rFonts w:asciiTheme="minorHAnsi" w:hAnsiTheme="minorHAnsi"/>
          <w:snapToGrid w:val="0"/>
          <w:lang w:val="en-GB"/>
        </w:rPr>
        <w:t xml:space="preserve"> active topical treatments, uptake, </w:t>
      </w:r>
      <w:r w:rsidR="008E57CC">
        <w:rPr>
          <w:rFonts w:asciiTheme="minorHAnsi" w:hAnsiTheme="minorHAnsi"/>
          <w:snapToGrid w:val="0"/>
          <w:lang w:val="en-GB"/>
        </w:rPr>
        <w:t>how it would be used in patients who achieve a partial response</w:t>
      </w:r>
      <w:r w:rsidR="001110C9">
        <w:rPr>
          <w:rFonts w:asciiTheme="minorHAnsi" w:hAnsiTheme="minorHAnsi"/>
          <w:snapToGrid w:val="0"/>
          <w:lang w:val="en-GB"/>
        </w:rPr>
        <w:t>, risk of use in other body areas</w:t>
      </w:r>
      <w:r w:rsidR="00307FD0">
        <w:rPr>
          <w:rFonts w:asciiTheme="minorHAnsi" w:hAnsiTheme="minorHAnsi"/>
          <w:snapToGrid w:val="0"/>
          <w:lang w:val="en-GB"/>
        </w:rPr>
        <w:t xml:space="preserve"> and level of wastage</w:t>
      </w:r>
      <w:r w:rsidR="00B772C3">
        <w:rPr>
          <w:rFonts w:asciiTheme="minorHAnsi" w:hAnsiTheme="minorHAnsi"/>
          <w:snapToGrid w:val="0"/>
          <w:lang w:val="en-GB"/>
        </w:rPr>
        <w:t>; however</w:t>
      </w:r>
      <w:r w:rsidR="00D23FAD">
        <w:rPr>
          <w:rFonts w:asciiTheme="minorHAnsi" w:hAnsiTheme="minorHAnsi"/>
          <w:snapToGrid w:val="0"/>
          <w:lang w:val="en-GB"/>
        </w:rPr>
        <w:t>,</w:t>
      </w:r>
      <w:r w:rsidR="00B772C3">
        <w:rPr>
          <w:rFonts w:asciiTheme="minorHAnsi" w:hAnsiTheme="minorHAnsi"/>
          <w:snapToGrid w:val="0"/>
          <w:lang w:val="en-GB"/>
        </w:rPr>
        <w:t xml:space="preserve"> considered that the </w:t>
      </w:r>
      <w:r w:rsidR="009C47D3">
        <w:rPr>
          <w:rFonts w:asciiTheme="minorHAnsi" w:hAnsiTheme="minorHAnsi"/>
          <w:snapToGrid w:val="0"/>
          <w:lang w:val="en-GB"/>
        </w:rPr>
        <w:t>Authority level and the restrictions applied to the amount allowed to be prescribed would contain use</w:t>
      </w:r>
      <w:r w:rsidR="00307FD0">
        <w:rPr>
          <w:rFonts w:asciiTheme="minorHAnsi" w:hAnsiTheme="minorHAnsi"/>
          <w:snapToGrid w:val="0"/>
          <w:lang w:val="en-GB"/>
        </w:rPr>
        <w:t>.</w:t>
      </w:r>
      <w:r w:rsidR="004D2BA9">
        <w:rPr>
          <w:rFonts w:asciiTheme="minorHAnsi" w:hAnsiTheme="minorHAnsi"/>
          <w:snapToGrid w:val="0"/>
          <w:lang w:val="en-GB"/>
        </w:rPr>
        <w:t xml:space="preserve"> </w:t>
      </w:r>
      <w:r w:rsidR="009C47D3">
        <w:rPr>
          <w:rFonts w:asciiTheme="minorHAnsi" w:hAnsiTheme="minorHAnsi"/>
          <w:snapToGrid w:val="0"/>
          <w:lang w:val="en-GB"/>
        </w:rPr>
        <w:t xml:space="preserve">The PBAC advised that the utilisation of delgocitinib should be reviewed </w:t>
      </w:r>
      <w:r w:rsidR="008F541D">
        <w:rPr>
          <w:rFonts w:asciiTheme="minorHAnsi" w:hAnsiTheme="minorHAnsi"/>
          <w:snapToGrid w:val="0"/>
          <w:lang w:val="en-GB"/>
        </w:rPr>
        <w:t>24 months after listing</w:t>
      </w:r>
      <w:r w:rsidR="00EB2667">
        <w:rPr>
          <w:rFonts w:asciiTheme="minorHAnsi" w:hAnsiTheme="minorHAnsi"/>
          <w:snapToGrid w:val="0"/>
          <w:lang w:val="en-GB"/>
        </w:rPr>
        <w:t>.</w:t>
      </w:r>
    </w:p>
    <w:p w14:paraId="731CADE8" w14:textId="7AB779E8" w:rsidR="00CE0157" w:rsidRPr="00CE42B4" w:rsidRDefault="00CE0157" w:rsidP="006E65CD">
      <w:pPr>
        <w:widowControl w:val="0"/>
        <w:numPr>
          <w:ilvl w:val="1"/>
          <w:numId w:val="1"/>
        </w:numPr>
        <w:spacing w:after="120"/>
        <w:ind w:left="720"/>
      </w:pPr>
      <w:r w:rsidRPr="00487FFD">
        <w:t xml:space="preserve">The </w:t>
      </w:r>
      <w:r>
        <w:t xml:space="preserve">PBAC advised that the </w:t>
      </w:r>
      <w:r w:rsidRPr="00487FFD">
        <w:t xml:space="preserve">Early Supply Rule </w:t>
      </w:r>
      <w:r>
        <w:t xml:space="preserve">should not apply as it </w:t>
      </w:r>
      <w:r w:rsidRPr="00487FFD">
        <w:t xml:space="preserve">cannot currently be applied extemporaneous preparations listings. </w:t>
      </w:r>
    </w:p>
    <w:p w14:paraId="21ADF1E0" w14:textId="0C4ED0D7" w:rsidR="006D6D60" w:rsidRPr="00525B39" w:rsidRDefault="006D6D60" w:rsidP="006E65CD">
      <w:pPr>
        <w:widowControl w:val="0"/>
        <w:numPr>
          <w:ilvl w:val="1"/>
          <w:numId w:val="1"/>
        </w:numPr>
        <w:spacing w:after="120"/>
        <w:ind w:left="720"/>
        <w:rPr>
          <w:rFonts w:asciiTheme="minorHAnsi" w:hAnsiTheme="minorHAnsi"/>
          <w:bCs/>
          <w:snapToGrid w:val="0"/>
          <w:lang w:val="en-GB"/>
        </w:rPr>
      </w:pPr>
      <w:r w:rsidRPr="00525B39">
        <w:rPr>
          <w:rFonts w:asciiTheme="minorHAnsi" w:hAnsiTheme="minorHAnsi"/>
          <w:bCs/>
          <w:snapToGrid w:val="0"/>
          <w:lang w:val="en-GB"/>
        </w:rPr>
        <w:t xml:space="preserve">The PBAC recommended that </w:t>
      </w:r>
      <w:r w:rsidR="00C02FF2">
        <w:rPr>
          <w:rFonts w:asciiTheme="minorHAnsi" w:hAnsiTheme="minorHAnsi"/>
          <w:bCs/>
          <w:snapToGrid w:val="0"/>
          <w:lang w:val="en-GB"/>
        </w:rPr>
        <w:t>delgocitinib</w:t>
      </w:r>
      <w:r w:rsidRPr="00525B39">
        <w:rPr>
          <w:rFonts w:asciiTheme="minorHAnsi" w:hAnsiTheme="minorHAnsi"/>
          <w:bCs/>
          <w:snapToGrid w:val="0"/>
          <w:lang w:val="en-GB"/>
        </w:rPr>
        <w:t xml:space="preserve"> should not be treated as interchangeable with any other drugs</w:t>
      </w:r>
      <w:r w:rsidR="00C02FF2">
        <w:rPr>
          <w:rFonts w:asciiTheme="minorHAnsi" w:hAnsiTheme="minorHAnsi"/>
          <w:bCs/>
          <w:snapToGrid w:val="0"/>
          <w:lang w:val="en-GB"/>
        </w:rPr>
        <w:t>.</w:t>
      </w:r>
    </w:p>
    <w:p w14:paraId="3FD035E3" w14:textId="644B0DF6" w:rsidR="006D6D60" w:rsidRPr="005E4C7C" w:rsidRDefault="006D6D60" w:rsidP="006E65CD">
      <w:pPr>
        <w:widowControl w:val="0"/>
        <w:numPr>
          <w:ilvl w:val="1"/>
          <w:numId w:val="1"/>
        </w:numPr>
        <w:spacing w:after="120"/>
        <w:ind w:left="720"/>
        <w:rPr>
          <w:bCs/>
          <w:lang w:val="en-GB"/>
        </w:rPr>
      </w:pPr>
      <w:r w:rsidRPr="00525B39">
        <w:rPr>
          <w:rFonts w:asciiTheme="minorHAnsi" w:hAnsiTheme="minorHAnsi"/>
          <w:bCs/>
          <w:snapToGrid w:val="0"/>
          <w:lang w:val="en-GB"/>
        </w:rPr>
        <w:t xml:space="preserve">The PBAC advised that </w:t>
      </w:r>
      <w:r w:rsidR="00E35CB9">
        <w:rPr>
          <w:rFonts w:asciiTheme="minorHAnsi" w:hAnsiTheme="minorHAnsi"/>
          <w:bCs/>
          <w:snapToGrid w:val="0"/>
          <w:lang w:val="en-GB"/>
        </w:rPr>
        <w:t xml:space="preserve">delgocitinib </w:t>
      </w:r>
      <w:r w:rsidRPr="00525B39">
        <w:rPr>
          <w:rFonts w:asciiTheme="minorHAnsi" w:hAnsiTheme="minorHAnsi"/>
          <w:bCs/>
          <w:snapToGrid w:val="0"/>
          <w:lang w:val="en-GB"/>
        </w:rPr>
        <w:t xml:space="preserve">is </w:t>
      </w:r>
      <w:r w:rsidR="00385239">
        <w:rPr>
          <w:rFonts w:asciiTheme="minorHAnsi" w:hAnsiTheme="minorHAnsi"/>
          <w:bCs/>
          <w:snapToGrid w:val="0"/>
          <w:lang w:val="en-GB"/>
        </w:rPr>
        <w:t xml:space="preserve">not </w:t>
      </w:r>
      <w:r w:rsidRPr="00525B39">
        <w:rPr>
          <w:rFonts w:asciiTheme="minorHAnsi" w:hAnsiTheme="minorHAnsi"/>
          <w:bCs/>
          <w:snapToGrid w:val="0"/>
          <w:lang w:val="en-GB"/>
        </w:rPr>
        <w:t>suitable for presc</w:t>
      </w:r>
      <w:r>
        <w:rPr>
          <w:rFonts w:asciiTheme="minorHAnsi" w:hAnsiTheme="minorHAnsi"/>
          <w:bCs/>
          <w:snapToGrid w:val="0"/>
          <w:lang w:val="en-GB"/>
        </w:rPr>
        <w:t>ribing by nurse practitioners.</w:t>
      </w:r>
      <w:r w:rsidR="00A24084">
        <w:rPr>
          <w:rFonts w:asciiTheme="minorHAnsi" w:hAnsiTheme="minorHAnsi"/>
          <w:bCs/>
          <w:snapToGrid w:val="0"/>
          <w:lang w:val="en-GB"/>
        </w:rPr>
        <w:t xml:space="preserve"> </w:t>
      </w:r>
    </w:p>
    <w:p w14:paraId="27B9396F" w14:textId="6C3B6CB4" w:rsidR="006D6D60" w:rsidRPr="00D121C5" w:rsidRDefault="006D6D60" w:rsidP="006E65CD">
      <w:pPr>
        <w:widowControl w:val="0"/>
        <w:numPr>
          <w:ilvl w:val="1"/>
          <w:numId w:val="1"/>
        </w:numPr>
        <w:ind w:left="720"/>
        <w:contextualSpacing/>
        <w:rPr>
          <w:rFonts w:asciiTheme="minorHAnsi" w:hAnsiTheme="minorHAnsi" w:cstheme="minorHAnsi"/>
          <w:b/>
          <w:lang w:val="en-GB"/>
        </w:rPr>
      </w:pPr>
      <w:r w:rsidRPr="00D121C5">
        <w:rPr>
          <w:rFonts w:asciiTheme="minorHAnsi" w:hAnsiTheme="minorHAnsi" w:cstheme="minorHAnsi"/>
          <w:lang w:val="en-GB"/>
        </w:rPr>
        <w:t xml:space="preserve">The PBAC found that the criteria prescribed by the </w:t>
      </w:r>
      <w:r w:rsidRPr="00D121C5">
        <w:rPr>
          <w:rFonts w:asciiTheme="minorHAnsi" w:hAnsiTheme="minorHAnsi" w:cstheme="minorHAnsi"/>
          <w:i/>
          <w:lang w:val="en-GB"/>
        </w:rPr>
        <w:t>National Health (Pharmaceuticals and Vaccines – Cost Recovery) Regulations 20</w:t>
      </w:r>
      <w:r>
        <w:rPr>
          <w:rFonts w:asciiTheme="minorHAnsi" w:hAnsiTheme="minorHAnsi" w:cstheme="minorHAnsi"/>
          <w:i/>
          <w:lang w:val="en-GB"/>
        </w:rPr>
        <w:t>22</w:t>
      </w:r>
      <w:r w:rsidRPr="00D121C5">
        <w:rPr>
          <w:rFonts w:asciiTheme="minorHAnsi" w:hAnsiTheme="minorHAnsi" w:cstheme="minorHAnsi"/>
          <w:lang w:val="en-GB"/>
        </w:rPr>
        <w:t xml:space="preserve"> for Pricing Pathway A were not met. Specifically</w:t>
      </w:r>
      <w:r w:rsidR="00CA617E">
        <w:rPr>
          <w:rFonts w:asciiTheme="minorHAnsi" w:hAnsiTheme="minorHAnsi" w:cstheme="minorHAnsi"/>
          <w:lang w:val="en-GB"/>
        </w:rPr>
        <w:t>,</w:t>
      </w:r>
      <w:r w:rsidRPr="00D121C5">
        <w:rPr>
          <w:rFonts w:asciiTheme="minorHAnsi" w:hAnsiTheme="minorHAnsi" w:cstheme="minorHAnsi"/>
          <w:lang w:val="en-GB"/>
        </w:rPr>
        <w:t xml:space="preserve"> the PBAC found that in the circumstances of its recommendation for </w:t>
      </w:r>
      <w:r w:rsidR="006B5E62">
        <w:rPr>
          <w:rFonts w:asciiTheme="minorHAnsi" w:hAnsiTheme="minorHAnsi" w:cstheme="minorHAnsi"/>
          <w:lang w:val="en-GB"/>
        </w:rPr>
        <w:t>delgocitinib</w:t>
      </w:r>
      <w:r w:rsidRPr="00D121C5">
        <w:rPr>
          <w:rFonts w:asciiTheme="minorHAnsi" w:hAnsiTheme="minorHAnsi" w:cstheme="minorHAnsi"/>
          <w:lang w:val="en-GB"/>
        </w:rPr>
        <w:t>:</w:t>
      </w:r>
    </w:p>
    <w:p w14:paraId="07DD12AC" w14:textId="7447896E" w:rsidR="006D6D60" w:rsidRPr="00763DFB" w:rsidRDefault="006D6D60" w:rsidP="00CA617E">
      <w:pPr>
        <w:widowControl w:val="0"/>
        <w:numPr>
          <w:ilvl w:val="1"/>
          <w:numId w:val="37"/>
        </w:numPr>
        <w:spacing w:after="120"/>
        <w:ind w:left="1077" w:hanging="357"/>
        <w:rPr>
          <w:rFonts w:asciiTheme="minorHAnsi" w:hAnsiTheme="minorHAnsi" w:cstheme="minorHAnsi"/>
          <w:lang w:val="en-GB"/>
        </w:rPr>
      </w:pPr>
      <w:r w:rsidRPr="00763DFB">
        <w:rPr>
          <w:rFonts w:asciiTheme="minorHAnsi" w:hAnsiTheme="minorHAnsi" w:cstheme="minorHAnsi"/>
          <w:lang w:val="en-GB"/>
        </w:rPr>
        <w:t>The treatment is not expected to provide a substantial and clinically relevant improvement in efficacy, over alternative therapies,</w:t>
      </w:r>
      <w:r w:rsidR="000F4479">
        <w:rPr>
          <w:rFonts w:asciiTheme="minorHAnsi" w:hAnsiTheme="minorHAnsi" w:cstheme="minorHAnsi"/>
          <w:lang w:val="en-GB"/>
        </w:rPr>
        <w:t xml:space="preserve"> as </w:t>
      </w:r>
      <w:r w:rsidR="006531AC">
        <w:rPr>
          <w:rFonts w:asciiTheme="minorHAnsi" w:hAnsiTheme="minorHAnsi" w:cstheme="minorHAnsi"/>
          <w:lang w:val="en-GB"/>
        </w:rPr>
        <w:t xml:space="preserve">other topical treatments are available and can be used as second-line therapies, and the comparative effectiveness of delgocitinib to these treatments </w:t>
      </w:r>
      <w:r w:rsidR="00C06361">
        <w:rPr>
          <w:rFonts w:asciiTheme="minorHAnsi" w:hAnsiTheme="minorHAnsi" w:cstheme="minorHAnsi"/>
          <w:lang w:val="en-GB"/>
        </w:rPr>
        <w:t>is not known;</w:t>
      </w:r>
      <w:r w:rsidRPr="00763DFB">
        <w:rPr>
          <w:rFonts w:asciiTheme="minorHAnsi" w:hAnsiTheme="minorHAnsi" w:cstheme="minorHAnsi"/>
          <w:lang w:val="en-GB"/>
        </w:rPr>
        <w:t xml:space="preserve"> </w:t>
      </w:r>
    </w:p>
    <w:p w14:paraId="4721FE91" w14:textId="1BC8E3FA" w:rsidR="006D6D60" w:rsidRPr="00763DFB" w:rsidRDefault="006D6D60" w:rsidP="00CA617E">
      <w:pPr>
        <w:widowControl w:val="0"/>
        <w:numPr>
          <w:ilvl w:val="1"/>
          <w:numId w:val="37"/>
        </w:numPr>
        <w:spacing w:after="120"/>
        <w:ind w:left="1077" w:hanging="357"/>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need </w:t>
      </w:r>
      <w:r w:rsidR="00C06361">
        <w:rPr>
          <w:rFonts w:asciiTheme="minorHAnsi" w:hAnsiTheme="minorHAnsi" w:cstheme="minorHAnsi"/>
          <w:lang w:val="en-GB"/>
        </w:rPr>
        <w:t xml:space="preserve">as other treatments are available, including </w:t>
      </w:r>
      <w:r w:rsidR="006B5E62">
        <w:rPr>
          <w:rFonts w:asciiTheme="minorHAnsi" w:hAnsiTheme="minorHAnsi" w:cstheme="minorHAnsi"/>
          <w:lang w:val="en-GB"/>
        </w:rPr>
        <w:t>systemic and targeted immunosuppressants (under certain circumstances) for when current topical therapies are not effective;</w:t>
      </w:r>
    </w:p>
    <w:p w14:paraId="76983356" w14:textId="2551E16B" w:rsidR="006D6D60" w:rsidRPr="006B5E62" w:rsidRDefault="006D6D60" w:rsidP="00CA617E">
      <w:pPr>
        <w:widowControl w:val="0"/>
        <w:numPr>
          <w:ilvl w:val="1"/>
          <w:numId w:val="37"/>
        </w:numPr>
        <w:spacing w:after="120"/>
        <w:ind w:left="1077" w:hanging="357"/>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6B5E62">
        <w:rPr>
          <w:rFonts w:asciiTheme="minorHAnsi" w:hAnsiTheme="minorHAnsi" w:cstheme="minorHAnsi"/>
          <w:lang w:val="en-GB"/>
        </w:rPr>
        <w:t>.</w:t>
      </w:r>
    </w:p>
    <w:p w14:paraId="1B376D5A" w14:textId="47E1F4E5" w:rsidR="006D6D60" w:rsidRPr="008E1990" w:rsidRDefault="006D6D60" w:rsidP="006E65CD">
      <w:pPr>
        <w:widowControl w:val="0"/>
        <w:numPr>
          <w:ilvl w:val="1"/>
          <w:numId w:val="1"/>
        </w:numPr>
        <w:spacing w:after="120"/>
        <w:ind w:left="7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sidR="006B5E62">
        <w:rPr>
          <w:rFonts w:asciiTheme="minorHAnsi" w:hAnsiTheme="minorHAnsi"/>
          <w:bCs/>
          <w:snapToGrid w:val="0"/>
          <w:lang w:val="en-GB"/>
        </w:rPr>
        <w:t xml:space="preserve"> as it </w:t>
      </w:r>
      <w:r w:rsidR="006B5E62">
        <w:rPr>
          <w:rFonts w:asciiTheme="minorHAnsi" w:hAnsiTheme="minorHAnsi"/>
          <w:bCs/>
          <w:snapToGrid w:val="0"/>
          <w:lang w:val="en-GB"/>
        </w:rPr>
        <w:lastRenderedPageBreak/>
        <w:t>received a positive recommendation</w:t>
      </w:r>
      <w:r w:rsidRPr="00525B39">
        <w:rPr>
          <w:rFonts w:asciiTheme="minorHAnsi" w:hAnsiTheme="minorHAnsi"/>
          <w:bCs/>
          <w:snapToGrid w:val="0"/>
          <w:lang w:val="en-GB"/>
        </w:rPr>
        <w:t>.</w:t>
      </w:r>
    </w:p>
    <w:p w14:paraId="386AD529" w14:textId="7687334F" w:rsidR="006D6D60" w:rsidRPr="00525B39" w:rsidRDefault="006D6D60" w:rsidP="006D6D60">
      <w:pPr>
        <w:spacing w:before="240"/>
        <w:rPr>
          <w:rFonts w:asciiTheme="minorHAnsi" w:hAnsiTheme="minorHAnsi"/>
          <w:b/>
          <w:bCs/>
          <w:snapToGrid w:val="0"/>
          <w:lang w:val="en-GB"/>
        </w:rPr>
      </w:pPr>
      <w:r w:rsidRPr="00525B39">
        <w:rPr>
          <w:rFonts w:asciiTheme="minorHAnsi" w:hAnsiTheme="minorHAnsi"/>
          <w:b/>
          <w:bCs/>
          <w:snapToGrid w:val="0"/>
          <w:lang w:val="en-GB"/>
        </w:rPr>
        <w:t>Outcome</w:t>
      </w:r>
      <w:r w:rsidR="003A6525">
        <w:rPr>
          <w:rFonts w:asciiTheme="minorHAnsi" w:hAnsiTheme="minorHAnsi"/>
          <w:b/>
          <w:bCs/>
          <w:snapToGrid w:val="0"/>
          <w:lang w:val="en-GB"/>
        </w:rPr>
        <w:t>:</w:t>
      </w:r>
    </w:p>
    <w:p w14:paraId="758059F6" w14:textId="4EB51E5D" w:rsidR="006D6D60" w:rsidRPr="00525B39" w:rsidRDefault="006D6D60" w:rsidP="006D6D60">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58082AED" w14:textId="77777777" w:rsidR="006D6D60" w:rsidRPr="00525B39" w:rsidRDefault="006D6D60" w:rsidP="006D6D60">
      <w:pPr>
        <w:widowControl w:val="0"/>
        <w:rPr>
          <w:rFonts w:asciiTheme="minorHAnsi" w:hAnsiTheme="minorHAnsi"/>
          <w:b/>
          <w:bCs/>
          <w:snapToGrid w:val="0"/>
        </w:rPr>
      </w:pPr>
    </w:p>
    <w:bookmarkEnd w:id="107"/>
    <w:p w14:paraId="34F9208C" w14:textId="77777777" w:rsidR="006D6D60" w:rsidRPr="00907671" w:rsidRDefault="006D6D60" w:rsidP="006D6D60">
      <w:pPr>
        <w:pStyle w:val="2-SectionHeading"/>
        <w:numPr>
          <w:ilvl w:val="0"/>
          <w:numId w:val="1"/>
        </w:numPr>
      </w:pPr>
      <w:r w:rsidRPr="00907671">
        <w:t>Recommended listing</w:t>
      </w:r>
    </w:p>
    <w:p w14:paraId="7A887026" w14:textId="0F9CD3A4" w:rsidR="00BB4F89" w:rsidRPr="00BB4F89" w:rsidRDefault="006D6D60" w:rsidP="00F65113">
      <w:pPr>
        <w:widowControl w:val="0"/>
        <w:numPr>
          <w:ilvl w:val="1"/>
          <w:numId w:val="1"/>
        </w:numPr>
        <w:spacing w:after="120"/>
        <w:ind w:left="720"/>
        <w:contextualSpacing/>
        <w:rPr>
          <w:rFonts w:asciiTheme="minorHAnsi" w:hAnsiTheme="minorHAnsi"/>
          <w:b/>
          <w:bCs/>
          <w:snapToGrid w:val="0"/>
        </w:rPr>
      </w:pPr>
      <w:r w:rsidRPr="00BB4F89">
        <w:rPr>
          <w:rFonts w:asciiTheme="minorHAnsi" w:hAnsiTheme="minorHAnsi"/>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ed listing "/>
      </w:tblPr>
      <w:tblGrid>
        <w:gridCol w:w="494"/>
        <w:gridCol w:w="786"/>
        <w:gridCol w:w="2400"/>
        <w:gridCol w:w="1062"/>
        <w:gridCol w:w="922"/>
        <w:gridCol w:w="994"/>
        <w:gridCol w:w="709"/>
        <w:gridCol w:w="1650"/>
      </w:tblGrid>
      <w:tr w:rsidR="00F65113" w:rsidRPr="001F6AFE" w14:paraId="409F80E7" w14:textId="77777777" w:rsidTr="00C21DB1">
        <w:trPr>
          <w:cantSplit/>
          <w:trHeight w:val="20"/>
        </w:trPr>
        <w:tc>
          <w:tcPr>
            <w:tcW w:w="2041" w:type="pct"/>
            <w:gridSpan w:val="3"/>
            <w:tcBorders>
              <w:top w:val="single" w:sz="4" w:space="0" w:color="auto"/>
              <w:left w:val="single" w:sz="4" w:space="0" w:color="auto"/>
              <w:bottom w:val="single" w:sz="4" w:space="0" w:color="auto"/>
              <w:right w:val="single" w:sz="4" w:space="0" w:color="auto"/>
            </w:tcBorders>
            <w:vAlign w:val="center"/>
            <w:hideMark/>
          </w:tcPr>
          <w:p w14:paraId="7376B356" w14:textId="77777777" w:rsidR="00F65113" w:rsidRPr="001F6AFE" w:rsidRDefault="00F65113" w:rsidP="00F65113">
            <w:pPr>
              <w:pStyle w:val="2-SectionHeading"/>
              <w:numPr>
                <w:ilvl w:val="0"/>
                <w:numId w:val="0"/>
              </w:numPr>
              <w:spacing w:before="0" w:after="0"/>
              <w:rPr>
                <w:rFonts w:ascii="Arial Narrow" w:eastAsia="Aptos" w:hAnsi="Arial Narrow"/>
                <w:sz w:val="20"/>
                <w:szCs w:val="20"/>
              </w:rPr>
            </w:pPr>
            <w:r w:rsidRPr="001F6AFE">
              <w:rPr>
                <w:rFonts w:ascii="Arial Narrow" w:eastAsia="Aptos" w:hAnsi="Arial Narrow"/>
                <w:sz w:val="20"/>
                <w:szCs w:val="20"/>
              </w:rPr>
              <w:t>MEDICINAL PRODUCT</w:t>
            </w:r>
          </w:p>
          <w:p w14:paraId="2BCAD52B" w14:textId="77777777" w:rsidR="00F65113" w:rsidRPr="001F6AFE" w:rsidRDefault="00F65113" w:rsidP="00F65113">
            <w:pPr>
              <w:pStyle w:val="2-SectionHeading"/>
              <w:numPr>
                <w:ilvl w:val="0"/>
                <w:numId w:val="0"/>
              </w:numPr>
              <w:spacing w:before="0" w:after="0"/>
              <w:ind w:left="720" w:hanging="720"/>
              <w:rPr>
                <w:rFonts w:ascii="Arial Narrow" w:eastAsia="Aptos" w:hAnsi="Arial Narrow"/>
                <w:sz w:val="20"/>
                <w:szCs w:val="20"/>
              </w:rPr>
            </w:pPr>
            <w:r w:rsidRPr="001F6AFE">
              <w:rPr>
                <w:rFonts w:ascii="Arial Narrow" w:eastAsia="Aptos" w:hAnsi="Arial Narrow"/>
                <w:sz w:val="20"/>
                <w:szCs w:val="20"/>
              </w:rPr>
              <w:t>medicinal product pack</w:t>
            </w:r>
          </w:p>
        </w:tc>
        <w:tc>
          <w:tcPr>
            <w:tcW w:w="589" w:type="pct"/>
            <w:tcBorders>
              <w:top w:val="single" w:sz="4" w:space="0" w:color="auto"/>
              <w:left w:val="single" w:sz="4" w:space="0" w:color="auto"/>
              <w:bottom w:val="single" w:sz="4" w:space="0" w:color="auto"/>
              <w:right w:val="single" w:sz="4" w:space="0" w:color="auto"/>
            </w:tcBorders>
            <w:vAlign w:val="center"/>
            <w:hideMark/>
          </w:tcPr>
          <w:p w14:paraId="1F608DE4" w14:textId="77777777" w:rsidR="00F65113" w:rsidRPr="001F6AFE" w:rsidRDefault="00F65113">
            <w:pPr>
              <w:keepLines/>
              <w:jc w:val="center"/>
              <w:rPr>
                <w:rFonts w:ascii="Arial Narrow" w:eastAsia="Aptos" w:hAnsi="Arial Narrow" w:cs="Calibri"/>
                <w:b/>
                <w:sz w:val="20"/>
                <w:szCs w:val="20"/>
              </w:rPr>
            </w:pPr>
            <w:r w:rsidRPr="001F6AFE">
              <w:rPr>
                <w:rFonts w:ascii="Arial Narrow" w:eastAsia="Aptos" w:hAnsi="Arial Narrow" w:cs="Calibri"/>
                <w:b/>
                <w:sz w:val="20"/>
                <w:szCs w:val="20"/>
              </w:rPr>
              <w:t>PBS item code</w:t>
            </w:r>
          </w:p>
        </w:tc>
        <w:tc>
          <w:tcPr>
            <w:tcW w:w="511" w:type="pct"/>
            <w:tcBorders>
              <w:top w:val="single" w:sz="4" w:space="0" w:color="auto"/>
              <w:left w:val="single" w:sz="4" w:space="0" w:color="auto"/>
              <w:bottom w:val="single" w:sz="4" w:space="0" w:color="auto"/>
              <w:right w:val="single" w:sz="4" w:space="0" w:color="auto"/>
            </w:tcBorders>
            <w:vAlign w:val="center"/>
            <w:hideMark/>
          </w:tcPr>
          <w:p w14:paraId="5630314E" w14:textId="77777777" w:rsidR="00F65113" w:rsidRPr="001F6AFE" w:rsidRDefault="00F65113">
            <w:pPr>
              <w:keepLines/>
              <w:jc w:val="center"/>
              <w:rPr>
                <w:rFonts w:ascii="Arial Narrow" w:eastAsia="Aptos" w:hAnsi="Arial Narrow" w:cs="Calibri"/>
                <w:b/>
                <w:sz w:val="20"/>
                <w:szCs w:val="20"/>
              </w:rPr>
            </w:pPr>
            <w:r w:rsidRPr="001F6AFE">
              <w:rPr>
                <w:rFonts w:ascii="Arial Narrow" w:eastAsia="Aptos" w:hAnsi="Arial Narrow" w:cs="Calibri"/>
                <w:b/>
                <w:sz w:val="20"/>
                <w:szCs w:val="20"/>
              </w:rPr>
              <w:t>Max. qty packs</w:t>
            </w:r>
          </w:p>
        </w:tc>
        <w:tc>
          <w:tcPr>
            <w:tcW w:w="551" w:type="pct"/>
            <w:tcBorders>
              <w:top w:val="single" w:sz="4" w:space="0" w:color="auto"/>
              <w:left w:val="single" w:sz="4" w:space="0" w:color="auto"/>
              <w:bottom w:val="single" w:sz="4" w:space="0" w:color="auto"/>
              <w:right w:val="single" w:sz="4" w:space="0" w:color="auto"/>
            </w:tcBorders>
            <w:vAlign w:val="center"/>
            <w:hideMark/>
          </w:tcPr>
          <w:p w14:paraId="11E05023" w14:textId="77777777" w:rsidR="00F65113" w:rsidRPr="001F6AFE" w:rsidRDefault="00F65113">
            <w:pPr>
              <w:keepLines/>
              <w:jc w:val="center"/>
              <w:rPr>
                <w:rFonts w:ascii="Arial Narrow" w:eastAsia="Aptos" w:hAnsi="Arial Narrow" w:cs="Calibri"/>
                <w:b/>
                <w:sz w:val="20"/>
                <w:szCs w:val="20"/>
              </w:rPr>
            </w:pPr>
            <w:r w:rsidRPr="001F6AFE">
              <w:rPr>
                <w:rFonts w:ascii="Arial Narrow" w:eastAsia="Aptos" w:hAnsi="Arial Narrow" w:cs="Calibri"/>
                <w:b/>
                <w:sz w:val="20"/>
                <w:szCs w:val="20"/>
              </w:rPr>
              <w:t>Max. qty units</w:t>
            </w:r>
          </w:p>
        </w:tc>
        <w:tc>
          <w:tcPr>
            <w:tcW w:w="393" w:type="pct"/>
            <w:tcBorders>
              <w:top w:val="single" w:sz="4" w:space="0" w:color="auto"/>
              <w:left w:val="single" w:sz="4" w:space="0" w:color="auto"/>
              <w:bottom w:val="single" w:sz="4" w:space="0" w:color="auto"/>
              <w:right w:val="single" w:sz="4" w:space="0" w:color="auto"/>
            </w:tcBorders>
            <w:vAlign w:val="center"/>
            <w:hideMark/>
          </w:tcPr>
          <w:p w14:paraId="656EF72D" w14:textId="77777777" w:rsidR="00F65113" w:rsidRPr="001F6AFE" w:rsidRDefault="00F65113">
            <w:pPr>
              <w:keepLines/>
              <w:jc w:val="center"/>
              <w:rPr>
                <w:rFonts w:ascii="Arial Narrow" w:eastAsia="Aptos" w:hAnsi="Arial Narrow" w:cs="Calibri"/>
                <w:b/>
                <w:sz w:val="20"/>
                <w:szCs w:val="20"/>
              </w:rPr>
            </w:pPr>
            <w:r w:rsidRPr="001F6AFE">
              <w:rPr>
                <w:rFonts w:ascii="Arial Narrow" w:eastAsia="Aptos" w:hAnsi="Arial Narrow" w:cs="Calibri"/>
                <w:b/>
                <w:sz w:val="20"/>
                <w:szCs w:val="20"/>
              </w:rPr>
              <w:t>№.of</w:t>
            </w:r>
          </w:p>
          <w:p w14:paraId="6D0D567B" w14:textId="77777777" w:rsidR="00F65113" w:rsidRPr="001F6AFE" w:rsidRDefault="00F65113">
            <w:pPr>
              <w:keepLines/>
              <w:jc w:val="center"/>
              <w:rPr>
                <w:rFonts w:ascii="Arial Narrow" w:eastAsia="Aptos" w:hAnsi="Arial Narrow" w:cs="Calibri"/>
                <w:b/>
                <w:sz w:val="20"/>
                <w:szCs w:val="20"/>
              </w:rPr>
            </w:pPr>
            <w:r w:rsidRPr="001F6AFE">
              <w:rPr>
                <w:rFonts w:ascii="Arial Narrow" w:eastAsia="Aptos" w:hAnsi="Arial Narrow" w:cs="Calibri"/>
                <w:b/>
                <w:sz w:val="20"/>
                <w:szCs w:val="20"/>
              </w:rPr>
              <w:t>Rpts</w:t>
            </w:r>
          </w:p>
        </w:tc>
        <w:tc>
          <w:tcPr>
            <w:tcW w:w="915" w:type="pct"/>
            <w:tcBorders>
              <w:top w:val="single" w:sz="4" w:space="0" w:color="auto"/>
              <w:left w:val="single" w:sz="4" w:space="0" w:color="auto"/>
              <w:bottom w:val="single" w:sz="4" w:space="0" w:color="auto"/>
              <w:right w:val="single" w:sz="4" w:space="0" w:color="auto"/>
            </w:tcBorders>
            <w:vAlign w:val="center"/>
            <w:hideMark/>
          </w:tcPr>
          <w:p w14:paraId="33BBA46C" w14:textId="77777777" w:rsidR="00F65113" w:rsidRPr="001F6AFE" w:rsidRDefault="00F65113">
            <w:pPr>
              <w:keepLines/>
              <w:rPr>
                <w:rFonts w:ascii="Arial Narrow" w:eastAsia="Aptos" w:hAnsi="Arial Narrow" w:cs="Calibri"/>
                <w:b/>
                <w:sz w:val="20"/>
                <w:szCs w:val="20"/>
                <w:lang w:val="fr-FR"/>
              </w:rPr>
            </w:pPr>
            <w:r w:rsidRPr="001F6AFE">
              <w:rPr>
                <w:rFonts w:ascii="Arial Narrow" w:eastAsia="Aptos" w:hAnsi="Arial Narrow" w:cs="Calibri"/>
                <w:b/>
                <w:sz w:val="20"/>
                <w:szCs w:val="20"/>
              </w:rPr>
              <w:t>Available brands</w:t>
            </w:r>
          </w:p>
        </w:tc>
      </w:tr>
      <w:tr w:rsidR="00F65113" w:rsidRPr="001F6AFE" w14:paraId="02DF60E8" w14:textId="77777777" w:rsidTr="00C21DB1">
        <w:trPr>
          <w:cantSplit/>
          <w:trHeight w:val="20"/>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220E433" w14:textId="77777777" w:rsidR="00F65113" w:rsidRPr="001F6AFE" w:rsidRDefault="00F65113">
            <w:pPr>
              <w:keepLines/>
              <w:rPr>
                <w:rFonts w:ascii="Arial Narrow" w:eastAsia="Aptos" w:hAnsi="Arial Narrow" w:cs="Calibri"/>
                <w:sz w:val="20"/>
                <w:szCs w:val="20"/>
              </w:rPr>
            </w:pPr>
            <w:r w:rsidRPr="001F6AFE">
              <w:rPr>
                <w:rFonts w:ascii="Arial Narrow" w:eastAsia="Aptos" w:hAnsi="Arial Narrow" w:cs="Calibri"/>
                <w:sz w:val="20"/>
                <w:szCs w:val="20"/>
              </w:rPr>
              <w:t>DELGOCITINIB</w:t>
            </w:r>
          </w:p>
        </w:tc>
      </w:tr>
      <w:tr w:rsidR="00F65113" w:rsidRPr="001F6AFE" w14:paraId="127042A2" w14:textId="77777777" w:rsidTr="00C21DB1">
        <w:trPr>
          <w:cantSplit/>
          <w:trHeight w:val="20"/>
        </w:trPr>
        <w:tc>
          <w:tcPr>
            <w:tcW w:w="2041" w:type="pct"/>
            <w:gridSpan w:val="3"/>
            <w:tcBorders>
              <w:top w:val="single" w:sz="4" w:space="0" w:color="auto"/>
              <w:left w:val="single" w:sz="4" w:space="0" w:color="auto"/>
              <w:bottom w:val="single" w:sz="4" w:space="0" w:color="auto"/>
              <w:right w:val="single" w:sz="4" w:space="0" w:color="auto"/>
            </w:tcBorders>
            <w:vAlign w:val="center"/>
            <w:hideMark/>
          </w:tcPr>
          <w:p w14:paraId="4E9558BB" w14:textId="77777777" w:rsidR="00F65113" w:rsidRPr="001F6AFE" w:rsidRDefault="00F65113">
            <w:pPr>
              <w:keepLines/>
              <w:rPr>
                <w:rFonts w:ascii="Arial Narrow" w:eastAsia="Aptos" w:hAnsi="Arial Narrow" w:cs="Calibri"/>
                <w:sz w:val="20"/>
                <w:szCs w:val="20"/>
              </w:rPr>
            </w:pPr>
            <w:r w:rsidRPr="001F6AFE">
              <w:rPr>
                <w:rFonts w:ascii="Arial Narrow" w:eastAsia="Aptos" w:hAnsi="Arial Narrow" w:cs="Calibri"/>
                <w:sz w:val="20"/>
                <w:szCs w:val="20"/>
              </w:rPr>
              <w:t>Delgocitinib 20 mg / g (2%) cream 60 g tube</w:t>
            </w:r>
          </w:p>
        </w:tc>
        <w:tc>
          <w:tcPr>
            <w:tcW w:w="589" w:type="pct"/>
            <w:tcBorders>
              <w:top w:val="single" w:sz="4" w:space="0" w:color="auto"/>
              <w:left w:val="single" w:sz="4" w:space="0" w:color="auto"/>
              <w:bottom w:val="single" w:sz="4" w:space="0" w:color="auto"/>
              <w:right w:val="single" w:sz="4" w:space="0" w:color="auto"/>
            </w:tcBorders>
            <w:vAlign w:val="center"/>
            <w:hideMark/>
          </w:tcPr>
          <w:p w14:paraId="4A916D3D" w14:textId="77777777" w:rsidR="007C2C61" w:rsidRDefault="007C2C61" w:rsidP="007C2C61">
            <w:pPr>
              <w:keepLines/>
              <w:jc w:val="center"/>
              <w:rPr>
                <w:rFonts w:ascii="Arial Narrow" w:eastAsia="Aptos" w:hAnsi="Arial Narrow" w:cs="Calibri"/>
                <w:sz w:val="20"/>
                <w:szCs w:val="20"/>
              </w:rPr>
            </w:pPr>
            <w:r w:rsidRPr="001F6AFE">
              <w:rPr>
                <w:rFonts w:ascii="Arial Narrow" w:eastAsia="Aptos" w:hAnsi="Arial Narrow" w:cs="Calibri"/>
                <w:sz w:val="20"/>
                <w:szCs w:val="20"/>
              </w:rPr>
              <w:t>NEW</w:t>
            </w:r>
          </w:p>
          <w:p w14:paraId="5279DD78" w14:textId="4C9DE74B" w:rsidR="00F65113" w:rsidRPr="001F6AFE" w:rsidRDefault="007C2C61" w:rsidP="007C2C61">
            <w:pPr>
              <w:keepLines/>
              <w:jc w:val="center"/>
              <w:rPr>
                <w:rFonts w:ascii="Arial Narrow" w:eastAsia="Aptos" w:hAnsi="Arial Narrow" w:cs="Calibri"/>
                <w:sz w:val="20"/>
                <w:szCs w:val="20"/>
              </w:rPr>
            </w:pPr>
            <w:r>
              <w:rPr>
                <w:rFonts w:ascii="Arial Narrow" w:eastAsia="Aptos" w:hAnsi="Arial Narrow" w:cs="Calibri"/>
                <w:sz w:val="12"/>
                <w:szCs w:val="12"/>
              </w:rPr>
              <w:t>MP</w:t>
            </w:r>
          </w:p>
        </w:tc>
        <w:tc>
          <w:tcPr>
            <w:tcW w:w="511" w:type="pct"/>
            <w:tcBorders>
              <w:top w:val="single" w:sz="4" w:space="0" w:color="auto"/>
              <w:left w:val="single" w:sz="4" w:space="0" w:color="auto"/>
              <w:bottom w:val="single" w:sz="4" w:space="0" w:color="auto"/>
              <w:right w:val="single" w:sz="4" w:space="0" w:color="auto"/>
            </w:tcBorders>
            <w:vAlign w:val="center"/>
            <w:hideMark/>
          </w:tcPr>
          <w:p w14:paraId="283225C7" w14:textId="77777777" w:rsidR="00F65113" w:rsidRPr="001F6AFE" w:rsidRDefault="00F65113">
            <w:pPr>
              <w:keepLines/>
              <w:jc w:val="center"/>
              <w:rPr>
                <w:rFonts w:ascii="Arial Narrow" w:eastAsia="Aptos" w:hAnsi="Arial Narrow" w:cs="Calibri"/>
                <w:sz w:val="20"/>
                <w:szCs w:val="20"/>
              </w:rPr>
            </w:pPr>
            <w:r w:rsidRPr="001F6AFE">
              <w:rPr>
                <w:rFonts w:ascii="Arial Narrow" w:eastAsia="Aptos" w:hAnsi="Arial Narrow" w:cs="Calibri"/>
                <w:sz w:val="20"/>
                <w:szCs w:val="20"/>
              </w:rPr>
              <w:t>1</w:t>
            </w:r>
          </w:p>
        </w:tc>
        <w:tc>
          <w:tcPr>
            <w:tcW w:w="551" w:type="pct"/>
            <w:tcBorders>
              <w:top w:val="single" w:sz="4" w:space="0" w:color="auto"/>
              <w:left w:val="single" w:sz="4" w:space="0" w:color="auto"/>
              <w:bottom w:val="single" w:sz="4" w:space="0" w:color="auto"/>
              <w:right w:val="single" w:sz="4" w:space="0" w:color="auto"/>
            </w:tcBorders>
            <w:vAlign w:val="center"/>
            <w:hideMark/>
          </w:tcPr>
          <w:p w14:paraId="26E00D53" w14:textId="77777777" w:rsidR="00F65113" w:rsidRPr="001F6AFE" w:rsidRDefault="00F65113">
            <w:pPr>
              <w:keepLines/>
              <w:jc w:val="center"/>
              <w:rPr>
                <w:rFonts w:ascii="Arial Narrow" w:eastAsia="Aptos" w:hAnsi="Arial Narrow" w:cs="Calibri"/>
                <w:sz w:val="20"/>
                <w:szCs w:val="20"/>
              </w:rPr>
            </w:pPr>
            <w:r w:rsidRPr="001F6AFE">
              <w:rPr>
                <w:rFonts w:ascii="Arial Narrow" w:eastAsia="Aptos" w:hAnsi="Arial Narrow" w:cs="Calibri"/>
                <w:sz w:val="20"/>
                <w:szCs w:val="20"/>
              </w:rPr>
              <w:t>1</w:t>
            </w:r>
          </w:p>
        </w:tc>
        <w:tc>
          <w:tcPr>
            <w:tcW w:w="393" w:type="pct"/>
            <w:tcBorders>
              <w:top w:val="single" w:sz="4" w:space="0" w:color="auto"/>
              <w:left w:val="single" w:sz="4" w:space="0" w:color="auto"/>
              <w:bottom w:val="single" w:sz="4" w:space="0" w:color="auto"/>
              <w:right w:val="single" w:sz="4" w:space="0" w:color="auto"/>
            </w:tcBorders>
            <w:vAlign w:val="center"/>
            <w:hideMark/>
          </w:tcPr>
          <w:p w14:paraId="7C6BEE4F" w14:textId="0011B400" w:rsidR="00F65113" w:rsidRPr="001F6AFE" w:rsidRDefault="00F65113">
            <w:pPr>
              <w:keepLines/>
              <w:jc w:val="center"/>
              <w:rPr>
                <w:rFonts w:ascii="Arial Narrow" w:eastAsia="Aptos" w:hAnsi="Arial Narrow" w:cs="Calibri"/>
                <w:sz w:val="20"/>
                <w:szCs w:val="20"/>
              </w:rPr>
            </w:pPr>
            <w:r w:rsidRPr="001F6AFE">
              <w:rPr>
                <w:rFonts w:ascii="Arial Narrow" w:eastAsia="Aptos" w:hAnsi="Arial Narrow" w:cs="Calibri"/>
                <w:sz w:val="20"/>
                <w:szCs w:val="20"/>
              </w:rPr>
              <w:t>2</w:t>
            </w:r>
          </w:p>
        </w:tc>
        <w:tc>
          <w:tcPr>
            <w:tcW w:w="915" w:type="pct"/>
            <w:tcBorders>
              <w:top w:val="single" w:sz="4" w:space="0" w:color="auto"/>
              <w:left w:val="single" w:sz="4" w:space="0" w:color="auto"/>
              <w:bottom w:val="single" w:sz="4" w:space="0" w:color="auto"/>
              <w:right w:val="single" w:sz="4" w:space="0" w:color="auto"/>
            </w:tcBorders>
            <w:vAlign w:val="center"/>
            <w:hideMark/>
          </w:tcPr>
          <w:p w14:paraId="53A23FA3" w14:textId="77777777" w:rsidR="00F65113" w:rsidRPr="001F6AFE" w:rsidRDefault="00F65113">
            <w:pPr>
              <w:keepLines/>
              <w:rPr>
                <w:rFonts w:ascii="Arial Narrow" w:eastAsia="Aptos" w:hAnsi="Arial Narrow" w:cs="Calibri"/>
                <w:sz w:val="20"/>
                <w:szCs w:val="20"/>
              </w:rPr>
            </w:pPr>
            <w:r w:rsidRPr="001F6AFE">
              <w:rPr>
                <w:rFonts w:ascii="Arial Narrow" w:eastAsia="Aptos" w:hAnsi="Arial Narrow" w:cs="Calibri"/>
                <w:sz w:val="20"/>
                <w:szCs w:val="20"/>
              </w:rPr>
              <w:t>Anzupgo</w:t>
            </w:r>
          </w:p>
        </w:tc>
      </w:tr>
      <w:tr w:rsidR="00F65113" w:rsidRPr="001F6AFE" w14:paraId="0F9B9402" w14:textId="77777777" w:rsidTr="00C21DB1">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7B90256" w14:textId="77777777" w:rsidR="00F65113" w:rsidRPr="001F6AFE" w:rsidRDefault="00F65113">
            <w:pPr>
              <w:rPr>
                <w:rFonts w:ascii="Arial Narrow" w:eastAsia="Aptos" w:hAnsi="Arial Narrow" w:cs="Calibri"/>
                <w:sz w:val="20"/>
                <w:szCs w:val="20"/>
              </w:rPr>
            </w:pPr>
          </w:p>
        </w:tc>
      </w:tr>
      <w:tr w:rsidR="00F65113" w:rsidRPr="001F6AFE" w14:paraId="65A91707" w14:textId="77777777" w:rsidTr="00C21DB1">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89C074" w14:textId="77777777" w:rsidR="00F65113" w:rsidRPr="001F6AFE" w:rsidRDefault="00F65113">
            <w:pPr>
              <w:keepLines/>
              <w:rPr>
                <w:rFonts w:ascii="Arial Narrow" w:eastAsia="Aptos" w:hAnsi="Arial Narrow" w:cs="Calibri"/>
                <w:b/>
                <w:sz w:val="20"/>
                <w:szCs w:val="20"/>
              </w:rPr>
            </w:pPr>
            <w:r w:rsidRPr="001F6AFE">
              <w:rPr>
                <w:rFonts w:ascii="Arial Narrow" w:eastAsia="Aptos" w:hAnsi="Arial Narrow" w:cs="Calibri"/>
                <w:b/>
                <w:sz w:val="20"/>
                <w:szCs w:val="20"/>
              </w:rPr>
              <w:t>Restriction Summary NEW 1</w:t>
            </w:r>
            <w:r w:rsidRPr="001F6AFE">
              <w:rPr>
                <w:rFonts w:ascii="Arial Narrow" w:eastAsia="Aptos" w:hAnsi="Arial Narrow" w:cs="Calibri"/>
                <w:b/>
                <w:color w:val="FF0000"/>
                <w:sz w:val="20"/>
                <w:szCs w:val="20"/>
              </w:rPr>
              <w:t xml:space="preserve"> </w:t>
            </w:r>
            <w:r w:rsidRPr="001F6AFE">
              <w:rPr>
                <w:rFonts w:ascii="Arial Narrow" w:eastAsia="Aptos" w:hAnsi="Arial Narrow" w:cs="Calibri"/>
                <w:b/>
                <w:sz w:val="20"/>
                <w:szCs w:val="20"/>
              </w:rPr>
              <w:t>/ Treatment of Concept: NEW 1A</w:t>
            </w:r>
          </w:p>
        </w:tc>
      </w:tr>
      <w:tr w:rsidR="00F65113" w:rsidRPr="001F6AFE" w14:paraId="71D458B3" w14:textId="77777777" w:rsidTr="00C21DB1">
        <w:trPr>
          <w:trHeight w:val="20"/>
        </w:trPr>
        <w:tc>
          <w:tcPr>
            <w:tcW w:w="710" w:type="pct"/>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2E54F2C" w14:textId="77777777" w:rsidR="00F65113" w:rsidRPr="001F6AFE" w:rsidRDefault="00F65113">
            <w:pPr>
              <w:jc w:val="center"/>
              <w:rPr>
                <w:rFonts w:ascii="Arial Narrow" w:eastAsia="Aptos" w:hAnsi="Arial Narrow" w:cs="Calibri"/>
                <w:b/>
                <w:sz w:val="20"/>
                <w:szCs w:val="20"/>
              </w:rPr>
            </w:pPr>
            <w:r w:rsidRPr="001F6AFE">
              <w:rPr>
                <w:rFonts w:ascii="Arial Narrow" w:eastAsia="Aptos" w:hAnsi="Arial Narrow" w:cs="Calibri"/>
                <w:b/>
                <w:sz w:val="20"/>
                <w:szCs w:val="20"/>
              </w:rPr>
              <w:t xml:space="preserve">Concept ID </w:t>
            </w:r>
            <w:r w:rsidRPr="001F6AFE">
              <w:rPr>
                <w:rFonts w:ascii="Arial Narrow" w:eastAsia="Aptos" w:hAnsi="Arial Narrow" w:cs="Calibri"/>
                <w:sz w:val="20"/>
                <w:szCs w:val="20"/>
              </w:rPr>
              <w:t>(for internal Dept. use)</w:t>
            </w: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1B067A" w14:textId="77777777" w:rsidR="00F65113" w:rsidRPr="001F6AFE" w:rsidRDefault="00F65113">
            <w:pPr>
              <w:keepLines/>
              <w:rPr>
                <w:rFonts w:ascii="Arial Narrow" w:eastAsia="Aptos" w:hAnsi="Arial Narrow" w:cs="Calibri"/>
                <w:sz w:val="20"/>
                <w:szCs w:val="20"/>
              </w:rPr>
            </w:pPr>
            <w:r w:rsidRPr="001F6AFE">
              <w:rPr>
                <w:rFonts w:ascii="Arial Narrow" w:eastAsia="Aptos" w:hAnsi="Arial Narrow" w:cs="Calibri"/>
                <w:b/>
                <w:sz w:val="20"/>
                <w:szCs w:val="20"/>
              </w:rPr>
              <w:t>Category / Program:</w:t>
            </w:r>
            <w:r w:rsidRPr="001F6AFE">
              <w:rPr>
                <w:rFonts w:ascii="Arial Narrow" w:eastAsia="Aptos" w:hAnsi="Arial Narrow" w:cs="Calibri"/>
                <w:color w:val="FF0000"/>
                <w:sz w:val="20"/>
                <w:szCs w:val="20"/>
              </w:rPr>
              <w:t xml:space="preserve"> </w:t>
            </w:r>
            <w:r w:rsidRPr="001F6AFE">
              <w:rPr>
                <w:rFonts w:ascii="Arial Narrow" w:eastAsia="Calibri" w:hAnsi="Arial Narrow" w:cs="Calibri"/>
                <w:sz w:val="20"/>
                <w:szCs w:val="20"/>
              </w:rPr>
              <w:fldChar w:fldCharType="begin">
                <w:ffData>
                  <w:name w:val="Check1"/>
                  <w:enabled/>
                  <w:calcOnExit w:val="0"/>
                  <w:checkBox>
                    <w:sizeAuto/>
                    <w:default w:val="1"/>
                  </w:checkBox>
                </w:ffData>
              </w:fldChar>
            </w:r>
            <w:r w:rsidRPr="001F6AFE">
              <w:rPr>
                <w:rFonts w:ascii="Arial Narrow" w:eastAsia="Calibri" w:hAnsi="Arial Narrow" w:cs="Calibri"/>
                <w:sz w:val="20"/>
                <w:szCs w:val="20"/>
              </w:rPr>
              <w:instrText xml:space="preserve"> FORMCHECKBOX </w:instrText>
            </w:r>
            <w:r w:rsidRPr="001F6AFE">
              <w:rPr>
                <w:rFonts w:ascii="Arial Narrow" w:eastAsia="Calibri" w:hAnsi="Arial Narrow" w:cs="Calibri"/>
                <w:sz w:val="20"/>
                <w:szCs w:val="20"/>
              </w:rPr>
            </w:r>
            <w:r w:rsidRPr="001F6AFE">
              <w:rPr>
                <w:rFonts w:ascii="Arial Narrow" w:eastAsia="Calibri" w:hAnsi="Arial Narrow" w:cs="Calibri"/>
                <w:sz w:val="20"/>
                <w:szCs w:val="20"/>
              </w:rPr>
              <w:fldChar w:fldCharType="separate"/>
            </w:r>
            <w:r w:rsidRPr="001F6AFE">
              <w:rPr>
                <w:rFonts w:ascii="Arial Narrow" w:eastAsia="Calibri" w:hAnsi="Arial Narrow" w:cs="Calibri"/>
                <w:sz w:val="20"/>
                <w:szCs w:val="20"/>
              </w:rPr>
              <w:fldChar w:fldCharType="end"/>
            </w:r>
            <w:r w:rsidRPr="001F6AFE">
              <w:rPr>
                <w:rFonts w:ascii="Arial Narrow" w:eastAsia="Calibri" w:hAnsi="Arial Narrow" w:cs="Calibri"/>
                <w:sz w:val="20"/>
                <w:szCs w:val="20"/>
              </w:rPr>
              <w:t xml:space="preserve"> GENERAL - General Schedule (Code GE) </w:t>
            </w:r>
          </w:p>
        </w:tc>
      </w:tr>
      <w:tr w:rsidR="00F65113" w:rsidRPr="001F6AFE" w14:paraId="63B98B97" w14:textId="77777777" w:rsidTr="00C21DB1">
        <w:trPr>
          <w:trHeight w:val="20"/>
        </w:trPr>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14:paraId="7A5BB7D2" w14:textId="77777777" w:rsidR="00F65113" w:rsidRPr="001F6AFE" w:rsidRDefault="00F65113">
            <w:pPr>
              <w:rPr>
                <w:rFonts w:ascii="Arial Narrow" w:eastAsia="Aptos" w:hAnsi="Arial Narrow" w:cs="Calibri"/>
                <w:b/>
                <w:sz w:val="20"/>
                <w:szCs w:val="20"/>
                <w:lang w:eastAsia="en-US"/>
                <w14:ligatures w14:val="standardContextual"/>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A7E99A" w14:textId="282998A9" w:rsidR="00F65113" w:rsidRPr="001F6AFE" w:rsidRDefault="00F65113">
            <w:pPr>
              <w:keepLines/>
              <w:rPr>
                <w:rFonts w:ascii="Arial Narrow" w:eastAsia="Aptos" w:hAnsi="Arial Narrow" w:cs="Calibri"/>
                <w:b/>
                <w:sz w:val="20"/>
                <w:szCs w:val="20"/>
              </w:rPr>
            </w:pPr>
            <w:r w:rsidRPr="001F6AFE">
              <w:rPr>
                <w:rFonts w:ascii="Arial Narrow" w:eastAsia="Aptos" w:hAnsi="Arial Narrow" w:cs="Calibri"/>
                <w:b/>
                <w:sz w:val="20"/>
                <w:szCs w:val="20"/>
              </w:rPr>
              <w:t xml:space="preserve">Prescriber type:  </w:t>
            </w:r>
            <w:r w:rsidRPr="001F6AFE">
              <w:rPr>
                <w:rFonts w:ascii="Arial Narrow" w:eastAsia="Aptos" w:hAnsi="Arial Narrow" w:cs="Calibri"/>
                <w:sz w:val="20"/>
                <w:szCs w:val="20"/>
              </w:rPr>
              <w:fldChar w:fldCharType="begin">
                <w:ffData>
                  <w:name w:val=""/>
                  <w:enabled/>
                  <w:calcOnExit w:val="0"/>
                  <w:checkBox>
                    <w:sizeAuto/>
                    <w:default w:val="1"/>
                  </w:checkBox>
                </w:ffData>
              </w:fldChar>
            </w:r>
            <w:r w:rsidRPr="001F6AFE">
              <w:rPr>
                <w:rFonts w:ascii="Arial Narrow" w:eastAsia="Aptos" w:hAnsi="Arial Narrow" w:cs="Calibri"/>
                <w:sz w:val="20"/>
                <w:szCs w:val="20"/>
              </w:rPr>
              <w:instrText xml:space="preserve"> FORMCHECKBOX </w:instrText>
            </w:r>
            <w:r w:rsidRPr="001F6AFE">
              <w:rPr>
                <w:rFonts w:ascii="Arial Narrow" w:eastAsia="Aptos" w:hAnsi="Arial Narrow" w:cs="Calibri"/>
                <w:sz w:val="20"/>
                <w:szCs w:val="20"/>
              </w:rPr>
            </w:r>
            <w:r w:rsidRPr="001F6AFE">
              <w:rPr>
                <w:rFonts w:ascii="Arial Narrow" w:eastAsia="Aptos" w:hAnsi="Arial Narrow" w:cs="Calibri"/>
                <w:sz w:val="20"/>
                <w:szCs w:val="20"/>
              </w:rPr>
              <w:fldChar w:fldCharType="separate"/>
            </w:r>
            <w:r w:rsidRPr="001F6AFE">
              <w:rPr>
                <w:rFonts w:ascii="Arial Narrow" w:eastAsia="Aptos" w:hAnsi="Arial Narrow" w:cs="Calibri"/>
                <w:sz w:val="20"/>
                <w:szCs w:val="20"/>
              </w:rPr>
              <w:fldChar w:fldCharType="end"/>
            </w:r>
            <w:r w:rsidRPr="001F6AFE">
              <w:rPr>
                <w:rFonts w:ascii="Arial Narrow" w:eastAsia="Aptos" w:hAnsi="Arial Narrow" w:cs="Calibri"/>
                <w:sz w:val="20"/>
                <w:szCs w:val="20"/>
              </w:rPr>
              <w:t xml:space="preserve"> Medical Practitioners </w:t>
            </w:r>
          </w:p>
        </w:tc>
      </w:tr>
      <w:tr w:rsidR="00F65113" w:rsidRPr="001F6AFE" w14:paraId="6E870E0F" w14:textId="77777777" w:rsidTr="00C21DB1">
        <w:trPr>
          <w:trHeight w:val="20"/>
        </w:trPr>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14:paraId="602D071B" w14:textId="77777777" w:rsidR="00F65113" w:rsidRPr="001F6AFE" w:rsidRDefault="00F65113">
            <w:pPr>
              <w:rPr>
                <w:rFonts w:ascii="Arial Narrow" w:eastAsia="Aptos" w:hAnsi="Arial Narrow" w:cs="Calibri"/>
                <w:b/>
                <w:sz w:val="20"/>
                <w:szCs w:val="20"/>
                <w:lang w:eastAsia="en-US"/>
                <w14:ligatures w14:val="standardContextual"/>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767C30" w14:textId="1484313D" w:rsidR="00F65113" w:rsidRPr="001F6AFE" w:rsidRDefault="00F65113">
            <w:pPr>
              <w:keepLines/>
              <w:rPr>
                <w:rFonts w:ascii="Arial Narrow" w:eastAsia="Calibri" w:hAnsi="Arial Narrow" w:cs="Calibri"/>
                <w:color w:val="FF0000"/>
                <w:sz w:val="20"/>
                <w:szCs w:val="20"/>
              </w:rPr>
            </w:pPr>
            <w:r w:rsidRPr="001F6AFE">
              <w:rPr>
                <w:rFonts w:ascii="Arial Narrow" w:eastAsia="Aptos" w:hAnsi="Arial Narrow" w:cs="Calibri"/>
                <w:b/>
                <w:sz w:val="20"/>
                <w:szCs w:val="20"/>
              </w:rPr>
              <w:t xml:space="preserve">Restriction type: </w:t>
            </w:r>
            <w:r w:rsidRPr="001F6AFE">
              <w:rPr>
                <w:rFonts w:ascii="Arial Narrow" w:eastAsia="Calibri" w:hAnsi="Arial Narrow"/>
                <w:sz w:val="20"/>
                <w:szCs w:val="20"/>
              </w:rPr>
              <w:fldChar w:fldCharType="begin">
                <w:ffData>
                  <w:name w:val=""/>
                  <w:enabled/>
                  <w:calcOnExit w:val="0"/>
                  <w:checkBox>
                    <w:sizeAuto/>
                    <w:default w:val="1"/>
                  </w:checkBox>
                </w:ffData>
              </w:fldChar>
            </w:r>
            <w:r w:rsidRPr="001F6AFE">
              <w:rPr>
                <w:rFonts w:ascii="Arial Narrow" w:eastAsia="Calibri" w:hAnsi="Arial Narrow"/>
                <w:sz w:val="20"/>
                <w:szCs w:val="20"/>
              </w:rPr>
              <w:instrText xml:space="preserve"> FORMCHECKBOX </w:instrText>
            </w:r>
            <w:r w:rsidRPr="001F6AFE">
              <w:rPr>
                <w:rFonts w:ascii="Arial Narrow" w:eastAsia="Calibri" w:hAnsi="Arial Narrow"/>
                <w:sz w:val="20"/>
                <w:szCs w:val="20"/>
              </w:rPr>
            </w:r>
            <w:r w:rsidRPr="001F6AFE">
              <w:rPr>
                <w:rFonts w:ascii="Arial Narrow" w:eastAsia="Calibri" w:hAnsi="Arial Narrow"/>
                <w:sz w:val="20"/>
                <w:szCs w:val="20"/>
              </w:rPr>
              <w:fldChar w:fldCharType="separate"/>
            </w:r>
            <w:r w:rsidRPr="001F6AFE">
              <w:rPr>
                <w:rFonts w:ascii="Arial Narrow" w:eastAsia="Calibri" w:hAnsi="Arial Narrow"/>
                <w:sz w:val="20"/>
                <w:szCs w:val="20"/>
              </w:rPr>
              <w:fldChar w:fldCharType="end"/>
            </w:r>
            <w:r w:rsidRPr="001F6AFE">
              <w:rPr>
                <w:rFonts w:ascii="Arial Narrow" w:eastAsia="Calibri" w:hAnsi="Arial Narrow"/>
                <w:sz w:val="20"/>
                <w:szCs w:val="20"/>
              </w:rPr>
              <w:t xml:space="preserve"> Authority Required (immediate assessment) – telephone/electronic via Online PBS Authorities</w:t>
            </w:r>
          </w:p>
        </w:tc>
      </w:tr>
      <w:tr w:rsidR="00F65113" w:rsidRPr="001F6AFE" w14:paraId="2A5AD02B" w14:textId="77777777" w:rsidTr="00C21DB1">
        <w:trPr>
          <w:trHeight w:val="20"/>
        </w:trPr>
        <w:tc>
          <w:tcPr>
            <w:tcW w:w="274" w:type="pct"/>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4E33405F" w14:textId="77777777" w:rsidR="00F65113" w:rsidRPr="001F6AFE" w:rsidRDefault="00F65113">
            <w:pPr>
              <w:jc w:val="center"/>
              <w:rPr>
                <w:rFonts w:ascii="Arial Narrow" w:eastAsia="Aptos" w:hAnsi="Arial Narrow" w:cs="Calibri"/>
                <w:sz w:val="20"/>
                <w:szCs w:val="20"/>
              </w:rPr>
            </w:pPr>
            <w:r w:rsidRPr="001F6AFE">
              <w:rPr>
                <w:rFonts w:ascii="Arial Narrow" w:eastAsia="Aptos" w:hAnsi="Arial Narrow" w:cs="Calibri"/>
                <w:sz w:val="20"/>
                <w:szCs w:val="20"/>
              </w:rPr>
              <w:t>Prescribing rule level</w:t>
            </w:r>
          </w:p>
        </w:tc>
        <w:tc>
          <w:tcPr>
            <w:tcW w:w="43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395E25" w14:textId="60BED96A"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DD7EEA" w14:textId="77777777" w:rsidR="00F65113" w:rsidRPr="001F6AFE" w:rsidRDefault="00F65113">
            <w:pPr>
              <w:rPr>
                <w:rFonts w:ascii="Arial Narrow" w:eastAsia="Aptos" w:hAnsi="Arial Narrow" w:cs="Calibri"/>
                <w:color w:val="333333"/>
                <w:sz w:val="20"/>
                <w:szCs w:val="20"/>
              </w:rPr>
            </w:pPr>
            <w:r w:rsidRPr="001F6AFE">
              <w:rPr>
                <w:rFonts w:ascii="Arial Narrow" w:eastAsia="Aptos" w:hAnsi="Arial Narrow" w:cs="Calibri"/>
                <w:b/>
                <w:bCs/>
                <w:sz w:val="20"/>
                <w:szCs w:val="20"/>
              </w:rPr>
              <w:t xml:space="preserve">Administrative Advice: </w:t>
            </w:r>
            <w:r w:rsidRPr="001F6AFE">
              <w:rPr>
                <w:rFonts w:ascii="Arial Narrow" w:eastAsia="Aptos" w:hAnsi="Arial Narrow" w:cs="Calibri"/>
                <w:bCs/>
                <w:sz w:val="20"/>
                <w:szCs w:val="20"/>
              </w:rPr>
              <w:t>No increase in the maximum quantity or number of units may be authorised.</w:t>
            </w:r>
          </w:p>
        </w:tc>
      </w:tr>
      <w:tr w:rsidR="00F65113" w:rsidRPr="001F6AFE" w14:paraId="6711F74D" w14:textId="77777777" w:rsidTr="00C21DB1">
        <w:trPr>
          <w:trHeight w:val="20"/>
        </w:trPr>
        <w:tc>
          <w:tcPr>
            <w:tcW w:w="274" w:type="pct"/>
            <w:vMerge/>
            <w:tcBorders>
              <w:top w:val="single" w:sz="4" w:space="0" w:color="auto"/>
              <w:left w:val="single" w:sz="4" w:space="0" w:color="auto"/>
              <w:bottom w:val="single" w:sz="4" w:space="0" w:color="auto"/>
              <w:right w:val="single" w:sz="4" w:space="0" w:color="auto"/>
            </w:tcBorders>
            <w:vAlign w:val="center"/>
            <w:hideMark/>
          </w:tcPr>
          <w:p w14:paraId="78F0D084" w14:textId="77777777" w:rsidR="00F65113" w:rsidRPr="001F6AFE" w:rsidRDefault="00F65113">
            <w:pPr>
              <w:rPr>
                <w:rFonts w:ascii="Arial Narrow" w:eastAsia="Aptos" w:hAnsi="Arial Narrow" w:cs="Calibri"/>
                <w:sz w:val="20"/>
                <w:szCs w:val="20"/>
                <w:lang w:eastAsia="en-US"/>
                <w14:ligatures w14:val="standardContextual"/>
              </w:rPr>
            </w:pPr>
          </w:p>
        </w:tc>
        <w:tc>
          <w:tcPr>
            <w:tcW w:w="43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7C626C" w14:textId="14A7B29E"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D8967C" w14:textId="77777777" w:rsidR="00F65113" w:rsidRPr="001F6AFE" w:rsidRDefault="00F65113">
            <w:pPr>
              <w:rPr>
                <w:rFonts w:ascii="Arial Narrow" w:eastAsia="Aptos" w:hAnsi="Arial Narrow" w:cs="Calibri"/>
                <w:b/>
                <w:bCs/>
                <w:color w:val="333333"/>
                <w:sz w:val="20"/>
                <w:szCs w:val="20"/>
              </w:rPr>
            </w:pPr>
            <w:r w:rsidRPr="001F6AFE">
              <w:rPr>
                <w:rFonts w:ascii="Arial Narrow" w:eastAsia="Aptos" w:hAnsi="Arial Narrow" w:cs="Calibri"/>
                <w:b/>
                <w:bCs/>
                <w:sz w:val="20"/>
                <w:szCs w:val="20"/>
              </w:rPr>
              <w:t xml:space="preserve">Administrative Advice: </w:t>
            </w:r>
            <w:r w:rsidRPr="001F6AFE">
              <w:rPr>
                <w:rFonts w:ascii="Arial Narrow" w:eastAsia="Aptos" w:hAnsi="Arial Narrow" w:cs="Calibri"/>
                <w:bCs/>
                <w:sz w:val="20"/>
                <w:szCs w:val="20"/>
              </w:rPr>
              <w:t>No increase in the maximum number of repeats may be authorised.</w:t>
            </w:r>
          </w:p>
        </w:tc>
      </w:tr>
      <w:tr w:rsidR="00F65113" w:rsidRPr="001F6AFE" w14:paraId="6B7AF94F" w14:textId="77777777" w:rsidTr="00C21DB1">
        <w:trPr>
          <w:trHeight w:val="20"/>
        </w:trPr>
        <w:tc>
          <w:tcPr>
            <w:tcW w:w="274" w:type="pct"/>
            <w:vMerge/>
            <w:tcBorders>
              <w:top w:val="single" w:sz="4" w:space="0" w:color="auto"/>
              <w:left w:val="single" w:sz="4" w:space="0" w:color="auto"/>
              <w:bottom w:val="single" w:sz="4" w:space="0" w:color="auto"/>
              <w:right w:val="single" w:sz="4" w:space="0" w:color="auto"/>
            </w:tcBorders>
            <w:vAlign w:val="center"/>
            <w:hideMark/>
          </w:tcPr>
          <w:p w14:paraId="37492029" w14:textId="77777777" w:rsidR="00F65113" w:rsidRPr="001F6AFE" w:rsidRDefault="00F65113">
            <w:pPr>
              <w:rPr>
                <w:rFonts w:ascii="Arial Narrow" w:eastAsia="Aptos" w:hAnsi="Arial Narrow" w:cs="Calibri"/>
                <w:sz w:val="20"/>
                <w:szCs w:val="20"/>
                <w:lang w:eastAsia="en-US"/>
                <w14:ligatures w14:val="standardContextual"/>
              </w:rPr>
            </w:pPr>
          </w:p>
        </w:tc>
        <w:tc>
          <w:tcPr>
            <w:tcW w:w="43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63A0E9" w14:textId="007C1B96" w:rsidR="00F65113" w:rsidRPr="001F6AFE" w:rsidRDefault="00F65113">
            <w:pPr>
              <w:jc w:val="center"/>
              <w:rPr>
                <w:rFonts w:ascii="Arial Narrow" w:eastAsia="Aptos" w:hAnsi="Arial Narrow" w:cs="Calibri"/>
                <w:bCs/>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20C039" w14:textId="77777777" w:rsidR="00F65113" w:rsidRPr="001F6AFE" w:rsidRDefault="00F65113">
            <w:pPr>
              <w:rPr>
                <w:rFonts w:ascii="Arial Narrow" w:eastAsia="Aptos" w:hAnsi="Arial Narrow" w:cs="Calibri"/>
                <w:b/>
                <w:bCs/>
                <w:sz w:val="20"/>
                <w:szCs w:val="20"/>
              </w:rPr>
            </w:pPr>
            <w:r w:rsidRPr="001F6AFE">
              <w:rPr>
                <w:rFonts w:ascii="Arial Narrow" w:hAnsi="Arial Narrow"/>
                <w:b/>
                <w:bCs/>
                <w:sz w:val="20"/>
                <w:szCs w:val="20"/>
              </w:rPr>
              <w:t xml:space="preserve">Administrative Advice: </w:t>
            </w:r>
            <w:r w:rsidRPr="001F6AFE">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F65113" w:rsidRPr="001F6AFE" w14:paraId="64886D35" w14:textId="77777777" w:rsidTr="00C21DB1">
        <w:trPr>
          <w:cantSplit/>
          <w:trHeight w:val="129"/>
        </w:trPr>
        <w:tc>
          <w:tcPr>
            <w:tcW w:w="710" w:type="pct"/>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BB4B26" w14:textId="77777777" w:rsidR="00F65113" w:rsidRPr="001F6AFE" w:rsidRDefault="00F65113">
            <w:pPr>
              <w:keepLines/>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3EEFF6" w14:textId="77777777" w:rsidR="00F65113" w:rsidRPr="001F6AFE" w:rsidRDefault="00F65113">
            <w:pPr>
              <w:keepLines/>
              <w:rPr>
                <w:rFonts w:ascii="Arial Narrow" w:eastAsia="Aptos" w:hAnsi="Arial Narrow" w:cs="Calibri"/>
                <w:bCs/>
                <w:sz w:val="20"/>
                <w:szCs w:val="20"/>
              </w:rPr>
            </w:pPr>
            <w:r w:rsidRPr="001F6AFE">
              <w:rPr>
                <w:rFonts w:ascii="Arial Narrow" w:eastAsia="Aptos" w:hAnsi="Arial Narrow" w:cs="Calibri"/>
                <w:b/>
                <w:bCs/>
                <w:sz w:val="20"/>
                <w:szCs w:val="20"/>
              </w:rPr>
              <w:t xml:space="preserve">Episodicity: </w:t>
            </w:r>
            <w:r w:rsidRPr="001F6AFE">
              <w:rPr>
                <w:rFonts w:ascii="Arial Narrow" w:eastAsia="Aptos" w:hAnsi="Arial Narrow" w:cs="Calibri"/>
                <w:bCs/>
                <w:sz w:val="20"/>
                <w:szCs w:val="20"/>
              </w:rPr>
              <w:t>Chronic</w:t>
            </w:r>
          </w:p>
        </w:tc>
      </w:tr>
      <w:tr w:rsidR="00F65113" w:rsidRPr="001F6AFE" w14:paraId="6223182A" w14:textId="77777777" w:rsidTr="00C21DB1">
        <w:trPr>
          <w:cantSplit/>
          <w:trHeight w:val="20"/>
        </w:trPr>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14:paraId="60D276F9" w14:textId="77777777" w:rsidR="00F65113" w:rsidRPr="001F6AFE" w:rsidRDefault="00F65113">
            <w:pPr>
              <w:rPr>
                <w:rFonts w:ascii="Arial Narrow" w:eastAsia="Aptos" w:hAnsi="Arial Narrow" w:cs="Calibri"/>
                <w:color w:val="333333"/>
                <w:sz w:val="20"/>
                <w:szCs w:val="20"/>
                <w:lang w:eastAsia="en-US"/>
                <w14:ligatures w14:val="standardContextual"/>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2B1DCE" w14:textId="77777777" w:rsidR="00F65113" w:rsidRPr="001F6AFE" w:rsidRDefault="00F65113">
            <w:pPr>
              <w:keepLines/>
              <w:rPr>
                <w:rFonts w:ascii="Arial Narrow" w:eastAsia="Aptos" w:hAnsi="Arial Narrow" w:cs="Calibri"/>
                <w:b/>
                <w:bCs/>
                <w:sz w:val="20"/>
                <w:szCs w:val="20"/>
              </w:rPr>
            </w:pPr>
            <w:r w:rsidRPr="001F6AFE">
              <w:rPr>
                <w:rFonts w:ascii="Arial Narrow" w:eastAsia="Aptos" w:hAnsi="Arial Narrow" w:cs="Calibri"/>
                <w:b/>
                <w:bCs/>
                <w:sz w:val="20"/>
                <w:szCs w:val="20"/>
              </w:rPr>
              <w:t xml:space="preserve">Severity: </w:t>
            </w:r>
            <w:r w:rsidRPr="001F6AFE">
              <w:rPr>
                <w:rFonts w:ascii="Arial Narrow" w:eastAsia="Aptos" w:hAnsi="Arial Narrow" w:cs="Calibri"/>
                <w:bCs/>
                <w:sz w:val="20"/>
                <w:szCs w:val="20"/>
              </w:rPr>
              <w:t>moderate to severe</w:t>
            </w:r>
          </w:p>
        </w:tc>
      </w:tr>
      <w:tr w:rsidR="00F65113" w:rsidRPr="001F6AFE" w14:paraId="669E1BB8" w14:textId="77777777" w:rsidTr="00C21DB1">
        <w:trPr>
          <w:cantSplit/>
          <w:trHeight w:val="20"/>
        </w:trPr>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14:paraId="7762E32A" w14:textId="77777777" w:rsidR="00F65113" w:rsidRPr="001F6AFE" w:rsidRDefault="00F65113">
            <w:pPr>
              <w:rPr>
                <w:rFonts w:ascii="Arial Narrow" w:eastAsia="Aptos" w:hAnsi="Arial Narrow" w:cs="Calibri"/>
                <w:color w:val="333333"/>
                <w:sz w:val="20"/>
                <w:szCs w:val="20"/>
                <w:lang w:eastAsia="en-US"/>
                <w14:ligatures w14:val="standardContextual"/>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B1AF48" w14:textId="77777777" w:rsidR="00F65113" w:rsidRPr="001F6AFE" w:rsidRDefault="00F65113">
            <w:pPr>
              <w:keepLines/>
              <w:rPr>
                <w:rFonts w:ascii="Arial Narrow" w:eastAsia="Aptos" w:hAnsi="Arial Narrow" w:cs="Calibri"/>
                <w:b/>
                <w:bCs/>
                <w:sz w:val="20"/>
                <w:szCs w:val="20"/>
              </w:rPr>
            </w:pPr>
            <w:r w:rsidRPr="001F6AFE">
              <w:rPr>
                <w:rFonts w:ascii="Arial Narrow" w:eastAsia="Aptos" w:hAnsi="Arial Narrow" w:cs="Calibri"/>
                <w:b/>
                <w:bCs/>
                <w:sz w:val="20"/>
                <w:szCs w:val="20"/>
              </w:rPr>
              <w:t xml:space="preserve">Condition: </w:t>
            </w:r>
            <w:r w:rsidRPr="001F6AFE">
              <w:rPr>
                <w:rFonts w:ascii="Arial Narrow" w:eastAsia="Aptos" w:hAnsi="Arial Narrow" w:cs="Calibri"/>
                <w:sz w:val="20"/>
                <w:szCs w:val="20"/>
              </w:rPr>
              <w:t>Chronic hand eczema</w:t>
            </w:r>
          </w:p>
        </w:tc>
      </w:tr>
      <w:tr w:rsidR="00F65113" w:rsidRPr="001F6AFE" w14:paraId="09E67CC7"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9A5562" w14:textId="343B0835" w:rsidR="00F65113" w:rsidRPr="001F6AFE" w:rsidRDefault="00F65113">
            <w:pPr>
              <w:keepLines/>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CA6DE3" w14:textId="77777777" w:rsidR="00F65113" w:rsidRPr="001F6AFE" w:rsidRDefault="00F65113">
            <w:pPr>
              <w:keepLines/>
              <w:rPr>
                <w:rFonts w:ascii="Arial Narrow" w:eastAsia="Aptos" w:hAnsi="Arial Narrow" w:cs="Calibri"/>
                <w:sz w:val="20"/>
                <w:szCs w:val="20"/>
              </w:rPr>
            </w:pPr>
            <w:r w:rsidRPr="001F6AFE">
              <w:rPr>
                <w:rFonts w:ascii="Arial Narrow" w:eastAsia="Aptos" w:hAnsi="Arial Narrow" w:cs="Calibri"/>
                <w:b/>
                <w:bCs/>
                <w:sz w:val="20"/>
                <w:szCs w:val="20"/>
              </w:rPr>
              <w:t>Indication:</w:t>
            </w:r>
            <w:r w:rsidRPr="001F6AFE">
              <w:rPr>
                <w:rFonts w:ascii="Arial Narrow" w:eastAsia="Aptos" w:hAnsi="Arial Narrow" w:cs="Calibri"/>
                <w:sz w:val="20"/>
                <w:szCs w:val="20"/>
              </w:rPr>
              <w:t xml:space="preserve"> moderate to severe chronic hand eczema (CHE)</w:t>
            </w:r>
          </w:p>
        </w:tc>
      </w:tr>
      <w:tr w:rsidR="00F65113" w:rsidRPr="001F6AFE" w14:paraId="02EF5EEE"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4D9391" w14:textId="77777777" w:rsidR="00F65113" w:rsidRPr="001F6AFE" w:rsidRDefault="00F65113">
            <w:pPr>
              <w:keepLines/>
              <w:jc w:val="center"/>
              <w:rPr>
                <w:rFonts w:ascii="Arial Narrow" w:hAnsi="Arial Narrow"/>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230123" w14:textId="77777777" w:rsidR="00F65113" w:rsidRPr="001F6AFE" w:rsidRDefault="00F65113">
            <w:pPr>
              <w:keepLines/>
              <w:rPr>
                <w:rFonts w:ascii="Arial Narrow" w:hAnsi="Arial Narrow"/>
                <w:b/>
                <w:bCs/>
                <w:color w:val="FF0000"/>
                <w:sz w:val="20"/>
                <w:szCs w:val="20"/>
              </w:rPr>
            </w:pPr>
            <w:r w:rsidRPr="001F6AFE">
              <w:rPr>
                <w:rFonts w:ascii="Arial Narrow" w:hAnsi="Arial Narrow"/>
                <w:b/>
                <w:bCs/>
                <w:sz w:val="20"/>
                <w:szCs w:val="20"/>
              </w:rPr>
              <w:t xml:space="preserve">Treatment phase: </w:t>
            </w:r>
            <w:r w:rsidRPr="001F6AFE">
              <w:rPr>
                <w:rFonts w:ascii="Arial Narrow" w:hAnsi="Arial Narrow"/>
                <w:sz w:val="20"/>
                <w:szCs w:val="20"/>
              </w:rPr>
              <w:t xml:space="preserve">Initial 12 weeks treatment course </w:t>
            </w:r>
          </w:p>
        </w:tc>
      </w:tr>
      <w:tr w:rsidR="00F65113" w:rsidRPr="001F6AFE" w14:paraId="7780DBDA"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B177D4" w14:textId="57B6B45E"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4EEA57" w14:textId="77777777" w:rsidR="00F65113" w:rsidRPr="001F6AFE" w:rsidRDefault="00F65113">
            <w:pPr>
              <w:rPr>
                <w:rFonts w:ascii="Arial Narrow" w:eastAsia="Aptos" w:hAnsi="Arial Narrow" w:cs="Calibri"/>
                <w:color w:val="333333"/>
                <w:sz w:val="20"/>
                <w:szCs w:val="20"/>
              </w:rPr>
            </w:pPr>
            <w:r w:rsidRPr="001F6AFE">
              <w:rPr>
                <w:rFonts w:ascii="Arial Narrow" w:eastAsia="Aptos" w:hAnsi="Arial Narrow" w:cs="Calibri"/>
                <w:b/>
                <w:bCs/>
                <w:color w:val="333333"/>
                <w:sz w:val="20"/>
                <w:szCs w:val="20"/>
              </w:rPr>
              <w:t>Clinical criteria:</w:t>
            </w:r>
          </w:p>
        </w:tc>
      </w:tr>
      <w:tr w:rsidR="00F65113" w:rsidRPr="001F6AFE" w14:paraId="2DC66C9E"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7F28A4" w14:textId="17325AB2"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46EB87" w14:textId="74DD8E65" w:rsidR="00F65113" w:rsidRPr="001F6AFE" w:rsidRDefault="00F65113">
            <w:pPr>
              <w:rPr>
                <w:rFonts w:ascii="Arial Narrow" w:eastAsia="Aptos" w:hAnsi="Arial Narrow" w:cs="Calibri"/>
                <w:color w:val="333333"/>
                <w:sz w:val="20"/>
                <w:szCs w:val="20"/>
              </w:rPr>
            </w:pPr>
            <w:r w:rsidRPr="001F6AFE">
              <w:rPr>
                <w:rFonts w:ascii="Arial Narrow" w:eastAsia="Aptos" w:hAnsi="Arial Narrow" w:cs="Calibri"/>
                <w:color w:val="333333"/>
                <w:sz w:val="20"/>
                <w:szCs w:val="20"/>
              </w:rPr>
              <w:t xml:space="preserve">Patient must have moderate to severe </w:t>
            </w:r>
            <w:r w:rsidRPr="001F6AFE">
              <w:rPr>
                <w:rFonts w:ascii="Arial Narrow" w:eastAsia="Aptos" w:hAnsi="Arial Narrow" w:cs="Calibri"/>
                <w:sz w:val="20"/>
                <w:szCs w:val="20"/>
              </w:rPr>
              <w:t xml:space="preserve">chronic hand eczema with an Investigator Global Assessment-Chronic Hand Eczema (IGA-CHE) score of 3 or 4, that has lasted for more than 3 months prior to initiating </w:t>
            </w:r>
            <w:r w:rsidRPr="001F6AFE">
              <w:rPr>
                <w:rFonts w:ascii="Arial Narrow" w:eastAsia="MS Gothic" w:hAnsi="Arial Narrow"/>
                <w:sz w:val="20"/>
                <w:szCs w:val="20"/>
                <w:lang w:bidi="en-US"/>
              </w:rPr>
              <w:t>their most recent course of PBS-subsidised treatment with this drug</w:t>
            </w:r>
          </w:p>
        </w:tc>
      </w:tr>
      <w:tr w:rsidR="00F65113" w:rsidRPr="001F6AFE" w14:paraId="3F10BED2"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B64764F" w14:textId="77777777"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1B6C26" w14:textId="77777777" w:rsidR="00F65113" w:rsidRPr="001F6AFE" w:rsidRDefault="00F65113">
            <w:pPr>
              <w:rPr>
                <w:rFonts w:ascii="Arial Narrow" w:eastAsia="Aptos" w:hAnsi="Arial Narrow" w:cs="Calibri"/>
                <w:b/>
                <w:bCs/>
                <w:sz w:val="20"/>
                <w:szCs w:val="20"/>
              </w:rPr>
            </w:pPr>
            <w:r w:rsidRPr="001F6AFE">
              <w:rPr>
                <w:rFonts w:ascii="Arial Narrow" w:eastAsia="Aptos" w:hAnsi="Arial Narrow" w:cs="Calibri"/>
                <w:b/>
                <w:bCs/>
                <w:sz w:val="20"/>
                <w:szCs w:val="20"/>
              </w:rPr>
              <w:t>OR</w:t>
            </w:r>
          </w:p>
        </w:tc>
      </w:tr>
      <w:tr w:rsidR="00F65113" w:rsidRPr="001F6AFE" w14:paraId="768D8B79"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0755DD4" w14:textId="77777777"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9D31D5" w14:textId="634468B8" w:rsidR="00F65113" w:rsidRPr="001F6AFE" w:rsidRDefault="00F65113">
            <w:pPr>
              <w:rPr>
                <w:rFonts w:ascii="Arial Narrow" w:eastAsia="Aptos" w:hAnsi="Arial Narrow" w:cs="Calibri"/>
                <w:sz w:val="20"/>
                <w:szCs w:val="20"/>
              </w:rPr>
            </w:pPr>
            <w:r w:rsidRPr="001F6AFE">
              <w:rPr>
                <w:rFonts w:ascii="Arial Narrow" w:eastAsia="Aptos" w:hAnsi="Arial Narrow" w:cs="Calibri"/>
                <w:sz w:val="20"/>
                <w:szCs w:val="20"/>
              </w:rPr>
              <w:t>Patient must be experiencing a flare-up, that has returned twice or more within the last 12 months prior to initiating their most recent course of PBS-subsidised treatment with this drug</w:t>
            </w:r>
          </w:p>
        </w:tc>
      </w:tr>
      <w:tr w:rsidR="00F65113" w:rsidRPr="001F6AFE" w14:paraId="5BBA9298"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2C9728" w14:textId="77777777"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AFB4DE" w14:textId="77777777" w:rsidR="00F65113" w:rsidRPr="001F6AFE" w:rsidRDefault="00F65113">
            <w:pPr>
              <w:rPr>
                <w:rFonts w:ascii="Arial Narrow" w:eastAsia="Aptos" w:hAnsi="Arial Narrow" w:cs="Calibri"/>
                <w:b/>
                <w:bCs/>
                <w:color w:val="333333"/>
                <w:sz w:val="20"/>
                <w:szCs w:val="20"/>
              </w:rPr>
            </w:pPr>
            <w:r w:rsidRPr="001F6AFE">
              <w:rPr>
                <w:rFonts w:ascii="Arial Narrow" w:eastAsia="Aptos" w:hAnsi="Arial Narrow" w:cs="Calibri"/>
                <w:b/>
                <w:bCs/>
                <w:color w:val="333333"/>
                <w:sz w:val="20"/>
                <w:szCs w:val="20"/>
              </w:rPr>
              <w:t>AND</w:t>
            </w:r>
          </w:p>
        </w:tc>
      </w:tr>
      <w:tr w:rsidR="00F65113" w:rsidRPr="001F6AFE" w14:paraId="04E1CBA4"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96CB47" w14:textId="01CE270D"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013882" w14:textId="77777777" w:rsidR="00F65113" w:rsidRPr="001F6AFE" w:rsidRDefault="00F65113">
            <w:pPr>
              <w:rPr>
                <w:rFonts w:ascii="Arial Narrow" w:eastAsia="Aptos" w:hAnsi="Arial Narrow" w:cs="Calibri"/>
                <w:color w:val="333333"/>
                <w:sz w:val="20"/>
                <w:szCs w:val="20"/>
              </w:rPr>
            </w:pPr>
            <w:r w:rsidRPr="001F6AFE">
              <w:rPr>
                <w:rFonts w:ascii="Arial Narrow" w:eastAsia="Aptos" w:hAnsi="Arial Narrow" w:cs="Calibri"/>
                <w:b/>
                <w:bCs/>
                <w:color w:val="333333"/>
                <w:sz w:val="20"/>
                <w:szCs w:val="20"/>
              </w:rPr>
              <w:t>Clinical criteria:</w:t>
            </w:r>
          </w:p>
        </w:tc>
      </w:tr>
      <w:tr w:rsidR="00F65113" w:rsidRPr="001F6AFE" w14:paraId="5EB4218D"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4E0228" w14:textId="5CBCBCAB"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B59F7B" w14:textId="16BEE8AC" w:rsidR="00F65113" w:rsidRPr="001F6AFE" w:rsidRDefault="00F65113">
            <w:pPr>
              <w:rPr>
                <w:rFonts w:ascii="Arial Narrow" w:eastAsia="Aptos" w:hAnsi="Arial Narrow" w:cs="Calibri"/>
                <w:color w:val="333333"/>
                <w:sz w:val="20"/>
                <w:szCs w:val="20"/>
              </w:rPr>
            </w:pPr>
            <w:r w:rsidRPr="001F6AFE">
              <w:rPr>
                <w:rFonts w:ascii="Arial Narrow" w:eastAsia="Aptos" w:hAnsi="Arial Narrow" w:cs="Calibri"/>
                <w:color w:val="333333"/>
                <w:sz w:val="20"/>
                <w:szCs w:val="20"/>
              </w:rPr>
              <w:t xml:space="preserve">Patient must have </w:t>
            </w:r>
            <w:r w:rsidRPr="001F6AFE">
              <w:rPr>
                <w:rFonts w:ascii="Arial Narrow" w:eastAsia="Aptos" w:hAnsi="Arial Narrow" w:cs="Calibri"/>
                <w:sz w:val="20"/>
                <w:szCs w:val="20"/>
              </w:rPr>
              <w:t xml:space="preserve">failed to respond to daily topical corticosteroids of medium to high potency in the 12 months prior to receiving </w:t>
            </w:r>
            <w:r w:rsidRPr="00F3436A">
              <w:rPr>
                <w:rFonts w:ascii="Arial Narrow" w:eastAsia="Aptos" w:hAnsi="Arial Narrow" w:cs="Calibri"/>
                <w:sz w:val="20"/>
                <w:szCs w:val="20"/>
              </w:rPr>
              <w:t>their first PBS-subsidised treatment with this drug for this condition</w:t>
            </w:r>
          </w:p>
        </w:tc>
      </w:tr>
      <w:tr w:rsidR="00F65113" w:rsidRPr="001F6AFE" w14:paraId="580EAAB8"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77FF68" w14:textId="77777777"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8E02CF" w14:textId="77777777" w:rsidR="00F65113" w:rsidRPr="001F6AFE" w:rsidRDefault="00F65113">
            <w:pPr>
              <w:rPr>
                <w:rFonts w:ascii="Arial Narrow" w:eastAsia="Aptos" w:hAnsi="Arial Narrow" w:cs="Calibri"/>
                <w:b/>
                <w:bCs/>
                <w:color w:val="333333"/>
                <w:sz w:val="20"/>
                <w:szCs w:val="20"/>
              </w:rPr>
            </w:pPr>
            <w:r w:rsidRPr="001F6AFE">
              <w:rPr>
                <w:rFonts w:ascii="Arial Narrow" w:eastAsia="Aptos" w:hAnsi="Arial Narrow" w:cs="Calibri"/>
                <w:b/>
                <w:bCs/>
                <w:color w:val="333333"/>
                <w:sz w:val="20"/>
                <w:szCs w:val="20"/>
              </w:rPr>
              <w:t>OR</w:t>
            </w:r>
          </w:p>
        </w:tc>
      </w:tr>
      <w:tr w:rsidR="00F65113" w:rsidRPr="001F6AFE" w14:paraId="09E4628B"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B847DC" w14:textId="4F9EC6A3"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A995CB" w14:textId="2AAE471E" w:rsidR="00F65113" w:rsidRPr="001F6AFE" w:rsidRDefault="00F65113">
            <w:pPr>
              <w:rPr>
                <w:rFonts w:ascii="Arial Narrow" w:eastAsia="Aptos" w:hAnsi="Arial Narrow" w:cs="Calibri"/>
                <w:color w:val="333333"/>
                <w:sz w:val="20"/>
                <w:szCs w:val="20"/>
              </w:rPr>
            </w:pPr>
            <w:r w:rsidRPr="001F6AFE">
              <w:rPr>
                <w:rFonts w:ascii="Arial Narrow" w:eastAsia="Aptos" w:hAnsi="Arial Narrow" w:cs="Calibri"/>
                <w:color w:val="333333"/>
                <w:sz w:val="20"/>
                <w:szCs w:val="20"/>
              </w:rPr>
              <w:t xml:space="preserve">Patient must be </w:t>
            </w:r>
            <w:r w:rsidRPr="001F6AFE">
              <w:rPr>
                <w:rFonts w:ascii="Arial Narrow" w:eastAsia="Aptos" w:hAnsi="Arial Narrow" w:cs="Calibri"/>
                <w:sz w:val="20"/>
                <w:szCs w:val="20"/>
              </w:rPr>
              <w:t xml:space="preserve">contraindicated for treatment with daily topical corticosteroids of medium to high potency </w:t>
            </w:r>
          </w:p>
        </w:tc>
      </w:tr>
      <w:tr w:rsidR="00F65113" w:rsidRPr="001F6AFE" w14:paraId="0D167A57"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9A52126" w14:textId="193735E1" w:rsidR="00F65113" w:rsidRPr="001F6AFE" w:rsidRDefault="00F65113">
            <w:pPr>
              <w:jc w:val="center"/>
              <w:rPr>
                <w:rFonts w:ascii="Arial Narrow" w:eastAsia="MS Gothic" w:hAnsi="Arial Narrow"/>
                <w:sz w:val="20"/>
                <w:szCs w:val="20"/>
                <w:lang w:bidi="en-US"/>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F5808D" w14:textId="77777777" w:rsidR="00F65113" w:rsidRPr="001F6AFE" w:rsidRDefault="00F65113">
            <w:pPr>
              <w:rPr>
                <w:rFonts w:ascii="Arial Narrow" w:eastAsia="MS Gothic" w:hAnsi="Arial Narrow"/>
                <w:b/>
                <w:bCs/>
                <w:sz w:val="20"/>
                <w:szCs w:val="20"/>
                <w:lang w:bidi="en-US"/>
              </w:rPr>
            </w:pPr>
            <w:r w:rsidRPr="001F6AFE">
              <w:rPr>
                <w:rFonts w:ascii="Arial Narrow" w:eastAsia="MS Gothic" w:hAnsi="Arial Narrow"/>
                <w:b/>
                <w:bCs/>
                <w:sz w:val="20"/>
                <w:szCs w:val="20"/>
                <w:lang w:bidi="en-US"/>
              </w:rPr>
              <w:t>Prescribing Instructions:</w:t>
            </w:r>
          </w:p>
          <w:p w14:paraId="5B518194" w14:textId="77777777" w:rsidR="00F65113" w:rsidRPr="001F6AFE" w:rsidRDefault="00F65113">
            <w:pPr>
              <w:rPr>
                <w:rFonts w:ascii="Arial Narrow" w:eastAsia="Aptos" w:hAnsi="Arial Narrow" w:cs="Calibri"/>
                <w:sz w:val="20"/>
                <w:szCs w:val="20"/>
                <w:lang w:eastAsia="en-US"/>
              </w:rPr>
            </w:pPr>
            <w:r w:rsidRPr="001F6AFE">
              <w:rPr>
                <w:rFonts w:ascii="Arial Narrow" w:eastAsia="Aptos" w:hAnsi="Arial Narrow" w:cs="Calibri"/>
                <w:sz w:val="20"/>
                <w:szCs w:val="20"/>
              </w:rPr>
              <w:t>The IGA-CHE scores are defined as:</w:t>
            </w:r>
          </w:p>
          <w:p w14:paraId="60E4FB62" w14:textId="77777777" w:rsidR="00F65113" w:rsidRPr="001F6AFE" w:rsidRDefault="00F65113">
            <w:pPr>
              <w:rPr>
                <w:rFonts w:ascii="Arial Narrow" w:eastAsiaTheme="minorHAnsi" w:hAnsi="Arial Narrow" w:cs="Times New Roman"/>
                <w:kern w:val="2"/>
                <w:sz w:val="20"/>
                <w:szCs w:val="20"/>
              </w:rPr>
            </w:pPr>
            <w:r w:rsidRPr="001F6AFE">
              <w:rPr>
                <w:rFonts w:ascii="Arial Narrow" w:eastAsia="MS Gothic" w:hAnsi="Arial Narrow"/>
                <w:sz w:val="20"/>
                <w:szCs w:val="20"/>
                <w:lang w:bidi="en-US"/>
              </w:rPr>
              <w:t xml:space="preserve">(i) Full response </w:t>
            </w:r>
            <w:r w:rsidRPr="001F6AFE">
              <w:rPr>
                <w:rFonts w:ascii="Arial Narrow" w:hAnsi="Arial Narrow"/>
                <w:sz w:val="20"/>
                <w:szCs w:val="20"/>
              </w:rPr>
              <w:t>– IGA-CHE 0 (Clear) or 1 (Almost clear)</w:t>
            </w:r>
          </w:p>
          <w:p w14:paraId="4B8CB8AA" w14:textId="77777777" w:rsidR="00F65113" w:rsidRPr="003778BC" w:rsidRDefault="00F65113">
            <w:pPr>
              <w:rPr>
                <w:rFonts w:ascii="Arial Narrow" w:hAnsi="Arial Narrow"/>
                <w:sz w:val="20"/>
                <w:szCs w:val="20"/>
                <w:lang w:val="it-IT"/>
              </w:rPr>
            </w:pPr>
            <w:r w:rsidRPr="003778BC">
              <w:rPr>
                <w:rFonts w:ascii="Arial Narrow" w:eastAsia="MS Gothic" w:hAnsi="Arial Narrow"/>
                <w:sz w:val="20"/>
                <w:szCs w:val="20"/>
                <w:lang w:val="it-IT" w:bidi="en-US"/>
              </w:rPr>
              <w:t xml:space="preserve">(ii) Partial response – IGA-CHE </w:t>
            </w:r>
            <w:r w:rsidRPr="003778BC">
              <w:rPr>
                <w:rFonts w:ascii="Arial Narrow" w:hAnsi="Arial Narrow"/>
                <w:sz w:val="20"/>
                <w:szCs w:val="20"/>
                <w:lang w:val="it-IT"/>
              </w:rPr>
              <w:t>2 (Mild)</w:t>
            </w:r>
          </w:p>
          <w:p w14:paraId="70953855" w14:textId="77777777" w:rsidR="00F65113" w:rsidRPr="001F6AFE" w:rsidRDefault="00F65113">
            <w:pPr>
              <w:rPr>
                <w:rFonts w:ascii="Arial Narrow" w:eastAsia="MS Gothic" w:hAnsi="Arial Narrow"/>
                <w:sz w:val="20"/>
                <w:szCs w:val="20"/>
                <w:lang w:bidi="en-US"/>
              </w:rPr>
            </w:pPr>
            <w:r w:rsidRPr="001F6AFE">
              <w:rPr>
                <w:rFonts w:ascii="Arial Narrow" w:hAnsi="Arial Narrow"/>
                <w:sz w:val="20"/>
                <w:szCs w:val="20"/>
              </w:rPr>
              <w:t>(iii) Low response – IGA-CHE 3 with 1-point improvement from baseline (Moderate)</w:t>
            </w:r>
          </w:p>
          <w:p w14:paraId="279F0845" w14:textId="77777777" w:rsidR="00F65113" w:rsidRPr="001F6AFE" w:rsidRDefault="00F65113">
            <w:pPr>
              <w:rPr>
                <w:rFonts w:ascii="Arial Narrow" w:eastAsia="MS Gothic" w:hAnsi="Arial Narrow"/>
                <w:sz w:val="20"/>
                <w:szCs w:val="20"/>
                <w:lang w:bidi="en-US"/>
              </w:rPr>
            </w:pPr>
            <w:r w:rsidRPr="001F6AFE">
              <w:rPr>
                <w:rFonts w:ascii="Arial Narrow" w:eastAsia="MS Gothic" w:hAnsi="Arial Narrow"/>
                <w:sz w:val="20"/>
                <w:szCs w:val="20"/>
                <w:lang w:bidi="en-US"/>
              </w:rPr>
              <w:t xml:space="preserve">(iv) Insufficient response – IGA-CHE </w:t>
            </w:r>
            <w:r w:rsidRPr="001F6AFE">
              <w:rPr>
                <w:rFonts w:ascii="Arial Narrow" w:hAnsi="Arial Narrow"/>
                <w:sz w:val="20"/>
                <w:szCs w:val="20"/>
              </w:rPr>
              <w:t>3 without improvement from baseline, or IGA-CHE 4 (Severe)</w:t>
            </w:r>
          </w:p>
          <w:p w14:paraId="1B0D0E6B" w14:textId="77777777" w:rsidR="00F65113" w:rsidRPr="001F6AFE" w:rsidRDefault="00F65113">
            <w:pPr>
              <w:rPr>
                <w:rFonts w:ascii="Arial Narrow" w:eastAsia="MS Gothic" w:hAnsi="Arial Narrow"/>
                <w:b/>
                <w:bCs/>
                <w:sz w:val="20"/>
                <w:szCs w:val="20"/>
                <w:lang w:bidi="en-US"/>
              </w:rPr>
            </w:pPr>
          </w:p>
          <w:p w14:paraId="5EEEE00F" w14:textId="614B074E" w:rsidR="00F65113" w:rsidRPr="001F6AFE" w:rsidRDefault="00F65113">
            <w:pPr>
              <w:rPr>
                <w:rFonts w:ascii="Arial Narrow" w:eastAsia="MS Gothic" w:hAnsi="Arial Narrow"/>
                <w:b/>
                <w:bCs/>
                <w:sz w:val="20"/>
                <w:szCs w:val="20"/>
                <w:lang w:bidi="en-US"/>
              </w:rPr>
            </w:pPr>
            <w:r w:rsidRPr="001F6AFE">
              <w:rPr>
                <w:rFonts w:ascii="Arial Narrow" w:eastAsia="MS Gothic" w:hAnsi="Arial Narrow"/>
                <w:sz w:val="20"/>
                <w:szCs w:val="20"/>
                <w:lang w:bidi="en-US"/>
              </w:rPr>
              <w:t>Once a full response is achieved, patients should take a break in delgocitinib treatment and reinitiate only if there is a flare-up of their CHE.</w:t>
            </w:r>
          </w:p>
        </w:tc>
      </w:tr>
      <w:tr w:rsidR="00F65113" w:rsidRPr="001F6AFE" w14:paraId="7585E146"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601BBF" w14:textId="761ACA55" w:rsidR="00F65113" w:rsidRPr="001F6AFE" w:rsidRDefault="00F65113">
            <w:pPr>
              <w:jc w:val="center"/>
              <w:rPr>
                <w:rFonts w:ascii="Arial Narrow" w:eastAsia="Aptos" w:hAnsi="Arial Narrow" w:cs="Calibri"/>
                <w:color w:val="333333"/>
                <w:sz w:val="20"/>
                <w:szCs w:val="20"/>
                <w:lang w:eastAsia="en-US"/>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153472" w14:textId="77777777" w:rsidR="00F65113" w:rsidRPr="001F6AFE" w:rsidRDefault="00F65113">
            <w:pPr>
              <w:rPr>
                <w:rFonts w:ascii="Arial Narrow" w:eastAsia="Aptos" w:hAnsi="Arial Narrow" w:cs="Calibri"/>
                <w:b/>
                <w:bCs/>
                <w:color w:val="333333"/>
                <w:sz w:val="20"/>
                <w:szCs w:val="20"/>
              </w:rPr>
            </w:pPr>
            <w:r w:rsidRPr="001F6AFE">
              <w:rPr>
                <w:rFonts w:ascii="Arial Narrow" w:eastAsia="Aptos" w:hAnsi="Arial Narrow" w:cs="Calibri"/>
                <w:b/>
                <w:bCs/>
                <w:color w:val="333333"/>
                <w:sz w:val="20"/>
                <w:szCs w:val="20"/>
              </w:rPr>
              <w:t>Administrative advice:</w:t>
            </w:r>
          </w:p>
          <w:p w14:paraId="4489CCE2" w14:textId="77777777" w:rsidR="00F65113" w:rsidRPr="001F6AFE" w:rsidRDefault="00F65113">
            <w:pPr>
              <w:rPr>
                <w:rFonts w:ascii="Arial Narrow" w:eastAsia="Aptos" w:hAnsi="Arial Narrow" w:cs="Calibri"/>
                <w:color w:val="333333"/>
                <w:sz w:val="20"/>
                <w:szCs w:val="20"/>
              </w:rPr>
            </w:pPr>
            <w:r w:rsidRPr="001F6AFE">
              <w:rPr>
                <w:rFonts w:ascii="Arial Narrow" w:eastAsia="Aptos" w:hAnsi="Arial Narrow" w:cs="Calibri"/>
                <w:color w:val="333333"/>
                <w:sz w:val="20"/>
                <w:szCs w:val="20"/>
              </w:rPr>
              <w:t>Moderate to severe chronic hand eczema is defined as IGA-CHE score of 3 or 4</w:t>
            </w:r>
          </w:p>
        </w:tc>
      </w:tr>
      <w:tr w:rsidR="00F65113" w:rsidRPr="001F6AFE" w14:paraId="15520D49"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203F34" w14:textId="7CD117A9" w:rsidR="00F65113" w:rsidRPr="001F6AFE" w:rsidRDefault="00F65113">
            <w:pPr>
              <w:jc w:val="center"/>
              <w:rPr>
                <w:rFonts w:ascii="Arial Narrow" w:eastAsia="Aptos" w:hAnsi="Arial Narrow" w:cs="Calibri"/>
                <w:color w:val="333333"/>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2582A2" w14:textId="77777777" w:rsidR="00F65113" w:rsidRPr="001F6AFE" w:rsidRDefault="00F65113">
            <w:pPr>
              <w:rPr>
                <w:rFonts w:ascii="Arial Narrow" w:eastAsia="Aptos" w:hAnsi="Arial Narrow" w:cs="Calibri"/>
                <w:b/>
                <w:bCs/>
                <w:color w:val="333333"/>
                <w:sz w:val="20"/>
                <w:szCs w:val="20"/>
              </w:rPr>
            </w:pPr>
            <w:r w:rsidRPr="001F6AFE">
              <w:rPr>
                <w:rFonts w:ascii="Arial Narrow" w:eastAsia="Aptos" w:hAnsi="Arial Narrow" w:cs="Calibri"/>
                <w:b/>
                <w:bCs/>
                <w:color w:val="333333"/>
                <w:sz w:val="20"/>
                <w:szCs w:val="20"/>
              </w:rPr>
              <w:t>Administrative advice:</w:t>
            </w:r>
          </w:p>
          <w:p w14:paraId="76116B66" w14:textId="77777777" w:rsidR="00F65113" w:rsidRPr="001F6AFE" w:rsidRDefault="00F65113">
            <w:pPr>
              <w:rPr>
                <w:rFonts w:ascii="Arial Narrow" w:eastAsia="Aptos" w:hAnsi="Arial Narrow" w:cs="Calibri"/>
                <w:color w:val="333333"/>
                <w:sz w:val="20"/>
                <w:szCs w:val="20"/>
              </w:rPr>
            </w:pPr>
            <w:r w:rsidRPr="001F6AFE">
              <w:rPr>
                <w:rFonts w:ascii="Arial Narrow" w:eastAsia="Aptos" w:hAnsi="Arial Narrow" w:cs="Calibri"/>
                <w:color w:val="333333"/>
                <w:sz w:val="20"/>
                <w:szCs w:val="20"/>
              </w:rPr>
              <w:t>Failure to achieve an adequate response to topical medium to higher potency corticosteroids is defined as failure to achieve IGA-CHE score of ≤ 2 despite daily use.</w:t>
            </w:r>
          </w:p>
        </w:tc>
      </w:tr>
      <w:tr w:rsidR="00F65113" w:rsidRPr="001F6AFE" w14:paraId="019735CA" w14:textId="77777777" w:rsidTr="00C21DB1">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4AD9EC" w14:textId="77777777" w:rsidR="00F65113" w:rsidRPr="001F6AFE" w:rsidRDefault="00F65113">
            <w:pPr>
              <w:rPr>
                <w:rFonts w:ascii="Arial Narrow" w:eastAsia="Aptos" w:hAnsi="Arial Narrow" w:cs="Calibri"/>
                <w:color w:val="7030A0"/>
                <w:sz w:val="20"/>
                <w:szCs w:val="20"/>
              </w:rPr>
            </w:pPr>
          </w:p>
        </w:tc>
      </w:tr>
      <w:tr w:rsidR="00F65113" w:rsidRPr="001F6AFE" w14:paraId="45AD5307" w14:textId="77777777" w:rsidTr="00C21DB1">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F72E06" w14:textId="77777777" w:rsidR="00F65113" w:rsidRPr="001F6AFE" w:rsidRDefault="00F65113">
            <w:pPr>
              <w:keepLines/>
              <w:rPr>
                <w:rFonts w:ascii="Arial Narrow" w:eastAsia="Aptos" w:hAnsi="Arial Narrow" w:cs="Calibri"/>
                <w:b/>
                <w:sz w:val="20"/>
                <w:szCs w:val="20"/>
              </w:rPr>
            </w:pPr>
            <w:r w:rsidRPr="001F6AFE">
              <w:rPr>
                <w:rFonts w:ascii="Arial Narrow" w:eastAsia="Aptos" w:hAnsi="Arial Narrow" w:cs="Calibri"/>
                <w:b/>
                <w:sz w:val="20"/>
                <w:szCs w:val="20"/>
              </w:rPr>
              <w:t>Restriction Summary NEW 2 / Treatment of Concept: NEW 2A</w:t>
            </w:r>
          </w:p>
        </w:tc>
      </w:tr>
      <w:tr w:rsidR="00F65113" w:rsidRPr="001F6AFE" w14:paraId="53E71128" w14:textId="77777777" w:rsidTr="00C21DB1">
        <w:trPr>
          <w:trHeight w:val="20"/>
        </w:trPr>
        <w:tc>
          <w:tcPr>
            <w:tcW w:w="710" w:type="pct"/>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5571763" w14:textId="77777777" w:rsidR="00F65113" w:rsidRPr="001F6AFE" w:rsidRDefault="00F65113">
            <w:pPr>
              <w:jc w:val="center"/>
              <w:rPr>
                <w:rFonts w:ascii="Arial Narrow" w:eastAsia="Aptos" w:hAnsi="Arial Narrow" w:cs="Calibri"/>
                <w:b/>
                <w:sz w:val="20"/>
                <w:szCs w:val="20"/>
              </w:rPr>
            </w:pPr>
            <w:r w:rsidRPr="001F6AFE">
              <w:rPr>
                <w:rFonts w:ascii="Arial Narrow" w:eastAsia="Aptos" w:hAnsi="Arial Narrow" w:cs="Calibri"/>
                <w:b/>
                <w:sz w:val="20"/>
                <w:szCs w:val="20"/>
              </w:rPr>
              <w:t xml:space="preserve">Concept ID </w:t>
            </w:r>
            <w:r w:rsidRPr="001F6AFE">
              <w:rPr>
                <w:rFonts w:ascii="Arial Narrow" w:eastAsia="Aptos" w:hAnsi="Arial Narrow" w:cs="Calibri"/>
                <w:sz w:val="20"/>
                <w:szCs w:val="20"/>
              </w:rPr>
              <w:t>(for internal Dept. use)</w:t>
            </w: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28F90C" w14:textId="77777777" w:rsidR="00F65113" w:rsidRPr="001F6AFE" w:rsidRDefault="00F65113">
            <w:pPr>
              <w:keepLines/>
              <w:rPr>
                <w:rFonts w:ascii="Arial Narrow" w:eastAsia="Aptos" w:hAnsi="Arial Narrow" w:cs="Calibri"/>
                <w:sz w:val="20"/>
                <w:szCs w:val="20"/>
              </w:rPr>
            </w:pPr>
            <w:r w:rsidRPr="001F6AFE">
              <w:rPr>
                <w:rFonts w:ascii="Arial Narrow" w:eastAsia="Aptos" w:hAnsi="Arial Narrow" w:cs="Calibri"/>
                <w:b/>
                <w:sz w:val="20"/>
                <w:szCs w:val="20"/>
              </w:rPr>
              <w:t>Category / Program:</w:t>
            </w:r>
            <w:r w:rsidRPr="001F6AFE">
              <w:rPr>
                <w:rFonts w:ascii="Arial Narrow" w:eastAsia="Aptos" w:hAnsi="Arial Narrow" w:cs="Calibri"/>
                <w:sz w:val="20"/>
                <w:szCs w:val="20"/>
              </w:rPr>
              <w:t xml:space="preserve"> </w:t>
            </w:r>
            <w:r w:rsidRPr="001F6AFE">
              <w:rPr>
                <w:rFonts w:ascii="Arial Narrow" w:eastAsia="Calibri" w:hAnsi="Arial Narrow" w:cs="Calibri"/>
                <w:sz w:val="20"/>
                <w:szCs w:val="20"/>
              </w:rPr>
              <w:fldChar w:fldCharType="begin">
                <w:ffData>
                  <w:name w:val="Check1"/>
                  <w:enabled/>
                  <w:calcOnExit w:val="0"/>
                  <w:checkBox>
                    <w:sizeAuto/>
                    <w:default w:val="1"/>
                  </w:checkBox>
                </w:ffData>
              </w:fldChar>
            </w:r>
            <w:r w:rsidRPr="001F6AFE">
              <w:rPr>
                <w:rFonts w:ascii="Arial Narrow" w:eastAsia="Calibri" w:hAnsi="Arial Narrow" w:cs="Calibri"/>
                <w:sz w:val="20"/>
                <w:szCs w:val="20"/>
              </w:rPr>
              <w:instrText xml:space="preserve"> FORMCHECKBOX </w:instrText>
            </w:r>
            <w:r w:rsidRPr="001F6AFE">
              <w:rPr>
                <w:rFonts w:ascii="Arial Narrow" w:eastAsia="Calibri" w:hAnsi="Arial Narrow" w:cs="Calibri"/>
                <w:sz w:val="20"/>
                <w:szCs w:val="20"/>
              </w:rPr>
            </w:r>
            <w:r w:rsidRPr="001F6AFE">
              <w:rPr>
                <w:rFonts w:ascii="Arial Narrow" w:eastAsia="Calibri" w:hAnsi="Arial Narrow" w:cs="Calibri"/>
                <w:sz w:val="20"/>
                <w:szCs w:val="20"/>
              </w:rPr>
              <w:fldChar w:fldCharType="separate"/>
            </w:r>
            <w:r w:rsidRPr="001F6AFE">
              <w:rPr>
                <w:rFonts w:ascii="Arial Narrow" w:eastAsia="Calibri" w:hAnsi="Arial Narrow" w:cs="Calibri"/>
                <w:sz w:val="20"/>
                <w:szCs w:val="20"/>
              </w:rPr>
              <w:fldChar w:fldCharType="end"/>
            </w:r>
            <w:r w:rsidRPr="001F6AFE">
              <w:rPr>
                <w:rFonts w:ascii="Arial Narrow" w:eastAsia="Calibri" w:hAnsi="Arial Narrow" w:cs="Calibri"/>
                <w:sz w:val="20"/>
                <w:szCs w:val="20"/>
              </w:rPr>
              <w:t xml:space="preserve"> GENERAL - General Schedule (Code GE) </w:t>
            </w:r>
          </w:p>
        </w:tc>
      </w:tr>
      <w:tr w:rsidR="00F65113" w:rsidRPr="001F6AFE" w14:paraId="1C07A06E" w14:textId="77777777" w:rsidTr="00C21DB1">
        <w:trPr>
          <w:trHeight w:val="20"/>
        </w:trPr>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14:paraId="628A1687" w14:textId="77777777" w:rsidR="00F65113" w:rsidRPr="001F6AFE" w:rsidRDefault="00F65113">
            <w:pPr>
              <w:rPr>
                <w:rFonts w:ascii="Arial Narrow" w:eastAsia="Aptos" w:hAnsi="Arial Narrow" w:cs="Calibri"/>
                <w:b/>
                <w:sz w:val="20"/>
                <w:szCs w:val="20"/>
                <w:lang w:eastAsia="en-US"/>
                <w14:ligatures w14:val="standardContextual"/>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8F2191" w14:textId="12E9A552" w:rsidR="00F65113" w:rsidRPr="001F6AFE" w:rsidRDefault="00F65113">
            <w:pPr>
              <w:keepLines/>
              <w:rPr>
                <w:rFonts w:ascii="Arial Narrow" w:eastAsia="Aptos" w:hAnsi="Arial Narrow" w:cs="Calibri"/>
                <w:b/>
                <w:sz w:val="20"/>
                <w:szCs w:val="20"/>
              </w:rPr>
            </w:pPr>
            <w:r w:rsidRPr="001F6AFE">
              <w:rPr>
                <w:rFonts w:ascii="Arial Narrow" w:eastAsia="Aptos" w:hAnsi="Arial Narrow" w:cs="Calibri"/>
                <w:b/>
                <w:sz w:val="20"/>
                <w:szCs w:val="20"/>
              </w:rPr>
              <w:t xml:space="preserve">Prescriber type:  </w:t>
            </w:r>
            <w:r w:rsidRPr="001F6AFE">
              <w:rPr>
                <w:rFonts w:ascii="Arial Narrow" w:eastAsia="Aptos" w:hAnsi="Arial Narrow" w:cs="Calibri"/>
                <w:sz w:val="20"/>
                <w:szCs w:val="20"/>
              </w:rPr>
              <w:fldChar w:fldCharType="begin">
                <w:ffData>
                  <w:name w:val=""/>
                  <w:enabled/>
                  <w:calcOnExit w:val="0"/>
                  <w:checkBox>
                    <w:sizeAuto/>
                    <w:default w:val="1"/>
                  </w:checkBox>
                </w:ffData>
              </w:fldChar>
            </w:r>
            <w:r w:rsidRPr="001F6AFE">
              <w:rPr>
                <w:rFonts w:ascii="Arial Narrow" w:eastAsia="Aptos" w:hAnsi="Arial Narrow" w:cs="Calibri"/>
                <w:sz w:val="20"/>
                <w:szCs w:val="20"/>
              </w:rPr>
              <w:instrText xml:space="preserve"> FORMCHECKBOX </w:instrText>
            </w:r>
            <w:r w:rsidRPr="001F6AFE">
              <w:rPr>
                <w:rFonts w:ascii="Arial Narrow" w:eastAsia="Aptos" w:hAnsi="Arial Narrow" w:cs="Calibri"/>
                <w:sz w:val="20"/>
                <w:szCs w:val="20"/>
              </w:rPr>
            </w:r>
            <w:r w:rsidRPr="001F6AFE">
              <w:rPr>
                <w:rFonts w:ascii="Arial Narrow" w:eastAsia="Aptos" w:hAnsi="Arial Narrow" w:cs="Calibri"/>
                <w:sz w:val="20"/>
                <w:szCs w:val="20"/>
              </w:rPr>
              <w:fldChar w:fldCharType="separate"/>
            </w:r>
            <w:r w:rsidRPr="001F6AFE">
              <w:rPr>
                <w:rFonts w:ascii="Arial Narrow" w:eastAsia="Aptos" w:hAnsi="Arial Narrow" w:cs="Calibri"/>
                <w:sz w:val="20"/>
                <w:szCs w:val="20"/>
              </w:rPr>
              <w:fldChar w:fldCharType="end"/>
            </w:r>
            <w:r w:rsidRPr="001F6AFE">
              <w:rPr>
                <w:rFonts w:ascii="Arial Narrow" w:eastAsia="Aptos" w:hAnsi="Arial Narrow" w:cs="Calibri"/>
                <w:sz w:val="20"/>
                <w:szCs w:val="20"/>
              </w:rPr>
              <w:t xml:space="preserve"> Medical Practitioners </w:t>
            </w:r>
          </w:p>
        </w:tc>
      </w:tr>
      <w:tr w:rsidR="00F65113" w:rsidRPr="001F6AFE" w14:paraId="7C208B87" w14:textId="77777777" w:rsidTr="00C21DB1">
        <w:trPr>
          <w:trHeight w:val="20"/>
        </w:trPr>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14:paraId="6BA24CE3" w14:textId="77777777" w:rsidR="00F65113" w:rsidRPr="001F6AFE" w:rsidRDefault="00F65113">
            <w:pPr>
              <w:rPr>
                <w:rFonts w:ascii="Arial Narrow" w:eastAsia="Aptos" w:hAnsi="Arial Narrow" w:cs="Calibri"/>
                <w:b/>
                <w:sz w:val="20"/>
                <w:szCs w:val="20"/>
                <w:lang w:eastAsia="en-US"/>
                <w14:ligatures w14:val="standardContextual"/>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6C91C2" w14:textId="6BE15507" w:rsidR="00F65113" w:rsidRPr="001F6AFE" w:rsidRDefault="00F65113">
            <w:pPr>
              <w:keepLines/>
              <w:rPr>
                <w:rFonts w:ascii="Arial Narrow" w:eastAsia="Calibri" w:hAnsi="Arial Narrow" w:cs="Calibri"/>
                <w:sz w:val="20"/>
                <w:szCs w:val="20"/>
              </w:rPr>
            </w:pPr>
            <w:r w:rsidRPr="001F6AFE">
              <w:rPr>
                <w:rFonts w:ascii="Arial Narrow" w:eastAsia="Aptos" w:hAnsi="Arial Narrow" w:cs="Calibri"/>
                <w:b/>
                <w:sz w:val="20"/>
                <w:szCs w:val="20"/>
              </w:rPr>
              <w:t xml:space="preserve">Restriction type: </w:t>
            </w:r>
            <w:r w:rsidRPr="001F6AFE">
              <w:rPr>
                <w:rFonts w:ascii="Arial Narrow" w:eastAsia="Calibri" w:hAnsi="Arial Narrow"/>
                <w:sz w:val="20"/>
                <w:szCs w:val="20"/>
              </w:rPr>
              <w:fldChar w:fldCharType="begin">
                <w:ffData>
                  <w:name w:val=""/>
                  <w:enabled/>
                  <w:calcOnExit w:val="0"/>
                  <w:checkBox>
                    <w:sizeAuto/>
                    <w:default w:val="1"/>
                  </w:checkBox>
                </w:ffData>
              </w:fldChar>
            </w:r>
            <w:r w:rsidRPr="001F6AFE">
              <w:rPr>
                <w:rFonts w:ascii="Arial Narrow" w:eastAsia="Calibri" w:hAnsi="Arial Narrow"/>
                <w:sz w:val="20"/>
                <w:szCs w:val="20"/>
              </w:rPr>
              <w:instrText xml:space="preserve"> FORMCHECKBOX </w:instrText>
            </w:r>
            <w:r w:rsidRPr="001F6AFE">
              <w:rPr>
                <w:rFonts w:ascii="Arial Narrow" w:eastAsia="Calibri" w:hAnsi="Arial Narrow"/>
                <w:sz w:val="20"/>
                <w:szCs w:val="20"/>
              </w:rPr>
            </w:r>
            <w:r w:rsidRPr="001F6AFE">
              <w:rPr>
                <w:rFonts w:ascii="Arial Narrow" w:eastAsia="Calibri" w:hAnsi="Arial Narrow"/>
                <w:sz w:val="20"/>
                <w:szCs w:val="20"/>
              </w:rPr>
              <w:fldChar w:fldCharType="separate"/>
            </w:r>
            <w:r w:rsidRPr="001F6AFE">
              <w:rPr>
                <w:rFonts w:ascii="Arial Narrow" w:eastAsia="Calibri" w:hAnsi="Arial Narrow"/>
                <w:sz w:val="20"/>
                <w:szCs w:val="20"/>
              </w:rPr>
              <w:fldChar w:fldCharType="end"/>
            </w:r>
            <w:r w:rsidRPr="001F6AFE">
              <w:rPr>
                <w:rFonts w:ascii="Arial Narrow" w:eastAsia="Calibri" w:hAnsi="Arial Narrow"/>
                <w:sz w:val="20"/>
                <w:szCs w:val="20"/>
              </w:rPr>
              <w:t xml:space="preserve"> Authority Required (immediate assessment) – telephone/electronic via Online PBS Authorities</w:t>
            </w:r>
          </w:p>
        </w:tc>
      </w:tr>
      <w:tr w:rsidR="00F65113" w:rsidRPr="001F6AFE" w14:paraId="183318B7" w14:textId="77777777" w:rsidTr="00C21DB1">
        <w:trPr>
          <w:trHeight w:val="20"/>
        </w:trPr>
        <w:tc>
          <w:tcPr>
            <w:tcW w:w="274" w:type="pct"/>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0795A1E6" w14:textId="77777777" w:rsidR="00F65113" w:rsidRPr="001F6AFE" w:rsidRDefault="00F65113">
            <w:pPr>
              <w:jc w:val="center"/>
              <w:rPr>
                <w:rFonts w:ascii="Arial Narrow" w:eastAsia="Aptos" w:hAnsi="Arial Narrow" w:cs="Calibri"/>
                <w:sz w:val="20"/>
                <w:szCs w:val="20"/>
              </w:rPr>
            </w:pPr>
            <w:r w:rsidRPr="001F6AFE">
              <w:rPr>
                <w:rFonts w:ascii="Arial Narrow" w:eastAsia="Aptos" w:hAnsi="Arial Narrow" w:cs="Calibri"/>
                <w:sz w:val="20"/>
                <w:szCs w:val="20"/>
              </w:rPr>
              <w:t>Prescribing rule level</w:t>
            </w:r>
          </w:p>
        </w:tc>
        <w:tc>
          <w:tcPr>
            <w:tcW w:w="43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709EBE" w14:textId="7C85A71A" w:rsidR="00F65113" w:rsidRPr="001F6AFE" w:rsidRDefault="00F65113">
            <w:pPr>
              <w:jc w:val="center"/>
              <w:rPr>
                <w:rFonts w:ascii="Arial Narrow" w:eastAsia="Aptos" w:hAnsi="Arial Narrow" w:cs="Calibri"/>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869C9E" w14:textId="77777777" w:rsidR="00F65113" w:rsidRPr="001F6AFE" w:rsidRDefault="00F65113">
            <w:pPr>
              <w:rPr>
                <w:rFonts w:ascii="Arial Narrow" w:eastAsia="Aptos" w:hAnsi="Arial Narrow" w:cs="Calibri"/>
                <w:sz w:val="20"/>
                <w:szCs w:val="20"/>
              </w:rPr>
            </w:pPr>
            <w:r w:rsidRPr="001F6AFE">
              <w:rPr>
                <w:rFonts w:ascii="Arial Narrow" w:eastAsia="Aptos" w:hAnsi="Arial Narrow" w:cs="Calibri"/>
                <w:b/>
                <w:bCs/>
                <w:sz w:val="20"/>
                <w:szCs w:val="20"/>
              </w:rPr>
              <w:t xml:space="preserve">Administrative Advice: </w:t>
            </w:r>
            <w:r w:rsidRPr="001F6AFE">
              <w:rPr>
                <w:rFonts w:ascii="Arial Narrow" w:eastAsia="Aptos" w:hAnsi="Arial Narrow" w:cs="Calibri"/>
                <w:bCs/>
                <w:sz w:val="20"/>
                <w:szCs w:val="20"/>
              </w:rPr>
              <w:t>No increase in the maximum quantity or number of units may be authorised.</w:t>
            </w:r>
          </w:p>
        </w:tc>
      </w:tr>
      <w:tr w:rsidR="00F65113" w:rsidRPr="001F6AFE" w14:paraId="0F77BDC0" w14:textId="77777777" w:rsidTr="00C21DB1">
        <w:trPr>
          <w:trHeight w:val="20"/>
        </w:trPr>
        <w:tc>
          <w:tcPr>
            <w:tcW w:w="274" w:type="pct"/>
            <w:vMerge/>
            <w:tcBorders>
              <w:top w:val="single" w:sz="4" w:space="0" w:color="auto"/>
              <w:left w:val="single" w:sz="4" w:space="0" w:color="auto"/>
              <w:bottom w:val="single" w:sz="4" w:space="0" w:color="auto"/>
              <w:right w:val="single" w:sz="4" w:space="0" w:color="auto"/>
            </w:tcBorders>
            <w:vAlign w:val="center"/>
            <w:hideMark/>
          </w:tcPr>
          <w:p w14:paraId="7B47EA9C" w14:textId="77777777" w:rsidR="00F65113" w:rsidRPr="001F6AFE" w:rsidRDefault="00F65113">
            <w:pPr>
              <w:rPr>
                <w:rFonts w:ascii="Arial Narrow" w:eastAsia="Aptos" w:hAnsi="Arial Narrow" w:cs="Calibri"/>
                <w:sz w:val="20"/>
                <w:szCs w:val="20"/>
                <w:lang w:eastAsia="en-US"/>
                <w14:ligatures w14:val="standardContextual"/>
              </w:rPr>
            </w:pPr>
          </w:p>
        </w:tc>
        <w:tc>
          <w:tcPr>
            <w:tcW w:w="43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00637A" w14:textId="2E688243" w:rsidR="00F65113" w:rsidRPr="001F6AFE" w:rsidRDefault="00F65113">
            <w:pPr>
              <w:jc w:val="center"/>
              <w:rPr>
                <w:rFonts w:ascii="Arial Narrow" w:eastAsia="Aptos" w:hAnsi="Arial Narrow" w:cs="Calibri"/>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F4FC16" w14:textId="77777777" w:rsidR="00F65113" w:rsidRPr="001F6AFE" w:rsidRDefault="00F65113">
            <w:pPr>
              <w:rPr>
                <w:rFonts w:ascii="Arial Narrow" w:eastAsia="Aptos" w:hAnsi="Arial Narrow" w:cs="Calibri"/>
                <w:b/>
                <w:bCs/>
                <w:sz w:val="20"/>
                <w:szCs w:val="20"/>
              </w:rPr>
            </w:pPr>
            <w:r w:rsidRPr="001F6AFE">
              <w:rPr>
                <w:rFonts w:ascii="Arial Narrow" w:eastAsia="Aptos" w:hAnsi="Arial Narrow" w:cs="Calibri"/>
                <w:b/>
                <w:bCs/>
                <w:sz w:val="20"/>
                <w:szCs w:val="20"/>
              </w:rPr>
              <w:t xml:space="preserve">Administrative Advice: </w:t>
            </w:r>
            <w:r w:rsidRPr="001F6AFE">
              <w:rPr>
                <w:rFonts w:ascii="Arial Narrow" w:eastAsia="Aptos" w:hAnsi="Arial Narrow" w:cs="Calibri"/>
                <w:bCs/>
                <w:sz w:val="20"/>
                <w:szCs w:val="20"/>
              </w:rPr>
              <w:t>No increase in the maximum number of repeats may be authorised.</w:t>
            </w:r>
          </w:p>
        </w:tc>
      </w:tr>
      <w:tr w:rsidR="00F65113" w:rsidRPr="001F6AFE" w14:paraId="249EF444" w14:textId="77777777" w:rsidTr="00C21DB1">
        <w:trPr>
          <w:trHeight w:val="20"/>
        </w:trPr>
        <w:tc>
          <w:tcPr>
            <w:tcW w:w="274" w:type="pct"/>
            <w:vMerge/>
            <w:tcBorders>
              <w:top w:val="single" w:sz="4" w:space="0" w:color="auto"/>
              <w:left w:val="single" w:sz="4" w:space="0" w:color="auto"/>
              <w:bottom w:val="single" w:sz="4" w:space="0" w:color="auto"/>
              <w:right w:val="single" w:sz="4" w:space="0" w:color="auto"/>
            </w:tcBorders>
            <w:vAlign w:val="center"/>
            <w:hideMark/>
          </w:tcPr>
          <w:p w14:paraId="7FB7157C" w14:textId="77777777" w:rsidR="00F65113" w:rsidRPr="001F6AFE" w:rsidRDefault="00F65113">
            <w:pPr>
              <w:rPr>
                <w:rFonts w:ascii="Arial Narrow" w:eastAsia="Aptos" w:hAnsi="Arial Narrow" w:cs="Calibri"/>
                <w:sz w:val="20"/>
                <w:szCs w:val="20"/>
                <w:lang w:eastAsia="en-US"/>
                <w14:ligatures w14:val="standardContextual"/>
              </w:rPr>
            </w:pPr>
          </w:p>
        </w:tc>
        <w:tc>
          <w:tcPr>
            <w:tcW w:w="43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C032BB" w14:textId="7A5A1AE1" w:rsidR="00F65113" w:rsidRPr="001F6AFE" w:rsidRDefault="00F65113">
            <w:pPr>
              <w:jc w:val="center"/>
              <w:rPr>
                <w:rFonts w:ascii="Arial Narrow" w:eastAsia="Aptos" w:hAnsi="Arial Narrow" w:cs="Calibri"/>
                <w:bCs/>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66ED00" w14:textId="77777777" w:rsidR="00F65113" w:rsidRPr="001F6AFE" w:rsidRDefault="00F65113">
            <w:pPr>
              <w:rPr>
                <w:rFonts w:ascii="Arial Narrow" w:eastAsia="Aptos" w:hAnsi="Arial Narrow" w:cs="Calibri"/>
                <w:b/>
                <w:bCs/>
                <w:sz w:val="20"/>
                <w:szCs w:val="20"/>
              </w:rPr>
            </w:pPr>
            <w:r w:rsidRPr="001F6AFE">
              <w:rPr>
                <w:rFonts w:ascii="Arial Narrow" w:hAnsi="Arial Narrow"/>
                <w:b/>
                <w:bCs/>
                <w:sz w:val="20"/>
                <w:szCs w:val="20"/>
              </w:rPr>
              <w:t xml:space="preserve">Administrative Advice: </w:t>
            </w:r>
            <w:r w:rsidRPr="001F6AFE">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F65113" w:rsidRPr="001F6AFE" w14:paraId="34DEE5A7" w14:textId="77777777" w:rsidTr="00C21DB1">
        <w:trPr>
          <w:cantSplit/>
          <w:trHeight w:val="129"/>
        </w:trPr>
        <w:tc>
          <w:tcPr>
            <w:tcW w:w="710" w:type="pct"/>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0D9153" w14:textId="77777777" w:rsidR="00F65113" w:rsidRPr="001F6AFE" w:rsidRDefault="00F65113">
            <w:pPr>
              <w:keepLines/>
              <w:jc w:val="center"/>
              <w:rPr>
                <w:rFonts w:ascii="Arial Narrow" w:eastAsia="Aptos" w:hAnsi="Arial Narrow" w:cs="Calibri"/>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8CCE9C" w14:textId="77777777" w:rsidR="00F65113" w:rsidRPr="001F6AFE" w:rsidRDefault="00F65113">
            <w:pPr>
              <w:keepLines/>
              <w:rPr>
                <w:rFonts w:ascii="Arial Narrow" w:eastAsia="Aptos" w:hAnsi="Arial Narrow" w:cs="Calibri"/>
                <w:bCs/>
                <w:sz w:val="20"/>
                <w:szCs w:val="20"/>
              </w:rPr>
            </w:pPr>
            <w:r w:rsidRPr="001F6AFE">
              <w:rPr>
                <w:rFonts w:ascii="Arial Narrow" w:eastAsia="Aptos" w:hAnsi="Arial Narrow" w:cs="Calibri"/>
                <w:b/>
                <w:bCs/>
                <w:sz w:val="20"/>
                <w:szCs w:val="20"/>
              </w:rPr>
              <w:t xml:space="preserve">Episodicity: </w:t>
            </w:r>
            <w:r w:rsidRPr="001F6AFE">
              <w:rPr>
                <w:rFonts w:ascii="Arial Narrow" w:eastAsia="Aptos" w:hAnsi="Arial Narrow" w:cs="Calibri"/>
                <w:bCs/>
                <w:sz w:val="20"/>
                <w:szCs w:val="20"/>
              </w:rPr>
              <w:t>Chronic</w:t>
            </w:r>
          </w:p>
        </w:tc>
      </w:tr>
      <w:tr w:rsidR="00F65113" w:rsidRPr="001F6AFE" w14:paraId="20AAB810" w14:textId="77777777" w:rsidTr="00C21DB1">
        <w:trPr>
          <w:cantSplit/>
          <w:trHeight w:val="20"/>
        </w:trPr>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14:paraId="661D18BC" w14:textId="77777777" w:rsidR="00F65113" w:rsidRPr="001F6AFE" w:rsidRDefault="00F65113">
            <w:pPr>
              <w:rPr>
                <w:rFonts w:ascii="Arial Narrow" w:eastAsia="Aptos" w:hAnsi="Arial Narrow" w:cs="Calibri"/>
                <w:sz w:val="20"/>
                <w:szCs w:val="20"/>
                <w:lang w:eastAsia="en-US"/>
                <w14:ligatures w14:val="standardContextual"/>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4AC66B" w14:textId="77777777" w:rsidR="00F65113" w:rsidRPr="001F6AFE" w:rsidRDefault="00F65113">
            <w:pPr>
              <w:keepLines/>
              <w:rPr>
                <w:rFonts w:ascii="Arial Narrow" w:eastAsia="Aptos" w:hAnsi="Arial Narrow" w:cs="Calibri"/>
                <w:b/>
                <w:bCs/>
                <w:sz w:val="20"/>
                <w:szCs w:val="20"/>
              </w:rPr>
            </w:pPr>
            <w:r w:rsidRPr="001F6AFE">
              <w:rPr>
                <w:rFonts w:ascii="Arial Narrow" w:eastAsia="Aptos" w:hAnsi="Arial Narrow" w:cs="Calibri"/>
                <w:b/>
                <w:bCs/>
                <w:sz w:val="20"/>
                <w:szCs w:val="20"/>
              </w:rPr>
              <w:t xml:space="preserve">Severity: </w:t>
            </w:r>
            <w:r w:rsidRPr="001F6AFE">
              <w:rPr>
                <w:rFonts w:ascii="Arial Narrow" w:eastAsia="Aptos" w:hAnsi="Arial Narrow" w:cs="Calibri"/>
                <w:bCs/>
                <w:sz w:val="20"/>
                <w:szCs w:val="20"/>
              </w:rPr>
              <w:t>moderate to severe</w:t>
            </w:r>
          </w:p>
        </w:tc>
      </w:tr>
      <w:tr w:rsidR="00F65113" w:rsidRPr="001F6AFE" w14:paraId="3D806C72" w14:textId="77777777" w:rsidTr="00C21DB1">
        <w:trPr>
          <w:cantSplit/>
          <w:trHeight w:val="20"/>
        </w:trPr>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14:paraId="5063F256" w14:textId="77777777" w:rsidR="00F65113" w:rsidRPr="001F6AFE" w:rsidRDefault="00F65113">
            <w:pPr>
              <w:rPr>
                <w:rFonts w:ascii="Arial Narrow" w:eastAsia="Aptos" w:hAnsi="Arial Narrow" w:cs="Calibri"/>
                <w:sz w:val="20"/>
                <w:szCs w:val="20"/>
                <w:lang w:eastAsia="en-US"/>
                <w14:ligatures w14:val="standardContextual"/>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54B3BF" w14:textId="77777777" w:rsidR="00F65113" w:rsidRPr="001F6AFE" w:rsidRDefault="00F65113">
            <w:pPr>
              <w:keepLines/>
              <w:rPr>
                <w:rFonts w:ascii="Arial Narrow" w:eastAsia="Aptos" w:hAnsi="Arial Narrow" w:cs="Calibri"/>
                <w:b/>
                <w:bCs/>
                <w:sz w:val="20"/>
                <w:szCs w:val="20"/>
              </w:rPr>
            </w:pPr>
            <w:r w:rsidRPr="001F6AFE">
              <w:rPr>
                <w:rFonts w:ascii="Arial Narrow" w:eastAsia="Aptos" w:hAnsi="Arial Narrow" w:cs="Calibri"/>
                <w:b/>
                <w:bCs/>
                <w:sz w:val="20"/>
                <w:szCs w:val="20"/>
              </w:rPr>
              <w:t xml:space="preserve">Condition: </w:t>
            </w:r>
            <w:r w:rsidRPr="001F6AFE">
              <w:rPr>
                <w:rFonts w:ascii="Arial Narrow" w:eastAsia="Aptos" w:hAnsi="Arial Narrow" w:cs="Calibri"/>
                <w:sz w:val="20"/>
                <w:szCs w:val="20"/>
              </w:rPr>
              <w:t>Chronic hand eczema</w:t>
            </w:r>
          </w:p>
        </w:tc>
      </w:tr>
      <w:tr w:rsidR="00F65113" w:rsidRPr="001F6AFE" w14:paraId="6EF85734"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CD24E3" w14:textId="6DC62212" w:rsidR="00F65113" w:rsidRPr="001F6AFE" w:rsidRDefault="00F65113">
            <w:pPr>
              <w:keepLines/>
              <w:jc w:val="center"/>
              <w:rPr>
                <w:rFonts w:ascii="Arial Narrow" w:eastAsia="Aptos" w:hAnsi="Arial Narrow" w:cs="Calibri"/>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0CD948" w14:textId="77777777" w:rsidR="00F65113" w:rsidRPr="001F6AFE" w:rsidRDefault="00F65113">
            <w:pPr>
              <w:keepLines/>
              <w:rPr>
                <w:rFonts w:ascii="Arial Narrow" w:eastAsia="Aptos" w:hAnsi="Arial Narrow" w:cs="Calibri"/>
                <w:sz w:val="20"/>
                <w:szCs w:val="20"/>
              </w:rPr>
            </w:pPr>
            <w:r w:rsidRPr="001F6AFE">
              <w:rPr>
                <w:rFonts w:ascii="Arial Narrow" w:eastAsia="Aptos" w:hAnsi="Arial Narrow" w:cs="Calibri"/>
                <w:b/>
                <w:bCs/>
                <w:sz w:val="20"/>
                <w:szCs w:val="20"/>
              </w:rPr>
              <w:t>Indication:</w:t>
            </w:r>
            <w:r w:rsidRPr="001F6AFE">
              <w:rPr>
                <w:rFonts w:ascii="Arial Narrow" w:eastAsia="Aptos" w:hAnsi="Arial Narrow" w:cs="Calibri"/>
                <w:sz w:val="20"/>
                <w:szCs w:val="20"/>
              </w:rPr>
              <w:t xml:space="preserve"> moderate to severe chronic hand eczema (CHE) </w:t>
            </w:r>
          </w:p>
        </w:tc>
      </w:tr>
      <w:tr w:rsidR="00F65113" w:rsidRPr="001F6AFE" w14:paraId="3CC1414F"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83651A3" w14:textId="77777777" w:rsidR="00F65113" w:rsidRPr="001F6AFE" w:rsidRDefault="00F65113">
            <w:pPr>
              <w:keepLines/>
              <w:jc w:val="center"/>
              <w:rPr>
                <w:rFonts w:ascii="Arial Narrow" w:hAnsi="Arial Narrow"/>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E6BBD8" w14:textId="77777777" w:rsidR="00F65113" w:rsidRPr="001F6AFE" w:rsidRDefault="00F65113">
            <w:pPr>
              <w:keepLines/>
              <w:rPr>
                <w:rFonts w:ascii="Arial Narrow" w:hAnsi="Arial Narrow"/>
                <w:b/>
                <w:bCs/>
                <w:sz w:val="20"/>
                <w:szCs w:val="20"/>
              </w:rPr>
            </w:pPr>
            <w:r w:rsidRPr="001F6AFE">
              <w:rPr>
                <w:rFonts w:ascii="Arial Narrow" w:hAnsi="Arial Narrow"/>
                <w:b/>
                <w:bCs/>
                <w:sz w:val="20"/>
                <w:szCs w:val="20"/>
              </w:rPr>
              <w:t xml:space="preserve">Treatment phase: </w:t>
            </w:r>
            <w:r w:rsidRPr="001F6AFE">
              <w:rPr>
                <w:rFonts w:ascii="Arial Narrow" w:hAnsi="Arial Narrow"/>
                <w:sz w:val="20"/>
                <w:szCs w:val="20"/>
              </w:rPr>
              <w:t xml:space="preserve">Additional 12 weeks in a treatment course </w:t>
            </w:r>
          </w:p>
        </w:tc>
      </w:tr>
      <w:tr w:rsidR="00F65113" w:rsidRPr="001F6AFE" w14:paraId="7F366E80"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CF3467E" w14:textId="77777777" w:rsidR="00F65113" w:rsidRPr="001F6AFE" w:rsidRDefault="00F65113">
            <w:pPr>
              <w:keepLines/>
              <w:jc w:val="center"/>
              <w:rPr>
                <w:rFonts w:ascii="Arial Narrow" w:eastAsia="Aptos" w:hAnsi="Arial Narrow" w:cs="Calibri"/>
                <w:sz w:val="20"/>
                <w:szCs w:val="20"/>
                <w:lang w:eastAsia="en-US"/>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E444F5" w14:textId="77777777" w:rsidR="00F65113" w:rsidRPr="001F6AFE" w:rsidRDefault="00F65113">
            <w:pPr>
              <w:keepLines/>
              <w:rPr>
                <w:rFonts w:ascii="Arial Narrow" w:eastAsia="Aptos" w:hAnsi="Arial Narrow" w:cs="Calibri"/>
                <w:b/>
                <w:bCs/>
                <w:sz w:val="20"/>
                <w:szCs w:val="20"/>
              </w:rPr>
            </w:pPr>
            <w:r w:rsidRPr="001F6AFE">
              <w:rPr>
                <w:rFonts w:ascii="Arial Narrow" w:hAnsi="Arial Narrow"/>
                <w:b/>
                <w:bCs/>
                <w:sz w:val="20"/>
                <w:szCs w:val="20"/>
              </w:rPr>
              <w:t xml:space="preserve">Clinical criteria: </w:t>
            </w:r>
          </w:p>
        </w:tc>
      </w:tr>
      <w:tr w:rsidR="00F65113" w:rsidRPr="001F6AFE" w14:paraId="2E14CE52"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63A1C4F" w14:textId="77777777" w:rsidR="00F65113" w:rsidRPr="001F6AFE" w:rsidRDefault="00F65113">
            <w:pPr>
              <w:jc w:val="center"/>
              <w:rPr>
                <w:rFonts w:ascii="Arial Narrow" w:eastAsia="Aptos" w:hAnsi="Arial Narrow" w:cs="Calibri"/>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5CED9F" w14:textId="77777777" w:rsidR="00F65113" w:rsidRPr="001F6AFE" w:rsidRDefault="00F65113">
            <w:pPr>
              <w:rPr>
                <w:rFonts w:ascii="Arial Narrow" w:eastAsia="Aptos" w:hAnsi="Arial Narrow" w:cs="Calibri"/>
                <w:b/>
                <w:bCs/>
                <w:sz w:val="20"/>
                <w:szCs w:val="20"/>
              </w:rPr>
            </w:pPr>
            <w:r w:rsidRPr="001F6AFE">
              <w:rPr>
                <w:rFonts w:ascii="Arial Narrow" w:eastAsia="MS Gothic" w:hAnsi="Arial Narrow"/>
                <w:sz w:val="20"/>
                <w:szCs w:val="20"/>
                <w:lang w:bidi="en-US"/>
              </w:rPr>
              <w:t xml:space="preserve">Patient must be both of: (i) received the </w:t>
            </w:r>
            <w:r w:rsidRPr="001F6AFE">
              <w:rPr>
                <w:rFonts w:ascii="Arial Narrow" w:hAnsi="Arial Narrow"/>
                <w:sz w:val="20"/>
                <w:szCs w:val="20"/>
              </w:rPr>
              <w:t xml:space="preserve">Initial PBS-subsidised 12-week treatment course with this drug (ii) </w:t>
            </w:r>
            <w:r w:rsidRPr="001F6AFE">
              <w:rPr>
                <w:rFonts w:ascii="Arial Narrow" w:eastAsia="MS Gothic" w:hAnsi="Arial Narrow"/>
                <w:sz w:val="20"/>
                <w:szCs w:val="20"/>
                <w:lang w:bidi="en-US"/>
              </w:rPr>
              <w:t>have demonstrated a partial/low response to delgocitinib</w:t>
            </w:r>
          </w:p>
        </w:tc>
      </w:tr>
      <w:tr w:rsidR="00F65113" w:rsidRPr="001F6AFE" w14:paraId="65DB92AE"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F3BE64B" w14:textId="651601F3" w:rsidR="00F65113" w:rsidRPr="001F6AFE" w:rsidRDefault="00F65113">
            <w:pPr>
              <w:jc w:val="center"/>
              <w:rPr>
                <w:rFonts w:ascii="Arial Narrow" w:eastAsia="Aptos" w:hAnsi="Arial Narrow" w:cs="Calibri"/>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FEC886" w14:textId="77777777" w:rsidR="00F65113" w:rsidRPr="001F6AFE" w:rsidRDefault="00F65113">
            <w:pPr>
              <w:rPr>
                <w:rFonts w:ascii="Arial Narrow" w:eastAsia="MS Gothic" w:hAnsi="Arial Narrow"/>
                <w:b/>
                <w:bCs/>
                <w:sz w:val="20"/>
                <w:szCs w:val="20"/>
                <w:lang w:bidi="en-US"/>
              </w:rPr>
            </w:pPr>
            <w:r w:rsidRPr="001F6AFE">
              <w:rPr>
                <w:rFonts w:ascii="Arial Narrow" w:eastAsia="MS Gothic" w:hAnsi="Arial Narrow"/>
                <w:b/>
                <w:bCs/>
                <w:sz w:val="20"/>
                <w:szCs w:val="20"/>
                <w:lang w:bidi="en-US"/>
              </w:rPr>
              <w:t>Prescribing Instructions:</w:t>
            </w:r>
          </w:p>
          <w:p w14:paraId="345FB17E" w14:textId="77777777" w:rsidR="00F65113" w:rsidRPr="001F6AFE" w:rsidRDefault="00F65113">
            <w:pPr>
              <w:rPr>
                <w:rFonts w:ascii="Arial Narrow" w:eastAsia="Aptos" w:hAnsi="Arial Narrow" w:cs="Calibri"/>
                <w:sz w:val="20"/>
                <w:szCs w:val="20"/>
                <w:lang w:eastAsia="en-US"/>
              </w:rPr>
            </w:pPr>
            <w:r w:rsidRPr="001F6AFE">
              <w:rPr>
                <w:rFonts w:ascii="Arial Narrow" w:eastAsia="Aptos" w:hAnsi="Arial Narrow" w:cs="Calibri"/>
                <w:sz w:val="20"/>
                <w:szCs w:val="20"/>
              </w:rPr>
              <w:t>The IGA-CHE scores are defined as:</w:t>
            </w:r>
          </w:p>
          <w:p w14:paraId="56290F6E" w14:textId="77777777" w:rsidR="00F65113" w:rsidRPr="001F6AFE" w:rsidRDefault="00F65113">
            <w:pPr>
              <w:rPr>
                <w:rFonts w:ascii="Arial Narrow" w:eastAsiaTheme="minorHAnsi" w:hAnsi="Arial Narrow" w:cs="Times New Roman"/>
                <w:kern w:val="2"/>
                <w:sz w:val="20"/>
                <w:szCs w:val="20"/>
              </w:rPr>
            </w:pPr>
            <w:r w:rsidRPr="001F6AFE">
              <w:rPr>
                <w:rFonts w:ascii="Arial Narrow" w:eastAsia="MS Gothic" w:hAnsi="Arial Narrow"/>
                <w:sz w:val="20"/>
                <w:szCs w:val="20"/>
                <w:lang w:bidi="en-US"/>
              </w:rPr>
              <w:t xml:space="preserve">(i) Full response </w:t>
            </w:r>
            <w:r w:rsidRPr="001F6AFE">
              <w:rPr>
                <w:rFonts w:ascii="Arial Narrow" w:hAnsi="Arial Narrow"/>
                <w:sz w:val="20"/>
                <w:szCs w:val="20"/>
              </w:rPr>
              <w:t>– IGA-CHE 0 (Clear) or 1 (Almost clear)</w:t>
            </w:r>
          </w:p>
          <w:p w14:paraId="0041D4F1" w14:textId="77777777" w:rsidR="00F65113" w:rsidRPr="003778BC" w:rsidRDefault="00F65113">
            <w:pPr>
              <w:rPr>
                <w:rFonts w:ascii="Arial Narrow" w:hAnsi="Arial Narrow"/>
                <w:sz w:val="20"/>
                <w:szCs w:val="20"/>
                <w:lang w:val="it-IT"/>
              </w:rPr>
            </w:pPr>
            <w:r w:rsidRPr="003778BC">
              <w:rPr>
                <w:rFonts w:ascii="Arial Narrow" w:eastAsia="MS Gothic" w:hAnsi="Arial Narrow"/>
                <w:sz w:val="20"/>
                <w:szCs w:val="20"/>
                <w:lang w:val="it-IT" w:bidi="en-US"/>
              </w:rPr>
              <w:t xml:space="preserve">(ii) Partial response – IGA-CHE </w:t>
            </w:r>
            <w:r w:rsidRPr="003778BC">
              <w:rPr>
                <w:rFonts w:ascii="Arial Narrow" w:hAnsi="Arial Narrow"/>
                <w:sz w:val="20"/>
                <w:szCs w:val="20"/>
                <w:lang w:val="it-IT"/>
              </w:rPr>
              <w:t>2 (Mild)</w:t>
            </w:r>
          </w:p>
          <w:p w14:paraId="7892DD31" w14:textId="77777777" w:rsidR="00F65113" w:rsidRPr="001F6AFE" w:rsidRDefault="00F65113">
            <w:pPr>
              <w:rPr>
                <w:rFonts w:ascii="Arial Narrow" w:eastAsia="MS Gothic" w:hAnsi="Arial Narrow"/>
                <w:sz w:val="20"/>
                <w:szCs w:val="20"/>
                <w:lang w:bidi="en-US"/>
              </w:rPr>
            </w:pPr>
            <w:r w:rsidRPr="001F6AFE">
              <w:rPr>
                <w:rFonts w:ascii="Arial Narrow" w:hAnsi="Arial Narrow"/>
                <w:sz w:val="20"/>
                <w:szCs w:val="20"/>
              </w:rPr>
              <w:t>(iii) Low response – IGA-CHE 3 with 1-point improvement from baseline (Moderate)</w:t>
            </w:r>
          </w:p>
          <w:p w14:paraId="353C911F" w14:textId="77777777" w:rsidR="00F65113" w:rsidRPr="001F6AFE" w:rsidRDefault="00F65113">
            <w:pPr>
              <w:rPr>
                <w:rFonts w:ascii="Arial Narrow" w:eastAsia="MS Gothic" w:hAnsi="Arial Narrow"/>
                <w:sz w:val="20"/>
                <w:szCs w:val="20"/>
                <w:lang w:bidi="en-US"/>
              </w:rPr>
            </w:pPr>
            <w:r w:rsidRPr="001F6AFE">
              <w:rPr>
                <w:rFonts w:ascii="Arial Narrow" w:eastAsia="MS Gothic" w:hAnsi="Arial Narrow"/>
                <w:sz w:val="20"/>
                <w:szCs w:val="20"/>
                <w:lang w:bidi="en-US"/>
              </w:rPr>
              <w:t xml:space="preserve">(iv) Insufficient response – IGA-CHE </w:t>
            </w:r>
            <w:r w:rsidRPr="001F6AFE">
              <w:rPr>
                <w:rFonts w:ascii="Arial Narrow" w:hAnsi="Arial Narrow"/>
                <w:sz w:val="20"/>
                <w:szCs w:val="20"/>
              </w:rPr>
              <w:t>3 without improvement from baseline, or IGA-CHE 4 (Severe)</w:t>
            </w:r>
          </w:p>
          <w:p w14:paraId="6F981EE9" w14:textId="77777777" w:rsidR="00F65113" w:rsidRPr="001F6AFE" w:rsidRDefault="00F65113">
            <w:pPr>
              <w:rPr>
                <w:rFonts w:ascii="Arial Narrow" w:eastAsia="MS Gothic" w:hAnsi="Arial Narrow"/>
                <w:b/>
                <w:bCs/>
                <w:sz w:val="20"/>
                <w:szCs w:val="20"/>
                <w:lang w:bidi="en-US"/>
              </w:rPr>
            </w:pPr>
          </w:p>
          <w:p w14:paraId="39E6C9E1" w14:textId="4278BEA4" w:rsidR="00F65113" w:rsidRPr="001F6AFE" w:rsidRDefault="00F65113">
            <w:pPr>
              <w:rPr>
                <w:rFonts w:ascii="Arial Narrow" w:eastAsia="Aptos" w:hAnsi="Arial Narrow" w:cs="Calibri"/>
                <w:sz w:val="20"/>
                <w:szCs w:val="20"/>
                <w:lang w:eastAsia="en-US"/>
              </w:rPr>
            </w:pPr>
            <w:r w:rsidRPr="001F6AFE">
              <w:rPr>
                <w:rFonts w:ascii="Arial Narrow" w:eastAsia="MS Gothic" w:hAnsi="Arial Narrow"/>
                <w:sz w:val="20"/>
                <w:szCs w:val="20"/>
                <w:lang w:bidi="en-US"/>
              </w:rPr>
              <w:t>Once a full response is achieved, patients should take a break in delgocitinib treatment and reinitiate only if there is a flare-up of their CHE.</w:t>
            </w:r>
          </w:p>
        </w:tc>
      </w:tr>
      <w:tr w:rsidR="00F65113" w:rsidRPr="001F6AFE" w14:paraId="240D74E3" w14:textId="77777777" w:rsidTr="00C21DB1">
        <w:trPr>
          <w:cantSplit/>
          <w:trHeight w:val="20"/>
        </w:trPr>
        <w:tc>
          <w:tcPr>
            <w:tcW w:w="710"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97042A" w14:textId="1855B965" w:rsidR="00F65113" w:rsidRPr="001F6AFE" w:rsidRDefault="00F65113">
            <w:pPr>
              <w:jc w:val="center"/>
              <w:rPr>
                <w:rFonts w:ascii="Arial Narrow" w:eastAsia="Aptos" w:hAnsi="Arial Narrow" w:cs="Calibri"/>
                <w:sz w:val="20"/>
                <w:szCs w:val="20"/>
              </w:rPr>
            </w:pPr>
          </w:p>
        </w:tc>
        <w:tc>
          <w:tcPr>
            <w:tcW w:w="4290" w:type="pct"/>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8788C3" w14:textId="77777777" w:rsidR="00F65113" w:rsidRPr="001F6AFE" w:rsidRDefault="00F65113">
            <w:pPr>
              <w:rPr>
                <w:rFonts w:ascii="Arial Narrow" w:eastAsia="MS Gothic" w:hAnsi="Arial Narrow"/>
                <w:b/>
                <w:bCs/>
                <w:sz w:val="20"/>
                <w:szCs w:val="20"/>
                <w:lang w:bidi="en-US"/>
              </w:rPr>
            </w:pPr>
            <w:r w:rsidRPr="001F6AFE">
              <w:rPr>
                <w:rFonts w:ascii="Arial Narrow" w:eastAsia="MS Gothic" w:hAnsi="Arial Narrow"/>
                <w:b/>
                <w:bCs/>
                <w:sz w:val="20"/>
                <w:szCs w:val="20"/>
                <w:lang w:bidi="en-US"/>
              </w:rPr>
              <w:t>Prescribing instructions:</w:t>
            </w:r>
          </w:p>
          <w:p w14:paraId="419681F2" w14:textId="77777777" w:rsidR="00F65113" w:rsidRPr="001F6AFE" w:rsidRDefault="00F65113">
            <w:pPr>
              <w:rPr>
                <w:rFonts w:ascii="Arial Narrow" w:eastAsia="MS Gothic" w:hAnsi="Arial Narrow"/>
                <w:sz w:val="20"/>
                <w:szCs w:val="20"/>
                <w:lang w:bidi="en-US"/>
              </w:rPr>
            </w:pPr>
            <w:r w:rsidRPr="001F6AFE">
              <w:rPr>
                <w:rFonts w:ascii="Arial Narrow" w:eastAsia="MS Gothic" w:hAnsi="Arial Narrow"/>
                <w:sz w:val="20"/>
                <w:szCs w:val="20"/>
                <w:lang w:bidi="en-US"/>
              </w:rPr>
              <w:t xml:space="preserve">Treatment should be discontinued, and further treatment options should be considered if a full response is not achieved (IGA-CHE or 0 or 1) after a total of 24 weeks of continuous treatment </w:t>
            </w:r>
          </w:p>
          <w:p w14:paraId="46040A57" w14:textId="77777777" w:rsidR="00F65113" w:rsidRPr="001F6AFE" w:rsidRDefault="00F65113">
            <w:pPr>
              <w:rPr>
                <w:rFonts w:ascii="Arial Narrow" w:eastAsia="Aptos" w:hAnsi="Arial Narrow" w:cs="Calibri"/>
                <w:b/>
                <w:bCs/>
                <w:sz w:val="20"/>
                <w:szCs w:val="20"/>
                <w:lang w:eastAsia="en-US"/>
              </w:rPr>
            </w:pPr>
            <w:r w:rsidRPr="001F6AFE">
              <w:rPr>
                <w:rFonts w:ascii="Arial Narrow" w:eastAsia="MS Gothic" w:hAnsi="Arial Narrow"/>
                <w:sz w:val="20"/>
                <w:szCs w:val="20"/>
                <w:lang w:bidi="en-US"/>
              </w:rPr>
              <w:t>Once a full response is achieved, patients should take a break in delgocitinib treatment and reinitiate only if there is a flare-up of their CHE.</w:t>
            </w:r>
          </w:p>
        </w:tc>
      </w:tr>
    </w:tbl>
    <w:p w14:paraId="3349F4AB" w14:textId="77777777" w:rsidR="00F65113" w:rsidRDefault="00F65113" w:rsidP="00F65113">
      <w:pPr>
        <w:rPr>
          <w:rFonts w:ascii="Arial" w:eastAsiaTheme="minorHAnsi" w:hAnsi="Arial" w:cs="Times New Roman"/>
          <w:kern w:val="2"/>
          <w:sz w:val="20"/>
          <w:lang w:eastAsia="en-US"/>
          <w14:ligatures w14:val="standardContextual"/>
        </w:rPr>
      </w:pPr>
    </w:p>
    <w:p w14:paraId="241D5315" w14:textId="2DC39EC9" w:rsidR="003C122B" w:rsidRPr="003C122B" w:rsidRDefault="003C122B" w:rsidP="00F65113">
      <w:pPr>
        <w:pStyle w:val="3-BodyText"/>
      </w:pPr>
      <w:r w:rsidRPr="003C122B">
        <w:t xml:space="preserve">Flow on </w:t>
      </w:r>
      <w:r w:rsidR="004B6677">
        <w:t xml:space="preserve">changes </w:t>
      </w:r>
      <w:r w:rsidRPr="003C122B">
        <w:t xml:space="preserve">to </w:t>
      </w:r>
      <w:r w:rsidR="004B6677">
        <w:t>d</w:t>
      </w:r>
      <w:r w:rsidRPr="003C122B">
        <w:t>upilumab listings:</w:t>
      </w:r>
    </w:p>
    <w:p w14:paraId="727EA9E0" w14:textId="77777777" w:rsidR="004B6677" w:rsidRDefault="004B6677" w:rsidP="003C122B">
      <w:pPr>
        <w:rPr>
          <w:rFonts w:ascii="Arial Narrow" w:hAnsi="Arial Narrow"/>
          <w:sz w:val="20"/>
          <w:szCs w:val="20"/>
        </w:rPr>
      </w:pPr>
    </w:p>
    <w:p w14:paraId="1409189C" w14:textId="3383BED6" w:rsidR="003C122B" w:rsidRPr="003C122B" w:rsidRDefault="003C122B" w:rsidP="003C122B">
      <w:pPr>
        <w:rPr>
          <w:rFonts w:ascii="Arial Narrow" w:hAnsi="Arial Narrow"/>
          <w:sz w:val="20"/>
          <w:szCs w:val="20"/>
        </w:rPr>
      </w:pPr>
      <w:r w:rsidRPr="003C122B">
        <w:rPr>
          <w:rFonts w:ascii="Arial Narrow" w:hAnsi="Arial Narrow"/>
          <w:sz w:val="20"/>
          <w:szCs w:val="20"/>
        </w:rPr>
        <w:t>Chronic severe atopic dermatitis</w:t>
      </w:r>
      <w:r w:rsidR="007C2C61">
        <w:rPr>
          <w:rFonts w:ascii="Arial Narrow" w:hAnsi="Arial Narrow"/>
          <w:sz w:val="20"/>
          <w:szCs w:val="20"/>
        </w:rPr>
        <w:t xml:space="preserve"> (12 years of age or older population)</w:t>
      </w:r>
    </w:p>
    <w:p w14:paraId="3C01D331" w14:textId="77777777" w:rsidR="003C122B" w:rsidRPr="003C122B" w:rsidRDefault="003C122B" w:rsidP="003C122B">
      <w:pPr>
        <w:rPr>
          <w:rFonts w:ascii="Arial Narrow" w:hAnsi="Arial Narrow"/>
          <w:sz w:val="20"/>
          <w:szCs w:val="20"/>
        </w:rPr>
      </w:pPr>
      <w:r w:rsidRPr="003C122B">
        <w:rPr>
          <w:rFonts w:ascii="Arial Narrow" w:hAnsi="Arial Narrow"/>
          <w:sz w:val="20"/>
          <w:szCs w:val="20"/>
        </w:rPr>
        <w:lastRenderedPageBreak/>
        <w:t>Treatment Phase: Initial treatment of the face and/or hands</w:t>
      </w:r>
    </w:p>
    <w:p w14:paraId="2D0FD352"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15035H, 12291X, 14979J, 12292Y</w:t>
      </w:r>
    </w:p>
    <w:tbl>
      <w:tblPr>
        <w:tblStyle w:val="TableGrid"/>
        <w:tblW w:w="5000" w:type="pct"/>
        <w:tblLook w:val="04A0" w:firstRow="1" w:lastRow="0" w:firstColumn="1" w:lastColumn="0" w:noHBand="0" w:noVBand="1"/>
        <w:tblCaption w:val="Flow on changes to dupilumab listings"/>
      </w:tblPr>
      <w:tblGrid>
        <w:gridCol w:w="4508"/>
        <w:gridCol w:w="4509"/>
      </w:tblGrid>
      <w:tr w:rsidR="003C122B" w:rsidRPr="003C122B" w14:paraId="2B0B5B67" w14:textId="77777777" w:rsidTr="00C21DB1">
        <w:tc>
          <w:tcPr>
            <w:tcW w:w="5000" w:type="pct"/>
            <w:gridSpan w:val="2"/>
            <w:tcBorders>
              <w:top w:val="single" w:sz="4" w:space="0" w:color="auto"/>
              <w:left w:val="single" w:sz="4" w:space="0" w:color="auto"/>
              <w:bottom w:val="single" w:sz="4" w:space="0" w:color="auto"/>
              <w:right w:val="single" w:sz="4" w:space="0" w:color="auto"/>
            </w:tcBorders>
            <w:hideMark/>
          </w:tcPr>
          <w:p w14:paraId="532AC66E" w14:textId="77777777" w:rsidR="003C122B" w:rsidRPr="003C122B" w:rsidRDefault="003C122B" w:rsidP="003C122B">
            <w:pPr>
              <w:rPr>
                <w:rFonts w:ascii="Arial Narrow" w:hAnsi="Arial Narrow"/>
                <w:i/>
                <w:iCs/>
                <w:sz w:val="20"/>
                <w:szCs w:val="20"/>
              </w:rPr>
            </w:pPr>
            <w:r w:rsidRPr="003C122B">
              <w:rPr>
                <w:rFonts w:ascii="Arial Narrow" w:hAnsi="Arial Narrow"/>
                <w:b/>
                <w:i/>
                <w:iCs/>
                <w:sz w:val="20"/>
                <w:szCs w:val="20"/>
              </w:rPr>
              <w:t>Restriction Summary 17015 / Treatment of Concept: 17076</w:t>
            </w:r>
          </w:p>
        </w:tc>
      </w:tr>
      <w:tr w:rsidR="003C122B" w:rsidRPr="003C122B" w14:paraId="073B667B"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6DBE586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Replace concept ID 27508:</w:t>
            </w:r>
          </w:p>
        </w:tc>
        <w:tc>
          <w:tcPr>
            <w:tcW w:w="2500" w:type="pct"/>
            <w:tcBorders>
              <w:top w:val="single" w:sz="4" w:space="0" w:color="auto"/>
              <w:left w:val="single" w:sz="4" w:space="0" w:color="auto"/>
              <w:bottom w:val="single" w:sz="4" w:space="0" w:color="auto"/>
              <w:right w:val="single" w:sz="4" w:space="0" w:color="auto"/>
            </w:tcBorders>
            <w:hideMark/>
          </w:tcPr>
          <w:p w14:paraId="3A526D64"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With new Concept ID:</w:t>
            </w:r>
          </w:p>
        </w:tc>
      </w:tr>
      <w:tr w:rsidR="003C122B" w:rsidRPr="003C122B" w14:paraId="0F0CA7EC"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0CD7254C"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condition must have at least 2 of the following Eczema Area and Severity Index (EASI) symptom sub-scores for erythema, oedema/papulation, excoriation, lichenification rated as severe despite treatment with daily topical therapy (corticosteroid of medium to high potency/calcineurin inhibitor), for at least 28 days; or</w:t>
            </w:r>
          </w:p>
        </w:tc>
        <w:tc>
          <w:tcPr>
            <w:tcW w:w="2500" w:type="pct"/>
            <w:tcBorders>
              <w:top w:val="single" w:sz="4" w:space="0" w:color="auto"/>
              <w:left w:val="single" w:sz="4" w:space="0" w:color="auto"/>
              <w:bottom w:val="single" w:sz="4" w:space="0" w:color="auto"/>
              <w:right w:val="single" w:sz="4" w:space="0" w:color="auto"/>
            </w:tcBorders>
            <w:hideMark/>
          </w:tcPr>
          <w:p w14:paraId="34BE9952" w14:textId="77777777" w:rsidR="003C122B" w:rsidRPr="003C122B" w:rsidRDefault="003C122B" w:rsidP="003C122B">
            <w:pPr>
              <w:rPr>
                <w:rFonts w:ascii="Arial Narrow" w:hAnsi="Arial Narrow"/>
                <w:i/>
                <w:iCs/>
                <w:sz w:val="20"/>
                <w:szCs w:val="20"/>
              </w:rPr>
            </w:pPr>
            <w:r w:rsidRPr="003C122B">
              <w:rPr>
                <w:rFonts w:ascii="Arial Narrow" w:hAnsi="Arial Narrow"/>
                <w:sz w:val="20"/>
                <w:szCs w:val="20"/>
              </w:rPr>
              <w:t>The condition must have at least 2 of the following Eczema Area and Severity Index (EASI) symptom sub-scores for erythema, oedema/papulation, excoriation, lichenification rated as severe despite treatment with daily topical therapy (corticosteroid of medium to high potency/calcineurin inhibitor/</w:t>
            </w:r>
            <w:r w:rsidRPr="003C122B">
              <w:rPr>
                <w:rFonts w:ascii="Arial Narrow" w:hAnsi="Arial Narrow"/>
                <w:i/>
                <w:iCs/>
                <w:sz w:val="20"/>
                <w:szCs w:val="20"/>
              </w:rPr>
              <w:t xml:space="preserve"> topical JAK inhibitor</w:t>
            </w:r>
            <w:r w:rsidRPr="003C122B">
              <w:rPr>
                <w:rFonts w:ascii="Arial Narrow" w:hAnsi="Arial Narrow"/>
                <w:sz w:val="20"/>
                <w:szCs w:val="20"/>
              </w:rPr>
              <w:t>), for at least 28 days; or</w:t>
            </w:r>
          </w:p>
        </w:tc>
      </w:tr>
      <w:tr w:rsidR="003C122B" w:rsidRPr="003C122B" w14:paraId="6AE3C1AD"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7392C6FF"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Replace concept ID 27059:</w:t>
            </w:r>
          </w:p>
        </w:tc>
        <w:tc>
          <w:tcPr>
            <w:tcW w:w="2500" w:type="pct"/>
            <w:tcBorders>
              <w:top w:val="single" w:sz="4" w:space="0" w:color="auto"/>
              <w:left w:val="single" w:sz="4" w:space="0" w:color="auto"/>
              <w:bottom w:val="single" w:sz="4" w:space="0" w:color="auto"/>
              <w:right w:val="single" w:sz="4" w:space="0" w:color="auto"/>
            </w:tcBorders>
            <w:hideMark/>
          </w:tcPr>
          <w:p w14:paraId="60E922AA"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With new Concept ID:</w:t>
            </w:r>
          </w:p>
        </w:tc>
      </w:tr>
      <w:tr w:rsidR="003C122B" w:rsidRPr="003C122B" w14:paraId="0143DDAD"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3E89F59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condition must have affected at least 30% of the face/hands surface area despite treatment with daily topical therapy (corticosteroid of medium to high potency/calcineurin inhibitor), for at least 28 days</w:t>
            </w:r>
          </w:p>
        </w:tc>
        <w:tc>
          <w:tcPr>
            <w:tcW w:w="2500" w:type="pct"/>
            <w:tcBorders>
              <w:top w:val="single" w:sz="4" w:space="0" w:color="auto"/>
              <w:left w:val="single" w:sz="4" w:space="0" w:color="auto"/>
              <w:bottom w:val="single" w:sz="4" w:space="0" w:color="auto"/>
              <w:right w:val="single" w:sz="4" w:space="0" w:color="auto"/>
            </w:tcBorders>
            <w:hideMark/>
          </w:tcPr>
          <w:p w14:paraId="4D9FA9DA"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condition must have affected at least 30% of the face/hands surface area despite treatment with daily topical therapy (corticosteroid of medium to high potency/calcineurin inhibitor</w:t>
            </w:r>
            <w:r w:rsidRPr="003C122B">
              <w:rPr>
                <w:rFonts w:ascii="Arial Narrow" w:hAnsi="Arial Narrow"/>
                <w:i/>
                <w:iCs/>
                <w:sz w:val="20"/>
                <w:szCs w:val="20"/>
              </w:rPr>
              <w:t>/ topical JAK inhibitor</w:t>
            </w:r>
            <w:r w:rsidRPr="003C122B">
              <w:rPr>
                <w:rFonts w:ascii="Arial Narrow" w:hAnsi="Arial Narrow"/>
                <w:sz w:val="20"/>
                <w:szCs w:val="20"/>
              </w:rPr>
              <w:t>), for at least 28 days</w:t>
            </w:r>
          </w:p>
        </w:tc>
      </w:tr>
      <w:tr w:rsidR="003C122B" w:rsidRPr="003C122B" w14:paraId="1C932FD3"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239BE24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Replace concept ID 27056:</w:t>
            </w:r>
          </w:p>
        </w:tc>
        <w:tc>
          <w:tcPr>
            <w:tcW w:w="2500" w:type="pct"/>
            <w:tcBorders>
              <w:top w:val="single" w:sz="4" w:space="0" w:color="auto"/>
              <w:left w:val="single" w:sz="4" w:space="0" w:color="auto"/>
              <w:bottom w:val="single" w:sz="4" w:space="0" w:color="auto"/>
              <w:right w:val="single" w:sz="4" w:space="0" w:color="auto"/>
            </w:tcBorders>
            <w:hideMark/>
          </w:tcPr>
          <w:p w14:paraId="2E44B2FC"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With new Concept ID:</w:t>
            </w:r>
          </w:p>
        </w:tc>
      </w:tr>
      <w:tr w:rsidR="003C122B" w:rsidRPr="003C122B" w14:paraId="222B70CE"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559E6B4F"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c>
          <w:tcPr>
            <w:tcW w:w="2500" w:type="pct"/>
            <w:tcBorders>
              <w:top w:val="single" w:sz="4" w:space="0" w:color="auto"/>
              <w:left w:val="single" w:sz="4" w:space="0" w:color="auto"/>
              <w:bottom w:val="single" w:sz="4" w:space="0" w:color="auto"/>
              <w:right w:val="single" w:sz="4" w:space="0" w:color="auto"/>
            </w:tcBorders>
            <w:hideMark/>
          </w:tcPr>
          <w:p w14:paraId="398799FE"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w:t>
            </w:r>
            <w:r w:rsidRPr="003C122B">
              <w:rPr>
                <w:rFonts w:ascii="Arial Narrow" w:hAnsi="Arial Narrow"/>
                <w:i/>
                <w:iCs/>
                <w:sz w:val="20"/>
                <w:szCs w:val="20"/>
              </w:rPr>
              <w:t>/ topical JAK inhibitor</w:t>
            </w:r>
            <w:r w:rsidRPr="003C122B">
              <w:rPr>
                <w:rFonts w:ascii="Arial Narrow" w:hAnsi="Arial Narrow"/>
                <w:sz w:val="20"/>
                <w:szCs w:val="20"/>
              </w:rPr>
              <w:t>), for at least 28 days</w:t>
            </w:r>
          </w:p>
        </w:tc>
      </w:tr>
      <w:tr w:rsidR="003C122B" w:rsidRPr="003C122B" w14:paraId="274C8897"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779345E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Replace concept ID 28253:</w:t>
            </w:r>
          </w:p>
        </w:tc>
        <w:tc>
          <w:tcPr>
            <w:tcW w:w="2500" w:type="pct"/>
            <w:tcBorders>
              <w:top w:val="single" w:sz="4" w:space="0" w:color="auto"/>
              <w:left w:val="single" w:sz="4" w:space="0" w:color="auto"/>
              <w:bottom w:val="single" w:sz="4" w:space="0" w:color="auto"/>
              <w:right w:val="single" w:sz="4" w:space="0" w:color="auto"/>
            </w:tcBorders>
            <w:hideMark/>
          </w:tcPr>
          <w:p w14:paraId="67EDC286"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With New PI:</w:t>
            </w:r>
          </w:p>
        </w:tc>
      </w:tr>
      <w:tr w:rsidR="003C122B" w:rsidRPr="003C122B" w14:paraId="1E375F36"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3E20D0A3" w14:textId="77777777" w:rsidR="003C122B" w:rsidRPr="003C122B" w:rsidRDefault="003C122B" w:rsidP="003C122B">
            <w:pPr>
              <w:rPr>
                <w:rFonts w:ascii="Arial Narrow" w:hAnsi="Arial Narrow"/>
                <w:sz w:val="20"/>
                <w:szCs w:val="20"/>
              </w:rPr>
            </w:pPr>
            <w:r w:rsidRPr="003C122B">
              <w:rPr>
                <w:rFonts w:ascii="Arial Narrow" w:hAnsi="Arial Narrow"/>
                <w:b/>
                <w:bCs/>
                <w:sz w:val="20"/>
                <w:szCs w:val="20"/>
              </w:rPr>
              <w:t>Prescribing Instructions:</w:t>
            </w:r>
          </w:p>
          <w:p w14:paraId="0BF0D782"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State each of the 4 Eczema Area and Severity Index (EASI) symptom sub-score ratings (0 = none, 1 = mild, 2 = moderate, 3 = severe) for:</w:t>
            </w:r>
          </w:p>
          <w:p w14:paraId="318844FC"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 erythema,</w:t>
            </w:r>
          </w:p>
          <w:p w14:paraId="53CB3836"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(ii) oedema/papulation,</w:t>
            </w:r>
          </w:p>
          <w:p w14:paraId="36384017"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(iii) excoriation,</w:t>
            </w:r>
          </w:p>
          <w:p w14:paraId="26FF8F5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(iv) lichenification</w:t>
            </w:r>
          </w:p>
          <w:p w14:paraId="352AE66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Acceptable scores can be:</w:t>
            </w:r>
          </w:p>
          <w:p w14:paraId="49D5E98A"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(a) current scores; or</w:t>
            </w:r>
          </w:p>
          <w:p w14:paraId="2E6D311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(b) past scores, including those previously quoted in a PBS authority application for another drug listed for this indication.</w:t>
            </w:r>
          </w:p>
          <w:p w14:paraId="2E013704"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State the percentage face/hand surface area affected by the condition (must be at least 30%) where EASI symptom sub-scores are not provided. This percentage surface area can also be stated in addition to the EASI symptom sub-scores.</w:t>
            </w:r>
          </w:p>
          <w:p w14:paraId="7FA8715C"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7C11DF9D"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Document the details of the medium to high potency topical corticosteroids (or calcineurin inhibitors) initially trialled are in the patient's medical records.</w:t>
            </w:r>
          </w:p>
        </w:tc>
        <w:tc>
          <w:tcPr>
            <w:tcW w:w="2500" w:type="pct"/>
            <w:tcBorders>
              <w:top w:val="single" w:sz="4" w:space="0" w:color="auto"/>
              <w:left w:val="single" w:sz="4" w:space="0" w:color="auto"/>
              <w:bottom w:val="single" w:sz="4" w:space="0" w:color="auto"/>
              <w:right w:val="single" w:sz="4" w:space="0" w:color="auto"/>
            </w:tcBorders>
            <w:hideMark/>
          </w:tcPr>
          <w:p w14:paraId="54BC7A5A" w14:textId="77777777" w:rsidR="003C122B" w:rsidRPr="003C122B" w:rsidRDefault="003C122B" w:rsidP="003C122B">
            <w:pPr>
              <w:rPr>
                <w:rFonts w:ascii="Arial Narrow" w:hAnsi="Arial Narrow"/>
                <w:sz w:val="20"/>
                <w:szCs w:val="20"/>
              </w:rPr>
            </w:pPr>
            <w:r w:rsidRPr="003C122B">
              <w:rPr>
                <w:rFonts w:ascii="Arial Narrow" w:hAnsi="Arial Narrow"/>
                <w:b/>
                <w:bCs/>
                <w:sz w:val="20"/>
                <w:szCs w:val="20"/>
              </w:rPr>
              <w:t>Prescribing Instructions:</w:t>
            </w:r>
          </w:p>
          <w:p w14:paraId="5DAEB353"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State each of the 4 Eczema Area and Severity Index (EASI) symptom sub-score ratings (0 = none, 1 = mild, 2 = moderate, 3 = severe) for:</w:t>
            </w:r>
          </w:p>
          <w:p w14:paraId="12224ED2"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 erythema,</w:t>
            </w:r>
          </w:p>
          <w:p w14:paraId="493695B2"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(ii) oedema/papulation,</w:t>
            </w:r>
          </w:p>
          <w:p w14:paraId="4E19AB79"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(iii) excoriation,</w:t>
            </w:r>
          </w:p>
          <w:p w14:paraId="49D42AAE"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(iv) lichenification</w:t>
            </w:r>
          </w:p>
          <w:p w14:paraId="6B763A5D"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Acceptable scores can be:</w:t>
            </w:r>
          </w:p>
          <w:p w14:paraId="31A9E3DE"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(a) current scores; or</w:t>
            </w:r>
          </w:p>
          <w:p w14:paraId="5D978CA5"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(b) past scores, including those previously quoted in a PBS authority application for another drug listed for this indication.</w:t>
            </w:r>
          </w:p>
          <w:p w14:paraId="19FB7D5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State the percentage face/hand surface area affected by the condition (must be at least 30%) where EASI symptom sub-scores are not provided. This percentage surface area can also be stated in addition to the EASI symptom sub-scores.</w:t>
            </w:r>
          </w:p>
          <w:p w14:paraId="600465EB"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23C6D71E"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 xml:space="preserve">Document the details of the medium to high potency topical corticosteroids (or </w:t>
            </w:r>
            <w:r w:rsidRPr="003C122B">
              <w:rPr>
                <w:rFonts w:ascii="Arial Narrow" w:hAnsi="Arial Narrow"/>
                <w:i/>
                <w:iCs/>
                <w:sz w:val="20"/>
                <w:szCs w:val="20"/>
              </w:rPr>
              <w:t xml:space="preserve">/ </w:t>
            </w:r>
            <w:r w:rsidRPr="003C122B">
              <w:rPr>
                <w:rFonts w:ascii="Arial Narrow" w:hAnsi="Arial Narrow"/>
                <w:sz w:val="20"/>
                <w:szCs w:val="20"/>
              </w:rPr>
              <w:t>calcineurin inhibitors</w:t>
            </w:r>
            <w:r w:rsidRPr="003C122B">
              <w:rPr>
                <w:rFonts w:ascii="Arial Narrow" w:hAnsi="Arial Narrow"/>
                <w:i/>
                <w:iCs/>
                <w:sz w:val="20"/>
                <w:szCs w:val="20"/>
              </w:rPr>
              <w:t>/JAK inhibitors</w:t>
            </w:r>
            <w:r w:rsidRPr="003C122B">
              <w:rPr>
                <w:rFonts w:ascii="Arial Narrow" w:hAnsi="Arial Narrow"/>
                <w:sz w:val="20"/>
                <w:szCs w:val="20"/>
              </w:rPr>
              <w:t>) initially trialled are in the patient's medical records.</w:t>
            </w:r>
          </w:p>
        </w:tc>
      </w:tr>
    </w:tbl>
    <w:p w14:paraId="4D4C4EC4" w14:textId="77777777" w:rsidR="003C122B" w:rsidRPr="003C122B" w:rsidRDefault="003C122B" w:rsidP="003C122B">
      <w:pPr>
        <w:rPr>
          <w:rFonts w:ascii="Arial Narrow" w:hAnsi="Arial Narrow"/>
          <w:sz w:val="20"/>
          <w:szCs w:val="20"/>
        </w:rPr>
      </w:pPr>
    </w:p>
    <w:p w14:paraId="03769F3B" w14:textId="1480742F" w:rsidR="003C122B" w:rsidRPr="003C122B" w:rsidRDefault="003C122B" w:rsidP="004B6677">
      <w:pPr>
        <w:pStyle w:val="3-BodyText"/>
      </w:pPr>
      <w:r w:rsidRPr="003C122B">
        <w:t xml:space="preserve">Flow on </w:t>
      </w:r>
      <w:r w:rsidR="004B6677">
        <w:t xml:space="preserve">changes </w:t>
      </w:r>
      <w:r w:rsidRPr="003C122B">
        <w:t xml:space="preserve">to </w:t>
      </w:r>
      <w:r w:rsidR="004B6677">
        <w:t>u</w:t>
      </w:r>
      <w:r w:rsidRPr="003C122B">
        <w:t xml:space="preserve">padacitinib listings: </w:t>
      </w:r>
    </w:p>
    <w:p w14:paraId="5C90A4BA" w14:textId="77777777" w:rsidR="004B6677" w:rsidRDefault="004B6677" w:rsidP="003C122B">
      <w:pPr>
        <w:rPr>
          <w:rFonts w:ascii="Arial Narrow" w:hAnsi="Arial Narrow"/>
          <w:sz w:val="20"/>
          <w:szCs w:val="20"/>
        </w:rPr>
      </w:pPr>
    </w:p>
    <w:p w14:paraId="78C74EBB" w14:textId="5006152B" w:rsidR="003C122B" w:rsidRPr="003C122B" w:rsidRDefault="003C122B" w:rsidP="003C122B">
      <w:pPr>
        <w:rPr>
          <w:rFonts w:ascii="Arial Narrow" w:hAnsi="Arial Narrow"/>
          <w:sz w:val="20"/>
          <w:szCs w:val="20"/>
        </w:rPr>
      </w:pPr>
      <w:r w:rsidRPr="003C122B">
        <w:rPr>
          <w:rFonts w:ascii="Arial Narrow" w:hAnsi="Arial Narrow"/>
          <w:sz w:val="20"/>
          <w:szCs w:val="20"/>
        </w:rPr>
        <w:t>Chronic severe atopic dermatitis</w:t>
      </w:r>
    </w:p>
    <w:p w14:paraId="112453E6" w14:textId="7B55AA80" w:rsidR="003C122B" w:rsidRPr="003C122B" w:rsidRDefault="003C122B" w:rsidP="003C122B">
      <w:pPr>
        <w:rPr>
          <w:rFonts w:ascii="Arial Narrow" w:hAnsi="Arial Narrow"/>
          <w:sz w:val="20"/>
          <w:szCs w:val="20"/>
        </w:rPr>
      </w:pPr>
      <w:r w:rsidRPr="003C122B">
        <w:rPr>
          <w:rFonts w:ascii="Arial Narrow" w:hAnsi="Arial Narrow"/>
          <w:sz w:val="20"/>
          <w:szCs w:val="20"/>
        </w:rPr>
        <w:t>Treatment Phase: Initial treatment of the face and/or hands</w:t>
      </w:r>
      <w:r w:rsidR="007C2C61">
        <w:rPr>
          <w:rFonts w:ascii="Arial Narrow" w:hAnsi="Arial Narrow"/>
          <w:sz w:val="20"/>
          <w:szCs w:val="20"/>
        </w:rPr>
        <w:t xml:space="preserve"> (12 years of age or older population)</w:t>
      </w:r>
    </w:p>
    <w:p w14:paraId="39B34AB0" w14:textId="31B8FA65" w:rsidR="003C122B" w:rsidRPr="003C122B" w:rsidRDefault="003C122B" w:rsidP="003C122B">
      <w:pPr>
        <w:rPr>
          <w:rFonts w:ascii="Arial Narrow" w:hAnsi="Arial Narrow"/>
          <w:sz w:val="20"/>
          <w:szCs w:val="20"/>
        </w:rPr>
      </w:pPr>
      <w:r w:rsidRPr="003C122B">
        <w:rPr>
          <w:rFonts w:ascii="Arial Narrow" w:hAnsi="Arial Narrow"/>
          <w:sz w:val="20"/>
          <w:szCs w:val="20"/>
        </w:rPr>
        <w:lastRenderedPageBreak/>
        <w:t>12828E,</w:t>
      </w:r>
      <w:r w:rsidR="00233DB6">
        <w:rPr>
          <w:rFonts w:ascii="Arial Narrow" w:hAnsi="Arial Narrow"/>
          <w:sz w:val="20"/>
          <w:szCs w:val="20"/>
        </w:rPr>
        <w:t xml:space="preserve"> </w:t>
      </w:r>
      <w:r w:rsidRPr="003C122B">
        <w:rPr>
          <w:rFonts w:ascii="Arial Narrow" w:hAnsi="Arial Narrow"/>
          <w:sz w:val="20"/>
          <w:szCs w:val="20"/>
        </w:rPr>
        <w:t>12836N</w:t>
      </w:r>
    </w:p>
    <w:tbl>
      <w:tblPr>
        <w:tblStyle w:val="TableGrid"/>
        <w:tblW w:w="5000" w:type="pct"/>
        <w:tblLook w:val="04A0" w:firstRow="1" w:lastRow="0" w:firstColumn="1" w:lastColumn="0" w:noHBand="0" w:noVBand="1"/>
        <w:tblCaption w:val="Flow on changes to upadacitinib listings"/>
      </w:tblPr>
      <w:tblGrid>
        <w:gridCol w:w="4508"/>
        <w:gridCol w:w="4509"/>
      </w:tblGrid>
      <w:tr w:rsidR="003C122B" w:rsidRPr="003C122B" w14:paraId="2C3353DF" w14:textId="77777777" w:rsidTr="00C21DB1">
        <w:tc>
          <w:tcPr>
            <w:tcW w:w="5000" w:type="pct"/>
            <w:gridSpan w:val="2"/>
            <w:tcBorders>
              <w:top w:val="single" w:sz="4" w:space="0" w:color="auto"/>
              <w:left w:val="single" w:sz="4" w:space="0" w:color="auto"/>
              <w:bottom w:val="single" w:sz="4" w:space="0" w:color="auto"/>
              <w:right w:val="single" w:sz="4" w:space="0" w:color="auto"/>
            </w:tcBorders>
            <w:hideMark/>
          </w:tcPr>
          <w:p w14:paraId="2E451B41" w14:textId="77777777" w:rsidR="003C122B" w:rsidRPr="003C122B" w:rsidRDefault="003C122B" w:rsidP="003C122B">
            <w:pPr>
              <w:rPr>
                <w:rFonts w:ascii="Arial Narrow" w:hAnsi="Arial Narrow"/>
                <w:i/>
                <w:iCs/>
                <w:sz w:val="20"/>
                <w:szCs w:val="20"/>
              </w:rPr>
            </w:pPr>
            <w:r w:rsidRPr="003C122B">
              <w:rPr>
                <w:rFonts w:ascii="Arial Narrow" w:hAnsi="Arial Narrow"/>
                <w:b/>
                <w:i/>
                <w:iCs/>
                <w:sz w:val="20"/>
                <w:szCs w:val="20"/>
              </w:rPr>
              <w:t>Restriction Summary 12508 / Treatment of Concept: 12508</w:t>
            </w:r>
          </w:p>
        </w:tc>
      </w:tr>
      <w:tr w:rsidR="003C122B" w:rsidRPr="003C122B" w14:paraId="0AE72995"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482561E3" w14:textId="162DD79C" w:rsidR="003C122B" w:rsidRPr="003C122B" w:rsidRDefault="003C122B" w:rsidP="003C122B">
            <w:pPr>
              <w:rPr>
                <w:rFonts w:ascii="Arial Narrow" w:hAnsi="Arial Narrow"/>
                <w:sz w:val="20"/>
                <w:szCs w:val="20"/>
              </w:rPr>
            </w:pPr>
            <w:r w:rsidRPr="003C122B">
              <w:rPr>
                <w:rFonts w:ascii="Arial Narrow" w:hAnsi="Arial Narrow"/>
                <w:sz w:val="20"/>
                <w:szCs w:val="20"/>
              </w:rPr>
              <w:t>Replace concept ID 27</w:t>
            </w:r>
            <w:r w:rsidR="00233DB6">
              <w:rPr>
                <w:rFonts w:ascii="Arial Narrow" w:hAnsi="Arial Narrow"/>
                <w:sz w:val="20"/>
                <w:szCs w:val="20"/>
              </w:rPr>
              <w:t>0</w:t>
            </w:r>
            <w:r w:rsidRPr="003C122B">
              <w:rPr>
                <w:rFonts w:ascii="Arial Narrow" w:hAnsi="Arial Narrow"/>
                <w:sz w:val="20"/>
                <w:szCs w:val="20"/>
              </w:rPr>
              <w:t>58:</w:t>
            </w:r>
          </w:p>
        </w:tc>
        <w:tc>
          <w:tcPr>
            <w:tcW w:w="2500" w:type="pct"/>
            <w:tcBorders>
              <w:top w:val="single" w:sz="4" w:space="0" w:color="auto"/>
              <w:left w:val="single" w:sz="4" w:space="0" w:color="auto"/>
              <w:bottom w:val="single" w:sz="4" w:space="0" w:color="auto"/>
              <w:right w:val="single" w:sz="4" w:space="0" w:color="auto"/>
            </w:tcBorders>
            <w:hideMark/>
          </w:tcPr>
          <w:p w14:paraId="5D290D11"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With new Concept ID:</w:t>
            </w:r>
          </w:p>
        </w:tc>
      </w:tr>
      <w:tr w:rsidR="003C122B" w:rsidRPr="003C122B" w14:paraId="2E402345"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6132FBE3"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condition must have at least 2 of the following Eczema Area and Severity Index (EASI) symptom sub-scores for erythema, oedema/papulation, excoriation, lichenification rated as severe despite treatment with daily topical therapy (corticosteroid of medium to high potency/calcineurin inhibitor), for at least 28 days; or</w:t>
            </w:r>
          </w:p>
        </w:tc>
        <w:tc>
          <w:tcPr>
            <w:tcW w:w="2500" w:type="pct"/>
            <w:tcBorders>
              <w:top w:val="single" w:sz="4" w:space="0" w:color="auto"/>
              <w:left w:val="single" w:sz="4" w:space="0" w:color="auto"/>
              <w:bottom w:val="single" w:sz="4" w:space="0" w:color="auto"/>
              <w:right w:val="single" w:sz="4" w:space="0" w:color="auto"/>
            </w:tcBorders>
            <w:hideMark/>
          </w:tcPr>
          <w:p w14:paraId="7BF62D98" w14:textId="77777777" w:rsidR="003C122B" w:rsidRPr="003C122B" w:rsidRDefault="003C122B" w:rsidP="003C122B">
            <w:pPr>
              <w:rPr>
                <w:rFonts w:ascii="Arial Narrow" w:hAnsi="Arial Narrow"/>
                <w:i/>
                <w:iCs/>
                <w:sz w:val="20"/>
                <w:szCs w:val="20"/>
              </w:rPr>
            </w:pPr>
            <w:r w:rsidRPr="003C122B">
              <w:rPr>
                <w:rFonts w:ascii="Arial Narrow" w:hAnsi="Arial Narrow"/>
                <w:sz w:val="20"/>
                <w:szCs w:val="20"/>
              </w:rPr>
              <w:t>The condition must have at least 2 of the following Eczema Area and Severity Index (EASI) symptom sub-scores for erythema, oedema/papulation, excoriation, lichenification rated as severe despite treatment with daily topical therapy (corticosteroid of medium to high potency/calcineurin inhibitor/</w:t>
            </w:r>
            <w:r w:rsidRPr="003C122B">
              <w:rPr>
                <w:rFonts w:ascii="Arial Narrow" w:hAnsi="Arial Narrow"/>
                <w:i/>
                <w:iCs/>
                <w:sz w:val="20"/>
                <w:szCs w:val="20"/>
              </w:rPr>
              <w:t xml:space="preserve"> topical JAK inhibitor</w:t>
            </w:r>
            <w:r w:rsidRPr="003C122B">
              <w:rPr>
                <w:rFonts w:ascii="Arial Narrow" w:hAnsi="Arial Narrow"/>
                <w:sz w:val="20"/>
                <w:szCs w:val="20"/>
              </w:rPr>
              <w:t>), for at least 28 days; or</w:t>
            </w:r>
          </w:p>
        </w:tc>
      </w:tr>
      <w:tr w:rsidR="003C122B" w:rsidRPr="003C122B" w14:paraId="0B608F4F"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6D95DC10"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Replace concept ID 27059:</w:t>
            </w:r>
          </w:p>
        </w:tc>
        <w:tc>
          <w:tcPr>
            <w:tcW w:w="2500" w:type="pct"/>
            <w:tcBorders>
              <w:top w:val="single" w:sz="4" w:space="0" w:color="auto"/>
              <w:left w:val="single" w:sz="4" w:space="0" w:color="auto"/>
              <w:bottom w:val="single" w:sz="4" w:space="0" w:color="auto"/>
              <w:right w:val="single" w:sz="4" w:space="0" w:color="auto"/>
            </w:tcBorders>
            <w:hideMark/>
          </w:tcPr>
          <w:p w14:paraId="29285563"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With new Concept ID:</w:t>
            </w:r>
          </w:p>
        </w:tc>
      </w:tr>
      <w:tr w:rsidR="003C122B" w:rsidRPr="003C122B" w14:paraId="4004BB92"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12668319"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condition must have affected at least 30% of the face/hands surface area despite treatment with daily topical therapy (corticosteroid of medium to high potency/calcineurin inhibitor), for at least 28 days</w:t>
            </w:r>
          </w:p>
        </w:tc>
        <w:tc>
          <w:tcPr>
            <w:tcW w:w="2500" w:type="pct"/>
            <w:tcBorders>
              <w:top w:val="single" w:sz="4" w:space="0" w:color="auto"/>
              <w:left w:val="single" w:sz="4" w:space="0" w:color="auto"/>
              <w:bottom w:val="single" w:sz="4" w:space="0" w:color="auto"/>
              <w:right w:val="single" w:sz="4" w:space="0" w:color="auto"/>
            </w:tcBorders>
            <w:hideMark/>
          </w:tcPr>
          <w:p w14:paraId="01C00ECF"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condition must have affected at least 30% of the face/hands surface area despite treatment with daily topical therapy (corticosteroid of medium to high potency/calcineurin inhibitor</w:t>
            </w:r>
            <w:r w:rsidRPr="003C122B">
              <w:rPr>
                <w:rFonts w:ascii="Arial Narrow" w:hAnsi="Arial Narrow"/>
                <w:i/>
                <w:iCs/>
                <w:sz w:val="20"/>
                <w:szCs w:val="20"/>
              </w:rPr>
              <w:t>/ topical JAK inhibitor</w:t>
            </w:r>
            <w:r w:rsidRPr="003C122B">
              <w:rPr>
                <w:rFonts w:ascii="Arial Narrow" w:hAnsi="Arial Narrow"/>
                <w:sz w:val="20"/>
                <w:szCs w:val="20"/>
              </w:rPr>
              <w:t>), for at least 28 days</w:t>
            </w:r>
          </w:p>
        </w:tc>
      </w:tr>
      <w:tr w:rsidR="003C122B" w:rsidRPr="003C122B" w14:paraId="06C20193"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109C9581"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Replace concept ID 27056:</w:t>
            </w:r>
          </w:p>
        </w:tc>
        <w:tc>
          <w:tcPr>
            <w:tcW w:w="2500" w:type="pct"/>
            <w:tcBorders>
              <w:top w:val="single" w:sz="4" w:space="0" w:color="auto"/>
              <w:left w:val="single" w:sz="4" w:space="0" w:color="auto"/>
              <w:bottom w:val="single" w:sz="4" w:space="0" w:color="auto"/>
              <w:right w:val="single" w:sz="4" w:space="0" w:color="auto"/>
            </w:tcBorders>
            <w:hideMark/>
          </w:tcPr>
          <w:p w14:paraId="62202897"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With new Concept ID:</w:t>
            </w:r>
          </w:p>
        </w:tc>
      </w:tr>
      <w:tr w:rsidR="003C122B" w:rsidRPr="003C122B" w14:paraId="694FA608"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5BC31A46"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c>
          <w:tcPr>
            <w:tcW w:w="2500" w:type="pct"/>
            <w:tcBorders>
              <w:top w:val="single" w:sz="4" w:space="0" w:color="auto"/>
              <w:left w:val="single" w:sz="4" w:space="0" w:color="auto"/>
              <w:bottom w:val="single" w:sz="4" w:space="0" w:color="auto"/>
              <w:right w:val="single" w:sz="4" w:space="0" w:color="auto"/>
            </w:tcBorders>
            <w:hideMark/>
          </w:tcPr>
          <w:p w14:paraId="66D3E045"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w:t>
            </w:r>
            <w:r w:rsidRPr="003C122B">
              <w:rPr>
                <w:rFonts w:ascii="Arial Narrow" w:hAnsi="Arial Narrow"/>
                <w:i/>
                <w:iCs/>
                <w:sz w:val="20"/>
                <w:szCs w:val="20"/>
              </w:rPr>
              <w:t>/ topical JAK inhibitor</w:t>
            </w:r>
            <w:r w:rsidRPr="003C122B">
              <w:rPr>
                <w:rFonts w:ascii="Arial Narrow" w:hAnsi="Arial Narrow"/>
                <w:sz w:val="20"/>
                <w:szCs w:val="20"/>
              </w:rPr>
              <w:t>), for at least 28 days</w:t>
            </w:r>
          </w:p>
        </w:tc>
      </w:tr>
      <w:tr w:rsidR="003C122B" w:rsidRPr="003C122B" w14:paraId="7F38A94F"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2FA1817C"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Replace concept ID 28253:</w:t>
            </w:r>
          </w:p>
        </w:tc>
        <w:tc>
          <w:tcPr>
            <w:tcW w:w="2500" w:type="pct"/>
            <w:tcBorders>
              <w:top w:val="single" w:sz="4" w:space="0" w:color="auto"/>
              <w:left w:val="single" w:sz="4" w:space="0" w:color="auto"/>
              <w:bottom w:val="single" w:sz="4" w:space="0" w:color="auto"/>
              <w:right w:val="single" w:sz="4" w:space="0" w:color="auto"/>
            </w:tcBorders>
            <w:hideMark/>
          </w:tcPr>
          <w:p w14:paraId="61F14032"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With New PI:</w:t>
            </w:r>
          </w:p>
        </w:tc>
      </w:tr>
      <w:tr w:rsidR="003C122B" w:rsidRPr="003C122B" w14:paraId="4ADE1A1D" w14:textId="77777777" w:rsidTr="00C21DB1">
        <w:tc>
          <w:tcPr>
            <w:tcW w:w="2500" w:type="pct"/>
            <w:tcBorders>
              <w:top w:val="single" w:sz="4" w:space="0" w:color="auto"/>
              <w:left w:val="single" w:sz="4" w:space="0" w:color="auto"/>
              <w:bottom w:val="single" w:sz="4" w:space="0" w:color="auto"/>
              <w:right w:val="single" w:sz="4" w:space="0" w:color="auto"/>
            </w:tcBorders>
            <w:hideMark/>
          </w:tcPr>
          <w:p w14:paraId="3BC43229" w14:textId="77777777" w:rsidR="003C122B" w:rsidRPr="003C122B" w:rsidRDefault="003C122B" w:rsidP="003C122B">
            <w:pPr>
              <w:rPr>
                <w:rFonts w:ascii="Arial Narrow" w:hAnsi="Arial Narrow"/>
                <w:sz w:val="20"/>
                <w:szCs w:val="20"/>
              </w:rPr>
            </w:pPr>
            <w:r w:rsidRPr="003C122B">
              <w:rPr>
                <w:rFonts w:ascii="Arial Narrow" w:hAnsi="Arial Narrow"/>
                <w:b/>
                <w:bCs/>
                <w:sz w:val="20"/>
                <w:szCs w:val="20"/>
              </w:rPr>
              <w:t>Prescribing Instructions:</w:t>
            </w:r>
          </w:p>
          <w:p w14:paraId="70C52F79"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State each of the 4 Eczema Area and Severity Index (EASI) symptom sub-score ratings (0 = none, 1 = mild, 2 = moderate, 3 = severe) for:</w:t>
            </w:r>
          </w:p>
          <w:p w14:paraId="57BB3A54"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 erythema,</w:t>
            </w:r>
          </w:p>
          <w:p w14:paraId="44B98EA5"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(ii) oedema/papulation,</w:t>
            </w:r>
          </w:p>
          <w:p w14:paraId="1DA21986"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(iii) excoriation,</w:t>
            </w:r>
          </w:p>
          <w:p w14:paraId="6EB9EB64"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(iv) lichenification</w:t>
            </w:r>
          </w:p>
          <w:p w14:paraId="6D8840A1"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Acceptable scores can be:</w:t>
            </w:r>
          </w:p>
          <w:p w14:paraId="1F245082"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(a) current scores; or</w:t>
            </w:r>
          </w:p>
          <w:p w14:paraId="4F3153FB"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(b) past scores, including those previously quoted in a PBS authority application for another drug listed for this indication.</w:t>
            </w:r>
          </w:p>
          <w:p w14:paraId="326FAC56"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State the percentage face/hand surface area affected by the condition (must be at least 30%) where EASI symptom sub-scores are not provided. This percentage surface area can also be stated in addition to the EASI symptom sub-scores.</w:t>
            </w:r>
          </w:p>
          <w:p w14:paraId="0133252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22250EB4"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Document the details of the medium to high potency topical corticosteroids (or calcineurin inhibitors) initially trialled are in the patient's medical records.</w:t>
            </w:r>
          </w:p>
        </w:tc>
        <w:tc>
          <w:tcPr>
            <w:tcW w:w="2500" w:type="pct"/>
            <w:tcBorders>
              <w:top w:val="single" w:sz="4" w:space="0" w:color="auto"/>
              <w:left w:val="single" w:sz="4" w:space="0" w:color="auto"/>
              <w:bottom w:val="single" w:sz="4" w:space="0" w:color="auto"/>
              <w:right w:val="single" w:sz="4" w:space="0" w:color="auto"/>
            </w:tcBorders>
            <w:hideMark/>
          </w:tcPr>
          <w:p w14:paraId="02B1D873" w14:textId="77777777" w:rsidR="003C122B" w:rsidRPr="003C122B" w:rsidRDefault="003C122B" w:rsidP="003C122B">
            <w:pPr>
              <w:rPr>
                <w:rFonts w:ascii="Arial Narrow" w:hAnsi="Arial Narrow"/>
                <w:sz w:val="20"/>
                <w:szCs w:val="20"/>
              </w:rPr>
            </w:pPr>
            <w:r w:rsidRPr="003C122B">
              <w:rPr>
                <w:rFonts w:ascii="Arial Narrow" w:hAnsi="Arial Narrow"/>
                <w:b/>
                <w:bCs/>
                <w:sz w:val="20"/>
                <w:szCs w:val="20"/>
              </w:rPr>
              <w:t>Prescribing Instructions:</w:t>
            </w:r>
          </w:p>
          <w:p w14:paraId="7BC97693"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State each of the 4 Eczema Area and Severity Index (EASI) symptom sub-score ratings (0 = none, 1 = mild, 2 = moderate, 3 = severe) for:</w:t>
            </w:r>
          </w:p>
          <w:p w14:paraId="7AD6CFD6"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 erythema,</w:t>
            </w:r>
          </w:p>
          <w:p w14:paraId="1DF04998"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(ii) oedema/papulation,</w:t>
            </w:r>
          </w:p>
          <w:p w14:paraId="264401A5"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(iii) excoriation,</w:t>
            </w:r>
          </w:p>
          <w:p w14:paraId="19FFDDFA"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(iv) lichenification</w:t>
            </w:r>
          </w:p>
          <w:p w14:paraId="07F37ACB"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Acceptable scores can be:</w:t>
            </w:r>
          </w:p>
          <w:p w14:paraId="22BA6F5A"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(a) current scores; or</w:t>
            </w:r>
          </w:p>
          <w:p w14:paraId="654E8C9C"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(b) past scores, including those previously quoted in a PBS authority application for another drug listed for this indication.</w:t>
            </w:r>
          </w:p>
          <w:p w14:paraId="1175305D"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State the percentage face/hand surface area affected by the condition (must be at least 30%) where EASI symptom sub-scores are not provided. This percentage surface area can also be stated in addition to the EASI symptom sub-scores.</w:t>
            </w:r>
          </w:p>
          <w:p w14:paraId="57CD24A5"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7403A501" w14:textId="77777777" w:rsidR="003C122B" w:rsidRPr="003C122B" w:rsidRDefault="003C122B" w:rsidP="003C122B">
            <w:pPr>
              <w:rPr>
                <w:rFonts w:ascii="Arial Narrow" w:hAnsi="Arial Narrow"/>
                <w:sz w:val="20"/>
                <w:szCs w:val="20"/>
              </w:rPr>
            </w:pPr>
            <w:r w:rsidRPr="003C122B">
              <w:rPr>
                <w:rFonts w:ascii="Arial Narrow" w:hAnsi="Arial Narrow"/>
                <w:sz w:val="20"/>
                <w:szCs w:val="20"/>
              </w:rPr>
              <w:t xml:space="preserve">Document the details of the medium to high potency topical corticosteroids (or </w:t>
            </w:r>
            <w:r w:rsidRPr="003C122B">
              <w:rPr>
                <w:rFonts w:ascii="Arial Narrow" w:hAnsi="Arial Narrow"/>
                <w:i/>
                <w:iCs/>
                <w:sz w:val="20"/>
                <w:szCs w:val="20"/>
              </w:rPr>
              <w:t xml:space="preserve">/ </w:t>
            </w:r>
            <w:r w:rsidRPr="003C122B">
              <w:rPr>
                <w:rFonts w:ascii="Arial Narrow" w:hAnsi="Arial Narrow"/>
                <w:sz w:val="20"/>
                <w:szCs w:val="20"/>
              </w:rPr>
              <w:t>calcineurin inhibitors</w:t>
            </w:r>
            <w:r w:rsidRPr="003C122B">
              <w:rPr>
                <w:rFonts w:ascii="Arial Narrow" w:hAnsi="Arial Narrow"/>
                <w:i/>
                <w:iCs/>
                <w:sz w:val="20"/>
                <w:szCs w:val="20"/>
              </w:rPr>
              <w:t>/JAK inhibitors</w:t>
            </w:r>
            <w:r w:rsidRPr="003C122B">
              <w:rPr>
                <w:rFonts w:ascii="Arial Narrow" w:hAnsi="Arial Narrow"/>
                <w:sz w:val="20"/>
                <w:szCs w:val="20"/>
              </w:rPr>
              <w:t>) initially trialled are in the patient's medical records.</w:t>
            </w:r>
          </w:p>
        </w:tc>
      </w:tr>
    </w:tbl>
    <w:p w14:paraId="40EFBD04" w14:textId="77777777" w:rsidR="003C122B" w:rsidRPr="00BB4F89" w:rsidRDefault="003C122B" w:rsidP="003C122B"/>
    <w:p w14:paraId="77131C69" w14:textId="7B6AE185" w:rsidR="00F63187" w:rsidRDefault="006D6D60" w:rsidP="009D3C02">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2"/>
      <w:bookmarkEnd w:id="98"/>
      <w:bookmarkEnd w:id="108"/>
    </w:p>
    <w:p w14:paraId="2B86E95B" w14:textId="77777777" w:rsidR="0062622D" w:rsidRPr="0062622D" w:rsidRDefault="0062622D" w:rsidP="0062622D">
      <w:pPr>
        <w:keepNext/>
        <w:spacing w:before="240" w:after="120"/>
        <w:ind w:left="720" w:hanging="720"/>
        <w:jc w:val="left"/>
        <w:outlineLvl w:val="0"/>
        <w:rPr>
          <w:rFonts w:asciiTheme="minorHAnsi" w:hAnsiTheme="minorHAnsi"/>
          <w:b/>
          <w:bCs/>
          <w:snapToGrid w:val="0"/>
          <w:sz w:val="32"/>
          <w:szCs w:val="32"/>
          <w:lang w:val="en-GB"/>
        </w:rPr>
      </w:pPr>
      <w:bookmarkStart w:id="113" w:name="_Hlk218759984"/>
      <w:r w:rsidRPr="0062622D">
        <w:rPr>
          <w:rFonts w:asciiTheme="minorHAnsi" w:hAnsiTheme="minorHAnsi"/>
          <w:b/>
          <w:snapToGrid w:val="0"/>
          <w:sz w:val="32"/>
          <w:szCs w:val="32"/>
        </w:rPr>
        <w:lastRenderedPageBreak/>
        <w:t>9</w:t>
      </w:r>
      <w:r w:rsidRPr="0062622D">
        <w:rPr>
          <w:rFonts w:asciiTheme="minorHAnsi" w:hAnsiTheme="minorHAnsi"/>
          <w:b/>
          <w:snapToGrid w:val="0"/>
          <w:sz w:val="32"/>
          <w:szCs w:val="32"/>
        </w:rPr>
        <w:tab/>
        <w:t>Context for Decision</w:t>
      </w:r>
    </w:p>
    <w:p w14:paraId="71B3172E" w14:textId="77777777" w:rsidR="0062622D" w:rsidRDefault="0062622D" w:rsidP="0062622D">
      <w:pPr>
        <w:spacing w:after="120"/>
        <w:ind w:left="720"/>
        <w:rPr>
          <w:rFonts w:asciiTheme="minorHAnsi" w:hAnsiTheme="minorHAnsi"/>
          <w:bCs/>
          <w:lang w:val="en-GB"/>
        </w:rPr>
      </w:pPr>
      <w:r w:rsidRPr="0062622D">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41B7677" w14:textId="77777777" w:rsidR="00E33CAE" w:rsidRPr="00E33CAE" w:rsidRDefault="00E33CAE" w:rsidP="00E33CAE">
      <w:pPr>
        <w:keepNext/>
        <w:spacing w:before="240" w:after="120"/>
        <w:ind w:left="720" w:hanging="720"/>
        <w:jc w:val="left"/>
        <w:outlineLvl w:val="0"/>
        <w:rPr>
          <w:rFonts w:asciiTheme="minorHAnsi" w:hAnsiTheme="minorHAnsi"/>
          <w:b/>
          <w:snapToGrid w:val="0"/>
          <w:sz w:val="32"/>
          <w:szCs w:val="32"/>
        </w:rPr>
      </w:pPr>
      <w:bookmarkStart w:id="114" w:name="_Hlk218771395"/>
      <w:r w:rsidRPr="00E33CAE">
        <w:rPr>
          <w:rFonts w:asciiTheme="minorHAnsi" w:hAnsiTheme="minorHAnsi"/>
          <w:b/>
          <w:snapToGrid w:val="0"/>
          <w:sz w:val="32"/>
          <w:szCs w:val="32"/>
        </w:rPr>
        <w:t>10</w:t>
      </w:r>
      <w:r w:rsidRPr="00E33CAE">
        <w:rPr>
          <w:rFonts w:asciiTheme="minorHAnsi" w:hAnsiTheme="minorHAnsi"/>
          <w:b/>
          <w:snapToGrid w:val="0"/>
          <w:sz w:val="32"/>
          <w:szCs w:val="32"/>
        </w:rPr>
        <w:tab/>
        <w:t>Sponsor’s Comment</w:t>
      </w:r>
    </w:p>
    <w:bookmarkEnd w:id="114"/>
    <w:p w14:paraId="56B9D42E" w14:textId="77777777" w:rsidR="00195BAB" w:rsidRPr="00F03214" w:rsidRDefault="00195BAB" w:rsidP="00195BAB">
      <w:pPr>
        <w:spacing w:after="120"/>
        <w:ind w:left="720"/>
        <w:rPr>
          <w:rFonts w:asciiTheme="minorHAnsi" w:eastAsiaTheme="minorHAnsi" w:hAnsiTheme="minorHAnsi"/>
          <w:bCs/>
          <w:lang w:eastAsia="en-US"/>
        </w:rPr>
      </w:pPr>
      <w:r w:rsidRPr="00F03214">
        <w:rPr>
          <w:rFonts w:asciiTheme="minorHAnsi" w:eastAsiaTheme="minorHAnsi" w:hAnsiTheme="minorHAnsi"/>
          <w:bCs/>
          <w:lang w:eastAsia="en-US"/>
        </w:rPr>
        <w:t>The sponsor had no comment.</w:t>
      </w:r>
    </w:p>
    <w:p w14:paraId="76291C74" w14:textId="77777777" w:rsidR="00195BAB" w:rsidRPr="0062622D" w:rsidRDefault="00195BAB" w:rsidP="00E33CAE">
      <w:pPr>
        <w:spacing w:after="120"/>
        <w:ind w:left="720"/>
        <w:rPr>
          <w:rFonts w:asciiTheme="minorHAnsi" w:hAnsiTheme="minorHAnsi"/>
          <w:bCs/>
          <w:lang w:val="en-GB"/>
        </w:rPr>
      </w:pPr>
    </w:p>
    <w:bookmarkEnd w:id="113"/>
    <w:p w14:paraId="42EE3C4D" w14:textId="77777777" w:rsidR="008E0631" w:rsidRPr="009D3C02" w:rsidRDefault="008E0631" w:rsidP="009D3C02">
      <w:pPr>
        <w:spacing w:before="120"/>
        <w:rPr>
          <w:rFonts w:asciiTheme="minorHAnsi" w:hAnsiTheme="minorHAnsi"/>
          <w:b/>
          <w:i/>
          <w:iCs/>
          <w:snapToGrid w:val="0"/>
          <w:lang w:val="en-GB"/>
        </w:rPr>
      </w:pPr>
    </w:p>
    <w:sectPr w:rsidR="008E0631" w:rsidRPr="009D3C02" w:rsidSect="00D84C17">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510D" w14:textId="77777777" w:rsidR="00404847" w:rsidRPr="002E75D2" w:rsidRDefault="00404847" w:rsidP="00124A51">
      <w:r w:rsidRPr="002E75D2">
        <w:separator/>
      </w:r>
    </w:p>
    <w:p w14:paraId="4E560ABB" w14:textId="77777777" w:rsidR="00404847" w:rsidRPr="002E75D2" w:rsidRDefault="00404847"/>
  </w:endnote>
  <w:endnote w:type="continuationSeparator" w:id="0">
    <w:p w14:paraId="088E8947" w14:textId="77777777" w:rsidR="00404847" w:rsidRPr="002E75D2" w:rsidRDefault="00404847" w:rsidP="00124A51">
      <w:r w:rsidRPr="002E75D2">
        <w:continuationSeparator/>
      </w:r>
    </w:p>
    <w:p w14:paraId="5F350CAF" w14:textId="77777777" w:rsidR="00404847" w:rsidRPr="002E75D2" w:rsidRDefault="00404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Headings)">
    <w:altName w:val="Calibri Light"/>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w:altName w:val="Times New Roman"/>
    <w:charset w:val="00"/>
    <w:family w:val="roman"/>
    <w:pitch w:val="variable"/>
    <w:sig w:usb0="80000067" w:usb1="02000000" w:usb2="00000000" w:usb3="00000000" w:csb0="0000019F" w:csb1="00000000"/>
  </w:font>
  <w:font w:name="@SimSun-ExtB">
    <w:charset w:val="86"/>
    <w:family w:val="modern"/>
    <w:pitch w:val="fixed"/>
    <w:sig w:usb0="00000003" w:usb1="0A0E0000" w:usb2="00000010"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3660" w14:textId="3F91CBD1" w:rsidR="00090F6C" w:rsidRDefault="00090F6C">
    <w:pPr>
      <w:pStyle w:val="Footer"/>
    </w:pPr>
    <w:r>
      <w:rPr>
        <w:noProof/>
      </w:rPr>
      <mc:AlternateContent>
        <mc:Choice Requires="wps">
          <w:drawing>
            <wp:anchor distT="0" distB="0" distL="0" distR="0" simplePos="0" relativeHeight="251658244" behindDoc="0" locked="0" layoutInCell="1" allowOverlap="1" wp14:anchorId="5744DBB4" wp14:editId="55D76BBC">
              <wp:simplePos x="635" y="635"/>
              <wp:positionH relativeFrom="page">
                <wp:align>center</wp:align>
              </wp:positionH>
              <wp:positionV relativeFrom="page">
                <wp:align>bottom</wp:align>
              </wp:positionV>
              <wp:extent cx="622300" cy="376555"/>
              <wp:effectExtent l="0" t="0" r="6350" b="0"/>
              <wp:wrapNone/>
              <wp:docPr id="1293531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8FF8AB" w14:textId="0043BB8D"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44DBB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A8FF8AB" w14:textId="0043BB8D"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AB91" w14:textId="586ED9D0" w:rsidR="002258EC" w:rsidRPr="002E75D2" w:rsidRDefault="00090F6C" w:rsidP="00753B29">
    <w:pPr>
      <w:pStyle w:val="Footer"/>
      <w:jc w:val="center"/>
    </w:pPr>
    <w:r>
      <w:rPr>
        <w:noProof/>
      </w:rPr>
      <mc:AlternateContent>
        <mc:Choice Requires="wps">
          <w:drawing>
            <wp:anchor distT="0" distB="0" distL="0" distR="0" simplePos="0" relativeHeight="251658245" behindDoc="0" locked="0" layoutInCell="1" allowOverlap="1" wp14:anchorId="2FA6DEE6" wp14:editId="47938073">
              <wp:simplePos x="635" y="635"/>
              <wp:positionH relativeFrom="page">
                <wp:align>center</wp:align>
              </wp:positionH>
              <wp:positionV relativeFrom="page">
                <wp:align>bottom</wp:align>
              </wp:positionV>
              <wp:extent cx="622300" cy="376555"/>
              <wp:effectExtent l="0" t="0" r="6350" b="0"/>
              <wp:wrapNone/>
              <wp:docPr id="3192774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D7C3C7" w14:textId="5F7E87ED"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6DEE6"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BD7C3C7" w14:textId="5F7E87ED"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v:textbox>
              <w10:wrap anchorx="page" anchory="page"/>
            </v:shape>
          </w:pict>
        </mc:Fallback>
      </mc:AlternateContent>
    </w:r>
  </w:p>
  <w:bookmarkStart w:id="116" w:name="_Hlk76375156"/>
  <w:p w14:paraId="2977BDC8" w14:textId="698E26FC" w:rsidR="002258EC" w:rsidRPr="005921B4" w:rsidRDefault="005921B4" w:rsidP="005921B4">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1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FBA2" w14:textId="553C6BD8" w:rsidR="00090F6C" w:rsidRDefault="00090F6C">
    <w:pPr>
      <w:pStyle w:val="Footer"/>
    </w:pPr>
    <w:r>
      <w:rPr>
        <w:noProof/>
      </w:rPr>
      <mc:AlternateContent>
        <mc:Choice Requires="wps">
          <w:drawing>
            <wp:anchor distT="0" distB="0" distL="0" distR="0" simplePos="0" relativeHeight="251658243" behindDoc="0" locked="0" layoutInCell="1" allowOverlap="1" wp14:anchorId="0A0228B2" wp14:editId="4A0F80AA">
              <wp:simplePos x="635" y="635"/>
              <wp:positionH relativeFrom="page">
                <wp:align>center</wp:align>
              </wp:positionH>
              <wp:positionV relativeFrom="page">
                <wp:align>bottom</wp:align>
              </wp:positionV>
              <wp:extent cx="622300" cy="376555"/>
              <wp:effectExtent l="0" t="0" r="6350" b="0"/>
              <wp:wrapNone/>
              <wp:docPr id="17639610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B31730" w14:textId="1E8D4CCE"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0228B2"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1B31730" w14:textId="1E8D4CCE"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A377" w14:textId="77777777" w:rsidR="00404847" w:rsidRPr="002E75D2" w:rsidRDefault="00404847" w:rsidP="00124A51">
      <w:r w:rsidRPr="002E75D2">
        <w:separator/>
      </w:r>
    </w:p>
    <w:p w14:paraId="05B8F7FB" w14:textId="77777777" w:rsidR="00404847" w:rsidRPr="002E75D2" w:rsidRDefault="00404847"/>
  </w:footnote>
  <w:footnote w:type="continuationSeparator" w:id="0">
    <w:p w14:paraId="4B0D169E" w14:textId="77777777" w:rsidR="00404847" w:rsidRPr="002E75D2" w:rsidRDefault="00404847" w:rsidP="00124A51">
      <w:r w:rsidRPr="002E75D2">
        <w:continuationSeparator/>
      </w:r>
    </w:p>
    <w:p w14:paraId="50297E32" w14:textId="77777777" w:rsidR="00404847" w:rsidRPr="002E75D2" w:rsidRDefault="00404847"/>
  </w:footnote>
  <w:footnote w:id="1">
    <w:p w14:paraId="164F3DAF" w14:textId="77777777" w:rsidR="00A32EC0" w:rsidRPr="002E75D2" w:rsidRDefault="00A32EC0" w:rsidP="00A32EC0">
      <w:pPr>
        <w:pStyle w:val="FootnoteText"/>
      </w:pPr>
      <w:r w:rsidRPr="002E75D2">
        <w:rPr>
          <w:rStyle w:val="FootnoteReference"/>
        </w:rPr>
        <w:footnoteRef/>
      </w:r>
      <w:r w:rsidRPr="00D26E8F">
        <w:rPr>
          <w:lang w:val="da-DK"/>
        </w:rPr>
        <w:t xml:space="preserve"> Menné T, Johansen JD, Sommerlund M, Veien NK. </w:t>
      </w:r>
      <w:r w:rsidRPr="002E75D2">
        <w:t>Hand eczema guidelines based on the Danish guidelines for the diagnosis and treatment of hand eczema. Contact dermatitis. 2011 Jul;65(1):3-12.</w:t>
      </w:r>
    </w:p>
  </w:footnote>
  <w:footnote w:id="2">
    <w:p w14:paraId="45A4A0CC" w14:textId="7CD0D2C8" w:rsidR="00930EBC" w:rsidRPr="002E75D2" w:rsidRDefault="00930EBC" w:rsidP="00930EBC">
      <w:pPr>
        <w:pStyle w:val="FootnoteText"/>
      </w:pPr>
      <w:r w:rsidRPr="002E75D2">
        <w:rPr>
          <w:rStyle w:val="FootnoteReference"/>
        </w:rPr>
        <w:footnoteRef/>
      </w:r>
      <w:r w:rsidRPr="002E75D2">
        <w:t xml:space="preserve"> Apfelbacher, C, Bewley, A, Molin, S, et al.</w:t>
      </w:r>
      <w:r w:rsidR="00157FE1" w:rsidRPr="002E75D2">
        <w:t xml:space="preserve"> </w:t>
      </w:r>
      <w:r w:rsidRPr="002E75D2">
        <w:t>2024, ‘Prevalence of Chronic Hand Eczema in adults: A cross-sectional multi-national study of over 60,000 respondents in the general population. Poster presentation #3’, paper presented at European Society of Contact Dermatitis Congress, Dresden, Germany.</w:t>
      </w:r>
    </w:p>
  </w:footnote>
  <w:footnote w:id="3">
    <w:p w14:paraId="4269D16F" w14:textId="0381220F" w:rsidR="005E53F2" w:rsidRPr="002E75D2" w:rsidRDefault="005E53F2" w:rsidP="005E53F2">
      <w:pPr>
        <w:pStyle w:val="Bibliography"/>
        <w:rPr>
          <w:rFonts w:ascii="Calibri" w:hAnsi="Calibri" w:cs="Calibri"/>
        </w:rPr>
      </w:pPr>
      <w:r w:rsidRPr="002E75D2">
        <w:rPr>
          <w:rStyle w:val="FootnoteReference"/>
        </w:rPr>
        <w:footnoteRef/>
      </w:r>
      <w:r w:rsidRPr="00D26E8F">
        <w:rPr>
          <w:lang w:val="da-DK"/>
        </w:rPr>
        <w:t xml:space="preserve"> </w:t>
      </w:r>
      <w:r w:rsidRPr="00D26E8F">
        <w:rPr>
          <w:rFonts w:ascii="Calibri" w:eastAsia="Times New Roman" w:hAnsi="Calibri" w:cs="Arial"/>
          <w:sz w:val="20"/>
          <w:szCs w:val="20"/>
          <w:lang w:val="da-DK" w:eastAsia="en-AU"/>
        </w:rPr>
        <w:t xml:space="preserve">Thyssen, JP, Schuttelaar, MLA, Alfonso, JH, </w:t>
      </w:r>
      <w:r w:rsidR="00157FE1" w:rsidRPr="00D26E8F">
        <w:rPr>
          <w:rFonts w:ascii="Calibri" w:eastAsia="Times New Roman" w:hAnsi="Calibri" w:cs="Arial"/>
          <w:sz w:val="20"/>
          <w:szCs w:val="20"/>
          <w:lang w:val="da-DK" w:eastAsia="en-AU"/>
        </w:rPr>
        <w:t>et al.</w:t>
      </w:r>
      <w:r w:rsidR="004D2BA9">
        <w:rPr>
          <w:rFonts w:ascii="Calibri" w:eastAsia="Times New Roman" w:hAnsi="Calibri" w:cs="Arial"/>
          <w:sz w:val="20"/>
          <w:szCs w:val="20"/>
          <w:lang w:val="da-DK" w:eastAsia="en-AU"/>
        </w:rPr>
        <w:t xml:space="preserve"> </w:t>
      </w:r>
      <w:r w:rsidRPr="002E75D2">
        <w:rPr>
          <w:rFonts w:ascii="Calibri" w:eastAsia="Times New Roman" w:hAnsi="Calibri" w:cs="Arial"/>
          <w:sz w:val="20"/>
          <w:szCs w:val="20"/>
          <w:lang w:eastAsia="en-AU"/>
        </w:rPr>
        <w:t>2022, ‘Guidelines for diagnosis, prevention, and treatment of hand eczema’, Contact Dermatitis, vol. 86, no. 5, pp. 357–378.</w:t>
      </w:r>
    </w:p>
  </w:footnote>
  <w:footnote w:id="4">
    <w:p w14:paraId="2CF03ED5" w14:textId="2C0A0922" w:rsidR="004B4B23" w:rsidRPr="002E75D2" w:rsidRDefault="004B4B23">
      <w:pPr>
        <w:pStyle w:val="FootnoteText"/>
      </w:pPr>
      <w:r w:rsidRPr="002E75D2">
        <w:rPr>
          <w:rStyle w:val="FootnoteReference"/>
        </w:rPr>
        <w:footnoteRef/>
      </w:r>
      <w:r w:rsidRPr="002E75D2">
        <w:t xml:space="preserve"> Christoffers WA, Coenraads PJ, Svensson Å, Diepgen TL, Dickinson‐Blok JL, Xia J, Williams HC. Interventions for hand eczema. Cochrane Database of Systematic Reviews 2019, Issue 4. Art. No.: CD004055. DOI: 10.1002/14651858.CD004055.pub2.</w:t>
      </w:r>
    </w:p>
  </w:footnote>
  <w:footnote w:id="5">
    <w:p w14:paraId="5ED5C08D" w14:textId="7898A7D1" w:rsidR="009049B7" w:rsidRPr="002E75D2" w:rsidRDefault="009049B7">
      <w:pPr>
        <w:pStyle w:val="FootnoteText"/>
      </w:pPr>
      <w:r w:rsidRPr="002E75D2">
        <w:rPr>
          <w:rStyle w:val="FootnoteReference"/>
        </w:rPr>
        <w:footnoteRef/>
      </w:r>
      <w:r w:rsidRPr="002E75D2">
        <w:t xml:space="preserve"> https://www.nice.org.uk/guidance/GID-TA11506/documents/consultation-document</w:t>
      </w:r>
    </w:p>
  </w:footnote>
  <w:footnote w:id="6">
    <w:p w14:paraId="4EB112BB" w14:textId="2722F19C" w:rsidR="009049B7" w:rsidRPr="002E75D2" w:rsidRDefault="009049B7">
      <w:pPr>
        <w:pStyle w:val="FootnoteText"/>
      </w:pPr>
      <w:r w:rsidRPr="002E75D2">
        <w:rPr>
          <w:rStyle w:val="FootnoteReference"/>
        </w:rPr>
        <w:footnoteRef/>
      </w:r>
      <w:r w:rsidRPr="002E75D2">
        <w:t xml:space="preserve"> In its assessment of dupilumab for patients aged 12 years and older with severe atopic dermatitis inadequately controlled by topical therapies, the PBAC noted that the use of phototherapy in Australia was limited due to its restricted availability and the significant burden it places on patients in terms of treatment frequency, duration, and cost (paragraph 7.19, dupilumab, PSD, March 2020 PBAC Meeting).</w:t>
      </w:r>
    </w:p>
  </w:footnote>
  <w:footnote w:id="7">
    <w:p w14:paraId="166B6CC9" w14:textId="2CB6A18A" w:rsidR="00E22D71" w:rsidRDefault="00E22D71">
      <w:pPr>
        <w:pStyle w:val="FootnoteText"/>
      </w:pPr>
      <w:r>
        <w:rPr>
          <w:rStyle w:val="FootnoteReference"/>
        </w:rPr>
        <w:footnoteRef/>
      </w:r>
      <w:r>
        <w:t xml:space="preserve"> </w:t>
      </w:r>
      <w:r w:rsidR="0000317E" w:rsidRPr="0000317E">
        <w:t>The PBAC is open to receiving new evidence that may support changes to its recommendations. The sponsor has submitted further information for future PBAC consideration, which it believes would be relevant to the PBAC’s consideration of the 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91CF" w14:textId="0A2FCB83" w:rsidR="00090F6C" w:rsidRDefault="00090F6C">
    <w:pPr>
      <w:pStyle w:val="Header"/>
    </w:pPr>
    <w:r>
      <w:rPr>
        <w:noProof/>
      </w:rPr>
      <mc:AlternateContent>
        <mc:Choice Requires="wps">
          <w:drawing>
            <wp:anchor distT="0" distB="0" distL="0" distR="0" simplePos="0" relativeHeight="251658241" behindDoc="0" locked="0" layoutInCell="1" allowOverlap="1" wp14:anchorId="669F27EB" wp14:editId="33103ADB">
              <wp:simplePos x="635" y="635"/>
              <wp:positionH relativeFrom="page">
                <wp:align>center</wp:align>
              </wp:positionH>
              <wp:positionV relativeFrom="page">
                <wp:align>top</wp:align>
              </wp:positionV>
              <wp:extent cx="622300" cy="376555"/>
              <wp:effectExtent l="0" t="0" r="6350" b="4445"/>
              <wp:wrapNone/>
              <wp:docPr id="10769904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F7EDAB" w14:textId="68658F5D"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F27E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EF7EDAB" w14:textId="68658F5D"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5" w:name="_Hlk76375146"/>
  <w:p w14:paraId="37F056F3" w14:textId="6BAFF4FC" w:rsidR="00D162BA" w:rsidRPr="00056684" w:rsidRDefault="00090F6C" w:rsidP="00D162BA">
    <w:pPr>
      <w:pStyle w:val="Header"/>
      <w:ind w:left="360"/>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0CD4CFFA" wp14:editId="51AFB004">
              <wp:simplePos x="635" y="635"/>
              <wp:positionH relativeFrom="page">
                <wp:align>center</wp:align>
              </wp:positionH>
              <wp:positionV relativeFrom="page">
                <wp:align>top</wp:align>
              </wp:positionV>
              <wp:extent cx="622300" cy="376555"/>
              <wp:effectExtent l="0" t="0" r="6350" b="4445"/>
              <wp:wrapNone/>
              <wp:docPr id="8081302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93D495" w14:textId="034F1EB7"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D4CFF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593D495" w14:textId="034F1EB7"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v:textbox>
              <w10:wrap anchorx="page" anchory="page"/>
            </v:shape>
          </w:pict>
        </mc:Fallback>
      </mc:AlternateContent>
    </w:r>
    <w:r w:rsidR="006E35CD">
      <w:rPr>
        <w:rFonts w:asciiTheme="minorHAnsi" w:hAnsiTheme="minorHAnsi"/>
        <w:color w:val="808080"/>
      </w:rPr>
      <w:t>Public Summary Document</w:t>
    </w:r>
    <w:r w:rsidR="00D162BA" w:rsidRPr="00056684">
      <w:rPr>
        <w:rFonts w:asciiTheme="minorHAnsi" w:hAnsiTheme="minorHAnsi"/>
        <w:color w:val="808080"/>
      </w:rPr>
      <w:t xml:space="preserve"> – </w:t>
    </w:r>
    <w:r w:rsidR="00D162BA">
      <w:rPr>
        <w:rFonts w:asciiTheme="minorHAnsi" w:hAnsiTheme="minorHAnsi"/>
        <w:color w:val="808080"/>
      </w:rPr>
      <w:t>November 2025</w:t>
    </w:r>
    <w:r w:rsidR="00D162BA" w:rsidRPr="00056684">
      <w:rPr>
        <w:rFonts w:asciiTheme="minorHAnsi" w:hAnsiTheme="minorHAnsi"/>
        <w:color w:val="808080"/>
      </w:rPr>
      <w:t xml:space="preserve"> PBAC Meeting</w:t>
    </w:r>
  </w:p>
  <w:bookmarkEnd w:id="115"/>
  <w:p w14:paraId="0671EB18" w14:textId="77777777" w:rsidR="002258EC" w:rsidRPr="002E75D2" w:rsidRDefault="00225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4A82" w14:textId="67D92640" w:rsidR="00090F6C" w:rsidRDefault="00090F6C">
    <w:pPr>
      <w:pStyle w:val="Header"/>
    </w:pPr>
    <w:r>
      <w:rPr>
        <w:noProof/>
      </w:rPr>
      <mc:AlternateContent>
        <mc:Choice Requires="wps">
          <w:drawing>
            <wp:anchor distT="0" distB="0" distL="0" distR="0" simplePos="0" relativeHeight="251658240" behindDoc="0" locked="0" layoutInCell="1" allowOverlap="1" wp14:anchorId="109D4B01" wp14:editId="2AA6088D">
              <wp:simplePos x="635" y="635"/>
              <wp:positionH relativeFrom="page">
                <wp:align>center</wp:align>
              </wp:positionH>
              <wp:positionV relativeFrom="page">
                <wp:align>top</wp:align>
              </wp:positionV>
              <wp:extent cx="622300" cy="376555"/>
              <wp:effectExtent l="0" t="0" r="6350" b="4445"/>
              <wp:wrapNone/>
              <wp:docPr id="7564999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E43F4B" w14:textId="295CD539"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9D4B01"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2E43F4B" w14:textId="295CD539" w:rsidR="00090F6C" w:rsidRPr="00090F6C" w:rsidRDefault="00090F6C" w:rsidP="00090F6C">
                    <w:pPr>
                      <w:rPr>
                        <w:rFonts w:ascii="Aptos" w:eastAsia="Aptos" w:hAnsi="Aptos" w:cs="Aptos"/>
                        <w:noProof/>
                        <w:color w:val="FF0000"/>
                      </w:rPr>
                    </w:pPr>
                    <w:r w:rsidRPr="00090F6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63708"/>
    <w:multiLevelType w:val="multilevel"/>
    <w:tmpl w:val="8FEA69D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1C0510"/>
    <w:multiLevelType w:val="hybridMultilevel"/>
    <w:tmpl w:val="C64A822E"/>
    <w:lvl w:ilvl="0" w:tplc="A3DE2B22">
      <w:start w:val="1"/>
      <w:numFmt w:val="bullet"/>
      <w:pStyle w:val="BoxBullet"/>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D6018"/>
    <w:multiLevelType w:val="hybridMultilevel"/>
    <w:tmpl w:val="67E89F58"/>
    <w:styleLink w:val="HeadingListStyle11"/>
    <w:lvl w:ilvl="0" w:tplc="85C8C258">
      <w:start w:val="1"/>
      <w:numFmt w:val="bullet"/>
      <w:lvlText w:val=""/>
      <w:lvlJc w:val="left"/>
      <w:pPr>
        <w:ind w:left="720" w:hanging="360"/>
      </w:pPr>
      <w:rPr>
        <w:rFonts w:ascii="Symbol" w:hAnsi="Symbol"/>
      </w:rPr>
    </w:lvl>
    <w:lvl w:ilvl="1" w:tplc="218C661A">
      <w:start w:val="1"/>
      <w:numFmt w:val="bullet"/>
      <w:lvlText w:val=""/>
      <w:lvlJc w:val="left"/>
      <w:pPr>
        <w:ind w:left="720" w:hanging="360"/>
      </w:pPr>
      <w:rPr>
        <w:rFonts w:ascii="Symbol" w:hAnsi="Symbol"/>
      </w:rPr>
    </w:lvl>
    <w:lvl w:ilvl="2" w:tplc="5C0A4626">
      <w:start w:val="1"/>
      <w:numFmt w:val="bullet"/>
      <w:lvlText w:val=""/>
      <w:lvlJc w:val="left"/>
      <w:pPr>
        <w:ind w:left="720" w:hanging="360"/>
      </w:pPr>
      <w:rPr>
        <w:rFonts w:ascii="Symbol" w:hAnsi="Symbol"/>
      </w:rPr>
    </w:lvl>
    <w:lvl w:ilvl="3" w:tplc="6DC22B62">
      <w:start w:val="1"/>
      <w:numFmt w:val="bullet"/>
      <w:lvlText w:val=""/>
      <w:lvlJc w:val="left"/>
      <w:pPr>
        <w:ind w:left="720" w:hanging="360"/>
      </w:pPr>
      <w:rPr>
        <w:rFonts w:ascii="Symbol" w:hAnsi="Symbol"/>
      </w:rPr>
    </w:lvl>
    <w:lvl w:ilvl="4" w:tplc="C6F8A5FC">
      <w:start w:val="1"/>
      <w:numFmt w:val="bullet"/>
      <w:lvlText w:val=""/>
      <w:lvlJc w:val="left"/>
      <w:pPr>
        <w:ind w:left="720" w:hanging="360"/>
      </w:pPr>
      <w:rPr>
        <w:rFonts w:ascii="Symbol" w:hAnsi="Symbol"/>
      </w:rPr>
    </w:lvl>
    <w:lvl w:ilvl="5" w:tplc="2D72BF6C">
      <w:start w:val="1"/>
      <w:numFmt w:val="bullet"/>
      <w:lvlText w:val=""/>
      <w:lvlJc w:val="left"/>
      <w:pPr>
        <w:ind w:left="720" w:hanging="360"/>
      </w:pPr>
      <w:rPr>
        <w:rFonts w:ascii="Symbol" w:hAnsi="Symbol"/>
      </w:rPr>
    </w:lvl>
    <w:lvl w:ilvl="6" w:tplc="44D03ADA">
      <w:start w:val="1"/>
      <w:numFmt w:val="bullet"/>
      <w:lvlText w:val=""/>
      <w:lvlJc w:val="left"/>
      <w:pPr>
        <w:ind w:left="720" w:hanging="360"/>
      </w:pPr>
      <w:rPr>
        <w:rFonts w:ascii="Symbol" w:hAnsi="Symbol"/>
      </w:rPr>
    </w:lvl>
    <w:lvl w:ilvl="7" w:tplc="490E0994">
      <w:start w:val="1"/>
      <w:numFmt w:val="bullet"/>
      <w:lvlText w:val=""/>
      <w:lvlJc w:val="left"/>
      <w:pPr>
        <w:ind w:left="720" w:hanging="360"/>
      </w:pPr>
      <w:rPr>
        <w:rFonts w:ascii="Symbol" w:hAnsi="Symbol"/>
      </w:rPr>
    </w:lvl>
    <w:lvl w:ilvl="8" w:tplc="D1FEB886">
      <w:start w:val="1"/>
      <w:numFmt w:val="bullet"/>
      <w:lvlText w:val=""/>
      <w:lvlJc w:val="left"/>
      <w:pPr>
        <w:ind w:left="720" w:hanging="360"/>
      </w:pPr>
      <w:rPr>
        <w:rFonts w:ascii="Symbol" w:hAnsi="Symbol"/>
      </w:rPr>
    </w:lvl>
  </w:abstractNum>
  <w:abstractNum w:abstractNumId="6"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986CC5"/>
    <w:multiLevelType w:val="multilevel"/>
    <w:tmpl w:val="42260E50"/>
    <w:styleLink w:val="HeadingListStyle"/>
    <w:lvl w:ilvl="0">
      <w:start w:val="1"/>
      <w:numFmt w:val="decimal"/>
      <w:lvlText w:val="Section %1"/>
      <w:lvlJc w:val="left"/>
      <w:pPr>
        <w:ind w:left="2268" w:hanging="2268"/>
      </w:pPr>
      <w:rPr>
        <w:rFonts w:hint="default"/>
      </w:rPr>
    </w:lvl>
    <w:lvl w:ilvl="1">
      <w:start w:val="1"/>
      <w:numFmt w:val="upperLetter"/>
      <w:lvlText w:val="Section %1%2"/>
      <w:lvlJc w:val="left"/>
      <w:pPr>
        <w:ind w:left="2268" w:hanging="2268"/>
      </w:pPr>
      <w:rPr>
        <w:rFonts w:hint="default"/>
      </w:rPr>
    </w:lvl>
    <w:lvl w:ilvl="2">
      <w:start w:val="1"/>
      <w:numFmt w:val="decimal"/>
      <w:lvlRestart w:val="1"/>
      <w:lvlText w:val="%1.%3"/>
      <w:lvlJc w:val="left"/>
      <w:pPr>
        <w:ind w:left="1134" w:hanging="1134"/>
      </w:pPr>
      <w:rPr>
        <w:rFonts w:hint="default"/>
      </w:rPr>
    </w:lvl>
    <w:lvl w:ilvl="3">
      <w:start w:val="1"/>
      <w:numFmt w:val="decimal"/>
      <w:lvlRestart w:val="2"/>
      <w:lvlText w:val="%1%2.%4"/>
      <w:lvlJc w:val="left"/>
      <w:pPr>
        <w:ind w:left="1134" w:hanging="1134"/>
      </w:pPr>
      <w:rPr>
        <w:rFonts w:hint="default"/>
      </w:rPr>
    </w:lvl>
    <w:lvl w:ilvl="4">
      <w:start w:val="1"/>
      <w:numFmt w:val="decimal"/>
      <w:lvlRestart w:val="3"/>
      <w:lvlText w:val="%1.%3.%5"/>
      <w:lvlJc w:val="left"/>
      <w:pPr>
        <w:ind w:left="1134" w:hanging="1134"/>
      </w:pPr>
      <w:rPr>
        <w:rFonts w:hint="default"/>
      </w:rPr>
    </w:lvl>
    <w:lvl w:ilvl="5">
      <w:start w:val="1"/>
      <w:numFmt w:val="decimal"/>
      <w:lvlRestart w:val="4"/>
      <w:lvlText w:val="%1%2.%4.%6"/>
      <w:lvlJc w:val="left"/>
      <w:pPr>
        <w:ind w:left="1134" w:hanging="113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B3963898"/>
    <w:lvl w:ilvl="0" w:tplc="A9A807E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B3045A"/>
    <w:multiLevelType w:val="hybridMultilevel"/>
    <w:tmpl w:val="1222F854"/>
    <w:lvl w:ilvl="0" w:tplc="5CA6C3B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414871"/>
    <w:multiLevelType w:val="hybridMultilevel"/>
    <w:tmpl w:val="33E402E6"/>
    <w:lvl w:ilvl="0" w:tplc="B3DA2C6A">
      <w:start w:val="1"/>
      <w:numFmt w:val="bullet"/>
      <w:pStyle w:val="BulletBefore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3C150C"/>
    <w:multiLevelType w:val="multilevel"/>
    <w:tmpl w:val="B0FC4C04"/>
    <w:lvl w:ilvl="0">
      <w:start w:val="1"/>
      <w:numFmt w:val="decimal"/>
      <w:pStyle w:val="Appendix"/>
      <w:lvlText w:val="%1)Appendix A"/>
      <w:lvlJc w:val="left"/>
      <w:pPr>
        <w:ind w:left="360" w:hanging="360"/>
      </w:pPr>
      <w:rPr>
        <w:rFonts w:ascii="Calibri Light (Headings)" w:hAnsi="Calibri Light (Headings)" w:hint="default"/>
        <w:b/>
        <w:i w:val="0"/>
        <w:sz w:val="22"/>
      </w:rPr>
    </w:lvl>
    <w:lvl w:ilvl="1">
      <w:start w:val="1"/>
      <w:numFmt w:val="upperLetter"/>
      <w:lvlText w:val="%2)Appendix A.%1"/>
      <w:lvlJc w:val="left"/>
      <w:pPr>
        <w:ind w:left="720" w:hanging="360"/>
      </w:pPr>
      <w:rPr>
        <w:rFonts w:hint="default"/>
      </w:rPr>
    </w:lvl>
    <w:lvl w:ilvl="2">
      <w:start w:val="1"/>
      <w:numFmt w:val="decimal"/>
      <w:lvlText w:val="%3)Appendix A.%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5C06E4"/>
    <w:multiLevelType w:val="hybridMultilevel"/>
    <w:tmpl w:val="59405E2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D24B41"/>
    <w:multiLevelType w:val="hybridMultilevel"/>
    <w:tmpl w:val="5E94BEF6"/>
    <w:lvl w:ilvl="0" w:tplc="8A86C940">
      <w:start w:val="1"/>
      <w:numFmt w:val="bullet"/>
      <w:lvlText w:val=""/>
      <w:lvlJc w:val="left"/>
      <w:pPr>
        <w:ind w:left="1020" w:hanging="360"/>
      </w:pPr>
      <w:rPr>
        <w:rFonts w:ascii="Symbol" w:hAnsi="Symbol"/>
      </w:rPr>
    </w:lvl>
    <w:lvl w:ilvl="1" w:tplc="3482AA5C">
      <w:start w:val="1"/>
      <w:numFmt w:val="bullet"/>
      <w:lvlText w:val=""/>
      <w:lvlJc w:val="left"/>
      <w:pPr>
        <w:ind w:left="1020" w:hanging="360"/>
      </w:pPr>
      <w:rPr>
        <w:rFonts w:ascii="Symbol" w:hAnsi="Symbol"/>
      </w:rPr>
    </w:lvl>
    <w:lvl w:ilvl="2" w:tplc="16A4067C">
      <w:start w:val="1"/>
      <w:numFmt w:val="bullet"/>
      <w:lvlText w:val=""/>
      <w:lvlJc w:val="left"/>
      <w:pPr>
        <w:ind w:left="1020" w:hanging="360"/>
      </w:pPr>
      <w:rPr>
        <w:rFonts w:ascii="Symbol" w:hAnsi="Symbol"/>
      </w:rPr>
    </w:lvl>
    <w:lvl w:ilvl="3" w:tplc="27A41E28">
      <w:start w:val="1"/>
      <w:numFmt w:val="bullet"/>
      <w:lvlText w:val=""/>
      <w:lvlJc w:val="left"/>
      <w:pPr>
        <w:ind w:left="1020" w:hanging="360"/>
      </w:pPr>
      <w:rPr>
        <w:rFonts w:ascii="Symbol" w:hAnsi="Symbol"/>
      </w:rPr>
    </w:lvl>
    <w:lvl w:ilvl="4" w:tplc="26A63A94">
      <w:start w:val="1"/>
      <w:numFmt w:val="bullet"/>
      <w:lvlText w:val=""/>
      <w:lvlJc w:val="left"/>
      <w:pPr>
        <w:ind w:left="1020" w:hanging="360"/>
      </w:pPr>
      <w:rPr>
        <w:rFonts w:ascii="Symbol" w:hAnsi="Symbol"/>
      </w:rPr>
    </w:lvl>
    <w:lvl w:ilvl="5" w:tplc="903843F2">
      <w:start w:val="1"/>
      <w:numFmt w:val="bullet"/>
      <w:lvlText w:val=""/>
      <w:lvlJc w:val="left"/>
      <w:pPr>
        <w:ind w:left="1020" w:hanging="360"/>
      </w:pPr>
      <w:rPr>
        <w:rFonts w:ascii="Symbol" w:hAnsi="Symbol"/>
      </w:rPr>
    </w:lvl>
    <w:lvl w:ilvl="6" w:tplc="0FB62E84">
      <w:start w:val="1"/>
      <w:numFmt w:val="bullet"/>
      <w:lvlText w:val=""/>
      <w:lvlJc w:val="left"/>
      <w:pPr>
        <w:ind w:left="1020" w:hanging="360"/>
      </w:pPr>
      <w:rPr>
        <w:rFonts w:ascii="Symbol" w:hAnsi="Symbol"/>
      </w:rPr>
    </w:lvl>
    <w:lvl w:ilvl="7" w:tplc="F37455F6">
      <w:start w:val="1"/>
      <w:numFmt w:val="bullet"/>
      <w:lvlText w:val=""/>
      <w:lvlJc w:val="left"/>
      <w:pPr>
        <w:ind w:left="1020" w:hanging="360"/>
      </w:pPr>
      <w:rPr>
        <w:rFonts w:ascii="Symbol" w:hAnsi="Symbol"/>
      </w:rPr>
    </w:lvl>
    <w:lvl w:ilvl="8" w:tplc="406E2FCE">
      <w:start w:val="1"/>
      <w:numFmt w:val="bullet"/>
      <w:lvlText w:val=""/>
      <w:lvlJc w:val="left"/>
      <w:pPr>
        <w:ind w:left="1020" w:hanging="360"/>
      </w:pPr>
      <w:rPr>
        <w:rFonts w:ascii="Symbol" w:hAnsi="Symbol"/>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5D24"/>
    <w:multiLevelType w:val="hybridMultilevel"/>
    <w:tmpl w:val="EDB6DCD8"/>
    <w:styleLink w:val="HeadingListStyle2"/>
    <w:lvl w:ilvl="0" w:tplc="FD425A02">
      <w:start w:val="1"/>
      <w:numFmt w:val="bullet"/>
      <w:lvlText w:val=""/>
      <w:lvlJc w:val="left"/>
      <w:pPr>
        <w:ind w:left="720" w:hanging="360"/>
      </w:pPr>
      <w:rPr>
        <w:rFonts w:ascii="Symbol" w:hAnsi="Symbol"/>
      </w:rPr>
    </w:lvl>
    <w:lvl w:ilvl="1" w:tplc="5CE657EE">
      <w:start w:val="1"/>
      <w:numFmt w:val="bullet"/>
      <w:lvlText w:val=""/>
      <w:lvlJc w:val="left"/>
      <w:pPr>
        <w:ind w:left="720" w:hanging="360"/>
      </w:pPr>
      <w:rPr>
        <w:rFonts w:ascii="Symbol" w:hAnsi="Symbol"/>
      </w:rPr>
    </w:lvl>
    <w:lvl w:ilvl="2" w:tplc="E1BCA800">
      <w:start w:val="1"/>
      <w:numFmt w:val="bullet"/>
      <w:lvlText w:val=""/>
      <w:lvlJc w:val="left"/>
      <w:pPr>
        <w:ind w:left="720" w:hanging="360"/>
      </w:pPr>
      <w:rPr>
        <w:rFonts w:ascii="Symbol" w:hAnsi="Symbol"/>
      </w:rPr>
    </w:lvl>
    <w:lvl w:ilvl="3" w:tplc="AF1C54E2">
      <w:start w:val="1"/>
      <w:numFmt w:val="bullet"/>
      <w:lvlText w:val=""/>
      <w:lvlJc w:val="left"/>
      <w:pPr>
        <w:ind w:left="720" w:hanging="360"/>
      </w:pPr>
      <w:rPr>
        <w:rFonts w:ascii="Symbol" w:hAnsi="Symbol"/>
      </w:rPr>
    </w:lvl>
    <w:lvl w:ilvl="4" w:tplc="EAA675C2">
      <w:start w:val="1"/>
      <w:numFmt w:val="bullet"/>
      <w:lvlText w:val=""/>
      <w:lvlJc w:val="left"/>
      <w:pPr>
        <w:ind w:left="720" w:hanging="360"/>
      </w:pPr>
      <w:rPr>
        <w:rFonts w:ascii="Symbol" w:hAnsi="Symbol"/>
      </w:rPr>
    </w:lvl>
    <w:lvl w:ilvl="5" w:tplc="0994D932">
      <w:start w:val="1"/>
      <w:numFmt w:val="bullet"/>
      <w:lvlText w:val=""/>
      <w:lvlJc w:val="left"/>
      <w:pPr>
        <w:ind w:left="720" w:hanging="360"/>
      </w:pPr>
      <w:rPr>
        <w:rFonts w:ascii="Symbol" w:hAnsi="Symbol"/>
      </w:rPr>
    </w:lvl>
    <w:lvl w:ilvl="6" w:tplc="09881D5C">
      <w:start w:val="1"/>
      <w:numFmt w:val="bullet"/>
      <w:lvlText w:val=""/>
      <w:lvlJc w:val="left"/>
      <w:pPr>
        <w:ind w:left="720" w:hanging="360"/>
      </w:pPr>
      <w:rPr>
        <w:rFonts w:ascii="Symbol" w:hAnsi="Symbol"/>
      </w:rPr>
    </w:lvl>
    <w:lvl w:ilvl="7" w:tplc="D63E951C">
      <w:start w:val="1"/>
      <w:numFmt w:val="bullet"/>
      <w:lvlText w:val=""/>
      <w:lvlJc w:val="left"/>
      <w:pPr>
        <w:ind w:left="720" w:hanging="360"/>
      </w:pPr>
      <w:rPr>
        <w:rFonts w:ascii="Symbol" w:hAnsi="Symbol"/>
      </w:rPr>
    </w:lvl>
    <w:lvl w:ilvl="8" w:tplc="C9C87854">
      <w:start w:val="1"/>
      <w:numFmt w:val="bullet"/>
      <w:lvlText w:val=""/>
      <w:lvlJc w:val="left"/>
      <w:pPr>
        <w:ind w:left="720" w:hanging="360"/>
      </w:pPr>
      <w:rPr>
        <w:rFonts w:ascii="Symbol" w:hAnsi="Symbol"/>
      </w:rPr>
    </w:lvl>
  </w:abstractNum>
  <w:abstractNum w:abstractNumId="19"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815CF2"/>
    <w:multiLevelType w:val="multilevel"/>
    <w:tmpl w:val="BF026A3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C03448"/>
    <w:multiLevelType w:val="hybridMultilevel"/>
    <w:tmpl w:val="B2DAFA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4865153"/>
    <w:multiLevelType w:val="hybridMultilevel"/>
    <w:tmpl w:val="F992DA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436509"/>
    <w:multiLevelType w:val="hybridMultilevel"/>
    <w:tmpl w:val="8AEAD076"/>
    <w:lvl w:ilvl="0" w:tplc="020A74BC">
      <w:start w:val="1"/>
      <w:numFmt w:val="bullet"/>
      <w:pStyle w:val="DashLa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5BDE0ED9"/>
    <w:multiLevelType w:val="hybridMultilevel"/>
    <w:tmpl w:val="874E5EE6"/>
    <w:styleLink w:val="HeadingListStyle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6C0600"/>
    <w:multiLevelType w:val="multilevel"/>
    <w:tmpl w:val="BDEEE91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597A81"/>
    <w:multiLevelType w:val="hybridMultilevel"/>
    <w:tmpl w:val="4C8059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A01F3C"/>
    <w:multiLevelType w:val="hybridMultilevel"/>
    <w:tmpl w:val="D71CEF12"/>
    <w:lvl w:ilvl="0" w:tplc="2BB2C970">
      <w:start w:val="1"/>
      <w:numFmt w:val="bullet"/>
      <w:lvlText w:val=""/>
      <w:lvlJc w:val="left"/>
      <w:pPr>
        <w:ind w:left="1020" w:hanging="360"/>
      </w:pPr>
      <w:rPr>
        <w:rFonts w:ascii="Symbol" w:hAnsi="Symbol"/>
      </w:rPr>
    </w:lvl>
    <w:lvl w:ilvl="1" w:tplc="5456EB94">
      <w:start w:val="1"/>
      <w:numFmt w:val="bullet"/>
      <w:lvlText w:val=""/>
      <w:lvlJc w:val="left"/>
      <w:pPr>
        <w:ind w:left="1020" w:hanging="360"/>
      </w:pPr>
      <w:rPr>
        <w:rFonts w:ascii="Symbol" w:hAnsi="Symbol"/>
      </w:rPr>
    </w:lvl>
    <w:lvl w:ilvl="2" w:tplc="0CFEA860">
      <w:start w:val="1"/>
      <w:numFmt w:val="bullet"/>
      <w:lvlText w:val=""/>
      <w:lvlJc w:val="left"/>
      <w:pPr>
        <w:ind w:left="1020" w:hanging="360"/>
      </w:pPr>
      <w:rPr>
        <w:rFonts w:ascii="Symbol" w:hAnsi="Symbol"/>
      </w:rPr>
    </w:lvl>
    <w:lvl w:ilvl="3" w:tplc="F6129DA6">
      <w:start w:val="1"/>
      <w:numFmt w:val="bullet"/>
      <w:lvlText w:val=""/>
      <w:lvlJc w:val="left"/>
      <w:pPr>
        <w:ind w:left="1020" w:hanging="360"/>
      </w:pPr>
      <w:rPr>
        <w:rFonts w:ascii="Symbol" w:hAnsi="Symbol"/>
      </w:rPr>
    </w:lvl>
    <w:lvl w:ilvl="4" w:tplc="5824C71C">
      <w:start w:val="1"/>
      <w:numFmt w:val="bullet"/>
      <w:lvlText w:val=""/>
      <w:lvlJc w:val="left"/>
      <w:pPr>
        <w:ind w:left="1020" w:hanging="360"/>
      </w:pPr>
      <w:rPr>
        <w:rFonts w:ascii="Symbol" w:hAnsi="Symbol"/>
      </w:rPr>
    </w:lvl>
    <w:lvl w:ilvl="5" w:tplc="27A06900">
      <w:start w:val="1"/>
      <w:numFmt w:val="bullet"/>
      <w:lvlText w:val=""/>
      <w:lvlJc w:val="left"/>
      <w:pPr>
        <w:ind w:left="1020" w:hanging="360"/>
      </w:pPr>
      <w:rPr>
        <w:rFonts w:ascii="Symbol" w:hAnsi="Symbol"/>
      </w:rPr>
    </w:lvl>
    <w:lvl w:ilvl="6" w:tplc="AC0270FA">
      <w:start w:val="1"/>
      <w:numFmt w:val="bullet"/>
      <w:lvlText w:val=""/>
      <w:lvlJc w:val="left"/>
      <w:pPr>
        <w:ind w:left="1020" w:hanging="360"/>
      </w:pPr>
      <w:rPr>
        <w:rFonts w:ascii="Symbol" w:hAnsi="Symbol"/>
      </w:rPr>
    </w:lvl>
    <w:lvl w:ilvl="7" w:tplc="C75C9D0E">
      <w:start w:val="1"/>
      <w:numFmt w:val="bullet"/>
      <w:lvlText w:val=""/>
      <w:lvlJc w:val="left"/>
      <w:pPr>
        <w:ind w:left="1020" w:hanging="360"/>
      </w:pPr>
      <w:rPr>
        <w:rFonts w:ascii="Symbol" w:hAnsi="Symbol"/>
      </w:rPr>
    </w:lvl>
    <w:lvl w:ilvl="8" w:tplc="BB9CD924">
      <w:start w:val="1"/>
      <w:numFmt w:val="bullet"/>
      <w:lvlText w:val=""/>
      <w:lvlJc w:val="left"/>
      <w:pPr>
        <w:ind w:left="1020" w:hanging="360"/>
      </w:pPr>
      <w:rPr>
        <w:rFonts w:ascii="Symbol" w:hAnsi="Symbol"/>
      </w:rPr>
    </w:lvl>
  </w:abstractNum>
  <w:abstractNum w:abstractNumId="35" w15:restartNumberingAfterBreak="0">
    <w:nsid w:val="76BD109D"/>
    <w:multiLevelType w:val="hybridMultilevel"/>
    <w:tmpl w:val="F8D8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pStyle w:val="StyleHeading5p511ptBoldNotItalic"/>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A40E591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287"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742700"/>
    <w:multiLevelType w:val="hybridMultilevel"/>
    <w:tmpl w:val="8982E212"/>
    <w:lvl w:ilvl="0" w:tplc="06C64488">
      <w:start w:val="1"/>
      <w:numFmt w:val="bullet"/>
      <w:pStyle w:val="BoxTickbox"/>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36"/>
  </w:num>
  <w:num w:numId="2" w16cid:durableId="917793048">
    <w:abstractNumId w:val="17"/>
  </w:num>
  <w:num w:numId="3" w16cid:durableId="263461728">
    <w:abstractNumId w:val="0"/>
  </w:num>
  <w:num w:numId="4" w16cid:durableId="220360847">
    <w:abstractNumId w:val="31"/>
  </w:num>
  <w:num w:numId="5" w16cid:durableId="1048839230">
    <w:abstractNumId w:val="36"/>
  </w:num>
  <w:num w:numId="6" w16cid:durableId="1183131645">
    <w:abstractNumId w:val="18"/>
  </w:num>
  <w:num w:numId="7" w16cid:durableId="1001736521">
    <w:abstractNumId w:val="5"/>
  </w:num>
  <w:num w:numId="8" w16cid:durableId="590744414">
    <w:abstractNumId w:val="28"/>
  </w:num>
  <w:num w:numId="9" w16cid:durableId="529532285">
    <w:abstractNumId w:val="12"/>
  </w:num>
  <w:num w:numId="10" w16cid:durableId="752433780">
    <w:abstractNumId w:val="6"/>
  </w:num>
  <w:num w:numId="11" w16cid:durableId="1199319726">
    <w:abstractNumId w:val="13"/>
  </w:num>
  <w:num w:numId="12" w16cid:durableId="1177117740">
    <w:abstractNumId w:val="27"/>
  </w:num>
  <w:num w:numId="13" w16cid:durableId="877930361">
    <w:abstractNumId w:val="25"/>
  </w:num>
  <w:num w:numId="14" w16cid:durableId="327253919">
    <w:abstractNumId w:val="37"/>
  </w:num>
  <w:num w:numId="15" w16cid:durableId="522671272">
    <w:abstractNumId w:val="3"/>
  </w:num>
  <w:num w:numId="16" w16cid:durableId="1684360529">
    <w:abstractNumId w:val="19"/>
  </w:num>
  <w:num w:numId="17" w16cid:durableId="1299721329">
    <w:abstractNumId w:val="35"/>
  </w:num>
  <w:num w:numId="18" w16cid:durableId="313409439">
    <w:abstractNumId w:val="14"/>
  </w:num>
  <w:num w:numId="19" w16cid:durableId="1063874764">
    <w:abstractNumId w:val="7"/>
  </w:num>
  <w:num w:numId="20" w16cid:durableId="337781029">
    <w:abstractNumId w:val="26"/>
  </w:num>
  <w:num w:numId="21" w16cid:durableId="1649166909">
    <w:abstractNumId w:val="21"/>
  </w:num>
  <w:num w:numId="22" w16cid:durableId="52894647">
    <w:abstractNumId w:val="20"/>
  </w:num>
  <w:num w:numId="23" w16cid:durableId="1984194137">
    <w:abstractNumId w:val="11"/>
  </w:num>
  <w:num w:numId="24" w16cid:durableId="1523397647">
    <w:abstractNumId w:val="29"/>
  </w:num>
  <w:num w:numId="25" w16cid:durableId="2114282227">
    <w:abstractNumId w:val="2"/>
  </w:num>
  <w:num w:numId="26" w16cid:durableId="1859657890">
    <w:abstractNumId w:val="15"/>
  </w:num>
  <w:num w:numId="27" w16cid:durableId="152331252">
    <w:abstractNumId w:val="33"/>
  </w:num>
  <w:num w:numId="28" w16cid:durableId="778916622">
    <w:abstractNumId w:val="22"/>
  </w:num>
  <w:num w:numId="29" w16cid:durableId="1573005167">
    <w:abstractNumId w:val="23"/>
  </w:num>
  <w:num w:numId="30" w16cid:durableId="408699874">
    <w:abstractNumId w:val="24"/>
  </w:num>
  <w:num w:numId="31" w16cid:durableId="1569418770">
    <w:abstractNumId w:val="4"/>
  </w:num>
  <w:num w:numId="32" w16cid:durableId="705176722">
    <w:abstractNumId w:val="1"/>
  </w:num>
  <w:num w:numId="33" w16cid:durableId="1926569401">
    <w:abstractNumId w:val="9"/>
  </w:num>
  <w:num w:numId="34" w16cid:durableId="1979457665">
    <w:abstractNumId w:val="10"/>
  </w:num>
  <w:num w:numId="35" w16cid:durableId="2038313566">
    <w:abstractNumId w:val="8"/>
  </w:num>
  <w:num w:numId="36" w16cid:durableId="129744317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997201">
    <w:abstractNumId w:val="32"/>
  </w:num>
  <w:num w:numId="38" w16cid:durableId="1565876930">
    <w:abstractNumId w:val="34"/>
  </w:num>
  <w:num w:numId="39" w16cid:durableId="57405325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M0MTIyMTcxNzY0MDVW0lEKTi0uzszPAykwsqgFAB1qOsItAAAA"/>
  </w:docVars>
  <w:rsids>
    <w:rsidRoot w:val="00E65E79"/>
    <w:rsid w:val="0000026B"/>
    <w:rsid w:val="00000790"/>
    <w:rsid w:val="00000B5F"/>
    <w:rsid w:val="0000110B"/>
    <w:rsid w:val="00002123"/>
    <w:rsid w:val="00002BCD"/>
    <w:rsid w:val="00002D72"/>
    <w:rsid w:val="00002D7E"/>
    <w:rsid w:val="0000317E"/>
    <w:rsid w:val="00003499"/>
    <w:rsid w:val="000036FA"/>
    <w:rsid w:val="0000391D"/>
    <w:rsid w:val="00003976"/>
    <w:rsid w:val="000039B7"/>
    <w:rsid w:val="00003DA3"/>
    <w:rsid w:val="00004D2C"/>
    <w:rsid w:val="000053CD"/>
    <w:rsid w:val="000056B9"/>
    <w:rsid w:val="00005C3A"/>
    <w:rsid w:val="00005CEB"/>
    <w:rsid w:val="00005CF0"/>
    <w:rsid w:val="000061F2"/>
    <w:rsid w:val="0000639A"/>
    <w:rsid w:val="000063B5"/>
    <w:rsid w:val="000069A1"/>
    <w:rsid w:val="00006D4C"/>
    <w:rsid w:val="0000727B"/>
    <w:rsid w:val="0000760C"/>
    <w:rsid w:val="00007A52"/>
    <w:rsid w:val="00007D04"/>
    <w:rsid w:val="000100C1"/>
    <w:rsid w:val="00010A6E"/>
    <w:rsid w:val="00010A99"/>
    <w:rsid w:val="0001145D"/>
    <w:rsid w:val="00012EAB"/>
    <w:rsid w:val="00013247"/>
    <w:rsid w:val="000138BA"/>
    <w:rsid w:val="0001392D"/>
    <w:rsid w:val="00013AA2"/>
    <w:rsid w:val="00013AC5"/>
    <w:rsid w:val="00013C68"/>
    <w:rsid w:val="00013C71"/>
    <w:rsid w:val="00014238"/>
    <w:rsid w:val="00014EA9"/>
    <w:rsid w:val="00015886"/>
    <w:rsid w:val="00015E76"/>
    <w:rsid w:val="00015EB8"/>
    <w:rsid w:val="00015F0B"/>
    <w:rsid w:val="00016021"/>
    <w:rsid w:val="000162A6"/>
    <w:rsid w:val="000162EF"/>
    <w:rsid w:val="00016741"/>
    <w:rsid w:val="000168E8"/>
    <w:rsid w:val="00016BD9"/>
    <w:rsid w:val="000177E3"/>
    <w:rsid w:val="00017A6D"/>
    <w:rsid w:val="000202F9"/>
    <w:rsid w:val="0002037E"/>
    <w:rsid w:val="000207C9"/>
    <w:rsid w:val="00020CB4"/>
    <w:rsid w:val="00020D4D"/>
    <w:rsid w:val="00020E34"/>
    <w:rsid w:val="00020EAE"/>
    <w:rsid w:val="0002122D"/>
    <w:rsid w:val="00021745"/>
    <w:rsid w:val="00021C98"/>
    <w:rsid w:val="00021D85"/>
    <w:rsid w:val="00021DFF"/>
    <w:rsid w:val="00021E4E"/>
    <w:rsid w:val="00021E54"/>
    <w:rsid w:val="00022012"/>
    <w:rsid w:val="0002225F"/>
    <w:rsid w:val="0002261E"/>
    <w:rsid w:val="00022651"/>
    <w:rsid w:val="00022A19"/>
    <w:rsid w:val="00022D88"/>
    <w:rsid w:val="00022E14"/>
    <w:rsid w:val="0002308C"/>
    <w:rsid w:val="000233F9"/>
    <w:rsid w:val="00023763"/>
    <w:rsid w:val="00023B42"/>
    <w:rsid w:val="00023E22"/>
    <w:rsid w:val="00023EC9"/>
    <w:rsid w:val="000242FF"/>
    <w:rsid w:val="000245FC"/>
    <w:rsid w:val="00024A66"/>
    <w:rsid w:val="00024EB5"/>
    <w:rsid w:val="000250F2"/>
    <w:rsid w:val="00025679"/>
    <w:rsid w:val="00026326"/>
    <w:rsid w:val="00026362"/>
    <w:rsid w:val="0002656B"/>
    <w:rsid w:val="00026D17"/>
    <w:rsid w:val="000274B8"/>
    <w:rsid w:val="00027691"/>
    <w:rsid w:val="00030814"/>
    <w:rsid w:val="000308DE"/>
    <w:rsid w:val="00030CEA"/>
    <w:rsid w:val="000317A4"/>
    <w:rsid w:val="0003213F"/>
    <w:rsid w:val="0003232B"/>
    <w:rsid w:val="00032865"/>
    <w:rsid w:val="00032981"/>
    <w:rsid w:val="00032CD6"/>
    <w:rsid w:val="00033863"/>
    <w:rsid w:val="000339F6"/>
    <w:rsid w:val="00033DF6"/>
    <w:rsid w:val="00033F62"/>
    <w:rsid w:val="000341E9"/>
    <w:rsid w:val="00034DA7"/>
    <w:rsid w:val="00034DC9"/>
    <w:rsid w:val="00034F78"/>
    <w:rsid w:val="00035329"/>
    <w:rsid w:val="00035336"/>
    <w:rsid w:val="00035B1C"/>
    <w:rsid w:val="00035DC0"/>
    <w:rsid w:val="00035DF2"/>
    <w:rsid w:val="000361C2"/>
    <w:rsid w:val="000363E1"/>
    <w:rsid w:val="000367FB"/>
    <w:rsid w:val="00036829"/>
    <w:rsid w:val="00036D0A"/>
    <w:rsid w:val="00037481"/>
    <w:rsid w:val="000374D0"/>
    <w:rsid w:val="00037511"/>
    <w:rsid w:val="00037672"/>
    <w:rsid w:val="0004086E"/>
    <w:rsid w:val="00040895"/>
    <w:rsid w:val="000410A0"/>
    <w:rsid w:val="00041115"/>
    <w:rsid w:val="00041451"/>
    <w:rsid w:val="0004164C"/>
    <w:rsid w:val="0004173E"/>
    <w:rsid w:val="000419C6"/>
    <w:rsid w:val="00041A61"/>
    <w:rsid w:val="00041D8C"/>
    <w:rsid w:val="00041F31"/>
    <w:rsid w:val="000422B8"/>
    <w:rsid w:val="000429CB"/>
    <w:rsid w:val="00042DDC"/>
    <w:rsid w:val="000430F3"/>
    <w:rsid w:val="000435EE"/>
    <w:rsid w:val="00043C2E"/>
    <w:rsid w:val="00043C37"/>
    <w:rsid w:val="0004438B"/>
    <w:rsid w:val="000443B2"/>
    <w:rsid w:val="0004482C"/>
    <w:rsid w:val="00045017"/>
    <w:rsid w:val="000451D8"/>
    <w:rsid w:val="000454F2"/>
    <w:rsid w:val="00045A2B"/>
    <w:rsid w:val="0004670C"/>
    <w:rsid w:val="0004698F"/>
    <w:rsid w:val="00046D64"/>
    <w:rsid w:val="00046DB8"/>
    <w:rsid w:val="00046E0D"/>
    <w:rsid w:val="000470F0"/>
    <w:rsid w:val="0004756B"/>
    <w:rsid w:val="00047E1C"/>
    <w:rsid w:val="00050131"/>
    <w:rsid w:val="000508C2"/>
    <w:rsid w:val="00050D22"/>
    <w:rsid w:val="00051A14"/>
    <w:rsid w:val="000526BC"/>
    <w:rsid w:val="00052F16"/>
    <w:rsid w:val="0005340C"/>
    <w:rsid w:val="000536AD"/>
    <w:rsid w:val="000536B0"/>
    <w:rsid w:val="000539D0"/>
    <w:rsid w:val="00053D52"/>
    <w:rsid w:val="00054036"/>
    <w:rsid w:val="000540B7"/>
    <w:rsid w:val="0005430B"/>
    <w:rsid w:val="00054621"/>
    <w:rsid w:val="000546D7"/>
    <w:rsid w:val="00054A8D"/>
    <w:rsid w:val="00054C06"/>
    <w:rsid w:val="00054EE2"/>
    <w:rsid w:val="000550C9"/>
    <w:rsid w:val="00055209"/>
    <w:rsid w:val="000552E0"/>
    <w:rsid w:val="000556B6"/>
    <w:rsid w:val="000557BC"/>
    <w:rsid w:val="00055C5D"/>
    <w:rsid w:val="0005605A"/>
    <w:rsid w:val="0005631C"/>
    <w:rsid w:val="00056E95"/>
    <w:rsid w:val="00056ECF"/>
    <w:rsid w:val="00056ED8"/>
    <w:rsid w:val="00056F85"/>
    <w:rsid w:val="00057082"/>
    <w:rsid w:val="000579C4"/>
    <w:rsid w:val="00057E20"/>
    <w:rsid w:val="000604DF"/>
    <w:rsid w:val="0006074C"/>
    <w:rsid w:val="000612C5"/>
    <w:rsid w:val="00061671"/>
    <w:rsid w:val="00061A22"/>
    <w:rsid w:val="00062324"/>
    <w:rsid w:val="0006233C"/>
    <w:rsid w:val="00062362"/>
    <w:rsid w:val="00062679"/>
    <w:rsid w:val="00062800"/>
    <w:rsid w:val="000629D6"/>
    <w:rsid w:val="00062E89"/>
    <w:rsid w:val="0006300C"/>
    <w:rsid w:val="000635C4"/>
    <w:rsid w:val="00063B7B"/>
    <w:rsid w:val="00063E24"/>
    <w:rsid w:val="00063F74"/>
    <w:rsid w:val="00064575"/>
    <w:rsid w:val="00064C79"/>
    <w:rsid w:val="00064F5C"/>
    <w:rsid w:val="000650AB"/>
    <w:rsid w:val="000653B5"/>
    <w:rsid w:val="00065B70"/>
    <w:rsid w:val="00065BEF"/>
    <w:rsid w:val="00065D90"/>
    <w:rsid w:val="00065F57"/>
    <w:rsid w:val="000662DA"/>
    <w:rsid w:val="00066360"/>
    <w:rsid w:val="00066AF8"/>
    <w:rsid w:val="00067260"/>
    <w:rsid w:val="00067503"/>
    <w:rsid w:val="00067537"/>
    <w:rsid w:val="00067A40"/>
    <w:rsid w:val="00070235"/>
    <w:rsid w:val="0007040C"/>
    <w:rsid w:val="000704C7"/>
    <w:rsid w:val="000709B3"/>
    <w:rsid w:val="00070A18"/>
    <w:rsid w:val="00070DA5"/>
    <w:rsid w:val="00071248"/>
    <w:rsid w:val="000717F6"/>
    <w:rsid w:val="00071EB6"/>
    <w:rsid w:val="000720B9"/>
    <w:rsid w:val="000721EB"/>
    <w:rsid w:val="00072301"/>
    <w:rsid w:val="00072437"/>
    <w:rsid w:val="000729F7"/>
    <w:rsid w:val="000731E9"/>
    <w:rsid w:val="000736DF"/>
    <w:rsid w:val="000737F7"/>
    <w:rsid w:val="000739A7"/>
    <w:rsid w:val="00073EBC"/>
    <w:rsid w:val="000742D3"/>
    <w:rsid w:val="00074414"/>
    <w:rsid w:val="000746AB"/>
    <w:rsid w:val="0007477E"/>
    <w:rsid w:val="0007497A"/>
    <w:rsid w:val="0007519D"/>
    <w:rsid w:val="00076089"/>
    <w:rsid w:val="00076355"/>
    <w:rsid w:val="00076451"/>
    <w:rsid w:val="00076558"/>
    <w:rsid w:val="0007672F"/>
    <w:rsid w:val="00076B54"/>
    <w:rsid w:val="00076BC2"/>
    <w:rsid w:val="00076CD9"/>
    <w:rsid w:val="00076DA9"/>
    <w:rsid w:val="0007721C"/>
    <w:rsid w:val="000774F0"/>
    <w:rsid w:val="00077B48"/>
    <w:rsid w:val="00080400"/>
    <w:rsid w:val="00080444"/>
    <w:rsid w:val="0008070A"/>
    <w:rsid w:val="00080909"/>
    <w:rsid w:val="00080ADA"/>
    <w:rsid w:val="00080C7D"/>
    <w:rsid w:val="00080F39"/>
    <w:rsid w:val="000812CA"/>
    <w:rsid w:val="00081A6A"/>
    <w:rsid w:val="00081E63"/>
    <w:rsid w:val="0008258D"/>
    <w:rsid w:val="00082B54"/>
    <w:rsid w:val="00082EA3"/>
    <w:rsid w:val="00083E99"/>
    <w:rsid w:val="00083F41"/>
    <w:rsid w:val="0008407B"/>
    <w:rsid w:val="00084768"/>
    <w:rsid w:val="000847A3"/>
    <w:rsid w:val="00084FA8"/>
    <w:rsid w:val="000856C5"/>
    <w:rsid w:val="0008571F"/>
    <w:rsid w:val="00085AE2"/>
    <w:rsid w:val="00085C31"/>
    <w:rsid w:val="00085CE8"/>
    <w:rsid w:val="00085F42"/>
    <w:rsid w:val="000860B9"/>
    <w:rsid w:val="000864B3"/>
    <w:rsid w:val="00086B17"/>
    <w:rsid w:val="0008725A"/>
    <w:rsid w:val="00087559"/>
    <w:rsid w:val="000878AB"/>
    <w:rsid w:val="00087A30"/>
    <w:rsid w:val="00087E26"/>
    <w:rsid w:val="000901CB"/>
    <w:rsid w:val="000902D9"/>
    <w:rsid w:val="0009040A"/>
    <w:rsid w:val="0009095C"/>
    <w:rsid w:val="00090C7E"/>
    <w:rsid w:val="00090D22"/>
    <w:rsid w:val="00090F6C"/>
    <w:rsid w:val="000911AC"/>
    <w:rsid w:val="00091843"/>
    <w:rsid w:val="00091CDA"/>
    <w:rsid w:val="00091F0C"/>
    <w:rsid w:val="00092600"/>
    <w:rsid w:val="0009262B"/>
    <w:rsid w:val="00092674"/>
    <w:rsid w:val="000926FE"/>
    <w:rsid w:val="00092E43"/>
    <w:rsid w:val="00093310"/>
    <w:rsid w:val="0009337C"/>
    <w:rsid w:val="00093D91"/>
    <w:rsid w:val="000942F1"/>
    <w:rsid w:val="0009445C"/>
    <w:rsid w:val="000951FF"/>
    <w:rsid w:val="00095200"/>
    <w:rsid w:val="00095FE5"/>
    <w:rsid w:val="00096284"/>
    <w:rsid w:val="000965C2"/>
    <w:rsid w:val="000967D7"/>
    <w:rsid w:val="00096B13"/>
    <w:rsid w:val="00097052"/>
    <w:rsid w:val="000971E0"/>
    <w:rsid w:val="0009785B"/>
    <w:rsid w:val="000A0A02"/>
    <w:rsid w:val="000A0C2E"/>
    <w:rsid w:val="000A0D26"/>
    <w:rsid w:val="000A0FE0"/>
    <w:rsid w:val="000A13F1"/>
    <w:rsid w:val="000A1BC0"/>
    <w:rsid w:val="000A1D86"/>
    <w:rsid w:val="000A2006"/>
    <w:rsid w:val="000A2413"/>
    <w:rsid w:val="000A2513"/>
    <w:rsid w:val="000A26EF"/>
    <w:rsid w:val="000A27AA"/>
    <w:rsid w:val="000A29EF"/>
    <w:rsid w:val="000A2D45"/>
    <w:rsid w:val="000A2F3F"/>
    <w:rsid w:val="000A2F9E"/>
    <w:rsid w:val="000A314D"/>
    <w:rsid w:val="000A366E"/>
    <w:rsid w:val="000A3851"/>
    <w:rsid w:val="000A3E47"/>
    <w:rsid w:val="000A440F"/>
    <w:rsid w:val="000A45B0"/>
    <w:rsid w:val="000A481E"/>
    <w:rsid w:val="000A4871"/>
    <w:rsid w:val="000A4C44"/>
    <w:rsid w:val="000A4C52"/>
    <w:rsid w:val="000A4C98"/>
    <w:rsid w:val="000A51AC"/>
    <w:rsid w:val="000A522B"/>
    <w:rsid w:val="000A5C06"/>
    <w:rsid w:val="000A6039"/>
    <w:rsid w:val="000A61FF"/>
    <w:rsid w:val="000A6241"/>
    <w:rsid w:val="000A65D3"/>
    <w:rsid w:val="000A6F99"/>
    <w:rsid w:val="000A7042"/>
    <w:rsid w:val="000A7453"/>
    <w:rsid w:val="000A7738"/>
    <w:rsid w:val="000A7A1F"/>
    <w:rsid w:val="000A7C58"/>
    <w:rsid w:val="000A7D08"/>
    <w:rsid w:val="000A7D5B"/>
    <w:rsid w:val="000B0121"/>
    <w:rsid w:val="000B055C"/>
    <w:rsid w:val="000B0670"/>
    <w:rsid w:val="000B0BEC"/>
    <w:rsid w:val="000B0DF3"/>
    <w:rsid w:val="000B0E75"/>
    <w:rsid w:val="000B1531"/>
    <w:rsid w:val="000B19B6"/>
    <w:rsid w:val="000B19E8"/>
    <w:rsid w:val="000B1EB5"/>
    <w:rsid w:val="000B233E"/>
    <w:rsid w:val="000B2350"/>
    <w:rsid w:val="000B24B7"/>
    <w:rsid w:val="000B2B0D"/>
    <w:rsid w:val="000B2DCB"/>
    <w:rsid w:val="000B3294"/>
    <w:rsid w:val="000B34E2"/>
    <w:rsid w:val="000B34F5"/>
    <w:rsid w:val="000B39F1"/>
    <w:rsid w:val="000B4882"/>
    <w:rsid w:val="000B4C6B"/>
    <w:rsid w:val="000B4FA2"/>
    <w:rsid w:val="000B5811"/>
    <w:rsid w:val="000B5CDD"/>
    <w:rsid w:val="000B5CE0"/>
    <w:rsid w:val="000B5F1E"/>
    <w:rsid w:val="000B64C2"/>
    <w:rsid w:val="000B6A47"/>
    <w:rsid w:val="000B6BF1"/>
    <w:rsid w:val="000B6CAC"/>
    <w:rsid w:val="000B7586"/>
    <w:rsid w:val="000B7612"/>
    <w:rsid w:val="000B78AE"/>
    <w:rsid w:val="000B792C"/>
    <w:rsid w:val="000C0532"/>
    <w:rsid w:val="000C0AD9"/>
    <w:rsid w:val="000C10DD"/>
    <w:rsid w:val="000C13F6"/>
    <w:rsid w:val="000C1C29"/>
    <w:rsid w:val="000C1DB5"/>
    <w:rsid w:val="000C1F67"/>
    <w:rsid w:val="000C26C3"/>
    <w:rsid w:val="000C330C"/>
    <w:rsid w:val="000C3DF9"/>
    <w:rsid w:val="000C443D"/>
    <w:rsid w:val="000C45B2"/>
    <w:rsid w:val="000C4CF2"/>
    <w:rsid w:val="000C51FB"/>
    <w:rsid w:val="000C5257"/>
    <w:rsid w:val="000C5373"/>
    <w:rsid w:val="000C58D1"/>
    <w:rsid w:val="000C63D1"/>
    <w:rsid w:val="000C6713"/>
    <w:rsid w:val="000C6D7D"/>
    <w:rsid w:val="000C6EAB"/>
    <w:rsid w:val="000C76ED"/>
    <w:rsid w:val="000C78C0"/>
    <w:rsid w:val="000C7AF9"/>
    <w:rsid w:val="000C7DFF"/>
    <w:rsid w:val="000D0281"/>
    <w:rsid w:val="000D0687"/>
    <w:rsid w:val="000D0789"/>
    <w:rsid w:val="000D0DAF"/>
    <w:rsid w:val="000D10BA"/>
    <w:rsid w:val="000D1210"/>
    <w:rsid w:val="000D16F3"/>
    <w:rsid w:val="000D1BFC"/>
    <w:rsid w:val="000D1D5D"/>
    <w:rsid w:val="000D281A"/>
    <w:rsid w:val="000D2848"/>
    <w:rsid w:val="000D2F40"/>
    <w:rsid w:val="000D301F"/>
    <w:rsid w:val="000D31A1"/>
    <w:rsid w:val="000D326A"/>
    <w:rsid w:val="000D3EFE"/>
    <w:rsid w:val="000D42A2"/>
    <w:rsid w:val="000D437E"/>
    <w:rsid w:val="000D4643"/>
    <w:rsid w:val="000D4F76"/>
    <w:rsid w:val="000D5100"/>
    <w:rsid w:val="000D51FB"/>
    <w:rsid w:val="000D59B3"/>
    <w:rsid w:val="000D5C1F"/>
    <w:rsid w:val="000D5EF1"/>
    <w:rsid w:val="000D6724"/>
    <w:rsid w:val="000D68B6"/>
    <w:rsid w:val="000D6B56"/>
    <w:rsid w:val="000D7303"/>
    <w:rsid w:val="000D73F1"/>
    <w:rsid w:val="000D793B"/>
    <w:rsid w:val="000E0112"/>
    <w:rsid w:val="000E0640"/>
    <w:rsid w:val="000E092F"/>
    <w:rsid w:val="000E0C1B"/>
    <w:rsid w:val="000E0E3C"/>
    <w:rsid w:val="000E0EFE"/>
    <w:rsid w:val="000E135D"/>
    <w:rsid w:val="000E1EF3"/>
    <w:rsid w:val="000E1FDC"/>
    <w:rsid w:val="000E2169"/>
    <w:rsid w:val="000E2381"/>
    <w:rsid w:val="000E23A3"/>
    <w:rsid w:val="000E24D9"/>
    <w:rsid w:val="000E2EFC"/>
    <w:rsid w:val="000E2F03"/>
    <w:rsid w:val="000E3AF2"/>
    <w:rsid w:val="000E3CB6"/>
    <w:rsid w:val="000E447F"/>
    <w:rsid w:val="000E44DD"/>
    <w:rsid w:val="000E4EE8"/>
    <w:rsid w:val="000E52B6"/>
    <w:rsid w:val="000E5BDF"/>
    <w:rsid w:val="000E5EB9"/>
    <w:rsid w:val="000E6514"/>
    <w:rsid w:val="000E7458"/>
    <w:rsid w:val="000E7D07"/>
    <w:rsid w:val="000E7D66"/>
    <w:rsid w:val="000F004D"/>
    <w:rsid w:val="000F00BA"/>
    <w:rsid w:val="000F0429"/>
    <w:rsid w:val="000F0506"/>
    <w:rsid w:val="000F0850"/>
    <w:rsid w:val="000F09D4"/>
    <w:rsid w:val="000F10AA"/>
    <w:rsid w:val="000F118B"/>
    <w:rsid w:val="000F1652"/>
    <w:rsid w:val="000F2428"/>
    <w:rsid w:val="000F2643"/>
    <w:rsid w:val="000F27F3"/>
    <w:rsid w:val="000F2914"/>
    <w:rsid w:val="000F316A"/>
    <w:rsid w:val="000F3624"/>
    <w:rsid w:val="000F381E"/>
    <w:rsid w:val="000F39BB"/>
    <w:rsid w:val="000F3C74"/>
    <w:rsid w:val="000F3FEF"/>
    <w:rsid w:val="000F4479"/>
    <w:rsid w:val="000F47AB"/>
    <w:rsid w:val="000F4BB8"/>
    <w:rsid w:val="000F4E7C"/>
    <w:rsid w:val="000F4FA9"/>
    <w:rsid w:val="000F52C5"/>
    <w:rsid w:val="000F53FB"/>
    <w:rsid w:val="000F550B"/>
    <w:rsid w:val="000F5559"/>
    <w:rsid w:val="000F5648"/>
    <w:rsid w:val="000F62D2"/>
    <w:rsid w:val="000F681C"/>
    <w:rsid w:val="000F6930"/>
    <w:rsid w:val="000F6A78"/>
    <w:rsid w:val="000F7127"/>
    <w:rsid w:val="000F7281"/>
    <w:rsid w:val="000F7A24"/>
    <w:rsid w:val="000F7A61"/>
    <w:rsid w:val="000F7B54"/>
    <w:rsid w:val="001000B3"/>
    <w:rsid w:val="00100767"/>
    <w:rsid w:val="00100A9E"/>
    <w:rsid w:val="00100D56"/>
    <w:rsid w:val="00100F8A"/>
    <w:rsid w:val="00100FE9"/>
    <w:rsid w:val="001014EE"/>
    <w:rsid w:val="00101890"/>
    <w:rsid w:val="00101DEC"/>
    <w:rsid w:val="00101E4E"/>
    <w:rsid w:val="001028D5"/>
    <w:rsid w:val="0010290A"/>
    <w:rsid w:val="00102C18"/>
    <w:rsid w:val="001033F7"/>
    <w:rsid w:val="001035C6"/>
    <w:rsid w:val="001036BD"/>
    <w:rsid w:val="0010375A"/>
    <w:rsid w:val="00103DD9"/>
    <w:rsid w:val="00103DE1"/>
    <w:rsid w:val="00104064"/>
    <w:rsid w:val="001041A6"/>
    <w:rsid w:val="00104394"/>
    <w:rsid w:val="0010443E"/>
    <w:rsid w:val="0010452E"/>
    <w:rsid w:val="0010495E"/>
    <w:rsid w:val="00104A3B"/>
    <w:rsid w:val="00104D0F"/>
    <w:rsid w:val="00104D89"/>
    <w:rsid w:val="00104FDB"/>
    <w:rsid w:val="001050D1"/>
    <w:rsid w:val="001057F2"/>
    <w:rsid w:val="00105AE2"/>
    <w:rsid w:val="00105E32"/>
    <w:rsid w:val="00105EA9"/>
    <w:rsid w:val="00105FDC"/>
    <w:rsid w:val="0010608A"/>
    <w:rsid w:val="001060C6"/>
    <w:rsid w:val="00106500"/>
    <w:rsid w:val="0010670D"/>
    <w:rsid w:val="00106B80"/>
    <w:rsid w:val="001072C8"/>
    <w:rsid w:val="0010758B"/>
    <w:rsid w:val="001100AB"/>
    <w:rsid w:val="0011032E"/>
    <w:rsid w:val="0011042B"/>
    <w:rsid w:val="00110C45"/>
    <w:rsid w:val="00110DB2"/>
    <w:rsid w:val="00111021"/>
    <w:rsid w:val="001110C9"/>
    <w:rsid w:val="001113A2"/>
    <w:rsid w:val="00111B3D"/>
    <w:rsid w:val="00111CA1"/>
    <w:rsid w:val="00112882"/>
    <w:rsid w:val="0011294F"/>
    <w:rsid w:val="001132ED"/>
    <w:rsid w:val="0011348B"/>
    <w:rsid w:val="00113C94"/>
    <w:rsid w:val="00113D18"/>
    <w:rsid w:val="00113D21"/>
    <w:rsid w:val="0011406F"/>
    <w:rsid w:val="0011462D"/>
    <w:rsid w:val="0011469D"/>
    <w:rsid w:val="00115953"/>
    <w:rsid w:val="00115982"/>
    <w:rsid w:val="00115C15"/>
    <w:rsid w:val="00116538"/>
    <w:rsid w:val="001166B0"/>
    <w:rsid w:val="00116AA5"/>
    <w:rsid w:val="00116C53"/>
    <w:rsid w:val="00117279"/>
    <w:rsid w:val="00117A2E"/>
    <w:rsid w:val="00117DA8"/>
    <w:rsid w:val="001200CA"/>
    <w:rsid w:val="00120324"/>
    <w:rsid w:val="0012049E"/>
    <w:rsid w:val="001206D0"/>
    <w:rsid w:val="001209F6"/>
    <w:rsid w:val="00120A86"/>
    <w:rsid w:val="00120EBC"/>
    <w:rsid w:val="0012146A"/>
    <w:rsid w:val="001214CF"/>
    <w:rsid w:val="00121799"/>
    <w:rsid w:val="001219C7"/>
    <w:rsid w:val="001222FC"/>
    <w:rsid w:val="00122396"/>
    <w:rsid w:val="00122F8A"/>
    <w:rsid w:val="001230A6"/>
    <w:rsid w:val="00123493"/>
    <w:rsid w:val="00123902"/>
    <w:rsid w:val="00123A9D"/>
    <w:rsid w:val="00123BC8"/>
    <w:rsid w:val="00123C2E"/>
    <w:rsid w:val="001244FD"/>
    <w:rsid w:val="00124527"/>
    <w:rsid w:val="00124A51"/>
    <w:rsid w:val="001254B6"/>
    <w:rsid w:val="00125AE6"/>
    <w:rsid w:val="00125DB6"/>
    <w:rsid w:val="0012626F"/>
    <w:rsid w:val="00126621"/>
    <w:rsid w:val="00126912"/>
    <w:rsid w:val="0012694A"/>
    <w:rsid w:val="0012695C"/>
    <w:rsid w:val="00126AD1"/>
    <w:rsid w:val="00126B1D"/>
    <w:rsid w:val="00126D32"/>
    <w:rsid w:val="0012719B"/>
    <w:rsid w:val="0012724C"/>
    <w:rsid w:val="00127ADA"/>
    <w:rsid w:val="00127AE6"/>
    <w:rsid w:val="00127FF7"/>
    <w:rsid w:val="001301E9"/>
    <w:rsid w:val="001303AB"/>
    <w:rsid w:val="001304B4"/>
    <w:rsid w:val="00130795"/>
    <w:rsid w:val="001307F7"/>
    <w:rsid w:val="001308B5"/>
    <w:rsid w:val="00130BE9"/>
    <w:rsid w:val="00130C37"/>
    <w:rsid w:val="0013113B"/>
    <w:rsid w:val="00131486"/>
    <w:rsid w:val="00131660"/>
    <w:rsid w:val="00131801"/>
    <w:rsid w:val="00131835"/>
    <w:rsid w:val="00131A56"/>
    <w:rsid w:val="00131D82"/>
    <w:rsid w:val="00131E84"/>
    <w:rsid w:val="00132269"/>
    <w:rsid w:val="00132608"/>
    <w:rsid w:val="001326D8"/>
    <w:rsid w:val="00132A0B"/>
    <w:rsid w:val="00132B22"/>
    <w:rsid w:val="00132C9D"/>
    <w:rsid w:val="001331ED"/>
    <w:rsid w:val="001332F7"/>
    <w:rsid w:val="0013356B"/>
    <w:rsid w:val="001338A2"/>
    <w:rsid w:val="00133BC1"/>
    <w:rsid w:val="00133D0E"/>
    <w:rsid w:val="00133D36"/>
    <w:rsid w:val="00133DCB"/>
    <w:rsid w:val="00133DCF"/>
    <w:rsid w:val="001356B2"/>
    <w:rsid w:val="00135A29"/>
    <w:rsid w:val="00136678"/>
    <w:rsid w:val="00136B4C"/>
    <w:rsid w:val="00136F4C"/>
    <w:rsid w:val="00137645"/>
    <w:rsid w:val="00137A63"/>
    <w:rsid w:val="0014015A"/>
    <w:rsid w:val="00140B3F"/>
    <w:rsid w:val="00140BC3"/>
    <w:rsid w:val="00140E99"/>
    <w:rsid w:val="00141889"/>
    <w:rsid w:val="00141A25"/>
    <w:rsid w:val="00141B26"/>
    <w:rsid w:val="00141FEC"/>
    <w:rsid w:val="001427BE"/>
    <w:rsid w:val="001438EF"/>
    <w:rsid w:val="00143E1C"/>
    <w:rsid w:val="00143F67"/>
    <w:rsid w:val="0014400F"/>
    <w:rsid w:val="00144475"/>
    <w:rsid w:val="0014505B"/>
    <w:rsid w:val="00145234"/>
    <w:rsid w:val="0014542B"/>
    <w:rsid w:val="00145540"/>
    <w:rsid w:val="001456B0"/>
    <w:rsid w:val="00145C68"/>
    <w:rsid w:val="00146310"/>
    <w:rsid w:val="0014634B"/>
    <w:rsid w:val="00147373"/>
    <w:rsid w:val="0014739A"/>
    <w:rsid w:val="001475BD"/>
    <w:rsid w:val="001477F6"/>
    <w:rsid w:val="00147837"/>
    <w:rsid w:val="00147890"/>
    <w:rsid w:val="00147FBA"/>
    <w:rsid w:val="001501BD"/>
    <w:rsid w:val="00150380"/>
    <w:rsid w:val="001504DA"/>
    <w:rsid w:val="00150604"/>
    <w:rsid w:val="00150B8B"/>
    <w:rsid w:val="00150E2A"/>
    <w:rsid w:val="00151247"/>
    <w:rsid w:val="001525F3"/>
    <w:rsid w:val="0015266F"/>
    <w:rsid w:val="0015292B"/>
    <w:rsid w:val="00152943"/>
    <w:rsid w:val="00154022"/>
    <w:rsid w:val="00154030"/>
    <w:rsid w:val="001540B7"/>
    <w:rsid w:val="001547AB"/>
    <w:rsid w:val="001547E9"/>
    <w:rsid w:val="00154C55"/>
    <w:rsid w:val="00155007"/>
    <w:rsid w:val="0015516B"/>
    <w:rsid w:val="001558F4"/>
    <w:rsid w:val="00155C4E"/>
    <w:rsid w:val="00156522"/>
    <w:rsid w:val="00156B48"/>
    <w:rsid w:val="00156D72"/>
    <w:rsid w:val="00156E40"/>
    <w:rsid w:val="00156F8F"/>
    <w:rsid w:val="0015701F"/>
    <w:rsid w:val="00157130"/>
    <w:rsid w:val="001576B1"/>
    <w:rsid w:val="00157F0F"/>
    <w:rsid w:val="00157FE1"/>
    <w:rsid w:val="00160340"/>
    <w:rsid w:val="0016047B"/>
    <w:rsid w:val="00160768"/>
    <w:rsid w:val="00160A4C"/>
    <w:rsid w:val="00160C35"/>
    <w:rsid w:val="001614C9"/>
    <w:rsid w:val="00161CE4"/>
    <w:rsid w:val="001620AB"/>
    <w:rsid w:val="00162913"/>
    <w:rsid w:val="00162BF3"/>
    <w:rsid w:val="00162E8F"/>
    <w:rsid w:val="00162FBC"/>
    <w:rsid w:val="001633D3"/>
    <w:rsid w:val="00163439"/>
    <w:rsid w:val="00163C4C"/>
    <w:rsid w:val="00163D1B"/>
    <w:rsid w:val="00163EFF"/>
    <w:rsid w:val="00163F66"/>
    <w:rsid w:val="00163F6F"/>
    <w:rsid w:val="001640FA"/>
    <w:rsid w:val="00164412"/>
    <w:rsid w:val="00164619"/>
    <w:rsid w:val="0016478E"/>
    <w:rsid w:val="00164BF5"/>
    <w:rsid w:val="00164F86"/>
    <w:rsid w:val="00165302"/>
    <w:rsid w:val="001653FF"/>
    <w:rsid w:val="001657AC"/>
    <w:rsid w:val="00165D83"/>
    <w:rsid w:val="00165EC4"/>
    <w:rsid w:val="00165F0D"/>
    <w:rsid w:val="001661FB"/>
    <w:rsid w:val="00166561"/>
    <w:rsid w:val="001666CE"/>
    <w:rsid w:val="00166A47"/>
    <w:rsid w:val="001671A0"/>
    <w:rsid w:val="00167591"/>
    <w:rsid w:val="0016767F"/>
    <w:rsid w:val="00170AEC"/>
    <w:rsid w:val="00171038"/>
    <w:rsid w:val="001712C1"/>
    <w:rsid w:val="001715E2"/>
    <w:rsid w:val="00171912"/>
    <w:rsid w:val="00172168"/>
    <w:rsid w:val="0017258D"/>
    <w:rsid w:val="001727F9"/>
    <w:rsid w:val="0017330B"/>
    <w:rsid w:val="0017336D"/>
    <w:rsid w:val="00173565"/>
    <w:rsid w:val="00173649"/>
    <w:rsid w:val="00173A62"/>
    <w:rsid w:val="00173B07"/>
    <w:rsid w:val="00174889"/>
    <w:rsid w:val="00174C21"/>
    <w:rsid w:val="00174ECC"/>
    <w:rsid w:val="00175057"/>
    <w:rsid w:val="001751FA"/>
    <w:rsid w:val="0017542D"/>
    <w:rsid w:val="001757BB"/>
    <w:rsid w:val="00175A24"/>
    <w:rsid w:val="0017648B"/>
    <w:rsid w:val="001765C0"/>
    <w:rsid w:val="00176C13"/>
    <w:rsid w:val="00176C18"/>
    <w:rsid w:val="00176DE6"/>
    <w:rsid w:val="00176EA3"/>
    <w:rsid w:val="001772E2"/>
    <w:rsid w:val="001775CC"/>
    <w:rsid w:val="001777B1"/>
    <w:rsid w:val="0017791A"/>
    <w:rsid w:val="001779A9"/>
    <w:rsid w:val="0018008E"/>
    <w:rsid w:val="001807BE"/>
    <w:rsid w:val="00180DC7"/>
    <w:rsid w:val="00180E23"/>
    <w:rsid w:val="001816C6"/>
    <w:rsid w:val="001817AA"/>
    <w:rsid w:val="00181842"/>
    <w:rsid w:val="00181C10"/>
    <w:rsid w:val="00181D9C"/>
    <w:rsid w:val="001824FF"/>
    <w:rsid w:val="00182A28"/>
    <w:rsid w:val="00182DAA"/>
    <w:rsid w:val="00183129"/>
    <w:rsid w:val="00183223"/>
    <w:rsid w:val="00183529"/>
    <w:rsid w:val="00183724"/>
    <w:rsid w:val="001837DF"/>
    <w:rsid w:val="001837FD"/>
    <w:rsid w:val="001837FF"/>
    <w:rsid w:val="00183A84"/>
    <w:rsid w:val="0018418A"/>
    <w:rsid w:val="00184B0E"/>
    <w:rsid w:val="00185AF2"/>
    <w:rsid w:val="00185D00"/>
    <w:rsid w:val="0018605F"/>
    <w:rsid w:val="00186212"/>
    <w:rsid w:val="001863E3"/>
    <w:rsid w:val="001868DE"/>
    <w:rsid w:val="00186D41"/>
    <w:rsid w:val="00186D72"/>
    <w:rsid w:val="0018752F"/>
    <w:rsid w:val="00187878"/>
    <w:rsid w:val="00187882"/>
    <w:rsid w:val="00187954"/>
    <w:rsid w:val="0019001D"/>
    <w:rsid w:val="0019085B"/>
    <w:rsid w:val="00191329"/>
    <w:rsid w:val="0019164E"/>
    <w:rsid w:val="001918B9"/>
    <w:rsid w:val="00192A3C"/>
    <w:rsid w:val="00192E9A"/>
    <w:rsid w:val="001932A0"/>
    <w:rsid w:val="001932AF"/>
    <w:rsid w:val="00193838"/>
    <w:rsid w:val="00193B10"/>
    <w:rsid w:val="00193E25"/>
    <w:rsid w:val="00194866"/>
    <w:rsid w:val="00194867"/>
    <w:rsid w:val="00194AD8"/>
    <w:rsid w:val="00194C8E"/>
    <w:rsid w:val="00194F7B"/>
    <w:rsid w:val="00195222"/>
    <w:rsid w:val="00195452"/>
    <w:rsid w:val="00195B64"/>
    <w:rsid w:val="00195BAB"/>
    <w:rsid w:val="00195BFA"/>
    <w:rsid w:val="00196284"/>
    <w:rsid w:val="00196651"/>
    <w:rsid w:val="00197144"/>
    <w:rsid w:val="001975D8"/>
    <w:rsid w:val="00197ACB"/>
    <w:rsid w:val="00197F72"/>
    <w:rsid w:val="001A0B4E"/>
    <w:rsid w:val="001A0BA6"/>
    <w:rsid w:val="001A0EA8"/>
    <w:rsid w:val="001A178E"/>
    <w:rsid w:val="001A1946"/>
    <w:rsid w:val="001A202A"/>
    <w:rsid w:val="001A2373"/>
    <w:rsid w:val="001A2589"/>
    <w:rsid w:val="001A2D76"/>
    <w:rsid w:val="001A306E"/>
    <w:rsid w:val="001A3995"/>
    <w:rsid w:val="001A40E0"/>
    <w:rsid w:val="001A43FA"/>
    <w:rsid w:val="001A47C5"/>
    <w:rsid w:val="001A486A"/>
    <w:rsid w:val="001A49D5"/>
    <w:rsid w:val="001A50AE"/>
    <w:rsid w:val="001A53E0"/>
    <w:rsid w:val="001A54E0"/>
    <w:rsid w:val="001A59FB"/>
    <w:rsid w:val="001A5E9E"/>
    <w:rsid w:val="001A6354"/>
    <w:rsid w:val="001A6366"/>
    <w:rsid w:val="001A6737"/>
    <w:rsid w:val="001A6C2B"/>
    <w:rsid w:val="001A72BE"/>
    <w:rsid w:val="001A745A"/>
    <w:rsid w:val="001A777D"/>
    <w:rsid w:val="001A794B"/>
    <w:rsid w:val="001A79FD"/>
    <w:rsid w:val="001A7AE8"/>
    <w:rsid w:val="001A7CD6"/>
    <w:rsid w:val="001A7F13"/>
    <w:rsid w:val="001A7F45"/>
    <w:rsid w:val="001B0096"/>
    <w:rsid w:val="001B0771"/>
    <w:rsid w:val="001B0D12"/>
    <w:rsid w:val="001B0D86"/>
    <w:rsid w:val="001B0E42"/>
    <w:rsid w:val="001B1155"/>
    <w:rsid w:val="001B1C7E"/>
    <w:rsid w:val="001B202C"/>
    <w:rsid w:val="001B204E"/>
    <w:rsid w:val="001B2267"/>
    <w:rsid w:val="001B2372"/>
    <w:rsid w:val="001B25DE"/>
    <w:rsid w:val="001B2F6C"/>
    <w:rsid w:val="001B2FDD"/>
    <w:rsid w:val="001B3443"/>
    <w:rsid w:val="001B3E50"/>
    <w:rsid w:val="001B41A8"/>
    <w:rsid w:val="001B42EA"/>
    <w:rsid w:val="001B4B00"/>
    <w:rsid w:val="001B4D20"/>
    <w:rsid w:val="001B50D8"/>
    <w:rsid w:val="001B52FD"/>
    <w:rsid w:val="001B561E"/>
    <w:rsid w:val="001B57C4"/>
    <w:rsid w:val="001B5A54"/>
    <w:rsid w:val="001B5B3C"/>
    <w:rsid w:val="001B5BB3"/>
    <w:rsid w:val="001B5FC3"/>
    <w:rsid w:val="001B6340"/>
    <w:rsid w:val="001B63BB"/>
    <w:rsid w:val="001B66FF"/>
    <w:rsid w:val="001B6711"/>
    <w:rsid w:val="001B6AA0"/>
    <w:rsid w:val="001B6CA1"/>
    <w:rsid w:val="001B6F8E"/>
    <w:rsid w:val="001B73A2"/>
    <w:rsid w:val="001B73F7"/>
    <w:rsid w:val="001B767F"/>
    <w:rsid w:val="001B7AD1"/>
    <w:rsid w:val="001B7D68"/>
    <w:rsid w:val="001B7F84"/>
    <w:rsid w:val="001C0833"/>
    <w:rsid w:val="001C0F78"/>
    <w:rsid w:val="001C1429"/>
    <w:rsid w:val="001C1BCF"/>
    <w:rsid w:val="001C213E"/>
    <w:rsid w:val="001C22A7"/>
    <w:rsid w:val="001C2765"/>
    <w:rsid w:val="001C29E2"/>
    <w:rsid w:val="001C2A9B"/>
    <w:rsid w:val="001C2B07"/>
    <w:rsid w:val="001C2B2F"/>
    <w:rsid w:val="001C2CEB"/>
    <w:rsid w:val="001C2F18"/>
    <w:rsid w:val="001C3DD6"/>
    <w:rsid w:val="001C3F34"/>
    <w:rsid w:val="001C4299"/>
    <w:rsid w:val="001C4543"/>
    <w:rsid w:val="001C464A"/>
    <w:rsid w:val="001C4874"/>
    <w:rsid w:val="001C49C3"/>
    <w:rsid w:val="001C4AB1"/>
    <w:rsid w:val="001C4F1B"/>
    <w:rsid w:val="001C5644"/>
    <w:rsid w:val="001C5F94"/>
    <w:rsid w:val="001C6AAE"/>
    <w:rsid w:val="001C6E66"/>
    <w:rsid w:val="001C7CE1"/>
    <w:rsid w:val="001D0135"/>
    <w:rsid w:val="001D01F6"/>
    <w:rsid w:val="001D08D3"/>
    <w:rsid w:val="001D1100"/>
    <w:rsid w:val="001D1391"/>
    <w:rsid w:val="001D1C27"/>
    <w:rsid w:val="001D2010"/>
    <w:rsid w:val="001D2123"/>
    <w:rsid w:val="001D25D7"/>
    <w:rsid w:val="001D2AA6"/>
    <w:rsid w:val="001D30DE"/>
    <w:rsid w:val="001D3123"/>
    <w:rsid w:val="001D3342"/>
    <w:rsid w:val="001D3BA3"/>
    <w:rsid w:val="001D41FE"/>
    <w:rsid w:val="001D44F7"/>
    <w:rsid w:val="001D4C48"/>
    <w:rsid w:val="001D50A7"/>
    <w:rsid w:val="001D50B2"/>
    <w:rsid w:val="001D5612"/>
    <w:rsid w:val="001D5CDE"/>
    <w:rsid w:val="001D6906"/>
    <w:rsid w:val="001D6A8F"/>
    <w:rsid w:val="001D6E0D"/>
    <w:rsid w:val="001D7181"/>
    <w:rsid w:val="001D71F4"/>
    <w:rsid w:val="001D7515"/>
    <w:rsid w:val="001D7645"/>
    <w:rsid w:val="001D7828"/>
    <w:rsid w:val="001D7E36"/>
    <w:rsid w:val="001E09C0"/>
    <w:rsid w:val="001E0A17"/>
    <w:rsid w:val="001E0A4D"/>
    <w:rsid w:val="001E1CB4"/>
    <w:rsid w:val="001E1DB5"/>
    <w:rsid w:val="001E1E76"/>
    <w:rsid w:val="001E1E86"/>
    <w:rsid w:val="001E220C"/>
    <w:rsid w:val="001E238E"/>
    <w:rsid w:val="001E2483"/>
    <w:rsid w:val="001E266C"/>
    <w:rsid w:val="001E2B1E"/>
    <w:rsid w:val="001E2C2A"/>
    <w:rsid w:val="001E2CFF"/>
    <w:rsid w:val="001E2E63"/>
    <w:rsid w:val="001E2F24"/>
    <w:rsid w:val="001E2F7A"/>
    <w:rsid w:val="001E3063"/>
    <w:rsid w:val="001E30D4"/>
    <w:rsid w:val="001E34DF"/>
    <w:rsid w:val="001E3D9E"/>
    <w:rsid w:val="001E4AD2"/>
    <w:rsid w:val="001E4D75"/>
    <w:rsid w:val="001E5002"/>
    <w:rsid w:val="001E5194"/>
    <w:rsid w:val="001E52EB"/>
    <w:rsid w:val="001E53C8"/>
    <w:rsid w:val="001E5417"/>
    <w:rsid w:val="001E61D2"/>
    <w:rsid w:val="001E635E"/>
    <w:rsid w:val="001E638E"/>
    <w:rsid w:val="001E6B96"/>
    <w:rsid w:val="001E6D5E"/>
    <w:rsid w:val="001E72DA"/>
    <w:rsid w:val="001E740C"/>
    <w:rsid w:val="001E742E"/>
    <w:rsid w:val="001E7DBE"/>
    <w:rsid w:val="001E7E9B"/>
    <w:rsid w:val="001F0156"/>
    <w:rsid w:val="001F0A9C"/>
    <w:rsid w:val="001F0C73"/>
    <w:rsid w:val="001F1235"/>
    <w:rsid w:val="001F1CB3"/>
    <w:rsid w:val="001F2802"/>
    <w:rsid w:val="001F2DD2"/>
    <w:rsid w:val="001F324E"/>
    <w:rsid w:val="001F34A4"/>
    <w:rsid w:val="001F38B5"/>
    <w:rsid w:val="001F4081"/>
    <w:rsid w:val="001F434C"/>
    <w:rsid w:val="001F45DF"/>
    <w:rsid w:val="001F46D0"/>
    <w:rsid w:val="001F48E8"/>
    <w:rsid w:val="001F54A6"/>
    <w:rsid w:val="001F5829"/>
    <w:rsid w:val="001F5987"/>
    <w:rsid w:val="001F5F94"/>
    <w:rsid w:val="001F5FA4"/>
    <w:rsid w:val="001F6380"/>
    <w:rsid w:val="001F68D7"/>
    <w:rsid w:val="001F6AFE"/>
    <w:rsid w:val="001F6E91"/>
    <w:rsid w:val="001F7361"/>
    <w:rsid w:val="001F742A"/>
    <w:rsid w:val="001F744F"/>
    <w:rsid w:val="001F763F"/>
    <w:rsid w:val="001F7C7B"/>
    <w:rsid w:val="00200B03"/>
    <w:rsid w:val="00200CE5"/>
    <w:rsid w:val="00200E2E"/>
    <w:rsid w:val="002011B0"/>
    <w:rsid w:val="0020129E"/>
    <w:rsid w:val="002012A8"/>
    <w:rsid w:val="00201791"/>
    <w:rsid w:val="002017C6"/>
    <w:rsid w:val="00201810"/>
    <w:rsid w:val="00201984"/>
    <w:rsid w:val="00202068"/>
    <w:rsid w:val="002021FB"/>
    <w:rsid w:val="002023C8"/>
    <w:rsid w:val="002027E1"/>
    <w:rsid w:val="00202889"/>
    <w:rsid w:val="00202E4D"/>
    <w:rsid w:val="00203181"/>
    <w:rsid w:val="002034F4"/>
    <w:rsid w:val="00203783"/>
    <w:rsid w:val="0020385F"/>
    <w:rsid w:val="00203899"/>
    <w:rsid w:val="00203CA6"/>
    <w:rsid w:val="00203E41"/>
    <w:rsid w:val="00204116"/>
    <w:rsid w:val="002043C5"/>
    <w:rsid w:val="002044B2"/>
    <w:rsid w:val="00204743"/>
    <w:rsid w:val="00205D07"/>
    <w:rsid w:val="00205EB7"/>
    <w:rsid w:val="00206815"/>
    <w:rsid w:val="002068A0"/>
    <w:rsid w:val="0020698D"/>
    <w:rsid w:val="00206AD9"/>
    <w:rsid w:val="0020701A"/>
    <w:rsid w:val="00207021"/>
    <w:rsid w:val="002071C3"/>
    <w:rsid w:val="0020732F"/>
    <w:rsid w:val="002079B3"/>
    <w:rsid w:val="00207A76"/>
    <w:rsid w:val="00207BCA"/>
    <w:rsid w:val="00207D00"/>
    <w:rsid w:val="00207F56"/>
    <w:rsid w:val="002103BA"/>
    <w:rsid w:val="00210536"/>
    <w:rsid w:val="002105AB"/>
    <w:rsid w:val="002105C1"/>
    <w:rsid w:val="002109AB"/>
    <w:rsid w:val="00210E59"/>
    <w:rsid w:val="002116FD"/>
    <w:rsid w:val="00211DBE"/>
    <w:rsid w:val="00211E87"/>
    <w:rsid w:val="00212DED"/>
    <w:rsid w:val="00212FC6"/>
    <w:rsid w:val="0021322D"/>
    <w:rsid w:val="00213441"/>
    <w:rsid w:val="00213BE2"/>
    <w:rsid w:val="00213EF5"/>
    <w:rsid w:val="00214C3D"/>
    <w:rsid w:val="00214DFC"/>
    <w:rsid w:val="0021522A"/>
    <w:rsid w:val="002159CB"/>
    <w:rsid w:val="00215A12"/>
    <w:rsid w:val="00215C15"/>
    <w:rsid w:val="00215E3B"/>
    <w:rsid w:val="00215E43"/>
    <w:rsid w:val="0021667E"/>
    <w:rsid w:val="00216BF5"/>
    <w:rsid w:val="00217E8C"/>
    <w:rsid w:val="00217FBE"/>
    <w:rsid w:val="002204F2"/>
    <w:rsid w:val="0022077F"/>
    <w:rsid w:val="00220788"/>
    <w:rsid w:val="00220DB3"/>
    <w:rsid w:val="00221B23"/>
    <w:rsid w:val="00222243"/>
    <w:rsid w:val="00222395"/>
    <w:rsid w:val="002225FB"/>
    <w:rsid w:val="0022287D"/>
    <w:rsid w:val="002229F6"/>
    <w:rsid w:val="002231AA"/>
    <w:rsid w:val="00223935"/>
    <w:rsid w:val="00223B04"/>
    <w:rsid w:val="00223B49"/>
    <w:rsid w:val="00223D5A"/>
    <w:rsid w:val="002240FB"/>
    <w:rsid w:val="00224440"/>
    <w:rsid w:val="002248B8"/>
    <w:rsid w:val="00224C7E"/>
    <w:rsid w:val="00224D0F"/>
    <w:rsid w:val="00224DD4"/>
    <w:rsid w:val="002258EC"/>
    <w:rsid w:val="00226439"/>
    <w:rsid w:val="00226992"/>
    <w:rsid w:val="00227066"/>
    <w:rsid w:val="002274C3"/>
    <w:rsid w:val="002278A0"/>
    <w:rsid w:val="00227A3B"/>
    <w:rsid w:val="002303F7"/>
    <w:rsid w:val="00230739"/>
    <w:rsid w:val="0023093E"/>
    <w:rsid w:val="002309CC"/>
    <w:rsid w:val="00230C33"/>
    <w:rsid w:val="00230F29"/>
    <w:rsid w:val="0023119F"/>
    <w:rsid w:val="0023158A"/>
    <w:rsid w:val="00231894"/>
    <w:rsid w:val="00231BA9"/>
    <w:rsid w:val="00231D84"/>
    <w:rsid w:val="00231E05"/>
    <w:rsid w:val="0023209F"/>
    <w:rsid w:val="0023245A"/>
    <w:rsid w:val="002326E6"/>
    <w:rsid w:val="00232B3E"/>
    <w:rsid w:val="00232BF8"/>
    <w:rsid w:val="0023300B"/>
    <w:rsid w:val="002333D2"/>
    <w:rsid w:val="002336C0"/>
    <w:rsid w:val="0023386A"/>
    <w:rsid w:val="00233C01"/>
    <w:rsid w:val="00233C40"/>
    <w:rsid w:val="00233DB6"/>
    <w:rsid w:val="0023413C"/>
    <w:rsid w:val="002346F0"/>
    <w:rsid w:val="00235D10"/>
    <w:rsid w:val="00235DA5"/>
    <w:rsid w:val="00235FF1"/>
    <w:rsid w:val="0023602D"/>
    <w:rsid w:val="00236253"/>
    <w:rsid w:val="0023629D"/>
    <w:rsid w:val="002365C7"/>
    <w:rsid w:val="00236EFD"/>
    <w:rsid w:val="00236F77"/>
    <w:rsid w:val="00237255"/>
    <w:rsid w:val="00237C01"/>
    <w:rsid w:val="002402B2"/>
    <w:rsid w:val="0024084C"/>
    <w:rsid w:val="002408B7"/>
    <w:rsid w:val="00240A48"/>
    <w:rsid w:val="002411DD"/>
    <w:rsid w:val="00241483"/>
    <w:rsid w:val="00241C45"/>
    <w:rsid w:val="00241D76"/>
    <w:rsid w:val="002424AF"/>
    <w:rsid w:val="00242CE4"/>
    <w:rsid w:val="00242EBC"/>
    <w:rsid w:val="00242F37"/>
    <w:rsid w:val="0024312D"/>
    <w:rsid w:val="0024381E"/>
    <w:rsid w:val="002439A7"/>
    <w:rsid w:val="002439DC"/>
    <w:rsid w:val="00243C48"/>
    <w:rsid w:val="002441D2"/>
    <w:rsid w:val="002449AC"/>
    <w:rsid w:val="00244DC8"/>
    <w:rsid w:val="00245710"/>
    <w:rsid w:val="002458BA"/>
    <w:rsid w:val="00245CE9"/>
    <w:rsid w:val="0024636C"/>
    <w:rsid w:val="002463F7"/>
    <w:rsid w:val="002466FE"/>
    <w:rsid w:val="00246717"/>
    <w:rsid w:val="00246858"/>
    <w:rsid w:val="00246A15"/>
    <w:rsid w:val="00246DA8"/>
    <w:rsid w:val="00246DD3"/>
    <w:rsid w:val="0024705B"/>
    <w:rsid w:val="002472DE"/>
    <w:rsid w:val="00247425"/>
    <w:rsid w:val="00247925"/>
    <w:rsid w:val="00247A2A"/>
    <w:rsid w:val="00247C90"/>
    <w:rsid w:val="00250133"/>
    <w:rsid w:val="00250695"/>
    <w:rsid w:val="0025080F"/>
    <w:rsid w:val="002509EE"/>
    <w:rsid w:val="002509FA"/>
    <w:rsid w:val="00251006"/>
    <w:rsid w:val="002513CA"/>
    <w:rsid w:val="002516B1"/>
    <w:rsid w:val="002517D9"/>
    <w:rsid w:val="002519FE"/>
    <w:rsid w:val="00251A59"/>
    <w:rsid w:val="002524D5"/>
    <w:rsid w:val="00252525"/>
    <w:rsid w:val="00253209"/>
    <w:rsid w:val="002537CE"/>
    <w:rsid w:val="00253892"/>
    <w:rsid w:val="00253B1D"/>
    <w:rsid w:val="00253ED9"/>
    <w:rsid w:val="0025422E"/>
    <w:rsid w:val="002548E1"/>
    <w:rsid w:val="00254DCF"/>
    <w:rsid w:val="0025526E"/>
    <w:rsid w:val="00255340"/>
    <w:rsid w:val="0025534B"/>
    <w:rsid w:val="00255384"/>
    <w:rsid w:val="002554A2"/>
    <w:rsid w:val="00255BB7"/>
    <w:rsid w:val="0025616F"/>
    <w:rsid w:val="00256599"/>
    <w:rsid w:val="00256C61"/>
    <w:rsid w:val="00256CDC"/>
    <w:rsid w:val="00256E4A"/>
    <w:rsid w:val="00257541"/>
    <w:rsid w:val="00257A39"/>
    <w:rsid w:val="00257AC4"/>
    <w:rsid w:val="00257BBE"/>
    <w:rsid w:val="00257C63"/>
    <w:rsid w:val="002604DE"/>
    <w:rsid w:val="00260768"/>
    <w:rsid w:val="00260B2C"/>
    <w:rsid w:val="00260BD4"/>
    <w:rsid w:val="00260FC9"/>
    <w:rsid w:val="0026128D"/>
    <w:rsid w:val="002614EF"/>
    <w:rsid w:val="002617A1"/>
    <w:rsid w:val="00261A0D"/>
    <w:rsid w:val="00261A52"/>
    <w:rsid w:val="00261AED"/>
    <w:rsid w:val="00261EEF"/>
    <w:rsid w:val="00261F66"/>
    <w:rsid w:val="00262205"/>
    <w:rsid w:val="002622F1"/>
    <w:rsid w:val="00262665"/>
    <w:rsid w:val="00262A1A"/>
    <w:rsid w:val="00262A87"/>
    <w:rsid w:val="00263093"/>
    <w:rsid w:val="00263240"/>
    <w:rsid w:val="002635F7"/>
    <w:rsid w:val="00263DD0"/>
    <w:rsid w:val="00264A43"/>
    <w:rsid w:val="00264D26"/>
    <w:rsid w:val="00264FAB"/>
    <w:rsid w:val="002651D0"/>
    <w:rsid w:val="0026530D"/>
    <w:rsid w:val="0026562D"/>
    <w:rsid w:val="002659CB"/>
    <w:rsid w:val="00265AD7"/>
    <w:rsid w:val="00266251"/>
    <w:rsid w:val="00266D1F"/>
    <w:rsid w:val="00266D36"/>
    <w:rsid w:val="00266D7A"/>
    <w:rsid w:val="00267642"/>
    <w:rsid w:val="00267AEA"/>
    <w:rsid w:val="00267F99"/>
    <w:rsid w:val="002700AC"/>
    <w:rsid w:val="002700E6"/>
    <w:rsid w:val="002707F4"/>
    <w:rsid w:val="00270E1C"/>
    <w:rsid w:val="0027137E"/>
    <w:rsid w:val="00271A7A"/>
    <w:rsid w:val="00272547"/>
    <w:rsid w:val="0027294B"/>
    <w:rsid w:val="00272BDC"/>
    <w:rsid w:val="00273295"/>
    <w:rsid w:val="00273950"/>
    <w:rsid w:val="00273D4C"/>
    <w:rsid w:val="00273EB4"/>
    <w:rsid w:val="00274142"/>
    <w:rsid w:val="00274682"/>
    <w:rsid w:val="00274692"/>
    <w:rsid w:val="00274B87"/>
    <w:rsid w:val="00275158"/>
    <w:rsid w:val="00275C5A"/>
    <w:rsid w:val="00275F4D"/>
    <w:rsid w:val="0027611B"/>
    <w:rsid w:val="002763A3"/>
    <w:rsid w:val="00276B56"/>
    <w:rsid w:val="00276D2A"/>
    <w:rsid w:val="00276D5E"/>
    <w:rsid w:val="00276DBB"/>
    <w:rsid w:val="0027702D"/>
    <w:rsid w:val="002774CD"/>
    <w:rsid w:val="0027790F"/>
    <w:rsid w:val="00277DDC"/>
    <w:rsid w:val="00277F80"/>
    <w:rsid w:val="00280049"/>
    <w:rsid w:val="0028013F"/>
    <w:rsid w:val="002802C1"/>
    <w:rsid w:val="0028063A"/>
    <w:rsid w:val="00280B71"/>
    <w:rsid w:val="00281014"/>
    <w:rsid w:val="00281144"/>
    <w:rsid w:val="00281306"/>
    <w:rsid w:val="002816BA"/>
    <w:rsid w:val="0028170E"/>
    <w:rsid w:val="002818C6"/>
    <w:rsid w:val="002819BA"/>
    <w:rsid w:val="00281B91"/>
    <w:rsid w:val="00282C5B"/>
    <w:rsid w:val="00282FB3"/>
    <w:rsid w:val="0028352A"/>
    <w:rsid w:val="002835E2"/>
    <w:rsid w:val="00283621"/>
    <w:rsid w:val="00283712"/>
    <w:rsid w:val="00283FB4"/>
    <w:rsid w:val="002847F4"/>
    <w:rsid w:val="00284D95"/>
    <w:rsid w:val="00285634"/>
    <w:rsid w:val="00285BCE"/>
    <w:rsid w:val="00285D2B"/>
    <w:rsid w:val="00285E91"/>
    <w:rsid w:val="002860A3"/>
    <w:rsid w:val="00286166"/>
    <w:rsid w:val="002865DE"/>
    <w:rsid w:val="0028665D"/>
    <w:rsid w:val="00286D2A"/>
    <w:rsid w:val="00287213"/>
    <w:rsid w:val="002873F8"/>
    <w:rsid w:val="0028755B"/>
    <w:rsid w:val="00290404"/>
    <w:rsid w:val="00290D4D"/>
    <w:rsid w:val="00292794"/>
    <w:rsid w:val="002929F3"/>
    <w:rsid w:val="00292BD6"/>
    <w:rsid w:val="00293047"/>
    <w:rsid w:val="0029380C"/>
    <w:rsid w:val="00293944"/>
    <w:rsid w:val="002944A7"/>
    <w:rsid w:val="002944D6"/>
    <w:rsid w:val="0029469F"/>
    <w:rsid w:val="002948C0"/>
    <w:rsid w:val="002948FC"/>
    <w:rsid w:val="002957A2"/>
    <w:rsid w:val="0029589E"/>
    <w:rsid w:val="00295AFF"/>
    <w:rsid w:val="00295FDC"/>
    <w:rsid w:val="002964F9"/>
    <w:rsid w:val="00296EC1"/>
    <w:rsid w:val="00296F28"/>
    <w:rsid w:val="002972B9"/>
    <w:rsid w:val="0029788C"/>
    <w:rsid w:val="002A0035"/>
    <w:rsid w:val="002A0139"/>
    <w:rsid w:val="002A0AE1"/>
    <w:rsid w:val="002A14AB"/>
    <w:rsid w:val="002A179A"/>
    <w:rsid w:val="002A2772"/>
    <w:rsid w:val="002A2ADE"/>
    <w:rsid w:val="002A2F50"/>
    <w:rsid w:val="002A2FDD"/>
    <w:rsid w:val="002A36CA"/>
    <w:rsid w:val="002A39BB"/>
    <w:rsid w:val="002A3A89"/>
    <w:rsid w:val="002A3E09"/>
    <w:rsid w:val="002A3EA7"/>
    <w:rsid w:val="002A406A"/>
    <w:rsid w:val="002A42AF"/>
    <w:rsid w:val="002A445F"/>
    <w:rsid w:val="002A4837"/>
    <w:rsid w:val="002A48F5"/>
    <w:rsid w:val="002A4A5D"/>
    <w:rsid w:val="002A4C88"/>
    <w:rsid w:val="002A5317"/>
    <w:rsid w:val="002A546E"/>
    <w:rsid w:val="002A57AA"/>
    <w:rsid w:val="002A5B37"/>
    <w:rsid w:val="002A5BB5"/>
    <w:rsid w:val="002A5E10"/>
    <w:rsid w:val="002A60C9"/>
    <w:rsid w:val="002A687B"/>
    <w:rsid w:val="002A6AA7"/>
    <w:rsid w:val="002A7161"/>
    <w:rsid w:val="002A7943"/>
    <w:rsid w:val="002A7A39"/>
    <w:rsid w:val="002A7DFF"/>
    <w:rsid w:val="002B0445"/>
    <w:rsid w:val="002B05A1"/>
    <w:rsid w:val="002B0706"/>
    <w:rsid w:val="002B09A4"/>
    <w:rsid w:val="002B0EBA"/>
    <w:rsid w:val="002B10BC"/>
    <w:rsid w:val="002B111A"/>
    <w:rsid w:val="002B18CB"/>
    <w:rsid w:val="002B1ABD"/>
    <w:rsid w:val="002B1C1F"/>
    <w:rsid w:val="002B272D"/>
    <w:rsid w:val="002B2C8B"/>
    <w:rsid w:val="002B2D3C"/>
    <w:rsid w:val="002B2D59"/>
    <w:rsid w:val="002B2EB6"/>
    <w:rsid w:val="002B2FB8"/>
    <w:rsid w:val="002B3333"/>
    <w:rsid w:val="002B3556"/>
    <w:rsid w:val="002B3D37"/>
    <w:rsid w:val="002B3EA6"/>
    <w:rsid w:val="002B3FEB"/>
    <w:rsid w:val="002B432F"/>
    <w:rsid w:val="002B4453"/>
    <w:rsid w:val="002B4612"/>
    <w:rsid w:val="002B470F"/>
    <w:rsid w:val="002B47CE"/>
    <w:rsid w:val="002B4866"/>
    <w:rsid w:val="002B4F15"/>
    <w:rsid w:val="002B5AA0"/>
    <w:rsid w:val="002B5B02"/>
    <w:rsid w:val="002B62B3"/>
    <w:rsid w:val="002B6602"/>
    <w:rsid w:val="002B6754"/>
    <w:rsid w:val="002B6CCE"/>
    <w:rsid w:val="002B7796"/>
    <w:rsid w:val="002B78CA"/>
    <w:rsid w:val="002B7ECC"/>
    <w:rsid w:val="002B7F5C"/>
    <w:rsid w:val="002C0394"/>
    <w:rsid w:val="002C03F9"/>
    <w:rsid w:val="002C06BA"/>
    <w:rsid w:val="002C06CD"/>
    <w:rsid w:val="002C0B88"/>
    <w:rsid w:val="002C130A"/>
    <w:rsid w:val="002C1CFD"/>
    <w:rsid w:val="002C2139"/>
    <w:rsid w:val="002C231C"/>
    <w:rsid w:val="002C2510"/>
    <w:rsid w:val="002C2775"/>
    <w:rsid w:val="002C27B6"/>
    <w:rsid w:val="002C27C1"/>
    <w:rsid w:val="002C353E"/>
    <w:rsid w:val="002C3554"/>
    <w:rsid w:val="002C36E3"/>
    <w:rsid w:val="002C3760"/>
    <w:rsid w:val="002C37E3"/>
    <w:rsid w:val="002C395E"/>
    <w:rsid w:val="002C476E"/>
    <w:rsid w:val="002C49EA"/>
    <w:rsid w:val="002C5099"/>
    <w:rsid w:val="002C5889"/>
    <w:rsid w:val="002C58C8"/>
    <w:rsid w:val="002C5BB8"/>
    <w:rsid w:val="002C5D44"/>
    <w:rsid w:val="002C71CE"/>
    <w:rsid w:val="002C7A8C"/>
    <w:rsid w:val="002D045C"/>
    <w:rsid w:val="002D08F8"/>
    <w:rsid w:val="002D12B3"/>
    <w:rsid w:val="002D14DD"/>
    <w:rsid w:val="002D2588"/>
    <w:rsid w:val="002D28CE"/>
    <w:rsid w:val="002D28F4"/>
    <w:rsid w:val="002D2DCB"/>
    <w:rsid w:val="002D2F97"/>
    <w:rsid w:val="002D3402"/>
    <w:rsid w:val="002D39E5"/>
    <w:rsid w:val="002D3F32"/>
    <w:rsid w:val="002D403C"/>
    <w:rsid w:val="002D4BDE"/>
    <w:rsid w:val="002D4C6F"/>
    <w:rsid w:val="002D4CF1"/>
    <w:rsid w:val="002D5074"/>
    <w:rsid w:val="002D51F0"/>
    <w:rsid w:val="002D5384"/>
    <w:rsid w:val="002D577C"/>
    <w:rsid w:val="002D5888"/>
    <w:rsid w:val="002D5AA2"/>
    <w:rsid w:val="002D5D3A"/>
    <w:rsid w:val="002D6039"/>
    <w:rsid w:val="002D61FE"/>
    <w:rsid w:val="002D64A9"/>
    <w:rsid w:val="002D6745"/>
    <w:rsid w:val="002D68B9"/>
    <w:rsid w:val="002D7832"/>
    <w:rsid w:val="002E02DC"/>
    <w:rsid w:val="002E05E5"/>
    <w:rsid w:val="002E0B58"/>
    <w:rsid w:val="002E1071"/>
    <w:rsid w:val="002E10E6"/>
    <w:rsid w:val="002E11EC"/>
    <w:rsid w:val="002E15B9"/>
    <w:rsid w:val="002E1F06"/>
    <w:rsid w:val="002E2158"/>
    <w:rsid w:val="002E2514"/>
    <w:rsid w:val="002E2578"/>
    <w:rsid w:val="002E25C7"/>
    <w:rsid w:val="002E30E7"/>
    <w:rsid w:val="002E3242"/>
    <w:rsid w:val="002E32CA"/>
    <w:rsid w:val="002E35CB"/>
    <w:rsid w:val="002E3606"/>
    <w:rsid w:val="002E368F"/>
    <w:rsid w:val="002E4A20"/>
    <w:rsid w:val="002E4A93"/>
    <w:rsid w:val="002E4F02"/>
    <w:rsid w:val="002E505C"/>
    <w:rsid w:val="002E529E"/>
    <w:rsid w:val="002E52B5"/>
    <w:rsid w:val="002E5497"/>
    <w:rsid w:val="002E5BB5"/>
    <w:rsid w:val="002E5EE0"/>
    <w:rsid w:val="002E6313"/>
    <w:rsid w:val="002E631C"/>
    <w:rsid w:val="002E64F1"/>
    <w:rsid w:val="002E7263"/>
    <w:rsid w:val="002E75D2"/>
    <w:rsid w:val="002E7722"/>
    <w:rsid w:val="002E7CDA"/>
    <w:rsid w:val="002E7F0B"/>
    <w:rsid w:val="002F07BA"/>
    <w:rsid w:val="002F07E1"/>
    <w:rsid w:val="002F0C66"/>
    <w:rsid w:val="002F0DA9"/>
    <w:rsid w:val="002F1014"/>
    <w:rsid w:val="002F1355"/>
    <w:rsid w:val="002F137A"/>
    <w:rsid w:val="002F1C03"/>
    <w:rsid w:val="002F1D94"/>
    <w:rsid w:val="002F1E3B"/>
    <w:rsid w:val="002F2320"/>
    <w:rsid w:val="002F2359"/>
    <w:rsid w:val="002F24B0"/>
    <w:rsid w:val="002F2D8A"/>
    <w:rsid w:val="002F33E7"/>
    <w:rsid w:val="002F3405"/>
    <w:rsid w:val="002F346F"/>
    <w:rsid w:val="002F3C44"/>
    <w:rsid w:val="002F3F49"/>
    <w:rsid w:val="002F4135"/>
    <w:rsid w:val="002F42C0"/>
    <w:rsid w:val="002F44F7"/>
    <w:rsid w:val="002F4AAB"/>
    <w:rsid w:val="002F5508"/>
    <w:rsid w:val="002F58BE"/>
    <w:rsid w:val="002F5E12"/>
    <w:rsid w:val="002F61E1"/>
    <w:rsid w:val="002F6263"/>
    <w:rsid w:val="002F6353"/>
    <w:rsid w:val="002F643C"/>
    <w:rsid w:val="002F6466"/>
    <w:rsid w:val="002F71C0"/>
    <w:rsid w:val="002F74F1"/>
    <w:rsid w:val="002F77D0"/>
    <w:rsid w:val="002F7820"/>
    <w:rsid w:val="002F7868"/>
    <w:rsid w:val="002F7AC9"/>
    <w:rsid w:val="002F7C27"/>
    <w:rsid w:val="002F7F96"/>
    <w:rsid w:val="003004F2"/>
    <w:rsid w:val="00300896"/>
    <w:rsid w:val="00300A8F"/>
    <w:rsid w:val="00300BBE"/>
    <w:rsid w:val="00301017"/>
    <w:rsid w:val="00301180"/>
    <w:rsid w:val="0030155F"/>
    <w:rsid w:val="0030167C"/>
    <w:rsid w:val="0030185D"/>
    <w:rsid w:val="00301D78"/>
    <w:rsid w:val="00302759"/>
    <w:rsid w:val="00302801"/>
    <w:rsid w:val="00302FDA"/>
    <w:rsid w:val="00304DDE"/>
    <w:rsid w:val="0030544F"/>
    <w:rsid w:val="0030587B"/>
    <w:rsid w:val="00305CC4"/>
    <w:rsid w:val="003062A7"/>
    <w:rsid w:val="00306369"/>
    <w:rsid w:val="00306C53"/>
    <w:rsid w:val="00306D98"/>
    <w:rsid w:val="003075D0"/>
    <w:rsid w:val="00307648"/>
    <w:rsid w:val="0030786C"/>
    <w:rsid w:val="00307FD0"/>
    <w:rsid w:val="00310285"/>
    <w:rsid w:val="0031031A"/>
    <w:rsid w:val="003106DF"/>
    <w:rsid w:val="003106E2"/>
    <w:rsid w:val="0031073F"/>
    <w:rsid w:val="00310981"/>
    <w:rsid w:val="00310DFE"/>
    <w:rsid w:val="003111CA"/>
    <w:rsid w:val="003117E2"/>
    <w:rsid w:val="003118DA"/>
    <w:rsid w:val="00311D9B"/>
    <w:rsid w:val="00311FDD"/>
    <w:rsid w:val="003120F2"/>
    <w:rsid w:val="00312101"/>
    <w:rsid w:val="003124D9"/>
    <w:rsid w:val="00312594"/>
    <w:rsid w:val="00312EBC"/>
    <w:rsid w:val="00312F8D"/>
    <w:rsid w:val="003131EA"/>
    <w:rsid w:val="0031349F"/>
    <w:rsid w:val="003135BA"/>
    <w:rsid w:val="0031365F"/>
    <w:rsid w:val="00313CA1"/>
    <w:rsid w:val="00314697"/>
    <w:rsid w:val="00315498"/>
    <w:rsid w:val="00315866"/>
    <w:rsid w:val="00315872"/>
    <w:rsid w:val="00315AC6"/>
    <w:rsid w:val="00315D07"/>
    <w:rsid w:val="00316474"/>
    <w:rsid w:val="00316566"/>
    <w:rsid w:val="00316DD1"/>
    <w:rsid w:val="00316F96"/>
    <w:rsid w:val="003174F6"/>
    <w:rsid w:val="003177CF"/>
    <w:rsid w:val="00317959"/>
    <w:rsid w:val="00317EB3"/>
    <w:rsid w:val="00317F66"/>
    <w:rsid w:val="0032117A"/>
    <w:rsid w:val="003211B4"/>
    <w:rsid w:val="003216AB"/>
    <w:rsid w:val="00321C21"/>
    <w:rsid w:val="00322107"/>
    <w:rsid w:val="00322355"/>
    <w:rsid w:val="0032253E"/>
    <w:rsid w:val="003226F3"/>
    <w:rsid w:val="00322846"/>
    <w:rsid w:val="003228EC"/>
    <w:rsid w:val="00322932"/>
    <w:rsid w:val="00322DC9"/>
    <w:rsid w:val="00323EF2"/>
    <w:rsid w:val="00323FDE"/>
    <w:rsid w:val="003246B9"/>
    <w:rsid w:val="003249CD"/>
    <w:rsid w:val="00325458"/>
    <w:rsid w:val="00325572"/>
    <w:rsid w:val="003255C9"/>
    <w:rsid w:val="003256B8"/>
    <w:rsid w:val="00325778"/>
    <w:rsid w:val="003257B5"/>
    <w:rsid w:val="003258C8"/>
    <w:rsid w:val="00325C68"/>
    <w:rsid w:val="003265BB"/>
    <w:rsid w:val="00326DA7"/>
    <w:rsid w:val="0032705C"/>
    <w:rsid w:val="003270E4"/>
    <w:rsid w:val="0032753D"/>
    <w:rsid w:val="00327592"/>
    <w:rsid w:val="00327AD0"/>
    <w:rsid w:val="00327F76"/>
    <w:rsid w:val="003302AD"/>
    <w:rsid w:val="00330DAA"/>
    <w:rsid w:val="00330F5C"/>
    <w:rsid w:val="00331BBD"/>
    <w:rsid w:val="00331C19"/>
    <w:rsid w:val="00331C7B"/>
    <w:rsid w:val="003322CB"/>
    <w:rsid w:val="003323B3"/>
    <w:rsid w:val="00332573"/>
    <w:rsid w:val="003334CA"/>
    <w:rsid w:val="00333DC9"/>
    <w:rsid w:val="00334466"/>
    <w:rsid w:val="00334610"/>
    <w:rsid w:val="00334CF0"/>
    <w:rsid w:val="00334D7C"/>
    <w:rsid w:val="00334EB0"/>
    <w:rsid w:val="00334ED5"/>
    <w:rsid w:val="00334F07"/>
    <w:rsid w:val="003351CC"/>
    <w:rsid w:val="003352AE"/>
    <w:rsid w:val="00336466"/>
    <w:rsid w:val="003366C9"/>
    <w:rsid w:val="003371B0"/>
    <w:rsid w:val="003372BD"/>
    <w:rsid w:val="003375E5"/>
    <w:rsid w:val="00337D86"/>
    <w:rsid w:val="00340431"/>
    <w:rsid w:val="0034081C"/>
    <w:rsid w:val="00340934"/>
    <w:rsid w:val="00340D79"/>
    <w:rsid w:val="00340DF1"/>
    <w:rsid w:val="00341334"/>
    <w:rsid w:val="00341463"/>
    <w:rsid w:val="00341654"/>
    <w:rsid w:val="003418B2"/>
    <w:rsid w:val="00341EBC"/>
    <w:rsid w:val="003428E2"/>
    <w:rsid w:val="00342D05"/>
    <w:rsid w:val="00342ECA"/>
    <w:rsid w:val="003430EF"/>
    <w:rsid w:val="003436F3"/>
    <w:rsid w:val="00343CE3"/>
    <w:rsid w:val="00344B9B"/>
    <w:rsid w:val="0034530D"/>
    <w:rsid w:val="003459F0"/>
    <w:rsid w:val="00345B69"/>
    <w:rsid w:val="003465AA"/>
    <w:rsid w:val="00346CB0"/>
    <w:rsid w:val="00347C51"/>
    <w:rsid w:val="00347CD4"/>
    <w:rsid w:val="00350C8A"/>
    <w:rsid w:val="003513CB"/>
    <w:rsid w:val="0035156D"/>
    <w:rsid w:val="003517F9"/>
    <w:rsid w:val="00351BA9"/>
    <w:rsid w:val="00352908"/>
    <w:rsid w:val="00352E1A"/>
    <w:rsid w:val="003533D2"/>
    <w:rsid w:val="00353B21"/>
    <w:rsid w:val="00353C05"/>
    <w:rsid w:val="003542C0"/>
    <w:rsid w:val="003545C2"/>
    <w:rsid w:val="00354F64"/>
    <w:rsid w:val="00355446"/>
    <w:rsid w:val="003559AC"/>
    <w:rsid w:val="00356102"/>
    <w:rsid w:val="0035620E"/>
    <w:rsid w:val="0035635E"/>
    <w:rsid w:val="003566B2"/>
    <w:rsid w:val="003567B5"/>
    <w:rsid w:val="00356B3C"/>
    <w:rsid w:val="00356D4F"/>
    <w:rsid w:val="00356F94"/>
    <w:rsid w:val="003572C4"/>
    <w:rsid w:val="003575BE"/>
    <w:rsid w:val="003576FD"/>
    <w:rsid w:val="003600C6"/>
    <w:rsid w:val="00360345"/>
    <w:rsid w:val="003605ED"/>
    <w:rsid w:val="00360766"/>
    <w:rsid w:val="003608D6"/>
    <w:rsid w:val="00360F32"/>
    <w:rsid w:val="003615AC"/>
    <w:rsid w:val="00361955"/>
    <w:rsid w:val="00361A05"/>
    <w:rsid w:val="00361C32"/>
    <w:rsid w:val="00361C43"/>
    <w:rsid w:val="00362016"/>
    <w:rsid w:val="003620F2"/>
    <w:rsid w:val="003624C4"/>
    <w:rsid w:val="00363B00"/>
    <w:rsid w:val="0036402C"/>
    <w:rsid w:val="00364834"/>
    <w:rsid w:val="00365486"/>
    <w:rsid w:val="003654AC"/>
    <w:rsid w:val="003658B5"/>
    <w:rsid w:val="0036590C"/>
    <w:rsid w:val="00365BDD"/>
    <w:rsid w:val="00365C89"/>
    <w:rsid w:val="00365CA5"/>
    <w:rsid w:val="003663C0"/>
    <w:rsid w:val="00366C03"/>
    <w:rsid w:val="00366C44"/>
    <w:rsid w:val="003675C3"/>
    <w:rsid w:val="00370EE7"/>
    <w:rsid w:val="003710CF"/>
    <w:rsid w:val="003712C1"/>
    <w:rsid w:val="00371807"/>
    <w:rsid w:val="00371AF8"/>
    <w:rsid w:val="00371F5C"/>
    <w:rsid w:val="00372462"/>
    <w:rsid w:val="003726B1"/>
    <w:rsid w:val="0037358A"/>
    <w:rsid w:val="00373BF8"/>
    <w:rsid w:val="003750F6"/>
    <w:rsid w:val="003750FC"/>
    <w:rsid w:val="00375D43"/>
    <w:rsid w:val="003760FC"/>
    <w:rsid w:val="00376871"/>
    <w:rsid w:val="00377009"/>
    <w:rsid w:val="00377433"/>
    <w:rsid w:val="003775E2"/>
    <w:rsid w:val="003778BC"/>
    <w:rsid w:val="00377A0C"/>
    <w:rsid w:val="003811DD"/>
    <w:rsid w:val="00381C5B"/>
    <w:rsid w:val="00381FD0"/>
    <w:rsid w:val="00382614"/>
    <w:rsid w:val="00382794"/>
    <w:rsid w:val="003827BC"/>
    <w:rsid w:val="0038281F"/>
    <w:rsid w:val="00382A08"/>
    <w:rsid w:val="0038311F"/>
    <w:rsid w:val="0038352D"/>
    <w:rsid w:val="0038365C"/>
    <w:rsid w:val="0038369B"/>
    <w:rsid w:val="003838CA"/>
    <w:rsid w:val="00383990"/>
    <w:rsid w:val="00383B78"/>
    <w:rsid w:val="00383C1A"/>
    <w:rsid w:val="00383DA5"/>
    <w:rsid w:val="00383F65"/>
    <w:rsid w:val="00384C94"/>
    <w:rsid w:val="00384E1F"/>
    <w:rsid w:val="00385239"/>
    <w:rsid w:val="003856F4"/>
    <w:rsid w:val="00385A9D"/>
    <w:rsid w:val="00385E02"/>
    <w:rsid w:val="00386565"/>
    <w:rsid w:val="00386ACD"/>
    <w:rsid w:val="00386B66"/>
    <w:rsid w:val="00386BA5"/>
    <w:rsid w:val="00387121"/>
    <w:rsid w:val="003872E4"/>
    <w:rsid w:val="003872E6"/>
    <w:rsid w:val="003875D9"/>
    <w:rsid w:val="00387B2B"/>
    <w:rsid w:val="00387E2F"/>
    <w:rsid w:val="00387FAC"/>
    <w:rsid w:val="003902B1"/>
    <w:rsid w:val="00390551"/>
    <w:rsid w:val="00390A65"/>
    <w:rsid w:val="0039179C"/>
    <w:rsid w:val="0039186C"/>
    <w:rsid w:val="00391ACB"/>
    <w:rsid w:val="00391B6F"/>
    <w:rsid w:val="00391B7B"/>
    <w:rsid w:val="00392584"/>
    <w:rsid w:val="00392EAC"/>
    <w:rsid w:val="00392F3C"/>
    <w:rsid w:val="003933A8"/>
    <w:rsid w:val="00394BA5"/>
    <w:rsid w:val="00394C47"/>
    <w:rsid w:val="00394EBA"/>
    <w:rsid w:val="00394F1C"/>
    <w:rsid w:val="00394FB0"/>
    <w:rsid w:val="00395356"/>
    <w:rsid w:val="00395374"/>
    <w:rsid w:val="003956A1"/>
    <w:rsid w:val="003957AD"/>
    <w:rsid w:val="00395C7E"/>
    <w:rsid w:val="00395D92"/>
    <w:rsid w:val="00395F45"/>
    <w:rsid w:val="0039621A"/>
    <w:rsid w:val="00396896"/>
    <w:rsid w:val="00396BD2"/>
    <w:rsid w:val="00396FD0"/>
    <w:rsid w:val="003970A9"/>
    <w:rsid w:val="0039727E"/>
    <w:rsid w:val="00397946"/>
    <w:rsid w:val="00397A81"/>
    <w:rsid w:val="00397ED8"/>
    <w:rsid w:val="00397FA3"/>
    <w:rsid w:val="003A1185"/>
    <w:rsid w:val="003A1221"/>
    <w:rsid w:val="003A1368"/>
    <w:rsid w:val="003A16C1"/>
    <w:rsid w:val="003A1A7A"/>
    <w:rsid w:val="003A1C91"/>
    <w:rsid w:val="003A220C"/>
    <w:rsid w:val="003A2392"/>
    <w:rsid w:val="003A2831"/>
    <w:rsid w:val="003A2DFD"/>
    <w:rsid w:val="003A3C7E"/>
    <w:rsid w:val="003A3CB6"/>
    <w:rsid w:val="003A3D66"/>
    <w:rsid w:val="003A3D8A"/>
    <w:rsid w:val="003A3E45"/>
    <w:rsid w:val="003A3ED1"/>
    <w:rsid w:val="003A44DB"/>
    <w:rsid w:val="003A4C14"/>
    <w:rsid w:val="003A4FCC"/>
    <w:rsid w:val="003A5015"/>
    <w:rsid w:val="003A5428"/>
    <w:rsid w:val="003A64A8"/>
    <w:rsid w:val="003A6525"/>
    <w:rsid w:val="003A6690"/>
    <w:rsid w:val="003A6825"/>
    <w:rsid w:val="003A68CA"/>
    <w:rsid w:val="003A6968"/>
    <w:rsid w:val="003A6BB9"/>
    <w:rsid w:val="003A6C3D"/>
    <w:rsid w:val="003A7105"/>
    <w:rsid w:val="003A76AD"/>
    <w:rsid w:val="003A77CF"/>
    <w:rsid w:val="003A79DA"/>
    <w:rsid w:val="003A7CEE"/>
    <w:rsid w:val="003A7D4C"/>
    <w:rsid w:val="003A7F85"/>
    <w:rsid w:val="003B02F8"/>
    <w:rsid w:val="003B058A"/>
    <w:rsid w:val="003B0C13"/>
    <w:rsid w:val="003B0CD5"/>
    <w:rsid w:val="003B0F5D"/>
    <w:rsid w:val="003B1A17"/>
    <w:rsid w:val="003B1F83"/>
    <w:rsid w:val="003B27CC"/>
    <w:rsid w:val="003B2C57"/>
    <w:rsid w:val="003B2D12"/>
    <w:rsid w:val="003B3103"/>
    <w:rsid w:val="003B3170"/>
    <w:rsid w:val="003B37AC"/>
    <w:rsid w:val="003B3971"/>
    <w:rsid w:val="003B3A4B"/>
    <w:rsid w:val="003B3AA3"/>
    <w:rsid w:val="003B467D"/>
    <w:rsid w:val="003B478D"/>
    <w:rsid w:val="003B4846"/>
    <w:rsid w:val="003B5006"/>
    <w:rsid w:val="003B508F"/>
    <w:rsid w:val="003B50D1"/>
    <w:rsid w:val="003B55D1"/>
    <w:rsid w:val="003B56A6"/>
    <w:rsid w:val="003B5B61"/>
    <w:rsid w:val="003B5E94"/>
    <w:rsid w:val="003B5F01"/>
    <w:rsid w:val="003B6023"/>
    <w:rsid w:val="003B6198"/>
    <w:rsid w:val="003B627D"/>
    <w:rsid w:val="003B65D7"/>
    <w:rsid w:val="003B6866"/>
    <w:rsid w:val="003B6BB1"/>
    <w:rsid w:val="003B725A"/>
    <w:rsid w:val="003B78F7"/>
    <w:rsid w:val="003B7DA4"/>
    <w:rsid w:val="003C04F5"/>
    <w:rsid w:val="003C0C08"/>
    <w:rsid w:val="003C0CE6"/>
    <w:rsid w:val="003C111C"/>
    <w:rsid w:val="003C122B"/>
    <w:rsid w:val="003C1654"/>
    <w:rsid w:val="003C2698"/>
    <w:rsid w:val="003C274E"/>
    <w:rsid w:val="003C28A2"/>
    <w:rsid w:val="003C2A8D"/>
    <w:rsid w:val="003C2D14"/>
    <w:rsid w:val="003C33E9"/>
    <w:rsid w:val="003C3C92"/>
    <w:rsid w:val="003C3D10"/>
    <w:rsid w:val="003C3D37"/>
    <w:rsid w:val="003C45F0"/>
    <w:rsid w:val="003C46C1"/>
    <w:rsid w:val="003C4B74"/>
    <w:rsid w:val="003C4F33"/>
    <w:rsid w:val="003C53CB"/>
    <w:rsid w:val="003C5542"/>
    <w:rsid w:val="003C56D0"/>
    <w:rsid w:val="003C57F8"/>
    <w:rsid w:val="003C5905"/>
    <w:rsid w:val="003C59A3"/>
    <w:rsid w:val="003C5A65"/>
    <w:rsid w:val="003C66A9"/>
    <w:rsid w:val="003C671D"/>
    <w:rsid w:val="003C6811"/>
    <w:rsid w:val="003C684B"/>
    <w:rsid w:val="003C6AA8"/>
    <w:rsid w:val="003C6ACC"/>
    <w:rsid w:val="003C6E81"/>
    <w:rsid w:val="003C765B"/>
    <w:rsid w:val="003C7909"/>
    <w:rsid w:val="003C7C15"/>
    <w:rsid w:val="003C7D19"/>
    <w:rsid w:val="003C7D2F"/>
    <w:rsid w:val="003C7F54"/>
    <w:rsid w:val="003D0596"/>
    <w:rsid w:val="003D080C"/>
    <w:rsid w:val="003D0928"/>
    <w:rsid w:val="003D09FF"/>
    <w:rsid w:val="003D0C5A"/>
    <w:rsid w:val="003D1828"/>
    <w:rsid w:val="003D1DE4"/>
    <w:rsid w:val="003D1E9A"/>
    <w:rsid w:val="003D1FEE"/>
    <w:rsid w:val="003D2324"/>
    <w:rsid w:val="003D2422"/>
    <w:rsid w:val="003D25E4"/>
    <w:rsid w:val="003D286B"/>
    <w:rsid w:val="003D2BB0"/>
    <w:rsid w:val="003D2C49"/>
    <w:rsid w:val="003D2D49"/>
    <w:rsid w:val="003D30E5"/>
    <w:rsid w:val="003D32FF"/>
    <w:rsid w:val="003D3477"/>
    <w:rsid w:val="003D39A1"/>
    <w:rsid w:val="003D3FBF"/>
    <w:rsid w:val="003D483D"/>
    <w:rsid w:val="003D4A30"/>
    <w:rsid w:val="003D5193"/>
    <w:rsid w:val="003D597A"/>
    <w:rsid w:val="003D59C4"/>
    <w:rsid w:val="003D5BB3"/>
    <w:rsid w:val="003D6133"/>
    <w:rsid w:val="003D618E"/>
    <w:rsid w:val="003D66F7"/>
    <w:rsid w:val="003D686A"/>
    <w:rsid w:val="003D6A2A"/>
    <w:rsid w:val="003D6DF0"/>
    <w:rsid w:val="003D7452"/>
    <w:rsid w:val="003D76C9"/>
    <w:rsid w:val="003D77A2"/>
    <w:rsid w:val="003D79BB"/>
    <w:rsid w:val="003D7C08"/>
    <w:rsid w:val="003D7C98"/>
    <w:rsid w:val="003D7D9D"/>
    <w:rsid w:val="003D7DC1"/>
    <w:rsid w:val="003D7F0E"/>
    <w:rsid w:val="003E014B"/>
    <w:rsid w:val="003E02D6"/>
    <w:rsid w:val="003E0543"/>
    <w:rsid w:val="003E0578"/>
    <w:rsid w:val="003E063E"/>
    <w:rsid w:val="003E1013"/>
    <w:rsid w:val="003E1061"/>
    <w:rsid w:val="003E11C5"/>
    <w:rsid w:val="003E129A"/>
    <w:rsid w:val="003E1433"/>
    <w:rsid w:val="003E15D0"/>
    <w:rsid w:val="003E1716"/>
    <w:rsid w:val="003E1A3B"/>
    <w:rsid w:val="003E2137"/>
    <w:rsid w:val="003E24E7"/>
    <w:rsid w:val="003E25F6"/>
    <w:rsid w:val="003E26C6"/>
    <w:rsid w:val="003E2822"/>
    <w:rsid w:val="003E298F"/>
    <w:rsid w:val="003E2A5D"/>
    <w:rsid w:val="003E307B"/>
    <w:rsid w:val="003E34DA"/>
    <w:rsid w:val="003E3503"/>
    <w:rsid w:val="003E3740"/>
    <w:rsid w:val="003E37FF"/>
    <w:rsid w:val="003E3837"/>
    <w:rsid w:val="003E3AB2"/>
    <w:rsid w:val="003E3BDB"/>
    <w:rsid w:val="003E4367"/>
    <w:rsid w:val="003E45A0"/>
    <w:rsid w:val="003E4783"/>
    <w:rsid w:val="003E5230"/>
    <w:rsid w:val="003E523C"/>
    <w:rsid w:val="003E528A"/>
    <w:rsid w:val="003E5370"/>
    <w:rsid w:val="003E5603"/>
    <w:rsid w:val="003E5C40"/>
    <w:rsid w:val="003E5D31"/>
    <w:rsid w:val="003E6AF8"/>
    <w:rsid w:val="003E749E"/>
    <w:rsid w:val="003E75F9"/>
    <w:rsid w:val="003E7C60"/>
    <w:rsid w:val="003F0A1E"/>
    <w:rsid w:val="003F0AD3"/>
    <w:rsid w:val="003F0C01"/>
    <w:rsid w:val="003F0E5A"/>
    <w:rsid w:val="003F1A59"/>
    <w:rsid w:val="003F1B6B"/>
    <w:rsid w:val="003F1CF6"/>
    <w:rsid w:val="003F1CF9"/>
    <w:rsid w:val="003F2500"/>
    <w:rsid w:val="003F27AD"/>
    <w:rsid w:val="003F27CF"/>
    <w:rsid w:val="003F3380"/>
    <w:rsid w:val="003F3642"/>
    <w:rsid w:val="003F3DB4"/>
    <w:rsid w:val="003F4156"/>
    <w:rsid w:val="003F45BA"/>
    <w:rsid w:val="003F49C6"/>
    <w:rsid w:val="003F5A61"/>
    <w:rsid w:val="003F5ADF"/>
    <w:rsid w:val="003F5B3B"/>
    <w:rsid w:val="003F5BCC"/>
    <w:rsid w:val="003F5D40"/>
    <w:rsid w:val="003F6172"/>
    <w:rsid w:val="003F6DF8"/>
    <w:rsid w:val="003F7027"/>
    <w:rsid w:val="003F73BF"/>
    <w:rsid w:val="003F75BA"/>
    <w:rsid w:val="004003F9"/>
    <w:rsid w:val="0040041E"/>
    <w:rsid w:val="0040054C"/>
    <w:rsid w:val="00400B29"/>
    <w:rsid w:val="00400C86"/>
    <w:rsid w:val="004010EB"/>
    <w:rsid w:val="004013F0"/>
    <w:rsid w:val="0040154E"/>
    <w:rsid w:val="00401847"/>
    <w:rsid w:val="00401BC2"/>
    <w:rsid w:val="004021CF"/>
    <w:rsid w:val="004026B3"/>
    <w:rsid w:val="00402812"/>
    <w:rsid w:val="0040310E"/>
    <w:rsid w:val="004034F4"/>
    <w:rsid w:val="00403B54"/>
    <w:rsid w:val="00403EAE"/>
    <w:rsid w:val="00403EB5"/>
    <w:rsid w:val="00404847"/>
    <w:rsid w:val="00404FD3"/>
    <w:rsid w:val="0040504B"/>
    <w:rsid w:val="00405061"/>
    <w:rsid w:val="00405518"/>
    <w:rsid w:val="004059F4"/>
    <w:rsid w:val="00406235"/>
    <w:rsid w:val="004065A5"/>
    <w:rsid w:val="0040725B"/>
    <w:rsid w:val="00407696"/>
    <w:rsid w:val="00407BDA"/>
    <w:rsid w:val="00407E4F"/>
    <w:rsid w:val="00407FE5"/>
    <w:rsid w:val="004101B0"/>
    <w:rsid w:val="00410326"/>
    <w:rsid w:val="00410517"/>
    <w:rsid w:val="00410708"/>
    <w:rsid w:val="00410EC7"/>
    <w:rsid w:val="00410F33"/>
    <w:rsid w:val="004113EF"/>
    <w:rsid w:val="00411507"/>
    <w:rsid w:val="004115D7"/>
    <w:rsid w:val="00411AB2"/>
    <w:rsid w:val="00411B39"/>
    <w:rsid w:val="00411DE8"/>
    <w:rsid w:val="00412222"/>
    <w:rsid w:val="004127A7"/>
    <w:rsid w:val="00412AB8"/>
    <w:rsid w:val="00412CC1"/>
    <w:rsid w:val="0041317C"/>
    <w:rsid w:val="004131C0"/>
    <w:rsid w:val="004138FF"/>
    <w:rsid w:val="00413A1E"/>
    <w:rsid w:val="00413E1B"/>
    <w:rsid w:val="00413EFC"/>
    <w:rsid w:val="00414476"/>
    <w:rsid w:val="004145DC"/>
    <w:rsid w:val="0041486D"/>
    <w:rsid w:val="00414C2E"/>
    <w:rsid w:val="00414D97"/>
    <w:rsid w:val="00414DBB"/>
    <w:rsid w:val="00414EB3"/>
    <w:rsid w:val="00414EC0"/>
    <w:rsid w:val="004151CF"/>
    <w:rsid w:val="00415377"/>
    <w:rsid w:val="0041545D"/>
    <w:rsid w:val="00415A96"/>
    <w:rsid w:val="00415C17"/>
    <w:rsid w:val="00415FB4"/>
    <w:rsid w:val="00416364"/>
    <w:rsid w:val="00416519"/>
    <w:rsid w:val="00416A4A"/>
    <w:rsid w:val="0041719B"/>
    <w:rsid w:val="004171B8"/>
    <w:rsid w:val="0041735D"/>
    <w:rsid w:val="004176C6"/>
    <w:rsid w:val="00417EE5"/>
    <w:rsid w:val="00420121"/>
    <w:rsid w:val="0042029E"/>
    <w:rsid w:val="004202CC"/>
    <w:rsid w:val="0042047F"/>
    <w:rsid w:val="004205B2"/>
    <w:rsid w:val="004206B9"/>
    <w:rsid w:val="00420AA6"/>
    <w:rsid w:val="00420B5F"/>
    <w:rsid w:val="00420B93"/>
    <w:rsid w:val="00420B9F"/>
    <w:rsid w:val="00420F71"/>
    <w:rsid w:val="00421571"/>
    <w:rsid w:val="00421738"/>
    <w:rsid w:val="0042192C"/>
    <w:rsid w:val="004219C4"/>
    <w:rsid w:val="00421D7F"/>
    <w:rsid w:val="00422260"/>
    <w:rsid w:val="00422664"/>
    <w:rsid w:val="00422AF3"/>
    <w:rsid w:val="00422BE2"/>
    <w:rsid w:val="0042338A"/>
    <w:rsid w:val="0042386A"/>
    <w:rsid w:val="0042413F"/>
    <w:rsid w:val="00424575"/>
    <w:rsid w:val="004245C2"/>
    <w:rsid w:val="00424795"/>
    <w:rsid w:val="00424ABD"/>
    <w:rsid w:val="00424DB2"/>
    <w:rsid w:val="00425CE1"/>
    <w:rsid w:val="00425DD5"/>
    <w:rsid w:val="0042608B"/>
    <w:rsid w:val="0042612F"/>
    <w:rsid w:val="0042654B"/>
    <w:rsid w:val="00426720"/>
    <w:rsid w:val="00426C81"/>
    <w:rsid w:val="00427AB6"/>
    <w:rsid w:val="00427D00"/>
    <w:rsid w:val="00430128"/>
    <w:rsid w:val="004302E1"/>
    <w:rsid w:val="0043058B"/>
    <w:rsid w:val="004306C8"/>
    <w:rsid w:val="0043077A"/>
    <w:rsid w:val="00430A31"/>
    <w:rsid w:val="00430AEA"/>
    <w:rsid w:val="00430C62"/>
    <w:rsid w:val="004319F8"/>
    <w:rsid w:val="00431CEA"/>
    <w:rsid w:val="00431E55"/>
    <w:rsid w:val="00432058"/>
    <w:rsid w:val="004321F6"/>
    <w:rsid w:val="0043251B"/>
    <w:rsid w:val="00432E1E"/>
    <w:rsid w:val="00433044"/>
    <w:rsid w:val="00433764"/>
    <w:rsid w:val="00434088"/>
    <w:rsid w:val="00434097"/>
    <w:rsid w:val="00434476"/>
    <w:rsid w:val="00435636"/>
    <w:rsid w:val="00435F8B"/>
    <w:rsid w:val="00435FA3"/>
    <w:rsid w:val="00436AB9"/>
    <w:rsid w:val="00437351"/>
    <w:rsid w:val="004375B9"/>
    <w:rsid w:val="004377BA"/>
    <w:rsid w:val="00437DBD"/>
    <w:rsid w:val="004403FC"/>
    <w:rsid w:val="00440853"/>
    <w:rsid w:val="00441489"/>
    <w:rsid w:val="00441642"/>
    <w:rsid w:val="00441769"/>
    <w:rsid w:val="00441E2F"/>
    <w:rsid w:val="0044265C"/>
    <w:rsid w:val="004428D0"/>
    <w:rsid w:val="00442E85"/>
    <w:rsid w:val="004431C9"/>
    <w:rsid w:val="004432BC"/>
    <w:rsid w:val="00443601"/>
    <w:rsid w:val="004436EF"/>
    <w:rsid w:val="00444185"/>
    <w:rsid w:val="004443A7"/>
    <w:rsid w:val="0044442C"/>
    <w:rsid w:val="0044443D"/>
    <w:rsid w:val="00444BFE"/>
    <w:rsid w:val="004455DF"/>
    <w:rsid w:val="00445941"/>
    <w:rsid w:val="00445B0A"/>
    <w:rsid w:val="00445D21"/>
    <w:rsid w:val="004464EB"/>
    <w:rsid w:val="004470F8"/>
    <w:rsid w:val="0044730B"/>
    <w:rsid w:val="00447546"/>
    <w:rsid w:val="0044761C"/>
    <w:rsid w:val="00447628"/>
    <w:rsid w:val="004477A8"/>
    <w:rsid w:val="00447D26"/>
    <w:rsid w:val="00447DFC"/>
    <w:rsid w:val="00447EA4"/>
    <w:rsid w:val="0045057C"/>
    <w:rsid w:val="0045099E"/>
    <w:rsid w:val="00450B6F"/>
    <w:rsid w:val="00450C6B"/>
    <w:rsid w:val="004510B6"/>
    <w:rsid w:val="00452677"/>
    <w:rsid w:val="00452779"/>
    <w:rsid w:val="00452AB2"/>
    <w:rsid w:val="00452C87"/>
    <w:rsid w:val="0045300C"/>
    <w:rsid w:val="004537C3"/>
    <w:rsid w:val="004538D3"/>
    <w:rsid w:val="00453B50"/>
    <w:rsid w:val="00453D6F"/>
    <w:rsid w:val="0045411A"/>
    <w:rsid w:val="0045470E"/>
    <w:rsid w:val="00454842"/>
    <w:rsid w:val="00454D42"/>
    <w:rsid w:val="00455200"/>
    <w:rsid w:val="00455761"/>
    <w:rsid w:val="004557DB"/>
    <w:rsid w:val="004558CF"/>
    <w:rsid w:val="004559AF"/>
    <w:rsid w:val="00455BB8"/>
    <w:rsid w:val="00455D45"/>
    <w:rsid w:val="00456066"/>
    <w:rsid w:val="004563C7"/>
    <w:rsid w:val="00456568"/>
    <w:rsid w:val="00456811"/>
    <w:rsid w:val="00456D47"/>
    <w:rsid w:val="0045708D"/>
    <w:rsid w:val="0045736E"/>
    <w:rsid w:val="00460848"/>
    <w:rsid w:val="00461987"/>
    <w:rsid w:val="00461AAE"/>
    <w:rsid w:val="00461C16"/>
    <w:rsid w:val="00461D54"/>
    <w:rsid w:val="00462695"/>
    <w:rsid w:val="004635FC"/>
    <w:rsid w:val="004636A4"/>
    <w:rsid w:val="00463C23"/>
    <w:rsid w:val="004640B8"/>
    <w:rsid w:val="00464393"/>
    <w:rsid w:val="0046458A"/>
    <w:rsid w:val="00464595"/>
    <w:rsid w:val="00464784"/>
    <w:rsid w:val="004651B2"/>
    <w:rsid w:val="0046566A"/>
    <w:rsid w:val="004658B5"/>
    <w:rsid w:val="00465C67"/>
    <w:rsid w:val="004662A9"/>
    <w:rsid w:val="00466480"/>
    <w:rsid w:val="004665B1"/>
    <w:rsid w:val="004666EF"/>
    <w:rsid w:val="00466EDE"/>
    <w:rsid w:val="00467071"/>
    <w:rsid w:val="00467BC6"/>
    <w:rsid w:val="004704A2"/>
    <w:rsid w:val="00470766"/>
    <w:rsid w:val="00470B8B"/>
    <w:rsid w:val="00470C1E"/>
    <w:rsid w:val="0047113E"/>
    <w:rsid w:val="00471583"/>
    <w:rsid w:val="00471596"/>
    <w:rsid w:val="004718FD"/>
    <w:rsid w:val="00471941"/>
    <w:rsid w:val="00471BE2"/>
    <w:rsid w:val="00471EA5"/>
    <w:rsid w:val="0047244A"/>
    <w:rsid w:val="00472541"/>
    <w:rsid w:val="00472A79"/>
    <w:rsid w:val="00472AE8"/>
    <w:rsid w:val="00472B86"/>
    <w:rsid w:val="00472DCD"/>
    <w:rsid w:val="00473910"/>
    <w:rsid w:val="00473A6B"/>
    <w:rsid w:val="00473A9E"/>
    <w:rsid w:val="00473D1A"/>
    <w:rsid w:val="00473F19"/>
    <w:rsid w:val="00473FD9"/>
    <w:rsid w:val="00473FE6"/>
    <w:rsid w:val="00474855"/>
    <w:rsid w:val="004751CE"/>
    <w:rsid w:val="00475395"/>
    <w:rsid w:val="00475495"/>
    <w:rsid w:val="00475C9C"/>
    <w:rsid w:val="00475E22"/>
    <w:rsid w:val="004764C7"/>
    <w:rsid w:val="00476722"/>
    <w:rsid w:val="00476878"/>
    <w:rsid w:val="004770F9"/>
    <w:rsid w:val="004776DD"/>
    <w:rsid w:val="004776EA"/>
    <w:rsid w:val="00477E37"/>
    <w:rsid w:val="00480771"/>
    <w:rsid w:val="0048081A"/>
    <w:rsid w:val="0048088E"/>
    <w:rsid w:val="004808F5"/>
    <w:rsid w:val="0048099A"/>
    <w:rsid w:val="004809A3"/>
    <w:rsid w:val="00480F2B"/>
    <w:rsid w:val="0048149D"/>
    <w:rsid w:val="00481C79"/>
    <w:rsid w:val="00482085"/>
    <w:rsid w:val="004823ED"/>
    <w:rsid w:val="00482512"/>
    <w:rsid w:val="00482720"/>
    <w:rsid w:val="00482A6E"/>
    <w:rsid w:val="00482E3C"/>
    <w:rsid w:val="00482E86"/>
    <w:rsid w:val="00482EA9"/>
    <w:rsid w:val="004830E7"/>
    <w:rsid w:val="0048336E"/>
    <w:rsid w:val="004835E7"/>
    <w:rsid w:val="004837C7"/>
    <w:rsid w:val="00483DD7"/>
    <w:rsid w:val="00484478"/>
    <w:rsid w:val="004846F9"/>
    <w:rsid w:val="00484919"/>
    <w:rsid w:val="004849EF"/>
    <w:rsid w:val="00484B33"/>
    <w:rsid w:val="00485083"/>
    <w:rsid w:val="0048578A"/>
    <w:rsid w:val="004859E1"/>
    <w:rsid w:val="00485FEF"/>
    <w:rsid w:val="004861DC"/>
    <w:rsid w:val="004863AA"/>
    <w:rsid w:val="004866AF"/>
    <w:rsid w:val="0048672D"/>
    <w:rsid w:val="004867E2"/>
    <w:rsid w:val="00486EB2"/>
    <w:rsid w:val="00487097"/>
    <w:rsid w:val="00487583"/>
    <w:rsid w:val="004901A1"/>
    <w:rsid w:val="004901E7"/>
    <w:rsid w:val="00490500"/>
    <w:rsid w:val="004906CB"/>
    <w:rsid w:val="00490770"/>
    <w:rsid w:val="00490B17"/>
    <w:rsid w:val="00490E1C"/>
    <w:rsid w:val="00491B3A"/>
    <w:rsid w:val="00491B45"/>
    <w:rsid w:val="00491E7E"/>
    <w:rsid w:val="004920BD"/>
    <w:rsid w:val="00492308"/>
    <w:rsid w:val="00492439"/>
    <w:rsid w:val="004927E6"/>
    <w:rsid w:val="00492CFD"/>
    <w:rsid w:val="0049374F"/>
    <w:rsid w:val="00494207"/>
    <w:rsid w:val="00494DD5"/>
    <w:rsid w:val="00494DE0"/>
    <w:rsid w:val="00495188"/>
    <w:rsid w:val="0049601E"/>
    <w:rsid w:val="004962D2"/>
    <w:rsid w:val="004963A3"/>
    <w:rsid w:val="0049662C"/>
    <w:rsid w:val="00496726"/>
    <w:rsid w:val="00496A13"/>
    <w:rsid w:val="00496ACB"/>
    <w:rsid w:val="004978EA"/>
    <w:rsid w:val="00497C6F"/>
    <w:rsid w:val="004A010E"/>
    <w:rsid w:val="004A060D"/>
    <w:rsid w:val="004A061B"/>
    <w:rsid w:val="004A081D"/>
    <w:rsid w:val="004A0DA1"/>
    <w:rsid w:val="004A13D6"/>
    <w:rsid w:val="004A17B8"/>
    <w:rsid w:val="004A1D19"/>
    <w:rsid w:val="004A1D65"/>
    <w:rsid w:val="004A2120"/>
    <w:rsid w:val="004A21CF"/>
    <w:rsid w:val="004A2A48"/>
    <w:rsid w:val="004A2DEE"/>
    <w:rsid w:val="004A33F6"/>
    <w:rsid w:val="004A3766"/>
    <w:rsid w:val="004A38A8"/>
    <w:rsid w:val="004A4872"/>
    <w:rsid w:val="004A49BC"/>
    <w:rsid w:val="004A4B05"/>
    <w:rsid w:val="004A52E9"/>
    <w:rsid w:val="004A5AA2"/>
    <w:rsid w:val="004A5D16"/>
    <w:rsid w:val="004A5FFC"/>
    <w:rsid w:val="004A6040"/>
    <w:rsid w:val="004A6597"/>
    <w:rsid w:val="004A6B23"/>
    <w:rsid w:val="004A715E"/>
    <w:rsid w:val="004A77A4"/>
    <w:rsid w:val="004A7848"/>
    <w:rsid w:val="004A793B"/>
    <w:rsid w:val="004A7B54"/>
    <w:rsid w:val="004B02D9"/>
    <w:rsid w:val="004B04E8"/>
    <w:rsid w:val="004B0742"/>
    <w:rsid w:val="004B07B5"/>
    <w:rsid w:val="004B0993"/>
    <w:rsid w:val="004B0DC5"/>
    <w:rsid w:val="004B1480"/>
    <w:rsid w:val="004B1ABA"/>
    <w:rsid w:val="004B1CB4"/>
    <w:rsid w:val="004B1E18"/>
    <w:rsid w:val="004B1EA9"/>
    <w:rsid w:val="004B2186"/>
    <w:rsid w:val="004B236C"/>
    <w:rsid w:val="004B24FF"/>
    <w:rsid w:val="004B2CD4"/>
    <w:rsid w:val="004B2F18"/>
    <w:rsid w:val="004B359D"/>
    <w:rsid w:val="004B373F"/>
    <w:rsid w:val="004B3751"/>
    <w:rsid w:val="004B3762"/>
    <w:rsid w:val="004B3C01"/>
    <w:rsid w:val="004B3D40"/>
    <w:rsid w:val="004B3D4C"/>
    <w:rsid w:val="004B3DDB"/>
    <w:rsid w:val="004B44FD"/>
    <w:rsid w:val="004B45BD"/>
    <w:rsid w:val="004B467C"/>
    <w:rsid w:val="004B4A22"/>
    <w:rsid w:val="004B4AA0"/>
    <w:rsid w:val="004B4B23"/>
    <w:rsid w:val="004B4B62"/>
    <w:rsid w:val="004B4F8D"/>
    <w:rsid w:val="004B50FF"/>
    <w:rsid w:val="004B5CFB"/>
    <w:rsid w:val="004B5CFC"/>
    <w:rsid w:val="004B5FB6"/>
    <w:rsid w:val="004B6463"/>
    <w:rsid w:val="004B6677"/>
    <w:rsid w:val="004B6A0D"/>
    <w:rsid w:val="004B6DFC"/>
    <w:rsid w:val="004B6F79"/>
    <w:rsid w:val="004B774D"/>
    <w:rsid w:val="004C01AF"/>
    <w:rsid w:val="004C099D"/>
    <w:rsid w:val="004C0BB6"/>
    <w:rsid w:val="004C0F6E"/>
    <w:rsid w:val="004C2688"/>
    <w:rsid w:val="004C26F6"/>
    <w:rsid w:val="004C2AC2"/>
    <w:rsid w:val="004C2DAA"/>
    <w:rsid w:val="004C334E"/>
    <w:rsid w:val="004C3B02"/>
    <w:rsid w:val="004C3F34"/>
    <w:rsid w:val="004C4554"/>
    <w:rsid w:val="004C4855"/>
    <w:rsid w:val="004C4AED"/>
    <w:rsid w:val="004C4AFD"/>
    <w:rsid w:val="004C4F89"/>
    <w:rsid w:val="004C5372"/>
    <w:rsid w:val="004C54D0"/>
    <w:rsid w:val="004C58B3"/>
    <w:rsid w:val="004C5C8E"/>
    <w:rsid w:val="004C60E9"/>
    <w:rsid w:val="004C68C8"/>
    <w:rsid w:val="004C69A9"/>
    <w:rsid w:val="004C6F17"/>
    <w:rsid w:val="004C7039"/>
    <w:rsid w:val="004C77B9"/>
    <w:rsid w:val="004C7B12"/>
    <w:rsid w:val="004D0405"/>
    <w:rsid w:val="004D0A16"/>
    <w:rsid w:val="004D0BCD"/>
    <w:rsid w:val="004D0D46"/>
    <w:rsid w:val="004D0FC9"/>
    <w:rsid w:val="004D11C9"/>
    <w:rsid w:val="004D16B4"/>
    <w:rsid w:val="004D17E0"/>
    <w:rsid w:val="004D2435"/>
    <w:rsid w:val="004D2472"/>
    <w:rsid w:val="004D24C3"/>
    <w:rsid w:val="004D2BA9"/>
    <w:rsid w:val="004D2C2D"/>
    <w:rsid w:val="004D2E0C"/>
    <w:rsid w:val="004D381E"/>
    <w:rsid w:val="004D420B"/>
    <w:rsid w:val="004D43F3"/>
    <w:rsid w:val="004D4E0F"/>
    <w:rsid w:val="004D4F7D"/>
    <w:rsid w:val="004D5236"/>
    <w:rsid w:val="004D5451"/>
    <w:rsid w:val="004D5780"/>
    <w:rsid w:val="004D57D8"/>
    <w:rsid w:val="004D6236"/>
    <w:rsid w:val="004D6450"/>
    <w:rsid w:val="004D69B5"/>
    <w:rsid w:val="004D6A3E"/>
    <w:rsid w:val="004D6BED"/>
    <w:rsid w:val="004D7142"/>
    <w:rsid w:val="004D7199"/>
    <w:rsid w:val="004D7227"/>
    <w:rsid w:val="004D770A"/>
    <w:rsid w:val="004D79C2"/>
    <w:rsid w:val="004D7B5E"/>
    <w:rsid w:val="004D7D9E"/>
    <w:rsid w:val="004D7F69"/>
    <w:rsid w:val="004E0285"/>
    <w:rsid w:val="004E049C"/>
    <w:rsid w:val="004E0657"/>
    <w:rsid w:val="004E090F"/>
    <w:rsid w:val="004E0BE2"/>
    <w:rsid w:val="004E0E7F"/>
    <w:rsid w:val="004E0EB8"/>
    <w:rsid w:val="004E16B3"/>
    <w:rsid w:val="004E17A3"/>
    <w:rsid w:val="004E183A"/>
    <w:rsid w:val="004E18E9"/>
    <w:rsid w:val="004E1CAA"/>
    <w:rsid w:val="004E230A"/>
    <w:rsid w:val="004E2ADC"/>
    <w:rsid w:val="004E2B97"/>
    <w:rsid w:val="004E35E3"/>
    <w:rsid w:val="004E3CC5"/>
    <w:rsid w:val="004E43B2"/>
    <w:rsid w:val="004E4C49"/>
    <w:rsid w:val="004E5E3F"/>
    <w:rsid w:val="004E6079"/>
    <w:rsid w:val="004E65C8"/>
    <w:rsid w:val="004E65DF"/>
    <w:rsid w:val="004E75F2"/>
    <w:rsid w:val="004E7D08"/>
    <w:rsid w:val="004E7FF1"/>
    <w:rsid w:val="004F0264"/>
    <w:rsid w:val="004F06CF"/>
    <w:rsid w:val="004F0788"/>
    <w:rsid w:val="004F1196"/>
    <w:rsid w:val="004F1A1D"/>
    <w:rsid w:val="004F1D02"/>
    <w:rsid w:val="004F200E"/>
    <w:rsid w:val="004F22C1"/>
    <w:rsid w:val="004F2679"/>
    <w:rsid w:val="004F2F21"/>
    <w:rsid w:val="004F2F3A"/>
    <w:rsid w:val="004F33CD"/>
    <w:rsid w:val="004F3A84"/>
    <w:rsid w:val="004F3BB8"/>
    <w:rsid w:val="004F3DE5"/>
    <w:rsid w:val="004F49D7"/>
    <w:rsid w:val="004F4B9A"/>
    <w:rsid w:val="004F5063"/>
    <w:rsid w:val="004F5507"/>
    <w:rsid w:val="004F5776"/>
    <w:rsid w:val="004F585E"/>
    <w:rsid w:val="004F6786"/>
    <w:rsid w:val="004F6913"/>
    <w:rsid w:val="004F6DAC"/>
    <w:rsid w:val="004F7563"/>
    <w:rsid w:val="004F76A4"/>
    <w:rsid w:val="004F7865"/>
    <w:rsid w:val="004F78A5"/>
    <w:rsid w:val="004F7C06"/>
    <w:rsid w:val="004F7E11"/>
    <w:rsid w:val="00500496"/>
    <w:rsid w:val="005007FB"/>
    <w:rsid w:val="00500AE3"/>
    <w:rsid w:val="00500EB7"/>
    <w:rsid w:val="00501100"/>
    <w:rsid w:val="0050174E"/>
    <w:rsid w:val="00501854"/>
    <w:rsid w:val="00501CC6"/>
    <w:rsid w:val="0050219B"/>
    <w:rsid w:val="0050238B"/>
    <w:rsid w:val="00502BDF"/>
    <w:rsid w:val="00503168"/>
    <w:rsid w:val="00503557"/>
    <w:rsid w:val="00503F17"/>
    <w:rsid w:val="00503F3A"/>
    <w:rsid w:val="00504E3F"/>
    <w:rsid w:val="0050518B"/>
    <w:rsid w:val="0050597F"/>
    <w:rsid w:val="00505CC5"/>
    <w:rsid w:val="00506928"/>
    <w:rsid w:val="00506A33"/>
    <w:rsid w:val="005074F5"/>
    <w:rsid w:val="0050772B"/>
    <w:rsid w:val="005077EF"/>
    <w:rsid w:val="00511AD5"/>
    <w:rsid w:val="00511C9A"/>
    <w:rsid w:val="00511CDC"/>
    <w:rsid w:val="00511DC7"/>
    <w:rsid w:val="00511DCF"/>
    <w:rsid w:val="00511EA2"/>
    <w:rsid w:val="00512051"/>
    <w:rsid w:val="005125CA"/>
    <w:rsid w:val="005125E8"/>
    <w:rsid w:val="00513406"/>
    <w:rsid w:val="0051380A"/>
    <w:rsid w:val="00514205"/>
    <w:rsid w:val="005142C5"/>
    <w:rsid w:val="0051501B"/>
    <w:rsid w:val="005152B5"/>
    <w:rsid w:val="00515886"/>
    <w:rsid w:val="00515C8A"/>
    <w:rsid w:val="0051631C"/>
    <w:rsid w:val="0051772B"/>
    <w:rsid w:val="00517934"/>
    <w:rsid w:val="00517AC9"/>
    <w:rsid w:val="00517CCE"/>
    <w:rsid w:val="00517D43"/>
    <w:rsid w:val="00517EE7"/>
    <w:rsid w:val="00517FAF"/>
    <w:rsid w:val="0052123C"/>
    <w:rsid w:val="00521319"/>
    <w:rsid w:val="00521599"/>
    <w:rsid w:val="00521617"/>
    <w:rsid w:val="005216E7"/>
    <w:rsid w:val="005219EF"/>
    <w:rsid w:val="00521A20"/>
    <w:rsid w:val="00522A03"/>
    <w:rsid w:val="00522BC8"/>
    <w:rsid w:val="00523145"/>
    <w:rsid w:val="00523364"/>
    <w:rsid w:val="005234AD"/>
    <w:rsid w:val="00523A82"/>
    <w:rsid w:val="00523C28"/>
    <w:rsid w:val="00523C6E"/>
    <w:rsid w:val="00523F8E"/>
    <w:rsid w:val="0052404C"/>
    <w:rsid w:val="0052443B"/>
    <w:rsid w:val="00525021"/>
    <w:rsid w:val="0052528A"/>
    <w:rsid w:val="00525423"/>
    <w:rsid w:val="005258B1"/>
    <w:rsid w:val="00525CD9"/>
    <w:rsid w:val="00525EE5"/>
    <w:rsid w:val="005261AE"/>
    <w:rsid w:val="00526633"/>
    <w:rsid w:val="00526740"/>
    <w:rsid w:val="00526CB3"/>
    <w:rsid w:val="00526DB6"/>
    <w:rsid w:val="005270D9"/>
    <w:rsid w:val="0052734D"/>
    <w:rsid w:val="00527610"/>
    <w:rsid w:val="00527A1F"/>
    <w:rsid w:val="0053014C"/>
    <w:rsid w:val="0053073B"/>
    <w:rsid w:val="00530A43"/>
    <w:rsid w:val="0053176B"/>
    <w:rsid w:val="00531A4F"/>
    <w:rsid w:val="00531B4A"/>
    <w:rsid w:val="00532127"/>
    <w:rsid w:val="0053240C"/>
    <w:rsid w:val="0053244C"/>
    <w:rsid w:val="005324AF"/>
    <w:rsid w:val="00532694"/>
    <w:rsid w:val="00532756"/>
    <w:rsid w:val="005328C5"/>
    <w:rsid w:val="00533036"/>
    <w:rsid w:val="00533EA6"/>
    <w:rsid w:val="00533FB6"/>
    <w:rsid w:val="005341B3"/>
    <w:rsid w:val="00534248"/>
    <w:rsid w:val="005342E5"/>
    <w:rsid w:val="005346E6"/>
    <w:rsid w:val="00534B1C"/>
    <w:rsid w:val="00534DA0"/>
    <w:rsid w:val="00535823"/>
    <w:rsid w:val="00535A3C"/>
    <w:rsid w:val="00535A68"/>
    <w:rsid w:val="00535C3E"/>
    <w:rsid w:val="00536158"/>
    <w:rsid w:val="005363B3"/>
    <w:rsid w:val="005367BE"/>
    <w:rsid w:val="00536D2A"/>
    <w:rsid w:val="00536F42"/>
    <w:rsid w:val="00537131"/>
    <w:rsid w:val="00537182"/>
    <w:rsid w:val="00537265"/>
    <w:rsid w:val="00537AAB"/>
    <w:rsid w:val="005403D7"/>
    <w:rsid w:val="00540740"/>
    <w:rsid w:val="00540BEF"/>
    <w:rsid w:val="00541112"/>
    <w:rsid w:val="00541AEF"/>
    <w:rsid w:val="00541BEE"/>
    <w:rsid w:val="00541C75"/>
    <w:rsid w:val="00541EDD"/>
    <w:rsid w:val="0054201E"/>
    <w:rsid w:val="00542743"/>
    <w:rsid w:val="005428A2"/>
    <w:rsid w:val="00542C2D"/>
    <w:rsid w:val="005433D8"/>
    <w:rsid w:val="005433F6"/>
    <w:rsid w:val="005439C3"/>
    <w:rsid w:val="00543AF3"/>
    <w:rsid w:val="00543E05"/>
    <w:rsid w:val="00543E33"/>
    <w:rsid w:val="00544143"/>
    <w:rsid w:val="005441CF"/>
    <w:rsid w:val="00544A04"/>
    <w:rsid w:val="00544A06"/>
    <w:rsid w:val="00544DD4"/>
    <w:rsid w:val="005452A7"/>
    <w:rsid w:val="0054531A"/>
    <w:rsid w:val="00545C33"/>
    <w:rsid w:val="00545C62"/>
    <w:rsid w:val="00546018"/>
    <w:rsid w:val="00546101"/>
    <w:rsid w:val="005461BB"/>
    <w:rsid w:val="0054645F"/>
    <w:rsid w:val="0054664D"/>
    <w:rsid w:val="0054783E"/>
    <w:rsid w:val="005478BD"/>
    <w:rsid w:val="005479E3"/>
    <w:rsid w:val="00550160"/>
    <w:rsid w:val="00550183"/>
    <w:rsid w:val="005508CC"/>
    <w:rsid w:val="00550C1C"/>
    <w:rsid w:val="00550E8C"/>
    <w:rsid w:val="0055120C"/>
    <w:rsid w:val="00551985"/>
    <w:rsid w:val="0055248B"/>
    <w:rsid w:val="00552BD3"/>
    <w:rsid w:val="00552CDB"/>
    <w:rsid w:val="00552EF3"/>
    <w:rsid w:val="00552F32"/>
    <w:rsid w:val="005532A0"/>
    <w:rsid w:val="005537C3"/>
    <w:rsid w:val="00553B4D"/>
    <w:rsid w:val="00553FAC"/>
    <w:rsid w:val="0055420E"/>
    <w:rsid w:val="0055439A"/>
    <w:rsid w:val="0055445A"/>
    <w:rsid w:val="00554ABE"/>
    <w:rsid w:val="00555109"/>
    <w:rsid w:val="005556C3"/>
    <w:rsid w:val="005559D9"/>
    <w:rsid w:val="00555D73"/>
    <w:rsid w:val="00556554"/>
    <w:rsid w:val="00556A17"/>
    <w:rsid w:val="00556B35"/>
    <w:rsid w:val="005570B6"/>
    <w:rsid w:val="0055716A"/>
    <w:rsid w:val="0055741A"/>
    <w:rsid w:val="00560EDD"/>
    <w:rsid w:val="00561175"/>
    <w:rsid w:val="005611B7"/>
    <w:rsid w:val="005613D4"/>
    <w:rsid w:val="00561479"/>
    <w:rsid w:val="005618D4"/>
    <w:rsid w:val="00561DB6"/>
    <w:rsid w:val="00561DE4"/>
    <w:rsid w:val="005622AB"/>
    <w:rsid w:val="0056286C"/>
    <w:rsid w:val="00562FD6"/>
    <w:rsid w:val="00563789"/>
    <w:rsid w:val="0056396A"/>
    <w:rsid w:val="00563F95"/>
    <w:rsid w:val="0056412A"/>
    <w:rsid w:val="00564751"/>
    <w:rsid w:val="00564867"/>
    <w:rsid w:val="005649CF"/>
    <w:rsid w:val="0056513F"/>
    <w:rsid w:val="00565936"/>
    <w:rsid w:val="00565BFC"/>
    <w:rsid w:val="00565C79"/>
    <w:rsid w:val="00565DF0"/>
    <w:rsid w:val="00566689"/>
    <w:rsid w:val="0056676C"/>
    <w:rsid w:val="0056680E"/>
    <w:rsid w:val="005668F5"/>
    <w:rsid w:val="0056696F"/>
    <w:rsid w:val="00566A40"/>
    <w:rsid w:val="00566AB9"/>
    <w:rsid w:val="00567558"/>
    <w:rsid w:val="005678FE"/>
    <w:rsid w:val="00567D89"/>
    <w:rsid w:val="00567EE2"/>
    <w:rsid w:val="00570143"/>
    <w:rsid w:val="005703BD"/>
    <w:rsid w:val="00570A9C"/>
    <w:rsid w:val="0057178B"/>
    <w:rsid w:val="005718D6"/>
    <w:rsid w:val="00571D17"/>
    <w:rsid w:val="00572269"/>
    <w:rsid w:val="005722DF"/>
    <w:rsid w:val="0057244A"/>
    <w:rsid w:val="005724D4"/>
    <w:rsid w:val="0057266F"/>
    <w:rsid w:val="00572822"/>
    <w:rsid w:val="00572F26"/>
    <w:rsid w:val="0057331C"/>
    <w:rsid w:val="00573777"/>
    <w:rsid w:val="00573BD5"/>
    <w:rsid w:val="00574173"/>
    <w:rsid w:val="005742C7"/>
    <w:rsid w:val="005747AD"/>
    <w:rsid w:val="00574C01"/>
    <w:rsid w:val="00574CEA"/>
    <w:rsid w:val="00574F18"/>
    <w:rsid w:val="005750C5"/>
    <w:rsid w:val="005752DE"/>
    <w:rsid w:val="0057549D"/>
    <w:rsid w:val="005754E0"/>
    <w:rsid w:val="00575563"/>
    <w:rsid w:val="005756DB"/>
    <w:rsid w:val="005758C2"/>
    <w:rsid w:val="00575A73"/>
    <w:rsid w:val="00575D60"/>
    <w:rsid w:val="00575D8D"/>
    <w:rsid w:val="00576133"/>
    <w:rsid w:val="00576480"/>
    <w:rsid w:val="005768F7"/>
    <w:rsid w:val="00576972"/>
    <w:rsid w:val="005769DA"/>
    <w:rsid w:val="0057711D"/>
    <w:rsid w:val="00577248"/>
    <w:rsid w:val="005778BE"/>
    <w:rsid w:val="00580722"/>
    <w:rsid w:val="005813C0"/>
    <w:rsid w:val="00581AC7"/>
    <w:rsid w:val="00581AFD"/>
    <w:rsid w:val="00581BEF"/>
    <w:rsid w:val="0058202C"/>
    <w:rsid w:val="00582241"/>
    <w:rsid w:val="00582446"/>
    <w:rsid w:val="00582949"/>
    <w:rsid w:val="00582AC3"/>
    <w:rsid w:val="00582BB4"/>
    <w:rsid w:val="00583699"/>
    <w:rsid w:val="00583E23"/>
    <w:rsid w:val="005842FE"/>
    <w:rsid w:val="0058468F"/>
    <w:rsid w:val="00584AC8"/>
    <w:rsid w:val="00584B4F"/>
    <w:rsid w:val="0058508F"/>
    <w:rsid w:val="00585B52"/>
    <w:rsid w:val="00585CDD"/>
    <w:rsid w:val="00587058"/>
    <w:rsid w:val="00587235"/>
    <w:rsid w:val="005878B9"/>
    <w:rsid w:val="00587B63"/>
    <w:rsid w:val="00587CAD"/>
    <w:rsid w:val="00590389"/>
    <w:rsid w:val="00590CB2"/>
    <w:rsid w:val="00590F31"/>
    <w:rsid w:val="0059139F"/>
    <w:rsid w:val="0059186A"/>
    <w:rsid w:val="00591957"/>
    <w:rsid w:val="00591AE5"/>
    <w:rsid w:val="00591C37"/>
    <w:rsid w:val="0059200A"/>
    <w:rsid w:val="005921B4"/>
    <w:rsid w:val="00592F07"/>
    <w:rsid w:val="00592FFA"/>
    <w:rsid w:val="0059324F"/>
    <w:rsid w:val="00593252"/>
    <w:rsid w:val="005933A3"/>
    <w:rsid w:val="0059371C"/>
    <w:rsid w:val="00593D58"/>
    <w:rsid w:val="00593E16"/>
    <w:rsid w:val="00595375"/>
    <w:rsid w:val="005956A3"/>
    <w:rsid w:val="00595719"/>
    <w:rsid w:val="00595BA7"/>
    <w:rsid w:val="00595E96"/>
    <w:rsid w:val="0059619A"/>
    <w:rsid w:val="005961B0"/>
    <w:rsid w:val="005969B3"/>
    <w:rsid w:val="00596F10"/>
    <w:rsid w:val="005971F9"/>
    <w:rsid w:val="0059755A"/>
    <w:rsid w:val="005977FC"/>
    <w:rsid w:val="00597930"/>
    <w:rsid w:val="00597BF9"/>
    <w:rsid w:val="005A038F"/>
    <w:rsid w:val="005A0534"/>
    <w:rsid w:val="005A0542"/>
    <w:rsid w:val="005A0687"/>
    <w:rsid w:val="005A07C1"/>
    <w:rsid w:val="005A0C11"/>
    <w:rsid w:val="005A0FB0"/>
    <w:rsid w:val="005A1AC9"/>
    <w:rsid w:val="005A1CE7"/>
    <w:rsid w:val="005A207A"/>
    <w:rsid w:val="005A2C44"/>
    <w:rsid w:val="005A3081"/>
    <w:rsid w:val="005A309A"/>
    <w:rsid w:val="005A32B9"/>
    <w:rsid w:val="005A3464"/>
    <w:rsid w:val="005A373D"/>
    <w:rsid w:val="005A3C28"/>
    <w:rsid w:val="005A3DB8"/>
    <w:rsid w:val="005A4560"/>
    <w:rsid w:val="005A49C2"/>
    <w:rsid w:val="005A4D2F"/>
    <w:rsid w:val="005A4EB7"/>
    <w:rsid w:val="005A4F20"/>
    <w:rsid w:val="005A5085"/>
    <w:rsid w:val="005A54AD"/>
    <w:rsid w:val="005A6599"/>
    <w:rsid w:val="005A6A5B"/>
    <w:rsid w:val="005A6C57"/>
    <w:rsid w:val="005A7C9D"/>
    <w:rsid w:val="005B0963"/>
    <w:rsid w:val="005B0A9B"/>
    <w:rsid w:val="005B0B58"/>
    <w:rsid w:val="005B110E"/>
    <w:rsid w:val="005B1115"/>
    <w:rsid w:val="005B1520"/>
    <w:rsid w:val="005B187E"/>
    <w:rsid w:val="005B1E63"/>
    <w:rsid w:val="005B2179"/>
    <w:rsid w:val="005B28B0"/>
    <w:rsid w:val="005B3597"/>
    <w:rsid w:val="005B3908"/>
    <w:rsid w:val="005B3E1F"/>
    <w:rsid w:val="005B459F"/>
    <w:rsid w:val="005B4C84"/>
    <w:rsid w:val="005B4E53"/>
    <w:rsid w:val="005B5543"/>
    <w:rsid w:val="005B5857"/>
    <w:rsid w:val="005B5AE0"/>
    <w:rsid w:val="005B67F5"/>
    <w:rsid w:val="005B69FB"/>
    <w:rsid w:val="005B6A45"/>
    <w:rsid w:val="005B6A87"/>
    <w:rsid w:val="005B6FFB"/>
    <w:rsid w:val="005B7111"/>
    <w:rsid w:val="005B72EA"/>
    <w:rsid w:val="005B7B5D"/>
    <w:rsid w:val="005B7C39"/>
    <w:rsid w:val="005B7F40"/>
    <w:rsid w:val="005C0104"/>
    <w:rsid w:val="005C09DA"/>
    <w:rsid w:val="005C0F47"/>
    <w:rsid w:val="005C145D"/>
    <w:rsid w:val="005C169D"/>
    <w:rsid w:val="005C19C4"/>
    <w:rsid w:val="005C1B83"/>
    <w:rsid w:val="005C1E17"/>
    <w:rsid w:val="005C25FF"/>
    <w:rsid w:val="005C2D55"/>
    <w:rsid w:val="005C30FF"/>
    <w:rsid w:val="005C346B"/>
    <w:rsid w:val="005C40D5"/>
    <w:rsid w:val="005C42F4"/>
    <w:rsid w:val="005C4C1E"/>
    <w:rsid w:val="005C54F6"/>
    <w:rsid w:val="005C59EE"/>
    <w:rsid w:val="005C5ABC"/>
    <w:rsid w:val="005C5FEA"/>
    <w:rsid w:val="005C661B"/>
    <w:rsid w:val="005C6642"/>
    <w:rsid w:val="005C6DDE"/>
    <w:rsid w:val="005C6F24"/>
    <w:rsid w:val="005C6FA7"/>
    <w:rsid w:val="005C785F"/>
    <w:rsid w:val="005C7A95"/>
    <w:rsid w:val="005D0104"/>
    <w:rsid w:val="005D02EE"/>
    <w:rsid w:val="005D039C"/>
    <w:rsid w:val="005D044D"/>
    <w:rsid w:val="005D0516"/>
    <w:rsid w:val="005D069E"/>
    <w:rsid w:val="005D0ABD"/>
    <w:rsid w:val="005D0CAE"/>
    <w:rsid w:val="005D0CEB"/>
    <w:rsid w:val="005D144E"/>
    <w:rsid w:val="005D16D7"/>
    <w:rsid w:val="005D178E"/>
    <w:rsid w:val="005D18AD"/>
    <w:rsid w:val="005D2259"/>
    <w:rsid w:val="005D2296"/>
    <w:rsid w:val="005D23D0"/>
    <w:rsid w:val="005D24E6"/>
    <w:rsid w:val="005D26B4"/>
    <w:rsid w:val="005D2B68"/>
    <w:rsid w:val="005D2E49"/>
    <w:rsid w:val="005D3014"/>
    <w:rsid w:val="005D3D48"/>
    <w:rsid w:val="005D3D7C"/>
    <w:rsid w:val="005D3E62"/>
    <w:rsid w:val="005D3EF0"/>
    <w:rsid w:val="005D4165"/>
    <w:rsid w:val="005D4292"/>
    <w:rsid w:val="005D447F"/>
    <w:rsid w:val="005D4643"/>
    <w:rsid w:val="005D4780"/>
    <w:rsid w:val="005D4AC5"/>
    <w:rsid w:val="005D551E"/>
    <w:rsid w:val="005D5E16"/>
    <w:rsid w:val="005D5F37"/>
    <w:rsid w:val="005D63C6"/>
    <w:rsid w:val="005D69C7"/>
    <w:rsid w:val="005D6ADD"/>
    <w:rsid w:val="005D6E3B"/>
    <w:rsid w:val="005D75C0"/>
    <w:rsid w:val="005D75E2"/>
    <w:rsid w:val="005D78A7"/>
    <w:rsid w:val="005D7A97"/>
    <w:rsid w:val="005D7AEF"/>
    <w:rsid w:val="005D7CF9"/>
    <w:rsid w:val="005D7D6C"/>
    <w:rsid w:val="005D7E91"/>
    <w:rsid w:val="005E0934"/>
    <w:rsid w:val="005E0BE2"/>
    <w:rsid w:val="005E0EF0"/>
    <w:rsid w:val="005E14EF"/>
    <w:rsid w:val="005E1597"/>
    <w:rsid w:val="005E15B9"/>
    <w:rsid w:val="005E1995"/>
    <w:rsid w:val="005E1F2D"/>
    <w:rsid w:val="005E2092"/>
    <w:rsid w:val="005E2AD5"/>
    <w:rsid w:val="005E2CC5"/>
    <w:rsid w:val="005E34FB"/>
    <w:rsid w:val="005E3955"/>
    <w:rsid w:val="005E3AC9"/>
    <w:rsid w:val="005E3E7D"/>
    <w:rsid w:val="005E4245"/>
    <w:rsid w:val="005E4A32"/>
    <w:rsid w:val="005E4C7C"/>
    <w:rsid w:val="005E4EEE"/>
    <w:rsid w:val="005E5011"/>
    <w:rsid w:val="005E51D3"/>
    <w:rsid w:val="005E53F2"/>
    <w:rsid w:val="005E575D"/>
    <w:rsid w:val="005E5AEC"/>
    <w:rsid w:val="005E5B69"/>
    <w:rsid w:val="005E6BBF"/>
    <w:rsid w:val="005E6CBC"/>
    <w:rsid w:val="005E6CBE"/>
    <w:rsid w:val="005E70E7"/>
    <w:rsid w:val="005E72FF"/>
    <w:rsid w:val="005E73C0"/>
    <w:rsid w:val="005E73D8"/>
    <w:rsid w:val="005E74E5"/>
    <w:rsid w:val="005E7A71"/>
    <w:rsid w:val="005E7B51"/>
    <w:rsid w:val="005F0010"/>
    <w:rsid w:val="005F07ED"/>
    <w:rsid w:val="005F0ED9"/>
    <w:rsid w:val="005F1F09"/>
    <w:rsid w:val="005F1FC2"/>
    <w:rsid w:val="005F2134"/>
    <w:rsid w:val="005F22F1"/>
    <w:rsid w:val="005F2706"/>
    <w:rsid w:val="005F285D"/>
    <w:rsid w:val="005F2CFC"/>
    <w:rsid w:val="005F31BF"/>
    <w:rsid w:val="005F3F42"/>
    <w:rsid w:val="005F4787"/>
    <w:rsid w:val="005F4E5F"/>
    <w:rsid w:val="005F5DA2"/>
    <w:rsid w:val="005F5FFF"/>
    <w:rsid w:val="005F6221"/>
    <w:rsid w:val="005F65EA"/>
    <w:rsid w:val="005F6A8F"/>
    <w:rsid w:val="005F6BB7"/>
    <w:rsid w:val="005F6CF5"/>
    <w:rsid w:val="005F6EFA"/>
    <w:rsid w:val="005F74D1"/>
    <w:rsid w:val="005F7588"/>
    <w:rsid w:val="005F7DB7"/>
    <w:rsid w:val="006001DA"/>
    <w:rsid w:val="0060088D"/>
    <w:rsid w:val="00600C26"/>
    <w:rsid w:val="00600CC2"/>
    <w:rsid w:val="00600EC8"/>
    <w:rsid w:val="006010A2"/>
    <w:rsid w:val="00601513"/>
    <w:rsid w:val="00601B88"/>
    <w:rsid w:val="006023FD"/>
    <w:rsid w:val="0060269F"/>
    <w:rsid w:val="006028D3"/>
    <w:rsid w:val="00602EA3"/>
    <w:rsid w:val="0060314F"/>
    <w:rsid w:val="00603264"/>
    <w:rsid w:val="00603339"/>
    <w:rsid w:val="0060339B"/>
    <w:rsid w:val="00603DB9"/>
    <w:rsid w:val="00604077"/>
    <w:rsid w:val="00604440"/>
    <w:rsid w:val="006044B0"/>
    <w:rsid w:val="006049C2"/>
    <w:rsid w:val="00604A91"/>
    <w:rsid w:val="00604BE9"/>
    <w:rsid w:val="00604BFC"/>
    <w:rsid w:val="00604E15"/>
    <w:rsid w:val="00604FF6"/>
    <w:rsid w:val="0060501F"/>
    <w:rsid w:val="00605469"/>
    <w:rsid w:val="00605709"/>
    <w:rsid w:val="00606722"/>
    <w:rsid w:val="00606D3E"/>
    <w:rsid w:val="00606D78"/>
    <w:rsid w:val="00606FBA"/>
    <w:rsid w:val="00606FF2"/>
    <w:rsid w:val="006071A6"/>
    <w:rsid w:val="00607290"/>
    <w:rsid w:val="00607669"/>
    <w:rsid w:val="006076F4"/>
    <w:rsid w:val="00607AFD"/>
    <w:rsid w:val="006117AB"/>
    <w:rsid w:val="006117D8"/>
    <w:rsid w:val="00611B12"/>
    <w:rsid w:val="00611E07"/>
    <w:rsid w:val="00612F97"/>
    <w:rsid w:val="00613049"/>
    <w:rsid w:val="0061345D"/>
    <w:rsid w:val="00613471"/>
    <w:rsid w:val="006136F6"/>
    <w:rsid w:val="00613797"/>
    <w:rsid w:val="00614002"/>
    <w:rsid w:val="006151B7"/>
    <w:rsid w:val="0061549B"/>
    <w:rsid w:val="0061580F"/>
    <w:rsid w:val="00615B25"/>
    <w:rsid w:val="006160C1"/>
    <w:rsid w:val="00616134"/>
    <w:rsid w:val="006164D4"/>
    <w:rsid w:val="00616802"/>
    <w:rsid w:val="00616841"/>
    <w:rsid w:val="00616904"/>
    <w:rsid w:val="00616938"/>
    <w:rsid w:val="00616F45"/>
    <w:rsid w:val="00617DBE"/>
    <w:rsid w:val="00617E12"/>
    <w:rsid w:val="00617E8E"/>
    <w:rsid w:val="006200C6"/>
    <w:rsid w:val="00620BE4"/>
    <w:rsid w:val="00620C25"/>
    <w:rsid w:val="00621036"/>
    <w:rsid w:val="00621457"/>
    <w:rsid w:val="00621477"/>
    <w:rsid w:val="006215E0"/>
    <w:rsid w:val="00621ADA"/>
    <w:rsid w:val="006220B1"/>
    <w:rsid w:val="00622B67"/>
    <w:rsid w:val="00623408"/>
    <w:rsid w:val="00623A64"/>
    <w:rsid w:val="00623C42"/>
    <w:rsid w:val="00623E5C"/>
    <w:rsid w:val="00623F7B"/>
    <w:rsid w:val="006241DE"/>
    <w:rsid w:val="00624A5E"/>
    <w:rsid w:val="00624BD4"/>
    <w:rsid w:val="00624CF4"/>
    <w:rsid w:val="00624E11"/>
    <w:rsid w:val="006260F9"/>
    <w:rsid w:val="0062622D"/>
    <w:rsid w:val="006266D1"/>
    <w:rsid w:val="00626B91"/>
    <w:rsid w:val="00626CFD"/>
    <w:rsid w:val="006271FA"/>
    <w:rsid w:val="006272D5"/>
    <w:rsid w:val="006274E3"/>
    <w:rsid w:val="00627B41"/>
    <w:rsid w:val="00627E03"/>
    <w:rsid w:val="00631299"/>
    <w:rsid w:val="00631532"/>
    <w:rsid w:val="0063158F"/>
    <w:rsid w:val="006315CF"/>
    <w:rsid w:val="00631D6B"/>
    <w:rsid w:val="0063213D"/>
    <w:rsid w:val="00632183"/>
    <w:rsid w:val="006330A1"/>
    <w:rsid w:val="00633288"/>
    <w:rsid w:val="0063479F"/>
    <w:rsid w:val="00634BE6"/>
    <w:rsid w:val="00634CA0"/>
    <w:rsid w:val="00635076"/>
    <w:rsid w:val="0063525A"/>
    <w:rsid w:val="006353F0"/>
    <w:rsid w:val="006357B5"/>
    <w:rsid w:val="0063588B"/>
    <w:rsid w:val="00635958"/>
    <w:rsid w:val="00635A89"/>
    <w:rsid w:val="0063609F"/>
    <w:rsid w:val="006361FA"/>
    <w:rsid w:val="006364A1"/>
    <w:rsid w:val="0063678E"/>
    <w:rsid w:val="00636B2B"/>
    <w:rsid w:val="00637BFD"/>
    <w:rsid w:val="00637C5C"/>
    <w:rsid w:val="006400AD"/>
    <w:rsid w:val="006403BC"/>
    <w:rsid w:val="00640611"/>
    <w:rsid w:val="00641640"/>
    <w:rsid w:val="00641A3F"/>
    <w:rsid w:val="00641AC9"/>
    <w:rsid w:val="00641C4E"/>
    <w:rsid w:val="00641D4B"/>
    <w:rsid w:val="00641FB3"/>
    <w:rsid w:val="00642197"/>
    <w:rsid w:val="0064281F"/>
    <w:rsid w:val="006436B5"/>
    <w:rsid w:val="00643780"/>
    <w:rsid w:val="006437C4"/>
    <w:rsid w:val="006438B6"/>
    <w:rsid w:val="0064395E"/>
    <w:rsid w:val="00643B8D"/>
    <w:rsid w:val="0064434C"/>
    <w:rsid w:val="00644537"/>
    <w:rsid w:val="006447D9"/>
    <w:rsid w:val="00644821"/>
    <w:rsid w:val="00644A6E"/>
    <w:rsid w:val="00644AC8"/>
    <w:rsid w:val="00644AFE"/>
    <w:rsid w:val="006452FE"/>
    <w:rsid w:val="00646489"/>
    <w:rsid w:val="006469CA"/>
    <w:rsid w:val="006471CC"/>
    <w:rsid w:val="0064724F"/>
    <w:rsid w:val="0064726A"/>
    <w:rsid w:val="006472FE"/>
    <w:rsid w:val="006474B8"/>
    <w:rsid w:val="006474CC"/>
    <w:rsid w:val="00647543"/>
    <w:rsid w:val="00647A29"/>
    <w:rsid w:val="00647F6A"/>
    <w:rsid w:val="006503CF"/>
    <w:rsid w:val="006503FD"/>
    <w:rsid w:val="0065051F"/>
    <w:rsid w:val="0065079F"/>
    <w:rsid w:val="006516AD"/>
    <w:rsid w:val="00652098"/>
    <w:rsid w:val="00652324"/>
    <w:rsid w:val="006523FB"/>
    <w:rsid w:val="00652A28"/>
    <w:rsid w:val="00652B4A"/>
    <w:rsid w:val="00652D5B"/>
    <w:rsid w:val="006531AC"/>
    <w:rsid w:val="0065379F"/>
    <w:rsid w:val="006539D7"/>
    <w:rsid w:val="006541EC"/>
    <w:rsid w:val="00654611"/>
    <w:rsid w:val="006549B2"/>
    <w:rsid w:val="00654AD1"/>
    <w:rsid w:val="00654D4C"/>
    <w:rsid w:val="00654FFE"/>
    <w:rsid w:val="0065570B"/>
    <w:rsid w:val="00655FDD"/>
    <w:rsid w:val="00656188"/>
    <w:rsid w:val="006561FC"/>
    <w:rsid w:val="0065672E"/>
    <w:rsid w:val="0065678A"/>
    <w:rsid w:val="00656FD5"/>
    <w:rsid w:val="0065715A"/>
    <w:rsid w:val="00657FDA"/>
    <w:rsid w:val="006606BE"/>
    <w:rsid w:val="006607A4"/>
    <w:rsid w:val="006609F2"/>
    <w:rsid w:val="00661084"/>
    <w:rsid w:val="006610F1"/>
    <w:rsid w:val="00661C67"/>
    <w:rsid w:val="00661C6B"/>
    <w:rsid w:val="00661E08"/>
    <w:rsid w:val="00662194"/>
    <w:rsid w:val="00662256"/>
    <w:rsid w:val="00662428"/>
    <w:rsid w:val="00662CCF"/>
    <w:rsid w:val="00662D3E"/>
    <w:rsid w:val="00662FA7"/>
    <w:rsid w:val="00663629"/>
    <w:rsid w:val="006637A5"/>
    <w:rsid w:val="00663F83"/>
    <w:rsid w:val="006643B9"/>
    <w:rsid w:val="006643FE"/>
    <w:rsid w:val="0066442A"/>
    <w:rsid w:val="006648B1"/>
    <w:rsid w:val="006649CF"/>
    <w:rsid w:val="00665782"/>
    <w:rsid w:val="00665973"/>
    <w:rsid w:val="006661D6"/>
    <w:rsid w:val="006662C2"/>
    <w:rsid w:val="00666819"/>
    <w:rsid w:val="00666DCD"/>
    <w:rsid w:val="0066721B"/>
    <w:rsid w:val="0066749A"/>
    <w:rsid w:val="006676A6"/>
    <w:rsid w:val="00667A1E"/>
    <w:rsid w:val="00667BE3"/>
    <w:rsid w:val="006706D2"/>
    <w:rsid w:val="00670936"/>
    <w:rsid w:val="00670F52"/>
    <w:rsid w:val="00670FE3"/>
    <w:rsid w:val="00671004"/>
    <w:rsid w:val="006714D1"/>
    <w:rsid w:val="006715DE"/>
    <w:rsid w:val="00671AC6"/>
    <w:rsid w:val="00672646"/>
    <w:rsid w:val="00672726"/>
    <w:rsid w:val="00672ADF"/>
    <w:rsid w:val="00672E1F"/>
    <w:rsid w:val="00672FA2"/>
    <w:rsid w:val="00673226"/>
    <w:rsid w:val="00673254"/>
    <w:rsid w:val="0067350E"/>
    <w:rsid w:val="0067375E"/>
    <w:rsid w:val="00673FA9"/>
    <w:rsid w:val="00674880"/>
    <w:rsid w:val="00674BE0"/>
    <w:rsid w:val="00674CF6"/>
    <w:rsid w:val="00674E42"/>
    <w:rsid w:val="00675316"/>
    <w:rsid w:val="006755C0"/>
    <w:rsid w:val="00675872"/>
    <w:rsid w:val="0067587F"/>
    <w:rsid w:val="00675976"/>
    <w:rsid w:val="00675BD6"/>
    <w:rsid w:val="00675E9C"/>
    <w:rsid w:val="00676104"/>
    <w:rsid w:val="00676174"/>
    <w:rsid w:val="00676563"/>
    <w:rsid w:val="00676739"/>
    <w:rsid w:val="006769B8"/>
    <w:rsid w:val="00676B5A"/>
    <w:rsid w:val="00676D4B"/>
    <w:rsid w:val="00676E5A"/>
    <w:rsid w:val="00677C0E"/>
    <w:rsid w:val="0068022F"/>
    <w:rsid w:val="00680A47"/>
    <w:rsid w:val="00680BD9"/>
    <w:rsid w:val="00680CCE"/>
    <w:rsid w:val="00681024"/>
    <w:rsid w:val="006813F8"/>
    <w:rsid w:val="0068179F"/>
    <w:rsid w:val="006817B4"/>
    <w:rsid w:val="00682112"/>
    <w:rsid w:val="00682447"/>
    <w:rsid w:val="00682993"/>
    <w:rsid w:val="00682BA6"/>
    <w:rsid w:val="0068343F"/>
    <w:rsid w:val="00683B64"/>
    <w:rsid w:val="00683DDD"/>
    <w:rsid w:val="00683F96"/>
    <w:rsid w:val="0068435D"/>
    <w:rsid w:val="0068485A"/>
    <w:rsid w:val="00684A03"/>
    <w:rsid w:val="00684E4E"/>
    <w:rsid w:val="00685101"/>
    <w:rsid w:val="00685210"/>
    <w:rsid w:val="00686957"/>
    <w:rsid w:val="006869E3"/>
    <w:rsid w:val="00686C60"/>
    <w:rsid w:val="00687110"/>
    <w:rsid w:val="006872BA"/>
    <w:rsid w:val="00687329"/>
    <w:rsid w:val="006876EF"/>
    <w:rsid w:val="00687875"/>
    <w:rsid w:val="00687EFE"/>
    <w:rsid w:val="00690351"/>
    <w:rsid w:val="00690795"/>
    <w:rsid w:val="00691648"/>
    <w:rsid w:val="006917D7"/>
    <w:rsid w:val="00691B78"/>
    <w:rsid w:val="00691F77"/>
    <w:rsid w:val="006921F9"/>
    <w:rsid w:val="0069225F"/>
    <w:rsid w:val="006922BF"/>
    <w:rsid w:val="00692307"/>
    <w:rsid w:val="006925F5"/>
    <w:rsid w:val="0069283C"/>
    <w:rsid w:val="006933A0"/>
    <w:rsid w:val="006933BE"/>
    <w:rsid w:val="006934C3"/>
    <w:rsid w:val="00693821"/>
    <w:rsid w:val="006939F7"/>
    <w:rsid w:val="00693D47"/>
    <w:rsid w:val="006942ED"/>
    <w:rsid w:val="0069434C"/>
    <w:rsid w:val="00694E6A"/>
    <w:rsid w:val="00694F44"/>
    <w:rsid w:val="006952C8"/>
    <w:rsid w:val="00695AF5"/>
    <w:rsid w:val="00695E1D"/>
    <w:rsid w:val="0069631D"/>
    <w:rsid w:val="00696586"/>
    <w:rsid w:val="00696AF4"/>
    <w:rsid w:val="00696EF9"/>
    <w:rsid w:val="00696F51"/>
    <w:rsid w:val="006979A5"/>
    <w:rsid w:val="006A00D5"/>
    <w:rsid w:val="006A016F"/>
    <w:rsid w:val="006A03F1"/>
    <w:rsid w:val="006A0458"/>
    <w:rsid w:val="006A0464"/>
    <w:rsid w:val="006A052D"/>
    <w:rsid w:val="006A08EA"/>
    <w:rsid w:val="006A091D"/>
    <w:rsid w:val="006A0CC0"/>
    <w:rsid w:val="006A0DF7"/>
    <w:rsid w:val="006A101A"/>
    <w:rsid w:val="006A1E29"/>
    <w:rsid w:val="006A22EC"/>
    <w:rsid w:val="006A2390"/>
    <w:rsid w:val="006A2406"/>
    <w:rsid w:val="006A2648"/>
    <w:rsid w:val="006A2A1F"/>
    <w:rsid w:val="006A2BFD"/>
    <w:rsid w:val="006A2F16"/>
    <w:rsid w:val="006A2F4D"/>
    <w:rsid w:val="006A32A9"/>
    <w:rsid w:val="006A3487"/>
    <w:rsid w:val="006A3826"/>
    <w:rsid w:val="006A3A3A"/>
    <w:rsid w:val="006A3A6A"/>
    <w:rsid w:val="006A3FA3"/>
    <w:rsid w:val="006A4036"/>
    <w:rsid w:val="006A40F8"/>
    <w:rsid w:val="006A4321"/>
    <w:rsid w:val="006A43AB"/>
    <w:rsid w:val="006A43D9"/>
    <w:rsid w:val="006A44C2"/>
    <w:rsid w:val="006A4AEC"/>
    <w:rsid w:val="006A4E75"/>
    <w:rsid w:val="006A4F05"/>
    <w:rsid w:val="006A4FA6"/>
    <w:rsid w:val="006A52C4"/>
    <w:rsid w:val="006A54C1"/>
    <w:rsid w:val="006A57C3"/>
    <w:rsid w:val="006A5B23"/>
    <w:rsid w:val="006A6361"/>
    <w:rsid w:val="006A6B99"/>
    <w:rsid w:val="006A6F76"/>
    <w:rsid w:val="006A7E5F"/>
    <w:rsid w:val="006B0355"/>
    <w:rsid w:val="006B132D"/>
    <w:rsid w:val="006B1430"/>
    <w:rsid w:val="006B1670"/>
    <w:rsid w:val="006B16A0"/>
    <w:rsid w:val="006B1724"/>
    <w:rsid w:val="006B1892"/>
    <w:rsid w:val="006B1D31"/>
    <w:rsid w:val="006B228B"/>
    <w:rsid w:val="006B261B"/>
    <w:rsid w:val="006B2918"/>
    <w:rsid w:val="006B2A75"/>
    <w:rsid w:val="006B2B5E"/>
    <w:rsid w:val="006B2C90"/>
    <w:rsid w:val="006B2E58"/>
    <w:rsid w:val="006B2EC8"/>
    <w:rsid w:val="006B30D4"/>
    <w:rsid w:val="006B343D"/>
    <w:rsid w:val="006B3528"/>
    <w:rsid w:val="006B35E6"/>
    <w:rsid w:val="006B4067"/>
    <w:rsid w:val="006B4495"/>
    <w:rsid w:val="006B45A7"/>
    <w:rsid w:val="006B465A"/>
    <w:rsid w:val="006B46F9"/>
    <w:rsid w:val="006B5279"/>
    <w:rsid w:val="006B5467"/>
    <w:rsid w:val="006B5D72"/>
    <w:rsid w:val="006B5E62"/>
    <w:rsid w:val="006B61EE"/>
    <w:rsid w:val="006B6ABA"/>
    <w:rsid w:val="006B6CCC"/>
    <w:rsid w:val="006B6CD6"/>
    <w:rsid w:val="006B6DD0"/>
    <w:rsid w:val="006B75DF"/>
    <w:rsid w:val="006B76AB"/>
    <w:rsid w:val="006B7A40"/>
    <w:rsid w:val="006B7B5A"/>
    <w:rsid w:val="006B7C07"/>
    <w:rsid w:val="006C0399"/>
    <w:rsid w:val="006C0B86"/>
    <w:rsid w:val="006C0BA0"/>
    <w:rsid w:val="006C1C04"/>
    <w:rsid w:val="006C1C76"/>
    <w:rsid w:val="006C22B5"/>
    <w:rsid w:val="006C251C"/>
    <w:rsid w:val="006C2865"/>
    <w:rsid w:val="006C2A8E"/>
    <w:rsid w:val="006C324C"/>
    <w:rsid w:val="006C3255"/>
    <w:rsid w:val="006C35DB"/>
    <w:rsid w:val="006C35F8"/>
    <w:rsid w:val="006C3F26"/>
    <w:rsid w:val="006C4078"/>
    <w:rsid w:val="006C40CB"/>
    <w:rsid w:val="006C4571"/>
    <w:rsid w:val="006C4A24"/>
    <w:rsid w:val="006C4D4F"/>
    <w:rsid w:val="006C5092"/>
    <w:rsid w:val="006C5150"/>
    <w:rsid w:val="006C528D"/>
    <w:rsid w:val="006C5660"/>
    <w:rsid w:val="006C56AF"/>
    <w:rsid w:val="006C57AA"/>
    <w:rsid w:val="006C5902"/>
    <w:rsid w:val="006C5ED1"/>
    <w:rsid w:val="006C6589"/>
    <w:rsid w:val="006C6A27"/>
    <w:rsid w:val="006C6F74"/>
    <w:rsid w:val="006C7209"/>
    <w:rsid w:val="006C761D"/>
    <w:rsid w:val="006D01B9"/>
    <w:rsid w:val="006D0205"/>
    <w:rsid w:val="006D0616"/>
    <w:rsid w:val="006D0C37"/>
    <w:rsid w:val="006D0D17"/>
    <w:rsid w:val="006D0FC1"/>
    <w:rsid w:val="006D1782"/>
    <w:rsid w:val="006D1C06"/>
    <w:rsid w:val="006D1C83"/>
    <w:rsid w:val="006D2079"/>
    <w:rsid w:val="006D3430"/>
    <w:rsid w:val="006D3478"/>
    <w:rsid w:val="006D36D2"/>
    <w:rsid w:val="006D3716"/>
    <w:rsid w:val="006D3B3D"/>
    <w:rsid w:val="006D3BBF"/>
    <w:rsid w:val="006D3C7D"/>
    <w:rsid w:val="006D45FE"/>
    <w:rsid w:val="006D4659"/>
    <w:rsid w:val="006D4786"/>
    <w:rsid w:val="006D4824"/>
    <w:rsid w:val="006D4978"/>
    <w:rsid w:val="006D4E1D"/>
    <w:rsid w:val="006D5A63"/>
    <w:rsid w:val="006D5B1A"/>
    <w:rsid w:val="006D5C72"/>
    <w:rsid w:val="006D5D5F"/>
    <w:rsid w:val="006D615D"/>
    <w:rsid w:val="006D646B"/>
    <w:rsid w:val="006D66B3"/>
    <w:rsid w:val="006D68FB"/>
    <w:rsid w:val="006D6A42"/>
    <w:rsid w:val="006D6D60"/>
    <w:rsid w:val="006D6F15"/>
    <w:rsid w:val="006D742D"/>
    <w:rsid w:val="006D74CC"/>
    <w:rsid w:val="006D79A9"/>
    <w:rsid w:val="006E0396"/>
    <w:rsid w:val="006E194E"/>
    <w:rsid w:val="006E1CC2"/>
    <w:rsid w:val="006E2220"/>
    <w:rsid w:val="006E2423"/>
    <w:rsid w:val="006E2868"/>
    <w:rsid w:val="006E28FC"/>
    <w:rsid w:val="006E30EE"/>
    <w:rsid w:val="006E31A1"/>
    <w:rsid w:val="006E3368"/>
    <w:rsid w:val="006E33F3"/>
    <w:rsid w:val="006E353B"/>
    <w:rsid w:val="006E35B2"/>
    <w:rsid w:val="006E35CD"/>
    <w:rsid w:val="006E4619"/>
    <w:rsid w:val="006E47E9"/>
    <w:rsid w:val="006E48DA"/>
    <w:rsid w:val="006E50D2"/>
    <w:rsid w:val="006E57EC"/>
    <w:rsid w:val="006E5BE0"/>
    <w:rsid w:val="006E5E46"/>
    <w:rsid w:val="006E5EE4"/>
    <w:rsid w:val="006E5FAB"/>
    <w:rsid w:val="006E61CB"/>
    <w:rsid w:val="006E65CD"/>
    <w:rsid w:val="006E70FB"/>
    <w:rsid w:val="006E78C2"/>
    <w:rsid w:val="006E7C08"/>
    <w:rsid w:val="006E7D86"/>
    <w:rsid w:val="006F0486"/>
    <w:rsid w:val="006F069E"/>
    <w:rsid w:val="006F07F7"/>
    <w:rsid w:val="006F0947"/>
    <w:rsid w:val="006F0B98"/>
    <w:rsid w:val="006F0E42"/>
    <w:rsid w:val="006F0FCD"/>
    <w:rsid w:val="006F0FED"/>
    <w:rsid w:val="006F10E4"/>
    <w:rsid w:val="006F1543"/>
    <w:rsid w:val="006F2479"/>
    <w:rsid w:val="006F2571"/>
    <w:rsid w:val="006F2C67"/>
    <w:rsid w:val="006F3007"/>
    <w:rsid w:val="006F306C"/>
    <w:rsid w:val="006F3101"/>
    <w:rsid w:val="006F31EA"/>
    <w:rsid w:val="006F43FE"/>
    <w:rsid w:val="006F5937"/>
    <w:rsid w:val="006F599C"/>
    <w:rsid w:val="006F632A"/>
    <w:rsid w:val="006F63A5"/>
    <w:rsid w:val="006F65A9"/>
    <w:rsid w:val="006F664E"/>
    <w:rsid w:val="006F66F0"/>
    <w:rsid w:val="006F6728"/>
    <w:rsid w:val="006F686C"/>
    <w:rsid w:val="006F6D54"/>
    <w:rsid w:val="006F6DD4"/>
    <w:rsid w:val="006F6FDB"/>
    <w:rsid w:val="006F750C"/>
    <w:rsid w:val="006F7A5E"/>
    <w:rsid w:val="00700694"/>
    <w:rsid w:val="00701427"/>
    <w:rsid w:val="0070142B"/>
    <w:rsid w:val="00701C0F"/>
    <w:rsid w:val="0070276E"/>
    <w:rsid w:val="007027F4"/>
    <w:rsid w:val="00702CA7"/>
    <w:rsid w:val="00702F8F"/>
    <w:rsid w:val="00703C37"/>
    <w:rsid w:val="00703CC0"/>
    <w:rsid w:val="0070490B"/>
    <w:rsid w:val="00704AFD"/>
    <w:rsid w:val="00704B0B"/>
    <w:rsid w:val="00704BE5"/>
    <w:rsid w:val="00704C73"/>
    <w:rsid w:val="00705351"/>
    <w:rsid w:val="0070537D"/>
    <w:rsid w:val="00705FDC"/>
    <w:rsid w:val="00706458"/>
    <w:rsid w:val="00706573"/>
    <w:rsid w:val="007065CB"/>
    <w:rsid w:val="00706D96"/>
    <w:rsid w:val="007079FC"/>
    <w:rsid w:val="00707C00"/>
    <w:rsid w:val="00707F3C"/>
    <w:rsid w:val="00710104"/>
    <w:rsid w:val="00710360"/>
    <w:rsid w:val="00710909"/>
    <w:rsid w:val="00710A0B"/>
    <w:rsid w:val="007110BA"/>
    <w:rsid w:val="007111AD"/>
    <w:rsid w:val="007118B9"/>
    <w:rsid w:val="00711A36"/>
    <w:rsid w:val="00711FD0"/>
    <w:rsid w:val="007125D3"/>
    <w:rsid w:val="00712AE5"/>
    <w:rsid w:val="00712D78"/>
    <w:rsid w:val="00712DB4"/>
    <w:rsid w:val="00712E2B"/>
    <w:rsid w:val="00712EA7"/>
    <w:rsid w:val="007132A7"/>
    <w:rsid w:val="007136C5"/>
    <w:rsid w:val="007137C9"/>
    <w:rsid w:val="007147ED"/>
    <w:rsid w:val="00714B5B"/>
    <w:rsid w:val="00714C1E"/>
    <w:rsid w:val="00714C26"/>
    <w:rsid w:val="00714D97"/>
    <w:rsid w:val="007150D6"/>
    <w:rsid w:val="0071513D"/>
    <w:rsid w:val="0071529C"/>
    <w:rsid w:val="00715F8C"/>
    <w:rsid w:val="007160E7"/>
    <w:rsid w:val="00717063"/>
    <w:rsid w:val="007170DA"/>
    <w:rsid w:val="00717164"/>
    <w:rsid w:val="007172AD"/>
    <w:rsid w:val="00717546"/>
    <w:rsid w:val="0071777C"/>
    <w:rsid w:val="00717813"/>
    <w:rsid w:val="00717FB2"/>
    <w:rsid w:val="00720745"/>
    <w:rsid w:val="00720801"/>
    <w:rsid w:val="00720967"/>
    <w:rsid w:val="0072119E"/>
    <w:rsid w:val="007211B1"/>
    <w:rsid w:val="00721280"/>
    <w:rsid w:val="00721416"/>
    <w:rsid w:val="00721A05"/>
    <w:rsid w:val="00722328"/>
    <w:rsid w:val="007223AF"/>
    <w:rsid w:val="00722A3D"/>
    <w:rsid w:val="00722B1B"/>
    <w:rsid w:val="00722F34"/>
    <w:rsid w:val="0072321C"/>
    <w:rsid w:val="0072324A"/>
    <w:rsid w:val="0072351F"/>
    <w:rsid w:val="00724060"/>
    <w:rsid w:val="0072416F"/>
    <w:rsid w:val="007241E0"/>
    <w:rsid w:val="007241F5"/>
    <w:rsid w:val="007242A7"/>
    <w:rsid w:val="00724367"/>
    <w:rsid w:val="007246F4"/>
    <w:rsid w:val="00724A8E"/>
    <w:rsid w:val="00725471"/>
    <w:rsid w:val="0072597E"/>
    <w:rsid w:val="00725F1B"/>
    <w:rsid w:val="00726594"/>
    <w:rsid w:val="00726EFD"/>
    <w:rsid w:val="007272D0"/>
    <w:rsid w:val="00727361"/>
    <w:rsid w:val="00727953"/>
    <w:rsid w:val="00727C94"/>
    <w:rsid w:val="0073041D"/>
    <w:rsid w:val="007304E3"/>
    <w:rsid w:val="0073094C"/>
    <w:rsid w:val="00730C84"/>
    <w:rsid w:val="00730ECC"/>
    <w:rsid w:val="00731B0A"/>
    <w:rsid w:val="00731EAE"/>
    <w:rsid w:val="007326B0"/>
    <w:rsid w:val="0073281E"/>
    <w:rsid w:val="0073283B"/>
    <w:rsid w:val="00732AC3"/>
    <w:rsid w:val="00732CAB"/>
    <w:rsid w:val="00733073"/>
    <w:rsid w:val="0073315E"/>
    <w:rsid w:val="007331A6"/>
    <w:rsid w:val="00733DFA"/>
    <w:rsid w:val="0073463A"/>
    <w:rsid w:val="007347AB"/>
    <w:rsid w:val="007347D4"/>
    <w:rsid w:val="00734B71"/>
    <w:rsid w:val="00734DB3"/>
    <w:rsid w:val="00735033"/>
    <w:rsid w:val="00735328"/>
    <w:rsid w:val="00735DFC"/>
    <w:rsid w:val="00735F46"/>
    <w:rsid w:val="007362B0"/>
    <w:rsid w:val="0073685B"/>
    <w:rsid w:val="00736ADE"/>
    <w:rsid w:val="00736CCF"/>
    <w:rsid w:val="00736F93"/>
    <w:rsid w:val="0073700A"/>
    <w:rsid w:val="00737461"/>
    <w:rsid w:val="0073795A"/>
    <w:rsid w:val="00737E99"/>
    <w:rsid w:val="00740091"/>
    <w:rsid w:val="0074018F"/>
    <w:rsid w:val="00740544"/>
    <w:rsid w:val="00740970"/>
    <w:rsid w:val="00741638"/>
    <w:rsid w:val="00741A88"/>
    <w:rsid w:val="00741B88"/>
    <w:rsid w:val="00742417"/>
    <w:rsid w:val="007427DF"/>
    <w:rsid w:val="0074335B"/>
    <w:rsid w:val="007437AE"/>
    <w:rsid w:val="00743FAB"/>
    <w:rsid w:val="0074429E"/>
    <w:rsid w:val="007445D2"/>
    <w:rsid w:val="007448C2"/>
    <w:rsid w:val="007449BF"/>
    <w:rsid w:val="00744E61"/>
    <w:rsid w:val="0074506A"/>
    <w:rsid w:val="00745484"/>
    <w:rsid w:val="0074558A"/>
    <w:rsid w:val="007457B6"/>
    <w:rsid w:val="007459EE"/>
    <w:rsid w:val="00745E81"/>
    <w:rsid w:val="007460BE"/>
    <w:rsid w:val="007460CB"/>
    <w:rsid w:val="0074621B"/>
    <w:rsid w:val="00746245"/>
    <w:rsid w:val="007463FE"/>
    <w:rsid w:val="00746A88"/>
    <w:rsid w:val="00746BC0"/>
    <w:rsid w:val="00747079"/>
    <w:rsid w:val="00747377"/>
    <w:rsid w:val="0074769E"/>
    <w:rsid w:val="0074788C"/>
    <w:rsid w:val="00747BEF"/>
    <w:rsid w:val="00747C58"/>
    <w:rsid w:val="0075039A"/>
    <w:rsid w:val="00750658"/>
    <w:rsid w:val="0075082E"/>
    <w:rsid w:val="007508C5"/>
    <w:rsid w:val="00750DA0"/>
    <w:rsid w:val="00750EF5"/>
    <w:rsid w:val="007510B4"/>
    <w:rsid w:val="0075129A"/>
    <w:rsid w:val="00751D12"/>
    <w:rsid w:val="00751D24"/>
    <w:rsid w:val="00751DA9"/>
    <w:rsid w:val="00751EE0"/>
    <w:rsid w:val="00752142"/>
    <w:rsid w:val="007523F9"/>
    <w:rsid w:val="00752727"/>
    <w:rsid w:val="00752783"/>
    <w:rsid w:val="00752874"/>
    <w:rsid w:val="007534A9"/>
    <w:rsid w:val="0075357E"/>
    <w:rsid w:val="0075374B"/>
    <w:rsid w:val="007539F7"/>
    <w:rsid w:val="00753A93"/>
    <w:rsid w:val="00753B29"/>
    <w:rsid w:val="00754947"/>
    <w:rsid w:val="00755EEC"/>
    <w:rsid w:val="007560D5"/>
    <w:rsid w:val="00756445"/>
    <w:rsid w:val="007568DB"/>
    <w:rsid w:val="007569EE"/>
    <w:rsid w:val="00756D63"/>
    <w:rsid w:val="00757348"/>
    <w:rsid w:val="007573E8"/>
    <w:rsid w:val="0075766E"/>
    <w:rsid w:val="007576E4"/>
    <w:rsid w:val="00757812"/>
    <w:rsid w:val="0075797C"/>
    <w:rsid w:val="00757AA6"/>
    <w:rsid w:val="00757C92"/>
    <w:rsid w:val="0076046B"/>
    <w:rsid w:val="00760626"/>
    <w:rsid w:val="0076072C"/>
    <w:rsid w:val="00760C4E"/>
    <w:rsid w:val="00760F9E"/>
    <w:rsid w:val="00761010"/>
    <w:rsid w:val="007614C4"/>
    <w:rsid w:val="00761630"/>
    <w:rsid w:val="007616E6"/>
    <w:rsid w:val="007619C1"/>
    <w:rsid w:val="00761ADD"/>
    <w:rsid w:val="00761B4E"/>
    <w:rsid w:val="00761D66"/>
    <w:rsid w:val="00761F0B"/>
    <w:rsid w:val="00761FCA"/>
    <w:rsid w:val="0076252E"/>
    <w:rsid w:val="007627BE"/>
    <w:rsid w:val="00762821"/>
    <w:rsid w:val="0076290E"/>
    <w:rsid w:val="007629B2"/>
    <w:rsid w:val="007630AB"/>
    <w:rsid w:val="007635BE"/>
    <w:rsid w:val="00763852"/>
    <w:rsid w:val="00763B07"/>
    <w:rsid w:val="00763B18"/>
    <w:rsid w:val="00763EE2"/>
    <w:rsid w:val="00763EEA"/>
    <w:rsid w:val="00763F01"/>
    <w:rsid w:val="00764198"/>
    <w:rsid w:val="00764408"/>
    <w:rsid w:val="007644B5"/>
    <w:rsid w:val="00764F03"/>
    <w:rsid w:val="00764F46"/>
    <w:rsid w:val="0076508C"/>
    <w:rsid w:val="00765114"/>
    <w:rsid w:val="00765498"/>
    <w:rsid w:val="00765B1A"/>
    <w:rsid w:val="00765DC1"/>
    <w:rsid w:val="00765E39"/>
    <w:rsid w:val="007661C7"/>
    <w:rsid w:val="00767003"/>
    <w:rsid w:val="00767834"/>
    <w:rsid w:val="0077063C"/>
    <w:rsid w:val="0077064A"/>
    <w:rsid w:val="00770702"/>
    <w:rsid w:val="00770CCF"/>
    <w:rsid w:val="007711CF"/>
    <w:rsid w:val="007714E9"/>
    <w:rsid w:val="0077161F"/>
    <w:rsid w:val="007717FF"/>
    <w:rsid w:val="0077191C"/>
    <w:rsid w:val="00771FC6"/>
    <w:rsid w:val="00772215"/>
    <w:rsid w:val="007722E3"/>
    <w:rsid w:val="00772601"/>
    <w:rsid w:val="00772887"/>
    <w:rsid w:val="00772994"/>
    <w:rsid w:val="00772C10"/>
    <w:rsid w:val="00772DA8"/>
    <w:rsid w:val="0077345B"/>
    <w:rsid w:val="0077353A"/>
    <w:rsid w:val="007738AA"/>
    <w:rsid w:val="00773EE6"/>
    <w:rsid w:val="007745A6"/>
    <w:rsid w:val="0077468A"/>
    <w:rsid w:val="00774A7E"/>
    <w:rsid w:val="00774E4B"/>
    <w:rsid w:val="0077522F"/>
    <w:rsid w:val="00775806"/>
    <w:rsid w:val="007759B7"/>
    <w:rsid w:val="00775D00"/>
    <w:rsid w:val="00775F68"/>
    <w:rsid w:val="00775F97"/>
    <w:rsid w:val="00775FDB"/>
    <w:rsid w:val="0077602C"/>
    <w:rsid w:val="00776195"/>
    <w:rsid w:val="007762BD"/>
    <w:rsid w:val="00776A01"/>
    <w:rsid w:val="00776A29"/>
    <w:rsid w:val="00776BF0"/>
    <w:rsid w:val="00776E20"/>
    <w:rsid w:val="0077717D"/>
    <w:rsid w:val="00777287"/>
    <w:rsid w:val="00777335"/>
    <w:rsid w:val="007773E7"/>
    <w:rsid w:val="00777777"/>
    <w:rsid w:val="00777A99"/>
    <w:rsid w:val="00780649"/>
    <w:rsid w:val="00780CBC"/>
    <w:rsid w:val="00780DC4"/>
    <w:rsid w:val="00781278"/>
    <w:rsid w:val="007812AC"/>
    <w:rsid w:val="0078199C"/>
    <w:rsid w:val="007821EB"/>
    <w:rsid w:val="007825C6"/>
    <w:rsid w:val="007826DD"/>
    <w:rsid w:val="00782B0B"/>
    <w:rsid w:val="00782E38"/>
    <w:rsid w:val="00782F2E"/>
    <w:rsid w:val="0078304E"/>
    <w:rsid w:val="00783A86"/>
    <w:rsid w:val="00783C15"/>
    <w:rsid w:val="00784137"/>
    <w:rsid w:val="00784375"/>
    <w:rsid w:val="007843F2"/>
    <w:rsid w:val="007846FA"/>
    <w:rsid w:val="00784974"/>
    <w:rsid w:val="00784B4F"/>
    <w:rsid w:val="00784D3F"/>
    <w:rsid w:val="007854C5"/>
    <w:rsid w:val="00785A9F"/>
    <w:rsid w:val="00786374"/>
    <w:rsid w:val="00786AD4"/>
    <w:rsid w:val="00786F4E"/>
    <w:rsid w:val="00786FA3"/>
    <w:rsid w:val="00786FDC"/>
    <w:rsid w:val="00787190"/>
    <w:rsid w:val="007871AE"/>
    <w:rsid w:val="0078723F"/>
    <w:rsid w:val="007901B8"/>
    <w:rsid w:val="00790D34"/>
    <w:rsid w:val="00790E08"/>
    <w:rsid w:val="0079103E"/>
    <w:rsid w:val="00791681"/>
    <w:rsid w:val="007923C1"/>
    <w:rsid w:val="007925DF"/>
    <w:rsid w:val="007927AD"/>
    <w:rsid w:val="00792A3F"/>
    <w:rsid w:val="00792ADC"/>
    <w:rsid w:val="00792FDD"/>
    <w:rsid w:val="0079331A"/>
    <w:rsid w:val="00793517"/>
    <w:rsid w:val="00793E9D"/>
    <w:rsid w:val="007946ED"/>
    <w:rsid w:val="00794823"/>
    <w:rsid w:val="00794E1C"/>
    <w:rsid w:val="007952CF"/>
    <w:rsid w:val="0079563F"/>
    <w:rsid w:val="0079584D"/>
    <w:rsid w:val="007962E0"/>
    <w:rsid w:val="0079703E"/>
    <w:rsid w:val="007A025A"/>
    <w:rsid w:val="007A0388"/>
    <w:rsid w:val="007A08AA"/>
    <w:rsid w:val="007A0997"/>
    <w:rsid w:val="007A0A12"/>
    <w:rsid w:val="007A132D"/>
    <w:rsid w:val="007A1345"/>
    <w:rsid w:val="007A1BCC"/>
    <w:rsid w:val="007A1CDC"/>
    <w:rsid w:val="007A1D87"/>
    <w:rsid w:val="007A245B"/>
    <w:rsid w:val="007A2712"/>
    <w:rsid w:val="007A2BA3"/>
    <w:rsid w:val="007A2D8F"/>
    <w:rsid w:val="007A2DDB"/>
    <w:rsid w:val="007A35C2"/>
    <w:rsid w:val="007A39EE"/>
    <w:rsid w:val="007A3C99"/>
    <w:rsid w:val="007A4279"/>
    <w:rsid w:val="007A4520"/>
    <w:rsid w:val="007A47EB"/>
    <w:rsid w:val="007A4A89"/>
    <w:rsid w:val="007A50E9"/>
    <w:rsid w:val="007A538B"/>
    <w:rsid w:val="007A53E8"/>
    <w:rsid w:val="007A5E7D"/>
    <w:rsid w:val="007A6427"/>
    <w:rsid w:val="007A658C"/>
    <w:rsid w:val="007A69A6"/>
    <w:rsid w:val="007A69F0"/>
    <w:rsid w:val="007A6C3E"/>
    <w:rsid w:val="007A6D23"/>
    <w:rsid w:val="007A6FE6"/>
    <w:rsid w:val="007A7049"/>
    <w:rsid w:val="007A70BA"/>
    <w:rsid w:val="007A760A"/>
    <w:rsid w:val="007B0292"/>
    <w:rsid w:val="007B0792"/>
    <w:rsid w:val="007B0BEE"/>
    <w:rsid w:val="007B0CA9"/>
    <w:rsid w:val="007B0D68"/>
    <w:rsid w:val="007B1331"/>
    <w:rsid w:val="007B17CF"/>
    <w:rsid w:val="007B199F"/>
    <w:rsid w:val="007B1C8F"/>
    <w:rsid w:val="007B251D"/>
    <w:rsid w:val="007B2D03"/>
    <w:rsid w:val="007B3364"/>
    <w:rsid w:val="007B3508"/>
    <w:rsid w:val="007B3533"/>
    <w:rsid w:val="007B35A0"/>
    <w:rsid w:val="007B388E"/>
    <w:rsid w:val="007B3AB7"/>
    <w:rsid w:val="007B406B"/>
    <w:rsid w:val="007B409C"/>
    <w:rsid w:val="007B475B"/>
    <w:rsid w:val="007B490C"/>
    <w:rsid w:val="007B4C22"/>
    <w:rsid w:val="007B4C96"/>
    <w:rsid w:val="007B4F58"/>
    <w:rsid w:val="007B528D"/>
    <w:rsid w:val="007B5385"/>
    <w:rsid w:val="007B5577"/>
    <w:rsid w:val="007B55EA"/>
    <w:rsid w:val="007B569A"/>
    <w:rsid w:val="007B61CF"/>
    <w:rsid w:val="007B63CA"/>
    <w:rsid w:val="007B66D4"/>
    <w:rsid w:val="007B6C48"/>
    <w:rsid w:val="007B6D80"/>
    <w:rsid w:val="007B6D93"/>
    <w:rsid w:val="007B77D1"/>
    <w:rsid w:val="007B78FE"/>
    <w:rsid w:val="007B79FE"/>
    <w:rsid w:val="007B7CA4"/>
    <w:rsid w:val="007B7EC4"/>
    <w:rsid w:val="007C0268"/>
    <w:rsid w:val="007C035A"/>
    <w:rsid w:val="007C0454"/>
    <w:rsid w:val="007C07C7"/>
    <w:rsid w:val="007C0C36"/>
    <w:rsid w:val="007C0DD4"/>
    <w:rsid w:val="007C0F1A"/>
    <w:rsid w:val="007C130D"/>
    <w:rsid w:val="007C19BC"/>
    <w:rsid w:val="007C1A20"/>
    <w:rsid w:val="007C1C1A"/>
    <w:rsid w:val="007C1CD9"/>
    <w:rsid w:val="007C1DA5"/>
    <w:rsid w:val="007C2087"/>
    <w:rsid w:val="007C2727"/>
    <w:rsid w:val="007C2A1A"/>
    <w:rsid w:val="007C2B3F"/>
    <w:rsid w:val="007C2C61"/>
    <w:rsid w:val="007C2E6C"/>
    <w:rsid w:val="007C316A"/>
    <w:rsid w:val="007C32EF"/>
    <w:rsid w:val="007C3590"/>
    <w:rsid w:val="007C361D"/>
    <w:rsid w:val="007C40CC"/>
    <w:rsid w:val="007C4368"/>
    <w:rsid w:val="007C4385"/>
    <w:rsid w:val="007C44A6"/>
    <w:rsid w:val="007C497D"/>
    <w:rsid w:val="007C4B84"/>
    <w:rsid w:val="007C5316"/>
    <w:rsid w:val="007C60F2"/>
    <w:rsid w:val="007C6158"/>
    <w:rsid w:val="007C6428"/>
    <w:rsid w:val="007C64A4"/>
    <w:rsid w:val="007C65F4"/>
    <w:rsid w:val="007C66C6"/>
    <w:rsid w:val="007C6C7C"/>
    <w:rsid w:val="007C6DD5"/>
    <w:rsid w:val="007C701A"/>
    <w:rsid w:val="007C70FF"/>
    <w:rsid w:val="007C744B"/>
    <w:rsid w:val="007C7454"/>
    <w:rsid w:val="007C7BA8"/>
    <w:rsid w:val="007C7C25"/>
    <w:rsid w:val="007C7FD8"/>
    <w:rsid w:val="007D004F"/>
    <w:rsid w:val="007D035F"/>
    <w:rsid w:val="007D06B2"/>
    <w:rsid w:val="007D0B38"/>
    <w:rsid w:val="007D1F89"/>
    <w:rsid w:val="007D26FB"/>
    <w:rsid w:val="007D27A0"/>
    <w:rsid w:val="007D28C1"/>
    <w:rsid w:val="007D28DE"/>
    <w:rsid w:val="007D2A52"/>
    <w:rsid w:val="007D2DC3"/>
    <w:rsid w:val="007D2EEC"/>
    <w:rsid w:val="007D31B9"/>
    <w:rsid w:val="007D3297"/>
    <w:rsid w:val="007D3A45"/>
    <w:rsid w:val="007D4E63"/>
    <w:rsid w:val="007D542E"/>
    <w:rsid w:val="007D5440"/>
    <w:rsid w:val="007D5907"/>
    <w:rsid w:val="007D5E16"/>
    <w:rsid w:val="007D5EAE"/>
    <w:rsid w:val="007D649B"/>
    <w:rsid w:val="007D6866"/>
    <w:rsid w:val="007D69EB"/>
    <w:rsid w:val="007D6AAF"/>
    <w:rsid w:val="007D7272"/>
    <w:rsid w:val="007D7476"/>
    <w:rsid w:val="007E0459"/>
    <w:rsid w:val="007E0F49"/>
    <w:rsid w:val="007E11CC"/>
    <w:rsid w:val="007E128F"/>
    <w:rsid w:val="007E1889"/>
    <w:rsid w:val="007E189F"/>
    <w:rsid w:val="007E1BBE"/>
    <w:rsid w:val="007E1E06"/>
    <w:rsid w:val="007E224B"/>
    <w:rsid w:val="007E2328"/>
    <w:rsid w:val="007E2587"/>
    <w:rsid w:val="007E2A15"/>
    <w:rsid w:val="007E2B91"/>
    <w:rsid w:val="007E2E2A"/>
    <w:rsid w:val="007E2EBD"/>
    <w:rsid w:val="007E2EE0"/>
    <w:rsid w:val="007E3758"/>
    <w:rsid w:val="007E3C4F"/>
    <w:rsid w:val="007E3C90"/>
    <w:rsid w:val="007E3D55"/>
    <w:rsid w:val="007E410A"/>
    <w:rsid w:val="007E4113"/>
    <w:rsid w:val="007E4A51"/>
    <w:rsid w:val="007E4A77"/>
    <w:rsid w:val="007E4D22"/>
    <w:rsid w:val="007E510E"/>
    <w:rsid w:val="007E52AF"/>
    <w:rsid w:val="007E5677"/>
    <w:rsid w:val="007E5CAD"/>
    <w:rsid w:val="007E5D30"/>
    <w:rsid w:val="007E6087"/>
    <w:rsid w:val="007E677A"/>
    <w:rsid w:val="007E6D4C"/>
    <w:rsid w:val="007E6DD2"/>
    <w:rsid w:val="007E7302"/>
    <w:rsid w:val="007F0129"/>
    <w:rsid w:val="007F097B"/>
    <w:rsid w:val="007F1017"/>
    <w:rsid w:val="007F15B7"/>
    <w:rsid w:val="007F1606"/>
    <w:rsid w:val="007F176A"/>
    <w:rsid w:val="007F19BD"/>
    <w:rsid w:val="007F21D8"/>
    <w:rsid w:val="007F22DA"/>
    <w:rsid w:val="007F2562"/>
    <w:rsid w:val="007F2570"/>
    <w:rsid w:val="007F40C7"/>
    <w:rsid w:val="007F44CA"/>
    <w:rsid w:val="007F499C"/>
    <w:rsid w:val="007F4A3F"/>
    <w:rsid w:val="007F4A61"/>
    <w:rsid w:val="007F4DBA"/>
    <w:rsid w:val="007F51A3"/>
    <w:rsid w:val="007F5255"/>
    <w:rsid w:val="007F556E"/>
    <w:rsid w:val="007F56CC"/>
    <w:rsid w:val="007F5DB4"/>
    <w:rsid w:val="007F61C2"/>
    <w:rsid w:val="007F627A"/>
    <w:rsid w:val="007F653A"/>
    <w:rsid w:val="007F696F"/>
    <w:rsid w:val="007F6F5D"/>
    <w:rsid w:val="007F6FD6"/>
    <w:rsid w:val="007F701A"/>
    <w:rsid w:val="007F791F"/>
    <w:rsid w:val="007F79BD"/>
    <w:rsid w:val="008006A9"/>
    <w:rsid w:val="00800943"/>
    <w:rsid w:val="00801B57"/>
    <w:rsid w:val="00801E4F"/>
    <w:rsid w:val="00801EE7"/>
    <w:rsid w:val="0080250A"/>
    <w:rsid w:val="0080250B"/>
    <w:rsid w:val="008025E9"/>
    <w:rsid w:val="00802641"/>
    <w:rsid w:val="00802852"/>
    <w:rsid w:val="008037DE"/>
    <w:rsid w:val="0080394C"/>
    <w:rsid w:val="008039E7"/>
    <w:rsid w:val="00803A51"/>
    <w:rsid w:val="00803E5D"/>
    <w:rsid w:val="00804419"/>
    <w:rsid w:val="00804508"/>
    <w:rsid w:val="0080453B"/>
    <w:rsid w:val="00804922"/>
    <w:rsid w:val="00804B1A"/>
    <w:rsid w:val="00805142"/>
    <w:rsid w:val="0080533F"/>
    <w:rsid w:val="00805468"/>
    <w:rsid w:val="0080566B"/>
    <w:rsid w:val="008056B4"/>
    <w:rsid w:val="008057A1"/>
    <w:rsid w:val="00805FCE"/>
    <w:rsid w:val="00806BA9"/>
    <w:rsid w:val="00806F22"/>
    <w:rsid w:val="00807071"/>
    <w:rsid w:val="008070EC"/>
    <w:rsid w:val="0080752A"/>
    <w:rsid w:val="00807A0E"/>
    <w:rsid w:val="00807A8B"/>
    <w:rsid w:val="00807DA6"/>
    <w:rsid w:val="00810E1B"/>
    <w:rsid w:val="00810E85"/>
    <w:rsid w:val="00811383"/>
    <w:rsid w:val="008114B1"/>
    <w:rsid w:val="008117F7"/>
    <w:rsid w:val="00811C5D"/>
    <w:rsid w:val="00811C7D"/>
    <w:rsid w:val="00811FFB"/>
    <w:rsid w:val="008120AF"/>
    <w:rsid w:val="00812149"/>
    <w:rsid w:val="0081261E"/>
    <w:rsid w:val="00812CAC"/>
    <w:rsid w:val="00813453"/>
    <w:rsid w:val="00813C4B"/>
    <w:rsid w:val="008149EF"/>
    <w:rsid w:val="00814BC9"/>
    <w:rsid w:val="0081500D"/>
    <w:rsid w:val="008151AC"/>
    <w:rsid w:val="008152E1"/>
    <w:rsid w:val="00815C1B"/>
    <w:rsid w:val="00815CF8"/>
    <w:rsid w:val="00815FDB"/>
    <w:rsid w:val="00816361"/>
    <w:rsid w:val="008166EF"/>
    <w:rsid w:val="00816723"/>
    <w:rsid w:val="008167B4"/>
    <w:rsid w:val="00816FEF"/>
    <w:rsid w:val="008173C5"/>
    <w:rsid w:val="008175E0"/>
    <w:rsid w:val="00820494"/>
    <w:rsid w:val="0082058E"/>
    <w:rsid w:val="008206CA"/>
    <w:rsid w:val="008206D3"/>
    <w:rsid w:val="00820A8C"/>
    <w:rsid w:val="008211C8"/>
    <w:rsid w:val="008213ED"/>
    <w:rsid w:val="008215FB"/>
    <w:rsid w:val="00821754"/>
    <w:rsid w:val="0082184C"/>
    <w:rsid w:val="00821A04"/>
    <w:rsid w:val="008220CC"/>
    <w:rsid w:val="0082211D"/>
    <w:rsid w:val="00822270"/>
    <w:rsid w:val="008227EC"/>
    <w:rsid w:val="00822A34"/>
    <w:rsid w:val="00822B4F"/>
    <w:rsid w:val="00822E87"/>
    <w:rsid w:val="00823174"/>
    <w:rsid w:val="00823A38"/>
    <w:rsid w:val="00823C43"/>
    <w:rsid w:val="00823F78"/>
    <w:rsid w:val="008242B5"/>
    <w:rsid w:val="0082480C"/>
    <w:rsid w:val="00824FA8"/>
    <w:rsid w:val="00825317"/>
    <w:rsid w:val="00825686"/>
    <w:rsid w:val="00825751"/>
    <w:rsid w:val="0082588E"/>
    <w:rsid w:val="00825E7B"/>
    <w:rsid w:val="00825F48"/>
    <w:rsid w:val="00826159"/>
    <w:rsid w:val="008264EB"/>
    <w:rsid w:val="008266CC"/>
    <w:rsid w:val="00826898"/>
    <w:rsid w:val="008268CE"/>
    <w:rsid w:val="00826CD7"/>
    <w:rsid w:val="00826DF6"/>
    <w:rsid w:val="0082706F"/>
    <w:rsid w:val="008270DF"/>
    <w:rsid w:val="00827364"/>
    <w:rsid w:val="008275C5"/>
    <w:rsid w:val="00827771"/>
    <w:rsid w:val="00827828"/>
    <w:rsid w:val="00827C23"/>
    <w:rsid w:val="00830126"/>
    <w:rsid w:val="008303F0"/>
    <w:rsid w:val="0083057E"/>
    <w:rsid w:val="00830D5F"/>
    <w:rsid w:val="0083159E"/>
    <w:rsid w:val="0083164B"/>
    <w:rsid w:val="00831E70"/>
    <w:rsid w:val="00831F34"/>
    <w:rsid w:val="00832201"/>
    <w:rsid w:val="00832288"/>
    <w:rsid w:val="008323D9"/>
    <w:rsid w:val="00832539"/>
    <w:rsid w:val="00832920"/>
    <w:rsid w:val="00833241"/>
    <w:rsid w:val="008332D2"/>
    <w:rsid w:val="00833624"/>
    <w:rsid w:val="00833B05"/>
    <w:rsid w:val="008342C7"/>
    <w:rsid w:val="0083430E"/>
    <w:rsid w:val="008346B7"/>
    <w:rsid w:val="00834945"/>
    <w:rsid w:val="00834A78"/>
    <w:rsid w:val="00834B5F"/>
    <w:rsid w:val="00834FC2"/>
    <w:rsid w:val="00835262"/>
    <w:rsid w:val="00835629"/>
    <w:rsid w:val="00835C9F"/>
    <w:rsid w:val="00835CD7"/>
    <w:rsid w:val="00835F30"/>
    <w:rsid w:val="00835F66"/>
    <w:rsid w:val="008362B4"/>
    <w:rsid w:val="008363C7"/>
    <w:rsid w:val="00836EBE"/>
    <w:rsid w:val="00837B13"/>
    <w:rsid w:val="00837C6B"/>
    <w:rsid w:val="00840AF2"/>
    <w:rsid w:val="00840CA2"/>
    <w:rsid w:val="00840F56"/>
    <w:rsid w:val="00841496"/>
    <w:rsid w:val="00841649"/>
    <w:rsid w:val="00841E76"/>
    <w:rsid w:val="0084252E"/>
    <w:rsid w:val="00842763"/>
    <w:rsid w:val="008428BE"/>
    <w:rsid w:val="00843472"/>
    <w:rsid w:val="008436BA"/>
    <w:rsid w:val="0084374F"/>
    <w:rsid w:val="0084377E"/>
    <w:rsid w:val="00843816"/>
    <w:rsid w:val="00843880"/>
    <w:rsid w:val="00844A22"/>
    <w:rsid w:val="00844A51"/>
    <w:rsid w:val="008454CB"/>
    <w:rsid w:val="00845782"/>
    <w:rsid w:val="0084590B"/>
    <w:rsid w:val="00845ABF"/>
    <w:rsid w:val="00845BE4"/>
    <w:rsid w:val="008469E6"/>
    <w:rsid w:val="00847329"/>
    <w:rsid w:val="00847703"/>
    <w:rsid w:val="00847AE8"/>
    <w:rsid w:val="00847DCD"/>
    <w:rsid w:val="00847DF5"/>
    <w:rsid w:val="008502BC"/>
    <w:rsid w:val="00850E37"/>
    <w:rsid w:val="008511BB"/>
    <w:rsid w:val="00851251"/>
    <w:rsid w:val="008518DC"/>
    <w:rsid w:val="00851F2A"/>
    <w:rsid w:val="008522C8"/>
    <w:rsid w:val="008522CD"/>
    <w:rsid w:val="00852330"/>
    <w:rsid w:val="0085251F"/>
    <w:rsid w:val="00852B92"/>
    <w:rsid w:val="0085309D"/>
    <w:rsid w:val="00853414"/>
    <w:rsid w:val="00853469"/>
    <w:rsid w:val="00853892"/>
    <w:rsid w:val="0085389B"/>
    <w:rsid w:val="00853D5C"/>
    <w:rsid w:val="00854167"/>
    <w:rsid w:val="00854178"/>
    <w:rsid w:val="008547B4"/>
    <w:rsid w:val="00854C30"/>
    <w:rsid w:val="00854C63"/>
    <w:rsid w:val="008555F3"/>
    <w:rsid w:val="00855702"/>
    <w:rsid w:val="00855743"/>
    <w:rsid w:val="008557B0"/>
    <w:rsid w:val="00855845"/>
    <w:rsid w:val="00855848"/>
    <w:rsid w:val="00855B69"/>
    <w:rsid w:val="00855B77"/>
    <w:rsid w:val="00855D3A"/>
    <w:rsid w:val="00855F82"/>
    <w:rsid w:val="00855FA1"/>
    <w:rsid w:val="00855FF1"/>
    <w:rsid w:val="00856897"/>
    <w:rsid w:val="00856C56"/>
    <w:rsid w:val="00856D39"/>
    <w:rsid w:val="00856E9A"/>
    <w:rsid w:val="0085718D"/>
    <w:rsid w:val="008573C2"/>
    <w:rsid w:val="00857B10"/>
    <w:rsid w:val="00857EA1"/>
    <w:rsid w:val="00860170"/>
    <w:rsid w:val="00860195"/>
    <w:rsid w:val="00860322"/>
    <w:rsid w:val="008605A9"/>
    <w:rsid w:val="0086065D"/>
    <w:rsid w:val="0086075D"/>
    <w:rsid w:val="008608F6"/>
    <w:rsid w:val="0086093A"/>
    <w:rsid w:val="008616CB"/>
    <w:rsid w:val="008617D5"/>
    <w:rsid w:val="00861A47"/>
    <w:rsid w:val="0086219B"/>
    <w:rsid w:val="00862502"/>
    <w:rsid w:val="008627D9"/>
    <w:rsid w:val="008628A9"/>
    <w:rsid w:val="00862CC1"/>
    <w:rsid w:val="00864045"/>
    <w:rsid w:val="00864046"/>
    <w:rsid w:val="008642A7"/>
    <w:rsid w:val="008644C9"/>
    <w:rsid w:val="008645FF"/>
    <w:rsid w:val="008648A5"/>
    <w:rsid w:val="00865CFA"/>
    <w:rsid w:val="008660D4"/>
    <w:rsid w:val="008663E3"/>
    <w:rsid w:val="008666E4"/>
    <w:rsid w:val="00866856"/>
    <w:rsid w:val="0086689E"/>
    <w:rsid w:val="00866BD1"/>
    <w:rsid w:val="00870098"/>
    <w:rsid w:val="00870672"/>
    <w:rsid w:val="008706EE"/>
    <w:rsid w:val="008707E8"/>
    <w:rsid w:val="00870D8A"/>
    <w:rsid w:val="00871489"/>
    <w:rsid w:val="00871D2D"/>
    <w:rsid w:val="00871FA9"/>
    <w:rsid w:val="008722FD"/>
    <w:rsid w:val="0087237A"/>
    <w:rsid w:val="008725E2"/>
    <w:rsid w:val="008728E9"/>
    <w:rsid w:val="00872E78"/>
    <w:rsid w:val="00872FE7"/>
    <w:rsid w:val="00873193"/>
    <w:rsid w:val="00873770"/>
    <w:rsid w:val="008739D6"/>
    <w:rsid w:val="00874615"/>
    <w:rsid w:val="00874E1A"/>
    <w:rsid w:val="00875282"/>
    <w:rsid w:val="008753B5"/>
    <w:rsid w:val="0087566E"/>
    <w:rsid w:val="00875726"/>
    <w:rsid w:val="00875A2A"/>
    <w:rsid w:val="00876007"/>
    <w:rsid w:val="00876928"/>
    <w:rsid w:val="00876EA4"/>
    <w:rsid w:val="008772DC"/>
    <w:rsid w:val="00877499"/>
    <w:rsid w:val="00877D7C"/>
    <w:rsid w:val="0088078E"/>
    <w:rsid w:val="00880938"/>
    <w:rsid w:val="00880B56"/>
    <w:rsid w:val="00880CD1"/>
    <w:rsid w:val="00880E8B"/>
    <w:rsid w:val="008814FD"/>
    <w:rsid w:val="0088271E"/>
    <w:rsid w:val="00882874"/>
    <w:rsid w:val="00882A7D"/>
    <w:rsid w:val="00882E3C"/>
    <w:rsid w:val="0088300E"/>
    <w:rsid w:val="0088308A"/>
    <w:rsid w:val="008836EA"/>
    <w:rsid w:val="00883787"/>
    <w:rsid w:val="0088384A"/>
    <w:rsid w:val="008839B6"/>
    <w:rsid w:val="008839F0"/>
    <w:rsid w:val="00883ABE"/>
    <w:rsid w:val="00883D65"/>
    <w:rsid w:val="008840BC"/>
    <w:rsid w:val="008843D3"/>
    <w:rsid w:val="00884921"/>
    <w:rsid w:val="00884B60"/>
    <w:rsid w:val="008855E4"/>
    <w:rsid w:val="00885689"/>
    <w:rsid w:val="00885916"/>
    <w:rsid w:val="00885CAF"/>
    <w:rsid w:val="00885EB4"/>
    <w:rsid w:val="008860CB"/>
    <w:rsid w:val="008862BE"/>
    <w:rsid w:val="008867F7"/>
    <w:rsid w:val="008867FE"/>
    <w:rsid w:val="00886CD2"/>
    <w:rsid w:val="0088728A"/>
    <w:rsid w:val="00887652"/>
    <w:rsid w:val="00887871"/>
    <w:rsid w:val="00887AFF"/>
    <w:rsid w:val="00890414"/>
    <w:rsid w:val="00890486"/>
    <w:rsid w:val="00890732"/>
    <w:rsid w:val="00890746"/>
    <w:rsid w:val="00890900"/>
    <w:rsid w:val="00890A1E"/>
    <w:rsid w:val="00890D14"/>
    <w:rsid w:val="00890E29"/>
    <w:rsid w:val="00891059"/>
    <w:rsid w:val="008911B7"/>
    <w:rsid w:val="00891336"/>
    <w:rsid w:val="008919B2"/>
    <w:rsid w:val="00891BAC"/>
    <w:rsid w:val="00891E6F"/>
    <w:rsid w:val="00892204"/>
    <w:rsid w:val="0089275D"/>
    <w:rsid w:val="00892A36"/>
    <w:rsid w:val="00892B75"/>
    <w:rsid w:val="00892D4B"/>
    <w:rsid w:val="0089320A"/>
    <w:rsid w:val="00893239"/>
    <w:rsid w:val="00893508"/>
    <w:rsid w:val="00893639"/>
    <w:rsid w:val="00893680"/>
    <w:rsid w:val="00893840"/>
    <w:rsid w:val="00893D55"/>
    <w:rsid w:val="0089420E"/>
    <w:rsid w:val="0089430A"/>
    <w:rsid w:val="00894489"/>
    <w:rsid w:val="008944D2"/>
    <w:rsid w:val="0089480C"/>
    <w:rsid w:val="00894CD6"/>
    <w:rsid w:val="00894F69"/>
    <w:rsid w:val="00895197"/>
    <w:rsid w:val="00895302"/>
    <w:rsid w:val="00895CEB"/>
    <w:rsid w:val="00895DF7"/>
    <w:rsid w:val="00895EBD"/>
    <w:rsid w:val="0089635D"/>
    <w:rsid w:val="008963A5"/>
    <w:rsid w:val="00896A38"/>
    <w:rsid w:val="00896D5D"/>
    <w:rsid w:val="008978C0"/>
    <w:rsid w:val="008978FD"/>
    <w:rsid w:val="00897EA3"/>
    <w:rsid w:val="008A06CB"/>
    <w:rsid w:val="008A07FD"/>
    <w:rsid w:val="008A082D"/>
    <w:rsid w:val="008A0C2B"/>
    <w:rsid w:val="008A169C"/>
    <w:rsid w:val="008A1B58"/>
    <w:rsid w:val="008A1DDE"/>
    <w:rsid w:val="008A26F3"/>
    <w:rsid w:val="008A2AEF"/>
    <w:rsid w:val="008A2ED5"/>
    <w:rsid w:val="008A3158"/>
    <w:rsid w:val="008A3363"/>
    <w:rsid w:val="008A3371"/>
    <w:rsid w:val="008A3452"/>
    <w:rsid w:val="008A3503"/>
    <w:rsid w:val="008A356C"/>
    <w:rsid w:val="008A3895"/>
    <w:rsid w:val="008A3BDC"/>
    <w:rsid w:val="008A3C3E"/>
    <w:rsid w:val="008A4D8E"/>
    <w:rsid w:val="008A5DF3"/>
    <w:rsid w:val="008A60CE"/>
    <w:rsid w:val="008A63A6"/>
    <w:rsid w:val="008A6669"/>
    <w:rsid w:val="008A6E7C"/>
    <w:rsid w:val="008A73E1"/>
    <w:rsid w:val="008A79DE"/>
    <w:rsid w:val="008A7B6D"/>
    <w:rsid w:val="008B0BB0"/>
    <w:rsid w:val="008B112C"/>
    <w:rsid w:val="008B1757"/>
    <w:rsid w:val="008B1A98"/>
    <w:rsid w:val="008B1C33"/>
    <w:rsid w:val="008B1E0C"/>
    <w:rsid w:val="008B227F"/>
    <w:rsid w:val="008B2F75"/>
    <w:rsid w:val="008B2F77"/>
    <w:rsid w:val="008B30E3"/>
    <w:rsid w:val="008B38B2"/>
    <w:rsid w:val="008B3BFB"/>
    <w:rsid w:val="008B42CA"/>
    <w:rsid w:val="008B4664"/>
    <w:rsid w:val="008B4B6F"/>
    <w:rsid w:val="008B4C6D"/>
    <w:rsid w:val="008B596B"/>
    <w:rsid w:val="008B5C9B"/>
    <w:rsid w:val="008B6252"/>
    <w:rsid w:val="008B6264"/>
    <w:rsid w:val="008B692B"/>
    <w:rsid w:val="008B6CB1"/>
    <w:rsid w:val="008B74B6"/>
    <w:rsid w:val="008B7812"/>
    <w:rsid w:val="008B7992"/>
    <w:rsid w:val="008B7AD3"/>
    <w:rsid w:val="008B7D30"/>
    <w:rsid w:val="008B7D7E"/>
    <w:rsid w:val="008B7EF4"/>
    <w:rsid w:val="008C0259"/>
    <w:rsid w:val="008C0266"/>
    <w:rsid w:val="008C037A"/>
    <w:rsid w:val="008C0495"/>
    <w:rsid w:val="008C0996"/>
    <w:rsid w:val="008C09EF"/>
    <w:rsid w:val="008C0E3C"/>
    <w:rsid w:val="008C0E53"/>
    <w:rsid w:val="008C19A3"/>
    <w:rsid w:val="008C205D"/>
    <w:rsid w:val="008C23C7"/>
    <w:rsid w:val="008C2B7F"/>
    <w:rsid w:val="008C2CCA"/>
    <w:rsid w:val="008C35F4"/>
    <w:rsid w:val="008C3920"/>
    <w:rsid w:val="008C3CEB"/>
    <w:rsid w:val="008C3E33"/>
    <w:rsid w:val="008C3E6D"/>
    <w:rsid w:val="008C41C5"/>
    <w:rsid w:val="008C45BD"/>
    <w:rsid w:val="008C483E"/>
    <w:rsid w:val="008C4890"/>
    <w:rsid w:val="008C544C"/>
    <w:rsid w:val="008C5610"/>
    <w:rsid w:val="008C567F"/>
    <w:rsid w:val="008C5739"/>
    <w:rsid w:val="008C5ABC"/>
    <w:rsid w:val="008C6087"/>
    <w:rsid w:val="008C6491"/>
    <w:rsid w:val="008C68D9"/>
    <w:rsid w:val="008C6F58"/>
    <w:rsid w:val="008C7282"/>
    <w:rsid w:val="008C7325"/>
    <w:rsid w:val="008C7708"/>
    <w:rsid w:val="008C7982"/>
    <w:rsid w:val="008C7B3C"/>
    <w:rsid w:val="008C7D12"/>
    <w:rsid w:val="008C7ECB"/>
    <w:rsid w:val="008D0349"/>
    <w:rsid w:val="008D1010"/>
    <w:rsid w:val="008D1329"/>
    <w:rsid w:val="008D13EB"/>
    <w:rsid w:val="008D1889"/>
    <w:rsid w:val="008D1A4B"/>
    <w:rsid w:val="008D1D8C"/>
    <w:rsid w:val="008D1EDB"/>
    <w:rsid w:val="008D22A8"/>
    <w:rsid w:val="008D2826"/>
    <w:rsid w:val="008D29BF"/>
    <w:rsid w:val="008D30B9"/>
    <w:rsid w:val="008D33CC"/>
    <w:rsid w:val="008D3A1F"/>
    <w:rsid w:val="008D3B86"/>
    <w:rsid w:val="008D3E65"/>
    <w:rsid w:val="008D3FC8"/>
    <w:rsid w:val="008D403F"/>
    <w:rsid w:val="008D418C"/>
    <w:rsid w:val="008D43FD"/>
    <w:rsid w:val="008D4755"/>
    <w:rsid w:val="008D4C3D"/>
    <w:rsid w:val="008D56FB"/>
    <w:rsid w:val="008D5781"/>
    <w:rsid w:val="008D59BB"/>
    <w:rsid w:val="008D5E0C"/>
    <w:rsid w:val="008D5E96"/>
    <w:rsid w:val="008D6523"/>
    <w:rsid w:val="008D6E3F"/>
    <w:rsid w:val="008D6E42"/>
    <w:rsid w:val="008D6E94"/>
    <w:rsid w:val="008D70BA"/>
    <w:rsid w:val="008D743C"/>
    <w:rsid w:val="008D7682"/>
    <w:rsid w:val="008D76A9"/>
    <w:rsid w:val="008D7D1D"/>
    <w:rsid w:val="008D7DD9"/>
    <w:rsid w:val="008D7E53"/>
    <w:rsid w:val="008D7F4F"/>
    <w:rsid w:val="008E021E"/>
    <w:rsid w:val="008E05CF"/>
    <w:rsid w:val="008E0631"/>
    <w:rsid w:val="008E096D"/>
    <w:rsid w:val="008E0D3C"/>
    <w:rsid w:val="008E17DD"/>
    <w:rsid w:val="008E18AA"/>
    <w:rsid w:val="008E1990"/>
    <w:rsid w:val="008E1B9E"/>
    <w:rsid w:val="008E1D6E"/>
    <w:rsid w:val="008E1E08"/>
    <w:rsid w:val="008E2064"/>
    <w:rsid w:val="008E251A"/>
    <w:rsid w:val="008E26D9"/>
    <w:rsid w:val="008E270E"/>
    <w:rsid w:val="008E2B18"/>
    <w:rsid w:val="008E2C09"/>
    <w:rsid w:val="008E2E1A"/>
    <w:rsid w:val="008E3129"/>
    <w:rsid w:val="008E3A36"/>
    <w:rsid w:val="008E40D3"/>
    <w:rsid w:val="008E42E9"/>
    <w:rsid w:val="008E44DE"/>
    <w:rsid w:val="008E46E8"/>
    <w:rsid w:val="008E4977"/>
    <w:rsid w:val="008E4A10"/>
    <w:rsid w:val="008E4F84"/>
    <w:rsid w:val="008E5340"/>
    <w:rsid w:val="008E55AB"/>
    <w:rsid w:val="008E57CC"/>
    <w:rsid w:val="008E6804"/>
    <w:rsid w:val="008E6F93"/>
    <w:rsid w:val="008E7017"/>
    <w:rsid w:val="008E7270"/>
    <w:rsid w:val="008E72F6"/>
    <w:rsid w:val="008E7760"/>
    <w:rsid w:val="008E7862"/>
    <w:rsid w:val="008E7B87"/>
    <w:rsid w:val="008F023E"/>
    <w:rsid w:val="008F03F0"/>
    <w:rsid w:val="008F0926"/>
    <w:rsid w:val="008F0AE2"/>
    <w:rsid w:val="008F0D0C"/>
    <w:rsid w:val="008F120A"/>
    <w:rsid w:val="008F1221"/>
    <w:rsid w:val="008F124F"/>
    <w:rsid w:val="008F1276"/>
    <w:rsid w:val="008F12CB"/>
    <w:rsid w:val="008F14C2"/>
    <w:rsid w:val="008F15E0"/>
    <w:rsid w:val="008F1689"/>
    <w:rsid w:val="008F23D6"/>
    <w:rsid w:val="008F27E0"/>
    <w:rsid w:val="008F3A7B"/>
    <w:rsid w:val="008F3F9A"/>
    <w:rsid w:val="008F42C7"/>
    <w:rsid w:val="008F434F"/>
    <w:rsid w:val="008F45E0"/>
    <w:rsid w:val="008F48EB"/>
    <w:rsid w:val="008F4BB7"/>
    <w:rsid w:val="008F4F0B"/>
    <w:rsid w:val="008F50E2"/>
    <w:rsid w:val="008F541D"/>
    <w:rsid w:val="008F5786"/>
    <w:rsid w:val="008F5B25"/>
    <w:rsid w:val="008F5B98"/>
    <w:rsid w:val="008F5C3E"/>
    <w:rsid w:val="008F5E48"/>
    <w:rsid w:val="008F6676"/>
    <w:rsid w:val="008F6ABE"/>
    <w:rsid w:val="008F6C73"/>
    <w:rsid w:val="008F7108"/>
    <w:rsid w:val="008F7259"/>
    <w:rsid w:val="008F7627"/>
    <w:rsid w:val="009000DE"/>
    <w:rsid w:val="009001CD"/>
    <w:rsid w:val="009001FB"/>
    <w:rsid w:val="0090063A"/>
    <w:rsid w:val="009006DD"/>
    <w:rsid w:val="00900761"/>
    <w:rsid w:val="00900DB2"/>
    <w:rsid w:val="00901143"/>
    <w:rsid w:val="0090126C"/>
    <w:rsid w:val="00901AD8"/>
    <w:rsid w:val="00901CAB"/>
    <w:rsid w:val="0090224B"/>
    <w:rsid w:val="00902EC0"/>
    <w:rsid w:val="00903270"/>
    <w:rsid w:val="009039AF"/>
    <w:rsid w:val="00903D6D"/>
    <w:rsid w:val="0090452D"/>
    <w:rsid w:val="009046B4"/>
    <w:rsid w:val="009046C4"/>
    <w:rsid w:val="0090487C"/>
    <w:rsid w:val="009049A7"/>
    <w:rsid w:val="009049B7"/>
    <w:rsid w:val="00904AC4"/>
    <w:rsid w:val="00904AEA"/>
    <w:rsid w:val="00904C59"/>
    <w:rsid w:val="00904C7B"/>
    <w:rsid w:val="00904F17"/>
    <w:rsid w:val="00904F9D"/>
    <w:rsid w:val="009054E2"/>
    <w:rsid w:val="009056A9"/>
    <w:rsid w:val="00905C82"/>
    <w:rsid w:val="009062A5"/>
    <w:rsid w:val="009067F3"/>
    <w:rsid w:val="009069AB"/>
    <w:rsid w:val="00906A7C"/>
    <w:rsid w:val="00906B16"/>
    <w:rsid w:val="00907699"/>
    <w:rsid w:val="009079D4"/>
    <w:rsid w:val="00910041"/>
    <w:rsid w:val="00910718"/>
    <w:rsid w:val="00910C14"/>
    <w:rsid w:val="00910FA7"/>
    <w:rsid w:val="00911272"/>
    <w:rsid w:val="00911339"/>
    <w:rsid w:val="009114FA"/>
    <w:rsid w:val="009115BC"/>
    <w:rsid w:val="00911A72"/>
    <w:rsid w:val="009125E9"/>
    <w:rsid w:val="00912803"/>
    <w:rsid w:val="00912FA6"/>
    <w:rsid w:val="009135D6"/>
    <w:rsid w:val="0091388D"/>
    <w:rsid w:val="00913CD3"/>
    <w:rsid w:val="00913EB2"/>
    <w:rsid w:val="00913FF6"/>
    <w:rsid w:val="00914097"/>
    <w:rsid w:val="00914899"/>
    <w:rsid w:val="009148F7"/>
    <w:rsid w:val="009149E7"/>
    <w:rsid w:val="00914AB9"/>
    <w:rsid w:val="00914C77"/>
    <w:rsid w:val="00915029"/>
    <w:rsid w:val="00916BBC"/>
    <w:rsid w:val="00916C36"/>
    <w:rsid w:val="00916C57"/>
    <w:rsid w:val="00916D7F"/>
    <w:rsid w:val="00917B8C"/>
    <w:rsid w:val="0092021B"/>
    <w:rsid w:val="00920579"/>
    <w:rsid w:val="0092108A"/>
    <w:rsid w:val="00921271"/>
    <w:rsid w:val="009212FD"/>
    <w:rsid w:val="00921575"/>
    <w:rsid w:val="0092172D"/>
    <w:rsid w:val="00921835"/>
    <w:rsid w:val="00921ACB"/>
    <w:rsid w:val="00921D86"/>
    <w:rsid w:val="00921E2D"/>
    <w:rsid w:val="009220FF"/>
    <w:rsid w:val="00922102"/>
    <w:rsid w:val="0092229F"/>
    <w:rsid w:val="00922539"/>
    <w:rsid w:val="009227A8"/>
    <w:rsid w:val="009229E5"/>
    <w:rsid w:val="00922DC4"/>
    <w:rsid w:val="00922EA6"/>
    <w:rsid w:val="00922F1E"/>
    <w:rsid w:val="0092369B"/>
    <w:rsid w:val="00923807"/>
    <w:rsid w:val="009238CB"/>
    <w:rsid w:val="009242B9"/>
    <w:rsid w:val="00924352"/>
    <w:rsid w:val="00925348"/>
    <w:rsid w:val="0092552F"/>
    <w:rsid w:val="0092587A"/>
    <w:rsid w:val="009258AE"/>
    <w:rsid w:val="0092657D"/>
    <w:rsid w:val="00926C86"/>
    <w:rsid w:val="0092782C"/>
    <w:rsid w:val="00927B99"/>
    <w:rsid w:val="00927CE4"/>
    <w:rsid w:val="00930863"/>
    <w:rsid w:val="00930AC0"/>
    <w:rsid w:val="00930EBC"/>
    <w:rsid w:val="0093159A"/>
    <w:rsid w:val="009315C2"/>
    <w:rsid w:val="00931FB7"/>
    <w:rsid w:val="00932484"/>
    <w:rsid w:val="00932773"/>
    <w:rsid w:val="009327B8"/>
    <w:rsid w:val="009329AC"/>
    <w:rsid w:val="00932BDB"/>
    <w:rsid w:val="009334A2"/>
    <w:rsid w:val="00933610"/>
    <w:rsid w:val="00934041"/>
    <w:rsid w:val="009342E3"/>
    <w:rsid w:val="00934988"/>
    <w:rsid w:val="00934EDF"/>
    <w:rsid w:val="0093512B"/>
    <w:rsid w:val="009351B9"/>
    <w:rsid w:val="0093597D"/>
    <w:rsid w:val="00935AF2"/>
    <w:rsid w:val="00936792"/>
    <w:rsid w:val="00936DB3"/>
    <w:rsid w:val="00936E34"/>
    <w:rsid w:val="00937089"/>
    <w:rsid w:val="00937C62"/>
    <w:rsid w:val="00937CAA"/>
    <w:rsid w:val="00940398"/>
    <w:rsid w:val="00940423"/>
    <w:rsid w:val="00940634"/>
    <w:rsid w:val="00940764"/>
    <w:rsid w:val="00940E6E"/>
    <w:rsid w:val="009411A4"/>
    <w:rsid w:val="0094125F"/>
    <w:rsid w:val="0094127F"/>
    <w:rsid w:val="00941727"/>
    <w:rsid w:val="00942014"/>
    <w:rsid w:val="00942095"/>
    <w:rsid w:val="009422DA"/>
    <w:rsid w:val="00942601"/>
    <w:rsid w:val="0094272E"/>
    <w:rsid w:val="0094294F"/>
    <w:rsid w:val="00943154"/>
    <w:rsid w:val="00943178"/>
    <w:rsid w:val="0094344A"/>
    <w:rsid w:val="00944207"/>
    <w:rsid w:val="0094444C"/>
    <w:rsid w:val="009444A3"/>
    <w:rsid w:val="0094471E"/>
    <w:rsid w:val="00944DCD"/>
    <w:rsid w:val="00944F8A"/>
    <w:rsid w:val="00945281"/>
    <w:rsid w:val="00945DB2"/>
    <w:rsid w:val="00945DF6"/>
    <w:rsid w:val="00945E36"/>
    <w:rsid w:val="009460D5"/>
    <w:rsid w:val="0094613D"/>
    <w:rsid w:val="009462F8"/>
    <w:rsid w:val="00946A6E"/>
    <w:rsid w:val="00946E76"/>
    <w:rsid w:val="009478A4"/>
    <w:rsid w:val="0094799D"/>
    <w:rsid w:val="0095021E"/>
    <w:rsid w:val="00950284"/>
    <w:rsid w:val="0095060D"/>
    <w:rsid w:val="00950796"/>
    <w:rsid w:val="00950F0A"/>
    <w:rsid w:val="00950F5A"/>
    <w:rsid w:val="009510A2"/>
    <w:rsid w:val="009517C6"/>
    <w:rsid w:val="00951AB7"/>
    <w:rsid w:val="00951C6D"/>
    <w:rsid w:val="0095267A"/>
    <w:rsid w:val="009528D6"/>
    <w:rsid w:val="00952D1A"/>
    <w:rsid w:val="00952DB7"/>
    <w:rsid w:val="009530A0"/>
    <w:rsid w:val="00953257"/>
    <w:rsid w:val="009537DF"/>
    <w:rsid w:val="00953A4F"/>
    <w:rsid w:val="00953DBD"/>
    <w:rsid w:val="009540F9"/>
    <w:rsid w:val="0095428E"/>
    <w:rsid w:val="0095474C"/>
    <w:rsid w:val="00955592"/>
    <w:rsid w:val="00957085"/>
    <w:rsid w:val="009573A6"/>
    <w:rsid w:val="00957D92"/>
    <w:rsid w:val="009606DB"/>
    <w:rsid w:val="00961F1E"/>
    <w:rsid w:val="0096203C"/>
    <w:rsid w:val="009622BA"/>
    <w:rsid w:val="00962A2B"/>
    <w:rsid w:val="00962CB9"/>
    <w:rsid w:val="00963593"/>
    <w:rsid w:val="009638E9"/>
    <w:rsid w:val="009638EC"/>
    <w:rsid w:val="00963B1D"/>
    <w:rsid w:val="009640C5"/>
    <w:rsid w:val="00964312"/>
    <w:rsid w:val="00964509"/>
    <w:rsid w:val="00964774"/>
    <w:rsid w:val="009652D1"/>
    <w:rsid w:val="009653C9"/>
    <w:rsid w:val="0096563F"/>
    <w:rsid w:val="00965825"/>
    <w:rsid w:val="00965B8A"/>
    <w:rsid w:val="009662B7"/>
    <w:rsid w:val="0096637D"/>
    <w:rsid w:val="00966849"/>
    <w:rsid w:val="009668E3"/>
    <w:rsid w:val="009669D0"/>
    <w:rsid w:val="00966CE3"/>
    <w:rsid w:val="00966DF5"/>
    <w:rsid w:val="009672D1"/>
    <w:rsid w:val="009674D0"/>
    <w:rsid w:val="0097071F"/>
    <w:rsid w:val="00970CE5"/>
    <w:rsid w:val="009713FC"/>
    <w:rsid w:val="00971650"/>
    <w:rsid w:val="009717AC"/>
    <w:rsid w:val="00971D91"/>
    <w:rsid w:val="00971FC2"/>
    <w:rsid w:val="009722AA"/>
    <w:rsid w:val="00972442"/>
    <w:rsid w:val="00972760"/>
    <w:rsid w:val="00973E2C"/>
    <w:rsid w:val="009740EC"/>
    <w:rsid w:val="009741FF"/>
    <w:rsid w:val="009743C8"/>
    <w:rsid w:val="009745AA"/>
    <w:rsid w:val="0097460E"/>
    <w:rsid w:val="00974CED"/>
    <w:rsid w:val="00974FD0"/>
    <w:rsid w:val="009751C1"/>
    <w:rsid w:val="00975437"/>
    <w:rsid w:val="009763FA"/>
    <w:rsid w:val="009765B7"/>
    <w:rsid w:val="00976972"/>
    <w:rsid w:val="00976E81"/>
    <w:rsid w:val="00977042"/>
    <w:rsid w:val="00980C99"/>
    <w:rsid w:val="00980F3E"/>
    <w:rsid w:val="009811F1"/>
    <w:rsid w:val="00981F01"/>
    <w:rsid w:val="00982186"/>
    <w:rsid w:val="00982612"/>
    <w:rsid w:val="0098262F"/>
    <w:rsid w:val="009829C8"/>
    <w:rsid w:val="00982ED3"/>
    <w:rsid w:val="009831DE"/>
    <w:rsid w:val="00983365"/>
    <w:rsid w:val="00983E4A"/>
    <w:rsid w:val="00983E57"/>
    <w:rsid w:val="00984381"/>
    <w:rsid w:val="009843CB"/>
    <w:rsid w:val="00984661"/>
    <w:rsid w:val="00984D69"/>
    <w:rsid w:val="00984DF6"/>
    <w:rsid w:val="00985168"/>
    <w:rsid w:val="00985241"/>
    <w:rsid w:val="0098550C"/>
    <w:rsid w:val="00985516"/>
    <w:rsid w:val="009857EB"/>
    <w:rsid w:val="0098585B"/>
    <w:rsid w:val="009858A5"/>
    <w:rsid w:val="00985DE2"/>
    <w:rsid w:val="00986278"/>
    <w:rsid w:val="0098675D"/>
    <w:rsid w:val="00986A2E"/>
    <w:rsid w:val="00986B99"/>
    <w:rsid w:val="00986F52"/>
    <w:rsid w:val="0098717C"/>
    <w:rsid w:val="0098726E"/>
    <w:rsid w:val="009873EA"/>
    <w:rsid w:val="009875C8"/>
    <w:rsid w:val="00987B74"/>
    <w:rsid w:val="00987BA4"/>
    <w:rsid w:val="00987CA1"/>
    <w:rsid w:val="00987CC7"/>
    <w:rsid w:val="009913A8"/>
    <w:rsid w:val="0099147E"/>
    <w:rsid w:val="009916A6"/>
    <w:rsid w:val="009918BA"/>
    <w:rsid w:val="009926E0"/>
    <w:rsid w:val="00992B3C"/>
    <w:rsid w:val="00992B40"/>
    <w:rsid w:val="00993C72"/>
    <w:rsid w:val="00993E3D"/>
    <w:rsid w:val="00993ED3"/>
    <w:rsid w:val="0099451E"/>
    <w:rsid w:val="009945E8"/>
    <w:rsid w:val="00994AC9"/>
    <w:rsid w:val="00994BA0"/>
    <w:rsid w:val="0099616A"/>
    <w:rsid w:val="00996816"/>
    <w:rsid w:val="00996B1A"/>
    <w:rsid w:val="00996E9A"/>
    <w:rsid w:val="00996FE0"/>
    <w:rsid w:val="009971E2"/>
    <w:rsid w:val="0099725C"/>
    <w:rsid w:val="00997879"/>
    <w:rsid w:val="00997F08"/>
    <w:rsid w:val="009A03F0"/>
    <w:rsid w:val="009A1132"/>
    <w:rsid w:val="009A1872"/>
    <w:rsid w:val="009A18F6"/>
    <w:rsid w:val="009A1FFF"/>
    <w:rsid w:val="009A2237"/>
    <w:rsid w:val="009A225B"/>
    <w:rsid w:val="009A2CE5"/>
    <w:rsid w:val="009A2D0B"/>
    <w:rsid w:val="009A2D97"/>
    <w:rsid w:val="009A2DCC"/>
    <w:rsid w:val="009A2E6A"/>
    <w:rsid w:val="009A3796"/>
    <w:rsid w:val="009A3AD5"/>
    <w:rsid w:val="009A3FB4"/>
    <w:rsid w:val="009A4E5B"/>
    <w:rsid w:val="009A5293"/>
    <w:rsid w:val="009A5ABC"/>
    <w:rsid w:val="009A62FD"/>
    <w:rsid w:val="009A6311"/>
    <w:rsid w:val="009A7180"/>
    <w:rsid w:val="009A741E"/>
    <w:rsid w:val="009A7A53"/>
    <w:rsid w:val="009A7ED4"/>
    <w:rsid w:val="009A7F10"/>
    <w:rsid w:val="009B07BC"/>
    <w:rsid w:val="009B0FDD"/>
    <w:rsid w:val="009B13DE"/>
    <w:rsid w:val="009B18D8"/>
    <w:rsid w:val="009B1ECE"/>
    <w:rsid w:val="009B1F53"/>
    <w:rsid w:val="009B2364"/>
    <w:rsid w:val="009B2E54"/>
    <w:rsid w:val="009B2ED3"/>
    <w:rsid w:val="009B348C"/>
    <w:rsid w:val="009B3550"/>
    <w:rsid w:val="009B367A"/>
    <w:rsid w:val="009B396F"/>
    <w:rsid w:val="009B3E26"/>
    <w:rsid w:val="009B4103"/>
    <w:rsid w:val="009B469D"/>
    <w:rsid w:val="009B492D"/>
    <w:rsid w:val="009B4968"/>
    <w:rsid w:val="009B4C6F"/>
    <w:rsid w:val="009B51DD"/>
    <w:rsid w:val="009B57AA"/>
    <w:rsid w:val="009B5923"/>
    <w:rsid w:val="009B6A62"/>
    <w:rsid w:val="009B6BB8"/>
    <w:rsid w:val="009B6FA1"/>
    <w:rsid w:val="009B79CF"/>
    <w:rsid w:val="009B7D7F"/>
    <w:rsid w:val="009B7DF6"/>
    <w:rsid w:val="009B7F7C"/>
    <w:rsid w:val="009C004B"/>
    <w:rsid w:val="009C05B0"/>
    <w:rsid w:val="009C0CD3"/>
    <w:rsid w:val="009C0E17"/>
    <w:rsid w:val="009C1271"/>
    <w:rsid w:val="009C15C7"/>
    <w:rsid w:val="009C193E"/>
    <w:rsid w:val="009C1B97"/>
    <w:rsid w:val="009C1CFE"/>
    <w:rsid w:val="009C1DF8"/>
    <w:rsid w:val="009C20D2"/>
    <w:rsid w:val="009C3273"/>
    <w:rsid w:val="009C3706"/>
    <w:rsid w:val="009C3A3A"/>
    <w:rsid w:val="009C3FF7"/>
    <w:rsid w:val="009C426B"/>
    <w:rsid w:val="009C448F"/>
    <w:rsid w:val="009C47D3"/>
    <w:rsid w:val="009C4961"/>
    <w:rsid w:val="009C4BB9"/>
    <w:rsid w:val="009C51D9"/>
    <w:rsid w:val="009C565F"/>
    <w:rsid w:val="009C5688"/>
    <w:rsid w:val="009C5AEC"/>
    <w:rsid w:val="009C5B60"/>
    <w:rsid w:val="009C5E9F"/>
    <w:rsid w:val="009C5F1E"/>
    <w:rsid w:val="009C63F7"/>
    <w:rsid w:val="009C65D2"/>
    <w:rsid w:val="009C666B"/>
    <w:rsid w:val="009C6CEA"/>
    <w:rsid w:val="009C74F4"/>
    <w:rsid w:val="009C7B6B"/>
    <w:rsid w:val="009C7B85"/>
    <w:rsid w:val="009D0254"/>
    <w:rsid w:val="009D0481"/>
    <w:rsid w:val="009D0902"/>
    <w:rsid w:val="009D0964"/>
    <w:rsid w:val="009D10D4"/>
    <w:rsid w:val="009D10E1"/>
    <w:rsid w:val="009D11EF"/>
    <w:rsid w:val="009D1A64"/>
    <w:rsid w:val="009D1B90"/>
    <w:rsid w:val="009D1BD5"/>
    <w:rsid w:val="009D1E66"/>
    <w:rsid w:val="009D2335"/>
    <w:rsid w:val="009D2535"/>
    <w:rsid w:val="009D295F"/>
    <w:rsid w:val="009D3081"/>
    <w:rsid w:val="009D3382"/>
    <w:rsid w:val="009D36D4"/>
    <w:rsid w:val="009D37F0"/>
    <w:rsid w:val="009D3C02"/>
    <w:rsid w:val="009D3D6C"/>
    <w:rsid w:val="009D3E8B"/>
    <w:rsid w:val="009D4195"/>
    <w:rsid w:val="009D4BF3"/>
    <w:rsid w:val="009D5246"/>
    <w:rsid w:val="009D5314"/>
    <w:rsid w:val="009D54B9"/>
    <w:rsid w:val="009D5609"/>
    <w:rsid w:val="009D57BF"/>
    <w:rsid w:val="009D5B91"/>
    <w:rsid w:val="009D5E9E"/>
    <w:rsid w:val="009D5EE6"/>
    <w:rsid w:val="009D68D6"/>
    <w:rsid w:val="009D696F"/>
    <w:rsid w:val="009D6CDD"/>
    <w:rsid w:val="009D792E"/>
    <w:rsid w:val="009D7B13"/>
    <w:rsid w:val="009E0811"/>
    <w:rsid w:val="009E0839"/>
    <w:rsid w:val="009E0B28"/>
    <w:rsid w:val="009E0B2F"/>
    <w:rsid w:val="009E0DFE"/>
    <w:rsid w:val="009E10E0"/>
    <w:rsid w:val="009E1311"/>
    <w:rsid w:val="009E153F"/>
    <w:rsid w:val="009E159C"/>
    <w:rsid w:val="009E1CAA"/>
    <w:rsid w:val="009E1F5A"/>
    <w:rsid w:val="009E1F69"/>
    <w:rsid w:val="009E24EA"/>
    <w:rsid w:val="009E25AD"/>
    <w:rsid w:val="009E2922"/>
    <w:rsid w:val="009E31F6"/>
    <w:rsid w:val="009E38E0"/>
    <w:rsid w:val="009E3985"/>
    <w:rsid w:val="009E3F53"/>
    <w:rsid w:val="009E47F7"/>
    <w:rsid w:val="009E4C07"/>
    <w:rsid w:val="009E5365"/>
    <w:rsid w:val="009E5528"/>
    <w:rsid w:val="009E57EE"/>
    <w:rsid w:val="009E5BAE"/>
    <w:rsid w:val="009E651D"/>
    <w:rsid w:val="009E67DD"/>
    <w:rsid w:val="009E717E"/>
    <w:rsid w:val="009E777F"/>
    <w:rsid w:val="009F0029"/>
    <w:rsid w:val="009F02D9"/>
    <w:rsid w:val="009F0335"/>
    <w:rsid w:val="009F0395"/>
    <w:rsid w:val="009F03C7"/>
    <w:rsid w:val="009F08DF"/>
    <w:rsid w:val="009F16DB"/>
    <w:rsid w:val="009F1E16"/>
    <w:rsid w:val="009F218E"/>
    <w:rsid w:val="009F3715"/>
    <w:rsid w:val="009F371E"/>
    <w:rsid w:val="009F38B2"/>
    <w:rsid w:val="009F3CB6"/>
    <w:rsid w:val="009F3EE3"/>
    <w:rsid w:val="009F3F24"/>
    <w:rsid w:val="009F42AD"/>
    <w:rsid w:val="009F4489"/>
    <w:rsid w:val="009F4E09"/>
    <w:rsid w:val="009F5732"/>
    <w:rsid w:val="009F5F26"/>
    <w:rsid w:val="009F6120"/>
    <w:rsid w:val="009F676F"/>
    <w:rsid w:val="009F6BE9"/>
    <w:rsid w:val="009F75F1"/>
    <w:rsid w:val="009F7D28"/>
    <w:rsid w:val="009F7FD4"/>
    <w:rsid w:val="00A00723"/>
    <w:rsid w:val="00A00D4C"/>
    <w:rsid w:val="00A00D76"/>
    <w:rsid w:val="00A01184"/>
    <w:rsid w:val="00A01449"/>
    <w:rsid w:val="00A022E5"/>
    <w:rsid w:val="00A02397"/>
    <w:rsid w:val="00A02948"/>
    <w:rsid w:val="00A02A7F"/>
    <w:rsid w:val="00A02CB4"/>
    <w:rsid w:val="00A0313D"/>
    <w:rsid w:val="00A032DF"/>
    <w:rsid w:val="00A037C2"/>
    <w:rsid w:val="00A03D43"/>
    <w:rsid w:val="00A04380"/>
    <w:rsid w:val="00A04786"/>
    <w:rsid w:val="00A04C55"/>
    <w:rsid w:val="00A04D04"/>
    <w:rsid w:val="00A05086"/>
    <w:rsid w:val="00A0527A"/>
    <w:rsid w:val="00A05472"/>
    <w:rsid w:val="00A05653"/>
    <w:rsid w:val="00A05C32"/>
    <w:rsid w:val="00A0603C"/>
    <w:rsid w:val="00A06284"/>
    <w:rsid w:val="00A0653F"/>
    <w:rsid w:val="00A0690E"/>
    <w:rsid w:val="00A06A28"/>
    <w:rsid w:val="00A07E03"/>
    <w:rsid w:val="00A10386"/>
    <w:rsid w:val="00A1051F"/>
    <w:rsid w:val="00A1083D"/>
    <w:rsid w:val="00A10AB7"/>
    <w:rsid w:val="00A11471"/>
    <w:rsid w:val="00A118BE"/>
    <w:rsid w:val="00A11CD0"/>
    <w:rsid w:val="00A11F6F"/>
    <w:rsid w:val="00A121A7"/>
    <w:rsid w:val="00A12ACE"/>
    <w:rsid w:val="00A12C9E"/>
    <w:rsid w:val="00A13661"/>
    <w:rsid w:val="00A13778"/>
    <w:rsid w:val="00A13866"/>
    <w:rsid w:val="00A13948"/>
    <w:rsid w:val="00A13B56"/>
    <w:rsid w:val="00A13D26"/>
    <w:rsid w:val="00A13F8D"/>
    <w:rsid w:val="00A1472E"/>
    <w:rsid w:val="00A1552C"/>
    <w:rsid w:val="00A1555B"/>
    <w:rsid w:val="00A155C5"/>
    <w:rsid w:val="00A157E4"/>
    <w:rsid w:val="00A15B90"/>
    <w:rsid w:val="00A16110"/>
    <w:rsid w:val="00A162AA"/>
    <w:rsid w:val="00A1643E"/>
    <w:rsid w:val="00A16646"/>
    <w:rsid w:val="00A16675"/>
    <w:rsid w:val="00A16AD8"/>
    <w:rsid w:val="00A16F94"/>
    <w:rsid w:val="00A17DFD"/>
    <w:rsid w:val="00A17EBE"/>
    <w:rsid w:val="00A2021E"/>
    <w:rsid w:val="00A20270"/>
    <w:rsid w:val="00A20B86"/>
    <w:rsid w:val="00A20FA7"/>
    <w:rsid w:val="00A219AC"/>
    <w:rsid w:val="00A21C95"/>
    <w:rsid w:val="00A21CF3"/>
    <w:rsid w:val="00A21F43"/>
    <w:rsid w:val="00A2291D"/>
    <w:rsid w:val="00A22C3E"/>
    <w:rsid w:val="00A22FA1"/>
    <w:rsid w:val="00A23658"/>
    <w:rsid w:val="00A236DC"/>
    <w:rsid w:val="00A23E02"/>
    <w:rsid w:val="00A24084"/>
    <w:rsid w:val="00A24357"/>
    <w:rsid w:val="00A24813"/>
    <w:rsid w:val="00A24A1B"/>
    <w:rsid w:val="00A24D69"/>
    <w:rsid w:val="00A2500E"/>
    <w:rsid w:val="00A25097"/>
    <w:rsid w:val="00A254AA"/>
    <w:rsid w:val="00A25553"/>
    <w:rsid w:val="00A259F0"/>
    <w:rsid w:val="00A25C63"/>
    <w:rsid w:val="00A261C7"/>
    <w:rsid w:val="00A263B6"/>
    <w:rsid w:val="00A267E0"/>
    <w:rsid w:val="00A27084"/>
    <w:rsid w:val="00A272A5"/>
    <w:rsid w:val="00A27451"/>
    <w:rsid w:val="00A278BE"/>
    <w:rsid w:val="00A27AEC"/>
    <w:rsid w:val="00A27CDC"/>
    <w:rsid w:val="00A311B7"/>
    <w:rsid w:val="00A31223"/>
    <w:rsid w:val="00A31A2B"/>
    <w:rsid w:val="00A31C0E"/>
    <w:rsid w:val="00A31F0F"/>
    <w:rsid w:val="00A320DB"/>
    <w:rsid w:val="00A323BA"/>
    <w:rsid w:val="00A328E2"/>
    <w:rsid w:val="00A32B4C"/>
    <w:rsid w:val="00A32EC0"/>
    <w:rsid w:val="00A32FF0"/>
    <w:rsid w:val="00A33797"/>
    <w:rsid w:val="00A338B0"/>
    <w:rsid w:val="00A33A27"/>
    <w:rsid w:val="00A33A98"/>
    <w:rsid w:val="00A347C6"/>
    <w:rsid w:val="00A350AF"/>
    <w:rsid w:val="00A35924"/>
    <w:rsid w:val="00A35D16"/>
    <w:rsid w:val="00A366A3"/>
    <w:rsid w:val="00A3677C"/>
    <w:rsid w:val="00A36926"/>
    <w:rsid w:val="00A3694C"/>
    <w:rsid w:val="00A36C49"/>
    <w:rsid w:val="00A36DD7"/>
    <w:rsid w:val="00A370BA"/>
    <w:rsid w:val="00A375AB"/>
    <w:rsid w:val="00A37BCD"/>
    <w:rsid w:val="00A37EB3"/>
    <w:rsid w:val="00A37EC4"/>
    <w:rsid w:val="00A40024"/>
    <w:rsid w:val="00A406A4"/>
    <w:rsid w:val="00A40F0E"/>
    <w:rsid w:val="00A40F3F"/>
    <w:rsid w:val="00A41689"/>
    <w:rsid w:val="00A42592"/>
    <w:rsid w:val="00A43137"/>
    <w:rsid w:val="00A43254"/>
    <w:rsid w:val="00A435E0"/>
    <w:rsid w:val="00A4381F"/>
    <w:rsid w:val="00A43C59"/>
    <w:rsid w:val="00A43E12"/>
    <w:rsid w:val="00A44352"/>
    <w:rsid w:val="00A446E6"/>
    <w:rsid w:val="00A44EF4"/>
    <w:rsid w:val="00A450D1"/>
    <w:rsid w:val="00A45350"/>
    <w:rsid w:val="00A459A5"/>
    <w:rsid w:val="00A462BA"/>
    <w:rsid w:val="00A47EE3"/>
    <w:rsid w:val="00A50270"/>
    <w:rsid w:val="00A50389"/>
    <w:rsid w:val="00A50708"/>
    <w:rsid w:val="00A50ECD"/>
    <w:rsid w:val="00A512F6"/>
    <w:rsid w:val="00A514E6"/>
    <w:rsid w:val="00A5154E"/>
    <w:rsid w:val="00A51680"/>
    <w:rsid w:val="00A518F3"/>
    <w:rsid w:val="00A51B86"/>
    <w:rsid w:val="00A520DD"/>
    <w:rsid w:val="00A52169"/>
    <w:rsid w:val="00A52729"/>
    <w:rsid w:val="00A5287F"/>
    <w:rsid w:val="00A52955"/>
    <w:rsid w:val="00A52B57"/>
    <w:rsid w:val="00A52F5D"/>
    <w:rsid w:val="00A5347E"/>
    <w:rsid w:val="00A534BA"/>
    <w:rsid w:val="00A53598"/>
    <w:rsid w:val="00A53675"/>
    <w:rsid w:val="00A53E9D"/>
    <w:rsid w:val="00A545F9"/>
    <w:rsid w:val="00A546F9"/>
    <w:rsid w:val="00A54F47"/>
    <w:rsid w:val="00A5508A"/>
    <w:rsid w:val="00A561A0"/>
    <w:rsid w:val="00A561E5"/>
    <w:rsid w:val="00A564D7"/>
    <w:rsid w:val="00A56B6A"/>
    <w:rsid w:val="00A56FC6"/>
    <w:rsid w:val="00A57184"/>
    <w:rsid w:val="00A57193"/>
    <w:rsid w:val="00A578DC"/>
    <w:rsid w:val="00A5790F"/>
    <w:rsid w:val="00A57E53"/>
    <w:rsid w:val="00A600B1"/>
    <w:rsid w:val="00A6058C"/>
    <w:rsid w:val="00A60E5A"/>
    <w:rsid w:val="00A61685"/>
    <w:rsid w:val="00A61757"/>
    <w:rsid w:val="00A61C2A"/>
    <w:rsid w:val="00A61E0A"/>
    <w:rsid w:val="00A61E4A"/>
    <w:rsid w:val="00A62125"/>
    <w:rsid w:val="00A62234"/>
    <w:rsid w:val="00A624D2"/>
    <w:rsid w:val="00A627E4"/>
    <w:rsid w:val="00A62C8E"/>
    <w:rsid w:val="00A62E54"/>
    <w:rsid w:val="00A63841"/>
    <w:rsid w:val="00A63ACF"/>
    <w:rsid w:val="00A63DD0"/>
    <w:rsid w:val="00A640E2"/>
    <w:rsid w:val="00A64D65"/>
    <w:rsid w:val="00A6506D"/>
    <w:rsid w:val="00A6600C"/>
    <w:rsid w:val="00A66BD7"/>
    <w:rsid w:val="00A6725B"/>
    <w:rsid w:val="00A673E5"/>
    <w:rsid w:val="00A67931"/>
    <w:rsid w:val="00A67F4C"/>
    <w:rsid w:val="00A703E7"/>
    <w:rsid w:val="00A70605"/>
    <w:rsid w:val="00A708C6"/>
    <w:rsid w:val="00A70DBA"/>
    <w:rsid w:val="00A7116C"/>
    <w:rsid w:val="00A7164E"/>
    <w:rsid w:val="00A71AB6"/>
    <w:rsid w:val="00A72A46"/>
    <w:rsid w:val="00A73134"/>
    <w:rsid w:val="00A7358F"/>
    <w:rsid w:val="00A7365A"/>
    <w:rsid w:val="00A73710"/>
    <w:rsid w:val="00A73834"/>
    <w:rsid w:val="00A739C2"/>
    <w:rsid w:val="00A73A46"/>
    <w:rsid w:val="00A73F15"/>
    <w:rsid w:val="00A74897"/>
    <w:rsid w:val="00A74A54"/>
    <w:rsid w:val="00A74D24"/>
    <w:rsid w:val="00A7540F"/>
    <w:rsid w:val="00A7542C"/>
    <w:rsid w:val="00A7555C"/>
    <w:rsid w:val="00A7570A"/>
    <w:rsid w:val="00A75832"/>
    <w:rsid w:val="00A75901"/>
    <w:rsid w:val="00A75AA5"/>
    <w:rsid w:val="00A76001"/>
    <w:rsid w:val="00A76320"/>
    <w:rsid w:val="00A76636"/>
    <w:rsid w:val="00A76B67"/>
    <w:rsid w:val="00A76DD0"/>
    <w:rsid w:val="00A76F48"/>
    <w:rsid w:val="00A77051"/>
    <w:rsid w:val="00A771FF"/>
    <w:rsid w:val="00A77259"/>
    <w:rsid w:val="00A772DC"/>
    <w:rsid w:val="00A77426"/>
    <w:rsid w:val="00A777B2"/>
    <w:rsid w:val="00A77E70"/>
    <w:rsid w:val="00A800B3"/>
    <w:rsid w:val="00A80BCB"/>
    <w:rsid w:val="00A81056"/>
    <w:rsid w:val="00A8172C"/>
    <w:rsid w:val="00A825D4"/>
    <w:rsid w:val="00A828F6"/>
    <w:rsid w:val="00A828FA"/>
    <w:rsid w:val="00A82B73"/>
    <w:rsid w:val="00A83F38"/>
    <w:rsid w:val="00A846A8"/>
    <w:rsid w:val="00A84D18"/>
    <w:rsid w:val="00A85600"/>
    <w:rsid w:val="00A85DAF"/>
    <w:rsid w:val="00A85DD8"/>
    <w:rsid w:val="00A85FFB"/>
    <w:rsid w:val="00A860CB"/>
    <w:rsid w:val="00A86965"/>
    <w:rsid w:val="00A86E8B"/>
    <w:rsid w:val="00A87139"/>
    <w:rsid w:val="00A87164"/>
    <w:rsid w:val="00A8718C"/>
    <w:rsid w:val="00A871A9"/>
    <w:rsid w:val="00A901D1"/>
    <w:rsid w:val="00A908DC"/>
    <w:rsid w:val="00A90D5D"/>
    <w:rsid w:val="00A90EB9"/>
    <w:rsid w:val="00A914F7"/>
    <w:rsid w:val="00A921D2"/>
    <w:rsid w:val="00A9254F"/>
    <w:rsid w:val="00A93072"/>
    <w:rsid w:val="00A938BD"/>
    <w:rsid w:val="00A93941"/>
    <w:rsid w:val="00A93953"/>
    <w:rsid w:val="00A94529"/>
    <w:rsid w:val="00A9462C"/>
    <w:rsid w:val="00A94A73"/>
    <w:rsid w:val="00A94BD2"/>
    <w:rsid w:val="00A94E79"/>
    <w:rsid w:val="00A950B9"/>
    <w:rsid w:val="00A954B3"/>
    <w:rsid w:val="00A958E2"/>
    <w:rsid w:val="00A959D8"/>
    <w:rsid w:val="00A95B83"/>
    <w:rsid w:val="00A95BB2"/>
    <w:rsid w:val="00A95BC4"/>
    <w:rsid w:val="00A95EC3"/>
    <w:rsid w:val="00A96457"/>
    <w:rsid w:val="00A96F68"/>
    <w:rsid w:val="00A96F7D"/>
    <w:rsid w:val="00A9708C"/>
    <w:rsid w:val="00A97AB5"/>
    <w:rsid w:val="00AA0119"/>
    <w:rsid w:val="00AA0183"/>
    <w:rsid w:val="00AA0569"/>
    <w:rsid w:val="00AA0C3B"/>
    <w:rsid w:val="00AA113D"/>
    <w:rsid w:val="00AA1349"/>
    <w:rsid w:val="00AA18F0"/>
    <w:rsid w:val="00AA2258"/>
    <w:rsid w:val="00AA299A"/>
    <w:rsid w:val="00AA3140"/>
    <w:rsid w:val="00AA3FCC"/>
    <w:rsid w:val="00AA4497"/>
    <w:rsid w:val="00AA44FE"/>
    <w:rsid w:val="00AA48EE"/>
    <w:rsid w:val="00AA53DD"/>
    <w:rsid w:val="00AA616B"/>
    <w:rsid w:val="00AA68C1"/>
    <w:rsid w:val="00AA6BD5"/>
    <w:rsid w:val="00AA6BD8"/>
    <w:rsid w:val="00AA6C26"/>
    <w:rsid w:val="00AA6C7D"/>
    <w:rsid w:val="00AA6DDC"/>
    <w:rsid w:val="00AA700B"/>
    <w:rsid w:val="00AA77A0"/>
    <w:rsid w:val="00AA7B7A"/>
    <w:rsid w:val="00AA7E50"/>
    <w:rsid w:val="00AA7FD6"/>
    <w:rsid w:val="00AB0160"/>
    <w:rsid w:val="00AB042A"/>
    <w:rsid w:val="00AB0491"/>
    <w:rsid w:val="00AB05B8"/>
    <w:rsid w:val="00AB091A"/>
    <w:rsid w:val="00AB0C1E"/>
    <w:rsid w:val="00AB0C5C"/>
    <w:rsid w:val="00AB11AD"/>
    <w:rsid w:val="00AB128C"/>
    <w:rsid w:val="00AB16F6"/>
    <w:rsid w:val="00AB19EF"/>
    <w:rsid w:val="00AB2495"/>
    <w:rsid w:val="00AB2D00"/>
    <w:rsid w:val="00AB2D34"/>
    <w:rsid w:val="00AB2E79"/>
    <w:rsid w:val="00AB30C4"/>
    <w:rsid w:val="00AB3107"/>
    <w:rsid w:val="00AB335E"/>
    <w:rsid w:val="00AB3430"/>
    <w:rsid w:val="00AB37B9"/>
    <w:rsid w:val="00AB398E"/>
    <w:rsid w:val="00AB39D9"/>
    <w:rsid w:val="00AB3E3D"/>
    <w:rsid w:val="00AB3EE5"/>
    <w:rsid w:val="00AB4028"/>
    <w:rsid w:val="00AB40E3"/>
    <w:rsid w:val="00AB449D"/>
    <w:rsid w:val="00AB4582"/>
    <w:rsid w:val="00AB4825"/>
    <w:rsid w:val="00AB48B3"/>
    <w:rsid w:val="00AB4AD1"/>
    <w:rsid w:val="00AB52D4"/>
    <w:rsid w:val="00AB54B3"/>
    <w:rsid w:val="00AB5930"/>
    <w:rsid w:val="00AB5E07"/>
    <w:rsid w:val="00AB6091"/>
    <w:rsid w:val="00AB60C6"/>
    <w:rsid w:val="00AB65D6"/>
    <w:rsid w:val="00AB6756"/>
    <w:rsid w:val="00AB7620"/>
    <w:rsid w:val="00AB76B9"/>
    <w:rsid w:val="00AB79FD"/>
    <w:rsid w:val="00AB7CFA"/>
    <w:rsid w:val="00AB7ED1"/>
    <w:rsid w:val="00AC009F"/>
    <w:rsid w:val="00AC04C1"/>
    <w:rsid w:val="00AC07D2"/>
    <w:rsid w:val="00AC07F4"/>
    <w:rsid w:val="00AC0905"/>
    <w:rsid w:val="00AC0A1B"/>
    <w:rsid w:val="00AC12FA"/>
    <w:rsid w:val="00AC1477"/>
    <w:rsid w:val="00AC19D9"/>
    <w:rsid w:val="00AC1C13"/>
    <w:rsid w:val="00AC2506"/>
    <w:rsid w:val="00AC25B8"/>
    <w:rsid w:val="00AC3008"/>
    <w:rsid w:val="00AC305B"/>
    <w:rsid w:val="00AC30AA"/>
    <w:rsid w:val="00AC31CA"/>
    <w:rsid w:val="00AC381C"/>
    <w:rsid w:val="00AC3A0C"/>
    <w:rsid w:val="00AC3B80"/>
    <w:rsid w:val="00AC3C29"/>
    <w:rsid w:val="00AC3D74"/>
    <w:rsid w:val="00AC3E23"/>
    <w:rsid w:val="00AC437E"/>
    <w:rsid w:val="00AC4B90"/>
    <w:rsid w:val="00AC4C3C"/>
    <w:rsid w:val="00AC4CDC"/>
    <w:rsid w:val="00AC5361"/>
    <w:rsid w:val="00AC5712"/>
    <w:rsid w:val="00AC592E"/>
    <w:rsid w:val="00AC5B42"/>
    <w:rsid w:val="00AC5B48"/>
    <w:rsid w:val="00AC708B"/>
    <w:rsid w:val="00AC7894"/>
    <w:rsid w:val="00AC790C"/>
    <w:rsid w:val="00AC7D48"/>
    <w:rsid w:val="00AD0DEA"/>
    <w:rsid w:val="00AD0E3A"/>
    <w:rsid w:val="00AD0FE6"/>
    <w:rsid w:val="00AD123E"/>
    <w:rsid w:val="00AD1450"/>
    <w:rsid w:val="00AD15E8"/>
    <w:rsid w:val="00AD1E4F"/>
    <w:rsid w:val="00AD20B2"/>
    <w:rsid w:val="00AD2224"/>
    <w:rsid w:val="00AD2977"/>
    <w:rsid w:val="00AD2B19"/>
    <w:rsid w:val="00AD2C90"/>
    <w:rsid w:val="00AD2C92"/>
    <w:rsid w:val="00AD2ED4"/>
    <w:rsid w:val="00AD2FD7"/>
    <w:rsid w:val="00AD303F"/>
    <w:rsid w:val="00AD356D"/>
    <w:rsid w:val="00AD3C64"/>
    <w:rsid w:val="00AD4253"/>
    <w:rsid w:val="00AD4589"/>
    <w:rsid w:val="00AD483C"/>
    <w:rsid w:val="00AD4CFE"/>
    <w:rsid w:val="00AD5180"/>
    <w:rsid w:val="00AD567B"/>
    <w:rsid w:val="00AD5B39"/>
    <w:rsid w:val="00AD6502"/>
    <w:rsid w:val="00AD6AA1"/>
    <w:rsid w:val="00AD6C65"/>
    <w:rsid w:val="00AD78D8"/>
    <w:rsid w:val="00AD7FA4"/>
    <w:rsid w:val="00AE0169"/>
    <w:rsid w:val="00AE054F"/>
    <w:rsid w:val="00AE0695"/>
    <w:rsid w:val="00AE083D"/>
    <w:rsid w:val="00AE0D4F"/>
    <w:rsid w:val="00AE1501"/>
    <w:rsid w:val="00AE25C7"/>
    <w:rsid w:val="00AE3432"/>
    <w:rsid w:val="00AE35CB"/>
    <w:rsid w:val="00AE397A"/>
    <w:rsid w:val="00AE3BFE"/>
    <w:rsid w:val="00AE3C38"/>
    <w:rsid w:val="00AE3E43"/>
    <w:rsid w:val="00AE3E7E"/>
    <w:rsid w:val="00AE40E2"/>
    <w:rsid w:val="00AE4121"/>
    <w:rsid w:val="00AE450D"/>
    <w:rsid w:val="00AE4687"/>
    <w:rsid w:val="00AE46E7"/>
    <w:rsid w:val="00AE471A"/>
    <w:rsid w:val="00AE480E"/>
    <w:rsid w:val="00AE4B37"/>
    <w:rsid w:val="00AE5273"/>
    <w:rsid w:val="00AE540C"/>
    <w:rsid w:val="00AE5C65"/>
    <w:rsid w:val="00AE617C"/>
    <w:rsid w:val="00AE6899"/>
    <w:rsid w:val="00AE693F"/>
    <w:rsid w:val="00AE6BB2"/>
    <w:rsid w:val="00AE6CF6"/>
    <w:rsid w:val="00AE7202"/>
    <w:rsid w:val="00AE7B90"/>
    <w:rsid w:val="00AE7CC3"/>
    <w:rsid w:val="00AE7E1A"/>
    <w:rsid w:val="00AE7E53"/>
    <w:rsid w:val="00AF050E"/>
    <w:rsid w:val="00AF0CC5"/>
    <w:rsid w:val="00AF0CD7"/>
    <w:rsid w:val="00AF0D4F"/>
    <w:rsid w:val="00AF0DDC"/>
    <w:rsid w:val="00AF1315"/>
    <w:rsid w:val="00AF1347"/>
    <w:rsid w:val="00AF1927"/>
    <w:rsid w:val="00AF19BF"/>
    <w:rsid w:val="00AF21DB"/>
    <w:rsid w:val="00AF2753"/>
    <w:rsid w:val="00AF27DC"/>
    <w:rsid w:val="00AF2A42"/>
    <w:rsid w:val="00AF2B3C"/>
    <w:rsid w:val="00AF2DC3"/>
    <w:rsid w:val="00AF2E79"/>
    <w:rsid w:val="00AF3413"/>
    <w:rsid w:val="00AF3734"/>
    <w:rsid w:val="00AF3854"/>
    <w:rsid w:val="00AF4102"/>
    <w:rsid w:val="00AF4467"/>
    <w:rsid w:val="00AF4B04"/>
    <w:rsid w:val="00AF4C95"/>
    <w:rsid w:val="00AF578A"/>
    <w:rsid w:val="00AF57CA"/>
    <w:rsid w:val="00AF5DD1"/>
    <w:rsid w:val="00AF62E0"/>
    <w:rsid w:val="00AF62E9"/>
    <w:rsid w:val="00AF6B1E"/>
    <w:rsid w:val="00AF7B28"/>
    <w:rsid w:val="00AF7C81"/>
    <w:rsid w:val="00B00482"/>
    <w:rsid w:val="00B00688"/>
    <w:rsid w:val="00B01549"/>
    <w:rsid w:val="00B0181E"/>
    <w:rsid w:val="00B01DD4"/>
    <w:rsid w:val="00B01DFB"/>
    <w:rsid w:val="00B01FC8"/>
    <w:rsid w:val="00B02132"/>
    <w:rsid w:val="00B029B3"/>
    <w:rsid w:val="00B02AB2"/>
    <w:rsid w:val="00B02FC3"/>
    <w:rsid w:val="00B0311B"/>
    <w:rsid w:val="00B0339F"/>
    <w:rsid w:val="00B033E5"/>
    <w:rsid w:val="00B03725"/>
    <w:rsid w:val="00B03895"/>
    <w:rsid w:val="00B03A63"/>
    <w:rsid w:val="00B03A75"/>
    <w:rsid w:val="00B03BC9"/>
    <w:rsid w:val="00B03EDD"/>
    <w:rsid w:val="00B0401B"/>
    <w:rsid w:val="00B044BB"/>
    <w:rsid w:val="00B05290"/>
    <w:rsid w:val="00B054CC"/>
    <w:rsid w:val="00B0667C"/>
    <w:rsid w:val="00B06994"/>
    <w:rsid w:val="00B06E37"/>
    <w:rsid w:val="00B0716C"/>
    <w:rsid w:val="00B071F8"/>
    <w:rsid w:val="00B11237"/>
    <w:rsid w:val="00B113A8"/>
    <w:rsid w:val="00B115AB"/>
    <w:rsid w:val="00B11BD9"/>
    <w:rsid w:val="00B11C64"/>
    <w:rsid w:val="00B122EA"/>
    <w:rsid w:val="00B124B7"/>
    <w:rsid w:val="00B129A4"/>
    <w:rsid w:val="00B13357"/>
    <w:rsid w:val="00B13571"/>
    <w:rsid w:val="00B136A1"/>
    <w:rsid w:val="00B13C29"/>
    <w:rsid w:val="00B144FE"/>
    <w:rsid w:val="00B14E5C"/>
    <w:rsid w:val="00B15193"/>
    <w:rsid w:val="00B16F90"/>
    <w:rsid w:val="00B1714A"/>
    <w:rsid w:val="00B17415"/>
    <w:rsid w:val="00B17579"/>
    <w:rsid w:val="00B201A4"/>
    <w:rsid w:val="00B201D1"/>
    <w:rsid w:val="00B2021F"/>
    <w:rsid w:val="00B20231"/>
    <w:rsid w:val="00B2052F"/>
    <w:rsid w:val="00B20E7E"/>
    <w:rsid w:val="00B20F0E"/>
    <w:rsid w:val="00B20F7E"/>
    <w:rsid w:val="00B21034"/>
    <w:rsid w:val="00B213A6"/>
    <w:rsid w:val="00B2170D"/>
    <w:rsid w:val="00B21AF9"/>
    <w:rsid w:val="00B21D4E"/>
    <w:rsid w:val="00B221D0"/>
    <w:rsid w:val="00B226AC"/>
    <w:rsid w:val="00B226FB"/>
    <w:rsid w:val="00B22F69"/>
    <w:rsid w:val="00B23244"/>
    <w:rsid w:val="00B2333B"/>
    <w:rsid w:val="00B23393"/>
    <w:rsid w:val="00B235B0"/>
    <w:rsid w:val="00B2379C"/>
    <w:rsid w:val="00B23AA1"/>
    <w:rsid w:val="00B2462C"/>
    <w:rsid w:val="00B246BF"/>
    <w:rsid w:val="00B24892"/>
    <w:rsid w:val="00B24DF5"/>
    <w:rsid w:val="00B24DF6"/>
    <w:rsid w:val="00B2580A"/>
    <w:rsid w:val="00B25B6D"/>
    <w:rsid w:val="00B25E4A"/>
    <w:rsid w:val="00B260DF"/>
    <w:rsid w:val="00B2617D"/>
    <w:rsid w:val="00B264B9"/>
    <w:rsid w:val="00B26560"/>
    <w:rsid w:val="00B26767"/>
    <w:rsid w:val="00B26D1E"/>
    <w:rsid w:val="00B27123"/>
    <w:rsid w:val="00B2755B"/>
    <w:rsid w:val="00B27A61"/>
    <w:rsid w:val="00B27CA1"/>
    <w:rsid w:val="00B3040F"/>
    <w:rsid w:val="00B30947"/>
    <w:rsid w:val="00B30993"/>
    <w:rsid w:val="00B30B4C"/>
    <w:rsid w:val="00B3118E"/>
    <w:rsid w:val="00B311D1"/>
    <w:rsid w:val="00B312EE"/>
    <w:rsid w:val="00B31940"/>
    <w:rsid w:val="00B31B6C"/>
    <w:rsid w:val="00B324DE"/>
    <w:rsid w:val="00B32F3E"/>
    <w:rsid w:val="00B3359C"/>
    <w:rsid w:val="00B33695"/>
    <w:rsid w:val="00B34251"/>
    <w:rsid w:val="00B3460E"/>
    <w:rsid w:val="00B34D20"/>
    <w:rsid w:val="00B34DFB"/>
    <w:rsid w:val="00B34FE2"/>
    <w:rsid w:val="00B35166"/>
    <w:rsid w:val="00B351E8"/>
    <w:rsid w:val="00B354B5"/>
    <w:rsid w:val="00B357D8"/>
    <w:rsid w:val="00B35E6B"/>
    <w:rsid w:val="00B35F08"/>
    <w:rsid w:val="00B360F4"/>
    <w:rsid w:val="00B36A00"/>
    <w:rsid w:val="00B36A87"/>
    <w:rsid w:val="00B36FC6"/>
    <w:rsid w:val="00B371C8"/>
    <w:rsid w:val="00B374AC"/>
    <w:rsid w:val="00B3784B"/>
    <w:rsid w:val="00B3792B"/>
    <w:rsid w:val="00B37B4A"/>
    <w:rsid w:val="00B37BFC"/>
    <w:rsid w:val="00B40042"/>
    <w:rsid w:val="00B40358"/>
    <w:rsid w:val="00B40374"/>
    <w:rsid w:val="00B403B6"/>
    <w:rsid w:val="00B40533"/>
    <w:rsid w:val="00B4086F"/>
    <w:rsid w:val="00B409DE"/>
    <w:rsid w:val="00B40B10"/>
    <w:rsid w:val="00B40B91"/>
    <w:rsid w:val="00B40D0A"/>
    <w:rsid w:val="00B40DE0"/>
    <w:rsid w:val="00B410DC"/>
    <w:rsid w:val="00B4149F"/>
    <w:rsid w:val="00B41614"/>
    <w:rsid w:val="00B42194"/>
    <w:rsid w:val="00B42739"/>
    <w:rsid w:val="00B42851"/>
    <w:rsid w:val="00B4299E"/>
    <w:rsid w:val="00B42D4A"/>
    <w:rsid w:val="00B42F80"/>
    <w:rsid w:val="00B43302"/>
    <w:rsid w:val="00B433BE"/>
    <w:rsid w:val="00B43506"/>
    <w:rsid w:val="00B43565"/>
    <w:rsid w:val="00B435CB"/>
    <w:rsid w:val="00B4375A"/>
    <w:rsid w:val="00B43866"/>
    <w:rsid w:val="00B439D4"/>
    <w:rsid w:val="00B43B90"/>
    <w:rsid w:val="00B43EC9"/>
    <w:rsid w:val="00B44E02"/>
    <w:rsid w:val="00B45443"/>
    <w:rsid w:val="00B458DF"/>
    <w:rsid w:val="00B45A7B"/>
    <w:rsid w:val="00B45C4C"/>
    <w:rsid w:val="00B465EC"/>
    <w:rsid w:val="00B46C1F"/>
    <w:rsid w:val="00B46CAC"/>
    <w:rsid w:val="00B46CD3"/>
    <w:rsid w:val="00B47472"/>
    <w:rsid w:val="00B47C24"/>
    <w:rsid w:val="00B505C8"/>
    <w:rsid w:val="00B50637"/>
    <w:rsid w:val="00B50DB8"/>
    <w:rsid w:val="00B50DC9"/>
    <w:rsid w:val="00B51544"/>
    <w:rsid w:val="00B51A25"/>
    <w:rsid w:val="00B5218C"/>
    <w:rsid w:val="00B521B3"/>
    <w:rsid w:val="00B52A02"/>
    <w:rsid w:val="00B52A31"/>
    <w:rsid w:val="00B52A99"/>
    <w:rsid w:val="00B53115"/>
    <w:rsid w:val="00B53654"/>
    <w:rsid w:val="00B5380E"/>
    <w:rsid w:val="00B53886"/>
    <w:rsid w:val="00B538F8"/>
    <w:rsid w:val="00B53905"/>
    <w:rsid w:val="00B53973"/>
    <w:rsid w:val="00B53A56"/>
    <w:rsid w:val="00B53C99"/>
    <w:rsid w:val="00B53D07"/>
    <w:rsid w:val="00B540FD"/>
    <w:rsid w:val="00B54234"/>
    <w:rsid w:val="00B546DB"/>
    <w:rsid w:val="00B546F2"/>
    <w:rsid w:val="00B547BC"/>
    <w:rsid w:val="00B54AA4"/>
    <w:rsid w:val="00B54B5B"/>
    <w:rsid w:val="00B54F3D"/>
    <w:rsid w:val="00B54FF4"/>
    <w:rsid w:val="00B551C0"/>
    <w:rsid w:val="00B5562E"/>
    <w:rsid w:val="00B556F1"/>
    <w:rsid w:val="00B55862"/>
    <w:rsid w:val="00B55D65"/>
    <w:rsid w:val="00B55D97"/>
    <w:rsid w:val="00B55E8F"/>
    <w:rsid w:val="00B56088"/>
    <w:rsid w:val="00B56305"/>
    <w:rsid w:val="00B56BD5"/>
    <w:rsid w:val="00B56DB1"/>
    <w:rsid w:val="00B57000"/>
    <w:rsid w:val="00B5711E"/>
    <w:rsid w:val="00B5779B"/>
    <w:rsid w:val="00B579AB"/>
    <w:rsid w:val="00B60173"/>
    <w:rsid w:val="00B603B3"/>
    <w:rsid w:val="00B60939"/>
    <w:rsid w:val="00B60AFD"/>
    <w:rsid w:val="00B60D2E"/>
    <w:rsid w:val="00B613A9"/>
    <w:rsid w:val="00B61E7B"/>
    <w:rsid w:val="00B6210D"/>
    <w:rsid w:val="00B62200"/>
    <w:rsid w:val="00B622C4"/>
    <w:rsid w:val="00B62715"/>
    <w:rsid w:val="00B628D3"/>
    <w:rsid w:val="00B62C47"/>
    <w:rsid w:val="00B62D23"/>
    <w:rsid w:val="00B62E23"/>
    <w:rsid w:val="00B632BF"/>
    <w:rsid w:val="00B6388A"/>
    <w:rsid w:val="00B63A06"/>
    <w:rsid w:val="00B6412C"/>
    <w:rsid w:val="00B64166"/>
    <w:rsid w:val="00B64781"/>
    <w:rsid w:val="00B64929"/>
    <w:rsid w:val="00B64973"/>
    <w:rsid w:val="00B649BD"/>
    <w:rsid w:val="00B649E2"/>
    <w:rsid w:val="00B64C7C"/>
    <w:rsid w:val="00B64FC1"/>
    <w:rsid w:val="00B655A3"/>
    <w:rsid w:val="00B65611"/>
    <w:rsid w:val="00B6588A"/>
    <w:rsid w:val="00B65C5F"/>
    <w:rsid w:val="00B66AAB"/>
    <w:rsid w:val="00B66B47"/>
    <w:rsid w:val="00B671D7"/>
    <w:rsid w:val="00B674D1"/>
    <w:rsid w:val="00B675A4"/>
    <w:rsid w:val="00B67D22"/>
    <w:rsid w:val="00B70066"/>
    <w:rsid w:val="00B70274"/>
    <w:rsid w:val="00B708FC"/>
    <w:rsid w:val="00B70E8E"/>
    <w:rsid w:val="00B71096"/>
    <w:rsid w:val="00B714E1"/>
    <w:rsid w:val="00B71661"/>
    <w:rsid w:val="00B71F39"/>
    <w:rsid w:val="00B72090"/>
    <w:rsid w:val="00B721BF"/>
    <w:rsid w:val="00B724AB"/>
    <w:rsid w:val="00B724C1"/>
    <w:rsid w:val="00B72511"/>
    <w:rsid w:val="00B7279C"/>
    <w:rsid w:val="00B72989"/>
    <w:rsid w:val="00B72992"/>
    <w:rsid w:val="00B72B96"/>
    <w:rsid w:val="00B73391"/>
    <w:rsid w:val="00B73D68"/>
    <w:rsid w:val="00B73E38"/>
    <w:rsid w:val="00B74392"/>
    <w:rsid w:val="00B7486A"/>
    <w:rsid w:val="00B74FD8"/>
    <w:rsid w:val="00B75086"/>
    <w:rsid w:val="00B7538E"/>
    <w:rsid w:val="00B757E8"/>
    <w:rsid w:val="00B75A57"/>
    <w:rsid w:val="00B7614A"/>
    <w:rsid w:val="00B764A8"/>
    <w:rsid w:val="00B76C92"/>
    <w:rsid w:val="00B772C3"/>
    <w:rsid w:val="00B77AD0"/>
    <w:rsid w:val="00B77E0D"/>
    <w:rsid w:val="00B77F06"/>
    <w:rsid w:val="00B8001A"/>
    <w:rsid w:val="00B80651"/>
    <w:rsid w:val="00B808A1"/>
    <w:rsid w:val="00B80905"/>
    <w:rsid w:val="00B80D36"/>
    <w:rsid w:val="00B80EFD"/>
    <w:rsid w:val="00B81310"/>
    <w:rsid w:val="00B818A4"/>
    <w:rsid w:val="00B81A81"/>
    <w:rsid w:val="00B82C9C"/>
    <w:rsid w:val="00B82E04"/>
    <w:rsid w:val="00B82F45"/>
    <w:rsid w:val="00B830CB"/>
    <w:rsid w:val="00B8328D"/>
    <w:rsid w:val="00B834CC"/>
    <w:rsid w:val="00B83739"/>
    <w:rsid w:val="00B83C4E"/>
    <w:rsid w:val="00B84117"/>
    <w:rsid w:val="00B843AF"/>
    <w:rsid w:val="00B8446C"/>
    <w:rsid w:val="00B847A2"/>
    <w:rsid w:val="00B85135"/>
    <w:rsid w:val="00B85290"/>
    <w:rsid w:val="00B85818"/>
    <w:rsid w:val="00B858F0"/>
    <w:rsid w:val="00B85933"/>
    <w:rsid w:val="00B85AA2"/>
    <w:rsid w:val="00B85D5A"/>
    <w:rsid w:val="00B85EDE"/>
    <w:rsid w:val="00B862AA"/>
    <w:rsid w:val="00B86367"/>
    <w:rsid w:val="00B863A8"/>
    <w:rsid w:val="00B8649C"/>
    <w:rsid w:val="00B867CC"/>
    <w:rsid w:val="00B86856"/>
    <w:rsid w:val="00B8695D"/>
    <w:rsid w:val="00B86A37"/>
    <w:rsid w:val="00B86F56"/>
    <w:rsid w:val="00B86FFB"/>
    <w:rsid w:val="00B87B05"/>
    <w:rsid w:val="00B87B38"/>
    <w:rsid w:val="00B87F0A"/>
    <w:rsid w:val="00B9071B"/>
    <w:rsid w:val="00B90E14"/>
    <w:rsid w:val="00B90FB6"/>
    <w:rsid w:val="00B912BB"/>
    <w:rsid w:val="00B91547"/>
    <w:rsid w:val="00B91549"/>
    <w:rsid w:val="00B916D9"/>
    <w:rsid w:val="00B91796"/>
    <w:rsid w:val="00B917AA"/>
    <w:rsid w:val="00B91862"/>
    <w:rsid w:val="00B91ABD"/>
    <w:rsid w:val="00B91C1B"/>
    <w:rsid w:val="00B91F25"/>
    <w:rsid w:val="00B9208E"/>
    <w:rsid w:val="00B92562"/>
    <w:rsid w:val="00B925E4"/>
    <w:rsid w:val="00B92958"/>
    <w:rsid w:val="00B92D0B"/>
    <w:rsid w:val="00B92D4A"/>
    <w:rsid w:val="00B937E7"/>
    <w:rsid w:val="00B93CCF"/>
    <w:rsid w:val="00B940F8"/>
    <w:rsid w:val="00B94291"/>
    <w:rsid w:val="00B9451E"/>
    <w:rsid w:val="00B9484D"/>
    <w:rsid w:val="00B94945"/>
    <w:rsid w:val="00B94A7A"/>
    <w:rsid w:val="00B94DD6"/>
    <w:rsid w:val="00B9505B"/>
    <w:rsid w:val="00B95087"/>
    <w:rsid w:val="00B95581"/>
    <w:rsid w:val="00B955C5"/>
    <w:rsid w:val="00B9587D"/>
    <w:rsid w:val="00B958C0"/>
    <w:rsid w:val="00B97587"/>
    <w:rsid w:val="00B97C2C"/>
    <w:rsid w:val="00B97CA9"/>
    <w:rsid w:val="00B97DC0"/>
    <w:rsid w:val="00BA059E"/>
    <w:rsid w:val="00BA0915"/>
    <w:rsid w:val="00BA203E"/>
    <w:rsid w:val="00BA21DF"/>
    <w:rsid w:val="00BA29A7"/>
    <w:rsid w:val="00BA3081"/>
    <w:rsid w:val="00BA322D"/>
    <w:rsid w:val="00BA3764"/>
    <w:rsid w:val="00BA3BE4"/>
    <w:rsid w:val="00BA3C02"/>
    <w:rsid w:val="00BA3D37"/>
    <w:rsid w:val="00BA3D6B"/>
    <w:rsid w:val="00BA4A5E"/>
    <w:rsid w:val="00BA4C9A"/>
    <w:rsid w:val="00BA4FDF"/>
    <w:rsid w:val="00BA5434"/>
    <w:rsid w:val="00BA54E5"/>
    <w:rsid w:val="00BA55F5"/>
    <w:rsid w:val="00BA57C4"/>
    <w:rsid w:val="00BA58F5"/>
    <w:rsid w:val="00BA5FD0"/>
    <w:rsid w:val="00BA639B"/>
    <w:rsid w:val="00BA63FA"/>
    <w:rsid w:val="00BA65C6"/>
    <w:rsid w:val="00BA6DAE"/>
    <w:rsid w:val="00BA721C"/>
    <w:rsid w:val="00BA725A"/>
    <w:rsid w:val="00BA7674"/>
    <w:rsid w:val="00BA7D58"/>
    <w:rsid w:val="00BA7FBB"/>
    <w:rsid w:val="00BA7FE7"/>
    <w:rsid w:val="00BB00B3"/>
    <w:rsid w:val="00BB01FB"/>
    <w:rsid w:val="00BB0497"/>
    <w:rsid w:val="00BB0632"/>
    <w:rsid w:val="00BB08CC"/>
    <w:rsid w:val="00BB0A18"/>
    <w:rsid w:val="00BB0BDD"/>
    <w:rsid w:val="00BB0D8B"/>
    <w:rsid w:val="00BB108C"/>
    <w:rsid w:val="00BB11BC"/>
    <w:rsid w:val="00BB1373"/>
    <w:rsid w:val="00BB161F"/>
    <w:rsid w:val="00BB176C"/>
    <w:rsid w:val="00BB1A13"/>
    <w:rsid w:val="00BB1AF0"/>
    <w:rsid w:val="00BB1BF5"/>
    <w:rsid w:val="00BB1C3B"/>
    <w:rsid w:val="00BB216B"/>
    <w:rsid w:val="00BB2351"/>
    <w:rsid w:val="00BB23D0"/>
    <w:rsid w:val="00BB246A"/>
    <w:rsid w:val="00BB2A73"/>
    <w:rsid w:val="00BB2B70"/>
    <w:rsid w:val="00BB3081"/>
    <w:rsid w:val="00BB3931"/>
    <w:rsid w:val="00BB3A45"/>
    <w:rsid w:val="00BB3E11"/>
    <w:rsid w:val="00BB3EE7"/>
    <w:rsid w:val="00BB42C1"/>
    <w:rsid w:val="00BB4332"/>
    <w:rsid w:val="00BB4ACC"/>
    <w:rsid w:val="00BB4F89"/>
    <w:rsid w:val="00BB53AE"/>
    <w:rsid w:val="00BB5D82"/>
    <w:rsid w:val="00BB6387"/>
    <w:rsid w:val="00BB703E"/>
    <w:rsid w:val="00BB715D"/>
    <w:rsid w:val="00BB732D"/>
    <w:rsid w:val="00BB7405"/>
    <w:rsid w:val="00BB7D16"/>
    <w:rsid w:val="00BC0006"/>
    <w:rsid w:val="00BC0250"/>
    <w:rsid w:val="00BC02F6"/>
    <w:rsid w:val="00BC0503"/>
    <w:rsid w:val="00BC0595"/>
    <w:rsid w:val="00BC0B86"/>
    <w:rsid w:val="00BC0BE7"/>
    <w:rsid w:val="00BC0D28"/>
    <w:rsid w:val="00BC0D3D"/>
    <w:rsid w:val="00BC1780"/>
    <w:rsid w:val="00BC18E2"/>
    <w:rsid w:val="00BC198F"/>
    <w:rsid w:val="00BC1C90"/>
    <w:rsid w:val="00BC1E2E"/>
    <w:rsid w:val="00BC20C7"/>
    <w:rsid w:val="00BC278E"/>
    <w:rsid w:val="00BC2C71"/>
    <w:rsid w:val="00BC2E6C"/>
    <w:rsid w:val="00BC343B"/>
    <w:rsid w:val="00BC3631"/>
    <w:rsid w:val="00BC3788"/>
    <w:rsid w:val="00BC3933"/>
    <w:rsid w:val="00BC3A49"/>
    <w:rsid w:val="00BC3B7A"/>
    <w:rsid w:val="00BC3C56"/>
    <w:rsid w:val="00BC48CA"/>
    <w:rsid w:val="00BC4B0E"/>
    <w:rsid w:val="00BC5183"/>
    <w:rsid w:val="00BC5412"/>
    <w:rsid w:val="00BC5464"/>
    <w:rsid w:val="00BC556B"/>
    <w:rsid w:val="00BC591F"/>
    <w:rsid w:val="00BC64D6"/>
    <w:rsid w:val="00BC67F0"/>
    <w:rsid w:val="00BC6A07"/>
    <w:rsid w:val="00BC6BB8"/>
    <w:rsid w:val="00BC6DF8"/>
    <w:rsid w:val="00BC7334"/>
    <w:rsid w:val="00BC7D6D"/>
    <w:rsid w:val="00BD03A5"/>
    <w:rsid w:val="00BD0F63"/>
    <w:rsid w:val="00BD1186"/>
    <w:rsid w:val="00BD1470"/>
    <w:rsid w:val="00BD1AA5"/>
    <w:rsid w:val="00BD2108"/>
    <w:rsid w:val="00BD214E"/>
    <w:rsid w:val="00BD2193"/>
    <w:rsid w:val="00BD2251"/>
    <w:rsid w:val="00BD29C6"/>
    <w:rsid w:val="00BD2A80"/>
    <w:rsid w:val="00BD32DB"/>
    <w:rsid w:val="00BD33CE"/>
    <w:rsid w:val="00BD4540"/>
    <w:rsid w:val="00BD4A43"/>
    <w:rsid w:val="00BD50FF"/>
    <w:rsid w:val="00BD52FB"/>
    <w:rsid w:val="00BD55DE"/>
    <w:rsid w:val="00BD58E6"/>
    <w:rsid w:val="00BD59E5"/>
    <w:rsid w:val="00BD5B0D"/>
    <w:rsid w:val="00BD5B8B"/>
    <w:rsid w:val="00BD5CFA"/>
    <w:rsid w:val="00BD6137"/>
    <w:rsid w:val="00BD6402"/>
    <w:rsid w:val="00BD68A3"/>
    <w:rsid w:val="00BD6938"/>
    <w:rsid w:val="00BD6C6D"/>
    <w:rsid w:val="00BD6CF3"/>
    <w:rsid w:val="00BD6DC6"/>
    <w:rsid w:val="00BD738B"/>
    <w:rsid w:val="00BD78C8"/>
    <w:rsid w:val="00BD7F72"/>
    <w:rsid w:val="00BE0078"/>
    <w:rsid w:val="00BE017D"/>
    <w:rsid w:val="00BE0D3F"/>
    <w:rsid w:val="00BE0ECA"/>
    <w:rsid w:val="00BE1767"/>
    <w:rsid w:val="00BE1A4C"/>
    <w:rsid w:val="00BE1EA7"/>
    <w:rsid w:val="00BE2180"/>
    <w:rsid w:val="00BE21F2"/>
    <w:rsid w:val="00BE223C"/>
    <w:rsid w:val="00BE228E"/>
    <w:rsid w:val="00BE2850"/>
    <w:rsid w:val="00BE2A0F"/>
    <w:rsid w:val="00BE3256"/>
    <w:rsid w:val="00BE33F8"/>
    <w:rsid w:val="00BE38F0"/>
    <w:rsid w:val="00BE3989"/>
    <w:rsid w:val="00BE3B1A"/>
    <w:rsid w:val="00BE3C12"/>
    <w:rsid w:val="00BE3D66"/>
    <w:rsid w:val="00BE4275"/>
    <w:rsid w:val="00BE4290"/>
    <w:rsid w:val="00BE4938"/>
    <w:rsid w:val="00BE5779"/>
    <w:rsid w:val="00BE5948"/>
    <w:rsid w:val="00BE6034"/>
    <w:rsid w:val="00BE6690"/>
    <w:rsid w:val="00BE6AE5"/>
    <w:rsid w:val="00BE6BB2"/>
    <w:rsid w:val="00BE6E28"/>
    <w:rsid w:val="00BE7583"/>
    <w:rsid w:val="00BF00EB"/>
    <w:rsid w:val="00BF02AB"/>
    <w:rsid w:val="00BF03CC"/>
    <w:rsid w:val="00BF065F"/>
    <w:rsid w:val="00BF06AE"/>
    <w:rsid w:val="00BF08FB"/>
    <w:rsid w:val="00BF0F10"/>
    <w:rsid w:val="00BF0F6F"/>
    <w:rsid w:val="00BF0F95"/>
    <w:rsid w:val="00BF1003"/>
    <w:rsid w:val="00BF17ED"/>
    <w:rsid w:val="00BF2433"/>
    <w:rsid w:val="00BF2624"/>
    <w:rsid w:val="00BF28E2"/>
    <w:rsid w:val="00BF29A3"/>
    <w:rsid w:val="00BF2E6E"/>
    <w:rsid w:val="00BF391C"/>
    <w:rsid w:val="00BF3B01"/>
    <w:rsid w:val="00BF3B15"/>
    <w:rsid w:val="00BF3B98"/>
    <w:rsid w:val="00BF4452"/>
    <w:rsid w:val="00BF4702"/>
    <w:rsid w:val="00BF4790"/>
    <w:rsid w:val="00BF4916"/>
    <w:rsid w:val="00BF4936"/>
    <w:rsid w:val="00BF4FBB"/>
    <w:rsid w:val="00BF56B0"/>
    <w:rsid w:val="00BF5D3D"/>
    <w:rsid w:val="00BF6086"/>
    <w:rsid w:val="00BF61C9"/>
    <w:rsid w:val="00BF63D9"/>
    <w:rsid w:val="00BF6416"/>
    <w:rsid w:val="00BF68CE"/>
    <w:rsid w:val="00BF6C94"/>
    <w:rsid w:val="00BF7540"/>
    <w:rsid w:val="00C00424"/>
    <w:rsid w:val="00C00786"/>
    <w:rsid w:val="00C00A1A"/>
    <w:rsid w:val="00C00BB0"/>
    <w:rsid w:val="00C01350"/>
    <w:rsid w:val="00C01415"/>
    <w:rsid w:val="00C014EC"/>
    <w:rsid w:val="00C01CC7"/>
    <w:rsid w:val="00C01FEF"/>
    <w:rsid w:val="00C02088"/>
    <w:rsid w:val="00C025CD"/>
    <w:rsid w:val="00C02C45"/>
    <w:rsid w:val="00C02D7F"/>
    <w:rsid w:val="00C02E59"/>
    <w:rsid w:val="00C02EE7"/>
    <w:rsid w:val="00C02F6A"/>
    <w:rsid w:val="00C02FF2"/>
    <w:rsid w:val="00C03049"/>
    <w:rsid w:val="00C0368B"/>
    <w:rsid w:val="00C03761"/>
    <w:rsid w:val="00C03E13"/>
    <w:rsid w:val="00C04D55"/>
    <w:rsid w:val="00C051AC"/>
    <w:rsid w:val="00C05BEE"/>
    <w:rsid w:val="00C05E58"/>
    <w:rsid w:val="00C06361"/>
    <w:rsid w:val="00C06470"/>
    <w:rsid w:val="00C068F3"/>
    <w:rsid w:val="00C07310"/>
    <w:rsid w:val="00C0786D"/>
    <w:rsid w:val="00C07A3C"/>
    <w:rsid w:val="00C07CA9"/>
    <w:rsid w:val="00C07D29"/>
    <w:rsid w:val="00C1000F"/>
    <w:rsid w:val="00C10156"/>
    <w:rsid w:val="00C10470"/>
    <w:rsid w:val="00C10EB6"/>
    <w:rsid w:val="00C10F31"/>
    <w:rsid w:val="00C1179F"/>
    <w:rsid w:val="00C11927"/>
    <w:rsid w:val="00C12147"/>
    <w:rsid w:val="00C127B9"/>
    <w:rsid w:val="00C128FA"/>
    <w:rsid w:val="00C12982"/>
    <w:rsid w:val="00C12C14"/>
    <w:rsid w:val="00C133A0"/>
    <w:rsid w:val="00C13451"/>
    <w:rsid w:val="00C1358B"/>
    <w:rsid w:val="00C136E2"/>
    <w:rsid w:val="00C13872"/>
    <w:rsid w:val="00C13BD4"/>
    <w:rsid w:val="00C1412A"/>
    <w:rsid w:val="00C143C9"/>
    <w:rsid w:val="00C145B9"/>
    <w:rsid w:val="00C14866"/>
    <w:rsid w:val="00C14B6E"/>
    <w:rsid w:val="00C14BAF"/>
    <w:rsid w:val="00C14C5E"/>
    <w:rsid w:val="00C15028"/>
    <w:rsid w:val="00C150C5"/>
    <w:rsid w:val="00C1560A"/>
    <w:rsid w:val="00C15F04"/>
    <w:rsid w:val="00C1605E"/>
    <w:rsid w:val="00C167AC"/>
    <w:rsid w:val="00C170A1"/>
    <w:rsid w:val="00C17241"/>
    <w:rsid w:val="00C173ED"/>
    <w:rsid w:val="00C177C0"/>
    <w:rsid w:val="00C178E0"/>
    <w:rsid w:val="00C179B3"/>
    <w:rsid w:val="00C17C15"/>
    <w:rsid w:val="00C17CBE"/>
    <w:rsid w:val="00C17E3F"/>
    <w:rsid w:val="00C17FCF"/>
    <w:rsid w:val="00C200AA"/>
    <w:rsid w:val="00C200D6"/>
    <w:rsid w:val="00C20243"/>
    <w:rsid w:val="00C204B3"/>
    <w:rsid w:val="00C20560"/>
    <w:rsid w:val="00C2056F"/>
    <w:rsid w:val="00C2112A"/>
    <w:rsid w:val="00C21442"/>
    <w:rsid w:val="00C21775"/>
    <w:rsid w:val="00C21DB1"/>
    <w:rsid w:val="00C22194"/>
    <w:rsid w:val="00C2266F"/>
    <w:rsid w:val="00C226BC"/>
    <w:rsid w:val="00C22AC5"/>
    <w:rsid w:val="00C22F7E"/>
    <w:rsid w:val="00C23503"/>
    <w:rsid w:val="00C237ED"/>
    <w:rsid w:val="00C2381C"/>
    <w:rsid w:val="00C23CFD"/>
    <w:rsid w:val="00C240D8"/>
    <w:rsid w:val="00C2436C"/>
    <w:rsid w:val="00C24632"/>
    <w:rsid w:val="00C24A50"/>
    <w:rsid w:val="00C25134"/>
    <w:rsid w:val="00C2532A"/>
    <w:rsid w:val="00C25418"/>
    <w:rsid w:val="00C2546E"/>
    <w:rsid w:val="00C25537"/>
    <w:rsid w:val="00C2553F"/>
    <w:rsid w:val="00C25868"/>
    <w:rsid w:val="00C25D9C"/>
    <w:rsid w:val="00C263DE"/>
    <w:rsid w:val="00C27292"/>
    <w:rsid w:val="00C273BC"/>
    <w:rsid w:val="00C2778B"/>
    <w:rsid w:val="00C303FF"/>
    <w:rsid w:val="00C30952"/>
    <w:rsid w:val="00C30F1B"/>
    <w:rsid w:val="00C312EC"/>
    <w:rsid w:val="00C31649"/>
    <w:rsid w:val="00C31D80"/>
    <w:rsid w:val="00C31F95"/>
    <w:rsid w:val="00C32094"/>
    <w:rsid w:val="00C32267"/>
    <w:rsid w:val="00C32FD4"/>
    <w:rsid w:val="00C33738"/>
    <w:rsid w:val="00C338F6"/>
    <w:rsid w:val="00C33BFE"/>
    <w:rsid w:val="00C33C89"/>
    <w:rsid w:val="00C33E70"/>
    <w:rsid w:val="00C3434C"/>
    <w:rsid w:val="00C34574"/>
    <w:rsid w:val="00C34605"/>
    <w:rsid w:val="00C34B89"/>
    <w:rsid w:val="00C35077"/>
    <w:rsid w:val="00C350E2"/>
    <w:rsid w:val="00C3530E"/>
    <w:rsid w:val="00C3541C"/>
    <w:rsid w:val="00C359E3"/>
    <w:rsid w:val="00C35A03"/>
    <w:rsid w:val="00C36A2E"/>
    <w:rsid w:val="00C36CC6"/>
    <w:rsid w:val="00C36CDB"/>
    <w:rsid w:val="00C3789B"/>
    <w:rsid w:val="00C378DC"/>
    <w:rsid w:val="00C37DBB"/>
    <w:rsid w:val="00C37FD1"/>
    <w:rsid w:val="00C40385"/>
    <w:rsid w:val="00C40EBA"/>
    <w:rsid w:val="00C4122E"/>
    <w:rsid w:val="00C41466"/>
    <w:rsid w:val="00C41768"/>
    <w:rsid w:val="00C41B03"/>
    <w:rsid w:val="00C41B0C"/>
    <w:rsid w:val="00C41BCA"/>
    <w:rsid w:val="00C4202A"/>
    <w:rsid w:val="00C421AA"/>
    <w:rsid w:val="00C423D9"/>
    <w:rsid w:val="00C42713"/>
    <w:rsid w:val="00C434E8"/>
    <w:rsid w:val="00C4370A"/>
    <w:rsid w:val="00C43A16"/>
    <w:rsid w:val="00C442D2"/>
    <w:rsid w:val="00C4439F"/>
    <w:rsid w:val="00C44AC1"/>
    <w:rsid w:val="00C44BAA"/>
    <w:rsid w:val="00C44FC8"/>
    <w:rsid w:val="00C45038"/>
    <w:rsid w:val="00C452A3"/>
    <w:rsid w:val="00C45D16"/>
    <w:rsid w:val="00C45D6F"/>
    <w:rsid w:val="00C46015"/>
    <w:rsid w:val="00C46230"/>
    <w:rsid w:val="00C4643C"/>
    <w:rsid w:val="00C466F4"/>
    <w:rsid w:val="00C468EF"/>
    <w:rsid w:val="00C46C80"/>
    <w:rsid w:val="00C47005"/>
    <w:rsid w:val="00C475AA"/>
    <w:rsid w:val="00C47625"/>
    <w:rsid w:val="00C477E0"/>
    <w:rsid w:val="00C478A8"/>
    <w:rsid w:val="00C47ADC"/>
    <w:rsid w:val="00C50632"/>
    <w:rsid w:val="00C50B5A"/>
    <w:rsid w:val="00C5145C"/>
    <w:rsid w:val="00C514AA"/>
    <w:rsid w:val="00C51BE0"/>
    <w:rsid w:val="00C51C5E"/>
    <w:rsid w:val="00C51D12"/>
    <w:rsid w:val="00C52036"/>
    <w:rsid w:val="00C520FD"/>
    <w:rsid w:val="00C521BB"/>
    <w:rsid w:val="00C527C7"/>
    <w:rsid w:val="00C52D0C"/>
    <w:rsid w:val="00C52E9B"/>
    <w:rsid w:val="00C536D8"/>
    <w:rsid w:val="00C53C98"/>
    <w:rsid w:val="00C53D72"/>
    <w:rsid w:val="00C53FDC"/>
    <w:rsid w:val="00C542F7"/>
    <w:rsid w:val="00C547A8"/>
    <w:rsid w:val="00C554AB"/>
    <w:rsid w:val="00C5566E"/>
    <w:rsid w:val="00C556BF"/>
    <w:rsid w:val="00C559E7"/>
    <w:rsid w:val="00C563C9"/>
    <w:rsid w:val="00C56643"/>
    <w:rsid w:val="00C567E1"/>
    <w:rsid w:val="00C56FCF"/>
    <w:rsid w:val="00C571B7"/>
    <w:rsid w:val="00C572F6"/>
    <w:rsid w:val="00C579EA"/>
    <w:rsid w:val="00C57B6C"/>
    <w:rsid w:val="00C603F7"/>
    <w:rsid w:val="00C60598"/>
    <w:rsid w:val="00C607F6"/>
    <w:rsid w:val="00C60909"/>
    <w:rsid w:val="00C609A7"/>
    <w:rsid w:val="00C61058"/>
    <w:rsid w:val="00C61095"/>
    <w:rsid w:val="00C61183"/>
    <w:rsid w:val="00C61869"/>
    <w:rsid w:val="00C61A59"/>
    <w:rsid w:val="00C61DAA"/>
    <w:rsid w:val="00C62017"/>
    <w:rsid w:val="00C628A6"/>
    <w:rsid w:val="00C62B62"/>
    <w:rsid w:val="00C62EA8"/>
    <w:rsid w:val="00C6308A"/>
    <w:rsid w:val="00C63343"/>
    <w:rsid w:val="00C63A4B"/>
    <w:rsid w:val="00C64344"/>
    <w:rsid w:val="00C64C06"/>
    <w:rsid w:val="00C65080"/>
    <w:rsid w:val="00C65108"/>
    <w:rsid w:val="00C6522E"/>
    <w:rsid w:val="00C653C7"/>
    <w:rsid w:val="00C65416"/>
    <w:rsid w:val="00C65576"/>
    <w:rsid w:val="00C66165"/>
    <w:rsid w:val="00C667D7"/>
    <w:rsid w:val="00C66A7D"/>
    <w:rsid w:val="00C66EB9"/>
    <w:rsid w:val="00C66F90"/>
    <w:rsid w:val="00C672F5"/>
    <w:rsid w:val="00C676A3"/>
    <w:rsid w:val="00C676F9"/>
    <w:rsid w:val="00C67A94"/>
    <w:rsid w:val="00C67FD3"/>
    <w:rsid w:val="00C700B5"/>
    <w:rsid w:val="00C7040B"/>
    <w:rsid w:val="00C705B2"/>
    <w:rsid w:val="00C7060A"/>
    <w:rsid w:val="00C70A3F"/>
    <w:rsid w:val="00C71083"/>
    <w:rsid w:val="00C714A8"/>
    <w:rsid w:val="00C714FD"/>
    <w:rsid w:val="00C7151A"/>
    <w:rsid w:val="00C717E3"/>
    <w:rsid w:val="00C71A19"/>
    <w:rsid w:val="00C71BEC"/>
    <w:rsid w:val="00C71F60"/>
    <w:rsid w:val="00C72241"/>
    <w:rsid w:val="00C7236F"/>
    <w:rsid w:val="00C73CA3"/>
    <w:rsid w:val="00C73D50"/>
    <w:rsid w:val="00C741FE"/>
    <w:rsid w:val="00C74F2C"/>
    <w:rsid w:val="00C750C8"/>
    <w:rsid w:val="00C754B8"/>
    <w:rsid w:val="00C7560F"/>
    <w:rsid w:val="00C7577C"/>
    <w:rsid w:val="00C758E6"/>
    <w:rsid w:val="00C75982"/>
    <w:rsid w:val="00C75C36"/>
    <w:rsid w:val="00C75E6B"/>
    <w:rsid w:val="00C76001"/>
    <w:rsid w:val="00C76580"/>
    <w:rsid w:val="00C770CC"/>
    <w:rsid w:val="00C774E8"/>
    <w:rsid w:val="00C77B7D"/>
    <w:rsid w:val="00C77BE2"/>
    <w:rsid w:val="00C80262"/>
    <w:rsid w:val="00C80A0E"/>
    <w:rsid w:val="00C80D7E"/>
    <w:rsid w:val="00C81175"/>
    <w:rsid w:val="00C81622"/>
    <w:rsid w:val="00C816E9"/>
    <w:rsid w:val="00C81EAC"/>
    <w:rsid w:val="00C8213F"/>
    <w:rsid w:val="00C82F1A"/>
    <w:rsid w:val="00C8303F"/>
    <w:rsid w:val="00C84101"/>
    <w:rsid w:val="00C84D40"/>
    <w:rsid w:val="00C84F5F"/>
    <w:rsid w:val="00C85154"/>
    <w:rsid w:val="00C8524C"/>
    <w:rsid w:val="00C85727"/>
    <w:rsid w:val="00C85A70"/>
    <w:rsid w:val="00C860BE"/>
    <w:rsid w:val="00C86396"/>
    <w:rsid w:val="00C864AF"/>
    <w:rsid w:val="00C8650B"/>
    <w:rsid w:val="00C86D6E"/>
    <w:rsid w:val="00C86EAE"/>
    <w:rsid w:val="00C875D7"/>
    <w:rsid w:val="00C87817"/>
    <w:rsid w:val="00C878B4"/>
    <w:rsid w:val="00C8797A"/>
    <w:rsid w:val="00C900B8"/>
    <w:rsid w:val="00C90197"/>
    <w:rsid w:val="00C903BC"/>
    <w:rsid w:val="00C90C71"/>
    <w:rsid w:val="00C910DE"/>
    <w:rsid w:val="00C916A2"/>
    <w:rsid w:val="00C91B38"/>
    <w:rsid w:val="00C91BE2"/>
    <w:rsid w:val="00C91FD1"/>
    <w:rsid w:val="00C92092"/>
    <w:rsid w:val="00C9251F"/>
    <w:rsid w:val="00C92AC1"/>
    <w:rsid w:val="00C931CF"/>
    <w:rsid w:val="00C93409"/>
    <w:rsid w:val="00C93468"/>
    <w:rsid w:val="00C9371C"/>
    <w:rsid w:val="00C938CF"/>
    <w:rsid w:val="00C93D28"/>
    <w:rsid w:val="00C94053"/>
    <w:rsid w:val="00C945DC"/>
    <w:rsid w:val="00C94B41"/>
    <w:rsid w:val="00C9556B"/>
    <w:rsid w:val="00C95D81"/>
    <w:rsid w:val="00C9624D"/>
    <w:rsid w:val="00C9631D"/>
    <w:rsid w:val="00C965C5"/>
    <w:rsid w:val="00C968B7"/>
    <w:rsid w:val="00C968F3"/>
    <w:rsid w:val="00C969DA"/>
    <w:rsid w:val="00C96C00"/>
    <w:rsid w:val="00C97CB3"/>
    <w:rsid w:val="00CA0203"/>
    <w:rsid w:val="00CA061F"/>
    <w:rsid w:val="00CA0C99"/>
    <w:rsid w:val="00CA1310"/>
    <w:rsid w:val="00CA15AC"/>
    <w:rsid w:val="00CA179B"/>
    <w:rsid w:val="00CA21BA"/>
    <w:rsid w:val="00CA27EF"/>
    <w:rsid w:val="00CA2A86"/>
    <w:rsid w:val="00CA2AB7"/>
    <w:rsid w:val="00CA2C77"/>
    <w:rsid w:val="00CA349C"/>
    <w:rsid w:val="00CA3675"/>
    <w:rsid w:val="00CA36CE"/>
    <w:rsid w:val="00CA3C3A"/>
    <w:rsid w:val="00CA4185"/>
    <w:rsid w:val="00CA444F"/>
    <w:rsid w:val="00CA475F"/>
    <w:rsid w:val="00CA4785"/>
    <w:rsid w:val="00CA488A"/>
    <w:rsid w:val="00CA49A8"/>
    <w:rsid w:val="00CA5245"/>
    <w:rsid w:val="00CA53D3"/>
    <w:rsid w:val="00CA5873"/>
    <w:rsid w:val="00CA5B76"/>
    <w:rsid w:val="00CA615E"/>
    <w:rsid w:val="00CA617E"/>
    <w:rsid w:val="00CA640E"/>
    <w:rsid w:val="00CA6E5E"/>
    <w:rsid w:val="00CA6F35"/>
    <w:rsid w:val="00CA7127"/>
    <w:rsid w:val="00CA71F4"/>
    <w:rsid w:val="00CA7387"/>
    <w:rsid w:val="00CA775D"/>
    <w:rsid w:val="00CA78B8"/>
    <w:rsid w:val="00CA7B09"/>
    <w:rsid w:val="00CA7B1F"/>
    <w:rsid w:val="00CA7F84"/>
    <w:rsid w:val="00CB03CD"/>
    <w:rsid w:val="00CB0772"/>
    <w:rsid w:val="00CB0F50"/>
    <w:rsid w:val="00CB12A5"/>
    <w:rsid w:val="00CB1A72"/>
    <w:rsid w:val="00CB1B0D"/>
    <w:rsid w:val="00CB1C76"/>
    <w:rsid w:val="00CB1CAC"/>
    <w:rsid w:val="00CB1FC7"/>
    <w:rsid w:val="00CB2F2A"/>
    <w:rsid w:val="00CB2F5E"/>
    <w:rsid w:val="00CB2FC1"/>
    <w:rsid w:val="00CB3289"/>
    <w:rsid w:val="00CB448A"/>
    <w:rsid w:val="00CB456E"/>
    <w:rsid w:val="00CB5B1A"/>
    <w:rsid w:val="00CB5EE3"/>
    <w:rsid w:val="00CB5FF3"/>
    <w:rsid w:val="00CB620D"/>
    <w:rsid w:val="00CB65B3"/>
    <w:rsid w:val="00CB6855"/>
    <w:rsid w:val="00CB6949"/>
    <w:rsid w:val="00CB6B22"/>
    <w:rsid w:val="00CB7303"/>
    <w:rsid w:val="00CB7AB9"/>
    <w:rsid w:val="00CB7E4D"/>
    <w:rsid w:val="00CB7F5F"/>
    <w:rsid w:val="00CC00B6"/>
    <w:rsid w:val="00CC0528"/>
    <w:rsid w:val="00CC0929"/>
    <w:rsid w:val="00CC0C87"/>
    <w:rsid w:val="00CC100A"/>
    <w:rsid w:val="00CC103C"/>
    <w:rsid w:val="00CC12B9"/>
    <w:rsid w:val="00CC163F"/>
    <w:rsid w:val="00CC16D5"/>
    <w:rsid w:val="00CC1AE3"/>
    <w:rsid w:val="00CC1AF6"/>
    <w:rsid w:val="00CC1B39"/>
    <w:rsid w:val="00CC1BFA"/>
    <w:rsid w:val="00CC1D55"/>
    <w:rsid w:val="00CC1D90"/>
    <w:rsid w:val="00CC1F87"/>
    <w:rsid w:val="00CC1FD1"/>
    <w:rsid w:val="00CC22B6"/>
    <w:rsid w:val="00CC2631"/>
    <w:rsid w:val="00CC2935"/>
    <w:rsid w:val="00CC2A1B"/>
    <w:rsid w:val="00CC2AFB"/>
    <w:rsid w:val="00CC2D07"/>
    <w:rsid w:val="00CC2E9F"/>
    <w:rsid w:val="00CC2FB4"/>
    <w:rsid w:val="00CC30E1"/>
    <w:rsid w:val="00CC3469"/>
    <w:rsid w:val="00CC35EA"/>
    <w:rsid w:val="00CC3848"/>
    <w:rsid w:val="00CC442D"/>
    <w:rsid w:val="00CC44C8"/>
    <w:rsid w:val="00CC44F2"/>
    <w:rsid w:val="00CC4D2B"/>
    <w:rsid w:val="00CC4D69"/>
    <w:rsid w:val="00CC4D71"/>
    <w:rsid w:val="00CC4FB5"/>
    <w:rsid w:val="00CC5218"/>
    <w:rsid w:val="00CC567A"/>
    <w:rsid w:val="00CC573E"/>
    <w:rsid w:val="00CC5CD7"/>
    <w:rsid w:val="00CC5F79"/>
    <w:rsid w:val="00CC6046"/>
    <w:rsid w:val="00CC6D5E"/>
    <w:rsid w:val="00CC719E"/>
    <w:rsid w:val="00CC7263"/>
    <w:rsid w:val="00CC735B"/>
    <w:rsid w:val="00CC7601"/>
    <w:rsid w:val="00CC78C3"/>
    <w:rsid w:val="00CC7C5B"/>
    <w:rsid w:val="00CC7DE3"/>
    <w:rsid w:val="00CC7F89"/>
    <w:rsid w:val="00CD0044"/>
    <w:rsid w:val="00CD0200"/>
    <w:rsid w:val="00CD02B7"/>
    <w:rsid w:val="00CD0375"/>
    <w:rsid w:val="00CD0688"/>
    <w:rsid w:val="00CD079F"/>
    <w:rsid w:val="00CD086B"/>
    <w:rsid w:val="00CD11A9"/>
    <w:rsid w:val="00CD1303"/>
    <w:rsid w:val="00CD16BE"/>
    <w:rsid w:val="00CD1DB7"/>
    <w:rsid w:val="00CD2139"/>
    <w:rsid w:val="00CD2237"/>
    <w:rsid w:val="00CD243E"/>
    <w:rsid w:val="00CD26DF"/>
    <w:rsid w:val="00CD2B1B"/>
    <w:rsid w:val="00CD2C32"/>
    <w:rsid w:val="00CD2CC2"/>
    <w:rsid w:val="00CD2E91"/>
    <w:rsid w:val="00CD3231"/>
    <w:rsid w:val="00CD3498"/>
    <w:rsid w:val="00CD34B9"/>
    <w:rsid w:val="00CD3E41"/>
    <w:rsid w:val="00CD3F77"/>
    <w:rsid w:val="00CD4114"/>
    <w:rsid w:val="00CD494D"/>
    <w:rsid w:val="00CD507B"/>
    <w:rsid w:val="00CD548E"/>
    <w:rsid w:val="00CD590B"/>
    <w:rsid w:val="00CD65D2"/>
    <w:rsid w:val="00CD6ADC"/>
    <w:rsid w:val="00CD6F0C"/>
    <w:rsid w:val="00CD706A"/>
    <w:rsid w:val="00CD7193"/>
    <w:rsid w:val="00CD74DC"/>
    <w:rsid w:val="00CD7890"/>
    <w:rsid w:val="00CD7F2E"/>
    <w:rsid w:val="00CE0157"/>
    <w:rsid w:val="00CE0741"/>
    <w:rsid w:val="00CE078E"/>
    <w:rsid w:val="00CE08E6"/>
    <w:rsid w:val="00CE0FD6"/>
    <w:rsid w:val="00CE1093"/>
    <w:rsid w:val="00CE1BA7"/>
    <w:rsid w:val="00CE1E04"/>
    <w:rsid w:val="00CE1F60"/>
    <w:rsid w:val="00CE2147"/>
    <w:rsid w:val="00CE2272"/>
    <w:rsid w:val="00CE2AD0"/>
    <w:rsid w:val="00CE32D7"/>
    <w:rsid w:val="00CE343C"/>
    <w:rsid w:val="00CE3744"/>
    <w:rsid w:val="00CE38C8"/>
    <w:rsid w:val="00CE3C8F"/>
    <w:rsid w:val="00CE452F"/>
    <w:rsid w:val="00CE4EC4"/>
    <w:rsid w:val="00CE524F"/>
    <w:rsid w:val="00CE5457"/>
    <w:rsid w:val="00CE58CC"/>
    <w:rsid w:val="00CE58D0"/>
    <w:rsid w:val="00CE5B5F"/>
    <w:rsid w:val="00CE6274"/>
    <w:rsid w:val="00CE686D"/>
    <w:rsid w:val="00CE72EC"/>
    <w:rsid w:val="00CE76E2"/>
    <w:rsid w:val="00CE77B6"/>
    <w:rsid w:val="00CE7C95"/>
    <w:rsid w:val="00CF036D"/>
    <w:rsid w:val="00CF05BA"/>
    <w:rsid w:val="00CF063B"/>
    <w:rsid w:val="00CF0D69"/>
    <w:rsid w:val="00CF1070"/>
    <w:rsid w:val="00CF2135"/>
    <w:rsid w:val="00CF2965"/>
    <w:rsid w:val="00CF2B8D"/>
    <w:rsid w:val="00CF2C22"/>
    <w:rsid w:val="00CF31F1"/>
    <w:rsid w:val="00CF3A1B"/>
    <w:rsid w:val="00CF3DF5"/>
    <w:rsid w:val="00CF419A"/>
    <w:rsid w:val="00CF43B8"/>
    <w:rsid w:val="00CF456B"/>
    <w:rsid w:val="00CF49E1"/>
    <w:rsid w:val="00CF57D2"/>
    <w:rsid w:val="00CF5908"/>
    <w:rsid w:val="00CF5A22"/>
    <w:rsid w:val="00CF5ADA"/>
    <w:rsid w:val="00CF5D56"/>
    <w:rsid w:val="00CF5E87"/>
    <w:rsid w:val="00CF6467"/>
    <w:rsid w:val="00CF64BA"/>
    <w:rsid w:val="00CF67BC"/>
    <w:rsid w:val="00CF7387"/>
    <w:rsid w:val="00CF7558"/>
    <w:rsid w:val="00CF78F9"/>
    <w:rsid w:val="00CF79A9"/>
    <w:rsid w:val="00CF7BC0"/>
    <w:rsid w:val="00D00DB5"/>
    <w:rsid w:val="00D010BF"/>
    <w:rsid w:val="00D018F8"/>
    <w:rsid w:val="00D01A6D"/>
    <w:rsid w:val="00D01A81"/>
    <w:rsid w:val="00D01B90"/>
    <w:rsid w:val="00D01DDE"/>
    <w:rsid w:val="00D0217C"/>
    <w:rsid w:val="00D0261B"/>
    <w:rsid w:val="00D0262E"/>
    <w:rsid w:val="00D0344A"/>
    <w:rsid w:val="00D03679"/>
    <w:rsid w:val="00D0372D"/>
    <w:rsid w:val="00D03CE8"/>
    <w:rsid w:val="00D04571"/>
    <w:rsid w:val="00D05180"/>
    <w:rsid w:val="00D0570F"/>
    <w:rsid w:val="00D05760"/>
    <w:rsid w:val="00D05D6A"/>
    <w:rsid w:val="00D05E3D"/>
    <w:rsid w:val="00D06139"/>
    <w:rsid w:val="00D062D0"/>
    <w:rsid w:val="00D065FD"/>
    <w:rsid w:val="00D067A9"/>
    <w:rsid w:val="00D06966"/>
    <w:rsid w:val="00D06CA2"/>
    <w:rsid w:val="00D06D24"/>
    <w:rsid w:val="00D07591"/>
    <w:rsid w:val="00D07F3A"/>
    <w:rsid w:val="00D110BD"/>
    <w:rsid w:val="00D1170D"/>
    <w:rsid w:val="00D118ED"/>
    <w:rsid w:val="00D11CF4"/>
    <w:rsid w:val="00D1215A"/>
    <w:rsid w:val="00D1252A"/>
    <w:rsid w:val="00D12753"/>
    <w:rsid w:val="00D12E6A"/>
    <w:rsid w:val="00D12EEA"/>
    <w:rsid w:val="00D133E9"/>
    <w:rsid w:val="00D13465"/>
    <w:rsid w:val="00D13675"/>
    <w:rsid w:val="00D13EDA"/>
    <w:rsid w:val="00D14185"/>
    <w:rsid w:val="00D141E1"/>
    <w:rsid w:val="00D144BF"/>
    <w:rsid w:val="00D14B67"/>
    <w:rsid w:val="00D152D3"/>
    <w:rsid w:val="00D15314"/>
    <w:rsid w:val="00D15514"/>
    <w:rsid w:val="00D158D7"/>
    <w:rsid w:val="00D15B48"/>
    <w:rsid w:val="00D160BB"/>
    <w:rsid w:val="00D162BA"/>
    <w:rsid w:val="00D167FA"/>
    <w:rsid w:val="00D16869"/>
    <w:rsid w:val="00D16904"/>
    <w:rsid w:val="00D16D01"/>
    <w:rsid w:val="00D16F73"/>
    <w:rsid w:val="00D17929"/>
    <w:rsid w:val="00D17D6C"/>
    <w:rsid w:val="00D2005F"/>
    <w:rsid w:val="00D20205"/>
    <w:rsid w:val="00D2099C"/>
    <w:rsid w:val="00D20D69"/>
    <w:rsid w:val="00D21368"/>
    <w:rsid w:val="00D2155B"/>
    <w:rsid w:val="00D2248D"/>
    <w:rsid w:val="00D22987"/>
    <w:rsid w:val="00D22ACD"/>
    <w:rsid w:val="00D22C10"/>
    <w:rsid w:val="00D22CFE"/>
    <w:rsid w:val="00D22D8F"/>
    <w:rsid w:val="00D22E96"/>
    <w:rsid w:val="00D230D6"/>
    <w:rsid w:val="00D2350C"/>
    <w:rsid w:val="00D23805"/>
    <w:rsid w:val="00D23D11"/>
    <w:rsid w:val="00D23DDA"/>
    <w:rsid w:val="00D23E36"/>
    <w:rsid w:val="00D23FAD"/>
    <w:rsid w:val="00D244B6"/>
    <w:rsid w:val="00D24B8C"/>
    <w:rsid w:val="00D24E87"/>
    <w:rsid w:val="00D252C6"/>
    <w:rsid w:val="00D2599D"/>
    <w:rsid w:val="00D25AFC"/>
    <w:rsid w:val="00D25CB0"/>
    <w:rsid w:val="00D25DAF"/>
    <w:rsid w:val="00D26370"/>
    <w:rsid w:val="00D267E5"/>
    <w:rsid w:val="00D26E8F"/>
    <w:rsid w:val="00D26EF9"/>
    <w:rsid w:val="00D2754D"/>
    <w:rsid w:val="00D278CA"/>
    <w:rsid w:val="00D27B27"/>
    <w:rsid w:val="00D27E51"/>
    <w:rsid w:val="00D27E68"/>
    <w:rsid w:val="00D30168"/>
    <w:rsid w:val="00D303D3"/>
    <w:rsid w:val="00D305A3"/>
    <w:rsid w:val="00D30A54"/>
    <w:rsid w:val="00D30D5B"/>
    <w:rsid w:val="00D31273"/>
    <w:rsid w:val="00D312E7"/>
    <w:rsid w:val="00D31724"/>
    <w:rsid w:val="00D31896"/>
    <w:rsid w:val="00D31D98"/>
    <w:rsid w:val="00D32777"/>
    <w:rsid w:val="00D32BC7"/>
    <w:rsid w:val="00D32BDE"/>
    <w:rsid w:val="00D33607"/>
    <w:rsid w:val="00D3385F"/>
    <w:rsid w:val="00D33BE9"/>
    <w:rsid w:val="00D33F02"/>
    <w:rsid w:val="00D33F93"/>
    <w:rsid w:val="00D33FA4"/>
    <w:rsid w:val="00D3436F"/>
    <w:rsid w:val="00D34914"/>
    <w:rsid w:val="00D34C8E"/>
    <w:rsid w:val="00D34EF4"/>
    <w:rsid w:val="00D35093"/>
    <w:rsid w:val="00D35294"/>
    <w:rsid w:val="00D35303"/>
    <w:rsid w:val="00D354D6"/>
    <w:rsid w:val="00D357FF"/>
    <w:rsid w:val="00D37454"/>
    <w:rsid w:val="00D377D6"/>
    <w:rsid w:val="00D37811"/>
    <w:rsid w:val="00D40069"/>
    <w:rsid w:val="00D415CE"/>
    <w:rsid w:val="00D41CA2"/>
    <w:rsid w:val="00D41FA0"/>
    <w:rsid w:val="00D424C7"/>
    <w:rsid w:val="00D42B0F"/>
    <w:rsid w:val="00D430EC"/>
    <w:rsid w:val="00D4327F"/>
    <w:rsid w:val="00D43B2A"/>
    <w:rsid w:val="00D43CF1"/>
    <w:rsid w:val="00D43D83"/>
    <w:rsid w:val="00D44C18"/>
    <w:rsid w:val="00D453D3"/>
    <w:rsid w:val="00D454BF"/>
    <w:rsid w:val="00D45538"/>
    <w:rsid w:val="00D45754"/>
    <w:rsid w:val="00D45CCE"/>
    <w:rsid w:val="00D45E45"/>
    <w:rsid w:val="00D46CAA"/>
    <w:rsid w:val="00D47575"/>
    <w:rsid w:val="00D47999"/>
    <w:rsid w:val="00D47EFA"/>
    <w:rsid w:val="00D50287"/>
    <w:rsid w:val="00D50ABB"/>
    <w:rsid w:val="00D50B61"/>
    <w:rsid w:val="00D510F1"/>
    <w:rsid w:val="00D5133E"/>
    <w:rsid w:val="00D5138B"/>
    <w:rsid w:val="00D51427"/>
    <w:rsid w:val="00D514FE"/>
    <w:rsid w:val="00D51A05"/>
    <w:rsid w:val="00D51B90"/>
    <w:rsid w:val="00D520D1"/>
    <w:rsid w:val="00D52142"/>
    <w:rsid w:val="00D52199"/>
    <w:rsid w:val="00D5243B"/>
    <w:rsid w:val="00D52854"/>
    <w:rsid w:val="00D53022"/>
    <w:rsid w:val="00D5317C"/>
    <w:rsid w:val="00D533EC"/>
    <w:rsid w:val="00D53C71"/>
    <w:rsid w:val="00D54327"/>
    <w:rsid w:val="00D54855"/>
    <w:rsid w:val="00D54E6B"/>
    <w:rsid w:val="00D55721"/>
    <w:rsid w:val="00D55788"/>
    <w:rsid w:val="00D55E2A"/>
    <w:rsid w:val="00D55F21"/>
    <w:rsid w:val="00D55FFC"/>
    <w:rsid w:val="00D564F7"/>
    <w:rsid w:val="00D56550"/>
    <w:rsid w:val="00D56628"/>
    <w:rsid w:val="00D56A95"/>
    <w:rsid w:val="00D56CA9"/>
    <w:rsid w:val="00D5725F"/>
    <w:rsid w:val="00D5784A"/>
    <w:rsid w:val="00D57CCD"/>
    <w:rsid w:val="00D60086"/>
    <w:rsid w:val="00D6076E"/>
    <w:rsid w:val="00D60BA4"/>
    <w:rsid w:val="00D60E05"/>
    <w:rsid w:val="00D60EE6"/>
    <w:rsid w:val="00D61A39"/>
    <w:rsid w:val="00D61A41"/>
    <w:rsid w:val="00D61EE0"/>
    <w:rsid w:val="00D620E2"/>
    <w:rsid w:val="00D62B07"/>
    <w:rsid w:val="00D62D47"/>
    <w:rsid w:val="00D62E15"/>
    <w:rsid w:val="00D63169"/>
    <w:rsid w:val="00D6341E"/>
    <w:rsid w:val="00D635A9"/>
    <w:rsid w:val="00D63846"/>
    <w:rsid w:val="00D63AE9"/>
    <w:rsid w:val="00D6422E"/>
    <w:rsid w:val="00D644F6"/>
    <w:rsid w:val="00D64551"/>
    <w:rsid w:val="00D64575"/>
    <w:rsid w:val="00D65333"/>
    <w:rsid w:val="00D656B5"/>
    <w:rsid w:val="00D657D5"/>
    <w:rsid w:val="00D6593C"/>
    <w:rsid w:val="00D65D13"/>
    <w:rsid w:val="00D67E01"/>
    <w:rsid w:val="00D70178"/>
    <w:rsid w:val="00D709F7"/>
    <w:rsid w:val="00D70F16"/>
    <w:rsid w:val="00D7160A"/>
    <w:rsid w:val="00D71A5D"/>
    <w:rsid w:val="00D72617"/>
    <w:rsid w:val="00D7299D"/>
    <w:rsid w:val="00D72A01"/>
    <w:rsid w:val="00D72B61"/>
    <w:rsid w:val="00D72F50"/>
    <w:rsid w:val="00D72F57"/>
    <w:rsid w:val="00D73347"/>
    <w:rsid w:val="00D7371C"/>
    <w:rsid w:val="00D73B05"/>
    <w:rsid w:val="00D73B95"/>
    <w:rsid w:val="00D73CB6"/>
    <w:rsid w:val="00D73E1C"/>
    <w:rsid w:val="00D7438F"/>
    <w:rsid w:val="00D74837"/>
    <w:rsid w:val="00D749F8"/>
    <w:rsid w:val="00D7522D"/>
    <w:rsid w:val="00D75410"/>
    <w:rsid w:val="00D75F7B"/>
    <w:rsid w:val="00D76157"/>
    <w:rsid w:val="00D76458"/>
    <w:rsid w:val="00D76627"/>
    <w:rsid w:val="00D7695B"/>
    <w:rsid w:val="00D76A44"/>
    <w:rsid w:val="00D7741A"/>
    <w:rsid w:val="00D77C65"/>
    <w:rsid w:val="00D77E65"/>
    <w:rsid w:val="00D80637"/>
    <w:rsid w:val="00D8066F"/>
    <w:rsid w:val="00D80693"/>
    <w:rsid w:val="00D807ED"/>
    <w:rsid w:val="00D80C7D"/>
    <w:rsid w:val="00D8126E"/>
    <w:rsid w:val="00D815EF"/>
    <w:rsid w:val="00D81949"/>
    <w:rsid w:val="00D81D3F"/>
    <w:rsid w:val="00D81F26"/>
    <w:rsid w:val="00D82066"/>
    <w:rsid w:val="00D821B0"/>
    <w:rsid w:val="00D822C3"/>
    <w:rsid w:val="00D822E2"/>
    <w:rsid w:val="00D82593"/>
    <w:rsid w:val="00D8270E"/>
    <w:rsid w:val="00D8398C"/>
    <w:rsid w:val="00D83D80"/>
    <w:rsid w:val="00D843F2"/>
    <w:rsid w:val="00D84C17"/>
    <w:rsid w:val="00D84F40"/>
    <w:rsid w:val="00D85ADD"/>
    <w:rsid w:val="00D85D3C"/>
    <w:rsid w:val="00D86231"/>
    <w:rsid w:val="00D863A7"/>
    <w:rsid w:val="00D86C2B"/>
    <w:rsid w:val="00D86C70"/>
    <w:rsid w:val="00D875F9"/>
    <w:rsid w:val="00D902E9"/>
    <w:rsid w:val="00D9063E"/>
    <w:rsid w:val="00D907DD"/>
    <w:rsid w:val="00D912AB"/>
    <w:rsid w:val="00D91923"/>
    <w:rsid w:val="00D924EE"/>
    <w:rsid w:val="00D926D4"/>
    <w:rsid w:val="00D92752"/>
    <w:rsid w:val="00D92D9D"/>
    <w:rsid w:val="00D93529"/>
    <w:rsid w:val="00D93753"/>
    <w:rsid w:val="00D93863"/>
    <w:rsid w:val="00D93915"/>
    <w:rsid w:val="00D9462B"/>
    <w:rsid w:val="00D94783"/>
    <w:rsid w:val="00D947BD"/>
    <w:rsid w:val="00D948B4"/>
    <w:rsid w:val="00D94AF1"/>
    <w:rsid w:val="00D94F2B"/>
    <w:rsid w:val="00D95187"/>
    <w:rsid w:val="00D9529F"/>
    <w:rsid w:val="00D953CB"/>
    <w:rsid w:val="00D95470"/>
    <w:rsid w:val="00D95B25"/>
    <w:rsid w:val="00D95F59"/>
    <w:rsid w:val="00D95FF5"/>
    <w:rsid w:val="00D96B02"/>
    <w:rsid w:val="00D97092"/>
    <w:rsid w:val="00D97466"/>
    <w:rsid w:val="00D97671"/>
    <w:rsid w:val="00D97FA2"/>
    <w:rsid w:val="00DA0065"/>
    <w:rsid w:val="00DA046C"/>
    <w:rsid w:val="00DA062B"/>
    <w:rsid w:val="00DA070D"/>
    <w:rsid w:val="00DA07E1"/>
    <w:rsid w:val="00DA0FF3"/>
    <w:rsid w:val="00DA1040"/>
    <w:rsid w:val="00DA1869"/>
    <w:rsid w:val="00DA1923"/>
    <w:rsid w:val="00DA1993"/>
    <w:rsid w:val="00DA1B01"/>
    <w:rsid w:val="00DA1EDD"/>
    <w:rsid w:val="00DA211C"/>
    <w:rsid w:val="00DA23CC"/>
    <w:rsid w:val="00DA2CB6"/>
    <w:rsid w:val="00DA3167"/>
    <w:rsid w:val="00DA396A"/>
    <w:rsid w:val="00DA3B95"/>
    <w:rsid w:val="00DA3CB5"/>
    <w:rsid w:val="00DA3EDE"/>
    <w:rsid w:val="00DA4049"/>
    <w:rsid w:val="00DA4620"/>
    <w:rsid w:val="00DA4DC3"/>
    <w:rsid w:val="00DA5B56"/>
    <w:rsid w:val="00DA5E22"/>
    <w:rsid w:val="00DA61CA"/>
    <w:rsid w:val="00DA6240"/>
    <w:rsid w:val="00DA69BD"/>
    <w:rsid w:val="00DA6ABD"/>
    <w:rsid w:val="00DA74D4"/>
    <w:rsid w:val="00DA7562"/>
    <w:rsid w:val="00DA7777"/>
    <w:rsid w:val="00DA77A5"/>
    <w:rsid w:val="00DA7F45"/>
    <w:rsid w:val="00DB04BC"/>
    <w:rsid w:val="00DB04EB"/>
    <w:rsid w:val="00DB0655"/>
    <w:rsid w:val="00DB06F6"/>
    <w:rsid w:val="00DB0D1A"/>
    <w:rsid w:val="00DB0E36"/>
    <w:rsid w:val="00DB1BF5"/>
    <w:rsid w:val="00DB1E08"/>
    <w:rsid w:val="00DB1E7A"/>
    <w:rsid w:val="00DB2723"/>
    <w:rsid w:val="00DB308B"/>
    <w:rsid w:val="00DB3878"/>
    <w:rsid w:val="00DB3A15"/>
    <w:rsid w:val="00DB3BF4"/>
    <w:rsid w:val="00DB3DBF"/>
    <w:rsid w:val="00DB3EE2"/>
    <w:rsid w:val="00DB42BA"/>
    <w:rsid w:val="00DB4388"/>
    <w:rsid w:val="00DB446B"/>
    <w:rsid w:val="00DB470E"/>
    <w:rsid w:val="00DB484F"/>
    <w:rsid w:val="00DB4EF0"/>
    <w:rsid w:val="00DB50CA"/>
    <w:rsid w:val="00DB52A8"/>
    <w:rsid w:val="00DB5489"/>
    <w:rsid w:val="00DB56A9"/>
    <w:rsid w:val="00DB5D9A"/>
    <w:rsid w:val="00DB6A8E"/>
    <w:rsid w:val="00DC0322"/>
    <w:rsid w:val="00DC04F6"/>
    <w:rsid w:val="00DC0690"/>
    <w:rsid w:val="00DC0807"/>
    <w:rsid w:val="00DC1595"/>
    <w:rsid w:val="00DC175A"/>
    <w:rsid w:val="00DC182B"/>
    <w:rsid w:val="00DC1918"/>
    <w:rsid w:val="00DC1B53"/>
    <w:rsid w:val="00DC1D65"/>
    <w:rsid w:val="00DC1E75"/>
    <w:rsid w:val="00DC1F71"/>
    <w:rsid w:val="00DC202A"/>
    <w:rsid w:val="00DC22D9"/>
    <w:rsid w:val="00DC24ED"/>
    <w:rsid w:val="00DC3BFF"/>
    <w:rsid w:val="00DC3C57"/>
    <w:rsid w:val="00DC4B06"/>
    <w:rsid w:val="00DC4C61"/>
    <w:rsid w:val="00DC5028"/>
    <w:rsid w:val="00DC50E9"/>
    <w:rsid w:val="00DC5501"/>
    <w:rsid w:val="00DC5B44"/>
    <w:rsid w:val="00DC5D39"/>
    <w:rsid w:val="00DC5DE4"/>
    <w:rsid w:val="00DC6B44"/>
    <w:rsid w:val="00DC7154"/>
    <w:rsid w:val="00DC7219"/>
    <w:rsid w:val="00DC7D3C"/>
    <w:rsid w:val="00DC7E8A"/>
    <w:rsid w:val="00DC7FF0"/>
    <w:rsid w:val="00DD0129"/>
    <w:rsid w:val="00DD08FE"/>
    <w:rsid w:val="00DD0F78"/>
    <w:rsid w:val="00DD1224"/>
    <w:rsid w:val="00DD1486"/>
    <w:rsid w:val="00DD1ABD"/>
    <w:rsid w:val="00DD1D3F"/>
    <w:rsid w:val="00DD1FA2"/>
    <w:rsid w:val="00DD1FAD"/>
    <w:rsid w:val="00DD273C"/>
    <w:rsid w:val="00DD2997"/>
    <w:rsid w:val="00DD31F7"/>
    <w:rsid w:val="00DD378C"/>
    <w:rsid w:val="00DD3F28"/>
    <w:rsid w:val="00DD3F49"/>
    <w:rsid w:val="00DD3F59"/>
    <w:rsid w:val="00DD4331"/>
    <w:rsid w:val="00DD43C3"/>
    <w:rsid w:val="00DD4446"/>
    <w:rsid w:val="00DD4537"/>
    <w:rsid w:val="00DD4E15"/>
    <w:rsid w:val="00DD540C"/>
    <w:rsid w:val="00DD5953"/>
    <w:rsid w:val="00DD600E"/>
    <w:rsid w:val="00DD6290"/>
    <w:rsid w:val="00DD7303"/>
    <w:rsid w:val="00DD754B"/>
    <w:rsid w:val="00DD7B94"/>
    <w:rsid w:val="00DD7BE4"/>
    <w:rsid w:val="00DE0601"/>
    <w:rsid w:val="00DE0856"/>
    <w:rsid w:val="00DE0A4F"/>
    <w:rsid w:val="00DE1203"/>
    <w:rsid w:val="00DE1661"/>
    <w:rsid w:val="00DE22B6"/>
    <w:rsid w:val="00DE2304"/>
    <w:rsid w:val="00DE2D1D"/>
    <w:rsid w:val="00DE2D4D"/>
    <w:rsid w:val="00DE30BD"/>
    <w:rsid w:val="00DE3138"/>
    <w:rsid w:val="00DE358F"/>
    <w:rsid w:val="00DE37F8"/>
    <w:rsid w:val="00DE4273"/>
    <w:rsid w:val="00DE4783"/>
    <w:rsid w:val="00DE4C39"/>
    <w:rsid w:val="00DE4D97"/>
    <w:rsid w:val="00DE4FCB"/>
    <w:rsid w:val="00DE512F"/>
    <w:rsid w:val="00DE53C1"/>
    <w:rsid w:val="00DE5C41"/>
    <w:rsid w:val="00DE5D07"/>
    <w:rsid w:val="00DE5D42"/>
    <w:rsid w:val="00DE5DFF"/>
    <w:rsid w:val="00DE6A5A"/>
    <w:rsid w:val="00DE6BF4"/>
    <w:rsid w:val="00DE6C40"/>
    <w:rsid w:val="00DE6DB6"/>
    <w:rsid w:val="00DE6ED1"/>
    <w:rsid w:val="00DE72A7"/>
    <w:rsid w:val="00DE7832"/>
    <w:rsid w:val="00DF0D8A"/>
    <w:rsid w:val="00DF0F3A"/>
    <w:rsid w:val="00DF1049"/>
    <w:rsid w:val="00DF12E0"/>
    <w:rsid w:val="00DF14D5"/>
    <w:rsid w:val="00DF1761"/>
    <w:rsid w:val="00DF18FC"/>
    <w:rsid w:val="00DF1A53"/>
    <w:rsid w:val="00DF1FB3"/>
    <w:rsid w:val="00DF2074"/>
    <w:rsid w:val="00DF20D9"/>
    <w:rsid w:val="00DF2122"/>
    <w:rsid w:val="00DF2258"/>
    <w:rsid w:val="00DF27CF"/>
    <w:rsid w:val="00DF2F0E"/>
    <w:rsid w:val="00DF2F4D"/>
    <w:rsid w:val="00DF3150"/>
    <w:rsid w:val="00DF3FA3"/>
    <w:rsid w:val="00DF44BE"/>
    <w:rsid w:val="00DF44C6"/>
    <w:rsid w:val="00DF53B6"/>
    <w:rsid w:val="00DF5669"/>
    <w:rsid w:val="00DF5671"/>
    <w:rsid w:val="00DF5D2B"/>
    <w:rsid w:val="00DF5F0C"/>
    <w:rsid w:val="00DF62F9"/>
    <w:rsid w:val="00DF6341"/>
    <w:rsid w:val="00DF6471"/>
    <w:rsid w:val="00DF6DE0"/>
    <w:rsid w:val="00DF7BCC"/>
    <w:rsid w:val="00DF7F49"/>
    <w:rsid w:val="00E00D74"/>
    <w:rsid w:val="00E00E8E"/>
    <w:rsid w:val="00E01748"/>
    <w:rsid w:val="00E01C8C"/>
    <w:rsid w:val="00E01F88"/>
    <w:rsid w:val="00E01FEC"/>
    <w:rsid w:val="00E023DA"/>
    <w:rsid w:val="00E025FE"/>
    <w:rsid w:val="00E0267D"/>
    <w:rsid w:val="00E0334B"/>
    <w:rsid w:val="00E03B20"/>
    <w:rsid w:val="00E03F27"/>
    <w:rsid w:val="00E041C7"/>
    <w:rsid w:val="00E041C9"/>
    <w:rsid w:val="00E04FEB"/>
    <w:rsid w:val="00E04FF4"/>
    <w:rsid w:val="00E05630"/>
    <w:rsid w:val="00E05747"/>
    <w:rsid w:val="00E05C6A"/>
    <w:rsid w:val="00E05C84"/>
    <w:rsid w:val="00E061A3"/>
    <w:rsid w:val="00E068BE"/>
    <w:rsid w:val="00E06A9C"/>
    <w:rsid w:val="00E06DBB"/>
    <w:rsid w:val="00E06F69"/>
    <w:rsid w:val="00E06FE7"/>
    <w:rsid w:val="00E071D6"/>
    <w:rsid w:val="00E07576"/>
    <w:rsid w:val="00E07B30"/>
    <w:rsid w:val="00E07F62"/>
    <w:rsid w:val="00E1004E"/>
    <w:rsid w:val="00E10149"/>
    <w:rsid w:val="00E10797"/>
    <w:rsid w:val="00E10A8B"/>
    <w:rsid w:val="00E11073"/>
    <w:rsid w:val="00E110D6"/>
    <w:rsid w:val="00E11340"/>
    <w:rsid w:val="00E11537"/>
    <w:rsid w:val="00E11617"/>
    <w:rsid w:val="00E11D4F"/>
    <w:rsid w:val="00E11FC3"/>
    <w:rsid w:val="00E122A1"/>
    <w:rsid w:val="00E12627"/>
    <w:rsid w:val="00E128BD"/>
    <w:rsid w:val="00E12C36"/>
    <w:rsid w:val="00E12C47"/>
    <w:rsid w:val="00E14402"/>
    <w:rsid w:val="00E145A8"/>
    <w:rsid w:val="00E14973"/>
    <w:rsid w:val="00E14C08"/>
    <w:rsid w:val="00E14D18"/>
    <w:rsid w:val="00E151CE"/>
    <w:rsid w:val="00E154A1"/>
    <w:rsid w:val="00E15658"/>
    <w:rsid w:val="00E1594B"/>
    <w:rsid w:val="00E15D46"/>
    <w:rsid w:val="00E16372"/>
    <w:rsid w:val="00E16AD8"/>
    <w:rsid w:val="00E16D68"/>
    <w:rsid w:val="00E170F5"/>
    <w:rsid w:val="00E178A9"/>
    <w:rsid w:val="00E17FFA"/>
    <w:rsid w:val="00E20022"/>
    <w:rsid w:val="00E20709"/>
    <w:rsid w:val="00E208AF"/>
    <w:rsid w:val="00E20C62"/>
    <w:rsid w:val="00E20D7A"/>
    <w:rsid w:val="00E20E4D"/>
    <w:rsid w:val="00E20ED6"/>
    <w:rsid w:val="00E211CF"/>
    <w:rsid w:val="00E21358"/>
    <w:rsid w:val="00E2183E"/>
    <w:rsid w:val="00E218D5"/>
    <w:rsid w:val="00E2227D"/>
    <w:rsid w:val="00E2249B"/>
    <w:rsid w:val="00E229B4"/>
    <w:rsid w:val="00E22A0D"/>
    <w:rsid w:val="00E22D71"/>
    <w:rsid w:val="00E235C3"/>
    <w:rsid w:val="00E23729"/>
    <w:rsid w:val="00E2381B"/>
    <w:rsid w:val="00E23D37"/>
    <w:rsid w:val="00E244F6"/>
    <w:rsid w:val="00E250F1"/>
    <w:rsid w:val="00E258DB"/>
    <w:rsid w:val="00E261DE"/>
    <w:rsid w:val="00E26426"/>
    <w:rsid w:val="00E26E2A"/>
    <w:rsid w:val="00E2771E"/>
    <w:rsid w:val="00E278E5"/>
    <w:rsid w:val="00E3000B"/>
    <w:rsid w:val="00E3013A"/>
    <w:rsid w:val="00E3033E"/>
    <w:rsid w:val="00E3037A"/>
    <w:rsid w:val="00E306AD"/>
    <w:rsid w:val="00E30E7D"/>
    <w:rsid w:val="00E30E82"/>
    <w:rsid w:val="00E30F47"/>
    <w:rsid w:val="00E30F93"/>
    <w:rsid w:val="00E310AA"/>
    <w:rsid w:val="00E311EF"/>
    <w:rsid w:val="00E31812"/>
    <w:rsid w:val="00E31BB7"/>
    <w:rsid w:val="00E31ED3"/>
    <w:rsid w:val="00E32180"/>
    <w:rsid w:val="00E329B2"/>
    <w:rsid w:val="00E32CD9"/>
    <w:rsid w:val="00E336A3"/>
    <w:rsid w:val="00E33962"/>
    <w:rsid w:val="00E339A4"/>
    <w:rsid w:val="00E33CAE"/>
    <w:rsid w:val="00E34948"/>
    <w:rsid w:val="00E349C0"/>
    <w:rsid w:val="00E34C74"/>
    <w:rsid w:val="00E354F2"/>
    <w:rsid w:val="00E35CB9"/>
    <w:rsid w:val="00E35F1B"/>
    <w:rsid w:val="00E35F25"/>
    <w:rsid w:val="00E361B9"/>
    <w:rsid w:val="00E362C2"/>
    <w:rsid w:val="00E36ABC"/>
    <w:rsid w:val="00E36F6A"/>
    <w:rsid w:val="00E36FCE"/>
    <w:rsid w:val="00E37569"/>
    <w:rsid w:val="00E37FD5"/>
    <w:rsid w:val="00E401B2"/>
    <w:rsid w:val="00E40604"/>
    <w:rsid w:val="00E40689"/>
    <w:rsid w:val="00E40FCE"/>
    <w:rsid w:val="00E4101C"/>
    <w:rsid w:val="00E41B42"/>
    <w:rsid w:val="00E41D17"/>
    <w:rsid w:val="00E41E30"/>
    <w:rsid w:val="00E42628"/>
    <w:rsid w:val="00E4265B"/>
    <w:rsid w:val="00E42C52"/>
    <w:rsid w:val="00E42F73"/>
    <w:rsid w:val="00E43396"/>
    <w:rsid w:val="00E433CF"/>
    <w:rsid w:val="00E43843"/>
    <w:rsid w:val="00E43972"/>
    <w:rsid w:val="00E43D70"/>
    <w:rsid w:val="00E4544C"/>
    <w:rsid w:val="00E45894"/>
    <w:rsid w:val="00E45BDA"/>
    <w:rsid w:val="00E45E55"/>
    <w:rsid w:val="00E45F21"/>
    <w:rsid w:val="00E46086"/>
    <w:rsid w:val="00E46371"/>
    <w:rsid w:val="00E463C3"/>
    <w:rsid w:val="00E466F3"/>
    <w:rsid w:val="00E46AD4"/>
    <w:rsid w:val="00E474DF"/>
    <w:rsid w:val="00E47B2C"/>
    <w:rsid w:val="00E50508"/>
    <w:rsid w:val="00E50D8F"/>
    <w:rsid w:val="00E512B5"/>
    <w:rsid w:val="00E51560"/>
    <w:rsid w:val="00E51821"/>
    <w:rsid w:val="00E51CE6"/>
    <w:rsid w:val="00E52078"/>
    <w:rsid w:val="00E5291E"/>
    <w:rsid w:val="00E52947"/>
    <w:rsid w:val="00E53A93"/>
    <w:rsid w:val="00E53B5A"/>
    <w:rsid w:val="00E53E3E"/>
    <w:rsid w:val="00E53F01"/>
    <w:rsid w:val="00E53FC8"/>
    <w:rsid w:val="00E54347"/>
    <w:rsid w:val="00E54CA9"/>
    <w:rsid w:val="00E54E9E"/>
    <w:rsid w:val="00E551F9"/>
    <w:rsid w:val="00E5541A"/>
    <w:rsid w:val="00E55424"/>
    <w:rsid w:val="00E555C6"/>
    <w:rsid w:val="00E558C3"/>
    <w:rsid w:val="00E55915"/>
    <w:rsid w:val="00E55BB5"/>
    <w:rsid w:val="00E565A5"/>
    <w:rsid w:val="00E565D8"/>
    <w:rsid w:val="00E56B32"/>
    <w:rsid w:val="00E56D2C"/>
    <w:rsid w:val="00E570D1"/>
    <w:rsid w:val="00E6049E"/>
    <w:rsid w:val="00E6050A"/>
    <w:rsid w:val="00E611DF"/>
    <w:rsid w:val="00E61991"/>
    <w:rsid w:val="00E61A25"/>
    <w:rsid w:val="00E61BED"/>
    <w:rsid w:val="00E61DE4"/>
    <w:rsid w:val="00E6237D"/>
    <w:rsid w:val="00E623DF"/>
    <w:rsid w:val="00E62BA7"/>
    <w:rsid w:val="00E62D7F"/>
    <w:rsid w:val="00E642A4"/>
    <w:rsid w:val="00E642A8"/>
    <w:rsid w:val="00E6451D"/>
    <w:rsid w:val="00E646F7"/>
    <w:rsid w:val="00E6488B"/>
    <w:rsid w:val="00E64A9D"/>
    <w:rsid w:val="00E64D58"/>
    <w:rsid w:val="00E659BF"/>
    <w:rsid w:val="00E65A1F"/>
    <w:rsid w:val="00E65E79"/>
    <w:rsid w:val="00E65F21"/>
    <w:rsid w:val="00E66496"/>
    <w:rsid w:val="00E666BD"/>
    <w:rsid w:val="00E66892"/>
    <w:rsid w:val="00E66BA2"/>
    <w:rsid w:val="00E66BAB"/>
    <w:rsid w:val="00E67416"/>
    <w:rsid w:val="00E6779E"/>
    <w:rsid w:val="00E67F3A"/>
    <w:rsid w:val="00E70257"/>
    <w:rsid w:val="00E70560"/>
    <w:rsid w:val="00E70C14"/>
    <w:rsid w:val="00E70F40"/>
    <w:rsid w:val="00E718B6"/>
    <w:rsid w:val="00E7190F"/>
    <w:rsid w:val="00E71A2D"/>
    <w:rsid w:val="00E72084"/>
    <w:rsid w:val="00E722C4"/>
    <w:rsid w:val="00E723BA"/>
    <w:rsid w:val="00E73240"/>
    <w:rsid w:val="00E73348"/>
    <w:rsid w:val="00E733B7"/>
    <w:rsid w:val="00E73581"/>
    <w:rsid w:val="00E737F9"/>
    <w:rsid w:val="00E73DC7"/>
    <w:rsid w:val="00E74450"/>
    <w:rsid w:val="00E74551"/>
    <w:rsid w:val="00E7487A"/>
    <w:rsid w:val="00E74B28"/>
    <w:rsid w:val="00E74F39"/>
    <w:rsid w:val="00E751E7"/>
    <w:rsid w:val="00E760CC"/>
    <w:rsid w:val="00E761D8"/>
    <w:rsid w:val="00E765C3"/>
    <w:rsid w:val="00E76A41"/>
    <w:rsid w:val="00E76B0E"/>
    <w:rsid w:val="00E76C53"/>
    <w:rsid w:val="00E770CA"/>
    <w:rsid w:val="00E77161"/>
    <w:rsid w:val="00E771DB"/>
    <w:rsid w:val="00E77DD2"/>
    <w:rsid w:val="00E77E58"/>
    <w:rsid w:val="00E802AA"/>
    <w:rsid w:val="00E80454"/>
    <w:rsid w:val="00E8056F"/>
    <w:rsid w:val="00E806A6"/>
    <w:rsid w:val="00E806D1"/>
    <w:rsid w:val="00E8076D"/>
    <w:rsid w:val="00E80B9C"/>
    <w:rsid w:val="00E81D0A"/>
    <w:rsid w:val="00E81DBB"/>
    <w:rsid w:val="00E82019"/>
    <w:rsid w:val="00E820C4"/>
    <w:rsid w:val="00E8212E"/>
    <w:rsid w:val="00E82377"/>
    <w:rsid w:val="00E829E5"/>
    <w:rsid w:val="00E82A46"/>
    <w:rsid w:val="00E833B8"/>
    <w:rsid w:val="00E833F7"/>
    <w:rsid w:val="00E836FD"/>
    <w:rsid w:val="00E837C5"/>
    <w:rsid w:val="00E837CE"/>
    <w:rsid w:val="00E839D3"/>
    <w:rsid w:val="00E83BC7"/>
    <w:rsid w:val="00E83BDF"/>
    <w:rsid w:val="00E846DC"/>
    <w:rsid w:val="00E8499F"/>
    <w:rsid w:val="00E849C2"/>
    <w:rsid w:val="00E84FF9"/>
    <w:rsid w:val="00E85100"/>
    <w:rsid w:val="00E852FA"/>
    <w:rsid w:val="00E85B89"/>
    <w:rsid w:val="00E85E0C"/>
    <w:rsid w:val="00E86357"/>
    <w:rsid w:val="00E86765"/>
    <w:rsid w:val="00E86FCC"/>
    <w:rsid w:val="00E873FB"/>
    <w:rsid w:val="00E8757F"/>
    <w:rsid w:val="00E87A1D"/>
    <w:rsid w:val="00E87BA4"/>
    <w:rsid w:val="00E9001A"/>
    <w:rsid w:val="00E9042B"/>
    <w:rsid w:val="00E90651"/>
    <w:rsid w:val="00E9094A"/>
    <w:rsid w:val="00E90971"/>
    <w:rsid w:val="00E90B1F"/>
    <w:rsid w:val="00E90C91"/>
    <w:rsid w:val="00E91377"/>
    <w:rsid w:val="00E91477"/>
    <w:rsid w:val="00E9167B"/>
    <w:rsid w:val="00E91A6F"/>
    <w:rsid w:val="00E91B57"/>
    <w:rsid w:val="00E91D35"/>
    <w:rsid w:val="00E926A5"/>
    <w:rsid w:val="00E927DE"/>
    <w:rsid w:val="00E9314D"/>
    <w:rsid w:val="00E9320C"/>
    <w:rsid w:val="00E934F3"/>
    <w:rsid w:val="00E937E8"/>
    <w:rsid w:val="00E93C0F"/>
    <w:rsid w:val="00E93DA5"/>
    <w:rsid w:val="00E9454F"/>
    <w:rsid w:val="00E948E1"/>
    <w:rsid w:val="00E9568F"/>
    <w:rsid w:val="00E9594B"/>
    <w:rsid w:val="00E962CC"/>
    <w:rsid w:val="00E96577"/>
    <w:rsid w:val="00E97484"/>
    <w:rsid w:val="00E974C6"/>
    <w:rsid w:val="00E97F92"/>
    <w:rsid w:val="00EA0128"/>
    <w:rsid w:val="00EA06BF"/>
    <w:rsid w:val="00EA0A4F"/>
    <w:rsid w:val="00EA0C11"/>
    <w:rsid w:val="00EA171E"/>
    <w:rsid w:val="00EA17C3"/>
    <w:rsid w:val="00EA19EE"/>
    <w:rsid w:val="00EA1B44"/>
    <w:rsid w:val="00EA1B54"/>
    <w:rsid w:val="00EA1F20"/>
    <w:rsid w:val="00EA208D"/>
    <w:rsid w:val="00EA2944"/>
    <w:rsid w:val="00EA2CAA"/>
    <w:rsid w:val="00EA2D77"/>
    <w:rsid w:val="00EA3241"/>
    <w:rsid w:val="00EA3864"/>
    <w:rsid w:val="00EA3930"/>
    <w:rsid w:val="00EA399C"/>
    <w:rsid w:val="00EA3BF1"/>
    <w:rsid w:val="00EA400B"/>
    <w:rsid w:val="00EA4A90"/>
    <w:rsid w:val="00EA567B"/>
    <w:rsid w:val="00EA5B45"/>
    <w:rsid w:val="00EA60C4"/>
    <w:rsid w:val="00EA6158"/>
    <w:rsid w:val="00EA6643"/>
    <w:rsid w:val="00EA6B08"/>
    <w:rsid w:val="00EA73C0"/>
    <w:rsid w:val="00EA7401"/>
    <w:rsid w:val="00EA778F"/>
    <w:rsid w:val="00EA7ACB"/>
    <w:rsid w:val="00EA7F1C"/>
    <w:rsid w:val="00EA7F7E"/>
    <w:rsid w:val="00EB001E"/>
    <w:rsid w:val="00EB0465"/>
    <w:rsid w:val="00EB073B"/>
    <w:rsid w:val="00EB10B5"/>
    <w:rsid w:val="00EB159E"/>
    <w:rsid w:val="00EB15B6"/>
    <w:rsid w:val="00EB1908"/>
    <w:rsid w:val="00EB1A9B"/>
    <w:rsid w:val="00EB23D4"/>
    <w:rsid w:val="00EB2667"/>
    <w:rsid w:val="00EB2895"/>
    <w:rsid w:val="00EB2AF7"/>
    <w:rsid w:val="00EB2D68"/>
    <w:rsid w:val="00EB39E7"/>
    <w:rsid w:val="00EB3D06"/>
    <w:rsid w:val="00EB3EE5"/>
    <w:rsid w:val="00EB4242"/>
    <w:rsid w:val="00EB4916"/>
    <w:rsid w:val="00EB4AFA"/>
    <w:rsid w:val="00EB51DF"/>
    <w:rsid w:val="00EB550E"/>
    <w:rsid w:val="00EB55B4"/>
    <w:rsid w:val="00EB55D0"/>
    <w:rsid w:val="00EB5DD7"/>
    <w:rsid w:val="00EB61FE"/>
    <w:rsid w:val="00EB627B"/>
    <w:rsid w:val="00EB658B"/>
    <w:rsid w:val="00EB68AB"/>
    <w:rsid w:val="00EB6BEF"/>
    <w:rsid w:val="00EB6DF6"/>
    <w:rsid w:val="00EB7572"/>
    <w:rsid w:val="00EC00C9"/>
    <w:rsid w:val="00EC055B"/>
    <w:rsid w:val="00EC082F"/>
    <w:rsid w:val="00EC0DD9"/>
    <w:rsid w:val="00EC1271"/>
    <w:rsid w:val="00EC14FB"/>
    <w:rsid w:val="00EC1586"/>
    <w:rsid w:val="00EC17BD"/>
    <w:rsid w:val="00EC1AD5"/>
    <w:rsid w:val="00EC1B81"/>
    <w:rsid w:val="00EC2126"/>
    <w:rsid w:val="00EC21A0"/>
    <w:rsid w:val="00EC2649"/>
    <w:rsid w:val="00EC2FC7"/>
    <w:rsid w:val="00EC31ED"/>
    <w:rsid w:val="00EC37DF"/>
    <w:rsid w:val="00EC3AFE"/>
    <w:rsid w:val="00EC3EA3"/>
    <w:rsid w:val="00EC423F"/>
    <w:rsid w:val="00EC47E5"/>
    <w:rsid w:val="00EC5653"/>
    <w:rsid w:val="00EC582B"/>
    <w:rsid w:val="00EC5836"/>
    <w:rsid w:val="00EC5F36"/>
    <w:rsid w:val="00EC5FB5"/>
    <w:rsid w:val="00EC631C"/>
    <w:rsid w:val="00EC66FB"/>
    <w:rsid w:val="00EC688C"/>
    <w:rsid w:val="00EC6A4D"/>
    <w:rsid w:val="00EC6E37"/>
    <w:rsid w:val="00EC7315"/>
    <w:rsid w:val="00EC761A"/>
    <w:rsid w:val="00EC7647"/>
    <w:rsid w:val="00EC7676"/>
    <w:rsid w:val="00EC77CD"/>
    <w:rsid w:val="00EC7C2C"/>
    <w:rsid w:val="00EC7FC2"/>
    <w:rsid w:val="00ED01AF"/>
    <w:rsid w:val="00ED0289"/>
    <w:rsid w:val="00ED03C4"/>
    <w:rsid w:val="00ED09D5"/>
    <w:rsid w:val="00ED0BEB"/>
    <w:rsid w:val="00ED0CBB"/>
    <w:rsid w:val="00ED0E2C"/>
    <w:rsid w:val="00ED1119"/>
    <w:rsid w:val="00ED11A9"/>
    <w:rsid w:val="00ED12E3"/>
    <w:rsid w:val="00ED1517"/>
    <w:rsid w:val="00ED1B97"/>
    <w:rsid w:val="00ED1D12"/>
    <w:rsid w:val="00ED2306"/>
    <w:rsid w:val="00ED241F"/>
    <w:rsid w:val="00ED25D0"/>
    <w:rsid w:val="00ED29DF"/>
    <w:rsid w:val="00ED3300"/>
    <w:rsid w:val="00ED3468"/>
    <w:rsid w:val="00ED34F0"/>
    <w:rsid w:val="00ED39C7"/>
    <w:rsid w:val="00ED3A12"/>
    <w:rsid w:val="00ED3ACC"/>
    <w:rsid w:val="00ED3DE8"/>
    <w:rsid w:val="00ED4506"/>
    <w:rsid w:val="00ED488D"/>
    <w:rsid w:val="00ED496B"/>
    <w:rsid w:val="00ED4B04"/>
    <w:rsid w:val="00ED4DD6"/>
    <w:rsid w:val="00ED4F9F"/>
    <w:rsid w:val="00ED52BA"/>
    <w:rsid w:val="00ED543B"/>
    <w:rsid w:val="00ED57EA"/>
    <w:rsid w:val="00ED580A"/>
    <w:rsid w:val="00ED5B1A"/>
    <w:rsid w:val="00ED5BD4"/>
    <w:rsid w:val="00ED5C19"/>
    <w:rsid w:val="00ED66D2"/>
    <w:rsid w:val="00ED6754"/>
    <w:rsid w:val="00ED6E2B"/>
    <w:rsid w:val="00ED6EB0"/>
    <w:rsid w:val="00ED718C"/>
    <w:rsid w:val="00ED737F"/>
    <w:rsid w:val="00ED74D2"/>
    <w:rsid w:val="00ED79CF"/>
    <w:rsid w:val="00EE0157"/>
    <w:rsid w:val="00EE044E"/>
    <w:rsid w:val="00EE0682"/>
    <w:rsid w:val="00EE07D3"/>
    <w:rsid w:val="00EE0D50"/>
    <w:rsid w:val="00EE0E42"/>
    <w:rsid w:val="00EE1666"/>
    <w:rsid w:val="00EE17D9"/>
    <w:rsid w:val="00EE1996"/>
    <w:rsid w:val="00EE1C01"/>
    <w:rsid w:val="00EE2289"/>
    <w:rsid w:val="00EE22AF"/>
    <w:rsid w:val="00EE231C"/>
    <w:rsid w:val="00EE29CC"/>
    <w:rsid w:val="00EE2CFE"/>
    <w:rsid w:val="00EE2D5A"/>
    <w:rsid w:val="00EE337C"/>
    <w:rsid w:val="00EE35C6"/>
    <w:rsid w:val="00EE37F5"/>
    <w:rsid w:val="00EE3B9D"/>
    <w:rsid w:val="00EE41E7"/>
    <w:rsid w:val="00EE44B5"/>
    <w:rsid w:val="00EE4734"/>
    <w:rsid w:val="00EE4E43"/>
    <w:rsid w:val="00EE4F82"/>
    <w:rsid w:val="00EE5052"/>
    <w:rsid w:val="00EE51B8"/>
    <w:rsid w:val="00EE5684"/>
    <w:rsid w:val="00EE5B23"/>
    <w:rsid w:val="00EE5ED7"/>
    <w:rsid w:val="00EE67A5"/>
    <w:rsid w:val="00EE6B79"/>
    <w:rsid w:val="00EE7006"/>
    <w:rsid w:val="00EE7434"/>
    <w:rsid w:val="00EE777F"/>
    <w:rsid w:val="00EF0171"/>
    <w:rsid w:val="00EF0258"/>
    <w:rsid w:val="00EF059B"/>
    <w:rsid w:val="00EF06A5"/>
    <w:rsid w:val="00EF0992"/>
    <w:rsid w:val="00EF0F58"/>
    <w:rsid w:val="00EF111C"/>
    <w:rsid w:val="00EF1492"/>
    <w:rsid w:val="00EF1B25"/>
    <w:rsid w:val="00EF1DA0"/>
    <w:rsid w:val="00EF2FC4"/>
    <w:rsid w:val="00EF39A6"/>
    <w:rsid w:val="00EF3AEE"/>
    <w:rsid w:val="00EF3E8C"/>
    <w:rsid w:val="00EF4091"/>
    <w:rsid w:val="00EF40AB"/>
    <w:rsid w:val="00EF46E8"/>
    <w:rsid w:val="00EF4709"/>
    <w:rsid w:val="00EF4747"/>
    <w:rsid w:val="00EF4789"/>
    <w:rsid w:val="00EF47F0"/>
    <w:rsid w:val="00EF4BF8"/>
    <w:rsid w:val="00EF4F6E"/>
    <w:rsid w:val="00EF4F7F"/>
    <w:rsid w:val="00EF55F1"/>
    <w:rsid w:val="00EF5681"/>
    <w:rsid w:val="00EF576A"/>
    <w:rsid w:val="00EF57B1"/>
    <w:rsid w:val="00EF5D54"/>
    <w:rsid w:val="00EF66D8"/>
    <w:rsid w:val="00EF67E2"/>
    <w:rsid w:val="00EF694A"/>
    <w:rsid w:val="00EF6B34"/>
    <w:rsid w:val="00EF78D2"/>
    <w:rsid w:val="00EF7AF6"/>
    <w:rsid w:val="00EF7C76"/>
    <w:rsid w:val="00EF7CB2"/>
    <w:rsid w:val="00EF7E4E"/>
    <w:rsid w:val="00EF7F1B"/>
    <w:rsid w:val="00F00405"/>
    <w:rsid w:val="00F00C53"/>
    <w:rsid w:val="00F00F20"/>
    <w:rsid w:val="00F010D8"/>
    <w:rsid w:val="00F01226"/>
    <w:rsid w:val="00F02253"/>
    <w:rsid w:val="00F025BE"/>
    <w:rsid w:val="00F02919"/>
    <w:rsid w:val="00F03214"/>
    <w:rsid w:val="00F03C2E"/>
    <w:rsid w:val="00F03FB7"/>
    <w:rsid w:val="00F04170"/>
    <w:rsid w:val="00F047F0"/>
    <w:rsid w:val="00F0485A"/>
    <w:rsid w:val="00F04A66"/>
    <w:rsid w:val="00F04B4B"/>
    <w:rsid w:val="00F0516C"/>
    <w:rsid w:val="00F05A86"/>
    <w:rsid w:val="00F05E2D"/>
    <w:rsid w:val="00F067A2"/>
    <w:rsid w:val="00F06851"/>
    <w:rsid w:val="00F06BD0"/>
    <w:rsid w:val="00F073A3"/>
    <w:rsid w:val="00F076FE"/>
    <w:rsid w:val="00F0774F"/>
    <w:rsid w:val="00F07B9E"/>
    <w:rsid w:val="00F07C66"/>
    <w:rsid w:val="00F07C8B"/>
    <w:rsid w:val="00F104EF"/>
    <w:rsid w:val="00F10554"/>
    <w:rsid w:val="00F10620"/>
    <w:rsid w:val="00F109C2"/>
    <w:rsid w:val="00F10B07"/>
    <w:rsid w:val="00F10D52"/>
    <w:rsid w:val="00F1116F"/>
    <w:rsid w:val="00F115DE"/>
    <w:rsid w:val="00F11A8F"/>
    <w:rsid w:val="00F11D0A"/>
    <w:rsid w:val="00F1263A"/>
    <w:rsid w:val="00F13235"/>
    <w:rsid w:val="00F1359E"/>
    <w:rsid w:val="00F137AE"/>
    <w:rsid w:val="00F13898"/>
    <w:rsid w:val="00F139C5"/>
    <w:rsid w:val="00F13CB3"/>
    <w:rsid w:val="00F141B2"/>
    <w:rsid w:val="00F1460A"/>
    <w:rsid w:val="00F1476B"/>
    <w:rsid w:val="00F14918"/>
    <w:rsid w:val="00F15027"/>
    <w:rsid w:val="00F15407"/>
    <w:rsid w:val="00F15B77"/>
    <w:rsid w:val="00F15FA3"/>
    <w:rsid w:val="00F162DB"/>
    <w:rsid w:val="00F16B6C"/>
    <w:rsid w:val="00F1704D"/>
    <w:rsid w:val="00F172EB"/>
    <w:rsid w:val="00F17A89"/>
    <w:rsid w:val="00F17A9E"/>
    <w:rsid w:val="00F2032B"/>
    <w:rsid w:val="00F20FF5"/>
    <w:rsid w:val="00F211C2"/>
    <w:rsid w:val="00F21236"/>
    <w:rsid w:val="00F21FE6"/>
    <w:rsid w:val="00F22016"/>
    <w:rsid w:val="00F228EF"/>
    <w:rsid w:val="00F22B2A"/>
    <w:rsid w:val="00F230DB"/>
    <w:rsid w:val="00F231AD"/>
    <w:rsid w:val="00F239DF"/>
    <w:rsid w:val="00F24837"/>
    <w:rsid w:val="00F24C4F"/>
    <w:rsid w:val="00F24D93"/>
    <w:rsid w:val="00F2575F"/>
    <w:rsid w:val="00F2580A"/>
    <w:rsid w:val="00F25AE2"/>
    <w:rsid w:val="00F25C02"/>
    <w:rsid w:val="00F2677E"/>
    <w:rsid w:val="00F26C68"/>
    <w:rsid w:val="00F27565"/>
    <w:rsid w:val="00F277B5"/>
    <w:rsid w:val="00F27DC5"/>
    <w:rsid w:val="00F30312"/>
    <w:rsid w:val="00F3078F"/>
    <w:rsid w:val="00F30B37"/>
    <w:rsid w:val="00F30D6C"/>
    <w:rsid w:val="00F310D4"/>
    <w:rsid w:val="00F31208"/>
    <w:rsid w:val="00F31A83"/>
    <w:rsid w:val="00F31CA3"/>
    <w:rsid w:val="00F31D23"/>
    <w:rsid w:val="00F31D5A"/>
    <w:rsid w:val="00F31F7E"/>
    <w:rsid w:val="00F32472"/>
    <w:rsid w:val="00F32500"/>
    <w:rsid w:val="00F32A0A"/>
    <w:rsid w:val="00F32B2B"/>
    <w:rsid w:val="00F3319A"/>
    <w:rsid w:val="00F334FC"/>
    <w:rsid w:val="00F335EB"/>
    <w:rsid w:val="00F33828"/>
    <w:rsid w:val="00F33975"/>
    <w:rsid w:val="00F33A74"/>
    <w:rsid w:val="00F33CA6"/>
    <w:rsid w:val="00F33DE9"/>
    <w:rsid w:val="00F33FD9"/>
    <w:rsid w:val="00F340FB"/>
    <w:rsid w:val="00F3436A"/>
    <w:rsid w:val="00F34D21"/>
    <w:rsid w:val="00F34E67"/>
    <w:rsid w:val="00F34F98"/>
    <w:rsid w:val="00F35731"/>
    <w:rsid w:val="00F35994"/>
    <w:rsid w:val="00F35E6D"/>
    <w:rsid w:val="00F3619A"/>
    <w:rsid w:val="00F36A10"/>
    <w:rsid w:val="00F36C78"/>
    <w:rsid w:val="00F36D17"/>
    <w:rsid w:val="00F37032"/>
    <w:rsid w:val="00F3716D"/>
    <w:rsid w:val="00F37646"/>
    <w:rsid w:val="00F40AA6"/>
    <w:rsid w:val="00F40AAA"/>
    <w:rsid w:val="00F40BA7"/>
    <w:rsid w:val="00F40EDF"/>
    <w:rsid w:val="00F40F9D"/>
    <w:rsid w:val="00F4152B"/>
    <w:rsid w:val="00F41ACD"/>
    <w:rsid w:val="00F41CB4"/>
    <w:rsid w:val="00F427D3"/>
    <w:rsid w:val="00F428AB"/>
    <w:rsid w:val="00F43016"/>
    <w:rsid w:val="00F43295"/>
    <w:rsid w:val="00F437F3"/>
    <w:rsid w:val="00F43B6F"/>
    <w:rsid w:val="00F43F5E"/>
    <w:rsid w:val="00F44140"/>
    <w:rsid w:val="00F44C29"/>
    <w:rsid w:val="00F44D9C"/>
    <w:rsid w:val="00F45364"/>
    <w:rsid w:val="00F453CF"/>
    <w:rsid w:val="00F454D9"/>
    <w:rsid w:val="00F457A7"/>
    <w:rsid w:val="00F460B5"/>
    <w:rsid w:val="00F46234"/>
    <w:rsid w:val="00F464F3"/>
    <w:rsid w:val="00F46670"/>
    <w:rsid w:val="00F46CB6"/>
    <w:rsid w:val="00F46DA1"/>
    <w:rsid w:val="00F4700A"/>
    <w:rsid w:val="00F4746B"/>
    <w:rsid w:val="00F4756D"/>
    <w:rsid w:val="00F47DD9"/>
    <w:rsid w:val="00F47DE8"/>
    <w:rsid w:val="00F47F1C"/>
    <w:rsid w:val="00F50711"/>
    <w:rsid w:val="00F511F4"/>
    <w:rsid w:val="00F5165C"/>
    <w:rsid w:val="00F52369"/>
    <w:rsid w:val="00F52EA7"/>
    <w:rsid w:val="00F5329D"/>
    <w:rsid w:val="00F53593"/>
    <w:rsid w:val="00F53E74"/>
    <w:rsid w:val="00F542C1"/>
    <w:rsid w:val="00F54383"/>
    <w:rsid w:val="00F5461C"/>
    <w:rsid w:val="00F550E3"/>
    <w:rsid w:val="00F55E73"/>
    <w:rsid w:val="00F55EDA"/>
    <w:rsid w:val="00F561B9"/>
    <w:rsid w:val="00F56433"/>
    <w:rsid w:val="00F56611"/>
    <w:rsid w:val="00F566A5"/>
    <w:rsid w:val="00F567E1"/>
    <w:rsid w:val="00F56989"/>
    <w:rsid w:val="00F56C80"/>
    <w:rsid w:val="00F56CA9"/>
    <w:rsid w:val="00F56DC5"/>
    <w:rsid w:val="00F56F1F"/>
    <w:rsid w:val="00F57566"/>
    <w:rsid w:val="00F5758A"/>
    <w:rsid w:val="00F57812"/>
    <w:rsid w:val="00F60092"/>
    <w:rsid w:val="00F6055A"/>
    <w:rsid w:val="00F60941"/>
    <w:rsid w:val="00F60C74"/>
    <w:rsid w:val="00F615C5"/>
    <w:rsid w:val="00F616F1"/>
    <w:rsid w:val="00F618A5"/>
    <w:rsid w:val="00F618EB"/>
    <w:rsid w:val="00F61AF3"/>
    <w:rsid w:val="00F61C18"/>
    <w:rsid w:val="00F61C34"/>
    <w:rsid w:val="00F61DEA"/>
    <w:rsid w:val="00F6204B"/>
    <w:rsid w:val="00F62150"/>
    <w:rsid w:val="00F629DB"/>
    <w:rsid w:val="00F62BE5"/>
    <w:rsid w:val="00F63187"/>
    <w:rsid w:val="00F63685"/>
    <w:rsid w:val="00F63807"/>
    <w:rsid w:val="00F6386A"/>
    <w:rsid w:val="00F639EC"/>
    <w:rsid w:val="00F64610"/>
    <w:rsid w:val="00F64949"/>
    <w:rsid w:val="00F65113"/>
    <w:rsid w:val="00F656EF"/>
    <w:rsid w:val="00F6578C"/>
    <w:rsid w:val="00F6586D"/>
    <w:rsid w:val="00F659C2"/>
    <w:rsid w:val="00F65A9D"/>
    <w:rsid w:val="00F65F4B"/>
    <w:rsid w:val="00F66119"/>
    <w:rsid w:val="00F6648D"/>
    <w:rsid w:val="00F666A2"/>
    <w:rsid w:val="00F66745"/>
    <w:rsid w:val="00F6697B"/>
    <w:rsid w:val="00F66BB4"/>
    <w:rsid w:val="00F66BB9"/>
    <w:rsid w:val="00F6750A"/>
    <w:rsid w:val="00F67A69"/>
    <w:rsid w:val="00F7055F"/>
    <w:rsid w:val="00F70BFF"/>
    <w:rsid w:val="00F70C9D"/>
    <w:rsid w:val="00F7102A"/>
    <w:rsid w:val="00F7111E"/>
    <w:rsid w:val="00F7155B"/>
    <w:rsid w:val="00F71C1F"/>
    <w:rsid w:val="00F720FF"/>
    <w:rsid w:val="00F72484"/>
    <w:rsid w:val="00F72B69"/>
    <w:rsid w:val="00F7321C"/>
    <w:rsid w:val="00F7360A"/>
    <w:rsid w:val="00F73BBA"/>
    <w:rsid w:val="00F73C64"/>
    <w:rsid w:val="00F73CAA"/>
    <w:rsid w:val="00F73E08"/>
    <w:rsid w:val="00F74A3E"/>
    <w:rsid w:val="00F74B0C"/>
    <w:rsid w:val="00F74C48"/>
    <w:rsid w:val="00F74CD9"/>
    <w:rsid w:val="00F752F2"/>
    <w:rsid w:val="00F75513"/>
    <w:rsid w:val="00F7586F"/>
    <w:rsid w:val="00F75C5A"/>
    <w:rsid w:val="00F75DEA"/>
    <w:rsid w:val="00F76348"/>
    <w:rsid w:val="00F7761E"/>
    <w:rsid w:val="00F77727"/>
    <w:rsid w:val="00F777E7"/>
    <w:rsid w:val="00F778DA"/>
    <w:rsid w:val="00F77A7F"/>
    <w:rsid w:val="00F77BCA"/>
    <w:rsid w:val="00F801AB"/>
    <w:rsid w:val="00F80A7B"/>
    <w:rsid w:val="00F80DDE"/>
    <w:rsid w:val="00F80E5D"/>
    <w:rsid w:val="00F81258"/>
    <w:rsid w:val="00F81662"/>
    <w:rsid w:val="00F81E78"/>
    <w:rsid w:val="00F81F3F"/>
    <w:rsid w:val="00F8224C"/>
    <w:rsid w:val="00F82411"/>
    <w:rsid w:val="00F8264A"/>
    <w:rsid w:val="00F82B41"/>
    <w:rsid w:val="00F82EC2"/>
    <w:rsid w:val="00F835D3"/>
    <w:rsid w:val="00F83916"/>
    <w:rsid w:val="00F839F4"/>
    <w:rsid w:val="00F83DCD"/>
    <w:rsid w:val="00F8416B"/>
    <w:rsid w:val="00F842B0"/>
    <w:rsid w:val="00F84819"/>
    <w:rsid w:val="00F8484C"/>
    <w:rsid w:val="00F848EF"/>
    <w:rsid w:val="00F84B9D"/>
    <w:rsid w:val="00F84FA8"/>
    <w:rsid w:val="00F85065"/>
    <w:rsid w:val="00F851CE"/>
    <w:rsid w:val="00F851D8"/>
    <w:rsid w:val="00F85CAE"/>
    <w:rsid w:val="00F86446"/>
    <w:rsid w:val="00F86A1A"/>
    <w:rsid w:val="00F86A4A"/>
    <w:rsid w:val="00F86D0B"/>
    <w:rsid w:val="00F86E65"/>
    <w:rsid w:val="00F8710A"/>
    <w:rsid w:val="00F876E2"/>
    <w:rsid w:val="00F876E5"/>
    <w:rsid w:val="00F87771"/>
    <w:rsid w:val="00F87E4B"/>
    <w:rsid w:val="00F9069B"/>
    <w:rsid w:val="00F906B8"/>
    <w:rsid w:val="00F91219"/>
    <w:rsid w:val="00F9195D"/>
    <w:rsid w:val="00F91999"/>
    <w:rsid w:val="00F91EDD"/>
    <w:rsid w:val="00F922B4"/>
    <w:rsid w:val="00F92345"/>
    <w:rsid w:val="00F92444"/>
    <w:rsid w:val="00F925DA"/>
    <w:rsid w:val="00F92D03"/>
    <w:rsid w:val="00F931D1"/>
    <w:rsid w:val="00F93495"/>
    <w:rsid w:val="00F9393E"/>
    <w:rsid w:val="00F93F6B"/>
    <w:rsid w:val="00F9438E"/>
    <w:rsid w:val="00F95CE9"/>
    <w:rsid w:val="00F95F16"/>
    <w:rsid w:val="00F969CA"/>
    <w:rsid w:val="00F96ADF"/>
    <w:rsid w:val="00F96B50"/>
    <w:rsid w:val="00F96FD0"/>
    <w:rsid w:val="00F97287"/>
    <w:rsid w:val="00F97A78"/>
    <w:rsid w:val="00FA00DC"/>
    <w:rsid w:val="00FA03AC"/>
    <w:rsid w:val="00FA0720"/>
    <w:rsid w:val="00FA09FC"/>
    <w:rsid w:val="00FA0B20"/>
    <w:rsid w:val="00FA0C0A"/>
    <w:rsid w:val="00FA0F71"/>
    <w:rsid w:val="00FA0FAF"/>
    <w:rsid w:val="00FA11CE"/>
    <w:rsid w:val="00FA14DE"/>
    <w:rsid w:val="00FA152D"/>
    <w:rsid w:val="00FA15AF"/>
    <w:rsid w:val="00FA24E7"/>
    <w:rsid w:val="00FA28B7"/>
    <w:rsid w:val="00FA3543"/>
    <w:rsid w:val="00FA3FB7"/>
    <w:rsid w:val="00FA4091"/>
    <w:rsid w:val="00FA4B5B"/>
    <w:rsid w:val="00FA4D50"/>
    <w:rsid w:val="00FA5023"/>
    <w:rsid w:val="00FA52E5"/>
    <w:rsid w:val="00FA53A4"/>
    <w:rsid w:val="00FA553C"/>
    <w:rsid w:val="00FA5B3B"/>
    <w:rsid w:val="00FA5EE6"/>
    <w:rsid w:val="00FA5F7A"/>
    <w:rsid w:val="00FA6913"/>
    <w:rsid w:val="00FA7956"/>
    <w:rsid w:val="00FA7A29"/>
    <w:rsid w:val="00FB0192"/>
    <w:rsid w:val="00FB0824"/>
    <w:rsid w:val="00FB0BE4"/>
    <w:rsid w:val="00FB0C74"/>
    <w:rsid w:val="00FB101D"/>
    <w:rsid w:val="00FB112F"/>
    <w:rsid w:val="00FB129D"/>
    <w:rsid w:val="00FB17E9"/>
    <w:rsid w:val="00FB1815"/>
    <w:rsid w:val="00FB1AFC"/>
    <w:rsid w:val="00FB27DC"/>
    <w:rsid w:val="00FB2F04"/>
    <w:rsid w:val="00FB2FCB"/>
    <w:rsid w:val="00FB2FFC"/>
    <w:rsid w:val="00FB392A"/>
    <w:rsid w:val="00FB3ACC"/>
    <w:rsid w:val="00FB3D21"/>
    <w:rsid w:val="00FB4A13"/>
    <w:rsid w:val="00FB4A77"/>
    <w:rsid w:val="00FB4C9C"/>
    <w:rsid w:val="00FB4CB0"/>
    <w:rsid w:val="00FB4E27"/>
    <w:rsid w:val="00FB4E87"/>
    <w:rsid w:val="00FB5013"/>
    <w:rsid w:val="00FB511C"/>
    <w:rsid w:val="00FB541B"/>
    <w:rsid w:val="00FB55AD"/>
    <w:rsid w:val="00FB5660"/>
    <w:rsid w:val="00FB66DE"/>
    <w:rsid w:val="00FB6855"/>
    <w:rsid w:val="00FB6909"/>
    <w:rsid w:val="00FB6D3E"/>
    <w:rsid w:val="00FB72C2"/>
    <w:rsid w:val="00FB768B"/>
    <w:rsid w:val="00FB76B4"/>
    <w:rsid w:val="00FB7A0B"/>
    <w:rsid w:val="00FB7A5E"/>
    <w:rsid w:val="00FB7C55"/>
    <w:rsid w:val="00FC0000"/>
    <w:rsid w:val="00FC0916"/>
    <w:rsid w:val="00FC0F0C"/>
    <w:rsid w:val="00FC1074"/>
    <w:rsid w:val="00FC1761"/>
    <w:rsid w:val="00FC1884"/>
    <w:rsid w:val="00FC2613"/>
    <w:rsid w:val="00FC29A6"/>
    <w:rsid w:val="00FC29B6"/>
    <w:rsid w:val="00FC371D"/>
    <w:rsid w:val="00FC3DFB"/>
    <w:rsid w:val="00FC45BF"/>
    <w:rsid w:val="00FC4894"/>
    <w:rsid w:val="00FC4CD3"/>
    <w:rsid w:val="00FC4E38"/>
    <w:rsid w:val="00FC5414"/>
    <w:rsid w:val="00FC55FE"/>
    <w:rsid w:val="00FC56F3"/>
    <w:rsid w:val="00FC5B12"/>
    <w:rsid w:val="00FC5C95"/>
    <w:rsid w:val="00FC5F0B"/>
    <w:rsid w:val="00FC62E2"/>
    <w:rsid w:val="00FC6599"/>
    <w:rsid w:val="00FC6998"/>
    <w:rsid w:val="00FC6A24"/>
    <w:rsid w:val="00FC6DF6"/>
    <w:rsid w:val="00FC724C"/>
    <w:rsid w:val="00FC7EEC"/>
    <w:rsid w:val="00FD0056"/>
    <w:rsid w:val="00FD0109"/>
    <w:rsid w:val="00FD0A92"/>
    <w:rsid w:val="00FD0E2A"/>
    <w:rsid w:val="00FD0E40"/>
    <w:rsid w:val="00FD1283"/>
    <w:rsid w:val="00FD1287"/>
    <w:rsid w:val="00FD1325"/>
    <w:rsid w:val="00FD1531"/>
    <w:rsid w:val="00FD1AFA"/>
    <w:rsid w:val="00FD1ED8"/>
    <w:rsid w:val="00FD2100"/>
    <w:rsid w:val="00FD25AC"/>
    <w:rsid w:val="00FD25B8"/>
    <w:rsid w:val="00FD33CD"/>
    <w:rsid w:val="00FD430E"/>
    <w:rsid w:val="00FD4315"/>
    <w:rsid w:val="00FD436C"/>
    <w:rsid w:val="00FD446D"/>
    <w:rsid w:val="00FD44D9"/>
    <w:rsid w:val="00FD455C"/>
    <w:rsid w:val="00FD4F2C"/>
    <w:rsid w:val="00FD500D"/>
    <w:rsid w:val="00FD5060"/>
    <w:rsid w:val="00FD5118"/>
    <w:rsid w:val="00FD569F"/>
    <w:rsid w:val="00FD56AD"/>
    <w:rsid w:val="00FD56E5"/>
    <w:rsid w:val="00FD5998"/>
    <w:rsid w:val="00FD6019"/>
    <w:rsid w:val="00FD62B9"/>
    <w:rsid w:val="00FD6394"/>
    <w:rsid w:val="00FD6608"/>
    <w:rsid w:val="00FD6B4C"/>
    <w:rsid w:val="00FD6F28"/>
    <w:rsid w:val="00FD776F"/>
    <w:rsid w:val="00FD7846"/>
    <w:rsid w:val="00FE06AF"/>
    <w:rsid w:val="00FE086D"/>
    <w:rsid w:val="00FE0E6C"/>
    <w:rsid w:val="00FE1188"/>
    <w:rsid w:val="00FE18D9"/>
    <w:rsid w:val="00FE1CDC"/>
    <w:rsid w:val="00FE3006"/>
    <w:rsid w:val="00FE37E8"/>
    <w:rsid w:val="00FE4A9F"/>
    <w:rsid w:val="00FE4ADE"/>
    <w:rsid w:val="00FE500C"/>
    <w:rsid w:val="00FE50DD"/>
    <w:rsid w:val="00FE51EF"/>
    <w:rsid w:val="00FE5435"/>
    <w:rsid w:val="00FE5449"/>
    <w:rsid w:val="00FE55C1"/>
    <w:rsid w:val="00FE59CB"/>
    <w:rsid w:val="00FE5CD3"/>
    <w:rsid w:val="00FE61CC"/>
    <w:rsid w:val="00FE61E8"/>
    <w:rsid w:val="00FE6E35"/>
    <w:rsid w:val="00FE70C3"/>
    <w:rsid w:val="00FE765C"/>
    <w:rsid w:val="00FE7855"/>
    <w:rsid w:val="00FE7A40"/>
    <w:rsid w:val="00FF0019"/>
    <w:rsid w:val="00FF12AE"/>
    <w:rsid w:val="00FF1A8B"/>
    <w:rsid w:val="00FF1F1C"/>
    <w:rsid w:val="00FF22CB"/>
    <w:rsid w:val="00FF26F8"/>
    <w:rsid w:val="00FF2AD9"/>
    <w:rsid w:val="00FF2FA0"/>
    <w:rsid w:val="00FF359F"/>
    <w:rsid w:val="00FF36BA"/>
    <w:rsid w:val="00FF3A72"/>
    <w:rsid w:val="00FF3B24"/>
    <w:rsid w:val="00FF3CBB"/>
    <w:rsid w:val="00FF3DCF"/>
    <w:rsid w:val="00FF41BE"/>
    <w:rsid w:val="00FF48BB"/>
    <w:rsid w:val="00FF492C"/>
    <w:rsid w:val="00FF4A21"/>
    <w:rsid w:val="00FF5976"/>
    <w:rsid w:val="00FF5A06"/>
    <w:rsid w:val="00FF5AA3"/>
    <w:rsid w:val="00FF5AD8"/>
    <w:rsid w:val="00FF5DB4"/>
    <w:rsid w:val="00FF6110"/>
    <w:rsid w:val="00FF6961"/>
    <w:rsid w:val="00FF70DC"/>
    <w:rsid w:val="00FF7205"/>
    <w:rsid w:val="00FF7389"/>
    <w:rsid w:val="00FF73A0"/>
    <w:rsid w:val="00FF7B01"/>
    <w:rsid w:val="00FF7D14"/>
    <w:rsid w:val="077187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aliases w:val="Header 1,H1,Heading 12,Titre 1 Car Car,Titre 1 Car,Outline1,p1"/>
    <w:basedOn w:val="Normal"/>
    <w:next w:val="Normal"/>
    <w:link w:val="Heading1Char"/>
    <w:uiPriority w:val="1"/>
    <w:rsid w:val="001B204E"/>
    <w:pPr>
      <w:ind w:left="720" w:hanging="720"/>
      <w:outlineLvl w:val="0"/>
    </w:pPr>
    <w:rPr>
      <w:b/>
      <w:caps/>
      <w:sz w:val="32"/>
    </w:rPr>
  </w:style>
  <w:style w:type="paragraph" w:styleId="Heading2">
    <w:name w:val="heading 2"/>
    <w:aliases w:val="H2,Heading h2,h2,Heading 2x,p2 Char"/>
    <w:basedOn w:val="Normal"/>
    <w:next w:val="Normal"/>
    <w:link w:val="Heading2Char"/>
    <w:qFormat/>
    <w:rsid w:val="001B204E"/>
    <w:pPr>
      <w:outlineLvl w:val="1"/>
    </w:pPr>
    <w:rPr>
      <w:b/>
      <w:i/>
      <w:sz w:val="28"/>
    </w:rPr>
  </w:style>
  <w:style w:type="paragraph" w:styleId="Heading3">
    <w:name w:val="heading 3"/>
    <w:aliases w:val="H3,Heading h3,h3,Don 3,Heading 3x,p3 Char"/>
    <w:basedOn w:val="Normal"/>
    <w:next w:val="Normal"/>
    <w:link w:val="Heading3Char"/>
    <w:rsid w:val="001F7361"/>
    <w:pPr>
      <w:outlineLvl w:val="2"/>
    </w:pPr>
    <w:rPr>
      <w:u w:val="single"/>
    </w:rPr>
  </w:style>
  <w:style w:type="paragraph" w:styleId="Heading4">
    <w:name w:val="heading 4"/>
    <w:aliases w:val="Heading 4 Char1,Heading 4 Char Char,Heading 4 Char2 Char Char,Heading 4 Char Char1 Char Char,Heading 4 Char1 Char Char Char Char Char,Heading 4 Char Char Char Char Char Char Char,Heading 4 Char1 Char1 Char Char,Char,p4"/>
    <w:basedOn w:val="Normal"/>
    <w:next w:val="Normal"/>
    <w:link w:val="Heading4Char"/>
    <w:rsid w:val="00124A51"/>
    <w:pPr>
      <w:keepNext/>
      <w:spacing w:before="240" w:after="60"/>
      <w:outlineLvl w:val="3"/>
    </w:pPr>
    <w:rPr>
      <w:b/>
      <w:bCs/>
      <w:i/>
      <w:sz w:val="26"/>
      <w:szCs w:val="28"/>
    </w:rPr>
  </w:style>
  <w:style w:type="paragraph" w:styleId="Heading5">
    <w:name w:val="heading 5"/>
    <w:aliases w:val="p5"/>
    <w:basedOn w:val="Normal"/>
    <w:next w:val="Normal"/>
    <w:link w:val="Heading5Char"/>
    <w:rsid w:val="00124A51"/>
    <w:pPr>
      <w:spacing w:before="240" w:after="60"/>
      <w:outlineLvl w:val="4"/>
    </w:pPr>
    <w:rPr>
      <w:b/>
      <w:bCs/>
      <w:iCs/>
      <w:sz w:val="26"/>
      <w:szCs w:val="26"/>
    </w:rPr>
  </w:style>
  <w:style w:type="paragraph" w:styleId="Heading6">
    <w:name w:val="heading 6"/>
    <w:aliases w:val="Heading 6 - DO NOT USE,DO NOT USE,DO NOT USE4"/>
    <w:basedOn w:val="Normal"/>
    <w:next w:val="Normal"/>
    <w:link w:val="Heading6Char"/>
    <w:rsid w:val="00124A51"/>
    <w:pPr>
      <w:spacing w:before="240" w:after="60"/>
      <w:outlineLvl w:val="5"/>
    </w:pPr>
    <w:rPr>
      <w:b/>
      <w:bCs/>
      <w:i/>
    </w:rPr>
  </w:style>
  <w:style w:type="paragraph" w:styleId="Heading7">
    <w:name w:val="heading 7"/>
    <w:aliases w:val="Heading 7 - DO NOT USE"/>
    <w:basedOn w:val="Normal"/>
    <w:next w:val="Normal"/>
    <w:link w:val="Heading7Char"/>
    <w:rsid w:val="00124A51"/>
    <w:pPr>
      <w:keepNext/>
      <w:jc w:val="center"/>
      <w:outlineLvl w:val="6"/>
    </w:pPr>
    <w:rPr>
      <w:b/>
      <w:sz w:val="20"/>
    </w:rPr>
  </w:style>
  <w:style w:type="paragraph" w:styleId="Heading8">
    <w:name w:val="heading 8"/>
    <w:aliases w:val="Heading 8 - - DO NOT USE"/>
    <w:basedOn w:val="Normal"/>
    <w:next w:val="Normal"/>
    <w:link w:val="Heading8Char"/>
    <w:uiPriority w:val="7"/>
    <w:rsid w:val="00124A51"/>
    <w:pPr>
      <w:keepNext/>
      <w:jc w:val="right"/>
      <w:outlineLvl w:val="7"/>
    </w:pPr>
    <w:rPr>
      <w:b/>
    </w:rPr>
  </w:style>
  <w:style w:type="paragraph" w:styleId="Heading9">
    <w:name w:val="heading 9"/>
    <w:aliases w:val="Heading 9 - DO NOT USE,cover page title"/>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eading h2 Char,h2 Char,Heading 2x Char,p2 Char Char"/>
    <w:link w:val="Heading2"/>
    <w:rsid w:val="001B204E"/>
    <w:rPr>
      <w:rFonts w:ascii="Calibri" w:hAnsi="Calibri" w:cs="Arial"/>
      <w:b/>
      <w:i/>
      <w:snapToGrid w:val="0"/>
      <w:sz w:val="28"/>
      <w:szCs w:val="22"/>
      <w:lang w:eastAsia="en-US"/>
    </w:rPr>
  </w:style>
  <w:style w:type="character" w:customStyle="1" w:styleId="Heading7Char">
    <w:name w:val="Heading 7 Char"/>
    <w:aliases w:val="Heading 7 - DO NOT USE Char"/>
    <w:basedOn w:val="DefaultParagraphFont"/>
    <w:link w:val="Heading7"/>
    <w:rsid w:val="00124A51"/>
    <w:rPr>
      <w:rFonts w:ascii="Arial" w:hAnsi="Arial"/>
      <w:b/>
      <w:snapToGrid w:val="0"/>
      <w:lang w:eastAsia="en-US"/>
    </w:rPr>
  </w:style>
  <w:style w:type="character" w:customStyle="1" w:styleId="Heading8Char">
    <w:name w:val="Heading 8 Char"/>
    <w:aliases w:val="Heading 8 - - DO NOT USE Char"/>
    <w:basedOn w:val="DefaultParagraphFont"/>
    <w:link w:val="Heading8"/>
    <w:rsid w:val="00124A51"/>
    <w:rPr>
      <w:b/>
      <w:snapToGrid w:val="0"/>
      <w:sz w:val="24"/>
      <w:lang w:eastAsia="en-US"/>
    </w:rPr>
  </w:style>
  <w:style w:type="character" w:customStyle="1" w:styleId="Heading9Char">
    <w:name w:val="Heading 9 Char"/>
    <w:aliases w:val="Heading 9 - DO NOT USE Char,cover page title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Caption2"/>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Caption2 Char"/>
    <w:link w:val="Caption"/>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 H16,- H161,- H162,- H163,- H164, Char,Char Char Char Char Char Char Char Char Char Char Char Char Char Char Char Char Char Char Char Char,Char Char Char Char Char Char Char Char Char Char Char Char Char Char,Char11,Body Text Char Char,GS"/>
    <w:basedOn w:val="Normal"/>
    <w:link w:val="BodyTextChar"/>
    <w:rsid w:val="004B3DDB"/>
    <w:pPr>
      <w:jc w:val="left"/>
    </w:pPr>
  </w:style>
  <w:style w:type="character" w:customStyle="1" w:styleId="BodyTextChar">
    <w:name w:val="Body Text Char"/>
    <w:aliases w:val="- H16 Char,- H161 Char,- H162 Char,- H163 Char,- H164 Char, Char Char,Char Char Char Char Char Char Char Char Char Char Char Char Char Char Char Char Char Char Char Char Char,Char11 Char,Body Text Char Char Char,GS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Points,Bullet 1,Listenabsatz 2,Bullet List,Lista viñetas,Explanation &amp; guidance,ES Paragraph"/>
    <w:link w:val="ListParagraphChar"/>
    <w:autoRedefine/>
    <w:uiPriority w:val="34"/>
    <w:qFormat/>
    <w:rsid w:val="00C7040B"/>
    <w:pPr>
      <w:widowControl w:val="0"/>
      <w:numPr>
        <w:numId w:val="34"/>
      </w:numPr>
      <w:spacing w:after="120"/>
      <w:ind w:left="1077" w:hanging="357"/>
      <w:contextualSpacing/>
      <w:jc w:val="both"/>
    </w:pPr>
    <w:rPr>
      <w:rFonts w:asciiTheme="minorHAnsi" w:eastAsia="Calibri" w:hAnsiTheme="minorHAnsi" w:cs="Arial"/>
      <w:snapToGrid w:val="0"/>
      <w:sz w:val="24"/>
      <w:szCs w:val="24"/>
      <w:lang w:val="en-GB"/>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Bullet 1 Char,Bullet List Char"/>
    <w:basedOn w:val="DefaultParagraphFont"/>
    <w:link w:val="ListParagraph"/>
    <w:uiPriority w:val="34"/>
    <w:qFormat/>
    <w:locked/>
    <w:rsid w:val="00C7040B"/>
    <w:rPr>
      <w:rFonts w:asciiTheme="minorHAnsi" w:eastAsia="Calibri" w:hAnsiTheme="minorHAnsi" w:cs="Arial"/>
      <w:snapToGrid w:val="0"/>
      <w:sz w:val="24"/>
      <w:szCs w:val="24"/>
      <w:lang w:val="en-GB"/>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统计型,HTAtableplain,RTI AMCP Table,new style,PBAC table,MSD Table Grid,Header Table,NICE instructions,Source table_,HealthConsult,Dossier table,Summary Table,Conclusion box,Table Grid nm"/>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1"/>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Comment Text Char1 Char,- H19,Annotationtext,Comment Text Char Char1,Comment Text Char Char1 Char,Comment Text Char2 Char,Kommentarer,Tekst opmerking"/>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Comment Text Char1 Char Char,- H19 Char,Annotationtext Char,Comment Text Char Char1 Char1,Comment Text Char Char1 Char Char,Comment Text Char2 Char Char,Kommentare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nhideWhenUsed/>
    <w:rsid w:val="00B34FE2"/>
    <w:rPr>
      <w:rFonts w:ascii="Tahoma" w:hAnsi="Tahoma" w:cs="Tahoma"/>
      <w:sz w:val="16"/>
      <w:szCs w:val="16"/>
    </w:rPr>
  </w:style>
  <w:style w:type="character" w:customStyle="1" w:styleId="BalloonTextChar">
    <w:name w:val="Balloon Text Char"/>
    <w:basedOn w:val="DefaultParagraphFont"/>
    <w:link w:val="BalloonText"/>
    <w:rsid w:val="00B34FE2"/>
    <w:rPr>
      <w:rFonts w:ascii="Tahoma" w:hAnsi="Tahoma" w:cs="Tahoma"/>
      <w:snapToGrid w:val="0"/>
      <w:sz w:val="16"/>
      <w:szCs w:val="16"/>
      <w:lang w:eastAsia="en-US"/>
    </w:rPr>
  </w:style>
  <w:style w:type="paragraph" w:customStyle="1" w:styleId="TableText0">
    <w:name w:val="Table Text"/>
    <w:basedOn w:val="Tabletext"/>
    <w:link w:val="TableTextChar0"/>
    <w:qFormat/>
    <w:rsid w:val="00FE61E8"/>
    <w:pPr>
      <w:keepLines/>
    </w:pPr>
    <w:rPr>
      <w:rFonts w:eastAsiaTheme="majorEastAsia" w:cstheme="majorBidi"/>
      <w:bCs/>
      <w:i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B2AF7"/>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5"/>
      </w:numPr>
      <w:spacing w:before="60" w:after="6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lang w:val="en-GB"/>
    </w:rPr>
  </w:style>
  <w:style w:type="paragraph" w:customStyle="1" w:styleId="PageFooter">
    <w:name w:val="Page Footer"/>
    <w:basedOn w:val="Normal"/>
    <w:link w:val="PageFooterChar"/>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aliases w:val="List Bullet 1"/>
    <w:basedOn w:val="Normal"/>
    <w:unhideWhenUsed/>
    <w:rsid w:val="00EE1996"/>
    <w:pPr>
      <w:numPr>
        <w:numId w:val="3"/>
      </w:numPr>
      <w:contextualSpacing/>
    </w:pPr>
  </w:style>
  <w:style w:type="character" w:customStyle="1" w:styleId="TableTextChar0">
    <w:name w:val="Table Text Char"/>
    <w:basedOn w:val="DefaultParagraphFont"/>
    <w:link w:val="TableText0"/>
    <w:rsid w:val="00FE61E8"/>
    <w:rPr>
      <w:rFonts w:ascii="Arial Narrow" w:eastAsiaTheme="majorEastAsia" w:hAnsi="Arial Narrow" w:cstheme="majorBidi"/>
      <w:bCs/>
      <w:iCs/>
      <w:snapToGrid w:val="0"/>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eastAsia="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FE5CD3"/>
    <w:rPr>
      <w:color w:val="605E5C"/>
      <w:shd w:val="clear" w:color="auto" w:fill="E1DFDD"/>
    </w:rPr>
  </w:style>
  <w:style w:type="paragraph" w:styleId="FootnoteText">
    <w:name w:val="footnote text"/>
    <w:basedOn w:val="Normal"/>
    <w:link w:val="FootnoteTextChar"/>
    <w:unhideWhenUsed/>
    <w:rsid w:val="00763F01"/>
    <w:rPr>
      <w:sz w:val="20"/>
      <w:szCs w:val="20"/>
    </w:rPr>
  </w:style>
  <w:style w:type="character" w:customStyle="1" w:styleId="FootnoteTextChar">
    <w:name w:val="Footnote Text Char"/>
    <w:basedOn w:val="DefaultParagraphFont"/>
    <w:link w:val="FootnoteText"/>
    <w:rsid w:val="00763F01"/>
    <w:rPr>
      <w:rFonts w:ascii="Calibri" w:hAnsi="Calibri" w:cs="Arial"/>
    </w:rPr>
  </w:style>
  <w:style w:type="character" w:styleId="FootnoteReference">
    <w:name w:val="footnote reference"/>
    <w:basedOn w:val="DefaultParagraphFont"/>
    <w:unhideWhenUsed/>
    <w:rsid w:val="00763F01"/>
    <w:rPr>
      <w:vertAlign w:val="superscript"/>
    </w:rPr>
  </w:style>
  <w:style w:type="table" w:customStyle="1" w:styleId="AZTable">
    <w:name w:val="AZ Table"/>
    <w:basedOn w:val="TableNormal"/>
    <w:uiPriority w:val="99"/>
    <w:rsid w:val="00763F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TableGridnm2">
    <w:name w:val="Table Grid nm2"/>
    <w:basedOn w:val="TableNormal"/>
    <w:next w:val="TableGrid"/>
    <w:uiPriority w:val="39"/>
    <w:rsid w:val="00763F0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1">
    <w:name w:val="Table Grid nm1"/>
    <w:basedOn w:val="TableNormal"/>
    <w:next w:val="TableGrid"/>
    <w:uiPriority w:val="39"/>
    <w:rsid w:val="00763F0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List"/>
    <w:basedOn w:val="Normal"/>
    <w:rsid w:val="00624E11"/>
    <w:pPr>
      <w:tabs>
        <w:tab w:val="left" w:pos="360"/>
      </w:tabs>
      <w:spacing w:after="240"/>
      <w:ind w:left="360" w:hanging="360"/>
    </w:pPr>
    <w:rPr>
      <w:rFonts w:cs="Times New Roman"/>
      <w:color w:val="000000"/>
      <w:sz w:val="22"/>
      <w:szCs w:val="20"/>
    </w:rPr>
  </w:style>
  <w:style w:type="table" w:customStyle="1" w:styleId="HTAtableplain1">
    <w:name w:val="HTAtableplain1"/>
    <w:basedOn w:val="TableNormal"/>
    <w:next w:val="TableGrid"/>
    <w:uiPriority w:val="39"/>
    <w:rsid w:val="00624E1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21">
    <w:name w:val="HTAtableplain21"/>
    <w:basedOn w:val="TableNormal"/>
    <w:next w:val="TableGrid"/>
    <w:uiPriority w:val="39"/>
    <w:rsid w:val="00624E1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Caption"/>
    <w:rsid w:val="00624E11"/>
    <w:pPr>
      <w:keepNext w:val="0"/>
      <w:keepLines w:val="0"/>
      <w:numPr>
        <w:numId w:val="8"/>
      </w:numPr>
      <w:spacing w:after="240"/>
      <w:jc w:val="left"/>
    </w:pPr>
    <w:rPr>
      <w:rFonts w:asciiTheme="minorHAnsi" w:eastAsiaTheme="minorHAnsi" w:hAnsiTheme="minorHAnsi" w:cstheme="minorBidi"/>
      <w:b w:val="0"/>
      <w:bCs w:val="0"/>
      <w:sz w:val="22"/>
      <w:szCs w:val="22"/>
      <w:lang w:eastAsia="en-US"/>
    </w:rPr>
  </w:style>
  <w:style w:type="table" w:customStyle="1" w:styleId="HTAtableplain7">
    <w:name w:val="HTAtableplain7"/>
    <w:basedOn w:val="TableNormal"/>
    <w:next w:val="TableGrid"/>
    <w:uiPriority w:val="39"/>
    <w:rsid w:val="00624E1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3">
    <w:name w:val="Table Grid nm3"/>
    <w:basedOn w:val="TableNormal"/>
    <w:next w:val="TableGrid"/>
    <w:uiPriority w:val="39"/>
    <w:rsid w:val="00624E1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4">
    <w:name w:val="Table Grid nm4"/>
    <w:basedOn w:val="TableNormal"/>
    <w:next w:val="TableGrid"/>
    <w:uiPriority w:val="39"/>
    <w:rsid w:val="00624E1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5">
    <w:name w:val="Table Grid nm5"/>
    <w:basedOn w:val="TableNormal"/>
    <w:next w:val="TableGrid"/>
    <w:uiPriority w:val="39"/>
    <w:rsid w:val="00624E1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6">
    <w:name w:val="Table Grid nm6"/>
    <w:basedOn w:val="TableNormal"/>
    <w:next w:val="TableGrid"/>
    <w:uiPriority w:val="39"/>
    <w:rsid w:val="00624E1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6">
    <w:name w:val="HTAtableplain6"/>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eforeDash">
    <w:name w:val="Bullet Before Dash"/>
    <w:basedOn w:val="Normal"/>
    <w:rsid w:val="009C565F"/>
    <w:pPr>
      <w:numPr>
        <w:numId w:val="9"/>
      </w:numPr>
      <w:spacing w:after="60"/>
      <w:ind w:left="0" w:firstLine="0"/>
      <w:jc w:val="left"/>
    </w:pPr>
    <w:rPr>
      <w:rFonts w:asciiTheme="minorHAnsi" w:eastAsiaTheme="minorHAnsi" w:hAnsiTheme="minorHAnsi" w:cstheme="minorBidi"/>
      <w:sz w:val="22"/>
      <w:szCs w:val="22"/>
      <w:lang w:eastAsia="en-US"/>
    </w:rPr>
  </w:style>
  <w:style w:type="character" w:customStyle="1" w:styleId="Heading1Char">
    <w:name w:val="Heading 1 Char"/>
    <w:aliases w:val="Header 1 Char,H1 Char,Heading 12 Char,Titre 1 Car Car Char,Titre 1 Car Char,Outline1 Char,p1 Char"/>
    <w:basedOn w:val="DefaultParagraphFont"/>
    <w:link w:val="Heading1"/>
    <w:uiPriority w:val="9"/>
    <w:rsid w:val="009C565F"/>
    <w:rPr>
      <w:rFonts w:ascii="Calibri" w:hAnsi="Calibri" w:cs="Arial"/>
      <w:b/>
      <w:caps/>
      <w:sz w:val="32"/>
      <w:szCs w:val="24"/>
    </w:rPr>
  </w:style>
  <w:style w:type="paragraph" w:customStyle="1" w:styleId="TableHeading0">
    <w:name w:val="Table Heading"/>
    <w:basedOn w:val="TableText0"/>
    <w:link w:val="TableHeadingChar"/>
    <w:uiPriority w:val="3"/>
    <w:rsid w:val="009C565F"/>
    <w:pPr>
      <w:spacing w:before="20" w:after="20" w:line="276" w:lineRule="auto"/>
      <w:jc w:val="both"/>
    </w:pPr>
    <w:rPr>
      <w:rFonts w:cs="Arial"/>
      <w:b/>
      <w:bCs w:val="0"/>
      <w:sz w:val="18"/>
      <w:szCs w:val="20"/>
      <w:lang w:bidi="en-US"/>
    </w:rPr>
  </w:style>
  <w:style w:type="paragraph" w:customStyle="1" w:styleId="Footnotes">
    <w:name w:val="Footnotes"/>
    <w:basedOn w:val="Normal"/>
    <w:link w:val="FootnotesChar"/>
    <w:rsid w:val="009C565F"/>
    <w:pPr>
      <w:keepLines/>
      <w:spacing w:before="60" w:after="360" w:line="276" w:lineRule="auto"/>
      <w:contextualSpacing/>
      <w:jc w:val="left"/>
    </w:pPr>
    <w:rPr>
      <w:rFonts w:ascii="Arial" w:eastAsia="SimSun" w:hAnsi="Arial" w:cstheme="minorHAnsi"/>
      <w:sz w:val="16"/>
      <w:szCs w:val="22"/>
      <w:lang w:val="en-GB" w:eastAsia="en-GB"/>
    </w:rPr>
  </w:style>
  <w:style w:type="character" w:customStyle="1" w:styleId="FootnotesChar">
    <w:name w:val="Footnotes Char"/>
    <w:link w:val="Footnotes"/>
    <w:rsid w:val="009C565F"/>
    <w:rPr>
      <w:rFonts w:ascii="Arial" w:eastAsia="SimSun" w:hAnsi="Arial" w:cstheme="minorHAnsi"/>
      <w:sz w:val="16"/>
      <w:szCs w:val="22"/>
      <w:lang w:val="en-GB" w:eastAsia="en-GB"/>
    </w:rPr>
  </w:style>
  <w:style w:type="character" w:customStyle="1" w:styleId="TableHeadingChar">
    <w:name w:val="Table Heading Char"/>
    <w:basedOn w:val="DefaultParagraphFont"/>
    <w:link w:val="TableHeading0"/>
    <w:uiPriority w:val="3"/>
    <w:locked/>
    <w:rsid w:val="009C565F"/>
    <w:rPr>
      <w:rFonts w:ascii="Arial Narrow" w:eastAsiaTheme="majorEastAsia" w:hAnsi="Arial Narrow" w:cs="Arial"/>
      <w:b/>
      <w:sz w:val="18"/>
      <w:lang w:bidi="en-US"/>
    </w:rPr>
  </w:style>
  <w:style w:type="table" w:customStyle="1" w:styleId="ASDTable2">
    <w:name w:val="ASD Table2"/>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2">
    <w:name w:val="HTAtableplain2"/>
    <w:basedOn w:val="TableNormal"/>
    <w:next w:val="TableGrid"/>
    <w:uiPriority w:val="39"/>
    <w:rsid w:val="009C5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1">
    <w:name w:val="AZ Table1"/>
    <w:basedOn w:val="TableNormal"/>
    <w:uiPriority w:val="9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styleId="Emphasis">
    <w:name w:val="Emphasis"/>
    <w:basedOn w:val="DefaultParagraphFont"/>
    <w:uiPriority w:val="20"/>
    <w:rsid w:val="009C565F"/>
    <w:rPr>
      <w:i/>
      <w:iCs/>
    </w:rPr>
  </w:style>
  <w:style w:type="character" w:customStyle="1" w:styleId="cf01">
    <w:name w:val="cf01"/>
    <w:basedOn w:val="DefaultParagraphFont"/>
    <w:rsid w:val="009C565F"/>
    <w:rPr>
      <w:rFonts w:ascii="Segoe UI" w:hAnsi="Segoe UI" w:cs="Segoe UI" w:hint="default"/>
      <w:sz w:val="18"/>
      <w:szCs w:val="18"/>
    </w:rPr>
  </w:style>
  <w:style w:type="character" w:customStyle="1" w:styleId="Heading3Char">
    <w:name w:val="Heading 3 Char"/>
    <w:aliases w:val="H3 Char,Heading h3 Char,h3 Char,Don 3 Char,Heading 3x Char,p3 Char Char"/>
    <w:basedOn w:val="DefaultParagraphFont"/>
    <w:link w:val="Heading3"/>
    <w:rsid w:val="009C565F"/>
    <w:rPr>
      <w:rFonts w:ascii="Calibri" w:hAnsi="Calibri" w:cs="Arial"/>
      <w:sz w:val="24"/>
      <w:szCs w:val="24"/>
      <w:u w:val="single"/>
    </w:rPr>
  </w:style>
  <w:style w:type="character" w:customStyle="1" w:styleId="Heading4Char">
    <w:name w:val="Heading 4 Char"/>
    <w:aliases w:val="Heading 4 Char1 Char,Heading 4 Char Char Char,Heading 4 Char2 Char Char Char,Heading 4 Char Char1 Char Char Char,Heading 4 Char1 Char Char Char Char Char Char,Heading 4 Char Char Char Char Char Char Char Char,Char Char,p4 Char"/>
    <w:basedOn w:val="DefaultParagraphFont"/>
    <w:link w:val="Heading4"/>
    <w:uiPriority w:val="9"/>
    <w:rsid w:val="009C565F"/>
    <w:rPr>
      <w:rFonts w:ascii="Calibri" w:hAnsi="Calibri" w:cs="Arial"/>
      <w:b/>
      <w:bCs/>
      <w:i/>
      <w:sz w:val="26"/>
      <w:szCs w:val="28"/>
    </w:rPr>
  </w:style>
  <w:style w:type="character" w:customStyle="1" w:styleId="Heading5Char">
    <w:name w:val="Heading 5 Char"/>
    <w:aliases w:val="p5 Char"/>
    <w:basedOn w:val="DefaultParagraphFont"/>
    <w:link w:val="Heading5"/>
    <w:uiPriority w:val="9"/>
    <w:rsid w:val="009C565F"/>
    <w:rPr>
      <w:rFonts w:ascii="Calibri" w:hAnsi="Calibri" w:cs="Arial"/>
      <w:b/>
      <w:bCs/>
      <w:iCs/>
      <w:sz w:val="26"/>
      <w:szCs w:val="26"/>
    </w:rPr>
  </w:style>
  <w:style w:type="character" w:customStyle="1" w:styleId="Heading6Char">
    <w:name w:val="Heading 6 Char"/>
    <w:aliases w:val="Heading 6 - DO NOT USE Char,DO NOT USE Char,DO NOT USE4 Char"/>
    <w:basedOn w:val="DefaultParagraphFont"/>
    <w:link w:val="Heading6"/>
    <w:rsid w:val="009C565F"/>
    <w:rPr>
      <w:rFonts w:ascii="Calibri" w:hAnsi="Calibri" w:cs="Arial"/>
      <w:b/>
      <w:bCs/>
      <w:i/>
      <w:sz w:val="24"/>
      <w:szCs w:val="24"/>
    </w:rPr>
  </w:style>
  <w:style w:type="table" w:customStyle="1" w:styleId="HTAtableplain3">
    <w:name w:val="HTAtableplain3"/>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4">
    <w:name w:val="HTAtableplain4"/>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5">
    <w:name w:val="HTAtableplain5"/>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
    <w:name w:val="ASD Table1"/>
    <w:basedOn w:val="TableNormal"/>
    <w:next w:val="TableGrid"/>
    <w:uiPriority w:val="59"/>
    <w:rsid w:val="009C5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0">
    <w:name w:val="Table Bullet"/>
    <w:basedOn w:val="TableText0"/>
    <w:uiPriority w:val="1"/>
    <w:rsid w:val="009C565F"/>
    <w:pPr>
      <w:keepLines w:val="0"/>
      <w:tabs>
        <w:tab w:val="num" w:pos="360"/>
      </w:tabs>
      <w:spacing w:before="40" w:after="40"/>
      <w:ind w:left="357" w:hanging="357"/>
    </w:pPr>
    <w:rPr>
      <w:rFonts w:asciiTheme="minorHAnsi" w:eastAsiaTheme="minorHAnsi" w:hAnsiTheme="minorHAnsi" w:cstheme="minorHAnsi"/>
      <w:bCs w:val="0"/>
      <w:sz w:val="18"/>
      <w:szCs w:val="18"/>
      <w:lang w:eastAsia="en-US"/>
    </w:rPr>
  </w:style>
  <w:style w:type="character" w:customStyle="1" w:styleId="UnresolvedMention1">
    <w:name w:val="Unresolved Mention1"/>
    <w:basedOn w:val="DefaultParagraphFont"/>
    <w:uiPriority w:val="99"/>
    <w:semiHidden/>
    <w:unhideWhenUsed/>
    <w:rsid w:val="009C565F"/>
    <w:rPr>
      <w:color w:val="605E5C"/>
      <w:shd w:val="clear" w:color="auto" w:fill="E1DFDD"/>
    </w:rPr>
  </w:style>
  <w:style w:type="character" w:customStyle="1" w:styleId="lrzxr">
    <w:name w:val="lrzxr"/>
    <w:basedOn w:val="DefaultParagraphFont"/>
    <w:rsid w:val="009C565F"/>
  </w:style>
  <w:style w:type="paragraph" w:customStyle="1" w:styleId="TableFigNote">
    <w:name w:val="TableFigNote"/>
    <w:basedOn w:val="Normal"/>
    <w:rsid w:val="009C565F"/>
    <w:pPr>
      <w:jc w:val="left"/>
    </w:pPr>
    <w:rPr>
      <w:rFonts w:asciiTheme="minorHAnsi" w:eastAsiaTheme="minorHAnsi" w:hAnsiTheme="minorHAnsi" w:cstheme="minorBidi"/>
      <w:sz w:val="16"/>
      <w:szCs w:val="22"/>
      <w:lang w:eastAsia="en-US"/>
    </w:rPr>
  </w:style>
  <w:style w:type="paragraph" w:customStyle="1" w:styleId="TableFigNoteLast">
    <w:name w:val="TableFigNote Last"/>
    <w:basedOn w:val="TableFigNote"/>
    <w:next w:val="Normal"/>
    <w:rsid w:val="009C565F"/>
    <w:pPr>
      <w:spacing w:after="120"/>
    </w:pPr>
    <w:rPr>
      <w:rFonts w:ascii="Arial Narrow" w:hAnsi="Arial Narrow"/>
      <w:sz w:val="18"/>
    </w:rPr>
  </w:style>
  <w:style w:type="paragraph" w:customStyle="1" w:styleId="BodyText1">
    <w:name w:val="Body Text1"/>
    <w:basedOn w:val="Normal"/>
    <w:link w:val="BodytextChar0"/>
    <w:rsid w:val="009C565F"/>
    <w:pPr>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rsid w:val="009C565F"/>
    <w:rPr>
      <w:rFonts w:asciiTheme="minorHAnsi" w:eastAsiaTheme="minorHAnsi" w:hAnsiTheme="minorHAnsi" w:cstheme="minorBidi"/>
      <w:sz w:val="22"/>
      <w:szCs w:val="22"/>
      <w:lang w:eastAsia="en-US"/>
    </w:rPr>
  </w:style>
  <w:style w:type="paragraph" w:customStyle="1" w:styleId="TableNumbered">
    <w:name w:val="Table Numbered"/>
    <w:basedOn w:val="TableBullet0"/>
    <w:rsid w:val="009C565F"/>
    <w:pPr>
      <w:numPr>
        <w:numId w:val="10"/>
      </w:numPr>
      <w:tabs>
        <w:tab w:val="num" w:pos="360"/>
      </w:tabs>
      <w:ind w:left="0" w:firstLine="0"/>
    </w:pPr>
  </w:style>
  <w:style w:type="character" w:customStyle="1" w:styleId="normaltextrun">
    <w:name w:val="normaltextrun"/>
    <w:basedOn w:val="DefaultParagraphFont"/>
    <w:rsid w:val="009C565F"/>
  </w:style>
  <w:style w:type="paragraph" w:customStyle="1" w:styleId="paragraph">
    <w:name w:val="paragraph"/>
    <w:basedOn w:val="Normal"/>
    <w:rsid w:val="009C565F"/>
    <w:pPr>
      <w:spacing w:before="100" w:beforeAutospacing="1" w:after="100" w:afterAutospacing="1"/>
      <w:jc w:val="left"/>
    </w:pPr>
    <w:rPr>
      <w:rFonts w:ascii="Times" w:eastAsiaTheme="minorHAnsi" w:hAnsi="Times" w:cstheme="minorBidi"/>
      <w:sz w:val="20"/>
      <w:szCs w:val="20"/>
      <w:lang w:eastAsia="en-US"/>
    </w:rPr>
  </w:style>
  <w:style w:type="character" w:customStyle="1" w:styleId="eop">
    <w:name w:val="eop"/>
    <w:basedOn w:val="DefaultParagraphFont"/>
    <w:rsid w:val="009C565F"/>
  </w:style>
  <w:style w:type="character" w:customStyle="1" w:styleId="spellingerror">
    <w:name w:val="spellingerror"/>
    <w:basedOn w:val="DefaultParagraphFont"/>
    <w:rsid w:val="009C565F"/>
  </w:style>
  <w:style w:type="paragraph" w:customStyle="1" w:styleId="TableHeadingCA">
    <w:name w:val="Table Heading CA"/>
    <w:basedOn w:val="TableHeading0"/>
    <w:rsid w:val="009C565F"/>
    <w:pPr>
      <w:keepLines w:val="0"/>
      <w:spacing w:before="0" w:after="60" w:line="240" w:lineRule="auto"/>
      <w:jc w:val="center"/>
    </w:pPr>
    <w:rPr>
      <w:rFonts w:eastAsiaTheme="minorHAnsi" w:cstheme="minorBidi"/>
      <w:sz w:val="20"/>
      <w:szCs w:val="22"/>
      <w:lang w:eastAsia="en-US" w:bidi="ar-SA"/>
    </w:rPr>
  </w:style>
  <w:style w:type="character" w:styleId="Strong">
    <w:name w:val="Strong"/>
    <w:basedOn w:val="DefaultParagraphFont"/>
    <w:uiPriority w:val="22"/>
    <w:rsid w:val="009C565F"/>
    <w:rPr>
      <w:b/>
      <w:bCs/>
    </w:rPr>
  </w:style>
  <w:style w:type="paragraph" w:styleId="Quote">
    <w:name w:val="Quote"/>
    <w:basedOn w:val="Normal"/>
    <w:next w:val="Normal"/>
    <w:link w:val="QuoteChar"/>
    <w:uiPriority w:val="29"/>
    <w:rsid w:val="009C565F"/>
    <w:pPr>
      <w:spacing w:after="240"/>
      <w:ind w:left="720"/>
      <w:jc w:val="left"/>
    </w:pPr>
    <w:rPr>
      <w:rFonts w:asciiTheme="minorHAnsi" w:eastAsiaTheme="minorEastAsia" w:hAnsiTheme="minorHAnsi" w:cstheme="minorBidi"/>
      <w:iCs/>
      <w:sz w:val="22"/>
      <w:szCs w:val="22"/>
      <w:lang w:eastAsia="en-US" w:bidi="hi-IN"/>
    </w:rPr>
  </w:style>
  <w:style w:type="character" w:customStyle="1" w:styleId="QuoteChar">
    <w:name w:val="Quote Char"/>
    <w:basedOn w:val="DefaultParagraphFont"/>
    <w:link w:val="Quote"/>
    <w:uiPriority w:val="29"/>
    <w:rsid w:val="009C565F"/>
    <w:rPr>
      <w:rFonts w:asciiTheme="minorHAnsi" w:eastAsiaTheme="minorEastAsia" w:hAnsiTheme="minorHAnsi" w:cstheme="minorBidi"/>
      <w:iCs/>
      <w:sz w:val="22"/>
      <w:szCs w:val="22"/>
      <w:lang w:eastAsia="en-US" w:bidi="hi-IN"/>
    </w:rPr>
  </w:style>
  <w:style w:type="table" w:customStyle="1" w:styleId="TableGridLight1">
    <w:name w:val="Table Grid Light1"/>
    <w:basedOn w:val="TableNormal"/>
    <w:uiPriority w:val="40"/>
    <w:rsid w:val="009C565F"/>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FigureName">
    <w:name w:val="FigureName"/>
    <w:basedOn w:val="Normal"/>
    <w:rsid w:val="009C565F"/>
    <w:pPr>
      <w:keepNext/>
      <w:spacing w:after="240"/>
      <w:ind w:left="1531" w:hanging="1531"/>
      <w:jc w:val="left"/>
    </w:pPr>
    <w:rPr>
      <w:rFonts w:ascii="Franklin Gothic Medium" w:eastAsiaTheme="minorHAnsi" w:hAnsi="Franklin Gothic Medium" w:cstheme="minorBidi"/>
      <w:sz w:val="22"/>
      <w:szCs w:val="22"/>
      <w:lang w:eastAsia="en-US"/>
    </w:rPr>
  </w:style>
  <w:style w:type="paragraph" w:customStyle="1" w:styleId="TableDash">
    <w:name w:val="TableDash"/>
    <w:basedOn w:val="Normal"/>
    <w:rsid w:val="009C565F"/>
    <w:pPr>
      <w:keepNext/>
      <w:numPr>
        <w:numId w:val="12"/>
      </w:numPr>
      <w:tabs>
        <w:tab w:val="clear" w:pos="216"/>
        <w:tab w:val="num" w:pos="432"/>
      </w:tabs>
      <w:spacing w:before="60" w:after="60"/>
      <w:ind w:left="0" w:firstLine="0"/>
      <w:jc w:val="left"/>
    </w:pPr>
    <w:rPr>
      <w:rFonts w:cs="Times New Roman"/>
      <w:color w:val="000000"/>
      <w:sz w:val="21"/>
      <w:szCs w:val="21"/>
    </w:rPr>
  </w:style>
  <w:style w:type="paragraph" w:styleId="TableofFigures">
    <w:name w:val="table of figures"/>
    <w:basedOn w:val="Normal"/>
    <w:next w:val="Normal"/>
    <w:uiPriority w:val="99"/>
    <w:rsid w:val="009C565F"/>
    <w:pPr>
      <w:tabs>
        <w:tab w:val="left" w:pos="1080"/>
        <w:tab w:val="right" w:leader="dot" w:pos="9000"/>
      </w:tabs>
      <w:spacing w:after="120"/>
      <w:ind w:left="1000" w:right="720" w:hangingChars="1000" w:hanging="1000"/>
      <w:jc w:val="left"/>
    </w:pPr>
    <w:rPr>
      <w:rFonts w:cs="Times New Roman"/>
      <w:color w:val="000000"/>
      <w:sz w:val="22"/>
      <w:szCs w:val="20"/>
    </w:rPr>
  </w:style>
  <w:style w:type="paragraph" w:customStyle="1" w:styleId="TableFigNoteHangingLast">
    <w:name w:val="TableFigNoteHanging Last"/>
    <w:basedOn w:val="TableFigNote"/>
    <w:rsid w:val="009C565F"/>
    <w:pPr>
      <w:spacing w:after="360"/>
      <w:ind w:left="142" w:hanging="142"/>
    </w:pPr>
  </w:style>
  <w:style w:type="paragraph" w:customStyle="1" w:styleId="EndNoteBibliographyTitle">
    <w:name w:val="EndNote Bibliography Title"/>
    <w:basedOn w:val="Normal"/>
    <w:link w:val="EndNoteBibliographyTitleChar"/>
    <w:rsid w:val="009C565F"/>
    <w:pPr>
      <w:jc w:val="center"/>
    </w:pPr>
    <w:rPr>
      <w:rFonts w:ascii="Arial Narrow" w:eastAsiaTheme="minorHAnsi" w:hAnsi="Arial Narrow" w:cs="Calibri"/>
      <w:noProof/>
      <w:sz w:val="18"/>
      <w:szCs w:val="22"/>
      <w:lang w:val="en-US" w:eastAsia="en-US"/>
    </w:rPr>
  </w:style>
  <w:style w:type="character" w:customStyle="1" w:styleId="EndNoteBibliographyTitleChar">
    <w:name w:val="EndNote Bibliography Title Char"/>
    <w:basedOn w:val="DefaultParagraphFont"/>
    <w:link w:val="EndNoteBibliographyTitle"/>
    <w:rsid w:val="009C565F"/>
    <w:rPr>
      <w:rFonts w:ascii="Arial Narrow" w:eastAsiaTheme="minorHAnsi" w:hAnsi="Arial Narrow" w:cs="Calibri"/>
      <w:noProof/>
      <w:sz w:val="18"/>
      <w:szCs w:val="22"/>
      <w:lang w:val="en-US" w:eastAsia="en-US"/>
    </w:rPr>
  </w:style>
  <w:style w:type="paragraph" w:customStyle="1" w:styleId="EndNoteBibliography">
    <w:name w:val="EndNote Bibliography"/>
    <w:basedOn w:val="Normal"/>
    <w:link w:val="EndNoteBibliographyChar"/>
    <w:rsid w:val="009C565F"/>
    <w:pPr>
      <w:spacing w:after="240"/>
      <w:jc w:val="left"/>
    </w:pPr>
    <w:rPr>
      <w:rFonts w:ascii="Arial Narrow" w:eastAsiaTheme="minorHAnsi" w:hAnsi="Arial Narrow" w:cs="Calibri"/>
      <w:noProof/>
      <w:sz w:val="18"/>
      <w:szCs w:val="22"/>
      <w:lang w:val="en-US" w:eastAsia="en-US"/>
    </w:rPr>
  </w:style>
  <w:style w:type="character" w:customStyle="1" w:styleId="EndNoteBibliographyChar">
    <w:name w:val="EndNote Bibliography Char"/>
    <w:basedOn w:val="DefaultParagraphFont"/>
    <w:link w:val="EndNoteBibliography"/>
    <w:rsid w:val="009C565F"/>
    <w:rPr>
      <w:rFonts w:ascii="Arial Narrow" w:eastAsiaTheme="minorHAnsi" w:hAnsi="Arial Narrow" w:cs="Calibri"/>
      <w:noProof/>
      <w:sz w:val="18"/>
      <w:szCs w:val="22"/>
      <w:lang w:val="en-US" w:eastAsia="en-US"/>
    </w:rPr>
  </w:style>
  <w:style w:type="paragraph" w:customStyle="1" w:styleId="BoxName">
    <w:name w:val="Box Name"/>
    <w:basedOn w:val="Normal"/>
    <w:rsid w:val="009C565F"/>
    <w:pPr>
      <w:pBdr>
        <w:top w:val="single" w:sz="4" w:space="4" w:color="auto"/>
        <w:left w:val="single" w:sz="4" w:space="4" w:color="auto"/>
        <w:bottom w:val="single" w:sz="4" w:space="4" w:color="auto"/>
        <w:right w:val="single" w:sz="4" w:space="4" w:color="auto"/>
      </w:pBdr>
      <w:spacing w:after="120"/>
      <w:jc w:val="left"/>
    </w:pPr>
    <w:rPr>
      <w:rFonts w:ascii="Franklin Gothic Medium" w:eastAsiaTheme="minorHAnsi" w:hAnsi="Franklin Gothic Medium" w:cstheme="minorBidi"/>
      <w:sz w:val="21"/>
      <w:szCs w:val="22"/>
      <w:lang w:eastAsia="en-US"/>
    </w:rPr>
  </w:style>
  <w:style w:type="paragraph" w:customStyle="1" w:styleId="TableNoteBullet">
    <w:name w:val="Table Note Bullet"/>
    <w:basedOn w:val="Normal"/>
    <w:rsid w:val="009C565F"/>
    <w:pPr>
      <w:numPr>
        <w:numId w:val="11"/>
      </w:numPr>
      <w:spacing w:after="60"/>
      <w:ind w:left="0" w:firstLine="0"/>
      <w:jc w:val="left"/>
    </w:pPr>
    <w:rPr>
      <w:rFonts w:asciiTheme="minorHAnsi" w:eastAsiaTheme="minorHAnsi" w:hAnsiTheme="minorHAnsi" w:cstheme="minorBidi"/>
      <w:sz w:val="18"/>
      <w:szCs w:val="22"/>
      <w:lang w:eastAsia="en-US"/>
    </w:rPr>
  </w:style>
  <w:style w:type="paragraph" w:customStyle="1" w:styleId="BoxText">
    <w:name w:val="Box Text"/>
    <w:basedOn w:val="Normal"/>
    <w:rsid w:val="009C565F"/>
    <w:pPr>
      <w:pBdr>
        <w:top w:val="single" w:sz="4" w:space="4" w:color="auto"/>
        <w:left w:val="single" w:sz="4" w:space="4" w:color="auto"/>
        <w:bottom w:val="single" w:sz="4" w:space="4" w:color="auto"/>
        <w:right w:val="single" w:sz="4" w:space="4" w:color="auto"/>
      </w:pBdr>
      <w:spacing w:after="120"/>
      <w:jc w:val="left"/>
    </w:pPr>
    <w:rPr>
      <w:rFonts w:asciiTheme="minorHAnsi" w:eastAsiaTheme="minorHAnsi" w:hAnsiTheme="minorHAnsi" w:cstheme="minorBidi"/>
      <w:sz w:val="22"/>
      <w:szCs w:val="22"/>
      <w:lang w:eastAsia="en-US"/>
    </w:rPr>
  </w:style>
  <w:style w:type="paragraph" w:customStyle="1" w:styleId="BoxBullet">
    <w:name w:val="Box Bullet"/>
    <w:basedOn w:val="BoxText"/>
    <w:rsid w:val="009C565F"/>
    <w:pPr>
      <w:numPr>
        <w:numId w:val="15"/>
      </w:numPr>
      <w:tabs>
        <w:tab w:val="left" w:pos="357"/>
      </w:tabs>
      <w:ind w:left="0" w:firstLine="0"/>
    </w:pPr>
    <w:rPr>
      <w:sz w:val="21"/>
    </w:rPr>
  </w:style>
  <w:style w:type="paragraph" w:customStyle="1" w:styleId="TableTextCA">
    <w:name w:val="Table Text CA"/>
    <w:basedOn w:val="TableText0"/>
    <w:rsid w:val="009C565F"/>
    <w:pPr>
      <w:keepLines w:val="0"/>
      <w:spacing w:before="40" w:after="40"/>
    </w:pPr>
    <w:rPr>
      <w:rFonts w:asciiTheme="minorHAnsi" w:eastAsiaTheme="minorHAnsi" w:hAnsiTheme="minorHAnsi" w:cstheme="minorHAnsi"/>
      <w:bCs w:val="0"/>
      <w:sz w:val="18"/>
      <w:szCs w:val="18"/>
      <w:lang w:eastAsia="en-US"/>
    </w:rPr>
  </w:style>
  <w:style w:type="paragraph" w:customStyle="1" w:styleId="NormalBeforeBullet">
    <w:name w:val="Normal Before Bullet"/>
    <w:basedOn w:val="Normal"/>
    <w:rsid w:val="009C565F"/>
    <w:pPr>
      <w:keepNext/>
      <w:spacing w:after="120"/>
      <w:jc w:val="left"/>
    </w:pPr>
    <w:rPr>
      <w:rFonts w:asciiTheme="minorHAnsi" w:eastAsiaTheme="minorHAnsi" w:hAnsiTheme="minorHAnsi" w:cstheme="minorBidi"/>
      <w:sz w:val="22"/>
      <w:szCs w:val="22"/>
      <w:lang w:eastAsia="en-US"/>
    </w:rPr>
  </w:style>
  <w:style w:type="paragraph" w:customStyle="1" w:styleId="Dash">
    <w:name w:val="Dash"/>
    <w:basedOn w:val="Caption"/>
    <w:rsid w:val="009C565F"/>
    <w:pPr>
      <w:keepNext w:val="0"/>
      <w:keepLines w:val="0"/>
      <w:spacing w:after="40"/>
      <w:ind w:left="714" w:hanging="357"/>
      <w:jc w:val="left"/>
    </w:pPr>
    <w:rPr>
      <w:rFonts w:asciiTheme="minorHAnsi" w:eastAsiaTheme="minorHAnsi" w:hAnsiTheme="minorHAnsi" w:cstheme="minorBidi"/>
      <w:b w:val="0"/>
      <w:bCs w:val="0"/>
      <w:sz w:val="22"/>
      <w:szCs w:val="22"/>
      <w:lang w:eastAsia="en-US"/>
    </w:rPr>
  </w:style>
  <w:style w:type="paragraph" w:customStyle="1" w:styleId="DashLast">
    <w:name w:val="Dash Last"/>
    <w:basedOn w:val="Dash"/>
    <w:rsid w:val="009C565F"/>
    <w:pPr>
      <w:numPr>
        <w:numId w:val="13"/>
      </w:numPr>
      <w:ind w:left="0" w:firstLine="0"/>
    </w:pPr>
  </w:style>
  <w:style w:type="paragraph" w:customStyle="1" w:styleId="DashEndList">
    <w:name w:val="Dash End List"/>
    <w:basedOn w:val="DashLast"/>
    <w:rsid w:val="009C565F"/>
    <w:pPr>
      <w:numPr>
        <w:numId w:val="0"/>
      </w:numPr>
      <w:spacing w:after="240"/>
    </w:pPr>
  </w:style>
  <w:style w:type="paragraph" w:customStyle="1" w:styleId="BoxTickbox">
    <w:name w:val="Box Tickbox"/>
    <w:basedOn w:val="BoxName"/>
    <w:rsid w:val="009C565F"/>
    <w:pPr>
      <w:numPr>
        <w:numId w:val="14"/>
      </w:numPr>
      <w:ind w:left="0" w:firstLine="0"/>
    </w:pPr>
  </w:style>
  <w:style w:type="paragraph" w:customStyle="1" w:styleId="TableFigNoteHanging">
    <w:name w:val="TableFigNoteHanging"/>
    <w:basedOn w:val="TableFigNoteHangingLast"/>
    <w:rsid w:val="009C565F"/>
    <w:pPr>
      <w:spacing w:after="0"/>
    </w:pPr>
  </w:style>
  <w:style w:type="paragraph" w:styleId="DocumentMap">
    <w:name w:val="Document Map"/>
    <w:basedOn w:val="Normal"/>
    <w:link w:val="DocumentMapChar"/>
    <w:uiPriority w:val="99"/>
    <w:semiHidden/>
    <w:unhideWhenUsed/>
    <w:rsid w:val="009C565F"/>
    <w:pPr>
      <w:jc w:val="left"/>
    </w:pPr>
    <w:rPr>
      <w:rFonts w:ascii="Times New Roman" w:eastAsiaTheme="minorHAnsi" w:hAnsi="Times New Roman" w:cs="Times New Roman"/>
      <w:sz w:val="22"/>
      <w:lang w:eastAsia="en-US"/>
    </w:rPr>
  </w:style>
  <w:style w:type="character" w:customStyle="1" w:styleId="DocumentMapChar">
    <w:name w:val="Document Map Char"/>
    <w:basedOn w:val="DefaultParagraphFont"/>
    <w:link w:val="DocumentMap"/>
    <w:uiPriority w:val="99"/>
    <w:semiHidden/>
    <w:rsid w:val="009C565F"/>
    <w:rPr>
      <w:rFonts w:eastAsiaTheme="minorHAnsi"/>
      <w:sz w:val="22"/>
      <w:szCs w:val="24"/>
      <w:lang w:eastAsia="en-US"/>
    </w:rPr>
  </w:style>
  <w:style w:type="paragraph" w:styleId="ListNumber">
    <w:name w:val="List Number"/>
    <w:basedOn w:val="Normal"/>
    <w:uiPriority w:val="99"/>
    <w:unhideWhenUsed/>
    <w:rsid w:val="009C565F"/>
    <w:pPr>
      <w:tabs>
        <w:tab w:val="num" w:pos="360"/>
      </w:tabs>
      <w:spacing w:after="240"/>
      <w:ind w:left="360" w:hanging="360"/>
      <w:contextualSpacing/>
      <w:jc w:val="left"/>
    </w:pPr>
    <w:rPr>
      <w:rFonts w:asciiTheme="minorHAnsi" w:eastAsiaTheme="minorHAnsi" w:hAnsiTheme="minorHAnsi" w:cstheme="minorBidi"/>
      <w:sz w:val="22"/>
      <w:szCs w:val="22"/>
      <w:lang w:eastAsia="en-US"/>
    </w:rPr>
  </w:style>
  <w:style w:type="table" w:customStyle="1" w:styleId="TableGridLight2">
    <w:name w:val="Table Grid Light2"/>
    <w:basedOn w:val="TableNormal"/>
    <w:uiPriority w:val="40"/>
    <w:rsid w:val="009C565F"/>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8E44DE"/>
    <w:rPr>
      <w:sz w:val="20"/>
      <w:szCs w:val="20"/>
    </w:rPr>
  </w:style>
  <w:style w:type="paragraph" w:customStyle="1" w:styleId="TableBullet">
    <w:name w:val="TableBullet"/>
    <w:basedOn w:val="Normal"/>
    <w:rsid w:val="00315AC6"/>
    <w:pPr>
      <w:keepNext/>
      <w:numPr>
        <w:numId w:val="16"/>
      </w:numPr>
      <w:tabs>
        <w:tab w:val="clear" w:pos="360"/>
        <w:tab w:val="left" w:pos="216"/>
      </w:tabs>
      <w:spacing w:before="20" w:after="20"/>
      <w:ind w:left="0" w:firstLine="0"/>
      <w:jc w:val="left"/>
    </w:pPr>
    <w:rPr>
      <w:rFonts w:ascii="Arial Narrow" w:hAnsi="Arial Narrow" w:cs="Times New Roman"/>
      <w:color w:val="000000"/>
      <w:sz w:val="20"/>
      <w:szCs w:val="21"/>
    </w:rPr>
  </w:style>
  <w:style w:type="table" w:customStyle="1" w:styleId="LightList1">
    <w:name w:val="Light List1"/>
    <w:basedOn w:val="TableNormal"/>
    <w:uiPriority w:val="61"/>
    <w:rsid w:val="009C565F"/>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semiHidden/>
    <w:unhideWhenUsed/>
    <w:rsid w:val="009C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C565F"/>
    <w:rPr>
      <w:rFonts w:ascii="Courier New" w:hAnsi="Courier New" w:cs="Courier New"/>
    </w:rPr>
  </w:style>
  <w:style w:type="table" w:styleId="ColourfulListAccent4">
    <w:name w:val="Colorful List Accent 4"/>
    <w:basedOn w:val="TableNormal"/>
    <w:uiPriority w:val="72"/>
    <w:rsid w:val="009C56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HTMLCite">
    <w:name w:val="HTML Cite"/>
    <w:basedOn w:val="DefaultParagraphFont"/>
    <w:uiPriority w:val="99"/>
    <w:semiHidden/>
    <w:unhideWhenUsed/>
    <w:rsid w:val="009C565F"/>
    <w:rPr>
      <w:i/>
      <w:iCs/>
    </w:rPr>
  </w:style>
  <w:style w:type="table" w:customStyle="1" w:styleId="MediumShading11">
    <w:name w:val="Medium Shading 11"/>
    <w:basedOn w:val="TableNormal"/>
    <w:uiPriority w:val="63"/>
    <w:rsid w:val="009C565F"/>
    <w:rPr>
      <w:rFonts w:asciiTheme="minorHAnsi" w:eastAsia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
    <w:name w:val="Grid Table 1 Light1"/>
    <w:basedOn w:val="TableNormal"/>
    <w:uiPriority w:val="46"/>
    <w:rsid w:val="009C565F"/>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C565F"/>
    <w:rPr>
      <w:color w:val="808080"/>
    </w:rPr>
  </w:style>
  <w:style w:type="table" w:styleId="LightShading">
    <w:name w:val="Light Shading"/>
    <w:basedOn w:val="TableNormal"/>
    <w:uiPriority w:val="60"/>
    <w:rsid w:val="009C565F"/>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efaulttable">
    <w:name w:val="Default table"/>
    <w:basedOn w:val="TableNormal"/>
    <w:uiPriority w:val="99"/>
    <w:rsid w:val="009C565F"/>
    <w:rPr>
      <w:rFonts w:asciiTheme="minorHAnsi" w:eastAsiaTheme="minorHAnsi" w:hAnsiTheme="minorHAnsi" w:cstheme="minorBidi"/>
      <w:sz w:val="22"/>
      <w:szCs w:val="22"/>
      <w:lang w:val="en-US" w:eastAsia="en-US"/>
    </w:rPr>
    <w:tblPr/>
  </w:style>
  <w:style w:type="character" w:customStyle="1" w:styleId="UnresolvedMention2">
    <w:name w:val="Unresolved Mention2"/>
    <w:basedOn w:val="DefaultParagraphFont"/>
    <w:uiPriority w:val="99"/>
    <w:semiHidden/>
    <w:unhideWhenUsed/>
    <w:rsid w:val="009C565F"/>
    <w:rPr>
      <w:color w:val="605E5C"/>
      <w:shd w:val="clear" w:color="auto" w:fill="E1DFDD"/>
    </w:rPr>
  </w:style>
  <w:style w:type="paragraph" w:customStyle="1" w:styleId="msonormal0">
    <w:name w:val="msonormal"/>
    <w:basedOn w:val="Normal"/>
    <w:uiPriority w:val="99"/>
    <w:rsid w:val="009C565F"/>
    <w:pPr>
      <w:spacing w:before="100" w:beforeAutospacing="1" w:after="100" w:afterAutospacing="1"/>
      <w:jc w:val="left"/>
    </w:pPr>
    <w:rPr>
      <w:rFonts w:ascii="Times New Roman" w:hAnsi="Times New Roman" w:cs="Times New Roman"/>
      <w:sz w:val="22"/>
    </w:rPr>
  </w:style>
  <w:style w:type="table" w:styleId="ListTable3-Accent5">
    <w:name w:val="List Table 3 Accent 5"/>
    <w:basedOn w:val="TableNormal"/>
    <w:uiPriority w:val="48"/>
    <w:rsid w:val="009C565F"/>
    <w:rPr>
      <w:rFonts w:asciiTheme="minorHAnsi" w:eastAsiaTheme="minorHAnsi" w:hAnsiTheme="minorHAnsi" w:cstheme="minorBidi"/>
      <w:sz w:val="22"/>
      <w:szCs w:val="22"/>
      <w:lang w:val="en-US"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StyleHeading5p511ptBoldNotItalic">
    <w:name w:val="Style Heading 5p5 + 11 pt Bold Not Italic"/>
    <w:basedOn w:val="Heading5"/>
    <w:rsid w:val="009C565F"/>
    <w:pPr>
      <w:keepNext/>
      <w:numPr>
        <w:ilvl w:val="4"/>
        <w:numId w:val="17"/>
      </w:numPr>
      <w:spacing w:before="0" w:after="40"/>
      <w:ind w:left="0" w:firstLine="0"/>
      <w:jc w:val="left"/>
    </w:pPr>
    <w:rPr>
      <w:rFonts w:asciiTheme="minorHAnsi" w:eastAsiaTheme="majorEastAsia" w:hAnsiTheme="minorHAnsi" w:cstheme="majorBidi"/>
      <w:iCs w:val="0"/>
      <w:sz w:val="22"/>
      <w:szCs w:val="22"/>
      <w:lang w:eastAsia="en-US"/>
    </w:rPr>
  </w:style>
  <w:style w:type="table" w:customStyle="1" w:styleId="ListTable3-Accent51">
    <w:name w:val="List Table 3 - Accent 51"/>
    <w:basedOn w:val="TableNormal"/>
    <w:uiPriority w:val="48"/>
    <w:rsid w:val="009C565F"/>
    <w:rPr>
      <w:rFonts w:asciiTheme="minorHAnsi" w:eastAsiaTheme="minorHAnsi" w:hAnsiTheme="minorHAnsi" w:cstheme="minorBidi"/>
      <w:sz w:val="22"/>
      <w:szCs w:val="22"/>
      <w:lang w:val="en-US"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ghtShading-Accent6">
    <w:name w:val="Light Shading Accent 6"/>
    <w:basedOn w:val="TableNormal"/>
    <w:uiPriority w:val="60"/>
    <w:rsid w:val="009C565F"/>
    <w:rPr>
      <w:rFonts w:asciiTheme="minorHAnsi" w:eastAsiaTheme="minorHAnsi"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apple-converted-space">
    <w:name w:val="apple-converted-space"/>
    <w:basedOn w:val="DefaultParagraphFont"/>
    <w:rsid w:val="009C565F"/>
  </w:style>
  <w:style w:type="paragraph" w:customStyle="1" w:styleId="Tablefooter0">
    <w:name w:val="Table footer"/>
    <w:basedOn w:val="Normal"/>
    <w:link w:val="TablefooterChar0"/>
    <w:rsid w:val="009C565F"/>
    <w:rPr>
      <w:rFonts w:eastAsia="SimSun" w:cs="Times New Roman"/>
      <w:sz w:val="16"/>
      <w:szCs w:val="20"/>
      <w:lang w:eastAsia="zh-CN"/>
    </w:rPr>
  </w:style>
  <w:style w:type="character" w:customStyle="1" w:styleId="TablefooterChar0">
    <w:name w:val="Table footer Char"/>
    <w:link w:val="Tablefooter0"/>
    <w:rsid w:val="009C565F"/>
    <w:rPr>
      <w:rFonts w:ascii="Calibri" w:eastAsia="SimSun" w:hAnsi="Calibri"/>
      <w:sz w:val="16"/>
      <w:lang w:eastAsia="zh-CN"/>
    </w:rPr>
  </w:style>
  <w:style w:type="table" w:customStyle="1" w:styleId="TableGrid1">
    <w:name w:val="Table Grid1"/>
    <w:basedOn w:val="TableNormal"/>
    <w:next w:val="TableGrid"/>
    <w:uiPriority w:val="5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5p511ptBoldNotItalic1">
    <w:name w:val="Style Heading 5p5 + 11 pt Bold Not Italic1"/>
    <w:basedOn w:val="Heading5"/>
    <w:rsid w:val="009C565F"/>
    <w:pPr>
      <w:keepNext/>
      <w:spacing w:before="0" w:after="40"/>
      <w:ind w:left="1009" w:hanging="1009"/>
      <w:jc w:val="left"/>
    </w:pPr>
    <w:rPr>
      <w:rFonts w:asciiTheme="minorHAnsi" w:eastAsiaTheme="majorEastAsia" w:hAnsiTheme="minorHAnsi" w:cstheme="majorBidi"/>
      <w:iCs w:val="0"/>
      <w:sz w:val="22"/>
      <w:szCs w:val="22"/>
      <w:lang w:eastAsia="en-US"/>
    </w:rPr>
  </w:style>
  <w:style w:type="character" w:customStyle="1" w:styleId="highlight2">
    <w:name w:val="highlight2"/>
    <w:uiPriority w:val="99"/>
    <w:rsid w:val="009C565F"/>
  </w:style>
  <w:style w:type="character" w:customStyle="1" w:styleId="StyleCalibri">
    <w:name w:val="Style Calibri"/>
    <w:unhideWhenUsed/>
    <w:locked/>
    <w:rsid w:val="009C565F"/>
    <w:rPr>
      <w:rFonts w:ascii="Calibri" w:hAnsi="Calibri"/>
      <w:sz w:val="24"/>
    </w:rPr>
  </w:style>
  <w:style w:type="character" w:customStyle="1" w:styleId="offscreennoflow">
    <w:name w:val="offscreen_noflow"/>
    <w:basedOn w:val="DefaultParagraphFont"/>
    <w:rsid w:val="009C565F"/>
  </w:style>
  <w:style w:type="character" w:customStyle="1" w:styleId="label">
    <w:name w:val="label"/>
    <w:basedOn w:val="DefaultParagraphFont"/>
    <w:rsid w:val="009C565F"/>
  </w:style>
  <w:style w:type="character" w:customStyle="1" w:styleId="separator">
    <w:name w:val="separator"/>
    <w:basedOn w:val="DefaultParagraphFont"/>
    <w:rsid w:val="009C565F"/>
  </w:style>
  <w:style w:type="character" w:customStyle="1" w:styleId="value">
    <w:name w:val="value"/>
    <w:basedOn w:val="DefaultParagraphFont"/>
    <w:rsid w:val="009C565F"/>
  </w:style>
  <w:style w:type="paragraph" w:customStyle="1" w:styleId="icon--meta-keyline-before1">
    <w:name w:val="icon--meta-keyline-before1"/>
    <w:basedOn w:val="Normal"/>
    <w:rsid w:val="009C565F"/>
    <w:pPr>
      <w:jc w:val="left"/>
    </w:pPr>
    <w:rPr>
      <w:rFonts w:ascii="Times New Roman" w:hAnsi="Times New Roman" w:cs="Times New Roman"/>
    </w:rPr>
  </w:style>
  <w:style w:type="character" w:customStyle="1" w:styleId="articlecitationyear">
    <w:name w:val="articlecitation_year"/>
    <w:basedOn w:val="DefaultParagraphFont"/>
    <w:rsid w:val="009C565F"/>
  </w:style>
  <w:style w:type="character" w:customStyle="1" w:styleId="articlecitationvolume">
    <w:name w:val="articlecitation_volume"/>
    <w:basedOn w:val="DefaultParagraphFont"/>
    <w:rsid w:val="009C565F"/>
  </w:style>
  <w:style w:type="character" w:customStyle="1" w:styleId="articlecitationpages">
    <w:name w:val="articlecitation_pages"/>
    <w:basedOn w:val="DefaultParagraphFont"/>
    <w:rsid w:val="009C565F"/>
  </w:style>
  <w:style w:type="character" w:customStyle="1" w:styleId="h41">
    <w:name w:val="h41"/>
    <w:basedOn w:val="DefaultParagraphFont"/>
    <w:rsid w:val="009C565F"/>
    <w:rPr>
      <w:b/>
      <w:bCs/>
      <w:sz w:val="24"/>
      <w:szCs w:val="24"/>
    </w:rPr>
  </w:style>
  <w:style w:type="character" w:customStyle="1" w:styleId="label1">
    <w:name w:val="label1"/>
    <w:basedOn w:val="DefaultParagraphFont"/>
    <w:rsid w:val="009C565F"/>
    <w:rPr>
      <w:b/>
      <w:bCs/>
    </w:rPr>
  </w:style>
  <w:style w:type="paragraph" w:customStyle="1" w:styleId="TableHeading-H56">
    <w:name w:val="Table Heading - H56"/>
    <w:basedOn w:val="Heading4"/>
    <w:link w:val="TableHeading-H56Char"/>
    <w:rsid w:val="009C565F"/>
    <w:pPr>
      <w:tabs>
        <w:tab w:val="left" w:pos="1440"/>
      </w:tabs>
      <w:spacing w:before="80" w:after="40"/>
      <w:ind w:left="1021"/>
      <w:jc w:val="left"/>
      <w:outlineLvl w:val="9"/>
    </w:pPr>
    <w:rPr>
      <w:rFonts w:ascii="Arial" w:eastAsia="Arial Unicode MS" w:hAnsi="Arial" w:cs="Times New Roman"/>
      <w:bCs w:val="0"/>
      <w:i w:val="0"/>
      <w:color w:val="1F497D" w:themeColor="text2"/>
      <w:sz w:val="16"/>
      <w:szCs w:val="44"/>
      <w:lang w:val="en-GB" w:eastAsia="en-US"/>
    </w:rPr>
  </w:style>
  <w:style w:type="character" w:customStyle="1" w:styleId="TableHeading-H56Char">
    <w:name w:val="Table Heading - H56 Char"/>
    <w:basedOn w:val="DefaultParagraphFont"/>
    <w:link w:val="TableHeading-H56"/>
    <w:rsid w:val="009C565F"/>
    <w:rPr>
      <w:rFonts w:ascii="Arial" w:eastAsia="Arial Unicode MS" w:hAnsi="Arial"/>
      <w:b/>
      <w:color w:val="1F497D" w:themeColor="text2"/>
      <w:sz w:val="16"/>
      <w:szCs w:val="44"/>
      <w:lang w:val="en-GB" w:eastAsia="en-US"/>
    </w:rPr>
  </w:style>
  <w:style w:type="paragraph" w:customStyle="1" w:styleId="Bullet2">
    <w:name w:val="Bullet 2"/>
    <w:basedOn w:val="Normal"/>
    <w:next w:val="Normal"/>
    <w:locked/>
    <w:rsid w:val="009C565F"/>
    <w:pPr>
      <w:tabs>
        <w:tab w:val="num" w:pos="800"/>
      </w:tabs>
      <w:spacing w:after="120"/>
      <w:ind w:left="800" w:hanging="400"/>
    </w:pPr>
    <w:rPr>
      <w:rFonts w:cs="Times New Roman"/>
      <w:sz w:val="22"/>
      <w:lang w:eastAsia="en-US"/>
    </w:rPr>
  </w:style>
  <w:style w:type="paragraph" w:customStyle="1" w:styleId="TableNotesCV">
    <w:name w:val="Table Notes CV"/>
    <w:basedOn w:val="Normal"/>
    <w:rsid w:val="009C565F"/>
    <w:pPr>
      <w:tabs>
        <w:tab w:val="left" w:pos="1559"/>
      </w:tabs>
      <w:spacing w:after="120"/>
      <w:ind w:left="1559" w:hanging="1559"/>
    </w:pPr>
    <w:rPr>
      <w:rFonts w:eastAsia="SimSun" w:cs="Times New Roman"/>
      <w:sz w:val="16"/>
      <w:szCs w:val="20"/>
      <w:lang w:eastAsia="x-none"/>
    </w:rPr>
  </w:style>
  <w:style w:type="table" w:customStyle="1" w:styleId="TableGrid15">
    <w:name w:val="Table Grid15"/>
    <w:basedOn w:val="TableNormal"/>
    <w:next w:val="TableGrid"/>
    <w:rsid w:val="009C56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Light11">
    <w:name w:val="Table Grid Light11"/>
    <w:basedOn w:val="TableNormal"/>
    <w:uiPriority w:val="40"/>
    <w:rsid w:val="009C565F"/>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table" w:customStyle="1" w:styleId="Summarybox1">
    <w:name w:val="Summary box1"/>
    <w:basedOn w:val="TableNormal"/>
    <w:next w:val="TableGrid"/>
    <w:uiPriority w:val="39"/>
    <w:rsid w:val="009C565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table" w:customStyle="1" w:styleId="TableGridLight21">
    <w:name w:val="Table Grid Light21"/>
    <w:basedOn w:val="TableNormal"/>
    <w:uiPriority w:val="40"/>
    <w:rsid w:val="009C565F"/>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List11">
    <w:name w:val="Light List11"/>
    <w:basedOn w:val="TableNormal"/>
    <w:uiPriority w:val="61"/>
    <w:rsid w:val="009C565F"/>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Accent41">
    <w:name w:val="Colorful List - Accent 41"/>
    <w:basedOn w:val="TableNormal"/>
    <w:next w:val="ColourfulListAccent4"/>
    <w:uiPriority w:val="72"/>
    <w:rsid w:val="009C56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MediumShading111">
    <w:name w:val="Medium Shading 111"/>
    <w:basedOn w:val="TableNormal"/>
    <w:uiPriority w:val="63"/>
    <w:rsid w:val="009C565F"/>
    <w:rPr>
      <w:rFonts w:asciiTheme="minorHAnsi" w:eastAsia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1">
    <w:name w:val="Grid Table 1 Light11"/>
    <w:basedOn w:val="TableNormal"/>
    <w:uiPriority w:val="46"/>
    <w:rsid w:val="009C565F"/>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rsid w:val="009C565F"/>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efaulttable1">
    <w:name w:val="Default table1"/>
    <w:basedOn w:val="TableNormal"/>
    <w:uiPriority w:val="99"/>
    <w:rsid w:val="009C565F"/>
    <w:rPr>
      <w:rFonts w:asciiTheme="minorHAnsi" w:eastAsiaTheme="minorHAnsi" w:hAnsiTheme="minorHAnsi" w:cstheme="minorBidi"/>
      <w:sz w:val="22"/>
      <w:szCs w:val="22"/>
      <w:lang w:val="en-US" w:eastAsia="en-US"/>
    </w:rPr>
    <w:tblPr/>
  </w:style>
  <w:style w:type="table" w:customStyle="1" w:styleId="TableGrid11">
    <w:name w:val="Table Grid11"/>
    <w:basedOn w:val="TableNormal"/>
    <w:next w:val="TableGrid"/>
    <w:uiPriority w:val="59"/>
    <w:rsid w:val="009C56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C56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4021">
    <w:name w:val="Table Grid4021"/>
    <w:basedOn w:val="TableNormal"/>
    <w:next w:val="TableGrid"/>
    <w:uiPriority w:val="5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next w:val="Normal"/>
    <w:rsid w:val="009C565F"/>
    <w:pPr>
      <w:keepNext/>
      <w:keepLines/>
      <w:spacing w:before="60" w:after="240"/>
      <w:contextualSpacing/>
      <w:jc w:val="left"/>
    </w:pPr>
    <w:rPr>
      <w:rFonts w:ascii="Arial" w:hAnsi="Arial" w:cs="Times New Roman"/>
      <w:sz w:val="16"/>
      <w:szCs w:val="16"/>
    </w:rPr>
  </w:style>
  <w:style w:type="paragraph" w:styleId="BlockText">
    <w:name w:val="Block Text"/>
    <w:basedOn w:val="Normal"/>
    <w:uiPriority w:val="99"/>
    <w:semiHidden/>
    <w:unhideWhenUsed/>
    <w:rsid w:val="009C565F"/>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40"/>
      <w:ind w:left="1152" w:right="1152"/>
      <w:jc w:val="left"/>
    </w:pPr>
    <w:rPr>
      <w:rFonts w:asciiTheme="minorHAnsi" w:eastAsiaTheme="minorEastAsia" w:hAnsiTheme="minorHAnsi" w:cstheme="minorBidi"/>
      <w:i/>
      <w:iCs/>
      <w:color w:val="4F81BD" w:themeColor="accent1"/>
      <w:sz w:val="22"/>
      <w:szCs w:val="22"/>
      <w:lang w:eastAsia="en-US"/>
    </w:rPr>
  </w:style>
  <w:style w:type="table" w:customStyle="1" w:styleId="GridTable4-Accent61">
    <w:name w:val="Grid Table 4 - Accent 61"/>
    <w:basedOn w:val="TableNormal"/>
    <w:uiPriority w:val="49"/>
    <w:rsid w:val="009C565F"/>
    <w:rPr>
      <w:rFonts w:asciiTheme="minorHAnsi" w:hAnsiTheme="minorHAnsi" w:cs="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Arial"/>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Arial"/>
        <w:b/>
        <w:bCs/>
      </w:rPr>
      <w:tblPr/>
      <w:tcPr>
        <w:tcBorders>
          <w:top w:val="double" w:sz="4" w:space="0" w:color="F79646" w:themeColor="accent6"/>
        </w:tcBorders>
      </w:tcPr>
    </w:tblStylePr>
    <w:tblStylePr w:type="firstCol">
      <w:rPr>
        <w:rFonts w:cs="Arial"/>
        <w:b/>
        <w:bCs/>
      </w:rPr>
    </w:tblStylePr>
    <w:tblStylePr w:type="lastCol">
      <w:rPr>
        <w:rFonts w:cs="Arial"/>
        <w:b/>
        <w:bCs/>
      </w:rPr>
    </w:tblStylePr>
    <w:tblStylePr w:type="band1Vert">
      <w:rPr>
        <w:rFonts w:cs="Arial"/>
      </w:rPr>
      <w:tblPr/>
      <w:tcPr>
        <w:shd w:val="clear" w:color="auto" w:fill="FDE9D9" w:themeFill="accent6" w:themeFillTint="33"/>
      </w:tcPr>
    </w:tblStylePr>
    <w:tblStylePr w:type="band1Horz">
      <w:rPr>
        <w:rFonts w:cs="Arial"/>
      </w:rPr>
      <w:tblPr/>
      <w:tcPr>
        <w:shd w:val="clear" w:color="auto" w:fill="FDE9D9" w:themeFill="accent6" w:themeFillTint="33"/>
      </w:tcPr>
    </w:tblStylePr>
  </w:style>
  <w:style w:type="character" w:customStyle="1" w:styleId="EndnoteTextChar">
    <w:name w:val="Endnote Text Char"/>
    <w:basedOn w:val="DefaultParagraphFont"/>
    <w:link w:val="EndnoteText"/>
    <w:uiPriority w:val="99"/>
    <w:rsid w:val="008E44DE"/>
    <w:rPr>
      <w:rFonts w:ascii="Calibri" w:hAnsi="Calibri" w:cs="Arial"/>
    </w:rPr>
  </w:style>
  <w:style w:type="paragraph" w:customStyle="1" w:styleId="TableNotes1">
    <w:name w:val="TableNotes"/>
    <w:basedOn w:val="Normal"/>
    <w:rsid w:val="009C565F"/>
    <w:pPr>
      <w:spacing w:after="160" w:line="256" w:lineRule="auto"/>
      <w:contextualSpacing/>
      <w:jc w:val="left"/>
    </w:pPr>
    <w:rPr>
      <w:rFonts w:asciiTheme="minorHAnsi" w:eastAsiaTheme="minorHAnsi" w:hAnsiTheme="minorHAnsi" w:cstheme="minorBidi"/>
      <w:sz w:val="16"/>
      <w:szCs w:val="16"/>
      <w:lang w:eastAsia="en-US"/>
    </w:rPr>
  </w:style>
  <w:style w:type="paragraph" w:customStyle="1" w:styleId="xpdxpnd">
    <w:name w:val="xpdxpnd"/>
    <w:basedOn w:val="Normal"/>
    <w:rsid w:val="009C565F"/>
    <w:pPr>
      <w:jc w:val="left"/>
    </w:pPr>
    <w:rPr>
      <w:rFonts w:ascii="Times New Roman" w:hAnsi="Times New Roman" w:cs="Times New Roman"/>
    </w:rPr>
  </w:style>
  <w:style w:type="character" w:customStyle="1" w:styleId="mqo3nc">
    <w:name w:val="mqo3nc"/>
    <w:basedOn w:val="DefaultParagraphFont"/>
    <w:rsid w:val="009C565F"/>
  </w:style>
  <w:style w:type="table" w:customStyle="1" w:styleId="TableGridLight12">
    <w:name w:val="Table Grid Light12"/>
    <w:basedOn w:val="TableNormal"/>
    <w:uiPriority w:val="40"/>
    <w:rsid w:val="009C565F"/>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tblPr/>
      <w:tcPr>
        <w:shd w:val="clear" w:color="auto" w:fill="F2F2F2"/>
      </w:tcPr>
    </w:tblStylePr>
  </w:style>
  <w:style w:type="table" w:customStyle="1" w:styleId="Summarybox2">
    <w:name w:val="Summary box2"/>
    <w:basedOn w:val="TableNormal"/>
    <w:next w:val="TableGrid"/>
    <w:uiPriority w:val="39"/>
    <w:rsid w:val="009C565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table" w:customStyle="1" w:styleId="TableGridLight22">
    <w:name w:val="Table Grid Light22"/>
    <w:basedOn w:val="TableNormal"/>
    <w:uiPriority w:val="40"/>
    <w:rsid w:val="009C565F"/>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12">
    <w:name w:val="Light List12"/>
    <w:basedOn w:val="TableNormal"/>
    <w:uiPriority w:val="61"/>
    <w:rsid w:val="009C565F"/>
    <w:rPr>
      <w:rFonts w:asciiTheme="minorHAnsi" w:eastAsiaTheme="minorHAnsi" w:hAnsiTheme="minorHAnsi" w:cstheme="minorBid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olorfulList-Accent42">
    <w:name w:val="Colorful List - Accent 42"/>
    <w:basedOn w:val="TableNormal"/>
    <w:next w:val="ColourfulListAccent4"/>
    <w:uiPriority w:val="72"/>
    <w:rsid w:val="009C565F"/>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MediumShading112">
    <w:name w:val="Medium Shading 112"/>
    <w:basedOn w:val="TableNormal"/>
    <w:uiPriority w:val="63"/>
    <w:rsid w:val="009C565F"/>
    <w:rPr>
      <w:rFonts w:asciiTheme="minorHAnsi" w:eastAsiaTheme="minorHAnsi" w:hAnsiTheme="minorHAnsi" w:cstheme="minorBid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1Light12">
    <w:name w:val="Grid Table 1 Light12"/>
    <w:basedOn w:val="TableNormal"/>
    <w:uiPriority w:val="46"/>
    <w:rsid w:val="009C565F"/>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rsid w:val="009C565F"/>
    <w:rPr>
      <w:rFonts w:asciiTheme="minorHAnsi" w:eastAsiaTheme="minorHAnsi" w:hAnsiTheme="minorHAnsi" w:cstheme="minorBid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efaulttable2">
    <w:name w:val="Default table2"/>
    <w:basedOn w:val="TableNormal"/>
    <w:uiPriority w:val="99"/>
    <w:rsid w:val="009C565F"/>
    <w:rPr>
      <w:rFonts w:asciiTheme="minorHAnsi" w:eastAsiaTheme="minorHAnsi" w:hAnsiTheme="minorHAnsi" w:cstheme="minorBidi"/>
      <w:sz w:val="22"/>
      <w:szCs w:val="22"/>
      <w:lang w:val="en-US" w:eastAsia="en-US"/>
    </w:rPr>
    <w:tblPr/>
  </w:style>
  <w:style w:type="table" w:customStyle="1" w:styleId="TableGrid12">
    <w:name w:val="Table Grid12"/>
    <w:basedOn w:val="TableNormal"/>
    <w:next w:val="TableGrid"/>
    <w:uiPriority w:val="59"/>
    <w:rsid w:val="009C56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9C56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customStyle="1" w:styleId="Appendix">
    <w:name w:val="Appendix"/>
    <w:basedOn w:val="Heading3"/>
    <w:next w:val="Normal"/>
    <w:link w:val="AppendixChar"/>
    <w:rsid w:val="009C565F"/>
    <w:pPr>
      <w:keepNext/>
      <w:keepLines/>
      <w:numPr>
        <w:numId w:val="18"/>
      </w:numPr>
      <w:spacing w:after="200"/>
      <w:ind w:left="0" w:firstLine="0"/>
      <w:jc w:val="left"/>
    </w:pPr>
    <w:rPr>
      <w:rFonts w:ascii="Arial" w:eastAsiaTheme="majorEastAsia" w:hAnsi="Arial" w:cstheme="minorHAnsi"/>
      <w:b/>
      <w:color w:val="000000" w:themeColor="text1"/>
      <w:sz w:val="28"/>
      <w:szCs w:val="28"/>
      <w:lang w:eastAsia="en-US"/>
    </w:rPr>
  </w:style>
  <w:style w:type="paragraph" w:customStyle="1" w:styleId="Style1">
    <w:name w:val="Style1"/>
    <w:basedOn w:val="BodyText1"/>
    <w:rsid w:val="009C565F"/>
    <w:rPr>
      <w:sz w:val="28"/>
      <w:szCs w:val="28"/>
    </w:rPr>
  </w:style>
  <w:style w:type="character" w:customStyle="1" w:styleId="AppendixChar">
    <w:name w:val="Appendix Char"/>
    <w:basedOn w:val="Heading3Char"/>
    <w:link w:val="Appendix"/>
    <w:rsid w:val="009C565F"/>
    <w:rPr>
      <w:rFonts w:ascii="Arial" w:eastAsiaTheme="majorEastAsia" w:hAnsi="Arial" w:cstheme="minorHAnsi"/>
      <w:b/>
      <w:color w:val="000000" w:themeColor="text1"/>
      <w:sz w:val="28"/>
      <w:szCs w:val="28"/>
      <w:u w:val="single"/>
      <w:lang w:eastAsia="en-US"/>
    </w:rPr>
  </w:style>
  <w:style w:type="paragraph" w:styleId="Bibliography">
    <w:name w:val="Bibliography"/>
    <w:basedOn w:val="Normal"/>
    <w:next w:val="Normal"/>
    <w:uiPriority w:val="37"/>
    <w:unhideWhenUsed/>
    <w:rsid w:val="009C565F"/>
    <w:pPr>
      <w:spacing w:after="240"/>
      <w:jc w:val="left"/>
    </w:pPr>
    <w:rPr>
      <w:rFonts w:asciiTheme="minorHAnsi" w:eastAsiaTheme="minorHAnsi" w:hAnsiTheme="minorHAnsi" w:cstheme="minorBidi"/>
      <w:sz w:val="22"/>
      <w:szCs w:val="22"/>
      <w:lang w:eastAsia="en-US"/>
    </w:rPr>
  </w:style>
  <w:style w:type="table" w:customStyle="1" w:styleId="Eviera-201811">
    <w:name w:val="Eviera - 201811"/>
    <w:basedOn w:val="TableNormal"/>
    <w:uiPriority w:val="99"/>
    <w:qFormat/>
    <w:rsid w:val="009C565F"/>
    <w:pPr>
      <w:spacing w:before="40" w:after="40"/>
    </w:pPr>
    <w:rPr>
      <w:rFonts w:ascii="Calibri Light" w:eastAsia="Batang"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TableFootnotesAbbreviations">
    <w:name w:val="Table Footnotes/Abbreviations"/>
    <w:basedOn w:val="BodyText"/>
    <w:link w:val="TableFootnotesAbbreviationsChar"/>
    <w:rsid w:val="009C565F"/>
    <w:pPr>
      <w:spacing w:before="60"/>
    </w:pPr>
    <w:rPr>
      <w:rFonts w:ascii="Calibri Light" w:hAnsi="Calibri Light" w:cs="Times New Roman"/>
      <w:sz w:val="18"/>
      <w:szCs w:val="20"/>
      <w:lang w:val="en-US" w:eastAsia="en-US"/>
    </w:rPr>
  </w:style>
  <w:style w:type="character" w:customStyle="1" w:styleId="TableFootnotesAbbreviationsChar">
    <w:name w:val="Table Footnotes/Abbreviations Char"/>
    <w:basedOn w:val="DefaultParagraphFont"/>
    <w:link w:val="TableFootnotesAbbreviations"/>
    <w:rsid w:val="009C565F"/>
    <w:rPr>
      <w:rFonts w:ascii="Calibri Light" w:hAnsi="Calibri Light"/>
      <w:sz w:val="18"/>
      <w:lang w:val="en-US" w:eastAsia="en-US"/>
    </w:rPr>
  </w:style>
  <w:style w:type="character" w:customStyle="1" w:styleId="Heading1Char1">
    <w:name w:val="Heading 1 Char1"/>
    <w:aliases w:val="Header 1 Char1,H1 Char1,Heading 12 Char1,Titre 1 Car Car Char1,Titre 1 Car Char1,Outline1 Char1,p1 Char1"/>
    <w:basedOn w:val="DefaultParagraphFont"/>
    <w:uiPriority w:val="9"/>
    <w:rsid w:val="009C565F"/>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 Char1,Heading h2 Char1,h2 Char1,Heading 2x Char1,p2 Char Char1"/>
    <w:basedOn w:val="DefaultParagraphFont"/>
    <w:uiPriority w:val="9"/>
    <w:semiHidden/>
    <w:rsid w:val="009C565F"/>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Heading h3 Char1,h3 Char1,Don 3 Char1,Heading 3x Char1,p3 Char Char1"/>
    <w:basedOn w:val="DefaultParagraphFont"/>
    <w:semiHidden/>
    <w:rsid w:val="009C565F"/>
    <w:rPr>
      <w:rFonts w:asciiTheme="majorHAnsi" w:eastAsiaTheme="majorEastAsia" w:hAnsiTheme="majorHAnsi" w:cstheme="majorBidi"/>
      <w:color w:val="243F60" w:themeColor="accent1" w:themeShade="7F"/>
      <w:sz w:val="24"/>
      <w:szCs w:val="24"/>
    </w:rPr>
  </w:style>
  <w:style w:type="character" w:customStyle="1" w:styleId="Heading4Char2">
    <w:name w:val="Heading 4 Char2"/>
    <w:aliases w:val="Heading 4 Char1 Char1,Heading 4 Char Char Char1,Heading 4 Char2 Char Char Char1,Heading 4 Char Char1 Char Char Char1,Heading 4 Char1 Char Char Char Char Char Char1,Heading 4 Char Char Char Char Char Char Char Char1,Char Char1,p4 Char1"/>
    <w:basedOn w:val="DefaultParagraphFont"/>
    <w:uiPriority w:val="9"/>
    <w:semiHidden/>
    <w:rsid w:val="009C565F"/>
    <w:rPr>
      <w:rFonts w:asciiTheme="majorHAnsi" w:eastAsiaTheme="majorEastAsia" w:hAnsiTheme="majorHAnsi" w:cstheme="majorBidi"/>
      <w:i/>
      <w:iCs/>
      <w:color w:val="365F91" w:themeColor="accent1" w:themeShade="BF"/>
      <w:sz w:val="22"/>
      <w:szCs w:val="22"/>
    </w:rPr>
  </w:style>
  <w:style w:type="character" w:customStyle="1" w:styleId="Heading5Char1">
    <w:name w:val="Heading 5 Char1"/>
    <w:aliases w:val="p5 Char1"/>
    <w:basedOn w:val="DefaultParagraphFont"/>
    <w:uiPriority w:val="9"/>
    <w:semiHidden/>
    <w:rsid w:val="009C565F"/>
    <w:rPr>
      <w:rFonts w:asciiTheme="majorHAnsi" w:eastAsiaTheme="majorEastAsia" w:hAnsiTheme="majorHAnsi" w:cstheme="majorBidi"/>
      <w:color w:val="365F91" w:themeColor="accent1" w:themeShade="BF"/>
      <w:sz w:val="22"/>
      <w:szCs w:val="22"/>
    </w:rPr>
  </w:style>
  <w:style w:type="character" w:customStyle="1" w:styleId="Heading6Char1">
    <w:name w:val="Heading 6 Char1"/>
    <w:aliases w:val="Heading 6 - DO NOT USE Char1,DO NOT USE Char1,DO NOT USE4 Char1"/>
    <w:basedOn w:val="DefaultParagraphFont"/>
    <w:semiHidden/>
    <w:rsid w:val="009C565F"/>
    <w:rPr>
      <w:rFonts w:asciiTheme="majorHAnsi" w:eastAsiaTheme="majorEastAsia" w:hAnsiTheme="majorHAnsi" w:cstheme="majorBidi"/>
      <w:color w:val="243F60" w:themeColor="accent1" w:themeShade="7F"/>
      <w:sz w:val="22"/>
      <w:szCs w:val="22"/>
    </w:rPr>
  </w:style>
  <w:style w:type="character" w:customStyle="1" w:styleId="Heading7Char1">
    <w:name w:val="Heading 7 Char1"/>
    <w:aliases w:val="Heading 7 - DO NOT USE Char1"/>
    <w:basedOn w:val="DefaultParagraphFont"/>
    <w:uiPriority w:val="99"/>
    <w:semiHidden/>
    <w:rsid w:val="009C565F"/>
    <w:rPr>
      <w:rFonts w:asciiTheme="majorHAnsi" w:eastAsiaTheme="majorEastAsia" w:hAnsiTheme="majorHAnsi" w:cstheme="majorBidi"/>
      <w:i/>
      <w:iCs/>
      <w:color w:val="243F60" w:themeColor="accent1" w:themeShade="7F"/>
      <w:sz w:val="22"/>
      <w:szCs w:val="22"/>
    </w:rPr>
  </w:style>
  <w:style w:type="character" w:customStyle="1" w:styleId="Heading8Char1">
    <w:name w:val="Heading 8 Char1"/>
    <w:aliases w:val="Heading 8 - - DO NOT USE Char1"/>
    <w:basedOn w:val="DefaultParagraphFont"/>
    <w:uiPriority w:val="99"/>
    <w:semiHidden/>
    <w:rsid w:val="009C565F"/>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 DO NOT USE Char1,cover page title Char1"/>
    <w:basedOn w:val="DefaultParagraphFont"/>
    <w:uiPriority w:val="99"/>
    <w:semiHidden/>
    <w:rsid w:val="009C565F"/>
    <w:rPr>
      <w:rFonts w:asciiTheme="majorHAnsi" w:eastAsiaTheme="majorEastAsia" w:hAnsiTheme="majorHAnsi" w:cstheme="majorBidi"/>
      <w:i/>
      <w:iCs/>
      <w:color w:val="272727" w:themeColor="text1" w:themeTint="D8"/>
      <w:sz w:val="21"/>
      <w:szCs w:val="21"/>
    </w:rPr>
  </w:style>
  <w:style w:type="character" w:customStyle="1" w:styleId="CommentTextChar1">
    <w:name w:val="Comment Text Char1"/>
    <w:aliases w:val="Comment Text Char1 Char Char1,Comment Text Char Char Char Char1"/>
    <w:basedOn w:val="DefaultParagraphFont"/>
    <w:uiPriority w:val="99"/>
    <w:semiHidden/>
    <w:rsid w:val="009C565F"/>
    <w:rPr>
      <w:rFonts w:asciiTheme="minorHAnsi" w:eastAsiaTheme="minorHAnsi" w:hAnsiTheme="minorHAnsi" w:cstheme="minorBidi"/>
      <w:lang w:eastAsia="en-US"/>
    </w:rPr>
  </w:style>
  <w:style w:type="paragraph" w:customStyle="1" w:styleId="Heading3NOTOC">
    <w:name w:val="Heading 3 (NO TOC)"/>
    <w:basedOn w:val="Heading3"/>
    <w:link w:val="Heading3NOTOCChar"/>
    <w:rsid w:val="009C565F"/>
    <w:pPr>
      <w:keepNext/>
      <w:spacing w:before="180" w:after="60"/>
      <w:jc w:val="left"/>
    </w:pPr>
    <w:rPr>
      <w:b/>
      <w:color w:val="000000" w:themeColor="text1"/>
      <w:sz w:val="28"/>
      <w:lang w:val="en-US" w:eastAsia="en-US"/>
    </w:rPr>
  </w:style>
  <w:style w:type="character" w:customStyle="1" w:styleId="Heading3NOTOCChar">
    <w:name w:val="Heading 3 (NO TOC) Char"/>
    <w:basedOn w:val="Heading3Char"/>
    <w:link w:val="Heading3NOTOC"/>
    <w:rsid w:val="009C565F"/>
    <w:rPr>
      <w:rFonts w:ascii="Calibri" w:hAnsi="Calibri" w:cs="Arial"/>
      <w:b/>
      <w:color w:val="000000" w:themeColor="text1"/>
      <w:sz w:val="28"/>
      <w:szCs w:val="24"/>
      <w:u w:val="single"/>
      <w:lang w:val="en-US" w:eastAsia="en-US"/>
    </w:rPr>
  </w:style>
  <w:style w:type="table" w:customStyle="1" w:styleId="Summarybox13">
    <w:name w:val="Summary box13"/>
    <w:basedOn w:val="TableNormal"/>
    <w:next w:val="TableGrid"/>
    <w:uiPriority w:val="59"/>
    <w:rsid w:val="009C56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9C565F"/>
    <w:pPr>
      <w:spacing w:after="120"/>
      <w:ind w:left="283"/>
      <w:contextualSpacing/>
    </w:pPr>
    <w:rPr>
      <w:rFonts w:cs="Times New Roman"/>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C565F"/>
    <w:pPr>
      <w:spacing w:after="160" w:line="240" w:lineRule="exact"/>
      <w:jc w:val="left"/>
    </w:pPr>
    <w:rPr>
      <w:rFonts w:ascii="Verdana" w:eastAsia="MS Mincho" w:hAnsi="Verdana" w:cs="Verdana"/>
      <w:sz w:val="20"/>
      <w:szCs w:val="20"/>
      <w:lang w:val="en-US" w:eastAsia="en-US"/>
    </w:rPr>
  </w:style>
  <w:style w:type="table" w:customStyle="1" w:styleId="HTAtableplain22">
    <w:name w:val="HTAtableplain22"/>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8">
    <w:name w:val="HTAtableplain8"/>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9">
    <w:name w:val="HTAtableplain9"/>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0">
    <w:name w:val="HTAtableplain10"/>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1">
    <w:name w:val="HTAtableplain11"/>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2">
    <w:name w:val="HTAtableplain12"/>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3">
    <w:name w:val="HTAtableplain13"/>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link w:val="SourcesChar"/>
    <w:rsid w:val="009C565F"/>
    <w:pPr>
      <w:spacing w:after="36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locked/>
    <w:rsid w:val="009C565F"/>
    <w:rPr>
      <w:rFonts w:ascii="Arial" w:eastAsiaTheme="minorHAnsi" w:hAnsi="Arial" w:cstheme="minorBidi"/>
      <w:sz w:val="16"/>
      <w:szCs w:val="22"/>
      <w:lang w:eastAsia="en-US"/>
    </w:rPr>
  </w:style>
  <w:style w:type="table" w:customStyle="1" w:styleId="HTAtableplain14">
    <w:name w:val="HTAtableplain14"/>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5">
    <w:name w:val="HTAtableplain15"/>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6">
    <w:name w:val="HTAtableplain16"/>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
    <w:name w:val="ReportTitle"/>
    <w:basedOn w:val="Normal"/>
    <w:locked/>
    <w:rsid w:val="009C565F"/>
    <w:pPr>
      <w:spacing w:before="240" w:after="60" w:line="360" w:lineRule="auto"/>
      <w:jc w:val="right"/>
    </w:pPr>
    <w:rPr>
      <w:rFonts w:ascii="Arial" w:hAnsi="Arial"/>
      <w:b/>
      <w:bCs/>
      <w:kern w:val="28"/>
      <w:sz w:val="48"/>
      <w:szCs w:val="48"/>
      <w:lang w:eastAsia="en-US"/>
    </w:rPr>
  </w:style>
  <w:style w:type="paragraph" w:customStyle="1" w:styleId="ReportDate">
    <w:name w:val="ReportDate"/>
    <w:basedOn w:val="Normal"/>
    <w:locked/>
    <w:rsid w:val="009C565F"/>
    <w:pPr>
      <w:spacing w:line="360" w:lineRule="auto"/>
      <w:jc w:val="right"/>
    </w:pPr>
    <w:rPr>
      <w:rFonts w:ascii="Arial" w:hAnsi="Arial"/>
      <w:sz w:val="40"/>
      <w:szCs w:val="40"/>
      <w:lang w:eastAsia="en-US"/>
    </w:rPr>
  </w:style>
  <w:style w:type="paragraph" w:customStyle="1" w:styleId="Preface">
    <w:name w:val="Preface"/>
    <w:basedOn w:val="Heading1"/>
    <w:rsid w:val="009C565F"/>
    <w:pPr>
      <w:keepNext/>
      <w:keepLines/>
      <w:tabs>
        <w:tab w:val="left" w:pos="1134"/>
      </w:tabs>
      <w:spacing w:before="240" w:after="240" w:line="360" w:lineRule="auto"/>
      <w:ind w:left="0" w:firstLine="0"/>
    </w:pPr>
    <w:rPr>
      <w:rFonts w:ascii="Arial" w:eastAsiaTheme="majorEastAsia" w:hAnsi="Arial" w:cstheme="majorBidi"/>
      <w:caps w:val="0"/>
      <w:smallCaps/>
      <w:color w:val="000000" w:themeColor="text1"/>
      <w:sz w:val="36"/>
      <w:szCs w:val="32"/>
      <w:lang w:eastAsia="en-US"/>
    </w:rPr>
  </w:style>
  <w:style w:type="table" w:styleId="TableGridLight">
    <w:name w:val="Grid Table Light"/>
    <w:basedOn w:val="TableNormal"/>
    <w:uiPriority w:val="40"/>
    <w:rsid w:val="009C56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mmaryBoxHeading">
    <w:name w:val="Summary Box Heading"/>
    <w:basedOn w:val="TableText0"/>
    <w:rsid w:val="009C565F"/>
    <w:pPr>
      <w:keepLines w:val="0"/>
      <w:spacing w:before="20" w:after="20" w:line="276" w:lineRule="auto"/>
      <w:jc w:val="both"/>
    </w:pPr>
    <w:rPr>
      <w:rFonts w:cs="Arial"/>
      <w:b/>
      <w:bCs w:val="0"/>
      <w:sz w:val="22"/>
      <w:szCs w:val="22"/>
      <w:lang w:bidi="en-US"/>
    </w:rPr>
  </w:style>
  <w:style w:type="numbering" w:customStyle="1" w:styleId="HeadingListStyle">
    <w:name w:val="Heading List Style"/>
    <w:uiPriority w:val="99"/>
    <w:rsid w:val="009C565F"/>
    <w:pPr>
      <w:numPr>
        <w:numId w:val="19"/>
      </w:numPr>
    </w:pPr>
  </w:style>
  <w:style w:type="paragraph" w:customStyle="1" w:styleId="Heading1Alt">
    <w:name w:val="Heading 1 Alt"/>
    <w:basedOn w:val="Heading1"/>
    <w:rsid w:val="009C565F"/>
    <w:pPr>
      <w:keepNext/>
      <w:keepLines/>
      <w:tabs>
        <w:tab w:val="left" w:pos="1134"/>
      </w:tabs>
      <w:spacing w:before="240" w:after="240" w:line="360" w:lineRule="auto"/>
      <w:ind w:left="576" w:hanging="576"/>
    </w:pPr>
    <w:rPr>
      <w:rFonts w:ascii="Arial" w:eastAsiaTheme="majorEastAsia" w:hAnsi="Arial" w:cstheme="majorBidi"/>
      <w:caps w:val="0"/>
      <w:smallCaps/>
      <w:color w:val="000000" w:themeColor="text1"/>
      <w:sz w:val="36"/>
      <w:szCs w:val="32"/>
      <w:lang w:eastAsia="en-US"/>
    </w:rPr>
  </w:style>
  <w:style w:type="paragraph" w:customStyle="1" w:styleId="Heading2Alt">
    <w:name w:val="Heading 2 Alt"/>
    <w:basedOn w:val="Heading2"/>
    <w:rsid w:val="009C565F"/>
    <w:pPr>
      <w:keepNext/>
      <w:keepLines/>
      <w:numPr>
        <w:ilvl w:val="1"/>
      </w:numPr>
      <w:spacing w:line="360" w:lineRule="auto"/>
      <w:ind w:left="1002" w:hanging="1002"/>
    </w:pPr>
    <w:rPr>
      <w:rFonts w:ascii="Arial" w:eastAsiaTheme="majorEastAsia" w:hAnsi="Arial" w:cstheme="majorBidi"/>
      <w:i w:val="0"/>
      <w:color w:val="000000" w:themeColor="text1"/>
      <w:sz w:val="32"/>
      <w:szCs w:val="26"/>
      <w:lang w:eastAsia="en-US"/>
    </w:rPr>
  </w:style>
  <w:style w:type="paragraph" w:customStyle="1" w:styleId="Heading3Alt">
    <w:name w:val="Heading 3 Alt"/>
    <w:basedOn w:val="Heading3"/>
    <w:rsid w:val="009C565F"/>
    <w:pPr>
      <w:keepNext/>
      <w:keepLines/>
      <w:spacing w:before="40" w:line="360" w:lineRule="auto"/>
      <w:ind w:left="1152" w:hanging="1152"/>
    </w:pPr>
    <w:rPr>
      <w:rFonts w:ascii="Arial" w:eastAsiaTheme="majorEastAsia" w:hAnsi="Arial" w:cstheme="majorBidi"/>
      <w:b/>
      <w:color w:val="000000" w:themeColor="text1"/>
      <w:sz w:val="28"/>
      <w:u w:val="none"/>
      <w:lang w:eastAsia="en-US"/>
    </w:rPr>
  </w:style>
  <w:style w:type="character" w:customStyle="1" w:styleId="form-strength">
    <w:name w:val="form-strength"/>
    <w:basedOn w:val="DefaultParagraphFont"/>
    <w:rsid w:val="009C565F"/>
  </w:style>
  <w:style w:type="character" w:customStyle="1" w:styleId="item-code2">
    <w:name w:val="item-code2"/>
    <w:basedOn w:val="DefaultParagraphFont"/>
    <w:rsid w:val="009C565F"/>
    <w:rPr>
      <w:vanish w:val="0"/>
      <w:webHidden w:val="0"/>
      <w:specVanish w:val="0"/>
    </w:rPr>
  </w:style>
  <w:style w:type="paragraph" w:customStyle="1" w:styleId="Notes">
    <w:name w:val="Notes"/>
    <w:basedOn w:val="Normal"/>
    <w:rsid w:val="009C565F"/>
    <w:pPr>
      <w:spacing w:after="200"/>
    </w:pPr>
    <w:rPr>
      <w:rFonts w:asciiTheme="minorHAnsi" w:eastAsiaTheme="minorEastAsia" w:hAnsiTheme="minorHAnsi" w:cs="Baskerville"/>
      <w:sz w:val="20"/>
      <w:szCs w:val="20"/>
    </w:rPr>
  </w:style>
  <w:style w:type="table" w:customStyle="1" w:styleId="HTAtableplain17">
    <w:name w:val="HTAtableplain17"/>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8">
    <w:name w:val="HTAtableplain18"/>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9">
    <w:name w:val="HTAtableplain19"/>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20">
    <w:name w:val="HTAtableplain20"/>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23">
    <w:name w:val="HTAtableplain23"/>
    <w:basedOn w:val="TableNormal"/>
    <w:next w:val="TableGrid"/>
    <w:uiPriority w:val="39"/>
    <w:rsid w:val="009C565F"/>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ListStyle1">
    <w:name w:val="Heading List Style1"/>
    <w:uiPriority w:val="99"/>
    <w:rsid w:val="009C565F"/>
    <w:pPr>
      <w:numPr>
        <w:numId w:val="20"/>
      </w:numPr>
    </w:pPr>
  </w:style>
  <w:style w:type="numbering" w:customStyle="1" w:styleId="HeadingListStyle2">
    <w:name w:val="Heading List Style2"/>
    <w:uiPriority w:val="99"/>
    <w:rsid w:val="009C565F"/>
    <w:pPr>
      <w:numPr>
        <w:numId w:val="6"/>
      </w:numPr>
    </w:pPr>
  </w:style>
  <w:style w:type="numbering" w:customStyle="1" w:styleId="HeadingListStyle11">
    <w:name w:val="Heading List Style11"/>
    <w:uiPriority w:val="99"/>
    <w:rsid w:val="009C565F"/>
    <w:pPr>
      <w:numPr>
        <w:numId w:val="7"/>
      </w:numPr>
    </w:pPr>
  </w:style>
  <w:style w:type="table" w:customStyle="1" w:styleId="Submissionstandard">
    <w:name w:val="Submission standard"/>
    <w:uiPriority w:val="99"/>
    <w:qFormat/>
    <w:rsid w:val="00675E9C"/>
    <w:rPr>
      <w:rFonts w:ascii="Arial Narrow" w:hAnsi="Arial Narrow"/>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SimSun-ExtB" w:hAnsi="@SimSun-ExtB" w:cs="Times New Roman"/>
        <w:b/>
        <w:sz w:val="20"/>
      </w:rPr>
      <w:tblPr/>
      <w:tcPr>
        <w:shd w:val="clear" w:color="auto" w:fill="BFBFBF"/>
      </w:tcPr>
    </w:tblStylePr>
  </w:style>
  <w:style w:type="table" w:customStyle="1" w:styleId="TableHTAsimple">
    <w:name w:val="Table HTA simple"/>
    <w:basedOn w:val="TableNormal"/>
    <w:uiPriority w:val="99"/>
    <w:rsid w:val="004C5372"/>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character" w:styleId="EndnoteReference">
    <w:name w:val="endnote reference"/>
    <w:basedOn w:val="DefaultParagraphFont"/>
    <w:uiPriority w:val="99"/>
    <w:semiHidden/>
    <w:unhideWhenUsed/>
    <w:rsid w:val="008E44DE"/>
    <w:rPr>
      <w:vertAlign w:val="superscript"/>
    </w:rPr>
  </w:style>
  <w:style w:type="table" w:customStyle="1" w:styleId="BlueGridTable">
    <w:name w:val="Blue Grid Table"/>
    <w:basedOn w:val="TableNormal"/>
    <w:uiPriority w:val="99"/>
    <w:rsid w:val="008E44DE"/>
    <w:rPr>
      <w:rFonts w:asciiTheme="minorHAnsi" w:eastAsiaTheme="minorHAnsi" w:hAnsiTheme="minorHAnsi" w:cstheme="minorBidi"/>
      <w:sz w:val="22"/>
      <w:szCs w:val="22"/>
      <w:lang w:eastAsia="en-US"/>
    </w:rPr>
    <w:tblPr>
      <w:tblStyleRowBandSize w:val="1"/>
      <w:tblStyleColBandSize w:val="1"/>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CellMar>
        <w:left w:w="0" w:type="dxa"/>
        <w:right w:w="0" w:type="dxa"/>
      </w:tblCellMar>
    </w:tblPr>
    <w:tblStylePr w:type="firstRow">
      <w:rPr>
        <w:color w:val="FFFFFF" w:themeColor="background1"/>
      </w:rPr>
      <w:tblPr/>
      <w:tcPr>
        <w:shd w:val="clear" w:color="auto" w:fill="4F81BD" w:themeFill="accent1"/>
      </w:tcPr>
    </w:tblStylePr>
    <w:tblStylePr w:type="lastRow">
      <w:tblPr/>
      <w:tcPr>
        <w:shd w:val="clear" w:color="auto" w:fill="DFE6EF"/>
      </w:tcPr>
    </w:tblStylePr>
    <w:tblStylePr w:type="firstCol">
      <w:rPr>
        <w:color w:val="FFFFFF" w:themeColor="background1"/>
      </w:rPr>
      <w:tblPr/>
      <w:tcPr>
        <w:shd w:val="clear" w:color="auto" w:fill="4F81BD" w:themeFill="accent1"/>
      </w:tcPr>
    </w:tblStylePr>
    <w:tblStylePr w:type="lastCol">
      <w:tblPr/>
      <w:tcPr>
        <w:shd w:val="clear" w:color="auto" w:fill="DFE6EF"/>
      </w:tcPr>
    </w:tblStylePr>
    <w:tblStylePr w:type="band2Vert">
      <w:tblPr/>
      <w:tcPr>
        <w:shd w:val="clear" w:color="auto" w:fill="DFE6EF"/>
      </w:tcPr>
    </w:tblStylePr>
    <w:tblStylePr w:type="band2Horz">
      <w:tblPr/>
      <w:tcPr>
        <w:shd w:val="clear" w:color="auto" w:fill="DFE6EF"/>
      </w:tcPr>
    </w:tblStylePr>
    <w:tblStylePr w:type="swCell">
      <w:rPr>
        <w:color w:val="auto"/>
      </w:rPr>
    </w:tblStylePr>
  </w:style>
  <w:style w:type="table" w:customStyle="1" w:styleId="CMATableTemplate1">
    <w:name w:val="CMA Table Template1"/>
    <w:basedOn w:val="TableNormal"/>
    <w:next w:val="TableGrid"/>
    <w:rsid w:val="004C53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MAtable">
    <w:name w:val="THEMA_table"/>
    <w:basedOn w:val="TableNormal"/>
    <w:uiPriority w:val="99"/>
    <w:rsid w:val="004C5372"/>
    <w:pPr>
      <w:contextualSpacing/>
    </w:pPr>
    <w:rPr>
      <w:rFonts w:ascii="Arial Narrow" w:eastAsiaTheme="minorHAnsi" w:hAnsi="Arial Narrow" w:cstheme="minorBidi"/>
      <w:szCs w:val="22"/>
      <w:lang w:eastAsia="en-US" w:bidi="he-I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contextualSpacing/>
      </w:pPr>
      <w:rPr>
        <w:rFonts w:ascii="@SimSun-ExtB" w:hAnsi="@SimSun-ExtB" w:hint="default"/>
        <w:b/>
        <w:sz w:val="20"/>
        <w:szCs w:val="20"/>
      </w:rPr>
      <w:tblPr/>
      <w:tcPr>
        <w:shd w:val="clear" w:color="auto" w:fill="D9D9D9" w:themeFill="background1" w:themeFillShade="D9"/>
      </w:tcPr>
    </w:tblStylePr>
    <w:tblStylePr w:type="lastRow">
      <w:pPr>
        <w:wordWrap/>
        <w:spacing w:beforeLines="0" w:before="100" w:beforeAutospacing="1" w:afterLines="0" w:after="100" w:afterAutospacing="1"/>
        <w:contextualSpacing/>
      </w:pPr>
      <w:rPr>
        <w:rFonts w:ascii="@SimSun-ExtB" w:hAnsi="@SimSun-ExtB" w:hint="default"/>
      </w:rPr>
    </w:tblStylePr>
  </w:style>
  <w:style w:type="paragraph" w:customStyle="1" w:styleId="PBACTabletext">
    <w:name w:val="PBAC Table text"/>
    <w:link w:val="PBACTabletextChar"/>
    <w:rsid w:val="004C5372"/>
    <w:pPr>
      <w:keepNext/>
      <w:keepLines/>
      <w:suppressLineNumbers/>
      <w:spacing w:after="2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4C5372"/>
    <w:rPr>
      <w:rFonts w:ascii="Arial Narrow" w:hAnsi="Arial Narrow" w:cs="Arial"/>
      <w:szCs w:val="24"/>
      <w:lang w:eastAsia="en-GB"/>
    </w:rPr>
  </w:style>
  <w:style w:type="table" w:customStyle="1" w:styleId="HEORTableStyle">
    <w:name w:val="HEOR Table Style"/>
    <w:basedOn w:val="TableNormal"/>
    <w:uiPriority w:val="99"/>
    <w:rsid w:val="004C5372"/>
    <w:rPr>
      <w:rFonts w:ascii="Tahoma" w:eastAsiaTheme="minorHAnsi" w:hAnsi="Tahoma" w:cstheme="minorBidi"/>
      <w:sz w:val="18"/>
      <w:szCs w:val="22"/>
      <w:lang w:val="en-GB" w:eastAsia="en-US"/>
    </w:rPr>
    <w:tblPr>
      <w:tblStyleRowBandSize w:val="1"/>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Pr>
    <w:tcPr>
      <w:shd w:val="clear" w:color="auto" w:fill="FFFFFF" w:themeFill="background1"/>
    </w:tcPr>
    <w:tblStylePr w:type="firstRow">
      <w:rPr>
        <w:rFonts w:ascii="@SimSun-ExtB" w:hAnsi="@SimSun-ExtB"/>
        <w:b/>
        <w:color w:val="404040" w:themeColor="text1" w:themeTint="BF"/>
        <w:sz w:val="20"/>
      </w:rPr>
      <w:tblPr/>
      <w:tcPr>
        <w:shd w:val="clear" w:color="auto" w:fill="F2F2F2" w:themeFill="background1" w:themeFillShade="F2"/>
      </w:tcPr>
    </w:tblStylePr>
  </w:style>
  <w:style w:type="paragraph" w:customStyle="1" w:styleId="PbacTableHeading">
    <w:name w:val="Pbac Table Heading"/>
    <w:basedOn w:val="Normal"/>
    <w:rsid w:val="00F57566"/>
    <w:pPr>
      <w:keepNext/>
      <w:spacing w:after="80" w:line="276" w:lineRule="auto"/>
    </w:pPr>
    <w:rPr>
      <w:rFonts w:ascii="Arial Narrow" w:eastAsiaTheme="minorHAnsi" w:hAnsi="Arial Narrow"/>
      <w:b/>
      <w:sz w:val="20"/>
      <w:szCs w:val="20"/>
      <w:lang w:eastAsia="en-US"/>
    </w:rPr>
  </w:style>
  <w:style w:type="paragraph" w:customStyle="1" w:styleId="TableSubheading">
    <w:name w:val="Table Subheading"/>
    <w:basedOn w:val="TableHeading0"/>
    <w:uiPriority w:val="3"/>
    <w:rsid w:val="008E44DE"/>
    <w:pPr>
      <w:keepLines w:val="0"/>
      <w:spacing w:before="60" w:after="60" w:line="240" w:lineRule="auto"/>
      <w:ind w:left="113" w:right="113"/>
      <w:jc w:val="left"/>
    </w:pPr>
    <w:rPr>
      <w:rFonts w:asciiTheme="minorHAnsi" w:eastAsiaTheme="minorHAnsi" w:hAnsiTheme="minorHAnsi" w:cstheme="minorBidi"/>
      <w:snapToGrid/>
      <w:color w:val="1F497D" w:themeColor="text2"/>
      <w:sz w:val="22"/>
      <w:szCs w:val="22"/>
      <w:lang w:eastAsia="en-US" w:bidi="ar-SA"/>
    </w:rPr>
  </w:style>
  <w:style w:type="paragraph" w:customStyle="1" w:styleId="PBACTableText0">
    <w:name w:val="PBAC Table Text"/>
    <w:basedOn w:val="Normal"/>
    <w:link w:val="PBACTableTextChar0"/>
    <w:rsid w:val="00522A03"/>
    <w:pPr>
      <w:spacing w:before="40" w:after="40" w:line="276" w:lineRule="auto"/>
    </w:pPr>
    <w:rPr>
      <w:rFonts w:ascii="Arial Narrow" w:hAnsi="Arial Narrow" w:cs="Times New Roman"/>
      <w:sz w:val="20"/>
      <w:szCs w:val="20"/>
      <w:lang w:eastAsia="en-US"/>
    </w:rPr>
  </w:style>
  <w:style w:type="character" w:customStyle="1" w:styleId="PBACTableTextChar0">
    <w:name w:val="PBAC Table Text Char"/>
    <w:basedOn w:val="DefaultParagraphFont"/>
    <w:link w:val="PBACTableText0"/>
    <w:rsid w:val="00522A03"/>
    <w:rPr>
      <w:rFonts w:ascii="Arial Narrow" w:hAnsi="Arial Narrow"/>
      <w:lang w:eastAsia="en-US"/>
    </w:rPr>
  </w:style>
  <w:style w:type="character" w:styleId="Mention">
    <w:name w:val="Mention"/>
    <w:basedOn w:val="DefaultParagraphFont"/>
    <w:uiPriority w:val="99"/>
    <w:unhideWhenUsed/>
    <w:rsid w:val="0072351F"/>
    <w:rPr>
      <w:color w:val="2B579A"/>
      <w:shd w:val="clear" w:color="auto" w:fill="E1DFDD"/>
    </w:rPr>
  </w:style>
  <w:style w:type="paragraph" w:customStyle="1" w:styleId="3-SubsectionHeading">
    <w:name w:val="3-Subsection Heading"/>
    <w:basedOn w:val="Heading2"/>
    <w:next w:val="Normal"/>
    <w:link w:val="3-SubsectionHeadingChar"/>
    <w:qFormat/>
    <w:rsid w:val="005234A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5234AD"/>
    <w:rPr>
      <w:rFonts w:asciiTheme="minorHAnsi" w:eastAsiaTheme="majorEastAsia" w:hAnsiTheme="minorHAnsi" w:cstheme="majorBidi"/>
      <w:b/>
      <w:i/>
      <w:snapToGrid/>
      <w:spacing w:val="5"/>
      <w:kern w:val="28"/>
      <w:sz w:val="28"/>
      <w:szCs w:val="36"/>
      <w:lang w:eastAsia="en-US"/>
    </w:rPr>
  </w:style>
  <w:style w:type="paragraph" w:customStyle="1" w:styleId="pf0">
    <w:name w:val="pf0"/>
    <w:basedOn w:val="Normal"/>
    <w:rsid w:val="00616841"/>
    <w:pPr>
      <w:spacing w:before="100" w:beforeAutospacing="1" w:after="100" w:afterAutospacing="1"/>
      <w:jc w:val="left"/>
    </w:pPr>
    <w:rPr>
      <w:rFonts w:ascii="Times New Roman" w:hAnsi="Times New Roman" w:cs="Times New Roman"/>
    </w:rPr>
  </w:style>
  <w:style w:type="character" w:customStyle="1" w:styleId="cf11">
    <w:name w:val="cf11"/>
    <w:basedOn w:val="DefaultParagraphFont"/>
    <w:rsid w:val="0061684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856669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6849837">
      <w:bodyDiv w:val="1"/>
      <w:marLeft w:val="0"/>
      <w:marRight w:val="0"/>
      <w:marTop w:val="0"/>
      <w:marBottom w:val="0"/>
      <w:divBdr>
        <w:top w:val="none" w:sz="0" w:space="0" w:color="auto"/>
        <w:left w:val="none" w:sz="0" w:space="0" w:color="auto"/>
        <w:bottom w:val="none" w:sz="0" w:space="0" w:color="auto"/>
        <w:right w:val="none" w:sz="0" w:space="0" w:color="auto"/>
      </w:divBdr>
    </w:div>
    <w:div w:id="432018686">
      <w:bodyDiv w:val="1"/>
      <w:marLeft w:val="0"/>
      <w:marRight w:val="0"/>
      <w:marTop w:val="0"/>
      <w:marBottom w:val="0"/>
      <w:divBdr>
        <w:top w:val="none" w:sz="0" w:space="0" w:color="auto"/>
        <w:left w:val="none" w:sz="0" w:space="0" w:color="auto"/>
        <w:bottom w:val="none" w:sz="0" w:space="0" w:color="auto"/>
        <w:right w:val="none" w:sz="0" w:space="0" w:color="auto"/>
      </w:divBdr>
    </w:div>
    <w:div w:id="619338707">
      <w:bodyDiv w:val="1"/>
      <w:marLeft w:val="0"/>
      <w:marRight w:val="0"/>
      <w:marTop w:val="0"/>
      <w:marBottom w:val="0"/>
      <w:divBdr>
        <w:top w:val="none" w:sz="0" w:space="0" w:color="auto"/>
        <w:left w:val="none" w:sz="0" w:space="0" w:color="auto"/>
        <w:bottom w:val="none" w:sz="0" w:space="0" w:color="auto"/>
        <w:right w:val="none" w:sz="0" w:space="0" w:color="auto"/>
      </w:divBdr>
    </w:div>
    <w:div w:id="753206231">
      <w:bodyDiv w:val="1"/>
      <w:marLeft w:val="0"/>
      <w:marRight w:val="0"/>
      <w:marTop w:val="0"/>
      <w:marBottom w:val="0"/>
      <w:divBdr>
        <w:top w:val="none" w:sz="0" w:space="0" w:color="auto"/>
        <w:left w:val="none" w:sz="0" w:space="0" w:color="auto"/>
        <w:bottom w:val="none" w:sz="0" w:space="0" w:color="auto"/>
        <w:right w:val="none" w:sz="0" w:space="0" w:color="auto"/>
      </w:divBdr>
    </w:div>
    <w:div w:id="78901486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244671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65014215">
      <w:bodyDiv w:val="1"/>
      <w:marLeft w:val="0"/>
      <w:marRight w:val="0"/>
      <w:marTop w:val="0"/>
      <w:marBottom w:val="0"/>
      <w:divBdr>
        <w:top w:val="none" w:sz="0" w:space="0" w:color="auto"/>
        <w:left w:val="none" w:sz="0" w:space="0" w:color="auto"/>
        <w:bottom w:val="none" w:sz="0" w:space="0" w:color="auto"/>
        <w:right w:val="none" w:sz="0" w:space="0" w:color="auto"/>
      </w:divBdr>
    </w:div>
    <w:div w:id="1616714454">
      <w:bodyDiv w:val="1"/>
      <w:marLeft w:val="0"/>
      <w:marRight w:val="0"/>
      <w:marTop w:val="0"/>
      <w:marBottom w:val="0"/>
      <w:divBdr>
        <w:top w:val="none" w:sz="0" w:space="0" w:color="auto"/>
        <w:left w:val="none" w:sz="0" w:space="0" w:color="auto"/>
        <w:bottom w:val="none" w:sz="0" w:space="0" w:color="auto"/>
        <w:right w:val="none" w:sz="0" w:space="0" w:color="auto"/>
      </w:divBdr>
      <w:divsChild>
        <w:div w:id="133002">
          <w:marLeft w:val="274"/>
          <w:marRight w:val="0"/>
          <w:marTop w:val="0"/>
          <w:marBottom w:val="0"/>
          <w:divBdr>
            <w:top w:val="none" w:sz="0" w:space="0" w:color="auto"/>
            <w:left w:val="none" w:sz="0" w:space="0" w:color="auto"/>
            <w:bottom w:val="none" w:sz="0" w:space="0" w:color="auto"/>
            <w:right w:val="none" w:sz="0" w:space="0" w:color="auto"/>
          </w:divBdr>
        </w:div>
        <w:div w:id="149366628">
          <w:marLeft w:val="274"/>
          <w:marRight w:val="0"/>
          <w:marTop w:val="0"/>
          <w:marBottom w:val="0"/>
          <w:divBdr>
            <w:top w:val="none" w:sz="0" w:space="0" w:color="auto"/>
            <w:left w:val="none" w:sz="0" w:space="0" w:color="auto"/>
            <w:bottom w:val="none" w:sz="0" w:space="0" w:color="auto"/>
            <w:right w:val="none" w:sz="0" w:space="0" w:color="auto"/>
          </w:divBdr>
        </w:div>
        <w:div w:id="194731111">
          <w:marLeft w:val="274"/>
          <w:marRight w:val="0"/>
          <w:marTop w:val="0"/>
          <w:marBottom w:val="0"/>
          <w:divBdr>
            <w:top w:val="none" w:sz="0" w:space="0" w:color="auto"/>
            <w:left w:val="none" w:sz="0" w:space="0" w:color="auto"/>
            <w:bottom w:val="none" w:sz="0" w:space="0" w:color="auto"/>
            <w:right w:val="none" w:sz="0" w:space="0" w:color="auto"/>
          </w:divBdr>
        </w:div>
        <w:div w:id="240919486">
          <w:marLeft w:val="274"/>
          <w:marRight w:val="0"/>
          <w:marTop w:val="0"/>
          <w:marBottom w:val="0"/>
          <w:divBdr>
            <w:top w:val="none" w:sz="0" w:space="0" w:color="auto"/>
            <w:left w:val="none" w:sz="0" w:space="0" w:color="auto"/>
            <w:bottom w:val="none" w:sz="0" w:space="0" w:color="auto"/>
            <w:right w:val="none" w:sz="0" w:space="0" w:color="auto"/>
          </w:divBdr>
        </w:div>
        <w:div w:id="285242185">
          <w:marLeft w:val="274"/>
          <w:marRight w:val="0"/>
          <w:marTop w:val="0"/>
          <w:marBottom w:val="0"/>
          <w:divBdr>
            <w:top w:val="none" w:sz="0" w:space="0" w:color="auto"/>
            <w:left w:val="none" w:sz="0" w:space="0" w:color="auto"/>
            <w:bottom w:val="none" w:sz="0" w:space="0" w:color="auto"/>
            <w:right w:val="none" w:sz="0" w:space="0" w:color="auto"/>
          </w:divBdr>
        </w:div>
        <w:div w:id="296643070">
          <w:marLeft w:val="274"/>
          <w:marRight w:val="0"/>
          <w:marTop w:val="0"/>
          <w:marBottom w:val="0"/>
          <w:divBdr>
            <w:top w:val="none" w:sz="0" w:space="0" w:color="auto"/>
            <w:left w:val="none" w:sz="0" w:space="0" w:color="auto"/>
            <w:bottom w:val="none" w:sz="0" w:space="0" w:color="auto"/>
            <w:right w:val="none" w:sz="0" w:space="0" w:color="auto"/>
          </w:divBdr>
        </w:div>
        <w:div w:id="511186975">
          <w:marLeft w:val="274"/>
          <w:marRight w:val="0"/>
          <w:marTop w:val="0"/>
          <w:marBottom w:val="0"/>
          <w:divBdr>
            <w:top w:val="none" w:sz="0" w:space="0" w:color="auto"/>
            <w:left w:val="none" w:sz="0" w:space="0" w:color="auto"/>
            <w:bottom w:val="none" w:sz="0" w:space="0" w:color="auto"/>
            <w:right w:val="none" w:sz="0" w:space="0" w:color="auto"/>
          </w:divBdr>
        </w:div>
        <w:div w:id="626856278">
          <w:marLeft w:val="274"/>
          <w:marRight w:val="0"/>
          <w:marTop w:val="0"/>
          <w:marBottom w:val="0"/>
          <w:divBdr>
            <w:top w:val="none" w:sz="0" w:space="0" w:color="auto"/>
            <w:left w:val="none" w:sz="0" w:space="0" w:color="auto"/>
            <w:bottom w:val="none" w:sz="0" w:space="0" w:color="auto"/>
            <w:right w:val="none" w:sz="0" w:space="0" w:color="auto"/>
          </w:divBdr>
        </w:div>
        <w:div w:id="748044315">
          <w:marLeft w:val="274"/>
          <w:marRight w:val="0"/>
          <w:marTop w:val="0"/>
          <w:marBottom w:val="0"/>
          <w:divBdr>
            <w:top w:val="none" w:sz="0" w:space="0" w:color="auto"/>
            <w:left w:val="none" w:sz="0" w:space="0" w:color="auto"/>
            <w:bottom w:val="none" w:sz="0" w:space="0" w:color="auto"/>
            <w:right w:val="none" w:sz="0" w:space="0" w:color="auto"/>
          </w:divBdr>
        </w:div>
        <w:div w:id="758677437">
          <w:marLeft w:val="274"/>
          <w:marRight w:val="0"/>
          <w:marTop w:val="0"/>
          <w:marBottom w:val="0"/>
          <w:divBdr>
            <w:top w:val="none" w:sz="0" w:space="0" w:color="auto"/>
            <w:left w:val="none" w:sz="0" w:space="0" w:color="auto"/>
            <w:bottom w:val="none" w:sz="0" w:space="0" w:color="auto"/>
            <w:right w:val="none" w:sz="0" w:space="0" w:color="auto"/>
          </w:divBdr>
        </w:div>
        <w:div w:id="1116680573">
          <w:marLeft w:val="274"/>
          <w:marRight w:val="0"/>
          <w:marTop w:val="0"/>
          <w:marBottom w:val="0"/>
          <w:divBdr>
            <w:top w:val="none" w:sz="0" w:space="0" w:color="auto"/>
            <w:left w:val="none" w:sz="0" w:space="0" w:color="auto"/>
            <w:bottom w:val="none" w:sz="0" w:space="0" w:color="auto"/>
            <w:right w:val="none" w:sz="0" w:space="0" w:color="auto"/>
          </w:divBdr>
        </w:div>
        <w:div w:id="1309357712">
          <w:marLeft w:val="274"/>
          <w:marRight w:val="0"/>
          <w:marTop w:val="0"/>
          <w:marBottom w:val="0"/>
          <w:divBdr>
            <w:top w:val="none" w:sz="0" w:space="0" w:color="auto"/>
            <w:left w:val="none" w:sz="0" w:space="0" w:color="auto"/>
            <w:bottom w:val="none" w:sz="0" w:space="0" w:color="auto"/>
            <w:right w:val="none" w:sz="0" w:space="0" w:color="auto"/>
          </w:divBdr>
        </w:div>
        <w:div w:id="1362245312">
          <w:marLeft w:val="274"/>
          <w:marRight w:val="0"/>
          <w:marTop w:val="0"/>
          <w:marBottom w:val="0"/>
          <w:divBdr>
            <w:top w:val="none" w:sz="0" w:space="0" w:color="auto"/>
            <w:left w:val="none" w:sz="0" w:space="0" w:color="auto"/>
            <w:bottom w:val="none" w:sz="0" w:space="0" w:color="auto"/>
            <w:right w:val="none" w:sz="0" w:space="0" w:color="auto"/>
          </w:divBdr>
        </w:div>
        <w:div w:id="1431121586">
          <w:marLeft w:val="274"/>
          <w:marRight w:val="0"/>
          <w:marTop w:val="0"/>
          <w:marBottom w:val="0"/>
          <w:divBdr>
            <w:top w:val="none" w:sz="0" w:space="0" w:color="auto"/>
            <w:left w:val="none" w:sz="0" w:space="0" w:color="auto"/>
            <w:bottom w:val="none" w:sz="0" w:space="0" w:color="auto"/>
            <w:right w:val="none" w:sz="0" w:space="0" w:color="auto"/>
          </w:divBdr>
        </w:div>
        <w:div w:id="1847356677">
          <w:marLeft w:val="274"/>
          <w:marRight w:val="0"/>
          <w:marTop w:val="0"/>
          <w:marBottom w:val="0"/>
          <w:divBdr>
            <w:top w:val="none" w:sz="0" w:space="0" w:color="auto"/>
            <w:left w:val="none" w:sz="0" w:space="0" w:color="auto"/>
            <w:bottom w:val="none" w:sz="0" w:space="0" w:color="auto"/>
            <w:right w:val="none" w:sz="0" w:space="0" w:color="auto"/>
          </w:divBdr>
        </w:div>
        <w:div w:id="1955864585">
          <w:marLeft w:val="274"/>
          <w:marRight w:val="0"/>
          <w:marTop w:val="0"/>
          <w:marBottom w:val="0"/>
          <w:divBdr>
            <w:top w:val="none" w:sz="0" w:space="0" w:color="auto"/>
            <w:left w:val="none" w:sz="0" w:space="0" w:color="auto"/>
            <w:bottom w:val="none" w:sz="0" w:space="0" w:color="auto"/>
            <w:right w:val="none" w:sz="0" w:space="0" w:color="auto"/>
          </w:divBdr>
        </w:div>
      </w:divsChild>
    </w:div>
    <w:div w:id="187750069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6F27FC09-7867-46EC-A689-7852B1423B9A}">
  <ds:schemaRefs>
    <ds:schemaRef ds:uri="http://schemas.microsoft.com/sharepoint/v3/contenttype/forms"/>
  </ds:schemaRefs>
</ds:datastoreItem>
</file>

<file path=customXml/itemProps3.xml><?xml version="1.0" encoding="utf-8"?>
<ds:datastoreItem xmlns:ds="http://schemas.openxmlformats.org/officeDocument/2006/customXml" ds:itemID="{1DA7D4C6-40DF-4A02-A172-0C96855CAC6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B4143C69-9BAC-4667-8243-DD940F178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16284</Words>
  <Characters>92824</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2026-02-02T03:05:00Z</dcterms:created>
  <dcterms:modified xsi:type="dcterms:W3CDTF">2026-03-05T04:29:00Z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2d174605,403191da,302b16fb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6923e8eb,7b5c5b1,1307c998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2025-11-28T03:39:42Z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246f073b-dc7e-4edf-b177-9014158c88a8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GrammarlyDocumentId">
    <vt:lpwstr>517bb2d7-ee29-4b7e-9916-894e1cf09e23</vt:lpwstr>
  </property>
  <property fmtid="{D5CDD505-2E9C-101B-9397-08002B2CF9AE}" pid="22" name="MSIP_Label_f061b9f0-8104-4829-9a4c-b0eb99e4c8fa_Enabled">
    <vt:lpwstr>true</vt:lpwstr>
  </property>
  <property fmtid="{D5CDD505-2E9C-101B-9397-08002B2CF9AE}" pid="23" name="MSIP_Label_f061b9f0-8104-4829-9a4c-b0eb99e4c8fa_SetDate">
    <vt:lpwstr>2026-02-02T00:37:16Z</vt:lpwstr>
  </property>
  <property fmtid="{D5CDD505-2E9C-101B-9397-08002B2CF9AE}" pid="24" name="MSIP_Label_f061b9f0-8104-4829-9a4c-b0eb99e4c8fa_Method">
    <vt:lpwstr>Standard</vt:lpwstr>
  </property>
  <property fmtid="{D5CDD505-2E9C-101B-9397-08002B2CF9AE}" pid="25" name="MSIP_Label_f061b9f0-8104-4829-9a4c-b0eb99e4c8fa_Name">
    <vt:lpwstr>Internal use only v1</vt:lpwstr>
  </property>
  <property fmtid="{D5CDD505-2E9C-101B-9397-08002B2CF9AE}" pid="26" name="MSIP_Label_f061b9f0-8104-4829-9a4c-b0eb99e4c8fa_SiteId">
    <vt:lpwstr>d78f7362-832c-4715-8e12-cc7bd574144c</vt:lpwstr>
  </property>
  <property fmtid="{D5CDD505-2E9C-101B-9397-08002B2CF9AE}" pid="27" name="MSIP_Label_f061b9f0-8104-4829-9a4c-b0eb99e4c8fa_ActionId">
    <vt:lpwstr>d9a2af37-0706-4036-ab33-4063c4bbeac7</vt:lpwstr>
  </property>
  <property fmtid="{D5CDD505-2E9C-101B-9397-08002B2CF9AE}" pid="28" name="MSIP_Label_f061b9f0-8104-4829-9a4c-b0eb99e4c8fa_ContentBits">
    <vt:lpwstr>0</vt:lpwstr>
  </property>
  <property fmtid="{D5CDD505-2E9C-101B-9397-08002B2CF9AE}" pid="29" name="MSIP_Label_f061b9f0-8104-4829-9a4c-b0eb99e4c8fa_Tag">
    <vt:lpwstr>10, 3, 0, 1</vt:lpwstr>
  </property>
</Properties>
</file>