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D467" w14:textId="05FDCDB1" w:rsidR="00040395" w:rsidRPr="00512D7B" w:rsidRDefault="00040395" w:rsidP="00040395">
      <w:pPr>
        <w:pStyle w:val="COMH1-notnumbered"/>
      </w:pPr>
      <w:bookmarkStart w:id="0" w:name="_Toc208839480"/>
      <w:r w:rsidRPr="00512D7B">
        <w:t>5.02</w:t>
      </w:r>
      <w:r w:rsidRPr="00512D7B">
        <w:tab/>
        <w:t>BELANTAMAB MAFODOTIN,</w:t>
      </w:r>
      <w:r w:rsidRPr="00512D7B">
        <w:br/>
        <w:t>Powder for injection 70 mg (50 mg per mL),</w:t>
      </w:r>
      <w:r w:rsidRPr="00512D7B">
        <w:br/>
        <w:t>Powder for injection 100 mg (50 mg per mL),</w:t>
      </w:r>
      <w:r w:rsidRPr="00512D7B">
        <w:br/>
      </w:r>
      <w:proofErr w:type="spellStart"/>
      <w:r w:rsidRPr="00512D7B">
        <w:t>Blenrep</w:t>
      </w:r>
      <w:proofErr w:type="spellEnd"/>
      <w:r w:rsidRPr="00512D7B">
        <w:t>®,</w:t>
      </w:r>
      <w:r w:rsidRPr="00512D7B">
        <w:br/>
        <w:t>GLAXOSMITHKLINE AUSTRALIA PTY LTD</w:t>
      </w:r>
    </w:p>
    <w:p w14:paraId="3F990BAA" w14:textId="77777777" w:rsidR="003956F3" w:rsidRDefault="003956F3" w:rsidP="003956F3">
      <w:pPr>
        <w:rPr>
          <w:rFonts w:ascii="Arial" w:hAnsi="Arial"/>
          <w:b/>
        </w:rPr>
      </w:pPr>
    </w:p>
    <w:p w14:paraId="11C00795" w14:textId="3DFB6D23" w:rsidR="00B50DB8" w:rsidRPr="00512D7B" w:rsidRDefault="00B50DB8" w:rsidP="002B2723">
      <w:pPr>
        <w:pStyle w:val="COMESH2"/>
      </w:pPr>
      <w:bookmarkStart w:id="1" w:name="_Toc208839482"/>
      <w:bookmarkEnd w:id="0"/>
      <w:r w:rsidRPr="00512D7B">
        <w:t xml:space="preserve">Purpose of </w:t>
      </w:r>
      <w:r w:rsidR="00CD7193" w:rsidRPr="00512D7B">
        <w:t>s</w:t>
      </w:r>
      <w:r w:rsidR="00BB3A45" w:rsidRPr="00512D7B">
        <w:t>ubmission</w:t>
      </w:r>
      <w:bookmarkEnd w:id="1"/>
    </w:p>
    <w:p w14:paraId="19414AA1" w14:textId="543351DD" w:rsidR="002C2775" w:rsidRPr="00512D7B" w:rsidRDefault="00C379B4" w:rsidP="006E5ED4">
      <w:pPr>
        <w:pStyle w:val="COMESnumberedpara"/>
      </w:pPr>
      <w:r w:rsidRPr="00512D7B">
        <w:t>The Category 1 submission requested a Section 100 (Efficient Funding of Chemotherapy Program) Authority Required listing of belantamab mafodotin for use in combination with bortezomib and dexamethasone (</w:t>
      </w:r>
      <w:r w:rsidR="00834591" w:rsidRPr="00512D7B">
        <w:t>BmBd</w:t>
      </w:r>
      <w:r w:rsidRPr="00512D7B">
        <w:t xml:space="preserve">) for </w:t>
      </w:r>
      <w:r w:rsidR="007D315C" w:rsidRPr="00512D7B">
        <w:t xml:space="preserve">initial and continuing </w:t>
      </w:r>
      <w:r w:rsidRPr="00512D7B">
        <w:t xml:space="preserve">treatment of relapsed </w:t>
      </w:r>
      <w:r w:rsidR="007D315C" w:rsidRPr="00512D7B">
        <w:t>and/</w:t>
      </w:r>
      <w:r w:rsidRPr="00512D7B">
        <w:t>or refractory multiple myeloma</w:t>
      </w:r>
      <w:r w:rsidR="00E26D67" w:rsidRPr="00512D7B">
        <w:t xml:space="preserve"> (RRMM)</w:t>
      </w:r>
      <w:r w:rsidRPr="00512D7B">
        <w:t xml:space="preserve"> after one prior line of therapy.</w:t>
      </w:r>
    </w:p>
    <w:p w14:paraId="4E9FBCB5" w14:textId="189DB140" w:rsidR="00C2778B" w:rsidRPr="00512D7B" w:rsidRDefault="005750C5" w:rsidP="004E18E9">
      <w:pPr>
        <w:pStyle w:val="COMESnumberedpara"/>
      </w:pPr>
      <w:r w:rsidRPr="00512D7B">
        <w:t xml:space="preserve">Listing was requested </w:t>
      </w:r>
      <w:proofErr w:type="gramStart"/>
      <w:r w:rsidRPr="00512D7B">
        <w:t>on the basis of</w:t>
      </w:r>
      <w:proofErr w:type="gramEnd"/>
      <w:r w:rsidRPr="00512D7B">
        <w:t xml:space="preserve"> a cost-effectiveness analysis versus</w:t>
      </w:r>
      <w:r w:rsidR="00C379B4" w:rsidRPr="00512D7B">
        <w:t xml:space="preserve"> daratumumab in combination with bortezomib and dexamethasone (</w:t>
      </w:r>
      <w:r w:rsidR="001C413B" w:rsidRPr="00512D7B">
        <w:t>DBd</w:t>
      </w:r>
      <w:r w:rsidR="00C379B4" w:rsidRPr="00512D7B">
        <w:t>)</w:t>
      </w:r>
      <w:r w:rsidRPr="00512D7B">
        <w:t>.</w:t>
      </w:r>
    </w:p>
    <w:p w14:paraId="3718DE61" w14:textId="7B2E7384" w:rsidR="008B1757" w:rsidRPr="00512D7B" w:rsidRDefault="00696EF9" w:rsidP="004A6040">
      <w:pPr>
        <w:pStyle w:val="COMTableFigurecaption"/>
        <w:rPr>
          <w:b w:val="0"/>
        </w:rPr>
      </w:pPr>
      <w:r w:rsidRPr="00512D7B">
        <w:t xml:space="preserve">Table </w:t>
      </w:r>
      <w:r w:rsidR="00194BBE">
        <w:fldChar w:fldCharType="begin"/>
      </w:r>
      <w:r w:rsidR="00194BBE">
        <w:instrText xml:space="preserve"> SEQ Table \* ARABIC </w:instrText>
      </w:r>
      <w:r w:rsidR="00194BBE">
        <w:fldChar w:fldCharType="separate"/>
      </w:r>
      <w:r w:rsidR="00674A1F">
        <w:rPr>
          <w:noProof/>
        </w:rPr>
        <w:t>1</w:t>
      </w:r>
      <w:r w:rsidR="00194BBE">
        <w:fldChar w:fldCharType="end"/>
      </w:r>
      <w:r w:rsidRPr="00512D7B">
        <w:t>:</w:t>
      </w:r>
      <w:r w:rsidR="00BC591F" w:rsidRPr="00512D7B">
        <w:t xml:space="preserve"> </w:t>
      </w:r>
      <w:r w:rsidR="008B1757" w:rsidRPr="00512D7B">
        <w:t xml:space="preserve">Key components of the clinical issue addressed </w:t>
      </w:r>
      <w:r w:rsidR="00AE6D86" w:rsidRPr="00512D7B">
        <w:t>in</w:t>
      </w:r>
      <w:r w:rsidR="008B1757" w:rsidRPr="00512D7B">
        <w:t xml:space="preserve">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in the submission"/>
      </w:tblPr>
      <w:tblGrid>
        <w:gridCol w:w="1297"/>
        <w:gridCol w:w="7859"/>
      </w:tblGrid>
      <w:tr w:rsidR="00C379B4" w:rsidRPr="00512D7B" w14:paraId="75900B47" w14:textId="77777777">
        <w:tc>
          <w:tcPr>
            <w:tcW w:w="1297" w:type="dxa"/>
            <w:vAlign w:val="center"/>
          </w:tcPr>
          <w:p w14:paraId="4B7D15D7" w14:textId="77777777" w:rsidR="00C379B4" w:rsidRPr="00512D7B" w:rsidRDefault="00C379B4">
            <w:pPr>
              <w:pStyle w:val="COMTableheadingrow"/>
            </w:pPr>
            <w:r w:rsidRPr="00512D7B">
              <w:t>Component</w:t>
            </w:r>
          </w:p>
        </w:tc>
        <w:tc>
          <w:tcPr>
            <w:tcW w:w="7859" w:type="dxa"/>
            <w:vAlign w:val="center"/>
          </w:tcPr>
          <w:p w14:paraId="18BBBEB6" w14:textId="77777777" w:rsidR="00C379B4" w:rsidRPr="00512D7B" w:rsidRDefault="00C379B4">
            <w:pPr>
              <w:pStyle w:val="COMTableheadingrow"/>
              <w:jc w:val="center"/>
            </w:pPr>
            <w:r w:rsidRPr="00512D7B">
              <w:t>Description</w:t>
            </w:r>
          </w:p>
        </w:tc>
      </w:tr>
      <w:tr w:rsidR="00C379B4" w:rsidRPr="00512D7B" w14:paraId="6E7A98F0" w14:textId="77777777">
        <w:tc>
          <w:tcPr>
            <w:tcW w:w="1297" w:type="dxa"/>
            <w:vAlign w:val="center"/>
          </w:tcPr>
          <w:p w14:paraId="320DA7B8" w14:textId="77777777" w:rsidR="00C379B4" w:rsidRPr="00512D7B" w:rsidRDefault="00C379B4">
            <w:pPr>
              <w:pStyle w:val="COMTabletext"/>
            </w:pPr>
            <w:r w:rsidRPr="00512D7B">
              <w:t>Population</w:t>
            </w:r>
          </w:p>
        </w:tc>
        <w:tc>
          <w:tcPr>
            <w:tcW w:w="7859" w:type="dxa"/>
            <w:vAlign w:val="center"/>
          </w:tcPr>
          <w:p w14:paraId="50E7FA4F" w14:textId="162166F6" w:rsidR="00C379B4" w:rsidRPr="00512D7B" w:rsidRDefault="00C379B4">
            <w:pPr>
              <w:pStyle w:val="COMTabletext"/>
            </w:pPr>
            <w:r w:rsidRPr="00512D7B">
              <w:t>Patients with relapsed or refractory multiple myeloma after one prior line of therapy (i.e., second</w:t>
            </w:r>
            <w:r w:rsidR="009974B0" w:rsidRPr="00512D7B">
              <w:t xml:space="preserve"> </w:t>
            </w:r>
            <w:r w:rsidRPr="00512D7B">
              <w:t>line treatment).</w:t>
            </w:r>
          </w:p>
        </w:tc>
      </w:tr>
      <w:tr w:rsidR="00C379B4" w:rsidRPr="00512D7B" w14:paraId="14B57D7B" w14:textId="77777777">
        <w:tc>
          <w:tcPr>
            <w:tcW w:w="1297" w:type="dxa"/>
            <w:vAlign w:val="center"/>
          </w:tcPr>
          <w:p w14:paraId="704A3322" w14:textId="77777777" w:rsidR="00C379B4" w:rsidRPr="00512D7B" w:rsidRDefault="00C379B4">
            <w:pPr>
              <w:pStyle w:val="COMTabletext"/>
            </w:pPr>
            <w:r w:rsidRPr="00512D7B">
              <w:t>Intervention</w:t>
            </w:r>
          </w:p>
        </w:tc>
        <w:tc>
          <w:tcPr>
            <w:tcW w:w="7859" w:type="dxa"/>
            <w:vAlign w:val="center"/>
          </w:tcPr>
          <w:p w14:paraId="69989A9B" w14:textId="64140F93" w:rsidR="00C379B4" w:rsidRPr="00512D7B" w:rsidRDefault="00C379B4">
            <w:pPr>
              <w:pStyle w:val="COMTabletext"/>
            </w:pPr>
            <w:r w:rsidRPr="00512D7B">
              <w:t>Belantamab in combination with bortezomib and dexamethasone (</w:t>
            </w:r>
            <w:r w:rsidR="00834591" w:rsidRPr="00512D7B">
              <w:t>BmBd</w:t>
            </w:r>
            <w:r w:rsidRPr="00512D7B">
              <w:t xml:space="preserve">): </w:t>
            </w:r>
          </w:p>
          <w:p w14:paraId="1E7024DF" w14:textId="6242CCEE" w:rsidR="00C379B4" w:rsidRPr="00512D7B" w:rsidRDefault="00C379B4" w:rsidP="00A21B01">
            <w:pPr>
              <w:pStyle w:val="COMTabletext"/>
              <w:numPr>
                <w:ilvl w:val="0"/>
                <w:numId w:val="8"/>
              </w:numPr>
              <w:ind w:left="151" w:hanging="122"/>
            </w:pPr>
            <w:r w:rsidRPr="00512D7B">
              <w:t>Belantamab mafodotin 2.5</w:t>
            </w:r>
            <w:r w:rsidR="003C2367" w:rsidRPr="00512D7B">
              <w:t> mg</w:t>
            </w:r>
            <w:r w:rsidRPr="00512D7B">
              <w:t>/kg intravenously every 3 weeks until disease progression.</w:t>
            </w:r>
          </w:p>
          <w:p w14:paraId="4F433C74" w14:textId="37BC9F7A" w:rsidR="00C379B4" w:rsidRPr="00512D7B" w:rsidRDefault="00C379B4" w:rsidP="00A21B01">
            <w:pPr>
              <w:pStyle w:val="COMTabletext"/>
              <w:numPr>
                <w:ilvl w:val="0"/>
                <w:numId w:val="8"/>
              </w:numPr>
              <w:ind w:left="151" w:hanging="122"/>
            </w:pPr>
            <w:r w:rsidRPr="00512D7B">
              <w:t>Bortezomib 1.3</w:t>
            </w:r>
            <w:r w:rsidR="003C2367" w:rsidRPr="00512D7B">
              <w:t> mg</w:t>
            </w:r>
            <w:r w:rsidRPr="00512D7B">
              <w:t>/m</w:t>
            </w:r>
            <w:r w:rsidRPr="00512D7B">
              <w:rPr>
                <w:vertAlign w:val="superscript"/>
              </w:rPr>
              <w:t>2</w:t>
            </w:r>
            <w:r w:rsidRPr="00512D7B">
              <w:t xml:space="preserve"> subcutaneously on Days 1, 4, 8 and 11 of each 21-day cycle for up to 8 cycles.</w:t>
            </w:r>
          </w:p>
          <w:p w14:paraId="617305E1" w14:textId="5A3EDD11" w:rsidR="00C379B4" w:rsidRPr="00512D7B" w:rsidRDefault="00C379B4" w:rsidP="00A21B01">
            <w:pPr>
              <w:pStyle w:val="COMTabletext"/>
              <w:numPr>
                <w:ilvl w:val="0"/>
                <w:numId w:val="8"/>
              </w:numPr>
              <w:ind w:left="151" w:hanging="122"/>
            </w:pPr>
            <w:r w:rsidRPr="00512D7B">
              <w:t>Dexamethasone 20</w:t>
            </w:r>
            <w:r w:rsidR="003C2367" w:rsidRPr="00512D7B">
              <w:t> mg</w:t>
            </w:r>
            <w:r w:rsidRPr="00512D7B">
              <w:t xml:space="preserve"> orally or intravenously on the day of and day after bortezomib treatment.</w:t>
            </w:r>
          </w:p>
        </w:tc>
      </w:tr>
      <w:tr w:rsidR="00C379B4" w:rsidRPr="00512D7B" w14:paraId="529F6026" w14:textId="77777777">
        <w:tc>
          <w:tcPr>
            <w:tcW w:w="1297" w:type="dxa"/>
            <w:vAlign w:val="center"/>
          </w:tcPr>
          <w:p w14:paraId="119B8B03" w14:textId="77777777" w:rsidR="00C379B4" w:rsidRPr="00512D7B" w:rsidRDefault="00C379B4">
            <w:pPr>
              <w:pStyle w:val="COMTabletext"/>
            </w:pPr>
            <w:r w:rsidRPr="00512D7B">
              <w:t>Comparator</w:t>
            </w:r>
          </w:p>
        </w:tc>
        <w:tc>
          <w:tcPr>
            <w:tcW w:w="7859" w:type="dxa"/>
            <w:vAlign w:val="center"/>
          </w:tcPr>
          <w:p w14:paraId="1730B5D4" w14:textId="582CD2BD" w:rsidR="00C379B4" w:rsidRPr="00512D7B" w:rsidRDefault="00C379B4">
            <w:pPr>
              <w:pStyle w:val="COMTabletext"/>
            </w:pPr>
            <w:r w:rsidRPr="00512D7B">
              <w:t>Daratumumab in combination with bortezomib and dexamethasone (</w:t>
            </w:r>
            <w:r w:rsidR="001C413B" w:rsidRPr="00512D7B">
              <w:t>DBd</w:t>
            </w:r>
            <w:r w:rsidRPr="00512D7B">
              <w:t xml:space="preserve">): </w:t>
            </w:r>
          </w:p>
          <w:p w14:paraId="42BC4149" w14:textId="38B3B589" w:rsidR="00C379B4" w:rsidRPr="00512D7B" w:rsidRDefault="00C379B4" w:rsidP="00A21B01">
            <w:pPr>
              <w:pStyle w:val="COMTabletext"/>
              <w:numPr>
                <w:ilvl w:val="0"/>
                <w:numId w:val="8"/>
              </w:numPr>
              <w:ind w:left="151" w:hanging="122"/>
            </w:pPr>
            <w:r w:rsidRPr="00512D7B">
              <w:t>Daratumumab 16</w:t>
            </w:r>
            <w:r w:rsidR="003C2367" w:rsidRPr="00512D7B">
              <w:t> mg</w:t>
            </w:r>
            <w:r w:rsidRPr="00512D7B">
              <w:t xml:space="preserve">/kg intravenously once weekly in Cycles 1 to 3 (21-day cycles), every 3 weeks in Cycles 4 to 8 (21-day cycles), and every 4 weeks in Cycle 9+ (28-day cycles) until disease </w:t>
            </w:r>
            <w:proofErr w:type="spellStart"/>
            <w:r w:rsidRPr="00512D7B">
              <w:t>progression.</w:t>
            </w:r>
            <w:r w:rsidRPr="00512D7B">
              <w:rPr>
                <w:vertAlign w:val="superscript"/>
              </w:rPr>
              <w:t>a</w:t>
            </w:r>
            <w:proofErr w:type="spellEnd"/>
          </w:p>
          <w:p w14:paraId="4B215AFF" w14:textId="614812DF" w:rsidR="00C379B4" w:rsidRPr="00512D7B" w:rsidRDefault="00C379B4" w:rsidP="00A21B01">
            <w:pPr>
              <w:pStyle w:val="COMTabletext"/>
              <w:numPr>
                <w:ilvl w:val="0"/>
                <w:numId w:val="8"/>
              </w:numPr>
              <w:ind w:left="151" w:hanging="122"/>
            </w:pPr>
            <w:r w:rsidRPr="00512D7B">
              <w:t>Bortezomib 1.3</w:t>
            </w:r>
            <w:r w:rsidR="003C2367" w:rsidRPr="00512D7B">
              <w:t> mg</w:t>
            </w:r>
            <w:r w:rsidRPr="00512D7B">
              <w:t>/m</w:t>
            </w:r>
            <w:r w:rsidRPr="00512D7B">
              <w:rPr>
                <w:vertAlign w:val="superscript"/>
              </w:rPr>
              <w:t>2</w:t>
            </w:r>
            <w:r w:rsidRPr="00512D7B">
              <w:t xml:space="preserve"> subcutaneously on Days 1, 4, 8 and 11 of each 21-day cycle for up to 8 cycles.</w:t>
            </w:r>
          </w:p>
          <w:p w14:paraId="59ACBB6E" w14:textId="2508E781" w:rsidR="00C379B4" w:rsidRPr="00512D7B" w:rsidRDefault="00C379B4" w:rsidP="00A21B01">
            <w:pPr>
              <w:pStyle w:val="COMTabletext"/>
              <w:numPr>
                <w:ilvl w:val="0"/>
                <w:numId w:val="8"/>
              </w:numPr>
              <w:ind w:left="151" w:hanging="122"/>
            </w:pPr>
            <w:r w:rsidRPr="00512D7B">
              <w:t>Dexamethasone 20</w:t>
            </w:r>
            <w:r w:rsidR="003C2367" w:rsidRPr="00512D7B">
              <w:t> mg</w:t>
            </w:r>
            <w:r w:rsidRPr="00512D7B">
              <w:t xml:space="preserve"> orally or intravenously on the day of and day after bortezomib treatment.</w:t>
            </w:r>
          </w:p>
        </w:tc>
      </w:tr>
      <w:tr w:rsidR="00C379B4" w:rsidRPr="00512D7B" w14:paraId="65CF159D" w14:textId="77777777">
        <w:tc>
          <w:tcPr>
            <w:tcW w:w="1297" w:type="dxa"/>
            <w:vAlign w:val="center"/>
          </w:tcPr>
          <w:p w14:paraId="47386EF1" w14:textId="77777777" w:rsidR="00C379B4" w:rsidRPr="00512D7B" w:rsidRDefault="00C379B4">
            <w:pPr>
              <w:pStyle w:val="COMTabletext"/>
            </w:pPr>
            <w:r w:rsidRPr="00512D7B">
              <w:t>Outcomes</w:t>
            </w:r>
          </w:p>
        </w:tc>
        <w:tc>
          <w:tcPr>
            <w:tcW w:w="7859" w:type="dxa"/>
            <w:vAlign w:val="center"/>
          </w:tcPr>
          <w:p w14:paraId="5B04E4EC" w14:textId="77777777" w:rsidR="00C379B4" w:rsidRPr="00512D7B" w:rsidRDefault="00C379B4">
            <w:pPr>
              <w:pStyle w:val="COMTabletext"/>
            </w:pPr>
            <w:r w:rsidRPr="00512D7B">
              <w:t>Progression-free survival, overall survival, duration of response, MRD negativity, health-related quality of life, adverse events.</w:t>
            </w:r>
          </w:p>
        </w:tc>
      </w:tr>
      <w:tr w:rsidR="00C379B4" w:rsidRPr="00512D7B" w14:paraId="3C5E48A4" w14:textId="77777777">
        <w:tc>
          <w:tcPr>
            <w:tcW w:w="1297" w:type="dxa"/>
            <w:vAlign w:val="center"/>
          </w:tcPr>
          <w:p w14:paraId="547D06BE" w14:textId="77777777" w:rsidR="00C379B4" w:rsidRPr="00512D7B" w:rsidRDefault="00C379B4">
            <w:pPr>
              <w:pStyle w:val="COMTabletext"/>
            </w:pPr>
            <w:r w:rsidRPr="00512D7B">
              <w:t>Clinical claim</w:t>
            </w:r>
          </w:p>
        </w:tc>
        <w:tc>
          <w:tcPr>
            <w:tcW w:w="7859" w:type="dxa"/>
            <w:vAlign w:val="center"/>
          </w:tcPr>
          <w:p w14:paraId="5B7897A4" w14:textId="26A99DFC" w:rsidR="00C379B4" w:rsidRPr="00512D7B" w:rsidRDefault="00C379B4">
            <w:pPr>
              <w:pStyle w:val="COMTabletext"/>
            </w:pPr>
            <w:r w:rsidRPr="00512D7B">
              <w:t xml:space="preserve">In patients with relapsed or refractory multiple myeloma and one prior line of therapy, </w:t>
            </w:r>
            <w:r w:rsidR="00834591" w:rsidRPr="00512D7B">
              <w:t>BmBd</w:t>
            </w:r>
            <w:r w:rsidRPr="00512D7B">
              <w:t xml:space="preserve"> is superior in terms of efficacy, </w:t>
            </w:r>
            <w:r w:rsidR="00133FE3" w:rsidRPr="00512D7B">
              <w:t xml:space="preserve">but </w:t>
            </w:r>
            <w:r w:rsidRPr="00512D7B">
              <w:t xml:space="preserve">inferior </w:t>
            </w:r>
            <w:r w:rsidR="00DC39A6" w:rsidRPr="00512D7B">
              <w:t xml:space="preserve">in terms of </w:t>
            </w:r>
            <w:r w:rsidRPr="00512D7B">
              <w:t xml:space="preserve">safety, compared to </w:t>
            </w:r>
            <w:r w:rsidR="001C413B" w:rsidRPr="00512D7B">
              <w:t>DBd</w:t>
            </w:r>
            <w:r w:rsidRPr="00512D7B">
              <w:t>.</w:t>
            </w:r>
          </w:p>
        </w:tc>
      </w:tr>
    </w:tbl>
    <w:p w14:paraId="0815A229" w14:textId="77777777" w:rsidR="00C379B4" w:rsidRPr="00512D7B" w:rsidRDefault="00C379B4" w:rsidP="00C379B4">
      <w:pPr>
        <w:pStyle w:val="COMTablefooter"/>
      </w:pPr>
      <w:r w:rsidRPr="00512D7B">
        <w:t>Source: Table 1-1, p21 of the submission.</w:t>
      </w:r>
    </w:p>
    <w:p w14:paraId="40FAA58F" w14:textId="717C90FD" w:rsidR="00C379B4" w:rsidRPr="00512D7B" w:rsidRDefault="00C379B4" w:rsidP="00C379B4">
      <w:pPr>
        <w:pStyle w:val="COMTablefooter"/>
      </w:pPr>
      <w:r w:rsidRPr="00512D7B">
        <w:t xml:space="preserve">Abbreviations: </w:t>
      </w:r>
      <w:r w:rsidR="00834591" w:rsidRPr="00512D7B">
        <w:t>BmBd</w:t>
      </w:r>
      <w:r w:rsidRPr="00512D7B">
        <w:t>, belantamab</w:t>
      </w:r>
      <w:r w:rsidR="00007C5B" w:rsidRPr="00512D7B">
        <w:t xml:space="preserve"> in combination with </w:t>
      </w:r>
      <w:r w:rsidRPr="00512D7B">
        <w:t xml:space="preserve">bortezomib </w:t>
      </w:r>
      <w:r w:rsidR="00007C5B" w:rsidRPr="00512D7B">
        <w:t xml:space="preserve">and </w:t>
      </w:r>
      <w:r w:rsidRPr="00512D7B">
        <w:t xml:space="preserve">dexamethasone; </w:t>
      </w:r>
      <w:r w:rsidR="001C413B" w:rsidRPr="00512D7B">
        <w:t>DBd</w:t>
      </w:r>
      <w:r w:rsidRPr="00512D7B">
        <w:t xml:space="preserve">, daratumumab </w:t>
      </w:r>
      <w:r w:rsidR="00007C5B" w:rsidRPr="00512D7B">
        <w:t xml:space="preserve">in combination with </w:t>
      </w:r>
      <w:r w:rsidRPr="00512D7B">
        <w:t xml:space="preserve">bortezomib </w:t>
      </w:r>
      <w:r w:rsidR="00007C5B" w:rsidRPr="00512D7B">
        <w:t xml:space="preserve">and </w:t>
      </w:r>
      <w:r w:rsidRPr="00512D7B">
        <w:t>dexamethasone; MRD, minimal residual disease.</w:t>
      </w:r>
    </w:p>
    <w:p w14:paraId="527CA7F0" w14:textId="1C03890C" w:rsidR="004E43B2" w:rsidRPr="00512D7B" w:rsidRDefault="00C379B4" w:rsidP="004A6040">
      <w:pPr>
        <w:pStyle w:val="COMTablefooter"/>
      </w:pPr>
      <w:r w:rsidRPr="00512D7B">
        <w:rPr>
          <w:vertAlign w:val="superscript"/>
        </w:rPr>
        <w:t>a</w:t>
      </w:r>
      <w:r w:rsidRPr="00512D7B">
        <w:t xml:space="preserve"> Daratumumab is also available as a subcutaneous formulation. While the recommended treatment frequency is the same as the intravenous formulation, the recommended dose is 1,800</w:t>
      </w:r>
      <w:r w:rsidR="003C2367" w:rsidRPr="00512D7B">
        <w:t> mg</w:t>
      </w:r>
      <w:r w:rsidRPr="00512D7B">
        <w:t>.</w:t>
      </w:r>
    </w:p>
    <w:p w14:paraId="6B4AB6C2" w14:textId="7F01D731" w:rsidR="005C25FF" w:rsidRPr="00512D7B" w:rsidRDefault="005C25FF" w:rsidP="001C6B82">
      <w:pPr>
        <w:pStyle w:val="COMESH2"/>
      </w:pPr>
      <w:bookmarkStart w:id="2" w:name="_Toc208839483"/>
      <w:r w:rsidRPr="00512D7B">
        <w:t>Background</w:t>
      </w:r>
      <w:bookmarkEnd w:id="2"/>
    </w:p>
    <w:p w14:paraId="2C521D6D" w14:textId="78CF03EE" w:rsidR="005C25FF" w:rsidRPr="00512D7B" w:rsidRDefault="005C25FF" w:rsidP="004A6040">
      <w:pPr>
        <w:pStyle w:val="COMESSubsectionheading"/>
        <w:rPr>
          <w:color w:val="auto"/>
        </w:rPr>
      </w:pPr>
      <w:bookmarkStart w:id="3" w:name="_Toc22897638"/>
      <w:bookmarkStart w:id="4" w:name="_Toc208839484"/>
      <w:r w:rsidRPr="00512D7B">
        <w:rPr>
          <w:color w:val="auto"/>
        </w:rPr>
        <w:t>Registration status</w:t>
      </w:r>
      <w:bookmarkEnd w:id="3"/>
      <w:bookmarkEnd w:id="4"/>
    </w:p>
    <w:p w14:paraId="178733C6" w14:textId="233D8B8C" w:rsidR="00C379B4" w:rsidRPr="00AC3F7C" w:rsidRDefault="00C379B4" w:rsidP="00C379B4">
      <w:pPr>
        <w:pStyle w:val="COMESnumberedpara"/>
      </w:pPr>
      <w:r w:rsidRPr="00AC3F7C">
        <w:t xml:space="preserve">The submission was made under the TGA/PBAC Parallel Process. </w:t>
      </w:r>
      <w:r w:rsidRPr="00832391">
        <w:t xml:space="preserve">At the time of </w:t>
      </w:r>
      <w:r w:rsidR="00923B38" w:rsidRPr="00832391">
        <w:t>PBAC consideration</w:t>
      </w:r>
      <w:r w:rsidRPr="00832391">
        <w:t xml:space="preserve">, the </w:t>
      </w:r>
      <w:r w:rsidR="00832391" w:rsidRPr="00832391">
        <w:t>TGA Delegate’s Overview</w:t>
      </w:r>
      <w:r w:rsidRPr="00832391">
        <w:t xml:space="preserve"> was available. </w:t>
      </w:r>
    </w:p>
    <w:p w14:paraId="197D400F" w14:textId="77777777" w:rsidR="00C379B4" w:rsidRPr="00AC3F7C" w:rsidRDefault="00C379B4" w:rsidP="00C379B4">
      <w:pPr>
        <w:pStyle w:val="COMESnumberedpara"/>
      </w:pPr>
      <w:r w:rsidRPr="00AC3F7C">
        <w:lastRenderedPageBreak/>
        <w:t>The proposed indication for belantamab mafodotin is for the treatment of adults with multiple myeloma:</w:t>
      </w:r>
    </w:p>
    <w:p w14:paraId="0FB943CC" w14:textId="77777777" w:rsidR="003C6041" w:rsidRPr="00AC3F7C" w:rsidRDefault="00C379B4" w:rsidP="003C6041">
      <w:pPr>
        <w:pStyle w:val="COMESbulletlist"/>
        <w:spacing w:after="0"/>
      </w:pPr>
      <w:r w:rsidRPr="00AC3F7C">
        <w:t>In combination with bortezomib and dexamethasone in patients who have received at least one prior therapy; and</w:t>
      </w:r>
    </w:p>
    <w:p w14:paraId="67B64B01" w14:textId="6E8C1973" w:rsidR="00C379B4" w:rsidRPr="00AC3F7C" w:rsidRDefault="00C379B4" w:rsidP="003C6041">
      <w:pPr>
        <w:pStyle w:val="COMESbulletlist"/>
      </w:pPr>
      <w:r w:rsidRPr="00AC3F7C">
        <w:t>In combination with pomalidomide and dexamethasone in patients who have received at least one prior therapy including lenalidomide.</w:t>
      </w:r>
    </w:p>
    <w:p w14:paraId="563EF4B3" w14:textId="175D88D6" w:rsidR="00C379B4" w:rsidRDefault="00C379B4" w:rsidP="00C379B4">
      <w:pPr>
        <w:pStyle w:val="COMESnumberedpara"/>
      </w:pPr>
      <w:r w:rsidRPr="00AC3F7C">
        <w:t xml:space="preserve">The first round TGA clinical evaluator considered that the benefit-risk balance for </w:t>
      </w:r>
      <w:r w:rsidR="00834591" w:rsidRPr="00AC3F7C">
        <w:t>BmBd</w:t>
      </w:r>
      <w:r w:rsidRPr="00AC3F7C">
        <w:t xml:space="preserve"> is favourable. The evaluator noted that the DREAMM-7 trial demonstrated improvements in progression-free survival and overall survival, but also that there was an increase in ocular impairment and no improvements in quality of life measures. The evaluator noted that the ocular adverse effects are </w:t>
      </w:r>
      <w:r w:rsidR="004F6A99" w:rsidRPr="00AC3F7C">
        <w:t>significant and</w:t>
      </w:r>
      <w:r w:rsidRPr="00AC3F7C">
        <w:t xml:space="preserve"> include 15.3% of participants treated with </w:t>
      </w:r>
      <w:r w:rsidR="00834591" w:rsidRPr="00AC3F7C">
        <w:t>BmBd</w:t>
      </w:r>
      <w:r w:rsidRPr="00AC3F7C">
        <w:t xml:space="preserve"> stopping reading due to eyesight issues and 17.8% stopping driving; but considered that this </w:t>
      </w:r>
      <w:r w:rsidR="005934B8" w:rsidRPr="00AC3F7C">
        <w:t xml:space="preserve">was </w:t>
      </w:r>
      <w:r w:rsidRPr="00AC3F7C">
        <w:t>counterbalanced by the improved survival. The evaluator stated that patients would need to be fully informed and accepting of the risks, including loss of the ability to read and/or drive.</w:t>
      </w:r>
    </w:p>
    <w:p w14:paraId="2C45940A" w14:textId="77777777" w:rsidR="00862464" w:rsidRPr="00AC3F7C" w:rsidRDefault="00862464" w:rsidP="00862464">
      <w:pPr>
        <w:pStyle w:val="COMESnumberedpara"/>
        <w:numPr>
          <w:ilvl w:val="0"/>
          <w:numId w:val="0"/>
        </w:numPr>
      </w:pPr>
    </w:p>
    <w:p w14:paraId="72CE7D5E" w14:textId="59BCB182" w:rsidR="00FC5512" w:rsidRPr="00FC5512" w:rsidRDefault="00FC5512" w:rsidP="00FC5512">
      <w:pPr>
        <w:pStyle w:val="COMESnumberedpara"/>
        <w:numPr>
          <w:ilvl w:val="0"/>
          <w:numId w:val="0"/>
        </w:numPr>
        <w:ind w:left="720"/>
        <w:rPr>
          <w:i/>
          <w:iCs/>
        </w:rPr>
      </w:pPr>
      <w:bookmarkStart w:id="5" w:name="_Hlk76375324"/>
      <w:r w:rsidRPr="00FC5512">
        <w:rPr>
          <w:i/>
          <w:iCs/>
        </w:rPr>
        <w:t>For more detail on PBAC’s view, see section 7 PBAC outcome.</w:t>
      </w:r>
      <w:bookmarkEnd w:id="5"/>
    </w:p>
    <w:p w14:paraId="3435DB07" w14:textId="43D3BE54" w:rsidR="003A4C14" w:rsidRPr="00512D7B" w:rsidRDefault="000727EB" w:rsidP="000727EB">
      <w:pPr>
        <w:pStyle w:val="COMESH2"/>
        <w:rPr>
          <w:bCs/>
        </w:rPr>
      </w:pPr>
      <w:bookmarkStart w:id="6" w:name="_Toc208482395"/>
      <w:bookmarkStart w:id="7" w:name="_Toc208508548"/>
      <w:bookmarkStart w:id="8" w:name="_Toc107902078"/>
      <w:bookmarkStart w:id="9" w:name="_Toc208839485"/>
      <w:bookmarkEnd w:id="6"/>
      <w:bookmarkEnd w:id="7"/>
      <w:bookmarkEnd w:id="8"/>
      <w:r w:rsidRPr="00512D7B">
        <w:rPr>
          <w:bCs/>
        </w:rPr>
        <w:lastRenderedPageBreak/>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501"/>
        <w:gridCol w:w="2566"/>
        <w:gridCol w:w="1973"/>
        <w:gridCol w:w="1977"/>
      </w:tblGrid>
      <w:tr w:rsidR="003C6041" w:rsidRPr="00512D7B" w14:paraId="08E98C4C" w14:textId="77777777">
        <w:trPr>
          <w:cantSplit/>
          <w:trHeight w:val="20"/>
        </w:trPr>
        <w:tc>
          <w:tcPr>
            <w:tcW w:w="1387" w:type="pct"/>
            <w:vAlign w:val="center"/>
          </w:tcPr>
          <w:p w14:paraId="33FB0A22" w14:textId="77777777" w:rsidR="003C6041" w:rsidRPr="00512D7B" w:rsidRDefault="003C6041" w:rsidP="006321E5">
            <w:pPr>
              <w:pStyle w:val="COMTableheadingrow"/>
            </w:pPr>
            <w:bookmarkStart w:id="10" w:name="_Hlk104809082"/>
            <w:r w:rsidRPr="00512D7B">
              <w:lastRenderedPageBreak/>
              <w:t>MEDICINAL PRODUCT</w:t>
            </w:r>
          </w:p>
          <w:p w14:paraId="40C09C6F" w14:textId="77777777" w:rsidR="003C6041" w:rsidRPr="00512D7B" w:rsidRDefault="003C6041" w:rsidP="006321E5">
            <w:pPr>
              <w:pStyle w:val="COMTableheadingrow"/>
            </w:pPr>
            <w:r w:rsidRPr="00512D7B">
              <w:t>Form</w:t>
            </w:r>
          </w:p>
        </w:tc>
        <w:tc>
          <w:tcPr>
            <w:tcW w:w="1423" w:type="pct"/>
            <w:vAlign w:val="center"/>
          </w:tcPr>
          <w:p w14:paraId="383E1F3F" w14:textId="77777777" w:rsidR="003C6041" w:rsidRPr="00512D7B" w:rsidRDefault="003C6041" w:rsidP="006321E5">
            <w:pPr>
              <w:pStyle w:val="COMTableheadingrow"/>
              <w:jc w:val="center"/>
            </w:pPr>
            <w:r w:rsidRPr="00512D7B">
              <w:t>Dispensed Price Max Amt</w:t>
            </w:r>
          </w:p>
        </w:tc>
        <w:tc>
          <w:tcPr>
            <w:tcW w:w="1094" w:type="pct"/>
            <w:vAlign w:val="center"/>
          </w:tcPr>
          <w:p w14:paraId="42419452" w14:textId="77777777" w:rsidR="003C6041" w:rsidRPr="00512D7B" w:rsidRDefault="003C6041" w:rsidP="006321E5">
            <w:pPr>
              <w:pStyle w:val="COMTableheadingrow"/>
              <w:jc w:val="center"/>
            </w:pPr>
            <w:r w:rsidRPr="00512D7B">
              <w:t>Max. Amount</w:t>
            </w:r>
          </w:p>
        </w:tc>
        <w:tc>
          <w:tcPr>
            <w:tcW w:w="1096" w:type="pct"/>
            <w:vAlign w:val="center"/>
          </w:tcPr>
          <w:p w14:paraId="68E3DEDC" w14:textId="77777777" w:rsidR="003C6041" w:rsidRPr="00512D7B" w:rsidRDefault="003C6041" w:rsidP="006321E5">
            <w:pPr>
              <w:pStyle w:val="COMTableheadingrow"/>
              <w:jc w:val="center"/>
            </w:pPr>
            <w:r w:rsidRPr="00512D7B">
              <w:t>№.of Rpts</w:t>
            </w:r>
          </w:p>
        </w:tc>
      </w:tr>
      <w:tr w:rsidR="003C6041" w:rsidRPr="00512D7B" w14:paraId="374BD653" w14:textId="77777777">
        <w:trPr>
          <w:cantSplit/>
          <w:trHeight w:val="20"/>
        </w:trPr>
        <w:tc>
          <w:tcPr>
            <w:tcW w:w="1387" w:type="pct"/>
            <w:vAlign w:val="center"/>
          </w:tcPr>
          <w:p w14:paraId="02B7E215" w14:textId="77777777" w:rsidR="003C6041" w:rsidRPr="00512D7B" w:rsidRDefault="003C6041" w:rsidP="006321E5">
            <w:pPr>
              <w:pStyle w:val="COMTabletext"/>
            </w:pPr>
            <w:r w:rsidRPr="00512D7B">
              <w:t>BELANTAMAB MAFODOTIN</w:t>
            </w:r>
          </w:p>
        </w:tc>
        <w:tc>
          <w:tcPr>
            <w:tcW w:w="1423" w:type="pct"/>
            <w:vAlign w:val="center"/>
          </w:tcPr>
          <w:p w14:paraId="6368E205" w14:textId="77777777" w:rsidR="003C6041" w:rsidRPr="00512D7B" w:rsidRDefault="003C6041" w:rsidP="006321E5">
            <w:pPr>
              <w:pStyle w:val="COMTabletext"/>
              <w:jc w:val="center"/>
            </w:pPr>
            <w:r w:rsidRPr="00512D7B">
              <w:rPr>
                <w:u w:val="single"/>
              </w:rPr>
              <w:t>Public hospital</w:t>
            </w:r>
          </w:p>
          <w:p w14:paraId="49B3C1F8" w14:textId="240924D7" w:rsidR="003C6041" w:rsidRPr="00512D7B" w:rsidRDefault="003C6041" w:rsidP="006321E5">
            <w:pPr>
              <w:pStyle w:val="COMTabletext"/>
              <w:jc w:val="center"/>
            </w:pPr>
            <w:r w:rsidRPr="00512D7B">
              <w:t>$</w:t>
            </w:r>
            <w:r w:rsidR="0040410B" w:rsidRPr="0040410B">
              <w:rPr>
                <w:highlight w:val="black"/>
              </w:rPr>
              <w:t>&amp;&amp;&amp;&amp;</w:t>
            </w:r>
            <w:r w:rsidRPr="00512D7B">
              <w:t xml:space="preserve"> published price</w:t>
            </w:r>
          </w:p>
          <w:p w14:paraId="10252402" w14:textId="0C6E04ED" w:rsidR="003C6041" w:rsidRPr="00512D7B" w:rsidRDefault="003C6041" w:rsidP="006321E5">
            <w:pPr>
              <w:pStyle w:val="COMTabletext"/>
              <w:jc w:val="center"/>
            </w:pPr>
            <w:r w:rsidRPr="00512D7B">
              <w:t>$</w:t>
            </w:r>
            <w:r w:rsidR="0040410B" w:rsidRPr="0040410B">
              <w:rPr>
                <w:highlight w:val="black"/>
              </w:rPr>
              <w:t>&amp;&amp;&amp;&amp;</w:t>
            </w:r>
            <w:r w:rsidRPr="00512D7B">
              <w:t xml:space="preserve"> effective price</w:t>
            </w:r>
          </w:p>
          <w:p w14:paraId="7BE31D31" w14:textId="77777777" w:rsidR="003C6041" w:rsidRPr="00512D7B" w:rsidRDefault="003C6041" w:rsidP="006321E5">
            <w:pPr>
              <w:pStyle w:val="COMTabletext"/>
              <w:jc w:val="center"/>
              <w:rPr>
                <w:u w:val="single"/>
              </w:rPr>
            </w:pPr>
            <w:r w:rsidRPr="00512D7B">
              <w:rPr>
                <w:u w:val="single"/>
              </w:rPr>
              <w:t>Private hospital</w:t>
            </w:r>
          </w:p>
          <w:p w14:paraId="52E3D10B" w14:textId="19CD0799" w:rsidR="003C6041" w:rsidRPr="00512D7B" w:rsidRDefault="003C6041" w:rsidP="006321E5">
            <w:pPr>
              <w:pStyle w:val="COMTabletext"/>
              <w:jc w:val="center"/>
            </w:pPr>
            <w:r w:rsidRPr="00512D7B">
              <w:t>$</w:t>
            </w:r>
            <w:r w:rsidR="0040410B" w:rsidRPr="0040410B">
              <w:rPr>
                <w:highlight w:val="black"/>
              </w:rPr>
              <w:t>&amp;&amp;&amp;&amp;</w:t>
            </w:r>
            <w:r w:rsidRPr="00512D7B">
              <w:t xml:space="preserve"> published price</w:t>
            </w:r>
          </w:p>
          <w:p w14:paraId="08D770BC" w14:textId="195F94E2" w:rsidR="003C6041" w:rsidRPr="00512D7B" w:rsidRDefault="003C6041" w:rsidP="006321E5">
            <w:pPr>
              <w:pStyle w:val="COMTabletext"/>
              <w:jc w:val="center"/>
            </w:pPr>
            <w:r w:rsidRPr="00512D7B">
              <w:t>$</w:t>
            </w:r>
            <w:r w:rsidR="0040410B" w:rsidRPr="0040410B">
              <w:rPr>
                <w:highlight w:val="black"/>
              </w:rPr>
              <w:t>&amp;&amp;&amp;&amp;</w:t>
            </w:r>
            <w:r w:rsidRPr="00512D7B">
              <w:t xml:space="preserve"> effective price</w:t>
            </w:r>
          </w:p>
        </w:tc>
        <w:tc>
          <w:tcPr>
            <w:tcW w:w="1094" w:type="pct"/>
            <w:vAlign w:val="center"/>
          </w:tcPr>
          <w:p w14:paraId="4C0C98B0" w14:textId="32AA2574" w:rsidR="003C6041" w:rsidRPr="00512D7B" w:rsidRDefault="003C6041" w:rsidP="006321E5">
            <w:pPr>
              <w:pStyle w:val="COMTabletext"/>
              <w:jc w:val="center"/>
            </w:pPr>
            <w:r w:rsidRPr="00512D7B">
              <w:t>300</w:t>
            </w:r>
            <w:r w:rsidR="003C2367" w:rsidRPr="00512D7B">
              <w:t> mg</w:t>
            </w:r>
          </w:p>
        </w:tc>
        <w:tc>
          <w:tcPr>
            <w:tcW w:w="1096" w:type="pct"/>
            <w:vAlign w:val="center"/>
          </w:tcPr>
          <w:p w14:paraId="1A4A8137" w14:textId="77777777" w:rsidR="003C6041" w:rsidRPr="00512D7B" w:rsidRDefault="003C6041" w:rsidP="006321E5">
            <w:pPr>
              <w:pStyle w:val="COMTabletext"/>
              <w:jc w:val="center"/>
            </w:pPr>
            <w:r w:rsidRPr="00512D7B">
              <w:t>7</w:t>
            </w:r>
          </w:p>
        </w:tc>
      </w:tr>
      <w:tr w:rsidR="003C6041" w:rsidRPr="00512D7B" w14:paraId="44F27642" w14:textId="77777777">
        <w:trPr>
          <w:cantSplit/>
          <w:trHeight w:val="20"/>
        </w:trPr>
        <w:tc>
          <w:tcPr>
            <w:tcW w:w="5000" w:type="pct"/>
            <w:gridSpan w:val="4"/>
            <w:vAlign w:val="center"/>
          </w:tcPr>
          <w:p w14:paraId="736A0298" w14:textId="77777777" w:rsidR="003C6041" w:rsidRPr="00512D7B" w:rsidRDefault="003C6041" w:rsidP="006321E5">
            <w:pPr>
              <w:pStyle w:val="COMTableheadingrow"/>
            </w:pPr>
            <w:r w:rsidRPr="00512D7B">
              <w:t xml:space="preserve">Available brands </w:t>
            </w:r>
          </w:p>
        </w:tc>
      </w:tr>
      <w:tr w:rsidR="003C6041" w:rsidRPr="00512D7B" w14:paraId="1610B38A" w14:textId="77777777" w:rsidTr="00155835">
        <w:trPr>
          <w:cantSplit/>
          <w:trHeight w:val="20"/>
        </w:trPr>
        <w:tc>
          <w:tcPr>
            <w:tcW w:w="5000" w:type="pct"/>
            <w:gridSpan w:val="4"/>
            <w:tcBorders>
              <w:bottom w:val="double" w:sz="4" w:space="0" w:color="auto"/>
            </w:tcBorders>
            <w:vAlign w:val="center"/>
          </w:tcPr>
          <w:p w14:paraId="24AF9154" w14:textId="77777777" w:rsidR="003C6041" w:rsidRPr="00512D7B" w:rsidRDefault="003C6041" w:rsidP="006321E5">
            <w:pPr>
              <w:pStyle w:val="COMTabletext"/>
              <w:keepLines w:val="0"/>
            </w:pPr>
            <w:proofErr w:type="spellStart"/>
            <w:r w:rsidRPr="00512D7B">
              <w:t>Blenrep</w:t>
            </w:r>
            <w:proofErr w:type="spellEnd"/>
          </w:p>
          <w:p w14:paraId="7E6704B3" w14:textId="446B929B" w:rsidR="003C6041" w:rsidRPr="00512D7B" w:rsidRDefault="003C6041" w:rsidP="006321E5">
            <w:pPr>
              <w:pStyle w:val="COMTabletext"/>
              <w:keepLines w:val="0"/>
            </w:pPr>
            <w:r w:rsidRPr="00512D7B">
              <w:t>(belantamab mafodotin 70</w:t>
            </w:r>
            <w:r w:rsidR="003C2367" w:rsidRPr="00512D7B">
              <w:t> mg</w:t>
            </w:r>
            <w:r w:rsidRPr="00512D7B">
              <w:t xml:space="preserve"> injection, 1 vial)</w:t>
            </w:r>
          </w:p>
          <w:p w14:paraId="512C4847" w14:textId="77777777" w:rsidR="003C6041" w:rsidRPr="00512D7B" w:rsidRDefault="003C6041" w:rsidP="006321E5">
            <w:pPr>
              <w:pStyle w:val="COMTabletext"/>
              <w:keepLines w:val="0"/>
            </w:pPr>
            <w:proofErr w:type="spellStart"/>
            <w:r w:rsidRPr="00512D7B">
              <w:t>Blenrep</w:t>
            </w:r>
            <w:proofErr w:type="spellEnd"/>
          </w:p>
          <w:p w14:paraId="2ADDB25F" w14:textId="6DE41860" w:rsidR="003C6041" w:rsidRPr="00512D7B" w:rsidRDefault="003C6041" w:rsidP="006321E5">
            <w:pPr>
              <w:pStyle w:val="COMTabletext"/>
              <w:keepLines w:val="0"/>
            </w:pPr>
            <w:r w:rsidRPr="00512D7B">
              <w:t>(belantamab mafodotin 100</w:t>
            </w:r>
            <w:r w:rsidR="003C2367" w:rsidRPr="00512D7B">
              <w:t> mg</w:t>
            </w:r>
            <w:r w:rsidRPr="00512D7B">
              <w:t xml:space="preserve"> injection, 1 vial)</w:t>
            </w:r>
          </w:p>
        </w:tc>
      </w:tr>
      <w:tr w:rsidR="005A57D7" w:rsidRPr="00512D7B" w14:paraId="3EE8ABAE" w14:textId="77777777" w:rsidTr="00155835">
        <w:tblPrEx>
          <w:tblCellMar>
            <w:top w:w="15" w:type="dxa"/>
            <w:bottom w:w="15" w:type="dxa"/>
          </w:tblCellMar>
          <w:tblLook w:val="04A0" w:firstRow="1" w:lastRow="0" w:firstColumn="1" w:lastColumn="0" w:noHBand="0" w:noVBand="1"/>
        </w:tblPrEx>
        <w:trPr>
          <w:cantSplit/>
          <w:trHeight w:val="20"/>
        </w:trPr>
        <w:tc>
          <w:tcPr>
            <w:tcW w:w="5000" w:type="pct"/>
            <w:gridSpan w:val="4"/>
            <w:tcBorders>
              <w:top w:val="double" w:sz="4" w:space="0" w:color="auto"/>
            </w:tcBorders>
          </w:tcPr>
          <w:p w14:paraId="3B622315" w14:textId="1B514BDB" w:rsidR="003A4C14" w:rsidRPr="00512D7B" w:rsidRDefault="003A4C14" w:rsidP="006321E5">
            <w:pPr>
              <w:pStyle w:val="COMTabletext"/>
              <w:keepLines w:val="0"/>
            </w:pPr>
            <w:bookmarkStart w:id="11" w:name="_Hlk104809470"/>
            <w:bookmarkEnd w:id="10"/>
            <w:r w:rsidRPr="00512D7B">
              <w:rPr>
                <w:b/>
              </w:rPr>
              <w:t xml:space="preserve">Category / Program: </w:t>
            </w:r>
            <w:r w:rsidR="003C6041" w:rsidRPr="00512D7B">
              <w:t>Section 100 – Efficient Funding of Chemotherapy</w:t>
            </w:r>
          </w:p>
        </w:tc>
      </w:tr>
      <w:tr w:rsidR="005A57D7" w:rsidRPr="00512D7B" w14:paraId="09416ED3"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tcPr>
          <w:p w14:paraId="7D2ED8D5" w14:textId="7203B220" w:rsidR="003A4C14" w:rsidRPr="00512D7B" w:rsidRDefault="003A4C14" w:rsidP="006321E5">
            <w:pPr>
              <w:pStyle w:val="COMTabletext"/>
              <w:keepLines w:val="0"/>
              <w:rPr>
                <w:b/>
              </w:rPr>
            </w:pPr>
            <w:r w:rsidRPr="00512D7B">
              <w:rPr>
                <w:b/>
              </w:rPr>
              <w:t xml:space="preserve">Prescriber type: </w:t>
            </w:r>
            <w:r w:rsidR="003C6041" w:rsidRPr="00512D7B">
              <w:fldChar w:fldCharType="begin">
                <w:ffData>
                  <w:name w:val=""/>
                  <w:enabled/>
                  <w:calcOnExit w:val="0"/>
                  <w:checkBox>
                    <w:sizeAuto/>
                    <w:default w:val="1"/>
                  </w:checkBox>
                </w:ffData>
              </w:fldChar>
            </w:r>
            <w:r w:rsidR="003C6041" w:rsidRPr="00512D7B">
              <w:instrText xml:space="preserve"> FORMCHECKBOX </w:instrText>
            </w:r>
            <w:r w:rsidR="003C6041" w:rsidRPr="00512D7B">
              <w:fldChar w:fldCharType="separate"/>
            </w:r>
            <w:r w:rsidR="003C6041" w:rsidRPr="00512D7B">
              <w:fldChar w:fldCharType="end"/>
            </w:r>
            <w:r w:rsidRPr="00512D7B">
              <w:t>Medical Practitioners</w:t>
            </w:r>
          </w:p>
        </w:tc>
      </w:tr>
      <w:tr w:rsidR="005A57D7" w:rsidRPr="00512D7B" w14:paraId="1C77854D"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58BBA51" w14:textId="68FF31F9" w:rsidR="003A4C14" w:rsidRPr="00512D7B" w:rsidRDefault="003A4C14" w:rsidP="006321E5">
            <w:pPr>
              <w:pStyle w:val="COMTabletext"/>
              <w:keepLines w:val="0"/>
            </w:pPr>
            <w:r w:rsidRPr="00512D7B">
              <w:rPr>
                <w:b/>
              </w:rPr>
              <w:t xml:space="preserve">Episodicity: </w:t>
            </w:r>
            <w:r w:rsidR="00D04183" w:rsidRPr="00512D7B">
              <w:rPr>
                <w:bCs w:val="0"/>
              </w:rPr>
              <w:t>Relapsed and/or refractory</w:t>
            </w:r>
          </w:p>
        </w:tc>
      </w:tr>
      <w:tr w:rsidR="005A57D7" w:rsidRPr="00512D7B" w14:paraId="4473716B"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C58C468" w14:textId="0440EE1F" w:rsidR="003A4C14" w:rsidRPr="00512D7B" w:rsidRDefault="003A4C14" w:rsidP="006321E5">
            <w:pPr>
              <w:pStyle w:val="COMTabletext"/>
              <w:keepLines w:val="0"/>
              <w:rPr>
                <w:b/>
              </w:rPr>
            </w:pPr>
            <w:r w:rsidRPr="00512D7B">
              <w:rPr>
                <w:b/>
              </w:rPr>
              <w:t xml:space="preserve">Condition: </w:t>
            </w:r>
            <w:r w:rsidR="00D04183" w:rsidRPr="00512D7B">
              <w:rPr>
                <w:bCs w:val="0"/>
              </w:rPr>
              <w:t>Multiple myeloma</w:t>
            </w:r>
          </w:p>
        </w:tc>
      </w:tr>
      <w:tr w:rsidR="005A57D7" w:rsidRPr="00512D7B" w14:paraId="5BFE3347" w14:textId="77777777" w:rsidTr="00155835">
        <w:tblPrEx>
          <w:tblCellMar>
            <w:top w:w="15" w:type="dxa"/>
            <w:bottom w:w="15" w:type="dxa"/>
          </w:tblCellMar>
          <w:tblLook w:val="04A0" w:firstRow="1" w:lastRow="0" w:firstColumn="1" w:lastColumn="0" w:noHBand="0" w:noVBand="1"/>
        </w:tblPrEx>
        <w:trPr>
          <w:cantSplit/>
          <w:trHeight w:val="20"/>
        </w:trPr>
        <w:tc>
          <w:tcPr>
            <w:tcW w:w="5000" w:type="pct"/>
            <w:gridSpan w:val="4"/>
            <w:tcBorders>
              <w:bottom w:val="double" w:sz="4" w:space="0" w:color="auto"/>
            </w:tcBorders>
            <w:vAlign w:val="center"/>
            <w:hideMark/>
          </w:tcPr>
          <w:p w14:paraId="3296BDDA" w14:textId="5C41E351" w:rsidR="003A4C14" w:rsidRPr="00512D7B" w:rsidRDefault="003A4C14" w:rsidP="006321E5">
            <w:pPr>
              <w:pStyle w:val="COMTabletext"/>
              <w:keepLines w:val="0"/>
            </w:pPr>
            <w:r w:rsidRPr="00512D7B">
              <w:rPr>
                <w:b/>
              </w:rPr>
              <w:t>Indication:</w:t>
            </w:r>
            <w:r w:rsidRPr="00512D7B">
              <w:t xml:space="preserve"> </w:t>
            </w:r>
            <w:r w:rsidR="00D04183" w:rsidRPr="00512D7B">
              <w:t>Relapsed and/or refractory multiple myeloma</w:t>
            </w:r>
          </w:p>
        </w:tc>
      </w:tr>
      <w:tr w:rsidR="005A57D7" w:rsidRPr="00512D7B" w14:paraId="7A6417F7" w14:textId="77777777" w:rsidTr="00155835">
        <w:tblPrEx>
          <w:tblCellMar>
            <w:top w:w="15" w:type="dxa"/>
            <w:bottom w:w="15" w:type="dxa"/>
          </w:tblCellMar>
          <w:tblLook w:val="04A0" w:firstRow="1" w:lastRow="0" w:firstColumn="1" w:lastColumn="0" w:noHBand="0" w:noVBand="1"/>
        </w:tblPrEx>
        <w:trPr>
          <w:cantSplit/>
          <w:trHeight w:val="20"/>
        </w:trPr>
        <w:tc>
          <w:tcPr>
            <w:tcW w:w="5000" w:type="pct"/>
            <w:gridSpan w:val="4"/>
            <w:tcBorders>
              <w:top w:val="double" w:sz="4" w:space="0" w:color="auto"/>
            </w:tcBorders>
            <w:vAlign w:val="center"/>
            <w:hideMark/>
          </w:tcPr>
          <w:p w14:paraId="655B4B49" w14:textId="66544831" w:rsidR="003A4C14" w:rsidRPr="00512D7B" w:rsidRDefault="003A4C14" w:rsidP="006321E5">
            <w:pPr>
              <w:pStyle w:val="COMTabletext"/>
              <w:keepLines w:val="0"/>
            </w:pPr>
            <w:r w:rsidRPr="00512D7B">
              <w:rPr>
                <w:b/>
              </w:rPr>
              <w:t>Treatment Phase:</w:t>
            </w:r>
            <w:r w:rsidRPr="00512D7B">
              <w:t xml:space="preserve"> </w:t>
            </w:r>
            <w:r w:rsidR="00D04183" w:rsidRPr="00512D7B">
              <w:rPr>
                <w:bCs w:val="0"/>
              </w:rPr>
              <w:t>Initial treatment as second-line drug therapy for weeks 1 to 24</w:t>
            </w:r>
          </w:p>
        </w:tc>
      </w:tr>
      <w:tr w:rsidR="00D66D34" w:rsidRPr="00512D7B" w14:paraId="17EB6FC4"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F25CB0C" w14:textId="3E2B74F7" w:rsidR="00D66D34" w:rsidRPr="00512D7B" w:rsidRDefault="00D66D34" w:rsidP="006321E5">
            <w:pPr>
              <w:pStyle w:val="COMTabletext"/>
              <w:keepLines w:val="0"/>
              <w:rPr>
                <w:b/>
              </w:rPr>
            </w:pPr>
            <w:r w:rsidRPr="00512D7B">
              <w:rPr>
                <w:b/>
              </w:rPr>
              <w:t xml:space="preserve">Restriction type: </w:t>
            </w:r>
            <w:r w:rsidRPr="00512D7B">
              <w:rPr>
                <w:rFonts w:eastAsia="Times New Roman"/>
              </w:rPr>
              <w:fldChar w:fldCharType="begin">
                <w:ffData>
                  <w:name w:val=""/>
                  <w:enabled/>
                  <w:calcOnExit w:val="0"/>
                  <w:checkBox>
                    <w:sizeAuto/>
                    <w:default w:val="1"/>
                  </w:checkBox>
                </w:ffData>
              </w:fldChar>
            </w:r>
            <w:r w:rsidRPr="00512D7B">
              <w:rPr>
                <w:rFonts w:eastAsia="Times New Roman"/>
              </w:rPr>
              <w:instrText xml:space="preserve"> FORMCHECKBOX </w:instrText>
            </w:r>
            <w:r w:rsidRPr="00512D7B">
              <w:rPr>
                <w:rFonts w:eastAsia="Times New Roman"/>
              </w:rPr>
            </w:r>
            <w:r w:rsidRPr="00512D7B">
              <w:rPr>
                <w:rFonts w:eastAsia="Times New Roman"/>
              </w:rPr>
              <w:fldChar w:fldCharType="separate"/>
            </w:r>
            <w:r w:rsidRPr="00512D7B">
              <w:rPr>
                <w:rFonts w:eastAsia="Times New Roman"/>
              </w:rPr>
              <w:fldChar w:fldCharType="end"/>
            </w:r>
            <w:r w:rsidRPr="00512D7B">
              <w:rPr>
                <w:rFonts w:eastAsia="Times New Roman"/>
              </w:rPr>
              <w:t>Authority Required (telephone/online PBS Authorities system)</w:t>
            </w:r>
          </w:p>
        </w:tc>
      </w:tr>
      <w:tr w:rsidR="005A57D7" w:rsidRPr="00512D7B" w14:paraId="3ABBD2EC"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D485398" w14:textId="77777777" w:rsidR="003A4C14" w:rsidRPr="00512D7B" w:rsidRDefault="003A4C14" w:rsidP="006321E5">
            <w:pPr>
              <w:pStyle w:val="COMTabletext"/>
              <w:keepLines w:val="0"/>
            </w:pPr>
            <w:r w:rsidRPr="00512D7B">
              <w:rPr>
                <w:b/>
              </w:rPr>
              <w:t>Clinical criteria:</w:t>
            </w:r>
          </w:p>
        </w:tc>
      </w:tr>
      <w:tr w:rsidR="005A57D7" w:rsidRPr="00512D7B" w14:paraId="26BA494C"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A0AADCD" w14:textId="0BBBD2C9" w:rsidR="003A4C14" w:rsidRPr="00512D7B" w:rsidRDefault="00D04183" w:rsidP="006321E5">
            <w:pPr>
              <w:pStyle w:val="COMTabletext"/>
              <w:keepLines w:val="0"/>
            </w:pPr>
            <w:r w:rsidRPr="00512D7B">
              <w:t>The condition must be confirmed by a histological diagnosis,</w:t>
            </w:r>
          </w:p>
        </w:tc>
      </w:tr>
      <w:tr w:rsidR="005A57D7" w:rsidRPr="00512D7B" w14:paraId="1541981C"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F3D1453" w14:textId="77777777" w:rsidR="003A4C14" w:rsidRPr="00512D7B" w:rsidRDefault="003A4C14" w:rsidP="006321E5">
            <w:pPr>
              <w:pStyle w:val="COMTabletext"/>
              <w:keepLines w:val="0"/>
            </w:pPr>
            <w:r w:rsidRPr="00512D7B">
              <w:rPr>
                <w:b/>
              </w:rPr>
              <w:t>AND</w:t>
            </w:r>
          </w:p>
        </w:tc>
      </w:tr>
      <w:tr w:rsidR="005A57D7" w:rsidRPr="00512D7B" w14:paraId="018890B8"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9CB2648" w14:textId="77777777" w:rsidR="003A4C14" w:rsidRPr="00512D7B" w:rsidRDefault="003A4C14" w:rsidP="006321E5">
            <w:pPr>
              <w:pStyle w:val="COMTabletext"/>
              <w:keepLines w:val="0"/>
            </w:pPr>
            <w:r w:rsidRPr="00512D7B">
              <w:rPr>
                <w:b/>
              </w:rPr>
              <w:t>Clinical criteria:</w:t>
            </w:r>
          </w:p>
        </w:tc>
      </w:tr>
      <w:tr w:rsidR="005A57D7" w:rsidRPr="00512D7B" w14:paraId="1096E289"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6929626" w14:textId="7381F1C5" w:rsidR="003A4C14" w:rsidRPr="00512D7B" w:rsidRDefault="00D04183" w:rsidP="006321E5">
            <w:pPr>
              <w:pStyle w:val="COMTabletext"/>
              <w:keepLines w:val="0"/>
            </w:pPr>
            <w:r w:rsidRPr="00512D7B">
              <w:t>The treatment must be in combination with bortezomib and dexamethasone,</w:t>
            </w:r>
          </w:p>
        </w:tc>
      </w:tr>
      <w:tr w:rsidR="00D04183" w:rsidRPr="00512D7B" w14:paraId="36DC36AD"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E4C0EB0" w14:textId="2AD33F3D" w:rsidR="00D04183" w:rsidRPr="00512D7B" w:rsidRDefault="00D04183" w:rsidP="006321E5">
            <w:pPr>
              <w:pStyle w:val="COMTabletext"/>
              <w:keepLines w:val="0"/>
            </w:pPr>
            <w:r w:rsidRPr="00512D7B">
              <w:rPr>
                <w:b/>
              </w:rPr>
              <w:t>AND</w:t>
            </w:r>
          </w:p>
        </w:tc>
      </w:tr>
      <w:tr w:rsidR="00D04183" w:rsidRPr="00512D7B" w14:paraId="4AF64E8F"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A0989C0" w14:textId="052DE0A1" w:rsidR="00D04183" w:rsidRPr="00512D7B" w:rsidRDefault="00D04183" w:rsidP="006321E5">
            <w:pPr>
              <w:pStyle w:val="COMTabletext"/>
              <w:keepLines w:val="0"/>
            </w:pPr>
            <w:r w:rsidRPr="00512D7B">
              <w:rPr>
                <w:b/>
              </w:rPr>
              <w:t>Clinical criteria:</w:t>
            </w:r>
          </w:p>
        </w:tc>
      </w:tr>
      <w:tr w:rsidR="00D04183" w:rsidRPr="00512D7B" w14:paraId="7E640EEF"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4586693" w14:textId="5628B7F2" w:rsidR="00D04183" w:rsidRPr="00512D7B" w:rsidRDefault="00D04183" w:rsidP="006321E5">
            <w:pPr>
              <w:pStyle w:val="COMTabletext"/>
              <w:keepLines w:val="0"/>
            </w:pPr>
            <w:r w:rsidRPr="00512D7B">
              <w:t>Patient must have progressive disease after only one prior therapy (i.e. use must be as second-line drug therapy; use as third-line drug therapy or beyond is not PBS-subsidised).</w:t>
            </w:r>
          </w:p>
        </w:tc>
      </w:tr>
      <w:tr w:rsidR="00155835" w:rsidRPr="00512D7B" w14:paraId="5F9CB232" w14:textId="77777777" w:rsidTr="00155835">
        <w:tblPrEx>
          <w:tblCellMar>
            <w:top w:w="15" w:type="dxa"/>
            <w:bottom w:w="15" w:type="dxa"/>
          </w:tblCellMar>
          <w:tblLook w:val="04A0" w:firstRow="1" w:lastRow="0" w:firstColumn="1" w:lastColumn="0" w:noHBand="0" w:noVBand="1"/>
        </w:tblPrEx>
        <w:trPr>
          <w:cantSplit/>
          <w:trHeight w:val="36"/>
        </w:trPr>
        <w:tc>
          <w:tcPr>
            <w:tcW w:w="5000" w:type="pct"/>
            <w:gridSpan w:val="4"/>
            <w:tcBorders>
              <w:top w:val="double" w:sz="4" w:space="0" w:color="auto"/>
            </w:tcBorders>
            <w:vAlign w:val="center"/>
          </w:tcPr>
          <w:p w14:paraId="68C16DC3" w14:textId="7438E002" w:rsidR="00155835" w:rsidRPr="00512D7B" w:rsidRDefault="00155835" w:rsidP="006321E5">
            <w:pPr>
              <w:pStyle w:val="COMTabletext"/>
              <w:keepLines w:val="0"/>
              <w:rPr>
                <w:b/>
              </w:rPr>
            </w:pPr>
            <w:r w:rsidRPr="00512D7B">
              <w:rPr>
                <w:b/>
              </w:rPr>
              <w:t>Treatment Phase:</w:t>
            </w:r>
            <w:r w:rsidRPr="00512D7B">
              <w:t xml:space="preserve"> </w:t>
            </w:r>
            <w:r w:rsidRPr="00512D7B">
              <w:rPr>
                <w:bCs w:val="0"/>
              </w:rPr>
              <w:t>Continuing treatment of second-line drug therapy from week 25 until disease progression</w:t>
            </w:r>
          </w:p>
        </w:tc>
      </w:tr>
      <w:tr w:rsidR="00D66D34" w:rsidRPr="00512D7B" w14:paraId="2B714910"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1649E20A" w14:textId="7A573DC6" w:rsidR="00D66D34" w:rsidRPr="00512D7B" w:rsidRDefault="00D66D34" w:rsidP="006321E5">
            <w:pPr>
              <w:pStyle w:val="COMTabletext"/>
              <w:keepLines w:val="0"/>
              <w:rPr>
                <w:b/>
              </w:rPr>
            </w:pPr>
            <w:r w:rsidRPr="00512D7B">
              <w:rPr>
                <w:b/>
              </w:rPr>
              <w:t xml:space="preserve">Restriction type: </w:t>
            </w:r>
            <w:r w:rsidRPr="00512D7B">
              <w:rPr>
                <w:rFonts w:eastAsia="Times New Roman"/>
              </w:rPr>
              <w:fldChar w:fldCharType="begin">
                <w:ffData>
                  <w:name w:val=""/>
                  <w:enabled/>
                  <w:calcOnExit w:val="0"/>
                  <w:checkBox>
                    <w:sizeAuto/>
                    <w:default w:val="1"/>
                  </w:checkBox>
                </w:ffData>
              </w:fldChar>
            </w:r>
            <w:r w:rsidRPr="00512D7B">
              <w:rPr>
                <w:rFonts w:eastAsia="Times New Roman"/>
              </w:rPr>
              <w:instrText xml:space="preserve"> FORMCHECKBOX </w:instrText>
            </w:r>
            <w:r w:rsidRPr="00512D7B">
              <w:rPr>
                <w:rFonts w:eastAsia="Times New Roman"/>
              </w:rPr>
            </w:r>
            <w:r w:rsidRPr="00512D7B">
              <w:rPr>
                <w:rFonts w:eastAsia="Times New Roman"/>
              </w:rPr>
              <w:fldChar w:fldCharType="separate"/>
            </w:r>
            <w:r w:rsidRPr="00512D7B">
              <w:rPr>
                <w:rFonts w:eastAsia="Times New Roman"/>
              </w:rPr>
              <w:fldChar w:fldCharType="end"/>
            </w:r>
            <w:r w:rsidRPr="00512D7B">
              <w:rPr>
                <w:rFonts w:eastAsia="Times New Roman"/>
              </w:rPr>
              <w:t>Authority Required (</w:t>
            </w:r>
            <w:r w:rsidR="002A56AB" w:rsidRPr="00512D7B">
              <w:rPr>
                <w:rFonts w:eastAsia="Times New Roman"/>
                <w:i/>
                <w:iCs/>
              </w:rPr>
              <w:t>STREAMLINED</w:t>
            </w:r>
            <w:r w:rsidRPr="00512D7B">
              <w:rPr>
                <w:rFonts w:eastAsia="Times New Roman"/>
              </w:rPr>
              <w:t>)</w:t>
            </w:r>
          </w:p>
        </w:tc>
      </w:tr>
      <w:tr w:rsidR="00155835" w:rsidRPr="00512D7B" w14:paraId="4667DC07"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57327964" w14:textId="351F3423" w:rsidR="00155835" w:rsidRPr="00512D7B" w:rsidRDefault="00155835" w:rsidP="006321E5">
            <w:pPr>
              <w:pStyle w:val="COMTabletext"/>
              <w:keepLines w:val="0"/>
              <w:rPr>
                <w:b/>
              </w:rPr>
            </w:pPr>
            <w:r w:rsidRPr="00512D7B">
              <w:rPr>
                <w:b/>
              </w:rPr>
              <w:t>Clinical criteria:</w:t>
            </w:r>
          </w:p>
        </w:tc>
      </w:tr>
      <w:tr w:rsidR="00155835" w:rsidRPr="00512D7B" w14:paraId="109C75E6"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45F63001" w14:textId="4335D70B" w:rsidR="00155835" w:rsidRPr="00512D7B" w:rsidRDefault="00155835" w:rsidP="006321E5">
            <w:pPr>
              <w:pStyle w:val="COMTabletext"/>
              <w:keepLines w:val="0"/>
              <w:rPr>
                <w:b/>
              </w:rPr>
            </w:pPr>
            <w:r w:rsidRPr="00512D7B">
              <w:t>Patient must have previously received PBS-subsidised treatment with this drug for this condition,</w:t>
            </w:r>
          </w:p>
        </w:tc>
      </w:tr>
      <w:tr w:rsidR="00155835" w:rsidRPr="00512D7B" w14:paraId="0BB0115E"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52E73A2F" w14:textId="76C6AB3E" w:rsidR="00155835" w:rsidRPr="00512D7B" w:rsidRDefault="00155835" w:rsidP="006321E5">
            <w:pPr>
              <w:pStyle w:val="COMTabletext"/>
              <w:keepLines w:val="0"/>
              <w:rPr>
                <w:b/>
              </w:rPr>
            </w:pPr>
            <w:r w:rsidRPr="00512D7B">
              <w:rPr>
                <w:b/>
              </w:rPr>
              <w:t>AND</w:t>
            </w:r>
          </w:p>
        </w:tc>
      </w:tr>
      <w:tr w:rsidR="00155835" w:rsidRPr="00512D7B" w14:paraId="30CA1CD8"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06C438F7" w14:textId="3EA452A6" w:rsidR="00155835" w:rsidRPr="00512D7B" w:rsidRDefault="00155835" w:rsidP="006321E5">
            <w:pPr>
              <w:pStyle w:val="COMTabletext"/>
              <w:keepLines w:val="0"/>
              <w:rPr>
                <w:b/>
              </w:rPr>
            </w:pPr>
            <w:r w:rsidRPr="00512D7B">
              <w:rPr>
                <w:b/>
              </w:rPr>
              <w:t>Clinical criteria:</w:t>
            </w:r>
          </w:p>
        </w:tc>
      </w:tr>
      <w:tr w:rsidR="00155835" w:rsidRPr="00512D7B" w14:paraId="02F0F48B" w14:textId="77777777" w:rsidTr="00155835">
        <w:tblPrEx>
          <w:tblCellMar>
            <w:top w:w="15" w:type="dxa"/>
            <w:bottom w:w="15" w:type="dxa"/>
          </w:tblCellMar>
          <w:tblLook w:val="04A0" w:firstRow="1" w:lastRow="0" w:firstColumn="1" w:lastColumn="0" w:noHBand="0" w:noVBand="1"/>
        </w:tblPrEx>
        <w:trPr>
          <w:cantSplit/>
          <w:trHeight w:val="36"/>
        </w:trPr>
        <w:tc>
          <w:tcPr>
            <w:tcW w:w="5000" w:type="pct"/>
            <w:gridSpan w:val="4"/>
            <w:tcBorders>
              <w:bottom w:val="double" w:sz="4" w:space="0" w:color="auto"/>
            </w:tcBorders>
            <w:vAlign w:val="center"/>
          </w:tcPr>
          <w:p w14:paraId="194EE697" w14:textId="5A3CD670" w:rsidR="00155835" w:rsidRPr="00512D7B" w:rsidRDefault="00155835" w:rsidP="006321E5">
            <w:pPr>
              <w:pStyle w:val="COMTabletext"/>
              <w:keepLines w:val="0"/>
              <w:rPr>
                <w:b/>
              </w:rPr>
            </w:pPr>
            <w:r w:rsidRPr="00512D7B">
              <w:t>Patient must not have developed disease progression while receiving treatment with this drug for this condition.</w:t>
            </w:r>
          </w:p>
        </w:tc>
      </w:tr>
      <w:tr w:rsidR="00155835" w:rsidRPr="00512D7B" w14:paraId="3F33479C" w14:textId="77777777" w:rsidTr="00155835">
        <w:tblPrEx>
          <w:tblCellMar>
            <w:top w:w="15" w:type="dxa"/>
            <w:bottom w:w="15" w:type="dxa"/>
          </w:tblCellMar>
          <w:tblLook w:val="04A0" w:firstRow="1" w:lastRow="0" w:firstColumn="1" w:lastColumn="0" w:noHBand="0" w:noVBand="1"/>
        </w:tblPrEx>
        <w:trPr>
          <w:cantSplit/>
          <w:trHeight w:val="36"/>
        </w:trPr>
        <w:tc>
          <w:tcPr>
            <w:tcW w:w="5000" w:type="pct"/>
            <w:gridSpan w:val="4"/>
            <w:tcBorders>
              <w:top w:val="double" w:sz="4" w:space="0" w:color="auto"/>
            </w:tcBorders>
            <w:vAlign w:val="center"/>
          </w:tcPr>
          <w:p w14:paraId="2F50860C" w14:textId="735B0FA8" w:rsidR="00155835" w:rsidRPr="00512D7B" w:rsidRDefault="00155835" w:rsidP="006321E5">
            <w:pPr>
              <w:pStyle w:val="COMTabletext"/>
              <w:keepLines w:val="0"/>
              <w:rPr>
                <w:b/>
              </w:rPr>
            </w:pPr>
            <w:r w:rsidRPr="00512D7B">
              <w:rPr>
                <w:b/>
              </w:rPr>
              <w:t>Treatment Phase:</w:t>
            </w:r>
            <w:r w:rsidRPr="00512D7B">
              <w:t xml:space="preserve"> </w:t>
            </w:r>
            <w:r w:rsidRPr="00512D7B">
              <w:rPr>
                <w:bCs w:val="0"/>
              </w:rPr>
              <w:t>Grandfathered treatment - transitioning from non-PBS to PBS subsidised supply</w:t>
            </w:r>
          </w:p>
        </w:tc>
      </w:tr>
      <w:tr w:rsidR="00155835" w:rsidRPr="00512D7B" w14:paraId="4B74A5EE"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28B539BC" w14:textId="28EA434C" w:rsidR="00155835" w:rsidRPr="00512D7B" w:rsidRDefault="00155835" w:rsidP="006321E5">
            <w:pPr>
              <w:pStyle w:val="COMTabletext"/>
              <w:keepLines w:val="0"/>
              <w:rPr>
                <w:b/>
              </w:rPr>
            </w:pPr>
            <w:r w:rsidRPr="00512D7B">
              <w:rPr>
                <w:b/>
              </w:rPr>
              <w:t xml:space="preserve">Restriction type: </w:t>
            </w:r>
            <w:r w:rsidRPr="00512D7B">
              <w:rPr>
                <w:rFonts w:eastAsia="Times New Roman"/>
              </w:rPr>
              <w:fldChar w:fldCharType="begin">
                <w:ffData>
                  <w:name w:val="Check3"/>
                  <w:enabled/>
                  <w:calcOnExit w:val="0"/>
                  <w:checkBox>
                    <w:sizeAuto/>
                    <w:default w:val="1"/>
                  </w:checkBox>
                </w:ffData>
              </w:fldChar>
            </w:r>
            <w:r w:rsidRPr="00512D7B">
              <w:rPr>
                <w:rFonts w:eastAsia="Times New Roman"/>
              </w:rPr>
              <w:instrText xml:space="preserve"> FORMCHECKBOX </w:instrText>
            </w:r>
            <w:r w:rsidRPr="00512D7B">
              <w:rPr>
                <w:rFonts w:eastAsia="Times New Roman"/>
              </w:rPr>
            </w:r>
            <w:r w:rsidRPr="00512D7B">
              <w:rPr>
                <w:rFonts w:eastAsia="Times New Roman"/>
              </w:rPr>
              <w:fldChar w:fldCharType="separate"/>
            </w:r>
            <w:r w:rsidRPr="00512D7B">
              <w:rPr>
                <w:rFonts w:eastAsia="Times New Roman"/>
              </w:rPr>
              <w:fldChar w:fldCharType="end"/>
            </w:r>
            <w:r w:rsidRPr="00512D7B">
              <w:rPr>
                <w:rFonts w:eastAsia="Times New Roman"/>
              </w:rPr>
              <w:t>Authority Required (STREAMLINED)</w:t>
            </w:r>
          </w:p>
        </w:tc>
      </w:tr>
      <w:tr w:rsidR="00155835" w:rsidRPr="00512D7B" w14:paraId="3FEDC2E5"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18599675" w14:textId="0774A2A3" w:rsidR="00155835" w:rsidRPr="00512D7B" w:rsidRDefault="00155835" w:rsidP="006321E5">
            <w:pPr>
              <w:pStyle w:val="COMTabletext"/>
              <w:keepLines w:val="0"/>
              <w:rPr>
                <w:b/>
              </w:rPr>
            </w:pPr>
            <w:r w:rsidRPr="00512D7B">
              <w:rPr>
                <w:b/>
              </w:rPr>
              <w:t>Clinical criteria:</w:t>
            </w:r>
          </w:p>
        </w:tc>
      </w:tr>
      <w:tr w:rsidR="00155835" w:rsidRPr="00512D7B" w14:paraId="65783DA1"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75CA1AEF" w14:textId="208FEB68" w:rsidR="00155835" w:rsidRPr="00512D7B" w:rsidRDefault="00155835" w:rsidP="006321E5">
            <w:pPr>
              <w:pStyle w:val="COMTabletext"/>
              <w:keepLines w:val="0"/>
              <w:rPr>
                <w:b/>
              </w:rPr>
            </w:pPr>
            <w:r w:rsidRPr="00512D7B">
              <w:t xml:space="preserve">Patient must have received non-PBS-subsidised treatment with this drug for this condition prior to </w:t>
            </w:r>
            <w:r w:rsidRPr="00512D7B">
              <w:rPr>
                <w:i/>
                <w:iCs/>
              </w:rPr>
              <w:t>[insert listing date</w:t>
            </w:r>
            <w:r w:rsidRPr="00512D7B">
              <w:t xml:space="preserve"> </w:t>
            </w:r>
            <w:r w:rsidRPr="00512D7B">
              <w:rPr>
                <w:i/>
                <w:iCs/>
              </w:rPr>
              <w:t>here]</w:t>
            </w:r>
            <w:r w:rsidRPr="00512D7B">
              <w:t>,</w:t>
            </w:r>
          </w:p>
        </w:tc>
      </w:tr>
      <w:tr w:rsidR="00155835" w:rsidRPr="00512D7B" w14:paraId="5978DE07"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6C2B701C" w14:textId="4C46C45B" w:rsidR="00155835" w:rsidRPr="00512D7B" w:rsidRDefault="00155835" w:rsidP="006321E5">
            <w:pPr>
              <w:pStyle w:val="COMTabletext"/>
              <w:keepLines w:val="0"/>
              <w:rPr>
                <w:b/>
              </w:rPr>
            </w:pPr>
            <w:r w:rsidRPr="00512D7B">
              <w:rPr>
                <w:b/>
              </w:rPr>
              <w:t>AND</w:t>
            </w:r>
          </w:p>
        </w:tc>
      </w:tr>
      <w:tr w:rsidR="00155835" w:rsidRPr="00512D7B" w14:paraId="4A80E59B"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1E8E0C77" w14:textId="51E7AD27" w:rsidR="00155835" w:rsidRPr="00512D7B" w:rsidRDefault="00155835" w:rsidP="006321E5">
            <w:pPr>
              <w:pStyle w:val="COMTabletext"/>
              <w:keepLines w:val="0"/>
              <w:rPr>
                <w:b/>
              </w:rPr>
            </w:pPr>
            <w:r w:rsidRPr="00512D7B">
              <w:rPr>
                <w:b/>
              </w:rPr>
              <w:t>Clinical criteria:</w:t>
            </w:r>
          </w:p>
        </w:tc>
      </w:tr>
      <w:tr w:rsidR="00155835" w:rsidRPr="00512D7B" w14:paraId="2221DD92"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5539B6AD" w14:textId="3FEA7FB1" w:rsidR="00155835" w:rsidRPr="00512D7B" w:rsidRDefault="00155835" w:rsidP="006321E5">
            <w:pPr>
              <w:pStyle w:val="COMTabletext"/>
              <w:keepLines w:val="0"/>
              <w:rPr>
                <w:b/>
              </w:rPr>
            </w:pPr>
            <w:r w:rsidRPr="00512D7B">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and (iii) the condition progressed (see definition of progressive disease below) after one prior therapy, but not after more than two prior lines of therapies (i.e. this drug was commenced as second-line treatment),</w:t>
            </w:r>
          </w:p>
        </w:tc>
      </w:tr>
      <w:tr w:rsidR="00155835" w:rsidRPr="00512D7B" w14:paraId="7F3E6FC5"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4B75BF73" w14:textId="223190EE" w:rsidR="00155835" w:rsidRPr="00512D7B" w:rsidRDefault="00155835" w:rsidP="006321E5">
            <w:pPr>
              <w:pStyle w:val="COMTabletext"/>
              <w:keepLines w:val="0"/>
              <w:rPr>
                <w:b/>
              </w:rPr>
            </w:pPr>
            <w:r w:rsidRPr="00512D7B">
              <w:rPr>
                <w:b/>
              </w:rPr>
              <w:t>AND</w:t>
            </w:r>
          </w:p>
        </w:tc>
      </w:tr>
      <w:tr w:rsidR="00155835" w:rsidRPr="00512D7B" w14:paraId="6DAE0EC2" w14:textId="77777777" w:rsidTr="00D66D34">
        <w:tblPrEx>
          <w:tblCellMar>
            <w:top w:w="15" w:type="dxa"/>
            <w:bottom w:w="15" w:type="dxa"/>
          </w:tblCellMar>
          <w:tblLook w:val="04A0" w:firstRow="1" w:lastRow="0" w:firstColumn="1" w:lastColumn="0" w:noHBand="0" w:noVBand="1"/>
        </w:tblPrEx>
        <w:trPr>
          <w:cantSplit/>
          <w:trHeight w:val="36"/>
        </w:trPr>
        <w:tc>
          <w:tcPr>
            <w:tcW w:w="5000" w:type="pct"/>
            <w:gridSpan w:val="4"/>
            <w:vAlign w:val="center"/>
          </w:tcPr>
          <w:p w14:paraId="1C5B17D5" w14:textId="6291B5F4" w:rsidR="00155835" w:rsidRPr="00512D7B" w:rsidRDefault="00155835" w:rsidP="006321E5">
            <w:pPr>
              <w:pStyle w:val="COMTabletext"/>
              <w:keepLines w:val="0"/>
              <w:rPr>
                <w:b/>
              </w:rPr>
            </w:pPr>
            <w:r w:rsidRPr="00512D7B">
              <w:rPr>
                <w:b/>
              </w:rPr>
              <w:lastRenderedPageBreak/>
              <w:t>Clinical criteria:</w:t>
            </w:r>
          </w:p>
        </w:tc>
      </w:tr>
      <w:tr w:rsidR="00155835" w:rsidRPr="00512D7B" w14:paraId="31757D52" w14:textId="77777777" w:rsidTr="00155835">
        <w:tblPrEx>
          <w:tblCellMar>
            <w:top w:w="15" w:type="dxa"/>
            <w:bottom w:w="15" w:type="dxa"/>
          </w:tblCellMar>
          <w:tblLook w:val="04A0" w:firstRow="1" w:lastRow="0" w:firstColumn="1" w:lastColumn="0" w:noHBand="0" w:noVBand="1"/>
        </w:tblPrEx>
        <w:trPr>
          <w:cantSplit/>
          <w:trHeight w:val="36"/>
        </w:trPr>
        <w:tc>
          <w:tcPr>
            <w:tcW w:w="5000" w:type="pct"/>
            <w:gridSpan w:val="4"/>
            <w:tcBorders>
              <w:bottom w:val="double" w:sz="4" w:space="0" w:color="auto"/>
            </w:tcBorders>
            <w:vAlign w:val="center"/>
          </w:tcPr>
          <w:p w14:paraId="4506D065" w14:textId="0AFE3406" w:rsidR="00155835" w:rsidRPr="00512D7B" w:rsidRDefault="00155835" w:rsidP="006321E5">
            <w:pPr>
              <w:pStyle w:val="COMTabletext"/>
              <w:keepLines w:val="0"/>
              <w:rPr>
                <w:b/>
              </w:rPr>
            </w:pPr>
            <w:r w:rsidRPr="00512D7B">
              <w:t>Patient must not have developed disease progression while receiving treatment with this drug for this condition.</w:t>
            </w:r>
          </w:p>
        </w:tc>
      </w:tr>
      <w:tr w:rsidR="00432C8F" w:rsidRPr="00512D7B" w14:paraId="1E0CC9FB" w14:textId="77777777" w:rsidTr="00432C8F">
        <w:tblPrEx>
          <w:tblCellMar>
            <w:top w:w="15" w:type="dxa"/>
            <w:bottom w:w="15" w:type="dxa"/>
          </w:tblCellMar>
          <w:tblLook w:val="04A0" w:firstRow="1" w:lastRow="0" w:firstColumn="1" w:lastColumn="0" w:noHBand="0" w:noVBand="1"/>
        </w:tblPrEx>
        <w:trPr>
          <w:cantSplit/>
          <w:trHeight w:val="170"/>
        </w:trPr>
        <w:tc>
          <w:tcPr>
            <w:tcW w:w="5000" w:type="pct"/>
            <w:gridSpan w:val="4"/>
            <w:tcBorders>
              <w:top w:val="double" w:sz="4" w:space="0" w:color="auto"/>
            </w:tcBorders>
            <w:vAlign w:val="center"/>
            <w:hideMark/>
          </w:tcPr>
          <w:p w14:paraId="6E11057F" w14:textId="6C726547" w:rsidR="00432C8F" w:rsidRPr="00512D7B" w:rsidRDefault="00432C8F" w:rsidP="006321E5">
            <w:pPr>
              <w:pStyle w:val="COMTabletext"/>
              <w:keepLines w:val="0"/>
            </w:pPr>
            <w:r w:rsidRPr="00512D7B">
              <w:rPr>
                <w:b/>
              </w:rPr>
              <w:t>Prescribing instructions:</w:t>
            </w:r>
          </w:p>
        </w:tc>
      </w:tr>
      <w:tr w:rsidR="00432C8F" w:rsidRPr="00512D7B" w14:paraId="60156A8A"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9BC3009" w14:textId="77777777" w:rsidR="00432C8F" w:rsidRPr="00512D7B" w:rsidRDefault="00432C8F" w:rsidP="006321E5">
            <w:pPr>
              <w:pStyle w:val="COMTabletext"/>
              <w:keepLines w:val="0"/>
              <w:rPr>
                <w:bCs w:val="0"/>
              </w:rPr>
            </w:pPr>
            <w:r w:rsidRPr="00512D7B">
              <w:rPr>
                <w:bCs w:val="0"/>
              </w:rPr>
              <w:t xml:space="preserve">Progressive disease is defined as at least one of the following: </w:t>
            </w:r>
          </w:p>
          <w:p w14:paraId="338B9F23" w14:textId="77777777" w:rsidR="00432C8F" w:rsidRPr="00512D7B" w:rsidRDefault="00432C8F" w:rsidP="006321E5">
            <w:pPr>
              <w:pStyle w:val="COMTabletext"/>
              <w:keepLines w:val="0"/>
              <w:rPr>
                <w:bCs w:val="0"/>
              </w:rPr>
            </w:pPr>
            <w:r w:rsidRPr="00512D7B">
              <w:rPr>
                <w:bCs w:val="0"/>
              </w:rPr>
              <w:t xml:space="preserve">(a) at least a 25% increase and an absolute increase of at least 5 g per L in serum M-protein (monoclonal protein); or </w:t>
            </w:r>
          </w:p>
          <w:p w14:paraId="0E64E1B4" w14:textId="20A96018" w:rsidR="00432C8F" w:rsidRPr="00512D7B" w:rsidRDefault="00432C8F" w:rsidP="006321E5">
            <w:pPr>
              <w:pStyle w:val="COMTabletext"/>
              <w:keepLines w:val="0"/>
              <w:rPr>
                <w:bCs w:val="0"/>
              </w:rPr>
            </w:pPr>
            <w:r w:rsidRPr="00512D7B">
              <w:rPr>
                <w:bCs w:val="0"/>
              </w:rPr>
              <w:t>(b) at least a 25% increase in 24-hour urinary light chain M-protein extraction, and an absolute increase of at least 200</w:t>
            </w:r>
            <w:r w:rsidR="003C2367" w:rsidRPr="00512D7B">
              <w:rPr>
                <w:bCs w:val="0"/>
              </w:rPr>
              <w:t> mg</w:t>
            </w:r>
            <w:r w:rsidRPr="00512D7B">
              <w:rPr>
                <w:bCs w:val="0"/>
              </w:rPr>
              <w:t xml:space="preserve"> per 24 hours; or </w:t>
            </w:r>
          </w:p>
          <w:p w14:paraId="4F335DA7" w14:textId="77777777" w:rsidR="00432C8F" w:rsidRPr="00512D7B" w:rsidRDefault="00432C8F" w:rsidP="006321E5">
            <w:pPr>
              <w:pStyle w:val="COMTabletext"/>
              <w:keepLines w:val="0"/>
              <w:rPr>
                <w:bCs w:val="0"/>
              </w:rPr>
            </w:pPr>
            <w:r w:rsidRPr="00512D7B">
              <w:rPr>
                <w:bCs w:val="0"/>
              </w:rPr>
              <w:t xml:space="preserve">(c) in oligo-secretory and non-secretory myeloma patients only, at least 50% increase in the difference between involved free light chain and uninvolved free light chain; or </w:t>
            </w:r>
          </w:p>
          <w:p w14:paraId="009CB068" w14:textId="77777777" w:rsidR="00432C8F" w:rsidRPr="00512D7B" w:rsidRDefault="00432C8F" w:rsidP="006321E5">
            <w:pPr>
              <w:pStyle w:val="COMTabletext"/>
              <w:keepLines w:val="0"/>
              <w:rPr>
                <w:bCs w:val="0"/>
              </w:rPr>
            </w:pPr>
            <w:r w:rsidRPr="00512D7B">
              <w:rPr>
                <w:bCs w:val="0"/>
              </w:rPr>
              <w:t>(d) at least a 25% relative increase and at least a 10% absolute increase in plasma cells in a bone marrow aspirate or on biopsy; or</w:t>
            </w:r>
          </w:p>
          <w:p w14:paraId="16282601" w14:textId="77777777" w:rsidR="00432C8F" w:rsidRPr="00512D7B" w:rsidRDefault="00432C8F" w:rsidP="006321E5">
            <w:pPr>
              <w:pStyle w:val="COMTabletext"/>
              <w:keepLines w:val="0"/>
              <w:rPr>
                <w:bCs w:val="0"/>
              </w:rPr>
            </w:pPr>
            <w:r w:rsidRPr="00512D7B">
              <w:rPr>
                <w:bCs w:val="0"/>
              </w:rPr>
              <w:t xml:space="preserve">(e) an increase in the size or number of lytic bone lesions (not including compression fractures); or </w:t>
            </w:r>
          </w:p>
          <w:p w14:paraId="1D46ABE4" w14:textId="77777777" w:rsidR="00432C8F" w:rsidRPr="00512D7B" w:rsidRDefault="00432C8F" w:rsidP="006321E5">
            <w:pPr>
              <w:pStyle w:val="COMTabletext"/>
              <w:keepLines w:val="0"/>
              <w:rPr>
                <w:bCs w:val="0"/>
              </w:rPr>
            </w:pPr>
            <w:r w:rsidRPr="00512D7B">
              <w:rPr>
                <w:bCs w:val="0"/>
              </w:rPr>
              <w:t>(f) at least a 25% increase in the size of an existing or the development of a new soft tissue plasmacytoma (determined by clinical examination or diagnostic imaging); or</w:t>
            </w:r>
          </w:p>
          <w:p w14:paraId="3B3CF94C" w14:textId="77777777" w:rsidR="00432C8F" w:rsidRPr="00512D7B" w:rsidRDefault="00432C8F" w:rsidP="006321E5">
            <w:pPr>
              <w:pStyle w:val="COMTabletext"/>
              <w:keepLines w:val="0"/>
              <w:rPr>
                <w:bCs w:val="0"/>
              </w:rPr>
            </w:pPr>
            <w:r w:rsidRPr="00512D7B">
              <w:rPr>
                <w:bCs w:val="0"/>
              </w:rPr>
              <w:t>(g) development of hypercalcaemia (corrected serum calcium greater than 2.65 mmol per L not attributable to any other cause).</w:t>
            </w:r>
          </w:p>
          <w:p w14:paraId="2D34A1EE" w14:textId="77777777" w:rsidR="00432C8F" w:rsidRPr="00512D7B" w:rsidRDefault="00432C8F" w:rsidP="006321E5">
            <w:pPr>
              <w:pStyle w:val="COMTabletext"/>
              <w:keepLines w:val="0"/>
              <w:rPr>
                <w:bCs w:val="0"/>
              </w:rPr>
            </w:pPr>
          </w:p>
          <w:p w14:paraId="5734E400" w14:textId="77777777" w:rsidR="00432C8F" w:rsidRPr="00512D7B" w:rsidRDefault="00432C8F" w:rsidP="006321E5">
            <w:pPr>
              <w:pStyle w:val="COMTabletext"/>
              <w:keepLines w:val="0"/>
              <w:rPr>
                <w:bCs w:val="0"/>
              </w:rPr>
            </w:pPr>
            <w:r w:rsidRPr="00512D7B">
              <w:rPr>
                <w:bCs w:val="0"/>
              </w:rPr>
              <w:t>Oligo-secretory and non-secretory patients are defined as having active disease with less than 10 g per L serum M protein.</w:t>
            </w:r>
          </w:p>
          <w:p w14:paraId="231BCB37" w14:textId="77777777" w:rsidR="00432C8F" w:rsidRPr="00512D7B" w:rsidRDefault="00432C8F" w:rsidP="006321E5">
            <w:pPr>
              <w:pStyle w:val="COMTabletext"/>
              <w:keepLines w:val="0"/>
              <w:rPr>
                <w:bCs w:val="0"/>
              </w:rPr>
            </w:pPr>
          </w:p>
          <w:p w14:paraId="7C4FB014" w14:textId="77777777" w:rsidR="00432C8F" w:rsidRPr="00512D7B" w:rsidRDefault="00432C8F" w:rsidP="006321E5">
            <w:pPr>
              <w:pStyle w:val="COMTabletext"/>
              <w:keepLines w:val="0"/>
              <w:rPr>
                <w:bCs w:val="0"/>
              </w:rPr>
            </w:pPr>
            <w:r w:rsidRPr="00512D7B">
              <w:rPr>
                <w:bCs w:val="0"/>
              </w:rPr>
              <w:t>A line of therapy is defined as 1 or more cycles of a planned treatment program. This may consist of 1 or more planned cycles of single-agent therapy or combination therapy, as well as a sequence of treatments administered in a planned manner.</w:t>
            </w:r>
          </w:p>
          <w:p w14:paraId="1822EAD3" w14:textId="77777777" w:rsidR="00432C8F" w:rsidRPr="00512D7B" w:rsidRDefault="00432C8F" w:rsidP="006321E5">
            <w:pPr>
              <w:pStyle w:val="COMTabletext"/>
              <w:keepLines w:val="0"/>
              <w:rPr>
                <w:bCs w:val="0"/>
              </w:rPr>
            </w:pPr>
          </w:p>
          <w:p w14:paraId="57D34BF2" w14:textId="0E97685D" w:rsidR="00432C8F" w:rsidRPr="00512D7B" w:rsidRDefault="00432C8F" w:rsidP="006321E5">
            <w:pPr>
              <w:pStyle w:val="COMTabletext"/>
              <w:keepLines w:val="0"/>
            </w:pPr>
            <w:r w:rsidRPr="00512D7B">
              <w:rPr>
                <w:bCs w:val="0"/>
              </w:rPr>
              <w:t xml:space="preserve">A new line of therapy starts when a planned course of therapy is modified to include other treatment agents (alone or in combination) </w:t>
            </w:r>
            <w:proofErr w:type="gramStart"/>
            <w:r w:rsidRPr="00512D7B">
              <w:rPr>
                <w:bCs w:val="0"/>
              </w:rPr>
              <w:t>as a result of</w:t>
            </w:r>
            <w:proofErr w:type="gramEnd"/>
            <w:r w:rsidRPr="00512D7B">
              <w:rPr>
                <w:bCs w:val="0"/>
              </w:rPr>
              <w:t xml:space="preserve">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432C8F" w:rsidRPr="00512D7B" w14:paraId="3D008ABE" w14:textId="77777777" w:rsidTr="003A4C1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20821AB" w14:textId="5CCFBB1A" w:rsidR="00432C8F" w:rsidRPr="00512D7B" w:rsidRDefault="00432C8F" w:rsidP="006321E5">
            <w:pPr>
              <w:pStyle w:val="COMTabletext"/>
              <w:keepLines w:val="0"/>
            </w:pPr>
            <w:r w:rsidRPr="00512D7B">
              <w:rPr>
                <w:b/>
              </w:rPr>
              <w:t>Administrative advice:</w:t>
            </w:r>
          </w:p>
        </w:tc>
      </w:tr>
    </w:tbl>
    <w:bookmarkEnd w:id="11"/>
    <w:p w14:paraId="23686FD2" w14:textId="3626CED9" w:rsidR="00D702E5" w:rsidRPr="00AC3F7C" w:rsidRDefault="00D702E5" w:rsidP="00F9393E">
      <w:pPr>
        <w:pStyle w:val="COMESnumberedpara"/>
      </w:pPr>
      <w:r w:rsidRPr="00AC3F7C">
        <w:t xml:space="preserve">The submission requested a special pricing arrangement, with an effective </w:t>
      </w:r>
      <w:r w:rsidR="00AD43D1" w:rsidRPr="00AC3F7C">
        <w:t>ex-manufacturer price (EMP) of $</w:t>
      </w:r>
      <w:r w:rsidR="0040410B" w:rsidRPr="0040410B">
        <w:rPr>
          <w:highlight w:val="black"/>
        </w:rPr>
        <w:t>&amp;&amp;&amp;&amp;</w:t>
      </w:r>
      <w:r w:rsidR="00AD43D1" w:rsidRPr="00AC3F7C">
        <w:t xml:space="preserve"> per 70 mg vial and $</w:t>
      </w:r>
      <w:r w:rsidR="0040410B" w:rsidRPr="0040410B">
        <w:rPr>
          <w:highlight w:val="black"/>
        </w:rPr>
        <w:t>&amp;&amp;&amp;&amp;</w:t>
      </w:r>
      <w:r w:rsidR="00AD43D1" w:rsidRPr="00AC3F7C">
        <w:t xml:space="preserve"> per 100 mg vial.</w:t>
      </w:r>
      <w:r w:rsidRPr="00AC3F7C">
        <w:t xml:space="preserve"> </w:t>
      </w:r>
    </w:p>
    <w:p w14:paraId="68C66ADF" w14:textId="49775957" w:rsidR="00F07775" w:rsidRPr="00AC3F7C" w:rsidRDefault="00D702E5" w:rsidP="00F07775">
      <w:pPr>
        <w:pStyle w:val="COMESnumberedpara"/>
      </w:pPr>
      <w:r w:rsidRPr="00AC3F7C">
        <w:t xml:space="preserve">The submission proposed an Authority Required (Telephone/Online) Authority Required restriction for initial treatment, and an Authority Required (Streamlined) restriction for continuing treatment with belantamab mafodotin. </w:t>
      </w:r>
      <w:r w:rsidR="00F07775" w:rsidRPr="00AC3F7C">
        <w:t>Th</w:t>
      </w:r>
      <w:r w:rsidR="008A4D71">
        <w:t>e DUSC noted that th</w:t>
      </w:r>
      <w:r w:rsidR="00F07775" w:rsidRPr="00AC3F7C">
        <w:t>is was inconsistent with the PBS listing for daratumumab, which includes an Authority Required (Telephone/Online) restriction for the initial and continuing treatment phases.</w:t>
      </w:r>
    </w:p>
    <w:p w14:paraId="775098DC" w14:textId="04873A2B" w:rsidR="00F07775" w:rsidRPr="00AC3F7C" w:rsidRDefault="00F07775" w:rsidP="00F07775">
      <w:pPr>
        <w:pStyle w:val="COMESnumberedpara"/>
      </w:pPr>
      <w:r w:rsidRPr="00AC3F7C">
        <w:t xml:space="preserve">The proposed listing is narrower than the proposed TGA indication, which includes second or later line treatment. While the limitation to second line only treatment is consistent with the PBS restriction for </w:t>
      </w:r>
      <w:r w:rsidR="002521AE" w:rsidRPr="00AC3F7C">
        <w:t>DBd</w:t>
      </w:r>
      <w:r w:rsidRPr="00AC3F7C">
        <w:t xml:space="preserve">, </w:t>
      </w:r>
      <w:r w:rsidR="00E85338" w:rsidRPr="00AC3F7C">
        <w:t xml:space="preserve">the evaluation considered that </w:t>
      </w:r>
      <w:r w:rsidRPr="00AC3F7C">
        <w:t xml:space="preserve">it may not be reasonable to limit </w:t>
      </w:r>
      <w:r w:rsidR="00834591" w:rsidRPr="00AC3F7C">
        <w:t>BmBd</w:t>
      </w:r>
      <w:r w:rsidRPr="00AC3F7C">
        <w:t xml:space="preserve"> use to second line only, given that the DREAMM-7 trial included patients with one or more prior lines of therapy, </w:t>
      </w:r>
      <w:r w:rsidR="0051567C" w:rsidRPr="00AC3F7C">
        <w:t xml:space="preserve">and </w:t>
      </w:r>
      <w:r w:rsidR="00834591" w:rsidRPr="00AC3F7C">
        <w:t>BmBd</w:t>
      </w:r>
      <w:r w:rsidRPr="00AC3F7C">
        <w:t xml:space="preserve"> may be a useful treatment option for patients as a third or later line treatment, </w:t>
      </w:r>
      <w:r w:rsidR="00720CC3" w:rsidRPr="00AC3F7C">
        <w:t xml:space="preserve">particularly </w:t>
      </w:r>
      <w:r w:rsidR="00486D3D" w:rsidRPr="00AC3F7C">
        <w:t xml:space="preserve">prevalent patients </w:t>
      </w:r>
      <w:r w:rsidR="00720CC3" w:rsidRPr="00AC3F7C">
        <w:t xml:space="preserve">currently receiving </w:t>
      </w:r>
      <w:r w:rsidR="001C413B" w:rsidRPr="00AC3F7C">
        <w:t>DBd</w:t>
      </w:r>
      <w:r w:rsidR="00720CC3" w:rsidRPr="00AC3F7C">
        <w:t xml:space="preserve"> in the second-line setting. P</w:t>
      </w:r>
      <w:r w:rsidRPr="00AC3F7C">
        <w:t xml:space="preserve">atients who receive </w:t>
      </w:r>
      <w:r w:rsidR="002521AE" w:rsidRPr="00AC3F7C">
        <w:t>BmBd</w:t>
      </w:r>
      <w:r w:rsidRPr="00AC3F7C">
        <w:t xml:space="preserve"> in the second line setting will not be able to access PBS treatment with </w:t>
      </w:r>
      <w:r w:rsidR="001C413B" w:rsidRPr="00AC3F7C">
        <w:t>DBd</w:t>
      </w:r>
      <w:r w:rsidRPr="00AC3F7C">
        <w:t>.</w:t>
      </w:r>
      <w:r w:rsidR="003A28E7" w:rsidRPr="00AC3F7C">
        <w:t xml:space="preserve"> </w:t>
      </w:r>
      <w:r w:rsidR="00554349" w:rsidRPr="00AC3F7C">
        <w:t xml:space="preserve">Additionally, </w:t>
      </w:r>
      <w:r w:rsidR="002521AE" w:rsidRPr="00AC3F7C">
        <w:t>t</w:t>
      </w:r>
      <w:r w:rsidR="00554349" w:rsidRPr="00AC3F7C">
        <w:t xml:space="preserve">he recommendation </w:t>
      </w:r>
      <w:r w:rsidR="002521AE" w:rsidRPr="00AC3F7C">
        <w:t xml:space="preserve">for DBd </w:t>
      </w:r>
      <w:r w:rsidR="00554349" w:rsidRPr="00AC3F7C">
        <w:t xml:space="preserve">was made on the basis that daratumumab monotherapy would be made available on a compassionate basis to eligible multiple myeloma patients who have no other PBS-funded treatment options (paragraph 6.4, </w:t>
      </w:r>
      <w:r w:rsidR="00554349" w:rsidRPr="00AC3F7C">
        <w:lastRenderedPageBreak/>
        <w:t>daratumumab, Public Summary Document</w:t>
      </w:r>
      <w:r w:rsidR="0051567C" w:rsidRPr="00AC3F7C">
        <w:t xml:space="preserve"> </w:t>
      </w:r>
      <w:r w:rsidR="009936ED">
        <w:t>[</w:t>
      </w:r>
      <w:r w:rsidR="0051567C" w:rsidRPr="00AC3F7C">
        <w:t>PSD</w:t>
      </w:r>
      <w:r w:rsidR="009936ED">
        <w:t>]</w:t>
      </w:r>
      <w:r w:rsidR="00554349" w:rsidRPr="00AC3F7C">
        <w:t>, July 2020 PBAC meeting).</w:t>
      </w:r>
      <w:r w:rsidR="00E85338" w:rsidRPr="00AC3F7C">
        <w:t xml:space="preserve"> The </w:t>
      </w:r>
      <w:r w:rsidR="00C5642E" w:rsidRPr="00C5642E">
        <w:t xml:space="preserve">Pre-Sub-Committee Response </w:t>
      </w:r>
      <w:r w:rsidR="00C5642E">
        <w:t>(</w:t>
      </w:r>
      <w:r w:rsidR="00E85338" w:rsidRPr="00AC3F7C">
        <w:t>PSCR</w:t>
      </w:r>
      <w:r w:rsidR="00C5642E">
        <w:t>)</w:t>
      </w:r>
      <w:r w:rsidR="00E85338" w:rsidRPr="00AC3F7C">
        <w:t xml:space="preserve"> stated that the requested second line listing of BmBd ensured equitable access to superior therapies earlier in the treatment continuum. Given that BmBd demonstrated superiority over DBd, the </w:t>
      </w:r>
      <w:r w:rsidR="001D3118" w:rsidRPr="00AC3F7C">
        <w:t>PSCR</w:t>
      </w:r>
      <w:r w:rsidR="00E85338" w:rsidRPr="00AC3F7C">
        <w:t xml:space="preserve"> stated that the approach avoids the inequitable scenario of displacement of BmBd to later lines. The ESC considered that restricting BmBd to the second line setting did not align with the clinical trial</w:t>
      </w:r>
      <w:r w:rsidR="004A3158" w:rsidRPr="00AC3F7C">
        <w:t xml:space="preserve"> and </w:t>
      </w:r>
      <w:r w:rsidR="00E85338" w:rsidRPr="00AC3F7C">
        <w:t xml:space="preserve">did not align with </w:t>
      </w:r>
      <w:r w:rsidR="005C56D7" w:rsidRPr="00AC3F7C">
        <w:t>how clinicians would like to use MM therapies</w:t>
      </w:r>
      <w:r w:rsidR="004A3158" w:rsidRPr="00AC3F7C">
        <w:t>. T</w:t>
      </w:r>
      <w:r w:rsidR="00E85338" w:rsidRPr="00AC3F7C">
        <w:t>he Multiple Myeloma Stakeholder meeting (July 2025)</w:t>
      </w:r>
      <w:r w:rsidR="00E85338" w:rsidRPr="00AC3F7C">
        <w:rPr>
          <w:rStyle w:val="FootnoteReference"/>
        </w:rPr>
        <w:footnoteReference w:id="1"/>
      </w:r>
      <w:r w:rsidR="004A3158" w:rsidRPr="00AC3F7C">
        <w:t xml:space="preserve"> </w:t>
      </w:r>
      <w:r w:rsidR="006B1C5E" w:rsidRPr="00AC3F7C">
        <w:t xml:space="preserve">advised that </w:t>
      </w:r>
      <w:r w:rsidR="008B3CF8" w:rsidRPr="00AC3F7C">
        <w:t>treatment sequencing could be improved if determined by prior drug exposure rather than lines of therapy and that optimal care was an individualised approach</w:t>
      </w:r>
      <w:r w:rsidR="003638AB" w:rsidRPr="00AC3F7C">
        <w:t xml:space="preserve">. The ESC noted listing BmBd as a second line treatment </w:t>
      </w:r>
      <w:r w:rsidR="00E85338" w:rsidRPr="00AC3F7C">
        <w:t>would restrict patient access not only to BmBd, but to other therapies</w:t>
      </w:r>
      <w:r w:rsidR="003638AB" w:rsidRPr="00AC3F7C">
        <w:t xml:space="preserve"> (i.e., daratumumab and other BCMA</w:t>
      </w:r>
      <w:r w:rsidR="00F06C76" w:rsidRPr="00AC3F7C">
        <w:t>-directed</w:t>
      </w:r>
      <w:r w:rsidR="003638AB" w:rsidRPr="00AC3F7C">
        <w:t xml:space="preserve"> therapies)</w:t>
      </w:r>
      <w:r w:rsidR="00E85338" w:rsidRPr="00AC3F7C">
        <w:t>. The ESC considered that BmBd should be listed for the treatment of RRMM</w:t>
      </w:r>
      <w:r w:rsidR="00E26D67" w:rsidRPr="00AC3F7C">
        <w:t xml:space="preserve"> (</w:t>
      </w:r>
      <w:r w:rsidR="003638AB" w:rsidRPr="00AC3F7C">
        <w:t xml:space="preserve">consistent with the proposed TGA indication) </w:t>
      </w:r>
      <w:r w:rsidR="00E85338" w:rsidRPr="00AC3F7C">
        <w:t>to allow physician discretion as to when it is used.</w:t>
      </w:r>
      <w:r w:rsidR="009230FC">
        <w:t xml:space="preserve"> The pre-PBAC response maintained that </w:t>
      </w:r>
      <w:r w:rsidR="00F82C8E">
        <w:t xml:space="preserve">a second-line listing was appropriate, stating that this was the setting where the </w:t>
      </w:r>
      <w:r w:rsidR="00611E47">
        <w:t xml:space="preserve">(i) </w:t>
      </w:r>
      <w:r w:rsidR="00F82C8E">
        <w:t>most patients would benefit with the greatest certainty of survival benefits</w:t>
      </w:r>
      <w:r w:rsidR="00611E47">
        <w:t xml:space="preserve"> and (ii) </w:t>
      </w:r>
      <w:r w:rsidR="0015021E">
        <w:t>cost-effectiveness was the most certain. The pre-PBAC response stated that given the patient attrition with each line of therapy</w:t>
      </w:r>
      <w:r w:rsidR="005160E9">
        <w:t xml:space="preserve">, it was imperative to prioritise access of BmBd for </w:t>
      </w:r>
      <w:proofErr w:type="gramStart"/>
      <w:r w:rsidR="005160E9">
        <w:t>the majority of</w:t>
      </w:r>
      <w:proofErr w:type="gramEnd"/>
      <w:r w:rsidR="005160E9">
        <w:t xml:space="preserve"> eligible patients</w:t>
      </w:r>
      <w:r w:rsidR="00A3466B">
        <w:t xml:space="preserve"> before successive relapses </w:t>
      </w:r>
      <w:r w:rsidR="00FB6E31">
        <w:t>diminish</w:t>
      </w:r>
      <w:r w:rsidR="00A3466B">
        <w:t xml:space="preserve"> functional status.</w:t>
      </w:r>
    </w:p>
    <w:p w14:paraId="756C3B6A" w14:textId="77777777" w:rsidR="00FC40E9" w:rsidRPr="00AC3F7C" w:rsidRDefault="00F07775" w:rsidP="0094766E">
      <w:pPr>
        <w:pStyle w:val="COMESnumberedpara"/>
      </w:pPr>
      <w:r w:rsidRPr="00AC3F7C">
        <w:t>It may be reasonable to include a caution or prescribing advice regarding the risk of ocular toxicity associated with belantamab mafodotin, the need for review by an eye care professional before each of the first 4 doses (and as clinically indicated thereafter), and the potential need for dose or administration frequency modifications to manage ocular toxicity.</w:t>
      </w:r>
      <w:r w:rsidR="000F23E6" w:rsidRPr="00AC3F7C">
        <w:t xml:space="preserve"> The PSCR stated that </w:t>
      </w:r>
      <w:r w:rsidR="00C749DC" w:rsidRPr="00AC3F7C">
        <w:t>based on planned risk minimisation activities, information included in the belantamab mafodotin product information document, TGA monitoring and the extent of clinical expertise in Australia, additional advice or precautions regarding ocular events in the PBS restriction for belantamab mafodotin were not necessary.</w:t>
      </w:r>
      <w:r w:rsidR="00942863" w:rsidRPr="00AC3F7C">
        <w:t xml:space="preserve"> The ESC considered that it may be reasonable to include prescribing advice relating to ocular adverse events and the need for ocular assessments when treated with belantamab mafodotin. </w:t>
      </w:r>
    </w:p>
    <w:p w14:paraId="36E05E14" w14:textId="313FBE17" w:rsidR="0094766E" w:rsidRPr="00AC3F7C" w:rsidRDefault="0094766E" w:rsidP="0094766E">
      <w:pPr>
        <w:pStyle w:val="COMESnumberedpara"/>
      </w:pPr>
      <w:r w:rsidRPr="00AC3F7C">
        <w:t xml:space="preserve">The ESC noted that </w:t>
      </w:r>
      <w:r w:rsidR="00290C74" w:rsidRPr="00AC3F7C">
        <w:t>like elranatamab, which was recommended by the PBAC at the March 20</w:t>
      </w:r>
      <w:r w:rsidR="00D954A4" w:rsidRPr="00AC3F7C">
        <w:t>2</w:t>
      </w:r>
      <w:r w:rsidR="00290C74" w:rsidRPr="00AC3F7C">
        <w:t>5 meeting</w:t>
      </w:r>
      <w:r w:rsidR="00F0749C" w:rsidRPr="00AC3F7C">
        <w:t xml:space="preserve">, </w:t>
      </w:r>
      <w:r w:rsidR="00A17CB5" w:rsidRPr="00AC3F7C">
        <w:t xml:space="preserve">and </w:t>
      </w:r>
      <w:r w:rsidR="008507F7" w:rsidRPr="00AC3F7C">
        <w:t>ciltacabtagene autoleucel (a CAR-T therapy)</w:t>
      </w:r>
      <w:r w:rsidR="00FC40E9" w:rsidRPr="00AC3F7C">
        <w:t>,</w:t>
      </w:r>
      <w:r w:rsidR="008507F7" w:rsidRPr="00AC3F7C">
        <w:t xml:space="preserve"> which was recommended by </w:t>
      </w:r>
      <w:r w:rsidR="00E56C4C" w:rsidRPr="00AC3F7C">
        <w:t xml:space="preserve">the MSAC at its </w:t>
      </w:r>
      <w:r w:rsidR="00FC40E9" w:rsidRPr="00AC3F7C">
        <w:t xml:space="preserve">April 2024 meeting, </w:t>
      </w:r>
      <w:r w:rsidRPr="00AC3F7C">
        <w:t>belan</w:t>
      </w:r>
      <w:r w:rsidR="006B7FBA" w:rsidRPr="00AC3F7C">
        <w:t>tamab mafodotin is a B-cell maturation antigen (BCMA) directed therapy</w:t>
      </w:r>
      <w:r w:rsidR="00F0749C" w:rsidRPr="00AC3F7C">
        <w:t>. The ESC c</w:t>
      </w:r>
      <w:r w:rsidR="006B7FBA" w:rsidRPr="00AC3F7C">
        <w:t xml:space="preserve">onsidered that </w:t>
      </w:r>
      <w:r w:rsidR="00150B02" w:rsidRPr="00AC3F7C">
        <w:t xml:space="preserve">the initial </w:t>
      </w:r>
      <w:r w:rsidR="00150B02" w:rsidRPr="00AC3F7C">
        <w:lastRenderedPageBreak/>
        <w:t xml:space="preserve">supply restriction should include the criterion “Patient must not have previously received treatment with another BCMA </w:t>
      </w:r>
      <w:r w:rsidR="00290C74" w:rsidRPr="00AC3F7C">
        <w:t>directed therapy for this condition</w:t>
      </w:r>
      <w:r w:rsidR="00F0749C" w:rsidRPr="00AC3F7C">
        <w:t>”</w:t>
      </w:r>
      <w:r w:rsidR="00290C74" w:rsidRPr="00AC3F7C">
        <w:t>.</w:t>
      </w:r>
    </w:p>
    <w:p w14:paraId="482F7C13" w14:textId="0F35696C" w:rsidR="00FC5512" w:rsidRDefault="004D73A2" w:rsidP="00FC5512">
      <w:pPr>
        <w:pStyle w:val="COMESnumberedpara"/>
      </w:pPr>
      <w:r w:rsidRPr="00AC3F7C">
        <w:t xml:space="preserve">The submission requested grandfathering provisions for patients treated with belantamab mafodotin </w:t>
      </w:r>
      <w:r w:rsidRPr="00C310CE">
        <w:t>under a patient access program that is anticipated to commence in</w:t>
      </w:r>
      <w:r w:rsidRPr="00AC3F7C">
        <w:t xml:space="preserve"> </w:t>
      </w:r>
      <w:r w:rsidR="0040410B" w:rsidRPr="0040410B">
        <w:rPr>
          <w:highlight w:val="black"/>
        </w:rPr>
        <w:t>&amp;&amp;&amp;&amp;</w:t>
      </w:r>
      <w:r w:rsidRPr="00AC3F7C">
        <w:t xml:space="preserve">. The submission stated that eligibility for the program will be aligned with the proposed PBS restriction criteria for </w:t>
      </w:r>
      <w:r w:rsidR="00834591" w:rsidRPr="00AC3F7C">
        <w:t>BmBd</w:t>
      </w:r>
      <w:r w:rsidRPr="00AC3F7C">
        <w:t xml:space="preserve">. The submission estimated that </w:t>
      </w:r>
      <w:r w:rsidR="00236827" w:rsidRPr="00236827">
        <w:t>&lt; 500</w:t>
      </w:r>
      <w:r w:rsidRPr="00AC3F7C">
        <w:t xml:space="preserve"> patients would be eligible for grandfathered treatment if belantamab mafodotin is recommended at the November 2025 PBAC meeting.</w:t>
      </w:r>
    </w:p>
    <w:p w14:paraId="4D6FE63B" w14:textId="44D11174" w:rsidR="00FC5512" w:rsidRPr="00FC5512" w:rsidRDefault="00FC5512" w:rsidP="00FC5512">
      <w:pPr>
        <w:pStyle w:val="COMESnumberedpara"/>
        <w:numPr>
          <w:ilvl w:val="0"/>
          <w:numId w:val="0"/>
        </w:numPr>
        <w:ind w:left="720"/>
        <w:rPr>
          <w:i/>
          <w:iCs/>
        </w:rPr>
      </w:pPr>
      <w:r w:rsidRPr="00FC5512">
        <w:rPr>
          <w:i/>
          <w:iCs/>
        </w:rPr>
        <w:t>For more detail on PBAC’s view, see section 7 PBAC outcome.</w:t>
      </w:r>
    </w:p>
    <w:p w14:paraId="7075B85C" w14:textId="62A47B7B" w:rsidR="00B50DB8" w:rsidRPr="00512D7B" w:rsidDel="00195452" w:rsidRDefault="00203181" w:rsidP="004E18E9">
      <w:pPr>
        <w:pStyle w:val="COMESH2"/>
      </w:pPr>
      <w:bookmarkStart w:id="12" w:name="_Toc208839486"/>
      <w:r w:rsidRPr="00512D7B" w:rsidDel="00195452">
        <w:t xml:space="preserve">Population and </w:t>
      </w:r>
      <w:r w:rsidR="008E0D3C" w:rsidRPr="00512D7B" w:rsidDel="00195452">
        <w:t>d</w:t>
      </w:r>
      <w:r w:rsidRPr="00512D7B" w:rsidDel="00195452">
        <w:t>isease</w:t>
      </w:r>
      <w:bookmarkEnd w:id="12"/>
    </w:p>
    <w:p w14:paraId="11E2161C" w14:textId="77777777" w:rsidR="004D73A2" w:rsidRPr="00AC3F7C" w:rsidRDefault="004D73A2" w:rsidP="004D73A2">
      <w:pPr>
        <w:pStyle w:val="COMESnumberedpara"/>
      </w:pPr>
      <w:r w:rsidRPr="00AC3F7C">
        <w:t>Multiple myeloma is a malignancy of B-cells characterised by clonal proliferation of plasma cells and abnormally high production of monoclonal immunoglobulin. Proliferation of plasma cells in the bone marrow is associated with impairment of haematopoiesis, while deposition of the monoclonal immunoglobulin protein in tissues leads to the development of organ dysfunction. A net increase in osteoclastic activity results in increased bone resorption and the development of lytic bone lesions.</w:t>
      </w:r>
    </w:p>
    <w:p w14:paraId="3CAE413C" w14:textId="1B8D9567" w:rsidR="004D73A2" w:rsidRPr="00AC3F7C" w:rsidRDefault="004D73A2" w:rsidP="004D73A2">
      <w:pPr>
        <w:pStyle w:val="COMESnumberedpara"/>
      </w:pPr>
      <w:r w:rsidRPr="00AC3F7C">
        <w:t xml:space="preserve">Common symptoms associated with multiple myeloma include fatigue, weight loss, bone pain and bone fractures. Additionally, patients may develop symptoms related to hypercalcaemia and renal </w:t>
      </w:r>
      <w:r w:rsidR="004F6A99" w:rsidRPr="00AC3F7C">
        <w:t>impairment and</w:t>
      </w:r>
      <w:r w:rsidRPr="00AC3F7C">
        <w:t xml:space="preserve"> </w:t>
      </w:r>
      <w:r w:rsidR="00D75F3A" w:rsidRPr="00AC3F7C">
        <w:t>are</w:t>
      </w:r>
      <w:r w:rsidRPr="00AC3F7C">
        <w:t xml:space="preserve"> </w:t>
      </w:r>
      <w:r w:rsidR="00D75F3A" w:rsidRPr="00AC3F7C">
        <w:t xml:space="preserve">at </w:t>
      </w:r>
      <w:r w:rsidRPr="00AC3F7C">
        <w:t xml:space="preserve">a higher risk of infections. An estimated 2,719 new cases of multiple myeloma were forecast in Australia in 2024 (1,637 males and 1,082 females; AIHW, 2024). The </w:t>
      </w:r>
      <w:r w:rsidR="00D75F3A" w:rsidRPr="00AC3F7C">
        <w:t xml:space="preserve">reported </w:t>
      </w:r>
      <w:r w:rsidRPr="00AC3F7C">
        <w:t xml:space="preserve">median </w:t>
      </w:r>
      <w:r w:rsidR="00617256" w:rsidRPr="00AC3F7C">
        <w:t xml:space="preserve">(mean) </w:t>
      </w:r>
      <w:r w:rsidRPr="00AC3F7C">
        <w:t xml:space="preserve">age of patients diagnosed with multiple myeloma in Australia in 2020 was 72.4 </w:t>
      </w:r>
      <w:r w:rsidR="00617256" w:rsidRPr="00AC3F7C">
        <w:t xml:space="preserve">(71.5) </w:t>
      </w:r>
      <w:r w:rsidRPr="00AC3F7C">
        <w:t xml:space="preserve">years. </w:t>
      </w:r>
    </w:p>
    <w:p w14:paraId="15B3CB9D" w14:textId="77777777" w:rsidR="004D73A2" w:rsidRPr="00AC3F7C" w:rsidRDefault="004D73A2">
      <w:pPr>
        <w:pStyle w:val="COMESnumberedpara"/>
      </w:pPr>
      <w:r w:rsidRPr="00AC3F7C">
        <w:t xml:space="preserve">Multiple myeloma is generally considered to be an incurable disease. While the survival rates for patients with multiple myeloma have improved with the availability of novel therapeutic agents, almost all patients experience disease progression. Treatment choice for patients with disease relapse or who are refractory to treatment is individualised, with consideration of prior therapy and associated toxicity, the duration of response to prior therapy, the rate of disease progression, and their current physical status. </w:t>
      </w:r>
    </w:p>
    <w:p w14:paraId="784EC1E6" w14:textId="1B8CD613" w:rsidR="00584C53" w:rsidRPr="00AC3F7C" w:rsidRDefault="00584C53" w:rsidP="004D73A2">
      <w:pPr>
        <w:pStyle w:val="COMESnumberedpara"/>
      </w:pPr>
      <w:r w:rsidRPr="00AC3F7C">
        <w:t>Belantamab mafodotin is a humanised IgG1 kappa monoclonal antibody targeting B-cell maturation antigen (BCMA), which is conjugated to a cytotoxic agent (</w:t>
      </w:r>
      <w:proofErr w:type="spellStart"/>
      <w:r w:rsidRPr="00AC3F7C">
        <w:t>maleimidocaproyl</w:t>
      </w:r>
      <w:proofErr w:type="spellEnd"/>
      <w:r w:rsidRPr="00AC3F7C">
        <w:t xml:space="preserve"> monomethyl auristatin F; </w:t>
      </w:r>
      <w:proofErr w:type="spellStart"/>
      <w:r w:rsidRPr="00AC3F7C">
        <w:t>mcMMAF</w:t>
      </w:r>
      <w:proofErr w:type="spellEnd"/>
      <w:r w:rsidRPr="00AC3F7C">
        <w:t xml:space="preserve">). BCMA is selectively expressed on malignant plasma cells. </w:t>
      </w:r>
    </w:p>
    <w:p w14:paraId="26B60BEF" w14:textId="177EFB81" w:rsidR="00487DCE" w:rsidRDefault="00D62619" w:rsidP="00487DCE">
      <w:pPr>
        <w:pStyle w:val="COMESnumberedpara"/>
      </w:pPr>
      <w:r w:rsidRPr="00AC3F7C">
        <w:t xml:space="preserve">The submission positioned </w:t>
      </w:r>
      <w:r w:rsidR="00834591" w:rsidRPr="00AC3F7C">
        <w:t>BmBd</w:t>
      </w:r>
      <w:r w:rsidRPr="00AC3F7C">
        <w:t xml:space="preserve"> as an alternative to second line treatment with </w:t>
      </w:r>
      <w:r w:rsidR="001C413B" w:rsidRPr="00AC3F7C">
        <w:t>DBd</w:t>
      </w:r>
      <w:r w:rsidRPr="00AC3F7C">
        <w:t>. Other PBS listed second line treatment options in the proposed algorithm include lenalidomide in combination with carfilzomib and dexamethasone (</w:t>
      </w:r>
      <w:proofErr w:type="spellStart"/>
      <w:r w:rsidR="00392019" w:rsidRPr="00AC3F7C">
        <w:t>LCd</w:t>
      </w:r>
      <w:proofErr w:type="spellEnd"/>
      <w:r w:rsidRPr="00AC3F7C">
        <w:t>), pomalidomide in combination with bortezomib and dexamethasone (</w:t>
      </w:r>
      <w:proofErr w:type="spellStart"/>
      <w:r w:rsidR="00486D3D" w:rsidRPr="00AC3F7C">
        <w:t>PBd</w:t>
      </w:r>
      <w:proofErr w:type="spellEnd"/>
      <w:r w:rsidRPr="00AC3F7C">
        <w:t>), selinexor in combination with bortezomib and dexamethasone (</w:t>
      </w:r>
      <w:proofErr w:type="spellStart"/>
      <w:r w:rsidR="00486D3D" w:rsidRPr="00AC3F7C">
        <w:t>SBd</w:t>
      </w:r>
      <w:proofErr w:type="spellEnd"/>
      <w:r w:rsidRPr="00AC3F7C">
        <w:t>), carfilzomib in combination with dexamethasone (</w:t>
      </w:r>
      <w:r w:rsidR="00486D3D" w:rsidRPr="00AC3F7C">
        <w:t>Cd</w:t>
      </w:r>
      <w:r w:rsidRPr="00AC3F7C">
        <w:t>), pomalidomide in combination with dexamethasone (Pd), selinexor in combination with dexamethasone (</w:t>
      </w:r>
      <w:r w:rsidR="00486D3D" w:rsidRPr="00AC3F7C">
        <w:t>Sd</w:t>
      </w:r>
      <w:r w:rsidRPr="00AC3F7C">
        <w:t xml:space="preserve">), </w:t>
      </w:r>
      <w:r w:rsidRPr="00AC3F7C">
        <w:lastRenderedPageBreak/>
        <w:t>lenalidomide in combination with dexamethasone (</w:t>
      </w:r>
      <w:proofErr w:type="spellStart"/>
      <w:r w:rsidR="00486D3D" w:rsidRPr="00AC3F7C">
        <w:t>Ld</w:t>
      </w:r>
      <w:proofErr w:type="spellEnd"/>
      <w:r w:rsidRPr="00AC3F7C">
        <w:t>), and bortezomib in combination with dexamethasone (</w:t>
      </w:r>
      <w:r w:rsidR="00486D3D" w:rsidRPr="00AC3F7C">
        <w:t>Bd</w:t>
      </w:r>
      <w:r w:rsidRPr="00AC3F7C">
        <w:t>).</w:t>
      </w:r>
      <w:r w:rsidR="002E5823" w:rsidRPr="00AC3F7C">
        <w:t xml:space="preserve"> </w:t>
      </w:r>
    </w:p>
    <w:p w14:paraId="006187DB" w14:textId="25581D9E" w:rsidR="00FC5512" w:rsidRPr="00FC5512" w:rsidDel="00195452" w:rsidRDefault="00FC5512" w:rsidP="00FC5512">
      <w:pPr>
        <w:pStyle w:val="COMESnumberedpara"/>
        <w:numPr>
          <w:ilvl w:val="0"/>
          <w:numId w:val="0"/>
        </w:numPr>
        <w:ind w:left="720"/>
        <w:rPr>
          <w:i/>
          <w:iCs/>
        </w:rPr>
      </w:pPr>
      <w:r w:rsidRPr="00FC5512">
        <w:rPr>
          <w:i/>
          <w:iCs/>
        </w:rPr>
        <w:t>For more detail on PBAC’s view, see section 7 PBAC outcome.</w:t>
      </w:r>
    </w:p>
    <w:p w14:paraId="51E5AE96" w14:textId="136A63B1" w:rsidR="00B50DB8" w:rsidRPr="00512D7B" w:rsidRDefault="00B50DB8" w:rsidP="004E18E9">
      <w:pPr>
        <w:pStyle w:val="COMESH2"/>
      </w:pPr>
      <w:bookmarkStart w:id="13" w:name="_Toc208839487"/>
      <w:r w:rsidRPr="00512D7B">
        <w:t>Comparator</w:t>
      </w:r>
      <w:bookmarkEnd w:id="13"/>
    </w:p>
    <w:p w14:paraId="6A93ED1B" w14:textId="2D3CD237" w:rsidR="00584C53" w:rsidRPr="00AC3F7C" w:rsidRDefault="00584C53" w:rsidP="006712E4">
      <w:pPr>
        <w:pStyle w:val="COMESnumberedpara"/>
      </w:pPr>
      <w:r w:rsidRPr="00AC3F7C">
        <w:t xml:space="preserve">The submission nominated </w:t>
      </w:r>
      <w:r w:rsidR="001C413B" w:rsidRPr="00AC3F7C">
        <w:t>DBd</w:t>
      </w:r>
      <w:r w:rsidRPr="00AC3F7C">
        <w:t xml:space="preserve"> as the main comparator. The main arguments provided in support of this nomination were:</w:t>
      </w:r>
    </w:p>
    <w:p w14:paraId="0BE2B234" w14:textId="3E3BC9B7" w:rsidR="00584C53" w:rsidRPr="00AC3F7C" w:rsidRDefault="001C413B" w:rsidP="006712E4">
      <w:pPr>
        <w:pStyle w:val="COMESbulletlist"/>
        <w:spacing w:after="0"/>
      </w:pPr>
      <w:r w:rsidRPr="00AC3F7C">
        <w:t>DBd</w:t>
      </w:r>
      <w:r w:rsidR="00584C53" w:rsidRPr="00AC3F7C">
        <w:t xml:space="preserve"> represents the current Australian standard of care in the second</w:t>
      </w:r>
      <w:r w:rsidR="009974B0" w:rsidRPr="00AC3F7C">
        <w:t xml:space="preserve"> </w:t>
      </w:r>
      <w:r w:rsidR="00584C53" w:rsidRPr="00AC3F7C">
        <w:t>line treatment setting.</w:t>
      </w:r>
    </w:p>
    <w:p w14:paraId="09A61FA9" w14:textId="0812A97D" w:rsidR="00584C53" w:rsidRPr="00AC3F7C" w:rsidRDefault="00584C53" w:rsidP="00AF2DAB">
      <w:pPr>
        <w:pStyle w:val="COMESbulletlist"/>
      </w:pPr>
      <w:r w:rsidRPr="00AC3F7C">
        <w:t xml:space="preserve">The PBAC previously considered that the PBS listing of </w:t>
      </w:r>
      <w:r w:rsidR="001C413B" w:rsidRPr="00AC3F7C">
        <w:t>DBd</w:t>
      </w:r>
      <w:r w:rsidRPr="00AC3F7C">
        <w:t xml:space="preserve"> for use in the second line setting only would likely displace the other </w:t>
      </w:r>
      <w:r w:rsidR="00E26D67" w:rsidRPr="00AC3F7C">
        <w:t>RRMM</w:t>
      </w:r>
      <w:r w:rsidRPr="00AC3F7C">
        <w:t xml:space="preserve"> treatments to the third and later line settings (paragraph 7.4, </w:t>
      </w:r>
      <w:proofErr w:type="spellStart"/>
      <w:r w:rsidRPr="00AC3F7C">
        <w:t>ixazomib</w:t>
      </w:r>
      <w:proofErr w:type="spellEnd"/>
      <w:r w:rsidRPr="00AC3F7C">
        <w:t xml:space="preserve">, </w:t>
      </w:r>
      <w:r w:rsidR="00A1585C" w:rsidRPr="00AC3F7C">
        <w:t>PSD</w:t>
      </w:r>
      <w:r w:rsidRPr="00AC3F7C">
        <w:t xml:space="preserve">, March 2022 PBAC meeting). Therefore, </w:t>
      </w:r>
      <w:r w:rsidR="001C413B" w:rsidRPr="00AC3F7C">
        <w:t>DBd</w:t>
      </w:r>
      <w:r w:rsidRPr="00AC3F7C">
        <w:t xml:space="preserve"> is the treatment most likely to be replaced if belantamab mafodotin is listed on the PBS</w:t>
      </w:r>
      <w:r w:rsidR="009E18E1" w:rsidRPr="00AC3F7C">
        <w:t xml:space="preserve"> in the second line treatment setting</w:t>
      </w:r>
      <w:r w:rsidRPr="00AC3F7C">
        <w:t xml:space="preserve">. </w:t>
      </w:r>
    </w:p>
    <w:p w14:paraId="434C1C53" w14:textId="55E8323C" w:rsidR="00584C53" w:rsidRPr="00AC3F7C" w:rsidRDefault="00367958" w:rsidP="006712E4">
      <w:pPr>
        <w:pStyle w:val="COMESnumberedpara"/>
      </w:pPr>
      <w:r w:rsidRPr="00AC3F7C">
        <w:t xml:space="preserve">The evaluators considered that, for the PBS population </w:t>
      </w:r>
      <w:r w:rsidR="00684FF5" w:rsidRPr="00AC3F7C">
        <w:t xml:space="preserve">proposed in the submission, </w:t>
      </w:r>
      <w:r w:rsidR="001C413B" w:rsidRPr="00AC3F7C">
        <w:t>DBd</w:t>
      </w:r>
      <w:r w:rsidR="00584C53" w:rsidRPr="00AC3F7C">
        <w:t xml:space="preserve"> </w:t>
      </w:r>
      <w:r w:rsidR="00684FF5" w:rsidRPr="00AC3F7C">
        <w:t xml:space="preserve">was </w:t>
      </w:r>
      <w:r w:rsidR="00584C53" w:rsidRPr="00AC3F7C">
        <w:t>an appropriate comparator</w:t>
      </w:r>
      <w:r w:rsidR="0006506C" w:rsidRPr="00AC3F7C">
        <w:t>.</w:t>
      </w:r>
      <w:r w:rsidR="00584C53" w:rsidRPr="00AC3F7C">
        <w:t xml:space="preserve"> </w:t>
      </w:r>
      <w:r w:rsidR="00C3135F" w:rsidRPr="00AC3F7C">
        <w:t xml:space="preserve">However, </w:t>
      </w:r>
      <w:r w:rsidR="00084AEF">
        <w:t xml:space="preserve">noting the PBS listing of </w:t>
      </w:r>
      <w:proofErr w:type="spellStart"/>
      <w:r w:rsidR="00084AEF">
        <w:t>DLd</w:t>
      </w:r>
      <w:proofErr w:type="spellEnd"/>
      <w:r w:rsidR="00584C53" w:rsidRPr="00AC3F7C">
        <w:t xml:space="preserve">, </w:t>
      </w:r>
      <w:r w:rsidR="006906CA" w:rsidRPr="00AC3F7C">
        <w:t>the evaluators considered that</w:t>
      </w:r>
      <w:r w:rsidR="00E54711" w:rsidRPr="00AC3F7C">
        <w:t xml:space="preserve"> DBd would not be an appropriate comparator for </w:t>
      </w:r>
      <w:r w:rsidR="00FC40E9" w:rsidRPr="00AC3F7C">
        <w:t xml:space="preserve">patients who have previously received </w:t>
      </w:r>
      <w:proofErr w:type="spellStart"/>
      <w:r w:rsidR="00FC40E9" w:rsidRPr="00AC3F7C">
        <w:t>DLd</w:t>
      </w:r>
      <w:proofErr w:type="spellEnd"/>
      <w:r w:rsidR="00E54711" w:rsidRPr="00AC3F7C">
        <w:t xml:space="preserve">. </w:t>
      </w:r>
      <w:r w:rsidR="00684FF5" w:rsidRPr="00AC3F7C">
        <w:t xml:space="preserve">The PSCR stated that the recommendation of </w:t>
      </w:r>
      <w:proofErr w:type="spellStart"/>
      <w:r w:rsidR="00684FF5" w:rsidRPr="00AC3F7C">
        <w:t>DLd</w:t>
      </w:r>
      <w:proofErr w:type="spellEnd"/>
      <w:r w:rsidR="00684FF5" w:rsidRPr="00AC3F7C">
        <w:t xml:space="preserve"> in the first line setting was anticipated to have a limited impact on the utilisation of DBd in the second line setting over the medi</w:t>
      </w:r>
      <w:r w:rsidR="00F32745" w:rsidRPr="00AC3F7C">
        <w:t>um</w:t>
      </w:r>
      <w:r w:rsidR="00684FF5" w:rsidRPr="00AC3F7C">
        <w:t xml:space="preserve"> term. The ESC agreed, and considered that for the </w:t>
      </w:r>
      <w:r w:rsidR="005B0959" w:rsidRPr="00AC3F7C">
        <w:t xml:space="preserve">proposed PBS population, DBd was the appropriate comparator. However, as the ESC considered that BmBd should be listed for RRMM, rather than restricted to the second-line setting, </w:t>
      </w:r>
      <w:r w:rsidR="000E1BE4" w:rsidRPr="00AC3F7C">
        <w:t xml:space="preserve">the ESC considered that the most appropriate comparator would consist of a basket of </w:t>
      </w:r>
      <w:r w:rsidR="008B5B43" w:rsidRPr="00AC3F7C">
        <w:t>treatments</w:t>
      </w:r>
      <w:r w:rsidR="000E1BE4" w:rsidRPr="00AC3F7C">
        <w:t xml:space="preserve"> that included DBd.</w:t>
      </w:r>
    </w:p>
    <w:p w14:paraId="5FA6DD80" w14:textId="1936C781" w:rsidR="00FC5512" w:rsidRPr="00FC5512" w:rsidRDefault="00FC5512" w:rsidP="00FC5512">
      <w:pPr>
        <w:pStyle w:val="COMESnumberedpara"/>
        <w:numPr>
          <w:ilvl w:val="0"/>
          <w:numId w:val="0"/>
        </w:numPr>
        <w:ind w:left="720"/>
        <w:rPr>
          <w:i/>
          <w:iCs/>
        </w:rPr>
      </w:pPr>
      <w:r w:rsidRPr="00FC5512">
        <w:rPr>
          <w:i/>
          <w:iCs/>
        </w:rPr>
        <w:t>For more detail on PBAC’s view, see section 7 PBAC outcome.</w:t>
      </w:r>
    </w:p>
    <w:p w14:paraId="7F9C27C8" w14:textId="77777777" w:rsidR="00223D5A" w:rsidRDefault="00223D5A" w:rsidP="00223D5A">
      <w:pPr>
        <w:pStyle w:val="COMESH2"/>
        <w:numPr>
          <w:ilvl w:val="0"/>
          <w:numId w:val="1"/>
        </w:numPr>
      </w:pPr>
      <w:bookmarkStart w:id="14" w:name="_Toc208839488"/>
      <w:bookmarkStart w:id="15" w:name="_Toc22897640"/>
      <w:r w:rsidRPr="00512D7B">
        <w:t>Consideration of the evidence</w:t>
      </w:r>
      <w:bookmarkEnd w:id="14"/>
    </w:p>
    <w:p w14:paraId="16822A4D" w14:textId="77777777" w:rsidR="00F421D7" w:rsidRPr="006E1229" w:rsidRDefault="00F421D7" w:rsidP="00F421D7">
      <w:pPr>
        <w:pStyle w:val="COMESSubsectionheading"/>
      </w:pPr>
      <w:bookmarkStart w:id="16" w:name="_Hlk76375935"/>
      <w:r w:rsidRPr="006E1229">
        <w:t>Sponsor hearing</w:t>
      </w:r>
    </w:p>
    <w:p w14:paraId="1A9D787C" w14:textId="019FA40D" w:rsidR="00F421D7" w:rsidRPr="00836F75" w:rsidRDefault="00F421D7" w:rsidP="00F421D7">
      <w:pPr>
        <w:widowControl w:val="0"/>
        <w:numPr>
          <w:ilvl w:val="1"/>
          <w:numId w:val="1"/>
        </w:numPr>
        <w:spacing w:after="120"/>
        <w:rPr>
          <w:rFonts w:asciiTheme="minorHAnsi" w:hAnsiTheme="minorHAnsi"/>
          <w:bCs/>
          <w:snapToGrid w:val="0"/>
        </w:rPr>
      </w:pPr>
      <w:bookmarkStart w:id="17" w:name="_Hlk76382586"/>
      <w:r w:rsidRPr="00836F75">
        <w:rPr>
          <w:rFonts w:asciiTheme="minorHAnsi" w:hAnsiTheme="minorHAnsi"/>
          <w:bCs/>
          <w:snapToGrid w:val="0"/>
        </w:rPr>
        <w:t xml:space="preserve">The sponsor requested a hearing for this item.  The clinician </w:t>
      </w:r>
      <w:r w:rsidR="00897174">
        <w:rPr>
          <w:rFonts w:asciiTheme="minorHAnsi" w:hAnsiTheme="minorHAnsi"/>
          <w:bCs/>
          <w:snapToGrid w:val="0"/>
        </w:rPr>
        <w:t>discussed the incidence of MM in the Australian setting and described the current treatment options and survival rates</w:t>
      </w:r>
      <w:r w:rsidR="003A24E1">
        <w:rPr>
          <w:rFonts w:asciiTheme="minorHAnsi" w:hAnsiTheme="minorHAnsi"/>
          <w:bCs/>
          <w:snapToGrid w:val="0"/>
        </w:rPr>
        <w:t xml:space="preserve">. The clinician described how BmBd would be used in clinical practice and </w:t>
      </w:r>
      <w:r w:rsidR="00E14D01">
        <w:rPr>
          <w:rFonts w:asciiTheme="minorHAnsi" w:hAnsiTheme="minorHAnsi"/>
          <w:bCs/>
          <w:snapToGrid w:val="0"/>
        </w:rPr>
        <w:t>highlighted the need for new and effective treatments in the second-line setting, particularly in patients who have previously been exposed to lenalidomide.</w:t>
      </w:r>
      <w:r w:rsidR="0037627D">
        <w:rPr>
          <w:rFonts w:asciiTheme="minorHAnsi" w:hAnsiTheme="minorHAnsi"/>
          <w:bCs/>
          <w:snapToGrid w:val="0"/>
        </w:rPr>
        <w:t xml:space="preserve"> The clinician discussed the results of the DREAMM-7 trial</w:t>
      </w:r>
      <w:r w:rsidR="00C66EA4">
        <w:rPr>
          <w:rFonts w:asciiTheme="minorHAnsi" w:hAnsiTheme="minorHAnsi"/>
          <w:bCs/>
          <w:snapToGrid w:val="0"/>
        </w:rPr>
        <w:t xml:space="preserve">, highlighting the progression free and overall survival gains observed compared to DBd. </w:t>
      </w:r>
      <w:r w:rsidR="008D768E">
        <w:rPr>
          <w:rFonts w:asciiTheme="minorHAnsi" w:hAnsiTheme="minorHAnsi"/>
          <w:bCs/>
          <w:snapToGrid w:val="0"/>
        </w:rPr>
        <w:t>Safety was also discussed with the clinician stating that BmBd</w:t>
      </w:r>
      <w:r w:rsidR="005551B4">
        <w:rPr>
          <w:rFonts w:asciiTheme="minorHAnsi" w:hAnsiTheme="minorHAnsi"/>
          <w:bCs/>
          <w:snapToGrid w:val="0"/>
        </w:rPr>
        <w:t xml:space="preserve"> has a low incidence of blood or haematological adverse and infection events. The ocular toxicity associated with belantamab mafodotin was acknowledged</w:t>
      </w:r>
      <w:r w:rsidR="006957D1">
        <w:rPr>
          <w:rFonts w:asciiTheme="minorHAnsi" w:hAnsiTheme="minorHAnsi"/>
          <w:bCs/>
          <w:snapToGrid w:val="0"/>
        </w:rPr>
        <w:t>, and</w:t>
      </w:r>
      <w:r w:rsidR="005551B4">
        <w:rPr>
          <w:rFonts w:asciiTheme="minorHAnsi" w:hAnsiTheme="minorHAnsi"/>
          <w:bCs/>
          <w:snapToGrid w:val="0"/>
        </w:rPr>
        <w:t xml:space="preserve"> </w:t>
      </w:r>
      <w:r w:rsidR="006957D1">
        <w:rPr>
          <w:rFonts w:asciiTheme="minorHAnsi" w:hAnsiTheme="minorHAnsi"/>
          <w:bCs/>
          <w:snapToGrid w:val="0"/>
        </w:rPr>
        <w:t>was described as</w:t>
      </w:r>
      <w:r w:rsidR="005551B4">
        <w:rPr>
          <w:rFonts w:asciiTheme="minorHAnsi" w:hAnsiTheme="minorHAnsi"/>
          <w:bCs/>
          <w:snapToGrid w:val="0"/>
        </w:rPr>
        <w:t xml:space="preserve"> predictable, manageable and usually reversible. The clinician stated that a baseline eye assessment by a</w:t>
      </w:r>
      <w:r w:rsidR="006957D1">
        <w:rPr>
          <w:rFonts w:asciiTheme="minorHAnsi" w:hAnsiTheme="minorHAnsi"/>
          <w:bCs/>
          <w:snapToGrid w:val="0"/>
        </w:rPr>
        <w:t>n</w:t>
      </w:r>
      <w:r w:rsidR="005551B4">
        <w:rPr>
          <w:rFonts w:asciiTheme="minorHAnsi" w:hAnsiTheme="minorHAnsi"/>
          <w:bCs/>
          <w:snapToGrid w:val="0"/>
        </w:rPr>
        <w:t xml:space="preserve"> ophthalmologist or optometrist is required before commencement of treatment, </w:t>
      </w:r>
      <w:r w:rsidR="006957D1">
        <w:rPr>
          <w:rFonts w:asciiTheme="minorHAnsi" w:hAnsiTheme="minorHAnsi"/>
          <w:bCs/>
          <w:snapToGrid w:val="0"/>
        </w:rPr>
        <w:t xml:space="preserve">with </w:t>
      </w:r>
      <w:r w:rsidR="005551B4">
        <w:rPr>
          <w:rFonts w:asciiTheme="minorHAnsi" w:hAnsiTheme="minorHAnsi"/>
          <w:bCs/>
          <w:snapToGrid w:val="0"/>
        </w:rPr>
        <w:t xml:space="preserve">review before </w:t>
      </w:r>
      <w:r w:rsidR="005551B4">
        <w:rPr>
          <w:rFonts w:asciiTheme="minorHAnsi" w:hAnsiTheme="minorHAnsi"/>
          <w:bCs/>
          <w:snapToGrid w:val="0"/>
        </w:rPr>
        <w:lastRenderedPageBreak/>
        <w:t xml:space="preserve">Cycles 2 to 4. </w:t>
      </w:r>
      <w:r w:rsidR="001E6678">
        <w:rPr>
          <w:rFonts w:asciiTheme="minorHAnsi" w:hAnsiTheme="minorHAnsi"/>
          <w:bCs/>
          <w:snapToGrid w:val="0"/>
        </w:rPr>
        <w:t xml:space="preserve">Further review after Cycle 4 is only required if ocular issues arise. </w:t>
      </w:r>
      <w:r w:rsidR="00897174">
        <w:rPr>
          <w:rFonts w:asciiTheme="minorHAnsi" w:hAnsiTheme="minorHAnsi"/>
          <w:bCs/>
          <w:snapToGrid w:val="0"/>
        </w:rPr>
        <w:t xml:space="preserve"> </w:t>
      </w:r>
      <w:r w:rsidRPr="00836F75">
        <w:rPr>
          <w:rFonts w:asciiTheme="minorHAnsi" w:hAnsiTheme="minorHAnsi"/>
          <w:bCs/>
          <w:snapToGrid w:val="0"/>
        </w:rPr>
        <w:t xml:space="preserve">The PBAC considered that the hearing was informative </w:t>
      </w:r>
      <w:r w:rsidR="006957D1">
        <w:rPr>
          <w:rFonts w:asciiTheme="minorHAnsi" w:hAnsiTheme="minorHAnsi"/>
          <w:bCs/>
          <w:snapToGrid w:val="0"/>
        </w:rPr>
        <w:t xml:space="preserve">and </w:t>
      </w:r>
      <w:r w:rsidR="0089381B">
        <w:rPr>
          <w:rFonts w:asciiTheme="minorHAnsi" w:hAnsiTheme="minorHAnsi"/>
          <w:bCs/>
          <w:snapToGrid w:val="0"/>
        </w:rPr>
        <w:t>provided a</w:t>
      </w:r>
      <w:r w:rsidRPr="00836F75">
        <w:rPr>
          <w:rFonts w:asciiTheme="minorHAnsi" w:hAnsiTheme="minorHAnsi"/>
          <w:bCs/>
          <w:snapToGrid w:val="0"/>
        </w:rPr>
        <w:t xml:space="preserve"> clinical perspective.</w:t>
      </w:r>
    </w:p>
    <w:bookmarkEnd w:id="17"/>
    <w:p w14:paraId="23E26DFE" w14:textId="77777777" w:rsidR="00F421D7" w:rsidRPr="006E1229" w:rsidRDefault="00F421D7" w:rsidP="00F421D7">
      <w:pPr>
        <w:pStyle w:val="COMESSubsectionheading"/>
      </w:pPr>
      <w:r w:rsidRPr="006E1229">
        <w:t xml:space="preserve">Consumer </w:t>
      </w:r>
      <w:r>
        <w:t>input</w:t>
      </w:r>
      <w:r w:rsidRPr="006E1229">
        <w:t>s</w:t>
      </w:r>
    </w:p>
    <w:p w14:paraId="3DDD14D3" w14:textId="2AEB950D" w:rsidR="00BB6835" w:rsidRDefault="00F421D7" w:rsidP="00F421D7">
      <w:pPr>
        <w:widowControl w:val="0"/>
        <w:numPr>
          <w:ilvl w:val="1"/>
          <w:numId w:val="1"/>
        </w:numPr>
        <w:spacing w:after="120"/>
        <w:rPr>
          <w:rFonts w:asciiTheme="minorHAnsi" w:hAnsiTheme="minorHAnsi"/>
          <w:bCs/>
          <w:snapToGrid w:val="0"/>
        </w:rPr>
      </w:pPr>
      <w:bookmarkStart w:id="18" w:name="_Hlk76382618"/>
      <w:r w:rsidRPr="00836F75">
        <w:rPr>
          <w:rFonts w:asciiTheme="minorHAnsi" w:hAnsiTheme="minorHAnsi"/>
          <w:bCs/>
          <w:snapToGrid w:val="0"/>
        </w:rPr>
        <w:t>The PBAC noted and welcomed the input from individuals (</w:t>
      </w:r>
      <w:r w:rsidR="00F27B34">
        <w:rPr>
          <w:rFonts w:asciiTheme="minorHAnsi" w:hAnsiTheme="minorHAnsi"/>
          <w:bCs/>
          <w:snapToGrid w:val="0"/>
        </w:rPr>
        <w:t>1</w:t>
      </w:r>
      <w:r w:rsidR="00992017">
        <w:rPr>
          <w:rFonts w:asciiTheme="minorHAnsi" w:hAnsiTheme="minorHAnsi"/>
          <w:bCs/>
          <w:snapToGrid w:val="0"/>
        </w:rPr>
        <w:t>9</w:t>
      </w:r>
      <w:r w:rsidRPr="00836F75">
        <w:rPr>
          <w:rFonts w:asciiTheme="minorHAnsi" w:hAnsiTheme="minorHAnsi"/>
          <w:bCs/>
          <w:snapToGrid w:val="0"/>
        </w:rPr>
        <w:t>), health care professionals (</w:t>
      </w:r>
      <w:r w:rsidR="00F27B34">
        <w:rPr>
          <w:rFonts w:asciiTheme="minorHAnsi" w:hAnsiTheme="minorHAnsi"/>
          <w:bCs/>
          <w:snapToGrid w:val="0"/>
        </w:rPr>
        <w:t>2</w:t>
      </w:r>
      <w:r w:rsidRPr="00836F75">
        <w:rPr>
          <w:rFonts w:asciiTheme="minorHAnsi" w:hAnsiTheme="minorHAnsi"/>
          <w:bCs/>
          <w:snapToGrid w:val="0"/>
        </w:rPr>
        <w:t>) and organisations (</w:t>
      </w:r>
      <w:r w:rsidR="00F27B34">
        <w:rPr>
          <w:rFonts w:asciiTheme="minorHAnsi" w:hAnsiTheme="minorHAnsi"/>
          <w:bCs/>
          <w:snapToGrid w:val="0"/>
        </w:rPr>
        <w:t>4</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 xml:space="preserve">.  The </w:t>
      </w:r>
      <w:r>
        <w:rPr>
          <w:rFonts w:asciiTheme="minorHAnsi" w:hAnsiTheme="minorHAnsi"/>
          <w:bCs/>
          <w:snapToGrid w:val="0"/>
        </w:rPr>
        <w:t>inputs</w:t>
      </w:r>
      <w:r w:rsidRPr="00836F75">
        <w:rPr>
          <w:rFonts w:asciiTheme="minorHAnsi" w:hAnsiTheme="minorHAnsi"/>
          <w:bCs/>
          <w:snapToGrid w:val="0"/>
        </w:rPr>
        <w:t xml:space="preserve"> </w:t>
      </w:r>
      <w:r w:rsidR="00F13216">
        <w:rPr>
          <w:rFonts w:asciiTheme="minorHAnsi" w:hAnsiTheme="minorHAnsi"/>
          <w:bCs/>
          <w:snapToGrid w:val="0"/>
        </w:rPr>
        <w:t xml:space="preserve">from individuals </w:t>
      </w:r>
      <w:r w:rsidRPr="00836F75">
        <w:rPr>
          <w:rFonts w:asciiTheme="minorHAnsi" w:hAnsiTheme="minorHAnsi"/>
          <w:bCs/>
          <w:snapToGrid w:val="0"/>
        </w:rPr>
        <w:t xml:space="preserve">described </w:t>
      </w:r>
      <w:r w:rsidR="007F25A9">
        <w:rPr>
          <w:rFonts w:asciiTheme="minorHAnsi" w:hAnsiTheme="minorHAnsi"/>
          <w:bCs/>
          <w:snapToGrid w:val="0"/>
        </w:rPr>
        <w:t>the diversity of responses to current treatments</w:t>
      </w:r>
      <w:r w:rsidR="004D16FE">
        <w:rPr>
          <w:rFonts w:asciiTheme="minorHAnsi" w:hAnsiTheme="minorHAnsi"/>
          <w:bCs/>
          <w:snapToGrid w:val="0"/>
        </w:rPr>
        <w:t xml:space="preserve"> in the RRMM setting</w:t>
      </w:r>
      <w:r w:rsidR="007F25A9">
        <w:rPr>
          <w:rFonts w:asciiTheme="minorHAnsi" w:hAnsiTheme="minorHAnsi"/>
          <w:bCs/>
          <w:snapToGrid w:val="0"/>
        </w:rPr>
        <w:t xml:space="preserve">, as well as the </w:t>
      </w:r>
      <w:r w:rsidR="004D16FE">
        <w:rPr>
          <w:rFonts w:asciiTheme="minorHAnsi" w:hAnsiTheme="minorHAnsi"/>
          <w:bCs/>
          <w:snapToGrid w:val="0"/>
        </w:rPr>
        <w:t>high likelihood of relapse</w:t>
      </w:r>
      <w:r w:rsidR="00EA644D">
        <w:rPr>
          <w:rFonts w:asciiTheme="minorHAnsi" w:hAnsiTheme="minorHAnsi"/>
          <w:bCs/>
          <w:snapToGrid w:val="0"/>
        </w:rPr>
        <w:t xml:space="preserve">, and highlighted the need for </w:t>
      </w:r>
      <w:r w:rsidR="00AC3459">
        <w:rPr>
          <w:rFonts w:asciiTheme="minorHAnsi" w:hAnsiTheme="minorHAnsi"/>
          <w:bCs/>
          <w:snapToGrid w:val="0"/>
        </w:rPr>
        <w:t>additional lines of treatment to increase survival time</w:t>
      </w:r>
      <w:r w:rsidR="00EA644D">
        <w:rPr>
          <w:rFonts w:asciiTheme="minorHAnsi" w:hAnsiTheme="minorHAnsi"/>
          <w:bCs/>
          <w:snapToGrid w:val="0"/>
        </w:rPr>
        <w:t xml:space="preserve">. Individuals who have received BmBd </w:t>
      </w:r>
      <w:r w:rsidR="0023294C">
        <w:rPr>
          <w:rFonts w:asciiTheme="minorHAnsi" w:hAnsiTheme="minorHAnsi"/>
          <w:bCs/>
          <w:snapToGrid w:val="0"/>
        </w:rPr>
        <w:t xml:space="preserve">described </w:t>
      </w:r>
      <w:r w:rsidR="00AC3459">
        <w:rPr>
          <w:rFonts w:asciiTheme="minorHAnsi" w:hAnsiTheme="minorHAnsi"/>
          <w:bCs/>
          <w:snapToGrid w:val="0"/>
        </w:rPr>
        <w:t>its</w:t>
      </w:r>
      <w:r w:rsidR="0023294C">
        <w:rPr>
          <w:rFonts w:asciiTheme="minorHAnsi" w:hAnsiTheme="minorHAnsi"/>
          <w:bCs/>
          <w:snapToGrid w:val="0"/>
        </w:rPr>
        <w:t xml:space="preserve"> advantage</w:t>
      </w:r>
      <w:r w:rsidR="00AC3459">
        <w:rPr>
          <w:rFonts w:asciiTheme="minorHAnsi" w:hAnsiTheme="minorHAnsi"/>
          <w:bCs/>
          <w:snapToGrid w:val="0"/>
        </w:rPr>
        <w:t>s, including</w:t>
      </w:r>
      <w:r w:rsidR="0023294C">
        <w:rPr>
          <w:rFonts w:asciiTheme="minorHAnsi" w:hAnsiTheme="minorHAnsi"/>
          <w:bCs/>
          <w:snapToGrid w:val="0"/>
        </w:rPr>
        <w:t xml:space="preserve"> less frequent administration and reduced doses of bortezomib and dexamethasone</w:t>
      </w:r>
      <w:r w:rsidR="00143A93">
        <w:rPr>
          <w:rFonts w:asciiTheme="minorHAnsi" w:hAnsiTheme="minorHAnsi"/>
          <w:bCs/>
          <w:snapToGrid w:val="0"/>
        </w:rPr>
        <w:t xml:space="preserve"> compared to current treatment regimens</w:t>
      </w:r>
      <w:r w:rsidR="00AC3459">
        <w:rPr>
          <w:rFonts w:asciiTheme="minorHAnsi" w:hAnsiTheme="minorHAnsi"/>
          <w:bCs/>
          <w:snapToGrid w:val="0"/>
        </w:rPr>
        <w:t>, which improved quality of life</w:t>
      </w:r>
      <w:r w:rsidR="00BB6835">
        <w:rPr>
          <w:rFonts w:asciiTheme="minorHAnsi" w:hAnsiTheme="minorHAnsi"/>
          <w:bCs/>
          <w:snapToGrid w:val="0"/>
        </w:rPr>
        <w:t>.</w:t>
      </w:r>
    </w:p>
    <w:p w14:paraId="40A26345" w14:textId="2FD85FE9" w:rsidR="00F421D7" w:rsidRPr="00836F75" w:rsidRDefault="00BB6835" w:rsidP="00F421D7">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health professionals </w:t>
      </w:r>
      <w:r w:rsidR="00595AB9">
        <w:rPr>
          <w:rFonts w:asciiTheme="minorHAnsi" w:hAnsiTheme="minorHAnsi"/>
          <w:bCs/>
          <w:snapToGrid w:val="0"/>
        </w:rPr>
        <w:t xml:space="preserve">noted the number of treatment options available </w:t>
      </w:r>
      <w:r w:rsidR="009D3CC6">
        <w:rPr>
          <w:rFonts w:asciiTheme="minorHAnsi" w:hAnsiTheme="minorHAnsi"/>
          <w:bCs/>
          <w:snapToGrid w:val="0"/>
        </w:rPr>
        <w:t xml:space="preserve">for multiple myeloma </w:t>
      </w:r>
      <w:r w:rsidR="00595AB9">
        <w:rPr>
          <w:rFonts w:asciiTheme="minorHAnsi" w:hAnsiTheme="minorHAnsi"/>
          <w:bCs/>
          <w:snapToGrid w:val="0"/>
        </w:rPr>
        <w:t xml:space="preserve">and the need for flexibility </w:t>
      </w:r>
      <w:r w:rsidR="00B15F2A">
        <w:rPr>
          <w:rFonts w:asciiTheme="minorHAnsi" w:hAnsiTheme="minorHAnsi"/>
          <w:bCs/>
          <w:snapToGrid w:val="0"/>
        </w:rPr>
        <w:t>in when these medications are used</w:t>
      </w:r>
      <w:r w:rsidR="00DF3ADF">
        <w:rPr>
          <w:rFonts w:asciiTheme="minorHAnsi" w:hAnsiTheme="minorHAnsi"/>
          <w:bCs/>
          <w:snapToGrid w:val="0"/>
        </w:rPr>
        <w:t xml:space="preserve">. </w:t>
      </w:r>
      <w:r w:rsidR="002A5F1C">
        <w:rPr>
          <w:rFonts w:asciiTheme="minorHAnsi" w:hAnsiTheme="minorHAnsi"/>
          <w:bCs/>
          <w:snapToGrid w:val="0"/>
        </w:rPr>
        <w:t xml:space="preserve">It was noted that the proposed restriction of BmBd to the second-line setting would force clinicians to choose between BmBd and DBd. </w:t>
      </w:r>
      <w:r w:rsidR="00786E67">
        <w:rPr>
          <w:rFonts w:asciiTheme="minorHAnsi" w:hAnsiTheme="minorHAnsi"/>
          <w:bCs/>
          <w:snapToGrid w:val="0"/>
        </w:rPr>
        <w:t xml:space="preserve">The </w:t>
      </w:r>
      <w:r w:rsidR="00C1179D">
        <w:rPr>
          <w:rFonts w:asciiTheme="minorHAnsi" w:hAnsiTheme="minorHAnsi"/>
          <w:bCs/>
          <w:snapToGrid w:val="0"/>
        </w:rPr>
        <w:t xml:space="preserve">positive </w:t>
      </w:r>
      <w:r w:rsidR="00786E67">
        <w:rPr>
          <w:rFonts w:asciiTheme="minorHAnsi" w:hAnsiTheme="minorHAnsi"/>
          <w:bCs/>
          <w:snapToGrid w:val="0"/>
        </w:rPr>
        <w:t>results of the DREAMM-7 trial were highlighted</w:t>
      </w:r>
      <w:r w:rsidR="009D3CC6">
        <w:rPr>
          <w:rFonts w:asciiTheme="minorHAnsi" w:hAnsiTheme="minorHAnsi"/>
          <w:bCs/>
          <w:snapToGrid w:val="0"/>
        </w:rPr>
        <w:t>,</w:t>
      </w:r>
      <w:r w:rsidR="00786E67">
        <w:rPr>
          <w:rFonts w:asciiTheme="minorHAnsi" w:hAnsiTheme="minorHAnsi"/>
          <w:bCs/>
          <w:snapToGrid w:val="0"/>
        </w:rPr>
        <w:t xml:space="preserve"> and</w:t>
      </w:r>
      <w:r w:rsidR="008B3759">
        <w:rPr>
          <w:rFonts w:asciiTheme="minorHAnsi" w:hAnsiTheme="minorHAnsi"/>
          <w:bCs/>
          <w:snapToGrid w:val="0"/>
        </w:rPr>
        <w:t xml:space="preserve"> t</w:t>
      </w:r>
      <w:r w:rsidR="00457AC8">
        <w:rPr>
          <w:rFonts w:asciiTheme="minorHAnsi" w:hAnsiTheme="minorHAnsi"/>
          <w:bCs/>
          <w:snapToGrid w:val="0"/>
        </w:rPr>
        <w:t xml:space="preserve">he </w:t>
      </w:r>
      <w:r w:rsidR="00EE51A7">
        <w:rPr>
          <w:rFonts w:asciiTheme="minorHAnsi" w:hAnsiTheme="minorHAnsi"/>
          <w:bCs/>
          <w:snapToGrid w:val="0"/>
        </w:rPr>
        <w:t xml:space="preserve">health professionals also stated that very few patients </w:t>
      </w:r>
      <w:r w:rsidR="00F61E39">
        <w:rPr>
          <w:rFonts w:asciiTheme="minorHAnsi" w:hAnsiTheme="minorHAnsi"/>
          <w:bCs/>
          <w:snapToGrid w:val="0"/>
        </w:rPr>
        <w:t xml:space="preserve">stopped treatment because of ocular toxicity. </w:t>
      </w:r>
    </w:p>
    <w:p w14:paraId="3719743A" w14:textId="179985DA" w:rsidR="00E26D6D" w:rsidRDefault="00F421D7" w:rsidP="00F421D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271240">
        <w:rPr>
          <w:rFonts w:asciiTheme="minorHAnsi" w:hAnsiTheme="minorHAnsi"/>
          <w:bCs/>
          <w:snapToGrid w:val="0"/>
        </w:rPr>
        <w:t xml:space="preserve">the </w:t>
      </w:r>
      <w:r w:rsidR="00E26D6D">
        <w:rPr>
          <w:rFonts w:asciiTheme="minorHAnsi" w:hAnsiTheme="minorHAnsi"/>
          <w:bCs/>
          <w:snapToGrid w:val="0"/>
        </w:rPr>
        <w:t xml:space="preserve">Australasian </w:t>
      </w:r>
      <w:r w:rsidR="004622E2">
        <w:rPr>
          <w:rFonts w:asciiTheme="minorHAnsi" w:hAnsiTheme="minorHAnsi"/>
          <w:bCs/>
          <w:snapToGrid w:val="0"/>
        </w:rPr>
        <w:t>Leukaemia and Lymphoma Group</w:t>
      </w:r>
      <w:r w:rsidR="00334820">
        <w:rPr>
          <w:rFonts w:asciiTheme="minorHAnsi" w:hAnsiTheme="minorHAnsi"/>
          <w:bCs/>
          <w:snapToGrid w:val="0"/>
        </w:rPr>
        <w:t xml:space="preserve"> (ALLG) which supported the submission. The </w:t>
      </w:r>
      <w:r w:rsidR="006E152A">
        <w:rPr>
          <w:rFonts w:asciiTheme="minorHAnsi" w:hAnsiTheme="minorHAnsi"/>
          <w:bCs/>
          <w:snapToGrid w:val="0"/>
        </w:rPr>
        <w:t xml:space="preserve">ALLG noted the </w:t>
      </w:r>
      <w:r w:rsidR="005E2532">
        <w:rPr>
          <w:rFonts w:asciiTheme="minorHAnsi" w:hAnsiTheme="minorHAnsi"/>
          <w:bCs/>
          <w:snapToGrid w:val="0"/>
        </w:rPr>
        <w:t xml:space="preserve">positive </w:t>
      </w:r>
      <w:r w:rsidR="006E152A">
        <w:rPr>
          <w:rFonts w:asciiTheme="minorHAnsi" w:hAnsiTheme="minorHAnsi"/>
          <w:bCs/>
          <w:snapToGrid w:val="0"/>
        </w:rPr>
        <w:t xml:space="preserve">results of the DREAMM-7 trial and stated that </w:t>
      </w:r>
      <w:r w:rsidR="005E2532">
        <w:rPr>
          <w:rFonts w:asciiTheme="minorHAnsi" w:hAnsiTheme="minorHAnsi"/>
          <w:bCs/>
          <w:snapToGrid w:val="0"/>
        </w:rPr>
        <w:t xml:space="preserve">the choice of treatment should </w:t>
      </w:r>
      <w:r w:rsidR="00877213">
        <w:rPr>
          <w:rFonts w:asciiTheme="minorHAnsi" w:hAnsiTheme="minorHAnsi"/>
          <w:bCs/>
          <w:snapToGrid w:val="0"/>
        </w:rPr>
        <w:t>consider</w:t>
      </w:r>
      <w:r w:rsidR="00831450">
        <w:rPr>
          <w:rFonts w:asciiTheme="minorHAnsi" w:hAnsiTheme="minorHAnsi"/>
          <w:bCs/>
          <w:snapToGrid w:val="0"/>
        </w:rPr>
        <w:t xml:space="preserve"> patient factors (age, fragility), disease factors (tempo of relapse, risk group stratification)</w:t>
      </w:r>
      <w:r w:rsidR="007E7A53">
        <w:rPr>
          <w:rFonts w:asciiTheme="minorHAnsi" w:hAnsiTheme="minorHAnsi"/>
          <w:bCs/>
          <w:snapToGrid w:val="0"/>
        </w:rPr>
        <w:t>, prior treatment-related factors (responsiveness and side effects to prior treatments) and patient preferences</w:t>
      </w:r>
      <w:r w:rsidR="00C1179D">
        <w:rPr>
          <w:rFonts w:asciiTheme="minorHAnsi" w:hAnsiTheme="minorHAnsi"/>
          <w:bCs/>
          <w:snapToGrid w:val="0"/>
        </w:rPr>
        <w:t>.</w:t>
      </w:r>
    </w:p>
    <w:p w14:paraId="14F409C8" w14:textId="01CAB049" w:rsidR="00F421D7" w:rsidRPr="005E15BD" w:rsidRDefault="00C1179D" w:rsidP="00877213">
      <w:pPr>
        <w:pStyle w:val="COMESnumberedpara"/>
        <w:rPr>
          <w:rFonts w:cs="Arial"/>
          <w:snapToGrid w:val="0"/>
        </w:rPr>
      </w:pPr>
      <w:r w:rsidRPr="005E15BD">
        <w:rPr>
          <w:snapToGrid w:val="0"/>
        </w:rPr>
        <w:t xml:space="preserve">Advice was also received from </w:t>
      </w:r>
      <w:r w:rsidR="00271240" w:rsidRPr="005E15BD">
        <w:rPr>
          <w:snapToGrid w:val="0"/>
        </w:rPr>
        <w:t xml:space="preserve">patient support organisations, Rare Cancers Australia, </w:t>
      </w:r>
      <w:r w:rsidR="00072348" w:rsidRPr="005E15BD">
        <w:rPr>
          <w:snapToGrid w:val="0"/>
        </w:rPr>
        <w:t>the Leukaemia Foundation</w:t>
      </w:r>
      <w:r w:rsidRPr="005E15BD">
        <w:rPr>
          <w:snapToGrid w:val="0"/>
        </w:rPr>
        <w:t xml:space="preserve"> and Myeloma Australia. </w:t>
      </w:r>
      <w:r w:rsidR="00B848F4" w:rsidRPr="005E15BD">
        <w:rPr>
          <w:snapToGrid w:val="0"/>
        </w:rPr>
        <w:t xml:space="preserve">These organisations </w:t>
      </w:r>
      <w:r w:rsidR="00110E80" w:rsidRPr="005E15BD">
        <w:rPr>
          <w:snapToGrid w:val="0"/>
        </w:rPr>
        <w:t>strongly supported the PBS listing of belantamab mafodotin</w:t>
      </w:r>
      <w:r w:rsidR="008F5F79" w:rsidRPr="005E15BD">
        <w:rPr>
          <w:snapToGrid w:val="0"/>
        </w:rPr>
        <w:t xml:space="preserve">, </w:t>
      </w:r>
      <w:r w:rsidR="00B848F4" w:rsidRPr="005E15BD">
        <w:rPr>
          <w:snapToGrid w:val="0"/>
        </w:rPr>
        <w:t>highlight</w:t>
      </w:r>
      <w:r w:rsidR="008F5F79" w:rsidRPr="005E15BD">
        <w:rPr>
          <w:snapToGrid w:val="0"/>
        </w:rPr>
        <w:t>ing</w:t>
      </w:r>
      <w:r w:rsidR="00B848F4" w:rsidRPr="005E15BD">
        <w:rPr>
          <w:snapToGrid w:val="0"/>
        </w:rPr>
        <w:t xml:space="preserve"> the results of the DREAMM-7 trial</w:t>
      </w:r>
      <w:r w:rsidR="008F5F79" w:rsidRPr="005E15BD">
        <w:rPr>
          <w:snapToGrid w:val="0"/>
        </w:rPr>
        <w:t xml:space="preserve">. </w:t>
      </w:r>
      <w:r w:rsidR="00043DEA" w:rsidRPr="005E15BD">
        <w:rPr>
          <w:snapToGrid w:val="0"/>
        </w:rPr>
        <w:t>The groups highlighted the financial burden of accessing drugs that are not listed on the PBS</w:t>
      </w:r>
      <w:r w:rsidR="00AB4519" w:rsidRPr="005E15BD">
        <w:rPr>
          <w:snapToGrid w:val="0"/>
        </w:rPr>
        <w:t xml:space="preserve"> and the equity issues this causes. </w:t>
      </w:r>
      <w:r w:rsidR="00520076" w:rsidRPr="005E15BD">
        <w:rPr>
          <w:snapToGrid w:val="0"/>
        </w:rPr>
        <w:t xml:space="preserve">Myeloma Australia stated that restricting BmBd to the second-line setting </w:t>
      </w:r>
      <w:r w:rsidR="00CD2BF7" w:rsidRPr="005E15BD">
        <w:rPr>
          <w:snapToGrid w:val="0"/>
        </w:rPr>
        <w:t xml:space="preserve">conflicted with the discussions at the </w:t>
      </w:r>
      <w:r w:rsidR="00F63A1C" w:rsidRPr="005E15BD">
        <w:rPr>
          <w:snapToGrid w:val="0"/>
        </w:rPr>
        <w:t xml:space="preserve">Multiple Myeloma Stakeholder Group meeting in July 2025 and would limit </w:t>
      </w:r>
      <w:r w:rsidR="005E15BD">
        <w:rPr>
          <w:snapToGrid w:val="0"/>
        </w:rPr>
        <w:t xml:space="preserve">patient </w:t>
      </w:r>
      <w:r w:rsidR="00F63A1C" w:rsidRPr="005E15BD">
        <w:rPr>
          <w:snapToGrid w:val="0"/>
        </w:rPr>
        <w:t>access</w:t>
      </w:r>
      <w:r w:rsidR="005E15BD">
        <w:rPr>
          <w:snapToGrid w:val="0"/>
        </w:rPr>
        <w:t xml:space="preserve"> to beneficial treatments</w:t>
      </w:r>
      <w:r w:rsidR="00F63A1C" w:rsidRPr="005E15BD">
        <w:rPr>
          <w:snapToGrid w:val="0"/>
        </w:rPr>
        <w:t xml:space="preserve">. </w:t>
      </w:r>
      <w:bookmarkEnd w:id="16"/>
      <w:bookmarkEnd w:id="18"/>
    </w:p>
    <w:p w14:paraId="172CB8A1" w14:textId="77777777" w:rsidR="009A4137" w:rsidRPr="00512D7B" w:rsidRDefault="009A4137" w:rsidP="009A4137">
      <w:pPr>
        <w:pStyle w:val="COMESSubsectionheading"/>
      </w:pPr>
      <w:bookmarkStart w:id="19" w:name="_Toc203036191"/>
      <w:bookmarkStart w:id="20" w:name="_Toc208839489"/>
      <w:r w:rsidRPr="00512D7B">
        <w:t>Clinical trials</w:t>
      </w:r>
      <w:bookmarkEnd w:id="19"/>
      <w:bookmarkEnd w:id="20"/>
    </w:p>
    <w:p w14:paraId="29B3B242" w14:textId="1ECCF90C" w:rsidR="009A4137" w:rsidRPr="0028775D" w:rsidRDefault="009A4137" w:rsidP="009A4137">
      <w:pPr>
        <w:pStyle w:val="COMESnumberedpara"/>
        <w:rPr>
          <w:color w:val="0066FF"/>
        </w:rPr>
      </w:pPr>
      <w:r w:rsidRPr="00512D7B">
        <w:t xml:space="preserve">The submission was based on one head-to-head randomised trial comparing </w:t>
      </w:r>
      <w:r w:rsidR="00834591" w:rsidRPr="00512D7B">
        <w:t>BmBd</w:t>
      </w:r>
      <w:r w:rsidRPr="00512D7B">
        <w:t xml:space="preserve"> to </w:t>
      </w:r>
      <w:r w:rsidR="001C413B" w:rsidRPr="00512D7B">
        <w:t>DBd</w:t>
      </w:r>
      <w:r w:rsidRPr="00512D7B">
        <w:t xml:space="preserve"> in patients who had </w:t>
      </w:r>
      <w:r w:rsidR="00960FBC" w:rsidRPr="00512D7B">
        <w:t xml:space="preserve">RRMM </w:t>
      </w:r>
      <w:r w:rsidRPr="00512D7B">
        <w:t xml:space="preserve">after at least one line of therapy (DREAMM-7). </w:t>
      </w:r>
    </w:p>
    <w:p w14:paraId="021D3E75" w14:textId="77777777" w:rsidR="0028775D" w:rsidRPr="00512D7B" w:rsidRDefault="0028775D" w:rsidP="0028775D">
      <w:pPr>
        <w:pStyle w:val="COMESnumberedpara"/>
      </w:pPr>
      <w:r w:rsidRPr="00512D7B">
        <w:t xml:space="preserve">The submission also identified a head-to-head randomised trial (DREAMM-8) comparing </w:t>
      </w:r>
      <w:proofErr w:type="spellStart"/>
      <w:r w:rsidRPr="00512D7B">
        <w:t>BmPd</w:t>
      </w:r>
      <w:proofErr w:type="spellEnd"/>
      <w:r w:rsidRPr="00512D7B">
        <w:t xml:space="preserve"> to pomalidomide in combination with bortezomib and dexamethasone (</w:t>
      </w:r>
      <w:proofErr w:type="spellStart"/>
      <w:r w:rsidRPr="00512D7B">
        <w:t>PBd</w:t>
      </w:r>
      <w:proofErr w:type="spellEnd"/>
      <w:r w:rsidRPr="00512D7B">
        <w:t xml:space="preserve">) in lenalidomide-exposed patients who had RRMM after at least one line of therapy (N=302). The submission stated that listing of </w:t>
      </w:r>
      <w:proofErr w:type="spellStart"/>
      <w:r w:rsidRPr="00512D7B">
        <w:t>BmPd</w:t>
      </w:r>
      <w:proofErr w:type="spellEnd"/>
      <w:r w:rsidRPr="00512D7B">
        <w:t xml:space="preserve"> was not requested on the basis that the overall survival data for the DREAMM-8 trial are immature. </w:t>
      </w:r>
    </w:p>
    <w:p w14:paraId="6DCA6989" w14:textId="4390904E" w:rsidR="009A4137" w:rsidRPr="00512D7B" w:rsidRDefault="009A4137" w:rsidP="009A4137">
      <w:pPr>
        <w:pStyle w:val="COMESnumberedpara"/>
      </w:pPr>
      <w:r w:rsidRPr="00512D7B">
        <w:lastRenderedPageBreak/>
        <w:t xml:space="preserve">Details of the included trial presented in the submission are provided in </w:t>
      </w:r>
      <w:r w:rsidRPr="00512D7B">
        <w:fldChar w:fldCharType="begin"/>
      </w:r>
      <w:r w:rsidRPr="00512D7B">
        <w:instrText xml:space="preserve"> REF _Ref206410836 \h </w:instrText>
      </w:r>
      <w:r w:rsidRPr="00512D7B">
        <w:fldChar w:fldCharType="separate"/>
      </w:r>
      <w:r w:rsidR="00674A1F" w:rsidRPr="00512D7B">
        <w:t xml:space="preserve">Table </w:t>
      </w:r>
      <w:r w:rsidR="00674A1F">
        <w:rPr>
          <w:noProof/>
        </w:rPr>
        <w:t>2</w:t>
      </w:r>
      <w:r w:rsidRPr="00512D7B">
        <w:fldChar w:fldCharType="end"/>
      </w:r>
      <w:r w:rsidRPr="00512D7B">
        <w:t>. </w:t>
      </w:r>
    </w:p>
    <w:p w14:paraId="093FABA0" w14:textId="45575E85" w:rsidR="009A4137" w:rsidRPr="00512D7B" w:rsidRDefault="009A4137" w:rsidP="009A4137">
      <w:pPr>
        <w:pStyle w:val="COMTableFigurecaption"/>
      </w:pPr>
      <w:bookmarkStart w:id="21" w:name="_Ref206410836"/>
      <w:r w:rsidRPr="00512D7B">
        <w:t xml:space="preserve">Table </w:t>
      </w:r>
      <w:r w:rsidR="00194BBE">
        <w:fldChar w:fldCharType="begin"/>
      </w:r>
      <w:r w:rsidR="00194BBE">
        <w:instrText xml:space="preserve"> SEQ Table \* ARABIC </w:instrText>
      </w:r>
      <w:r w:rsidR="00194BBE">
        <w:fldChar w:fldCharType="separate"/>
      </w:r>
      <w:r w:rsidR="00674A1F">
        <w:rPr>
          <w:noProof/>
        </w:rPr>
        <w:t>2</w:t>
      </w:r>
      <w:r w:rsidR="00194BBE">
        <w:fldChar w:fldCharType="end"/>
      </w:r>
      <w:bookmarkEnd w:id="21"/>
      <w:r w:rsidRPr="00512D7B">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Trials and associated reports presented in the submission"/>
      </w:tblPr>
      <w:tblGrid>
        <w:gridCol w:w="1272"/>
        <w:gridCol w:w="5527"/>
        <w:gridCol w:w="2218"/>
      </w:tblGrid>
      <w:tr w:rsidR="009A4137" w:rsidRPr="00512D7B" w14:paraId="4B85E08B" w14:textId="77777777">
        <w:trPr>
          <w:tblHeader/>
        </w:trPr>
        <w:tc>
          <w:tcPr>
            <w:tcW w:w="705" w:type="pct"/>
            <w:vAlign w:val="center"/>
          </w:tcPr>
          <w:p w14:paraId="6AA7E088" w14:textId="77777777" w:rsidR="009A4137" w:rsidRPr="00512D7B" w:rsidRDefault="009A4137">
            <w:pPr>
              <w:pStyle w:val="COMTabletext"/>
              <w:rPr>
                <w:b/>
                <w:bCs w:val="0"/>
              </w:rPr>
            </w:pPr>
            <w:r w:rsidRPr="00512D7B">
              <w:rPr>
                <w:b/>
                <w:bCs w:val="0"/>
              </w:rPr>
              <w:t>Trial ID</w:t>
            </w:r>
          </w:p>
        </w:tc>
        <w:tc>
          <w:tcPr>
            <w:tcW w:w="3065" w:type="pct"/>
            <w:tcBorders>
              <w:bottom w:val="single" w:sz="4" w:space="0" w:color="auto"/>
            </w:tcBorders>
            <w:vAlign w:val="center"/>
          </w:tcPr>
          <w:p w14:paraId="455D9F37" w14:textId="77777777" w:rsidR="009A4137" w:rsidRPr="00512D7B" w:rsidRDefault="009A4137">
            <w:pPr>
              <w:pStyle w:val="COMTabletext"/>
              <w:jc w:val="center"/>
              <w:rPr>
                <w:b/>
                <w:bCs w:val="0"/>
              </w:rPr>
            </w:pPr>
            <w:r w:rsidRPr="00512D7B">
              <w:rPr>
                <w:b/>
                <w:bCs w:val="0"/>
              </w:rPr>
              <w:t>Protocol title/ Publication title</w:t>
            </w:r>
          </w:p>
        </w:tc>
        <w:tc>
          <w:tcPr>
            <w:tcW w:w="1230" w:type="pct"/>
            <w:tcBorders>
              <w:bottom w:val="single" w:sz="4" w:space="0" w:color="auto"/>
            </w:tcBorders>
          </w:tcPr>
          <w:p w14:paraId="33B1EAB5" w14:textId="77777777" w:rsidR="009A4137" w:rsidRPr="00512D7B" w:rsidRDefault="009A4137">
            <w:pPr>
              <w:pStyle w:val="COMTabletext"/>
              <w:jc w:val="center"/>
              <w:rPr>
                <w:b/>
                <w:bCs w:val="0"/>
              </w:rPr>
            </w:pPr>
            <w:r w:rsidRPr="00512D7B">
              <w:rPr>
                <w:b/>
                <w:bCs w:val="0"/>
              </w:rPr>
              <w:t>Publication citation</w:t>
            </w:r>
          </w:p>
        </w:tc>
      </w:tr>
      <w:tr w:rsidR="009A4137" w:rsidRPr="00512D7B" w14:paraId="2E452780" w14:textId="77777777">
        <w:tc>
          <w:tcPr>
            <w:tcW w:w="705" w:type="pct"/>
            <w:vMerge w:val="restart"/>
            <w:vAlign w:val="center"/>
          </w:tcPr>
          <w:p w14:paraId="6A041693" w14:textId="77777777" w:rsidR="009A4137" w:rsidRPr="00512D7B" w:rsidRDefault="009A4137">
            <w:pPr>
              <w:pStyle w:val="COMTabletext"/>
            </w:pPr>
            <w:r w:rsidRPr="00512D7B">
              <w:rPr>
                <w:color w:val="0D0D0D" w:themeColor="text1" w:themeTint="F2"/>
              </w:rPr>
              <w:t>DREAMM-7 (NCT04246047)</w:t>
            </w:r>
          </w:p>
        </w:tc>
        <w:tc>
          <w:tcPr>
            <w:tcW w:w="3065" w:type="pct"/>
            <w:tcBorders>
              <w:bottom w:val="nil"/>
            </w:tcBorders>
          </w:tcPr>
          <w:p w14:paraId="39E2FCB0" w14:textId="77777777" w:rsidR="009A4137" w:rsidRPr="00512D7B" w:rsidRDefault="009A4137">
            <w:pPr>
              <w:pStyle w:val="COMTabletext"/>
              <w:rPr>
                <w:szCs w:val="18"/>
              </w:rPr>
            </w:pPr>
            <w:r w:rsidRPr="00512D7B">
              <w:t>A multicenter, open-label, randomised phase III study to evaluate the efficacy and safety of the combination of belantamab mafodotin, bortezomib, and dexamethasone (B-</w:t>
            </w:r>
            <w:proofErr w:type="spellStart"/>
            <w:r w:rsidRPr="00512D7B">
              <w:t>Vd</w:t>
            </w:r>
            <w:proofErr w:type="spellEnd"/>
            <w:r w:rsidRPr="00512D7B">
              <w:t>) compared with the combination of daratumumab, bortezomib and dexamethasone (D-</w:t>
            </w:r>
            <w:proofErr w:type="spellStart"/>
            <w:r w:rsidRPr="00512D7B">
              <w:t>Vd</w:t>
            </w:r>
            <w:proofErr w:type="spellEnd"/>
            <w:r w:rsidRPr="00512D7B">
              <w:t xml:space="preserve">) in participants with RRMM (DREAMM-7). </w:t>
            </w:r>
          </w:p>
        </w:tc>
        <w:tc>
          <w:tcPr>
            <w:tcW w:w="1230" w:type="pct"/>
            <w:tcBorders>
              <w:bottom w:val="nil"/>
            </w:tcBorders>
          </w:tcPr>
          <w:p w14:paraId="5404CC5F" w14:textId="77777777" w:rsidR="009A4137" w:rsidRPr="00512D7B" w:rsidRDefault="009A4137">
            <w:pPr>
              <w:pStyle w:val="COMTabletext"/>
            </w:pPr>
            <w:r w:rsidRPr="00512D7B">
              <w:t>Clinical study report, February 2024, with June 2024 errata</w:t>
            </w:r>
          </w:p>
          <w:p w14:paraId="57212995" w14:textId="77777777" w:rsidR="009A4137" w:rsidRPr="00512D7B" w:rsidRDefault="009A4137">
            <w:pPr>
              <w:pStyle w:val="COMTabletext"/>
            </w:pPr>
            <w:r w:rsidRPr="00512D7B">
              <w:t>Clinical study report, January 2025</w:t>
            </w:r>
          </w:p>
        </w:tc>
      </w:tr>
      <w:tr w:rsidR="009A4137" w:rsidRPr="00512D7B" w14:paraId="64811645" w14:textId="77777777">
        <w:trPr>
          <w:trHeight w:val="62"/>
        </w:trPr>
        <w:tc>
          <w:tcPr>
            <w:tcW w:w="705" w:type="pct"/>
            <w:vMerge/>
            <w:vAlign w:val="center"/>
          </w:tcPr>
          <w:p w14:paraId="2E092255" w14:textId="77777777" w:rsidR="009A4137" w:rsidRPr="00512D7B" w:rsidRDefault="009A4137">
            <w:pPr>
              <w:pStyle w:val="COMTabletext"/>
            </w:pPr>
          </w:p>
        </w:tc>
        <w:tc>
          <w:tcPr>
            <w:tcW w:w="3065" w:type="pct"/>
            <w:tcBorders>
              <w:top w:val="nil"/>
              <w:bottom w:val="single" w:sz="4" w:space="0" w:color="auto"/>
            </w:tcBorders>
          </w:tcPr>
          <w:p w14:paraId="2F76DFA3" w14:textId="77777777" w:rsidR="009A4137" w:rsidRPr="00512D7B" w:rsidRDefault="009A4137">
            <w:pPr>
              <w:pStyle w:val="COMTabletext"/>
              <w:rPr>
                <w:szCs w:val="18"/>
              </w:rPr>
            </w:pPr>
            <w:r w:rsidRPr="00512D7B">
              <w:t xml:space="preserve">Hungria V, Robak P, Hus M, </w:t>
            </w:r>
            <w:r w:rsidRPr="00512D7B">
              <w:rPr>
                <w:i/>
                <w:iCs/>
              </w:rPr>
              <w:t>et al</w:t>
            </w:r>
            <w:r w:rsidRPr="00512D7B">
              <w:t>. Belantamab mafodotin, bortezomib, and dexamethasone for multiple myeloma.</w:t>
            </w:r>
          </w:p>
        </w:tc>
        <w:tc>
          <w:tcPr>
            <w:tcW w:w="1230" w:type="pct"/>
            <w:tcBorders>
              <w:top w:val="nil"/>
              <w:bottom w:val="single" w:sz="4" w:space="0" w:color="auto"/>
            </w:tcBorders>
          </w:tcPr>
          <w:p w14:paraId="7E6E3200" w14:textId="77777777" w:rsidR="009A4137" w:rsidRPr="00512D7B" w:rsidRDefault="009A4137">
            <w:pPr>
              <w:pStyle w:val="COMTabletext"/>
              <w:rPr>
                <w:szCs w:val="18"/>
              </w:rPr>
            </w:pPr>
            <w:r w:rsidRPr="00512D7B">
              <w:rPr>
                <w:i/>
                <w:iCs/>
                <w:szCs w:val="18"/>
              </w:rPr>
              <w:t xml:space="preserve">NEJM </w:t>
            </w:r>
            <w:r w:rsidRPr="00512D7B">
              <w:rPr>
                <w:szCs w:val="18"/>
              </w:rPr>
              <w:t>2024; 391(5):393-407.</w:t>
            </w:r>
          </w:p>
        </w:tc>
      </w:tr>
    </w:tbl>
    <w:p w14:paraId="4740410A" w14:textId="77777777" w:rsidR="009A4137" w:rsidRPr="00512D7B" w:rsidRDefault="009A4137" w:rsidP="009A4137">
      <w:pPr>
        <w:pStyle w:val="COMTablefooter"/>
      </w:pPr>
      <w:r w:rsidRPr="00512D7B">
        <w:t>Source: Table 2-3, p54 of the submission; Attachment 2.1, 2.2 of Section 2 in the submission.</w:t>
      </w:r>
    </w:p>
    <w:p w14:paraId="070BECA9" w14:textId="77777777" w:rsidR="009A4137" w:rsidRPr="00512D7B" w:rsidRDefault="009A4137" w:rsidP="009A4137">
      <w:pPr>
        <w:pStyle w:val="COMTablefooter"/>
      </w:pPr>
      <w:r w:rsidRPr="00512D7B">
        <w:t xml:space="preserve">Note: Citations relating to conference abstracts omitted. </w:t>
      </w:r>
    </w:p>
    <w:p w14:paraId="6F82C291" w14:textId="16319237" w:rsidR="009A4137" w:rsidRPr="00512D7B" w:rsidRDefault="009A4137" w:rsidP="009A4137">
      <w:pPr>
        <w:pStyle w:val="COMESnumberedpara"/>
        <w:rPr>
          <w:color w:val="0066FF"/>
        </w:rPr>
      </w:pPr>
      <w:r w:rsidRPr="00512D7B">
        <w:t xml:space="preserve">The key features of the DREAMM-7 trial are summarised in </w:t>
      </w:r>
      <w:r w:rsidR="00DB4362" w:rsidRPr="00512D7B">
        <w:fldChar w:fldCharType="begin"/>
      </w:r>
      <w:r w:rsidR="00DB4362" w:rsidRPr="00512D7B">
        <w:instrText xml:space="preserve"> REF _Ref208486026 \h </w:instrText>
      </w:r>
      <w:r w:rsidR="00DB4362" w:rsidRPr="00512D7B">
        <w:fldChar w:fldCharType="separate"/>
      </w:r>
      <w:r w:rsidR="00674A1F" w:rsidRPr="00512D7B">
        <w:t xml:space="preserve">Table </w:t>
      </w:r>
      <w:r w:rsidR="00674A1F">
        <w:rPr>
          <w:noProof/>
        </w:rPr>
        <w:t>3</w:t>
      </w:r>
      <w:r w:rsidR="00DB4362" w:rsidRPr="00512D7B">
        <w:fldChar w:fldCharType="end"/>
      </w:r>
      <w:r w:rsidR="00DB4362" w:rsidRPr="00512D7B">
        <w:t>.</w:t>
      </w:r>
    </w:p>
    <w:p w14:paraId="066F3734" w14:textId="201ECA2B" w:rsidR="009A4137" w:rsidRPr="00512D7B" w:rsidRDefault="009A4137" w:rsidP="009A4137">
      <w:pPr>
        <w:pStyle w:val="COMTableFigurecaption"/>
      </w:pPr>
      <w:bookmarkStart w:id="22" w:name="_Ref208486026"/>
      <w:r w:rsidRPr="00512D7B">
        <w:t xml:space="preserve">Table </w:t>
      </w:r>
      <w:r w:rsidR="00194BBE">
        <w:fldChar w:fldCharType="begin"/>
      </w:r>
      <w:r w:rsidR="00194BBE">
        <w:instrText xml:space="preserve"> SEQ Table \* ARABIC </w:instrText>
      </w:r>
      <w:r w:rsidR="00194BBE">
        <w:fldChar w:fldCharType="separate"/>
      </w:r>
      <w:r w:rsidR="00674A1F">
        <w:rPr>
          <w:noProof/>
        </w:rPr>
        <w:t>3</w:t>
      </w:r>
      <w:r w:rsidR="00194BBE">
        <w:fldChar w:fldCharType="end"/>
      </w:r>
      <w:bookmarkEnd w:id="22"/>
      <w:r w:rsidRPr="00512D7B">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8"/>
        <w:gridCol w:w="709"/>
        <w:gridCol w:w="1701"/>
        <w:gridCol w:w="851"/>
        <w:gridCol w:w="2124"/>
        <w:gridCol w:w="1277"/>
        <w:gridCol w:w="1367"/>
      </w:tblGrid>
      <w:tr w:rsidR="009A4137" w:rsidRPr="00512D7B" w14:paraId="09FD9166" w14:textId="77777777">
        <w:trPr>
          <w:cantSplit/>
          <w:tblHeader/>
        </w:trPr>
        <w:tc>
          <w:tcPr>
            <w:tcW w:w="548" w:type="pct"/>
            <w:vAlign w:val="center"/>
          </w:tcPr>
          <w:p w14:paraId="73A5898C" w14:textId="77777777" w:rsidR="009A4137" w:rsidRPr="00512D7B" w:rsidRDefault="009A4137">
            <w:pPr>
              <w:pStyle w:val="COMTableheadingrow"/>
            </w:pPr>
            <w:r w:rsidRPr="00512D7B">
              <w:t>Trial</w:t>
            </w:r>
          </w:p>
        </w:tc>
        <w:tc>
          <w:tcPr>
            <w:tcW w:w="393" w:type="pct"/>
            <w:vAlign w:val="center"/>
          </w:tcPr>
          <w:p w14:paraId="309AC0E3" w14:textId="77777777" w:rsidR="009A4137" w:rsidRPr="00512D7B" w:rsidRDefault="009A4137">
            <w:pPr>
              <w:pStyle w:val="COMTableheadingrow"/>
              <w:jc w:val="center"/>
            </w:pPr>
            <w:r w:rsidRPr="00512D7B">
              <w:t>N</w:t>
            </w:r>
          </w:p>
        </w:tc>
        <w:tc>
          <w:tcPr>
            <w:tcW w:w="943" w:type="pct"/>
            <w:vAlign w:val="center"/>
          </w:tcPr>
          <w:p w14:paraId="3BE69636" w14:textId="77777777" w:rsidR="009A4137" w:rsidRPr="00512D7B" w:rsidRDefault="009A4137">
            <w:pPr>
              <w:pStyle w:val="COMTableheadingrow"/>
              <w:jc w:val="center"/>
            </w:pPr>
            <w:r w:rsidRPr="00512D7B">
              <w:t>Design/duration</w:t>
            </w:r>
          </w:p>
        </w:tc>
        <w:tc>
          <w:tcPr>
            <w:tcW w:w="472" w:type="pct"/>
            <w:vAlign w:val="center"/>
          </w:tcPr>
          <w:p w14:paraId="181D75FA" w14:textId="77777777" w:rsidR="009A4137" w:rsidRPr="00512D7B" w:rsidRDefault="009A4137">
            <w:pPr>
              <w:pStyle w:val="COMTableheadingrow"/>
              <w:jc w:val="center"/>
            </w:pPr>
            <w:r w:rsidRPr="00512D7B">
              <w:t>Risk of bias</w:t>
            </w:r>
          </w:p>
        </w:tc>
        <w:tc>
          <w:tcPr>
            <w:tcW w:w="1178" w:type="pct"/>
            <w:vAlign w:val="center"/>
          </w:tcPr>
          <w:p w14:paraId="3D43C1ED" w14:textId="77777777" w:rsidR="009A4137" w:rsidRPr="00512D7B" w:rsidRDefault="009A4137">
            <w:pPr>
              <w:pStyle w:val="COMTableheadingrow"/>
              <w:jc w:val="center"/>
            </w:pPr>
            <w:r w:rsidRPr="00512D7B">
              <w:t>Patient population</w:t>
            </w:r>
          </w:p>
        </w:tc>
        <w:tc>
          <w:tcPr>
            <w:tcW w:w="708" w:type="pct"/>
            <w:vAlign w:val="center"/>
          </w:tcPr>
          <w:p w14:paraId="6B736D39" w14:textId="77777777" w:rsidR="009A4137" w:rsidRPr="00512D7B" w:rsidRDefault="009A4137">
            <w:pPr>
              <w:pStyle w:val="COMTableheadingrow"/>
              <w:jc w:val="center"/>
            </w:pPr>
            <w:r w:rsidRPr="00512D7B">
              <w:t>Outcomes</w:t>
            </w:r>
          </w:p>
        </w:tc>
        <w:tc>
          <w:tcPr>
            <w:tcW w:w="758" w:type="pct"/>
            <w:vAlign w:val="center"/>
          </w:tcPr>
          <w:p w14:paraId="46321287" w14:textId="77777777" w:rsidR="009A4137" w:rsidRPr="00512D7B" w:rsidRDefault="009A4137">
            <w:pPr>
              <w:pStyle w:val="COMTableheadingrow"/>
              <w:jc w:val="center"/>
            </w:pPr>
            <w:r w:rsidRPr="00512D7B">
              <w:t>Use in modelled evaluation</w:t>
            </w:r>
          </w:p>
        </w:tc>
      </w:tr>
      <w:tr w:rsidR="009A4137" w:rsidRPr="00512D7B" w14:paraId="575EB200" w14:textId="77777777">
        <w:trPr>
          <w:cantSplit/>
        </w:trPr>
        <w:tc>
          <w:tcPr>
            <w:tcW w:w="5000" w:type="pct"/>
            <w:gridSpan w:val="7"/>
            <w:vAlign w:val="center"/>
          </w:tcPr>
          <w:p w14:paraId="5FBFAD0D" w14:textId="4999B15D" w:rsidR="009A4137" w:rsidRPr="00512D7B" w:rsidRDefault="00834591">
            <w:pPr>
              <w:pStyle w:val="COMTableheadingrow"/>
            </w:pPr>
            <w:r w:rsidRPr="00512D7B">
              <w:t>BmBd</w:t>
            </w:r>
            <w:r w:rsidR="009A4137" w:rsidRPr="00512D7B">
              <w:t xml:space="preserve"> versus </w:t>
            </w:r>
            <w:r w:rsidR="001C413B" w:rsidRPr="00512D7B">
              <w:t>DBd</w:t>
            </w:r>
          </w:p>
        </w:tc>
      </w:tr>
      <w:tr w:rsidR="009A4137" w:rsidRPr="00512D7B" w14:paraId="235942E9" w14:textId="77777777">
        <w:trPr>
          <w:cantSplit/>
        </w:trPr>
        <w:tc>
          <w:tcPr>
            <w:tcW w:w="548" w:type="pct"/>
            <w:vAlign w:val="center"/>
          </w:tcPr>
          <w:p w14:paraId="66DF8184" w14:textId="77777777" w:rsidR="009A4137" w:rsidRPr="00512D7B" w:rsidRDefault="009A4137">
            <w:pPr>
              <w:pStyle w:val="COMTabletext"/>
            </w:pPr>
            <w:r w:rsidRPr="00512D7B">
              <w:t>DREAMM-7</w:t>
            </w:r>
          </w:p>
        </w:tc>
        <w:tc>
          <w:tcPr>
            <w:tcW w:w="393" w:type="pct"/>
            <w:vAlign w:val="center"/>
          </w:tcPr>
          <w:p w14:paraId="277884CA" w14:textId="77777777" w:rsidR="009A4137" w:rsidRPr="00512D7B" w:rsidRDefault="009A4137">
            <w:pPr>
              <w:pStyle w:val="COMTabletext"/>
              <w:jc w:val="center"/>
            </w:pPr>
            <w:r w:rsidRPr="00512D7B">
              <w:t>494</w:t>
            </w:r>
            <w:r w:rsidRPr="00512D7B">
              <w:rPr>
                <w:vertAlign w:val="superscript"/>
              </w:rPr>
              <w:t>a</w:t>
            </w:r>
          </w:p>
        </w:tc>
        <w:tc>
          <w:tcPr>
            <w:tcW w:w="943" w:type="pct"/>
            <w:vAlign w:val="center"/>
          </w:tcPr>
          <w:p w14:paraId="558AF912" w14:textId="796A0E26" w:rsidR="009A4137" w:rsidRPr="00512D7B" w:rsidRDefault="009A4137">
            <w:pPr>
              <w:pStyle w:val="COMTabletext"/>
              <w:jc w:val="center"/>
            </w:pPr>
            <w:r w:rsidRPr="00512D7B">
              <w:t xml:space="preserve">Phase 3, multicentre, </w:t>
            </w:r>
            <w:r w:rsidR="004F6A99" w:rsidRPr="00512D7B">
              <w:t>open label</w:t>
            </w:r>
            <w:r w:rsidRPr="00512D7B">
              <w:t>, randomised controlled trial.</w:t>
            </w:r>
          </w:p>
          <w:p w14:paraId="4F821083" w14:textId="77777777" w:rsidR="009A4137" w:rsidRPr="00512D7B" w:rsidRDefault="009A4137">
            <w:pPr>
              <w:pStyle w:val="COMTabletext"/>
              <w:jc w:val="center"/>
            </w:pPr>
            <w:r w:rsidRPr="00512D7B">
              <w:t>Median follow-up of up to 39.4 months</w:t>
            </w:r>
          </w:p>
        </w:tc>
        <w:tc>
          <w:tcPr>
            <w:tcW w:w="472" w:type="pct"/>
            <w:vAlign w:val="center"/>
          </w:tcPr>
          <w:p w14:paraId="4BC05DC9" w14:textId="77777777" w:rsidR="009A4137" w:rsidRPr="00512D7B" w:rsidRDefault="009A4137">
            <w:pPr>
              <w:pStyle w:val="COMTabletext"/>
              <w:jc w:val="center"/>
              <w:rPr>
                <w:iCs/>
                <w:highlight w:val="yellow"/>
              </w:rPr>
            </w:pPr>
            <w:r w:rsidRPr="00512D7B">
              <w:rPr>
                <w:iCs/>
              </w:rPr>
              <w:t>Unclear</w:t>
            </w:r>
          </w:p>
        </w:tc>
        <w:tc>
          <w:tcPr>
            <w:tcW w:w="1178" w:type="pct"/>
            <w:vAlign w:val="center"/>
          </w:tcPr>
          <w:p w14:paraId="2DDACCF3" w14:textId="77777777" w:rsidR="009A4137" w:rsidRPr="00512D7B" w:rsidRDefault="009A4137">
            <w:pPr>
              <w:pStyle w:val="COMTabletext"/>
              <w:jc w:val="center"/>
            </w:pPr>
            <w:r w:rsidRPr="00512D7B">
              <w:t>Adults with multiple myeloma who had received ≥1 line of therapy and had experienced disease progression during or after the most recent therapy</w:t>
            </w:r>
          </w:p>
        </w:tc>
        <w:tc>
          <w:tcPr>
            <w:tcW w:w="708" w:type="pct"/>
            <w:vAlign w:val="center"/>
          </w:tcPr>
          <w:p w14:paraId="3DF55374" w14:textId="77777777" w:rsidR="009A4137" w:rsidRPr="00512D7B" w:rsidRDefault="009A4137">
            <w:pPr>
              <w:pStyle w:val="COMTabletext"/>
              <w:jc w:val="center"/>
            </w:pPr>
            <w:r w:rsidRPr="00512D7B">
              <w:t>PFS, OS, DOR, MDR negativity rate, HRQoL, adverse events</w:t>
            </w:r>
          </w:p>
        </w:tc>
        <w:tc>
          <w:tcPr>
            <w:tcW w:w="758" w:type="pct"/>
            <w:vAlign w:val="center"/>
          </w:tcPr>
          <w:p w14:paraId="078F666E" w14:textId="77777777" w:rsidR="009A4137" w:rsidRPr="00512D7B" w:rsidRDefault="009A4137">
            <w:pPr>
              <w:pStyle w:val="COMTabletext"/>
              <w:jc w:val="center"/>
            </w:pPr>
            <w:r w:rsidRPr="00512D7B">
              <w:t>PFS, OS, adverse events, EQ-5D-3L, use of subsequent treatments</w:t>
            </w:r>
          </w:p>
        </w:tc>
      </w:tr>
    </w:tbl>
    <w:p w14:paraId="326899EB" w14:textId="77777777" w:rsidR="009A4137" w:rsidRPr="00512D7B" w:rsidRDefault="009A4137" w:rsidP="009A4137">
      <w:pPr>
        <w:pStyle w:val="COMTablefooter"/>
      </w:pPr>
      <w:r w:rsidRPr="00512D7B">
        <w:t>Source: Section 2.3, Section 2.4, pp56-77 of the submission</w:t>
      </w:r>
    </w:p>
    <w:p w14:paraId="71E5ABD4" w14:textId="3EF79F52" w:rsidR="009A4137" w:rsidRPr="00512D7B" w:rsidRDefault="009A4137" w:rsidP="009A4137">
      <w:pPr>
        <w:pStyle w:val="COMTablefooter"/>
      </w:pPr>
      <w:r w:rsidRPr="00512D7B">
        <w:t xml:space="preserve">Abbreviations: </w:t>
      </w:r>
      <w:r w:rsidR="00834591" w:rsidRPr="00512D7B">
        <w:t>BmBd</w:t>
      </w:r>
      <w:r w:rsidRPr="00512D7B">
        <w:t xml:space="preserve">, belantamab mafodotin in combination with bortezomib and dexamethasone; DOR, </w:t>
      </w:r>
      <w:r w:rsidRPr="00512D7B">
        <w:rPr>
          <w:rFonts w:hint="eastAsia"/>
          <w:lang w:eastAsia="zh-CN"/>
        </w:rPr>
        <w:t>d</w:t>
      </w:r>
      <w:r w:rsidRPr="00512D7B">
        <w:rPr>
          <w:lang w:eastAsia="zh-CN"/>
        </w:rPr>
        <w:t xml:space="preserve">uration of </w:t>
      </w:r>
      <w:r w:rsidRPr="00512D7B">
        <w:rPr>
          <w:rFonts w:hint="eastAsia"/>
          <w:lang w:eastAsia="zh-CN"/>
        </w:rPr>
        <w:t>r</w:t>
      </w:r>
      <w:r w:rsidRPr="00512D7B">
        <w:rPr>
          <w:lang w:eastAsia="zh-CN"/>
        </w:rPr>
        <w:t xml:space="preserve">esponse; </w:t>
      </w:r>
      <w:r w:rsidR="001C413B" w:rsidRPr="00512D7B">
        <w:t>DBd</w:t>
      </w:r>
      <w:r w:rsidRPr="00512D7B">
        <w:t xml:space="preserve">, daratumumab in combination with bortezomib and dexamethasone; HRQoL, health-related quality of life; MDR, </w:t>
      </w:r>
      <w:r w:rsidRPr="00512D7B">
        <w:rPr>
          <w:rFonts w:hint="eastAsia"/>
          <w:lang w:eastAsia="zh-CN"/>
        </w:rPr>
        <w:t>m</w:t>
      </w:r>
      <w:r w:rsidRPr="00512D7B">
        <w:rPr>
          <w:lang w:eastAsia="zh-CN"/>
        </w:rPr>
        <w:t xml:space="preserve">inimal </w:t>
      </w:r>
      <w:r w:rsidRPr="00512D7B">
        <w:rPr>
          <w:rFonts w:hint="eastAsia"/>
          <w:lang w:eastAsia="zh-CN"/>
        </w:rPr>
        <w:t>r</w:t>
      </w:r>
      <w:r w:rsidRPr="00512D7B">
        <w:rPr>
          <w:lang w:eastAsia="zh-CN"/>
        </w:rPr>
        <w:t xml:space="preserve">esidual </w:t>
      </w:r>
      <w:r w:rsidRPr="00512D7B">
        <w:rPr>
          <w:rFonts w:hint="eastAsia"/>
          <w:lang w:eastAsia="zh-CN"/>
        </w:rPr>
        <w:t>d</w:t>
      </w:r>
      <w:r w:rsidRPr="00512D7B">
        <w:rPr>
          <w:lang w:eastAsia="zh-CN"/>
        </w:rPr>
        <w:t xml:space="preserve">isease negativity rate; </w:t>
      </w:r>
      <w:r w:rsidRPr="00512D7B">
        <w:t>OS, overall survival; PFS, progression-free survival.</w:t>
      </w:r>
    </w:p>
    <w:p w14:paraId="12FDCD98" w14:textId="77777777" w:rsidR="009A4137" w:rsidRPr="00512D7B" w:rsidRDefault="009A4137" w:rsidP="009A4137">
      <w:pPr>
        <w:pStyle w:val="COMTablefooter"/>
      </w:pPr>
      <w:r w:rsidRPr="00512D7B">
        <w:rPr>
          <w:vertAlign w:val="superscript"/>
        </w:rPr>
        <w:t xml:space="preserve">a </w:t>
      </w:r>
      <w:r w:rsidRPr="00512D7B">
        <w:t>Two subjects in the ITT analysis of the DREAMM-7 trial were randomised, not treated, re-screened and re-randomised and are counted as 4 unique subjects in the analyses.</w:t>
      </w:r>
    </w:p>
    <w:p w14:paraId="2DC4F126" w14:textId="3EE7D95A" w:rsidR="009A4137" w:rsidRPr="00AC3F7C" w:rsidRDefault="009A4137" w:rsidP="009A4137">
      <w:pPr>
        <w:pStyle w:val="COMESnumberedpara"/>
      </w:pPr>
      <w:r w:rsidRPr="00AC3F7C">
        <w:t>The DREAMM-7 trial is an ongoing trial with continuing follow-up of study participants until the accrual of 355 deaths or 5 years from the first visit of the last patient, whichever occurs first. Results in the submission are based on the first interim analysis (October 2023 data cut; median follow-up 28.2 months) and second interim analysis (October 2024 data cut; median follow-up 39.4 months).</w:t>
      </w:r>
    </w:p>
    <w:p w14:paraId="776409BB" w14:textId="77777777" w:rsidR="009A4137" w:rsidRPr="00AC3F7C" w:rsidRDefault="009A4137" w:rsidP="009A4137">
      <w:pPr>
        <w:pStyle w:val="COMESnumberedpara"/>
      </w:pPr>
      <w:r w:rsidRPr="00AC3F7C">
        <w:t xml:space="preserve">The open-label trial design has the potential to introduce bias as knowledge of treatment assignment may affect disease management decisions and assessment of outcomes that are not centrally assessed. The risk of bias was minimised as disease response and disease progression were determined by a blinded independent review committee (IRC) as per the International Myeloma Working Group (IMWG) 2016 criteria. </w:t>
      </w:r>
    </w:p>
    <w:p w14:paraId="37DD171B" w14:textId="69E49D3C" w:rsidR="006D798B" w:rsidRPr="00AC3F7C" w:rsidRDefault="00985B24" w:rsidP="00D12099">
      <w:pPr>
        <w:pStyle w:val="COMESnumberedpara"/>
      </w:pPr>
      <w:bookmarkStart w:id="23" w:name="_Ref206444384"/>
      <w:r w:rsidRPr="00AC3F7C">
        <w:t>Based on data from AIHW</w:t>
      </w:r>
      <w:r w:rsidR="00940C4D" w:rsidRPr="00AC3F7C">
        <w:t>,</w:t>
      </w:r>
      <w:r w:rsidRPr="00AC3F7C">
        <w:t xml:space="preserve"> patients in the PBS population accessing second line treatment are likely to be older than patients included in the DREAMM-7 trial</w:t>
      </w:r>
      <w:r w:rsidR="00375DF8" w:rsidRPr="00AC3F7C">
        <w:t xml:space="preserve"> (AIHW</w:t>
      </w:r>
      <w:r w:rsidR="00940C4D" w:rsidRPr="00AC3F7C">
        <w:t xml:space="preserve"> </w:t>
      </w:r>
      <w:r w:rsidR="00375DF8" w:rsidRPr="00AC3F7C">
        <w:t>mean age</w:t>
      </w:r>
      <w:r w:rsidR="00940C4D" w:rsidRPr="00AC3F7C">
        <w:t xml:space="preserve"> at diagnosis of 71.5 years versus</w:t>
      </w:r>
      <w:r w:rsidR="00320501" w:rsidRPr="00AC3F7C">
        <w:t xml:space="preserve"> mean age of 64.0 years at baseline in the </w:t>
      </w:r>
      <w:r w:rsidR="00940C4D" w:rsidRPr="00AC3F7C">
        <w:t>DREAMM-7</w:t>
      </w:r>
      <w:r w:rsidR="00320501" w:rsidRPr="00AC3F7C">
        <w:t xml:space="preserve"> trial</w:t>
      </w:r>
      <w:r w:rsidR="007130BA" w:rsidRPr="00AC3F7C">
        <w:t>)</w:t>
      </w:r>
      <w:r w:rsidR="00320501" w:rsidRPr="00AC3F7C">
        <w:t xml:space="preserve">. </w:t>
      </w:r>
      <w:r w:rsidRPr="00AC3F7C">
        <w:t xml:space="preserve">Additionally, there were other differences affecting the applicability of the results, including the number of prior lines of therapy (one prior line of therapy for the proposed PBS population versus one or more prior lines in the trial), the performance status of patients (reflected by lower rates of ASCT in the proposed PBS population compared to the trial), a higher burden of comorbidities in the PBS </w:t>
      </w:r>
      <w:r w:rsidRPr="00AC3F7C">
        <w:lastRenderedPageBreak/>
        <w:t>population, and potential differences in prior and subsequent multiple myeloma therapies. These factors may impact the effectiveness and safety of belantamab mafodotin in clinical practice.</w:t>
      </w:r>
      <w:r w:rsidR="006A31F8" w:rsidRPr="00AC3F7C">
        <w:t xml:space="preserve"> </w:t>
      </w:r>
    </w:p>
    <w:p w14:paraId="5CFC6742" w14:textId="01D681F0" w:rsidR="009A4137" w:rsidRPr="001E5DE3" w:rsidRDefault="009A4137" w:rsidP="00D12099">
      <w:pPr>
        <w:pStyle w:val="COMESnumberedpara"/>
      </w:pPr>
      <w:bookmarkStart w:id="24" w:name="_Ref206447961"/>
      <w:r w:rsidRPr="00AC3F7C">
        <w:t xml:space="preserve">The submission presented results of subgroup analyses </w:t>
      </w:r>
      <w:r w:rsidR="00BA3AAD" w:rsidRPr="00AC3F7C">
        <w:t xml:space="preserve">for </w:t>
      </w:r>
      <w:r w:rsidRPr="00AC3F7C">
        <w:t xml:space="preserve">patients from the DREAMM-7 trial with exposure to lenalidomide in any prior line of therapy, which formed the basis of the modelled economic evaluation and financial estimates.  </w:t>
      </w:r>
      <w:r w:rsidR="00D12099" w:rsidRPr="00AC3F7C">
        <w:t xml:space="preserve">The submission claimed that the lenalidomide-exposed subgroup was more applicable to the proposed PBS population than the ITT population, given increasing use of lenalidomide in the first line treatment setting in Australian clinical practice. However, </w:t>
      </w:r>
      <w:r w:rsidR="0076314B" w:rsidRPr="00AC3F7C">
        <w:t xml:space="preserve">the ESC noted that </w:t>
      </w:r>
      <w:r w:rsidR="00D12099" w:rsidRPr="00AC3F7C">
        <w:t>both the lenalidomide-exposed subgroup and the ITT population included</w:t>
      </w:r>
      <w:r w:rsidR="0092654B" w:rsidRPr="00AC3F7C">
        <w:t xml:space="preserve"> large proportions of patients with more than one prior line of therapy (49% in the ITT population</w:t>
      </w:r>
      <w:r w:rsidR="0092654B" w:rsidRPr="00176ADA">
        <w:t xml:space="preserve">; 67% </w:t>
      </w:r>
      <w:r w:rsidR="009D5BF5" w:rsidRPr="00176ADA">
        <w:t>in the lenalidomide-exposed population</w:t>
      </w:r>
      <w:bookmarkStart w:id="25" w:name="_Ref221015283"/>
      <w:r w:rsidR="00176ADA">
        <w:rPr>
          <w:rStyle w:val="FootnoteReference"/>
        </w:rPr>
        <w:footnoteReference w:id="2"/>
      </w:r>
      <w:bookmarkEnd w:id="25"/>
      <w:r w:rsidR="009D5BF5" w:rsidRPr="00176ADA">
        <w:t>)</w:t>
      </w:r>
      <w:r w:rsidR="00D12099" w:rsidRPr="00176ADA">
        <w:t>,</w:t>
      </w:r>
      <w:r w:rsidR="00D12099" w:rsidRPr="00AC3F7C">
        <w:t xml:space="preserve"> which differs from the proposed PBS population </w:t>
      </w:r>
      <w:r w:rsidR="009D5BF5" w:rsidRPr="00AC3F7C">
        <w:t>which limits treatment to patients with only one prior line of therapy.</w:t>
      </w:r>
      <w:r w:rsidR="00D12099" w:rsidRPr="00AC3F7C">
        <w:t xml:space="preserve"> </w:t>
      </w:r>
      <w:r w:rsidR="00D12099" w:rsidRPr="001E5DE3">
        <w:t xml:space="preserve">While only 34% of the overall population of patients with 1 prior line of treatment reported previous use of lenalidomide, most patients received treatment with an immunomodulatory agent (lenalidomide: 34%; thalidomide 45%; pomalidomide: </w:t>
      </w:r>
      <w:r w:rsidR="00003E6A" w:rsidRPr="001E5DE3">
        <w:t>&lt;</w:t>
      </w:r>
      <w:r w:rsidR="00D12099" w:rsidRPr="001E5DE3">
        <w:t>1%)</w:t>
      </w:r>
      <w:r w:rsidR="004C0E97">
        <w:fldChar w:fldCharType="begin"/>
      </w:r>
      <w:r w:rsidR="004C0E97">
        <w:instrText xml:space="preserve"> NOTEREF _Ref221015283 \f \h </w:instrText>
      </w:r>
      <w:r w:rsidR="004C0E97">
        <w:fldChar w:fldCharType="separate"/>
      </w:r>
      <w:r w:rsidR="00674A1F" w:rsidRPr="00674A1F">
        <w:rPr>
          <w:rStyle w:val="FootnoteReference"/>
        </w:rPr>
        <w:t>2</w:t>
      </w:r>
      <w:r w:rsidR="004C0E97">
        <w:fldChar w:fldCharType="end"/>
      </w:r>
      <w:r w:rsidR="00D12099" w:rsidRPr="001E5DE3">
        <w:t xml:space="preserve">. </w:t>
      </w:r>
      <w:bookmarkEnd w:id="23"/>
      <w:bookmarkEnd w:id="24"/>
      <w:r w:rsidR="003E4203" w:rsidRPr="001E5DE3">
        <w:t xml:space="preserve"> </w:t>
      </w:r>
    </w:p>
    <w:p w14:paraId="136FECD8" w14:textId="1F97F7F2" w:rsidR="0069163D" w:rsidRPr="00AC3F7C" w:rsidRDefault="009A4137" w:rsidP="0069163D">
      <w:pPr>
        <w:pStyle w:val="COMESnumberedpara"/>
      </w:pPr>
      <w:r w:rsidRPr="00AC3F7C">
        <w:t>The submission claimed that the subgroup of lenalidomide-exposed patients with only 1 prior line of therapy is more closely aligned to the proposed circumstances of use for belantamab mafodotin</w:t>
      </w:r>
      <w:r w:rsidR="00D169EF" w:rsidRPr="00AC3F7C">
        <w:t xml:space="preserve">. </w:t>
      </w:r>
      <w:r w:rsidR="00C577AE" w:rsidRPr="00AC3F7C">
        <w:t xml:space="preserve">However, </w:t>
      </w:r>
      <w:r w:rsidR="000848E1" w:rsidRPr="00AC3F7C">
        <w:t xml:space="preserve">analyses based on this </w:t>
      </w:r>
      <w:r w:rsidR="00C577AE" w:rsidRPr="00AC3F7C">
        <w:t>subgroup w</w:t>
      </w:r>
      <w:r w:rsidR="000848E1" w:rsidRPr="00AC3F7C">
        <w:t xml:space="preserve">ere limited by the small </w:t>
      </w:r>
      <w:r w:rsidR="00C577AE" w:rsidRPr="00AC3F7C">
        <w:t>sample size</w:t>
      </w:r>
      <w:r w:rsidR="00DA605A" w:rsidRPr="00AC3F7C">
        <w:t xml:space="preserve"> (N=84)</w:t>
      </w:r>
      <w:r w:rsidR="00C577AE" w:rsidRPr="00AC3F7C">
        <w:t xml:space="preserve">, and the </w:t>
      </w:r>
      <w:r w:rsidR="00345F2D" w:rsidRPr="00AC3F7C">
        <w:t xml:space="preserve">results may not be applicable to the </w:t>
      </w:r>
      <w:r w:rsidR="00C577AE" w:rsidRPr="00AC3F7C">
        <w:t>proposed population</w:t>
      </w:r>
      <w:r w:rsidR="00345F2D" w:rsidRPr="00AC3F7C">
        <w:t xml:space="preserve">, </w:t>
      </w:r>
      <w:r w:rsidR="0035422B" w:rsidRPr="00AC3F7C">
        <w:t>as</w:t>
      </w:r>
      <w:r w:rsidR="00345F2D" w:rsidRPr="00AC3F7C">
        <w:t xml:space="preserve"> the proposed restriction</w:t>
      </w:r>
      <w:r w:rsidR="00C577AE" w:rsidRPr="00AC3F7C">
        <w:t xml:space="preserve"> is not </w:t>
      </w:r>
      <w:r w:rsidR="00DA605A" w:rsidRPr="00AC3F7C">
        <w:t xml:space="preserve">limited to patients with prior lenalidomide therapy. </w:t>
      </w:r>
      <w:r w:rsidR="0069163D" w:rsidRPr="00AC3F7C">
        <w:t xml:space="preserve">Detailed results for this subgroup were not presented in the submission. </w:t>
      </w:r>
    </w:p>
    <w:p w14:paraId="28E5E9B1" w14:textId="3C8FA199" w:rsidR="00E655B8" w:rsidRPr="00AC3F7C" w:rsidRDefault="009A0F9B" w:rsidP="009A4137">
      <w:pPr>
        <w:pStyle w:val="COMESnumberedpara"/>
      </w:pPr>
      <w:bookmarkStart w:id="26" w:name="_Ref211000951"/>
      <w:r w:rsidRPr="00AC3F7C">
        <w:t xml:space="preserve">The ESC </w:t>
      </w:r>
      <w:r w:rsidR="00EA5CC1" w:rsidRPr="00AC3F7C">
        <w:t>agreed</w:t>
      </w:r>
      <w:r w:rsidRPr="00AC3F7C">
        <w:t xml:space="preserve"> </w:t>
      </w:r>
      <w:r w:rsidR="00566FF3">
        <w:t xml:space="preserve">with the submission </w:t>
      </w:r>
      <w:r w:rsidRPr="00AC3F7C">
        <w:t xml:space="preserve">that </w:t>
      </w:r>
      <w:proofErr w:type="gramStart"/>
      <w:r w:rsidRPr="00AC3F7C">
        <w:t>the majority of</w:t>
      </w:r>
      <w:proofErr w:type="gramEnd"/>
      <w:r w:rsidRPr="00AC3F7C">
        <w:t xml:space="preserve"> first-line therapy in Australia includes lenalidomide</w:t>
      </w:r>
      <w:r w:rsidR="000A4922" w:rsidRPr="00AC3F7C">
        <w:t xml:space="preserve"> but noted that </w:t>
      </w:r>
      <w:r w:rsidRPr="00AC3F7C">
        <w:t>the lenalidomide-exposed subgroup did not reflect the proposed second line population in terms of prior lines of therapy</w:t>
      </w:r>
      <w:r w:rsidR="000A4922" w:rsidRPr="00AC3F7C">
        <w:t xml:space="preserve">. </w:t>
      </w:r>
      <w:r w:rsidR="00AB3783" w:rsidRPr="00AC3F7C">
        <w:t>T</w:t>
      </w:r>
      <w:r w:rsidR="000A4922" w:rsidRPr="00AC3F7C">
        <w:t xml:space="preserve">he ESC considered that </w:t>
      </w:r>
      <w:r w:rsidR="00C93F8E" w:rsidRPr="00AC3F7C">
        <w:t xml:space="preserve">the use of the lenalidomide-exposed subgroup was poorly supported and, </w:t>
      </w:r>
      <w:r w:rsidR="000A4922" w:rsidRPr="00AC3F7C">
        <w:t>overall, the ITT population of the trial would provide the most robust data.</w:t>
      </w:r>
      <w:r w:rsidR="003F0975" w:rsidRPr="00AC3F7C">
        <w:t xml:space="preserve"> The ESC considered that the lenalidomide-exposed subgroup</w:t>
      </w:r>
      <w:r w:rsidR="0068638F" w:rsidRPr="00AC3F7C">
        <w:t xml:space="preserve"> would be useful as supporting evidence for the </w:t>
      </w:r>
      <w:r w:rsidR="003F0975" w:rsidRPr="00AC3F7C">
        <w:t>broader RRMM population.</w:t>
      </w:r>
      <w:bookmarkEnd w:id="26"/>
      <w:r w:rsidR="003F0975" w:rsidRPr="00AC3F7C">
        <w:t xml:space="preserve">  </w:t>
      </w:r>
    </w:p>
    <w:p w14:paraId="0555CFDF" w14:textId="77777777" w:rsidR="009A4137" w:rsidRPr="00512D7B" w:rsidRDefault="009A4137" w:rsidP="009A4137">
      <w:pPr>
        <w:pStyle w:val="COMESSubsectionheading"/>
      </w:pPr>
      <w:bookmarkStart w:id="27" w:name="_Toc203036192"/>
      <w:bookmarkStart w:id="28" w:name="_Toc208839490"/>
      <w:r w:rsidRPr="00512D7B">
        <w:lastRenderedPageBreak/>
        <w:t>Comparative effectiveness</w:t>
      </w:r>
      <w:bookmarkEnd w:id="27"/>
      <w:bookmarkEnd w:id="28"/>
    </w:p>
    <w:p w14:paraId="48143F94" w14:textId="6B9FAA21" w:rsidR="009A4137" w:rsidRPr="00512D7B" w:rsidRDefault="009A4137" w:rsidP="009A4137">
      <w:pPr>
        <w:pStyle w:val="COMESnumberedpara"/>
      </w:pPr>
      <w:bookmarkStart w:id="29" w:name="_Toc203036193"/>
      <w:r w:rsidRPr="00512D7B">
        <w:t>The primary outcome of the DREAMM-7 trial was progression</w:t>
      </w:r>
      <w:r w:rsidR="002C25AA" w:rsidRPr="00512D7B">
        <w:t>-</w:t>
      </w:r>
      <w:r w:rsidRPr="00512D7B">
        <w:t xml:space="preserve">free survival, defined as the time from randomisation until the earliest date of confirmed disease progression (determined by the blinded IRC as per IMWG criteria), or death due to any cause. </w:t>
      </w:r>
    </w:p>
    <w:p w14:paraId="4BD7F8FE" w14:textId="659AC0E0" w:rsidR="009A4137" w:rsidRPr="00512D7B" w:rsidRDefault="009A4137" w:rsidP="009A4137">
      <w:pPr>
        <w:pStyle w:val="COMESnumberedpara"/>
      </w:pPr>
      <w:r w:rsidRPr="00512D7B">
        <w:fldChar w:fldCharType="begin"/>
      </w:r>
      <w:r w:rsidRPr="00512D7B">
        <w:instrText xml:space="preserve"> REF _Ref206410866 \h  \* MERGEFORMAT </w:instrText>
      </w:r>
      <w:r w:rsidRPr="00512D7B">
        <w:fldChar w:fldCharType="separate"/>
      </w:r>
      <w:r w:rsidR="00674A1F" w:rsidRPr="00512D7B">
        <w:t xml:space="preserve">Table </w:t>
      </w:r>
      <w:r w:rsidR="00674A1F">
        <w:t>4</w:t>
      </w:r>
      <w:r w:rsidRPr="00512D7B">
        <w:fldChar w:fldCharType="end"/>
      </w:r>
      <w:r w:rsidRPr="00512D7B">
        <w:t xml:space="preserve">, </w:t>
      </w:r>
      <w:r w:rsidRPr="00512D7B">
        <w:fldChar w:fldCharType="begin"/>
      </w:r>
      <w:r w:rsidRPr="00512D7B">
        <w:instrText xml:space="preserve"> REF _Ref206410926 \h  \* MERGEFORMAT </w:instrText>
      </w:r>
      <w:r w:rsidRPr="00512D7B">
        <w:fldChar w:fldCharType="separate"/>
      </w:r>
      <w:r w:rsidR="00674A1F" w:rsidRPr="003D777B">
        <w:t xml:space="preserve">Figure </w:t>
      </w:r>
      <w:r w:rsidR="00674A1F">
        <w:t>1</w:t>
      </w:r>
      <w:r w:rsidRPr="00512D7B">
        <w:fldChar w:fldCharType="end"/>
      </w:r>
      <w:r w:rsidRPr="00512D7B">
        <w:t xml:space="preserve"> and </w:t>
      </w:r>
      <w:r w:rsidR="00A15283" w:rsidRPr="00512D7B">
        <w:fldChar w:fldCharType="begin"/>
      </w:r>
      <w:r w:rsidR="00A15283" w:rsidRPr="00512D7B">
        <w:instrText xml:space="preserve"> REF _Ref208486062 \h </w:instrText>
      </w:r>
      <w:r w:rsidR="00A15283" w:rsidRPr="00512D7B">
        <w:fldChar w:fldCharType="separate"/>
      </w:r>
      <w:r w:rsidR="00674A1F" w:rsidRPr="00512D7B">
        <w:t xml:space="preserve">Figure </w:t>
      </w:r>
      <w:r w:rsidR="00674A1F">
        <w:rPr>
          <w:noProof/>
        </w:rPr>
        <w:t>2</w:t>
      </w:r>
      <w:r w:rsidR="00A15283" w:rsidRPr="00512D7B">
        <w:fldChar w:fldCharType="end"/>
      </w:r>
      <w:r w:rsidRPr="00512D7B">
        <w:t xml:space="preserve"> below present the results of IRC-assessed progression-free survival in the ITT population and lenalidomide-exposed subgroup of the DREAMM-7 trial. </w:t>
      </w:r>
    </w:p>
    <w:p w14:paraId="3777F527" w14:textId="48DFC761" w:rsidR="009A4137" w:rsidRPr="00512D7B" w:rsidRDefault="009A4137" w:rsidP="009A4137">
      <w:pPr>
        <w:pStyle w:val="COMTableFigurecaption"/>
      </w:pPr>
      <w:bookmarkStart w:id="30" w:name="_Ref206410866"/>
      <w:r w:rsidRPr="00512D7B">
        <w:t xml:space="preserve">Table </w:t>
      </w:r>
      <w:r w:rsidR="00194BBE">
        <w:fldChar w:fldCharType="begin"/>
      </w:r>
      <w:r w:rsidR="00194BBE">
        <w:instrText xml:space="preserve"> SEQ Table \* ARABIC </w:instrText>
      </w:r>
      <w:r w:rsidR="00194BBE">
        <w:fldChar w:fldCharType="separate"/>
      </w:r>
      <w:r w:rsidR="00674A1F">
        <w:rPr>
          <w:noProof/>
        </w:rPr>
        <w:t>4</w:t>
      </w:r>
      <w:r w:rsidR="00194BBE">
        <w:fldChar w:fldCharType="end"/>
      </w:r>
      <w:bookmarkEnd w:id="30"/>
      <w:r w:rsidRPr="00512D7B">
        <w:t xml:space="preserve">: Results for </w:t>
      </w:r>
      <w:r w:rsidRPr="00512D7B">
        <w:rPr>
          <w:lang w:eastAsia="zh-CN"/>
        </w:rPr>
        <w:t>IRC</w:t>
      </w:r>
      <w:r w:rsidRPr="00512D7B">
        <w:t>-</w:t>
      </w:r>
      <w:r w:rsidRPr="00512D7B">
        <w:rPr>
          <w:rFonts w:hint="eastAsia"/>
          <w:lang w:eastAsia="zh-CN"/>
        </w:rPr>
        <w:t>a</w:t>
      </w:r>
      <w:r w:rsidRPr="00512D7B">
        <w:t xml:space="preserve">ssessed </w:t>
      </w:r>
      <w:r w:rsidRPr="00512D7B">
        <w:rPr>
          <w:lang w:eastAsia="zh-CN"/>
        </w:rPr>
        <w:t>progression</w:t>
      </w:r>
      <w:r w:rsidRPr="00512D7B">
        <w:rPr>
          <w:rFonts w:hint="eastAsia"/>
          <w:lang w:eastAsia="zh-CN"/>
        </w:rPr>
        <w:t xml:space="preserve">-free survival </w:t>
      </w:r>
      <w:r w:rsidRPr="00512D7B">
        <w:rPr>
          <w:lang w:eastAsia="zh-CN"/>
        </w:rPr>
        <w:t xml:space="preserve">in the </w:t>
      </w:r>
      <w:r w:rsidRPr="00512D7B">
        <w:rPr>
          <w:rFonts w:hint="eastAsia"/>
          <w:lang w:eastAsia="zh-CN"/>
        </w:rPr>
        <w:t xml:space="preserve">DREAMM-7 trial </w:t>
      </w:r>
      <w:r w:rsidRPr="00512D7B">
        <w:rPr>
          <w:lang w:eastAsia="zh-CN"/>
        </w:rPr>
        <w:t>(ITT population and lenalidomide-exposed subgroup)</w:t>
      </w:r>
    </w:p>
    <w:tbl>
      <w:tblPr>
        <w:tblStyle w:val="TableGrid"/>
        <w:tblW w:w="5000" w:type="pct"/>
        <w:tblLayout w:type="fixed"/>
        <w:tblCellMar>
          <w:left w:w="28" w:type="dxa"/>
          <w:right w:w="28" w:type="dxa"/>
        </w:tblCellMar>
        <w:tblLook w:val="04A0" w:firstRow="1" w:lastRow="0" w:firstColumn="1" w:lastColumn="0" w:noHBand="0" w:noVBand="1"/>
        <w:tblCaption w:val="Table 4: Results for IRC-assessed progression-free survival in the DREAMM-7 trial (ITT population and lenalidomide-exposed subgroup)"/>
      </w:tblPr>
      <w:tblGrid>
        <w:gridCol w:w="3243"/>
        <w:gridCol w:w="1443"/>
        <w:gridCol w:w="1444"/>
        <w:gridCol w:w="1443"/>
        <w:gridCol w:w="1444"/>
      </w:tblGrid>
      <w:tr w:rsidR="009A4137" w:rsidRPr="00A354E1" w14:paraId="4196288A" w14:textId="77777777" w:rsidTr="00004487">
        <w:trPr>
          <w:trHeight w:val="50"/>
          <w:tblHeader/>
        </w:trPr>
        <w:tc>
          <w:tcPr>
            <w:tcW w:w="3243" w:type="dxa"/>
            <w:vMerge w:val="restart"/>
            <w:vAlign w:val="center"/>
          </w:tcPr>
          <w:p w14:paraId="10049A95" w14:textId="77777777" w:rsidR="009A4137" w:rsidRPr="00512D7B" w:rsidRDefault="009A4137" w:rsidP="007345A2">
            <w:pPr>
              <w:pStyle w:val="COMTableheadingrow"/>
            </w:pPr>
            <w:r w:rsidRPr="00512D7B">
              <w:t>Outcome</w:t>
            </w:r>
          </w:p>
        </w:tc>
        <w:tc>
          <w:tcPr>
            <w:tcW w:w="2887" w:type="dxa"/>
            <w:gridSpan w:val="2"/>
          </w:tcPr>
          <w:p w14:paraId="1BAB0F90" w14:textId="55171A60" w:rsidR="009A4137" w:rsidRPr="00512D7B" w:rsidRDefault="009A4137" w:rsidP="007345A2">
            <w:pPr>
              <w:pStyle w:val="COMTableheadingrow"/>
              <w:jc w:val="center"/>
              <w:rPr>
                <w:lang w:eastAsia="zh-CN"/>
              </w:rPr>
            </w:pPr>
            <w:r w:rsidRPr="00512D7B">
              <w:rPr>
                <w:lang w:eastAsia="zh-CN"/>
              </w:rPr>
              <w:t>ITT population</w:t>
            </w:r>
          </w:p>
        </w:tc>
        <w:tc>
          <w:tcPr>
            <w:tcW w:w="2887" w:type="dxa"/>
            <w:gridSpan w:val="2"/>
          </w:tcPr>
          <w:p w14:paraId="0C80BB17" w14:textId="7F02C1A2" w:rsidR="009A4137" w:rsidRPr="00A354E1" w:rsidRDefault="009A4137" w:rsidP="007345A2">
            <w:pPr>
              <w:pStyle w:val="COMTableheadingrow"/>
              <w:jc w:val="center"/>
              <w:rPr>
                <w:lang w:eastAsia="zh-CN"/>
              </w:rPr>
            </w:pPr>
            <w:r w:rsidRPr="00A354E1">
              <w:rPr>
                <w:lang w:eastAsia="zh-CN"/>
              </w:rPr>
              <w:t>Lenalidomide-exposed subgroup</w:t>
            </w:r>
            <w:bookmarkStart w:id="31" w:name="_Ref221020689"/>
            <w:r w:rsidR="00D67EC1">
              <w:rPr>
                <w:rStyle w:val="FootnoteReference"/>
                <w:lang w:eastAsia="zh-CN"/>
              </w:rPr>
              <w:footnoteReference w:id="3"/>
            </w:r>
            <w:bookmarkEnd w:id="31"/>
          </w:p>
        </w:tc>
      </w:tr>
      <w:tr w:rsidR="009A4137" w:rsidRPr="00512D7B" w14:paraId="056289AC" w14:textId="77777777" w:rsidTr="00004487">
        <w:trPr>
          <w:trHeight w:val="50"/>
          <w:tblHeader/>
        </w:trPr>
        <w:tc>
          <w:tcPr>
            <w:tcW w:w="3243" w:type="dxa"/>
            <w:vMerge/>
            <w:vAlign w:val="center"/>
          </w:tcPr>
          <w:p w14:paraId="389DFF0A" w14:textId="77777777" w:rsidR="009A4137" w:rsidRPr="00512D7B" w:rsidRDefault="009A4137" w:rsidP="007345A2">
            <w:pPr>
              <w:pStyle w:val="COMTableheadingrow"/>
            </w:pPr>
          </w:p>
        </w:tc>
        <w:tc>
          <w:tcPr>
            <w:tcW w:w="1443" w:type="dxa"/>
          </w:tcPr>
          <w:p w14:paraId="204DF25C" w14:textId="5F25DDDC" w:rsidR="009A4137" w:rsidRPr="00512D7B" w:rsidRDefault="00834591" w:rsidP="007345A2">
            <w:pPr>
              <w:pStyle w:val="COMTableheadingrow"/>
              <w:jc w:val="center"/>
              <w:rPr>
                <w:rFonts w:eastAsia="SimSun"/>
                <w:lang w:eastAsia="zh-CN"/>
              </w:rPr>
            </w:pPr>
            <w:r w:rsidRPr="00512D7B">
              <w:rPr>
                <w:rFonts w:eastAsia="SimSun" w:hint="eastAsia"/>
                <w:lang w:eastAsia="zh-CN"/>
              </w:rPr>
              <w:t>BmBd</w:t>
            </w:r>
            <w:r w:rsidR="009A4137" w:rsidRPr="00512D7B">
              <w:rPr>
                <w:rFonts w:eastAsia="SimSun"/>
                <w:lang w:eastAsia="zh-CN"/>
              </w:rPr>
              <w:t xml:space="preserve"> </w:t>
            </w:r>
            <w:r w:rsidR="009A4137" w:rsidRPr="00512D7B">
              <w:t>(N=</w:t>
            </w:r>
            <w:r w:rsidR="009A4137" w:rsidRPr="00512D7B">
              <w:rPr>
                <w:rFonts w:hint="eastAsia"/>
                <w:lang w:eastAsia="zh-CN"/>
              </w:rPr>
              <w:t>243</w:t>
            </w:r>
            <w:r w:rsidR="009A4137" w:rsidRPr="00512D7B">
              <w:rPr>
                <w:lang w:eastAsia="zh-CN"/>
              </w:rPr>
              <w:t>)</w:t>
            </w:r>
          </w:p>
        </w:tc>
        <w:tc>
          <w:tcPr>
            <w:tcW w:w="1444" w:type="dxa"/>
          </w:tcPr>
          <w:p w14:paraId="69577116" w14:textId="11EE0D27" w:rsidR="009A4137" w:rsidRPr="00512D7B" w:rsidRDefault="001C413B" w:rsidP="007345A2">
            <w:pPr>
              <w:pStyle w:val="COMTableheadingrow"/>
              <w:jc w:val="center"/>
              <w:rPr>
                <w:lang w:eastAsia="zh-CN"/>
              </w:rPr>
            </w:pPr>
            <w:r w:rsidRPr="00512D7B">
              <w:rPr>
                <w:rFonts w:hint="eastAsia"/>
                <w:lang w:eastAsia="zh-CN"/>
              </w:rPr>
              <w:t>DBd</w:t>
            </w:r>
            <w:r w:rsidR="009A4137" w:rsidRPr="00512D7B">
              <w:rPr>
                <w:lang w:eastAsia="zh-CN"/>
              </w:rPr>
              <w:t xml:space="preserve"> (</w:t>
            </w:r>
            <w:r w:rsidR="009A4137" w:rsidRPr="00512D7B">
              <w:t>N=</w:t>
            </w:r>
            <w:r w:rsidR="009A4137" w:rsidRPr="00512D7B">
              <w:rPr>
                <w:rFonts w:hint="eastAsia"/>
                <w:lang w:eastAsia="zh-CN"/>
              </w:rPr>
              <w:t>251</w:t>
            </w:r>
            <w:r w:rsidR="009A4137" w:rsidRPr="00512D7B">
              <w:rPr>
                <w:lang w:eastAsia="zh-CN"/>
              </w:rPr>
              <w:t>)</w:t>
            </w:r>
          </w:p>
        </w:tc>
        <w:tc>
          <w:tcPr>
            <w:tcW w:w="1443" w:type="dxa"/>
          </w:tcPr>
          <w:p w14:paraId="5A9A45A3" w14:textId="6DDCFD74" w:rsidR="009A4137" w:rsidRPr="00512D7B" w:rsidRDefault="00834591" w:rsidP="007345A2">
            <w:pPr>
              <w:pStyle w:val="COMTableheadingrow"/>
              <w:jc w:val="center"/>
              <w:rPr>
                <w:rFonts w:eastAsia="SimSun"/>
                <w:lang w:eastAsia="zh-CN"/>
              </w:rPr>
            </w:pPr>
            <w:r w:rsidRPr="00512D7B">
              <w:rPr>
                <w:rFonts w:eastAsia="SimSun" w:hint="eastAsia"/>
                <w:lang w:eastAsia="zh-CN"/>
              </w:rPr>
              <w:t>BmBd</w:t>
            </w:r>
            <w:r w:rsidR="009A4137" w:rsidRPr="00512D7B">
              <w:rPr>
                <w:rFonts w:eastAsia="SimSun"/>
                <w:lang w:eastAsia="zh-CN"/>
              </w:rPr>
              <w:t xml:space="preserve"> </w:t>
            </w:r>
            <w:r w:rsidR="009A4137" w:rsidRPr="00512D7B">
              <w:t>(N=</w:t>
            </w:r>
            <w:r w:rsidR="009A4137" w:rsidRPr="00512D7B">
              <w:rPr>
                <w:lang w:eastAsia="zh-CN"/>
              </w:rPr>
              <w:t>127)</w:t>
            </w:r>
          </w:p>
        </w:tc>
        <w:tc>
          <w:tcPr>
            <w:tcW w:w="1444" w:type="dxa"/>
          </w:tcPr>
          <w:p w14:paraId="6B6E6696" w14:textId="3927928D" w:rsidR="009A4137" w:rsidRPr="00512D7B" w:rsidRDefault="001C413B" w:rsidP="007345A2">
            <w:pPr>
              <w:pStyle w:val="COMTableheadingrow"/>
              <w:jc w:val="center"/>
              <w:rPr>
                <w:lang w:eastAsia="zh-CN"/>
              </w:rPr>
            </w:pPr>
            <w:r w:rsidRPr="00512D7B">
              <w:rPr>
                <w:rFonts w:hint="eastAsia"/>
                <w:lang w:eastAsia="zh-CN"/>
              </w:rPr>
              <w:t>DBd</w:t>
            </w:r>
            <w:r w:rsidR="009A4137" w:rsidRPr="00512D7B">
              <w:rPr>
                <w:lang w:eastAsia="zh-CN"/>
              </w:rPr>
              <w:t xml:space="preserve"> (</w:t>
            </w:r>
            <w:r w:rsidR="009A4137" w:rsidRPr="00512D7B">
              <w:t>N=</w:t>
            </w:r>
            <w:r w:rsidR="009A4137" w:rsidRPr="00512D7B">
              <w:rPr>
                <w:lang w:eastAsia="zh-CN"/>
              </w:rPr>
              <w:t>130)</w:t>
            </w:r>
          </w:p>
        </w:tc>
      </w:tr>
      <w:tr w:rsidR="009A4137" w:rsidRPr="00512D7B" w14:paraId="5F7EAB35" w14:textId="77777777" w:rsidTr="00004487">
        <w:trPr>
          <w:trHeight w:val="54"/>
        </w:trPr>
        <w:tc>
          <w:tcPr>
            <w:tcW w:w="9017" w:type="dxa"/>
            <w:gridSpan w:val="5"/>
            <w:vAlign w:val="center"/>
          </w:tcPr>
          <w:p w14:paraId="304844A8" w14:textId="77777777" w:rsidR="009A4137" w:rsidRPr="00512D7B" w:rsidRDefault="009A4137" w:rsidP="007345A2">
            <w:pPr>
              <w:pStyle w:val="COMTabletext"/>
              <w:rPr>
                <w:rFonts w:eastAsia="SimSun"/>
                <w:b/>
                <w:bCs w:val="0"/>
                <w:lang w:eastAsia="zh-CN"/>
              </w:rPr>
            </w:pPr>
            <w:r w:rsidRPr="00512D7B">
              <w:rPr>
                <w:b/>
                <w:bCs w:val="0"/>
              </w:rPr>
              <w:t>IRC-assessed progression-free survival</w:t>
            </w:r>
            <w:r w:rsidRPr="00512D7B">
              <w:rPr>
                <w:rFonts w:eastAsia="SimSun" w:hint="eastAsia"/>
                <w:b/>
                <w:bCs w:val="0"/>
                <w:lang w:eastAsia="zh-CN"/>
              </w:rPr>
              <w:t xml:space="preserve"> (</w:t>
            </w:r>
            <w:r w:rsidRPr="00512D7B">
              <w:rPr>
                <w:b/>
                <w:bCs w:val="0"/>
              </w:rPr>
              <w:t>October 2023</w:t>
            </w:r>
            <w:r w:rsidRPr="00512D7B">
              <w:rPr>
                <w:rFonts w:eastAsia="SimSun" w:hint="eastAsia"/>
                <w:b/>
                <w:bCs w:val="0"/>
                <w:lang w:eastAsia="zh-CN"/>
              </w:rPr>
              <w:t xml:space="preserve"> data cut)</w:t>
            </w:r>
          </w:p>
        </w:tc>
      </w:tr>
      <w:tr w:rsidR="009A4137" w:rsidRPr="00512D7B" w14:paraId="44F8577C" w14:textId="77777777" w:rsidTr="00004487">
        <w:trPr>
          <w:trHeight w:val="101"/>
        </w:trPr>
        <w:tc>
          <w:tcPr>
            <w:tcW w:w="3243" w:type="dxa"/>
          </w:tcPr>
          <w:p w14:paraId="197B09B7" w14:textId="77777777" w:rsidR="009A4137" w:rsidRPr="00512D7B" w:rsidRDefault="009A4137" w:rsidP="007345A2">
            <w:pPr>
              <w:pStyle w:val="COMTabletext"/>
            </w:pPr>
            <w:r w:rsidRPr="00512D7B">
              <w:t>Median duration of follow-up, months (IQR)</w:t>
            </w:r>
          </w:p>
        </w:tc>
        <w:tc>
          <w:tcPr>
            <w:tcW w:w="1443" w:type="dxa"/>
            <w:vAlign w:val="center"/>
          </w:tcPr>
          <w:p w14:paraId="203075D1" w14:textId="77777777" w:rsidR="009A4137" w:rsidRPr="00512D7B" w:rsidRDefault="009A4137" w:rsidP="007345A2">
            <w:pPr>
              <w:pStyle w:val="COMTabletext"/>
              <w:jc w:val="center"/>
            </w:pPr>
            <w:r w:rsidRPr="00512D7B">
              <w:t>29.2 (21.7, 32.5)</w:t>
            </w:r>
          </w:p>
        </w:tc>
        <w:tc>
          <w:tcPr>
            <w:tcW w:w="1444" w:type="dxa"/>
            <w:vAlign w:val="center"/>
          </w:tcPr>
          <w:p w14:paraId="7E249F93" w14:textId="77777777" w:rsidR="009A4137" w:rsidRPr="00512D7B" w:rsidRDefault="009A4137" w:rsidP="007345A2">
            <w:pPr>
              <w:pStyle w:val="COMTabletext"/>
              <w:jc w:val="center"/>
            </w:pPr>
            <w:r w:rsidRPr="00512D7B">
              <w:t>27.6 (12.3, 30.4)</w:t>
            </w:r>
          </w:p>
        </w:tc>
        <w:tc>
          <w:tcPr>
            <w:tcW w:w="1443" w:type="dxa"/>
            <w:vAlign w:val="center"/>
          </w:tcPr>
          <w:p w14:paraId="5E0AC3A3" w14:textId="77777777" w:rsidR="009A4137" w:rsidRPr="00D67EC1" w:rsidRDefault="009A4137" w:rsidP="007345A2">
            <w:pPr>
              <w:pStyle w:val="COMTabletext"/>
              <w:jc w:val="center"/>
            </w:pPr>
            <w:r w:rsidRPr="00D67EC1">
              <w:t>Not reported</w:t>
            </w:r>
          </w:p>
        </w:tc>
        <w:tc>
          <w:tcPr>
            <w:tcW w:w="1444" w:type="dxa"/>
            <w:vAlign w:val="center"/>
          </w:tcPr>
          <w:p w14:paraId="5E001A28" w14:textId="77777777" w:rsidR="009A4137" w:rsidRPr="00D67EC1" w:rsidRDefault="009A4137" w:rsidP="007345A2">
            <w:pPr>
              <w:pStyle w:val="COMTabletext"/>
              <w:jc w:val="center"/>
            </w:pPr>
            <w:r w:rsidRPr="00D67EC1">
              <w:t>Not reported</w:t>
            </w:r>
          </w:p>
        </w:tc>
      </w:tr>
      <w:tr w:rsidR="009A4137" w:rsidRPr="00512D7B" w14:paraId="1133451C" w14:textId="77777777" w:rsidTr="00004487">
        <w:trPr>
          <w:trHeight w:val="101"/>
        </w:trPr>
        <w:tc>
          <w:tcPr>
            <w:tcW w:w="3243" w:type="dxa"/>
          </w:tcPr>
          <w:p w14:paraId="0640F98E" w14:textId="77777777" w:rsidR="009A4137" w:rsidRPr="00512D7B" w:rsidRDefault="009A4137" w:rsidP="007345A2">
            <w:pPr>
              <w:pStyle w:val="COMTabletext"/>
            </w:pPr>
            <w:r w:rsidRPr="00512D7B">
              <w:t>Participants with event, n (%)</w:t>
            </w:r>
          </w:p>
          <w:p w14:paraId="05B27755" w14:textId="77777777" w:rsidR="009A4137" w:rsidRPr="00512D7B" w:rsidRDefault="009A4137" w:rsidP="007345A2">
            <w:pPr>
              <w:pStyle w:val="COMTabletext"/>
            </w:pPr>
            <w:r w:rsidRPr="00512D7B">
              <w:t>- Disease progression, n (%)</w:t>
            </w:r>
          </w:p>
          <w:p w14:paraId="2A98BAF1" w14:textId="77777777" w:rsidR="009A4137" w:rsidRPr="00512D7B" w:rsidRDefault="009A4137" w:rsidP="007345A2">
            <w:pPr>
              <w:pStyle w:val="COMTabletext"/>
              <w:rPr>
                <w:rFonts w:eastAsia="SimSun"/>
                <w:szCs w:val="20"/>
                <w:lang w:eastAsia="zh-CN"/>
              </w:rPr>
            </w:pPr>
            <w:r w:rsidRPr="00512D7B">
              <w:t>- Death, n (%)</w:t>
            </w:r>
          </w:p>
        </w:tc>
        <w:tc>
          <w:tcPr>
            <w:tcW w:w="1443" w:type="dxa"/>
          </w:tcPr>
          <w:p w14:paraId="404878D5" w14:textId="22B7A0C0" w:rsidR="009A4137" w:rsidRPr="00512D7B" w:rsidRDefault="009A4137" w:rsidP="007345A2">
            <w:pPr>
              <w:pStyle w:val="COMTabletext"/>
              <w:jc w:val="center"/>
            </w:pPr>
            <w:r w:rsidRPr="00512D7B">
              <w:t>91 (</w:t>
            </w:r>
            <w:r w:rsidR="006545D3" w:rsidRPr="00512D7B">
              <w:rPr>
                <w:i/>
                <w:iCs/>
              </w:rPr>
              <w:t>37</w:t>
            </w:r>
            <w:r w:rsidRPr="00512D7B">
              <w:t>)</w:t>
            </w:r>
          </w:p>
          <w:p w14:paraId="37504F95" w14:textId="3476CD90" w:rsidR="009A4137" w:rsidRPr="00512D7B" w:rsidRDefault="009A4137" w:rsidP="007345A2">
            <w:pPr>
              <w:pStyle w:val="COMTabletext"/>
              <w:jc w:val="center"/>
            </w:pPr>
            <w:r w:rsidRPr="00512D7B">
              <w:t>67 (28)</w:t>
            </w:r>
          </w:p>
          <w:p w14:paraId="1F09D68E" w14:textId="7216E49B" w:rsidR="009A4137" w:rsidRPr="00512D7B" w:rsidRDefault="009A4137" w:rsidP="007345A2">
            <w:pPr>
              <w:pStyle w:val="COMTabletext"/>
              <w:jc w:val="center"/>
            </w:pPr>
            <w:r w:rsidRPr="00512D7B">
              <w:t>24 (10)</w:t>
            </w:r>
          </w:p>
        </w:tc>
        <w:tc>
          <w:tcPr>
            <w:tcW w:w="1444" w:type="dxa"/>
          </w:tcPr>
          <w:p w14:paraId="5778CDBE" w14:textId="568F7D7C" w:rsidR="009A4137" w:rsidRPr="00512D7B" w:rsidRDefault="009A4137" w:rsidP="007345A2">
            <w:pPr>
              <w:pStyle w:val="COMTabletext"/>
              <w:jc w:val="center"/>
            </w:pPr>
            <w:r w:rsidRPr="00512D7B">
              <w:t>158 (63)</w:t>
            </w:r>
          </w:p>
          <w:p w14:paraId="5079C8CA" w14:textId="04BDD4BB" w:rsidR="009A4137" w:rsidRPr="00512D7B" w:rsidRDefault="009A4137" w:rsidP="007345A2">
            <w:pPr>
              <w:pStyle w:val="COMTabletext"/>
              <w:jc w:val="center"/>
            </w:pPr>
            <w:r w:rsidRPr="00512D7B">
              <w:t>139 (55)</w:t>
            </w:r>
          </w:p>
          <w:p w14:paraId="6B18D442" w14:textId="4EF74251" w:rsidR="009A4137" w:rsidRPr="00512D7B" w:rsidRDefault="009A4137" w:rsidP="007345A2">
            <w:pPr>
              <w:pStyle w:val="COMTabletext"/>
              <w:jc w:val="center"/>
            </w:pPr>
            <w:r w:rsidRPr="00512D7B">
              <w:t>19 (8)</w:t>
            </w:r>
          </w:p>
        </w:tc>
        <w:tc>
          <w:tcPr>
            <w:tcW w:w="1443" w:type="dxa"/>
          </w:tcPr>
          <w:p w14:paraId="3293D0E1" w14:textId="14449174" w:rsidR="009A4137" w:rsidRPr="00D67EC1" w:rsidRDefault="009A4137" w:rsidP="007345A2">
            <w:pPr>
              <w:pStyle w:val="COMTabletext"/>
              <w:jc w:val="center"/>
            </w:pPr>
            <w:r w:rsidRPr="00D67EC1">
              <w:t>44 (35)</w:t>
            </w:r>
          </w:p>
          <w:p w14:paraId="6BC1069A" w14:textId="65C6B4B5" w:rsidR="009A4137" w:rsidRPr="00D67EC1" w:rsidRDefault="009A4137" w:rsidP="007345A2">
            <w:pPr>
              <w:pStyle w:val="COMTabletext"/>
              <w:jc w:val="center"/>
            </w:pPr>
            <w:r w:rsidRPr="00D67EC1">
              <w:t>39 (31)</w:t>
            </w:r>
          </w:p>
          <w:p w14:paraId="67272AFE" w14:textId="7C468974" w:rsidR="009A4137" w:rsidRPr="00D67EC1" w:rsidRDefault="009A4137" w:rsidP="007345A2">
            <w:pPr>
              <w:pStyle w:val="COMTabletext"/>
              <w:jc w:val="center"/>
            </w:pPr>
            <w:r w:rsidRPr="00D67EC1">
              <w:t>5 (4)</w:t>
            </w:r>
          </w:p>
        </w:tc>
        <w:tc>
          <w:tcPr>
            <w:tcW w:w="1444" w:type="dxa"/>
          </w:tcPr>
          <w:p w14:paraId="64A94596" w14:textId="77777777" w:rsidR="009A4137" w:rsidRPr="00D67EC1" w:rsidRDefault="009A4137" w:rsidP="007345A2">
            <w:pPr>
              <w:pStyle w:val="COMTabletext"/>
              <w:jc w:val="center"/>
            </w:pPr>
            <w:r w:rsidRPr="00D67EC1">
              <w:t>88 (68)</w:t>
            </w:r>
          </w:p>
          <w:p w14:paraId="4CDF7A3C" w14:textId="77777777" w:rsidR="009A4137" w:rsidRPr="00D67EC1" w:rsidRDefault="009A4137" w:rsidP="007345A2">
            <w:pPr>
              <w:pStyle w:val="COMTabletext"/>
              <w:jc w:val="center"/>
            </w:pPr>
            <w:r w:rsidRPr="00D67EC1">
              <w:t>79 (61)</w:t>
            </w:r>
          </w:p>
          <w:p w14:paraId="34613B78" w14:textId="77777777" w:rsidR="009A4137" w:rsidRPr="00D67EC1" w:rsidRDefault="009A4137" w:rsidP="007345A2">
            <w:pPr>
              <w:pStyle w:val="COMTabletext"/>
              <w:jc w:val="center"/>
            </w:pPr>
            <w:r w:rsidRPr="00D67EC1">
              <w:t>9 (7)</w:t>
            </w:r>
          </w:p>
        </w:tc>
      </w:tr>
      <w:tr w:rsidR="009A4137" w:rsidRPr="00512D7B" w14:paraId="3DFA596F" w14:textId="77777777" w:rsidTr="00004487">
        <w:trPr>
          <w:trHeight w:val="101"/>
        </w:trPr>
        <w:tc>
          <w:tcPr>
            <w:tcW w:w="3243" w:type="dxa"/>
          </w:tcPr>
          <w:p w14:paraId="76EF06D4" w14:textId="74F1B1DE" w:rsidR="009A4137" w:rsidRPr="00512D7B" w:rsidRDefault="009A4137" w:rsidP="007345A2">
            <w:pPr>
              <w:pStyle w:val="COMTabletext"/>
            </w:pPr>
            <w:r w:rsidRPr="00512D7B">
              <w:t>Censored</w:t>
            </w:r>
            <w:r w:rsidR="0059725A" w:rsidRPr="00512D7B">
              <w:t>, n (%)</w:t>
            </w:r>
          </w:p>
          <w:p w14:paraId="4AE5F40B" w14:textId="7ACB81F4" w:rsidR="009A4137" w:rsidRPr="00512D7B" w:rsidRDefault="009A4137" w:rsidP="007345A2">
            <w:pPr>
              <w:pStyle w:val="COMTabletext"/>
            </w:pPr>
            <w:r w:rsidRPr="00512D7B">
              <w:t>- Follow-up ended</w:t>
            </w:r>
            <w:r w:rsidR="0059725A" w:rsidRPr="00512D7B">
              <w:t>, n (%)</w:t>
            </w:r>
          </w:p>
          <w:p w14:paraId="72D01BBD" w14:textId="33AAC913" w:rsidR="009A4137" w:rsidRPr="00512D7B" w:rsidRDefault="009A4137" w:rsidP="007345A2">
            <w:pPr>
              <w:pStyle w:val="COMTabletext"/>
            </w:pPr>
            <w:r w:rsidRPr="00512D7B">
              <w:t>- Follow-up ongoing</w:t>
            </w:r>
            <w:r w:rsidR="0059725A" w:rsidRPr="00512D7B">
              <w:t>, n (%)</w:t>
            </w:r>
          </w:p>
        </w:tc>
        <w:tc>
          <w:tcPr>
            <w:tcW w:w="1443" w:type="dxa"/>
          </w:tcPr>
          <w:p w14:paraId="34C52862" w14:textId="02F9EF2A" w:rsidR="009A4137" w:rsidRPr="00512D7B" w:rsidRDefault="009A4137" w:rsidP="007345A2">
            <w:pPr>
              <w:pStyle w:val="COMTabletext"/>
              <w:jc w:val="center"/>
            </w:pPr>
            <w:r w:rsidRPr="00512D7B">
              <w:t>152 (62)</w:t>
            </w:r>
          </w:p>
          <w:p w14:paraId="0AAB01DC" w14:textId="4FB5D7CA" w:rsidR="009A4137" w:rsidRPr="00512D7B" w:rsidRDefault="009A4137" w:rsidP="007345A2">
            <w:pPr>
              <w:pStyle w:val="COMTabletext"/>
              <w:jc w:val="center"/>
            </w:pPr>
            <w:r w:rsidRPr="00512D7B">
              <w:t>44 (18)</w:t>
            </w:r>
          </w:p>
          <w:p w14:paraId="5D73089F" w14:textId="077D7932" w:rsidR="009A4137" w:rsidRPr="00512D7B" w:rsidRDefault="009A4137" w:rsidP="007345A2">
            <w:pPr>
              <w:pStyle w:val="COMTabletext"/>
              <w:jc w:val="center"/>
            </w:pPr>
            <w:r w:rsidRPr="00512D7B">
              <w:t>108 (44)</w:t>
            </w:r>
          </w:p>
        </w:tc>
        <w:tc>
          <w:tcPr>
            <w:tcW w:w="1444" w:type="dxa"/>
          </w:tcPr>
          <w:p w14:paraId="211EA257" w14:textId="282833A8" w:rsidR="009A4137" w:rsidRPr="00512D7B" w:rsidRDefault="009A4137" w:rsidP="007345A2">
            <w:pPr>
              <w:pStyle w:val="COMTabletext"/>
              <w:jc w:val="center"/>
            </w:pPr>
            <w:r w:rsidRPr="00512D7B">
              <w:t>93 (37)</w:t>
            </w:r>
          </w:p>
          <w:p w14:paraId="2F46B0A2" w14:textId="2042AB46" w:rsidR="009A4137" w:rsidRPr="00512D7B" w:rsidRDefault="009A4137" w:rsidP="007345A2">
            <w:pPr>
              <w:pStyle w:val="COMTabletext"/>
              <w:jc w:val="center"/>
            </w:pPr>
            <w:r w:rsidRPr="00512D7B">
              <w:t>41 (16)</w:t>
            </w:r>
          </w:p>
          <w:p w14:paraId="45F30633" w14:textId="05D617BD" w:rsidR="009A4137" w:rsidRPr="00512D7B" w:rsidRDefault="009A4137" w:rsidP="007345A2">
            <w:pPr>
              <w:pStyle w:val="COMTabletext"/>
              <w:jc w:val="center"/>
            </w:pPr>
            <w:r w:rsidRPr="00512D7B">
              <w:t>52 (21)</w:t>
            </w:r>
          </w:p>
        </w:tc>
        <w:tc>
          <w:tcPr>
            <w:tcW w:w="1443" w:type="dxa"/>
          </w:tcPr>
          <w:p w14:paraId="1741BA15" w14:textId="477351EB" w:rsidR="009A4137" w:rsidRPr="00D67EC1" w:rsidRDefault="009A4137" w:rsidP="007345A2">
            <w:pPr>
              <w:pStyle w:val="COMTabletext"/>
              <w:jc w:val="center"/>
            </w:pPr>
            <w:r w:rsidRPr="00D67EC1">
              <w:t>83 (65)</w:t>
            </w:r>
          </w:p>
          <w:p w14:paraId="4F8C6C27" w14:textId="7928A68C" w:rsidR="009A4137" w:rsidRPr="00D67EC1" w:rsidRDefault="009A4137" w:rsidP="007345A2">
            <w:pPr>
              <w:pStyle w:val="COMTabletext"/>
              <w:jc w:val="center"/>
            </w:pPr>
            <w:r w:rsidRPr="00D67EC1">
              <w:t>28 (22)</w:t>
            </w:r>
          </w:p>
          <w:p w14:paraId="591DFAAB" w14:textId="77777777" w:rsidR="009A4137" w:rsidRPr="00D67EC1" w:rsidRDefault="009A4137" w:rsidP="007345A2">
            <w:pPr>
              <w:pStyle w:val="COMTabletext"/>
              <w:jc w:val="center"/>
            </w:pPr>
            <w:r w:rsidRPr="00D67EC1">
              <w:t>55 (43)</w:t>
            </w:r>
          </w:p>
        </w:tc>
        <w:tc>
          <w:tcPr>
            <w:tcW w:w="1444" w:type="dxa"/>
          </w:tcPr>
          <w:p w14:paraId="6E265E8A" w14:textId="77777777" w:rsidR="009A4137" w:rsidRPr="00D67EC1" w:rsidRDefault="009A4137" w:rsidP="007345A2">
            <w:pPr>
              <w:pStyle w:val="COMTabletext"/>
              <w:jc w:val="center"/>
            </w:pPr>
            <w:r w:rsidRPr="00D67EC1">
              <w:t>42 (32)</w:t>
            </w:r>
          </w:p>
          <w:p w14:paraId="5105CDF7" w14:textId="77777777" w:rsidR="009A4137" w:rsidRPr="00D67EC1" w:rsidRDefault="009A4137" w:rsidP="007345A2">
            <w:pPr>
              <w:pStyle w:val="COMTabletext"/>
              <w:jc w:val="center"/>
            </w:pPr>
            <w:r w:rsidRPr="00D67EC1">
              <w:t>27 (21)</w:t>
            </w:r>
          </w:p>
          <w:p w14:paraId="66BB640E" w14:textId="77777777" w:rsidR="009A4137" w:rsidRPr="00D67EC1" w:rsidRDefault="009A4137" w:rsidP="007345A2">
            <w:pPr>
              <w:pStyle w:val="COMTabletext"/>
              <w:jc w:val="center"/>
            </w:pPr>
            <w:r w:rsidRPr="00D67EC1">
              <w:t>15 (12)</w:t>
            </w:r>
          </w:p>
        </w:tc>
      </w:tr>
      <w:tr w:rsidR="009A4137" w:rsidRPr="00512D7B" w14:paraId="090AEB8B" w14:textId="77777777" w:rsidTr="00004487">
        <w:tc>
          <w:tcPr>
            <w:tcW w:w="3243" w:type="dxa"/>
            <w:vAlign w:val="center"/>
          </w:tcPr>
          <w:p w14:paraId="4845C3D3" w14:textId="77777777" w:rsidR="009A4137" w:rsidRPr="00512D7B" w:rsidRDefault="009A4137" w:rsidP="007345A2">
            <w:pPr>
              <w:pStyle w:val="COMTabletext"/>
              <w:rPr>
                <w:szCs w:val="20"/>
              </w:rPr>
            </w:pPr>
            <w:r w:rsidRPr="00512D7B">
              <w:rPr>
                <w:szCs w:val="20"/>
              </w:rPr>
              <w:t>Median PFS, months (95% CI)</w:t>
            </w:r>
          </w:p>
        </w:tc>
        <w:tc>
          <w:tcPr>
            <w:tcW w:w="1443" w:type="dxa"/>
          </w:tcPr>
          <w:p w14:paraId="377660F3" w14:textId="77777777" w:rsidR="009A4137" w:rsidRPr="00512D7B" w:rsidRDefault="009A4137" w:rsidP="007345A2">
            <w:pPr>
              <w:pStyle w:val="COMTabletext"/>
              <w:jc w:val="center"/>
            </w:pPr>
            <w:r w:rsidRPr="00512D7B">
              <w:t>36.6 (28.4, NE)</w:t>
            </w:r>
          </w:p>
        </w:tc>
        <w:tc>
          <w:tcPr>
            <w:tcW w:w="1444" w:type="dxa"/>
          </w:tcPr>
          <w:p w14:paraId="53722850" w14:textId="77777777" w:rsidR="009A4137" w:rsidRPr="00512D7B" w:rsidRDefault="009A4137" w:rsidP="007345A2">
            <w:pPr>
              <w:pStyle w:val="COMTabletext"/>
              <w:jc w:val="center"/>
            </w:pPr>
            <w:r w:rsidRPr="00512D7B">
              <w:t>13.4 (11.1, 17.5)</w:t>
            </w:r>
          </w:p>
        </w:tc>
        <w:tc>
          <w:tcPr>
            <w:tcW w:w="1443" w:type="dxa"/>
          </w:tcPr>
          <w:p w14:paraId="5D815D54" w14:textId="77777777" w:rsidR="009A4137" w:rsidRPr="00D67EC1" w:rsidRDefault="009A4137" w:rsidP="007345A2">
            <w:pPr>
              <w:pStyle w:val="COMTabletext"/>
              <w:jc w:val="center"/>
            </w:pPr>
            <w:r w:rsidRPr="00D67EC1">
              <w:t>NE (23.5, NE)</w:t>
            </w:r>
          </w:p>
        </w:tc>
        <w:tc>
          <w:tcPr>
            <w:tcW w:w="1444" w:type="dxa"/>
          </w:tcPr>
          <w:p w14:paraId="46E6384E" w14:textId="77777777" w:rsidR="009A4137" w:rsidRPr="00D67EC1" w:rsidRDefault="009A4137" w:rsidP="007345A2">
            <w:pPr>
              <w:pStyle w:val="COMTabletext"/>
              <w:jc w:val="center"/>
            </w:pPr>
            <w:r w:rsidRPr="00D67EC1">
              <w:t>10.4 (7.0, 12.7)</w:t>
            </w:r>
          </w:p>
        </w:tc>
      </w:tr>
      <w:tr w:rsidR="009A4137" w:rsidRPr="00512D7B" w14:paraId="33E05091" w14:textId="77777777" w:rsidTr="00004487">
        <w:tc>
          <w:tcPr>
            <w:tcW w:w="3243" w:type="dxa"/>
          </w:tcPr>
          <w:p w14:paraId="02FAF9DC" w14:textId="77777777" w:rsidR="009A4137" w:rsidRPr="00512D7B" w:rsidRDefault="009A4137" w:rsidP="007345A2">
            <w:pPr>
              <w:pStyle w:val="COMTabletext"/>
              <w:rPr>
                <w:szCs w:val="20"/>
              </w:rPr>
            </w:pPr>
            <w:r w:rsidRPr="00512D7B">
              <w:rPr>
                <w:szCs w:val="20"/>
              </w:rPr>
              <w:t>Hazard ratio (95% CI)</w:t>
            </w:r>
            <w:r w:rsidRPr="00512D7B">
              <w:rPr>
                <w:b/>
                <w:szCs w:val="20"/>
              </w:rPr>
              <w:t xml:space="preserve"> </w:t>
            </w:r>
          </w:p>
        </w:tc>
        <w:tc>
          <w:tcPr>
            <w:tcW w:w="2887" w:type="dxa"/>
            <w:gridSpan w:val="2"/>
          </w:tcPr>
          <w:p w14:paraId="71500F89" w14:textId="77777777" w:rsidR="009A4137" w:rsidRPr="00512D7B" w:rsidRDefault="009A4137" w:rsidP="007345A2">
            <w:pPr>
              <w:pStyle w:val="COMTabletext"/>
              <w:jc w:val="center"/>
              <w:rPr>
                <w:szCs w:val="20"/>
              </w:rPr>
            </w:pPr>
            <w:r w:rsidRPr="00512D7B">
              <w:rPr>
                <w:b/>
                <w:szCs w:val="20"/>
              </w:rPr>
              <w:t>0.41 (0.31, 0.53)</w:t>
            </w:r>
          </w:p>
        </w:tc>
        <w:tc>
          <w:tcPr>
            <w:tcW w:w="2887" w:type="dxa"/>
            <w:gridSpan w:val="2"/>
          </w:tcPr>
          <w:p w14:paraId="2770F7D4" w14:textId="77777777" w:rsidR="009A4137" w:rsidRPr="00D67EC1" w:rsidRDefault="009A4137" w:rsidP="007345A2">
            <w:pPr>
              <w:pStyle w:val="COMTabletext"/>
              <w:jc w:val="center"/>
              <w:rPr>
                <w:szCs w:val="20"/>
              </w:rPr>
            </w:pPr>
            <w:r w:rsidRPr="00D67EC1">
              <w:rPr>
                <w:szCs w:val="20"/>
              </w:rPr>
              <w:t>0.29 (0.19, 0.42)</w:t>
            </w:r>
          </w:p>
        </w:tc>
      </w:tr>
      <w:tr w:rsidR="009A4137" w:rsidRPr="00512D7B" w14:paraId="1A9B7E62" w14:textId="77777777" w:rsidTr="00004487">
        <w:tc>
          <w:tcPr>
            <w:tcW w:w="9017" w:type="dxa"/>
            <w:gridSpan w:val="5"/>
            <w:vAlign w:val="center"/>
          </w:tcPr>
          <w:p w14:paraId="3F7F8844" w14:textId="25794A21" w:rsidR="009A4137" w:rsidRPr="00512D7B" w:rsidRDefault="009A4137" w:rsidP="007345A2">
            <w:pPr>
              <w:pStyle w:val="COMTabletext"/>
              <w:rPr>
                <w:szCs w:val="20"/>
              </w:rPr>
            </w:pPr>
            <w:r w:rsidRPr="00512D7B">
              <w:rPr>
                <w:b/>
                <w:szCs w:val="20"/>
              </w:rPr>
              <w:t>IRC-assessed progression-free survival</w:t>
            </w:r>
            <w:r w:rsidRPr="00512D7B">
              <w:rPr>
                <w:rFonts w:hint="eastAsia"/>
                <w:b/>
                <w:szCs w:val="20"/>
              </w:rPr>
              <w:t xml:space="preserve"> (</w:t>
            </w:r>
            <w:r w:rsidRPr="00512D7B">
              <w:rPr>
                <w:b/>
                <w:szCs w:val="20"/>
              </w:rPr>
              <w:t>October 202</w:t>
            </w:r>
            <w:r w:rsidRPr="00512D7B">
              <w:rPr>
                <w:rFonts w:hint="eastAsia"/>
                <w:b/>
                <w:szCs w:val="20"/>
                <w:lang w:eastAsia="zh-CN"/>
              </w:rPr>
              <w:t>4</w:t>
            </w:r>
            <w:r w:rsidRPr="00512D7B">
              <w:rPr>
                <w:rFonts w:hint="eastAsia"/>
                <w:b/>
                <w:szCs w:val="20"/>
              </w:rPr>
              <w:t xml:space="preserve"> data cut)</w:t>
            </w:r>
            <w:r w:rsidR="003D777B">
              <w:rPr>
                <w:b/>
                <w:szCs w:val="20"/>
              </w:rPr>
              <w:fldChar w:fldCharType="begin"/>
            </w:r>
            <w:r w:rsidR="003D777B">
              <w:rPr>
                <w:b/>
                <w:szCs w:val="20"/>
              </w:rPr>
              <w:instrText xml:space="preserve"> </w:instrText>
            </w:r>
            <w:r w:rsidR="003D777B">
              <w:rPr>
                <w:rFonts w:hint="eastAsia"/>
                <w:b/>
                <w:szCs w:val="20"/>
              </w:rPr>
              <w:instrText>NOTEREF _Ref221020689 \f \h</w:instrText>
            </w:r>
            <w:r w:rsidR="003D777B">
              <w:rPr>
                <w:b/>
                <w:szCs w:val="20"/>
              </w:rPr>
              <w:instrText xml:space="preserve"> </w:instrText>
            </w:r>
            <w:r w:rsidR="003D777B">
              <w:rPr>
                <w:b/>
                <w:szCs w:val="20"/>
              </w:rPr>
            </w:r>
            <w:r w:rsidR="003D777B">
              <w:rPr>
                <w:b/>
                <w:szCs w:val="20"/>
              </w:rPr>
              <w:fldChar w:fldCharType="separate"/>
            </w:r>
            <w:r w:rsidR="00674A1F" w:rsidRPr="00674A1F">
              <w:rPr>
                <w:rStyle w:val="FootnoteReference"/>
              </w:rPr>
              <w:t>3</w:t>
            </w:r>
            <w:r w:rsidR="003D777B">
              <w:rPr>
                <w:b/>
                <w:szCs w:val="20"/>
              </w:rPr>
              <w:fldChar w:fldCharType="end"/>
            </w:r>
          </w:p>
        </w:tc>
      </w:tr>
      <w:tr w:rsidR="009A4137" w:rsidRPr="00512D7B" w14:paraId="4F17C039" w14:textId="77777777" w:rsidTr="00004487">
        <w:tc>
          <w:tcPr>
            <w:tcW w:w="3243" w:type="dxa"/>
            <w:vAlign w:val="center"/>
          </w:tcPr>
          <w:p w14:paraId="5A4C3BBC" w14:textId="77777777" w:rsidR="009A4137" w:rsidRPr="00512D7B" w:rsidRDefault="009A4137" w:rsidP="007345A2">
            <w:pPr>
              <w:pStyle w:val="COMTabletext"/>
              <w:rPr>
                <w:szCs w:val="20"/>
              </w:rPr>
            </w:pPr>
            <w:r w:rsidRPr="00512D7B">
              <w:rPr>
                <w:szCs w:val="20"/>
              </w:rPr>
              <w:t>Median duration of follow-up, months (IQR)</w:t>
            </w:r>
          </w:p>
        </w:tc>
        <w:tc>
          <w:tcPr>
            <w:tcW w:w="1443" w:type="dxa"/>
            <w:vAlign w:val="center"/>
          </w:tcPr>
          <w:p w14:paraId="399C75BC" w14:textId="77777777" w:rsidR="009A4137" w:rsidRPr="003D777B" w:rsidRDefault="009A4137" w:rsidP="007345A2">
            <w:pPr>
              <w:pStyle w:val="COMTabletext"/>
              <w:jc w:val="center"/>
              <w:rPr>
                <w:szCs w:val="20"/>
              </w:rPr>
            </w:pPr>
            <w:r w:rsidRPr="003D777B">
              <w:rPr>
                <w:szCs w:val="20"/>
              </w:rPr>
              <w:t>40.2 (21.7,43.6)</w:t>
            </w:r>
          </w:p>
        </w:tc>
        <w:tc>
          <w:tcPr>
            <w:tcW w:w="1444" w:type="dxa"/>
            <w:vAlign w:val="center"/>
          </w:tcPr>
          <w:p w14:paraId="425D905A" w14:textId="77777777" w:rsidR="009A4137" w:rsidRPr="003D777B" w:rsidRDefault="009A4137" w:rsidP="007345A2">
            <w:pPr>
              <w:pStyle w:val="COMTabletext"/>
              <w:jc w:val="center"/>
              <w:rPr>
                <w:szCs w:val="20"/>
              </w:rPr>
            </w:pPr>
            <w:r w:rsidRPr="003D777B">
              <w:rPr>
                <w:szCs w:val="20"/>
              </w:rPr>
              <w:t>38.2 (12.3, 41.9)</w:t>
            </w:r>
          </w:p>
        </w:tc>
        <w:tc>
          <w:tcPr>
            <w:tcW w:w="1443" w:type="dxa"/>
            <w:vAlign w:val="center"/>
          </w:tcPr>
          <w:p w14:paraId="1A77AB7B" w14:textId="77777777" w:rsidR="009A4137" w:rsidRPr="003D777B" w:rsidRDefault="009A4137" w:rsidP="007345A2">
            <w:pPr>
              <w:pStyle w:val="COMTabletext"/>
              <w:jc w:val="center"/>
              <w:rPr>
                <w:szCs w:val="20"/>
              </w:rPr>
            </w:pPr>
            <w:r w:rsidRPr="003D777B">
              <w:rPr>
                <w:szCs w:val="20"/>
              </w:rPr>
              <w:t>39.9 (18.3, 43.6)</w:t>
            </w:r>
          </w:p>
        </w:tc>
        <w:tc>
          <w:tcPr>
            <w:tcW w:w="1444" w:type="dxa"/>
            <w:vAlign w:val="center"/>
          </w:tcPr>
          <w:p w14:paraId="7BFA5EE7" w14:textId="77777777" w:rsidR="009A4137" w:rsidRPr="003D777B" w:rsidRDefault="009A4137" w:rsidP="007345A2">
            <w:pPr>
              <w:pStyle w:val="COMTabletext"/>
              <w:jc w:val="center"/>
              <w:rPr>
                <w:szCs w:val="20"/>
              </w:rPr>
            </w:pPr>
            <w:r w:rsidRPr="003D777B">
              <w:rPr>
                <w:szCs w:val="20"/>
              </w:rPr>
              <w:t>24.2 (8.4, 40.3)</w:t>
            </w:r>
          </w:p>
        </w:tc>
      </w:tr>
      <w:tr w:rsidR="009A4137" w:rsidRPr="00512D7B" w14:paraId="2BA4EB5E" w14:textId="77777777" w:rsidTr="00004487">
        <w:tc>
          <w:tcPr>
            <w:tcW w:w="3243" w:type="dxa"/>
          </w:tcPr>
          <w:p w14:paraId="5D3631BB" w14:textId="77777777" w:rsidR="009A4137" w:rsidRPr="00512D7B" w:rsidRDefault="009A4137" w:rsidP="007345A2">
            <w:pPr>
              <w:pStyle w:val="COMTabletext"/>
              <w:rPr>
                <w:szCs w:val="20"/>
              </w:rPr>
            </w:pPr>
            <w:r w:rsidRPr="00512D7B">
              <w:rPr>
                <w:szCs w:val="20"/>
              </w:rPr>
              <w:t>Participants with event, n (%)</w:t>
            </w:r>
          </w:p>
          <w:p w14:paraId="031EC9C6" w14:textId="77777777" w:rsidR="009A4137" w:rsidRPr="00512D7B" w:rsidRDefault="009A4137" w:rsidP="007345A2">
            <w:pPr>
              <w:pStyle w:val="COMTabletext"/>
              <w:rPr>
                <w:szCs w:val="20"/>
              </w:rPr>
            </w:pPr>
            <w:r w:rsidRPr="00512D7B">
              <w:rPr>
                <w:szCs w:val="20"/>
              </w:rPr>
              <w:t>- Disease progression, n (%)</w:t>
            </w:r>
          </w:p>
          <w:p w14:paraId="4F2F678D" w14:textId="77777777" w:rsidR="009A4137" w:rsidRPr="00512D7B" w:rsidRDefault="009A4137" w:rsidP="007345A2">
            <w:pPr>
              <w:pStyle w:val="COMTabletext"/>
              <w:rPr>
                <w:szCs w:val="20"/>
              </w:rPr>
            </w:pPr>
            <w:r w:rsidRPr="00512D7B">
              <w:rPr>
                <w:szCs w:val="20"/>
              </w:rPr>
              <w:t>- Death, n (%)</w:t>
            </w:r>
          </w:p>
        </w:tc>
        <w:tc>
          <w:tcPr>
            <w:tcW w:w="1443" w:type="dxa"/>
          </w:tcPr>
          <w:p w14:paraId="68A47606" w14:textId="6F63D47E" w:rsidR="009A4137" w:rsidRPr="003D777B" w:rsidRDefault="009A4137" w:rsidP="007345A2">
            <w:pPr>
              <w:pStyle w:val="COMTabletext"/>
              <w:jc w:val="center"/>
              <w:rPr>
                <w:szCs w:val="20"/>
              </w:rPr>
            </w:pPr>
            <w:r w:rsidRPr="003D777B">
              <w:rPr>
                <w:szCs w:val="20"/>
              </w:rPr>
              <w:t>109 (45)</w:t>
            </w:r>
          </w:p>
          <w:p w14:paraId="0850A0F2" w14:textId="743E0F53" w:rsidR="009A4137" w:rsidRPr="003D777B" w:rsidRDefault="009A4137" w:rsidP="007345A2">
            <w:pPr>
              <w:pStyle w:val="COMTabletext"/>
              <w:jc w:val="center"/>
              <w:rPr>
                <w:szCs w:val="20"/>
              </w:rPr>
            </w:pPr>
            <w:r w:rsidRPr="003D777B">
              <w:rPr>
                <w:szCs w:val="20"/>
              </w:rPr>
              <w:t>81 (33)</w:t>
            </w:r>
          </w:p>
          <w:p w14:paraId="183B1273" w14:textId="76D29E46" w:rsidR="009A4137" w:rsidRPr="003D777B" w:rsidRDefault="009A4137" w:rsidP="007345A2">
            <w:pPr>
              <w:pStyle w:val="COMTabletext"/>
              <w:jc w:val="center"/>
              <w:rPr>
                <w:szCs w:val="20"/>
              </w:rPr>
            </w:pPr>
            <w:r w:rsidRPr="003D777B">
              <w:rPr>
                <w:szCs w:val="20"/>
              </w:rPr>
              <w:t>28 (12)</w:t>
            </w:r>
          </w:p>
        </w:tc>
        <w:tc>
          <w:tcPr>
            <w:tcW w:w="1444" w:type="dxa"/>
          </w:tcPr>
          <w:p w14:paraId="2D3F7189" w14:textId="5686907F" w:rsidR="009A4137" w:rsidRPr="003D777B" w:rsidRDefault="009A4137" w:rsidP="007345A2">
            <w:pPr>
              <w:pStyle w:val="COMTabletext"/>
              <w:jc w:val="center"/>
              <w:rPr>
                <w:szCs w:val="20"/>
              </w:rPr>
            </w:pPr>
            <w:r w:rsidRPr="003D777B">
              <w:rPr>
                <w:szCs w:val="20"/>
              </w:rPr>
              <w:t>167 (67)</w:t>
            </w:r>
          </w:p>
          <w:p w14:paraId="75F3719A" w14:textId="57D1724C" w:rsidR="009A4137" w:rsidRPr="003D777B" w:rsidRDefault="009A4137" w:rsidP="007345A2">
            <w:pPr>
              <w:pStyle w:val="COMTabletext"/>
              <w:jc w:val="center"/>
              <w:rPr>
                <w:szCs w:val="20"/>
              </w:rPr>
            </w:pPr>
            <w:r w:rsidRPr="003D777B">
              <w:rPr>
                <w:szCs w:val="20"/>
              </w:rPr>
              <w:t>147 (59)</w:t>
            </w:r>
          </w:p>
          <w:p w14:paraId="175A232C" w14:textId="298CCED6" w:rsidR="009A4137" w:rsidRPr="003D777B" w:rsidRDefault="009A4137" w:rsidP="007345A2">
            <w:pPr>
              <w:pStyle w:val="COMTabletext"/>
              <w:jc w:val="center"/>
              <w:rPr>
                <w:szCs w:val="20"/>
              </w:rPr>
            </w:pPr>
            <w:r w:rsidRPr="003D777B">
              <w:rPr>
                <w:szCs w:val="20"/>
              </w:rPr>
              <w:t>20 (8)</w:t>
            </w:r>
          </w:p>
        </w:tc>
        <w:tc>
          <w:tcPr>
            <w:tcW w:w="1443" w:type="dxa"/>
          </w:tcPr>
          <w:p w14:paraId="78041D22" w14:textId="77777777" w:rsidR="009A4137" w:rsidRPr="003D777B" w:rsidRDefault="009A4137" w:rsidP="007345A2">
            <w:pPr>
              <w:pStyle w:val="COMTabletext"/>
              <w:jc w:val="center"/>
              <w:rPr>
                <w:szCs w:val="20"/>
              </w:rPr>
            </w:pPr>
            <w:r w:rsidRPr="003D777B">
              <w:rPr>
                <w:szCs w:val="20"/>
              </w:rPr>
              <w:t>55 (43)</w:t>
            </w:r>
          </w:p>
          <w:p w14:paraId="50DE8C80" w14:textId="77777777" w:rsidR="009A4137" w:rsidRPr="003D777B" w:rsidRDefault="009A4137" w:rsidP="007345A2">
            <w:pPr>
              <w:pStyle w:val="COMTabletext"/>
              <w:jc w:val="center"/>
              <w:rPr>
                <w:szCs w:val="20"/>
              </w:rPr>
            </w:pPr>
            <w:r w:rsidRPr="003D777B">
              <w:rPr>
                <w:szCs w:val="20"/>
              </w:rPr>
              <w:t>49 (39)</w:t>
            </w:r>
          </w:p>
          <w:p w14:paraId="04C0DAC1" w14:textId="77777777" w:rsidR="009A4137" w:rsidRPr="003D777B" w:rsidRDefault="009A4137" w:rsidP="007345A2">
            <w:pPr>
              <w:pStyle w:val="COMTabletext"/>
              <w:jc w:val="center"/>
              <w:rPr>
                <w:szCs w:val="20"/>
              </w:rPr>
            </w:pPr>
            <w:r w:rsidRPr="003D777B">
              <w:rPr>
                <w:szCs w:val="20"/>
              </w:rPr>
              <w:t>6 (5)</w:t>
            </w:r>
          </w:p>
        </w:tc>
        <w:tc>
          <w:tcPr>
            <w:tcW w:w="1444" w:type="dxa"/>
          </w:tcPr>
          <w:p w14:paraId="7594BFD4" w14:textId="77777777" w:rsidR="009A4137" w:rsidRPr="003D777B" w:rsidRDefault="009A4137" w:rsidP="007345A2">
            <w:pPr>
              <w:pStyle w:val="COMTabletext"/>
              <w:jc w:val="center"/>
              <w:rPr>
                <w:szCs w:val="20"/>
              </w:rPr>
            </w:pPr>
            <w:r w:rsidRPr="003D777B">
              <w:rPr>
                <w:szCs w:val="20"/>
              </w:rPr>
              <w:t>88 (68)</w:t>
            </w:r>
          </w:p>
          <w:p w14:paraId="66901E2D" w14:textId="77777777" w:rsidR="009A4137" w:rsidRPr="003D777B" w:rsidRDefault="009A4137" w:rsidP="007345A2">
            <w:pPr>
              <w:pStyle w:val="COMTabletext"/>
              <w:jc w:val="center"/>
              <w:rPr>
                <w:szCs w:val="20"/>
              </w:rPr>
            </w:pPr>
            <w:r w:rsidRPr="003D777B">
              <w:rPr>
                <w:szCs w:val="20"/>
              </w:rPr>
              <w:t>79 (61)</w:t>
            </w:r>
          </w:p>
          <w:p w14:paraId="41E28F6C" w14:textId="77777777" w:rsidR="009A4137" w:rsidRPr="003D777B" w:rsidRDefault="009A4137" w:rsidP="007345A2">
            <w:pPr>
              <w:pStyle w:val="COMTabletext"/>
              <w:jc w:val="center"/>
              <w:rPr>
                <w:szCs w:val="20"/>
              </w:rPr>
            </w:pPr>
            <w:r w:rsidRPr="003D777B">
              <w:rPr>
                <w:szCs w:val="20"/>
              </w:rPr>
              <w:t>9 (7)</w:t>
            </w:r>
          </w:p>
        </w:tc>
      </w:tr>
      <w:tr w:rsidR="009A4137" w:rsidRPr="00512D7B" w14:paraId="3CBECCD3" w14:textId="77777777" w:rsidTr="00004487">
        <w:tc>
          <w:tcPr>
            <w:tcW w:w="3243" w:type="dxa"/>
          </w:tcPr>
          <w:p w14:paraId="70E63369" w14:textId="37B10CE0" w:rsidR="009A4137" w:rsidRPr="00512D7B" w:rsidRDefault="009A4137" w:rsidP="007345A2">
            <w:pPr>
              <w:pStyle w:val="COMTabletext"/>
            </w:pPr>
            <w:r w:rsidRPr="00512D7B">
              <w:t>Censored</w:t>
            </w:r>
            <w:r w:rsidR="009F57D4" w:rsidRPr="00512D7B">
              <w:rPr>
                <w:szCs w:val="20"/>
              </w:rPr>
              <w:t>, n (%)</w:t>
            </w:r>
          </w:p>
          <w:p w14:paraId="4A4F412C" w14:textId="7B16BAB9" w:rsidR="009A4137" w:rsidRPr="00512D7B" w:rsidRDefault="009A4137" w:rsidP="007345A2">
            <w:pPr>
              <w:pStyle w:val="COMTabletext"/>
            </w:pPr>
            <w:r w:rsidRPr="00512D7B">
              <w:t>- Follow-up ended</w:t>
            </w:r>
            <w:r w:rsidR="009F57D4" w:rsidRPr="00512D7B">
              <w:rPr>
                <w:szCs w:val="20"/>
              </w:rPr>
              <w:t>, n (%)</w:t>
            </w:r>
          </w:p>
          <w:p w14:paraId="5D8422E7" w14:textId="77777777" w:rsidR="009A4137" w:rsidRPr="00512D7B" w:rsidRDefault="009A4137" w:rsidP="007345A2">
            <w:pPr>
              <w:pStyle w:val="COMTabletext"/>
              <w:rPr>
                <w:b/>
                <w:szCs w:val="20"/>
              </w:rPr>
            </w:pPr>
            <w:r w:rsidRPr="00512D7B">
              <w:t>- Follow-up ongoing</w:t>
            </w:r>
          </w:p>
        </w:tc>
        <w:tc>
          <w:tcPr>
            <w:tcW w:w="1443" w:type="dxa"/>
          </w:tcPr>
          <w:p w14:paraId="313BE3AB" w14:textId="5F56BC5D" w:rsidR="009A4137" w:rsidRPr="003D777B" w:rsidRDefault="009A4137" w:rsidP="007345A2">
            <w:pPr>
              <w:pStyle w:val="COMTabletext"/>
              <w:jc w:val="center"/>
            </w:pPr>
            <w:r w:rsidRPr="003D777B">
              <w:t>124 (55)</w:t>
            </w:r>
          </w:p>
          <w:p w14:paraId="6199D23D" w14:textId="6E9FD3A9" w:rsidR="009A4137" w:rsidRPr="003D777B" w:rsidRDefault="009A4137" w:rsidP="007345A2">
            <w:pPr>
              <w:pStyle w:val="COMTabletext"/>
              <w:jc w:val="center"/>
            </w:pPr>
            <w:r w:rsidRPr="003D777B">
              <w:t>54 (22)</w:t>
            </w:r>
          </w:p>
          <w:p w14:paraId="65235410" w14:textId="674D3379" w:rsidR="009A4137" w:rsidRPr="003D777B" w:rsidRDefault="009A4137" w:rsidP="007345A2">
            <w:pPr>
              <w:pStyle w:val="COMTabletext"/>
              <w:jc w:val="center"/>
              <w:rPr>
                <w:szCs w:val="20"/>
              </w:rPr>
            </w:pPr>
            <w:r w:rsidRPr="003D777B">
              <w:t>80 (33)</w:t>
            </w:r>
          </w:p>
        </w:tc>
        <w:tc>
          <w:tcPr>
            <w:tcW w:w="1444" w:type="dxa"/>
          </w:tcPr>
          <w:p w14:paraId="175CC4DA" w14:textId="7E997F17" w:rsidR="009A4137" w:rsidRPr="003D777B" w:rsidRDefault="009A4137" w:rsidP="007345A2">
            <w:pPr>
              <w:pStyle w:val="COMTabletext"/>
              <w:jc w:val="center"/>
            </w:pPr>
            <w:r w:rsidRPr="003D777B">
              <w:t>84 (33)</w:t>
            </w:r>
          </w:p>
          <w:p w14:paraId="5CF8AD45" w14:textId="3B06D823" w:rsidR="009A4137" w:rsidRPr="003D777B" w:rsidRDefault="009A4137" w:rsidP="007345A2">
            <w:pPr>
              <w:pStyle w:val="COMTabletext"/>
              <w:jc w:val="center"/>
            </w:pPr>
            <w:r w:rsidRPr="003D777B">
              <w:t>45 (18)</w:t>
            </w:r>
          </w:p>
          <w:p w14:paraId="4B1C143F" w14:textId="1EA674F7" w:rsidR="009A4137" w:rsidRPr="003D777B" w:rsidRDefault="009A4137" w:rsidP="007345A2">
            <w:pPr>
              <w:pStyle w:val="COMTabletext"/>
              <w:jc w:val="center"/>
              <w:rPr>
                <w:szCs w:val="20"/>
              </w:rPr>
            </w:pPr>
            <w:r w:rsidRPr="003D777B">
              <w:t>39 (16)</w:t>
            </w:r>
          </w:p>
        </w:tc>
        <w:tc>
          <w:tcPr>
            <w:tcW w:w="1443" w:type="dxa"/>
          </w:tcPr>
          <w:p w14:paraId="0F41891C" w14:textId="77777777" w:rsidR="009A4137" w:rsidRPr="003D777B" w:rsidRDefault="009A4137" w:rsidP="007345A2">
            <w:pPr>
              <w:pStyle w:val="COMTabletext"/>
              <w:jc w:val="center"/>
            </w:pPr>
            <w:r w:rsidRPr="003D777B">
              <w:t>72 (57)</w:t>
            </w:r>
          </w:p>
          <w:p w14:paraId="6035B0F1" w14:textId="77777777" w:rsidR="009A4137" w:rsidRPr="003D777B" w:rsidRDefault="009A4137" w:rsidP="007345A2">
            <w:pPr>
              <w:pStyle w:val="COMTabletext"/>
              <w:jc w:val="center"/>
            </w:pPr>
            <w:r w:rsidRPr="003D777B">
              <w:t>34 (27)</w:t>
            </w:r>
          </w:p>
          <w:p w14:paraId="06D1E91E" w14:textId="77777777" w:rsidR="009A4137" w:rsidRPr="003D777B" w:rsidRDefault="009A4137" w:rsidP="007345A2">
            <w:pPr>
              <w:pStyle w:val="COMTabletext"/>
              <w:jc w:val="center"/>
            </w:pPr>
            <w:r w:rsidRPr="003D777B">
              <w:t>38 (30)</w:t>
            </w:r>
          </w:p>
        </w:tc>
        <w:tc>
          <w:tcPr>
            <w:tcW w:w="1444" w:type="dxa"/>
          </w:tcPr>
          <w:p w14:paraId="3DE8D607" w14:textId="77777777" w:rsidR="009A4137" w:rsidRPr="003D777B" w:rsidRDefault="009A4137" w:rsidP="007345A2">
            <w:pPr>
              <w:pStyle w:val="COMTabletext"/>
              <w:jc w:val="center"/>
            </w:pPr>
            <w:r w:rsidRPr="003D777B">
              <w:t>42 (32)</w:t>
            </w:r>
          </w:p>
          <w:p w14:paraId="286791E0" w14:textId="77777777" w:rsidR="009A4137" w:rsidRPr="003D777B" w:rsidRDefault="009A4137" w:rsidP="007345A2">
            <w:pPr>
              <w:pStyle w:val="COMTabletext"/>
              <w:jc w:val="center"/>
            </w:pPr>
            <w:r w:rsidRPr="003D777B">
              <w:t>30 (23)</w:t>
            </w:r>
          </w:p>
          <w:p w14:paraId="28541538" w14:textId="77777777" w:rsidR="009A4137" w:rsidRPr="003D777B" w:rsidRDefault="009A4137" w:rsidP="007345A2">
            <w:pPr>
              <w:pStyle w:val="COMTabletext"/>
              <w:jc w:val="center"/>
            </w:pPr>
            <w:r w:rsidRPr="003D777B">
              <w:t>12 (9)</w:t>
            </w:r>
          </w:p>
        </w:tc>
      </w:tr>
      <w:tr w:rsidR="009A4137" w:rsidRPr="00512D7B" w14:paraId="4C5C1DFE" w14:textId="77777777" w:rsidTr="00004487">
        <w:tc>
          <w:tcPr>
            <w:tcW w:w="3243" w:type="dxa"/>
            <w:vAlign w:val="center"/>
          </w:tcPr>
          <w:p w14:paraId="7EC49F6D" w14:textId="77777777" w:rsidR="009A4137" w:rsidRPr="00512D7B" w:rsidRDefault="009A4137" w:rsidP="007345A2">
            <w:pPr>
              <w:pStyle w:val="COMTabletext"/>
              <w:rPr>
                <w:szCs w:val="20"/>
              </w:rPr>
            </w:pPr>
            <w:r w:rsidRPr="00512D7B">
              <w:rPr>
                <w:szCs w:val="20"/>
              </w:rPr>
              <w:t>Median PFS, months (95% CI)</w:t>
            </w:r>
          </w:p>
        </w:tc>
        <w:tc>
          <w:tcPr>
            <w:tcW w:w="1443" w:type="dxa"/>
          </w:tcPr>
          <w:p w14:paraId="58252490" w14:textId="77777777" w:rsidR="009A4137" w:rsidRPr="003D777B" w:rsidRDefault="009A4137" w:rsidP="007345A2">
            <w:pPr>
              <w:pStyle w:val="COMTabletext"/>
              <w:jc w:val="center"/>
              <w:rPr>
                <w:szCs w:val="20"/>
              </w:rPr>
            </w:pPr>
            <w:r w:rsidRPr="003D777B">
              <w:rPr>
                <w:szCs w:val="20"/>
              </w:rPr>
              <w:t>33.8 (28.4, 45.8)</w:t>
            </w:r>
          </w:p>
        </w:tc>
        <w:tc>
          <w:tcPr>
            <w:tcW w:w="1444" w:type="dxa"/>
          </w:tcPr>
          <w:p w14:paraId="23F88DD8" w14:textId="77777777" w:rsidR="009A4137" w:rsidRPr="003D777B" w:rsidRDefault="009A4137" w:rsidP="007345A2">
            <w:pPr>
              <w:pStyle w:val="COMTabletext"/>
              <w:jc w:val="center"/>
              <w:rPr>
                <w:szCs w:val="20"/>
              </w:rPr>
            </w:pPr>
            <w:r w:rsidRPr="003D777B">
              <w:rPr>
                <w:szCs w:val="20"/>
              </w:rPr>
              <w:t>13.4 (11.1, 17.5)</w:t>
            </w:r>
          </w:p>
        </w:tc>
        <w:tc>
          <w:tcPr>
            <w:tcW w:w="1443" w:type="dxa"/>
          </w:tcPr>
          <w:p w14:paraId="11664FAB" w14:textId="77777777" w:rsidR="009A4137" w:rsidRPr="003D777B" w:rsidRDefault="009A4137" w:rsidP="007345A2">
            <w:pPr>
              <w:pStyle w:val="COMTabletext"/>
              <w:jc w:val="center"/>
              <w:rPr>
                <w:szCs w:val="20"/>
              </w:rPr>
            </w:pPr>
            <w:r w:rsidRPr="003D777B">
              <w:rPr>
                <w:szCs w:val="20"/>
              </w:rPr>
              <w:t>34.5 (23.5, NE)</w:t>
            </w:r>
          </w:p>
        </w:tc>
        <w:tc>
          <w:tcPr>
            <w:tcW w:w="1444" w:type="dxa"/>
          </w:tcPr>
          <w:p w14:paraId="1D0B0F71" w14:textId="77777777" w:rsidR="009A4137" w:rsidRPr="003D777B" w:rsidRDefault="009A4137" w:rsidP="007345A2">
            <w:pPr>
              <w:pStyle w:val="COMTabletext"/>
              <w:jc w:val="center"/>
              <w:rPr>
                <w:szCs w:val="20"/>
              </w:rPr>
            </w:pPr>
            <w:r w:rsidRPr="003D777B">
              <w:rPr>
                <w:szCs w:val="20"/>
              </w:rPr>
              <w:t>10.4 (7.0, 12.7)</w:t>
            </w:r>
          </w:p>
        </w:tc>
      </w:tr>
      <w:tr w:rsidR="009A4137" w:rsidRPr="00512D7B" w14:paraId="0D8A439D" w14:textId="77777777" w:rsidTr="00004487">
        <w:tc>
          <w:tcPr>
            <w:tcW w:w="3243" w:type="dxa"/>
          </w:tcPr>
          <w:p w14:paraId="04F77F1B" w14:textId="77777777" w:rsidR="009A4137" w:rsidRPr="00512D7B" w:rsidRDefault="009A4137" w:rsidP="007345A2">
            <w:pPr>
              <w:pStyle w:val="COMTabletext"/>
              <w:rPr>
                <w:szCs w:val="20"/>
              </w:rPr>
            </w:pPr>
            <w:r w:rsidRPr="00512D7B">
              <w:rPr>
                <w:szCs w:val="20"/>
              </w:rPr>
              <w:t>Hazard ratio (95% CI)</w:t>
            </w:r>
            <w:r w:rsidRPr="00512D7B">
              <w:rPr>
                <w:b/>
                <w:szCs w:val="20"/>
              </w:rPr>
              <w:t xml:space="preserve"> </w:t>
            </w:r>
          </w:p>
        </w:tc>
        <w:tc>
          <w:tcPr>
            <w:tcW w:w="2887" w:type="dxa"/>
            <w:gridSpan w:val="2"/>
          </w:tcPr>
          <w:p w14:paraId="25D3DC84" w14:textId="77777777" w:rsidR="009A4137" w:rsidRPr="003D777B" w:rsidRDefault="009A4137" w:rsidP="007345A2">
            <w:pPr>
              <w:pStyle w:val="COMTabletext"/>
              <w:jc w:val="center"/>
              <w:rPr>
                <w:szCs w:val="20"/>
              </w:rPr>
            </w:pPr>
            <w:r w:rsidRPr="003D777B">
              <w:rPr>
                <w:szCs w:val="20"/>
              </w:rPr>
              <w:t xml:space="preserve">0.46 (0.35, 0.59) </w:t>
            </w:r>
            <w:r w:rsidRPr="003D777B">
              <w:rPr>
                <w:szCs w:val="20"/>
                <w:vertAlign w:val="superscript"/>
              </w:rPr>
              <w:t>a</w:t>
            </w:r>
          </w:p>
        </w:tc>
        <w:tc>
          <w:tcPr>
            <w:tcW w:w="2887" w:type="dxa"/>
            <w:gridSpan w:val="2"/>
          </w:tcPr>
          <w:p w14:paraId="4BBF8626" w14:textId="77777777" w:rsidR="009A4137" w:rsidRPr="003D777B" w:rsidRDefault="009A4137" w:rsidP="007345A2">
            <w:pPr>
              <w:pStyle w:val="COMTabletext"/>
              <w:jc w:val="center"/>
              <w:rPr>
                <w:szCs w:val="20"/>
              </w:rPr>
            </w:pPr>
            <w:r w:rsidRPr="003D777B">
              <w:rPr>
                <w:szCs w:val="20"/>
              </w:rPr>
              <w:t>0.34 (0.24, 0.48)</w:t>
            </w:r>
          </w:p>
        </w:tc>
      </w:tr>
      <w:tr w:rsidR="009A4137" w:rsidRPr="00512D7B" w14:paraId="2021A9CE" w14:textId="77777777" w:rsidTr="00004487">
        <w:trPr>
          <w:trHeight w:val="1401"/>
        </w:trPr>
        <w:tc>
          <w:tcPr>
            <w:tcW w:w="3243" w:type="dxa"/>
          </w:tcPr>
          <w:p w14:paraId="0C508F6B" w14:textId="0CAE5551" w:rsidR="009A4137" w:rsidRPr="00512D7B" w:rsidRDefault="009A4137" w:rsidP="007345A2">
            <w:pPr>
              <w:pStyle w:val="COMTabletext"/>
              <w:rPr>
                <w:bCs w:val="0"/>
              </w:rPr>
            </w:pPr>
            <w:r w:rsidRPr="00512D7B">
              <w:rPr>
                <w:bCs w:val="0"/>
              </w:rPr>
              <w:t xml:space="preserve">Progression-free survival rate (95% CI) </w:t>
            </w:r>
          </w:p>
          <w:p w14:paraId="099AA3E3" w14:textId="77777777" w:rsidR="009A4137" w:rsidRPr="00512D7B" w:rsidRDefault="009A4137" w:rsidP="007345A2">
            <w:pPr>
              <w:pStyle w:val="COMTabletext"/>
            </w:pPr>
            <w:r w:rsidRPr="00512D7B">
              <w:t>- 6 months</w:t>
            </w:r>
          </w:p>
          <w:p w14:paraId="0C8DEECB" w14:textId="77777777" w:rsidR="009A4137" w:rsidRPr="00512D7B" w:rsidRDefault="009A4137" w:rsidP="007345A2">
            <w:pPr>
              <w:pStyle w:val="COMTabletext"/>
            </w:pPr>
            <w:r w:rsidRPr="00512D7B">
              <w:t>- 12 months</w:t>
            </w:r>
          </w:p>
          <w:p w14:paraId="3C0EA57B" w14:textId="77777777" w:rsidR="009A4137" w:rsidRPr="00512D7B" w:rsidRDefault="009A4137" w:rsidP="007345A2">
            <w:pPr>
              <w:pStyle w:val="COMTabletext"/>
            </w:pPr>
            <w:r w:rsidRPr="00512D7B">
              <w:t>- 18 months</w:t>
            </w:r>
          </w:p>
          <w:p w14:paraId="18EF4151" w14:textId="77777777" w:rsidR="009A4137" w:rsidRPr="00512D7B" w:rsidRDefault="009A4137" w:rsidP="007345A2">
            <w:pPr>
              <w:pStyle w:val="COMTabletext"/>
            </w:pPr>
            <w:r w:rsidRPr="00512D7B">
              <w:t>- 24 months</w:t>
            </w:r>
          </w:p>
          <w:p w14:paraId="2DA98DE7" w14:textId="77777777" w:rsidR="009A4137" w:rsidRPr="00512D7B" w:rsidRDefault="009A4137" w:rsidP="007345A2">
            <w:pPr>
              <w:pStyle w:val="COMTabletext"/>
            </w:pPr>
            <w:r w:rsidRPr="00512D7B">
              <w:t>- 36 months</w:t>
            </w:r>
          </w:p>
        </w:tc>
        <w:tc>
          <w:tcPr>
            <w:tcW w:w="1443" w:type="dxa"/>
          </w:tcPr>
          <w:p w14:paraId="5CB5A9B6" w14:textId="77777777" w:rsidR="009A4137" w:rsidRPr="003D777B" w:rsidRDefault="009A4137" w:rsidP="007345A2">
            <w:pPr>
              <w:pStyle w:val="COMTabletext"/>
              <w:jc w:val="center"/>
            </w:pPr>
          </w:p>
          <w:p w14:paraId="70DEAD78" w14:textId="77777777" w:rsidR="009A4137" w:rsidRPr="003D777B" w:rsidRDefault="009A4137" w:rsidP="007345A2">
            <w:pPr>
              <w:pStyle w:val="COMTabletext"/>
              <w:jc w:val="center"/>
            </w:pPr>
            <w:r w:rsidRPr="003D777B">
              <w:t>0.88 (0.83, 0.91)</w:t>
            </w:r>
          </w:p>
          <w:p w14:paraId="29B1CC55" w14:textId="77777777" w:rsidR="009A4137" w:rsidRPr="003D777B" w:rsidRDefault="009A4137" w:rsidP="007345A2">
            <w:pPr>
              <w:pStyle w:val="COMTabletext"/>
              <w:jc w:val="center"/>
            </w:pPr>
            <w:r w:rsidRPr="003D777B">
              <w:t>0.78 (0.72, 0.83)</w:t>
            </w:r>
          </w:p>
          <w:p w14:paraId="24F8968C" w14:textId="77777777" w:rsidR="009A4137" w:rsidRPr="003D777B" w:rsidRDefault="009A4137" w:rsidP="007345A2">
            <w:pPr>
              <w:pStyle w:val="COMTabletext"/>
              <w:jc w:val="center"/>
            </w:pPr>
            <w:r w:rsidRPr="003D777B">
              <w:t>0.69 (0.62, 0.75)</w:t>
            </w:r>
          </w:p>
          <w:p w14:paraId="6FB43F24" w14:textId="77777777" w:rsidR="009A4137" w:rsidRPr="003D777B" w:rsidRDefault="009A4137" w:rsidP="007345A2">
            <w:pPr>
              <w:pStyle w:val="COMTabletext"/>
              <w:jc w:val="center"/>
            </w:pPr>
            <w:r w:rsidRPr="003D777B">
              <w:t>0.65 (0.58, 0.71)</w:t>
            </w:r>
          </w:p>
          <w:p w14:paraId="70E73073" w14:textId="77777777" w:rsidR="009A4137" w:rsidRPr="003D777B" w:rsidRDefault="009A4137" w:rsidP="007345A2">
            <w:pPr>
              <w:pStyle w:val="COMTabletext"/>
              <w:jc w:val="center"/>
            </w:pPr>
            <w:r w:rsidRPr="003D777B">
              <w:t>Not reported</w:t>
            </w:r>
          </w:p>
        </w:tc>
        <w:tc>
          <w:tcPr>
            <w:tcW w:w="1444" w:type="dxa"/>
          </w:tcPr>
          <w:p w14:paraId="703AAD07" w14:textId="77777777" w:rsidR="009A4137" w:rsidRPr="003D777B" w:rsidRDefault="009A4137" w:rsidP="007345A2">
            <w:pPr>
              <w:pStyle w:val="COMTabletext"/>
              <w:jc w:val="center"/>
            </w:pPr>
          </w:p>
          <w:p w14:paraId="03FF8E5E" w14:textId="77777777" w:rsidR="009A4137" w:rsidRPr="003D777B" w:rsidRDefault="009A4137" w:rsidP="007345A2">
            <w:pPr>
              <w:pStyle w:val="COMTabletext"/>
              <w:jc w:val="center"/>
            </w:pPr>
            <w:r w:rsidRPr="003D777B">
              <w:t>0.77 (0.71, 0.82)</w:t>
            </w:r>
          </w:p>
          <w:p w14:paraId="7E055C19" w14:textId="77777777" w:rsidR="009A4137" w:rsidRPr="003D777B" w:rsidRDefault="009A4137" w:rsidP="007345A2">
            <w:pPr>
              <w:pStyle w:val="COMTabletext"/>
              <w:jc w:val="center"/>
            </w:pPr>
            <w:r w:rsidRPr="003D777B">
              <w:t>0.53 (0.47, 0.60)</w:t>
            </w:r>
          </w:p>
          <w:p w14:paraId="2EAB34E0" w14:textId="77777777" w:rsidR="009A4137" w:rsidRPr="003D777B" w:rsidRDefault="009A4137" w:rsidP="007345A2">
            <w:pPr>
              <w:pStyle w:val="COMTabletext"/>
              <w:jc w:val="center"/>
            </w:pPr>
            <w:r w:rsidRPr="003D777B">
              <w:t>0.43 (0.36, 0.49)</w:t>
            </w:r>
          </w:p>
          <w:p w14:paraId="791850B6" w14:textId="77777777" w:rsidR="009A4137" w:rsidRPr="003D777B" w:rsidRDefault="009A4137" w:rsidP="007345A2">
            <w:pPr>
              <w:pStyle w:val="COMTabletext"/>
              <w:jc w:val="center"/>
            </w:pPr>
            <w:r w:rsidRPr="003D777B">
              <w:t>0.34 (0.28, 0.41)</w:t>
            </w:r>
          </w:p>
          <w:p w14:paraId="34DD4011" w14:textId="77777777" w:rsidR="009A4137" w:rsidRPr="003D777B" w:rsidRDefault="009A4137" w:rsidP="007345A2">
            <w:pPr>
              <w:pStyle w:val="COMTabletext"/>
              <w:jc w:val="center"/>
            </w:pPr>
            <w:r w:rsidRPr="003D777B">
              <w:t>Not reported</w:t>
            </w:r>
          </w:p>
        </w:tc>
        <w:tc>
          <w:tcPr>
            <w:tcW w:w="1443" w:type="dxa"/>
          </w:tcPr>
          <w:p w14:paraId="26EFA006" w14:textId="77777777" w:rsidR="009A4137" w:rsidRPr="003D777B" w:rsidRDefault="009A4137" w:rsidP="007345A2">
            <w:pPr>
              <w:pStyle w:val="COMTabletext"/>
              <w:jc w:val="center"/>
            </w:pPr>
          </w:p>
          <w:p w14:paraId="5089C2C3" w14:textId="77777777" w:rsidR="009A4137" w:rsidRPr="003D777B" w:rsidRDefault="009A4137" w:rsidP="007345A2">
            <w:pPr>
              <w:pStyle w:val="COMTabletext"/>
              <w:jc w:val="center"/>
            </w:pPr>
            <w:r w:rsidRPr="003D777B">
              <w:t>0.90 (0.82, 0.94)</w:t>
            </w:r>
          </w:p>
          <w:p w14:paraId="50018975" w14:textId="77777777" w:rsidR="009A4137" w:rsidRPr="003D777B" w:rsidRDefault="009A4137" w:rsidP="007345A2">
            <w:pPr>
              <w:pStyle w:val="COMTabletext"/>
              <w:jc w:val="center"/>
            </w:pPr>
            <w:r w:rsidRPr="003D777B">
              <w:t>0.77 (0.68, 0.84)</w:t>
            </w:r>
          </w:p>
          <w:p w14:paraId="66032671" w14:textId="77777777" w:rsidR="009A4137" w:rsidRPr="003D777B" w:rsidRDefault="009A4137" w:rsidP="007345A2">
            <w:pPr>
              <w:pStyle w:val="COMTabletext"/>
              <w:jc w:val="center"/>
            </w:pPr>
            <w:r w:rsidRPr="003D777B">
              <w:t>0.67 (0.57, 0.75)</w:t>
            </w:r>
          </w:p>
          <w:p w14:paraId="21E6AE32" w14:textId="77777777" w:rsidR="009A4137" w:rsidRPr="003D777B" w:rsidRDefault="009A4137" w:rsidP="007345A2">
            <w:pPr>
              <w:pStyle w:val="COMTabletext"/>
              <w:jc w:val="center"/>
            </w:pPr>
            <w:r w:rsidRPr="003D777B">
              <w:t>0.60 (0.49, 0.69)</w:t>
            </w:r>
          </w:p>
          <w:p w14:paraId="29B57248" w14:textId="77777777" w:rsidR="009A4137" w:rsidRPr="003D777B" w:rsidRDefault="009A4137" w:rsidP="007345A2">
            <w:pPr>
              <w:pStyle w:val="COMTabletext"/>
              <w:jc w:val="center"/>
            </w:pPr>
            <w:r w:rsidRPr="003D777B">
              <w:t>0.48 (0.37,0.57)</w:t>
            </w:r>
          </w:p>
        </w:tc>
        <w:tc>
          <w:tcPr>
            <w:tcW w:w="1444" w:type="dxa"/>
          </w:tcPr>
          <w:p w14:paraId="30EDFDE3" w14:textId="77777777" w:rsidR="009A4137" w:rsidRPr="003D777B" w:rsidRDefault="009A4137" w:rsidP="007345A2">
            <w:pPr>
              <w:pStyle w:val="COMTabletext"/>
              <w:jc w:val="center"/>
            </w:pPr>
          </w:p>
          <w:p w14:paraId="5030DE98" w14:textId="77777777" w:rsidR="009A4137" w:rsidRPr="003D777B" w:rsidRDefault="009A4137" w:rsidP="007345A2">
            <w:pPr>
              <w:pStyle w:val="COMTabletext"/>
              <w:jc w:val="center"/>
            </w:pPr>
            <w:r w:rsidRPr="003D777B">
              <w:t>0.70 (0.61, 0.77)</w:t>
            </w:r>
          </w:p>
          <w:p w14:paraId="7DD85DFB" w14:textId="77777777" w:rsidR="009A4137" w:rsidRPr="003D777B" w:rsidRDefault="009A4137" w:rsidP="007345A2">
            <w:pPr>
              <w:pStyle w:val="COMTabletext"/>
              <w:jc w:val="center"/>
            </w:pPr>
            <w:r w:rsidRPr="003D777B">
              <w:t>0.43 (0.33, 0.52)</w:t>
            </w:r>
          </w:p>
          <w:p w14:paraId="709A748B" w14:textId="77777777" w:rsidR="009A4137" w:rsidRPr="003D777B" w:rsidRDefault="009A4137" w:rsidP="007345A2">
            <w:pPr>
              <w:pStyle w:val="COMTabletext"/>
              <w:jc w:val="center"/>
            </w:pPr>
            <w:r w:rsidRPr="003D777B">
              <w:t>0.30 (0.22, 0.39)</w:t>
            </w:r>
          </w:p>
          <w:p w14:paraId="7075FD31" w14:textId="77777777" w:rsidR="009A4137" w:rsidRPr="003D777B" w:rsidRDefault="009A4137" w:rsidP="007345A2">
            <w:pPr>
              <w:pStyle w:val="COMTabletext"/>
              <w:jc w:val="center"/>
            </w:pPr>
            <w:r w:rsidRPr="003D777B">
              <w:t>0.23 (0.15, 0.31)</w:t>
            </w:r>
          </w:p>
          <w:p w14:paraId="797F3503" w14:textId="77777777" w:rsidR="009A4137" w:rsidRPr="003D777B" w:rsidRDefault="009A4137" w:rsidP="007345A2">
            <w:pPr>
              <w:pStyle w:val="COMTabletext"/>
              <w:jc w:val="center"/>
            </w:pPr>
            <w:r w:rsidRPr="003D777B">
              <w:t>0.18 (0.11, 0.26)</w:t>
            </w:r>
          </w:p>
        </w:tc>
      </w:tr>
    </w:tbl>
    <w:p w14:paraId="467C0519" w14:textId="77777777" w:rsidR="009A4137" w:rsidRPr="00512D7B" w:rsidRDefault="009A4137" w:rsidP="009A4137">
      <w:pPr>
        <w:pStyle w:val="COMTablefooter"/>
      </w:pPr>
      <w:r w:rsidRPr="00512D7B">
        <w:t xml:space="preserve">Source: Table 2-9, p66; Table 2-22, pp73-74; Table 2-43, p99; Table 2-48, p103 of the submission; Table 1.0025, pp353-354 and Table 2.0007, pp435-436 of the DREAMM-7 IA1 CSR; Table 2.1100206, pp1-2 of DREAMM-7 IA1 Supplementary data; </w:t>
      </w:r>
      <w:bookmarkStart w:id="32" w:name="_Hlk206333987"/>
      <w:r w:rsidRPr="00512D7B">
        <w:t>Table 2.00</w:t>
      </w:r>
      <w:r w:rsidRPr="00512D7B">
        <w:rPr>
          <w:rFonts w:hint="eastAsia"/>
        </w:rPr>
        <w:t>07</w:t>
      </w:r>
      <w:r w:rsidRPr="00512D7B">
        <w:t xml:space="preserve">, pp1-2; </w:t>
      </w:r>
      <w:bookmarkEnd w:id="32"/>
      <w:r w:rsidRPr="00512D7B">
        <w:t>Table 2.1100206, pp1-2 of DREAMM-7 IA2 supplementary data.</w:t>
      </w:r>
    </w:p>
    <w:p w14:paraId="1EDC71F1" w14:textId="0753FF2D" w:rsidR="009A4137" w:rsidRPr="00512D7B" w:rsidRDefault="009A4137" w:rsidP="009A4137">
      <w:pPr>
        <w:pStyle w:val="COMTablefooter"/>
      </w:pPr>
      <w:r w:rsidRPr="00512D7B">
        <w:lastRenderedPageBreak/>
        <w:t xml:space="preserve">Abbreviations: </w:t>
      </w:r>
      <w:r w:rsidR="00834591" w:rsidRPr="00512D7B">
        <w:t>BmBd</w:t>
      </w:r>
      <w:r w:rsidRPr="00512D7B">
        <w:t xml:space="preserve">, belantamab mafodotin in combination with bortezomib and dexamethasone; CI, confidence interval; </w:t>
      </w:r>
      <w:r w:rsidR="001C413B" w:rsidRPr="00512D7B">
        <w:t>DBd</w:t>
      </w:r>
      <w:r w:rsidRPr="00512D7B">
        <w:t>, daratumumab in combination with bortezomib and dexamethasone; IA1, interim analysis 2 (October 2023 data cut); IA2, interim analysis 2 (October 2024 data cut);</w:t>
      </w:r>
      <w:r w:rsidR="00093E93" w:rsidRPr="00512D7B">
        <w:t xml:space="preserve"> IRC, independent review committee;</w:t>
      </w:r>
      <w:r w:rsidRPr="00512D7B">
        <w:t xml:space="preserve"> NE, not estimable; PFS, progression-free survival.</w:t>
      </w:r>
    </w:p>
    <w:p w14:paraId="0A0BE692" w14:textId="77777777" w:rsidR="009A4137" w:rsidRPr="00512D7B" w:rsidRDefault="009A4137" w:rsidP="009A4137">
      <w:pPr>
        <w:pStyle w:val="COMTablefooter"/>
      </w:pPr>
      <w:r w:rsidRPr="00512D7B">
        <w:rPr>
          <w:b/>
          <w:bCs/>
        </w:rPr>
        <w:t xml:space="preserve">Bolded </w:t>
      </w:r>
      <w:r w:rsidRPr="00512D7B">
        <w:t>results were statistically significant.</w:t>
      </w:r>
    </w:p>
    <w:p w14:paraId="0599357A" w14:textId="77777777" w:rsidR="009A4137" w:rsidRPr="00512D7B" w:rsidRDefault="009A4137" w:rsidP="009A4137">
      <w:pPr>
        <w:pStyle w:val="COMTablefooter"/>
      </w:pPr>
      <w:r w:rsidRPr="00512D7B">
        <w:rPr>
          <w:vertAlign w:val="superscript"/>
        </w:rPr>
        <w:t>a</w:t>
      </w:r>
      <w:r w:rsidRPr="00512D7B">
        <w:t xml:space="preserve"> Results are descriptive and were not formally re-tested at the October 2024 data cut, given statistical significance for PFS was achieved based on the October 2023 data cut.</w:t>
      </w:r>
    </w:p>
    <w:p w14:paraId="61A532E7" w14:textId="4666F203" w:rsidR="009A4137" w:rsidRPr="00512D7B" w:rsidRDefault="009A4137" w:rsidP="009A4137">
      <w:pPr>
        <w:pStyle w:val="COMTableFigurecaption"/>
        <w:rPr>
          <w:lang w:eastAsia="zh-CN"/>
        </w:rPr>
      </w:pPr>
      <w:bookmarkStart w:id="33" w:name="_Ref206410926"/>
      <w:r w:rsidRPr="003D777B">
        <w:t xml:space="preserve">Figure </w:t>
      </w:r>
      <w:r w:rsidRPr="003D777B">
        <w:rPr>
          <w:lang w:eastAsia="zh-CN"/>
        </w:rPr>
        <w:fldChar w:fldCharType="begin"/>
      </w:r>
      <w:r w:rsidRPr="003D777B">
        <w:rPr>
          <w:lang w:eastAsia="zh-CN"/>
        </w:rPr>
        <w:instrText xml:space="preserve"> </w:instrText>
      </w:r>
      <w:r w:rsidRPr="003D777B">
        <w:rPr>
          <w:rFonts w:hint="eastAsia"/>
          <w:lang w:eastAsia="zh-CN"/>
        </w:rPr>
        <w:instrText>SEQ Figure \* ARABIC</w:instrText>
      </w:r>
      <w:r w:rsidRPr="003D777B">
        <w:rPr>
          <w:lang w:eastAsia="zh-CN"/>
        </w:rPr>
        <w:instrText xml:space="preserve"> </w:instrText>
      </w:r>
      <w:r w:rsidRPr="003D777B">
        <w:rPr>
          <w:lang w:eastAsia="zh-CN"/>
        </w:rPr>
        <w:fldChar w:fldCharType="separate"/>
      </w:r>
      <w:r w:rsidR="00674A1F">
        <w:rPr>
          <w:noProof/>
          <w:lang w:eastAsia="zh-CN"/>
        </w:rPr>
        <w:t>1</w:t>
      </w:r>
      <w:r w:rsidRPr="003D777B">
        <w:rPr>
          <w:lang w:eastAsia="zh-CN"/>
        </w:rPr>
        <w:fldChar w:fldCharType="end"/>
      </w:r>
      <w:bookmarkEnd w:id="33"/>
      <w:r w:rsidRPr="003D777B">
        <w:t>: I</w:t>
      </w:r>
      <w:r w:rsidR="00093E93" w:rsidRPr="003D777B">
        <w:t>RC</w:t>
      </w:r>
      <w:r w:rsidRPr="003D777B">
        <w:t>-</w:t>
      </w:r>
      <w:r w:rsidRPr="003D777B">
        <w:rPr>
          <w:rFonts w:hint="eastAsia"/>
          <w:lang w:eastAsia="zh-CN"/>
        </w:rPr>
        <w:t>a</w:t>
      </w:r>
      <w:r w:rsidRPr="003D777B">
        <w:t xml:space="preserve">ssessed </w:t>
      </w:r>
      <w:r w:rsidRPr="003D777B">
        <w:rPr>
          <w:lang w:eastAsia="zh-CN"/>
        </w:rPr>
        <w:t>progression</w:t>
      </w:r>
      <w:r w:rsidRPr="003D777B">
        <w:rPr>
          <w:rFonts w:hint="eastAsia"/>
          <w:lang w:eastAsia="zh-CN"/>
        </w:rPr>
        <w:t xml:space="preserve">-free survival </w:t>
      </w:r>
      <w:r w:rsidRPr="003D777B">
        <w:t>in the DREAMM-7 trial</w:t>
      </w:r>
      <w:r w:rsidRPr="003D777B">
        <w:rPr>
          <w:lang w:eastAsia="zh-CN"/>
        </w:rPr>
        <w:t xml:space="preserve"> (ITT population, </w:t>
      </w:r>
      <w:r w:rsidRPr="003D777B">
        <w:t>October 202</w:t>
      </w:r>
      <w:r w:rsidRPr="003D777B">
        <w:rPr>
          <w:rFonts w:hint="eastAsia"/>
          <w:lang w:eastAsia="zh-CN"/>
        </w:rPr>
        <w:t>4 data cut</w:t>
      </w:r>
      <w:r w:rsidRPr="003D777B">
        <w:rPr>
          <w:lang w:eastAsia="zh-CN"/>
        </w:rPr>
        <w:t>)</w:t>
      </w:r>
      <w:r w:rsidR="00573D8E">
        <w:rPr>
          <w:rStyle w:val="FootnoteReference"/>
          <w:lang w:eastAsia="zh-CN"/>
        </w:rPr>
        <w:footnoteReference w:id="4"/>
      </w:r>
    </w:p>
    <w:p w14:paraId="199EC0DB" w14:textId="77777777" w:rsidR="009A4137" w:rsidRPr="00512D7B" w:rsidRDefault="009A4137" w:rsidP="009A4137">
      <w:pPr>
        <w:pStyle w:val="COMBody"/>
        <w:rPr>
          <w:color w:val="3366FF"/>
        </w:rPr>
      </w:pPr>
      <w:r w:rsidRPr="00512D7B">
        <w:rPr>
          <w:noProof/>
        </w:rPr>
        <w:drawing>
          <wp:inline distT="0" distB="0" distL="0" distR="0" wp14:anchorId="4F6F8277" wp14:editId="502EE3AB">
            <wp:extent cx="5727700" cy="3316605"/>
            <wp:effectExtent l="0" t="0" r="6350" b="0"/>
            <wp:docPr id="1001608629" name="Picture 1" descr="Figure 1: IRC-assessed progression-free survival in the DREAMM-7 trial (ITT population, October 2024 data 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8629" name="Picture 1" descr="Figure 1: IRC-assessed progression-free survival in the DREAMM-7 trial (ITT population, October 2024 data cut) "/>
                    <pic:cNvPicPr/>
                  </pic:nvPicPr>
                  <pic:blipFill>
                    <a:blip r:embed="rId11"/>
                    <a:stretch>
                      <a:fillRect/>
                    </a:stretch>
                  </pic:blipFill>
                  <pic:spPr>
                    <a:xfrm>
                      <a:off x="0" y="0"/>
                      <a:ext cx="5727700" cy="3316605"/>
                    </a:xfrm>
                    <a:prstGeom prst="rect">
                      <a:avLst/>
                    </a:prstGeom>
                  </pic:spPr>
                </pic:pic>
              </a:graphicData>
            </a:graphic>
          </wp:inline>
        </w:drawing>
      </w:r>
    </w:p>
    <w:p w14:paraId="7A594B7A" w14:textId="77777777" w:rsidR="009A4137" w:rsidRPr="00512D7B" w:rsidRDefault="009A4137" w:rsidP="009A4137">
      <w:pPr>
        <w:pStyle w:val="COMTablefooter"/>
      </w:pPr>
      <w:r w:rsidRPr="00512D7B">
        <w:t>Source: Figure 2-6, p74 of the submission; Figure 2.0037, p1 of DREAMM-7 IA2 Supplementary data.</w:t>
      </w:r>
    </w:p>
    <w:p w14:paraId="4EB170D2" w14:textId="2BEE2C5D" w:rsidR="009A4137" w:rsidRPr="00512D7B" w:rsidRDefault="009A4137" w:rsidP="009A4137">
      <w:pPr>
        <w:pStyle w:val="COMTablefooter"/>
        <w:rPr>
          <w:lang w:eastAsia="zh-CN"/>
        </w:rPr>
      </w:pPr>
      <w:r w:rsidRPr="00512D7B">
        <w:t>Abbreviations: BOR, bortezomib; DARA, daratumumab; DEX, dexamethasone; GSK916, belantamab mafodotin</w:t>
      </w:r>
      <w:r w:rsidRPr="00512D7B">
        <w:rPr>
          <w:rFonts w:hint="eastAsia"/>
          <w:lang w:eastAsia="zh-CN"/>
        </w:rPr>
        <w:t xml:space="preserve">; </w:t>
      </w:r>
      <w:r w:rsidRPr="00512D7B">
        <w:t>IA2, interim analysis 2 (October 2024 data cut)</w:t>
      </w:r>
      <w:r w:rsidR="00093E93" w:rsidRPr="00512D7B">
        <w:t>; IRC, independent review committee</w:t>
      </w:r>
      <w:r w:rsidRPr="00512D7B">
        <w:rPr>
          <w:rFonts w:hint="eastAsia"/>
          <w:lang w:eastAsia="zh-CN"/>
        </w:rPr>
        <w:t>.</w:t>
      </w:r>
    </w:p>
    <w:p w14:paraId="0841F88A" w14:textId="45186ECD" w:rsidR="009A4137" w:rsidRPr="00512D7B" w:rsidRDefault="009A4137" w:rsidP="0070173B">
      <w:pPr>
        <w:pStyle w:val="TableHeading"/>
        <w:jc w:val="left"/>
        <w:rPr>
          <w:lang w:eastAsia="zh-CN"/>
        </w:rPr>
      </w:pPr>
      <w:bookmarkStart w:id="34" w:name="_Ref208486062"/>
      <w:r w:rsidRPr="00512D7B">
        <w:lastRenderedPageBreak/>
        <w:t xml:space="preserve">Figure </w:t>
      </w:r>
      <w:r w:rsidR="00715075">
        <w:fldChar w:fldCharType="begin"/>
      </w:r>
      <w:r w:rsidR="00715075">
        <w:instrText xml:space="preserve"> SEQ Figure \* ARABIC </w:instrText>
      </w:r>
      <w:r w:rsidR="00715075">
        <w:fldChar w:fldCharType="separate"/>
      </w:r>
      <w:r w:rsidR="00674A1F">
        <w:rPr>
          <w:noProof/>
        </w:rPr>
        <w:t>2</w:t>
      </w:r>
      <w:r w:rsidR="00715075">
        <w:fldChar w:fldCharType="end"/>
      </w:r>
      <w:bookmarkEnd w:id="34"/>
      <w:r w:rsidRPr="00512D7B">
        <w:t xml:space="preserve">: </w:t>
      </w:r>
      <w:r w:rsidR="0040410B" w:rsidRPr="0040410B">
        <w:rPr>
          <w:highlight w:val="black"/>
        </w:rPr>
        <w:t>&amp;&amp;&amp;&amp;</w:t>
      </w:r>
      <w:r w:rsidR="00093E93" w:rsidRPr="001179E9">
        <w:t>RC</w:t>
      </w:r>
      <w:r w:rsidRPr="001179E9">
        <w:t>-</w:t>
      </w:r>
      <w:r w:rsidRPr="001179E9">
        <w:rPr>
          <w:rFonts w:hint="eastAsia"/>
          <w:lang w:eastAsia="zh-CN"/>
        </w:rPr>
        <w:t>a</w:t>
      </w:r>
      <w:r w:rsidRPr="001179E9">
        <w:t xml:space="preserve">ssessed </w:t>
      </w:r>
      <w:r w:rsidRPr="001179E9">
        <w:rPr>
          <w:lang w:eastAsia="zh-CN"/>
        </w:rPr>
        <w:t>progression</w:t>
      </w:r>
      <w:r w:rsidRPr="001179E9">
        <w:rPr>
          <w:rFonts w:hint="eastAsia"/>
          <w:lang w:eastAsia="zh-CN"/>
        </w:rPr>
        <w:t xml:space="preserve">-free survival </w:t>
      </w:r>
      <w:r w:rsidRPr="001179E9">
        <w:t>in the DREAMM-7 trial</w:t>
      </w:r>
      <w:r w:rsidRPr="001179E9">
        <w:rPr>
          <w:lang w:eastAsia="zh-CN"/>
        </w:rPr>
        <w:t xml:space="preserve"> (lenalidomide-exposed subgroup, </w:t>
      </w:r>
      <w:r w:rsidRPr="001179E9">
        <w:t>October 202</w:t>
      </w:r>
      <w:r w:rsidRPr="001179E9">
        <w:rPr>
          <w:rFonts w:hint="eastAsia"/>
          <w:lang w:eastAsia="zh-CN"/>
        </w:rPr>
        <w:t>4 data cut</w:t>
      </w:r>
      <w:r w:rsidRPr="001179E9">
        <w:rPr>
          <w:lang w:eastAsia="zh-CN"/>
        </w:rPr>
        <w:t>)</w:t>
      </w:r>
      <w:r w:rsidR="008F5881">
        <w:rPr>
          <w:rStyle w:val="FootnoteReference"/>
          <w:lang w:eastAsia="zh-CN"/>
        </w:rPr>
        <w:footnoteReference w:id="5"/>
      </w:r>
    </w:p>
    <w:p w14:paraId="65E88E36" w14:textId="77777777" w:rsidR="009A4137" w:rsidRPr="00512D7B" w:rsidRDefault="009A4137" w:rsidP="009A4137">
      <w:pPr>
        <w:pStyle w:val="COMBody"/>
        <w:rPr>
          <w:color w:val="3366FF"/>
        </w:rPr>
      </w:pPr>
      <w:r w:rsidRPr="00512D7B">
        <w:rPr>
          <w:noProof/>
        </w:rPr>
        <w:drawing>
          <wp:inline distT="0" distB="0" distL="0" distR="0" wp14:anchorId="3106FC9C" wp14:editId="6948DC5D">
            <wp:extent cx="5727700" cy="3189605"/>
            <wp:effectExtent l="0" t="0" r="6350" b="0"/>
            <wp:docPr id="1752392589" name="Picture 1" descr="Figure 2: RC-assessed progression-free survival in the DREAMM-7 trial (lenalidomide-exposed subgroup, October 2024 data 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92589" name="Picture 1" descr="Figure 2: RC-assessed progression-free survival in the DREAMM-7 trial (lenalidomide-exposed subgroup, October 2024 data cut) "/>
                    <pic:cNvPicPr/>
                  </pic:nvPicPr>
                  <pic:blipFill>
                    <a:blip r:embed="rId12"/>
                    <a:stretch>
                      <a:fillRect/>
                    </a:stretch>
                  </pic:blipFill>
                  <pic:spPr>
                    <a:xfrm>
                      <a:off x="0" y="0"/>
                      <a:ext cx="5727700" cy="3189605"/>
                    </a:xfrm>
                    <a:prstGeom prst="rect">
                      <a:avLst/>
                    </a:prstGeom>
                  </pic:spPr>
                </pic:pic>
              </a:graphicData>
            </a:graphic>
          </wp:inline>
        </w:drawing>
      </w:r>
    </w:p>
    <w:p w14:paraId="25A4A3C8" w14:textId="77777777" w:rsidR="009A4137" w:rsidRPr="00512D7B" w:rsidRDefault="009A4137" w:rsidP="009A4137">
      <w:pPr>
        <w:pStyle w:val="COMTablefooter"/>
      </w:pPr>
      <w:r w:rsidRPr="00512D7B">
        <w:t>Source: Figure 2-16, p104 of the submission; Figure 2.1100106 of DREAMM-7 IA2 Supplementary data.</w:t>
      </w:r>
    </w:p>
    <w:p w14:paraId="382BF44B" w14:textId="62FEB9BA" w:rsidR="009A4137" w:rsidRPr="00512D7B" w:rsidRDefault="009A4137" w:rsidP="009A4137">
      <w:pPr>
        <w:pStyle w:val="COMTablefooter"/>
      </w:pPr>
      <w:r w:rsidRPr="00512D7B">
        <w:t xml:space="preserve">Abbreviations: BOR, bortezomib; DARA, daratumumab; DEX, dexamethasone; GSK916, belantamab mafodotin; IA2, interim analysis 2 (October 2024 data cut); </w:t>
      </w:r>
      <w:r w:rsidR="00093E93" w:rsidRPr="00512D7B">
        <w:t>IRC, independent review committee</w:t>
      </w:r>
      <w:r w:rsidRPr="00512D7B">
        <w:t>.</w:t>
      </w:r>
    </w:p>
    <w:p w14:paraId="0947A369" w14:textId="6903DAE2" w:rsidR="009A4137" w:rsidRPr="00AC3F7C" w:rsidRDefault="009A4137" w:rsidP="009A4137">
      <w:pPr>
        <w:pStyle w:val="COMESnumberedpara"/>
      </w:pPr>
      <w:r w:rsidRPr="00AC3F7C">
        <w:t xml:space="preserve">Based on the ITT analysis, treatment with </w:t>
      </w:r>
      <w:r w:rsidR="00834591" w:rsidRPr="00AC3F7C">
        <w:t>BmBd</w:t>
      </w:r>
      <w:r w:rsidRPr="00AC3F7C">
        <w:t xml:space="preserve"> was associated with a statistically significant improvement in progression-free survival compared to </w:t>
      </w:r>
      <w:r w:rsidR="001C413B" w:rsidRPr="00AC3F7C">
        <w:t>DBd</w:t>
      </w:r>
      <w:r w:rsidRPr="00AC3F7C">
        <w:t xml:space="preserve"> (HR</w:t>
      </w:r>
      <w:r w:rsidR="005E5AC8" w:rsidRPr="00AC3F7C">
        <w:t xml:space="preserve"> =</w:t>
      </w:r>
      <w:r w:rsidRPr="00AC3F7C">
        <w:t xml:space="preserve"> 0.41; 95% CI: 0.31, 0.53) at the October 2023 data cut; with results based on the October 202</w:t>
      </w:r>
      <w:r w:rsidRPr="00AC3F7C">
        <w:rPr>
          <w:rFonts w:hint="eastAsia"/>
        </w:rPr>
        <w:t xml:space="preserve">4 </w:t>
      </w:r>
      <w:r w:rsidRPr="00AC3F7C">
        <w:t xml:space="preserve">data cut also favouring </w:t>
      </w:r>
      <w:r w:rsidR="00834591" w:rsidRPr="00AC3F7C">
        <w:t>BmBd</w:t>
      </w:r>
      <w:r w:rsidRPr="00AC3F7C">
        <w:t xml:space="preserve">. </w:t>
      </w:r>
    </w:p>
    <w:p w14:paraId="1C54B589" w14:textId="38F8EC19" w:rsidR="009A4137" w:rsidRPr="00C272F4" w:rsidRDefault="009A4137" w:rsidP="009A4137">
      <w:pPr>
        <w:pStyle w:val="COMESnumberedpara"/>
      </w:pPr>
      <w:r w:rsidRPr="00C272F4">
        <w:t xml:space="preserve">The lenalidomide-exposed subgroup was associated with a greater reduction in the risk of disease progression or death for </w:t>
      </w:r>
      <w:r w:rsidR="00834591" w:rsidRPr="00C272F4">
        <w:t>BmBd</w:t>
      </w:r>
      <w:r w:rsidRPr="00C272F4">
        <w:t xml:space="preserve"> versus </w:t>
      </w:r>
      <w:r w:rsidR="001C413B" w:rsidRPr="00C272F4">
        <w:t>DBd</w:t>
      </w:r>
      <w:r w:rsidRPr="00C272F4">
        <w:t xml:space="preserve"> compared to the ITT population, based on the October 2024 data cut (</w:t>
      </w:r>
      <w:r w:rsidR="00E4068C" w:rsidRPr="00C272F4">
        <w:t>HRs =</w:t>
      </w:r>
      <w:r w:rsidR="00292485" w:rsidRPr="00C272F4">
        <w:t xml:space="preserve"> 0.34 [95% CI: 0.24, 0.48] and 0.46 [95% CI: 0.35, 0.59], respectively)</w:t>
      </w:r>
      <w:r w:rsidRPr="00C272F4">
        <w:t>.</w:t>
      </w:r>
      <w:r w:rsidR="00C272F4" w:rsidRPr="00C272F4">
        <w:rPr>
          <w:rStyle w:val="FootnoteReference"/>
        </w:rPr>
        <w:footnoteReference w:id="6"/>
      </w:r>
    </w:p>
    <w:p w14:paraId="78C4F9B2" w14:textId="5BB4E9EC" w:rsidR="009A4137" w:rsidRPr="00AC3F7C" w:rsidRDefault="009A4137" w:rsidP="009A4137">
      <w:pPr>
        <w:pStyle w:val="COMESnumberedpara"/>
      </w:pPr>
      <w:r w:rsidRPr="00AC3F7C">
        <w:lastRenderedPageBreak/>
        <w:t>The trial included pre-specified subgroup analyses for progression-free survival.</w:t>
      </w:r>
      <w:r w:rsidRPr="00AC3F7C">
        <w:rPr>
          <w:rFonts w:hint="eastAsia"/>
        </w:rPr>
        <w:t xml:space="preserve"> </w:t>
      </w:r>
      <w:r w:rsidRPr="00AC3F7C">
        <w:t>Based on the October 2024 data cut, m</w:t>
      </w:r>
      <w:r w:rsidRPr="00AC3F7C">
        <w:rPr>
          <w:rFonts w:hint="eastAsia"/>
        </w:rPr>
        <w:t xml:space="preserve">ost subgroups demonstrated a consistent trend in progression-free survival, favouring patients in the </w:t>
      </w:r>
      <w:r w:rsidR="00834591" w:rsidRPr="00AC3F7C">
        <w:rPr>
          <w:rFonts w:hint="eastAsia"/>
        </w:rPr>
        <w:t>BmBd</w:t>
      </w:r>
      <w:r w:rsidRPr="00AC3F7C">
        <w:rPr>
          <w:rFonts w:hint="eastAsia"/>
        </w:rPr>
        <w:t xml:space="preserve"> arm compared to the </w:t>
      </w:r>
      <w:r w:rsidR="001C413B" w:rsidRPr="00AC3F7C">
        <w:rPr>
          <w:rFonts w:hint="eastAsia"/>
        </w:rPr>
        <w:t>DBd</w:t>
      </w:r>
      <w:r w:rsidRPr="00AC3F7C">
        <w:rPr>
          <w:rFonts w:hint="eastAsia"/>
        </w:rPr>
        <w:t xml:space="preserve"> arm (HR &lt;1). While patients aged</w:t>
      </w:r>
      <w:r w:rsidRPr="00AC3F7C">
        <w:t xml:space="preserve"> </w:t>
      </w:r>
      <w:r w:rsidRPr="00AC3F7C">
        <w:rPr>
          <w:rFonts w:hint="eastAsia"/>
        </w:rPr>
        <w:t>75 years</w:t>
      </w:r>
      <w:r w:rsidRPr="00AC3F7C">
        <w:t xml:space="preserve"> and older</w:t>
      </w:r>
      <w:r w:rsidRPr="00AC3F7C">
        <w:rPr>
          <w:rFonts w:hint="eastAsia"/>
        </w:rPr>
        <w:t xml:space="preserve"> appeared to obtain a smaller benefit with </w:t>
      </w:r>
      <w:r w:rsidR="00834591" w:rsidRPr="00AC3F7C">
        <w:rPr>
          <w:rFonts w:hint="eastAsia"/>
        </w:rPr>
        <w:t>BmBd</w:t>
      </w:r>
      <w:r w:rsidRPr="00AC3F7C">
        <w:rPr>
          <w:rFonts w:hint="eastAsia"/>
        </w:rPr>
        <w:t xml:space="preserve"> compared to younger patients, the re</w:t>
      </w:r>
      <w:r w:rsidRPr="00AC3F7C">
        <w:t>sults should be interpreted with caution due to the small number of patients in the subgroup. No treatment effect interaction testing was performed.</w:t>
      </w:r>
    </w:p>
    <w:p w14:paraId="37AC12F5" w14:textId="429A5C2F" w:rsidR="009A4137" w:rsidRPr="00AC3F7C" w:rsidRDefault="009A4137" w:rsidP="009A4137">
      <w:pPr>
        <w:pStyle w:val="COMESnumberedpara"/>
      </w:pPr>
      <w:r w:rsidRPr="00AC3F7C">
        <w:fldChar w:fldCharType="begin"/>
      </w:r>
      <w:r w:rsidRPr="00AC3F7C">
        <w:instrText xml:space="preserve"> REF _Ref206411010 \h </w:instrText>
      </w:r>
      <w:r w:rsidR="005A68BE" w:rsidRPr="00AC3F7C">
        <w:instrText xml:space="preserve"> \* MERGEFORMAT </w:instrText>
      </w:r>
      <w:r w:rsidRPr="00AC3F7C">
        <w:fldChar w:fldCharType="separate"/>
      </w:r>
      <w:r w:rsidR="00674A1F" w:rsidRPr="00512D7B">
        <w:t xml:space="preserve">Table </w:t>
      </w:r>
      <w:r w:rsidR="00674A1F">
        <w:t>5</w:t>
      </w:r>
      <w:r w:rsidRPr="00AC3F7C">
        <w:fldChar w:fldCharType="end"/>
      </w:r>
      <w:r w:rsidRPr="00AC3F7C">
        <w:t xml:space="preserve">, </w:t>
      </w:r>
      <w:r w:rsidRPr="00AC3F7C">
        <w:fldChar w:fldCharType="begin"/>
      </w:r>
      <w:r w:rsidRPr="00AC3F7C">
        <w:instrText xml:space="preserve"> REF _Ref206411032 \h </w:instrText>
      </w:r>
      <w:r w:rsidR="005A68BE" w:rsidRPr="00AC3F7C">
        <w:instrText xml:space="preserve"> \* MERGEFORMAT </w:instrText>
      </w:r>
      <w:r w:rsidRPr="00AC3F7C">
        <w:fldChar w:fldCharType="separate"/>
      </w:r>
      <w:r w:rsidR="00674A1F" w:rsidRPr="00512D7B">
        <w:t xml:space="preserve">Figure </w:t>
      </w:r>
      <w:r w:rsidR="00674A1F">
        <w:t>3</w:t>
      </w:r>
      <w:r w:rsidRPr="00AC3F7C">
        <w:fldChar w:fldCharType="end"/>
      </w:r>
      <w:r w:rsidRPr="00AC3F7C">
        <w:t xml:space="preserve"> and </w:t>
      </w:r>
      <w:r w:rsidR="00BB0B52">
        <w:fldChar w:fldCharType="begin"/>
      </w:r>
      <w:r w:rsidR="00BB0B52">
        <w:instrText xml:space="preserve"> REF _Ref208485997 \h </w:instrText>
      </w:r>
      <w:r w:rsidR="00BB0B52">
        <w:fldChar w:fldCharType="separate"/>
      </w:r>
      <w:r w:rsidR="00BB0B52" w:rsidRPr="007F4F9C">
        <w:t xml:space="preserve">Figure </w:t>
      </w:r>
      <w:r w:rsidR="00BB0B52">
        <w:rPr>
          <w:noProof/>
        </w:rPr>
        <w:t>4</w:t>
      </w:r>
      <w:r w:rsidR="00BB0B52">
        <w:fldChar w:fldCharType="end"/>
      </w:r>
      <w:r w:rsidR="00BB0B52">
        <w:t xml:space="preserve"> </w:t>
      </w:r>
      <w:r w:rsidRPr="00AC3F7C">
        <w:t>below present the results of the key secondary outcome of overall survival in the ITT population and lenalidomide-exposed subgroup of the DREAMM-7 trial.</w:t>
      </w:r>
    </w:p>
    <w:p w14:paraId="5F600D0E" w14:textId="45D7D0DA" w:rsidR="009A4137" w:rsidRPr="00512D7B" w:rsidRDefault="009A4137" w:rsidP="006363AD">
      <w:pPr>
        <w:pStyle w:val="COMTableFigurecaption"/>
        <w:keepLines/>
      </w:pPr>
      <w:bookmarkStart w:id="35" w:name="_Ref206411010"/>
      <w:r w:rsidRPr="00512D7B">
        <w:t xml:space="preserve">Table </w:t>
      </w:r>
      <w:r w:rsidR="00194BBE">
        <w:fldChar w:fldCharType="begin"/>
      </w:r>
      <w:r w:rsidR="00194BBE">
        <w:instrText xml:space="preserve"> SEQ Table \* ARABIC </w:instrText>
      </w:r>
      <w:r w:rsidR="00194BBE">
        <w:fldChar w:fldCharType="separate"/>
      </w:r>
      <w:r w:rsidR="00674A1F">
        <w:rPr>
          <w:noProof/>
        </w:rPr>
        <w:t>5</w:t>
      </w:r>
      <w:r w:rsidR="00194BBE">
        <w:fldChar w:fldCharType="end"/>
      </w:r>
      <w:bookmarkEnd w:id="35"/>
      <w:r w:rsidRPr="00512D7B">
        <w:t xml:space="preserve">: Results for </w:t>
      </w:r>
      <w:r w:rsidRPr="00512D7B">
        <w:rPr>
          <w:rFonts w:hint="eastAsia"/>
          <w:lang w:eastAsia="zh-CN"/>
        </w:rPr>
        <w:t xml:space="preserve">overall survival in the DREAMM-7 trial </w:t>
      </w:r>
      <w:r w:rsidRPr="00512D7B">
        <w:rPr>
          <w:lang w:eastAsia="zh-CN"/>
        </w:rPr>
        <w:t>(ITT population and lenalidomide-exposed subgroup)</w:t>
      </w:r>
    </w:p>
    <w:tbl>
      <w:tblPr>
        <w:tblStyle w:val="TableGrid"/>
        <w:tblW w:w="5000" w:type="pct"/>
        <w:tblLook w:val="04A0" w:firstRow="1" w:lastRow="0" w:firstColumn="1" w:lastColumn="0" w:noHBand="0" w:noVBand="1"/>
        <w:tblCaption w:val="Table 5: Results for overall survival in the DREAMM-7 trial (ITT population and lenalidomide-exposed subgroup)"/>
      </w:tblPr>
      <w:tblGrid>
        <w:gridCol w:w="2972"/>
        <w:gridCol w:w="1559"/>
        <w:gridCol w:w="1560"/>
        <w:gridCol w:w="1417"/>
        <w:gridCol w:w="1509"/>
      </w:tblGrid>
      <w:tr w:rsidR="009A4137" w:rsidRPr="00512D7B" w14:paraId="6BFC6C26" w14:textId="77777777">
        <w:trPr>
          <w:cantSplit/>
          <w:trHeight w:val="50"/>
          <w:tblHeader/>
        </w:trPr>
        <w:tc>
          <w:tcPr>
            <w:tcW w:w="2972" w:type="dxa"/>
            <w:vMerge w:val="restart"/>
            <w:vAlign w:val="center"/>
          </w:tcPr>
          <w:p w14:paraId="02E1B9F1" w14:textId="77777777" w:rsidR="009A4137" w:rsidRPr="00512D7B" w:rsidRDefault="009A4137" w:rsidP="006363AD">
            <w:pPr>
              <w:keepNext/>
              <w:keepLines/>
              <w:tabs>
                <w:tab w:val="left" w:pos="164"/>
              </w:tabs>
              <w:ind w:right="-55"/>
              <w:rPr>
                <w:rFonts w:ascii="Arial Narrow" w:hAnsi="Arial Narrow"/>
                <w:sz w:val="20"/>
                <w:szCs w:val="20"/>
              </w:rPr>
            </w:pPr>
            <w:r w:rsidRPr="00512D7B">
              <w:rPr>
                <w:rFonts w:ascii="Arial Narrow" w:hAnsi="Arial Narrow"/>
                <w:b/>
                <w:bCs/>
                <w:sz w:val="20"/>
                <w:szCs w:val="20"/>
              </w:rPr>
              <w:t>Outcome</w:t>
            </w:r>
          </w:p>
        </w:tc>
        <w:tc>
          <w:tcPr>
            <w:tcW w:w="3119" w:type="dxa"/>
            <w:gridSpan w:val="2"/>
          </w:tcPr>
          <w:p w14:paraId="28A6FC96" w14:textId="77777777" w:rsidR="009A4137" w:rsidRPr="00512D7B" w:rsidRDefault="009A4137" w:rsidP="006363AD">
            <w:pPr>
              <w:pStyle w:val="TableText"/>
              <w:widowControl/>
              <w:rPr>
                <w:lang w:eastAsia="zh-CN"/>
              </w:rPr>
            </w:pPr>
            <w:r w:rsidRPr="00512D7B">
              <w:rPr>
                <w:lang w:eastAsia="zh-CN"/>
              </w:rPr>
              <w:t xml:space="preserve">ITT population </w:t>
            </w:r>
          </w:p>
        </w:tc>
        <w:tc>
          <w:tcPr>
            <w:tcW w:w="2926" w:type="dxa"/>
            <w:gridSpan w:val="2"/>
          </w:tcPr>
          <w:p w14:paraId="2934DC84" w14:textId="39C495C9" w:rsidR="009A4137" w:rsidRPr="00DE67DD" w:rsidRDefault="009A4137" w:rsidP="006363AD">
            <w:pPr>
              <w:pStyle w:val="TableText"/>
              <w:widowControl/>
              <w:rPr>
                <w:lang w:eastAsia="zh-CN"/>
              </w:rPr>
            </w:pPr>
            <w:r w:rsidRPr="00DE67DD">
              <w:rPr>
                <w:lang w:eastAsia="zh-CN"/>
              </w:rPr>
              <w:t>Lenalidomide-exposed subgroup</w:t>
            </w:r>
            <w:r w:rsidR="00DE67DD">
              <w:rPr>
                <w:rStyle w:val="FootnoteReference"/>
                <w:lang w:eastAsia="zh-CN"/>
              </w:rPr>
              <w:footnoteReference w:id="7"/>
            </w:r>
          </w:p>
        </w:tc>
      </w:tr>
      <w:tr w:rsidR="009A4137" w:rsidRPr="00512D7B" w14:paraId="0064A317" w14:textId="77777777">
        <w:trPr>
          <w:cantSplit/>
          <w:tblHeader/>
        </w:trPr>
        <w:tc>
          <w:tcPr>
            <w:tcW w:w="2972" w:type="dxa"/>
            <w:vMerge/>
            <w:vAlign w:val="center"/>
          </w:tcPr>
          <w:p w14:paraId="4DCDD07C" w14:textId="77777777" w:rsidR="009A4137" w:rsidRPr="00512D7B" w:rsidRDefault="009A4137" w:rsidP="006363AD">
            <w:pPr>
              <w:keepNext/>
              <w:keepLines/>
              <w:tabs>
                <w:tab w:val="left" w:pos="164"/>
              </w:tabs>
              <w:ind w:right="-55"/>
              <w:rPr>
                <w:rFonts w:ascii="Arial Narrow" w:hAnsi="Arial Narrow"/>
                <w:b/>
                <w:bCs/>
                <w:sz w:val="20"/>
                <w:szCs w:val="20"/>
              </w:rPr>
            </w:pPr>
          </w:p>
        </w:tc>
        <w:tc>
          <w:tcPr>
            <w:tcW w:w="1559" w:type="dxa"/>
          </w:tcPr>
          <w:p w14:paraId="6BC4076D" w14:textId="448B2E4C" w:rsidR="009A4137" w:rsidRPr="00512D7B" w:rsidRDefault="00834591" w:rsidP="006363AD">
            <w:pPr>
              <w:pStyle w:val="TableText"/>
              <w:widowControl/>
              <w:rPr>
                <w:rFonts w:eastAsia="SimSun"/>
                <w:bCs/>
                <w:lang w:eastAsia="zh-CN"/>
              </w:rPr>
            </w:pPr>
            <w:r w:rsidRPr="00512D7B">
              <w:rPr>
                <w:rFonts w:eastAsia="SimSun" w:hint="eastAsia"/>
                <w:lang w:eastAsia="zh-CN"/>
              </w:rPr>
              <w:t>BmBd</w:t>
            </w:r>
            <w:r w:rsidR="009A4137" w:rsidRPr="00512D7B">
              <w:rPr>
                <w:rFonts w:eastAsia="SimSun"/>
                <w:lang w:eastAsia="zh-CN"/>
              </w:rPr>
              <w:t xml:space="preserve"> </w:t>
            </w:r>
            <w:r w:rsidR="009A4137" w:rsidRPr="00512D7B">
              <w:t>(N=</w:t>
            </w:r>
            <w:r w:rsidR="009A4137" w:rsidRPr="00512D7B">
              <w:rPr>
                <w:rFonts w:hint="eastAsia"/>
                <w:lang w:eastAsia="zh-CN"/>
              </w:rPr>
              <w:t>243</w:t>
            </w:r>
            <w:r w:rsidR="009A4137" w:rsidRPr="00512D7B">
              <w:rPr>
                <w:lang w:eastAsia="zh-CN"/>
              </w:rPr>
              <w:t>)</w:t>
            </w:r>
          </w:p>
        </w:tc>
        <w:tc>
          <w:tcPr>
            <w:tcW w:w="1560" w:type="dxa"/>
          </w:tcPr>
          <w:p w14:paraId="5A5DCD64" w14:textId="0DB27020" w:rsidR="009A4137" w:rsidRPr="00512D7B" w:rsidRDefault="001C413B" w:rsidP="006363AD">
            <w:pPr>
              <w:pStyle w:val="TableText"/>
              <w:widowControl/>
              <w:rPr>
                <w:bCs/>
                <w:lang w:eastAsia="zh-CN"/>
              </w:rPr>
            </w:pPr>
            <w:r w:rsidRPr="00512D7B">
              <w:rPr>
                <w:rFonts w:hint="eastAsia"/>
                <w:lang w:eastAsia="zh-CN"/>
              </w:rPr>
              <w:t>DBd</w:t>
            </w:r>
            <w:r w:rsidR="009A4137" w:rsidRPr="00512D7B">
              <w:rPr>
                <w:lang w:eastAsia="zh-CN"/>
              </w:rPr>
              <w:t xml:space="preserve"> (</w:t>
            </w:r>
            <w:r w:rsidR="009A4137" w:rsidRPr="00512D7B">
              <w:t>N=</w:t>
            </w:r>
            <w:r w:rsidR="009A4137" w:rsidRPr="00512D7B">
              <w:rPr>
                <w:rFonts w:hint="eastAsia"/>
                <w:lang w:eastAsia="zh-CN"/>
              </w:rPr>
              <w:t>251</w:t>
            </w:r>
            <w:r w:rsidR="009A4137" w:rsidRPr="00512D7B">
              <w:rPr>
                <w:lang w:eastAsia="zh-CN"/>
              </w:rPr>
              <w:t>)</w:t>
            </w:r>
          </w:p>
        </w:tc>
        <w:tc>
          <w:tcPr>
            <w:tcW w:w="1417" w:type="dxa"/>
          </w:tcPr>
          <w:p w14:paraId="5B9D6BA3" w14:textId="64C5DD48" w:rsidR="009A4137" w:rsidRPr="00DE67DD" w:rsidRDefault="00834591" w:rsidP="006363AD">
            <w:pPr>
              <w:pStyle w:val="TableText"/>
              <w:widowControl/>
              <w:rPr>
                <w:rFonts w:eastAsia="SimSun"/>
                <w:lang w:eastAsia="zh-CN"/>
              </w:rPr>
            </w:pPr>
            <w:r w:rsidRPr="00DE67DD">
              <w:rPr>
                <w:rFonts w:eastAsia="SimSun" w:hint="eastAsia"/>
                <w:lang w:eastAsia="zh-CN"/>
              </w:rPr>
              <w:t>BmBd</w:t>
            </w:r>
            <w:r w:rsidR="009A4137" w:rsidRPr="00DE67DD">
              <w:rPr>
                <w:rFonts w:eastAsia="SimSun"/>
                <w:lang w:eastAsia="zh-CN"/>
              </w:rPr>
              <w:t xml:space="preserve"> </w:t>
            </w:r>
            <w:r w:rsidR="009A4137" w:rsidRPr="00DE67DD">
              <w:t>(N=</w:t>
            </w:r>
            <w:r w:rsidR="009A4137" w:rsidRPr="00DE67DD">
              <w:rPr>
                <w:lang w:eastAsia="zh-CN"/>
              </w:rPr>
              <w:t>127)</w:t>
            </w:r>
          </w:p>
        </w:tc>
        <w:tc>
          <w:tcPr>
            <w:tcW w:w="1509" w:type="dxa"/>
          </w:tcPr>
          <w:p w14:paraId="41374526" w14:textId="1A6E2352" w:rsidR="009A4137" w:rsidRPr="00DE67DD" w:rsidRDefault="001C413B" w:rsidP="006363AD">
            <w:pPr>
              <w:pStyle w:val="TableText"/>
              <w:widowControl/>
              <w:rPr>
                <w:lang w:eastAsia="zh-CN"/>
              </w:rPr>
            </w:pPr>
            <w:r w:rsidRPr="00DE67DD">
              <w:rPr>
                <w:rFonts w:hint="eastAsia"/>
                <w:lang w:eastAsia="zh-CN"/>
              </w:rPr>
              <w:t>DBd</w:t>
            </w:r>
            <w:r w:rsidR="009A4137" w:rsidRPr="00DE67DD">
              <w:rPr>
                <w:lang w:eastAsia="zh-CN"/>
              </w:rPr>
              <w:t xml:space="preserve"> (</w:t>
            </w:r>
            <w:r w:rsidR="009A4137" w:rsidRPr="00DE67DD">
              <w:t>N=</w:t>
            </w:r>
            <w:r w:rsidR="009A4137" w:rsidRPr="00DE67DD">
              <w:rPr>
                <w:lang w:eastAsia="zh-CN"/>
              </w:rPr>
              <w:t>130)</w:t>
            </w:r>
          </w:p>
        </w:tc>
      </w:tr>
      <w:tr w:rsidR="009A4137" w:rsidRPr="00512D7B" w14:paraId="103BEE07" w14:textId="77777777">
        <w:trPr>
          <w:cantSplit/>
        </w:trPr>
        <w:tc>
          <w:tcPr>
            <w:tcW w:w="9017" w:type="dxa"/>
            <w:gridSpan w:val="5"/>
            <w:vAlign w:val="center"/>
          </w:tcPr>
          <w:p w14:paraId="2FD16C7E" w14:textId="77777777" w:rsidR="009A4137" w:rsidRPr="00DE67DD" w:rsidRDefault="009A4137" w:rsidP="006363AD">
            <w:pPr>
              <w:pStyle w:val="COMTabletext"/>
              <w:rPr>
                <w:rFonts w:eastAsia="SimSun"/>
                <w:b/>
                <w:bCs w:val="0"/>
                <w:lang w:eastAsia="zh-CN"/>
              </w:rPr>
            </w:pPr>
            <w:r w:rsidRPr="00DE67DD">
              <w:rPr>
                <w:rFonts w:eastAsia="SimSun"/>
                <w:b/>
                <w:bCs w:val="0"/>
                <w:lang w:eastAsia="zh-CN"/>
              </w:rPr>
              <w:t>Overall</w:t>
            </w:r>
            <w:r w:rsidRPr="00DE67DD">
              <w:rPr>
                <w:b/>
                <w:bCs w:val="0"/>
              </w:rPr>
              <w:t xml:space="preserve"> survival</w:t>
            </w:r>
            <w:r w:rsidRPr="00DE67DD">
              <w:rPr>
                <w:rFonts w:eastAsia="SimSun"/>
                <w:b/>
                <w:bCs w:val="0"/>
                <w:lang w:eastAsia="zh-CN"/>
              </w:rPr>
              <w:t xml:space="preserve"> (</w:t>
            </w:r>
            <w:r w:rsidRPr="00DE67DD">
              <w:rPr>
                <w:b/>
                <w:bCs w:val="0"/>
              </w:rPr>
              <w:t>October 2023</w:t>
            </w:r>
            <w:r w:rsidRPr="00DE67DD">
              <w:rPr>
                <w:rFonts w:eastAsia="SimSun" w:hint="eastAsia"/>
                <w:b/>
                <w:bCs w:val="0"/>
                <w:lang w:eastAsia="zh-CN"/>
              </w:rPr>
              <w:t xml:space="preserve"> </w:t>
            </w:r>
            <w:r w:rsidRPr="00DE67DD">
              <w:rPr>
                <w:rFonts w:eastAsia="SimSun"/>
                <w:b/>
                <w:bCs w:val="0"/>
                <w:lang w:eastAsia="zh-CN"/>
              </w:rPr>
              <w:t>data cut)</w:t>
            </w:r>
          </w:p>
        </w:tc>
      </w:tr>
      <w:tr w:rsidR="009A4137" w:rsidRPr="00512D7B" w14:paraId="7DC0F7D8" w14:textId="77777777" w:rsidTr="003176A8">
        <w:trPr>
          <w:cantSplit/>
          <w:trHeight w:val="101"/>
        </w:trPr>
        <w:tc>
          <w:tcPr>
            <w:tcW w:w="2972" w:type="dxa"/>
          </w:tcPr>
          <w:p w14:paraId="662732A5" w14:textId="77777777" w:rsidR="009A4137" w:rsidRPr="00512D7B" w:rsidRDefault="009A4137" w:rsidP="006363AD">
            <w:pPr>
              <w:pStyle w:val="COMTabletext"/>
            </w:pPr>
            <w:r w:rsidRPr="00512D7B">
              <w:t>Median duration of follow-up, months (IQR)</w:t>
            </w:r>
          </w:p>
        </w:tc>
        <w:tc>
          <w:tcPr>
            <w:tcW w:w="1559" w:type="dxa"/>
            <w:vAlign w:val="center"/>
          </w:tcPr>
          <w:p w14:paraId="08CED550" w14:textId="77777777" w:rsidR="009A4137" w:rsidRPr="00512D7B" w:rsidRDefault="009A4137" w:rsidP="006363AD">
            <w:pPr>
              <w:pStyle w:val="COMTabletext"/>
              <w:jc w:val="center"/>
            </w:pPr>
            <w:r w:rsidRPr="00512D7B">
              <w:t>29.2 (21.7, 32.5)</w:t>
            </w:r>
          </w:p>
        </w:tc>
        <w:tc>
          <w:tcPr>
            <w:tcW w:w="1560" w:type="dxa"/>
            <w:vAlign w:val="center"/>
          </w:tcPr>
          <w:p w14:paraId="01DA0AB9" w14:textId="77777777" w:rsidR="009A4137" w:rsidRPr="00512D7B" w:rsidRDefault="009A4137" w:rsidP="006363AD">
            <w:pPr>
              <w:pStyle w:val="COMTabletext"/>
              <w:jc w:val="center"/>
            </w:pPr>
            <w:r w:rsidRPr="00512D7B">
              <w:t>27.6 (12.3, 30.4)</w:t>
            </w:r>
          </w:p>
        </w:tc>
        <w:tc>
          <w:tcPr>
            <w:tcW w:w="1417" w:type="dxa"/>
            <w:vAlign w:val="center"/>
          </w:tcPr>
          <w:p w14:paraId="24DA1893" w14:textId="77777777" w:rsidR="009A4137" w:rsidRPr="00DE67DD" w:rsidRDefault="009A4137" w:rsidP="006363AD">
            <w:pPr>
              <w:pStyle w:val="COMTabletext"/>
              <w:jc w:val="center"/>
            </w:pPr>
            <w:r w:rsidRPr="00DE67DD">
              <w:t>Not reported</w:t>
            </w:r>
          </w:p>
        </w:tc>
        <w:tc>
          <w:tcPr>
            <w:tcW w:w="1509" w:type="dxa"/>
            <w:vAlign w:val="center"/>
          </w:tcPr>
          <w:p w14:paraId="5DED902D" w14:textId="77777777" w:rsidR="009A4137" w:rsidRPr="00DE67DD" w:rsidRDefault="009A4137" w:rsidP="006363AD">
            <w:pPr>
              <w:pStyle w:val="COMTabletext"/>
              <w:jc w:val="center"/>
            </w:pPr>
            <w:r w:rsidRPr="00DE67DD">
              <w:t>Not reported</w:t>
            </w:r>
          </w:p>
        </w:tc>
      </w:tr>
      <w:tr w:rsidR="009A4137" w:rsidRPr="00512D7B" w14:paraId="171EBCCA" w14:textId="77777777">
        <w:trPr>
          <w:cantSplit/>
          <w:trHeight w:val="101"/>
        </w:trPr>
        <w:tc>
          <w:tcPr>
            <w:tcW w:w="2972" w:type="dxa"/>
          </w:tcPr>
          <w:p w14:paraId="6EF11014" w14:textId="77777777" w:rsidR="009A4137" w:rsidRPr="00512D7B" w:rsidRDefault="009A4137" w:rsidP="006363AD">
            <w:pPr>
              <w:pStyle w:val="COMTabletext"/>
              <w:rPr>
                <w:rFonts w:eastAsia="SimSun"/>
                <w:lang w:eastAsia="zh-CN"/>
              </w:rPr>
            </w:pPr>
            <w:r w:rsidRPr="00512D7B">
              <w:t>Deaths, n (%)</w:t>
            </w:r>
          </w:p>
        </w:tc>
        <w:tc>
          <w:tcPr>
            <w:tcW w:w="1559" w:type="dxa"/>
          </w:tcPr>
          <w:p w14:paraId="3102BDC9"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54 (22)</w:t>
            </w:r>
          </w:p>
        </w:tc>
        <w:tc>
          <w:tcPr>
            <w:tcW w:w="1560" w:type="dxa"/>
          </w:tcPr>
          <w:p w14:paraId="51379EDC"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87 (35)</w:t>
            </w:r>
          </w:p>
        </w:tc>
        <w:tc>
          <w:tcPr>
            <w:tcW w:w="1417" w:type="dxa"/>
          </w:tcPr>
          <w:p w14:paraId="5DD64BC4"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31 (24)</w:t>
            </w:r>
          </w:p>
        </w:tc>
        <w:tc>
          <w:tcPr>
            <w:tcW w:w="1509" w:type="dxa"/>
          </w:tcPr>
          <w:p w14:paraId="012582FC"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60 (46)</w:t>
            </w:r>
          </w:p>
        </w:tc>
      </w:tr>
      <w:tr w:rsidR="009A4137" w:rsidRPr="00512D7B" w14:paraId="5216F74C" w14:textId="77777777">
        <w:trPr>
          <w:cantSplit/>
          <w:trHeight w:val="101"/>
        </w:trPr>
        <w:tc>
          <w:tcPr>
            <w:tcW w:w="2972" w:type="dxa"/>
          </w:tcPr>
          <w:p w14:paraId="113D508D" w14:textId="77777777" w:rsidR="009A4137" w:rsidRPr="00512D7B" w:rsidRDefault="009A4137" w:rsidP="006363AD">
            <w:pPr>
              <w:pStyle w:val="COMTabletext"/>
            </w:pPr>
            <w:r w:rsidRPr="00512D7B">
              <w:t>Censored</w:t>
            </w:r>
          </w:p>
          <w:p w14:paraId="7847F4EB" w14:textId="77777777" w:rsidR="009A4137" w:rsidRPr="00512D7B" w:rsidRDefault="009A4137" w:rsidP="006363AD">
            <w:pPr>
              <w:pStyle w:val="COMTabletext"/>
            </w:pPr>
            <w:r w:rsidRPr="00512D7B">
              <w:t>- Follow-up ended</w:t>
            </w:r>
          </w:p>
          <w:p w14:paraId="7B8BCCB2" w14:textId="77777777" w:rsidR="009A4137" w:rsidRPr="00512D7B" w:rsidRDefault="009A4137" w:rsidP="006363AD">
            <w:pPr>
              <w:pStyle w:val="COMTabletext"/>
              <w:rPr>
                <w:b/>
                <w:szCs w:val="20"/>
              </w:rPr>
            </w:pPr>
            <w:r w:rsidRPr="00512D7B">
              <w:t>- Follow-up ongoing</w:t>
            </w:r>
          </w:p>
        </w:tc>
        <w:tc>
          <w:tcPr>
            <w:tcW w:w="1559" w:type="dxa"/>
          </w:tcPr>
          <w:p w14:paraId="3D38D1DC" w14:textId="77777777" w:rsidR="009A4137" w:rsidRPr="00512D7B" w:rsidRDefault="009A4137" w:rsidP="006363AD">
            <w:pPr>
              <w:keepNext/>
              <w:keepLines/>
              <w:ind w:left="-74" w:right="-62"/>
              <w:jc w:val="center"/>
              <w:rPr>
                <w:rFonts w:ascii="Arial Narrow" w:eastAsiaTheme="majorEastAsia" w:hAnsi="Arial Narrow" w:cstheme="majorBidi"/>
                <w:bCs/>
                <w:sz w:val="20"/>
              </w:rPr>
            </w:pPr>
            <w:r w:rsidRPr="00512D7B">
              <w:rPr>
                <w:rFonts w:ascii="Arial Narrow" w:eastAsiaTheme="majorEastAsia" w:hAnsi="Arial Narrow" w:cstheme="majorBidi"/>
                <w:bCs/>
                <w:sz w:val="20"/>
              </w:rPr>
              <w:t>189 (78)</w:t>
            </w:r>
          </w:p>
          <w:p w14:paraId="47D7AEE0" w14:textId="77777777" w:rsidR="009A4137" w:rsidRPr="00512D7B" w:rsidRDefault="009A4137" w:rsidP="006363AD">
            <w:pPr>
              <w:keepNext/>
              <w:keepLines/>
              <w:ind w:left="-74" w:right="-62"/>
              <w:jc w:val="center"/>
              <w:rPr>
                <w:rFonts w:ascii="Arial Narrow" w:eastAsiaTheme="majorEastAsia" w:hAnsi="Arial Narrow" w:cstheme="majorBidi"/>
                <w:bCs/>
                <w:sz w:val="20"/>
              </w:rPr>
            </w:pPr>
            <w:r w:rsidRPr="00512D7B">
              <w:rPr>
                <w:rFonts w:ascii="Arial Narrow" w:eastAsiaTheme="majorEastAsia" w:hAnsi="Arial Narrow" w:cstheme="majorBidi"/>
                <w:bCs/>
                <w:sz w:val="20"/>
              </w:rPr>
              <w:t>20 (8)</w:t>
            </w:r>
          </w:p>
          <w:p w14:paraId="385CABEE"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eastAsiaTheme="majorEastAsia" w:hAnsi="Arial Narrow" w:cstheme="majorBidi"/>
                <w:bCs/>
                <w:sz w:val="20"/>
              </w:rPr>
              <w:t>169 (70)</w:t>
            </w:r>
          </w:p>
        </w:tc>
        <w:tc>
          <w:tcPr>
            <w:tcW w:w="1560" w:type="dxa"/>
          </w:tcPr>
          <w:p w14:paraId="563C9A28"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164 (65)</w:t>
            </w:r>
          </w:p>
          <w:p w14:paraId="6DF2E26B"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28 (11)</w:t>
            </w:r>
          </w:p>
          <w:p w14:paraId="19E526AC"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136 (54)</w:t>
            </w:r>
          </w:p>
        </w:tc>
        <w:tc>
          <w:tcPr>
            <w:tcW w:w="1417" w:type="dxa"/>
          </w:tcPr>
          <w:p w14:paraId="07095B72"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96 (76)</w:t>
            </w:r>
          </w:p>
          <w:p w14:paraId="0D05D86B"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9 (7)</w:t>
            </w:r>
          </w:p>
          <w:p w14:paraId="344C3699"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eastAsiaTheme="majorEastAsia" w:hAnsi="Arial Narrow" w:cstheme="majorBidi"/>
                <w:bCs/>
                <w:sz w:val="20"/>
              </w:rPr>
              <w:t>87 (69)</w:t>
            </w:r>
          </w:p>
        </w:tc>
        <w:tc>
          <w:tcPr>
            <w:tcW w:w="1509" w:type="dxa"/>
          </w:tcPr>
          <w:p w14:paraId="6AD7481F"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70 (54)</w:t>
            </w:r>
          </w:p>
          <w:p w14:paraId="5FF6C479"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18 (14)</w:t>
            </w:r>
          </w:p>
          <w:p w14:paraId="18DC2F80"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eastAsiaTheme="majorEastAsia" w:hAnsi="Arial Narrow" w:cstheme="majorBidi"/>
                <w:bCs/>
                <w:sz w:val="20"/>
              </w:rPr>
              <w:t>52 (40)</w:t>
            </w:r>
          </w:p>
        </w:tc>
      </w:tr>
      <w:tr w:rsidR="009A4137" w:rsidRPr="00512D7B" w14:paraId="3C815973" w14:textId="77777777">
        <w:trPr>
          <w:cantSplit/>
        </w:trPr>
        <w:tc>
          <w:tcPr>
            <w:tcW w:w="2972" w:type="dxa"/>
            <w:vAlign w:val="center"/>
          </w:tcPr>
          <w:p w14:paraId="561A087B"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 xml:space="preserve">Median </w:t>
            </w:r>
            <w:r w:rsidRPr="00512D7B">
              <w:rPr>
                <w:rFonts w:ascii="Arial Narrow" w:hAnsi="Arial Narrow" w:cstheme="majorBidi"/>
                <w:bCs/>
                <w:sz w:val="20"/>
                <w:szCs w:val="20"/>
                <w:lang w:eastAsia="zh-CN"/>
              </w:rPr>
              <w:t>OS</w:t>
            </w:r>
            <w:r w:rsidRPr="00512D7B">
              <w:rPr>
                <w:rFonts w:ascii="Arial Narrow" w:eastAsiaTheme="majorEastAsia" w:hAnsi="Arial Narrow" w:cstheme="majorBidi"/>
                <w:bCs/>
                <w:sz w:val="20"/>
                <w:szCs w:val="20"/>
              </w:rPr>
              <w:t>, months (95% CI)</w:t>
            </w:r>
          </w:p>
        </w:tc>
        <w:tc>
          <w:tcPr>
            <w:tcW w:w="1559" w:type="dxa"/>
          </w:tcPr>
          <w:p w14:paraId="3FC449C6"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NE (NE, NE)</w:t>
            </w:r>
          </w:p>
        </w:tc>
        <w:tc>
          <w:tcPr>
            <w:tcW w:w="1560" w:type="dxa"/>
          </w:tcPr>
          <w:p w14:paraId="684F0AC4"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NE (NE, NE)</w:t>
            </w:r>
          </w:p>
        </w:tc>
        <w:tc>
          <w:tcPr>
            <w:tcW w:w="1417" w:type="dxa"/>
          </w:tcPr>
          <w:p w14:paraId="3B5CF93D"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NE (NE, NE)</w:t>
            </w:r>
          </w:p>
        </w:tc>
        <w:tc>
          <w:tcPr>
            <w:tcW w:w="1509" w:type="dxa"/>
          </w:tcPr>
          <w:p w14:paraId="78D2728C"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31.3 (21.1, NE)</w:t>
            </w:r>
          </w:p>
        </w:tc>
      </w:tr>
      <w:tr w:rsidR="009A4137" w:rsidRPr="00512D7B" w14:paraId="3C3EDA91" w14:textId="77777777">
        <w:trPr>
          <w:cantSplit/>
        </w:trPr>
        <w:tc>
          <w:tcPr>
            <w:tcW w:w="2972" w:type="dxa"/>
            <w:vAlign w:val="center"/>
          </w:tcPr>
          <w:p w14:paraId="49515C88"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Hazard ratio (95% CI)</w:t>
            </w:r>
          </w:p>
        </w:tc>
        <w:tc>
          <w:tcPr>
            <w:tcW w:w="3119" w:type="dxa"/>
            <w:gridSpan w:val="2"/>
          </w:tcPr>
          <w:p w14:paraId="51579962"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bCs/>
                <w:sz w:val="20"/>
                <w:szCs w:val="20"/>
              </w:rPr>
              <w:t>0.57 (0.40, 0.80)</w:t>
            </w:r>
            <w:r w:rsidRPr="00512D7B">
              <w:rPr>
                <w:rFonts w:ascii="Arial Narrow" w:eastAsiaTheme="majorEastAsia" w:hAnsi="Arial Narrow" w:cstheme="majorBidi"/>
                <w:b/>
                <w:sz w:val="20"/>
                <w:szCs w:val="20"/>
                <w:vertAlign w:val="superscript"/>
              </w:rPr>
              <w:t xml:space="preserve"> a</w:t>
            </w:r>
          </w:p>
        </w:tc>
        <w:tc>
          <w:tcPr>
            <w:tcW w:w="2926" w:type="dxa"/>
            <w:gridSpan w:val="2"/>
          </w:tcPr>
          <w:p w14:paraId="28A4257C"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eastAsiaTheme="majorEastAsia" w:hAnsi="Arial Narrow" w:cstheme="majorBidi"/>
                <w:bCs/>
                <w:sz w:val="20"/>
                <w:szCs w:val="20"/>
              </w:rPr>
              <w:t>0.43 (0.28, 0.67)</w:t>
            </w:r>
          </w:p>
        </w:tc>
      </w:tr>
      <w:tr w:rsidR="009A4137" w:rsidRPr="00512D7B" w14:paraId="72528EDD" w14:textId="77777777">
        <w:trPr>
          <w:cantSplit/>
        </w:trPr>
        <w:tc>
          <w:tcPr>
            <w:tcW w:w="9017" w:type="dxa"/>
            <w:gridSpan w:val="5"/>
            <w:vAlign w:val="center"/>
          </w:tcPr>
          <w:p w14:paraId="5253C251" w14:textId="77777777" w:rsidR="009A4137" w:rsidRPr="00DE67DD" w:rsidRDefault="009A4137" w:rsidP="006363AD">
            <w:pPr>
              <w:pStyle w:val="COMTabletext"/>
              <w:rPr>
                <w:b/>
                <w:bCs w:val="0"/>
                <w:lang w:eastAsia="zh-CN"/>
              </w:rPr>
            </w:pPr>
            <w:r w:rsidRPr="00DE67DD">
              <w:rPr>
                <w:b/>
                <w:bCs w:val="0"/>
                <w:lang w:eastAsia="zh-CN"/>
              </w:rPr>
              <w:t>Overall survival (October 202</w:t>
            </w:r>
            <w:r w:rsidRPr="00DE67DD">
              <w:rPr>
                <w:rFonts w:hint="eastAsia"/>
                <w:b/>
                <w:bCs w:val="0"/>
                <w:lang w:eastAsia="zh-CN"/>
              </w:rPr>
              <w:t>4</w:t>
            </w:r>
            <w:r w:rsidRPr="00DE67DD">
              <w:rPr>
                <w:b/>
                <w:bCs w:val="0"/>
                <w:lang w:eastAsia="zh-CN"/>
              </w:rPr>
              <w:t xml:space="preserve"> data cut)</w:t>
            </w:r>
          </w:p>
        </w:tc>
      </w:tr>
      <w:tr w:rsidR="009A4137" w:rsidRPr="00512D7B" w14:paraId="764535E8" w14:textId="77777777">
        <w:trPr>
          <w:cantSplit/>
        </w:trPr>
        <w:tc>
          <w:tcPr>
            <w:tcW w:w="2972" w:type="dxa"/>
            <w:vAlign w:val="center"/>
          </w:tcPr>
          <w:p w14:paraId="643FB4A3"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Median duration of follow-up, months (IQR)</w:t>
            </w:r>
          </w:p>
        </w:tc>
        <w:tc>
          <w:tcPr>
            <w:tcW w:w="1559" w:type="dxa"/>
          </w:tcPr>
          <w:p w14:paraId="7B01B0E5"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40.2 (21.7,43.6)</w:t>
            </w:r>
          </w:p>
        </w:tc>
        <w:tc>
          <w:tcPr>
            <w:tcW w:w="1560" w:type="dxa"/>
          </w:tcPr>
          <w:p w14:paraId="0AEC3FAD"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38.2 (12.3, 41.9)</w:t>
            </w:r>
          </w:p>
        </w:tc>
        <w:tc>
          <w:tcPr>
            <w:tcW w:w="1417" w:type="dxa"/>
          </w:tcPr>
          <w:p w14:paraId="24537457"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39.9 (18.3, 43.6)</w:t>
            </w:r>
          </w:p>
        </w:tc>
        <w:tc>
          <w:tcPr>
            <w:tcW w:w="1509" w:type="dxa"/>
          </w:tcPr>
          <w:p w14:paraId="30A2F2B1"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24.2 (8.4, 40.3)</w:t>
            </w:r>
          </w:p>
        </w:tc>
      </w:tr>
      <w:tr w:rsidR="009A4137" w:rsidRPr="00512D7B" w14:paraId="69A5DC0E" w14:textId="77777777">
        <w:trPr>
          <w:cantSplit/>
        </w:trPr>
        <w:tc>
          <w:tcPr>
            <w:tcW w:w="2972" w:type="dxa"/>
          </w:tcPr>
          <w:p w14:paraId="5831FBAB"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Deaths, n (%)</w:t>
            </w:r>
          </w:p>
        </w:tc>
        <w:tc>
          <w:tcPr>
            <w:tcW w:w="1559" w:type="dxa"/>
          </w:tcPr>
          <w:p w14:paraId="1090A8AA"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68 (28)</w:t>
            </w:r>
          </w:p>
        </w:tc>
        <w:tc>
          <w:tcPr>
            <w:tcW w:w="1560" w:type="dxa"/>
          </w:tcPr>
          <w:p w14:paraId="18A3378F"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103 (41)</w:t>
            </w:r>
          </w:p>
        </w:tc>
        <w:tc>
          <w:tcPr>
            <w:tcW w:w="1417" w:type="dxa"/>
          </w:tcPr>
          <w:p w14:paraId="48972C76"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37 (29)</w:t>
            </w:r>
          </w:p>
        </w:tc>
        <w:tc>
          <w:tcPr>
            <w:tcW w:w="1509" w:type="dxa"/>
          </w:tcPr>
          <w:p w14:paraId="6A917797"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hAnsi="Arial Narrow" w:cstheme="majorBidi"/>
                <w:bCs/>
                <w:sz w:val="20"/>
                <w:szCs w:val="20"/>
                <w:lang w:eastAsia="zh-CN"/>
              </w:rPr>
              <w:t>70 (54)</w:t>
            </w:r>
          </w:p>
        </w:tc>
      </w:tr>
      <w:tr w:rsidR="009A4137" w:rsidRPr="00512D7B" w14:paraId="69A2C254" w14:textId="77777777">
        <w:trPr>
          <w:cantSplit/>
        </w:trPr>
        <w:tc>
          <w:tcPr>
            <w:tcW w:w="2972" w:type="dxa"/>
          </w:tcPr>
          <w:p w14:paraId="1AF7FD20" w14:textId="77777777" w:rsidR="009A4137" w:rsidRPr="00512D7B" w:rsidRDefault="009A4137" w:rsidP="006363AD">
            <w:pPr>
              <w:pStyle w:val="COMTabletext"/>
            </w:pPr>
            <w:r w:rsidRPr="00512D7B">
              <w:t>Censored,</w:t>
            </w:r>
            <w:r w:rsidRPr="00512D7B">
              <w:rPr>
                <w:szCs w:val="20"/>
              </w:rPr>
              <w:t xml:space="preserve"> n (%)</w:t>
            </w:r>
          </w:p>
          <w:p w14:paraId="36B667A7" w14:textId="77777777" w:rsidR="009A4137" w:rsidRPr="00512D7B" w:rsidRDefault="009A4137" w:rsidP="006363AD">
            <w:pPr>
              <w:pStyle w:val="COMTabletext"/>
            </w:pPr>
            <w:r w:rsidRPr="00512D7B">
              <w:t>- Follow-up ended</w:t>
            </w:r>
          </w:p>
          <w:p w14:paraId="0EB33FE5" w14:textId="77777777" w:rsidR="009A4137" w:rsidRPr="00512D7B" w:rsidDel="00327804"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rPr>
              <w:t>- Follow-up ongoing</w:t>
            </w:r>
          </w:p>
        </w:tc>
        <w:tc>
          <w:tcPr>
            <w:tcW w:w="1559" w:type="dxa"/>
          </w:tcPr>
          <w:p w14:paraId="0DA6FFF3"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175 (72)</w:t>
            </w:r>
          </w:p>
          <w:p w14:paraId="5AB5B2E4"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26 (11)</w:t>
            </w:r>
          </w:p>
          <w:p w14:paraId="079CB5B7"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149 (61)</w:t>
            </w:r>
          </w:p>
        </w:tc>
        <w:tc>
          <w:tcPr>
            <w:tcW w:w="1560" w:type="dxa"/>
          </w:tcPr>
          <w:p w14:paraId="21F3DBA3"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148 (59)</w:t>
            </w:r>
          </w:p>
          <w:p w14:paraId="233DD1DC"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33 (13)</w:t>
            </w:r>
          </w:p>
          <w:p w14:paraId="15A8B001" w14:textId="77777777" w:rsidR="009A4137" w:rsidRPr="00512D7B" w:rsidRDefault="009A4137" w:rsidP="006363AD">
            <w:pPr>
              <w:keepNext/>
              <w:keepLines/>
              <w:ind w:left="-74" w:right="-62"/>
              <w:jc w:val="center"/>
              <w:rPr>
                <w:rFonts w:ascii="Arial Narrow" w:hAnsi="Arial Narrow" w:cstheme="majorBidi"/>
                <w:bCs/>
                <w:sz w:val="20"/>
                <w:szCs w:val="20"/>
                <w:lang w:eastAsia="zh-CN"/>
              </w:rPr>
            </w:pPr>
            <w:r w:rsidRPr="00512D7B">
              <w:rPr>
                <w:rFonts w:ascii="Arial Narrow" w:hAnsi="Arial Narrow" w:cstheme="majorBidi"/>
                <w:bCs/>
                <w:sz w:val="20"/>
                <w:szCs w:val="20"/>
                <w:lang w:eastAsia="zh-CN"/>
              </w:rPr>
              <w:t>115 (46)</w:t>
            </w:r>
          </w:p>
        </w:tc>
        <w:tc>
          <w:tcPr>
            <w:tcW w:w="1417" w:type="dxa"/>
          </w:tcPr>
          <w:p w14:paraId="0374C9FE" w14:textId="6BD94DD3" w:rsidR="009A4137" w:rsidRPr="00DE67DD" w:rsidRDefault="0009023F"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i/>
                <w:iCs/>
                <w:sz w:val="20"/>
              </w:rPr>
              <w:t>90</w:t>
            </w:r>
            <w:r w:rsidRPr="00DE67DD">
              <w:rPr>
                <w:rFonts w:ascii="Arial Narrow" w:eastAsiaTheme="majorEastAsia" w:hAnsi="Arial Narrow" w:cstheme="majorBidi"/>
                <w:bCs/>
                <w:sz w:val="20"/>
              </w:rPr>
              <w:t xml:space="preserve"> </w:t>
            </w:r>
            <w:r w:rsidR="009A4137" w:rsidRPr="00DE67DD">
              <w:rPr>
                <w:rFonts w:ascii="Arial Narrow" w:eastAsiaTheme="majorEastAsia" w:hAnsi="Arial Narrow" w:cstheme="majorBidi"/>
                <w:bCs/>
                <w:sz w:val="20"/>
              </w:rPr>
              <w:t>(71)</w:t>
            </w:r>
          </w:p>
          <w:p w14:paraId="3275CE85"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11 (9)</w:t>
            </w:r>
          </w:p>
          <w:p w14:paraId="6C809576" w14:textId="77777777" w:rsidR="009A4137" w:rsidRPr="00DE67DD" w:rsidRDefault="009A4137" w:rsidP="006363AD">
            <w:pPr>
              <w:keepNext/>
              <w:keepLines/>
              <w:ind w:left="-74" w:right="-62"/>
              <w:jc w:val="center"/>
              <w:rPr>
                <w:rFonts w:ascii="Arial Narrow" w:hAnsi="Arial Narrow" w:cstheme="majorBidi"/>
                <w:bCs/>
                <w:sz w:val="20"/>
                <w:szCs w:val="20"/>
                <w:lang w:eastAsia="zh-CN"/>
              </w:rPr>
            </w:pPr>
            <w:r w:rsidRPr="00DE67DD">
              <w:rPr>
                <w:rFonts w:ascii="Arial Narrow" w:eastAsiaTheme="majorEastAsia" w:hAnsi="Arial Narrow" w:cstheme="majorBidi"/>
                <w:bCs/>
                <w:sz w:val="20"/>
              </w:rPr>
              <w:t>79 (62)</w:t>
            </w:r>
          </w:p>
        </w:tc>
        <w:tc>
          <w:tcPr>
            <w:tcW w:w="1509" w:type="dxa"/>
          </w:tcPr>
          <w:p w14:paraId="1BF2C535"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60 (46)</w:t>
            </w:r>
          </w:p>
          <w:p w14:paraId="4B84471D" w14:textId="77777777" w:rsidR="009A4137" w:rsidRPr="00DE67DD" w:rsidRDefault="009A4137" w:rsidP="006363AD">
            <w:pPr>
              <w:keepNext/>
              <w:keepLines/>
              <w:ind w:left="-74" w:right="-62"/>
              <w:jc w:val="center"/>
              <w:rPr>
                <w:rFonts w:ascii="Arial Narrow" w:eastAsiaTheme="majorEastAsia" w:hAnsi="Arial Narrow" w:cstheme="majorBidi"/>
                <w:bCs/>
                <w:sz w:val="20"/>
              </w:rPr>
            </w:pPr>
            <w:r w:rsidRPr="00DE67DD">
              <w:rPr>
                <w:rFonts w:ascii="Arial Narrow" w:eastAsiaTheme="majorEastAsia" w:hAnsi="Arial Narrow" w:cstheme="majorBidi"/>
                <w:bCs/>
                <w:sz w:val="20"/>
              </w:rPr>
              <w:t>22 (17)</w:t>
            </w:r>
          </w:p>
          <w:p w14:paraId="2CA8FA9A" w14:textId="77777777" w:rsidR="009A4137" w:rsidRPr="00DE67DD" w:rsidRDefault="009A4137" w:rsidP="006363AD">
            <w:pPr>
              <w:keepNext/>
              <w:keepLines/>
              <w:ind w:right="-62"/>
              <w:jc w:val="center"/>
              <w:rPr>
                <w:rFonts w:ascii="Arial Narrow" w:hAnsi="Arial Narrow" w:cstheme="majorBidi"/>
                <w:bCs/>
                <w:sz w:val="20"/>
                <w:szCs w:val="20"/>
                <w:lang w:eastAsia="zh-CN"/>
              </w:rPr>
            </w:pPr>
            <w:r w:rsidRPr="00DE67DD">
              <w:rPr>
                <w:rFonts w:ascii="Arial Narrow" w:eastAsiaTheme="majorEastAsia" w:hAnsi="Arial Narrow" w:cstheme="majorBidi"/>
                <w:bCs/>
                <w:sz w:val="20"/>
              </w:rPr>
              <w:t>38 (29)</w:t>
            </w:r>
          </w:p>
        </w:tc>
      </w:tr>
      <w:tr w:rsidR="009A4137" w:rsidRPr="00512D7B" w14:paraId="60BC7812" w14:textId="77777777">
        <w:trPr>
          <w:cantSplit/>
        </w:trPr>
        <w:tc>
          <w:tcPr>
            <w:tcW w:w="2972" w:type="dxa"/>
            <w:vAlign w:val="center"/>
          </w:tcPr>
          <w:p w14:paraId="24060F4C"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 xml:space="preserve">Median </w:t>
            </w:r>
            <w:r w:rsidRPr="00512D7B">
              <w:rPr>
                <w:rFonts w:ascii="Arial Narrow" w:hAnsi="Arial Narrow" w:cstheme="majorBidi"/>
                <w:bCs/>
                <w:sz w:val="20"/>
                <w:szCs w:val="20"/>
                <w:lang w:eastAsia="zh-CN"/>
              </w:rPr>
              <w:t>O</w:t>
            </w:r>
            <w:r w:rsidRPr="00512D7B">
              <w:rPr>
                <w:rFonts w:ascii="Arial Narrow" w:eastAsiaTheme="majorEastAsia" w:hAnsi="Arial Narrow" w:cstheme="majorBidi"/>
                <w:bCs/>
                <w:sz w:val="20"/>
                <w:szCs w:val="20"/>
              </w:rPr>
              <w:t>S, months (95% CI)</w:t>
            </w:r>
          </w:p>
        </w:tc>
        <w:tc>
          <w:tcPr>
            <w:tcW w:w="1559" w:type="dxa"/>
          </w:tcPr>
          <w:p w14:paraId="178596FA" w14:textId="77777777" w:rsidR="009A4137" w:rsidRPr="00512D7B" w:rsidRDefault="009A4137" w:rsidP="006363AD">
            <w:pPr>
              <w:keepNext/>
              <w:keepLines/>
              <w:ind w:left="-74" w:right="-62"/>
              <w:jc w:val="center"/>
              <w:rPr>
                <w:rFonts w:ascii="Arial Narrow" w:eastAsiaTheme="majorEastAsia" w:hAnsi="Arial Narrow" w:cstheme="majorBidi"/>
                <w:bCs/>
                <w:sz w:val="20"/>
                <w:szCs w:val="20"/>
              </w:rPr>
            </w:pPr>
            <w:r w:rsidRPr="00512D7B">
              <w:rPr>
                <w:rFonts w:ascii="Arial Narrow" w:hAnsi="Arial Narrow"/>
                <w:bCs/>
                <w:sz w:val="20"/>
                <w:szCs w:val="20"/>
              </w:rPr>
              <w:t>NE (NE, NE)</w:t>
            </w:r>
          </w:p>
        </w:tc>
        <w:tc>
          <w:tcPr>
            <w:tcW w:w="1560" w:type="dxa"/>
          </w:tcPr>
          <w:p w14:paraId="7AFDA96B" w14:textId="77777777" w:rsidR="009A4137" w:rsidRPr="00512D7B" w:rsidRDefault="009A4137" w:rsidP="006363AD">
            <w:pPr>
              <w:keepNext/>
              <w:keepLines/>
              <w:ind w:left="-74" w:right="-62"/>
              <w:jc w:val="center"/>
              <w:rPr>
                <w:rFonts w:ascii="Arial Narrow" w:eastAsiaTheme="majorEastAsia" w:hAnsi="Arial Narrow" w:cstheme="majorBidi"/>
                <w:bCs/>
                <w:sz w:val="20"/>
                <w:szCs w:val="20"/>
              </w:rPr>
            </w:pPr>
            <w:r w:rsidRPr="00512D7B">
              <w:rPr>
                <w:rFonts w:ascii="Arial Narrow" w:hAnsi="Arial Narrow"/>
                <w:bCs/>
                <w:sz w:val="20"/>
                <w:szCs w:val="20"/>
              </w:rPr>
              <w:t>NE (41.0, NE)</w:t>
            </w:r>
          </w:p>
        </w:tc>
        <w:tc>
          <w:tcPr>
            <w:tcW w:w="1417" w:type="dxa"/>
          </w:tcPr>
          <w:p w14:paraId="70595B57" w14:textId="77777777" w:rsidR="009A4137" w:rsidRPr="00DE67DD" w:rsidRDefault="009A4137" w:rsidP="006363AD">
            <w:pPr>
              <w:keepNext/>
              <w:keepLines/>
              <w:ind w:left="-74" w:right="-62"/>
              <w:jc w:val="center"/>
              <w:rPr>
                <w:rFonts w:ascii="Arial Narrow" w:eastAsiaTheme="majorEastAsia" w:hAnsi="Arial Narrow" w:cstheme="majorBidi"/>
                <w:bCs/>
                <w:sz w:val="20"/>
                <w:szCs w:val="20"/>
              </w:rPr>
            </w:pPr>
            <w:r w:rsidRPr="00DE67DD">
              <w:rPr>
                <w:rFonts w:ascii="Arial Narrow" w:hAnsi="Arial Narrow" w:cstheme="majorBidi"/>
                <w:bCs/>
                <w:sz w:val="20"/>
                <w:szCs w:val="20"/>
                <w:lang w:eastAsia="zh-CN"/>
              </w:rPr>
              <w:t>NE (NE, NE)</w:t>
            </w:r>
          </w:p>
        </w:tc>
        <w:tc>
          <w:tcPr>
            <w:tcW w:w="1509" w:type="dxa"/>
          </w:tcPr>
          <w:p w14:paraId="2F1200FB" w14:textId="77777777" w:rsidR="009A4137" w:rsidRPr="00DE67DD" w:rsidRDefault="009A4137" w:rsidP="006363AD">
            <w:pPr>
              <w:keepNext/>
              <w:keepLines/>
              <w:ind w:right="-62"/>
              <w:jc w:val="center"/>
              <w:rPr>
                <w:rFonts w:ascii="Arial Narrow" w:eastAsiaTheme="majorEastAsia" w:hAnsi="Arial Narrow" w:cstheme="majorBidi"/>
                <w:bCs/>
                <w:sz w:val="20"/>
                <w:szCs w:val="20"/>
              </w:rPr>
            </w:pPr>
            <w:r w:rsidRPr="00DE67DD">
              <w:rPr>
                <w:rFonts w:ascii="Arial Narrow" w:hAnsi="Arial Narrow"/>
                <w:bCs/>
                <w:sz w:val="20"/>
                <w:szCs w:val="20"/>
              </w:rPr>
              <w:t>31.3 (21.1, 42.9)</w:t>
            </w:r>
          </w:p>
        </w:tc>
      </w:tr>
      <w:tr w:rsidR="009A4137" w:rsidRPr="00512D7B" w14:paraId="3EA0ABC3" w14:textId="77777777">
        <w:trPr>
          <w:cantSplit/>
        </w:trPr>
        <w:tc>
          <w:tcPr>
            <w:tcW w:w="2972" w:type="dxa"/>
            <w:vAlign w:val="center"/>
          </w:tcPr>
          <w:p w14:paraId="3957310B" w14:textId="77777777" w:rsidR="009A4137" w:rsidRPr="00512D7B" w:rsidRDefault="009A4137" w:rsidP="006363AD">
            <w:pPr>
              <w:keepNext/>
              <w:keepLines/>
              <w:tabs>
                <w:tab w:val="left" w:pos="164"/>
              </w:tabs>
              <w:ind w:right="-55"/>
              <w:rPr>
                <w:rFonts w:ascii="Arial Narrow" w:eastAsiaTheme="majorEastAsia" w:hAnsi="Arial Narrow" w:cstheme="majorBidi"/>
                <w:bCs/>
                <w:sz w:val="20"/>
                <w:szCs w:val="20"/>
              </w:rPr>
            </w:pPr>
            <w:r w:rsidRPr="00512D7B">
              <w:rPr>
                <w:rFonts w:ascii="Arial Narrow" w:eastAsiaTheme="majorEastAsia" w:hAnsi="Arial Narrow" w:cstheme="majorBidi"/>
                <w:bCs/>
                <w:sz w:val="20"/>
                <w:szCs w:val="20"/>
              </w:rPr>
              <w:t>Hazard ratio (95% CI)</w:t>
            </w:r>
          </w:p>
        </w:tc>
        <w:tc>
          <w:tcPr>
            <w:tcW w:w="3119" w:type="dxa"/>
            <w:gridSpan w:val="2"/>
          </w:tcPr>
          <w:p w14:paraId="6101390D" w14:textId="77777777" w:rsidR="009A4137" w:rsidRPr="00512D7B" w:rsidRDefault="009A4137" w:rsidP="006363AD">
            <w:pPr>
              <w:keepNext/>
              <w:keepLines/>
              <w:ind w:left="-74" w:right="-62"/>
              <w:jc w:val="center"/>
              <w:rPr>
                <w:rFonts w:ascii="Arial Narrow" w:hAnsi="Arial Narrow"/>
                <w:bCs/>
                <w:sz w:val="20"/>
                <w:szCs w:val="20"/>
              </w:rPr>
            </w:pPr>
            <w:r w:rsidRPr="00512D7B">
              <w:rPr>
                <w:rFonts w:ascii="Arial Narrow" w:hAnsi="Arial Narrow"/>
                <w:b/>
                <w:sz w:val="20"/>
                <w:szCs w:val="20"/>
              </w:rPr>
              <w:t>0.58 (0.43, 0.79)</w:t>
            </w:r>
          </w:p>
        </w:tc>
        <w:tc>
          <w:tcPr>
            <w:tcW w:w="2926" w:type="dxa"/>
            <w:gridSpan w:val="2"/>
          </w:tcPr>
          <w:p w14:paraId="06F6A18F" w14:textId="77777777" w:rsidR="009A4137" w:rsidRPr="00DE67DD" w:rsidRDefault="009A4137" w:rsidP="006363AD">
            <w:pPr>
              <w:keepNext/>
              <w:keepLines/>
              <w:ind w:right="-62"/>
              <w:jc w:val="center"/>
              <w:rPr>
                <w:rFonts w:ascii="Arial Narrow" w:hAnsi="Arial Narrow"/>
                <w:bCs/>
                <w:sz w:val="20"/>
                <w:szCs w:val="20"/>
              </w:rPr>
            </w:pPr>
            <w:r w:rsidRPr="00DE67DD">
              <w:rPr>
                <w:rFonts w:ascii="Arial Narrow" w:eastAsiaTheme="majorEastAsia" w:hAnsi="Arial Narrow" w:cstheme="majorBidi"/>
                <w:bCs/>
                <w:sz w:val="20"/>
                <w:szCs w:val="20"/>
              </w:rPr>
              <w:t>0.42 (0.28, 0.63)</w:t>
            </w:r>
          </w:p>
        </w:tc>
      </w:tr>
      <w:tr w:rsidR="009A4137" w:rsidRPr="00512D7B" w14:paraId="7D720132" w14:textId="77777777">
        <w:trPr>
          <w:cantSplit/>
          <w:trHeight w:val="381"/>
        </w:trPr>
        <w:tc>
          <w:tcPr>
            <w:tcW w:w="2972" w:type="dxa"/>
            <w:vAlign w:val="center"/>
          </w:tcPr>
          <w:p w14:paraId="34EA3640" w14:textId="06F01829" w:rsidR="009A4137" w:rsidRPr="00512D7B" w:rsidRDefault="009A4137" w:rsidP="006363AD">
            <w:pPr>
              <w:pStyle w:val="COMTabletext"/>
            </w:pPr>
            <w:r w:rsidRPr="00512D7B">
              <w:t>Overall survival rate</w:t>
            </w:r>
            <w:r w:rsidR="00973DF5" w:rsidRPr="00512D7B">
              <w:t xml:space="preserve"> </w:t>
            </w:r>
            <w:r w:rsidRPr="00512D7B">
              <w:t xml:space="preserve">(95% CI) </w:t>
            </w:r>
          </w:p>
          <w:p w14:paraId="183009FF" w14:textId="77777777" w:rsidR="009A4137" w:rsidRPr="00512D7B" w:rsidRDefault="009A4137" w:rsidP="006363AD">
            <w:pPr>
              <w:pStyle w:val="COMTabletext"/>
              <w:rPr>
                <w:szCs w:val="20"/>
              </w:rPr>
            </w:pPr>
            <w:r w:rsidRPr="00512D7B">
              <w:rPr>
                <w:szCs w:val="20"/>
              </w:rPr>
              <w:t xml:space="preserve">- </w:t>
            </w:r>
            <w:r w:rsidRPr="00512D7B">
              <w:rPr>
                <w:rFonts w:eastAsia="SimSun" w:hint="eastAsia"/>
                <w:szCs w:val="20"/>
                <w:lang w:eastAsia="zh-CN"/>
              </w:rPr>
              <w:t xml:space="preserve">6 </w:t>
            </w:r>
            <w:r w:rsidRPr="00512D7B">
              <w:rPr>
                <w:szCs w:val="20"/>
              </w:rPr>
              <w:t>months</w:t>
            </w:r>
          </w:p>
          <w:p w14:paraId="05FC3FD3" w14:textId="77777777" w:rsidR="009A4137" w:rsidRPr="00512D7B" w:rsidRDefault="009A4137" w:rsidP="006363AD">
            <w:pPr>
              <w:pStyle w:val="COMTabletext"/>
              <w:rPr>
                <w:szCs w:val="20"/>
              </w:rPr>
            </w:pPr>
            <w:r w:rsidRPr="00512D7B">
              <w:rPr>
                <w:szCs w:val="20"/>
              </w:rPr>
              <w:t>- 12 months</w:t>
            </w:r>
          </w:p>
          <w:p w14:paraId="3929405E" w14:textId="77777777" w:rsidR="009A4137" w:rsidRPr="00512D7B" w:rsidRDefault="009A4137" w:rsidP="006363AD">
            <w:pPr>
              <w:pStyle w:val="COMTabletext"/>
              <w:rPr>
                <w:szCs w:val="20"/>
              </w:rPr>
            </w:pPr>
            <w:r w:rsidRPr="00512D7B">
              <w:rPr>
                <w:szCs w:val="20"/>
              </w:rPr>
              <w:t>- 18 months</w:t>
            </w:r>
          </w:p>
          <w:p w14:paraId="7E973142" w14:textId="77777777" w:rsidR="009A4137" w:rsidRPr="00512D7B" w:rsidRDefault="009A4137" w:rsidP="006363AD">
            <w:pPr>
              <w:keepNext/>
              <w:keepLines/>
              <w:tabs>
                <w:tab w:val="left" w:pos="164"/>
              </w:tabs>
              <w:ind w:right="-55"/>
              <w:rPr>
                <w:rFonts w:ascii="Arial Narrow" w:hAnsi="Arial Narrow" w:cstheme="majorBidi"/>
                <w:bCs/>
                <w:sz w:val="20"/>
                <w:szCs w:val="20"/>
                <w:lang w:eastAsia="zh-CN"/>
              </w:rPr>
            </w:pPr>
            <w:r w:rsidRPr="00512D7B">
              <w:rPr>
                <w:rFonts w:ascii="Arial Narrow" w:eastAsiaTheme="majorEastAsia" w:hAnsi="Arial Narrow" w:cstheme="majorBidi"/>
                <w:bCs/>
                <w:sz w:val="20"/>
                <w:szCs w:val="20"/>
              </w:rPr>
              <w:t>- 24 months</w:t>
            </w:r>
          </w:p>
          <w:p w14:paraId="0949AC63" w14:textId="77777777" w:rsidR="009A4137" w:rsidRPr="00512D7B" w:rsidRDefault="009A4137" w:rsidP="006363AD">
            <w:pPr>
              <w:keepNext/>
              <w:keepLines/>
              <w:tabs>
                <w:tab w:val="left" w:pos="164"/>
              </w:tabs>
              <w:ind w:right="-55"/>
              <w:rPr>
                <w:rFonts w:ascii="Arial Narrow" w:hAnsi="Arial Narrow" w:cstheme="majorBidi"/>
                <w:bCs/>
                <w:sz w:val="20"/>
                <w:szCs w:val="20"/>
                <w:lang w:eastAsia="zh-CN"/>
              </w:rPr>
            </w:pPr>
            <w:r w:rsidRPr="00512D7B">
              <w:rPr>
                <w:rFonts w:ascii="Arial Narrow" w:eastAsiaTheme="majorEastAsia" w:hAnsi="Arial Narrow" w:cstheme="majorBidi"/>
                <w:bCs/>
                <w:sz w:val="20"/>
                <w:szCs w:val="20"/>
              </w:rPr>
              <w:t xml:space="preserve">- </w:t>
            </w:r>
            <w:r w:rsidRPr="00512D7B">
              <w:rPr>
                <w:rFonts w:ascii="Arial Narrow" w:hAnsi="Arial Narrow" w:cstheme="majorBidi"/>
                <w:bCs/>
                <w:sz w:val="20"/>
                <w:szCs w:val="20"/>
                <w:lang w:eastAsia="zh-CN"/>
              </w:rPr>
              <w:t>36</w:t>
            </w:r>
            <w:r w:rsidRPr="00512D7B">
              <w:rPr>
                <w:rFonts w:ascii="Arial Narrow" w:eastAsiaTheme="majorEastAsia" w:hAnsi="Arial Narrow" w:cstheme="majorBidi"/>
                <w:bCs/>
                <w:sz w:val="20"/>
                <w:szCs w:val="20"/>
              </w:rPr>
              <w:t xml:space="preserve"> months</w:t>
            </w:r>
          </w:p>
        </w:tc>
        <w:tc>
          <w:tcPr>
            <w:tcW w:w="1559" w:type="dxa"/>
          </w:tcPr>
          <w:p w14:paraId="6A670BBB"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p>
          <w:p w14:paraId="0E3A06DD" w14:textId="77777777" w:rsidR="009A4137" w:rsidRPr="00512D7B"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512D7B">
              <w:rPr>
                <w:rFonts w:ascii="Arial Narrow" w:eastAsiaTheme="majorEastAsia" w:hAnsi="Arial Narrow" w:cstheme="majorBidi"/>
                <w:bCs/>
                <w:color w:val="000000" w:themeColor="text1"/>
                <w:sz w:val="20"/>
                <w:szCs w:val="20"/>
              </w:rPr>
              <w:t>0.</w:t>
            </w:r>
            <w:r w:rsidRPr="00512D7B">
              <w:rPr>
                <w:rFonts w:ascii="Arial Narrow" w:hAnsi="Arial Narrow" w:cstheme="majorBidi" w:hint="eastAsia"/>
                <w:bCs/>
                <w:color w:val="000000" w:themeColor="text1"/>
                <w:sz w:val="20"/>
                <w:szCs w:val="20"/>
                <w:lang w:eastAsia="zh-CN"/>
              </w:rPr>
              <w:t>91</w:t>
            </w:r>
            <w:r w:rsidRPr="00512D7B">
              <w:rPr>
                <w:rFonts w:ascii="Arial Narrow" w:eastAsiaTheme="majorEastAsia" w:hAnsi="Arial Narrow" w:cstheme="majorBidi"/>
                <w:bCs/>
                <w:color w:val="000000" w:themeColor="text1"/>
                <w:sz w:val="20"/>
                <w:szCs w:val="20"/>
              </w:rPr>
              <w:t xml:space="preserve"> (0.8</w:t>
            </w:r>
            <w:r w:rsidRPr="00512D7B">
              <w:rPr>
                <w:rFonts w:ascii="Arial Narrow" w:hAnsi="Arial Narrow" w:cstheme="majorBidi" w:hint="eastAsia"/>
                <w:bCs/>
                <w:color w:val="000000" w:themeColor="text1"/>
                <w:sz w:val="20"/>
                <w:szCs w:val="20"/>
                <w:lang w:eastAsia="zh-CN"/>
              </w:rPr>
              <w:t>7</w:t>
            </w:r>
            <w:r w:rsidRPr="00512D7B">
              <w:rPr>
                <w:rFonts w:ascii="Arial Narrow" w:eastAsiaTheme="majorEastAsia" w:hAnsi="Arial Narrow" w:cstheme="majorBidi"/>
                <w:bCs/>
                <w:color w:val="000000" w:themeColor="text1"/>
                <w:sz w:val="20"/>
                <w:szCs w:val="20"/>
              </w:rPr>
              <w:t>, 0.9</w:t>
            </w:r>
            <w:r w:rsidRPr="00512D7B">
              <w:rPr>
                <w:rFonts w:ascii="Arial Narrow" w:hAnsi="Arial Narrow" w:cstheme="majorBidi" w:hint="eastAsia"/>
                <w:bCs/>
                <w:color w:val="000000" w:themeColor="text1"/>
                <w:sz w:val="20"/>
                <w:szCs w:val="20"/>
                <w:lang w:eastAsia="zh-CN"/>
              </w:rPr>
              <w:t>4</w:t>
            </w:r>
            <w:r w:rsidRPr="00512D7B">
              <w:rPr>
                <w:rFonts w:ascii="Arial Narrow" w:eastAsiaTheme="majorEastAsia" w:hAnsi="Arial Narrow" w:cstheme="majorBidi"/>
                <w:bCs/>
                <w:color w:val="000000" w:themeColor="text1"/>
                <w:sz w:val="20"/>
                <w:szCs w:val="20"/>
              </w:rPr>
              <w:t>)</w:t>
            </w:r>
          </w:p>
          <w:p w14:paraId="6325FE69" w14:textId="77777777" w:rsidR="009A4137" w:rsidRPr="00512D7B"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512D7B">
              <w:rPr>
                <w:rFonts w:ascii="Arial Narrow" w:eastAsiaTheme="majorEastAsia" w:hAnsi="Arial Narrow" w:cstheme="majorBidi"/>
                <w:bCs/>
                <w:color w:val="000000" w:themeColor="text1"/>
                <w:sz w:val="20"/>
                <w:szCs w:val="20"/>
              </w:rPr>
              <w:t>0.87 (0.81, 0.90)</w:t>
            </w:r>
          </w:p>
          <w:p w14:paraId="439DEFD7"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eastAsiaTheme="majorEastAsia" w:hAnsi="Arial Narrow" w:cstheme="majorBidi"/>
                <w:bCs/>
                <w:color w:val="000000" w:themeColor="text1"/>
                <w:sz w:val="20"/>
                <w:szCs w:val="20"/>
              </w:rPr>
              <w:t>0.84 (0.79, 0.88)</w:t>
            </w:r>
          </w:p>
          <w:p w14:paraId="1D06E1F3"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hAnsi="Arial Narrow" w:cstheme="majorBidi"/>
                <w:bCs/>
                <w:color w:val="000000" w:themeColor="text1"/>
                <w:sz w:val="20"/>
                <w:szCs w:val="20"/>
                <w:lang w:eastAsia="zh-CN"/>
              </w:rPr>
              <w:t>0.79 (0.73, 0.84)</w:t>
            </w:r>
          </w:p>
          <w:p w14:paraId="2C16EEC3"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hAnsi="Arial Narrow" w:cstheme="majorBidi"/>
                <w:bCs/>
                <w:color w:val="000000" w:themeColor="text1"/>
                <w:sz w:val="20"/>
                <w:szCs w:val="20"/>
                <w:lang w:eastAsia="zh-CN"/>
              </w:rPr>
              <w:t>0.74 (0.68, 0.79)</w:t>
            </w:r>
          </w:p>
        </w:tc>
        <w:tc>
          <w:tcPr>
            <w:tcW w:w="1560" w:type="dxa"/>
          </w:tcPr>
          <w:p w14:paraId="06D26D42"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p>
          <w:p w14:paraId="51B63C37"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eastAsiaTheme="majorEastAsia" w:hAnsi="Arial Narrow" w:cstheme="majorBidi"/>
                <w:bCs/>
                <w:color w:val="000000" w:themeColor="text1"/>
                <w:sz w:val="20"/>
                <w:szCs w:val="20"/>
              </w:rPr>
              <w:t>0.8</w:t>
            </w:r>
            <w:r w:rsidRPr="00512D7B">
              <w:rPr>
                <w:rFonts w:ascii="Arial Narrow" w:hAnsi="Arial Narrow" w:cstheme="majorBidi" w:hint="eastAsia"/>
                <w:bCs/>
                <w:color w:val="000000" w:themeColor="text1"/>
                <w:sz w:val="20"/>
                <w:szCs w:val="20"/>
                <w:lang w:eastAsia="zh-CN"/>
              </w:rPr>
              <w:t>9</w:t>
            </w:r>
            <w:r w:rsidRPr="00512D7B">
              <w:rPr>
                <w:rFonts w:ascii="Arial Narrow" w:eastAsiaTheme="majorEastAsia" w:hAnsi="Arial Narrow" w:cstheme="majorBidi"/>
                <w:bCs/>
                <w:color w:val="000000" w:themeColor="text1"/>
                <w:sz w:val="20"/>
                <w:szCs w:val="20"/>
              </w:rPr>
              <w:t xml:space="preserve"> (0.</w:t>
            </w:r>
            <w:r w:rsidRPr="00512D7B">
              <w:rPr>
                <w:rFonts w:ascii="Arial Narrow" w:hAnsi="Arial Narrow" w:cstheme="majorBidi" w:hint="eastAsia"/>
                <w:bCs/>
                <w:color w:val="000000" w:themeColor="text1"/>
                <w:sz w:val="20"/>
                <w:szCs w:val="20"/>
                <w:lang w:eastAsia="zh-CN"/>
              </w:rPr>
              <w:t>84</w:t>
            </w:r>
            <w:r w:rsidRPr="00512D7B">
              <w:rPr>
                <w:rFonts w:ascii="Arial Narrow" w:eastAsiaTheme="majorEastAsia" w:hAnsi="Arial Narrow" w:cstheme="majorBidi"/>
                <w:bCs/>
                <w:color w:val="000000" w:themeColor="text1"/>
                <w:sz w:val="20"/>
                <w:szCs w:val="20"/>
              </w:rPr>
              <w:t>, 0.</w:t>
            </w:r>
            <w:r w:rsidRPr="00512D7B">
              <w:rPr>
                <w:rFonts w:ascii="Arial Narrow" w:hAnsi="Arial Narrow" w:cstheme="majorBidi" w:hint="eastAsia"/>
                <w:bCs/>
                <w:color w:val="000000" w:themeColor="text1"/>
                <w:sz w:val="20"/>
                <w:szCs w:val="20"/>
                <w:lang w:eastAsia="zh-CN"/>
              </w:rPr>
              <w:t>92</w:t>
            </w:r>
            <w:r w:rsidRPr="00512D7B">
              <w:rPr>
                <w:rFonts w:ascii="Arial Narrow" w:eastAsiaTheme="majorEastAsia" w:hAnsi="Arial Narrow" w:cstheme="majorBidi"/>
                <w:bCs/>
                <w:color w:val="000000" w:themeColor="text1"/>
                <w:sz w:val="20"/>
                <w:szCs w:val="20"/>
              </w:rPr>
              <w:t>)</w:t>
            </w:r>
          </w:p>
          <w:p w14:paraId="5730EF82" w14:textId="77777777" w:rsidR="009A4137" w:rsidRPr="00512D7B"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512D7B">
              <w:rPr>
                <w:rFonts w:ascii="Arial Narrow" w:eastAsiaTheme="majorEastAsia" w:hAnsi="Arial Narrow" w:cstheme="majorBidi"/>
                <w:bCs/>
                <w:color w:val="000000" w:themeColor="text1"/>
                <w:sz w:val="20"/>
                <w:szCs w:val="20"/>
              </w:rPr>
              <w:t xml:space="preserve">0.81 (0.75, 0.85) </w:t>
            </w:r>
          </w:p>
          <w:p w14:paraId="0B612CCA"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eastAsiaTheme="majorEastAsia" w:hAnsi="Arial Narrow" w:cstheme="majorBidi"/>
                <w:bCs/>
                <w:color w:val="000000" w:themeColor="text1"/>
                <w:sz w:val="20"/>
                <w:szCs w:val="20"/>
              </w:rPr>
              <w:t>0.73 (0.67, 0.78)</w:t>
            </w:r>
            <w:r w:rsidRPr="00512D7B">
              <w:rPr>
                <w:rFonts w:ascii="Arial Narrow" w:hAnsi="Arial Narrow" w:cstheme="majorBidi"/>
                <w:bCs/>
                <w:color w:val="000000" w:themeColor="text1"/>
                <w:sz w:val="20"/>
                <w:szCs w:val="20"/>
                <w:lang w:eastAsia="zh-CN"/>
              </w:rPr>
              <w:t xml:space="preserve"> </w:t>
            </w:r>
          </w:p>
          <w:p w14:paraId="29FFFDB4"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hAnsi="Arial Narrow" w:cstheme="majorBidi"/>
                <w:bCs/>
                <w:color w:val="000000" w:themeColor="text1"/>
                <w:sz w:val="20"/>
                <w:szCs w:val="20"/>
                <w:lang w:eastAsia="zh-CN"/>
              </w:rPr>
              <w:t xml:space="preserve">0.67 (0.61, 0.73) </w:t>
            </w:r>
          </w:p>
          <w:p w14:paraId="5CB49E55" w14:textId="77777777" w:rsidR="009A4137" w:rsidRPr="00512D7B" w:rsidRDefault="009A4137" w:rsidP="006363AD">
            <w:pPr>
              <w:keepNext/>
              <w:keepLines/>
              <w:ind w:left="-74" w:right="-62"/>
              <w:jc w:val="center"/>
              <w:rPr>
                <w:rFonts w:ascii="Arial Narrow" w:hAnsi="Arial Narrow" w:cstheme="majorBidi"/>
                <w:bCs/>
                <w:color w:val="000000" w:themeColor="text1"/>
                <w:sz w:val="20"/>
                <w:szCs w:val="20"/>
                <w:lang w:eastAsia="zh-CN"/>
              </w:rPr>
            </w:pPr>
            <w:r w:rsidRPr="00512D7B">
              <w:rPr>
                <w:rFonts w:ascii="Arial Narrow" w:hAnsi="Arial Narrow" w:cstheme="majorBidi"/>
                <w:bCs/>
                <w:color w:val="000000" w:themeColor="text1"/>
                <w:sz w:val="20"/>
                <w:szCs w:val="20"/>
                <w:lang w:eastAsia="zh-CN"/>
              </w:rPr>
              <w:t>0.60 (0.54, 0.66)</w:t>
            </w:r>
          </w:p>
        </w:tc>
        <w:tc>
          <w:tcPr>
            <w:tcW w:w="1417" w:type="dxa"/>
          </w:tcPr>
          <w:p w14:paraId="182B08B6" w14:textId="77777777" w:rsidR="009A4137" w:rsidRPr="00DE67DD" w:rsidRDefault="009A4137" w:rsidP="006363AD">
            <w:pPr>
              <w:keepNext/>
              <w:keepLines/>
              <w:jc w:val="left"/>
              <w:rPr>
                <w:rFonts w:ascii="Arial Narrow" w:hAnsi="Arial Narrow" w:cstheme="majorBidi"/>
                <w:bCs/>
                <w:color w:val="000000" w:themeColor="text1"/>
                <w:sz w:val="20"/>
                <w:szCs w:val="20"/>
                <w:lang w:eastAsia="zh-CN"/>
              </w:rPr>
            </w:pPr>
          </w:p>
          <w:p w14:paraId="45F9DBD3" w14:textId="77777777" w:rsidR="009A4137" w:rsidRPr="00DE67DD"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DE67DD">
              <w:rPr>
                <w:rFonts w:ascii="Arial Narrow" w:eastAsiaTheme="majorEastAsia" w:hAnsi="Arial Narrow" w:cstheme="majorBidi"/>
                <w:bCs/>
                <w:color w:val="000000" w:themeColor="text1"/>
                <w:sz w:val="20"/>
                <w:szCs w:val="20"/>
              </w:rPr>
              <w:t>0.</w:t>
            </w:r>
            <w:r w:rsidRPr="00DE67DD">
              <w:rPr>
                <w:rFonts w:ascii="Arial Narrow" w:hAnsi="Arial Narrow" w:cstheme="majorBidi" w:hint="eastAsia"/>
                <w:bCs/>
                <w:color w:val="000000" w:themeColor="text1"/>
                <w:sz w:val="20"/>
                <w:szCs w:val="20"/>
                <w:lang w:eastAsia="zh-CN"/>
              </w:rPr>
              <w:t>9</w:t>
            </w:r>
            <w:r w:rsidRPr="00DE67DD">
              <w:rPr>
                <w:rFonts w:ascii="Arial Narrow" w:hAnsi="Arial Narrow" w:cstheme="majorBidi"/>
                <w:bCs/>
                <w:color w:val="000000" w:themeColor="text1"/>
                <w:sz w:val="20"/>
                <w:szCs w:val="20"/>
                <w:lang w:eastAsia="zh-CN"/>
              </w:rPr>
              <w:t>4</w:t>
            </w:r>
            <w:r w:rsidRPr="00DE67DD">
              <w:rPr>
                <w:rFonts w:ascii="Arial Narrow" w:eastAsiaTheme="majorEastAsia" w:hAnsi="Arial Narrow" w:cstheme="majorBidi"/>
                <w:bCs/>
                <w:color w:val="000000" w:themeColor="text1"/>
                <w:sz w:val="20"/>
                <w:szCs w:val="20"/>
              </w:rPr>
              <w:t xml:space="preserve"> (0.8</w:t>
            </w:r>
            <w:r w:rsidRPr="00DE67DD">
              <w:rPr>
                <w:rFonts w:ascii="Arial Narrow" w:hAnsi="Arial Narrow" w:cstheme="majorBidi"/>
                <w:bCs/>
                <w:color w:val="000000" w:themeColor="text1"/>
                <w:sz w:val="20"/>
                <w:szCs w:val="20"/>
                <w:lang w:eastAsia="zh-CN"/>
              </w:rPr>
              <w:t>8</w:t>
            </w:r>
            <w:r w:rsidRPr="00DE67DD">
              <w:rPr>
                <w:rFonts w:ascii="Arial Narrow" w:eastAsiaTheme="majorEastAsia" w:hAnsi="Arial Narrow" w:cstheme="majorBidi"/>
                <w:bCs/>
                <w:color w:val="000000" w:themeColor="text1"/>
                <w:sz w:val="20"/>
                <w:szCs w:val="20"/>
              </w:rPr>
              <w:t>, 0.9</w:t>
            </w:r>
            <w:r w:rsidRPr="00DE67DD">
              <w:rPr>
                <w:rFonts w:ascii="Arial Narrow" w:hAnsi="Arial Narrow" w:cstheme="majorBidi"/>
                <w:bCs/>
                <w:color w:val="000000" w:themeColor="text1"/>
                <w:sz w:val="20"/>
                <w:szCs w:val="20"/>
                <w:lang w:eastAsia="zh-CN"/>
              </w:rPr>
              <w:t>7</w:t>
            </w:r>
            <w:r w:rsidRPr="00DE67DD">
              <w:rPr>
                <w:rFonts w:ascii="Arial Narrow" w:eastAsiaTheme="majorEastAsia" w:hAnsi="Arial Narrow" w:cstheme="majorBidi"/>
                <w:bCs/>
                <w:color w:val="000000" w:themeColor="text1"/>
                <w:sz w:val="20"/>
                <w:szCs w:val="20"/>
              </w:rPr>
              <w:t>)</w:t>
            </w:r>
          </w:p>
          <w:p w14:paraId="1D72FFDA" w14:textId="77777777" w:rsidR="009A4137" w:rsidRPr="00DE67DD"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DE67DD">
              <w:rPr>
                <w:rFonts w:ascii="Arial Narrow" w:eastAsiaTheme="majorEastAsia" w:hAnsi="Arial Narrow" w:cstheme="majorBidi"/>
                <w:bCs/>
                <w:color w:val="000000" w:themeColor="text1"/>
                <w:sz w:val="20"/>
                <w:szCs w:val="20"/>
              </w:rPr>
              <w:t>0.87 (0.80, 0.92)</w:t>
            </w:r>
          </w:p>
          <w:p w14:paraId="5FCE0BA3"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eastAsiaTheme="majorEastAsia" w:hAnsi="Arial Narrow" w:cstheme="majorBidi"/>
                <w:bCs/>
                <w:color w:val="000000" w:themeColor="text1"/>
                <w:sz w:val="20"/>
                <w:szCs w:val="20"/>
              </w:rPr>
              <w:t>0.84 (0.76, 0.89)</w:t>
            </w:r>
          </w:p>
          <w:p w14:paraId="7EA143F4"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hAnsi="Arial Narrow" w:cstheme="majorBidi"/>
                <w:bCs/>
                <w:color w:val="000000" w:themeColor="text1"/>
                <w:sz w:val="20"/>
                <w:szCs w:val="20"/>
                <w:lang w:eastAsia="zh-CN"/>
              </w:rPr>
              <w:t>0.78 (0.69, 0.84)</w:t>
            </w:r>
          </w:p>
          <w:p w14:paraId="0BB8DC62"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hAnsi="Arial Narrow" w:cstheme="majorBidi"/>
                <w:bCs/>
                <w:color w:val="000000" w:themeColor="text1"/>
                <w:sz w:val="20"/>
                <w:szCs w:val="20"/>
                <w:lang w:eastAsia="zh-CN"/>
              </w:rPr>
              <w:t>0.73 (0.64, 0.80)</w:t>
            </w:r>
          </w:p>
        </w:tc>
        <w:tc>
          <w:tcPr>
            <w:tcW w:w="1509" w:type="dxa"/>
          </w:tcPr>
          <w:p w14:paraId="4DEB4F14" w14:textId="77777777" w:rsidR="009A4137" w:rsidRPr="00DE67DD" w:rsidRDefault="009A4137" w:rsidP="006363AD">
            <w:pPr>
              <w:keepNext/>
              <w:keepLines/>
              <w:jc w:val="left"/>
              <w:rPr>
                <w:rFonts w:ascii="Arial Narrow" w:hAnsi="Arial Narrow" w:cstheme="majorBidi"/>
                <w:bCs/>
                <w:color w:val="000000" w:themeColor="text1"/>
                <w:sz w:val="20"/>
                <w:szCs w:val="20"/>
                <w:lang w:eastAsia="zh-CN"/>
              </w:rPr>
            </w:pPr>
          </w:p>
          <w:p w14:paraId="574583F0"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eastAsiaTheme="majorEastAsia" w:hAnsi="Arial Narrow" w:cstheme="majorBidi"/>
                <w:bCs/>
                <w:color w:val="000000" w:themeColor="text1"/>
                <w:sz w:val="20"/>
                <w:szCs w:val="20"/>
              </w:rPr>
              <w:t>0.8</w:t>
            </w:r>
            <w:r w:rsidRPr="00DE67DD">
              <w:rPr>
                <w:rFonts w:ascii="Arial Narrow" w:hAnsi="Arial Narrow" w:cstheme="majorBidi"/>
                <w:bCs/>
                <w:color w:val="000000" w:themeColor="text1"/>
                <w:sz w:val="20"/>
                <w:szCs w:val="20"/>
                <w:lang w:eastAsia="zh-CN"/>
              </w:rPr>
              <w:t>6</w:t>
            </w:r>
            <w:r w:rsidRPr="00DE67DD">
              <w:rPr>
                <w:rFonts w:ascii="Arial Narrow" w:eastAsiaTheme="majorEastAsia" w:hAnsi="Arial Narrow" w:cstheme="majorBidi"/>
                <w:bCs/>
                <w:color w:val="000000" w:themeColor="text1"/>
                <w:sz w:val="20"/>
                <w:szCs w:val="20"/>
              </w:rPr>
              <w:t xml:space="preserve"> (0.</w:t>
            </w:r>
            <w:r w:rsidRPr="00DE67DD">
              <w:rPr>
                <w:rFonts w:ascii="Arial Narrow" w:hAnsi="Arial Narrow" w:cstheme="majorBidi"/>
                <w:bCs/>
                <w:color w:val="000000" w:themeColor="text1"/>
                <w:sz w:val="20"/>
                <w:szCs w:val="20"/>
                <w:lang w:eastAsia="zh-CN"/>
              </w:rPr>
              <w:t>79</w:t>
            </w:r>
            <w:r w:rsidRPr="00DE67DD">
              <w:rPr>
                <w:rFonts w:ascii="Arial Narrow" w:eastAsiaTheme="majorEastAsia" w:hAnsi="Arial Narrow" w:cstheme="majorBidi"/>
                <w:bCs/>
                <w:color w:val="000000" w:themeColor="text1"/>
                <w:sz w:val="20"/>
                <w:szCs w:val="20"/>
              </w:rPr>
              <w:t>, 0.</w:t>
            </w:r>
            <w:r w:rsidRPr="00DE67DD">
              <w:rPr>
                <w:rFonts w:ascii="Arial Narrow" w:hAnsi="Arial Narrow" w:cstheme="majorBidi" w:hint="eastAsia"/>
                <w:bCs/>
                <w:color w:val="000000" w:themeColor="text1"/>
                <w:sz w:val="20"/>
                <w:szCs w:val="20"/>
                <w:lang w:eastAsia="zh-CN"/>
              </w:rPr>
              <w:t>9</w:t>
            </w:r>
            <w:r w:rsidRPr="00DE67DD">
              <w:rPr>
                <w:rFonts w:ascii="Arial Narrow" w:hAnsi="Arial Narrow" w:cstheme="majorBidi"/>
                <w:bCs/>
                <w:color w:val="000000" w:themeColor="text1"/>
                <w:sz w:val="20"/>
                <w:szCs w:val="20"/>
                <w:lang w:eastAsia="zh-CN"/>
              </w:rPr>
              <w:t>1</w:t>
            </w:r>
            <w:r w:rsidRPr="00DE67DD">
              <w:rPr>
                <w:rFonts w:ascii="Arial Narrow" w:eastAsiaTheme="majorEastAsia" w:hAnsi="Arial Narrow" w:cstheme="majorBidi"/>
                <w:bCs/>
                <w:color w:val="000000" w:themeColor="text1"/>
                <w:sz w:val="20"/>
                <w:szCs w:val="20"/>
              </w:rPr>
              <w:t>)</w:t>
            </w:r>
          </w:p>
          <w:p w14:paraId="20E36794" w14:textId="77777777" w:rsidR="009A4137" w:rsidRPr="00DE67DD" w:rsidRDefault="009A4137" w:rsidP="006363AD">
            <w:pPr>
              <w:keepNext/>
              <w:keepLines/>
              <w:ind w:left="-74" w:right="-62"/>
              <w:jc w:val="center"/>
              <w:rPr>
                <w:rFonts w:ascii="Arial Narrow" w:eastAsiaTheme="majorEastAsia" w:hAnsi="Arial Narrow" w:cstheme="majorBidi"/>
                <w:bCs/>
                <w:color w:val="000000" w:themeColor="text1"/>
                <w:sz w:val="20"/>
                <w:szCs w:val="20"/>
              </w:rPr>
            </w:pPr>
            <w:r w:rsidRPr="00DE67DD">
              <w:rPr>
                <w:rFonts w:ascii="Arial Narrow" w:eastAsiaTheme="majorEastAsia" w:hAnsi="Arial Narrow" w:cstheme="majorBidi"/>
                <w:bCs/>
                <w:color w:val="000000" w:themeColor="text1"/>
                <w:sz w:val="20"/>
                <w:szCs w:val="20"/>
              </w:rPr>
              <w:t xml:space="preserve">0.74 (0.65, 0.81) </w:t>
            </w:r>
          </w:p>
          <w:p w14:paraId="4F0966FD"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eastAsiaTheme="majorEastAsia" w:hAnsi="Arial Narrow" w:cstheme="majorBidi"/>
                <w:bCs/>
                <w:color w:val="000000" w:themeColor="text1"/>
                <w:sz w:val="20"/>
                <w:szCs w:val="20"/>
              </w:rPr>
              <w:t>0.61 (0.52, 0.69)</w:t>
            </w:r>
            <w:r w:rsidRPr="00DE67DD">
              <w:rPr>
                <w:rFonts w:ascii="Arial Narrow" w:hAnsi="Arial Narrow" w:cstheme="majorBidi"/>
                <w:bCs/>
                <w:color w:val="000000" w:themeColor="text1"/>
                <w:sz w:val="20"/>
                <w:szCs w:val="20"/>
                <w:lang w:eastAsia="zh-CN"/>
              </w:rPr>
              <w:t xml:space="preserve"> </w:t>
            </w:r>
          </w:p>
          <w:p w14:paraId="36C0EA07"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hAnsi="Arial Narrow" w:cstheme="majorBidi"/>
                <w:bCs/>
                <w:color w:val="000000" w:themeColor="text1"/>
                <w:sz w:val="20"/>
                <w:szCs w:val="20"/>
                <w:lang w:eastAsia="zh-CN"/>
              </w:rPr>
              <w:t xml:space="preserve">0.58 (0.48, 0.66) </w:t>
            </w:r>
          </w:p>
          <w:p w14:paraId="21DEDA86" w14:textId="77777777" w:rsidR="009A4137" w:rsidRPr="00DE67DD" w:rsidRDefault="009A4137" w:rsidP="006363AD">
            <w:pPr>
              <w:keepNext/>
              <w:keepLines/>
              <w:ind w:left="-74" w:right="-62"/>
              <w:jc w:val="center"/>
              <w:rPr>
                <w:rFonts w:ascii="Arial Narrow" w:hAnsi="Arial Narrow" w:cstheme="majorBidi"/>
                <w:bCs/>
                <w:color w:val="000000" w:themeColor="text1"/>
                <w:sz w:val="20"/>
                <w:szCs w:val="20"/>
                <w:lang w:eastAsia="zh-CN"/>
              </w:rPr>
            </w:pPr>
            <w:r w:rsidRPr="00DE67DD">
              <w:rPr>
                <w:rFonts w:ascii="Arial Narrow" w:hAnsi="Arial Narrow" w:cstheme="majorBidi"/>
                <w:bCs/>
                <w:color w:val="000000" w:themeColor="text1"/>
                <w:sz w:val="20"/>
                <w:szCs w:val="20"/>
                <w:lang w:eastAsia="zh-CN"/>
              </w:rPr>
              <w:t>0.46 (0.36, 0.54)</w:t>
            </w:r>
          </w:p>
        </w:tc>
      </w:tr>
    </w:tbl>
    <w:p w14:paraId="19A4D60D" w14:textId="77777777" w:rsidR="009A4137" w:rsidRPr="00512D7B" w:rsidRDefault="009A4137" w:rsidP="009A4137">
      <w:pPr>
        <w:pStyle w:val="COMTablefooter"/>
      </w:pPr>
      <w:r w:rsidRPr="00512D7B">
        <w:t>Source: Table 2-9, p66; Table 2-2</w:t>
      </w:r>
      <w:r w:rsidRPr="00512D7B">
        <w:rPr>
          <w:rFonts w:hint="eastAsia"/>
          <w:lang w:eastAsia="zh-CN"/>
        </w:rPr>
        <w:t>3</w:t>
      </w:r>
      <w:r w:rsidRPr="00512D7B">
        <w:t xml:space="preserve">, </w:t>
      </w:r>
      <w:r w:rsidRPr="00512D7B">
        <w:rPr>
          <w:rFonts w:hint="eastAsia"/>
          <w:lang w:eastAsia="zh-CN"/>
        </w:rPr>
        <w:t>p</w:t>
      </w:r>
      <w:r w:rsidRPr="00512D7B">
        <w:t>7</w:t>
      </w:r>
      <w:r w:rsidRPr="00512D7B">
        <w:rPr>
          <w:rFonts w:hint="eastAsia"/>
          <w:lang w:eastAsia="zh-CN"/>
        </w:rPr>
        <w:t>6</w:t>
      </w:r>
      <w:r w:rsidRPr="00512D7B">
        <w:t xml:space="preserve">; Table 2-50, p105 of the submission; Table </w:t>
      </w:r>
      <w:r w:rsidRPr="00512D7B">
        <w:rPr>
          <w:rFonts w:hint="eastAsia"/>
          <w:lang w:eastAsia="zh-CN"/>
        </w:rPr>
        <w:t>2.0024</w:t>
      </w:r>
      <w:r w:rsidRPr="00512D7B">
        <w:rPr>
          <w:lang w:eastAsia="zh-CN"/>
        </w:rPr>
        <w:t xml:space="preserve">, pp461-462; </w:t>
      </w:r>
      <w:r w:rsidRPr="00512D7B">
        <w:t xml:space="preserve">Table 2.1100809, pp1-2 </w:t>
      </w:r>
      <w:r w:rsidRPr="00512D7B">
        <w:rPr>
          <w:lang w:eastAsia="zh-CN"/>
        </w:rPr>
        <w:t xml:space="preserve">of the </w:t>
      </w:r>
      <w:r w:rsidRPr="00512D7B">
        <w:t>DREAMM-7 IA1 CSR</w:t>
      </w:r>
      <w:r w:rsidRPr="00512D7B">
        <w:rPr>
          <w:rFonts w:hint="eastAsia"/>
          <w:lang w:eastAsia="zh-CN"/>
        </w:rPr>
        <w:t>;</w:t>
      </w:r>
      <w:r w:rsidRPr="00512D7B">
        <w:t xml:space="preserve"> Table 2.0024, pp1-2, Table 2.1100809, pp1-2 of DREAMM-7 IA2 supplementary data.</w:t>
      </w:r>
    </w:p>
    <w:p w14:paraId="63B46000" w14:textId="5A6A73F0" w:rsidR="009A4137" w:rsidRPr="00512D7B" w:rsidRDefault="009A4137" w:rsidP="009A4137">
      <w:pPr>
        <w:pStyle w:val="COMTablefooter"/>
        <w:rPr>
          <w:rStyle w:val="COMTablefooterChar"/>
          <w:rFonts w:cstheme="majorBidi"/>
          <w:szCs w:val="18"/>
          <w:lang w:eastAsia="zh-CN"/>
        </w:rPr>
      </w:pPr>
      <w:r w:rsidRPr="00512D7B">
        <w:lastRenderedPageBreak/>
        <w:t xml:space="preserve">Abbreviations: </w:t>
      </w:r>
      <w:r w:rsidR="00834591" w:rsidRPr="00512D7B">
        <w:rPr>
          <w:rStyle w:val="COMTablefooterChar"/>
        </w:rPr>
        <w:t>BmBd</w:t>
      </w:r>
      <w:r w:rsidRPr="00512D7B">
        <w:rPr>
          <w:rStyle w:val="COMTablefooterChar"/>
        </w:rPr>
        <w:t xml:space="preserve">, belantamab mafodotin in combination with bortezomib and dexamethasone; CI, confidence interval; CSR, clinical study report; </w:t>
      </w:r>
      <w:r w:rsidR="001C413B" w:rsidRPr="00512D7B">
        <w:rPr>
          <w:rStyle w:val="COMTablefooterChar"/>
        </w:rPr>
        <w:t>DBd</w:t>
      </w:r>
      <w:r w:rsidRPr="00512D7B">
        <w:rPr>
          <w:rStyle w:val="COMTablefooterChar"/>
        </w:rPr>
        <w:t xml:space="preserve">, daratumumab in combination with bortezomib and dexamethasone; </w:t>
      </w:r>
      <w:r w:rsidRPr="00512D7B">
        <w:rPr>
          <w:szCs w:val="18"/>
        </w:rPr>
        <w:t>IA1, interim analysis 1 (October 2023 data cut)</w:t>
      </w:r>
      <w:r w:rsidRPr="00512D7B">
        <w:rPr>
          <w:rFonts w:hint="eastAsia"/>
          <w:szCs w:val="18"/>
          <w:lang w:eastAsia="zh-CN"/>
        </w:rPr>
        <w:t xml:space="preserve">; </w:t>
      </w:r>
      <w:r w:rsidRPr="00512D7B">
        <w:rPr>
          <w:szCs w:val="18"/>
        </w:rPr>
        <w:t>IA2, interim analysis 2 (October 2024 data cut)</w:t>
      </w:r>
      <w:r w:rsidRPr="00512D7B">
        <w:rPr>
          <w:szCs w:val="18"/>
          <w:lang w:eastAsia="zh-CN"/>
        </w:rPr>
        <w:t xml:space="preserve">; </w:t>
      </w:r>
      <w:r w:rsidRPr="00512D7B">
        <w:rPr>
          <w:rStyle w:val="COMTablefooterChar"/>
        </w:rPr>
        <w:t xml:space="preserve">IQR, interquartile range; </w:t>
      </w:r>
      <w:bookmarkStart w:id="36" w:name="_Hlk206335132"/>
      <w:r w:rsidRPr="00512D7B">
        <w:rPr>
          <w:rStyle w:val="COMTablefooterChar"/>
        </w:rPr>
        <w:t xml:space="preserve">NE, </w:t>
      </w:r>
      <w:r w:rsidRPr="00512D7B">
        <w:rPr>
          <w:snapToGrid/>
        </w:rPr>
        <w:t>not estimable</w:t>
      </w:r>
      <w:r w:rsidRPr="00512D7B">
        <w:rPr>
          <w:rStyle w:val="COMTablefooterChar"/>
        </w:rPr>
        <w:t xml:space="preserve">; </w:t>
      </w:r>
      <w:bookmarkEnd w:id="36"/>
      <w:r w:rsidRPr="00512D7B">
        <w:rPr>
          <w:rStyle w:val="COMTablefooterChar"/>
        </w:rPr>
        <w:t>OS, overall survival.</w:t>
      </w:r>
    </w:p>
    <w:p w14:paraId="19D3D172" w14:textId="77777777" w:rsidR="009A4137" w:rsidRPr="00512D7B" w:rsidRDefault="009A4137" w:rsidP="009A4137">
      <w:pPr>
        <w:pStyle w:val="COMTablefooter"/>
      </w:pPr>
      <w:r w:rsidRPr="00512D7B">
        <w:rPr>
          <w:b/>
          <w:bCs/>
        </w:rPr>
        <w:t xml:space="preserve">Bolded </w:t>
      </w:r>
      <w:r w:rsidRPr="00512D7B">
        <w:t>results were statistically significant.</w:t>
      </w:r>
    </w:p>
    <w:p w14:paraId="6E16B60A" w14:textId="243CED20" w:rsidR="009A4137" w:rsidRPr="00AC3F7C" w:rsidRDefault="009A4137" w:rsidP="009A4137">
      <w:pPr>
        <w:pStyle w:val="COMTablefooter"/>
        <w:rPr>
          <w:szCs w:val="18"/>
        </w:rPr>
      </w:pPr>
      <w:r w:rsidRPr="00AC3F7C">
        <w:rPr>
          <w:vertAlign w:val="superscript"/>
        </w:rPr>
        <w:t xml:space="preserve">a </w:t>
      </w:r>
      <w:r w:rsidR="0009023F" w:rsidRPr="00AC3F7C">
        <w:t xml:space="preserve"> </w:t>
      </w:r>
      <w:r w:rsidR="0009023F" w:rsidRPr="00AC3F7C">
        <w:rPr>
          <w:bCs/>
          <w:szCs w:val="18"/>
        </w:rPr>
        <w:t>OS was formally tested at the October 2023 data cut as per the Multiple Testing Strategy; however, did not meet statistical significance at this time despite showing a strong and meaningful clinical benefit (nominal p-value of 0.00049). Statistical significance was subsequently reached at IA2.</w:t>
      </w:r>
    </w:p>
    <w:p w14:paraId="78527D3D" w14:textId="56DF0366" w:rsidR="009A4137" w:rsidRPr="00512D7B" w:rsidRDefault="009A4137" w:rsidP="009A4137">
      <w:pPr>
        <w:pStyle w:val="COMTableFigurecaption"/>
        <w:rPr>
          <w:rFonts w:eastAsia="SimSun"/>
          <w:lang w:eastAsia="zh-CN"/>
        </w:rPr>
      </w:pPr>
      <w:bookmarkStart w:id="37" w:name="_Ref206411032"/>
      <w:r w:rsidRPr="00512D7B">
        <w:t xml:space="preserve">Figure </w:t>
      </w:r>
      <w:r w:rsidR="00715075">
        <w:fldChar w:fldCharType="begin"/>
      </w:r>
      <w:r w:rsidR="00715075">
        <w:instrText xml:space="preserve"> SEQ Figure \* ARABIC </w:instrText>
      </w:r>
      <w:r w:rsidR="00715075">
        <w:fldChar w:fldCharType="separate"/>
      </w:r>
      <w:r w:rsidR="00674A1F">
        <w:rPr>
          <w:noProof/>
        </w:rPr>
        <w:t>3</w:t>
      </w:r>
      <w:r w:rsidR="00715075">
        <w:fldChar w:fldCharType="end"/>
      </w:r>
      <w:bookmarkEnd w:id="37"/>
      <w:r w:rsidRPr="00512D7B">
        <w:t xml:space="preserve">: </w:t>
      </w:r>
      <w:r w:rsidRPr="00512D7B">
        <w:rPr>
          <w:rFonts w:eastAsia="SimSun" w:hint="eastAsia"/>
          <w:lang w:eastAsia="zh-CN"/>
        </w:rPr>
        <w:t xml:space="preserve">Overall </w:t>
      </w:r>
      <w:r w:rsidRPr="00512D7B">
        <w:rPr>
          <w:rFonts w:eastAsia="SimSun"/>
          <w:lang w:eastAsia="zh-CN"/>
        </w:rPr>
        <w:t>survival</w:t>
      </w:r>
      <w:r w:rsidRPr="00512D7B">
        <w:rPr>
          <w:rFonts w:eastAsia="SimSun" w:hint="eastAsia"/>
          <w:lang w:eastAsia="zh-CN"/>
        </w:rPr>
        <w:t xml:space="preserve"> in</w:t>
      </w:r>
      <w:r w:rsidRPr="00512D7B">
        <w:t xml:space="preserve"> the DREAMM-7 trial</w:t>
      </w:r>
      <w:r w:rsidRPr="00512D7B">
        <w:rPr>
          <w:rFonts w:eastAsia="SimSun" w:hint="eastAsia"/>
          <w:lang w:eastAsia="zh-CN"/>
        </w:rPr>
        <w:t xml:space="preserve"> </w:t>
      </w:r>
      <w:r w:rsidRPr="00512D7B">
        <w:rPr>
          <w:rFonts w:eastAsia="SimSun"/>
          <w:lang w:eastAsia="zh-CN"/>
        </w:rPr>
        <w:t xml:space="preserve">(ITT population, </w:t>
      </w:r>
      <w:r w:rsidRPr="00512D7B">
        <w:t>October 202</w:t>
      </w:r>
      <w:r w:rsidRPr="00512D7B">
        <w:rPr>
          <w:rFonts w:eastAsia="SimSun" w:hint="eastAsia"/>
          <w:lang w:eastAsia="zh-CN"/>
        </w:rPr>
        <w:t>4 data cut</w:t>
      </w:r>
      <w:r w:rsidRPr="00512D7B">
        <w:rPr>
          <w:rFonts w:eastAsia="SimSun"/>
          <w:lang w:eastAsia="zh-CN"/>
        </w:rPr>
        <w:t>)</w:t>
      </w:r>
    </w:p>
    <w:p w14:paraId="0F9B84AD" w14:textId="77777777" w:rsidR="009A4137" w:rsidRPr="00512D7B" w:rsidRDefault="009A4137" w:rsidP="009A4137">
      <w:pPr>
        <w:jc w:val="center"/>
      </w:pPr>
      <w:r w:rsidRPr="00512D7B">
        <w:rPr>
          <w:noProof/>
        </w:rPr>
        <w:drawing>
          <wp:inline distT="0" distB="0" distL="0" distR="0" wp14:anchorId="0302DA8A" wp14:editId="6CE4EB18">
            <wp:extent cx="5727600" cy="3312000"/>
            <wp:effectExtent l="0" t="0" r="6985" b="3175"/>
            <wp:docPr id="1303273407" name="Picture 2" descr="Figure 3: Overall survival in the DREAMM-7 trial (ITT population, October 2024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73407" name="Picture 2" descr="Figure 3: Overall survival in the DREAMM-7 trial (ITT population, October 2024 data cut)"/>
                    <pic:cNvPicPr/>
                  </pic:nvPicPr>
                  <pic:blipFill>
                    <a:blip r:embed="rId13"/>
                    <a:stretch>
                      <a:fillRect/>
                    </a:stretch>
                  </pic:blipFill>
                  <pic:spPr>
                    <a:xfrm>
                      <a:off x="0" y="0"/>
                      <a:ext cx="5727600" cy="3312000"/>
                    </a:xfrm>
                    <a:prstGeom prst="rect">
                      <a:avLst/>
                    </a:prstGeom>
                  </pic:spPr>
                </pic:pic>
              </a:graphicData>
            </a:graphic>
          </wp:inline>
        </w:drawing>
      </w:r>
    </w:p>
    <w:p w14:paraId="5C3D8988" w14:textId="77777777" w:rsidR="009A4137" w:rsidRPr="00512D7B" w:rsidRDefault="009A4137" w:rsidP="009A4137">
      <w:pPr>
        <w:pStyle w:val="COMTablefooter"/>
      </w:pPr>
      <w:r w:rsidRPr="00512D7B">
        <w:t>Source: Figure 2-8, p76 of the submission; Figure 2.0038, p1 DREAMM-7 IA2 supplementary data.</w:t>
      </w:r>
    </w:p>
    <w:p w14:paraId="3FD21873" w14:textId="77777777" w:rsidR="009A4137" w:rsidRPr="00512D7B" w:rsidRDefault="009A4137" w:rsidP="009A4137">
      <w:pPr>
        <w:pStyle w:val="COMTablefooter"/>
      </w:pPr>
      <w:r w:rsidRPr="00512D7B">
        <w:t>Abbreviations: BOR, bortezomib; DARA, daratumumab; DEX, dexamethasone; GSK916, belantamab mafodotin; IA2, interim analysis 2 (October 2024 data cut).</w:t>
      </w:r>
    </w:p>
    <w:p w14:paraId="7A00B8C8" w14:textId="7AF4E028" w:rsidR="009A4137" w:rsidRPr="00512D7B" w:rsidRDefault="009A4137" w:rsidP="009A4137">
      <w:pPr>
        <w:pStyle w:val="COMTableFigurecaption"/>
        <w:rPr>
          <w:rFonts w:eastAsia="SimSun"/>
          <w:lang w:eastAsia="zh-CN"/>
        </w:rPr>
      </w:pPr>
      <w:bookmarkStart w:id="38" w:name="_Ref208485997"/>
      <w:bookmarkStart w:id="39" w:name="_Ref224896420"/>
      <w:r w:rsidRPr="007F4F9C">
        <w:lastRenderedPageBreak/>
        <w:t xml:space="preserve">Figure </w:t>
      </w:r>
      <w:r w:rsidR="00715075" w:rsidRPr="007F4F9C">
        <w:fldChar w:fldCharType="begin"/>
      </w:r>
      <w:r w:rsidR="00715075" w:rsidRPr="007F4F9C">
        <w:instrText xml:space="preserve"> SEQ Figure \* ARABIC </w:instrText>
      </w:r>
      <w:r w:rsidR="00715075" w:rsidRPr="007F4F9C">
        <w:fldChar w:fldCharType="separate"/>
      </w:r>
      <w:r w:rsidR="00674A1F">
        <w:rPr>
          <w:noProof/>
        </w:rPr>
        <w:t>4</w:t>
      </w:r>
      <w:r w:rsidR="00715075" w:rsidRPr="007F4F9C">
        <w:fldChar w:fldCharType="end"/>
      </w:r>
      <w:bookmarkEnd w:id="38"/>
      <w:r w:rsidRPr="007F4F9C">
        <w:t xml:space="preserve">: </w:t>
      </w:r>
      <w:r w:rsidRPr="007F4F9C">
        <w:rPr>
          <w:rFonts w:eastAsia="SimSun" w:hint="eastAsia"/>
          <w:lang w:eastAsia="zh-CN"/>
        </w:rPr>
        <w:t xml:space="preserve">Overall </w:t>
      </w:r>
      <w:r w:rsidRPr="007F4F9C">
        <w:rPr>
          <w:rFonts w:eastAsia="SimSun"/>
          <w:lang w:eastAsia="zh-CN"/>
        </w:rPr>
        <w:t>survival</w:t>
      </w:r>
      <w:r w:rsidRPr="007F4F9C">
        <w:rPr>
          <w:rFonts w:eastAsia="SimSun" w:hint="eastAsia"/>
          <w:lang w:eastAsia="zh-CN"/>
        </w:rPr>
        <w:t xml:space="preserve"> in</w:t>
      </w:r>
      <w:r w:rsidRPr="007F4F9C">
        <w:t xml:space="preserve"> the DREAMM-7 trial</w:t>
      </w:r>
      <w:r w:rsidRPr="007F4F9C">
        <w:rPr>
          <w:rFonts w:eastAsia="SimSun" w:hint="eastAsia"/>
          <w:lang w:eastAsia="zh-CN"/>
        </w:rPr>
        <w:t xml:space="preserve"> </w:t>
      </w:r>
      <w:r w:rsidRPr="007F4F9C">
        <w:rPr>
          <w:rFonts w:eastAsia="SimSun"/>
          <w:lang w:eastAsia="zh-CN"/>
        </w:rPr>
        <w:t>(</w:t>
      </w:r>
      <w:r w:rsidRPr="007F4F9C">
        <w:t>lenalidomide-exposed subgroup, October 202</w:t>
      </w:r>
      <w:r w:rsidRPr="007F4F9C">
        <w:rPr>
          <w:rFonts w:eastAsia="SimSun" w:hint="eastAsia"/>
          <w:lang w:eastAsia="zh-CN"/>
        </w:rPr>
        <w:t>4 data cut</w:t>
      </w:r>
      <w:r w:rsidRPr="007F4F9C">
        <w:rPr>
          <w:rFonts w:eastAsia="SimSun"/>
          <w:lang w:eastAsia="zh-CN"/>
        </w:rPr>
        <w:t>)</w:t>
      </w:r>
      <w:r w:rsidR="007F4F9C">
        <w:rPr>
          <w:rStyle w:val="FootnoteReference"/>
          <w:rFonts w:eastAsia="SimSun"/>
          <w:lang w:eastAsia="zh-CN"/>
        </w:rPr>
        <w:footnoteReference w:id="8"/>
      </w:r>
      <w:bookmarkEnd w:id="39"/>
    </w:p>
    <w:p w14:paraId="08BDDC07" w14:textId="72D8EBF7" w:rsidR="009A4137" w:rsidRPr="00512D7B" w:rsidRDefault="00CD6C61" w:rsidP="009A4137">
      <w:pPr>
        <w:rPr>
          <w:color w:val="3366FF"/>
        </w:rPr>
      </w:pPr>
      <w:r w:rsidRPr="00512D7B">
        <w:rPr>
          <w:rFonts w:cstheme="minorHAnsi"/>
          <w:noProof/>
          <w:szCs w:val="16"/>
        </w:rPr>
        <w:drawing>
          <wp:inline distT="0" distB="0" distL="0" distR="0" wp14:anchorId="06E14950" wp14:editId="4E1E999F">
            <wp:extent cx="5727700" cy="3134581"/>
            <wp:effectExtent l="0" t="0" r="6350" b="8890"/>
            <wp:docPr id="1772151013" name="Picture 5" descr="Figure 4: Overall survival in the DREAMM-7 trial (lenalidomide-exposed subgroup, October 2024 data 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51013" name="Picture 5" descr="Figure 4: Overall survival in the DREAMM-7 trial (lenalidomide-exposed subgroup, October 2024 data cut) "/>
                    <pic:cNvPicPr/>
                  </pic:nvPicPr>
                  <pic:blipFill>
                    <a:blip r:embed="rId14">
                      <a:extLst>
                        <a:ext uri="{28A0092B-C50C-407E-A947-70E740481C1C}">
                          <a14:useLocalDpi xmlns:a14="http://schemas.microsoft.com/office/drawing/2010/main" val="0"/>
                        </a:ext>
                      </a:extLst>
                    </a:blip>
                    <a:stretch>
                      <a:fillRect/>
                    </a:stretch>
                  </pic:blipFill>
                  <pic:spPr>
                    <a:xfrm>
                      <a:off x="0" y="0"/>
                      <a:ext cx="5727700" cy="3134581"/>
                    </a:xfrm>
                    <a:prstGeom prst="rect">
                      <a:avLst/>
                    </a:prstGeom>
                    <a:ln>
                      <a:noFill/>
                    </a:ln>
                  </pic:spPr>
                </pic:pic>
              </a:graphicData>
            </a:graphic>
          </wp:inline>
        </w:drawing>
      </w:r>
    </w:p>
    <w:p w14:paraId="76AEA652" w14:textId="77777777" w:rsidR="009A4137" w:rsidRPr="00512D7B" w:rsidRDefault="009A4137" w:rsidP="009A4137">
      <w:pPr>
        <w:pStyle w:val="COMTablefooter"/>
      </w:pPr>
      <w:r w:rsidRPr="00512D7B">
        <w:t>Source: Figure 2-17, p106 of the submission; Figure 2.1100206, p1 of DREAMM-7 IA2 Supplementary data.</w:t>
      </w:r>
    </w:p>
    <w:p w14:paraId="252F9752" w14:textId="77777777" w:rsidR="009A4137" w:rsidRPr="00512D7B" w:rsidRDefault="009A4137" w:rsidP="009A4137">
      <w:pPr>
        <w:pStyle w:val="COMTablefooter"/>
        <w:rPr>
          <w:lang w:eastAsia="zh-CN"/>
        </w:rPr>
      </w:pPr>
      <w:r w:rsidRPr="00512D7B">
        <w:rPr>
          <w:rStyle w:val="TableNotesChar"/>
          <w:rFonts w:eastAsia="SimSun"/>
          <w:sz w:val="18"/>
        </w:rPr>
        <w:t>Abbreviations: BOR, Bortezomib; DARA, Daratumumab; DEX, Dexamethasone; GSK916, Belantamab mafodotin; IA2, interim analysis 2 (October 2024 data cut); OS, overall survival.</w:t>
      </w:r>
    </w:p>
    <w:p w14:paraId="2DCCDE43" w14:textId="50619A46" w:rsidR="009A4137" w:rsidRPr="00AC3F7C" w:rsidRDefault="009A4137" w:rsidP="009A4137">
      <w:pPr>
        <w:pStyle w:val="COMESnumberedpara"/>
        <w:rPr>
          <w:lang w:eastAsia="zh-CN"/>
        </w:rPr>
      </w:pPr>
      <w:r w:rsidRPr="00AC3F7C">
        <w:rPr>
          <w:lang w:eastAsia="zh-CN"/>
        </w:rPr>
        <w:t xml:space="preserve">Based on the ITT analysis, treatment with </w:t>
      </w:r>
      <w:r w:rsidR="00834591" w:rsidRPr="00AC3F7C">
        <w:rPr>
          <w:lang w:eastAsia="zh-CN"/>
        </w:rPr>
        <w:t>BmBd</w:t>
      </w:r>
      <w:r w:rsidRPr="00AC3F7C">
        <w:rPr>
          <w:lang w:eastAsia="zh-CN"/>
        </w:rPr>
        <w:t xml:space="preserve"> was associated with a statistically significant improvement in overall survival compared to</w:t>
      </w:r>
      <w:r w:rsidRPr="00AC3F7C">
        <w:rPr>
          <w:rFonts w:hint="eastAsia"/>
          <w:lang w:eastAsia="zh-CN"/>
        </w:rPr>
        <w:t xml:space="preserve"> </w:t>
      </w:r>
      <w:r w:rsidR="001C413B" w:rsidRPr="00AC3F7C">
        <w:rPr>
          <w:lang w:eastAsia="zh-CN"/>
        </w:rPr>
        <w:t>DBd</w:t>
      </w:r>
      <w:r w:rsidRPr="00AC3F7C">
        <w:rPr>
          <w:lang w:eastAsia="zh-CN"/>
        </w:rPr>
        <w:t xml:space="preserve"> a</w:t>
      </w:r>
      <w:r w:rsidRPr="00AC3F7C">
        <w:rPr>
          <w:rFonts w:hint="eastAsia"/>
          <w:lang w:eastAsia="zh-CN"/>
        </w:rPr>
        <w:t>t</w:t>
      </w:r>
      <w:r w:rsidRPr="00AC3F7C">
        <w:rPr>
          <w:lang w:eastAsia="zh-CN"/>
        </w:rPr>
        <w:t xml:space="preserve"> the October 2024</w:t>
      </w:r>
      <w:r w:rsidRPr="00AC3F7C">
        <w:rPr>
          <w:rFonts w:hint="eastAsia"/>
          <w:lang w:eastAsia="zh-CN"/>
        </w:rPr>
        <w:t xml:space="preserve"> </w:t>
      </w:r>
      <w:r w:rsidRPr="00AC3F7C">
        <w:rPr>
          <w:lang w:eastAsia="zh-CN"/>
        </w:rPr>
        <w:t>data cut (HR</w:t>
      </w:r>
      <w:r w:rsidR="005E5AC8" w:rsidRPr="00AC3F7C">
        <w:rPr>
          <w:lang w:eastAsia="zh-CN"/>
        </w:rPr>
        <w:t xml:space="preserve"> =</w:t>
      </w:r>
      <w:r w:rsidRPr="00AC3F7C">
        <w:rPr>
          <w:lang w:eastAsia="zh-CN"/>
        </w:rPr>
        <w:t xml:space="preserve"> 0.</w:t>
      </w:r>
      <w:r w:rsidRPr="00AC3F7C">
        <w:rPr>
          <w:rFonts w:hint="eastAsia"/>
          <w:lang w:eastAsia="zh-CN"/>
        </w:rPr>
        <w:t>58</w:t>
      </w:r>
      <w:r w:rsidRPr="00AC3F7C">
        <w:rPr>
          <w:lang w:eastAsia="zh-CN"/>
        </w:rPr>
        <w:t>; 95% CI: 0.</w:t>
      </w:r>
      <w:r w:rsidRPr="00AC3F7C">
        <w:rPr>
          <w:rFonts w:hint="eastAsia"/>
          <w:lang w:eastAsia="zh-CN"/>
        </w:rPr>
        <w:t>43</w:t>
      </w:r>
      <w:r w:rsidRPr="00AC3F7C">
        <w:rPr>
          <w:lang w:eastAsia="zh-CN"/>
        </w:rPr>
        <w:t>, 0.</w:t>
      </w:r>
      <w:r w:rsidRPr="00AC3F7C">
        <w:rPr>
          <w:rFonts w:hint="eastAsia"/>
          <w:lang w:eastAsia="zh-CN"/>
        </w:rPr>
        <w:t>79</w:t>
      </w:r>
      <w:r w:rsidRPr="00AC3F7C">
        <w:rPr>
          <w:lang w:eastAsia="zh-CN"/>
        </w:rPr>
        <w:t>).</w:t>
      </w:r>
    </w:p>
    <w:p w14:paraId="27777008" w14:textId="37C64B84" w:rsidR="009A4137" w:rsidRPr="00194851" w:rsidRDefault="009A4137" w:rsidP="009A4137">
      <w:pPr>
        <w:pStyle w:val="COMESnumberedpara"/>
        <w:rPr>
          <w:lang w:eastAsia="zh-CN"/>
        </w:rPr>
      </w:pPr>
      <w:r w:rsidRPr="00194851">
        <w:rPr>
          <w:lang w:eastAsia="zh-CN"/>
        </w:rPr>
        <w:t xml:space="preserve">The lenalidomide-exposed subgroup was associated with a greater reduction in the risk of death for </w:t>
      </w:r>
      <w:r w:rsidR="00834591" w:rsidRPr="00194851">
        <w:rPr>
          <w:lang w:eastAsia="zh-CN"/>
        </w:rPr>
        <w:t>BmBd</w:t>
      </w:r>
      <w:r w:rsidRPr="00194851">
        <w:rPr>
          <w:lang w:eastAsia="zh-CN"/>
        </w:rPr>
        <w:t xml:space="preserve"> versus </w:t>
      </w:r>
      <w:r w:rsidR="001C413B" w:rsidRPr="00194851">
        <w:rPr>
          <w:lang w:eastAsia="zh-CN"/>
        </w:rPr>
        <w:t>DBd</w:t>
      </w:r>
      <w:r w:rsidRPr="00194851">
        <w:rPr>
          <w:lang w:eastAsia="zh-CN"/>
        </w:rPr>
        <w:t xml:space="preserve"> compared to the ITT analysis, based on the October 2024 data </w:t>
      </w:r>
      <w:r w:rsidRPr="00923333">
        <w:rPr>
          <w:lang w:eastAsia="zh-CN"/>
        </w:rPr>
        <w:t>cut (</w:t>
      </w:r>
      <w:r w:rsidR="005E5AC8" w:rsidRPr="00923333">
        <w:rPr>
          <w:lang w:eastAsia="zh-CN"/>
        </w:rPr>
        <w:t>HRs =</w:t>
      </w:r>
      <w:r w:rsidR="00292485" w:rsidRPr="00923333">
        <w:rPr>
          <w:lang w:eastAsia="zh-CN"/>
        </w:rPr>
        <w:t xml:space="preserve"> 0.42 [95% CI: 0.28, 0.63]</w:t>
      </w:r>
      <w:r w:rsidR="00923333">
        <w:rPr>
          <w:rStyle w:val="FootnoteReference"/>
          <w:lang w:eastAsia="zh-CN"/>
        </w:rPr>
        <w:footnoteReference w:id="9"/>
      </w:r>
      <w:r w:rsidR="00292485" w:rsidRPr="00923333">
        <w:rPr>
          <w:lang w:eastAsia="zh-CN"/>
        </w:rPr>
        <w:t xml:space="preserve"> and</w:t>
      </w:r>
      <w:r w:rsidR="00292485" w:rsidRPr="00194851">
        <w:rPr>
          <w:lang w:eastAsia="zh-CN"/>
        </w:rPr>
        <w:t xml:space="preserve"> 0.58 [95% CI: 0.43, 0.79], respectively</w:t>
      </w:r>
      <w:r w:rsidRPr="00194851">
        <w:rPr>
          <w:lang w:eastAsia="zh-CN"/>
        </w:rPr>
        <w:t>).</w:t>
      </w:r>
    </w:p>
    <w:p w14:paraId="2C11A585" w14:textId="60D262FE" w:rsidR="009A4137" w:rsidRPr="00AC3F7C" w:rsidRDefault="009A4137" w:rsidP="009A4137">
      <w:pPr>
        <w:pStyle w:val="COMESnumberedpara"/>
        <w:rPr>
          <w:lang w:eastAsia="zh-CN"/>
        </w:rPr>
      </w:pPr>
      <w:r w:rsidRPr="00AC3F7C">
        <w:t>Pre-specified subgroup analyses of overall survival based on the October 202</w:t>
      </w:r>
      <w:r w:rsidRPr="00AC3F7C">
        <w:rPr>
          <w:rFonts w:hint="eastAsia"/>
        </w:rPr>
        <w:t>4</w:t>
      </w:r>
      <w:r w:rsidRPr="00AC3F7C">
        <w:t xml:space="preserve"> data cut showed m</w:t>
      </w:r>
      <w:r w:rsidRPr="00AC3F7C">
        <w:rPr>
          <w:rFonts w:hint="eastAsia"/>
          <w:lang w:eastAsia="zh-CN"/>
        </w:rPr>
        <w:t xml:space="preserve">ost subgroups demonstrated a consistent trend in overall survival, </w:t>
      </w:r>
      <w:r w:rsidRPr="00AC3F7C">
        <w:rPr>
          <w:rFonts w:hint="eastAsia"/>
          <w:lang w:eastAsia="zh-CN"/>
        </w:rPr>
        <w:lastRenderedPageBreak/>
        <w:t xml:space="preserve">favouring patients in the </w:t>
      </w:r>
      <w:r w:rsidR="00834591" w:rsidRPr="00AC3F7C">
        <w:rPr>
          <w:rFonts w:hint="eastAsia"/>
          <w:lang w:eastAsia="zh-CN"/>
        </w:rPr>
        <w:t>BmBd</w:t>
      </w:r>
      <w:r w:rsidRPr="00AC3F7C">
        <w:rPr>
          <w:rFonts w:hint="eastAsia"/>
          <w:lang w:eastAsia="zh-CN"/>
        </w:rPr>
        <w:t xml:space="preserve"> arm compared to the </w:t>
      </w:r>
      <w:r w:rsidR="001C413B" w:rsidRPr="00AC3F7C">
        <w:rPr>
          <w:rFonts w:hint="eastAsia"/>
          <w:lang w:eastAsia="zh-CN"/>
        </w:rPr>
        <w:t>DBd</w:t>
      </w:r>
      <w:r w:rsidRPr="00AC3F7C">
        <w:rPr>
          <w:rFonts w:hint="eastAsia"/>
          <w:lang w:eastAsia="zh-CN"/>
        </w:rPr>
        <w:t xml:space="preserve"> arm (HR&lt;1). However, there were subgroups where the hazard ratio was </w:t>
      </w:r>
      <w:r w:rsidRPr="00AC3F7C">
        <w:rPr>
          <w:rFonts w:cstheme="minorHAnsi"/>
          <w:lang w:eastAsia="zh-CN"/>
        </w:rPr>
        <w:t>≥</w:t>
      </w:r>
      <w:r w:rsidRPr="00AC3F7C">
        <w:rPr>
          <w:rFonts w:hint="eastAsia"/>
          <w:lang w:eastAsia="zh-CN"/>
        </w:rPr>
        <w:t>1 including patients aged 75 years</w:t>
      </w:r>
      <w:r w:rsidRPr="00AC3F7C">
        <w:rPr>
          <w:lang w:eastAsia="zh-CN"/>
        </w:rPr>
        <w:t xml:space="preserve"> and older</w:t>
      </w:r>
      <w:r w:rsidRPr="00AC3F7C">
        <w:rPr>
          <w:rFonts w:hint="eastAsia"/>
          <w:lang w:eastAsia="zh-CN"/>
        </w:rPr>
        <w:t xml:space="preserve">, patients who had relapsed </w:t>
      </w:r>
      <w:r w:rsidRPr="00AC3F7C">
        <w:rPr>
          <w:lang w:eastAsia="zh-CN"/>
        </w:rPr>
        <w:t>at least</w:t>
      </w:r>
      <w:r w:rsidRPr="00AC3F7C">
        <w:rPr>
          <w:rFonts w:cstheme="minorHAnsi"/>
          <w:lang w:eastAsia="zh-CN"/>
        </w:rPr>
        <w:t xml:space="preserve"> </w:t>
      </w:r>
      <w:r w:rsidRPr="00AC3F7C">
        <w:rPr>
          <w:lang w:eastAsia="zh-CN"/>
        </w:rPr>
        <w:t>18 months after their most recent therapy, and those with extramedullary disease at baseline. No treatment effect interaction testing was performed. A numerically greater benefit in overall survival was observed for patients who had received more than one prior line of therapy compared to those with only one prior line of therapy; as well as those with prior lenalidomide exposure at baseline compared to those without prior lenalidomide.</w:t>
      </w:r>
    </w:p>
    <w:p w14:paraId="3C07A526" w14:textId="03DD3B4B" w:rsidR="009A4137" w:rsidRPr="00AC3F7C" w:rsidRDefault="009A4137" w:rsidP="009A4137">
      <w:pPr>
        <w:pStyle w:val="COMESnumberedpara"/>
        <w:rPr>
          <w:lang w:eastAsia="zh-CN"/>
        </w:rPr>
      </w:pPr>
      <w:r w:rsidRPr="00AC3F7C">
        <w:rPr>
          <w:lang w:eastAsia="zh-CN"/>
        </w:rPr>
        <w:t>The submission presented results from other key secondary outcomes of the DREAMM-7 trial, showing longer duration of response, and higher MRD negativity (based on a sensitivity of 10</w:t>
      </w:r>
      <w:r w:rsidRPr="00AC3F7C">
        <w:rPr>
          <w:vertAlign w:val="superscript"/>
          <w:lang w:eastAsia="zh-CN"/>
        </w:rPr>
        <w:t>-5</w:t>
      </w:r>
      <w:r w:rsidRPr="00AC3F7C">
        <w:rPr>
          <w:lang w:eastAsia="zh-CN"/>
        </w:rPr>
        <w:t xml:space="preserve">) for the </w:t>
      </w:r>
      <w:r w:rsidR="00834591" w:rsidRPr="00AC3F7C">
        <w:rPr>
          <w:lang w:eastAsia="zh-CN"/>
        </w:rPr>
        <w:t>BmBd</w:t>
      </w:r>
      <w:r w:rsidRPr="00AC3F7C">
        <w:rPr>
          <w:lang w:eastAsia="zh-CN"/>
        </w:rPr>
        <w:t xml:space="preserve"> arm compared to the </w:t>
      </w:r>
      <w:r w:rsidR="001C413B" w:rsidRPr="00AC3F7C">
        <w:rPr>
          <w:lang w:eastAsia="zh-CN"/>
        </w:rPr>
        <w:t>DBd</w:t>
      </w:r>
      <w:r w:rsidRPr="00AC3F7C">
        <w:rPr>
          <w:lang w:eastAsia="zh-CN"/>
        </w:rPr>
        <w:t xml:space="preserve"> arm at both data cuts.</w:t>
      </w:r>
    </w:p>
    <w:p w14:paraId="0C5787BD" w14:textId="254E28F5" w:rsidR="009A4137" w:rsidRPr="00E23291" w:rsidRDefault="00A1259C" w:rsidP="009A4137">
      <w:pPr>
        <w:pStyle w:val="COMESnumberedpara"/>
        <w:rPr>
          <w:lang w:eastAsia="zh-CN"/>
        </w:rPr>
      </w:pPr>
      <w:r w:rsidRPr="00E23291">
        <w:rPr>
          <w:lang w:eastAsia="zh-CN"/>
        </w:rPr>
        <w:t>T</w:t>
      </w:r>
      <w:r w:rsidR="009A4137" w:rsidRPr="00E23291">
        <w:rPr>
          <w:lang w:eastAsia="zh-CN"/>
        </w:rPr>
        <w:t>he sponsor provided health utility values from the DREAMM-7 trial based on the EQ</w:t>
      </w:r>
      <w:r w:rsidRPr="00E23291">
        <w:rPr>
          <w:lang w:eastAsia="zh-CN"/>
        </w:rPr>
        <w:noBreakHyphen/>
      </w:r>
      <w:r w:rsidR="009A4137" w:rsidRPr="00E23291">
        <w:rPr>
          <w:lang w:eastAsia="zh-CN"/>
        </w:rPr>
        <w:t>5D</w:t>
      </w:r>
      <w:r w:rsidRPr="00E23291">
        <w:rPr>
          <w:lang w:eastAsia="zh-CN"/>
        </w:rPr>
        <w:noBreakHyphen/>
      </w:r>
      <w:r w:rsidR="009A4137" w:rsidRPr="00E23291">
        <w:rPr>
          <w:lang w:eastAsia="zh-CN"/>
        </w:rPr>
        <w:t xml:space="preserve">3L, </w:t>
      </w:r>
      <w:r w:rsidR="009A4137" w:rsidRPr="00E23291">
        <w:t xml:space="preserve">indexed using the Australian value set (Viney 2011). Based on </w:t>
      </w:r>
      <w:r w:rsidR="00893895" w:rsidRPr="00E23291">
        <w:t xml:space="preserve">the </w:t>
      </w:r>
      <w:r w:rsidR="009A4137" w:rsidRPr="00E23291">
        <w:t>October 2023 data cut, t</w:t>
      </w:r>
      <w:r w:rsidR="009A4137" w:rsidRPr="00E23291">
        <w:rPr>
          <w:lang w:eastAsia="zh-CN"/>
        </w:rPr>
        <w:t xml:space="preserve">rial participants had a mean utility of 0.77 at baseline, and mean utility scores remained broadly similar between the </w:t>
      </w:r>
      <w:r w:rsidR="00834591" w:rsidRPr="00E23291">
        <w:rPr>
          <w:lang w:eastAsia="zh-CN"/>
        </w:rPr>
        <w:t>BmBd</w:t>
      </w:r>
      <w:r w:rsidR="009A4137" w:rsidRPr="00E23291">
        <w:rPr>
          <w:lang w:eastAsia="zh-CN"/>
        </w:rPr>
        <w:t xml:space="preserve"> and </w:t>
      </w:r>
      <w:r w:rsidR="001C413B" w:rsidRPr="00E23291">
        <w:rPr>
          <w:lang w:eastAsia="zh-CN"/>
        </w:rPr>
        <w:t>DBd</w:t>
      </w:r>
      <w:r w:rsidR="009A4137" w:rsidRPr="00E23291">
        <w:rPr>
          <w:lang w:eastAsia="zh-CN"/>
        </w:rPr>
        <w:t xml:space="preserve"> arms across study visits, with a gradual increase in utilities from Week 31. Utilities at the </w:t>
      </w:r>
      <w:r w:rsidR="005B779F" w:rsidRPr="00E23291">
        <w:rPr>
          <w:lang w:eastAsia="zh-CN"/>
        </w:rPr>
        <w:t>end-of-</w:t>
      </w:r>
      <w:r w:rsidR="009A4137" w:rsidRPr="00E23291">
        <w:rPr>
          <w:lang w:eastAsia="zh-CN"/>
        </w:rPr>
        <w:t xml:space="preserve">treatment </w:t>
      </w:r>
      <w:r w:rsidR="00331EE5" w:rsidRPr="00E23291">
        <w:rPr>
          <w:lang w:eastAsia="zh-CN"/>
        </w:rPr>
        <w:t xml:space="preserve">visit </w:t>
      </w:r>
      <w:r w:rsidR="009A4137" w:rsidRPr="00E23291">
        <w:rPr>
          <w:lang w:eastAsia="zh-CN"/>
        </w:rPr>
        <w:t>showed a slight decrease relative to baseline across the 2 treatment arms.</w:t>
      </w:r>
      <w:r w:rsidR="00E23291">
        <w:rPr>
          <w:rStyle w:val="FootnoteReference"/>
          <w:lang w:eastAsia="zh-CN"/>
        </w:rPr>
        <w:footnoteReference w:id="10"/>
      </w:r>
      <w:r w:rsidR="009A4137" w:rsidRPr="00E23291">
        <w:rPr>
          <w:lang w:eastAsia="zh-CN"/>
        </w:rPr>
        <w:t xml:space="preserve"> </w:t>
      </w:r>
    </w:p>
    <w:p w14:paraId="14FF047A" w14:textId="46CF3BD6" w:rsidR="009A4137" w:rsidRPr="00AC3F7C" w:rsidRDefault="009A4137" w:rsidP="009A4137">
      <w:pPr>
        <w:pStyle w:val="COMESnumberedpara"/>
        <w:rPr>
          <w:lang w:eastAsia="zh-CN"/>
        </w:rPr>
      </w:pPr>
      <w:r w:rsidRPr="00AC3F7C">
        <w:rPr>
          <w:lang w:eastAsia="zh-CN"/>
        </w:rPr>
        <w:t xml:space="preserve">The submission presented patient-reported outcomes based on the European Organisation for Research and Treatment of Cancer Quality of Life Questionnaire-30 (EORTC QLQ-C30) based on </w:t>
      </w:r>
      <w:r w:rsidRPr="00AC3F7C">
        <w:t xml:space="preserve">October 2023 data cut. </w:t>
      </w:r>
      <w:r w:rsidRPr="00AC3F7C">
        <w:rPr>
          <w:lang w:eastAsia="zh-CN"/>
        </w:rPr>
        <w:t xml:space="preserve">EORTC QLQ-C30 global health status scores remained broadly similar between the </w:t>
      </w:r>
      <w:r w:rsidR="00834591" w:rsidRPr="00AC3F7C">
        <w:rPr>
          <w:lang w:eastAsia="zh-CN"/>
        </w:rPr>
        <w:t>BmBd</w:t>
      </w:r>
      <w:r w:rsidRPr="00AC3F7C">
        <w:rPr>
          <w:lang w:eastAsia="zh-CN"/>
        </w:rPr>
        <w:t xml:space="preserve"> and </w:t>
      </w:r>
      <w:r w:rsidR="001C413B" w:rsidRPr="00AC3F7C">
        <w:rPr>
          <w:lang w:eastAsia="zh-CN"/>
        </w:rPr>
        <w:t>DBd</w:t>
      </w:r>
      <w:r w:rsidRPr="00AC3F7C">
        <w:rPr>
          <w:lang w:eastAsia="zh-CN"/>
        </w:rPr>
        <w:t xml:space="preserve"> arms across study visits, with participants in both treatment arms showing a small mean deterioration in Global Health Status between Week 4 and Week 40, before stabilising. A similar pattern was observed for the physical functioning, role functioning and fatigue domains of the EORTC QOL-C30.</w:t>
      </w:r>
    </w:p>
    <w:p w14:paraId="165B733F" w14:textId="571397A6" w:rsidR="009A4137" w:rsidRPr="00E23291" w:rsidRDefault="009A4137" w:rsidP="009A4137">
      <w:pPr>
        <w:pStyle w:val="COMESnumberedpara"/>
      </w:pPr>
      <w:r w:rsidRPr="00E23291">
        <w:t xml:space="preserve">Patient-reported outcomes related to visual function, measured by the Ocular Surface Disease Index (OSDI) were presented in the DREAMM-7 study report (October 2023 data cut). In the </w:t>
      </w:r>
      <w:r w:rsidR="00834591" w:rsidRPr="00E23291">
        <w:t>BmBd</w:t>
      </w:r>
      <w:r w:rsidRPr="00E23291">
        <w:t xml:space="preserve"> arm, deterioration of vision-related functioning scores became notable starting at Week 7</w:t>
      </w:r>
      <w:r w:rsidR="00F97038" w:rsidRPr="00E23291">
        <w:t xml:space="preserve">; </w:t>
      </w:r>
      <w:r w:rsidRPr="00E23291">
        <w:t xml:space="preserve">however, a small percentage of participants (20%) reported meaningful deterioration in vision-related functioning as early as Week 4. Levels of deterioration in vision-related functioning appeared to peak between Weeks 10 and 13 (74% and 70% of participants with meaningful deterioration) then slightly </w:t>
      </w:r>
      <w:r w:rsidRPr="00E23291">
        <w:lastRenderedPageBreak/>
        <w:t>decrease and remain stable. Deteriorated scores from baseline persisted through to Week 130. A similar pattern was observed for OSDI total score by study visit.</w:t>
      </w:r>
      <w:r w:rsidR="00E23291" w:rsidRPr="00E23291">
        <w:rPr>
          <w:rStyle w:val="FootnoteReference"/>
        </w:rPr>
        <w:footnoteReference w:id="11"/>
      </w:r>
    </w:p>
    <w:p w14:paraId="1B03F705" w14:textId="77777777" w:rsidR="009A4137" w:rsidRPr="00512D7B" w:rsidRDefault="009A4137" w:rsidP="009A4137">
      <w:pPr>
        <w:pStyle w:val="COMESSubsectionheading"/>
      </w:pPr>
      <w:bookmarkStart w:id="40" w:name="_Toc208839491"/>
      <w:r w:rsidRPr="00512D7B">
        <w:t>Comparative harms</w:t>
      </w:r>
      <w:bookmarkEnd w:id="29"/>
      <w:bookmarkEnd w:id="40"/>
    </w:p>
    <w:p w14:paraId="022833EA" w14:textId="3B8E3261" w:rsidR="009A4137" w:rsidRPr="00512D7B" w:rsidRDefault="009A4137" w:rsidP="009A4137">
      <w:pPr>
        <w:pStyle w:val="COMESnumberedpara"/>
        <w:rPr>
          <w:lang w:bidi="en-US"/>
        </w:rPr>
      </w:pPr>
      <w:r w:rsidRPr="00512D7B">
        <w:rPr>
          <w:lang w:eastAsia="zh-CN"/>
        </w:rPr>
        <w:fldChar w:fldCharType="begin"/>
      </w:r>
      <w:r w:rsidRPr="00512D7B">
        <w:rPr>
          <w:lang w:eastAsia="zh-CN"/>
        </w:rPr>
        <w:instrText xml:space="preserve"> REF _Ref206411104 \h </w:instrText>
      </w:r>
      <w:r w:rsidR="005A68BE" w:rsidRPr="00512D7B">
        <w:rPr>
          <w:lang w:eastAsia="zh-CN"/>
        </w:rPr>
        <w:instrText xml:space="preserve"> \* MERGEFORMAT </w:instrText>
      </w:r>
      <w:r w:rsidRPr="00512D7B">
        <w:rPr>
          <w:lang w:eastAsia="zh-CN"/>
        </w:rPr>
      </w:r>
      <w:r w:rsidRPr="00512D7B">
        <w:rPr>
          <w:lang w:eastAsia="zh-CN"/>
        </w:rPr>
        <w:fldChar w:fldCharType="separate"/>
      </w:r>
      <w:r w:rsidR="00674A1F" w:rsidRPr="00512D7B">
        <w:rPr>
          <w:lang w:bidi="en-US"/>
        </w:rPr>
        <w:t xml:space="preserve">Table </w:t>
      </w:r>
      <w:r w:rsidR="00674A1F">
        <w:rPr>
          <w:lang w:bidi="en-US"/>
        </w:rPr>
        <w:t>6</w:t>
      </w:r>
      <w:r w:rsidRPr="00512D7B">
        <w:rPr>
          <w:lang w:eastAsia="zh-CN"/>
        </w:rPr>
        <w:fldChar w:fldCharType="end"/>
      </w:r>
      <w:r w:rsidRPr="00512D7B">
        <w:rPr>
          <w:lang w:eastAsia="zh-CN"/>
        </w:rPr>
        <w:t xml:space="preserve"> presents the safety outcomes in DREAMM-7 trial based on October 2024 data cut. Adverse event data were based on patient incidence only, which does not capture the occurrence of multiple events of the same type in individual patients.</w:t>
      </w:r>
    </w:p>
    <w:p w14:paraId="5B5C5B38" w14:textId="2ABD11A4" w:rsidR="009A4137" w:rsidRPr="00512D7B" w:rsidRDefault="009A4137" w:rsidP="009A4137">
      <w:pPr>
        <w:pStyle w:val="COMTableFigurecaption"/>
        <w:rPr>
          <w:lang w:bidi="en-US"/>
        </w:rPr>
      </w:pPr>
      <w:bookmarkStart w:id="41" w:name="_Ref206411104"/>
      <w:r w:rsidRPr="00512D7B">
        <w:rPr>
          <w:lang w:bidi="en-US"/>
        </w:rPr>
        <w:t xml:space="preserve">Table </w:t>
      </w:r>
      <w:r w:rsidRPr="00512D7B">
        <w:rPr>
          <w:lang w:bidi="en-US"/>
        </w:rPr>
        <w:fldChar w:fldCharType="begin"/>
      </w:r>
      <w:r w:rsidRPr="00512D7B">
        <w:rPr>
          <w:lang w:bidi="en-US"/>
        </w:rPr>
        <w:instrText xml:space="preserve"> SEQ Table \* ARABIC </w:instrText>
      </w:r>
      <w:r w:rsidRPr="00512D7B">
        <w:rPr>
          <w:lang w:bidi="en-US"/>
        </w:rPr>
        <w:fldChar w:fldCharType="separate"/>
      </w:r>
      <w:r w:rsidR="00674A1F">
        <w:rPr>
          <w:noProof/>
          <w:lang w:bidi="en-US"/>
        </w:rPr>
        <w:t>6</w:t>
      </w:r>
      <w:r w:rsidRPr="00512D7B">
        <w:rPr>
          <w:lang w:bidi="en-US"/>
        </w:rPr>
        <w:fldChar w:fldCharType="end"/>
      </w:r>
      <w:bookmarkEnd w:id="41"/>
      <w:r w:rsidRPr="00512D7B">
        <w:rPr>
          <w:lang w:bidi="en-US"/>
        </w:rPr>
        <w:t>: Summary of adverse events in the DREAMM-7 trial (safety population; October 2024 data cut)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6: Summary of adverse events in the DREAMM-7 trial (safety population; October 2024 data cut)"/>
      </w:tblPr>
      <w:tblGrid>
        <w:gridCol w:w="5297"/>
        <w:gridCol w:w="1861"/>
        <w:gridCol w:w="1859"/>
      </w:tblGrid>
      <w:tr w:rsidR="009A4137" w:rsidRPr="00512D7B" w14:paraId="54EE8651" w14:textId="77777777">
        <w:trPr>
          <w:trHeight w:val="50"/>
          <w:jc w:val="center"/>
        </w:trPr>
        <w:tc>
          <w:tcPr>
            <w:tcW w:w="2937" w:type="pct"/>
            <w:vAlign w:val="center"/>
          </w:tcPr>
          <w:p w14:paraId="01244A91" w14:textId="77777777" w:rsidR="009A4137" w:rsidRPr="00821CC3" w:rsidRDefault="009A4137">
            <w:pPr>
              <w:pStyle w:val="COMTabletext"/>
            </w:pPr>
          </w:p>
        </w:tc>
        <w:tc>
          <w:tcPr>
            <w:tcW w:w="1032" w:type="pct"/>
          </w:tcPr>
          <w:p w14:paraId="684D5146" w14:textId="4A4887BE" w:rsidR="009A4137" w:rsidRPr="00821CC3" w:rsidRDefault="00834591" w:rsidP="00834591">
            <w:pPr>
              <w:pStyle w:val="TableText"/>
              <w:rPr>
                <w:bCs/>
              </w:rPr>
            </w:pPr>
            <w:r w:rsidRPr="00821CC3">
              <w:rPr>
                <w:rFonts w:eastAsia="SimSun"/>
                <w:lang w:eastAsia="zh-CN"/>
              </w:rPr>
              <w:t>BmBd</w:t>
            </w:r>
            <w:r w:rsidR="009A4137" w:rsidRPr="00821CC3">
              <w:rPr>
                <w:rFonts w:eastAsia="SimSun"/>
                <w:lang w:eastAsia="zh-CN"/>
              </w:rPr>
              <w:t xml:space="preserve"> (</w:t>
            </w:r>
            <w:r w:rsidR="009A4137" w:rsidRPr="00821CC3">
              <w:t>N=</w:t>
            </w:r>
            <w:r w:rsidR="009A4137" w:rsidRPr="00821CC3">
              <w:rPr>
                <w:lang w:eastAsia="zh-CN"/>
              </w:rPr>
              <w:t>242)</w:t>
            </w:r>
          </w:p>
        </w:tc>
        <w:tc>
          <w:tcPr>
            <w:tcW w:w="1031" w:type="pct"/>
          </w:tcPr>
          <w:p w14:paraId="7933D7E6" w14:textId="59859C91" w:rsidR="009A4137" w:rsidRPr="00821CC3" w:rsidRDefault="001C413B">
            <w:pPr>
              <w:pStyle w:val="COMTabletext"/>
              <w:jc w:val="center"/>
              <w:rPr>
                <w:b/>
                <w:bCs w:val="0"/>
              </w:rPr>
            </w:pPr>
            <w:r w:rsidRPr="00821CC3">
              <w:rPr>
                <w:rFonts w:eastAsia="SimSun"/>
                <w:b/>
                <w:bCs w:val="0"/>
                <w:szCs w:val="20"/>
                <w:lang w:eastAsia="zh-CN"/>
              </w:rPr>
              <w:t>DBd</w:t>
            </w:r>
            <w:r w:rsidR="009A4137" w:rsidRPr="00821CC3">
              <w:rPr>
                <w:rFonts w:eastAsia="SimSun"/>
                <w:b/>
                <w:bCs w:val="0"/>
                <w:szCs w:val="20"/>
                <w:lang w:eastAsia="zh-CN"/>
              </w:rPr>
              <w:t xml:space="preserve"> (</w:t>
            </w:r>
            <w:r w:rsidR="009A4137" w:rsidRPr="00821CC3">
              <w:rPr>
                <w:b/>
                <w:szCs w:val="20"/>
              </w:rPr>
              <w:t>N=</w:t>
            </w:r>
            <w:r w:rsidR="009A4137" w:rsidRPr="00821CC3">
              <w:rPr>
                <w:rFonts w:eastAsia="SimSun"/>
                <w:b/>
                <w:szCs w:val="20"/>
                <w:lang w:eastAsia="zh-CN"/>
              </w:rPr>
              <w:t>246)</w:t>
            </w:r>
          </w:p>
        </w:tc>
      </w:tr>
      <w:tr w:rsidR="009A4137" w:rsidRPr="00512D7B" w14:paraId="1466D61C" w14:textId="77777777">
        <w:trPr>
          <w:trHeight w:val="50"/>
          <w:jc w:val="center"/>
        </w:trPr>
        <w:tc>
          <w:tcPr>
            <w:tcW w:w="2937" w:type="pct"/>
          </w:tcPr>
          <w:p w14:paraId="5DA3C3B1" w14:textId="77777777" w:rsidR="009A4137" w:rsidRPr="00821CC3" w:rsidRDefault="009A4137">
            <w:pPr>
              <w:pStyle w:val="COMTabletext"/>
            </w:pPr>
            <w:r w:rsidRPr="00821CC3">
              <w:t>Median duration of follow-up, months (95% CI)</w:t>
            </w:r>
          </w:p>
        </w:tc>
        <w:tc>
          <w:tcPr>
            <w:tcW w:w="1032" w:type="pct"/>
          </w:tcPr>
          <w:p w14:paraId="6E973736" w14:textId="77777777" w:rsidR="009A4137" w:rsidRPr="00821CC3" w:rsidRDefault="009A4137">
            <w:pPr>
              <w:pStyle w:val="COMTabletext"/>
              <w:jc w:val="center"/>
            </w:pPr>
            <w:r w:rsidRPr="00821CC3">
              <w:rPr>
                <w:szCs w:val="20"/>
              </w:rPr>
              <w:t>40.2 (21.7, 43.6)</w:t>
            </w:r>
          </w:p>
        </w:tc>
        <w:tc>
          <w:tcPr>
            <w:tcW w:w="1031" w:type="pct"/>
          </w:tcPr>
          <w:p w14:paraId="3A2E119F" w14:textId="77777777" w:rsidR="009A4137" w:rsidRPr="00821CC3" w:rsidRDefault="009A4137">
            <w:pPr>
              <w:pStyle w:val="COMTabletext"/>
              <w:jc w:val="center"/>
            </w:pPr>
            <w:r w:rsidRPr="00821CC3">
              <w:rPr>
                <w:szCs w:val="20"/>
              </w:rPr>
              <w:t>38.2 (12.3, 41.9)</w:t>
            </w:r>
          </w:p>
        </w:tc>
      </w:tr>
      <w:tr w:rsidR="009A4137" w:rsidRPr="00512D7B" w14:paraId="23291ABB" w14:textId="77777777">
        <w:trPr>
          <w:trHeight w:val="50"/>
          <w:jc w:val="center"/>
        </w:trPr>
        <w:tc>
          <w:tcPr>
            <w:tcW w:w="2937" w:type="pct"/>
            <w:vAlign w:val="center"/>
          </w:tcPr>
          <w:p w14:paraId="48309F60" w14:textId="77777777" w:rsidR="009A4137" w:rsidRPr="00821CC3" w:rsidRDefault="009A4137">
            <w:pPr>
              <w:pStyle w:val="COMTabletext"/>
            </w:pPr>
            <w:r w:rsidRPr="00821CC3">
              <w:t>Any adverse event, n (%)</w:t>
            </w:r>
          </w:p>
          <w:p w14:paraId="0C5F105A" w14:textId="77777777" w:rsidR="009A4137" w:rsidRPr="00821CC3" w:rsidRDefault="009A4137">
            <w:pPr>
              <w:pStyle w:val="COMTabletext"/>
            </w:pPr>
            <w:r w:rsidRPr="00821CC3">
              <w:t>- Treatment related</w:t>
            </w:r>
          </w:p>
        </w:tc>
        <w:tc>
          <w:tcPr>
            <w:tcW w:w="1032" w:type="pct"/>
          </w:tcPr>
          <w:p w14:paraId="36030471" w14:textId="77777777" w:rsidR="009A4137" w:rsidRPr="00821CC3" w:rsidRDefault="009A4137">
            <w:pPr>
              <w:pStyle w:val="COMTabletext"/>
              <w:jc w:val="center"/>
            </w:pPr>
            <w:r w:rsidRPr="00821CC3">
              <w:t>242 (100)</w:t>
            </w:r>
          </w:p>
          <w:p w14:paraId="2CCE4249" w14:textId="77777777" w:rsidR="009A4137" w:rsidRPr="00821CC3" w:rsidRDefault="009A4137">
            <w:pPr>
              <w:pStyle w:val="COMTabletext"/>
              <w:jc w:val="center"/>
            </w:pPr>
            <w:r w:rsidRPr="00821CC3">
              <w:t>242 (100)</w:t>
            </w:r>
          </w:p>
        </w:tc>
        <w:tc>
          <w:tcPr>
            <w:tcW w:w="1031" w:type="pct"/>
          </w:tcPr>
          <w:p w14:paraId="7FD1BF2F" w14:textId="38710A57" w:rsidR="009A4137" w:rsidRPr="00821CC3" w:rsidRDefault="009A4137">
            <w:pPr>
              <w:pStyle w:val="COMTabletext"/>
              <w:jc w:val="center"/>
            </w:pPr>
            <w:r w:rsidRPr="00821CC3">
              <w:t>246 (100)</w:t>
            </w:r>
          </w:p>
          <w:p w14:paraId="2CA07805" w14:textId="78ADA102" w:rsidR="009A4137" w:rsidRPr="00821CC3" w:rsidRDefault="006F2B94">
            <w:pPr>
              <w:pStyle w:val="COMTabletext"/>
              <w:jc w:val="center"/>
            </w:pPr>
            <w:r w:rsidRPr="00821CC3">
              <w:t>234 (9</w:t>
            </w:r>
            <w:r w:rsidR="00157EB5" w:rsidRPr="00821CC3">
              <w:t>5)</w:t>
            </w:r>
          </w:p>
        </w:tc>
      </w:tr>
      <w:tr w:rsidR="009A4137" w:rsidRPr="00512D7B" w14:paraId="7C883D15" w14:textId="77777777">
        <w:trPr>
          <w:jc w:val="center"/>
        </w:trPr>
        <w:tc>
          <w:tcPr>
            <w:tcW w:w="2937" w:type="pct"/>
            <w:vAlign w:val="center"/>
          </w:tcPr>
          <w:p w14:paraId="7AF33346" w14:textId="77777777" w:rsidR="009A4137" w:rsidRPr="00821CC3" w:rsidRDefault="009A4137">
            <w:pPr>
              <w:pStyle w:val="COMTabletext"/>
            </w:pPr>
            <w:r w:rsidRPr="00821CC3">
              <w:t>Serious adverse event, n (%)</w:t>
            </w:r>
          </w:p>
          <w:p w14:paraId="5F02FF3C" w14:textId="77777777" w:rsidR="009A4137" w:rsidRPr="00821CC3" w:rsidRDefault="009A4137">
            <w:pPr>
              <w:pStyle w:val="COMTabletext"/>
            </w:pPr>
            <w:r w:rsidRPr="00821CC3">
              <w:t>- Treatment related</w:t>
            </w:r>
          </w:p>
        </w:tc>
        <w:tc>
          <w:tcPr>
            <w:tcW w:w="1032" w:type="pct"/>
          </w:tcPr>
          <w:p w14:paraId="110695EA" w14:textId="77777777" w:rsidR="009A4137" w:rsidRPr="00821CC3" w:rsidRDefault="009A4137">
            <w:pPr>
              <w:pStyle w:val="COMTabletext"/>
              <w:jc w:val="center"/>
            </w:pPr>
            <w:r w:rsidRPr="00821CC3">
              <w:t>129 (53)</w:t>
            </w:r>
          </w:p>
          <w:p w14:paraId="44B1E1D0" w14:textId="77777777" w:rsidR="009A4137" w:rsidRPr="00821CC3" w:rsidRDefault="009A4137">
            <w:pPr>
              <w:pStyle w:val="COMTabletext"/>
              <w:jc w:val="center"/>
            </w:pPr>
            <w:r w:rsidRPr="00821CC3">
              <w:t>50 (21)</w:t>
            </w:r>
          </w:p>
        </w:tc>
        <w:tc>
          <w:tcPr>
            <w:tcW w:w="1031" w:type="pct"/>
          </w:tcPr>
          <w:p w14:paraId="7730BE0D" w14:textId="77777777" w:rsidR="009A4137" w:rsidRPr="00821CC3" w:rsidRDefault="009A4137">
            <w:pPr>
              <w:pStyle w:val="COMTabletext"/>
              <w:jc w:val="center"/>
            </w:pPr>
            <w:r w:rsidRPr="00821CC3">
              <w:t>94 (38)</w:t>
            </w:r>
          </w:p>
          <w:p w14:paraId="23F80298" w14:textId="77777777" w:rsidR="009A4137" w:rsidRPr="00821CC3" w:rsidRDefault="009A4137">
            <w:pPr>
              <w:pStyle w:val="COMTabletext"/>
              <w:jc w:val="center"/>
            </w:pPr>
            <w:r w:rsidRPr="00821CC3">
              <w:t>32 (13)</w:t>
            </w:r>
          </w:p>
        </w:tc>
      </w:tr>
      <w:tr w:rsidR="009A4137" w:rsidRPr="00512D7B" w14:paraId="5C079B35" w14:textId="77777777">
        <w:trPr>
          <w:jc w:val="center"/>
        </w:trPr>
        <w:tc>
          <w:tcPr>
            <w:tcW w:w="2937" w:type="pct"/>
            <w:vAlign w:val="center"/>
          </w:tcPr>
          <w:p w14:paraId="119C53DB" w14:textId="77777777" w:rsidR="009A4137" w:rsidRPr="00821CC3" w:rsidRDefault="009A4137">
            <w:pPr>
              <w:pStyle w:val="COMTabletext"/>
            </w:pPr>
            <w:r w:rsidRPr="00821CC3">
              <w:t>Grade 3/4 adverse event, n (%)</w:t>
            </w:r>
          </w:p>
          <w:p w14:paraId="3549AA89" w14:textId="77777777" w:rsidR="009A4137" w:rsidRPr="00821CC3" w:rsidRDefault="009A4137">
            <w:pPr>
              <w:pStyle w:val="COMTabletext"/>
            </w:pPr>
            <w:r w:rsidRPr="00821CC3">
              <w:t>- Treatment related</w:t>
            </w:r>
          </w:p>
        </w:tc>
        <w:tc>
          <w:tcPr>
            <w:tcW w:w="1032" w:type="pct"/>
          </w:tcPr>
          <w:p w14:paraId="66202987" w14:textId="77777777" w:rsidR="009A4137" w:rsidRPr="00821CC3" w:rsidRDefault="009A4137">
            <w:pPr>
              <w:pStyle w:val="COMTabletext"/>
              <w:jc w:val="center"/>
            </w:pPr>
            <w:r w:rsidRPr="00821CC3">
              <w:t>230 (95)</w:t>
            </w:r>
          </w:p>
          <w:p w14:paraId="7AE5FF20" w14:textId="77777777" w:rsidR="009A4137" w:rsidRPr="00821CC3" w:rsidRDefault="009A4137">
            <w:pPr>
              <w:pStyle w:val="COMTabletext"/>
              <w:jc w:val="center"/>
            </w:pPr>
            <w:r w:rsidRPr="00821CC3">
              <w:t>222 (92)</w:t>
            </w:r>
          </w:p>
        </w:tc>
        <w:tc>
          <w:tcPr>
            <w:tcW w:w="1031" w:type="pct"/>
          </w:tcPr>
          <w:p w14:paraId="64795BB8" w14:textId="77777777" w:rsidR="009A4137" w:rsidRPr="00821CC3" w:rsidRDefault="009A4137">
            <w:pPr>
              <w:pStyle w:val="COMTabletext"/>
              <w:jc w:val="center"/>
            </w:pPr>
            <w:r w:rsidRPr="00821CC3">
              <w:t>191 (78)</w:t>
            </w:r>
          </w:p>
          <w:p w14:paraId="1EC08DAB" w14:textId="77777777" w:rsidR="009A4137" w:rsidRPr="00821CC3" w:rsidRDefault="009A4137">
            <w:pPr>
              <w:pStyle w:val="COMTabletext"/>
              <w:jc w:val="center"/>
            </w:pPr>
            <w:r w:rsidRPr="00821CC3">
              <w:t>166 (67)</w:t>
            </w:r>
          </w:p>
        </w:tc>
      </w:tr>
      <w:tr w:rsidR="009A4137" w:rsidRPr="00512D7B" w14:paraId="3562A4F6" w14:textId="77777777">
        <w:trPr>
          <w:jc w:val="center"/>
        </w:trPr>
        <w:tc>
          <w:tcPr>
            <w:tcW w:w="2937" w:type="pct"/>
            <w:vAlign w:val="center"/>
          </w:tcPr>
          <w:p w14:paraId="2ADA2209" w14:textId="77777777" w:rsidR="009A4137" w:rsidRPr="00821CC3" w:rsidRDefault="009A4137">
            <w:pPr>
              <w:pStyle w:val="COMTabletext"/>
            </w:pPr>
            <w:r w:rsidRPr="00821CC3">
              <w:t>Fatal serious adverse event</w:t>
            </w:r>
          </w:p>
          <w:p w14:paraId="0D588EAF" w14:textId="77777777" w:rsidR="009A4137" w:rsidRPr="00821CC3" w:rsidRDefault="009A4137">
            <w:pPr>
              <w:pStyle w:val="COMTabletext"/>
            </w:pPr>
            <w:r w:rsidRPr="00821CC3">
              <w:t>- Treatment related</w:t>
            </w:r>
          </w:p>
        </w:tc>
        <w:tc>
          <w:tcPr>
            <w:tcW w:w="1032" w:type="pct"/>
          </w:tcPr>
          <w:p w14:paraId="19669A21" w14:textId="77777777" w:rsidR="009A4137" w:rsidRPr="00821CC3" w:rsidRDefault="009A4137">
            <w:pPr>
              <w:pStyle w:val="COMTabletext"/>
              <w:jc w:val="center"/>
            </w:pPr>
            <w:r w:rsidRPr="00821CC3">
              <w:t>26 (11)</w:t>
            </w:r>
          </w:p>
          <w:p w14:paraId="1033B391" w14:textId="77777777" w:rsidR="009A4137" w:rsidRPr="00821CC3" w:rsidRDefault="009A4137">
            <w:pPr>
              <w:pStyle w:val="COMTabletext"/>
              <w:jc w:val="center"/>
            </w:pPr>
            <w:r w:rsidRPr="00821CC3">
              <w:t>7 (3)</w:t>
            </w:r>
          </w:p>
        </w:tc>
        <w:tc>
          <w:tcPr>
            <w:tcW w:w="1031" w:type="pct"/>
          </w:tcPr>
          <w:p w14:paraId="2A7C7168" w14:textId="77777777" w:rsidR="009A4137" w:rsidRPr="00821CC3" w:rsidRDefault="009A4137">
            <w:pPr>
              <w:pStyle w:val="COMTabletext"/>
              <w:jc w:val="center"/>
            </w:pPr>
            <w:r w:rsidRPr="00821CC3">
              <w:t>20 (8)</w:t>
            </w:r>
          </w:p>
          <w:p w14:paraId="0317714F" w14:textId="77777777" w:rsidR="009A4137" w:rsidRPr="00821CC3" w:rsidRDefault="009A4137">
            <w:pPr>
              <w:pStyle w:val="COMTabletext"/>
              <w:jc w:val="center"/>
            </w:pPr>
            <w:r w:rsidRPr="00821CC3">
              <w:t>2 (&lt;1%)</w:t>
            </w:r>
          </w:p>
        </w:tc>
      </w:tr>
      <w:tr w:rsidR="009A4137" w:rsidRPr="00512D7B" w14:paraId="2AA6B752" w14:textId="77777777">
        <w:trPr>
          <w:jc w:val="center"/>
        </w:trPr>
        <w:tc>
          <w:tcPr>
            <w:tcW w:w="2937" w:type="pct"/>
            <w:vAlign w:val="center"/>
          </w:tcPr>
          <w:p w14:paraId="245F533A" w14:textId="77777777" w:rsidR="009A4137" w:rsidRPr="00821CC3" w:rsidRDefault="009A4137">
            <w:pPr>
              <w:pStyle w:val="COMTabletext"/>
              <w:keepNext w:val="0"/>
            </w:pPr>
            <w:r w:rsidRPr="00821CC3">
              <w:t>AEs leading to treatment discontinuation, n (%)</w:t>
            </w:r>
          </w:p>
          <w:p w14:paraId="7808AB16" w14:textId="77777777" w:rsidR="009A4137" w:rsidRPr="00821CC3" w:rsidRDefault="009A4137">
            <w:pPr>
              <w:pStyle w:val="COMTabletext"/>
              <w:keepNext w:val="0"/>
            </w:pPr>
            <w:r w:rsidRPr="00821CC3">
              <w:t>- Treatment related</w:t>
            </w:r>
          </w:p>
        </w:tc>
        <w:tc>
          <w:tcPr>
            <w:tcW w:w="1032" w:type="pct"/>
            <w:vAlign w:val="center"/>
          </w:tcPr>
          <w:p w14:paraId="7F987515" w14:textId="77777777" w:rsidR="009A4137" w:rsidRPr="00821CC3" w:rsidRDefault="009A4137">
            <w:pPr>
              <w:pStyle w:val="COMTabletext"/>
              <w:keepNext w:val="0"/>
              <w:jc w:val="center"/>
            </w:pPr>
            <w:r w:rsidRPr="00821CC3">
              <w:t>77 (32)</w:t>
            </w:r>
          </w:p>
          <w:p w14:paraId="16D09DD8" w14:textId="77777777" w:rsidR="009A4137" w:rsidRPr="00821CC3" w:rsidRDefault="009A4137">
            <w:pPr>
              <w:pStyle w:val="COMTabletext"/>
              <w:keepNext w:val="0"/>
              <w:jc w:val="center"/>
            </w:pPr>
            <w:r w:rsidRPr="00821CC3">
              <w:t>67 (28)</w:t>
            </w:r>
          </w:p>
        </w:tc>
        <w:tc>
          <w:tcPr>
            <w:tcW w:w="1031" w:type="pct"/>
            <w:vAlign w:val="center"/>
          </w:tcPr>
          <w:p w14:paraId="5C441AA5" w14:textId="77777777" w:rsidR="009A4137" w:rsidRPr="00821CC3" w:rsidRDefault="009A4137">
            <w:pPr>
              <w:pStyle w:val="COMTabletext"/>
              <w:keepNext w:val="0"/>
              <w:jc w:val="center"/>
            </w:pPr>
            <w:r w:rsidRPr="00821CC3">
              <w:t>47 (19)</w:t>
            </w:r>
          </w:p>
          <w:p w14:paraId="3BBF081B" w14:textId="77777777" w:rsidR="009A4137" w:rsidRPr="00821CC3" w:rsidRDefault="009A4137">
            <w:pPr>
              <w:pStyle w:val="COMTabletext"/>
              <w:keepNext w:val="0"/>
              <w:jc w:val="center"/>
            </w:pPr>
            <w:r w:rsidRPr="00821CC3">
              <w:t>36 (15)</w:t>
            </w:r>
          </w:p>
        </w:tc>
      </w:tr>
      <w:tr w:rsidR="009A4137" w:rsidRPr="00512D7B" w14:paraId="6FC54942" w14:textId="77777777">
        <w:trPr>
          <w:jc w:val="center"/>
        </w:trPr>
        <w:tc>
          <w:tcPr>
            <w:tcW w:w="2937" w:type="pct"/>
            <w:vAlign w:val="center"/>
          </w:tcPr>
          <w:p w14:paraId="58D39184" w14:textId="77777777" w:rsidR="009A4137" w:rsidRPr="00821CC3" w:rsidRDefault="009A4137">
            <w:pPr>
              <w:pStyle w:val="COMTabletext"/>
              <w:keepNext w:val="0"/>
            </w:pPr>
            <w:r w:rsidRPr="00821CC3">
              <w:t>AEs leading to dose reduction, n (%)</w:t>
            </w:r>
          </w:p>
        </w:tc>
        <w:tc>
          <w:tcPr>
            <w:tcW w:w="1032" w:type="pct"/>
          </w:tcPr>
          <w:p w14:paraId="47824ECB" w14:textId="77777777" w:rsidR="009A4137" w:rsidRPr="00821CC3" w:rsidRDefault="009A4137">
            <w:pPr>
              <w:pStyle w:val="COMTabletext"/>
              <w:keepNext w:val="0"/>
              <w:jc w:val="center"/>
            </w:pPr>
            <w:r w:rsidRPr="00821CC3">
              <w:t xml:space="preserve">181 (75) </w:t>
            </w:r>
          </w:p>
        </w:tc>
        <w:tc>
          <w:tcPr>
            <w:tcW w:w="1031" w:type="pct"/>
          </w:tcPr>
          <w:p w14:paraId="6D15936A" w14:textId="77777777" w:rsidR="009A4137" w:rsidRPr="00821CC3" w:rsidRDefault="009A4137">
            <w:pPr>
              <w:pStyle w:val="COMTabletext"/>
              <w:keepNext w:val="0"/>
              <w:jc w:val="center"/>
            </w:pPr>
            <w:r w:rsidRPr="00821CC3">
              <w:t xml:space="preserve">146 (59) </w:t>
            </w:r>
          </w:p>
        </w:tc>
      </w:tr>
      <w:tr w:rsidR="009A4137" w:rsidRPr="00512D7B" w14:paraId="2C9E4409" w14:textId="77777777">
        <w:trPr>
          <w:jc w:val="center"/>
        </w:trPr>
        <w:tc>
          <w:tcPr>
            <w:tcW w:w="2937" w:type="pct"/>
            <w:vAlign w:val="center"/>
          </w:tcPr>
          <w:p w14:paraId="7E985DA3" w14:textId="77777777" w:rsidR="009A4137" w:rsidRPr="00821CC3" w:rsidRDefault="009A4137">
            <w:pPr>
              <w:pStyle w:val="COMTabletext"/>
              <w:keepNext w:val="0"/>
            </w:pPr>
            <w:r w:rsidRPr="00821CC3">
              <w:t xml:space="preserve">AEs leading to dose interruption/delay, n (%) </w:t>
            </w:r>
          </w:p>
        </w:tc>
        <w:tc>
          <w:tcPr>
            <w:tcW w:w="1032" w:type="pct"/>
          </w:tcPr>
          <w:p w14:paraId="364D2F60" w14:textId="77777777" w:rsidR="009A4137" w:rsidRPr="00821CC3" w:rsidRDefault="009A4137">
            <w:pPr>
              <w:pStyle w:val="COMTabletext"/>
              <w:keepNext w:val="0"/>
              <w:jc w:val="center"/>
            </w:pPr>
            <w:r w:rsidRPr="00821CC3">
              <w:t>229 (95)</w:t>
            </w:r>
          </w:p>
        </w:tc>
        <w:tc>
          <w:tcPr>
            <w:tcW w:w="1031" w:type="pct"/>
          </w:tcPr>
          <w:p w14:paraId="4A1F44C6" w14:textId="77777777" w:rsidR="009A4137" w:rsidRPr="00821CC3" w:rsidRDefault="009A4137">
            <w:pPr>
              <w:pStyle w:val="COMTabletext"/>
              <w:keepNext w:val="0"/>
              <w:jc w:val="center"/>
            </w:pPr>
            <w:r w:rsidRPr="00821CC3">
              <w:t>186 (76)</w:t>
            </w:r>
          </w:p>
        </w:tc>
      </w:tr>
    </w:tbl>
    <w:p w14:paraId="4EA4DA85" w14:textId="77777777" w:rsidR="009A4137" w:rsidRPr="00512D7B" w:rsidRDefault="009A4137" w:rsidP="009A4137">
      <w:pPr>
        <w:pStyle w:val="COMTablefooter"/>
      </w:pPr>
      <w:r w:rsidRPr="00512D7B">
        <w:t xml:space="preserve">Source: Table 2-27, p82; Table 2-28, p83; Table 2-29, p84 of the submission; Table 3.0003, pp1-31; Table 3.1016, pp1-2; Table 3.0108100, pp1-2; Table 3.0046, pp1-2; Table 3.0049, pp1-4; Table 3.0048, p1; Table 3.0050, pp1-10 of the DREAMM-7 IA2 Supplementary data. </w:t>
      </w:r>
    </w:p>
    <w:p w14:paraId="25600493" w14:textId="6BB02EA1" w:rsidR="009A4137" w:rsidRPr="00512D7B" w:rsidRDefault="009A4137" w:rsidP="009A4137">
      <w:pPr>
        <w:pStyle w:val="COMTablefooter"/>
        <w:rPr>
          <w:rFonts w:asciiTheme="minorHAnsi" w:eastAsiaTheme="minorHAnsi" w:hAnsiTheme="minorHAnsi" w:cstheme="minorBidi"/>
          <w:snapToGrid/>
          <w:sz w:val="24"/>
          <w:lang w:eastAsia="zh-CN"/>
        </w:rPr>
      </w:pPr>
      <w:r w:rsidRPr="00512D7B">
        <w:t xml:space="preserve">Abbreviations: AE, adverse event; </w:t>
      </w:r>
      <w:r w:rsidR="001030EA" w:rsidRPr="00512D7B">
        <w:t>BmBd</w:t>
      </w:r>
      <w:r w:rsidRPr="00512D7B">
        <w:t xml:space="preserve">, belantamab mafodotin in combination with bortezomib and dexamethasone; CI, confidence interval; </w:t>
      </w:r>
      <w:r w:rsidR="001C413B" w:rsidRPr="00512D7B">
        <w:t>DBd</w:t>
      </w:r>
      <w:r w:rsidRPr="00512D7B">
        <w:t>, daratumumab in combination with bortezomib and dexamethasone; IA2, interim analysis 2 (October 2024 data cut).</w:t>
      </w:r>
    </w:p>
    <w:p w14:paraId="6F9C3039" w14:textId="2B7B9080" w:rsidR="009A4137" w:rsidRPr="00AC3F7C" w:rsidRDefault="009A4137" w:rsidP="009A4137">
      <w:pPr>
        <w:pStyle w:val="COMESnumberedpara"/>
        <w:rPr>
          <w:lang w:eastAsia="zh-CN"/>
        </w:rPr>
      </w:pPr>
      <w:r w:rsidRPr="00AC3F7C">
        <w:rPr>
          <w:rFonts w:hint="eastAsia"/>
          <w:lang w:eastAsia="zh-CN"/>
        </w:rPr>
        <w:t xml:space="preserve">All patients in both treatment arms had at least one treatment-related adverse event.  Patients in the </w:t>
      </w:r>
      <w:r w:rsidR="001030EA" w:rsidRPr="00AC3F7C">
        <w:rPr>
          <w:rFonts w:hint="eastAsia"/>
          <w:lang w:eastAsia="zh-CN"/>
        </w:rPr>
        <w:t>BmBd</w:t>
      </w:r>
      <w:r w:rsidRPr="00AC3F7C">
        <w:rPr>
          <w:rFonts w:hint="eastAsia"/>
          <w:lang w:eastAsia="zh-CN"/>
        </w:rPr>
        <w:t xml:space="preserve"> arm more frequently experienced adverse events compared to those in the </w:t>
      </w:r>
      <w:r w:rsidR="001C413B" w:rsidRPr="00AC3F7C">
        <w:rPr>
          <w:rFonts w:hint="eastAsia"/>
          <w:lang w:eastAsia="zh-CN"/>
        </w:rPr>
        <w:t>DBd</w:t>
      </w:r>
      <w:r w:rsidRPr="00AC3F7C">
        <w:rPr>
          <w:rFonts w:hint="eastAsia"/>
          <w:lang w:eastAsia="zh-CN"/>
        </w:rPr>
        <w:t xml:space="preserve"> arm. Adverse events reported in </w:t>
      </w:r>
      <w:r w:rsidRPr="00AC3F7C">
        <w:rPr>
          <w:lang w:eastAsia="zh-CN"/>
        </w:rPr>
        <w:t xml:space="preserve">at least </w:t>
      </w:r>
      <w:r w:rsidRPr="00AC3F7C">
        <w:rPr>
          <w:rFonts w:hint="eastAsia"/>
          <w:lang w:eastAsia="zh-CN"/>
        </w:rPr>
        <w:t xml:space="preserve">20% of patients in either treatment arm and in </w:t>
      </w:r>
      <w:r w:rsidRPr="00AC3F7C">
        <w:rPr>
          <w:lang w:eastAsia="zh-CN"/>
        </w:rPr>
        <w:t xml:space="preserve">at least </w:t>
      </w:r>
      <w:r w:rsidRPr="00AC3F7C">
        <w:rPr>
          <w:rFonts w:hint="eastAsia"/>
          <w:lang w:eastAsia="zh-CN"/>
        </w:rPr>
        <w:t xml:space="preserve">10% more patients in the </w:t>
      </w:r>
      <w:r w:rsidR="001030EA" w:rsidRPr="00AC3F7C">
        <w:rPr>
          <w:rFonts w:hint="eastAsia"/>
          <w:lang w:eastAsia="zh-CN"/>
        </w:rPr>
        <w:t>BmBd</w:t>
      </w:r>
      <w:r w:rsidRPr="00AC3F7C">
        <w:rPr>
          <w:rFonts w:hint="eastAsia"/>
          <w:lang w:eastAsia="zh-CN"/>
        </w:rPr>
        <w:t xml:space="preserve"> arm than in the </w:t>
      </w:r>
      <w:r w:rsidR="001C413B" w:rsidRPr="00AC3F7C">
        <w:rPr>
          <w:rFonts w:hint="eastAsia"/>
          <w:lang w:eastAsia="zh-CN"/>
        </w:rPr>
        <w:t>DBd</w:t>
      </w:r>
      <w:r w:rsidRPr="00AC3F7C">
        <w:rPr>
          <w:rFonts w:hint="eastAsia"/>
          <w:lang w:eastAsia="zh-CN"/>
        </w:rPr>
        <w:t xml:space="preserve"> arm were thrombocytopenia, blurred vision, dry eye, photophobia, eye irritation, foreign body sensation in eyes</w:t>
      </w:r>
      <w:r w:rsidRPr="00AC3F7C">
        <w:rPr>
          <w:lang w:eastAsia="zh-CN"/>
        </w:rPr>
        <w:t>,</w:t>
      </w:r>
      <w:r w:rsidRPr="00AC3F7C">
        <w:rPr>
          <w:rFonts w:hint="eastAsia"/>
          <w:lang w:eastAsia="zh-CN"/>
        </w:rPr>
        <w:t xml:space="preserve"> eye pain, cataract and pneumonia.</w:t>
      </w:r>
    </w:p>
    <w:p w14:paraId="55F2FD15" w14:textId="051D355C" w:rsidR="009A4137" w:rsidRPr="00AC3F7C" w:rsidRDefault="009A4137" w:rsidP="009A4137">
      <w:pPr>
        <w:pStyle w:val="COMESnumberedpara"/>
        <w:rPr>
          <w:color w:val="C00000"/>
          <w:lang w:eastAsia="zh-CN"/>
        </w:rPr>
      </w:pPr>
      <w:r w:rsidRPr="00AC3F7C">
        <w:rPr>
          <w:rFonts w:hint="eastAsia"/>
          <w:lang w:eastAsia="zh-CN"/>
        </w:rPr>
        <w:t xml:space="preserve">More patients in the </w:t>
      </w:r>
      <w:r w:rsidR="001030EA" w:rsidRPr="00AC3F7C">
        <w:rPr>
          <w:rFonts w:hint="eastAsia"/>
          <w:lang w:eastAsia="zh-CN"/>
        </w:rPr>
        <w:t>BmBd</w:t>
      </w:r>
      <w:r w:rsidRPr="00AC3F7C">
        <w:rPr>
          <w:rFonts w:hint="eastAsia"/>
          <w:lang w:eastAsia="zh-CN"/>
        </w:rPr>
        <w:t xml:space="preserve"> arm experienced a grade</w:t>
      </w:r>
      <w:r w:rsidRPr="00AC3F7C">
        <w:rPr>
          <w:lang w:eastAsia="zh-CN"/>
        </w:rPr>
        <w:t xml:space="preserve"> </w:t>
      </w:r>
      <w:r w:rsidRPr="00AC3F7C">
        <w:rPr>
          <w:rFonts w:cstheme="minorHAnsi"/>
          <w:lang w:eastAsia="zh-CN"/>
        </w:rPr>
        <w:t>≥</w:t>
      </w:r>
      <w:r w:rsidRPr="00AC3F7C">
        <w:rPr>
          <w:rFonts w:hint="eastAsia"/>
          <w:lang w:eastAsia="zh-CN"/>
        </w:rPr>
        <w:t xml:space="preserve">3 adverse event compared to those in the </w:t>
      </w:r>
      <w:r w:rsidR="001C413B" w:rsidRPr="00AC3F7C">
        <w:rPr>
          <w:rFonts w:hint="eastAsia"/>
          <w:lang w:eastAsia="zh-CN"/>
        </w:rPr>
        <w:t>DBd</w:t>
      </w:r>
      <w:r w:rsidRPr="00AC3F7C">
        <w:rPr>
          <w:rFonts w:hint="eastAsia"/>
          <w:lang w:eastAsia="zh-CN"/>
        </w:rPr>
        <w:t xml:space="preserve"> arm. The most commonly reported grade </w:t>
      </w:r>
      <w:r w:rsidRPr="00AC3F7C">
        <w:rPr>
          <w:rFonts w:cstheme="minorHAnsi"/>
          <w:lang w:eastAsia="zh-CN"/>
        </w:rPr>
        <w:t>≥</w:t>
      </w:r>
      <w:r w:rsidRPr="00AC3F7C">
        <w:rPr>
          <w:rFonts w:hint="eastAsia"/>
          <w:lang w:eastAsia="zh-CN"/>
        </w:rPr>
        <w:t xml:space="preserve">3 adverse events in the </w:t>
      </w:r>
      <w:r w:rsidR="001030EA" w:rsidRPr="00AC3F7C">
        <w:rPr>
          <w:rFonts w:hint="eastAsia"/>
          <w:lang w:eastAsia="zh-CN"/>
        </w:rPr>
        <w:t>BmBd</w:t>
      </w:r>
      <w:r w:rsidRPr="00AC3F7C">
        <w:rPr>
          <w:rFonts w:hint="eastAsia"/>
          <w:lang w:eastAsia="zh-CN"/>
        </w:rPr>
        <w:t xml:space="preserve"> arm were thrombocytopenia (56%), blurred vision (24%), and decreased platelet count (18%); and</w:t>
      </w:r>
      <w:r w:rsidRPr="00AC3F7C">
        <w:rPr>
          <w:lang w:eastAsia="zh-CN"/>
        </w:rPr>
        <w:t xml:space="preserve"> in the </w:t>
      </w:r>
      <w:r w:rsidR="001C413B" w:rsidRPr="00AC3F7C">
        <w:rPr>
          <w:lang w:eastAsia="zh-CN"/>
        </w:rPr>
        <w:t>DBd</w:t>
      </w:r>
      <w:r w:rsidRPr="00AC3F7C">
        <w:rPr>
          <w:lang w:eastAsia="zh-CN"/>
        </w:rPr>
        <w:t xml:space="preserve"> arm were thrombocytopenia (35%), decreased platelet count (11%) and anaemia (10%).</w:t>
      </w:r>
    </w:p>
    <w:p w14:paraId="65E3EA90" w14:textId="6C4D61F1" w:rsidR="009A4137" w:rsidRPr="00AC3F7C" w:rsidRDefault="009A4137" w:rsidP="009A4137">
      <w:pPr>
        <w:pStyle w:val="COMESnumberedpara"/>
        <w:rPr>
          <w:lang w:eastAsia="zh-CN"/>
        </w:rPr>
      </w:pPr>
      <w:r w:rsidRPr="00AC3F7C">
        <w:rPr>
          <w:lang w:eastAsia="zh-CN"/>
        </w:rPr>
        <w:lastRenderedPageBreak/>
        <w:t xml:space="preserve">Fatal serious adverse events occurred in 26 (11%) patients in the </w:t>
      </w:r>
      <w:r w:rsidR="001030EA" w:rsidRPr="00AC3F7C">
        <w:rPr>
          <w:lang w:eastAsia="zh-CN"/>
        </w:rPr>
        <w:t>BmBd</w:t>
      </w:r>
      <w:r w:rsidRPr="00AC3F7C">
        <w:rPr>
          <w:lang w:eastAsia="zh-CN"/>
        </w:rPr>
        <w:t xml:space="preserve"> arm and 20 (8%) patients in the </w:t>
      </w:r>
      <w:r w:rsidR="001C413B" w:rsidRPr="00AC3F7C">
        <w:rPr>
          <w:lang w:eastAsia="zh-CN"/>
        </w:rPr>
        <w:t>DBd</w:t>
      </w:r>
      <w:r w:rsidRPr="00AC3F7C">
        <w:rPr>
          <w:lang w:eastAsia="zh-CN"/>
        </w:rPr>
        <w:t xml:space="preserve"> arm. Among these, 9 deaths (7 in the </w:t>
      </w:r>
      <w:r w:rsidR="001030EA" w:rsidRPr="00AC3F7C">
        <w:rPr>
          <w:lang w:eastAsia="zh-CN"/>
        </w:rPr>
        <w:t>BmBd</w:t>
      </w:r>
      <w:r w:rsidRPr="00AC3F7C">
        <w:rPr>
          <w:lang w:eastAsia="zh-CN"/>
        </w:rPr>
        <w:t xml:space="preserve"> arm and 2 in the </w:t>
      </w:r>
      <w:r w:rsidR="001C413B" w:rsidRPr="00AC3F7C">
        <w:rPr>
          <w:lang w:eastAsia="zh-CN"/>
        </w:rPr>
        <w:t>DBd</w:t>
      </w:r>
      <w:r w:rsidRPr="00AC3F7C">
        <w:rPr>
          <w:lang w:eastAsia="zh-CN"/>
        </w:rPr>
        <w:t xml:space="preserve"> arm) were considered treatment-related, with the major causes being pneumonia, COVID-19, COVID-19 pneumonia and sepsis. </w:t>
      </w:r>
    </w:p>
    <w:p w14:paraId="73AA91A4" w14:textId="4B017A13" w:rsidR="009A4137" w:rsidRPr="00AC3F7C" w:rsidRDefault="009A4137" w:rsidP="009A4137">
      <w:pPr>
        <w:pStyle w:val="COMESnumberedpara"/>
        <w:rPr>
          <w:lang w:eastAsia="zh-CN"/>
        </w:rPr>
      </w:pPr>
      <w:r w:rsidRPr="00AC3F7C">
        <w:rPr>
          <w:lang w:eastAsia="zh-CN"/>
        </w:rPr>
        <w:t xml:space="preserve">Patients in the </w:t>
      </w:r>
      <w:r w:rsidR="001030EA" w:rsidRPr="00AC3F7C">
        <w:rPr>
          <w:lang w:eastAsia="zh-CN"/>
        </w:rPr>
        <w:t>BmBd</w:t>
      </w:r>
      <w:r w:rsidRPr="00AC3F7C">
        <w:rPr>
          <w:lang w:eastAsia="zh-CN"/>
        </w:rPr>
        <w:t xml:space="preserve"> arm more frequently experienced treatment discontinuation (32% versus 19%), dose reduction (75% versus 59%), and treatment interruption (95% versus 76%) compared to the </w:t>
      </w:r>
      <w:r w:rsidR="001C413B" w:rsidRPr="00AC3F7C">
        <w:rPr>
          <w:lang w:eastAsia="zh-CN"/>
        </w:rPr>
        <w:t>DBd</w:t>
      </w:r>
      <w:r w:rsidRPr="00AC3F7C">
        <w:rPr>
          <w:lang w:eastAsia="zh-CN"/>
        </w:rPr>
        <w:t xml:space="preserve"> arm. Thrombocytopenia and blurred vision were the main adverse events leading to dose reduction, interruption or delay in the </w:t>
      </w:r>
      <w:r w:rsidR="001030EA" w:rsidRPr="00AC3F7C">
        <w:rPr>
          <w:lang w:eastAsia="zh-CN"/>
        </w:rPr>
        <w:t>BmBd</w:t>
      </w:r>
      <w:r w:rsidRPr="00AC3F7C">
        <w:rPr>
          <w:lang w:eastAsia="zh-CN"/>
        </w:rPr>
        <w:t xml:space="preserve"> arm. </w:t>
      </w:r>
    </w:p>
    <w:p w14:paraId="71A24007" w14:textId="4B084722" w:rsidR="009A4137" w:rsidRPr="00AC3F7C" w:rsidRDefault="009A4137" w:rsidP="009A4137">
      <w:pPr>
        <w:pStyle w:val="COMESnumberedpara"/>
        <w:rPr>
          <w:lang w:eastAsia="zh-CN"/>
        </w:rPr>
      </w:pPr>
      <w:r w:rsidRPr="00AC3F7C">
        <w:rPr>
          <w:lang w:eastAsia="zh-CN"/>
        </w:rPr>
        <w:fldChar w:fldCharType="begin"/>
      </w:r>
      <w:r w:rsidRPr="00AC3F7C">
        <w:rPr>
          <w:lang w:eastAsia="zh-CN"/>
        </w:rPr>
        <w:instrText xml:space="preserve"> </w:instrText>
      </w:r>
      <w:r w:rsidRPr="00AC3F7C">
        <w:rPr>
          <w:rFonts w:hint="eastAsia"/>
          <w:lang w:eastAsia="zh-CN"/>
        </w:rPr>
        <w:instrText>REF _Ref206411119 \h</w:instrText>
      </w:r>
      <w:r w:rsidRPr="00AC3F7C">
        <w:rPr>
          <w:lang w:eastAsia="zh-CN"/>
        </w:rPr>
        <w:instrText xml:space="preserve"> </w:instrText>
      </w:r>
      <w:r w:rsidR="00AC3F7C" w:rsidRPr="00AC3F7C">
        <w:rPr>
          <w:lang w:eastAsia="zh-CN"/>
        </w:rPr>
        <w:instrText xml:space="preserve"> \* MERGEFORMAT </w:instrText>
      </w:r>
      <w:r w:rsidRPr="00AC3F7C">
        <w:rPr>
          <w:lang w:eastAsia="zh-CN"/>
        </w:rPr>
      </w:r>
      <w:r w:rsidRPr="00AC3F7C">
        <w:rPr>
          <w:lang w:eastAsia="zh-CN"/>
        </w:rPr>
        <w:fldChar w:fldCharType="separate"/>
      </w:r>
      <w:r w:rsidR="00674A1F" w:rsidRPr="00512D7B">
        <w:t xml:space="preserve">Table </w:t>
      </w:r>
      <w:r w:rsidR="00674A1F">
        <w:t>7</w:t>
      </w:r>
      <w:r w:rsidRPr="00AC3F7C">
        <w:rPr>
          <w:lang w:eastAsia="zh-CN"/>
        </w:rPr>
        <w:fldChar w:fldCharType="end"/>
      </w:r>
      <w:r w:rsidRPr="00AC3F7C">
        <w:rPr>
          <w:rFonts w:hint="eastAsia"/>
          <w:lang w:eastAsia="zh-CN"/>
        </w:rPr>
        <w:t xml:space="preserve"> summarises the ocular adverse events of special interest with an incidence of </w:t>
      </w:r>
      <w:r w:rsidRPr="00AC3F7C">
        <w:rPr>
          <w:lang w:eastAsia="zh-CN"/>
        </w:rPr>
        <w:t>at least</w:t>
      </w:r>
      <w:r w:rsidRPr="00AC3F7C">
        <w:rPr>
          <w:rFonts w:cstheme="minorHAnsi"/>
          <w:lang w:eastAsia="zh-CN"/>
        </w:rPr>
        <w:t xml:space="preserve"> </w:t>
      </w:r>
      <w:r w:rsidRPr="00AC3F7C">
        <w:rPr>
          <w:rFonts w:hint="eastAsia"/>
          <w:lang w:eastAsia="zh-CN"/>
        </w:rPr>
        <w:t>10% in the DREAMM-7 trial, based on the October 2024 data cut</w:t>
      </w:r>
      <w:r w:rsidRPr="00AC3F7C">
        <w:rPr>
          <w:lang w:eastAsia="zh-CN"/>
        </w:rPr>
        <w:t>.</w:t>
      </w:r>
    </w:p>
    <w:p w14:paraId="787F4BB1" w14:textId="5B58A37A" w:rsidR="009A4137" w:rsidRPr="00512D7B" w:rsidRDefault="009A4137" w:rsidP="009A4137">
      <w:pPr>
        <w:pStyle w:val="COMTableFigurecaption"/>
      </w:pPr>
      <w:bookmarkStart w:id="42" w:name="_Ref206411119"/>
      <w:bookmarkStart w:id="43" w:name="_Toc203036194"/>
      <w:r w:rsidRPr="00512D7B">
        <w:t xml:space="preserve">Table </w:t>
      </w:r>
      <w:r w:rsidR="00194BBE">
        <w:fldChar w:fldCharType="begin"/>
      </w:r>
      <w:r w:rsidR="00194BBE">
        <w:instrText xml:space="preserve"> SEQ Table \* ARABIC </w:instrText>
      </w:r>
      <w:r w:rsidR="00194BBE">
        <w:fldChar w:fldCharType="separate"/>
      </w:r>
      <w:r w:rsidR="00674A1F">
        <w:rPr>
          <w:noProof/>
        </w:rPr>
        <w:t>7</w:t>
      </w:r>
      <w:r w:rsidR="00194BBE">
        <w:fldChar w:fldCharType="end"/>
      </w:r>
      <w:bookmarkEnd w:id="42"/>
      <w:r w:rsidRPr="00512D7B">
        <w:t>: Summary of adverse events (</w:t>
      </w:r>
      <w:r w:rsidRPr="00512D7B">
        <w:rPr>
          <w:rFonts w:hint="eastAsia"/>
          <w:lang w:eastAsia="zh-CN"/>
        </w:rPr>
        <w:t>CTCAE</w:t>
      </w:r>
      <w:r w:rsidRPr="00512D7B">
        <w:rPr>
          <w:lang w:eastAsia="zh-CN"/>
        </w:rPr>
        <w:t xml:space="preserve"> grade</w:t>
      </w:r>
      <w:r w:rsidRPr="00512D7B">
        <w:t>) of special interest</w:t>
      </w:r>
      <w:r w:rsidRPr="00512D7B">
        <w:rPr>
          <w:rFonts w:hint="eastAsia"/>
          <w:lang w:eastAsia="zh-CN"/>
        </w:rPr>
        <w:t xml:space="preserve"> </w:t>
      </w:r>
      <w:r w:rsidRPr="00512D7B">
        <w:t>in the DREAMM-7 trial (safety population; October 2024 data cut)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adverse events (CTCAE grade) of special interest in the DREAMM-7 trial (safety population; October 2024 data cut)"/>
      </w:tblPr>
      <w:tblGrid>
        <w:gridCol w:w="2551"/>
        <w:gridCol w:w="1616"/>
        <w:gridCol w:w="1618"/>
        <w:gridCol w:w="1618"/>
        <w:gridCol w:w="1616"/>
      </w:tblGrid>
      <w:tr w:rsidR="009A4137" w:rsidRPr="00512D7B" w14:paraId="2C49C28F" w14:textId="77777777">
        <w:trPr>
          <w:tblHeader/>
          <w:jc w:val="center"/>
        </w:trPr>
        <w:tc>
          <w:tcPr>
            <w:tcW w:w="1414" w:type="pct"/>
            <w:vMerge w:val="restart"/>
            <w:shd w:val="clear" w:color="auto" w:fill="FFFFFF" w:themeFill="background1"/>
            <w:vAlign w:val="center"/>
          </w:tcPr>
          <w:p w14:paraId="4687CEF2" w14:textId="77777777" w:rsidR="009A4137" w:rsidRPr="00512D7B" w:rsidRDefault="009A4137" w:rsidP="00EE0B02">
            <w:pPr>
              <w:pStyle w:val="COMTableheadingrow"/>
              <w:rPr>
                <w:szCs w:val="18"/>
              </w:rPr>
            </w:pPr>
            <w:r w:rsidRPr="00512D7B">
              <w:t>Ocular AE category, n (%)</w:t>
            </w:r>
          </w:p>
        </w:tc>
        <w:tc>
          <w:tcPr>
            <w:tcW w:w="1793" w:type="pct"/>
            <w:gridSpan w:val="2"/>
            <w:shd w:val="clear" w:color="auto" w:fill="FFFFFF" w:themeFill="background1"/>
            <w:vAlign w:val="center"/>
          </w:tcPr>
          <w:p w14:paraId="631AE750" w14:textId="630632F4" w:rsidR="009A4137" w:rsidRPr="00512D7B" w:rsidRDefault="001030EA" w:rsidP="00EE0B02">
            <w:pPr>
              <w:pStyle w:val="COMTableheadingrow"/>
              <w:jc w:val="center"/>
            </w:pPr>
            <w:r w:rsidRPr="00512D7B">
              <w:t>BmBd</w:t>
            </w:r>
            <w:r w:rsidR="009A4137" w:rsidRPr="00512D7B">
              <w:t xml:space="preserve"> (N=242)</w:t>
            </w:r>
          </w:p>
        </w:tc>
        <w:tc>
          <w:tcPr>
            <w:tcW w:w="1793" w:type="pct"/>
            <w:gridSpan w:val="2"/>
            <w:shd w:val="clear" w:color="auto" w:fill="FFFFFF" w:themeFill="background1"/>
            <w:vAlign w:val="center"/>
          </w:tcPr>
          <w:p w14:paraId="1A28DA41" w14:textId="463036F0" w:rsidR="009A4137" w:rsidRPr="00512D7B" w:rsidRDefault="001C413B" w:rsidP="00EE0B02">
            <w:pPr>
              <w:pStyle w:val="COMTableheadingrow"/>
              <w:jc w:val="center"/>
            </w:pPr>
            <w:r w:rsidRPr="00512D7B">
              <w:t>DBd</w:t>
            </w:r>
            <w:r w:rsidR="009A4137" w:rsidRPr="00512D7B">
              <w:t xml:space="preserve"> (N=246)</w:t>
            </w:r>
          </w:p>
        </w:tc>
      </w:tr>
      <w:tr w:rsidR="009A4137" w:rsidRPr="00512D7B" w14:paraId="5084E65D" w14:textId="77777777">
        <w:trPr>
          <w:tblHeader/>
          <w:jc w:val="center"/>
        </w:trPr>
        <w:tc>
          <w:tcPr>
            <w:tcW w:w="1414" w:type="pct"/>
            <w:vMerge/>
            <w:shd w:val="clear" w:color="auto" w:fill="FFFFFF" w:themeFill="background1"/>
          </w:tcPr>
          <w:p w14:paraId="24B9C4B6" w14:textId="77777777" w:rsidR="009A4137" w:rsidRPr="00512D7B" w:rsidRDefault="009A4137" w:rsidP="00EE0B02">
            <w:pPr>
              <w:pStyle w:val="COMTableheadingrow"/>
            </w:pPr>
          </w:p>
        </w:tc>
        <w:tc>
          <w:tcPr>
            <w:tcW w:w="896" w:type="pct"/>
            <w:shd w:val="clear" w:color="auto" w:fill="FFFFFF" w:themeFill="background1"/>
            <w:vAlign w:val="center"/>
          </w:tcPr>
          <w:p w14:paraId="05BC4F04" w14:textId="77777777" w:rsidR="009A4137" w:rsidRPr="00512D7B" w:rsidRDefault="009A4137" w:rsidP="00EE0B02">
            <w:pPr>
              <w:pStyle w:val="COMTableheadingrow"/>
              <w:jc w:val="center"/>
            </w:pPr>
            <w:r w:rsidRPr="00512D7B">
              <w:t>Any grade</w:t>
            </w:r>
          </w:p>
        </w:tc>
        <w:tc>
          <w:tcPr>
            <w:tcW w:w="897" w:type="pct"/>
            <w:shd w:val="clear" w:color="auto" w:fill="FFFFFF" w:themeFill="background1"/>
            <w:vAlign w:val="center"/>
          </w:tcPr>
          <w:p w14:paraId="242FF837" w14:textId="77777777" w:rsidR="009A4137" w:rsidRPr="00512D7B" w:rsidRDefault="009A4137" w:rsidP="00EE0B02">
            <w:pPr>
              <w:pStyle w:val="COMTableheadingrow"/>
              <w:jc w:val="center"/>
            </w:pPr>
            <w:r w:rsidRPr="00512D7B">
              <w:t>Grade ≥3</w:t>
            </w:r>
          </w:p>
        </w:tc>
        <w:tc>
          <w:tcPr>
            <w:tcW w:w="897" w:type="pct"/>
            <w:shd w:val="clear" w:color="auto" w:fill="FFFFFF" w:themeFill="background1"/>
            <w:vAlign w:val="center"/>
          </w:tcPr>
          <w:p w14:paraId="5F520C74" w14:textId="77777777" w:rsidR="009A4137" w:rsidRPr="00512D7B" w:rsidRDefault="009A4137" w:rsidP="00EE0B02">
            <w:pPr>
              <w:pStyle w:val="COMTableheadingrow"/>
              <w:jc w:val="center"/>
            </w:pPr>
            <w:r w:rsidRPr="00512D7B">
              <w:t>Any grade</w:t>
            </w:r>
          </w:p>
        </w:tc>
        <w:tc>
          <w:tcPr>
            <w:tcW w:w="896" w:type="pct"/>
            <w:shd w:val="clear" w:color="auto" w:fill="FFFFFF" w:themeFill="background1"/>
            <w:vAlign w:val="center"/>
          </w:tcPr>
          <w:p w14:paraId="69B49A00" w14:textId="77777777" w:rsidR="009A4137" w:rsidRPr="00512D7B" w:rsidRDefault="009A4137" w:rsidP="00EE0B02">
            <w:pPr>
              <w:pStyle w:val="COMTableheadingrow"/>
              <w:jc w:val="center"/>
            </w:pPr>
            <w:r w:rsidRPr="00512D7B">
              <w:t>Grade ≥3</w:t>
            </w:r>
          </w:p>
        </w:tc>
      </w:tr>
      <w:tr w:rsidR="009A4137" w:rsidRPr="00512D7B" w14:paraId="5BCE56EB" w14:textId="77777777">
        <w:trPr>
          <w:jc w:val="center"/>
        </w:trPr>
        <w:tc>
          <w:tcPr>
            <w:tcW w:w="1414" w:type="pct"/>
          </w:tcPr>
          <w:p w14:paraId="15865B00" w14:textId="77777777" w:rsidR="009A4137" w:rsidRPr="00512D7B" w:rsidRDefault="009A4137" w:rsidP="00EE0B02">
            <w:pPr>
              <w:pStyle w:val="COMTabletext"/>
            </w:pPr>
            <w:r w:rsidRPr="00512D7B">
              <w:t>Any ocular adverse event</w:t>
            </w:r>
          </w:p>
        </w:tc>
        <w:tc>
          <w:tcPr>
            <w:tcW w:w="896" w:type="pct"/>
          </w:tcPr>
          <w:p w14:paraId="5E5DC0FA" w14:textId="77777777" w:rsidR="009A4137" w:rsidRPr="00512D7B" w:rsidRDefault="009A4137" w:rsidP="00EE0B02">
            <w:pPr>
              <w:pStyle w:val="COMTabletext"/>
              <w:jc w:val="center"/>
            </w:pPr>
            <w:r w:rsidRPr="00512D7B">
              <w:t>194 (80)</w:t>
            </w:r>
          </w:p>
        </w:tc>
        <w:tc>
          <w:tcPr>
            <w:tcW w:w="897" w:type="pct"/>
          </w:tcPr>
          <w:p w14:paraId="4DC11694" w14:textId="77777777" w:rsidR="009A4137" w:rsidRPr="00512D7B" w:rsidRDefault="009A4137" w:rsidP="00EE0B02">
            <w:pPr>
              <w:pStyle w:val="COMTabletext"/>
              <w:jc w:val="center"/>
            </w:pPr>
            <w:r w:rsidRPr="00512D7B">
              <w:t>85 (35)</w:t>
            </w:r>
          </w:p>
        </w:tc>
        <w:tc>
          <w:tcPr>
            <w:tcW w:w="897" w:type="pct"/>
          </w:tcPr>
          <w:p w14:paraId="038C0ADB" w14:textId="77777777" w:rsidR="009A4137" w:rsidRPr="00512D7B" w:rsidRDefault="009A4137" w:rsidP="00EE0B02">
            <w:pPr>
              <w:pStyle w:val="COMTabletext"/>
              <w:jc w:val="center"/>
            </w:pPr>
            <w:r w:rsidRPr="00512D7B">
              <w:t>76 (31)</w:t>
            </w:r>
          </w:p>
        </w:tc>
        <w:tc>
          <w:tcPr>
            <w:tcW w:w="896" w:type="pct"/>
          </w:tcPr>
          <w:p w14:paraId="2E8913EE" w14:textId="77777777" w:rsidR="009A4137" w:rsidRPr="00512D7B" w:rsidRDefault="009A4137" w:rsidP="00EE0B02">
            <w:pPr>
              <w:pStyle w:val="COMTabletext"/>
              <w:jc w:val="center"/>
            </w:pPr>
            <w:r w:rsidRPr="00512D7B">
              <w:t>8 (3)</w:t>
            </w:r>
          </w:p>
        </w:tc>
      </w:tr>
      <w:tr w:rsidR="009A4137" w:rsidRPr="00512D7B" w14:paraId="2F21C8A0" w14:textId="77777777">
        <w:trPr>
          <w:jc w:val="center"/>
        </w:trPr>
        <w:tc>
          <w:tcPr>
            <w:tcW w:w="1414" w:type="pct"/>
          </w:tcPr>
          <w:p w14:paraId="15E95DD3" w14:textId="77777777" w:rsidR="009A4137" w:rsidRPr="00512D7B" w:rsidRDefault="009A4137" w:rsidP="00EE0B02">
            <w:pPr>
              <w:pStyle w:val="COMTabletext"/>
            </w:pPr>
            <w:r w:rsidRPr="00512D7B">
              <w:t>Vision blurred</w:t>
            </w:r>
          </w:p>
        </w:tc>
        <w:tc>
          <w:tcPr>
            <w:tcW w:w="896" w:type="pct"/>
          </w:tcPr>
          <w:p w14:paraId="34C12312" w14:textId="77777777" w:rsidR="009A4137" w:rsidRPr="00512D7B" w:rsidRDefault="009A4137" w:rsidP="00EE0B02">
            <w:pPr>
              <w:pStyle w:val="COMTabletext"/>
              <w:jc w:val="center"/>
            </w:pPr>
            <w:r w:rsidRPr="00512D7B">
              <w:t>165 (68)</w:t>
            </w:r>
          </w:p>
        </w:tc>
        <w:tc>
          <w:tcPr>
            <w:tcW w:w="897" w:type="pct"/>
          </w:tcPr>
          <w:p w14:paraId="706B44F3" w14:textId="77777777" w:rsidR="009A4137" w:rsidRPr="00512D7B" w:rsidRDefault="009A4137" w:rsidP="00EE0B02">
            <w:pPr>
              <w:pStyle w:val="COMTabletext"/>
              <w:jc w:val="center"/>
            </w:pPr>
            <w:r w:rsidRPr="00512D7B">
              <w:t>58 (24)</w:t>
            </w:r>
          </w:p>
        </w:tc>
        <w:tc>
          <w:tcPr>
            <w:tcW w:w="897" w:type="pct"/>
          </w:tcPr>
          <w:p w14:paraId="5E410F31" w14:textId="77777777" w:rsidR="009A4137" w:rsidRPr="00512D7B" w:rsidRDefault="009A4137" w:rsidP="00EE0B02">
            <w:pPr>
              <w:pStyle w:val="COMTabletext"/>
              <w:jc w:val="center"/>
            </w:pPr>
            <w:r w:rsidRPr="00512D7B">
              <w:t>27 (11)</w:t>
            </w:r>
          </w:p>
        </w:tc>
        <w:tc>
          <w:tcPr>
            <w:tcW w:w="896" w:type="pct"/>
          </w:tcPr>
          <w:p w14:paraId="00F0C0D1" w14:textId="77777777" w:rsidR="009A4137" w:rsidRPr="00512D7B" w:rsidRDefault="009A4137" w:rsidP="00EE0B02">
            <w:pPr>
              <w:pStyle w:val="COMTabletext"/>
              <w:jc w:val="center"/>
            </w:pPr>
            <w:r w:rsidRPr="00512D7B">
              <w:t>3 (1)</w:t>
            </w:r>
          </w:p>
        </w:tc>
      </w:tr>
      <w:tr w:rsidR="009A4137" w:rsidRPr="00512D7B" w14:paraId="3D4D40FC" w14:textId="77777777">
        <w:trPr>
          <w:jc w:val="center"/>
        </w:trPr>
        <w:tc>
          <w:tcPr>
            <w:tcW w:w="1414" w:type="pct"/>
          </w:tcPr>
          <w:p w14:paraId="3E1A6C88" w14:textId="77777777" w:rsidR="009A4137" w:rsidRPr="00512D7B" w:rsidRDefault="009A4137" w:rsidP="00EE0B02">
            <w:pPr>
              <w:pStyle w:val="COMTabletext"/>
            </w:pPr>
            <w:r w:rsidRPr="00512D7B">
              <w:t>Dry eye</w:t>
            </w:r>
          </w:p>
        </w:tc>
        <w:tc>
          <w:tcPr>
            <w:tcW w:w="896" w:type="pct"/>
          </w:tcPr>
          <w:p w14:paraId="16C26A8C" w14:textId="77777777" w:rsidR="009A4137" w:rsidRPr="00512D7B" w:rsidRDefault="009A4137" w:rsidP="00EE0B02">
            <w:pPr>
              <w:pStyle w:val="COMTabletext"/>
              <w:jc w:val="center"/>
            </w:pPr>
            <w:r w:rsidRPr="00512D7B">
              <w:t>129 (53)</w:t>
            </w:r>
          </w:p>
        </w:tc>
        <w:tc>
          <w:tcPr>
            <w:tcW w:w="897" w:type="pct"/>
          </w:tcPr>
          <w:p w14:paraId="3B7E4371" w14:textId="77777777" w:rsidR="009A4137" w:rsidRPr="00512D7B" w:rsidRDefault="009A4137" w:rsidP="00EE0B02">
            <w:pPr>
              <w:pStyle w:val="COMTabletext"/>
              <w:jc w:val="center"/>
            </w:pPr>
            <w:r w:rsidRPr="00512D7B">
              <w:t>17 (7)</w:t>
            </w:r>
          </w:p>
        </w:tc>
        <w:tc>
          <w:tcPr>
            <w:tcW w:w="897" w:type="pct"/>
          </w:tcPr>
          <w:p w14:paraId="75EE23EF" w14:textId="77777777" w:rsidR="009A4137" w:rsidRPr="00512D7B" w:rsidRDefault="009A4137" w:rsidP="00EE0B02">
            <w:pPr>
              <w:pStyle w:val="COMTabletext"/>
              <w:jc w:val="center"/>
            </w:pPr>
            <w:r w:rsidRPr="00512D7B">
              <w:t>19 (8)</w:t>
            </w:r>
          </w:p>
        </w:tc>
        <w:tc>
          <w:tcPr>
            <w:tcW w:w="896" w:type="pct"/>
          </w:tcPr>
          <w:p w14:paraId="4BE57884" w14:textId="77777777" w:rsidR="009A4137" w:rsidRPr="00512D7B" w:rsidRDefault="009A4137" w:rsidP="00EE0B02">
            <w:pPr>
              <w:pStyle w:val="COMTabletext"/>
              <w:jc w:val="center"/>
            </w:pPr>
            <w:r w:rsidRPr="00512D7B">
              <w:t>0 (0)</w:t>
            </w:r>
          </w:p>
        </w:tc>
      </w:tr>
      <w:tr w:rsidR="009A4137" w:rsidRPr="00512D7B" w14:paraId="5991ABE5" w14:textId="77777777">
        <w:trPr>
          <w:jc w:val="center"/>
        </w:trPr>
        <w:tc>
          <w:tcPr>
            <w:tcW w:w="1414" w:type="pct"/>
          </w:tcPr>
          <w:p w14:paraId="57C2E600" w14:textId="77777777" w:rsidR="009A4137" w:rsidRPr="00512D7B" w:rsidRDefault="009A4137" w:rsidP="00EE0B02">
            <w:pPr>
              <w:pStyle w:val="COMTabletext"/>
            </w:pPr>
            <w:r w:rsidRPr="00512D7B">
              <w:t>Photophobia</w:t>
            </w:r>
          </w:p>
        </w:tc>
        <w:tc>
          <w:tcPr>
            <w:tcW w:w="896" w:type="pct"/>
          </w:tcPr>
          <w:p w14:paraId="6AFE81C3" w14:textId="77777777" w:rsidR="009A4137" w:rsidRPr="00512D7B" w:rsidRDefault="009A4137" w:rsidP="00EE0B02">
            <w:pPr>
              <w:pStyle w:val="COMTabletext"/>
              <w:jc w:val="center"/>
            </w:pPr>
            <w:r w:rsidRPr="00512D7B">
              <w:t>120 (50)</w:t>
            </w:r>
          </w:p>
        </w:tc>
        <w:tc>
          <w:tcPr>
            <w:tcW w:w="897" w:type="pct"/>
          </w:tcPr>
          <w:p w14:paraId="40C50808" w14:textId="77777777" w:rsidR="009A4137" w:rsidRPr="00512D7B" w:rsidRDefault="009A4137" w:rsidP="00EE0B02">
            <w:pPr>
              <w:pStyle w:val="COMTabletext"/>
              <w:jc w:val="center"/>
            </w:pPr>
            <w:r w:rsidRPr="00512D7B">
              <w:t>7 (3)</w:t>
            </w:r>
          </w:p>
        </w:tc>
        <w:tc>
          <w:tcPr>
            <w:tcW w:w="897" w:type="pct"/>
          </w:tcPr>
          <w:p w14:paraId="61D1EDDA" w14:textId="77777777" w:rsidR="009A4137" w:rsidRPr="00512D7B" w:rsidRDefault="009A4137" w:rsidP="00EE0B02">
            <w:pPr>
              <w:pStyle w:val="COMTabletext"/>
              <w:jc w:val="center"/>
            </w:pPr>
            <w:r w:rsidRPr="00512D7B">
              <w:t>6 (2)</w:t>
            </w:r>
          </w:p>
        </w:tc>
        <w:tc>
          <w:tcPr>
            <w:tcW w:w="896" w:type="pct"/>
          </w:tcPr>
          <w:p w14:paraId="4D9EA0F5" w14:textId="77777777" w:rsidR="009A4137" w:rsidRPr="00512D7B" w:rsidRDefault="009A4137" w:rsidP="00EE0B02">
            <w:pPr>
              <w:pStyle w:val="COMTabletext"/>
              <w:jc w:val="center"/>
            </w:pPr>
            <w:r w:rsidRPr="00512D7B">
              <w:t>0 (0)</w:t>
            </w:r>
          </w:p>
        </w:tc>
      </w:tr>
      <w:tr w:rsidR="009A4137" w:rsidRPr="00512D7B" w14:paraId="6C2AF6DF" w14:textId="77777777">
        <w:trPr>
          <w:jc w:val="center"/>
        </w:trPr>
        <w:tc>
          <w:tcPr>
            <w:tcW w:w="1414" w:type="pct"/>
          </w:tcPr>
          <w:p w14:paraId="447C68AD" w14:textId="77777777" w:rsidR="009A4137" w:rsidRPr="00512D7B" w:rsidRDefault="009A4137" w:rsidP="00EE0B02">
            <w:pPr>
              <w:pStyle w:val="COMTabletext"/>
            </w:pPr>
            <w:r w:rsidRPr="00512D7B">
              <w:t>Foreign body sensation in eye</w:t>
            </w:r>
          </w:p>
        </w:tc>
        <w:tc>
          <w:tcPr>
            <w:tcW w:w="896" w:type="pct"/>
          </w:tcPr>
          <w:p w14:paraId="73C891AE" w14:textId="77777777" w:rsidR="009A4137" w:rsidRPr="00512D7B" w:rsidRDefault="009A4137" w:rsidP="00EE0B02">
            <w:pPr>
              <w:pStyle w:val="COMTabletext"/>
              <w:jc w:val="center"/>
            </w:pPr>
            <w:r w:rsidRPr="00512D7B">
              <w:t>111 (46)</w:t>
            </w:r>
          </w:p>
        </w:tc>
        <w:tc>
          <w:tcPr>
            <w:tcW w:w="897" w:type="pct"/>
          </w:tcPr>
          <w:p w14:paraId="7089C26F" w14:textId="77777777" w:rsidR="009A4137" w:rsidRPr="00512D7B" w:rsidRDefault="009A4137" w:rsidP="00EE0B02">
            <w:pPr>
              <w:pStyle w:val="COMTabletext"/>
              <w:jc w:val="center"/>
            </w:pPr>
            <w:r w:rsidRPr="00512D7B">
              <w:t>9 (4)</w:t>
            </w:r>
          </w:p>
        </w:tc>
        <w:tc>
          <w:tcPr>
            <w:tcW w:w="897" w:type="pct"/>
          </w:tcPr>
          <w:p w14:paraId="6FF510D6" w14:textId="77777777" w:rsidR="009A4137" w:rsidRPr="00512D7B" w:rsidRDefault="009A4137" w:rsidP="00EE0B02">
            <w:pPr>
              <w:pStyle w:val="COMTabletext"/>
              <w:jc w:val="center"/>
            </w:pPr>
            <w:r w:rsidRPr="00512D7B">
              <w:t>12 (5)</w:t>
            </w:r>
          </w:p>
        </w:tc>
        <w:tc>
          <w:tcPr>
            <w:tcW w:w="896" w:type="pct"/>
          </w:tcPr>
          <w:p w14:paraId="2793CCF7" w14:textId="77777777" w:rsidR="009A4137" w:rsidRPr="00512D7B" w:rsidRDefault="009A4137" w:rsidP="00EE0B02">
            <w:pPr>
              <w:pStyle w:val="COMTabletext"/>
              <w:jc w:val="center"/>
            </w:pPr>
            <w:r w:rsidRPr="00512D7B">
              <w:t>0 (0)</w:t>
            </w:r>
          </w:p>
        </w:tc>
      </w:tr>
      <w:tr w:rsidR="009A4137" w:rsidRPr="00512D7B" w14:paraId="65FCB0AE" w14:textId="77777777">
        <w:trPr>
          <w:jc w:val="center"/>
        </w:trPr>
        <w:tc>
          <w:tcPr>
            <w:tcW w:w="1414" w:type="pct"/>
          </w:tcPr>
          <w:p w14:paraId="474DAC5E" w14:textId="77777777" w:rsidR="009A4137" w:rsidRPr="00512D7B" w:rsidRDefault="009A4137" w:rsidP="00EE0B02">
            <w:pPr>
              <w:pStyle w:val="COMTabletext"/>
            </w:pPr>
            <w:r w:rsidRPr="00512D7B">
              <w:t>Eye irritation</w:t>
            </w:r>
          </w:p>
        </w:tc>
        <w:tc>
          <w:tcPr>
            <w:tcW w:w="896" w:type="pct"/>
          </w:tcPr>
          <w:p w14:paraId="09DA6699" w14:textId="77777777" w:rsidR="009A4137" w:rsidRPr="00512D7B" w:rsidRDefault="009A4137" w:rsidP="00EE0B02">
            <w:pPr>
              <w:pStyle w:val="COMTabletext"/>
              <w:jc w:val="center"/>
            </w:pPr>
            <w:r w:rsidRPr="00512D7B">
              <w:t>110 (45)</w:t>
            </w:r>
          </w:p>
        </w:tc>
        <w:tc>
          <w:tcPr>
            <w:tcW w:w="897" w:type="pct"/>
          </w:tcPr>
          <w:p w14:paraId="1A9EA3E5" w14:textId="77777777" w:rsidR="009A4137" w:rsidRPr="00512D7B" w:rsidRDefault="009A4137" w:rsidP="00EE0B02">
            <w:pPr>
              <w:pStyle w:val="COMTabletext"/>
              <w:jc w:val="center"/>
            </w:pPr>
            <w:r w:rsidRPr="00512D7B">
              <w:t>12 (5)</w:t>
            </w:r>
          </w:p>
        </w:tc>
        <w:tc>
          <w:tcPr>
            <w:tcW w:w="897" w:type="pct"/>
          </w:tcPr>
          <w:p w14:paraId="53025764" w14:textId="77777777" w:rsidR="009A4137" w:rsidRPr="00512D7B" w:rsidRDefault="009A4137" w:rsidP="00EE0B02">
            <w:pPr>
              <w:pStyle w:val="COMTabletext"/>
              <w:jc w:val="center"/>
            </w:pPr>
            <w:r w:rsidRPr="00512D7B">
              <w:t>14 (6)</w:t>
            </w:r>
          </w:p>
        </w:tc>
        <w:tc>
          <w:tcPr>
            <w:tcW w:w="896" w:type="pct"/>
          </w:tcPr>
          <w:p w14:paraId="1BDF70F2" w14:textId="77777777" w:rsidR="009A4137" w:rsidRPr="00512D7B" w:rsidRDefault="009A4137" w:rsidP="00EE0B02">
            <w:pPr>
              <w:pStyle w:val="COMTabletext"/>
              <w:jc w:val="center"/>
            </w:pPr>
            <w:r w:rsidRPr="00512D7B">
              <w:t>0 (0)</w:t>
            </w:r>
          </w:p>
        </w:tc>
      </w:tr>
      <w:tr w:rsidR="009A4137" w:rsidRPr="00512D7B" w14:paraId="2E849409" w14:textId="77777777">
        <w:trPr>
          <w:jc w:val="center"/>
        </w:trPr>
        <w:tc>
          <w:tcPr>
            <w:tcW w:w="1414" w:type="pct"/>
          </w:tcPr>
          <w:p w14:paraId="2A12E8F7" w14:textId="77777777" w:rsidR="009A4137" w:rsidRPr="00512D7B" w:rsidRDefault="009A4137" w:rsidP="00EE0B02">
            <w:pPr>
              <w:pStyle w:val="COMTabletext"/>
            </w:pPr>
            <w:r w:rsidRPr="00512D7B">
              <w:t>Eye pain</w:t>
            </w:r>
          </w:p>
        </w:tc>
        <w:tc>
          <w:tcPr>
            <w:tcW w:w="896" w:type="pct"/>
          </w:tcPr>
          <w:p w14:paraId="328018D5" w14:textId="77777777" w:rsidR="009A4137" w:rsidRPr="00512D7B" w:rsidRDefault="009A4137" w:rsidP="00EE0B02">
            <w:pPr>
              <w:pStyle w:val="COMTabletext"/>
              <w:jc w:val="center"/>
            </w:pPr>
            <w:r w:rsidRPr="00512D7B">
              <w:t>81 (33)</w:t>
            </w:r>
          </w:p>
        </w:tc>
        <w:tc>
          <w:tcPr>
            <w:tcW w:w="897" w:type="pct"/>
          </w:tcPr>
          <w:p w14:paraId="774579B1" w14:textId="77777777" w:rsidR="009A4137" w:rsidRPr="00512D7B" w:rsidRDefault="009A4137" w:rsidP="00EE0B02">
            <w:pPr>
              <w:pStyle w:val="COMTabletext"/>
              <w:jc w:val="center"/>
            </w:pPr>
            <w:r w:rsidRPr="00512D7B">
              <w:t>2 (&lt;1)</w:t>
            </w:r>
          </w:p>
        </w:tc>
        <w:tc>
          <w:tcPr>
            <w:tcW w:w="897" w:type="pct"/>
          </w:tcPr>
          <w:p w14:paraId="3F5A8518" w14:textId="77777777" w:rsidR="009A4137" w:rsidRPr="00512D7B" w:rsidRDefault="009A4137" w:rsidP="00EE0B02">
            <w:pPr>
              <w:pStyle w:val="COMTabletext"/>
              <w:jc w:val="center"/>
            </w:pPr>
            <w:r w:rsidRPr="00512D7B">
              <w:t>9 (4)</w:t>
            </w:r>
          </w:p>
        </w:tc>
        <w:tc>
          <w:tcPr>
            <w:tcW w:w="896" w:type="pct"/>
          </w:tcPr>
          <w:p w14:paraId="0EB0C50F" w14:textId="77777777" w:rsidR="009A4137" w:rsidRPr="00512D7B" w:rsidRDefault="009A4137" w:rsidP="00EE0B02">
            <w:pPr>
              <w:pStyle w:val="COMTabletext"/>
              <w:jc w:val="center"/>
            </w:pPr>
            <w:r w:rsidRPr="00512D7B">
              <w:t>1 (&lt;1)</w:t>
            </w:r>
          </w:p>
        </w:tc>
      </w:tr>
      <w:tr w:rsidR="009A4137" w:rsidRPr="00512D7B" w14:paraId="2682DB9A" w14:textId="77777777">
        <w:trPr>
          <w:jc w:val="center"/>
        </w:trPr>
        <w:tc>
          <w:tcPr>
            <w:tcW w:w="1414" w:type="pct"/>
          </w:tcPr>
          <w:p w14:paraId="2F2FF0F7" w14:textId="77777777" w:rsidR="009A4137" w:rsidRPr="00512D7B" w:rsidRDefault="009A4137" w:rsidP="00EE0B02">
            <w:pPr>
              <w:pStyle w:val="COMTabletext"/>
            </w:pPr>
            <w:r w:rsidRPr="00512D7B">
              <w:t>Visual impairment</w:t>
            </w:r>
          </w:p>
        </w:tc>
        <w:tc>
          <w:tcPr>
            <w:tcW w:w="896" w:type="pct"/>
          </w:tcPr>
          <w:p w14:paraId="5D3C0972" w14:textId="77777777" w:rsidR="009A4137" w:rsidRPr="00512D7B" w:rsidRDefault="009A4137" w:rsidP="00EE0B02">
            <w:pPr>
              <w:pStyle w:val="COMTabletext"/>
              <w:jc w:val="center"/>
            </w:pPr>
            <w:r w:rsidRPr="00512D7B">
              <w:t>26 (11)</w:t>
            </w:r>
          </w:p>
        </w:tc>
        <w:tc>
          <w:tcPr>
            <w:tcW w:w="897" w:type="pct"/>
          </w:tcPr>
          <w:p w14:paraId="634352D2" w14:textId="77777777" w:rsidR="009A4137" w:rsidRPr="00512D7B" w:rsidRDefault="009A4137" w:rsidP="00EE0B02">
            <w:pPr>
              <w:pStyle w:val="COMTabletext"/>
              <w:jc w:val="center"/>
            </w:pPr>
            <w:r w:rsidRPr="00512D7B">
              <w:t>12 (5)</w:t>
            </w:r>
          </w:p>
        </w:tc>
        <w:tc>
          <w:tcPr>
            <w:tcW w:w="897" w:type="pct"/>
          </w:tcPr>
          <w:p w14:paraId="28CD3E86" w14:textId="77777777" w:rsidR="009A4137" w:rsidRPr="00512D7B" w:rsidRDefault="009A4137" w:rsidP="00EE0B02">
            <w:pPr>
              <w:pStyle w:val="COMTabletext"/>
              <w:jc w:val="center"/>
            </w:pPr>
            <w:r w:rsidRPr="00512D7B">
              <w:t>4 (2)</w:t>
            </w:r>
          </w:p>
        </w:tc>
        <w:tc>
          <w:tcPr>
            <w:tcW w:w="896" w:type="pct"/>
          </w:tcPr>
          <w:p w14:paraId="64E4544C" w14:textId="369C8858" w:rsidR="009A4137" w:rsidRPr="00512D7B" w:rsidRDefault="00EA3129" w:rsidP="00EE0B02">
            <w:pPr>
              <w:pStyle w:val="COMTabletext"/>
              <w:jc w:val="center"/>
            </w:pPr>
            <w:r w:rsidRPr="00512D7B">
              <w:rPr>
                <w:i/>
                <w:iCs/>
              </w:rPr>
              <w:t>1 (&lt;1)</w:t>
            </w:r>
          </w:p>
        </w:tc>
      </w:tr>
      <w:tr w:rsidR="009A4137" w:rsidRPr="00512D7B" w14:paraId="1BCE5262" w14:textId="77777777">
        <w:trPr>
          <w:jc w:val="center"/>
        </w:trPr>
        <w:tc>
          <w:tcPr>
            <w:tcW w:w="1414" w:type="pct"/>
          </w:tcPr>
          <w:p w14:paraId="052F5D52" w14:textId="77777777" w:rsidR="009A4137" w:rsidRPr="00512D7B" w:rsidRDefault="009A4137" w:rsidP="00EE0B02">
            <w:pPr>
              <w:pStyle w:val="COMTabletext"/>
            </w:pPr>
            <w:r w:rsidRPr="00512D7B">
              <w:t>Lacrimation increased</w:t>
            </w:r>
          </w:p>
        </w:tc>
        <w:tc>
          <w:tcPr>
            <w:tcW w:w="896" w:type="pct"/>
          </w:tcPr>
          <w:p w14:paraId="051BB303" w14:textId="77777777" w:rsidR="009A4137" w:rsidRPr="00512D7B" w:rsidRDefault="009A4137" w:rsidP="00EE0B02">
            <w:pPr>
              <w:pStyle w:val="COMTabletext"/>
              <w:jc w:val="center"/>
            </w:pPr>
            <w:r w:rsidRPr="00512D7B">
              <w:t>24 (10)</w:t>
            </w:r>
          </w:p>
        </w:tc>
        <w:tc>
          <w:tcPr>
            <w:tcW w:w="897" w:type="pct"/>
          </w:tcPr>
          <w:p w14:paraId="12AF319D" w14:textId="77777777" w:rsidR="009A4137" w:rsidRPr="00512D7B" w:rsidRDefault="009A4137" w:rsidP="00EE0B02">
            <w:pPr>
              <w:pStyle w:val="COMTabletext"/>
              <w:jc w:val="center"/>
            </w:pPr>
            <w:r w:rsidRPr="00512D7B">
              <w:t>2 (&lt;1)</w:t>
            </w:r>
          </w:p>
        </w:tc>
        <w:tc>
          <w:tcPr>
            <w:tcW w:w="897" w:type="pct"/>
          </w:tcPr>
          <w:p w14:paraId="660F1E5D" w14:textId="77777777" w:rsidR="009A4137" w:rsidRPr="00512D7B" w:rsidRDefault="009A4137" w:rsidP="00EE0B02">
            <w:pPr>
              <w:pStyle w:val="COMTabletext"/>
              <w:jc w:val="center"/>
            </w:pPr>
            <w:r w:rsidRPr="00512D7B">
              <w:t>8 (3)</w:t>
            </w:r>
          </w:p>
        </w:tc>
        <w:tc>
          <w:tcPr>
            <w:tcW w:w="896" w:type="pct"/>
          </w:tcPr>
          <w:p w14:paraId="6D0CB6D1" w14:textId="77777777" w:rsidR="009A4137" w:rsidRPr="00512D7B" w:rsidRDefault="009A4137" w:rsidP="00EE0B02">
            <w:pPr>
              <w:pStyle w:val="COMTabletext"/>
              <w:jc w:val="center"/>
            </w:pPr>
            <w:r w:rsidRPr="00512D7B">
              <w:t>0 (0)</w:t>
            </w:r>
          </w:p>
        </w:tc>
      </w:tr>
    </w:tbl>
    <w:p w14:paraId="553B4727" w14:textId="77777777" w:rsidR="009A4137" w:rsidRPr="00512D7B" w:rsidRDefault="009A4137" w:rsidP="009A4137">
      <w:pPr>
        <w:pStyle w:val="COMTablefooter"/>
      </w:pPr>
      <w:r w:rsidRPr="00512D7B">
        <w:t>Source: Table 2-35, p85 of the submission, Table 3.0034 pp1-5 DREAMM-7 IA2 Supplementary data.</w:t>
      </w:r>
    </w:p>
    <w:p w14:paraId="5E257CEE" w14:textId="35E78F7A" w:rsidR="009A4137" w:rsidRPr="00512D7B" w:rsidRDefault="009A4137" w:rsidP="009A4137">
      <w:pPr>
        <w:pStyle w:val="COMTablefooter"/>
      </w:pPr>
      <w:r w:rsidRPr="00512D7B">
        <w:t xml:space="preserve">Abbreviations: AE, adverse event; </w:t>
      </w:r>
      <w:r w:rsidR="001030EA" w:rsidRPr="00512D7B">
        <w:t>BmBd</w:t>
      </w:r>
      <w:r w:rsidRPr="00512D7B">
        <w:t xml:space="preserve">, belantamab mafodotin in combination with bortezomib and dexamethasone; CTCAE, Common Terminology Criteria for Adverse Events; </w:t>
      </w:r>
      <w:r w:rsidR="001C413B" w:rsidRPr="00512D7B">
        <w:t>DBd</w:t>
      </w:r>
      <w:r w:rsidRPr="00512D7B">
        <w:t>, daratumumab in combination with bortezomib and dexamethasone; IA2, interim analysis 2 (October 2024 data cut).</w:t>
      </w:r>
    </w:p>
    <w:p w14:paraId="5F36A787" w14:textId="269903C3" w:rsidR="009A4137" w:rsidRPr="00AC3F7C" w:rsidRDefault="009A4137" w:rsidP="009A4137">
      <w:pPr>
        <w:pStyle w:val="COMESnumberedpara"/>
        <w:rPr>
          <w:lang w:eastAsia="zh-CN"/>
        </w:rPr>
      </w:pPr>
      <w:r w:rsidRPr="00AC3F7C">
        <w:rPr>
          <w:lang w:eastAsia="zh-CN"/>
        </w:rPr>
        <w:t xml:space="preserve">More patients in the </w:t>
      </w:r>
      <w:r w:rsidR="001030EA" w:rsidRPr="00AC3F7C">
        <w:rPr>
          <w:lang w:eastAsia="zh-CN"/>
        </w:rPr>
        <w:t>BmBd</w:t>
      </w:r>
      <w:r w:rsidRPr="00AC3F7C">
        <w:rPr>
          <w:lang w:eastAsia="zh-CN"/>
        </w:rPr>
        <w:t xml:space="preserve"> arm experienced ocular adverse events of special interest in the </w:t>
      </w:r>
      <w:r w:rsidR="001030EA" w:rsidRPr="00AC3F7C">
        <w:rPr>
          <w:lang w:eastAsia="zh-CN"/>
        </w:rPr>
        <w:t>BmBd</w:t>
      </w:r>
      <w:r w:rsidRPr="00AC3F7C">
        <w:rPr>
          <w:lang w:eastAsia="zh-CN"/>
        </w:rPr>
        <w:t xml:space="preserve"> arm compared </w:t>
      </w:r>
      <w:r w:rsidR="005E0CE3" w:rsidRPr="00AC3F7C">
        <w:rPr>
          <w:lang w:eastAsia="zh-CN"/>
        </w:rPr>
        <w:t xml:space="preserve">with </w:t>
      </w:r>
      <w:r w:rsidRPr="00AC3F7C">
        <w:rPr>
          <w:lang w:eastAsia="zh-CN"/>
        </w:rPr>
        <w:t xml:space="preserve">the </w:t>
      </w:r>
      <w:r w:rsidR="001C413B" w:rsidRPr="00AC3F7C">
        <w:rPr>
          <w:lang w:eastAsia="zh-CN"/>
        </w:rPr>
        <w:t>DBd</w:t>
      </w:r>
      <w:r w:rsidRPr="00AC3F7C">
        <w:rPr>
          <w:lang w:eastAsia="zh-CN"/>
        </w:rPr>
        <w:t xml:space="preserve"> arm (80% versus 31%). The </w:t>
      </w:r>
      <w:proofErr w:type="gramStart"/>
      <w:r w:rsidRPr="00AC3F7C">
        <w:rPr>
          <w:lang w:eastAsia="zh-CN"/>
        </w:rPr>
        <w:t>most commonly reported</w:t>
      </w:r>
      <w:proofErr w:type="gramEnd"/>
      <w:r w:rsidRPr="00AC3F7C">
        <w:rPr>
          <w:lang w:eastAsia="zh-CN"/>
        </w:rPr>
        <w:t xml:space="preserve"> ocular adverse events of special interest in the </w:t>
      </w:r>
      <w:r w:rsidR="001030EA" w:rsidRPr="00AC3F7C">
        <w:rPr>
          <w:lang w:eastAsia="zh-CN"/>
        </w:rPr>
        <w:t>BmBd</w:t>
      </w:r>
      <w:r w:rsidRPr="00AC3F7C">
        <w:rPr>
          <w:lang w:eastAsia="zh-CN"/>
        </w:rPr>
        <w:t xml:space="preserve"> arm were blurred vision, dry eye, photophobia, foreign body sensation in the eye and eye irritation. </w:t>
      </w:r>
    </w:p>
    <w:p w14:paraId="406C7C88" w14:textId="77777777" w:rsidR="00397403" w:rsidRPr="00AC3F7C" w:rsidRDefault="00397403" w:rsidP="00397403">
      <w:pPr>
        <w:pStyle w:val="COMESnumberedpara"/>
      </w:pPr>
      <w:r w:rsidRPr="00AC3F7C">
        <w:t>The DREAMM-7 study report (October 2023 data cut) also reported that, of the participants who were able to read with little or no difficulty at baseline, more participants in the BmBd arm than in the DBd arm stopped reading due to eyesight issues at some point on treatment (27% versus 2%). Of the participants who were able to drive with little or no difficulty at baseline, more participants in the BmBd arm than in the DBd arm stopped driving due to eyesight issues at some point on treatment (40% versus 3%).</w:t>
      </w:r>
    </w:p>
    <w:p w14:paraId="4EC5C38E" w14:textId="77777777" w:rsidR="009A4137" w:rsidRPr="00AC3F7C" w:rsidRDefault="009A4137" w:rsidP="009A4137">
      <w:pPr>
        <w:pStyle w:val="COMESnumberedpara"/>
        <w:rPr>
          <w:lang w:eastAsia="zh-CN"/>
        </w:rPr>
      </w:pPr>
      <w:r w:rsidRPr="00AC3F7C">
        <w:rPr>
          <w:lang w:eastAsia="zh-CN"/>
        </w:rPr>
        <w:t>The submission also presented ocular adverse events based on the Keratopathy and Visual Acuity (KVA) scale. The KVA has two components: the first grades corneal findings from the ocular exam (e.g., presence of microcysts, corneal haze, etc.) and the second grades the change in vision based on best corrected visual acuity (BCVA); with the overall KVA grade determined by the more severe grade of the 2 components.</w:t>
      </w:r>
    </w:p>
    <w:p w14:paraId="7B400CC3" w14:textId="77777777" w:rsidR="00164624" w:rsidRPr="00AC3F7C" w:rsidRDefault="009A4137">
      <w:pPr>
        <w:pStyle w:val="COMESnumberedpara"/>
        <w:rPr>
          <w:lang w:eastAsia="zh-CN"/>
        </w:rPr>
      </w:pPr>
      <w:r w:rsidRPr="00AC3F7C">
        <w:rPr>
          <w:lang w:eastAsia="zh-CN"/>
        </w:rPr>
        <w:lastRenderedPageBreak/>
        <w:t>At the October</w:t>
      </w:r>
      <w:r w:rsidRPr="00AC3F7C">
        <w:rPr>
          <w:rFonts w:hint="eastAsia"/>
          <w:lang w:eastAsia="zh-CN"/>
        </w:rPr>
        <w:t xml:space="preserve"> 2024 data cut, 83% of patients in the </w:t>
      </w:r>
      <w:r w:rsidR="001030EA" w:rsidRPr="00AC3F7C">
        <w:rPr>
          <w:rFonts w:hint="eastAsia"/>
          <w:lang w:eastAsia="zh-CN"/>
        </w:rPr>
        <w:t>BmBd</w:t>
      </w:r>
      <w:r w:rsidRPr="00AC3F7C">
        <w:rPr>
          <w:rFonts w:hint="eastAsia"/>
          <w:lang w:eastAsia="zh-CN"/>
        </w:rPr>
        <w:t xml:space="preserve"> arm experienced treatment-related corneal adverse events</w:t>
      </w:r>
      <w:r w:rsidRPr="00AC3F7C">
        <w:rPr>
          <w:lang w:eastAsia="zh-CN"/>
        </w:rPr>
        <w:t xml:space="preserve"> based on KVA scale grading</w:t>
      </w:r>
      <w:r w:rsidRPr="00AC3F7C">
        <w:rPr>
          <w:rFonts w:hint="eastAsia"/>
          <w:lang w:eastAsia="zh-CN"/>
        </w:rPr>
        <w:t xml:space="preserve">. Based on the 81% of patients with grade </w:t>
      </w:r>
      <w:r w:rsidRPr="00AC3F7C">
        <w:rPr>
          <w:rFonts w:cstheme="minorHAnsi"/>
          <w:lang w:eastAsia="zh-CN"/>
        </w:rPr>
        <w:t>≥</w:t>
      </w:r>
      <w:r w:rsidRPr="00AC3F7C">
        <w:rPr>
          <w:rFonts w:hint="eastAsia"/>
          <w:lang w:eastAsia="zh-CN"/>
        </w:rPr>
        <w:t xml:space="preserve">2 KVA scale </w:t>
      </w:r>
      <w:r w:rsidRPr="00AC3F7C">
        <w:rPr>
          <w:lang w:eastAsia="zh-CN"/>
        </w:rPr>
        <w:t>events</w:t>
      </w:r>
      <w:r w:rsidRPr="00AC3F7C">
        <w:rPr>
          <w:rFonts w:hint="eastAsia"/>
          <w:lang w:eastAsia="zh-CN"/>
        </w:rPr>
        <w:t xml:space="preserve">, the median time to onset of the first occurrence was 58.0 days, the median duration of the first occurrence was 106.0 days, </w:t>
      </w:r>
      <w:r w:rsidRPr="00AC3F7C">
        <w:rPr>
          <w:lang w:eastAsia="zh-CN"/>
        </w:rPr>
        <w:t xml:space="preserve">and </w:t>
      </w:r>
      <w:r w:rsidRPr="00AC3F7C">
        <w:rPr>
          <w:rFonts w:hint="eastAsia"/>
          <w:lang w:eastAsia="zh-CN"/>
        </w:rPr>
        <w:t>58% of patients had 3 or more events</w:t>
      </w:r>
      <w:r w:rsidRPr="00AC3F7C">
        <w:rPr>
          <w:lang w:eastAsia="zh-CN"/>
        </w:rPr>
        <w:t xml:space="preserve">. </w:t>
      </w:r>
      <w:r w:rsidR="0057473E" w:rsidRPr="00AC3F7C">
        <w:rPr>
          <w:lang w:eastAsia="zh-CN"/>
        </w:rPr>
        <w:t xml:space="preserve">Results indicated that 154 (64%) patients in the BmBd arm had unresolved corneal events at the end of treatment, with 94 (61%) of these patients having symptoms unresolved at the end of follow-up/time of the data cut. </w:t>
      </w:r>
      <w:r w:rsidR="0057473E" w:rsidRPr="00AC3F7C">
        <w:t>The longer-term impacts of belantamab mafodotin on the cornea and vision are unclear.</w:t>
      </w:r>
      <w:r w:rsidR="00E54A7C" w:rsidRPr="00AC3F7C">
        <w:t xml:space="preserve"> </w:t>
      </w:r>
    </w:p>
    <w:p w14:paraId="13EBEC70" w14:textId="177CBD46" w:rsidR="009A4137" w:rsidRPr="00AC3F7C" w:rsidRDefault="00E54A7C">
      <w:pPr>
        <w:pStyle w:val="COMESnumberedpara"/>
        <w:rPr>
          <w:lang w:eastAsia="zh-CN"/>
        </w:rPr>
      </w:pPr>
      <w:r w:rsidRPr="00AC3F7C">
        <w:t xml:space="preserve">The PSCR </w:t>
      </w:r>
      <w:r w:rsidR="00010004">
        <w:t xml:space="preserve">and pre-PBAC response </w:t>
      </w:r>
      <w:r w:rsidRPr="00AC3F7C">
        <w:t xml:space="preserve">stated that the ocular adverse events were </w:t>
      </w:r>
      <w:r w:rsidR="00E10FBF" w:rsidRPr="00AC3F7C">
        <w:t xml:space="preserve">predictable, </w:t>
      </w:r>
      <w:r w:rsidRPr="00AC3F7C">
        <w:t xml:space="preserve">manageable and reversible with dose modifications </w:t>
      </w:r>
      <w:r w:rsidR="005055FC" w:rsidRPr="00AC3F7C">
        <w:t xml:space="preserve">(including delays, interruptions or reductions) </w:t>
      </w:r>
      <w:r w:rsidRPr="00AC3F7C">
        <w:t>and follow-up.</w:t>
      </w:r>
      <w:r w:rsidR="00002DC8" w:rsidRPr="00AC3F7C">
        <w:t xml:space="preserve"> The PSCR also stated that </w:t>
      </w:r>
      <w:r w:rsidR="00C3212E" w:rsidRPr="00AC3F7C">
        <w:t>of 899 KVA-graded events across 5,315 exams</w:t>
      </w:r>
      <w:r w:rsidR="00ED26E0" w:rsidRPr="00AC3F7C">
        <w:t xml:space="preserve"> in DREAMM-7</w:t>
      </w:r>
      <w:r w:rsidR="00C3212E" w:rsidRPr="00AC3F7C">
        <w:t>, 87% had resolved</w:t>
      </w:r>
      <w:r w:rsidR="00ED26E0" w:rsidRPr="00AC3F7C">
        <w:t xml:space="preserve"> by the data cut-off</w:t>
      </w:r>
      <w:r w:rsidR="00110C69" w:rsidRPr="00AC3F7C">
        <w:t>, with consistent resolutions times (median</w:t>
      </w:r>
      <w:r w:rsidR="00E71FAC" w:rsidRPr="00AC3F7C">
        <w:t xml:space="preserve"> </w:t>
      </w:r>
      <w:r w:rsidR="004637F0" w:rsidRPr="00AC3F7C">
        <w:rPr>
          <w:lang w:bidi="en-US"/>
        </w:rPr>
        <w:t>~85–117 days) and no evidence of cumulative worsening</w:t>
      </w:r>
      <w:r w:rsidR="0028508F" w:rsidRPr="00AC3F7C">
        <w:rPr>
          <w:lang w:bidi="en-US"/>
        </w:rPr>
        <w:t xml:space="preserve">, </w:t>
      </w:r>
      <w:r w:rsidR="0028508F" w:rsidRPr="00AC3F7C">
        <w:rPr>
          <w:rFonts w:cstheme="minorHAnsi"/>
          <w:szCs w:val="24"/>
          <w:lang w:bidi="en-US"/>
        </w:rPr>
        <w:t xml:space="preserve">see </w:t>
      </w:r>
      <w:r w:rsidR="006C125D" w:rsidRPr="00AC3F7C">
        <w:rPr>
          <w:rFonts w:cstheme="minorHAnsi"/>
          <w:szCs w:val="24"/>
          <w:lang w:bidi="en-US"/>
        </w:rPr>
        <w:fldChar w:fldCharType="begin"/>
      </w:r>
      <w:r w:rsidR="006C125D" w:rsidRPr="00AC3F7C">
        <w:rPr>
          <w:rFonts w:cstheme="minorHAnsi"/>
          <w:szCs w:val="24"/>
          <w:lang w:bidi="en-US"/>
        </w:rPr>
        <w:instrText xml:space="preserve"> REF _Ref210994514 \h  \* MERGEFORMAT </w:instrText>
      </w:r>
      <w:r w:rsidR="006C125D" w:rsidRPr="00AC3F7C">
        <w:rPr>
          <w:rFonts w:cstheme="minorHAnsi"/>
          <w:szCs w:val="24"/>
          <w:lang w:bidi="en-US"/>
        </w:rPr>
      </w:r>
      <w:r w:rsidR="006C125D" w:rsidRPr="00AC3F7C">
        <w:rPr>
          <w:rFonts w:cstheme="minorHAnsi"/>
          <w:szCs w:val="24"/>
          <w:lang w:bidi="en-US"/>
        </w:rPr>
        <w:fldChar w:fldCharType="separate"/>
      </w:r>
      <w:r w:rsidR="00674A1F" w:rsidRPr="00674A1F">
        <w:rPr>
          <w:rFonts w:cstheme="minorHAnsi"/>
          <w:szCs w:val="24"/>
        </w:rPr>
        <w:t>Table 8</w:t>
      </w:r>
      <w:r w:rsidR="006C125D" w:rsidRPr="00AC3F7C">
        <w:rPr>
          <w:rFonts w:cstheme="minorHAnsi"/>
          <w:szCs w:val="24"/>
          <w:lang w:bidi="en-US"/>
        </w:rPr>
        <w:fldChar w:fldCharType="end"/>
      </w:r>
      <w:r w:rsidR="004637F0" w:rsidRPr="00AC3F7C">
        <w:rPr>
          <w:rFonts w:cstheme="minorHAnsi"/>
          <w:szCs w:val="24"/>
          <w:lang w:bidi="en-US"/>
        </w:rPr>
        <w:t xml:space="preserve">. Additionally, Grade ≥ 2 events </w:t>
      </w:r>
      <w:r w:rsidR="00C86233" w:rsidRPr="00AC3F7C">
        <w:rPr>
          <w:rFonts w:cstheme="minorHAnsi"/>
          <w:szCs w:val="24"/>
          <w:lang w:bidi="en-US"/>
        </w:rPr>
        <w:t>resolved to Grade ≤ 1 in 80-95% of cases across multi</w:t>
      </w:r>
      <w:r w:rsidR="00E508C4" w:rsidRPr="00AC3F7C">
        <w:rPr>
          <w:rFonts w:cstheme="minorHAnsi"/>
          <w:szCs w:val="24"/>
          <w:lang w:bidi="en-US"/>
        </w:rPr>
        <w:t>p</w:t>
      </w:r>
      <w:r w:rsidR="00C86233" w:rsidRPr="00AC3F7C">
        <w:rPr>
          <w:rFonts w:cstheme="minorHAnsi"/>
          <w:szCs w:val="24"/>
          <w:lang w:bidi="en-US"/>
        </w:rPr>
        <w:t>le recurrences, and dose modifications effectively managed toxicity</w:t>
      </w:r>
      <w:r w:rsidR="00E508C4" w:rsidRPr="00AC3F7C">
        <w:rPr>
          <w:rFonts w:cstheme="minorHAnsi"/>
          <w:szCs w:val="24"/>
          <w:lang w:bidi="en-US"/>
        </w:rPr>
        <w:t>, indicating</w:t>
      </w:r>
      <w:r w:rsidR="00E508C4" w:rsidRPr="00AC3F7C">
        <w:rPr>
          <w:lang w:bidi="en-US"/>
        </w:rPr>
        <w:t xml:space="preserve"> that the ocular effects were unlikely to be progressive and can be effectively mitigated in clinical practice.</w:t>
      </w:r>
    </w:p>
    <w:p w14:paraId="1EC223F2" w14:textId="7C99C027" w:rsidR="00194BBE" w:rsidRPr="00AC3F7C" w:rsidRDefault="00194BBE" w:rsidP="004302C8">
      <w:pPr>
        <w:pStyle w:val="Caption"/>
        <w:keepNext/>
        <w:spacing w:after="0"/>
        <w:rPr>
          <w:rFonts w:ascii="Arial Narrow" w:hAnsi="Arial Narrow"/>
          <w:b/>
          <w:bCs/>
          <w:i w:val="0"/>
          <w:iCs w:val="0"/>
          <w:color w:val="auto"/>
          <w:sz w:val="20"/>
          <w:szCs w:val="20"/>
          <w:lang w:eastAsia="zh-CN"/>
        </w:rPr>
      </w:pPr>
      <w:bookmarkStart w:id="44" w:name="_Ref210994514"/>
      <w:r w:rsidRPr="00AC3F7C">
        <w:rPr>
          <w:rFonts w:ascii="Arial Narrow" w:hAnsi="Arial Narrow"/>
          <w:b/>
          <w:bCs/>
          <w:i w:val="0"/>
          <w:iCs w:val="0"/>
          <w:color w:val="auto"/>
          <w:sz w:val="20"/>
          <w:szCs w:val="20"/>
        </w:rPr>
        <w:t xml:space="preserve">Table </w:t>
      </w:r>
      <w:r w:rsidRPr="00AC3F7C">
        <w:rPr>
          <w:rFonts w:ascii="Arial Narrow" w:hAnsi="Arial Narrow"/>
          <w:b/>
          <w:bCs/>
          <w:i w:val="0"/>
          <w:iCs w:val="0"/>
          <w:color w:val="auto"/>
          <w:sz w:val="20"/>
          <w:szCs w:val="20"/>
        </w:rPr>
        <w:fldChar w:fldCharType="begin"/>
      </w:r>
      <w:r w:rsidRPr="00AC3F7C">
        <w:rPr>
          <w:rFonts w:ascii="Arial Narrow" w:hAnsi="Arial Narrow"/>
          <w:b/>
          <w:bCs/>
          <w:i w:val="0"/>
          <w:iCs w:val="0"/>
          <w:color w:val="auto"/>
          <w:sz w:val="20"/>
          <w:szCs w:val="20"/>
        </w:rPr>
        <w:instrText xml:space="preserve"> SEQ Table \* ARABIC </w:instrText>
      </w:r>
      <w:r w:rsidRPr="00AC3F7C">
        <w:rPr>
          <w:rFonts w:ascii="Arial Narrow" w:hAnsi="Arial Narrow"/>
          <w:b/>
          <w:bCs/>
          <w:i w:val="0"/>
          <w:iCs w:val="0"/>
          <w:color w:val="auto"/>
          <w:sz w:val="20"/>
          <w:szCs w:val="20"/>
        </w:rPr>
        <w:fldChar w:fldCharType="separate"/>
      </w:r>
      <w:r w:rsidR="00674A1F">
        <w:rPr>
          <w:rFonts w:ascii="Arial Narrow" w:hAnsi="Arial Narrow"/>
          <w:b/>
          <w:bCs/>
          <w:i w:val="0"/>
          <w:iCs w:val="0"/>
          <w:noProof/>
          <w:color w:val="auto"/>
          <w:sz w:val="20"/>
          <w:szCs w:val="20"/>
        </w:rPr>
        <w:t>8</w:t>
      </w:r>
      <w:r w:rsidRPr="00AC3F7C">
        <w:rPr>
          <w:rFonts w:ascii="Arial Narrow" w:hAnsi="Arial Narrow"/>
          <w:b/>
          <w:bCs/>
          <w:i w:val="0"/>
          <w:iCs w:val="0"/>
          <w:color w:val="auto"/>
          <w:sz w:val="20"/>
          <w:szCs w:val="20"/>
        </w:rPr>
        <w:fldChar w:fldCharType="end"/>
      </w:r>
      <w:bookmarkEnd w:id="44"/>
      <w:r w:rsidRPr="00AC3F7C">
        <w:rPr>
          <w:rFonts w:ascii="Arial Narrow" w:hAnsi="Arial Narrow"/>
          <w:b/>
          <w:bCs/>
          <w:i w:val="0"/>
          <w:iCs w:val="0"/>
          <w:color w:val="auto"/>
          <w:sz w:val="20"/>
          <w:szCs w:val="20"/>
        </w:rPr>
        <w:t xml:space="preserve">: </w:t>
      </w:r>
      <w:r w:rsidR="00FF0C8D" w:rsidRPr="00AC3F7C">
        <w:rPr>
          <w:rFonts w:ascii="Arial Narrow" w:hAnsi="Arial Narrow"/>
          <w:b/>
          <w:bCs/>
          <w:i w:val="0"/>
          <w:iCs w:val="0"/>
          <w:color w:val="auto"/>
          <w:sz w:val="20"/>
          <w:szCs w:val="20"/>
        </w:rPr>
        <w:t xml:space="preserve">DREAMM-7 KVA Grade </w:t>
      </w:r>
      <w:r w:rsidR="00FF0C8D" w:rsidRPr="00AC3F7C">
        <w:rPr>
          <w:rFonts w:ascii="Arial Narrow" w:hAnsi="Arial Narrow" w:cs="Calibri"/>
          <w:b/>
          <w:bCs/>
          <w:i w:val="0"/>
          <w:iCs w:val="0"/>
          <w:color w:val="auto"/>
          <w:sz w:val="20"/>
          <w:szCs w:val="20"/>
        </w:rPr>
        <w:t>≥</w:t>
      </w:r>
      <w:r w:rsidR="00FF0C8D" w:rsidRPr="00AC3F7C">
        <w:rPr>
          <w:rFonts w:ascii="Arial Narrow" w:hAnsi="Arial Narrow"/>
          <w:b/>
          <w:bCs/>
          <w:i w:val="0"/>
          <w:iCs w:val="0"/>
          <w:color w:val="auto"/>
          <w:sz w:val="20"/>
          <w:szCs w:val="20"/>
        </w:rPr>
        <w:t xml:space="preserve"> 2 recurrences (IA2)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DREAMM-7 KVA Grade ≥ 2 recurrences (IA2)"/>
      </w:tblPr>
      <w:tblGrid>
        <w:gridCol w:w="1675"/>
        <w:gridCol w:w="2040"/>
        <w:gridCol w:w="2160"/>
        <w:gridCol w:w="3142"/>
      </w:tblGrid>
      <w:tr w:rsidR="00C97870" w:rsidRPr="00AC3F7C" w14:paraId="4A3A6BB3" w14:textId="77777777" w:rsidTr="00D55087">
        <w:trPr>
          <w:trHeight w:val="20"/>
          <w:tblHeader/>
        </w:trPr>
        <w:tc>
          <w:tcPr>
            <w:tcW w:w="929" w:type="pct"/>
            <w:vAlign w:val="center"/>
          </w:tcPr>
          <w:p w14:paraId="383395F9" w14:textId="77777777" w:rsidR="00C97870" w:rsidRPr="00AC3F7C" w:rsidRDefault="00C97870" w:rsidP="004302C8">
            <w:pPr>
              <w:pStyle w:val="TableHeading0"/>
              <w:keepNext/>
              <w:spacing w:after="0"/>
              <w:jc w:val="left"/>
              <w:rPr>
                <w:rFonts w:eastAsiaTheme="majorEastAsia"/>
                <w:bCs/>
                <w:szCs w:val="20"/>
              </w:rPr>
            </w:pPr>
            <w:r w:rsidRPr="00AC3F7C">
              <w:rPr>
                <w:szCs w:val="20"/>
              </w:rPr>
              <w:t>Occurrence KVA Grade ≥2</w:t>
            </w:r>
          </w:p>
        </w:tc>
        <w:tc>
          <w:tcPr>
            <w:tcW w:w="1131" w:type="pct"/>
            <w:vAlign w:val="center"/>
          </w:tcPr>
          <w:p w14:paraId="2E0D459A" w14:textId="6365787F" w:rsidR="00C97870" w:rsidRPr="00AC3F7C" w:rsidRDefault="00C97870" w:rsidP="004302C8">
            <w:pPr>
              <w:pStyle w:val="TableHeading0"/>
              <w:keepNext/>
              <w:spacing w:after="0"/>
              <w:jc w:val="center"/>
              <w:rPr>
                <w:szCs w:val="20"/>
              </w:rPr>
            </w:pPr>
            <w:r w:rsidRPr="00AC3F7C">
              <w:rPr>
                <w:szCs w:val="20"/>
              </w:rPr>
              <w:t xml:space="preserve">% </w:t>
            </w:r>
            <w:r w:rsidR="00887290" w:rsidRPr="00AC3F7C">
              <w:rPr>
                <w:szCs w:val="20"/>
              </w:rPr>
              <w:t>p</w:t>
            </w:r>
            <w:r w:rsidRPr="00AC3F7C">
              <w:rPr>
                <w:szCs w:val="20"/>
              </w:rPr>
              <w:t xml:space="preserve">atients with Grade ≥2 KVA </w:t>
            </w:r>
            <w:r w:rsidR="00887290" w:rsidRPr="00AC3F7C">
              <w:rPr>
                <w:szCs w:val="20"/>
              </w:rPr>
              <w:t>f</w:t>
            </w:r>
            <w:r w:rsidRPr="00AC3F7C">
              <w:rPr>
                <w:szCs w:val="20"/>
              </w:rPr>
              <w:t xml:space="preserve">inding </w:t>
            </w:r>
            <w:r w:rsidRPr="00AC3F7C">
              <w:rPr>
                <w:szCs w:val="20"/>
                <w:vertAlign w:val="superscript"/>
              </w:rPr>
              <w:t>a</w:t>
            </w:r>
          </w:p>
        </w:tc>
        <w:tc>
          <w:tcPr>
            <w:tcW w:w="1198" w:type="pct"/>
            <w:vAlign w:val="center"/>
          </w:tcPr>
          <w:p w14:paraId="4E33FE1C" w14:textId="5346A639" w:rsidR="00C97870" w:rsidRPr="00AC3F7C" w:rsidRDefault="00C97870" w:rsidP="004302C8">
            <w:pPr>
              <w:pStyle w:val="TableHeading0"/>
              <w:keepNext/>
              <w:spacing w:after="0"/>
              <w:jc w:val="center"/>
              <w:rPr>
                <w:szCs w:val="20"/>
              </w:rPr>
            </w:pPr>
            <w:r w:rsidRPr="00AC3F7C">
              <w:rPr>
                <w:szCs w:val="20"/>
              </w:rPr>
              <w:t xml:space="preserve">% </w:t>
            </w:r>
            <w:r w:rsidR="00887290" w:rsidRPr="00AC3F7C">
              <w:rPr>
                <w:szCs w:val="20"/>
              </w:rPr>
              <w:t>o</w:t>
            </w:r>
            <w:r w:rsidRPr="00AC3F7C">
              <w:rPr>
                <w:szCs w:val="20"/>
              </w:rPr>
              <w:t xml:space="preserve">ccurrences </w:t>
            </w:r>
            <w:r w:rsidR="00887290" w:rsidRPr="00AC3F7C">
              <w:rPr>
                <w:szCs w:val="20"/>
              </w:rPr>
              <w:t>r</w:t>
            </w:r>
            <w:r w:rsidRPr="00AC3F7C">
              <w:rPr>
                <w:szCs w:val="20"/>
              </w:rPr>
              <w:t xml:space="preserve">esolved to Grade ≤1 </w:t>
            </w:r>
            <w:r w:rsidRPr="00AC3F7C">
              <w:rPr>
                <w:szCs w:val="20"/>
              </w:rPr>
              <w:br/>
              <w:t>(N=242)</w:t>
            </w:r>
          </w:p>
        </w:tc>
        <w:tc>
          <w:tcPr>
            <w:tcW w:w="1742" w:type="pct"/>
            <w:vAlign w:val="center"/>
          </w:tcPr>
          <w:p w14:paraId="443F44AD" w14:textId="72ABCD76" w:rsidR="00C97870" w:rsidRPr="00AC3F7C" w:rsidRDefault="00C97870" w:rsidP="004302C8">
            <w:pPr>
              <w:pStyle w:val="TableHeading0"/>
              <w:keepNext/>
              <w:spacing w:after="0"/>
              <w:jc w:val="center"/>
              <w:rPr>
                <w:szCs w:val="20"/>
              </w:rPr>
            </w:pPr>
            <w:r w:rsidRPr="00AC3F7C">
              <w:rPr>
                <w:szCs w:val="20"/>
              </w:rPr>
              <w:t xml:space="preserve">Time to </w:t>
            </w:r>
            <w:r w:rsidR="00887290" w:rsidRPr="00AC3F7C">
              <w:rPr>
                <w:szCs w:val="20"/>
              </w:rPr>
              <w:t>r</w:t>
            </w:r>
            <w:r w:rsidRPr="00AC3F7C">
              <w:rPr>
                <w:szCs w:val="20"/>
              </w:rPr>
              <w:t>esolution to Grade ≤1 (days)</w:t>
            </w:r>
            <w:r w:rsidRPr="00AC3F7C">
              <w:rPr>
                <w:szCs w:val="20"/>
                <w:vertAlign w:val="superscript"/>
              </w:rPr>
              <w:t>b</w:t>
            </w:r>
            <w:r w:rsidR="001A114C" w:rsidRPr="00AC3F7C">
              <w:rPr>
                <w:szCs w:val="20"/>
              </w:rPr>
              <w:t>, m</w:t>
            </w:r>
            <w:r w:rsidRPr="00AC3F7C">
              <w:rPr>
                <w:szCs w:val="20"/>
              </w:rPr>
              <w:t>edian (IQR)</w:t>
            </w:r>
            <w:r w:rsidR="001A114C" w:rsidRPr="00AC3F7C">
              <w:rPr>
                <w:szCs w:val="20"/>
              </w:rPr>
              <w:br/>
            </w:r>
            <w:r w:rsidRPr="00AC3F7C">
              <w:rPr>
                <w:szCs w:val="20"/>
              </w:rPr>
              <w:t>(N=242)</w:t>
            </w:r>
          </w:p>
        </w:tc>
      </w:tr>
      <w:tr w:rsidR="00C97870" w:rsidRPr="00AC3F7C" w14:paraId="0B5484A8" w14:textId="77777777" w:rsidTr="006C125D">
        <w:trPr>
          <w:trHeight w:val="20"/>
        </w:trPr>
        <w:tc>
          <w:tcPr>
            <w:tcW w:w="929" w:type="pct"/>
            <w:vAlign w:val="center"/>
          </w:tcPr>
          <w:p w14:paraId="3E429D7A" w14:textId="77777777"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1st</w:t>
            </w:r>
          </w:p>
        </w:tc>
        <w:tc>
          <w:tcPr>
            <w:tcW w:w="1131" w:type="pct"/>
            <w:vAlign w:val="center"/>
          </w:tcPr>
          <w:p w14:paraId="1CA016EE"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88%</w:t>
            </w:r>
          </w:p>
        </w:tc>
        <w:tc>
          <w:tcPr>
            <w:tcW w:w="1198" w:type="pct"/>
            <w:vAlign w:val="center"/>
          </w:tcPr>
          <w:p w14:paraId="449C787C"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80%</w:t>
            </w:r>
          </w:p>
        </w:tc>
        <w:tc>
          <w:tcPr>
            <w:tcW w:w="1742" w:type="pct"/>
            <w:vAlign w:val="center"/>
          </w:tcPr>
          <w:p w14:paraId="41C70696"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117 (64, 294)</w:t>
            </w:r>
          </w:p>
        </w:tc>
      </w:tr>
      <w:tr w:rsidR="00C97870" w:rsidRPr="00AC3F7C" w14:paraId="597723CB" w14:textId="77777777" w:rsidTr="006C125D">
        <w:trPr>
          <w:trHeight w:val="20"/>
        </w:trPr>
        <w:tc>
          <w:tcPr>
            <w:tcW w:w="929" w:type="pct"/>
            <w:vAlign w:val="center"/>
          </w:tcPr>
          <w:p w14:paraId="4471E48B" w14:textId="77777777"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2nd</w:t>
            </w:r>
          </w:p>
        </w:tc>
        <w:tc>
          <w:tcPr>
            <w:tcW w:w="1131" w:type="pct"/>
            <w:vAlign w:val="center"/>
          </w:tcPr>
          <w:p w14:paraId="60597539"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60%</w:t>
            </w:r>
          </w:p>
        </w:tc>
        <w:tc>
          <w:tcPr>
            <w:tcW w:w="1198" w:type="pct"/>
            <w:vAlign w:val="center"/>
          </w:tcPr>
          <w:p w14:paraId="62F2E58B"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92%</w:t>
            </w:r>
          </w:p>
        </w:tc>
        <w:tc>
          <w:tcPr>
            <w:tcW w:w="1742" w:type="pct"/>
            <w:vAlign w:val="center"/>
          </w:tcPr>
          <w:p w14:paraId="1B5CFD89"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96 (45, 148)</w:t>
            </w:r>
          </w:p>
        </w:tc>
      </w:tr>
      <w:tr w:rsidR="00C97870" w:rsidRPr="00AC3F7C" w14:paraId="1EB335E4" w14:textId="77777777" w:rsidTr="006C125D">
        <w:trPr>
          <w:trHeight w:val="20"/>
        </w:trPr>
        <w:tc>
          <w:tcPr>
            <w:tcW w:w="929" w:type="pct"/>
            <w:vAlign w:val="center"/>
          </w:tcPr>
          <w:p w14:paraId="4AA51756" w14:textId="77777777"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3rd</w:t>
            </w:r>
          </w:p>
        </w:tc>
        <w:tc>
          <w:tcPr>
            <w:tcW w:w="1131" w:type="pct"/>
            <w:vAlign w:val="center"/>
          </w:tcPr>
          <w:p w14:paraId="3A7D09FF"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48%</w:t>
            </w:r>
          </w:p>
        </w:tc>
        <w:tc>
          <w:tcPr>
            <w:tcW w:w="1198" w:type="pct"/>
            <w:vAlign w:val="center"/>
          </w:tcPr>
          <w:p w14:paraId="69F5479D"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93%</w:t>
            </w:r>
          </w:p>
        </w:tc>
        <w:tc>
          <w:tcPr>
            <w:tcW w:w="1742" w:type="pct"/>
            <w:vAlign w:val="center"/>
          </w:tcPr>
          <w:p w14:paraId="01C932EC"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102 (64, 134)</w:t>
            </w:r>
          </w:p>
        </w:tc>
      </w:tr>
      <w:tr w:rsidR="00C97870" w:rsidRPr="00AC3F7C" w14:paraId="3DA10DE4" w14:textId="77777777" w:rsidTr="006C125D">
        <w:trPr>
          <w:trHeight w:val="20"/>
        </w:trPr>
        <w:tc>
          <w:tcPr>
            <w:tcW w:w="929" w:type="pct"/>
            <w:vAlign w:val="center"/>
          </w:tcPr>
          <w:p w14:paraId="5C274179" w14:textId="77777777"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4th</w:t>
            </w:r>
          </w:p>
        </w:tc>
        <w:tc>
          <w:tcPr>
            <w:tcW w:w="1131" w:type="pct"/>
            <w:vAlign w:val="center"/>
          </w:tcPr>
          <w:p w14:paraId="6907A109"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38%</w:t>
            </w:r>
          </w:p>
        </w:tc>
        <w:tc>
          <w:tcPr>
            <w:tcW w:w="1198" w:type="pct"/>
            <w:vAlign w:val="center"/>
          </w:tcPr>
          <w:p w14:paraId="64B9CD8E"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95%</w:t>
            </w:r>
          </w:p>
        </w:tc>
        <w:tc>
          <w:tcPr>
            <w:tcW w:w="1742" w:type="pct"/>
            <w:vAlign w:val="center"/>
          </w:tcPr>
          <w:p w14:paraId="470FA105"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85 (47, 109)</w:t>
            </w:r>
          </w:p>
        </w:tc>
      </w:tr>
      <w:tr w:rsidR="00C97870" w:rsidRPr="00AC3F7C" w14:paraId="2F979A6E" w14:textId="77777777" w:rsidTr="006C125D">
        <w:trPr>
          <w:trHeight w:val="20"/>
        </w:trPr>
        <w:tc>
          <w:tcPr>
            <w:tcW w:w="929" w:type="pct"/>
            <w:vAlign w:val="center"/>
          </w:tcPr>
          <w:p w14:paraId="669EABD5" w14:textId="77777777"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5th</w:t>
            </w:r>
          </w:p>
        </w:tc>
        <w:tc>
          <w:tcPr>
            <w:tcW w:w="1131" w:type="pct"/>
            <w:vAlign w:val="center"/>
          </w:tcPr>
          <w:p w14:paraId="7032F992"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33%</w:t>
            </w:r>
          </w:p>
        </w:tc>
        <w:tc>
          <w:tcPr>
            <w:tcW w:w="1198" w:type="pct"/>
            <w:vAlign w:val="center"/>
          </w:tcPr>
          <w:p w14:paraId="6E9D4528"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89%</w:t>
            </w:r>
          </w:p>
        </w:tc>
        <w:tc>
          <w:tcPr>
            <w:tcW w:w="1742" w:type="pct"/>
            <w:vAlign w:val="center"/>
          </w:tcPr>
          <w:p w14:paraId="2272F7C2"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97 (64, 117)</w:t>
            </w:r>
          </w:p>
        </w:tc>
      </w:tr>
      <w:tr w:rsidR="00C97870" w:rsidRPr="00AC3F7C" w14:paraId="3604CB5C" w14:textId="77777777" w:rsidTr="006C125D">
        <w:trPr>
          <w:trHeight w:val="20"/>
        </w:trPr>
        <w:tc>
          <w:tcPr>
            <w:tcW w:w="2060" w:type="pct"/>
            <w:gridSpan w:val="2"/>
            <w:vAlign w:val="center"/>
          </w:tcPr>
          <w:p w14:paraId="660C3657" w14:textId="5DC07859" w:rsidR="00C97870" w:rsidRPr="00AC3F7C" w:rsidRDefault="00C97870" w:rsidP="004302C8">
            <w:pPr>
              <w:keepNext/>
              <w:jc w:val="left"/>
              <w:rPr>
                <w:rFonts w:ascii="Arial Narrow" w:hAnsi="Arial Narrow"/>
                <w:b/>
                <w:sz w:val="20"/>
                <w:szCs w:val="20"/>
              </w:rPr>
            </w:pPr>
            <w:r w:rsidRPr="00AC3F7C">
              <w:rPr>
                <w:rFonts w:ascii="Arial Narrow" w:hAnsi="Arial Narrow"/>
                <w:sz w:val="20"/>
                <w:szCs w:val="20"/>
              </w:rPr>
              <w:t xml:space="preserve">All </w:t>
            </w:r>
            <w:r w:rsidR="006C125D" w:rsidRPr="00AC3F7C">
              <w:rPr>
                <w:rFonts w:ascii="Arial Narrow" w:hAnsi="Arial Narrow"/>
                <w:sz w:val="20"/>
                <w:szCs w:val="20"/>
              </w:rPr>
              <w:t>o</w:t>
            </w:r>
            <w:r w:rsidRPr="00AC3F7C">
              <w:rPr>
                <w:rFonts w:ascii="Arial Narrow" w:hAnsi="Arial Narrow"/>
                <w:sz w:val="20"/>
                <w:szCs w:val="20"/>
              </w:rPr>
              <w:t xml:space="preserve">ccurrences (5,315 exams, 899 </w:t>
            </w:r>
            <w:r w:rsidR="006C125D" w:rsidRPr="00AC3F7C">
              <w:rPr>
                <w:rFonts w:ascii="Arial Narrow" w:hAnsi="Arial Narrow"/>
                <w:sz w:val="20"/>
                <w:szCs w:val="20"/>
              </w:rPr>
              <w:t>o</w:t>
            </w:r>
            <w:r w:rsidRPr="00AC3F7C">
              <w:rPr>
                <w:rFonts w:ascii="Arial Narrow" w:hAnsi="Arial Narrow"/>
                <w:sz w:val="20"/>
                <w:szCs w:val="20"/>
              </w:rPr>
              <w:t>ccurrences)</w:t>
            </w:r>
          </w:p>
        </w:tc>
        <w:tc>
          <w:tcPr>
            <w:tcW w:w="1198" w:type="pct"/>
            <w:vAlign w:val="center"/>
          </w:tcPr>
          <w:p w14:paraId="7D8D9346"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87% Resolved</w:t>
            </w:r>
          </w:p>
        </w:tc>
        <w:tc>
          <w:tcPr>
            <w:tcW w:w="1742" w:type="pct"/>
            <w:vAlign w:val="center"/>
          </w:tcPr>
          <w:p w14:paraId="3B57E54F" w14:textId="77777777" w:rsidR="00C97870" w:rsidRPr="00AC3F7C" w:rsidRDefault="00C97870" w:rsidP="004302C8">
            <w:pPr>
              <w:keepNext/>
              <w:jc w:val="center"/>
              <w:rPr>
                <w:rFonts w:ascii="Arial Narrow" w:hAnsi="Arial Narrow"/>
                <w:sz w:val="20"/>
                <w:szCs w:val="20"/>
              </w:rPr>
            </w:pPr>
            <w:r w:rsidRPr="00AC3F7C">
              <w:rPr>
                <w:rFonts w:ascii="Arial Narrow" w:hAnsi="Arial Narrow"/>
                <w:sz w:val="20"/>
                <w:szCs w:val="20"/>
              </w:rPr>
              <w:t>85 (47, 127)</w:t>
            </w:r>
          </w:p>
        </w:tc>
      </w:tr>
    </w:tbl>
    <w:p w14:paraId="66E24320" w14:textId="1F3FB04A" w:rsidR="0028508F" w:rsidRPr="00AC3F7C" w:rsidRDefault="00FF0C8D" w:rsidP="004302C8">
      <w:pPr>
        <w:pStyle w:val="COMESnumberedpara"/>
        <w:keepNext/>
        <w:numPr>
          <w:ilvl w:val="0"/>
          <w:numId w:val="0"/>
        </w:numPr>
        <w:spacing w:before="0" w:after="0"/>
        <w:rPr>
          <w:rFonts w:ascii="Arial Narrow" w:hAnsi="Arial Narrow"/>
          <w:sz w:val="18"/>
          <w:szCs w:val="18"/>
          <w:lang w:eastAsia="zh-CN"/>
        </w:rPr>
      </w:pPr>
      <w:r w:rsidRPr="00AC3F7C">
        <w:rPr>
          <w:rFonts w:ascii="Arial Narrow" w:hAnsi="Arial Narrow"/>
          <w:sz w:val="18"/>
          <w:szCs w:val="18"/>
          <w:lang w:eastAsia="zh-CN"/>
        </w:rPr>
        <w:t xml:space="preserve">Source: Table </w:t>
      </w:r>
      <w:r w:rsidR="00A3383F" w:rsidRPr="00AC3F7C">
        <w:rPr>
          <w:rFonts w:ascii="Arial Narrow" w:hAnsi="Arial Narrow"/>
          <w:sz w:val="18"/>
          <w:szCs w:val="18"/>
          <w:lang w:eastAsia="zh-CN"/>
        </w:rPr>
        <w:t>2, p3 of the PSCR</w:t>
      </w:r>
    </w:p>
    <w:p w14:paraId="4A88DFDE" w14:textId="6D3120C5" w:rsidR="00A3383F" w:rsidRPr="00AC3F7C" w:rsidRDefault="006C125D" w:rsidP="004302C8">
      <w:pPr>
        <w:pStyle w:val="COMESnumberedpara"/>
        <w:keepNext/>
        <w:numPr>
          <w:ilvl w:val="0"/>
          <w:numId w:val="0"/>
        </w:numPr>
        <w:spacing w:before="0" w:after="0"/>
        <w:rPr>
          <w:rFonts w:ascii="Arial Narrow" w:hAnsi="Arial Narrow"/>
          <w:sz w:val="18"/>
          <w:szCs w:val="18"/>
          <w:lang w:eastAsia="zh-CN"/>
        </w:rPr>
      </w:pPr>
      <w:r w:rsidRPr="00AC3F7C">
        <w:rPr>
          <w:rFonts w:ascii="Arial Narrow" w:hAnsi="Arial Narrow"/>
          <w:sz w:val="18"/>
          <w:szCs w:val="18"/>
          <w:lang w:eastAsia="zh-CN"/>
        </w:rPr>
        <w:t xml:space="preserve">Abbreviations: </w:t>
      </w:r>
      <w:r w:rsidR="00A3383F" w:rsidRPr="00AC3F7C">
        <w:rPr>
          <w:rFonts w:ascii="Arial Narrow" w:hAnsi="Arial Narrow"/>
          <w:sz w:val="18"/>
          <w:szCs w:val="18"/>
          <w:lang w:eastAsia="zh-CN"/>
        </w:rPr>
        <w:t>IQR</w:t>
      </w:r>
      <w:r w:rsidRPr="00AC3F7C">
        <w:rPr>
          <w:rFonts w:ascii="Arial Narrow" w:hAnsi="Arial Narrow"/>
          <w:sz w:val="18"/>
          <w:szCs w:val="18"/>
          <w:lang w:eastAsia="zh-CN"/>
        </w:rPr>
        <w:t xml:space="preserve">, </w:t>
      </w:r>
      <w:r w:rsidR="00A3383F" w:rsidRPr="00AC3F7C">
        <w:rPr>
          <w:rFonts w:ascii="Arial Narrow" w:hAnsi="Arial Narrow"/>
          <w:sz w:val="18"/>
          <w:szCs w:val="18"/>
          <w:lang w:eastAsia="zh-CN"/>
        </w:rPr>
        <w:t>interquartile range; KVA</w:t>
      </w:r>
      <w:r w:rsidRPr="00AC3F7C">
        <w:rPr>
          <w:rFonts w:ascii="Arial Narrow" w:hAnsi="Arial Narrow"/>
          <w:sz w:val="18"/>
          <w:szCs w:val="18"/>
          <w:lang w:eastAsia="zh-CN"/>
        </w:rPr>
        <w:t xml:space="preserve">, </w:t>
      </w:r>
      <w:r w:rsidR="00887290" w:rsidRPr="00AC3F7C">
        <w:rPr>
          <w:rFonts w:ascii="Arial Narrow" w:hAnsi="Arial Narrow"/>
          <w:sz w:val="18"/>
          <w:szCs w:val="18"/>
          <w:lang w:eastAsia="zh-CN"/>
        </w:rPr>
        <w:t>Keratopathy and Visual Acuity</w:t>
      </w:r>
    </w:p>
    <w:p w14:paraId="1DC1103F" w14:textId="38EFFD71" w:rsidR="001A114C" w:rsidRPr="00AC3F7C" w:rsidRDefault="001A114C" w:rsidP="004302C8">
      <w:pPr>
        <w:pStyle w:val="COMESnumberedpara"/>
        <w:keepNext/>
        <w:numPr>
          <w:ilvl w:val="0"/>
          <w:numId w:val="0"/>
        </w:numPr>
        <w:spacing w:before="0" w:after="0"/>
        <w:rPr>
          <w:rFonts w:ascii="Arial Narrow" w:hAnsi="Arial Narrow"/>
          <w:sz w:val="18"/>
          <w:szCs w:val="18"/>
          <w:lang w:eastAsia="zh-CN"/>
        </w:rPr>
      </w:pPr>
      <w:r w:rsidRPr="00AC3F7C">
        <w:rPr>
          <w:rFonts w:ascii="Arial Narrow" w:hAnsi="Arial Narrow"/>
          <w:sz w:val="18"/>
          <w:szCs w:val="18"/>
          <w:vertAlign w:val="superscript"/>
          <w:lang w:eastAsia="zh-CN"/>
        </w:rPr>
        <w:t>a</w:t>
      </w:r>
      <w:r w:rsidRPr="00AC3F7C">
        <w:rPr>
          <w:rFonts w:ascii="Arial Narrow" w:hAnsi="Arial Narrow"/>
          <w:sz w:val="18"/>
          <w:szCs w:val="18"/>
          <w:lang w:eastAsia="zh-CN"/>
        </w:rPr>
        <w:t xml:space="preserve"> Based on all treated patients</w:t>
      </w:r>
    </w:p>
    <w:p w14:paraId="5BE62F24" w14:textId="02F36B83" w:rsidR="001A114C" w:rsidRPr="00AC3F7C" w:rsidRDefault="001A114C" w:rsidP="001A114C">
      <w:pPr>
        <w:pStyle w:val="COMESnumberedpara"/>
        <w:numPr>
          <w:ilvl w:val="0"/>
          <w:numId w:val="0"/>
        </w:numPr>
        <w:spacing w:before="0" w:after="0"/>
        <w:rPr>
          <w:rFonts w:ascii="Arial Narrow" w:hAnsi="Arial Narrow"/>
          <w:sz w:val="18"/>
          <w:szCs w:val="18"/>
          <w:lang w:eastAsia="zh-CN"/>
        </w:rPr>
      </w:pPr>
      <w:r w:rsidRPr="00AC3F7C">
        <w:rPr>
          <w:rFonts w:ascii="Arial Narrow" w:hAnsi="Arial Narrow"/>
          <w:sz w:val="18"/>
          <w:szCs w:val="18"/>
          <w:vertAlign w:val="superscript"/>
          <w:lang w:eastAsia="zh-CN"/>
        </w:rPr>
        <w:t>b</w:t>
      </w:r>
      <w:r w:rsidRPr="00AC3F7C">
        <w:rPr>
          <w:rFonts w:ascii="Arial Narrow" w:hAnsi="Arial Narrow"/>
          <w:sz w:val="18"/>
          <w:szCs w:val="18"/>
          <w:lang w:eastAsia="zh-CN"/>
        </w:rPr>
        <w:t xml:space="preserve"> Based on patients with Grade </w:t>
      </w:r>
      <w:r w:rsidRPr="00AC3F7C">
        <w:rPr>
          <w:rFonts w:ascii="Arial Narrow" w:hAnsi="Arial Narrow" w:cstheme="minorHAnsi"/>
          <w:sz w:val="18"/>
          <w:szCs w:val="18"/>
          <w:lang w:eastAsia="zh-CN"/>
        </w:rPr>
        <w:t>≥</w:t>
      </w:r>
      <w:r w:rsidRPr="00AC3F7C">
        <w:rPr>
          <w:rFonts w:ascii="Arial Narrow" w:hAnsi="Arial Narrow"/>
          <w:sz w:val="18"/>
          <w:szCs w:val="18"/>
          <w:lang w:eastAsia="zh-CN"/>
        </w:rPr>
        <w:t xml:space="preserve"> 2 KVA event</w:t>
      </w:r>
    </w:p>
    <w:p w14:paraId="35BB8E08" w14:textId="77777777" w:rsidR="001A114C" w:rsidRPr="00512D7B" w:rsidRDefault="001A114C" w:rsidP="001A114C">
      <w:pPr>
        <w:pStyle w:val="COMESnumberedpara"/>
        <w:numPr>
          <w:ilvl w:val="0"/>
          <w:numId w:val="0"/>
        </w:numPr>
        <w:spacing w:before="0" w:after="0"/>
        <w:rPr>
          <w:rFonts w:ascii="Arial Narrow" w:hAnsi="Arial Narrow"/>
          <w:sz w:val="18"/>
          <w:szCs w:val="18"/>
          <w:lang w:eastAsia="zh-CN"/>
        </w:rPr>
      </w:pPr>
    </w:p>
    <w:p w14:paraId="6F1EF99F" w14:textId="370CB387" w:rsidR="00C97870" w:rsidRPr="00AC3F7C" w:rsidRDefault="00C97870" w:rsidP="00C97870">
      <w:pPr>
        <w:pStyle w:val="COMESnumberedpara"/>
        <w:rPr>
          <w:lang w:eastAsia="zh-CN"/>
        </w:rPr>
      </w:pPr>
      <w:r w:rsidRPr="00AC3F7C">
        <w:rPr>
          <w:lang w:bidi="en-US"/>
        </w:rPr>
        <w:t xml:space="preserve">The ESC considered that the KVA-graded results presented in the PSCR should be interpreted with caution as they reflected resolution to Grade </w:t>
      </w:r>
      <w:r w:rsidRPr="00AC3F7C">
        <w:rPr>
          <w:rFonts w:cstheme="minorHAnsi"/>
          <w:lang w:bidi="en-US"/>
        </w:rPr>
        <w:t>≤</w:t>
      </w:r>
      <w:r w:rsidRPr="00AC3F7C">
        <w:rPr>
          <w:lang w:bidi="en-US"/>
        </w:rPr>
        <w:t xml:space="preserve"> 1 rather than complete resolution (based on the KVA scale, </w:t>
      </w:r>
      <w:r w:rsidRPr="00AC3F7C">
        <w:t>Grade 1 events are defined as mild superficial keratopathy on corneal examination and/or a decline from baseline of 1 line in visual acuity based on the Snellen chart). The median time to resolution to Grade </w:t>
      </w:r>
      <w:r w:rsidRPr="00AC3F7C">
        <w:rPr>
          <w:rFonts w:cstheme="minorHAnsi"/>
        </w:rPr>
        <w:t xml:space="preserve">≤1 was relatively long, particularly for the first occurrence (117 days), with a reported interquartile range of 64 to 294 days. </w:t>
      </w:r>
      <w:r w:rsidR="00194BBE" w:rsidRPr="00AC3F7C">
        <w:rPr>
          <w:rFonts w:cstheme="minorHAnsi"/>
        </w:rPr>
        <w:t>Additionally, the ESC noted that t</w:t>
      </w:r>
      <w:r w:rsidRPr="00AC3F7C">
        <w:rPr>
          <w:rFonts w:cstheme="minorHAnsi"/>
        </w:rPr>
        <w:t>he longer-term impacts of belantamab mafodotin on the cornea and vision remain unclear.</w:t>
      </w:r>
    </w:p>
    <w:p w14:paraId="57ACBD82" w14:textId="058445E9" w:rsidR="00976B4C" w:rsidRPr="00AC3F7C" w:rsidRDefault="0002572C">
      <w:pPr>
        <w:pStyle w:val="COMESnumberedpara"/>
        <w:rPr>
          <w:lang w:eastAsia="zh-CN"/>
        </w:rPr>
      </w:pPr>
      <w:r w:rsidRPr="00AC3F7C">
        <w:rPr>
          <w:lang w:bidi="en-US"/>
        </w:rPr>
        <w:t xml:space="preserve">The PSCR </w:t>
      </w:r>
      <w:r w:rsidR="00010004">
        <w:rPr>
          <w:lang w:bidi="en-US"/>
        </w:rPr>
        <w:t xml:space="preserve">and pre-PBAC response </w:t>
      </w:r>
      <w:r w:rsidRPr="00AC3F7C">
        <w:rPr>
          <w:lang w:bidi="en-US"/>
        </w:rPr>
        <w:t xml:space="preserve">also stated that </w:t>
      </w:r>
      <w:r w:rsidR="002118F8" w:rsidRPr="00AC3F7C">
        <w:rPr>
          <w:lang w:bidi="en-US"/>
        </w:rPr>
        <w:t>pooled analysis f</w:t>
      </w:r>
      <w:r w:rsidR="00116765" w:rsidRPr="00AC3F7C">
        <w:rPr>
          <w:lang w:bidi="en-US"/>
        </w:rPr>
        <w:t>rom</w:t>
      </w:r>
      <w:r w:rsidR="002118F8" w:rsidRPr="00AC3F7C">
        <w:rPr>
          <w:lang w:bidi="en-US"/>
        </w:rPr>
        <w:t xml:space="preserve"> the DREAMM-7 and DREAMM-8 trials found that fewer than 10% stopped driving </w:t>
      </w:r>
      <w:r w:rsidR="008D1054" w:rsidRPr="00AC3F7C">
        <w:rPr>
          <w:lang w:bidi="en-US"/>
        </w:rPr>
        <w:t>due to eyesight issues and fewer than 6% stopped reading</w:t>
      </w:r>
      <w:r w:rsidR="00B478DD" w:rsidRPr="00AC3F7C">
        <w:rPr>
          <w:lang w:bidi="en-US"/>
        </w:rPr>
        <w:t>, and nearly all patients subsequently returned to baseline function (97% for reading, 92% for driving)</w:t>
      </w:r>
      <w:r w:rsidR="00D57289" w:rsidRPr="00AC3F7C">
        <w:rPr>
          <w:lang w:bidi="en-US"/>
        </w:rPr>
        <w:t>.</w:t>
      </w:r>
      <w:r w:rsidR="00665DCE">
        <w:rPr>
          <w:lang w:bidi="en-US"/>
        </w:rPr>
        <w:t xml:space="preserve"> </w:t>
      </w:r>
    </w:p>
    <w:p w14:paraId="5CDA53F6" w14:textId="77777777" w:rsidR="009A4137" w:rsidRPr="00512D7B" w:rsidRDefault="009A4137">
      <w:pPr>
        <w:pStyle w:val="COMESSubsectionheading"/>
      </w:pPr>
      <w:bookmarkStart w:id="45" w:name="_Toc208839492"/>
      <w:r w:rsidRPr="00512D7B">
        <w:lastRenderedPageBreak/>
        <w:t>Benefits/harms</w:t>
      </w:r>
      <w:bookmarkEnd w:id="43"/>
      <w:bookmarkEnd w:id="45"/>
    </w:p>
    <w:p w14:paraId="3ED3E4F3" w14:textId="23ECBA61" w:rsidR="009A4137" w:rsidRPr="00512D7B" w:rsidRDefault="009A4137" w:rsidP="009A4137">
      <w:pPr>
        <w:pStyle w:val="COMESnumberedpara"/>
      </w:pPr>
      <w:bookmarkStart w:id="46" w:name="_Toc203036195"/>
      <w:proofErr w:type="gramStart"/>
      <w:r w:rsidRPr="00512D7B">
        <w:t>On the basis of</w:t>
      </w:r>
      <w:proofErr w:type="gramEnd"/>
      <w:r w:rsidRPr="00512D7B">
        <w:t xml:space="preserve"> direct evidence presented in the submission, after a median duration of follow-up of 39.4 months (October 2024 data cut), for every 100 patients treated with </w:t>
      </w:r>
      <w:r w:rsidR="001030EA" w:rsidRPr="00512D7B">
        <w:t>BmBd</w:t>
      </w:r>
      <w:r w:rsidRPr="00512D7B">
        <w:t xml:space="preserve"> compared to </w:t>
      </w:r>
      <w:r w:rsidR="001C413B" w:rsidRPr="00512D7B">
        <w:t>DBd</w:t>
      </w:r>
      <w:r w:rsidRPr="00512D7B">
        <w:t>: </w:t>
      </w:r>
    </w:p>
    <w:p w14:paraId="62031D49" w14:textId="77777777" w:rsidR="009A4137" w:rsidRPr="00512D7B" w:rsidRDefault="009A4137" w:rsidP="00EE641D">
      <w:pPr>
        <w:pStyle w:val="COMESbulletlist"/>
        <w:spacing w:after="0"/>
      </w:pPr>
      <w:r w:rsidRPr="00512D7B">
        <w:t xml:space="preserve">Approximately 31 additional patients would remain progression-free after 24 months. </w:t>
      </w:r>
    </w:p>
    <w:p w14:paraId="2C875FA6" w14:textId="77777777" w:rsidR="009A4137" w:rsidRPr="00512D7B" w:rsidRDefault="009A4137" w:rsidP="00EE641D">
      <w:pPr>
        <w:pStyle w:val="COMESbulletlist"/>
        <w:spacing w:after="0"/>
      </w:pPr>
      <w:r w:rsidRPr="00512D7B">
        <w:t xml:space="preserve">Approximately 12 additional patients would remain alive after 24 months. </w:t>
      </w:r>
    </w:p>
    <w:p w14:paraId="606D2CE2" w14:textId="75AB3C72" w:rsidR="009A4137" w:rsidRPr="00512D7B" w:rsidRDefault="009A4137" w:rsidP="00EE641D">
      <w:pPr>
        <w:pStyle w:val="COMESbulletlist"/>
        <w:spacing w:after="0"/>
      </w:pPr>
      <w:r w:rsidRPr="00512D7B">
        <w:t xml:space="preserve">Approximately </w:t>
      </w:r>
      <w:r w:rsidR="00392EE8" w:rsidRPr="00512D7B">
        <w:t xml:space="preserve">15 </w:t>
      </w:r>
      <w:r w:rsidRPr="00512D7B">
        <w:t xml:space="preserve">more patients would experience serious adverse events that </w:t>
      </w:r>
      <w:r w:rsidR="00932258" w:rsidRPr="00512D7B">
        <w:t>are</w:t>
      </w:r>
      <w:r w:rsidRPr="00512D7B">
        <w:t xml:space="preserve"> life-threatening or required hospitalisation.</w:t>
      </w:r>
    </w:p>
    <w:p w14:paraId="575FC22D" w14:textId="54979027" w:rsidR="009A4137" w:rsidRPr="00512D7B" w:rsidRDefault="009A4137" w:rsidP="00EE641D">
      <w:pPr>
        <w:pStyle w:val="COMESbulletlist"/>
        <w:spacing w:after="0"/>
      </w:pPr>
      <w:r w:rsidRPr="00512D7B">
        <w:t xml:space="preserve">Approximately 49 more patients would experience ocular adverse events, </w:t>
      </w:r>
      <w:r w:rsidR="00CA4DE8" w:rsidRPr="00512D7B">
        <w:t>such as</w:t>
      </w:r>
      <w:r w:rsidRPr="00512D7B">
        <w:t xml:space="preserve"> blurred vision, photophobia, </w:t>
      </w:r>
      <w:r w:rsidR="00CA4DE8" w:rsidRPr="00512D7B">
        <w:t xml:space="preserve">and </w:t>
      </w:r>
      <w:r w:rsidRPr="00512D7B">
        <w:t xml:space="preserve">dry eye. </w:t>
      </w:r>
    </w:p>
    <w:p w14:paraId="0FA91DA7" w14:textId="38D4BE05" w:rsidR="009A4137" w:rsidRPr="00512D7B" w:rsidRDefault="00CA4DE8" w:rsidP="009A4137">
      <w:pPr>
        <w:pStyle w:val="COMESbulletlist"/>
      </w:pPr>
      <w:r w:rsidRPr="00512D7B">
        <w:t>In patients with</w:t>
      </w:r>
      <w:r w:rsidR="00AB162D" w:rsidRPr="00512D7B">
        <w:t xml:space="preserve"> little or no difficulty</w:t>
      </w:r>
      <w:r w:rsidR="00E455E7" w:rsidRPr="00512D7B">
        <w:t xml:space="preserve"> reading or driving,</w:t>
      </w:r>
      <w:r w:rsidRPr="00512D7B">
        <w:t xml:space="preserve"> </w:t>
      </w:r>
      <w:r w:rsidR="00E455E7" w:rsidRPr="00512D7B">
        <w:t>a</w:t>
      </w:r>
      <w:r w:rsidR="009A4137" w:rsidRPr="00512D7B">
        <w:t xml:space="preserve">pproximately 25 more patients would stop reading and approximately 37 more patients would stop driving due to eyesight issues at some point </w:t>
      </w:r>
      <w:r w:rsidR="00E455E7" w:rsidRPr="00512D7B">
        <w:t xml:space="preserve">while </w:t>
      </w:r>
      <w:r w:rsidR="009A4137" w:rsidRPr="00512D7B">
        <w:t>on treatment.</w:t>
      </w:r>
    </w:p>
    <w:p w14:paraId="65E35952" w14:textId="77777777" w:rsidR="009A4137" w:rsidRPr="00512D7B" w:rsidRDefault="009A4137" w:rsidP="009A4137">
      <w:pPr>
        <w:pStyle w:val="COMESSubsectionheading"/>
      </w:pPr>
      <w:bookmarkStart w:id="47" w:name="_Toc208839493"/>
      <w:r w:rsidRPr="00512D7B">
        <w:t>Clinical claim</w:t>
      </w:r>
      <w:bookmarkEnd w:id="46"/>
      <w:bookmarkEnd w:id="47"/>
    </w:p>
    <w:p w14:paraId="5DE68DD5" w14:textId="09D5716E" w:rsidR="009A4137" w:rsidRPr="00AC3F7C" w:rsidRDefault="009A4137" w:rsidP="009A4137">
      <w:pPr>
        <w:pStyle w:val="COMESnumberedpara"/>
      </w:pPr>
      <w:r w:rsidRPr="00AC3F7C">
        <w:t xml:space="preserve">The submission described belantamab mafodotin in combination with bortezomib and dexamethasone as superior in terms of efficacy and inferior in terms of safety compared to daratumumab in combination with bortezomib and dexamethasone for treatment of </w:t>
      </w:r>
      <w:r w:rsidR="00E26D67" w:rsidRPr="00AC3F7C">
        <w:t>RRMM</w:t>
      </w:r>
      <w:r w:rsidRPr="00AC3F7C">
        <w:t xml:space="preserve"> after one prior line of therapy.</w:t>
      </w:r>
    </w:p>
    <w:p w14:paraId="26108445" w14:textId="1D1D3A5A" w:rsidR="00841F59" w:rsidRPr="001B67AD" w:rsidRDefault="009A4137" w:rsidP="005F6D77">
      <w:pPr>
        <w:pStyle w:val="COMESnumberedpara"/>
      </w:pPr>
      <w:r w:rsidRPr="00AC3F7C">
        <w:t xml:space="preserve">The </w:t>
      </w:r>
      <w:r w:rsidR="00327D93" w:rsidRPr="00AC3F7C">
        <w:t xml:space="preserve">ESC considered that </w:t>
      </w:r>
      <w:r w:rsidR="0075082F" w:rsidRPr="00AC3F7C">
        <w:t xml:space="preserve">although </w:t>
      </w:r>
      <w:r w:rsidR="00327D93" w:rsidRPr="00AC3F7C">
        <w:t xml:space="preserve">the </w:t>
      </w:r>
      <w:r w:rsidRPr="00AC3F7C">
        <w:t>therapeutic conclusion was adequately supported</w:t>
      </w:r>
      <w:r w:rsidR="0075082F" w:rsidRPr="00AC3F7C">
        <w:t>, f</w:t>
      </w:r>
      <w:r w:rsidR="00C876B0" w:rsidRPr="00AC3F7C">
        <w:t xml:space="preserve">or the </w:t>
      </w:r>
      <w:r w:rsidR="00422C3C" w:rsidRPr="00AC3F7C">
        <w:t xml:space="preserve">proposed PBS population, </w:t>
      </w:r>
      <w:r w:rsidRPr="00AC3F7C">
        <w:t>the</w:t>
      </w:r>
      <w:r w:rsidR="00622B57" w:rsidRPr="00AC3F7C">
        <w:t xml:space="preserve"> applicability of the results </w:t>
      </w:r>
      <w:r w:rsidR="00422C3C" w:rsidRPr="00AC3F7C">
        <w:t xml:space="preserve">from </w:t>
      </w:r>
      <w:r w:rsidR="00622B57" w:rsidRPr="00AC3F7C">
        <w:t xml:space="preserve">the DREAMM-7 overall population and lenalidomide-exposed subgroup </w:t>
      </w:r>
      <w:r w:rsidR="00422C3C" w:rsidRPr="00AC3F7C">
        <w:t>was</w:t>
      </w:r>
      <w:r w:rsidR="00622B57" w:rsidRPr="00AC3F7C">
        <w:t xml:space="preserve"> uncertain, due to the large proportion of patients with more than one prior line of </w:t>
      </w:r>
      <w:r w:rsidR="00622B57" w:rsidRPr="001B67AD">
        <w:t>therapy (49% in the overall population and 67% in the lenalidomide-exposed subgroup).</w:t>
      </w:r>
      <w:r w:rsidR="001B67AD">
        <w:rPr>
          <w:rStyle w:val="FootnoteReference"/>
        </w:rPr>
        <w:footnoteReference w:id="12"/>
      </w:r>
      <w:r w:rsidR="00622B57" w:rsidRPr="001B67AD">
        <w:t xml:space="preserve"> </w:t>
      </w:r>
    </w:p>
    <w:p w14:paraId="42D4C9CE" w14:textId="77F23047" w:rsidR="00F438E7" w:rsidRPr="00AC3F7C" w:rsidRDefault="00280A98" w:rsidP="005F6D77">
      <w:pPr>
        <w:pStyle w:val="COMESnumberedpara"/>
      </w:pPr>
      <w:r>
        <w:t>Additionally</w:t>
      </w:r>
      <w:r w:rsidR="00132AC1" w:rsidRPr="00AC3F7C">
        <w:t xml:space="preserve">, the ESC </w:t>
      </w:r>
      <w:r w:rsidR="003C281B" w:rsidRPr="00AC3F7C">
        <w:t xml:space="preserve">considered that the proposed place in therapy as a second line only treatment was </w:t>
      </w:r>
      <w:r w:rsidR="00690992" w:rsidRPr="00AC3F7C">
        <w:t>not appropriate.</w:t>
      </w:r>
      <w:r w:rsidR="007A3CC1" w:rsidRPr="00AC3F7C">
        <w:t xml:space="preserve"> The ESC considered that restricting BmBd to the second line setting did not align with the clinical trial, did not align with </w:t>
      </w:r>
      <w:r w:rsidR="00C70CDF" w:rsidRPr="00AC3F7C">
        <w:t xml:space="preserve">how clinicians would like to use MM treatments (as discussed in the </w:t>
      </w:r>
      <w:r w:rsidR="007A3CC1" w:rsidRPr="00AC3F7C">
        <w:t>Multiple Myeloma Stakeholder meeting (July 2025)</w:t>
      </w:r>
      <w:r w:rsidR="00C70CDF" w:rsidRPr="00AC3F7C">
        <w:t>)</w:t>
      </w:r>
      <w:r w:rsidR="007A3CC1" w:rsidRPr="00AC3F7C">
        <w:t xml:space="preserve"> and would restrict patient access not only to BmBd, but to other therapies. Therefore, the ESC considered that BmBd should be listed for the treatment of RRMM to allow physician discretion as to when it is used. </w:t>
      </w:r>
      <w:r w:rsidR="00F438E7" w:rsidRPr="00AC3F7C">
        <w:t xml:space="preserve">The ESC considered that </w:t>
      </w:r>
      <w:r w:rsidR="00F438E7" w:rsidRPr="00AC3F7C">
        <w:lastRenderedPageBreak/>
        <w:t xml:space="preserve">the appropriate comparator for </w:t>
      </w:r>
      <w:r w:rsidR="0075082F" w:rsidRPr="00AC3F7C">
        <w:t xml:space="preserve">BmBd </w:t>
      </w:r>
      <w:r w:rsidR="00F438E7" w:rsidRPr="00AC3F7C">
        <w:t xml:space="preserve">in the RRMM setting would consist of a basket of treatments that included DBd. </w:t>
      </w:r>
    </w:p>
    <w:p w14:paraId="7FD3A3C7" w14:textId="05EAB86D" w:rsidR="00B87606" w:rsidRPr="00DD6F6B" w:rsidRDefault="00F438E7" w:rsidP="00B87606">
      <w:pPr>
        <w:pStyle w:val="COMESnumberedpara"/>
      </w:pPr>
      <w:r w:rsidRPr="00AC3F7C">
        <w:t>The ESC also noted that t</w:t>
      </w:r>
      <w:r w:rsidR="005F6D77" w:rsidRPr="00AC3F7C">
        <w:t xml:space="preserve">reatment with </w:t>
      </w:r>
      <w:r w:rsidR="001030EA" w:rsidRPr="00AC3F7C">
        <w:t>BmBd</w:t>
      </w:r>
      <w:r w:rsidR="005F6D77" w:rsidRPr="00AC3F7C">
        <w:t xml:space="preserve"> was associated with high rates of ocular toxicity. </w:t>
      </w:r>
      <w:r w:rsidR="000D216C" w:rsidRPr="00DD6F6B">
        <w:t>Although the PSCR stated that ocular events were manageable and reversible</w:t>
      </w:r>
      <w:r w:rsidR="0075082F" w:rsidRPr="00DD6F6B">
        <w:t>, the ESC considered that t</w:t>
      </w:r>
      <w:r w:rsidR="005F6D77" w:rsidRPr="00DD6F6B">
        <w:t xml:space="preserve">he longer-term impacts of belantamab mafodotin on the cornea and vision </w:t>
      </w:r>
      <w:r w:rsidR="0075082F" w:rsidRPr="00DD6F6B">
        <w:t xml:space="preserve">remained </w:t>
      </w:r>
      <w:r w:rsidR="005F6D77" w:rsidRPr="00DD6F6B">
        <w:t>unclear.</w:t>
      </w:r>
    </w:p>
    <w:p w14:paraId="69156DD7" w14:textId="1E61E160" w:rsidR="002D62CC" w:rsidRPr="00DD6F6B" w:rsidRDefault="002D62CC" w:rsidP="002D62CC">
      <w:pPr>
        <w:pStyle w:val="COMESnumberedpara"/>
        <w:rPr>
          <w:snapToGrid w:val="0"/>
        </w:rPr>
      </w:pPr>
      <w:bookmarkStart w:id="48" w:name="_Hlk76376200"/>
      <w:r w:rsidRPr="00DD6F6B">
        <w:rPr>
          <w:iCs/>
          <w:snapToGrid w:val="0"/>
        </w:rPr>
        <w:t>The</w:t>
      </w:r>
      <w:r w:rsidRPr="00DD6F6B">
        <w:rPr>
          <w:snapToGrid w:val="0"/>
        </w:rPr>
        <w:t xml:space="preserve"> PBAC considered that the claim of superior comparative effectiveness was reasonable.</w:t>
      </w:r>
    </w:p>
    <w:p w14:paraId="52E73340" w14:textId="75ECB836" w:rsidR="002D62CC" w:rsidRPr="00DD6F6B" w:rsidRDefault="002D62CC" w:rsidP="002D62CC">
      <w:pPr>
        <w:pStyle w:val="COMESnumberedpara"/>
        <w:rPr>
          <w:snapToGrid w:val="0"/>
        </w:rPr>
      </w:pPr>
      <w:r w:rsidRPr="00DD6F6B">
        <w:rPr>
          <w:snapToGrid w:val="0"/>
        </w:rPr>
        <w:t>The PBAC considered that the claim of inferior comparative safety was reasonable.</w:t>
      </w:r>
      <w:bookmarkEnd w:id="48"/>
    </w:p>
    <w:p w14:paraId="74A1172E" w14:textId="128C170E" w:rsidR="00B60939" w:rsidRPr="00DD6F6B" w:rsidRDefault="00B60939" w:rsidP="00E9094A">
      <w:pPr>
        <w:pStyle w:val="COMESSubsectionheading"/>
        <w:rPr>
          <w:color w:val="auto"/>
        </w:rPr>
      </w:pPr>
      <w:bookmarkStart w:id="49" w:name="_Toc22897645"/>
      <w:bookmarkStart w:id="50" w:name="_Toc208839494"/>
      <w:bookmarkEnd w:id="15"/>
      <w:r w:rsidRPr="00DD6F6B">
        <w:rPr>
          <w:color w:val="auto"/>
        </w:rPr>
        <w:t>Economic analysis</w:t>
      </w:r>
      <w:bookmarkEnd w:id="49"/>
      <w:bookmarkEnd w:id="50"/>
      <w:r w:rsidR="00491B3A" w:rsidRPr="00DD6F6B">
        <w:rPr>
          <w:color w:val="auto"/>
        </w:rPr>
        <w:t xml:space="preserve"> </w:t>
      </w:r>
    </w:p>
    <w:p w14:paraId="67E99B2B" w14:textId="3E2EEFD2" w:rsidR="006206FD" w:rsidRPr="00AC3F7C" w:rsidRDefault="006206FD" w:rsidP="006206FD">
      <w:pPr>
        <w:pStyle w:val="COMESnumberedpara"/>
      </w:pPr>
      <w:r w:rsidRPr="00DD6F6B">
        <w:t xml:space="preserve">The submission presented a modelled economic evaluation comparing </w:t>
      </w:r>
      <w:r w:rsidR="001030EA" w:rsidRPr="00DD6F6B">
        <w:t>BmBd</w:t>
      </w:r>
      <w:r w:rsidRPr="00DD6F6B">
        <w:t xml:space="preserve"> with </w:t>
      </w:r>
      <w:r w:rsidR="001C413B" w:rsidRPr="00DD6F6B">
        <w:t>DBd</w:t>
      </w:r>
      <w:r w:rsidRPr="00DD6F6B">
        <w:t xml:space="preserve"> for the treatment of patients with multiple myeloma after one prior line of therapy. The economic</w:t>
      </w:r>
      <w:r w:rsidRPr="00AC3F7C">
        <w:t xml:space="preserve"> evaluation was based on the results of the DREAMM-7 trial</w:t>
      </w:r>
      <w:r w:rsidR="001D6938" w:rsidRPr="00AC3F7C">
        <w:t xml:space="preserve"> (lenalidomide-exposed subgroup)</w:t>
      </w:r>
      <w:r w:rsidRPr="00AC3F7C">
        <w:t xml:space="preserve">, with additional modelled data. The economic evaluation was presented as a stepped cost-effectiveness/cost-utility analysis. </w:t>
      </w:r>
      <w:r w:rsidR="004D7B55" w:rsidRPr="00AC3F7C">
        <w:t xml:space="preserve">Noting the issues with the place in therapy, the </w:t>
      </w:r>
      <w:r w:rsidR="00A826BE">
        <w:t>PBAC</w:t>
      </w:r>
      <w:r w:rsidR="00A826BE" w:rsidRPr="00AC3F7C">
        <w:t xml:space="preserve"> </w:t>
      </w:r>
      <w:r w:rsidR="00DC1D1D" w:rsidRPr="00AC3F7C">
        <w:t xml:space="preserve">considered that the model </w:t>
      </w:r>
      <w:r w:rsidR="00E141DC" w:rsidRPr="00AC3F7C">
        <w:t xml:space="preserve">presented in the submission was </w:t>
      </w:r>
      <w:r w:rsidR="006B609B" w:rsidRPr="00AC3F7C">
        <w:t>largely un</w:t>
      </w:r>
      <w:r w:rsidR="00E141DC" w:rsidRPr="00AC3F7C">
        <w:t xml:space="preserve">informative. </w:t>
      </w:r>
    </w:p>
    <w:p w14:paraId="15A9AFA4" w14:textId="6E71242E" w:rsidR="00275C5A" w:rsidRPr="00512D7B" w:rsidRDefault="00E16AD8" w:rsidP="007213D5">
      <w:pPr>
        <w:pStyle w:val="COMTableFigurecaption"/>
      </w:pPr>
      <w:r w:rsidRPr="00512D7B">
        <w:t xml:space="preserve">Table </w:t>
      </w:r>
      <w:r w:rsidR="00194BBE">
        <w:fldChar w:fldCharType="begin"/>
      </w:r>
      <w:r w:rsidR="00194BBE">
        <w:instrText xml:space="preserve"> SEQ Table \* ARABIC </w:instrText>
      </w:r>
      <w:r w:rsidR="00194BBE">
        <w:fldChar w:fldCharType="separate"/>
      </w:r>
      <w:r w:rsidR="00674A1F">
        <w:rPr>
          <w:noProof/>
        </w:rPr>
        <w:t>9</w:t>
      </w:r>
      <w:r w:rsidR="00194BBE">
        <w:fldChar w:fldCharType="end"/>
      </w:r>
      <w:r w:rsidRPr="00512D7B">
        <w:t>:</w:t>
      </w:r>
      <w:r w:rsidR="00275C5A" w:rsidRPr="00512D7B">
        <w:t xml:space="preserve"> Summary of model structure</w:t>
      </w:r>
      <w:r w:rsidR="00184B0E" w:rsidRPr="00512D7B">
        <w:t>, key inputs</w:t>
      </w:r>
      <w:r w:rsidR="00275C5A" w:rsidRPr="00512D7B">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758"/>
        <w:gridCol w:w="7259"/>
      </w:tblGrid>
      <w:tr w:rsidR="005A57D7" w:rsidRPr="00512D7B" w14:paraId="48BB958D" w14:textId="77777777" w:rsidTr="00613462">
        <w:trPr>
          <w:tblHeader/>
        </w:trPr>
        <w:tc>
          <w:tcPr>
            <w:tcW w:w="975" w:type="pct"/>
            <w:vAlign w:val="center"/>
          </w:tcPr>
          <w:p w14:paraId="29C3D629" w14:textId="77777777" w:rsidR="00275C5A" w:rsidRPr="00512D7B" w:rsidRDefault="00275C5A" w:rsidP="00B813F4">
            <w:pPr>
              <w:pStyle w:val="COMTableheadingrow"/>
              <w:keepNext w:val="0"/>
            </w:pPr>
            <w:r w:rsidRPr="00512D7B">
              <w:t>Component</w:t>
            </w:r>
          </w:p>
        </w:tc>
        <w:tc>
          <w:tcPr>
            <w:tcW w:w="4025" w:type="pct"/>
            <w:vAlign w:val="center"/>
          </w:tcPr>
          <w:p w14:paraId="58FBA37B" w14:textId="77777777" w:rsidR="00275C5A" w:rsidRPr="00512D7B" w:rsidRDefault="00275C5A" w:rsidP="00B813F4">
            <w:pPr>
              <w:pStyle w:val="COMTableheadingrow"/>
              <w:keepNext w:val="0"/>
              <w:jc w:val="center"/>
            </w:pPr>
            <w:r w:rsidRPr="00512D7B">
              <w:t>Summary</w:t>
            </w:r>
          </w:p>
        </w:tc>
      </w:tr>
      <w:tr w:rsidR="005A57D7" w:rsidRPr="00512D7B" w14:paraId="7476B2FD" w14:textId="77777777" w:rsidTr="00613462">
        <w:tc>
          <w:tcPr>
            <w:tcW w:w="975" w:type="pct"/>
            <w:vAlign w:val="center"/>
          </w:tcPr>
          <w:p w14:paraId="5FA8442E" w14:textId="27CD0EEA" w:rsidR="000A6039" w:rsidRPr="00512D7B" w:rsidRDefault="000A6039" w:rsidP="00B813F4">
            <w:pPr>
              <w:pStyle w:val="COMTabletext"/>
              <w:keepNext w:val="0"/>
            </w:pPr>
            <w:r w:rsidRPr="00512D7B">
              <w:t>Treatments</w:t>
            </w:r>
          </w:p>
        </w:tc>
        <w:tc>
          <w:tcPr>
            <w:tcW w:w="4025" w:type="pct"/>
            <w:vAlign w:val="center"/>
          </w:tcPr>
          <w:p w14:paraId="554C8AD3" w14:textId="6850AF47" w:rsidR="000A6039" w:rsidRPr="00512D7B" w:rsidRDefault="000D44C8" w:rsidP="00B813F4">
            <w:pPr>
              <w:pStyle w:val="COMTabletext"/>
              <w:keepNext w:val="0"/>
            </w:pPr>
            <w:r w:rsidRPr="00512D7B">
              <w:t>Belantamab in combination with bortezomib and dexamethasone (</w:t>
            </w:r>
            <w:r w:rsidR="001030EA" w:rsidRPr="00512D7B">
              <w:t>BmBd</w:t>
            </w:r>
            <w:r w:rsidRPr="00512D7B">
              <w:t>)</w:t>
            </w:r>
            <w:r w:rsidR="006B68CA" w:rsidRPr="00512D7B">
              <w:t xml:space="preserve"> versus </w:t>
            </w:r>
            <w:r w:rsidRPr="00512D7B">
              <w:t>daratumumab in combination with bortezomib and dexamethasone (</w:t>
            </w:r>
            <w:r w:rsidR="001C413B" w:rsidRPr="00512D7B">
              <w:t>DBd</w:t>
            </w:r>
            <w:r w:rsidRPr="00512D7B">
              <w:t>)</w:t>
            </w:r>
          </w:p>
        </w:tc>
      </w:tr>
      <w:tr w:rsidR="006B68CA" w:rsidRPr="00512D7B" w14:paraId="6A8D84D4" w14:textId="77777777" w:rsidTr="00613462">
        <w:tc>
          <w:tcPr>
            <w:tcW w:w="975" w:type="pct"/>
            <w:vAlign w:val="center"/>
          </w:tcPr>
          <w:p w14:paraId="5F652354" w14:textId="77777777" w:rsidR="006B68CA" w:rsidRPr="00512D7B" w:rsidRDefault="006B68CA" w:rsidP="00B813F4">
            <w:pPr>
              <w:pStyle w:val="COMTabletext"/>
              <w:keepNext w:val="0"/>
            </w:pPr>
            <w:r w:rsidRPr="00512D7B">
              <w:t>Time horizon</w:t>
            </w:r>
          </w:p>
        </w:tc>
        <w:tc>
          <w:tcPr>
            <w:tcW w:w="4025" w:type="pct"/>
          </w:tcPr>
          <w:p w14:paraId="460936F1" w14:textId="265194D3" w:rsidR="006B68CA" w:rsidRPr="00512D7B" w:rsidRDefault="006B68CA" w:rsidP="00B813F4">
            <w:pPr>
              <w:pStyle w:val="COMTabletext"/>
              <w:keepNext w:val="0"/>
            </w:pPr>
            <w:r w:rsidRPr="00512D7B">
              <w:t xml:space="preserve">20 years in the model base case versus a median follow-up of 39.4 months in the DREAMM-7 ITT </w:t>
            </w:r>
            <w:r w:rsidRPr="001D6377">
              <w:t>population and 37.5 months in the lenalidomide</w:t>
            </w:r>
            <w:r w:rsidRPr="00512D7B">
              <w:t>-exposed subgroup</w:t>
            </w:r>
            <w:r w:rsidR="00FE3DC0">
              <w:rPr>
                <w:rStyle w:val="FootnoteReference"/>
              </w:rPr>
              <w:footnoteReference w:id="13"/>
            </w:r>
            <w:r w:rsidRPr="00512D7B">
              <w:t>.</w:t>
            </w:r>
            <w:r w:rsidR="00CC5EDB">
              <w:t xml:space="preserve"> </w:t>
            </w:r>
            <w:r w:rsidR="00F459C5">
              <w:t xml:space="preserve">The pre-PBAC response </w:t>
            </w:r>
            <w:r w:rsidR="00597CD5">
              <w:t>presented a re-specified base case in which convergence was applied from Year 15 to 20.</w:t>
            </w:r>
          </w:p>
        </w:tc>
      </w:tr>
      <w:tr w:rsidR="006B68CA" w:rsidRPr="00512D7B" w14:paraId="003209BF" w14:textId="77777777" w:rsidTr="00613462">
        <w:tc>
          <w:tcPr>
            <w:tcW w:w="975" w:type="pct"/>
            <w:vAlign w:val="center"/>
          </w:tcPr>
          <w:p w14:paraId="522DAB95" w14:textId="77777777" w:rsidR="006B68CA" w:rsidRPr="00512D7B" w:rsidRDefault="006B68CA" w:rsidP="00B813F4">
            <w:pPr>
              <w:pStyle w:val="COMTabletext"/>
              <w:keepNext w:val="0"/>
            </w:pPr>
            <w:r w:rsidRPr="00512D7B">
              <w:t>Outcomes</w:t>
            </w:r>
          </w:p>
        </w:tc>
        <w:tc>
          <w:tcPr>
            <w:tcW w:w="4025" w:type="pct"/>
          </w:tcPr>
          <w:p w14:paraId="3D1C428E" w14:textId="0E449012" w:rsidR="006B68CA" w:rsidRPr="00512D7B" w:rsidRDefault="006B68CA" w:rsidP="00B813F4">
            <w:pPr>
              <w:pStyle w:val="COMTabletext"/>
              <w:keepNext w:val="0"/>
            </w:pPr>
            <w:r w:rsidRPr="00512D7B">
              <w:t>Life years; quality-adjusted life years.</w:t>
            </w:r>
          </w:p>
        </w:tc>
      </w:tr>
      <w:tr w:rsidR="006B68CA" w:rsidRPr="00512D7B" w14:paraId="29120B3F" w14:textId="77777777" w:rsidTr="00613462">
        <w:tc>
          <w:tcPr>
            <w:tcW w:w="975" w:type="pct"/>
            <w:vAlign w:val="center"/>
          </w:tcPr>
          <w:p w14:paraId="1AAC94CB" w14:textId="77777777" w:rsidR="006B68CA" w:rsidRPr="00512D7B" w:rsidRDefault="006B68CA" w:rsidP="00B813F4">
            <w:pPr>
              <w:pStyle w:val="COMTabletext"/>
              <w:keepNext w:val="0"/>
            </w:pPr>
            <w:r w:rsidRPr="00512D7B">
              <w:t>Methods used to generate results</w:t>
            </w:r>
          </w:p>
        </w:tc>
        <w:tc>
          <w:tcPr>
            <w:tcW w:w="4025" w:type="pct"/>
            <w:vAlign w:val="center"/>
          </w:tcPr>
          <w:p w14:paraId="69D4F042" w14:textId="3424D89D" w:rsidR="006B68CA" w:rsidRPr="00512D7B" w:rsidRDefault="006B68CA" w:rsidP="00B813F4">
            <w:pPr>
              <w:pStyle w:val="COMTabletext"/>
              <w:keepNext w:val="0"/>
            </w:pPr>
            <w:r w:rsidRPr="00512D7B">
              <w:t>Partitioned survival analysis.</w:t>
            </w:r>
          </w:p>
        </w:tc>
      </w:tr>
      <w:tr w:rsidR="006B68CA" w:rsidRPr="00512D7B" w14:paraId="7F7ACECA" w14:textId="77777777" w:rsidTr="00613462">
        <w:tc>
          <w:tcPr>
            <w:tcW w:w="975" w:type="pct"/>
            <w:vAlign w:val="center"/>
          </w:tcPr>
          <w:p w14:paraId="344631D3" w14:textId="77777777" w:rsidR="006B68CA" w:rsidRPr="00512D7B" w:rsidRDefault="006B68CA" w:rsidP="00B813F4">
            <w:pPr>
              <w:pStyle w:val="COMTabletext"/>
              <w:keepNext w:val="0"/>
            </w:pPr>
            <w:r w:rsidRPr="00512D7B">
              <w:t>Health states</w:t>
            </w:r>
          </w:p>
        </w:tc>
        <w:tc>
          <w:tcPr>
            <w:tcW w:w="4025" w:type="pct"/>
          </w:tcPr>
          <w:p w14:paraId="03F23F80" w14:textId="29834F16" w:rsidR="006B68CA" w:rsidRPr="00512D7B" w:rsidRDefault="006B68CA" w:rsidP="00B813F4">
            <w:pPr>
              <w:pStyle w:val="COMTabletext"/>
              <w:keepNext w:val="0"/>
            </w:pPr>
            <w:r w:rsidRPr="00512D7B">
              <w:t>Progression-free (on- and off-treatment); progressed disease; dead.</w:t>
            </w:r>
          </w:p>
        </w:tc>
      </w:tr>
      <w:tr w:rsidR="006B68CA" w:rsidRPr="00512D7B" w14:paraId="7F944EEA" w14:textId="77777777" w:rsidTr="00613462">
        <w:tc>
          <w:tcPr>
            <w:tcW w:w="975" w:type="pct"/>
            <w:vAlign w:val="center"/>
          </w:tcPr>
          <w:p w14:paraId="255C0B8D" w14:textId="77777777" w:rsidR="006B68CA" w:rsidRPr="00512D7B" w:rsidRDefault="006B68CA" w:rsidP="00B813F4">
            <w:pPr>
              <w:pStyle w:val="COMTabletext"/>
              <w:keepNext w:val="0"/>
            </w:pPr>
            <w:r w:rsidRPr="00512D7B">
              <w:t>Cycle length</w:t>
            </w:r>
          </w:p>
        </w:tc>
        <w:tc>
          <w:tcPr>
            <w:tcW w:w="4025" w:type="pct"/>
          </w:tcPr>
          <w:p w14:paraId="5733F6EA" w14:textId="70E07AFA" w:rsidR="006B68CA" w:rsidRPr="00512D7B" w:rsidRDefault="006B68CA" w:rsidP="00B813F4">
            <w:pPr>
              <w:pStyle w:val="COMTabletext"/>
              <w:keepNext w:val="0"/>
            </w:pPr>
            <w:r w:rsidRPr="00512D7B">
              <w:t>1 week.</w:t>
            </w:r>
          </w:p>
        </w:tc>
      </w:tr>
      <w:tr w:rsidR="005A57D7" w:rsidRPr="00512D7B" w14:paraId="6EFF7035" w14:textId="77777777" w:rsidTr="00613462">
        <w:tc>
          <w:tcPr>
            <w:tcW w:w="975" w:type="pct"/>
            <w:vAlign w:val="center"/>
          </w:tcPr>
          <w:p w14:paraId="77A45407" w14:textId="1F740CDE" w:rsidR="00081E63" w:rsidRPr="00512D7B" w:rsidRDefault="006B68CA" w:rsidP="00B813F4">
            <w:pPr>
              <w:pStyle w:val="COMTabletext"/>
              <w:keepNext w:val="0"/>
            </w:pPr>
            <w:r w:rsidRPr="00512D7B">
              <w:t>Allocation to health states</w:t>
            </w:r>
          </w:p>
        </w:tc>
        <w:tc>
          <w:tcPr>
            <w:tcW w:w="4025" w:type="pct"/>
            <w:vAlign w:val="center"/>
          </w:tcPr>
          <w:p w14:paraId="20A80023" w14:textId="77777777" w:rsidR="006B68CA" w:rsidRPr="00512D7B" w:rsidRDefault="006B68CA" w:rsidP="00B813F4">
            <w:pPr>
              <w:pStyle w:val="COMTabletext"/>
              <w:keepNext w:val="0"/>
              <w:spacing w:after="60"/>
            </w:pPr>
            <w:r w:rsidRPr="00512D7B">
              <w:t>The proportions of patients who were progression-free (on- and off-treatment), progressed and dead were informed by modelled overall survival (OS), progression-free survival (PFS) and time to treatment discontinuation (TTD) curves.</w:t>
            </w:r>
          </w:p>
          <w:p w14:paraId="6819F303" w14:textId="1EAF0D59" w:rsidR="006B68CA" w:rsidRPr="00512D7B" w:rsidRDefault="006B68CA" w:rsidP="00B813F4">
            <w:pPr>
              <w:pStyle w:val="COMTabletext"/>
              <w:keepNext w:val="0"/>
              <w:spacing w:after="60"/>
            </w:pPr>
            <w:r w:rsidRPr="00512D7B">
              <w:lastRenderedPageBreak/>
              <w:t xml:space="preserve">In the base case, Kaplan-Meier estimates for OS, PFS and TTD were derived from the DREAMM-7 trial subgroup with prior lenalidomide </w:t>
            </w:r>
            <w:r w:rsidR="004F6A99" w:rsidRPr="00512D7B">
              <w:t>exposure and</w:t>
            </w:r>
            <w:r w:rsidRPr="00512D7B">
              <w:t xml:space="preserve"> were used directly in the model up to the median duration of follow-up for each arm, then extrapolated to 20 years using standard parametric functions. </w:t>
            </w:r>
            <w:r w:rsidR="00597CD5">
              <w:t>The re-specified base case presented in the pre-PBAC response was based on the ITT population</w:t>
            </w:r>
            <w:r w:rsidR="00C752A4">
              <w:t>.</w:t>
            </w:r>
          </w:p>
          <w:p w14:paraId="468CB20D" w14:textId="77777777" w:rsidR="006B68CA" w:rsidRPr="00512D7B" w:rsidRDefault="006B68CA" w:rsidP="00B813F4">
            <w:pPr>
              <w:pStyle w:val="COMTabletext"/>
              <w:keepNext w:val="0"/>
              <w:spacing w:after="60"/>
            </w:pPr>
            <w:r w:rsidRPr="00512D7B">
              <w:t xml:space="preserve">Australian life tables were used to ensure that the risk of death in any model cycle was no lower than general population mortality. </w:t>
            </w:r>
          </w:p>
          <w:p w14:paraId="76387578" w14:textId="3A9308F3" w:rsidR="00275C5A" w:rsidRPr="00512D7B" w:rsidRDefault="006B68CA" w:rsidP="00B813F4">
            <w:pPr>
              <w:pStyle w:val="COMTabletext"/>
              <w:keepNext w:val="0"/>
            </w:pPr>
            <w:r w:rsidRPr="00512D7B">
              <w:t xml:space="preserve">Adjustments were also incorporated in the model to ensure that TTD did not exceed PFS, and PFS did not exceed general population </w:t>
            </w:r>
            <w:r w:rsidR="00AA2796">
              <w:t xml:space="preserve">mortality </w:t>
            </w:r>
            <w:r w:rsidRPr="00512D7B">
              <w:t>or OS in any model cycle.</w:t>
            </w:r>
          </w:p>
        </w:tc>
      </w:tr>
      <w:tr w:rsidR="005A57D7" w:rsidRPr="00512D7B" w14:paraId="07C0A709" w14:textId="77777777" w:rsidTr="00613462">
        <w:tc>
          <w:tcPr>
            <w:tcW w:w="975" w:type="pct"/>
            <w:vAlign w:val="center"/>
          </w:tcPr>
          <w:p w14:paraId="33B632EB" w14:textId="4B6D1EE3" w:rsidR="00501854" w:rsidRPr="00512D7B" w:rsidRDefault="00DD0F78" w:rsidP="00B813F4">
            <w:pPr>
              <w:pStyle w:val="COMTabletext"/>
              <w:keepNext w:val="0"/>
            </w:pPr>
            <w:r w:rsidRPr="00512D7B">
              <w:lastRenderedPageBreak/>
              <w:t>Health related quality of life</w:t>
            </w:r>
          </w:p>
        </w:tc>
        <w:tc>
          <w:tcPr>
            <w:tcW w:w="4025" w:type="pct"/>
            <w:vAlign w:val="center"/>
          </w:tcPr>
          <w:p w14:paraId="37F66D23" w14:textId="77777777" w:rsidR="00613462" w:rsidRPr="00512D7B" w:rsidRDefault="00613462" w:rsidP="00232FEC">
            <w:pPr>
              <w:pStyle w:val="COMTabletext"/>
              <w:keepNext w:val="0"/>
              <w:spacing w:after="120"/>
            </w:pPr>
            <w:r w:rsidRPr="00512D7B">
              <w:t>Health state utilities were derived from DREAMM-7 EQ-5D-3L utility data analysed using a mixed-effects linear regression model including coefficients for progression status and treatment status, indexed using the Australian value set (Viney 2011).</w:t>
            </w:r>
          </w:p>
          <w:p w14:paraId="03C5B6F4" w14:textId="7D49962B" w:rsidR="00613462" w:rsidRPr="00A30FEA" w:rsidRDefault="00613462" w:rsidP="00B813F4">
            <w:pPr>
              <w:pStyle w:val="COMTabletext"/>
              <w:keepNext w:val="0"/>
            </w:pPr>
            <w:r w:rsidRPr="00A30FEA">
              <w:t>Progression-free on treatment: 0.7793</w:t>
            </w:r>
            <w:bookmarkStart w:id="51" w:name="_Ref221022655"/>
            <w:r w:rsidR="000C7F7A" w:rsidRPr="00A30FEA">
              <w:rPr>
                <w:rStyle w:val="FootnoteReference"/>
              </w:rPr>
              <w:footnoteReference w:id="14"/>
            </w:r>
            <w:bookmarkEnd w:id="51"/>
            <w:r w:rsidRPr="00A30FEA">
              <w:t xml:space="preserve"> (lenalidomide-exposed subgroup); 0.7831</w:t>
            </w:r>
            <w:r w:rsidR="005F67E2" w:rsidRPr="00A30FEA">
              <w:fldChar w:fldCharType="begin"/>
            </w:r>
            <w:r w:rsidR="005F67E2" w:rsidRPr="00A30FEA">
              <w:instrText xml:space="preserve"> NOTEREF _Ref221022655 \f \h </w:instrText>
            </w:r>
            <w:r w:rsidR="00A30FEA">
              <w:instrText xml:space="preserve"> \* MERGEFORMAT </w:instrText>
            </w:r>
            <w:r w:rsidR="005F67E2" w:rsidRPr="00A30FEA">
              <w:fldChar w:fldCharType="separate"/>
            </w:r>
            <w:r w:rsidR="00674A1F" w:rsidRPr="00674A1F">
              <w:rPr>
                <w:rStyle w:val="FootnoteReference"/>
              </w:rPr>
              <w:t>14</w:t>
            </w:r>
            <w:r w:rsidR="005F67E2" w:rsidRPr="00A30FEA">
              <w:fldChar w:fldCharType="end"/>
            </w:r>
            <w:r w:rsidRPr="00A30FEA">
              <w:t xml:space="preserve"> (ITT)</w:t>
            </w:r>
          </w:p>
          <w:p w14:paraId="53085CF2" w14:textId="64B980C5" w:rsidR="00613462" w:rsidRPr="00A30FEA" w:rsidRDefault="00613462" w:rsidP="00B813F4">
            <w:pPr>
              <w:pStyle w:val="COMTabletext"/>
              <w:keepNext w:val="0"/>
            </w:pPr>
            <w:r w:rsidRPr="00A30FEA">
              <w:t>Progression-free off treatment: 0.7751</w:t>
            </w:r>
            <w:r w:rsidR="005F67E2" w:rsidRPr="00A30FEA">
              <w:fldChar w:fldCharType="begin"/>
            </w:r>
            <w:r w:rsidR="005F67E2" w:rsidRPr="00A30FEA">
              <w:instrText xml:space="preserve"> NOTEREF _Ref221022655 \f \h </w:instrText>
            </w:r>
            <w:r w:rsidR="00A30FEA">
              <w:instrText xml:space="preserve"> \* MERGEFORMAT </w:instrText>
            </w:r>
            <w:r w:rsidR="005F67E2" w:rsidRPr="00A30FEA">
              <w:fldChar w:fldCharType="separate"/>
            </w:r>
            <w:r w:rsidR="00674A1F" w:rsidRPr="00674A1F">
              <w:rPr>
                <w:rStyle w:val="FootnoteReference"/>
              </w:rPr>
              <w:t>14</w:t>
            </w:r>
            <w:r w:rsidR="005F67E2" w:rsidRPr="00A30FEA">
              <w:fldChar w:fldCharType="end"/>
            </w:r>
            <w:r w:rsidRPr="00A30FEA">
              <w:t xml:space="preserve"> (lenalidomide-exposed subgroup); 0.7837</w:t>
            </w:r>
            <w:r w:rsidR="005F67E2" w:rsidRPr="00A30FEA">
              <w:fldChar w:fldCharType="begin"/>
            </w:r>
            <w:r w:rsidR="005F67E2" w:rsidRPr="00A30FEA">
              <w:instrText xml:space="preserve"> NOTEREF _Ref221022655 \f \h </w:instrText>
            </w:r>
            <w:r w:rsidR="00A30FEA">
              <w:instrText xml:space="preserve"> \* MERGEFORMAT </w:instrText>
            </w:r>
            <w:r w:rsidR="005F67E2" w:rsidRPr="00A30FEA">
              <w:fldChar w:fldCharType="separate"/>
            </w:r>
            <w:r w:rsidR="00674A1F" w:rsidRPr="00674A1F">
              <w:rPr>
                <w:rStyle w:val="FootnoteReference"/>
              </w:rPr>
              <w:t>14</w:t>
            </w:r>
            <w:r w:rsidR="005F67E2" w:rsidRPr="00A30FEA">
              <w:fldChar w:fldCharType="end"/>
            </w:r>
            <w:r w:rsidRPr="00A30FEA">
              <w:t xml:space="preserve"> (ITT)</w:t>
            </w:r>
          </w:p>
          <w:p w14:paraId="02E2937F" w14:textId="51A48EFE" w:rsidR="00613462" w:rsidRPr="00512D7B" w:rsidRDefault="00613462" w:rsidP="00B813F4">
            <w:pPr>
              <w:pStyle w:val="COMTabletext"/>
              <w:keepNext w:val="0"/>
              <w:spacing w:after="120"/>
            </w:pPr>
            <w:r w:rsidRPr="00A30FEA">
              <w:t>Progressed disease: 0.7431</w:t>
            </w:r>
            <w:r w:rsidR="005F67E2" w:rsidRPr="00A30FEA">
              <w:fldChar w:fldCharType="begin"/>
            </w:r>
            <w:r w:rsidR="005F67E2" w:rsidRPr="00A30FEA">
              <w:instrText xml:space="preserve"> NOTEREF _Ref221022655 \f \h </w:instrText>
            </w:r>
            <w:r w:rsidR="00A30FEA">
              <w:instrText xml:space="preserve"> \* MERGEFORMAT </w:instrText>
            </w:r>
            <w:r w:rsidR="005F67E2" w:rsidRPr="00A30FEA">
              <w:fldChar w:fldCharType="separate"/>
            </w:r>
            <w:r w:rsidR="00674A1F" w:rsidRPr="00674A1F">
              <w:rPr>
                <w:rStyle w:val="FootnoteReference"/>
              </w:rPr>
              <w:t>14</w:t>
            </w:r>
            <w:r w:rsidR="005F67E2" w:rsidRPr="00A30FEA">
              <w:fldChar w:fldCharType="end"/>
            </w:r>
            <w:r w:rsidRPr="00A30FEA">
              <w:t xml:space="preserve"> (lenalidomide-exposed subgroup); 0.7568</w:t>
            </w:r>
            <w:r w:rsidR="005F67E2" w:rsidRPr="00A30FEA">
              <w:fldChar w:fldCharType="begin"/>
            </w:r>
            <w:r w:rsidR="005F67E2" w:rsidRPr="00A30FEA">
              <w:instrText xml:space="preserve"> NOTEREF _Ref221022655 \f \h </w:instrText>
            </w:r>
            <w:r w:rsidR="00A30FEA">
              <w:instrText xml:space="preserve"> \* MERGEFORMAT </w:instrText>
            </w:r>
            <w:r w:rsidR="005F67E2" w:rsidRPr="00A30FEA">
              <w:fldChar w:fldCharType="separate"/>
            </w:r>
            <w:r w:rsidR="00674A1F" w:rsidRPr="00674A1F">
              <w:rPr>
                <w:rStyle w:val="FootnoteReference"/>
              </w:rPr>
              <w:t>14</w:t>
            </w:r>
            <w:r w:rsidR="005F67E2" w:rsidRPr="00A30FEA">
              <w:fldChar w:fldCharType="end"/>
            </w:r>
            <w:r w:rsidRPr="00A30FEA">
              <w:t xml:space="preserve"> (ITT)</w:t>
            </w:r>
          </w:p>
          <w:p w14:paraId="6FCC32AA" w14:textId="117BB27F" w:rsidR="001F4081" w:rsidRPr="00512D7B" w:rsidRDefault="00613462" w:rsidP="00B813F4">
            <w:pPr>
              <w:pStyle w:val="COMTabletext"/>
              <w:keepNext w:val="0"/>
            </w:pPr>
            <w:r w:rsidRPr="00512D7B">
              <w:t>The QALY loss associated with adverse events in each arm was based on the incidence of grade ≥3 adverse events occurring in ≥5% of patients and grade ≥2 KVA scale ocular adverse events in the DREAMM-7 trial, and disutilities and durations of adverse events derived from various published sources and assumptions</w:t>
            </w:r>
          </w:p>
        </w:tc>
      </w:tr>
      <w:tr w:rsidR="005A57D7" w:rsidRPr="00512D7B" w14:paraId="6093DA19" w14:textId="77777777" w:rsidTr="00613462">
        <w:tc>
          <w:tcPr>
            <w:tcW w:w="975" w:type="pct"/>
            <w:vAlign w:val="center"/>
          </w:tcPr>
          <w:p w14:paraId="63E46A80" w14:textId="4B62DEAB" w:rsidR="00DD0F78" w:rsidRPr="00512D7B" w:rsidRDefault="00DD7416" w:rsidP="00B813F4">
            <w:pPr>
              <w:pStyle w:val="COMTabletext"/>
              <w:keepNext w:val="0"/>
            </w:pPr>
            <w:r w:rsidRPr="00512D7B">
              <w:t>Costs</w:t>
            </w:r>
          </w:p>
        </w:tc>
        <w:tc>
          <w:tcPr>
            <w:tcW w:w="4025" w:type="pct"/>
            <w:vAlign w:val="center"/>
          </w:tcPr>
          <w:p w14:paraId="5D7F30BD" w14:textId="7952D284" w:rsidR="00501854" w:rsidRPr="00512D7B" w:rsidRDefault="001030EA" w:rsidP="00B813F4">
            <w:pPr>
              <w:pStyle w:val="COMTabletext"/>
              <w:keepNext w:val="0"/>
              <w:spacing w:after="120"/>
            </w:pPr>
            <w:r w:rsidRPr="00512D7B">
              <w:t>BmBd</w:t>
            </w:r>
            <w:r w:rsidR="003E440B" w:rsidRPr="00512D7B">
              <w:t xml:space="preserve"> treatment: </w:t>
            </w:r>
            <w:r w:rsidR="00DD7416" w:rsidRPr="00512D7B">
              <w:t xml:space="preserve">Belantamab mafodotin costs </w:t>
            </w:r>
            <w:r w:rsidR="007A329A" w:rsidRPr="00512D7B">
              <w:t xml:space="preserve">were </w:t>
            </w:r>
            <w:r w:rsidR="00DD7416" w:rsidRPr="00512D7B">
              <w:t xml:space="preserve">derived from an analysis of weekly utilisation data for belantamab mafodotin in the DREAMM-7 trial (lenalidomide-exposed subgroup). Bortezomib and </w:t>
            </w:r>
            <w:r w:rsidR="003E440B" w:rsidRPr="00512D7B">
              <w:t xml:space="preserve">dexamethasone costs </w:t>
            </w:r>
            <w:r w:rsidR="007A329A" w:rsidRPr="00512D7B">
              <w:t xml:space="preserve">were </w:t>
            </w:r>
            <w:r w:rsidR="003E440B" w:rsidRPr="00512D7B">
              <w:t xml:space="preserve">derived based on recommended doses with adjustment for treatment adherence reported in the DREAMM-7 trial. Treatment persistence for belantamab mafodotin, bortezomib and dexamethasone </w:t>
            </w:r>
            <w:r w:rsidR="007A329A" w:rsidRPr="00512D7B">
              <w:t xml:space="preserve">was </w:t>
            </w:r>
            <w:r w:rsidR="003E440B" w:rsidRPr="00512D7B">
              <w:t xml:space="preserve">based on modelled time to treatment discontinuation for the </w:t>
            </w:r>
            <w:r w:rsidRPr="00512D7B">
              <w:t>BmBd</w:t>
            </w:r>
            <w:r w:rsidR="003E440B" w:rsidRPr="00512D7B">
              <w:t xml:space="preserve"> arm of the DREAMM-7 trial (lenalidomide-exposed subgroup).</w:t>
            </w:r>
          </w:p>
          <w:p w14:paraId="7698F654" w14:textId="25DA8EA9" w:rsidR="003E440B" w:rsidRPr="00512D7B" w:rsidRDefault="001C413B" w:rsidP="00B813F4">
            <w:pPr>
              <w:pStyle w:val="COMTabletext"/>
              <w:keepNext w:val="0"/>
              <w:spacing w:after="120"/>
            </w:pPr>
            <w:r w:rsidRPr="00512D7B">
              <w:t>DBd</w:t>
            </w:r>
            <w:r w:rsidR="003E440B" w:rsidRPr="00512D7B">
              <w:t xml:space="preserve"> treatment: Daratumumab, bortezomib and dexamethasone costs </w:t>
            </w:r>
            <w:r w:rsidR="007A329A" w:rsidRPr="00512D7B">
              <w:t xml:space="preserve">were </w:t>
            </w:r>
            <w:r w:rsidR="003E440B" w:rsidRPr="00512D7B">
              <w:t xml:space="preserve">derived based on recommended doses with adjustment for treatment adherence reported in the DREAMM-7 trial. Treatment persistence for daratumumab, bortezomib and dexamethasone </w:t>
            </w:r>
            <w:r w:rsidR="007A329A" w:rsidRPr="00512D7B">
              <w:t xml:space="preserve">were </w:t>
            </w:r>
            <w:r w:rsidR="003E440B" w:rsidRPr="00512D7B">
              <w:t xml:space="preserve">based on modelled time to treatment discontinuation for the </w:t>
            </w:r>
            <w:r w:rsidRPr="00512D7B">
              <w:t>DBd</w:t>
            </w:r>
            <w:r w:rsidR="003E440B" w:rsidRPr="00512D7B">
              <w:t xml:space="preserve"> arm of the DREAMM-7 trial (lenalidomide-exposed subgroup).</w:t>
            </w:r>
            <w:r w:rsidR="00D54D7A" w:rsidRPr="00512D7B">
              <w:t xml:space="preserve"> Daratumumab was assumed to be administered intravenously.</w:t>
            </w:r>
          </w:p>
          <w:p w14:paraId="3F896248" w14:textId="4492739A" w:rsidR="003E440B" w:rsidRPr="00512D7B" w:rsidRDefault="00AD292F" w:rsidP="00B813F4">
            <w:pPr>
              <w:pStyle w:val="COMTabletext"/>
              <w:keepNext w:val="0"/>
              <w:spacing w:after="120"/>
            </w:pPr>
            <w:r w:rsidRPr="00512D7B">
              <w:t xml:space="preserve">The cost </w:t>
            </w:r>
            <w:r w:rsidR="003E440B" w:rsidRPr="00512D7B">
              <w:t xml:space="preserve">of administration for parenteral treatments </w:t>
            </w:r>
            <w:r w:rsidR="007A329A" w:rsidRPr="00512D7B">
              <w:t xml:space="preserve">was </w:t>
            </w:r>
            <w:r w:rsidR="003E440B" w:rsidRPr="00512D7B">
              <w:t>based on MBS Item 13950</w:t>
            </w:r>
            <w:r w:rsidR="00934E12" w:rsidRPr="00512D7B">
              <w:t xml:space="preserve"> (administration of one or more antineoplastic agents)</w:t>
            </w:r>
            <w:r w:rsidR="003E440B" w:rsidRPr="00512D7B">
              <w:t>.</w:t>
            </w:r>
          </w:p>
          <w:p w14:paraId="710869DC" w14:textId="4BE095A6" w:rsidR="00B813F4" w:rsidRPr="00512D7B" w:rsidRDefault="003E440B" w:rsidP="000202F4">
            <w:pPr>
              <w:pStyle w:val="COMTabletext"/>
              <w:keepNext w:val="0"/>
              <w:spacing w:after="120"/>
            </w:pPr>
            <w:r w:rsidRPr="00512D7B">
              <w:t xml:space="preserve">Grade ≥3 non-ocular adverse events with an incidence of ≥5% in the DREAMM-7 trial (ITT population) were mapped to AR-DRGs. Costs were derived using 2022/23 National Hospital Cost Data Collection admitted acute cost weights for AR-DRG Version 11.0 and the 2025/26 National Efficient Price of $7,258. Costs associated with Grade ≥2 KVA events </w:t>
            </w:r>
            <w:r w:rsidR="00D41E13" w:rsidRPr="00512D7B">
              <w:t xml:space="preserve">were </w:t>
            </w:r>
            <w:r w:rsidR="007A329A" w:rsidRPr="00512D7B">
              <w:t xml:space="preserve">based on MBS Item 10918 (optometrical services) </w:t>
            </w:r>
            <w:r w:rsidR="00D41E13" w:rsidRPr="00512D7B">
              <w:t xml:space="preserve">and </w:t>
            </w:r>
            <w:r w:rsidR="007A329A" w:rsidRPr="00512D7B">
              <w:t xml:space="preserve">were </w:t>
            </w:r>
            <w:r w:rsidRPr="00512D7B">
              <w:t>included for patients with 2 or more occurrences (57%)</w:t>
            </w:r>
            <w:r w:rsidR="00D41E13" w:rsidRPr="00512D7B">
              <w:t xml:space="preserve">, with application from Cycle 5 </w:t>
            </w:r>
            <w:r w:rsidRPr="00512D7B">
              <w:t>until treatment discontinuation.</w:t>
            </w:r>
          </w:p>
          <w:p w14:paraId="7257FDBB" w14:textId="20281757" w:rsidR="00E216E7" w:rsidRPr="00512D7B" w:rsidRDefault="00D41E13" w:rsidP="000202F4">
            <w:pPr>
              <w:pStyle w:val="COMTabletext"/>
              <w:spacing w:after="120"/>
            </w:pPr>
            <w:r w:rsidRPr="00512D7B">
              <w:lastRenderedPageBreak/>
              <w:t>Costs associated with subsequent therapies were b</w:t>
            </w:r>
            <w:r w:rsidR="00E216E7" w:rsidRPr="00512D7B">
              <w:t>ased on published PBS prices, with the assumed distribution of therapies based on an analysis of the DREAMM-7 trial (</w:t>
            </w:r>
            <w:r w:rsidR="00C431B1" w:rsidRPr="00512D7B">
              <w:t>lenalidomide-exposed</w:t>
            </w:r>
            <w:r w:rsidR="00E216E7" w:rsidRPr="00512D7B">
              <w:t xml:space="preserve"> subgroup). Subsequent therapy costs </w:t>
            </w:r>
            <w:r w:rsidR="009F4EDE" w:rsidRPr="00512D7B">
              <w:t xml:space="preserve">were </w:t>
            </w:r>
            <w:r w:rsidR="00E216E7" w:rsidRPr="00512D7B">
              <w:t xml:space="preserve">included for 60.8% of patients in the </w:t>
            </w:r>
            <w:r w:rsidR="001030EA" w:rsidRPr="00512D7B">
              <w:t>BmBd</w:t>
            </w:r>
            <w:r w:rsidR="00E216E7" w:rsidRPr="00512D7B">
              <w:t xml:space="preserve"> arm and 59.3% of patients in the </w:t>
            </w:r>
            <w:r w:rsidR="001C413B" w:rsidRPr="00512D7B">
              <w:t>DBd</w:t>
            </w:r>
            <w:r w:rsidR="00E216E7" w:rsidRPr="00512D7B">
              <w:t xml:space="preserve"> arm</w:t>
            </w:r>
            <w:r w:rsidR="009F61A5" w:rsidRPr="00512D7B">
              <w:t>,</w:t>
            </w:r>
            <w:r w:rsidRPr="00512D7B">
              <w:t xml:space="preserve"> </w:t>
            </w:r>
            <w:r w:rsidR="00E216E7" w:rsidRPr="00512D7B">
              <w:t xml:space="preserve">based on an analysis of data from the DREAMM-7 trial. </w:t>
            </w:r>
          </w:p>
          <w:p w14:paraId="4CD69EB8" w14:textId="0520D9D0" w:rsidR="00B813F4" w:rsidRPr="00512D7B" w:rsidRDefault="00B813F4" w:rsidP="00B813F4">
            <w:pPr>
              <w:pStyle w:val="COMTabletext"/>
              <w:keepNext w:val="0"/>
            </w:pPr>
            <w:r w:rsidRPr="00512D7B">
              <w:t xml:space="preserve">Terminal care costs </w:t>
            </w:r>
            <w:r w:rsidR="00CD2D1E" w:rsidRPr="00512D7B">
              <w:t xml:space="preserve">were </w:t>
            </w:r>
            <w:r w:rsidRPr="00512D7B">
              <w:t>based on terminal care costs among patients with cancer reported by Goldsbury et al. (2018).</w:t>
            </w:r>
          </w:p>
        </w:tc>
      </w:tr>
    </w:tbl>
    <w:p w14:paraId="58D9F85E" w14:textId="77777777" w:rsidR="001322B7" w:rsidRPr="00512D7B" w:rsidRDefault="001322B7" w:rsidP="00BB00B3">
      <w:pPr>
        <w:pStyle w:val="COMTablefooter"/>
      </w:pPr>
      <w:r w:rsidRPr="00512D7B">
        <w:lastRenderedPageBreak/>
        <w:t>Source: Section 3, pp123-170 of the submission.</w:t>
      </w:r>
    </w:p>
    <w:p w14:paraId="213DED56" w14:textId="78ACCDE0" w:rsidR="003270E4" w:rsidRPr="00512D7B" w:rsidRDefault="001322B7" w:rsidP="00BB00B3">
      <w:pPr>
        <w:pStyle w:val="COMTablefooter"/>
      </w:pPr>
      <w:r w:rsidRPr="00512D7B">
        <w:t xml:space="preserve">Abbreviations: </w:t>
      </w:r>
      <w:r w:rsidR="00A7187B" w:rsidRPr="00512D7B">
        <w:t xml:space="preserve">3L, 3-level; </w:t>
      </w:r>
      <w:r w:rsidR="001030EA" w:rsidRPr="00512D7B">
        <w:t>BmBd</w:t>
      </w:r>
      <w:r w:rsidRPr="00512D7B">
        <w:t xml:space="preserve">, belantamab in combination with bortezomib and dexamethasone; </w:t>
      </w:r>
      <w:r w:rsidR="001C413B" w:rsidRPr="00512D7B">
        <w:t>DBd</w:t>
      </w:r>
      <w:r w:rsidRPr="00512D7B">
        <w:t>, daratumumab in combination with bortezomib and dexamethasone; ITT, intention to treat</w:t>
      </w:r>
      <w:r w:rsidR="00A7187B" w:rsidRPr="00512D7B">
        <w:t>; KVA, K</w:t>
      </w:r>
      <w:r w:rsidR="00064215" w:rsidRPr="00512D7B">
        <w:t xml:space="preserve">eratopathy Visual Acuity; MBS, Medicare Benefits Schedule; </w:t>
      </w:r>
      <w:r w:rsidR="00A7187B" w:rsidRPr="00512D7B">
        <w:t>OS, overall survival; PFS, progression-free survival; QALY, quality-adjusted life years; TTD, time to treatment discontinuation</w:t>
      </w:r>
      <w:r w:rsidRPr="00512D7B">
        <w:t>.</w:t>
      </w:r>
      <w:r w:rsidR="003270E4" w:rsidRPr="00512D7B">
        <w:t xml:space="preserve"> </w:t>
      </w:r>
    </w:p>
    <w:p w14:paraId="2007462C" w14:textId="0A08D74E" w:rsidR="00D53588" w:rsidRPr="00AC3F7C" w:rsidRDefault="00B958FD" w:rsidP="00D53588">
      <w:pPr>
        <w:pStyle w:val="COMESnumberedpara"/>
      </w:pPr>
      <w:r w:rsidRPr="00AC3F7C">
        <w:t>A partitioned survival approach was used to distribute patients between model health states</w:t>
      </w:r>
      <w:r w:rsidR="003D1B27">
        <w:t xml:space="preserve">. </w:t>
      </w:r>
      <w:r w:rsidRPr="00AC3F7C">
        <w:t xml:space="preserve">The progression-free health state was partitioned into on- and off-treatment, based on time to treatment discontinuation curves. </w:t>
      </w:r>
      <w:r w:rsidR="00E32035" w:rsidRPr="00AC3F7C">
        <w:t>The model structure limited the ability to appropriately incorporate the costs and consequences associated with the use of subsequent anti-cancer treatments in the progressed disease health state, which may be associated with periods of disease remission, and subsequent progression.</w:t>
      </w:r>
      <w:r w:rsidR="00D53588" w:rsidRPr="00AC3F7C">
        <w:t xml:space="preserve"> The PSCR acknowledged limitations associated with the partitioned survival approach in modelling subsequent therapy utilisation but stated that the specific combination regimens used as subsequent therapy in the economic model reflected those most used in Australian practice. The ESC noted that </w:t>
      </w:r>
      <w:r w:rsidR="003D1B27">
        <w:t>t</w:t>
      </w:r>
      <w:r w:rsidR="00D53588" w:rsidRPr="00AC3F7C">
        <w:t>he number and types of subsequent therapies are likely to differ between the modelled population (based on data for the lenalidomide-exposed subgroup) and the proposed PBS population.</w:t>
      </w:r>
    </w:p>
    <w:p w14:paraId="6A8580B9" w14:textId="50555F82" w:rsidR="00064215" w:rsidRPr="00AC3F7C" w:rsidRDefault="00064215" w:rsidP="00064215">
      <w:pPr>
        <w:pStyle w:val="COMESnumberedpara"/>
      </w:pPr>
      <w:r w:rsidRPr="00AC3F7C">
        <w:t>The economic model was based on a 20</w:t>
      </w:r>
      <w:r w:rsidR="003D1B27">
        <w:t>-</w:t>
      </w:r>
      <w:r w:rsidRPr="00AC3F7C">
        <w:t xml:space="preserve">year time horizon. The submission argued that this was reasonable given the mean age of patients in the model (64.8 years) and the average life expectancy of Australians at birth (83.2 years). The submission also noted that the PBAC previously considered a 15-year time horizon (with linear convergence between the overall survival curves applied between 10 and 15 years) appropriate for </w:t>
      </w:r>
      <w:r w:rsidR="001C413B" w:rsidRPr="00AC3F7C">
        <w:t>DBd</w:t>
      </w:r>
      <w:r w:rsidRPr="00AC3F7C">
        <w:t xml:space="preserve"> versus </w:t>
      </w:r>
      <w:r w:rsidR="00603978" w:rsidRPr="00AC3F7C">
        <w:t>bortezomib and dexamethasone (</w:t>
      </w:r>
      <w:r w:rsidR="0062627F" w:rsidRPr="00AC3F7C">
        <w:t>Bd</w:t>
      </w:r>
      <w:r w:rsidR="00603978" w:rsidRPr="00AC3F7C">
        <w:t>)</w:t>
      </w:r>
      <w:r w:rsidRPr="00AC3F7C">
        <w:t xml:space="preserve"> in </w:t>
      </w:r>
      <w:r w:rsidR="00FA1763" w:rsidRPr="00AC3F7C">
        <w:t xml:space="preserve">second </w:t>
      </w:r>
      <w:r w:rsidRPr="00AC3F7C">
        <w:t>line multiple myeloma (para</w:t>
      </w:r>
      <w:r w:rsidR="003D1B27">
        <w:t>graphs</w:t>
      </w:r>
      <w:r w:rsidRPr="00AC3F7C">
        <w:t xml:space="preserve"> 6.6</w:t>
      </w:r>
      <w:r w:rsidR="003D1B27">
        <w:t xml:space="preserve"> and </w:t>
      </w:r>
      <w:r w:rsidRPr="00AC3F7C">
        <w:t>6.7, daratumumab</w:t>
      </w:r>
      <w:r w:rsidR="00CD2D1E" w:rsidRPr="00AC3F7C">
        <w:t xml:space="preserve">, </w:t>
      </w:r>
      <w:r w:rsidR="00526BA0" w:rsidRPr="00AC3F7C">
        <w:t>PSD</w:t>
      </w:r>
      <w:r w:rsidRPr="00AC3F7C">
        <w:t xml:space="preserve">, July 2020 PBAC meeting). The submission argued that, given the overall survival gain for </w:t>
      </w:r>
      <w:r w:rsidR="001030EA" w:rsidRPr="00AC3F7C">
        <w:t>BmBd</w:t>
      </w:r>
      <w:r w:rsidRPr="00AC3F7C">
        <w:t xml:space="preserve"> versus </w:t>
      </w:r>
      <w:r w:rsidR="001C413B" w:rsidRPr="00AC3F7C">
        <w:t>DBd</w:t>
      </w:r>
      <w:r w:rsidRPr="00AC3F7C">
        <w:t xml:space="preserve"> demonstrated in the DREAMM-7 trial, a longer time horizon of 20 years </w:t>
      </w:r>
      <w:r w:rsidR="003D1B27">
        <w:t>was</w:t>
      </w:r>
      <w:r w:rsidR="003D1B27" w:rsidRPr="00AC3F7C">
        <w:t xml:space="preserve"> </w:t>
      </w:r>
      <w:r w:rsidRPr="00AC3F7C">
        <w:t xml:space="preserve">considered appropriate to adequately reflect key differences in costs and outcomes between treatment arms. </w:t>
      </w:r>
      <w:r w:rsidR="00777247" w:rsidRPr="00AC3F7C">
        <w:t>The PSCR further stated that the 20</w:t>
      </w:r>
      <w:r w:rsidR="003D1B27">
        <w:t>-</w:t>
      </w:r>
      <w:r w:rsidR="00777247" w:rsidRPr="00AC3F7C">
        <w:t xml:space="preserve">year time horizon was reasonable given the mean age of entry of patients in the model (64.8 years) was representative of the Australian RRMM population and that age-standardised mortality for MM patients under 70 is expected to be the same as the general </w:t>
      </w:r>
      <w:r w:rsidR="00777247" w:rsidRPr="00AC3F7C">
        <w:lastRenderedPageBreak/>
        <w:t>population by 2028 (Luo, 2024</w:t>
      </w:r>
      <w:r w:rsidR="00777247" w:rsidRPr="00AC3F7C">
        <w:rPr>
          <w:rStyle w:val="FootnoteReference"/>
        </w:rPr>
        <w:footnoteReference w:id="15"/>
      </w:r>
      <w:r w:rsidR="00777247" w:rsidRPr="00AC3F7C">
        <w:t xml:space="preserve">). </w:t>
      </w:r>
      <w:r w:rsidR="001263B0" w:rsidRPr="00AC3F7C">
        <w:t>The ESC</w:t>
      </w:r>
      <w:r w:rsidR="00E2219C" w:rsidRPr="00AC3F7C">
        <w:t>, noting</w:t>
      </w:r>
      <w:r w:rsidR="001263B0" w:rsidRPr="00AC3F7C">
        <w:t xml:space="preserve"> that </w:t>
      </w:r>
      <w:r w:rsidRPr="00AC3F7C">
        <w:t xml:space="preserve">there was a substantial amount of uncertainty associated with the extrapolation of the results </w:t>
      </w:r>
      <w:r w:rsidR="00393AEE" w:rsidRPr="00AC3F7C">
        <w:t>from</w:t>
      </w:r>
      <w:r w:rsidR="00F414B7" w:rsidRPr="00AC3F7C">
        <w:t xml:space="preserve"> 37.5 months in the DREAMM-7 trial (lenalidomide-exposed subgroup) </w:t>
      </w:r>
      <w:r w:rsidRPr="00AC3F7C">
        <w:t>to 20 years</w:t>
      </w:r>
      <w:r w:rsidR="00F414B7" w:rsidRPr="00AC3F7C">
        <w:t xml:space="preserve"> (see </w:t>
      </w:r>
      <w:r w:rsidR="00F414B7" w:rsidRPr="00AC3F7C">
        <w:fldChar w:fldCharType="begin"/>
      </w:r>
      <w:r w:rsidR="00F414B7" w:rsidRPr="00AC3F7C">
        <w:instrText xml:space="preserve"> REF _Ref206405595 \h </w:instrText>
      </w:r>
      <w:r w:rsidR="00AC3F7C" w:rsidRPr="00AC3F7C">
        <w:instrText xml:space="preserve"> \* MERGEFORMAT </w:instrText>
      </w:r>
      <w:r w:rsidR="00F414B7" w:rsidRPr="00AC3F7C">
        <w:fldChar w:fldCharType="separate"/>
      </w:r>
      <w:r w:rsidR="00674A1F" w:rsidRPr="004B52C9">
        <w:t xml:space="preserve">Figure </w:t>
      </w:r>
      <w:r w:rsidR="00674A1F">
        <w:t>5</w:t>
      </w:r>
      <w:r w:rsidR="00F414B7" w:rsidRPr="00AC3F7C">
        <w:fldChar w:fldCharType="end"/>
      </w:r>
      <w:r w:rsidR="00F414B7" w:rsidRPr="00AC3F7C">
        <w:t>)</w:t>
      </w:r>
      <w:r w:rsidR="00E2219C" w:rsidRPr="00AC3F7C">
        <w:t xml:space="preserve">, considered that </w:t>
      </w:r>
      <w:r w:rsidR="00877579" w:rsidRPr="00AC3F7C">
        <w:t>a time horizon of 15 years would be more appropriate</w:t>
      </w:r>
      <w:r w:rsidRPr="00AC3F7C">
        <w:t>.</w:t>
      </w:r>
      <w:r w:rsidR="00393AEE" w:rsidRPr="00AC3F7C">
        <w:t xml:space="preserve"> </w:t>
      </w:r>
      <w:r w:rsidR="00C752A4">
        <w:t xml:space="preserve">The pre-PBAC response presented a revised based case which applied convergence of the </w:t>
      </w:r>
      <w:r w:rsidR="00F73635">
        <w:t>overall survival curves from Year 15 to 20.</w:t>
      </w:r>
    </w:p>
    <w:p w14:paraId="2B8C52E4" w14:textId="3DC4D3C7" w:rsidR="00EE787B" w:rsidRPr="00AC3F7C" w:rsidRDefault="00C625BF" w:rsidP="00EE787B">
      <w:pPr>
        <w:pStyle w:val="COMESnumberedpara"/>
      </w:pPr>
      <w:r w:rsidRPr="00AC3F7C">
        <w:t xml:space="preserve">In the base case of the submission, the proportions of patients in each health state were derived from extrapolated time to treatment discontinuation, progression-free survival and overall survival curves for the </w:t>
      </w:r>
      <w:r w:rsidR="001030EA" w:rsidRPr="00AC3F7C">
        <w:t>BmBd</w:t>
      </w:r>
      <w:r w:rsidRPr="00AC3F7C">
        <w:t xml:space="preserve"> and </w:t>
      </w:r>
      <w:r w:rsidR="001C413B" w:rsidRPr="00AC3F7C">
        <w:t>DBd</w:t>
      </w:r>
      <w:r w:rsidRPr="00AC3F7C">
        <w:t xml:space="preserve"> arms of the DREAMM-7 lenalidomide-exposed trial subgroup. </w:t>
      </w:r>
      <w:r w:rsidR="00EE787B" w:rsidRPr="00AC3F7C">
        <w:t xml:space="preserve">However, </w:t>
      </w:r>
      <w:r w:rsidR="004B1E8D">
        <w:t>noting the issues</w:t>
      </w:r>
      <w:r w:rsidR="004B1E8D" w:rsidRPr="00AC3F7C">
        <w:t xml:space="preserve"> </w:t>
      </w:r>
      <w:r w:rsidR="00346574" w:rsidRPr="00AC3F7C">
        <w:t>discussed in paragraph</w:t>
      </w:r>
      <w:r w:rsidR="00843A6A" w:rsidRPr="00AC3F7C">
        <w:t xml:space="preserve"> </w:t>
      </w:r>
      <w:r w:rsidR="00843A6A" w:rsidRPr="00AC3F7C">
        <w:fldChar w:fldCharType="begin"/>
      </w:r>
      <w:r w:rsidR="00843A6A" w:rsidRPr="00AC3F7C">
        <w:instrText xml:space="preserve"> REF _Ref206447961 \r \h  \* MERGEFORMAT </w:instrText>
      </w:r>
      <w:r w:rsidR="00843A6A" w:rsidRPr="00AC3F7C">
        <w:fldChar w:fldCharType="separate"/>
      </w:r>
      <w:r w:rsidR="00674A1F">
        <w:t>6.13</w:t>
      </w:r>
      <w:r w:rsidR="00843A6A" w:rsidRPr="00AC3F7C">
        <w:fldChar w:fldCharType="end"/>
      </w:r>
      <w:r w:rsidR="00516208" w:rsidRPr="00AC3F7C">
        <w:t xml:space="preserve">, </w:t>
      </w:r>
      <w:r w:rsidR="004B1E8D">
        <w:t>t</w:t>
      </w:r>
      <w:r w:rsidR="0086202E" w:rsidRPr="00AC3F7C">
        <w:t xml:space="preserve">he ESC </w:t>
      </w:r>
      <w:r w:rsidR="00D95072" w:rsidRPr="00AC3F7C">
        <w:t>considered that the ITT population would provide the most robust data</w:t>
      </w:r>
      <w:r w:rsidR="001C26E9" w:rsidRPr="00AC3F7C">
        <w:t xml:space="preserve">. </w:t>
      </w:r>
      <w:r w:rsidR="00F73635">
        <w:t>The re-specified base case presented in the pre-PBAC response used the ITT population to inform the model.</w:t>
      </w:r>
      <w:r w:rsidR="00165F51" w:rsidRPr="00AC3F7C">
        <w:t xml:space="preserve"> </w:t>
      </w:r>
    </w:p>
    <w:p w14:paraId="17EFA294" w14:textId="25F77A76" w:rsidR="001C4252" w:rsidRPr="00AC3F7C" w:rsidRDefault="001C4252" w:rsidP="001C4252">
      <w:pPr>
        <w:pStyle w:val="COMESnumberedpara"/>
      </w:pPr>
      <w:r w:rsidRPr="00AC3F7C">
        <w:fldChar w:fldCharType="begin"/>
      </w:r>
      <w:r w:rsidRPr="00AC3F7C">
        <w:instrText xml:space="preserve"> REF _Ref206405595 \h </w:instrText>
      </w:r>
      <w:r w:rsidR="005A68BE" w:rsidRPr="00AC3F7C">
        <w:instrText xml:space="preserve"> \* MERGEFORMAT </w:instrText>
      </w:r>
      <w:r w:rsidRPr="00AC3F7C">
        <w:fldChar w:fldCharType="separate"/>
      </w:r>
      <w:r w:rsidR="00674A1F" w:rsidRPr="004B52C9">
        <w:t xml:space="preserve">Figure </w:t>
      </w:r>
      <w:r w:rsidR="00674A1F">
        <w:t>5</w:t>
      </w:r>
      <w:r w:rsidRPr="00AC3F7C">
        <w:fldChar w:fldCharType="end"/>
      </w:r>
      <w:r w:rsidRPr="00AC3F7C">
        <w:t xml:space="preserve"> presents the</w:t>
      </w:r>
      <w:r w:rsidR="001D2E25" w:rsidRPr="00AC3F7C">
        <w:t xml:space="preserve"> extrapolated</w:t>
      </w:r>
      <w:r w:rsidRPr="00AC3F7C">
        <w:t xml:space="preserve"> overall survival, progression-free survival and time to treatment discontinuation curves used in the base case of the modelled economic evaluation</w:t>
      </w:r>
      <w:r w:rsidR="00A429DB" w:rsidRPr="00AC3F7C">
        <w:t xml:space="preserve"> (</w:t>
      </w:r>
      <w:r w:rsidR="002F7B09" w:rsidRPr="00AC3F7C">
        <w:t>lenalidomide</w:t>
      </w:r>
      <w:r w:rsidR="00A429DB" w:rsidRPr="00AC3F7C">
        <w:t>-exposed subgroup)</w:t>
      </w:r>
      <w:r w:rsidRPr="00AC3F7C">
        <w:t>.</w:t>
      </w:r>
      <w:r w:rsidR="00A429DB" w:rsidRPr="00AC3F7C">
        <w:t xml:space="preserve">  </w:t>
      </w:r>
    </w:p>
    <w:p w14:paraId="5F3CBDF0" w14:textId="1EC3FD42" w:rsidR="001C4252" w:rsidRPr="00512D7B" w:rsidRDefault="001C4252" w:rsidP="001C4252">
      <w:pPr>
        <w:pStyle w:val="COMtablefigcaption"/>
      </w:pPr>
      <w:bookmarkStart w:id="52" w:name="_Ref206405595"/>
      <w:r w:rsidRPr="004B52C9">
        <w:lastRenderedPageBreak/>
        <w:t xml:space="preserve">Figure </w:t>
      </w:r>
      <w:r w:rsidR="00715075" w:rsidRPr="004B52C9">
        <w:fldChar w:fldCharType="begin"/>
      </w:r>
      <w:r w:rsidR="00715075" w:rsidRPr="004B52C9">
        <w:instrText xml:space="preserve"> SEQ Figure \* ARABIC </w:instrText>
      </w:r>
      <w:r w:rsidR="00715075" w:rsidRPr="004B52C9">
        <w:fldChar w:fldCharType="separate"/>
      </w:r>
      <w:r w:rsidR="00674A1F">
        <w:rPr>
          <w:noProof/>
        </w:rPr>
        <w:t>5</w:t>
      </w:r>
      <w:r w:rsidR="00715075" w:rsidRPr="004B52C9">
        <w:fldChar w:fldCharType="end"/>
      </w:r>
      <w:bookmarkEnd w:id="52"/>
      <w:r w:rsidRPr="004B52C9">
        <w:t>: Overall survival, progression-free survival and time to treatment discontinuation curves used in the base case of the modelled economic evaluation (based on the DREAMM-7 lenalidomide-exposed subgroup)</w:t>
      </w:r>
      <w:r w:rsidR="004B52C9">
        <w:rPr>
          <w:rStyle w:val="FootnoteReference"/>
        </w:rPr>
        <w:footnoteReference w:id="16"/>
      </w:r>
    </w:p>
    <w:p w14:paraId="3247EC73" w14:textId="77777777" w:rsidR="0073494B" w:rsidRPr="00512D7B" w:rsidRDefault="0073494B" w:rsidP="0073494B">
      <w:r w:rsidRPr="00512D7B">
        <w:rPr>
          <w:noProof/>
        </w:rPr>
        <w:drawing>
          <wp:inline distT="0" distB="0" distL="0" distR="0" wp14:anchorId="166D651F" wp14:editId="0D6B9BD8">
            <wp:extent cx="5694045" cy="3780155"/>
            <wp:effectExtent l="0" t="0" r="1905" b="0"/>
            <wp:docPr id="1625061558" name="Picture 1" descr="Figure 5: Overall survival, progression-free survival and time to treatment discontinuation curves used in the base case of the modelled economic evaluation (based on the DREAMM-7 lenalidomide-exposed sub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61558" name="Picture 1" descr="Figure 5: Overall survival, progression-free survival and time to treatment discontinuation curves used in the base case of the modelled economic evaluation (based on the DREAMM-7 lenalidomide-exposed subgroup)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4045" cy="3780155"/>
                    </a:xfrm>
                    <a:prstGeom prst="rect">
                      <a:avLst/>
                    </a:prstGeom>
                    <a:noFill/>
                  </pic:spPr>
                </pic:pic>
              </a:graphicData>
            </a:graphic>
          </wp:inline>
        </w:drawing>
      </w:r>
    </w:p>
    <w:p w14:paraId="0C46B406" w14:textId="77777777" w:rsidR="0073494B" w:rsidRPr="00512D7B" w:rsidRDefault="0073494B" w:rsidP="0073494B">
      <w:pPr>
        <w:pStyle w:val="COMTablefooter"/>
      </w:pPr>
      <w:r w:rsidRPr="00512D7B">
        <w:t>Source: ‘</w:t>
      </w:r>
      <w:proofErr w:type="spellStart"/>
      <w:r w:rsidRPr="00512D7B">
        <w:t>Blenrep</w:t>
      </w:r>
      <w:proofErr w:type="spellEnd"/>
      <w:r w:rsidRPr="00512D7B">
        <w:t xml:space="preserve"> (belantamab mafodotin) </w:t>
      </w:r>
      <w:proofErr w:type="spellStart"/>
      <w:r w:rsidRPr="00512D7B">
        <w:t>CUA_July</w:t>
      </w:r>
      <w:proofErr w:type="spellEnd"/>
      <w:r w:rsidRPr="00512D7B">
        <w:t xml:space="preserve"> 2025’ model spreadsheet provided with the submission.</w:t>
      </w:r>
    </w:p>
    <w:p w14:paraId="577A9B1C" w14:textId="6413147D" w:rsidR="001C4252" w:rsidRPr="00512D7B" w:rsidRDefault="0073494B" w:rsidP="001C4252">
      <w:pPr>
        <w:pStyle w:val="COMTablefooter"/>
      </w:pPr>
      <w:r w:rsidRPr="00512D7B">
        <w:t>Abbreviations: BmBd, belantamab mafodotin in combination with bortezomib and dexamethasone; DBd, daratumumab in combination with bortezomib and dexamethasone; OS, overall survival; PFS, progression-free survival; TTD, time to treatment discontinuation.</w:t>
      </w:r>
      <w:r w:rsidR="001C4252" w:rsidRPr="00512D7B">
        <w:t xml:space="preserve"> </w:t>
      </w:r>
    </w:p>
    <w:p w14:paraId="36A06DAB" w14:textId="77777777" w:rsidR="00C44CD8" w:rsidRDefault="0083307C" w:rsidP="009F390E">
      <w:pPr>
        <w:pStyle w:val="COMESnumberedpara"/>
      </w:pPr>
      <w:r w:rsidRPr="00AC3F7C">
        <w:t xml:space="preserve">In the base case of the model, overall survival for the </w:t>
      </w:r>
      <w:r w:rsidR="00D54D7A" w:rsidRPr="00AC3F7C">
        <w:t xml:space="preserve">BmBd and DBd </w:t>
      </w:r>
      <w:r w:rsidRPr="00AC3F7C">
        <w:t xml:space="preserve">arms </w:t>
      </w:r>
      <w:r w:rsidR="00D54D7A" w:rsidRPr="00AC3F7C">
        <w:t>were extrapolated using exponential</w:t>
      </w:r>
      <w:r w:rsidRPr="00AC3F7C">
        <w:t xml:space="preserve"> functions, which represented the most pessimistic extrapolations among the tested parametric functions. </w:t>
      </w:r>
    </w:p>
    <w:p w14:paraId="04324A3E" w14:textId="56CED611" w:rsidR="00244A6C" w:rsidRDefault="00DC6821">
      <w:pPr>
        <w:pStyle w:val="COMESnumberedpara"/>
      </w:pPr>
      <w:r w:rsidRPr="00AC3F7C">
        <w:t>DBd</w:t>
      </w:r>
      <w:r w:rsidR="00244A6C" w:rsidRPr="00AC3F7C">
        <w:t xml:space="preserve"> was PBS listed for second line treatment of multiple myeloma based on evidence from the CASTOR trial, a randomised, open-label, phase 3 study comparing </w:t>
      </w:r>
      <w:r w:rsidR="009976CD" w:rsidRPr="00AC3F7C">
        <w:t>to</w:t>
      </w:r>
      <w:r w:rsidR="00EF55BA" w:rsidRPr="00AC3F7C">
        <w:t xml:space="preserve"> </w:t>
      </w:r>
      <w:r w:rsidR="00244A6C" w:rsidRPr="00AC3F7C">
        <w:t xml:space="preserve">Bd in patients with </w:t>
      </w:r>
      <w:r w:rsidR="00E26D67" w:rsidRPr="00AC3F7C">
        <w:t>RRMM</w:t>
      </w:r>
      <w:r w:rsidR="00244A6C" w:rsidRPr="00AC3F7C">
        <w:t xml:space="preserve"> and at least 1 prior line of therapy. </w:t>
      </w:r>
      <w:r w:rsidR="0011024D">
        <w:t xml:space="preserve"> </w:t>
      </w:r>
      <w:r w:rsidR="00244A6C" w:rsidRPr="00AC3F7C">
        <w:t xml:space="preserve">Based on visual inspection of the CASTOR trial Kaplan-Meier plots, the proportion of patients remaining alive at 5 years was approximately 45% </w:t>
      </w:r>
      <w:r w:rsidR="00121D1B" w:rsidRPr="00AC3F7C">
        <w:t>for the</w:t>
      </w:r>
      <w:r w:rsidR="00244A6C" w:rsidRPr="00AC3F7C">
        <w:t xml:space="preserve"> ITT population and approximately 60% in the second line subgroup. This compares with modelled overall survival for the DBd arm of 42% at 5 years based on the DREAMM-7 ITT population and 26% at 5 years based on the DREAMM-7 lenalidomide-exposed subgroup.</w:t>
      </w:r>
      <w:r w:rsidR="00E11E4B" w:rsidRPr="00AC3F7C">
        <w:t xml:space="preserve"> This suggests that, while </w:t>
      </w:r>
      <w:r w:rsidR="00E11E4B" w:rsidRPr="00AC3F7C">
        <w:lastRenderedPageBreak/>
        <w:t xml:space="preserve">modelled estimates for the DBd arm based on the DREAMM-7 ITT population were </w:t>
      </w:r>
      <w:proofErr w:type="gramStart"/>
      <w:r w:rsidR="00E11E4B" w:rsidRPr="00AC3F7C">
        <w:t>similar to</w:t>
      </w:r>
      <w:proofErr w:type="gramEnd"/>
      <w:r w:rsidR="00E11E4B" w:rsidRPr="00AC3F7C">
        <w:t xml:space="preserve"> estimates from the CASTOR trial ITT population, the use of the DREAMM-7 lenalidomide-exposed subgroup underestimate</w:t>
      </w:r>
      <w:r w:rsidR="0011024D">
        <w:t>d</w:t>
      </w:r>
      <w:r w:rsidR="00E11E4B" w:rsidRPr="00AC3F7C">
        <w:t xml:space="preserve"> survival in the DBd arm of the proposed second line population.</w:t>
      </w:r>
      <w:r w:rsidR="0092168A" w:rsidRPr="00AC3F7C">
        <w:t xml:space="preserve"> The </w:t>
      </w:r>
      <w:r w:rsidR="006942B0" w:rsidRPr="00AC3F7C">
        <w:t xml:space="preserve">PSCR stated that the outcomes from the CASTOR trial have not eventuated in practice, with </w:t>
      </w:r>
      <w:r w:rsidR="009F0990" w:rsidRPr="00AC3F7C">
        <w:t xml:space="preserve">survival </w:t>
      </w:r>
      <w:r w:rsidR="006942B0" w:rsidRPr="00AC3F7C">
        <w:t xml:space="preserve">observations from the </w:t>
      </w:r>
      <w:r w:rsidR="00296136" w:rsidRPr="00AC3F7C">
        <w:t>Australian and New Zealand Myeloma and Related Diseases Regi</w:t>
      </w:r>
      <w:r w:rsidR="009F0990" w:rsidRPr="00AC3F7C">
        <w:t>stry (MRDR)</w:t>
      </w:r>
      <w:r w:rsidR="009F0990" w:rsidRPr="00AC3F7C">
        <w:rPr>
          <w:rStyle w:val="FootnoteReference"/>
        </w:rPr>
        <w:footnoteReference w:id="17"/>
      </w:r>
      <w:r w:rsidR="005A73EC" w:rsidRPr="00AC3F7C">
        <w:t xml:space="preserve"> </w:t>
      </w:r>
      <w:proofErr w:type="gramStart"/>
      <w:r w:rsidR="005A73EC" w:rsidRPr="00AC3F7C">
        <w:t>similar to</w:t>
      </w:r>
      <w:proofErr w:type="gramEnd"/>
      <w:r w:rsidR="005A73EC" w:rsidRPr="00AC3F7C">
        <w:t xml:space="preserve"> those reported in the lenalidomide</w:t>
      </w:r>
      <w:r w:rsidR="006F21C8" w:rsidRPr="00AC3F7C">
        <w:t xml:space="preserve">-exposed subgroup of DREAMM-7. The ESC noted </w:t>
      </w:r>
      <w:r w:rsidR="00EF3162" w:rsidRPr="00AC3F7C">
        <w:t xml:space="preserve">trial patients were generally fitter than those in </w:t>
      </w:r>
      <w:r w:rsidR="00294D7C" w:rsidRPr="00AC3F7C">
        <w:t xml:space="preserve">the real world setting and </w:t>
      </w:r>
      <w:r w:rsidR="006F21C8" w:rsidRPr="00AC3F7C">
        <w:t xml:space="preserve">that </w:t>
      </w:r>
      <w:r w:rsidR="00BC0727" w:rsidRPr="00AC3F7C">
        <w:t xml:space="preserve">the efficacy of BmBd in </w:t>
      </w:r>
      <w:r w:rsidR="00294D7C" w:rsidRPr="00AC3F7C">
        <w:t>clinical practice</w:t>
      </w:r>
      <w:r w:rsidR="00A518E7" w:rsidRPr="00AC3F7C">
        <w:t xml:space="preserve"> has not yet been observed.</w:t>
      </w:r>
    </w:p>
    <w:p w14:paraId="5C2712CC" w14:textId="05AD6209" w:rsidR="005B2AE8" w:rsidRPr="00AC3F7C" w:rsidRDefault="005B2AE8" w:rsidP="005B2AE8">
      <w:pPr>
        <w:pStyle w:val="COMESnumberedpara"/>
      </w:pPr>
      <w:r>
        <w:fldChar w:fldCharType="begin"/>
      </w:r>
      <w:r>
        <w:instrText xml:space="preserve"> REF _Ref206405595 \h </w:instrText>
      </w:r>
      <w:r>
        <w:fldChar w:fldCharType="separate"/>
      </w:r>
      <w:r w:rsidR="00674A1F" w:rsidRPr="004B52C9">
        <w:t xml:space="preserve">Figure </w:t>
      </w:r>
      <w:r w:rsidR="00674A1F">
        <w:rPr>
          <w:noProof/>
        </w:rPr>
        <w:t>5</w:t>
      </w:r>
      <w:r>
        <w:fldChar w:fldCharType="end"/>
      </w:r>
      <w:r>
        <w:t xml:space="preserve"> </w:t>
      </w:r>
      <w:r w:rsidRPr="00AC3F7C">
        <w:t>show</w:t>
      </w:r>
      <w:r>
        <w:t>s</w:t>
      </w:r>
      <w:r w:rsidRPr="00AC3F7C">
        <w:t xml:space="preserve"> a survival benefit for BmBd compared to DBd that persists over the 20 year time horizon of the model. The proportions of patients remaining alive in the BmBd arm at 15 and 20 years were 19.9% and 11.7%, respectively, compared to 1.8% and 0.5% in the DBd arm.</w:t>
      </w:r>
    </w:p>
    <w:p w14:paraId="7604FD87" w14:textId="66EA13FE" w:rsidR="00E11E4B" w:rsidRPr="00AC3F7C" w:rsidRDefault="00E11E4B" w:rsidP="009F390E">
      <w:pPr>
        <w:pStyle w:val="COMESnumberedpara"/>
      </w:pPr>
      <w:r w:rsidRPr="00AC3F7C">
        <w:t xml:space="preserve">There was a relatively large difference between the progression-free survival and time to next treatment curves, suggesting </w:t>
      </w:r>
      <w:r w:rsidR="000D14A5" w:rsidRPr="00AC3F7C">
        <w:t>that a large proportion of patients discontinued treatment despite not having experienced disease progression.</w:t>
      </w:r>
      <w:r w:rsidRPr="00AC3F7C">
        <w:t xml:space="preserve"> Th</w:t>
      </w:r>
      <w:r w:rsidR="000D14A5" w:rsidRPr="00AC3F7C">
        <w:t xml:space="preserve">e difference between the time to treatment discontinuation and progression-free survival curves </w:t>
      </w:r>
      <w:r w:rsidRPr="00AC3F7C">
        <w:t>was more pronounced in the BmBd arm compared to the DBd arm.</w:t>
      </w:r>
      <w:r w:rsidR="002F7B09" w:rsidRPr="00AC3F7C">
        <w:t xml:space="preserve"> Based on the October 2024 data cut for the ITT population, the primary reasons for treatment discontinuation in the BmBd arm were progressive disease (30%), adverse event (21%) and physician decision (13%); and in the DBd arm were progressive disease (64%), adverse event (9%), and withdrawal by subject (4%).</w:t>
      </w:r>
    </w:p>
    <w:p w14:paraId="6DAB35A9" w14:textId="07989D85" w:rsidR="005778D4" w:rsidRPr="00AC3F7C" w:rsidRDefault="005778D4" w:rsidP="005778D4">
      <w:pPr>
        <w:pStyle w:val="COMESnumberedpara"/>
      </w:pPr>
      <w:r w:rsidRPr="00AC3F7C">
        <w:t xml:space="preserve">The ESC noted that the economic model did not appear to adequately capture the costs and quality of life impacts associated with severe ocular toxicity events. While disutilities were applied to model adverse events including dry eyes and eye irritation, these were assumed to be transient in nature with an overall disutility per event of &lt;0.05. The ESC considered this substantially underestimated the quality of life impact of more severe ocular toxicity, which may persist over a longer </w:t>
      </w:r>
      <w:proofErr w:type="gramStart"/>
      <w:r w:rsidRPr="00AC3F7C">
        <w:t>period of time</w:t>
      </w:r>
      <w:proofErr w:type="gramEnd"/>
      <w:r w:rsidRPr="00AC3F7C">
        <w:t xml:space="preserve">. </w:t>
      </w:r>
    </w:p>
    <w:p w14:paraId="392BDD93" w14:textId="18F46E22" w:rsidR="00F275A3" w:rsidRPr="00AC3F7C" w:rsidRDefault="00040DF8" w:rsidP="009F390E">
      <w:pPr>
        <w:pStyle w:val="COMESnumberedpara"/>
      </w:pPr>
      <w:r w:rsidRPr="00AC3F7C">
        <w:t xml:space="preserve">Belantamab mafodotin costs were based on an analysis of weekly utilisation data for the lenalidomide-exposed subgroup of the DREAMM-7 trial. </w:t>
      </w:r>
      <w:r w:rsidR="00F275A3" w:rsidRPr="00AC3F7C">
        <w:t xml:space="preserve">The method used to estimate the utilisation of belantamab mafodotin was complex. </w:t>
      </w:r>
      <w:r w:rsidR="00943AE8" w:rsidRPr="00AC3F7C">
        <w:t>D</w:t>
      </w:r>
      <w:r w:rsidR="00F275A3" w:rsidRPr="00AC3F7C">
        <w:t>ue to the potential for dose interruptions, dose reductions and changes in administration frequency, the use of weekly utilisation data from the trial to capture costs associated with belantamab mafodotin treatment may be reasonable. However, the number of 100</w:t>
      </w:r>
      <w:r w:rsidR="003C2367" w:rsidRPr="00AC3F7C">
        <w:t> mg</w:t>
      </w:r>
      <w:r w:rsidR="00F275A3" w:rsidRPr="00AC3F7C">
        <w:t xml:space="preserve"> and 70</w:t>
      </w:r>
      <w:r w:rsidR="003C2367" w:rsidRPr="00AC3F7C">
        <w:t> mg</w:t>
      </w:r>
      <w:r w:rsidR="00F275A3" w:rsidRPr="00AC3F7C">
        <w:t xml:space="preserve"> vials required for each dose was derived separately, with separate </w:t>
      </w:r>
      <w:r w:rsidR="00F275A3" w:rsidRPr="00AC3F7C">
        <w:lastRenderedPageBreak/>
        <w:t>PBS markups applied to the estimated number of required 100</w:t>
      </w:r>
      <w:r w:rsidR="003C2367" w:rsidRPr="00AC3F7C">
        <w:t> mg</w:t>
      </w:r>
      <w:r w:rsidR="00F275A3" w:rsidRPr="00AC3F7C">
        <w:t xml:space="preserve"> and 70</w:t>
      </w:r>
      <w:r w:rsidR="003C2367" w:rsidRPr="00AC3F7C">
        <w:t> mg</w:t>
      </w:r>
      <w:r w:rsidR="00F275A3" w:rsidRPr="00AC3F7C">
        <w:t xml:space="preserve"> doses. This resulted in overestimation of </w:t>
      </w:r>
      <w:r w:rsidR="00445D35" w:rsidRPr="00AC3F7C">
        <w:t xml:space="preserve">PBS </w:t>
      </w:r>
      <w:r w:rsidR="00F275A3" w:rsidRPr="00AC3F7C">
        <w:t>markups given that 100</w:t>
      </w:r>
      <w:r w:rsidR="003C2367" w:rsidRPr="00AC3F7C">
        <w:t> mg</w:t>
      </w:r>
      <w:r w:rsidR="00F275A3" w:rsidRPr="00AC3F7C">
        <w:t xml:space="preserve"> and 70</w:t>
      </w:r>
      <w:r w:rsidR="003C2367" w:rsidRPr="00AC3F7C">
        <w:t> mg</w:t>
      </w:r>
      <w:r w:rsidR="00F275A3" w:rsidRPr="00AC3F7C">
        <w:t xml:space="preserve"> vials for each dose would be dispensed together.</w:t>
      </w:r>
    </w:p>
    <w:p w14:paraId="4371C502" w14:textId="1F85F54D" w:rsidR="008D7A06" w:rsidRPr="00AC3F7C" w:rsidRDefault="00040DF8" w:rsidP="008D7A06">
      <w:pPr>
        <w:pStyle w:val="COMESnumberedpara"/>
      </w:pPr>
      <w:r w:rsidRPr="00AC3F7C">
        <w:t>There were differences in the method</w:t>
      </w:r>
      <w:r w:rsidR="007571D9" w:rsidRPr="00AC3F7C">
        <w:t>s</w:t>
      </w:r>
      <w:r w:rsidRPr="00AC3F7C">
        <w:t xml:space="preserve"> used to estimate the utilisation for belantamab mafodotin (analysis of weekly utilisation data for the lenalidomide-exposed subgroup of the DREAMM-7 trial) and the other included initial treatments (</w:t>
      </w:r>
      <w:r w:rsidR="004E746D" w:rsidRPr="00AC3F7C">
        <w:t xml:space="preserve">daratumumab, bortezomib and dexamethasone; </w:t>
      </w:r>
      <w:r w:rsidRPr="00AC3F7C">
        <w:t xml:space="preserve">derived based on reported mean relative dose intensities). </w:t>
      </w:r>
      <w:r w:rsidR="00A471CB" w:rsidRPr="00AC3F7C">
        <w:t>The ESC noted that it was</w:t>
      </w:r>
      <w:r w:rsidRPr="00AC3F7C">
        <w:t xml:space="preserve"> unclear whether the use of different methods resulted in consistent </w:t>
      </w:r>
      <w:r w:rsidR="00445D35" w:rsidRPr="00AC3F7C">
        <w:t>costing of therapies</w:t>
      </w:r>
      <w:r w:rsidRPr="00AC3F7C">
        <w:t xml:space="preserve"> between treatment arms.</w:t>
      </w:r>
    </w:p>
    <w:p w14:paraId="0362472E" w14:textId="1F572CC1" w:rsidR="005A2A5B" w:rsidRPr="00AC3F7C" w:rsidRDefault="005A2A5B" w:rsidP="008D7A06">
      <w:pPr>
        <w:pStyle w:val="COMESnumberedpara"/>
      </w:pPr>
      <w:r w:rsidRPr="00AC3F7C">
        <w:t xml:space="preserve">The submission assumed that daratumumab would be administered intravenously on the basis that intravenous use of daratumumab was used in the DREAMM-7 trial. </w:t>
      </w:r>
      <w:r w:rsidR="00003E6A" w:rsidRPr="00AC3F7C">
        <w:t>The eviQ guidelines note that the DBd regimen using subcutaneous</w:t>
      </w:r>
      <w:r w:rsidR="0009438E" w:rsidRPr="00AC3F7C">
        <w:t>,</w:t>
      </w:r>
      <w:r w:rsidR="00003E6A" w:rsidRPr="00AC3F7C">
        <w:t xml:space="preserve"> rather than intravenous daratumumab</w:t>
      </w:r>
      <w:r w:rsidR="0009438E" w:rsidRPr="00AC3F7C">
        <w:t>,</w:t>
      </w:r>
      <w:r w:rsidR="00003E6A" w:rsidRPr="00AC3F7C">
        <w:t xml:space="preserve"> is now the preferred regimen. </w:t>
      </w:r>
    </w:p>
    <w:p w14:paraId="37B4237B" w14:textId="3091D0B8" w:rsidR="00275C5A" w:rsidRPr="00AC3F7C" w:rsidRDefault="00E16AD8" w:rsidP="00BB00B3">
      <w:pPr>
        <w:pStyle w:val="COMESnumberedpara"/>
      </w:pPr>
      <w:r w:rsidRPr="00AC3F7C">
        <w:fldChar w:fldCharType="begin"/>
      </w:r>
      <w:r w:rsidRPr="00AC3F7C">
        <w:instrText xml:space="preserve"> REF _Ref104805122 \h  \* MERGEFORMAT </w:instrText>
      </w:r>
      <w:r w:rsidRPr="00AC3F7C">
        <w:fldChar w:fldCharType="separate"/>
      </w:r>
      <w:r w:rsidR="00674A1F" w:rsidRPr="00512D7B">
        <w:t xml:space="preserve">Table </w:t>
      </w:r>
      <w:r w:rsidR="00674A1F">
        <w:t>10</w:t>
      </w:r>
      <w:r w:rsidRPr="00AC3F7C">
        <w:fldChar w:fldCharType="end"/>
      </w:r>
      <w:r w:rsidR="001C4252" w:rsidRPr="00AC3F7C">
        <w:t xml:space="preserve"> summarises the key drivers of the economic model.</w:t>
      </w:r>
    </w:p>
    <w:p w14:paraId="774D46B7" w14:textId="1643603A" w:rsidR="00D110BD" w:rsidRPr="00512D7B" w:rsidRDefault="00E16AD8" w:rsidP="00766D7F">
      <w:pPr>
        <w:pStyle w:val="COMTableFigurecaption"/>
        <w:keepLines/>
      </w:pPr>
      <w:bookmarkStart w:id="53" w:name="_Ref104805122"/>
      <w:bookmarkStart w:id="54" w:name="_Hlk206407848"/>
      <w:r w:rsidRPr="00512D7B">
        <w:lastRenderedPageBreak/>
        <w:t xml:space="preserve">Table </w:t>
      </w:r>
      <w:r w:rsidR="0009438E">
        <w:fldChar w:fldCharType="begin"/>
      </w:r>
      <w:r w:rsidR="0009438E">
        <w:instrText xml:space="preserve"> SEQ Table \* ARABIC </w:instrText>
      </w:r>
      <w:r w:rsidR="0009438E">
        <w:fldChar w:fldCharType="separate"/>
      </w:r>
      <w:r w:rsidR="00674A1F">
        <w:rPr>
          <w:noProof/>
        </w:rPr>
        <w:t>10</w:t>
      </w:r>
      <w:r w:rsidR="0009438E">
        <w:fldChar w:fldCharType="end"/>
      </w:r>
      <w:bookmarkEnd w:id="53"/>
      <w:r w:rsidRPr="00512D7B">
        <w:t>:</w:t>
      </w:r>
      <w:r w:rsidR="00D110BD" w:rsidRPr="00512D7B">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128"/>
        <w:gridCol w:w="6609"/>
        <w:gridCol w:w="1280"/>
      </w:tblGrid>
      <w:tr w:rsidR="005A57D7" w:rsidRPr="00512D7B" w14:paraId="4DD8026E" w14:textId="77777777" w:rsidTr="00807512">
        <w:trPr>
          <w:tblHeader/>
        </w:trPr>
        <w:tc>
          <w:tcPr>
            <w:tcW w:w="625" w:type="pct"/>
            <w:vAlign w:val="center"/>
          </w:tcPr>
          <w:p w14:paraId="6A9EC2DA" w14:textId="77777777" w:rsidR="00D110BD" w:rsidRPr="00512D7B" w:rsidRDefault="00D110BD" w:rsidP="00766D7F">
            <w:pPr>
              <w:pStyle w:val="COMTableheadingrow"/>
            </w:pPr>
            <w:r w:rsidRPr="00512D7B">
              <w:t>Description</w:t>
            </w:r>
          </w:p>
        </w:tc>
        <w:tc>
          <w:tcPr>
            <w:tcW w:w="3665" w:type="pct"/>
            <w:vAlign w:val="center"/>
          </w:tcPr>
          <w:p w14:paraId="67A62672" w14:textId="77777777" w:rsidR="00D110BD" w:rsidRPr="00512D7B" w:rsidRDefault="00D110BD" w:rsidP="00766D7F">
            <w:pPr>
              <w:pStyle w:val="COMTableheadingrow"/>
              <w:jc w:val="center"/>
            </w:pPr>
            <w:r w:rsidRPr="00512D7B">
              <w:t>Method/Value</w:t>
            </w:r>
          </w:p>
        </w:tc>
        <w:tc>
          <w:tcPr>
            <w:tcW w:w="710" w:type="pct"/>
            <w:vAlign w:val="center"/>
          </w:tcPr>
          <w:p w14:paraId="6C1DC9EA" w14:textId="612FB700" w:rsidR="00490B17" w:rsidRPr="00512D7B" w:rsidRDefault="001C4252" w:rsidP="00766D7F">
            <w:pPr>
              <w:pStyle w:val="COMTableheadingrow"/>
              <w:jc w:val="center"/>
            </w:pPr>
            <w:r w:rsidRPr="00512D7B">
              <w:t>Impact</w:t>
            </w:r>
          </w:p>
        </w:tc>
      </w:tr>
      <w:tr w:rsidR="008C5F20" w:rsidRPr="00512D7B" w14:paraId="75001E85" w14:textId="77777777" w:rsidTr="001A02A2">
        <w:trPr>
          <w:trHeight w:val="1814"/>
        </w:trPr>
        <w:tc>
          <w:tcPr>
            <w:tcW w:w="625" w:type="pct"/>
            <w:vAlign w:val="center"/>
          </w:tcPr>
          <w:p w14:paraId="541C3858" w14:textId="409A7549" w:rsidR="008C5F20" w:rsidRPr="00512D7B" w:rsidRDefault="00EE787B" w:rsidP="00766D7F">
            <w:pPr>
              <w:pStyle w:val="COMTabletext"/>
            </w:pPr>
            <w:r w:rsidRPr="00512D7B">
              <w:t>Comparative effectiveness</w:t>
            </w:r>
          </w:p>
        </w:tc>
        <w:tc>
          <w:tcPr>
            <w:tcW w:w="3665" w:type="pct"/>
            <w:vAlign w:val="center"/>
          </w:tcPr>
          <w:p w14:paraId="6173B58B" w14:textId="4930BCC7" w:rsidR="00003E6A" w:rsidRPr="00512D7B" w:rsidRDefault="00F929E8" w:rsidP="00766D7F">
            <w:pPr>
              <w:pStyle w:val="COMTabletext"/>
              <w:spacing w:after="120"/>
            </w:pPr>
            <w:r w:rsidRPr="00512D7B">
              <w:t xml:space="preserve">The submission did not adequately justify the use of the lenalidomide-exposed subgroup in the base case. While </w:t>
            </w:r>
            <w:r w:rsidR="00006336" w:rsidRPr="00512D7B">
              <w:t>approximately 52% of patients in each treatment arm of the DREAMM-7 trial reported prior lenalidomide use, most patients</w:t>
            </w:r>
            <w:r w:rsidR="007927F3" w:rsidRPr="00512D7B">
              <w:t xml:space="preserve"> in the ITT population</w:t>
            </w:r>
            <w:r w:rsidR="00006336" w:rsidRPr="00512D7B">
              <w:t xml:space="preserve"> (81% in the BmBd and 86% in the DBd arm) reported </w:t>
            </w:r>
            <w:r w:rsidR="00EA62D6" w:rsidRPr="00512D7B">
              <w:t xml:space="preserve">prior exposure to an immunomodulatory agent (lenalidomide, thalidomide or pomalidomide). </w:t>
            </w:r>
          </w:p>
          <w:p w14:paraId="59AA79B5" w14:textId="4AA223C7" w:rsidR="008C5F20" w:rsidRPr="00512D7B" w:rsidRDefault="005C2F4F" w:rsidP="00766D7F">
            <w:pPr>
              <w:pStyle w:val="COMTabletext"/>
            </w:pPr>
            <w:r w:rsidRPr="00512D7B">
              <w:t>T</w:t>
            </w:r>
            <w:r w:rsidR="00EE787B" w:rsidRPr="00512D7B">
              <w:t xml:space="preserve">he lenalidomide-exposed subgroup included patients with one or more prior lines of therapy, which differs from the proposed PBS population </w:t>
            </w:r>
            <w:proofErr w:type="gramStart"/>
            <w:r w:rsidR="00EE787B" w:rsidRPr="00512D7B">
              <w:t>with regard to</w:t>
            </w:r>
            <w:proofErr w:type="gramEnd"/>
            <w:r w:rsidR="00EE787B" w:rsidRPr="00512D7B">
              <w:t xml:space="preserve"> the number of lines of prior therapy. </w:t>
            </w:r>
          </w:p>
        </w:tc>
        <w:tc>
          <w:tcPr>
            <w:tcW w:w="710" w:type="pct"/>
            <w:vAlign w:val="center"/>
          </w:tcPr>
          <w:p w14:paraId="7C0C0A9D" w14:textId="14DFF615" w:rsidR="008C5F20" w:rsidRPr="00512D7B" w:rsidRDefault="008C5F20" w:rsidP="00766D7F">
            <w:pPr>
              <w:pStyle w:val="COMTabletext"/>
              <w:jc w:val="center"/>
            </w:pPr>
            <w:r w:rsidRPr="00512D7B">
              <w:t xml:space="preserve">High, favours </w:t>
            </w:r>
            <w:r w:rsidR="001030EA" w:rsidRPr="00512D7B">
              <w:t>BmBd</w:t>
            </w:r>
          </w:p>
        </w:tc>
      </w:tr>
      <w:tr w:rsidR="005A57D7" w:rsidRPr="00512D7B" w14:paraId="3DE22150" w14:textId="77777777" w:rsidTr="00807512">
        <w:tc>
          <w:tcPr>
            <w:tcW w:w="625" w:type="pct"/>
            <w:vAlign w:val="center"/>
          </w:tcPr>
          <w:p w14:paraId="72E20981" w14:textId="6C7E74BD" w:rsidR="00D110BD" w:rsidRPr="00512D7B" w:rsidRDefault="00106B80" w:rsidP="00766D7F">
            <w:pPr>
              <w:pStyle w:val="COMTabletext"/>
            </w:pPr>
            <w:r w:rsidRPr="00512D7B">
              <w:t>Extrapolation</w:t>
            </w:r>
          </w:p>
        </w:tc>
        <w:tc>
          <w:tcPr>
            <w:tcW w:w="3665" w:type="pct"/>
            <w:vAlign w:val="center"/>
          </w:tcPr>
          <w:p w14:paraId="64938802" w14:textId="5AE231AC" w:rsidR="00106B80" w:rsidRPr="00512D7B" w:rsidRDefault="00850245" w:rsidP="00766D7F">
            <w:pPr>
              <w:pStyle w:val="COMTabletext"/>
            </w:pPr>
            <w:r w:rsidRPr="00512D7B">
              <w:t xml:space="preserve">Extrapolation of the trial </w:t>
            </w:r>
            <w:r w:rsidRPr="00953069">
              <w:t>data (based on a median follow-up of 37.5 months in the lenalidomide-exposed subgroup)</w:t>
            </w:r>
            <w:bookmarkStart w:id="55" w:name="_Ref221031856"/>
            <w:r w:rsidR="00953069">
              <w:rPr>
                <w:rStyle w:val="FootnoteReference"/>
              </w:rPr>
              <w:footnoteReference w:id="18"/>
            </w:r>
            <w:bookmarkEnd w:id="55"/>
            <w:r w:rsidRPr="00512D7B">
              <w:t xml:space="preserve"> </w:t>
            </w:r>
            <w:r w:rsidR="00C3561B" w:rsidRPr="00512D7B">
              <w:t>to 2</w:t>
            </w:r>
            <w:r w:rsidRPr="00512D7B">
              <w:t>0 years was associated with a substantial amount of uncertainty.</w:t>
            </w:r>
            <w:r w:rsidR="0054020E" w:rsidRPr="00512D7B">
              <w:t xml:space="preserve"> </w:t>
            </w:r>
            <w:r w:rsidR="00F620F9" w:rsidRPr="00512D7B">
              <w:t>T</w:t>
            </w:r>
            <w:r w:rsidR="00C3561B" w:rsidRPr="00512D7B">
              <w:t xml:space="preserve">he exponential function used to extrapolate overall survival for the </w:t>
            </w:r>
            <w:r w:rsidR="001C413B" w:rsidRPr="00512D7B">
              <w:t>DBd</w:t>
            </w:r>
            <w:r w:rsidR="00C3561B" w:rsidRPr="00512D7B">
              <w:t xml:space="preserve"> arm appeared to underestimate survival among patients treated with </w:t>
            </w:r>
            <w:r w:rsidR="001C413B" w:rsidRPr="00512D7B">
              <w:t>DBd</w:t>
            </w:r>
            <w:r w:rsidR="00C3561B" w:rsidRPr="00512D7B">
              <w:t>.</w:t>
            </w:r>
          </w:p>
        </w:tc>
        <w:tc>
          <w:tcPr>
            <w:tcW w:w="710" w:type="pct"/>
            <w:vAlign w:val="center"/>
          </w:tcPr>
          <w:p w14:paraId="0AD58F2B" w14:textId="34B39B97" w:rsidR="00490B17" w:rsidRPr="00512D7B" w:rsidRDefault="008C5F20" w:rsidP="00766D7F">
            <w:pPr>
              <w:pStyle w:val="COMTabletext"/>
              <w:jc w:val="center"/>
            </w:pPr>
            <w:r w:rsidRPr="00512D7B">
              <w:t xml:space="preserve">High, favours </w:t>
            </w:r>
            <w:r w:rsidR="001030EA" w:rsidRPr="00512D7B">
              <w:t>BmBd</w:t>
            </w:r>
          </w:p>
        </w:tc>
      </w:tr>
      <w:tr w:rsidR="005A57D7" w:rsidRPr="00512D7B" w14:paraId="39E46D5B" w14:textId="77777777" w:rsidTr="00807512">
        <w:tc>
          <w:tcPr>
            <w:tcW w:w="625" w:type="pct"/>
            <w:vAlign w:val="center"/>
          </w:tcPr>
          <w:p w14:paraId="347EC5A4" w14:textId="79C0286A" w:rsidR="00D110BD" w:rsidRPr="00512D7B" w:rsidRDefault="00A663A2" w:rsidP="00766D7F">
            <w:pPr>
              <w:pStyle w:val="COMTabletext"/>
            </w:pPr>
            <w:r w:rsidRPr="00512D7B">
              <w:t>Subsequent treatments</w:t>
            </w:r>
          </w:p>
        </w:tc>
        <w:tc>
          <w:tcPr>
            <w:tcW w:w="3665" w:type="pct"/>
            <w:vAlign w:val="center"/>
          </w:tcPr>
          <w:p w14:paraId="7E7105AF" w14:textId="3D0586AF" w:rsidR="00D110BD" w:rsidRPr="00512D7B" w:rsidRDefault="00807512" w:rsidP="00766D7F">
            <w:pPr>
              <w:pStyle w:val="COMTabletext"/>
            </w:pPr>
            <w:r w:rsidRPr="00512D7B">
              <w:t xml:space="preserve">There are likely to be differences in the number and types of subsequent treatments used among patients included in the DREAMM-7 trial and patients in the proposed PBS population. Due to the partitioned survival structure of the model, alternative assumptions for subsequent therapy use </w:t>
            </w:r>
            <w:r w:rsidR="00F620F9" w:rsidRPr="00512D7B">
              <w:t xml:space="preserve">(e.g., lines of therapy, distribution of therapies, duration of therapies) </w:t>
            </w:r>
            <w:r w:rsidRPr="00512D7B">
              <w:t>affected costs only (and not outcomes).</w:t>
            </w:r>
          </w:p>
        </w:tc>
        <w:tc>
          <w:tcPr>
            <w:tcW w:w="710" w:type="pct"/>
            <w:vAlign w:val="center"/>
          </w:tcPr>
          <w:p w14:paraId="50F3F3FF" w14:textId="4876CDD9" w:rsidR="00D110BD" w:rsidRPr="00512D7B" w:rsidRDefault="00807512" w:rsidP="00766D7F">
            <w:pPr>
              <w:pStyle w:val="COMTabletext"/>
              <w:jc w:val="center"/>
            </w:pPr>
            <w:r w:rsidRPr="00512D7B">
              <w:t xml:space="preserve">Moderate, favours </w:t>
            </w:r>
            <w:r w:rsidR="001030EA" w:rsidRPr="00512D7B">
              <w:t>BmBd</w:t>
            </w:r>
          </w:p>
        </w:tc>
      </w:tr>
      <w:tr w:rsidR="00A663A2" w:rsidRPr="00512D7B" w14:paraId="06D48D7C" w14:textId="77777777" w:rsidTr="00807512">
        <w:tc>
          <w:tcPr>
            <w:tcW w:w="625" w:type="pct"/>
            <w:vAlign w:val="center"/>
          </w:tcPr>
          <w:p w14:paraId="058E9BAD" w14:textId="1E7A6433" w:rsidR="00A663A2" w:rsidRPr="00512D7B" w:rsidRDefault="001030EA" w:rsidP="00766D7F">
            <w:pPr>
              <w:pStyle w:val="COMTabletext"/>
            </w:pPr>
            <w:r w:rsidRPr="00512D7B">
              <w:t>BmBd</w:t>
            </w:r>
            <w:r w:rsidR="00A663A2" w:rsidRPr="00512D7B">
              <w:t xml:space="preserve"> treatment utilisation</w:t>
            </w:r>
          </w:p>
        </w:tc>
        <w:tc>
          <w:tcPr>
            <w:tcW w:w="3665" w:type="pct"/>
            <w:vAlign w:val="center"/>
          </w:tcPr>
          <w:p w14:paraId="4AF6F3D2" w14:textId="71E1F7A2" w:rsidR="00A663A2" w:rsidRPr="00512D7B" w:rsidRDefault="00A663A2" w:rsidP="00766D7F">
            <w:pPr>
              <w:pStyle w:val="COMTabletext"/>
            </w:pPr>
            <w:r w:rsidRPr="00733472">
              <w:t>Dose reductions occurred in 70% of patients who received belantamab mafodotin in the lenalidomide-exposed subgroup of the DREAMM</w:t>
            </w:r>
            <w:r w:rsidR="00330DEB" w:rsidRPr="00733472">
              <w:t>-</w:t>
            </w:r>
            <w:r w:rsidRPr="00733472">
              <w:t>7 trial, and dose delays occurred in 54% of patients.</w:t>
            </w:r>
            <w:r w:rsidR="00733472">
              <w:fldChar w:fldCharType="begin"/>
            </w:r>
            <w:r w:rsidR="00733472">
              <w:instrText xml:space="preserve"> NOTEREF _Ref221031856 \f \h </w:instrText>
            </w:r>
            <w:r w:rsidR="00733472">
              <w:fldChar w:fldCharType="separate"/>
            </w:r>
            <w:r w:rsidR="00674A1F" w:rsidRPr="00674A1F">
              <w:rPr>
                <w:rStyle w:val="FootnoteReference"/>
              </w:rPr>
              <w:t>18</w:t>
            </w:r>
            <w:r w:rsidR="00733472">
              <w:fldChar w:fldCharType="end"/>
            </w:r>
            <w:r w:rsidRPr="00733472">
              <w:t xml:space="preserve"> It</w:t>
            </w:r>
            <w:r w:rsidRPr="00512D7B">
              <w:t xml:space="preserve"> is unclear whether the utilisation of belantamab mafodotin in the clinical trial will reflect dosing in the proposed PBS population, given differences in the number of lines of prior therapy, and potential differences in age, performance status and comorbidities. Lower doses will reduce the cost of treatment but may also reduce the effectiveness of treatment.</w:t>
            </w:r>
          </w:p>
        </w:tc>
        <w:tc>
          <w:tcPr>
            <w:tcW w:w="710" w:type="pct"/>
            <w:vAlign w:val="center"/>
          </w:tcPr>
          <w:p w14:paraId="7EF48D10" w14:textId="75657C7E" w:rsidR="00A663A2" w:rsidRPr="00512D7B" w:rsidRDefault="00A663A2" w:rsidP="00766D7F">
            <w:pPr>
              <w:pStyle w:val="COMTabletext"/>
              <w:jc w:val="center"/>
            </w:pPr>
            <w:r w:rsidRPr="00512D7B">
              <w:t>Unclear impact</w:t>
            </w:r>
          </w:p>
        </w:tc>
      </w:tr>
    </w:tbl>
    <w:p w14:paraId="3A2A8B3D" w14:textId="77777777" w:rsidR="00A663A2" w:rsidRPr="00512D7B" w:rsidRDefault="009D792E" w:rsidP="00766D7F">
      <w:pPr>
        <w:pStyle w:val="COMTablefooter"/>
        <w:keepNext/>
        <w:keepLines/>
      </w:pPr>
      <w:r w:rsidRPr="00512D7B">
        <w:t xml:space="preserve">Source: </w:t>
      </w:r>
      <w:r w:rsidR="00A663A2" w:rsidRPr="00512D7B">
        <w:t>Constructed during the evaluation with reference to Section 3, pp123-170 of the submission.</w:t>
      </w:r>
    </w:p>
    <w:p w14:paraId="30E97087" w14:textId="3B05A898" w:rsidR="00D110BD" w:rsidRPr="00512D7B" w:rsidRDefault="00A663A2" w:rsidP="00766D7F">
      <w:pPr>
        <w:pStyle w:val="COMTablefooter"/>
        <w:keepNext/>
        <w:keepLines/>
      </w:pPr>
      <w:r w:rsidRPr="00512D7B">
        <w:t xml:space="preserve">Abbreviations: </w:t>
      </w:r>
      <w:r w:rsidR="001030EA" w:rsidRPr="00512D7B">
        <w:t>BmBd</w:t>
      </w:r>
      <w:r w:rsidRPr="00512D7B">
        <w:t xml:space="preserve">, belantamab in combination with bortezomib and dexamethasone; </w:t>
      </w:r>
      <w:r w:rsidR="001C413B" w:rsidRPr="00512D7B">
        <w:t>DBd</w:t>
      </w:r>
      <w:r w:rsidRPr="00512D7B">
        <w:t>, daratumumab in combination with bortezomib and dexamethasone</w:t>
      </w:r>
      <w:r w:rsidR="007927F3" w:rsidRPr="00512D7B">
        <w:t>; ITT, intention to treat</w:t>
      </w:r>
      <w:r w:rsidRPr="00512D7B">
        <w:t>.</w:t>
      </w:r>
    </w:p>
    <w:bookmarkEnd w:id="54"/>
    <w:p w14:paraId="31627BFE" w14:textId="4F05F568" w:rsidR="0022349C" w:rsidRPr="00AC3F7C" w:rsidRDefault="00224AEF" w:rsidP="0022349C">
      <w:pPr>
        <w:pStyle w:val="COMESnumberedpara"/>
      </w:pPr>
      <w:r w:rsidRPr="00AC3F7C">
        <w:fldChar w:fldCharType="begin"/>
      </w:r>
      <w:r w:rsidRPr="00AC3F7C">
        <w:instrText xml:space="preserve"> REF _Ref104805181 \h </w:instrText>
      </w:r>
      <w:r w:rsidR="005A68BE" w:rsidRPr="00AC3F7C">
        <w:instrText xml:space="preserve"> \* MERGEFORMAT </w:instrText>
      </w:r>
      <w:r w:rsidRPr="00AC3F7C">
        <w:fldChar w:fldCharType="separate"/>
      </w:r>
      <w:r w:rsidR="00674A1F" w:rsidRPr="00512D7B">
        <w:t xml:space="preserve">Table </w:t>
      </w:r>
      <w:r w:rsidR="00674A1F">
        <w:t>11</w:t>
      </w:r>
      <w:r w:rsidRPr="00AC3F7C">
        <w:fldChar w:fldCharType="end"/>
      </w:r>
      <w:r w:rsidRPr="00AC3F7C">
        <w:t xml:space="preserve"> </w:t>
      </w:r>
      <w:r w:rsidR="0022349C" w:rsidRPr="00AC3F7C">
        <w:t>presents the results of the economic evaluation</w:t>
      </w:r>
      <w:r w:rsidRPr="00AC3F7C">
        <w:t xml:space="preserve"> for the DREAMM-7 lenalidomide-exposed subgroup (submission base case) and the DREAMM-7 ITT population </w:t>
      </w:r>
      <w:r w:rsidR="0022349C" w:rsidRPr="00AC3F7C">
        <w:t>based on published prices</w:t>
      </w:r>
      <w:r w:rsidR="00F45A03" w:rsidRPr="00AC3F7C">
        <w:t xml:space="preserve"> for daratumumab and subsequent therapies</w:t>
      </w:r>
      <w:r w:rsidR="0022349C" w:rsidRPr="00AC3F7C">
        <w:t xml:space="preserve">. </w:t>
      </w:r>
      <w:r w:rsidR="00880FEB">
        <w:t xml:space="preserve">The results of the re-specified base case presented in the pre-PBAC response </w:t>
      </w:r>
      <w:r w:rsidR="00A123B2">
        <w:t xml:space="preserve">which used the ITT population from DREAMM-7 to inform the model and applied convergence from Year 15 to 20 is also </w:t>
      </w:r>
      <w:r w:rsidR="00C16BF3">
        <w:t>presented below</w:t>
      </w:r>
      <w:r w:rsidR="00A123B2">
        <w:t xml:space="preserve">. </w:t>
      </w:r>
    </w:p>
    <w:p w14:paraId="26D7609E" w14:textId="0CC987AE" w:rsidR="00224AEF" w:rsidRPr="00512D7B" w:rsidRDefault="00224AEF" w:rsidP="00224AEF">
      <w:pPr>
        <w:pStyle w:val="COMTableFigurecaption"/>
        <w:rPr>
          <w:b w:val="0"/>
        </w:rPr>
      </w:pPr>
      <w:bookmarkStart w:id="56" w:name="_Ref104805181"/>
      <w:r w:rsidRPr="00512D7B">
        <w:lastRenderedPageBreak/>
        <w:t xml:space="preserve">Table </w:t>
      </w:r>
      <w:r w:rsidR="00251746">
        <w:fldChar w:fldCharType="begin"/>
      </w:r>
      <w:r w:rsidR="00251746">
        <w:instrText xml:space="preserve"> SEQ Table \* ARABIC </w:instrText>
      </w:r>
      <w:r w:rsidR="00251746">
        <w:fldChar w:fldCharType="separate"/>
      </w:r>
      <w:r w:rsidR="00674A1F">
        <w:rPr>
          <w:noProof/>
        </w:rPr>
        <w:t>11</w:t>
      </w:r>
      <w:r w:rsidR="00251746">
        <w:fldChar w:fldCharType="end"/>
      </w:r>
      <w:bookmarkEnd w:id="56"/>
      <w:r w:rsidRPr="00512D7B">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Results of the economic evaluation"/>
      </w:tblPr>
      <w:tblGrid>
        <w:gridCol w:w="2254"/>
        <w:gridCol w:w="14"/>
        <w:gridCol w:w="2240"/>
        <w:gridCol w:w="27"/>
        <w:gridCol w:w="2269"/>
        <w:gridCol w:w="2213"/>
      </w:tblGrid>
      <w:tr w:rsidR="00224AEF" w:rsidRPr="00512D7B" w14:paraId="3C33A88C" w14:textId="77777777">
        <w:trPr>
          <w:tblHeader/>
        </w:trPr>
        <w:tc>
          <w:tcPr>
            <w:tcW w:w="1250" w:type="pct"/>
            <w:vAlign w:val="center"/>
          </w:tcPr>
          <w:p w14:paraId="2FA24AB1" w14:textId="77777777" w:rsidR="00224AEF" w:rsidRPr="00512D7B" w:rsidRDefault="00224AEF">
            <w:pPr>
              <w:pStyle w:val="COMTableheadingrow"/>
            </w:pPr>
            <w:r w:rsidRPr="00512D7B">
              <w:t>Step and component</w:t>
            </w:r>
          </w:p>
        </w:tc>
        <w:tc>
          <w:tcPr>
            <w:tcW w:w="1250" w:type="pct"/>
            <w:gridSpan w:val="2"/>
            <w:vAlign w:val="center"/>
          </w:tcPr>
          <w:p w14:paraId="0018321C" w14:textId="41FAC4DF" w:rsidR="00224AEF" w:rsidRPr="00512D7B" w:rsidRDefault="001030EA">
            <w:pPr>
              <w:pStyle w:val="COMTableheadingrow"/>
              <w:jc w:val="center"/>
            </w:pPr>
            <w:r w:rsidRPr="00512D7B">
              <w:t>BmBd</w:t>
            </w:r>
          </w:p>
        </w:tc>
        <w:tc>
          <w:tcPr>
            <w:tcW w:w="1273" w:type="pct"/>
            <w:gridSpan w:val="2"/>
            <w:vAlign w:val="center"/>
          </w:tcPr>
          <w:p w14:paraId="3B470C6D" w14:textId="66EEC657" w:rsidR="00224AEF" w:rsidRPr="00512D7B" w:rsidRDefault="001C413B">
            <w:pPr>
              <w:pStyle w:val="COMTableheadingrow"/>
              <w:jc w:val="center"/>
            </w:pPr>
            <w:r w:rsidRPr="00512D7B">
              <w:t>DBd</w:t>
            </w:r>
          </w:p>
        </w:tc>
        <w:tc>
          <w:tcPr>
            <w:tcW w:w="1227" w:type="pct"/>
            <w:vAlign w:val="center"/>
          </w:tcPr>
          <w:p w14:paraId="2FB48A8A" w14:textId="77777777" w:rsidR="00224AEF" w:rsidRPr="00512D7B" w:rsidRDefault="00224AEF">
            <w:pPr>
              <w:pStyle w:val="COMTableheadingrow"/>
              <w:jc w:val="center"/>
            </w:pPr>
            <w:r w:rsidRPr="00512D7B">
              <w:t>Increment</w:t>
            </w:r>
          </w:p>
        </w:tc>
      </w:tr>
      <w:tr w:rsidR="00C16BF3" w:rsidRPr="00512D7B" w14:paraId="40B3CD56" w14:textId="77777777">
        <w:tc>
          <w:tcPr>
            <w:tcW w:w="5000" w:type="pct"/>
            <w:gridSpan w:val="6"/>
            <w:vAlign w:val="center"/>
          </w:tcPr>
          <w:p w14:paraId="3B22CA33" w14:textId="77777777" w:rsidR="00C16BF3" w:rsidRPr="00512D7B" w:rsidRDefault="00C16BF3">
            <w:pPr>
              <w:pStyle w:val="COMTableheadingrow"/>
            </w:pPr>
            <w:r w:rsidRPr="00512D7B">
              <w:t>DREAMM-7 lenalidomide-exposed subgroup</w:t>
            </w:r>
          </w:p>
        </w:tc>
      </w:tr>
      <w:tr w:rsidR="00C16BF3" w:rsidRPr="00512D7B" w14:paraId="651551CA" w14:textId="77777777">
        <w:tc>
          <w:tcPr>
            <w:tcW w:w="1258" w:type="pct"/>
            <w:gridSpan w:val="2"/>
            <w:vAlign w:val="center"/>
          </w:tcPr>
          <w:p w14:paraId="4CD928AB" w14:textId="77777777" w:rsidR="00C16BF3" w:rsidRPr="00512D7B" w:rsidRDefault="00C16BF3">
            <w:pPr>
              <w:pStyle w:val="COMTabletext"/>
              <w:rPr>
                <w:szCs w:val="20"/>
              </w:rPr>
            </w:pPr>
            <w:r w:rsidRPr="00512D7B">
              <w:rPr>
                <w:szCs w:val="20"/>
              </w:rPr>
              <w:t>Costs</w:t>
            </w:r>
          </w:p>
        </w:tc>
        <w:tc>
          <w:tcPr>
            <w:tcW w:w="1257" w:type="pct"/>
            <w:gridSpan w:val="2"/>
            <w:vAlign w:val="bottom"/>
          </w:tcPr>
          <w:p w14:paraId="41FA0C73" w14:textId="1C71D70C" w:rsidR="00C16BF3" w:rsidRPr="00512D7B" w:rsidRDefault="00C16BF3">
            <w:pPr>
              <w:pStyle w:val="COMTabletext"/>
              <w:jc w:val="center"/>
              <w:rPr>
                <w:szCs w:val="20"/>
              </w:rPr>
            </w:pPr>
            <w:r w:rsidRPr="00512D7B">
              <w:rPr>
                <w:szCs w:val="20"/>
              </w:rPr>
              <w:t>$</w:t>
            </w:r>
            <w:r w:rsidR="0040410B" w:rsidRPr="0040410B">
              <w:rPr>
                <w:szCs w:val="20"/>
                <w:highlight w:val="black"/>
              </w:rPr>
              <w:t>&amp;&amp;&amp;&amp;</w:t>
            </w:r>
          </w:p>
        </w:tc>
        <w:tc>
          <w:tcPr>
            <w:tcW w:w="1258" w:type="pct"/>
            <w:vAlign w:val="bottom"/>
          </w:tcPr>
          <w:p w14:paraId="30BC79EF" w14:textId="77777777" w:rsidR="00C16BF3" w:rsidRPr="00512D7B" w:rsidRDefault="00C16BF3">
            <w:pPr>
              <w:pStyle w:val="COMTabletext"/>
              <w:jc w:val="center"/>
              <w:rPr>
                <w:szCs w:val="20"/>
              </w:rPr>
            </w:pPr>
            <w:r w:rsidRPr="00512D7B">
              <w:rPr>
                <w:szCs w:val="20"/>
              </w:rPr>
              <w:t>$285,389</w:t>
            </w:r>
          </w:p>
        </w:tc>
        <w:tc>
          <w:tcPr>
            <w:tcW w:w="1227" w:type="pct"/>
            <w:vAlign w:val="bottom"/>
          </w:tcPr>
          <w:p w14:paraId="499E9DB7" w14:textId="638CB133" w:rsidR="00C16BF3" w:rsidRPr="00512D7B" w:rsidRDefault="00C16BF3">
            <w:pPr>
              <w:pStyle w:val="COMTabletext"/>
              <w:jc w:val="center"/>
              <w:rPr>
                <w:szCs w:val="20"/>
              </w:rPr>
            </w:pPr>
            <w:r w:rsidRPr="00512D7B">
              <w:rPr>
                <w:szCs w:val="20"/>
              </w:rPr>
              <w:t>$</w:t>
            </w:r>
            <w:r w:rsidR="0040410B" w:rsidRPr="0040410B">
              <w:rPr>
                <w:szCs w:val="20"/>
                <w:highlight w:val="black"/>
              </w:rPr>
              <w:t>&amp;&amp;&amp;&amp;</w:t>
            </w:r>
          </w:p>
        </w:tc>
      </w:tr>
      <w:tr w:rsidR="00C16BF3" w:rsidRPr="00512D7B" w14:paraId="05D0EF7D" w14:textId="77777777">
        <w:tc>
          <w:tcPr>
            <w:tcW w:w="1258" w:type="pct"/>
            <w:gridSpan w:val="2"/>
            <w:vAlign w:val="center"/>
          </w:tcPr>
          <w:p w14:paraId="7DEFAA31" w14:textId="77777777" w:rsidR="00C16BF3" w:rsidRPr="00512D7B" w:rsidRDefault="00C16BF3">
            <w:pPr>
              <w:pStyle w:val="COMTabletext"/>
              <w:rPr>
                <w:szCs w:val="20"/>
              </w:rPr>
            </w:pPr>
            <w:r w:rsidRPr="00512D7B">
              <w:rPr>
                <w:szCs w:val="20"/>
              </w:rPr>
              <w:t>Life years</w:t>
            </w:r>
          </w:p>
        </w:tc>
        <w:tc>
          <w:tcPr>
            <w:tcW w:w="1257" w:type="pct"/>
            <w:gridSpan w:val="2"/>
            <w:vAlign w:val="bottom"/>
          </w:tcPr>
          <w:p w14:paraId="6E6104A5" w14:textId="77777777" w:rsidR="00C16BF3" w:rsidRPr="00512D7B" w:rsidRDefault="00C16BF3">
            <w:pPr>
              <w:pStyle w:val="COMTabletext"/>
              <w:jc w:val="center"/>
              <w:rPr>
                <w:szCs w:val="20"/>
              </w:rPr>
            </w:pPr>
            <w:r w:rsidRPr="00512D7B">
              <w:rPr>
                <w:color w:val="000000"/>
                <w:szCs w:val="20"/>
              </w:rPr>
              <w:t>6.0063</w:t>
            </w:r>
          </w:p>
        </w:tc>
        <w:tc>
          <w:tcPr>
            <w:tcW w:w="1258" w:type="pct"/>
            <w:vAlign w:val="bottom"/>
          </w:tcPr>
          <w:p w14:paraId="1AFC2F0C" w14:textId="77777777" w:rsidR="00C16BF3" w:rsidRPr="00512D7B" w:rsidRDefault="00C16BF3">
            <w:pPr>
              <w:pStyle w:val="COMTabletext"/>
              <w:jc w:val="center"/>
              <w:rPr>
                <w:szCs w:val="20"/>
              </w:rPr>
            </w:pPr>
            <w:r w:rsidRPr="00512D7B">
              <w:rPr>
                <w:color w:val="000000"/>
                <w:szCs w:val="20"/>
              </w:rPr>
              <w:t>3.0922</w:t>
            </w:r>
          </w:p>
        </w:tc>
        <w:tc>
          <w:tcPr>
            <w:tcW w:w="1227" w:type="pct"/>
            <w:vAlign w:val="bottom"/>
          </w:tcPr>
          <w:p w14:paraId="57A591A3" w14:textId="77777777" w:rsidR="00C16BF3" w:rsidRPr="00512D7B" w:rsidRDefault="00C16BF3">
            <w:pPr>
              <w:pStyle w:val="COMTabletext"/>
              <w:jc w:val="center"/>
              <w:rPr>
                <w:szCs w:val="20"/>
              </w:rPr>
            </w:pPr>
            <w:r w:rsidRPr="00512D7B">
              <w:rPr>
                <w:color w:val="000000"/>
                <w:szCs w:val="20"/>
              </w:rPr>
              <w:t>2.9142</w:t>
            </w:r>
          </w:p>
        </w:tc>
      </w:tr>
      <w:tr w:rsidR="00C16BF3" w:rsidRPr="00512D7B" w14:paraId="622E3CAC" w14:textId="77777777">
        <w:tc>
          <w:tcPr>
            <w:tcW w:w="1258" w:type="pct"/>
            <w:gridSpan w:val="2"/>
            <w:vAlign w:val="center"/>
          </w:tcPr>
          <w:p w14:paraId="3B8036A6" w14:textId="77777777" w:rsidR="00C16BF3" w:rsidRPr="00512D7B" w:rsidRDefault="00C16BF3">
            <w:pPr>
              <w:pStyle w:val="COMTabletext"/>
              <w:rPr>
                <w:szCs w:val="20"/>
              </w:rPr>
            </w:pPr>
            <w:r w:rsidRPr="00512D7B">
              <w:rPr>
                <w:szCs w:val="20"/>
              </w:rPr>
              <w:t>QALYs</w:t>
            </w:r>
          </w:p>
        </w:tc>
        <w:tc>
          <w:tcPr>
            <w:tcW w:w="1257" w:type="pct"/>
            <w:gridSpan w:val="2"/>
            <w:vAlign w:val="bottom"/>
          </w:tcPr>
          <w:p w14:paraId="40BD4689" w14:textId="77777777" w:rsidR="00C16BF3" w:rsidRPr="00512D7B" w:rsidRDefault="00C16BF3">
            <w:pPr>
              <w:pStyle w:val="COMTabletext"/>
              <w:jc w:val="center"/>
              <w:rPr>
                <w:szCs w:val="20"/>
              </w:rPr>
            </w:pPr>
            <w:r w:rsidRPr="00512D7B">
              <w:rPr>
                <w:szCs w:val="20"/>
              </w:rPr>
              <w:t>4.5263</w:t>
            </w:r>
          </w:p>
        </w:tc>
        <w:tc>
          <w:tcPr>
            <w:tcW w:w="1258" w:type="pct"/>
            <w:vAlign w:val="bottom"/>
          </w:tcPr>
          <w:p w14:paraId="3847D381" w14:textId="77777777" w:rsidR="00C16BF3" w:rsidRPr="00512D7B" w:rsidRDefault="00C16BF3">
            <w:pPr>
              <w:pStyle w:val="COMTabletext"/>
              <w:jc w:val="center"/>
              <w:rPr>
                <w:szCs w:val="20"/>
              </w:rPr>
            </w:pPr>
            <w:r w:rsidRPr="00512D7B">
              <w:rPr>
                <w:szCs w:val="20"/>
              </w:rPr>
              <w:t>2.3459</w:t>
            </w:r>
          </w:p>
        </w:tc>
        <w:tc>
          <w:tcPr>
            <w:tcW w:w="1227" w:type="pct"/>
            <w:vAlign w:val="bottom"/>
          </w:tcPr>
          <w:p w14:paraId="3689DE9F" w14:textId="77777777" w:rsidR="00C16BF3" w:rsidRPr="00512D7B" w:rsidRDefault="00C16BF3">
            <w:pPr>
              <w:pStyle w:val="COMTabletext"/>
              <w:jc w:val="center"/>
              <w:rPr>
                <w:szCs w:val="20"/>
              </w:rPr>
            </w:pPr>
            <w:r w:rsidRPr="00512D7B">
              <w:rPr>
                <w:szCs w:val="20"/>
              </w:rPr>
              <w:t>2.1803</w:t>
            </w:r>
          </w:p>
        </w:tc>
      </w:tr>
      <w:tr w:rsidR="00C16BF3" w:rsidRPr="00512D7B" w14:paraId="211B4F90" w14:textId="77777777">
        <w:tc>
          <w:tcPr>
            <w:tcW w:w="3773" w:type="pct"/>
            <w:gridSpan w:val="5"/>
            <w:vAlign w:val="center"/>
          </w:tcPr>
          <w:p w14:paraId="22DA7431" w14:textId="77777777" w:rsidR="00C16BF3" w:rsidRPr="00512D7B" w:rsidRDefault="00C16BF3">
            <w:pPr>
              <w:pStyle w:val="COMTabletext"/>
              <w:rPr>
                <w:szCs w:val="20"/>
              </w:rPr>
            </w:pPr>
            <w:r w:rsidRPr="00512D7B">
              <w:rPr>
                <w:szCs w:val="20"/>
              </w:rPr>
              <w:t>Incremental cost per life year gained</w:t>
            </w:r>
          </w:p>
        </w:tc>
        <w:tc>
          <w:tcPr>
            <w:tcW w:w="1227" w:type="pct"/>
            <w:vAlign w:val="center"/>
          </w:tcPr>
          <w:p w14:paraId="31A8503F" w14:textId="18A02A8F" w:rsidR="00C16BF3" w:rsidRPr="00C92AFE" w:rsidRDefault="00C16BF3">
            <w:pPr>
              <w:jc w:val="center"/>
              <w:rPr>
                <w:rFonts w:ascii="Arial Narrow" w:hAnsi="Arial Narrow" w:cs="Times New Roman"/>
                <w:b/>
                <w:bCs/>
                <w:color w:val="000000"/>
                <w:sz w:val="20"/>
                <w:szCs w:val="20"/>
                <w:vertAlign w:val="superscript"/>
              </w:rPr>
            </w:pPr>
            <w:r w:rsidRPr="00512D7B">
              <w:rPr>
                <w:rFonts w:ascii="Arial Narrow" w:hAnsi="Arial Narrow"/>
                <w:b/>
                <w:bCs/>
                <w:color w:val="000000"/>
                <w:sz w:val="20"/>
                <w:szCs w:val="20"/>
              </w:rPr>
              <w:t>$</w:t>
            </w:r>
            <w:r w:rsidR="0040410B" w:rsidRPr="0040410B">
              <w:rPr>
                <w:rFonts w:ascii="Arial Narrow" w:hAnsi="Arial Narrow"/>
                <w:b/>
                <w:bCs/>
                <w:color w:val="000000"/>
                <w:sz w:val="20"/>
                <w:szCs w:val="20"/>
                <w:highlight w:val="black"/>
              </w:rPr>
              <w:t>&amp;&amp;&amp;&amp;</w:t>
            </w:r>
            <w:r w:rsidR="00C92AFE">
              <w:rPr>
                <w:rFonts w:ascii="Arial Narrow" w:hAnsi="Arial Narrow"/>
                <w:b/>
                <w:bCs/>
                <w:color w:val="000000"/>
                <w:sz w:val="20"/>
                <w:szCs w:val="20"/>
                <w:vertAlign w:val="superscript"/>
              </w:rPr>
              <w:t>1</w:t>
            </w:r>
          </w:p>
        </w:tc>
      </w:tr>
      <w:tr w:rsidR="00C16BF3" w:rsidRPr="00512D7B" w14:paraId="6E7AA305" w14:textId="77777777">
        <w:tc>
          <w:tcPr>
            <w:tcW w:w="3773" w:type="pct"/>
            <w:gridSpan w:val="5"/>
            <w:vAlign w:val="center"/>
          </w:tcPr>
          <w:p w14:paraId="2FC81683" w14:textId="77777777" w:rsidR="00C16BF3" w:rsidRPr="00512D7B" w:rsidRDefault="00C16BF3">
            <w:pPr>
              <w:pStyle w:val="COMTabletext"/>
              <w:rPr>
                <w:szCs w:val="20"/>
              </w:rPr>
            </w:pPr>
            <w:r w:rsidRPr="00512D7B">
              <w:rPr>
                <w:szCs w:val="20"/>
              </w:rPr>
              <w:t>Incremental cost per QALY gained</w:t>
            </w:r>
          </w:p>
        </w:tc>
        <w:tc>
          <w:tcPr>
            <w:tcW w:w="1227" w:type="pct"/>
            <w:vAlign w:val="center"/>
          </w:tcPr>
          <w:p w14:paraId="2A147935" w14:textId="71C4A2EC" w:rsidR="00C16BF3" w:rsidRPr="00F623CF" w:rsidRDefault="00C16BF3">
            <w:pPr>
              <w:jc w:val="center"/>
              <w:rPr>
                <w:rFonts w:ascii="Arial Narrow" w:hAnsi="Arial Narrow"/>
                <w:b/>
                <w:bCs/>
                <w:sz w:val="20"/>
                <w:szCs w:val="20"/>
                <w:vertAlign w:val="superscript"/>
              </w:rPr>
            </w:pPr>
            <w:r w:rsidRPr="00512D7B">
              <w:rPr>
                <w:rFonts w:ascii="Arial Narrow" w:hAnsi="Arial Narrow"/>
                <w:b/>
                <w:bCs/>
                <w:sz w:val="20"/>
                <w:szCs w:val="20"/>
              </w:rPr>
              <w:t>$</w:t>
            </w:r>
            <w:r w:rsidR="0040410B" w:rsidRPr="0040410B">
              <w:rPr>
                <w:rFonts w:ascii="Arial Narrow" w:hAnsi="Arial Narrow"/>
                <w:b/>
                <w:bCs/>
                <w:sz w:val="20"/>
                <w:szCs w:val="20"/>
                <w:highlight w:val="black"/>
              </w:rPr>
              <w:t>&amp;&amp;&amp;&amp;</w:t>
            </w:r>
            <w:r w:rsidR="00F623CF">
              <w:rPr>
                <w:rFonts w:ascii="Arial Narrow" w:hAnsi="Arial Narrow"/>
                <w:b/>
                <w:bCs/>
                <w:sz w:val="20"/>
                <w:szCs w:val="20"/>
                <w:vertAlign w:val="superscript"/>
              </w:rPr>
              <w:t>1</w:t>
            </w:r>
          </w:p>
        </w:tc>
      </w:tr>
      <w:tr w:rsidR="00224AEF" w:rsidRPr="00512D7B" w14:paraId="3D6EFA75" w14:textId="77777777">
        <w:tc>
          <w:tcPr>
            <w:tcW w:w="5000" w:type="pct"/>
            <w:gridSpan w:val="6"/>
            <w:vAlign w:val="center"/>
          </w:tcPr>
          <w:p w14:paraId="24D5E997" w14:textId="77777777" w:rsidR="00224AEF" w:rsidRPr="00512D7B" w:rsidRDefault="00224AEF">
            <w:pPr>
              <w:pStyle w:val="COMTabletext"/>
              <w:rPr>
                <w:b/>
                <w:bCs w:val="0"/>
                <w:szCs w:val="20"/>
              </w:rPr>
            </w:pPr>
            <w:r w:rsidRPr="00512D7B">
              <w:rPr>
                <w:b/>
                <w:bCs w:val="0"/>
                <w:szCs w:val="20"/>
              </w:rPr>
              <w:t>DREAMM-7 ITT population</w:t>
            </w:r>
          </w:p>
        </w:tc>
      </w:tr>
      <w:tr w:rsidR="00224AEF" w:rsidRPr="00512D7B" w14:paraId="06F7204C" w14:textId="77777777">
        <w:tc>
          <w:tcPr>
            <w:tcW w:w="1250" w:type="pct"/>
            <w:vAlign w:val="center"/>
          </w:tcPr>
          <w:p w14:paraId="658B219C" w14:textId="77777777" w:rsidR="00224AEF" w:rsidRPr="00512D7B" w:rsidRDefault="00224AEF">
            <w:pPr>
              <w:pStyle w:val="COMTabletext"/>
              <w:rPr>
                <w:szCs w:val="20"/>
              </w:rPr>
            </w:pPr>
            <w:r w:rsidRPr="00512D7B">
              <w:rPr>
                <w:szCs w:val="20"/>
              </w:rPr>
              <w:t>Costs</w:t>
            </w:r>
          </w:p>
        </w:tc>
        <w:tc>
          <w:tcPr>
            <w:tcW w:w="1250" w:type="pct"/>
            <w:gridSpan w:val="2"/>
            <w:vAlign w:val="center"/>
          </w:tcPr>
          <w:p w14:paraId="259545F9" w14:textId="05B90D82" w:rsidR="00224AEF" w:rsidRPr="00512D7B" w:rsidRDefault="00224AEF">
            <w:pPr>
              <w:pStyle w:val="COMTabletext"/>
              <w:jc w:val="center"/>
              <w:rPr>
                <w:i/>
                <w:iCs/>
                <w:szCs w:val="20"/>
              </w:rPr>
            </w:pPr>
            <w:r w:rsidRPr="00512D7B">
              <w:rPr>
                <w:color w:val="000000"/>
                <w:szCs w:val="20"/>
              </w:rPr>
              <w:t>$</w:t>
            </w:r>
            <w:r w:rsidR="0040410B" w:rsidRPr="0040410B">
              <w:rPr>
                <w:color w:val="000000"/>
                <w:szCs w:val="20"/>
                <w:highlight w:val="black"/>
              </w:rPr>
              <w:t>&amp;&amp;&amp;&amp;</w:t>
            </w:r>
          </w:p>
        </w:tc>
        <w:tc>
          <w:tcPr>
            <w:tcW w:w="1273" w:type="pct"/>
            <w:gridSpan w:val="2"/>
            <w:vAlign w:val="center"/>
          </w:tcPr>
          <w:p w14:paraId="6AAA354D" w14:textId="77777777" w:rsidR="00224AEF" w:rsidRPr="00512D7B" w:rsidRDefault="00224AEF">
            <w:pPr>
              <w:pStyle w:val="COMTabletext"/>
              <w:jc w:val="center"/>
              <w:rPr>
                <w:i/>
                <w:iCs/>
                <w:szCs w:val="20"/>
              </w:rPr>
            </w:pPr>
            <w:r w:rsidRPr="00512D7B">
              <w:rPr>
                <w:color w:val="000000"/>
                <w:szCs w:val="20"/>
              </w:rPr>
              <w:t>$325,137</w:t>
            </w:r>
          </w:p>
        </w:tc>
        <w:tc>
          <w:tcPr>
            <w:tcW w:w="1227" w:type="pct"/>
            <w:vAlign w:val="center"/>
          </w:tcPr>
          <w:p w14:paraId="1ECBAEA1" w14:textId="0D400E2D" w:rsidR="00224AEF" w:rsidRPr="00512D7B" w:rsidRDefault="00224AEF">
            <w:pPr>
              <w:pStyle w:val="COMTabletext"/>
              <w:jc w:val="center"/>
              <w:rPr>
                <w:i/>
                <w:iCs/>
                <w:szCs w:val="20"/>
              </w:rPr>
            </w:pPr>
            <w:r w:rsidRPr="00512D7B">
              <w:rPr>
                <w:color w:val="000000"/>
                <w:szCs w:val="20"/>
              </w:rPr>
              <w:t>$</w:t>
            </w:r>
            <w:r w:rsidR="0040410B" w:rsidRPr="0040410B">
              <w:rPr>
                <w:color w:val="000000"/>
                <w:szCs w:val="20"/>
                <w:highlight w:val="black"/>
              </w:rPr>
              <w:t>&amp;&amp;&amp;&amp;</w:t>
            </w:r>
          </w:p>
        </w:tc>
      </w:tr>
      <w:tr w:rsidR="00224AEF" w:rsidRPr="00512D7B" w14:paraId="7F4D74CA" w14:textId="77777777">
        <w:tc>
          <w:tcPr>
            <w:tcW w:w="1250" w:type="pct"/>
            <w:vAlign w:val="center"/>
          </w:tcPr>
          <w:p w14:paraId="519EB3DD" w14:textId="77777777" w:rsidR="00224AEF" w:rsidRPr="00512D7B" w:rsidRDefault="00224AEF">
            <w:pPr>
              <w:pStyle w:val="COMTabletext"/>
              <w:rPr>
                <w:szCs w:val="20"/>
              </w:rPr>
            </w:pPr>
            <w:r w:rsidRPr="00512D7B">
              <w:rPr>
                <w:szCs w:val="20"/>
              </w:rPr>
              <w:t>Life years</w:t>
            </w:r>
          </w:p>
        </w:tc>
        <w:tc>
          <w:tcPr>
            <w:tcW w:w="1250" w:type="pct"/>
            <w:gridSpan w:val="2"/>
            <w:vAlign w:val="bottom"/>
          </w:tcPr>
          <w:p w14:paraId="5066FE39" w14:textId="77777777" w:rsidR="00224AEF" w:rsidRPr="00512D7B" w:rsidRDefault="00224AEF">
            <w:pPr>
              <w:pStyle w:val="COMTabletext"/>
              <w:jc w:val="center"/>
              <w:rPr>
                <w:szCs w:val="20"/>
              </w:rPr>
            </w:pPr>
            <w:r w:rsidRPr="00512D7B">
              <w:rPr>
                <w:color w:val="000000"/>
                <w:szCs w:val="20"/>
              </w:rPr>
              <w:t>6.1801</w:t>
            </w:r>
          </w:p>
        </w:tc>
        <w:tc>
          <w:tcPr>
            <w:tcW w:w="1273" w:type="pct"/>
            <w:gridSpan w:val="2"/>
            <w:vAlign w:val="bottom"/>
          </w:tcPr>
          <w:p w14:paraId="1A33C1DA" w14:textId="77777777" w:rsidR="00224AEF" w:rsidRPr="00512D7B" w:rsidRDefault="00224AEF">
            <w:pPr>
              <w:pStyle w:val="COMTabletext"/>
              <w:jc w:val="center"/>
              <w:rPr>
                <w:szCs w:val="20"/>
              </w:rPr>
            </w:pPr>
            <w:r w:rsidRPr="00512D7B">
              <w:rPr>
                <w:color w:val="000000"/>
                <w:szCs w:val="20"/>
              </w:rPr>
              <w:t>4.3711</w:t>
            </w:r>
          </w:p>
        </w:tc>
        <w:tc>
          <w:tcPr>
            <w:tcW w:w="1227" w:type="pct"/>
            <w:vAlign w:val="bottom"/>
          </w:tcPr>
          <w:p w14:paraId="4EA0864F" w14:textId="77777777" w:rsidR="00224AEF" w:rsidRPr="00512D7B" w:rsidRDefault="00224AEF">
            <w:pPr>
              <w:pStyle w:val="COMTabletext"/>
              <w:jc w:val="center"/>
              <w:rPr>
                <w:szCs w:val="20"/>
              </w:rPr>
            </w:pPr>
            <w:r w:rsidRPr="00512D7B">
              <w:rPr>
                <w:color w:val="000000"/>
                <w:szCs w:val="20"/>
              </w:rPr>
              <w:t>1.8090</w:t>
            </w:r>
          </w:p>
        </w:tc>
      </w:tr>
      <w:tr w:rsidR="00224AEF" w:rsidRPr="00512D7B" w14:paraId="5725C240" w14:textId="77777777">
        <w:tc>
          <w:tcPr>
            <w:tcW w:w="1250" w:type="pct"/>
            <w:vAlign w:val="center"/>
          </w:tcPr>
          <w:p w14:paraId="59865F65" w14:textId="77777777" w:rsidR="00224AEF" w:rsidRPr="00512D7B" w:rsidRDefault="00224AEF">
            <w:pPr>
              <w:pStyle w:val="COMTabletext"/>
              <w:rPr>
                <w:szCs w:val="20"/>
              </w:rPr>
            </w:pPr>
            <w:r w:rsidRPr="00512D7B">
              <w:rPr>
                <w:szCs w:val="20"/>
              </w:rPr>
              <w:t>QALYs</w:t>
            </w:r>
          </w:p>
        </w:tc>
        <w:tc>
          <w:tcPr>
            <w:tcW w:w="1250" w:type="pct"/>
            <w:gridSpan w:val="2"/>
            <w:vAlign w:val="bottom"/>
          </w:tcPr>
          <w:p w14:paraId="130682D5" w14:textId="77777777" w:rsidR="00224AEF" w:rsidRPr="00512D7B" w:rsidRDefault="00224AEF">
            <w:pPr>
              <w:pStyle w:val="COMTabletext"/>
              <w:jc w:val="center"/>
              <w:rPr>
                <w:szCs w:val="20"/>
              </w:rPr>
            </w:pPr>
            <w:r w:rsidRPr="00512D7B">
              <w:rPr>
                <w:color w:val="000000"/>
                <w:szCs w:val="20"/>
              </w:rPr>
              <w:t>4.7194</w:t>
            </w:r>
          </w:p>
        </w:tc>
        <w:tc>
          <w:tcPr>
            <w:tcW w:w="1273" w:type="pct"/>
            <w:gridSpan w:val="2"/>
            <w:vAlign w:val="bottom"/>
          </w:tcPr>
          <w:p w14:paraId="7BD5D062" w14:textId="77777777" w:rsidR="00224AEF" w:rsidRPr="00512D7B" w:rsidRDefault="00224AEF">
            <w:pPr>
              <w:pStyle w:val="COMTabletext"/>
              <w:jc w:val="center"/>
              <w:rPr>
                <w:szCs w:val="20"/>
              </w:rPr>
            </w:pPr>
            <w:r w:rsidRPr="00512D7B">
              <w:rPr>
                <w:color w:val="000000"/>
                <w:szCs w:val="20"/>
              </w:rPr>
              <w:t>3.3610</w:t>
            </w:r>
          </w:p>
        </w:tc>
        <w:tc>
          <w:tcPr>
            <w:tcW w:w="1227" w:type="pct"/>
            <w:vAlign w:val="bottom"/>
          </w:tcPr>
          <w:p w14:paraId="54A849D8" w14:textId="77777777" w:rsidR="00224AEF" w:rsidRPr="00512D7B" w:rsidRDefault="00224AEF">
            <w:pPr>
              <w:pStyle w:val="COMTabletext"/>
              <w:jc w:val="center"/>
              <w:rPr>
                <w:szCs w:val="20"/>
              </w:rPr>
            </w:pPr>
            <w:r w:rsidRPr="00512D7B">
              <w:rPr>
                <w:color w:val="000000"/>
                <w:szCs w:val="20"/>
              </w:rPr>
              <w:t>1.3584</w:t>
            </w:r>
          </w:p>
        </w:tc>
      </w:tr>
      <w:tr w:rsidR="00224AEF" w:rsidRPr="00512D7B" w14:paraId="1B995387" w14:textId="77777777">
        <w:tc>
          <w:tcPr>
            <w:tcW w:w="3773" w:type="pct"/>
            <w:gridSpan w:val="5"/>
            <w:vAlign w:val="center"/>
          </w:tcPr>
          <w:p w14:paraId="5E9A08D6" w14:textId="77777777" w:rsidR="00224AEF" w:rsidRPr="00512D7B" w:rsidRDefault="00224AEF">
            <w:pPr>
              <w:pStyle w:val="COMTabletext"/>
              <w:rPr>
                <w:szCs w:val="20"/>
              </w:rPr>
            </w:pPr>
            <w:r w:rsidRPr="00512D7B">
              <w:rPr>
                <w:szCs w:val="20"/>
              </w:rPr>
              <w:t>Incremental cost per life year gained</w:t>
            </w:r>
          </w:p>
        </w:tc>
        <w:tc>
          <w:tcPr>
            <w:tcW w:w="1227" w:type="pct"/>
            <w:vAlign w:val="center"/>
          </w:tcPr>
          <w:p w14:paraId="5651CFAF" w14:textId="7A247E7B" w:rsidR="00224AEF" w:rsidRPr="00F623CF" w:rsidRDefault="00224AEF">
            <w:pPr>
              <w:jc w:val="center"/>
              <w:rPr>
                <w:rFonts w:ascii="Arial Narrow" w:hAnsi="Arial Narrow" w:cs="Times New Roman"/>
                <w:b/>
                <w:bCs/>
                <w:color w:val="000000"/>
                <w:sz w:val="20"/>
                <w:szCs w:val="20"/>
                <w:vertAlign w:val="superscript"/>
              </w:rPr>
            </w:pPr>
            <w:r w:rsidRPr="00512D7B">
              <w:rPr>
                <w:rFonts w:ascii="Arial Narrow" w:hAnsi="Arial Narrow"/>
                <w:b/>
                <w:bCs/>
                <w:color w:val="000000"/>
                <w:sz w:val="20"/>
                <w:szCs w:val="20"/>
              </w:rPr>
              <w:t>$</w:t>
            </w:r>
            <w:r w:rsidR="0040410B" w:rsidRPr="0040410B">
              <w:rPr>
                <w:rFonts w:ascii="Arial Narrow" w:hAnsi="Arial Narrow"/>
                <w:b/>
                <w:bCs/>
                <w:color w:val="000000"/>
                <w:sz w:val="20"/>
                <w:szCs w:val="20"/>
                <w:highlight w:val="black"/>
              </w:rPr>
              <w:t>&amp;&amp;&amp;&amp;</w:t>
            </w:r>
            <w:r w:rsidR="00F623CF">
              <w:rPr>
                <w:rFonts w:ascii="Arial Narrow" w:hAnsi="Arial Narrow"/>
                <w:b/>
                <w:bCs/>
                <w:color w:val="000000"/>
                <w:sz w:val="20"/>
                <w:szCs w:val="20"/>
                <w:vertAlign w:val="superscript"/>
              </w:rPr>
              <w:t>2</w:t>
            </w:r>
          </w:p>
        </w:tc>
      </w:tr>
      <w:tr w:rsidR="00224AEF" w:rsidRPr="00512D7B" w14:paraId="61B73F27" w14:textId="77777777">
        <w:tc>
          <w:tcPr>
            <w:tcW w:w="3773" w:type="pct"/>
            <w:gridSpan w:val="5"/>
            <w:vAlign w:val="center"/>
          </w:tcPr>
          <w:p w14:paraId="64262B8C" w14:textId="77777777" w:rsidR="00224AEF" w:rsidRPr="00512D7B" w:rsidRDefault="00224AEF">
            <w:pPr>
              <w:pStyle w:val="COMTabletext"/>
              <w:rPr>
                <w:szCs w:val="20"/>
              </w:rPr>
            </w:pPr>
            <w:r w:rsidRPr="00512D7B">
              <w:rPr>
                <w:szCs w:val="20"/>
              </w:rPr>
              <w:t>Incremental cost per QALY gained</w:t>
            </w:r>
          </w:p>
        </w:tc>
        <w:tc>
          <w:tcPr>
            <w:tcW w:w="1227" w:type="pct"/>
            <w:vAlign w:val="center"/>
          </w:tcPr>
          <w:p w14:paraId="27617AF8" w14:textId="79CE77E1" w:rsidR="00224AEF" w:rsidRPr="004B688E" w:rsidRDefault="00224AEF">
            <w:pPr>
              <w:jc w:val="center"/>
              <w:rPr>
                <w:rFonts w:ascii="Arial Narrow" w:hAnsi="Arial Narrow" w:cs="Times New Roman"/>
                <w:b/>
                <w:bCs/>
                <w:color w:val="000000"/>
                <w:sz w:val="20"/>
                <w:szCs w:val="20"/>
                <w:vertAlign w:val="superscript"/>
              </w:rPr>
            </w:pPr>
            <w:r w:rsidRPr="00512D7B">
              <w:rPr>
                <w:rFonts w:ascii="Arial Narrow" w:hAnsi="Arial Narrow"/>
                <w:b/>
                <w:bCs/>
                <w:color w:val="000000"/>
                <w:sz w:val="20"/>
                <w:szCs w:val="20"/>
              </w:rPr>
              <w:t>$</w:t>
            </w:r>
            <w:r w:rsidR="0040410B" w:rsidRPr="0040410B">
              <w:rPr>
                <w:rFonts w:ascii="Arial Narrow" w:hAnsi="Arial Narrow"/>
                <w:b/>
                <w:bCs/>
                <w:color w:val="000000"/>
                <w:sz w:val="20"/>
                <w:szCs w:val="20"/>
                <w:highlight w:val="black"/>
              </w:rPr>
              <w:t>&amp;&amp;&amp;&amp;</w:t>
            </w:r>
            <w:r w:rsidR="004B688E">
              <w:rPr>
                <w:rFonts w:ascii="Arial Narrow" w:hAnsi="Arial Narrow"/>
                <w:b/>
                <w:bCs/>
                <w:color w:val="000000"/>
                <w:sz w:val="20"/>
                <w:szCs w:val="20"/>
                <w:vertAlign w:val="superscript"/>
              </w:rPr>
              <w:t>3</w:t>
            </w:r>
          </w:p>
        </w:tc>
      </w:tr>
      <w:tr w:rsidR="00C16BF3" w:rsidRPr="00512D7B" w14:paraId="4F445B89" w14:textId="77777777">
        <w:tc>
          <w:tcPr>
            <w:tcW w:w="5000" w:type="pct"/>
            <w:gridSpan w:val="6"/>
            <w:vAlign w:val="center"/>
          </w:tcPr>
          <w:p w14:paraId="36896069" w14:textId="40B8347C" w:rsidR="00C16BF3" w:rsidRPr="00512D7B" w:rsidRDefault="00C16BF3">
            <w:pPr>
              <w:pStyle w:val="COMTabletext"/>
              <w:rPr>
                <w:b/>
                <w:bCs w:val="0"/>
                <w:szCs w:val="20"/>
              </w:rPr>
            </w:pPr>
            <w:r>
              <w:rPr>
                <w:b/>
                <w:bCs w:val="0"/>
                <w:szCs w:val="20"/>
              </w:rPr>
              <w:t>Pre-PBAC response re-specified base case (ITT population and convergence applied from Year 15 to 20)</w:t>
            </w:r>
          </w:p>
        </w:tc>
      </w:tr>
      <w:tr w:rsidR="00C16BF3" w:rsidRPr="00512D7B" w14:paraId="5EA808CA" w14:textId="77777777">
        <w:tc>
          <w:tcPr>
            <w:tcW w:w="1250" w:type="pct"/>
            <w:vAlign w:val="center"/>
          </w:tcPr>
          <w:p w14:paraId="0C7863E0" w14:textId="77777777" w:rsidR="00C16BF3" w:rsidRPr="00512D7B" w:rsidRDefault="00C16BF3">
            <w:pPr>
              <w:pStyle w:val="COMTabletext"/>
              <w:rPr>
                <w:szCs w:val="20"/>
              </w:rPr>
            </w:pPr>
            <w:r w:rsidRPr="00512D7B">
              <w:rPr>
                <w:szCs w:val="20"/>
              </w:rPr>
              <w:t>Costs</w:t>
            </w:r>
          </w:p>
        </w:tc>
        <w:tc>
          <w:tcPr>
            <w:tcW w:w="1250" w:type="pct"/>
            <w:gridSpan w:val="2"/>
            <w:vAlign w:val="center"/>
          </w:tcPr>
          <w:p w14:paraId="019C3855" w14:textId="45A5A993" w:rsidR="00C16BF3" w:rsidRPr="00512D7B" w:rsidRDefault="00C16BF3">
            <w:pPr>
              <w:pStyle w:val="COMTabletext"/>
              <w:jc w:val="center"/>
              <w:rPr>
                <w:i/>
                <w:iCs/>
                <w:szCs w:val="20"/>
              </w:rPr>
            </w:pPr>
            <w:r w:rsidRPr="00512D7B">
              <w:rPr>
                <w:color w:val="000000"/>
                <w:szCs w:val="20"/>
              </w:rPr>
              <w:t>$</w:t>
            </w:r>
            <w:r w:rsidR="0040410B" w:rsidRPr="0040410B">
              <w:rPr>
                <w:color w:val="000000"/>
                <w:szCs w:val="20"/>
                <w:highlight w:val="black"/>
              </w:rPr>
              <w:t>&amp;&amp;&amp;&amp;</w:t>
            </w:r>
          </w:p>
        </w:tc>
        <w:tc>
          <w:tcPr>
            <w:tcW w:w="1273" w:type="pct"/>
            <w:gridSpan w:val="2"/>
            <w:vAlign w:val="center"/>
          </w:tcPr>
          <w:p w14:paraId="6129D1F2" w14:textId="431B1667" w:rsidR="00C16BF3" w:rsidRPr="00512D7B" w:rsidRDefault="00C16BF3">
            <w:pPr>
              <w:pStyle w:val="COMTabletext"/>
              <w:jc w:val="center"/>
              <w:rPr>
                <w:i/>
                <w:iCs/>
                <w:szCs w:val="20"/>
              </w:rPr>
            </w:pPr>
            <w:r w:rsidRPr="00512D7B">
              <w:rPr>
                <w:color w:val="000000"/>
                <w:szCs w:val="20"/>
              </w:rPr>
              <w:t>$</w:t>
            </w:r>
            <w:r w:rsidR="00A36200">
              <w:rPr>
                <w:color w:val="000000"/>
                <w:szCs w:val="20"/>
              </w:rPr>
              <w:t>325,137</w:t>
            </w:r>
          </w:p>
        </w:tc>
        <w:tc>
          <w:tcPr>
            <w:tcW w:w="1227" w:type="pct"/>
            <w:vAlign w:val="center"/>
          </w:tcPr>
          <w:p w14:paraId="1C680C2E" w14:textId="37F0364F" w:rsidR="00C16BF3" w:rsidRPr="00512D7B" w:rsidRDefault="00C16BF3">
            <w:pPr>
              <w:pStyle w:val="COMTabletext"/>
              <w:jc w:val="center"/>
              <w:rPr>
                <w:i/>
                <w:iCs/>
                <w:szCs w:val="20"/>
              </w:rPr>
            </w:pPr>
            <w:r w:rsidRPr="00512D7B">
              <w:rPr>
                <w:color w:val="000000"/>
                <w:szCs w:val="20"/>
              </w:rPr>
              <w:t>$</w:t>
            </w:r>
            <w:r w:rsidR="0040410B" w:rsidRPr="0040410B">
              <w:rPr>
                <w:color w:val="000000"/>
                <w:szCs w:val="20"/>
                <w:highlight w:val="black"/>
              </w:rPr>
              <w:t>&amp;&amp;&amp;&amp;</w:t>
            </w:r>
          </w:p>
        </w:tc>
      </w:tr>
      <w:tr w:rsidR="00C16BF3" w:rsidRPr="00512D7B" w14:paraId="44A624DD" w14:textId="77777777">
        <w:tc>
          <w:tcPr>
            <w:tcW w:w="1250" w:type="pct"/>
            <w:vAlign w:val="center"/>
          </w:tcPr>
          <w:p w14:paraId="6F66238B" w14:textId="77777777" w:rsidR="00C16BF3" w:rsidRPr="00512D7B" w:rsidRDefault="00C16BF3">
            <w:pPr>
              <w:pStyle w:val="COMTabletext"/>
              <w:rPr>
                <w:szCs w:val="20"/>
              </w:rPr>
            </w:pPr>
            <w:r w:rsidRPr="00512D7B">
              <w:rPr>
                <w:szCs w:val="20"/>
              </w:rPr>
              <w:t>Life years</w:t>
            </w:r>
          </w:p>
        </w:tc>
        <w:tc>
          <w:tcPr>
            <w:tcW w:w="1250" w:type="pct"/>
            <w:gridSpan w:val="2"/>
            <w:vAlign w:val="bottom"/>
          </w:tcPr>
          <w:p w14:paraId="3C6E767F" w14:textId="053136C3" w:rsidR="00C16BF3" w:rsidRPr="00512D7B" w:rsidRDefault="00A36200">
            <w:pPr>
              <w:pStyle w:val="COMTabletext"/>
              <w:jc w:val="center"/>
              <w:rPr>
                <w:szCs w:val="20"/>
              </w:rPr>
            </w:pPr>
            <w:r>
              <w:rPr>
                <w:color w:val="000000"/>
                <w:szCs w:val="20"/>
              </w:rPr>
              <w:t>6.09</w:t>
            </w:r>
          </w:p>
        </w:tc>
        <w:tc>
          <w:tcPr>
            <w:tcW w:w="1273" w:type="pct"/>
            <w:gridSpan w:val="2"/>
            <w:vAlign w:val="bottom"/>
          </w:tcPr>
          <w:p w14:paraId="74C4A84C" w14:textId="4D807729" w:rsidR="00C16BF3" w:rsidRPr="00512D7B" w:rsidRDefault="00A36200">
            <w:pPr>
              <w:pStyle w:val="COMTabletext"/>
              <w:jc w:val="center"/>
              <w:rPr>
                <w:szCs w:val="20"/>
              </w:rPr>
            </w:pPr>
            <w:r>
              <w:rPr>
                <w:color w:val="000000"/>
                <w:szCs w:val="20"/>
              </w:rPr>
              <w:t>4.37</w:t>
            </w:r>
          </w:p>
        </w:tc>
        <w:tc>
          <w:tcPr>
            <w:tcW w:w="1227" w:type="pct"/>
            <w:vAlign w:val="bottom"/>
          </w:tcPr>
          <w:p w14:paraId="3779545C" w14:textId="5EBD3CD8" w:rsidR="00C16BF3" w:rsidRPr="00512D7B" w:rsidRDefault="00886E24">
            <w:pPr>
              <w:pStyle w:val="COMTabletext"/>
              <w:jc w:val="center"/>
              <w:rPr>
                <w:szCs w:val="20"/>
              </w:rPr>
            </w:pPr>
            <w:r>
              <w:rPr>
                <w:color w:val="000000"/>
                <w:szCs w:val="20"/>
              </w:rPr>
              <w:t>1.71</w:t>
            </w:r>
          </w:p>
        </w:tc>
      </w:tr>
      <w:tr w:rsidR="00C16BF3" w:rsidRPr="00512D7B" w14:paraId="15C52507" w14:textId="77777777">
        <w:tc>
          <w:tcPr>
            <w:tcW w:w="1250" w:type="pct"/>
            <w:vAlign w:val="center"/>
          </w:tcPr>
          <w:p w14:paraId="34E10B27" w14:textId="77777777" w:rsidR="00C16BF3" w:rsidRPr="00512D7B" w:rsidRDefault="00C16BF3">
            <w:pPr>
              <w:pStyle w:val="COMTabletext"/>
              <w:rPr>
                <w:szCs w:val="20"/>
              </w:rPr>
            </w:pPr>
            <w:r w:rsidRPr="00512D7B">
              <w:rPr>
                <w:szCs w:val="20"/>
              </w:rPr>
              <w:t>QALYs</w:t>
            </w:r>
          </w:p>
        </w:tc>
        <w:tc>
          <w:tcPr>
            <w:tcW w:w="1250" w:type="pct"/>
            <w:gridSpan w:val="2"/>
            <w:vAlign w:val="bottom"/>
          </w:tcPr>
          <w:p w14:paraId="38759AFB" w14:textId="1A0AB1A1" w:rsidR="00C16BF3" w:rsidRPr="00512D7B" w:rsidRDefault="00886E24">
            <w:pPr>
              <w:pStyle w:val="COMTabletext"/>
              <w:jc w:val="center"/>
              <w:rPr>
                <w:szCs w:val="20"/>
              </w:rPr>
            </w:pPr>
            <w:r>
              <w:rPr>
                <w:color w:val="000000"/>
                <w:szCs w:val="20"/>
              </w:rPr>
              <w:t>4.65</w:t>
            </w:r>
          </w:p>
        </w:tc>
        <w:tc>
          <w:tcPr>
            <w:tcW w:w="1273" w:type="pct"/>
            <w:gridSpan w:val="2"/>
            <w:vAlign w:val="bottom"/>
          </w:tcPr>
          <w:p w14:paraId="12C7516C" w14:textId="7B099A13" w:rsidR="00C16BF3" w:rsidRPr="00512D7B" w:rsidRDefault="00886E24">
            <w:pPr>
              <w:pStyle w:val="COMTabletext"/>
              <w:jc w:val="center"/>
              <w:rPr>
                <w:szCs w:val="20"/>
              </w:rPr>
            </w:pPr>
            <w:r>
              <w:rPr>
                <w:color w:val="000000"/>
                <w:szCs w:val="20"/>
              </w:rPr>
              <w:t>3.36</w:t>
            </w:r>
          </w:p>
        </w:tc>
        <w:tc>
          <w:tcPr>
            <w:tcW w:w="1227" w:type="pct"/>
            <w:vAlign w:val="bottom"/>
          </w:tcPr>
          <w:p w14:paraId="038B6598" w14:textId="7D7EBF50" w:rsidR="00C16BF3" w:rsidRPr="00512D7B" w:rsidRDefault="00886E24">
            <w:pPr>
              <w:pStyle w:val="COMTabletext"/>
              <w:jc w:val="center"/>
              <w:rPr>
                <w:szCs w:val="20"/>
              </w:rPr>
            </w:pPr>
            <w:r>
              <w:rPr>
                <w:color w:val="000000"/>
                <w:szCs w:val="20"/>
              </w:rPr>
              <w:t>1.29</w:t>
            </w:r>
          </w:p>
        </w:tc>
      </w:tr>
      <w:tr w:rsidR="00C16BF3" w:rsidRPr="00512D7B" w14:paraId="03584409" w14:textId="77777777">
        <w:tc>
          <w:tcPr>
            <w:tcW w:w="3773" w:type="pct"/>
            <w:gridSpan w:val="5"/>
            <w:vAlign w:val="center"/>
          </w:tcPr>
          <w:p w14:paraId="472A48D9" w14:textId="77777777" w:rsidR="00C16BF3" w:rsidRPr="00512D7B" w:rsidRDefault="00C16BF3">
            <w:pPr>
              <w:pStyle w:val="COMTabletext"/>
              <w:rPr>
                <w:szCs w:val="20"/>
              </w:rPr>
            </w:pPr>
            <w:r w:rsidRPr="00512D7B">
              <w:rPr>
                <w:szCs w:val="20"/>
              </w:rPr>
              <w:t>Incremental cost per life year gained</w:t>
            </w:r>
          </w:p>
        </w:tc>
        <w:tc>
          <w:tcPr>
            <w:tcW w:w="1227" w:type="pct"/>
            <w:vAlign w:val="center"/>
          </w:tcPr>
          <w:p w14:paraId="3C39755D" w14:textId="26C982D0" w:rsidR="00C16BF3" w:rsidRPr="00640D34" w:rsidRDefault="00C16BF3">
            <w:pPr>
              <w:jc w:val="center"/>
              <w:rPr>
                <w:rFonts w:ascii="Arial Narrow" w:hAnsi="Arial Narrow" w:cs="Times New Roman"/>
                <w:b/>
                <w:bCs/>
                <w:color w:val="000000"/>
                <w:sz w:val="20"/>
                <w:szCs w:val="20"/>
                <w:vertAlign w:val="superscript"/>
              </w:rPr>
            </w:pPr>
            <w:r w:rsidRPr="00512D7B">
              <w:rPr>
                <w:rFonts w:ascii="Arial Narrow" w:hAnsi="Arial Narrow"/>
                <w:b/>
                <w:bCs/>
                <w:color w:val="000000"/>
                <w:sz w:val="20"/>
                <w:szCs w:val="20"/>
              </w:rPr>
              <w:t>$</w:t>
            </w:r>
            <w:r w:rsidR="0040410B" w:rsidRPr="0040410B">
              <w:rPr>
                <w:rFonts w:ascii="Arial Narrow" w:hAnsi="Arial Narrow"/>
                <w:b/>
                <w:bCs/>
                <w:color w:val="000000"/>
                <w:sz w:val="20"/>
                <w:szCs w:val="20"/>
                <w:highlight w:val="black"/>
              </w:rPr>
              <w:t>&amp;&amp;&amp;&amp;</w:t>
            </w:r>
            <w:r w:rsidR="00640D34">
              <w:rPr>
                <w:rFonts w:ascii="Arial Narrow" w:hAnsi="Arial Narrow"/>
                <w:b/>
                <w:bCs/>
                <w:color w:val="000000"/>
                <w:sz w:val="20"/>
                <w:szCs w:val="20"/>
                <w:vertAlign w:val="superscript"/>
              </w:rPr>
              <w:t>4</w:t>
            </w:r>
          </w:p>
        </w:tc>
      </w:tr>
      <w:tr w:rsidR="00C16BF3" w:rsidRPr="00512D7B" w14:paraId="40D81EF5" w14:textId="77777777">
        <w:tc>
          <w:tcPr>
            <w:tcW w:w="3773" w:type="pct"/>
            <w:gridSpan w:val="5"/>
            <w:vAlign w:val="center"/>
          </w:tcPr>
          <w:p w14:paraId="6C36B92D" w14:textId="77777777" w:rsidR="00C16BF3" w:rsidRPr="00512D7B" w:rsidRDefault="00C16BF3">
            <w:pPr>
              <w:pStyle w:val="COMTabletext"/>
              <w:rPr>
                <w:szCs w:val="20"/>
              </w:rPr>
            </w:pPr>
            <w:r w:rsidRPr="00512D7B">
              <w:rPr>
                <w:szCs w:val="20"/>
              </w:rPr>
              <w:t>Incremental cost per QALY gained</w:t>
            </w:r>
          </w:p>
        </w:tc>
        <w:tc>
          <w:tcPr>
            <w:tcW w:w="1227" w:type="pct"/>
            <w:vAlign w:val="center"/>
          </w:tcPr>
          <w:p w14:paraId="0A6ADE20" w14:textId="366B8DBC" w:rsidR="00C16BF3" w:rsidRPr="00640D34" w:rsidRDefault="00C16BF3">
            <w:pPr>
              <w:jc w:val="center"/>
              <w:rPr>
                <w:rFonts w:ascii="Arial Narrow" w:hAnsi="Arial Narrow" w:cs="Times New Roman"/>
                <w:b/>
                <w:bCs/>
                <w:color w:val="000000"/>
                <w:sz w:val="20"/>
                <w:szCs w:val="20"/>
                <w:vertAlign w:val="superscript"/>
              </w:rPr>
            </w:pPr>
            <w:r w:rsidRPr="00512D7B">
              <w:rPr>
                <w:rFonts w:ascii="Arial Narrow" w:hAnsi="Arial Narrow"/>
                <w:b/>
                <w:bCs/>
                <w:color w:val="000000"/>
                <w:sz w:val="20"/>
                <w:szCs w:val="20"/>
              </w:rPr>
              <w:t>$</w:t>
            </w:r>
            <w:r w:rsidR="0040410B" w:rsidRPr="0040410B">
              <w:rPr>
                <w:rFonts w:ascii="Arial Narrow" w:hAnsi="Arial Narrow"/>
                <w:b/>
                <w:bCs/>
                <w:color w:val="000000"/>
                <w:sz w:val="20"/>
                <w:szCs w:val="20"/>
                <w:highlight w:val="black"/>
              </w:rPr>
              <w:t>&amp;&amp;&amp;&amp;</w:t>
            </w:r>
            <w:r w:rsidR="00640D34">
              <w:rPr>
                <w:rFonts w:ascii="Arial Narrow" w:hAnsi="Arial Narrow"/>
                <w:b/>
                <w:bCs/>
                <w:color w:val="000000"/>
                <w:sz w:val="20"/>
                <w:szCs w:val="20"/>
                <w:vertAlign w:val="superscript"/>
              </w:rPr>
              <w:t>3</w:t>
            </w:r>
          </w:p>
        </w:tc>
      </w:tr>
    </w:tbl>
    <w:p w14:paraId="1CEFB2CD" w14:textId="1ECDC32D" w:rsidR="00224AEF" w:rsidRPr="00512D7B" w:rsidRDefault="00224AEF" w:rsidP="00224AEF">
      <w:pPr>
        <w:pStyle w:val="COMTablefooter"/>
      </w:pPr>
      <w:r w:rsidRPr="00512D7B">
        <w:t>Source: Table 3-42, p166 of the submission; and ‘</w:t>
      </w:r>
      <w:proofErr w:type="spellStart"/>
      <w:r w:rsidRPr="00512D7B">
        <w:t>Blenrep</w:t>
      </w:r>
      <w:proofErr w:type="spellEnd"/>
      <w:r w:rsidRPr="00512D7B">
        <w:t xml:space="preserve"> (belantamab mafodotin) </w:t>
      </w:r>
      <w:proofErr w:type="spellStart"/>
      <w:r w:rsidRPr="00512D7B">
        <w:t>CUA_July</w:t>
      </w:r>
      <w:proofErr w:type="spellEnd"/>
      <w:r w:rsidRPr="00512D7B">
        <w:t xml:space="preserve"> 2025’ model spreadsheet provided with the submission</w:t>
      </w:r>
      <w:r w:rsidR="00886E24">
        <w:t xml:space="preserve"> and the pre-PBAC response</w:t>
      </w:r>
      <w:r w:rsidRPr="00512D7B">
        <w:t>.</w:t>
      </w:r>
    </w:p>
    <w:p w14:paraId="31DED0E0" w14:textId="3CEB84F2" w:rsidR="00C92AFE" w:rsidRPr="0005047D" w:rsidRDefault="00224AEF" w:rsidP="00C92AFE">
      <w:pPr>
        <w:pStyle w:val="COMTablefooter"/>
      </w:pPr>
      <w:r w:rsidRPr="00512D7B">
        <w:t xml:space="preserve">Abbreviations: </w:t>
      </w:r>
      <w:r w:rsidR="001030EA" w:rsidRPr="00512D7B">
        <w:t>BmBd</w:t>
      </w:r>
      <w:r w:rsidRPr="00512D7B">
        <w:t xml:space="preserve">, belantamab mafodotin in combination with bortezomib and dexamethasone; </w:t>
      </w:r>
      <w:r w:rsidR="001C413B" w:rsidRPr="00512D7B">
        <w:t>DBd</w:t>
      </w:r>
      <w:r w:rsidRPr="00512D7B">
        <w:t>, daratumumab in combination with bortezomib and dexamethasone; ITT, intention-to-treat; QALY, quality adjusted life year.</w:t>
      </w:r>
      <w:bookmarkStart w:id="57" w:name="_Hlk218761266"/>
      <w:r w:rsidR="00C92AFE" w:rsidRPr="00C92AFE">
        <w:rPr>
          <w:i/>
          <w:szCs w:val="18"/>
        </w:rPr>
        <w:t xml:space="preserve"> </w:t>
      </w:r>
    </w:p>
    <w:p w14:paraId="7EA0D12F" w14:textId="207E8C73" w:rsidR="00C92AFE" w:rsidRPr="00C92AFE" w:rsidRDefault="00C92AFE" w:rsidP="00C92AFE">
      <w:pPr>
        <w:pStyle w:val="COMTablefooter"/>
        <w:rPr>
          <w:i/>
        </w:rPr>
      </w:pPr>
      <w:r w:rsidRPr="00C92AFE">
        <w:rPr>
          <w:i/>
        </w:rPr>
        <w:t xml:space="preserve">The redacted values correspond to the following ranges: </w:t>
      </w:r>
    </w:p>
    <w:p w14:paraId="7A85F4FA" w14:textId="0DC32C7D" w:rsidR="00C92AFE" w:rsidRPr="00C92AFE" w:rsidRDefault="00C92AFE" w:rsidP="00C92AFE">
      <w:pPr>
        <w:pStyle w:val="COMTablefooter"/>
        <w:rPr>
          <w:i/>
        </w:rPr>
      </w:pPr>
      <w:r w:rsidRPr="00C92AFE">
        <w:rPr>
          <w:i/>
          <w:vertAlign w:val="superscript"/>
        </w:rPr>
        <w:t>1</w:t>
      </w:r>
      <w:r w:rsidRPr="00C92AFE">
        <w:rPr>
          <w:i/>
        </w:rPr>
        <w:t xml:space="preserve"> </w:t>
      </w:r>
      <w:r w:rsidR="00C41D95" w:rsidRPr="00C41D95">
        <w:rPr>
          <w:i/>
        </w:rPr>
        <w:t>55,000 to &lt; $75,000</w:t>
      </w:r>
    </w:p>
    <w:bookmarkEnd w:id="57"/>
    <w:p w14:paraId="0014133C" w14:textId="6850870C" w:rsidR="00C92AFE" w:rsidRPr="00C92AFE" w:rsidRDefault="00C92AFE" w:rsidP="00C92AFE">
      <w:pPr>
        <w:pStyle w:val="COMTablefooter"/>
        <w:rPr>
          <w:i/>
        </w:rPr>
      </w:pPr>
      <w:r w:rsidRPr="00C92AFE">
        <w:rPr>
          <w:i/>
          <w:vertAlign w:val="superscript"/>
        </w:rPr>
        <w:t>2</w:t>
      </w:r>
      <w:r w:rsidRPr="00C92AFE">
        <w:rPr>
          <w:i/>
        </w:rPr>
        <w:t xml:space="preserve"> </w:t>
      </w:r>
      <w:r w:rsidR="00F623CF" w:rsidRPr="00F623CF">
        <w:rPr>
          <w:i/>
        </w:rPr>
        <w:t>$75,000 to &lt; $95,000</w:t>
      </w:r>
    </w:p>
    <w:p w14:paraId="1D329461" w14:textId="6F75B008" w:rsidR="00C92AFE" w:rsidRPr="00C92AFE" w:rsidRDefault="00C92AFE" w:rsidP="00C92AFE">
      <w:pPr>
        <w:pStyle w:val="COMTablefooter"/>
        <w:rPr>
          <w:i/>
        </w:rPr>
      </w:pPr>
      <w:r w:rsidRPr="00C92AFE">
        <w:rPr>
          <w:i/>
          <w:vertAlign w:val="superscript"/>
        </w:rPr>
        <w:t>3</w:t>
      </w:r>
      <w:r w:rsidRPr="00C92AFE">
        <w:rPr>
          <w:i/>
        </w:rPr>
        <w:t xml:space="preserve"> </w:t>
      </w:r>
      <w:bookmarkStart w:id="58" w:name="_Hlk218763017"/>
      <w:r w:rsidR="004B688E" w:rsidRPr="004B688E">
        <w:rPr>
          <w:i/>
        </w:rPr>
        <w:t>$115,000 to &lt; $135,000</w:t>
      </w:r>
      <w:bookmarkEnd w:id="58"/>
    </w:p>
    <w:p w14:paraId="38730DD4" w14:textId="53D9E3A4" w:rsidR="00C92AFE" w:rsidRPr="00C92AFE" w:rsidRDefault="00C92AFE" w:rsidP="00C92AFE">
      <w:pPr>
        <w:pStyle w:val="COMTablefooter"/>
        <w:rPr>
          <w:i/>
        </w:rPr>
      </w:pPr>
      <w:r w:rsidRPr="00C92AFE">
        <w:rPr>
          <w:i/>
          <w:vertAlign w:val="superscript"/>
        </w:rPr>
        <w:t>4</w:t>
      </w:r>
      <w:r w:rsidRPr="00C92AFE">
        <w:rPr>
          <w:i/>
        </w:rPr>
        <w:t xml:space="preserve"> </w:t>
      </w:r>
      <w:r w:rsidR="00640D34" w:rsidRPr="00640D34">
        <w:rPr>
          <w:i/>
        </w:rPr>
        <w:t>$95,000 to &lt; $115,000</w:t>
      </w:r>
    </w:p>
    <w:p w14:paraId="32AB1593" w14:textId="30E65529" w:rsidR="00224AEF" w:rsidRPr="00512D7B" w:rsidRDefault="00224AEF" w:rsidP="00224AEF">
      <w:pPr>
        <w:pStyle w:val="COMTablefooter"/>
      </w:pPr>
    </w:p>
    <w:p w14:paraId="337D193A" w14:textId="1D36B336" w:rsidR="00224AEF" w:rsidRPr="00AC3F7C" w:rsidRDefault="00224AEF" w:rsidP="00224AEF">
      <w:pPr>
        <w:pStyle w:val="COMESnumberedpara"/>
      </w:pPr>
      <w:r w:rsidRPr="00AC3F7C">
        <w:t xml:space="preserve">Based on the economic model, treatment with </w:t>
      </w:r>
      <w:r w:rsidR="001030EA" w:rsidRPr="00AC3F7C">
        <w:t>BmBd</w:t>
      </w:r>
      <w:r w:rsidRPr="00AC3F7C">
        <w:t xml:space="preserve"> compared to </w:t>
      </w:r>
      <w:r w:rsidR="001C413B" w:rsidRPr="00AC3F7C">
        <w:t>DBd</w:t>
      </w:r>
      <w:r w:rsidRPr="00AC3F7C">
        <w:t xml:space="preserve"> was associated with an incremental cost per QALY gained of </w:t>
      </w:r>
      <w:r w:rsidR="004C52DE" w:rsidRPr="004C52DE">
        <w:t>$55,000 to &lt; $75,000</w:t>
      </w:r>
      <w:r w:rsidRPr="00AC3F7C">
        <w:t xml:space="preserve"> based on the DREAMM-7 lenalidomide-exposed subgroup and an incremental cost per QALY gained of </w:t>
      </w:r>
      <w:r w:rsidR="006421B7" w:rsidRPr="006421B7">
        <w:t>$115,000 to &lt; $135,000</w:t>
      </w:r>
      <w:r w:rsidRPr="00AC3F7C">
        <w:t xml:space="preserve"> based on the DREAMM-7 ITT population. </w:t>
      </w:r>
      <w:r w:rsidR="005168EB">
        <w:t xml:space="preserve">The revised base case presented in the pre-PBAC response resulted in an ICER of </w:t>
      </w:r>
      <w:r w:rsidR="00E46A37" w:rsidRPr="00E46A37">
        <w:t xml:space="preserve">$115,000 to </w:t>
      </w:r>
      <w:r w:rsidR="00971C56">
        <w:br/>
      </w:r>
      <w:r w:rsidR="00E46A37" w:rsidRPr="00E46A37">
        <w:t>&lt; $135,000</w:t>
      </w:r>
      <w:r w:rsidR="005168EB">
        <w:t xml:space="preserve"> per QALY.</w:t>
      </w:r>
    </w:p>
    <w:p w14:paraId="0EF63EF5" w14:textId="77777777" w:rsidR="00606130" w:rsidRPr="00AC3F7C" w:rsidRDefault="00606130" w:rsidP="00606130">
      <w:pPr>
        <w:pStyle w:val="COMESnumberedpara"/>
      </w:pPr>
      <w:r w:rsidRPr="00AC3F7C">
        <w:t>In the model base case, based on the DREAMM-7 lenalidomide-exposed subgroup, 84% of incremental QALYs and 55% of incremental costs were accrued in the extrapolated period beyond the median duration of follow-up of 37.5 months (3.1 years).</w:t>
      </w:r>
    </w:p>
    <w:p w14:paraId="1F1EA1DB" w14:textId="2D2C9638" w:rsidR="00606130" w:rsidRPr="00AC3F7C" w:rsidRDefault="00606130" w:rsidP="00606130">
      <w:pPr>
        <w:pStyle w:val="COMESnumberedpara"/>
      </w:pPr>
      <w:r w:rsidRPr="00AC3F7C">
        <w:t xml:space="preserve">For every patient treated with </w:t>
      </w:r>
      <w:r w:rsidR="001030EA" w:rsidRPr="00AC3F7C">
        <w:t>BmBd</w:t>
      </w:r>
      <w:r w:rsidRPr="00AC3F7C">
        <w:t xml:space="preserve"> versus </w:t>
      </w:r>
      <w:r w:rsidR="001C413B" w:rsidRPr="00AC3F7C">
        <w:t>DBd</w:t>
      </w:r>
      <w:r w:rsidRPr="00AC3F7C">
        <w:t xml:space="preserve"> and followed for up to 20 years, the economic model based on the DREAMM-7 lenalidomide-exposed subgroup (without discounting) estimated that there would be:</w:t>
      </w:r>
    </w:p>
    <w:p w14:paraId="753411BB" w14:textId="77777777" w:rsidR="00606130" w:rsidRPr="00AC3F7C" w:rsidRDefault="00606130" w:rsidP="00606130">
      <w:pPr>
        <w:pStyle w:val="COMESbulletlist"/>
        <w:spacing w:after="0"/>
      </w:pPr>
      <w:r w:rsidRPr="00AC3F7C">
        <w:t>An additional 4.4 years of life lived.</w:t>
      </w:r>
    </w:p>
    <w:p w14:paraId="699919D8" w14:textId="77777777" w:rsidR="00606130" w:rsidRPr="00AC3F7C" w:rsidRDefault="00606130" w:rsidP="00606130">
      <w:pPr>
        <w:pStyle w:val="COMESbulletlist"/>
        <w:spacing w:after="0"/>
      </w:pPr>
      <w:r w:rsidRPr="00AC3F7C">
        <w:t>An additional 2.1 years spent progression-free.</w:t>
      </w:r>
    </w:p>
    <w:p w14:paraId="31817313" w14:textId="61FB0F52" w:rsidR="00606130" w:rsidRPr="00AC3F7C" w:rsidRDefault="00606130" w:rsidP="00606130">
      <w:pPr>
        <w:pStyle w:val="COMESbulletlist"/>
        <w:spacing w:after="0"/>
      </w:pPr>
      <w:r w:rsidRPr="00AC3F7C">
        <w:t xml:space="preserve">Additional </w:t>
      </w:r>
      <w:r w:rsidR="00FA1763" w:rsidRPr="00AC3F7C">
        <w:t xml:space="preserve">second </w:t>
      </w:r>
      <w:r w:rsidRPr="00AC3F7C">
        <w:t xml:space="preserve">line therapy costs </w:t>
      </w:r>
      <w:r w:rsidRPr="004F4B26">
        <w:t>of $</w:t>
      </w:r>
      <w:r w:rsidR="0040410B" w:rsidRPr="0040410B">
        <w:rPr>
          <w:highlight w:val="black"/>
        </w:rPr>
        <w:t>&amp;&amp;&amp;&amp;</w:t>
      </w:r>
      <w:r w:rsidRPr="004F4B26">
        <w:t>.</w:t>
      </w:r>
    </w:p>
    <w:p w14:paraId="4E286031" w14:textId="77F8C02C" w:rsidR="00606130" w:rsidRPr="00DB2742" w:rsidRDefault="00606130" w:rsidP="00606130">
      <w:pPr>
        <w:pStyle w:val="COMESbulletlist"/>
        <w:spacing w:after="0"/>
      </w:pPr>
      <w:r w:rsidRPr="00DB2742">
        <w:t>Additional disease management costs of $17,747 and additional adverse event costs of $3,074.</w:t>
      </w:r>
    </w:p>
    <w:p w14:paraId="7DFF0BCB" w14:textId="77777777" w:rsidR="00606130" w:rsidRPr="00AC3F7C" w:rsidRDefault="00606130" w:rsidP="00606130">
      <w:pPr>
        <w:pStyle w:val="COMESbulletlist"/>
      </w:pPr>
      <w:r w:rsidRPr="00AC3F7C">
        <w:lastRenderedPageBreak/>
        <w:t>Reduced subsequent therapy costs of $424 and reduced terminal care costs of $6,044.</w:t>
      </w:r>
    </w:p>
    <w:p w14:paraId="1BAC1159" w14:textId="65B642D3" w:rsidR="00A86E8B" w:rsidRPr="00AC3F7C" w:rsidRDefault="00D23D11" w:rsidP="00BB732D">
      <w:pPr>
        <w:pStyle w:val="COMESnumberedpara"/>
      </w:pPr>
      <w:r w:rsidRPr="00AC3F7C">
        <w:t xml:space="preserve">The results of key univariate sensitivity analyses </w:t>
      </w:r>
      <w:r w:rsidR="00285B54" w:rsidRPr="00AC3F7C">
        <w:t xml:space="preserve">for the lenalidomide-exposed population </w:t>
      </w:r>
      <w:r w:rsidRPr="00AC3F7C">
        <w:t xml:space="preserve">are summarised </w:t>
      </w:r>
      <w:r w:rsidR="00E16AD8" w:rsidRPr="00AC3F7C">
        <w:t xml:space="preserve">in </w:t>
      </w:r>
      <w:r w:rsidR="00E16AD8" w:rsidRPr="00AC3F7C">
        <w:fldChar w:fldCharType="begin"/>
      </w:r>
      <w:r w:rsidR="00E16AD8" w:rsidRPr="00AC3F7C">
        <w:instrText xml:space="preserve"> REF _Ref104804865 \h </w:instrText>
      </w:r>
      <w:r w:rsidR="00AC3F7C" w:rsidRPr="00AC3F7C">
        <w:instrText xml:space="preserve"> \* MERGEFORMAT </w:instrText>
      </w:r>
      <w:r w:rsidR="00E16AD8" w:rsidRPr="00AC3F7C">
        <w:fldChar w:fldCharType="separate"/>
      </w:r>
      <w:r w:rsidR="00674A1F" w:rsidRPr="00512D7B">
        <w:t xml:space="preserve">Table </w:t>
      </w:r>
      <w:r w:rsidR="00674A1F">
        <w:t>12</w:t>
      </w:r>
      <w:r w:rsidR="00E16AD8" w:rsidRPr="00AC3F7C">
        <w:fldChar w:fldCharType="end"/>
      </w:r>
      <w:r w:rsidRPr="00AC3F7C">
        <w:t>.</w:t>
      </w:r>
      <w:r w:rsidR="00285B54" w:rsidRPr="00AC3F7C">
        <w:t xml:space="preserve"> </w:t>
      </w:r>
    </w:p>
    <w:p w14:paraId="3A64F4E7" w14:textId="106DBD76" w:rsidR="00D23D11" w:rsidRPr="00512D7B" w:rsidRDefault="00E16AD8" w:rsidP="00F12DDF">
      <w:pPr>
        <w:pStyle w:val="COMTableFigurecaption"/>
        <w:keepLines/>
      </w:pPr>
      <w:bookmarkStart w:id="59" w:name="_Ref104804865"/>
      <w:r w:rsidRPr="00512D7B">
        <w:lastRenderedPageBreak/>
        <w:t xml:space="preserve">Table </w:t>
      </w:r>
      <w:r w:rsidR="00251746">
        <w:fldChar w:fldCharType="begin"/>
      </w:r>
      <w:r w:rsidR="00251746">
        <w:instrText xml:space="preserve"> SEQ Table \* ARABIC </w:instrText>
      </w:r>
      <w:r w:rsidR="00251746">
        <w:fldChar w:fldCharType="separate"/>
      </w:r>
      <w:r w:rsidR="00674A1F">
        <w:rPr>
          <w:noProof/>
        </w:rPr>
        <w:t>12</w:t>
      </w:r>
      <w:r w:rsidR="00251746">
        <w:fldChar w:fldCharType="end"/>
      </w:r>
      <w:bookmarkEnd w:id="59"/>
      <w:r w:rsidRPr="00512D7B">
        <w:t>:</w:t>
      </w:r>
      <w:r w:rsidR="00354F64" w:rsidRPr="00512D7B">
        <w:t xml:space="preserve"> </w:t>
      </w:r>
      <w:r w:rsidR="00606130" w:rsidRPr="00512D7B">
        <w:t>Results of sensitivity analyses for the lenalidomide-exposed subgroup of the DREAMM-7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Results of sensitivity analyses for the lenalidomide-exposed subgroup of the DREAMM-7 trial"/>
      </w:tblPr>
      <w:tblGrid>
        <w:gridCol w:w="3966"/>
        <w:gridCol w:w="1372"/>
        <w:gridCol w:w="1374"/>
        <w:gridCol w:w="1374"/>
        <w:gridCol w:w="931"/>
      </w:tblGrid>
      <w:tr w:rsidR="00606130" w:rsidRPr="00512D7B" w14:paraId="55F49FD2" w14:textId="77777777">
        <w:trPr>
          <w:tblHeader/>
        </w:trPr>
        <w:tc>
          <w:tcPr>
            <w:tcW w:w="2199" w:type="pct"/>
            <w:vAlign w:val="center"/>
          </w:tcPr>
          <w:p w14:paraId="3AFBA81D" w14:textId="77777777" w:rsidR="00606130" w:rsidRPr="00512D7B" w:rsidRDefault="00606130" w:rsidP="00B56578">
            <w:pPr>
              <w:pStyle w:val="COMTableheadingrow"/>
            </w:pPr>
            <w:r w:rsidRPr="00512D7B">
              <w:t>Analyses</w:t>
            </w:r>
          </w:p>
        </w:tc>
        <w:tc>
          <w:tcPr>
            <w:tcW w:w="761" w:type="pct"/>
            <w:vAlign w:val="center"/>
          </w:tcPr>
          <w:p w14:paraId="636D3F05" w14:textId="77777777" w:rsidR="00606130" w:rsidRPr="00512D7B" w:rsidRDefault="00606130" w:rsidP="00B56578">
            <w:pPr>
              <w:pStyle w:val="COMTableheadingrow"/>
              <w:jc w:val="center"/>
            </w:pPr>
            <w:r w:rsidRPr="00512D7B">
              <w:t>Incremental cost</w:t>
            </w:r>
          </w:p>
        </w:tc>
        <w:tc>
          <w:tcPr>
            <w:tcW w:w="762" w:type="pct"/>
            <w:vAlign w:val="center"/>
          </w:tcPr>
          <w:p w14:paraId="71177E87" w14:textId="77777777" w:rsidR="00606130" w:rsidRPr="00512D7B" w:rsidRDefault="00606130" w:rsidP="00B56578">
            <w:pPr>
              <w:pStyle w:val="COMTableheadingrow"/>
              <w:jc w:val="center"/>
            </w:pPr>
            <w:r w:rsidRPr="00512D7B">
              <w:t>Incremental QALY</w:t>
            </w:r>
          </w:p>
        </w:tc>
        <w:tc>
          <w:tcPr>
            <w:tcW w:w="762" w:type="pct"/>
            <w:vAlign w:val="center"/>
          </w:tcPr>
          <w:p w14:paraId="2D5DE779" w14:textId="77777777" w:rsidR="00606130" w:rsidRPr="00512D7B" w:rsidRDefault="00606130" w:rsidP="00B56578">
            <w:pPr>
              <w:pStyle w:val="COMTableheadingrow"/>
              <w:jc w:val="center"/>
            </w:pPr>
            <w:r w:rsidRPr="00512D7B">
              <w:t>ICER</w:t>
            </w:r>
          </w:p>
        </w:tc>
        <w:tc>
          <w:tcPr>
            <w:tcW w:w="516" w:type="pct"/>
            <w:vAlign w:val="center"/>
          </w:tcPr>
          <w:p w14:paraId="0685CC20" w14:textId="77777777" w:rsidR="00606130" w:rsidRPr="00512D7B" w:rsidRDefault="00606130" w:rsidP="00B56578">
            <w:pPr>
              <w:pStyle w:val="COMTableheadingrow"/>
              <w:jc w:val="center"/>
            </w:pPr>
            <w:r w:rsidRPr="00512D7B">
              <w:t>% change</w:t>
            </w:r>
          </w:p>
        </w:tc>
      </w:tr>
      <w:tr w:rsidR="00606130" w:rsidRPr="00512D7B" w14:paraId="655E5741" w14:textId="77777777">
        <w:tc>
          <w:tcPr>
            <w:tcW w:w="2199" w:type="pct"/>
          </w:tcPr>
          <w:p w14:paraId="24A41DF9" w14:textId="77777777" w:rsidR="00606130" w:rsidRPr="00512D7B" w:rsidRDefault="00606130" w:rsidP="00B56578">
            <w:pPr>
              <w:pStyle w:val="COMTabletext"/>
              <w:rPr>
                <w:b/>
                <w:bCs w:val="0"/>
              </w:rPr>
            </w:pPr>
            <w:r w:rsidRPr="00512D7B">
              <w:rPr>
                <w:b/>
                <w:bCs w:val="0"/>
              </w:rPr>
              <w:t>Base case</w:t>
            </w:r>
          </w:p>
        </w:tc>
        <w:tc>
          <w:tcPr>
            <w:tcW w:w="761" w:type="pct"/>
          </w:tcPr>
          <w:p w14:paraId="471E9566" w14:textId="28C4237D" w:rsidR="00606130" w:rsidRPr="00512D7B" w:rsidRDefault="00606130" w:rsidP="00B56578">
            <w:pPr>
              <w:pStyle w:val="COMTabletext"/>
              <w:jc w:val="center"/>
              <w:rPr>
                <w:b/>
                <w:bCs w:val="0"/>
              </w:rPr>
            </w:pPr>
            <w:r w:rsidRPr="00512D7B">
              <w:rPr>
                <w:b/>
                <w:bCs w:val="0"/>
              </w:rPr>
              <w:t>$</w:t>
            </w:r>
            <w:r w:rsidR="0040410B" w:rsidRPr="0040410B">
              <w:rPr>
                <w:b/>
                <w:bCs w:val="0"/>
                <w:highlight w:val="black"/>
              </w:rPr>
              <w:t>&amp;&amp;&amp;&amp;</w:t>
            </w:r>
          </w:p>
        </w:tc>
        <w:tc>
          <w:tcPr>
            <w:tcW w:w="762" w:type="pct"/>
          </w:tcPr>
          <w:p w14:paraId="7B564FE1" w14:textId="77777777" w:rsidR="00606130" w:rsidRPr="00512D7B" w:rsidRDefault="00606130" w:rsidP="00B56578">
            <w:pPr>
              <w:pStyle w:val="COMTabletext"/>
              <w:jc w:val="center"/>
              <w:rPr>
                <w:b/>
                <w:bCs w:val="0"/>
              </w:rPr>
            </w:pPr>
            <w:r w:rsidRPr="00512D7B">
              <w:rPr>
                <w:b/>
                <w:bCs w:val="0"/>
              </w:rPr>
              <w:t>2.180</w:t>
            </w:r>
          </w:p>
        </w:tc>
        <w:tc>
          <w:tcPr>
            <w:tcW w:w="762" w:type="pct"/>
          </w:tcPr>
          <w:p w14:paraId="3943652C" w14:textId="0F6AA89E" w:rsidR="00606130" w:rsidRPr="001D7C26" w:rsidRDefault="00606130" w:rsidP="00B56578">
            <w:pPr>
              <w:pStyle w:val="COMTabletext"/>
              <w:jc w:val="center"/>
              <w:rPr>
                <w:vertAlign w:val="superscript"/>
              </w:rPr>
            </w:pPr>
            <w:r w:rsidRPr="00512D7B">
              <w:rPr>
                <w:b/>
                <w:bCs w:val="0"/>
              </w:rPr>
              <w:t>$</w:t>
            </w:r>
            <w:r w:rsidR="0040410B" w:rsidRPr="0040410B">
              <w:rPr>
                <w:b/>
                <w:bCs w:val="0"/>
                <w:highlight w:val="black"/>
              </w:rPr>
              <w:t>&amp;&amp;&amp;&amp;</w:t>
            </w:r>
            <w:r w:rsidR="001D7C26">
              <w:rPr>
                <w:vertAlign w:val="superscript"/>
              </w:rPr>
              <w:t>1</w:t>
            </w:r>
          </w:p>
        </w:tc>
        <w:tc>
          <w:tcPr>
            <w:tcW w:w="516" w:type="pct"/>
          </w:tcPr>
          <w:p w14:paraId="698D1B54" w14:textId="77777777" w:rsidR="00606130" w:rsidRPr="00512D7B" w:rsidRDefault="00606130" w:rsidP="00B56578">
            <w:pPr>
              <w:pStyle w:val="COMTabletext"/>
              <w:jc w:val="center"/>
              <w:rPr>
                <w:b/>
                <w:bCs w:val="0"/>
              </w:rPr>
            </w:pPr>
            <w:r w:rsidRPr="00512D7B">
              <w:rPr>
                <w:b/>
                <w:bCs w:val="0"/>
              </w:rPr>
              <w:t>-</w:t>
            </w:r>
          </w:p>
        </w:tc>
      </w:tr>
      <w:tr w:rsidR="00606130" w:rsidRPr="00512D7B" w14:paraId="773D6D71" w14:textId="77777777">
        <w:tc>
          <w:tcPr>
            <w:tcW w:w="5000" w:type="pct"/>
            <w:gridSpan w:val="5"/>
          </w:tcPr>
          <w:p w14:paraId="6F464E79" w14:textId="77777777" w:rsidR="00606130" w:rsidRPr="00512D7B" w:rsidRDefault="00606130" w:rsidP="00B56578">
            <w:pPr>
              <w:pStyle w:val="COMTabletext"/>
              <w:rPr>
                <w:b/>
                <w:bCs w:val="0"/>
              </w:rPr>
            </w:pPr>
            <w:r w:rsidRPr="00512D7B">
              <w:rPr>
                <w:b/>
                <w:bCs w:val="0"/>
              </w:rPr>
              <w:t>Time horizon (base case: 20 years)</w:t>
            </w:r>
          </w:p>
        </w:tc>
      </w:tr>
      <w:tr w:rsidR="00606130" w:rsidRPr="00512D7B" w14:paraId="55022271" w14:textId="77777777">
        <w:tc>
          <w:tcPr>
            <w:tcW w:w="2199" w:type="pct"/>
          </w:tcPr>
          <w:p w14:paraId="1A345AAD" w14:textId="77777777" w:rsidR="00606130" w:rsidRPr="00512D7B" w:rsidRDefault="00606130" w:rsidP="00B56578">
            <w:pPr>
              <w:pStyle w:val="COMTabletext"/>
            </w:pPr>
            <w:r w:rsidRPr="00512D7B">
              <w:t>15 years</w:t>
            </w:r>
          </w:p>
        </w:tc>
        <w:tc>
          <w:tcPr>
            <w:tcW w:w="761" w:type="pct"/>
          </w:tcPr>
          <w:p w14:paraId="65875146" w14:textId="121440E4"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1345CDA3" w14:textId="77777777" w:rsidR="00606130" w:rsidRPr="00512D7B" w:rsidRDefault="00606130" w:rsidP="00B56578">
            <w:pPr>
              <w:pStyle w:val="COMTabletext"/>
              <w:jc w:val="center"/>
            </w:pPr>
            <w:r w:rsidRPr="00512D7B">
              <w:t>1.950</w:t>
            </w:r>
          </w:p>
        </w:tc>
        <w:tc>
          <w:tcPr>
            <w:tcW w:w="762" w:type="pct"/>
          </w:tcPr>
          <w:p w14:paraId="77EEAC92" w14:textId="550B6A13" w:rsidR="00606130" w:rsidRPr="00DC6C3B" w:rsidRDefault="00606130"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1A5F4C63" w14:textId="1191BFE2" w:rsidR="00606130" w:rsidRPr="00512D7B" w:rsidRDefault="0040410B" w:rsidP="00B56578">
            <w:pPr>
              <w:pStyle w:val="COMTabletext"/>
              <w:jc w:val="center"/>
            </w:pPr>
            <w:r w:rsidRPr="0040410B">
              <w:rPr>
                <w:highlight w:val="black"/>
              </w:rPr>
              <w:t>&amp;&amp;&amp;&amp;</w:t>
            </w:r>
            <w:r w:rsidR="00606130" w:rsidRPr="00512D7B">
              <w:t>%</w:t>
            </w:r>
          </w:p>
        </w:tc>
      </w:tr>
      <w:tr w:rsidR="00606130" w:rsidRPr="00512D7B" w14:paraId="18C3A087" w14:textId="77777777">
        <w:tc>
          <w:tcPr>
            <w:tcW w:w="5000" w:type="pct"/>
            <w:gridSpan w:val="5"/>
          </w:tcPr>
          <w:p w14:paraId="13B819D4" w14:textId="77777777" w:rsidR="00606130" w:rsidRPr="00512D7B" w:rsidRDefault="00606130" w:rsidP="00B56578">
            <w:pPr>
              <w:pStyle w:val="COMTabletext"/>
              <w:rPr>
                <w:b/>
                <w:bCs w:val="0"/>
              </w:rPr>
            </w:pPr>
            <w:r w:rsidRPr="00512D7B">
              <w:rPr>
                <w:b/>
                <w:bCs w:val="0"/>
              </w:rPr>
              <w:t>Discount rate (base case: 5% for costs and outcomes)</w:t>
            </w:r>
          </w:p>
        </w:tc>
      </w:tr>
      <w:tr w:rsidR="00606130" w:rsidRPr="00512D7B" w14:paraId="02EEE0C9" w14:textId="77777777">
        <w:tc>
          <w:tcPr>
            <w:tcW w:w="2199" w:type="pct"/>
          </w:tcPr>
          <w:p w14:paraId="23F20B99" w14:textId="77777777" w:rsidR="00606130" w:rsidRPr="00512D7B" w:rsidRDefault="00606130" w:rsidP="00B56578">
            <w:pPr>
              <w:pStyle w:val="COMTabletext"/>
            </w:pPr>
            <w:r w:rsidRPr="00512D7B">
              <w:t>0%</w:t>
            </w:r>
          </w:p>
        </w:tc>
        <w:tc>
          <w:tcPr>
            <w:tcW w:w="761" w:type="pct"/>
          </w:tcPr>
          <w:p w14:paraId="17B3BB09" w14:textId="4B9B1CB6"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651B0290" w14:textId="77777777" w:rsidR="00606130" w:rsidRPr="00512D7B" w:rsidRDefault="00606130" w:rsidP="00B56578">
            <w:pPr>
              <w:pStyle w:val="COMTabletext"/>
              <w:jc w:val="center"/>
            </w:pPr>
            <w:r w:rsidRPr="00512D7B">
              <w:t>3.322</w:t>
            </w:r>
          </w:p>
        </w:tc>
        <w:tc>
          <w:tcPr>
            <w:tcW w:w="762" w:type="pct"/>
          </w:tcPr>
          <w:p w14:paraId="583E344A" w14:textId="3423ED09" w:rsidR="00606130" w:rsidRPr="001D7C26" w:rsidRDefault="00606130" w:rsidP="00B56578">
            <w:pPr>
              <w:pStyle w:val="COMTabletext"/>
              <w:jc w:val="center"/>
              <w:rPr>
                <w:vertAlign w:val="superscript"/>
              </w:rPr>
            </w:pPr>
            <w:r w:rsidRPr="00512D7B">
              <w:t>$</w:t>
            </w:r>
            <w:r w:rsidR="0040410B" w:rsidRPr="0040410B">
              <w:rPr>
                <w:highlight w:val="black"/>
              </w:rPr>
              <w:t>&amp;&amp;&amp;&amp;</w:t>
            </w:r>
            <w:r w:rsidR="001D7C26">
              <w:rPr>
                <w:vertAlign w:val="superscript"/>
              </w:rPr>
              <w:t>1</w:t>
            </w:r>
          </w:p>
        </w:tc>
        <w:tc>
          <w:tcPr>
            <w:tcW w:w="516" w:type="pct"/>
          </w:tcPr>
          <w:p w14:paraId="6568DCE3" w14:textId="532AA928" w:rsidR="00606130" w:rsidRPr="00512D7B" w:rsidRDefault="00606130" w:rsidP="00B56578">
            <w:pPr>
              <w:pStyle w:val="COMTabletext"/>
              <w:jc w:val="center"/>
            </w:pPr>
            <w:r w:rsidRPr="00512D7B">
              <w:t>-</w:t>
            </w:r>
            <w:r w:rsidR="0040410B" w:rsidRPr="0040410B">
              <w:rPr>
                <w:highlight w:val="black"/>
              </w:rPr>
              <w:t>&amp;&amp;&amp;&amp;</w:t>
            </w:r>
            <w:r w:rsidRPr="00512D7B">
              <w:t>%</w:t>
            </w:r>
          </w:p>
        </w:tc>
      </w:tr>
      <w:tr w:rsidR="00606130" w:rsidRPr="00512D7B" w14:paraId="6CDF8672" w14:textId="77777777">
        <w:tc>
          <w:tcPr>
            <w:tcW w:w="2199" w:type="pct"/>
          </w:tcPr>
          <w:p w14:paraId="21323D36" w14:textId="77777777" w:rsidR="00606130" w:rsidRPr="00512D7B" w:rsidRDefault="00606130" w:rsidP="00B56578">
            <w:pPr>
              <w:pStyle w:val="COMTabletext"/>
            </w:pPr>
            <w:r w:rsidRPr="00512D7B">
              <w:t>3.5%</w:t>
            </w:r>
          </w:p>
        </w:tc>
        <w:tc>
          <w:tcPr>
            <w:tcW w:w="761" w:type="pct"/>
          </w:tcPr>
          <w:p w14:paraId="1F631152" w14:textId="1DAF098D"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369C32F5" w14:textId="77777777" w:rsidR="00606130" w:rsidRPr="00512D7B" w:rsidRDefault="00606130" w:rsidP="00B56578">
            <w:pPr>
              <w:pStyle w:val="COMTabletext"/>
              <w:jc w:val="center"/>
            </w:pPr>
            <w:r w:rsidRPr="00512D7B">
              <w:t>2.454</w:t>
            </w:r>
          </w:p>
        </w:tc>
        <w:tc>
          <w:tcPr>
            <w:tcW w:w="762" w:type="pct"/>
          </w:tcPr>
          <w:p w14:paraId="215BB560" w14:textId="3C6129AA" w:rsidR="00606130" w:rsidRPr="001D7C26" w:rsidRDefault="00606130" w:rsidP="00B56578">
            <w:pPr>
              <w:pStyle w:val="COMTabletext"/>
              <w:jc w:val="center"/>
              <w:rPr>
                <w:vertAlign w:val="superscript"/>
              </w:rPr>
            </w:pPr>
            <w:r w:rsidRPr="00512D7B">
              <w:t>$</w:t>
            </w:r>
            <w:r w:rsidR="0040410B" w:rsidRPr="0040410B">
              <w:rPr>
                <w:highlight w:val="black"/>
              </w:rPr>
              <w:t>&amp;&amp;&amp;&amp;</w:t>
            </w:r>
            <w:r w:rsidR="001D7C26">
              <w:rPr>
                <w:vertAlign w:val="superscript"/>
              </w:rPr>
              <w:t>1</w:t>
            </w:r>
          </w:p>
        </w:tc>
        <w:tc>
          <w:tcPr>
            <w:tcW w:w="516" w:type="pct"/>
          </w:tcPr>
          <w:p w14:paraId="5649EB95" w14:textId="61076D3D" w:rsidR="00606130" w:rsidRPr="00512D7B" w:rsidRDefault="00606130" w:rsidP="00B56578">
            <w:pPr>
              <w:pStyle w:val="COMTabletext"/>
              <w:jc w:val="center"/>
            </w:pPr>
            <w:r w:rsidRPr="00512D7B">
              <w:t>-</w:t>
            </w:r>
            <w:r w:rsidR="0040410B" w:rsidRPr="0040410B">
              <w:rPr>
                <w:highlight w:val="black"/>
              </w:rPr>
              <w:t>&amp;&amp;&amp;&amp;</w:t>
            </w:r>
            <w:r w:rsidRPr="00512D7B">
              <w:t>%</w:t>
            </w:r>
          </w:p>
        </w:tc>
      </w:tr>
      <w:tr w:rsidR="00606130" w:rsidRPr="00512D7B" w14:paraId="2BC204EA" w14:textId="77777777">
        <w:tc>
          <w:tcPr>
            <w:tcW w:w="5000" w:type="pct"/>
            <w:gridSpan w:val="5"/>
          </w:tcPr>
          <w:p w14:paraId="6DC7F9AB" w14:textId="084B7C9F" w:rsidR="00606130" w:rsidRPr="00512D7B" w:rsidRDefault="001030EA" w:rsidP="00B56578">
            <w:pPr>
              <w:pStyle w:val="COMTabletext"/>
              <w:rPr>
                <w:b/>
                <w:bCs w:val="0"/>
              </w:rPr>
            </w:pPr>
            <w:r w:rsidRPr="00512D7B">
              <w:rPr>
                <w:b/>
                <w:bCs w:val="0"/>
              </w:rPr>
              <w:t>BmBd</w:t>
            </w:r>
            <w:r w:rsidR="00606130" w:rsidRPr="00512D7B">
              <w:rPr>
                <w:b/>
                <w:bCs w:val="0"/>
              </w:rPr>
              <w:t xml:space="preserve"> overall survival extrapolation (base case: exponential function)</w:t>
            </w:r>
          </w:p>
        </w:tc>
      </w:tr>
      <w:tr w:rsidR="00606130" w:rsidRPr="00512D7B" w14:paraId="3E53EFFF" w14:textId="77777777">
        <w:tc>
          <w:tcPr>
            <w:tcW w:w="2199" w:type="pct"/>
          </w:tcPr>
          <w:p w14:paraId="5B6E3BD9" w14:textId="562998D7" w:rsidR="00606130" w:rsidRPr="00512D7B" w:rsidRDefault="00606130" w:rsidP="00B56578">
            <w:pPr>
              <w:pStyle w:val="COMTabletext"/>
            </w:pPr>
            <w:r w:rsidRPr="00512D7B">
              <w:t>Weibull</w:t>
            </w:r>
          </w:p>
        </w:tc>
        <w:tc>
          <w:tcPr>
            <w:tcW w:w="761" w:type="pct"/>
          </w:tcPr>
          <w:p w14:paraId="2EFAE9B2" w14:textId="347B9C1F"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6AE420C9" w14:textId="4A24A1A1" w:rsidR="00606130" w:rsidRPr="00512D7B" w:rsidRDefault="00606130" w:rsidP="00B56578">
            <w:pPr>
              <w:pStyle w:val="COMTabletext"/>
              <w:jc w:val="center"/>
            </w:pPr>
            <w:r w:rsidRPr="00512D7B">
              <w:t>2.497</w:t>
            </w:r>
          </w:p>
        </w:tc>
        <w:tc>
          <w:tcPr>
            <w:tcW w:w="762" w:type="pct"/>
          </w:tcPr>
          <w:p w14:paraId="4CCAB807" w14:textId="6024084B" w:rsidR="00606130" w:rsidRPr="001D7C26" w:rsidRDefault="00606130" w:rsidP="00B56578">
            <w:pPr>
              <w:pStyle w:val="COMTabletext"/>
              <w:jc w:val="center"/>
              <w:rPr>
                <w:vertAlign w:val="superscript"/>
              </w:rPr>
            </w:pPr>
            <w:r w:rsidRPr="00512D7B">
              <w:t>$</w:t>
            </w:r>
            <w:r w:rsidR="0040410B" w:rsidRPr="0040410B">
              <w:rPr>
                <w:highlight w:val="black"/>
              </w:rPr>
              <w:t>&amp;&amp;&amp;&amp;</w:t>
            </w:r>
            <w:r w:rsidR="001D7C26">
              <w:rPr>
                <w:vertAlign w:val="superscript"/>
              </w:rPr>
              <w:t>1</w:t>
            </w:r>
          </w:p>
        </w:tc>
        <w:tc>
          <w:tcPr>
            <w:tcW w:w="516" w:type="pct"/>
          </w:tcPr>
          <w:p w14:paraId="1802CBDF" w14:textId="1843D470" w:rsidR="00606130" w:rsidRPr="00512D7B" w:rsidRDefault="00606130" w:rsidP="00B56578">
            <w:pPr>
              <w:pStyle w:val="COMTabletext"/>
              <w:jc w:val="center"/>
            </w:pPr>
            <w:r w:rsidRPr="00512D7B">
              <w:t>-</w:t>
            </w:r>
            <w:r w:rsidR="0040410B" w:rsidRPr="0040410B">
              <w:rPr>
                <w:highlight w:val="black"/>
              </w:rPr>
              <w:t>&amp;&amp;&amp;&amp;</w:t>
            </w:r>
            <w:r w:rsidRPr="00512D7B">
              <w:t>%</w:t>
            </w:r>
          </w:p>
        </w:tc>
      </w:tr>
      <w:tr w:rsidR="00606130" w:rsidRPr="00512D7B" w14:paraId="030CED85" w14:textId="77777777">
        <w:tc>
          <w:tcPr>
            <w:tcW w:w="5000" w:type="pct"/>
            <w:gridSpan w:val="5"/>
          </w:tcPr>
          <w:p w14:paraId="4B1BC2CC" w14:textId="64B0F4E7" w:rsidR="00606130" w:rsidRPr="00512D7B" w:rsidRDefault="001C413B" w:rsidP="00B56578">
            <w:pPr>
              <w:pStyle w:val="COMTabletext"/>
              <w:rPr>
                <w:b/>
                <w:bCs w:val="0"/>
              </w:rPr>
            </w:pPr>
            <w:r w:rsidRPr="00512D7B">
              <w:rPr>
                <w:b/>
                <w:bCs w:val="0"/>
              </w:rPr>
              <w:t>DBd</w:t>
            </w:r>
            <w:r w:rsidR="00606130" w:rsidRPr="00512D7B">
              <w:rPr>
                <w:b/>
                <w:bCs w:val="0"/>
              </w:rPr>
              <w:t xml:space="preserve"> overall survival extrapolation (base case: exponential function)</w:t>
            </w:r>
          </w:p>
        </w:tc>
      </w:tr>
      <w:tr w:rsidR="00606130" w:rsidRPr="00512D7B" w14:paraId="11DDEAFA" w14:textId="77777777">
        <w:tc>
          <w:tcPr>
            <w:tcW w:w="2199" w:type="pct"/>
          </w:tcPr>
          <w:p w14:paraId="2200BFE4" w14:textId="77777777" w:rsidR="00606130" w:rsidRPr="00512D7B" w:rsidRDefault="00606130" w:rsidP="00B56578">
            <w:pPr>
              <w:pStyle w:val="COMTabletext"/>
            </w:pPr>
            <w:r w:rsidRPr="00512D7B">
              <w:t>Weibull</w:t>
            </w:r>
          </w:p>
        </w:tc>
        <w:tc>
          <w:tcPr>
            <w:tcW w:w="761" w:type="pct"/>
          </w:tcPr>
          <w:p w14:paraId="11CE46A1" w14:textId="23668C61"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31784CD4" w14:textId="77777777" w:rsidR="00606130" w:rsidRPr="00512D7B" w:rsidRDefault="00606130" w:rsidP="00B56578">
            <w:pPr>
              <w:pStyle w:val="COMTabletext"/>
              <w:jc w:val="center"/>
            </w:pPr>
            <w:r w:rsidRPr="00512D7B">
              <w:t>2.046</w:t>
            </w:r>
          </w:p>
        </w:tc>
        <w:tc>
          <w:tcPr>
            <w:tcW w:w="762" w:type="pct"/>
          </w:tcPr>
          <w:p w14:paraId="6F283FA6" w14:textId="7539661D" w:rsidR="00606130" w:rsidRPr="001D7C26" w:rsidRDefault="00606130" w:rsidP="00B56578">
            <w:pPr>
              <w:pStyle w:val="COMTabletext"/>
              <w:jc w:val="center"/>
              <w:rPr>
                <w:vertAlign w:val="superscript"/>
              </w:rPr>
            </w:pPr>
            <w:r w:rsidRPr="00512D7B">
              <w:t>$</w:t>
            </w:r>
            <w:r w:rsidR="0040410B" w:rsidRPr="0040410B">
              <w:rPr>
                <w:highlight w:val="black"/>
              </w:rPr>
              <w:t>&amp;&amp;&amp;&amp;</w:t>
            </w:r>
            <w:r w:rsidR="00A32C6A">
              <w:rPr>
                <w:vertAlign w:val="superscript"/>
              </w:rPr>
              <w:t>2</w:t>
            </w:r>
          </w:p>
        </w:tc>
        <w:tc>
          <w:tcPr>
            <w:tcW w:w="516" w:type="pct"/>
          </w:tcPr>
          <w:p w14:paraId="761EACF3" w14:textId="05FC8865" w:rsidR="00606130" w:rsidRPr="00512D7B" w:rsidRDefault="0040410B" w:rsidP="00B56578">
            <w:pPr>
              <w:pStyle w:val="COMTabletext"/>
              <w:jc w:val="center"/>
            </w:pPr>
            <w:r w:rsidRPr="0040410B">
              <w:rPr>
                <w:highlight w:val="black"/>
              </w:rPr>
              <w:t>&amp;&amp;&amp;&amp;</w:t>
            </w:r>
            <w:r w:rsidR="00606130" w:rsidRPr="00512D7B">
              <w:t>%</w:t>
            </w:r>
          </w:p>
        </w:tc>
      </w:tr>
      <w:tr w:rsidR="00606130" w:rsidRPr="00512D7B" w14:paraId="18ECC66F" w14:textId="77777777">
        <w:tc>
          <w:tcPr>
            <w:tcW w:w="2199" w:type="pct"/>
          </w:tcPr>
          <w:p w14:paraId="098C46AD" w14:textId="77777777" w:rsidR="00606130" w:rsidRPr="00512D7B" w:rsidRDefault="00606130" w:rsidP="00B56578">
            <w:pPr>
              <w:pStyle w:val="COMTabletext"/>
            </w:pPr>
            <w:r w:rsidRPr="00512D7B">
              <w:t>Generalised gamma</w:t>
            </w:r>
          </w:p>
        </w:tc>
        <w:tc>
          <w:tcPr>
            <w:tcW w:w="761" w:type="pct"/>
          </w:tcPr>
          <w:p w14:paraId="658003C2" w14:textId="341E0CB7" w:rsidR="00606130" w:rsidRPr="00512D7B" w:rsidRDefault="00606130" w:rsidP="00B56578">
            <w:pPr>
              <w:pStyle w:val="COMTabletext"/>
              <w:jc w:val="center"/>
            </w:pPr>
            <w:r w:rsidRPr="00512D7B">
              <w:t>$</w:t>
            </w:r>
            <w:r w:rsidR="0040410B" w:rsidRPr="0040410B">
              <w:rPr>
                <w:highlight w:val="black"/>
              </w:rPr>
              <w:t>&amp;&amp;&amp;&amp;</w:t>
            </w:r>
          </w:p>
        </w:tc>
        <w:tc>
          <w:tcPr>
            <w:tcW w:w="762" w:type="pct"/>
          </w:tcPr>
          <w:p w14:paraId="7B1D0A0E" w14:textId="77777777" w:rsidR="00606130" w:rsidRPr="00512D7B" w:rsidRDefault="00606130" w:rsidP="00B56578">
            <w:pPr>
              <w:pStyle w:val="COMTabletext"/>
              <w:jc w:val="center"/>
            </w:pPr>
            <w:r w:rsidRPr="00512D7B">
              <w:t>1.803</w:t>
            </w:r>
          </w:p>
        </w:tc>
        <w:tc>
          <w:tcPr>
            <w:tcW w:w="762" w:type="pct"/>
          </w:tcPr>
          <w:p w14:paraId="2417C076" w14:textId="7D3F473F" w:rsidR="00606130" w:rsidRPr="00DC6C3B" w:rsidRDefault="00606130"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3E3F2EA2" w14:textId="5016B915" w:rsidR="00606130" w:rsidRPr="00512D7B" w:rsidRDefault="0040410B" w:rsidP="00B56578">
            <w:pPr>
              <w:pStyle w:val="COMTabletext"/>
              <w:jc w:val="center"/>
            </w:pPr>
            <w:r w:rsidRPr="0040410B">
              <w:rPr>
                <w:highlight w:val="black"/>
              </w:rPr>
              <w:t>&amp;&amp;&amp;&amp;</w:t>
            </w:r>
            <w:r w:rsidR="00606130" w:rsidRPr="00512D7B">
              <w:t>%</w:t>
            </w:r>
          </w:p>
        </w:tc>
      </w:tr>
      <w:tr w:rsidR="001B5567" w:rsidRPr="00512D7B" w14:paraId="146BF96F" w14:textId="77777777" w:rsidTr="001B5567">
        <w:tc>
          <w:tcPr>
            <w:tcW w:w="5000" w:type="pct"/>
            <w:gridSpan w:val="5"/>
          </w:tcPr>
          <w:p w14:paraId="4826D2A6" w14:textId="4BA00ADF" w:rsidR="001B5567" w:rsidRPr="00512D7B" w:rsidRDefault="001030EA" w:rsidP="00B56578">
            <w:pPr>
              <w:pStyle w:val="COMTabletext"/>
            </w:pPr>
            <w:r w:rsidRPr="00512D7B">
              <w:rPr>
                <w:b/>
                <w:bCs w:val="0"/>
              </w:rPr>
              <w:t>BmBd</w:t>
            </w:r>
            <w:r w:rsidR="001B5567" w:rsidRPr="00512D7B">
              <w:rPr>
                <w:b/>
                <w:bCs w:val="0"/>
              </w:rPr>
              <w:t xml:space="preserve"> time to treatment discontinuation extrapolation (base case: lognormal function)</w:t>
            </w:r>
          </w:p>
        </w:tc>
      </w:tr>
      <w:tr w:rsidR="001B5567" w:rsidRPr="00512D7B" w14:paraId="7719AF53" w14:textId="77777777">
        <w:tc>
          <w:tcPr>
            <w:tcW w:w="2199" w:type="pct"/>
          </w:tcPr>
          <w:p w14:paraId="505F29C5" w14:textId="271BB24D" w:rsidR="001B5567" w:rsidRPr="00512D7B" w:rsidRDefault="001B5567" w:rsidP="00B56578">
            <w:pPr>
              <w:pStyle w:val="COMTabletext"/>
            </w:pPr>
            <w:r w:rsidRPr="00512D7B">
              <w:t>Loglogistic</w:t>
            </w:r>
          </w:p>
        </w:tc>
        <w:tc>
          <w:tcPr>
            <w:tcW w:w="761" w:type="pct"/>
          </w:tcPr>
          <w:p w14:paraId="6DD2576F" w14:textId="7F7F6DE6"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39713A9B" w14:textId="446070EA" w:rsidR="001B5567" w:rsidRPr="00512D7B" w:rsidRDefault="001B5567" w:rsidP="00B56578">
            <w:pPr>
              <w:pStyle w:val="COMTabletext"/>
              <w:jc w:val="center"/>
            </w:pPr>
            <w:r w:rsidRPr="00512D7B">
              <w:t>2.180</w:t>
            </w:r>
          </w:p>
        </w:tc>
        <w:tc>
          <w:tcPr>
            <w:tcW w:w="762" w:type="pct"/>
          </w:tcPr>
          <w:p w14:paraId="47E21AC2" w14:textId="09B7274B"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48296522" w14:textId="7488DD8E"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33A75BB9" w14:textId="77777777">
        <w:tc>
          <w:tcPr>
            <w:tcW w:w="2199" w:type="pct"/>
          </w:tcPr>
          <w:p w14:paraId="5982610D" w14:textId="09745DD7" w:rsidR="001B5567" w:rsidRPr="00512D7B" w:rsidRDefault="001B5567" w:rsidP="00B56578">
            <w:pPr>
              <w:pStyle w:val="COMTabletext"/>
            </w:pPr>
            <w:r w:rsidRPr="00512D7B">
              <w:t>Generalised gamma</w:t>
            </w:r>
          </w:p>
        </w:tc>
        <w:tc>
          <w:tcPr>
            <w:tcW w:w="761" w:type="pct"/>
          </w:tcPr>
          <w:p w14:paraId="79D21CF7" w14:textId="77B0EA9E"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0CAE297E" w14:textId="50725594" w:rsidR="001B5567" w:rsidRPr="00512D7B" w:rsidRDefault="001B5567" w:rsidP="00B56578">
            <w:pPr>
              <w:pStyle w:val="COMTabletext"/>
              <w:jc w:val="center"/>
            </w:pPr>
            <w:r w:rsidRPr="00512D7B">
              <w:t>2.180</w:t>
            </w:r>
          </w:p>
        </w:tc>
        <w:tc>
          <w:tcPr>
            <w:tcW w:w="762" w:type="pct"/>
          </w:tcPr>
          <w:p w14:paraId="107A80B2" w14:textId="1319B7F0"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46A7EFCD" w14:textId="3ABD4C86"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65CF5091" w14:textId="77777777">
        <w:tc>
          <w:tcPr>
            <w:tcW w:w="2199" w:type="pct"/>
          </w:tcPr>
          <w:p w14:paraId="5D68DCE1" w14:textId="3A2FBC94" w:rsidR="001B5567" w:rsidRPr="00512D7B" w:rsidRDefault="001B5567" w:rsidP="00B56578">
            <w:pPr>
              <w:pStyle w:val="COMTabletext"/>
            </w:pPr>
            <w:r w:rsidRPr="00512D7B">
              <w:t>Weibull</w:t>
            </w:r>
          </w:p>
        </w:tc>
        <w:tc>
          <w:tcPr>
            <w:tcW w:w="761" w:type="pct"/>
          </w:tcPr>
          <w:p w14:paraId="1AEE8346" w14:textId="6BDD50DC"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4B2EDE9C" w14:textId="06A2827A" w:rsidR="001B5567" w:rsidRPr="00512D7B" w:rsidRDefault="001B5567" w:rsidP="00B56578">
            <w:pPr>
              <w:pStyle w:val="COMTabletext"/>
              <w:jc w:val="center"/>
            </w:pPr>
            <w:r w:rsidRPr="00512D7B">
              <w:t>2.180</w:t>
            </w:r>
          </w:p>
        </w:tc>
        <w:tc>
          <w:tcPr>
            <w:tcW w:w="762" w:type="pct"/>
          </w:tcPr>
          <w:p w14:paraId="601ED9C4" w14:textId="0E9FD108" w:rsidR="001B5567" w:rsidRPr="00DD7A85" w:rsidRDefault="001B5567" w:rsidP="00B56578">
            <w:pPr>
              <w:pStyle w:val="COMTabletext"/>
              <w:jc w:val="center"/>
              <w:rPr>
                <w:vertAlign w:val="superscript"/>
              </w:rPr>
            </w:pPr>
            <w:r w:rsidRPr="00512D7B">
              <w:t>$</w:t>
            </w:r>
            <w:r w:rsidR="0040410B" w:rsidRPr="0040410B">
              <w:rPr>
                <w:highlight w:val="black"/>
              </w:rPr>
              <w:t>&amp;&amp;&amp;&amp;</w:t>
            </w:r>
            <w:r w:rsidR="00DD7A85">
              <w:rPr>
                <w:vertAlign w:val="superscript"/>
              </w:rPr>
              <w:t>1</w:t>
            </w:r>
          </w:p>
        </w:tc>
        <w:tc>
          <w:tcPr>
            <w:tcW w:w="516" w:type="pct"/>
          </w:tcPr>
          <w:p w14:paraId="1A951EE7" w14:textId="6A41A3AC" w:rsidR="001B5567" w:rsidRPr="00512D7B" w:rsidRDefault="001B5567" w:rsidP="00B56578">
            <w:pPr>
              <w:pStyle w:val="COMTabletext"/>
              <w:jc w:val="center"/>
            </w:pPr>
            <w:r w:rsidRPr="00512D7B">
              <w:t>-</w:t>
            </w:r>
            <w:r w:rsidR="0040410B" w:rsidRPr="0040410B">
              <w:rPr>
                <w:highlight w:val="black"/>
              </w:rPr>
              <w:t>&amp;&amp;&amp;&amp;</w:t>
            </w:r>
            <w:r w:rsidRPr="00512D7B">
              <w:t>%</w:t>
            </w:r>
          </w:p>
        </w:tc>
      </w:tr>
      <w:tr w:rsidR="001B5567" w:rsidRPr="00512D7B" w14:paraId="0D49D24F" w14:textId="77777777" w:rsidTr="001B5567">
        <w:tc>
          <w:tcPr>
            <w:tcW w:w="5000" w:type="pct"/>
            <w:gridSpan w:val="5"/>
          </w:tcPr>
          <w:p w14:paraId="5463A1FA" w14:textId="59C40346" w:rsidR="001B5567" w:rsidRPr="00512D7B" w:rsidRDefault="001C413B" w:rsidP="00B56578">
            <w:pPr>
              <w:pStyle w:val="COMTabletext"/>
              <w:rPr>
                <w:b/>
                <w:bCs w:val="0"/>
              </w:rPr>
            </w:pPr>
            <w:r w:rsidRPr="00512D7B">
              <w:rPr>
                <w:b/>
                <w:bCs w:val="0"/>
              </w:rPr>
              <w:t>DBd</w:t>
            </w:r>
            <w:r w:rsidR="001B5567" w:rsidRPr="00512D7B">
              <w:rPr>
                <w:b/>
                <w:bCs w:val="0"/>
              </w:rPr>
              <w:t xml:space="preserve"> time to treatment discontinuation extrapolation (base case: loglogistic function)</w:t>
            </w:r>
          </w:p>
        </w:tc>
      </w:tr>
      <w:tr w:rsidR="001B5567" w:rsidRPr="00512D7B" w14:paraId="16D1597A" w14:textId="77777777">
        <w:tc>
          <w:tcPr>
            <w:tcW w:w="2199" w:type="pct"/>
          </w:tcPr>
          <w:p w14:paraId="42F7D732" w14:textId="2CAB8EEC" w:rsidR="001B5567" w:rsidRPr="00512D7B" w:rsidRDefault="001B5567" w:rsidP="00B56578">
            <w:pPr>
              <w:pStyle w:val="COMTabletext"/>
            </w:pPr>
            <w:r w:rsidRPr="00512D7B">
              <w:t>Exponential</w:t>
            </w:r>
          </w:p>
        </w:tc>
        <w:tc>
          <w:tcPr>
            <w:tcW w:w="761" w:type="pct"/>
          </w:tcPr>
          <w:p w14:paraId="39077E65" w14:textId="372295E6"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6F88AB60" w14:textId="19F3ECC0" w:rsidR="001B5567" w:rsidRPr="00512D7B" w:rsidRDefault="001B5567" w:rsidP="00B56578">
            <w:pPr>
              <w:pStyle w:val="COMTabletext"/>
              <w:jc w:val="center"/>
            </w:pPr>
            <w:r w:rsidRPr="00512D7B">
              <w:t>2.180</w:t>
            </w:r>
          </w:p>
        </w:tc>
        <w:tc>
          <w:tcPr>
            <w:tcW w:w="762" w:type="pct"/>
          </w:tcPr>
          <w:p w14:paraId="6923750A" w14:textId="7C80751F"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104DE185" w14:textId="70A73BF5"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45EC2FA5" w14:textId="77777777">
        <w:tc>
          <w:tcPr>
            <w:tcW w:w="2199" w:type="pct"/>
          </w:tcPr>
          <w:p w14:paraId="5B5A43DD" w14:textId="2D9BB117" w:rsidR="001B5567" w:rsidRPr="00512D7B" w:rsidRDefault="001B5567" w:rsidP="00B56578">
            <w:pPr>
              <w:pStyle w:val="COMTabletext"/>
            </w:pPr>
            <w:r w:rsidRPr="00512D7B">
              <w:t>Weibull</w:t>
            </w:r>
          </w:p>
        </w:tc>
        <w:tc>
          <w:tcPr>
            <w:tcW w:w="761" w:type="pct"/>
          </w:tcPr>
          <w:p w14:paraId="30EA5C3D" w14:textId="4BFF72DD"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29E170AB" w14:textId="693514A1" w:rsidR="001B5567" w:rsidRPr="00512D7B" w:rsidRDefault="001B5567" w:rsidP="00B56578">
            <w:pPr>
              <w:pStyle w:val="COMTabletext"/>
              <w:jc w:val="center"/>
            </w:pPr>
            <w:r w:rsidRPr="00512D7B">
              <w:t>2.180</w:t>
            </w:r>
          </w:p>
        </w:tc>
        <w:tc>
          <w:tcPr>
            <w:tcW w:w="762" w:type="pct"/>
          </w:tcPr>
          <w:p w14:paraId="48AC2829" w14:textId="21C1AF99"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0F8D9725" w14:textId="513A5479"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0DD73ADC" w14:textId="77777777">
        <w:tc>
          <w:tcPr>
            <w:tcW w:w="2199" w:type="pct"/>
          </w:tcPr>
          <w:p w14:paraId="6F5F5074" w14:textId="2EFC89E1" w:rsidR="001B5567" w:rsidRPr="00512D7B" w:rsidRDefault="001B5567" w:rsidP="00B56578">
            <w:pPr>
              <w:pStyle w:val="COMTabletext"/>
            </w:pPr>
            <w:r w:rsidRPr="00512D7B">
              <w:t>Generalised gamma</w:t>
            </w:r>
          </w:p>
        </w:tc>
        <w:tc>
          <w:tcPr>
            <w:tcW w:w="761" w:type="pct"/>
          </w:tcPr>
          <w:p w14:paraId="369E5F16" w14:textId="141688E9"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74B2AD06" w14:textId="055A5AAA" w:rsidR="001B5567" w:rsidRPr="00512D7B" w:rsidRDefault="001B5567" w:rsidP="00B56578">
            <w:pPr>
              <w:pStyle w:val="COMTabletext"/>
              <w:jc w:val="center"/>
            </w:pPr>
            <w:r w:rsidRPr="00512D7B">
              <w:t>2.180</w:t>
            </w:r>
          </w:p>
        </w:tc>
        <w:tc>
          <w:tcPr>
            <w:tcW w:w="762" w:type="pct"/>
          </w:tcPr>
          <w:p w14:paraId="05A4BDD0" w14:textId="6DEA796C"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1C128724" w14:textId="75D57466"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0FEA4BEF" w14:textId="77777777">
        <w:tc>
          <w:tcPr>
            <w:tcW w:w="5000" w:type="pct"/>
            <w:gridSpan w:val="5"/>
          </w:tcPr>
          <w:p w14:paraId="429CAECA" w14:textId="054F3F44" w:rsidR="001B5567" w:rsidRPr="00512D7B" w:rsidRDefault="001B5567" w:rsidP="00B56578">
            <w:pPr>
              <w:pStyle w:val="COMTabletext"/>
              <w:rPr>
                <w:b/>
                <w:bCs w:val="0"/>
              </w:rPr>
            </w:pPr>
            <w:r w:rsidRPr="00512D7B">
              <w:rPr>
                <w:b/>
                <w:bCs w:val="0"/>
              </w:rPr>
              <w:t xml:space="preserve">Utilities (base case: </w:t>
            </w:r>
            <w:r w:rsidRPr="00A32C6A">
              <w:rPr>
                <w:b/>
                <w:bCs w:val="0"/>
              </w:rPr>
              <w:t>lenalidomide-exposed subgroup – progression-free on treatment: 0.7793; progression-free off treatment: 0.7751; post-progression: 0.7431)</w:t>
            </w:r>
            <w:bookmarkStart w:id="60" w:name="_Ref221032714"/>
            <w:r w:rsidR="00A32C6A">
              <w:rPr>
                <w:rStyle w:val="FootnoteReference"/>
                <w:b/>
                <w:bCs w:val="0"/>
              </w:rPr>
              <w:footnoteReference w:id="19"/>
            </w:r>
            <w:bookmarkEnd w:id="60"/>
            <w:r w:rsidRPr="00512D7B">
              <w:rPr>
                <w:b/>
                <w:bCs w:val="0"/>
              </w:rPr>
              <w:t xml:space="preserve"> </w:t>
            </w:r>
          </w:p>
        </w:tc>
      </w:tr>
      <w:tr w:rsidR="001B5567" w:rsidRPr="00512D7B" w14:paraId="338397A9" w14:textId="77777777">
        <w:tc>
          <w:tcPr>
            <w:tcW w:w="2199" w:type="pct"/>
          </w:tcPr>
          <w:p w14:paraId="2A6FCD6B" w14:textId="7B64F2A3" w:rsidR="001B5567" w:rsidRPr="00512D7B" w:rsidRDefault="001B5567" w:rsidP="00B56578">
            <w:pPr>
              <w:pStyle w:val="COMTabletext"/>
            </w:pPr>
            <w:r w:rsidRPr="00512D7B">
              <w:t>ITT population (progression-free on treatment: 0.7831; progression-free off treatment: 0.7837; post-progression: 0.7568)</w:t>
            </w:r>
          </w:p>
        </w:tc>
        <w:tc>
          <w:tcPr>
            <w:tcW w:w="761" w:type="pct"/>
            <w:vAlign w:val="center"/>
          </w:tcPr>
          <w:p w14:paraId="1E284130" w14:textId="4D6F7A4F" w:rsidR="001B5567" w:rsidRPr="00512D7B" w:rsidRDefault="001B5567" w:rsidP="00B56578">
            <w:pPr>
              <w:pStyle w:val="COMTabletext"/>
              <w:jc w:val="center"/>
            </w:pPr>
            <w:r w:rsidRPr="00512D7B">
              <w:t>$</w:t>
            </w:r>
            <w:r w:rsidR="0040410B" w:rsidRPr="0040410B">
              <w:rPr>
                <w:highlight w:val="black"/>
              </w:rPr>
              <w:t>&amp;&amp;&amp;&amp;</w:t>
            </w:r>
          </w:p>
        </w:tc>
        <w:tc>
          <w:tcPr>
            <w:tcW w:w="762" w:type="pct"/>
            <w:vAlign w:val="center"/>
          </w:tcPr>
          <w:p w14:paraId="09599493" w14:textId="010BB983" w:rsidR="001B5567" w:rsidRPr="00512D7B" w:rsidRDefault="001B5567" w:rsidP="00B56578">
            <w:pPr>
              <w:pStyle w:val="COMTabletext"/>
              <w:jc w:val="center"/>
            </w:pPr>
            <w:r w:rsidRPr="00512D7B">
              <w:t>2.208</w:t>
            </w:r>
          </w:p>
        </w:tc>
        <w:tc>
          <w:tcPr>
            <w:tcW w:w="762" w:type="pct"/>
            <w:vAlign w:val="center"/>
          </w:tcPr>
          <w:p w14:paraId="4CA57F7A" w14:textId="3C50DFA0" w:rsidR="001B5567" w:rsidRPr="00DD7A85" w:rsidRDefault="001B5567" w:rsidP="00B56578">
            <w:pPr>
              <w:pStyle w:val="COMTabletext"/>
              <w:jc w:val="center"/>
              <w:rPr>
                <w:vertAlign w:val="superscript"/>
              </w:rPr>
            </w:pPr>
            <w:r w:rsidRPr="00512D7B">
              <w:t>$</w:t>
            </w:r>
            <w:r w:rsidR="0040410B" w:rsidRPr="0040410B">
              <w:rPr>
                <w:highlight w:val="black"/>
              </w:rPr>
              <w:t>&amp;&amp;&amp;&amp;</w:t>
            </w:r>
            <w:r w:rsidR="00DD7A85">
              <w:rPr>
                <w:vertAlign w:val="superscript"/>
              </w:rPr>
              <w:t>1</w:t>
            </w:r>
          </w:p>
        </w:tc>
        <w:tc>
          <w:tcPr>
            <w:tcW w:w="516" w:type="pct"/>
            <w:vAlign w:val="center"/>
          </w:tcPr>
          <w:p w14:paraId="04184E61" w14:textId="5F00FF2B" w:rsidR="001B5567" w:rsidRPr="00512D7B" w:rsidRDefault="001B5567" w:rsidP="00B56578">
            <w:pPr>
              <w:pStyle w:val="COMTabletext"/>
              <w:jc w:val="center"/>
            </w:pPr>
            <w:r w:rsidRPr="00512D7B">
              <w:t>-</w:t>
            </w:r>
            <w:r w:rsidR="0040410B" w:rsidRPr="0040410B">
              <w:rPr>
                <w:highlight w:val="black"/>
              </w:rPr>
              <w:t>&amp;&amp;&amp;&amp;</w:t>
            </w:r>
            <w:r w:rsidRPr="00512D7B">
              <w:t>%</w:t>
            </w:r>
          </w:p>
        </w:tc>
      </w:tr>
      <w:tr w:rsidR="001B5567" w:rsidRPr="00512D7B" w14:paraId="5E6A1D75" w14:textId="77777777">
        <w:tc>
          <w:tcPr>
            <w:tcW w:w="2199" w:type="pct"/>
          </w:tcPr>
          <w:p w14:paraId="20D2AE3C" w14:textId="21957970" w:rsidR="001B5567" w:rsidRPr="00512D7B" w:rsidRDefault="001B5567" w:rsidP="00B56578">
            <w:pPr>
              <w:pStyle w:val="COMTabletext"/>
            </w:pPr>
            <w:r w:rsidRPr="00512D7B">
              <w:t>Post-progression 0.70</w:t>
            </w:r>
          </w:p>
        </w:tc>
        <w:tc>
          <w:tcPr>
            <w:tcW w:w="761" w:type="pct"/>
          </w:tcPr>
          <w:p w14:paraId="4D730060" w14:textId="67B1E3F8"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4FE22EC7" w14:textId="48733367" w:rsidR="001B5567" w:rsidRPr="00512D7B" w:rsidRDefault="001B5567" w:rsidP="00B56578">
            <w:pPr>
              <w:pStyle w:val="COMTabletext"/>
              <w:jc w:val="center"/>
            </w:pPr>
            <w:r w:rsidRPr="00512D7B">
              <w:t>2.129</w:t>
            </w:r>
          </w:p>
        </w:tc>
        <w:tc>
          <w:tcPr>
            <w:tcW w:w="762" w:type="pct"/>
          </w:tcPr>
          <w:p w14:paraId="33296235" w14:textId="0ABB9331"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vAlign w:val="center"/>
          </w:tcPr>
          <w:p w14:paraId="55A963E5" w14:textId="7F5090A9"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2B39B745" w14:textId="77777777">
        <w:tc>
          <w:tcPr>
            <w:tcW w:w="5000" w:type="pct"/>
            <w:gridSpan w:val="5"/>
          </w:tcPr>
          <w:p w14:paraId="41350CD2" w14:textId="6BFCC8F0" w:rsidR="001B5567" w:rsidRPr="00512D7B" w:rsidRDefault="001B5567" w:rsidP="00B56578">
            <w:pPr>
              <w:pStyle w:val="COMTabletext"/>
              <w:rPr>
                <w:b/>
                <w:bCs w:val="0"/>
              </w:rPr>
            </w:pPr>
            <w:r w:rsidRPr="00512D7B">
              <w:rPr>
                <w:b/>
                <w:bCs w:val="0"/>
              </w:rPr>
              <w:t>Daratumumab dose intensity (base case: 97%)</w:t>
            </w:r>
          </w:p>
        </w:tc>
      </w:tr>
      <w:tr w:rsidR="001B5567" w:rsidRPr="00512D7B" w14:paraId="09854019" w14:textId="77777777">
        <w:tc>
          <w:tcPr>
            <w:tcW w:w="2199" w:type="pct"/>
          </w:tcPr>
          <w:p w14:paraId="6038A9E1" w14:textId="4BEC90F0" w:rsidR="001B5567" w:rsidRPr="00512D7B" w:rsidRDefault="001B5567" w:rsidP="00B56578">
            <w:pPr>
              <w:pStyle w:val="COMTabletext"/>
            </w:pPr>
            <w:r w:rsidRPr="00512D7B">
              <w:t>92%</w:t>
            </w:r>
          </w:p>
        </w:tc>
        <w:tc>
          <w:tcPr>
            <w:tcW w:w="761" w:type="pct"/>
          </w:tcPr>
          <w:p w14:paraId="78DA1871" w14:textId="0A884406"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61E8A2FB" w14:textId="71AA06E7" w:rsidR="001B5567" w:rsidRPr="00512D7B" w:rsidRDefault="001B5567" w:rsidP="00B56578">
            <w:pPr>
              <w:pStyle w:val="COMTabletext"/>
              <w:jc w:val="center"/>
            </w:pPr>
            <w:r w:rsidRPr="00512D7B">
              <w:t>2.180</w:t>
            </w:r>
          </w:p>
        </w:tc>
        <w:tc>
          <w:tcPr>
            <w:tcW w:w="762" w:type="pct"/>
          </w:tcPr>
          <w:p w14:paraId="34C161CF" w14:textId="0E15222F"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79D207E1" w14:textId="646A9F75"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250788DC" w14:textId="77777777">
        <w:tc>
          <w:tcPr>
            <w:tcW w:w="2199" w:type="pct"/>
          </w:tcPr>
          <w:p w14:paraId="57F8AE36" w14:textId="228C6CA7" w:rsidR="001B5567" w:rsidRPr="00512D7B" w:rsidRDefault="001B5567" w:rsidP="00B56578">
            <w:pPr>
              <w:pStyle w:val="COMTabletext"/>
            </w:pPr>
            <w:r w:rsidRPr="00512D7B">
              <w:t>87%</w:t>
            </w:r>
          </w:p>
        </w:tc>
        <w:tc>
          <w:tcPr>
            <w:tcW w:w="761" w:type="pct"/>
          </w:tcPr>
          <w:p w14:paraId="7A40311E" w14:textId="282E0E1E"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0BA9547F" w14:textId="4E5C331D" w:rsidR="001B5567" w:rsidRPr="00512D7B" w:rsidRDefault="001B5567" w:rsidP="00B56578">
            <w:pPr>
              <w:pStyle w:val="COMTabletext"/>
              <w:jc w:val="center"/>
            </w:pPr>
            <w:r w:rsidRPr="00512D7B">
              <w:t>2.180</w:t>
            </w:r>
          </w:p>
        </w:tc>
        <w:tc>
          <w:tcPr>
            <w:tcW w:w="762" w:type="pct"/>
          </w:tcPr>
          <w:p w14:paraId="7A1B44B4" w14:textId="7D95AD6A"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0327B2EB" w14:textId="691A4D59"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609188BF" w14:textId="77777777">
        <w:tc>
          <w:tcPr>
            <w:tcW w:w="5000" w:type="pct"/>
            <w:gridSpan w:val="5"/>
          </w:tcPr>
          <w:p w14:paraId="2D1A2F33" w14:textId="3BB1BD96" w:rsidR="001B5567" w:rsidRPr="00512D7B" w:rsidRDefault="001B5567" w:rsidP="00B56578">
            <w:pPr>
              <w:pStyle w:val="COMTabletext"/>
            </w:pPr>
            <w:r w:rsidRPr="00512D7B">
              <w:rPr>
                <w:b/>
                <w:bCs w:val="0"/>
              </w:rPr>
              <w:t xml:space="preserve">Weekly health state costs </w:t>
            </w:r>
            <w:r w:rsidRPr="00374092">
              <w:rPr>
                <w:b/>
                <w:bCs w:val="0"/>
              </w:rPr>
              <w:t xml:space="preserve">(base case: </w:t>
            </w:r>
            <w:r w:rsidR="001030EA" w:rsidRPr="00374092">
              <w:rPr>
                <w:b/>
                <w:bCs w:val="0"/>
              </w:rPr>
              <w:t>BmBd</w:t>
            </w:r>
            <w:r w:rsidRPr="00374092">
              <w:rPr>
                <w:b/>
                <w:bCs w:val="0"/>
              </w:rPr>
              <w:t xml:space="preserve"> on treatment $</w:t>
            </w:r>
            <w:r w:rsidR="0040410B" w:rsidRPr="0040410B">
              <w:rPr>
                <w:b/>
                <w:bCs w:val="0"/>
                <w:highlight w:val="black"/>
              </w:rPr>
              <w:t>&amp;&amp;&amp;&amp;</w:t>
            </w:r>
            <w:r w:rsidRPr="00374092">
              <w:rPr>
                <w:b/>
                <w:bCs w:val="0"/>
              </w:rPr>
              <w:t xml:space="preserve">, </w:t>
            </w:r>
            <w:r w:rsidR="001C413B" w:rsidRPr="00374092">
              <w:rPr>
                <w:b/>
                <w:bCs w:val="0"/>
              </w:rPr>
              <w:t>DBd</w:t>
            </w:r>
            <w:r w:rsidRPr="00374092">
              <w:rPr>
                <w:b/>
                <w:bCs w:val="0"/>
              </w:rPr>
              <w:t xml:space="preserve"> on treatment $74.83; pre-progression off treatment and progressed disease: $74.83)</w:t>
            </w:r>
            <w:r w:rsidR="00816DAA" w:rsidDel="00816DAA">
              <w:rPr>
                <w:b/>
                <w:bCs w:val="0"/>
              </w:rPr>
              <w:t xml:space="preserve"> </w:t>
            </w:r>
          </w:p>
        </w:tc>
      </w:tr>
      <w:tr w:rsidR="001B5567" w:rsidRPr="00512D7B" w14:paraId="03AA48AB" w14:textId="77777777">
        <w:tc>
          <w:tcPr>
            <w:tcW w:w="2199" w:type="pct"/>
          </w:tcPr>
          <w:p w14:paraId="4A3803B1" w14:textId="50853AEB" w:rsidR="001B5567" w:rsidRPr="00512D7B" w:rsidRDefault="001B5567" w:rsidP="00B56578">
            <w:pPr>
              <w:pStyle w:val="COMTabletext"/>
            </w:pPr>
            <w:r w:rsidRPr="00512D7B">
              <w:t>Doubled</w:t>
            </w:r>
          </w:p>
        </w:tc>
        <w:tc>
          <w:tcPr>
            <w:tcW w:w="761" w:type="pct"/>
          </w:tcPr>
          <w:p w14:paraId="61F28440" w14:textId="4E63C439"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2FC87B1F" w14:textId="314AFA28" w:rsidR="001B5567" w:rsidRPr="00512D7B" w:rsidRDefault="001B5567" w:rsidP="00B56578">
            <w:pPr>
              <w:pStyle w:val="COMTabletext"/>
              <w:jc w:val="center"/>
            </w:pPr>
            <w:r w:rsidRPr="00512D7B">
              <w:t>2.180</w:t>
            </w:r>
          </w:p>
        </w:tc>
        <w:tc>
          <w:tcPr>
            <w:tcW w:w="762" w:type="pct"/>
          </w:tcPr>
          <w:p w14:paraId="39280F02" w14:textId="11BEE264"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50D482C9" w14:textId="0D8B4BDE" w:rsidR="001B5567" w:rsidRPr="00512D7B" w:rsidRDefault="0040410B" w:rsidP="00B56578">
            <w:pPr>
              <w:pStyle w:val="COMTabletext"/>
              <w:jc w:val="center"/>
            </w:pPr>
            <w:r w:rsidRPr="0040410B">
              <w:rPr>
                <w:highlight w:val="black"/>
              </w:rPr>
              <w:t>&amp;&amp;&amp;&amp;</w:t>
            </w:r>
            <w:r w:rsidR="001B5567" w:rsidRPr="00512D7B">
              <w:t>%</w:t>
            </w:r>
          </w:p>
        </w:tc>
      </w:tr>
      <w:tr w:rsidR="001B5567" w:rsidRPr="00512D7B" w14:paraId="5F220F32" w14:textId="77777777">
        <w:tc>
          <w:tcPr>
            <w:tcW w:w="5000" w:type="pct"/>
            <w:gridSpan w:val="5"/>
          </w:tcPr>
          <w:p w14:paraId="043422A7" w14:textId="25F04D6A" w:rsidR="001B5567" w:rsidRPr="00512D7B" w:rsidRDefault="001B5567" w:rsidP="00B56578">
            <w:pPr>
              <w:pStyle w:val="COMTabletext"/>
              <w:rPr>
                <w:b/>
                <w:bCs w:val="0"/>
              </w:rPr>
            </w:pPr>
            <w:r w:rsidRPr="00512D7B">
              <w:rPr>
                <w:b/>
                <w:bCs w:val="0"/>
              </w:rPr>
              <w:t xml:space="preserve">Terminal care cost (base </w:t>
            </w:r>
            <w:r w:rsidRPr="00DD1123">
              <w:rPr>
                <w:b/>
                <w:bCs w:val="0"/>
              </w:rPr>
              <w:t>case: $</w:t>
            </w:r>
            <w:r w:rsidRPr="00DD1123">
              <w:rPr>
                <w:b/>
              </w:rPr>
              <w:t>53,94</w:t>
            </w:r>
            <w:r w:rsidR="00303169" w:rsidRPr="00DD1123">
              <w:rPr>
                <w:b/>
              </w:rPr>
              <w:t>5</w:t>
            </w:r>
            <w:r w:rsidRPr="00DD1123">
              <w:rPr>
                <w:b/>
                <w:bCs w:val="0"/>
              </w:rPr>
              <w:t>)</w:t>
            </w:r>
          </w:p>
        </w:tc>
      </w:tr>
      <w:tr w:rsidR="001B5567" w:rsidRPr="00512D7B" w14:paraId="2875B7A7" w14:textId="77777777">
        <w:tc>
          <w:tcPr>
            <w:tcW w:w="2199" w:type="pct"/>
          </w:tcPr>
          <w:p w14:paraId="0FD9A6F4" w14:textId="77777777" w:rsidR="001B5567" w:rsidRPr="00512D7B" w:rsidRDefault="001B5567" w:rsidP="00B56578">
            <w:pPr>
              <w:pStyle w:val="COMTabletext"/>
            </w:pPr>
            <w:r w:rsidRPr="00512D7B">
              <w:t>Removed</w:t>
            </w:r>
          </w:p>
        </w:tc>
        <w:tc>
          <w:tcPr>
            <w:tcW w:w="761" w:type="pct"/>
          </w:tcPr>
          <w:p w14:paraId="2BE6974A" w14:textId="3D9BFDEA" w:rsidR="001B5567" w:rsidRPr="00512D7B" w:rsidRDefault="001B5567" w:rsidP="00B56578">
            <w:pPr>
              <w:pStyle w:val="COMTabletext"/>
              <w:jc w:val="center"/>
            </w:pPr>
            <w:r w:rsidRPr="00512D7B">
              <w:t>$</w:t>
            </w:r>
            <w:r w:rsidR="0040410B" w:rsidRPr="0040410B">
              <w:rPr>
                <w:highlight w:val="black"/>
              </w:rPr>
              <w:t>&amp;&amp;&amp;&amp;</w:t>
            </w:r>
          </w:p>
        </w:tc>
        <w:tc>
          <w:tcPr>
            <w:tcW w:w="762" w:type="pct"/>
          </w:tcPr>
          <w:p w14:paraId="4846B1A6" w14:textId="77777777" w:rsidR="001B5567" w:rsidRPr="00512D7B" w:rsidRDefault="001B5567" w:rsidP="00B56578">
            <w:pPr>
              <w:pStyle w:val="COMTabletext"/>
              <w:jc w:val="center"/>
            </w:pPr>
            <w:r w:rsidRPr="00512D7B">
              <w:t>2.180</w:t>
            </w:r>
          </w:p>
        </w:tc>
        <w:tc>
          <w:tcPr>
            <w:tcW w:w="762" w:type="pct"/>
          </w:tcPr>
          <w:p w14:paraId="5B19F6E2" w14:textId="65013896" w:rsidR="001B5567" w:rsidRPr="00DC6C3B" w:rsidRDefault="001B5567" w:rsidP="00B56578">
            <w:pPr>
              <w:pStyle w:val="COMTabletext"/>
              <w:jc w:val="center"/>
              <w:rPr>
                <w:vertAlign w:val="superscript"/>
              </w:rPr>
            </w:pPr>
            <w:r w:rsidRPr="00512D7B">
              <w:t>$</w:t>
            </w:r>
            <w:r w:rsidR="0040410B" w:rsidRPr="0040410B">
              <w:rPr>
                <w:highlight w:val="black"/>
              </w:rPr>
              <w:t>&amp;&amp;&amp;&amp;</w:t>
            </w:r>
            <w:r w:rsidR="00DC6C3B">
              <w:rPr>
                <w:vertAlign w:val="superscript"/>
              </w:rPr>
              <w:t>2</w:t>
            </w:r>
          </w:p>
        </w:tc>
        <w:tc>
          <w:tcPr>
            <w:tcW w:w="516" w:type="pct"/>
          </w:tcPr>
          <w:p w14:paraId="0E21242E" w14:textId="36E9CE8B" w:rsidR="001B5567" w:rsidRPr="00512D7B" w:rsidRDefault="0040410B" w:rsidP="00B56578">
            <w:pPr>
              <w:pStyle w:val="COMTabletext"/>
              <w:jc w:val="center"/>
            </w:pPr>
            <w:r w:rsidRPr="0040410B">
              <w:rPr>
                <w:highlight w:val="black"/>
              </w:rPr>
              <w:t>&amp;&amp;&amp;&amp;</w:t>
            </w:r>
            <w:r w:rsidR="001B5567" w:rsidRPr="00512D7B">
              <w:t>%</w:t>
            </w:r>
          </w:p>
        </w:tc>
      </w:tr>
    </w:tbl>
    <w:p w14:paraId="45598641" w14:textId="599F65DB" w:rsidR="00991422" w:rsidRPr="00512D7B" w:rsidRDefault="00991422" w:rsidP="00B56578">
      <w:pPr>
        <w:pStyle w:val="COMTablefooter"/>
        <w:keepNext/>
      </w:pPr>
      <w:r w:rsidRPr="00512D7B">
        <w:t>Source: Table 3-44, p169 of the submission; additional sensitivity analyses conducted during the evaluation using the Section 3 economic model Excel workbook.</w:t>
      </w:r>
    </w:p>
    <w:p w14:paraId="54E509A8" w14:textId="77777777" w:rsidR="009F17E3" w:rsidRDefault="00991422" w:rsidP="00B56578">
      <w:pPr>
        <w:pStyle w:val="COMTablefooter"/>
        <w:keepNext/>
        <w:rPr>
          <w:i/>
          <w:szCs w:val="18"/>
        </w:rPr>
      </w:pPr>
      <w:r w:rsidRPr="00512D7B">
        <w:t xml:space="preserve">Abbreviations: </w:t>
      </w:r>
      <w:r w:rsidR="001030EA" w:rsidRPr="00512D7B">
        <w:t>BmBd</w:t>
      </w:r>
      <w:r w:rsidRPr="00512D7B">
        <w:t xml:space="preserve">, belantamab in combination with bortezomib and dexamethasone; </w:t>
      </w:r>
      <w:r w:rsidR="001C413B" w:rsidRPr="00512D7B">
        <w:t>DBd</w:t>
      </w:r>
      <w:r w:rsidRPr="00512D7B">
        <w:t>, daratumumab in combination with bortezomib and dexamethasone; ICER, incremental cost-effectiveness ratio; ITT, intention to treat; QALY, quality-adjusted life year.</w:t>
      </w:r>
      <w:bookmarkStart w:id="61" w:name="_Hlk218762753"/>
      <w:bookmarkStart w:id="62" w:name="_Hlk218771933"/>
      <w:bookmarkStart w:id="63" w:name="_Hlk218764868"/>
      <w:r w:rsidR="009F17E3" w:rsidRPr="009F17E3">
        <w:rPr>
          <w:i/>
          <w:szCs w:val="18"/>
        </w:rPr>
        <w:t xml:space="preserve"> </w:t>
      </w:r>
    </w:p>
    <w:p w14:paraId="4A1EA755" w14:textId="4C1B785B" w:rsidR="009F17E3" w:rsidRPr="009F17E3" w:rsidRDefault="009F17E3" w:rsidP="00B56578">
      <w:pPr>
        <w:pStyle w:val="COMTablefooter"/>
        <w:keepNext/>
        <w:rPr>
          <w:i/>
        </w:rPr>
      </w:pPr>
      <w:r w:rsidRPr="009F17E3">
        <w:rPr>
          <w:i/>
        </w:rPr>
        <w:t xml:space="preserve">The redacted values correspond to the following ranges: </w:t>
      </w:r>
    </w:p>
    <w:p w14:paraId="15063522" w14:textId="5AE213C1" w:rsidR="009F17E3" w:rsidRPr="009F17E3" w:rsidRDefault="009F17E3" w:rsidP="00B56578">
      <w:pPr>
        <w:pStyle w:val="COMTablefooter"/>
        <w:keepNext/>
        <w:rPr>
          <w:i/>
        </w:rPr>
      </w:pPr>
      <w:r w:rsidRPr="009F17E3">
        <w:rPr>
          <w:i/>
          <w:vertAlign w:val="superscript"/>
        </w:rPr>
        <w:t>1</w:t>
      </w:r>
      <w:r w:rsidRPr="009F17E3">
        <w:rPr>
          <w:i/>
        </w:rPr>
        <w:t xml:space="preserve"> </w:t>
      </w:r>
      <w:r w:rsidR="001D7C26" w:rsidRPr="001D7C26">
        <w:rPr>
          <w:i/>
        </w:rPr>
        <w:t>$55,000 to &lt; $75,000</w:t>
      </w:r>
    </w:p>
    <w:p w14:paraId="4C5E0411" w14:textId="6A44CC9D" w:rsidR="009F17E3" w:rsidRPr="009F17E3" w:rsidRDefault="009F17E3" w:rsidP="00B56578">
      <w:pPr>
        <w:pStyle w:val="COMTablefooter"/>
        <w:keepNext/>
        <w:rPr>
          <w:i/>
        </w:rPr>
      </w:pPr>
      <w:r w:rsidRPr="009F17E3">
        <w:rPr>
          <w:i/>
          <w:vertAlign w:val="superscript"/>
        </w:rPr>
        <w:t>2</w:t>
      </w:r>
      <w:r w:rsidRPr="009F17E3">
        <w:rPr>
          <w:i/>
        </w:rPr>
        <w:t xml:space="preserve"> </w:t>
      </w:r>
      <w:bookmarkStart w:id="64" w:name="_Hlk218771996"/>
      <w:r w:rsidR="00DC6C3B" w:rsidRPr="00DC6C3B">
        <w:rPr>
          <w:i/>
        </w:rPr>
        <w:t>$75,000 to &lt; $95,000</w:t>
      </w:r>
      <w:bookmarkEnd w:id="61"/>
      <w:bookmarkEnd w:id="62"/>
      <w:bookmarkEnd w:id="64"/>
    </w:p>
    <w:bookmarkEnd w:id="63"/>
    <w:p w14:paraId="168050EB" w14:textId="4DCED944" w:rsidR="00991422" w:rsidRPr="00512D7B" w:rsidRDefault="00991422" w:rsidP="00991422">
      <w:pPr>
        <w:pStyle w:val="COMTablefooter"/>
        <w:rPr>
          <w:sz w:val="20"/>
        </w:rPr>
      </w:pPr>
    </w:p>
    <w:p w14:paraId="57BF8CBD" w14:textId="24396016" w:rsidR="00DE4273" w:rsidRPr="00316EF5" w:rsidRDefault="001B5567" w:rsidP="001B5567">
      <w:pPr>
        <w:pStyle w:val="COMESnumberedpara"/>
        <w:rPr>
          <w:i/>
        </w:rPr>
      </w:pPr>
      <w:r w:rsidRPr="00512D7B">
        <w:lastRenderedPageBreak/>
        <w:t xml:space="preserve">The modelled results were most sensitive to the time horizon, the discount rate, the choice of parametric extrapolations for overall survival for the </w:t>
      </w:r>
      <w:r w:rsidR="001030EA" w:rsidRPr="00512D7B">
        <w:t>BmBd</w:t>
      </w:r>
      <w:r w:rsidRPr="00512D7B">
        <w:t xml:space="preserve"> and </w:t>
      </w:r>
      <w:r w:rsidR="001C413B" w:rsidRPr="00512D7B">
        <w:t>DBd</w:t>
      </w:r>
      <w:r w:rsidRPr="00512D7B">
        <w:t xml:space="preserve"> arms, the choice of parametric extrapolations for time to treatment discontinuation for the </w:t>
      </w:r>
      <w:r w:rsidR="001030EA" w:rsidRPr="00512D7B">
        <w:t>BmBd</w:t>
      </w:r>
      <w:r w:rsidRPr="00512D7B">
        <w:t xml:space="preserve"> and </w:t>
      </w:r>
      <w:r w:rsidR="001C413B" w:rsidRPr="00512D7B">
        <w:t>DBd</w:t>
      </w:r>
      <w:r w:rsidRPr="00512D7B">
        <w:t xml:space="preserve"> arms, and the dose intensity for daratumumab.</w:t>
      </w:r>
    </w:p>
    <w:p w14:paraId="472842D7" w14:textId="2EC8B5F4" w:rsidR="00C25D9C" w:rsidRPr="00512D7B" w:rsidRDefault="00C25D9C" w:rsidP="00BB732D">
      <w:pPr>
        <w:pStyle w:val="COMESSubsectionheading"/>
        <w:rPr>
          <w:color w:val="auto"/>
        </w:rPr>
      </w:pPr>
      <w:bookmarkStart w:id="65" w:name="_Toc22897646"/>
      <w:bookmarkStart w:id="66" w:name="_Toc208839495"/>
      <w:r w:rsidRPr="00512D7B">
        <w:rPr>
          <w:color w:val="auto"/>
        </w:rPr>
        <w:t>Drug cost/patient/course</w:t>
      </w:r>
      <w:bookmarkEnd w:id="65"/>
      <w:bookmarkEnd w:id="66"/>
    </w:p>
    <w:bookmarkStart w:id="67" w:name="_Ref104805102"/>
    <w:p w14:paraId="6F643D23" w14:textId="0524EFC2" w:rsidR="00E95535" w:rsidRPr="00512D7B" w:rsidRDefault="00C41873" w:rsidP="00E95535">
      <w:pPr>
        <w:pStyle w:val="COMESnumberedpara"/>
      </w:pPr>
      <w:r w:rsidRPr="00512D7B">
        <w:fldChar w:fldCharType="begin"/>
      </w:r>
      <w:r w:rsidRPr="00512D7B">
        <w:instrText xml:space="preserve"> REF _Ref208506999 \h </w:instrText>
      </w:r>
      <w:r w:rsidRPr="00512D7B">
        <w:fldChar w:fldCharType="separate"/>
      </w:r>
      <w:r w:rsidR="00674A1F" w:rsidRPr="00512D7B">
        <w:t xml:space="preserve">Table </w:t>
      </w:r>
      <w:r w:rsidR="00674A1F">
        <w:rPr>
          <w:noProof/>
        </w:rPr>
        <w:t>13</w:t>
      </w:r>
      <w:r w:rsidRPr="00512D7B">
        <w:fldChar w:fldCharType="end"/>
      </w:r>
      <w:r w:rsidR="00F46AC7" w:rsidRPr="00512D7B">
        <w:t xml:space="preserve"> </w:t>
      </w:r>
      <w:r w:rsidR="002411FC" w:rsidRPr="00512D7B">
        <w:t>presents a comparison of drug costs per patient for Bm</w:t>
      </w:r>
      <w:r w:rsidR="00D7127D" w:rsidRPr="00512D7B">
        <w:t>B</w:t>
      </w:r>
      <w:r w:rsidR="001F71BF" w:rsidRPr="00512D7B">
        <w:t>d</w:t>
      </w:r>
      <w:r w:rsidR="002411FC" w:rsidRPr="00512D7B">
        <w:t xml:space="preserve"> and DBd included in the economic model and financial estimates.</w:t>
      </w:r>
    </w:p>
    <w:p w14:paraId="57F31262" w14:textId="579A56B4" w:rsidR="002411FC" w:rsidRPr="00512D7B" w:rsidRDefault="00F46AC7" w:rsidP="002411FC">
      <w:pPr>
        <w:pStyle w:val="COMTableFigurecaption"/>
      </w:pPr>
      <w:bookmarkStart w:id="68" w:name="_Ref208506999"/>
      <w:r w:rsidRPr="00512D7B">
        <w:lastRenderedPageBreak/>
        <w:t xml:space="preserve">Table </w:t>
      </w:r>
      <w:r w:rsidR="009F511F">
        <w:fldChar w:fldCharType="begin"/>
      </w:r>
      <w:r w:rsidR="009F511F">
        <w:instrText xml:space="preserve"> SEQ Table \* ARABIC </w:instrText>
      </w:r>
      <w:r w:rsidR="009F511F">
        <w:fldChar w:fldCharType="separate"/>
      </w:r>
      <w:r w:rsidR="00674A1F">
        <w:rPr>
          <w:noProof/>
        </w:rPr>
        <w:t>13</w:t>
      </w:r>
      <w:r w:rsidR="009F511F">
        <w:rPr>
          <w:noProof/>
        </w:rPr>
        <w:fldChar w:fldCharType="end"/>
      </w:r>
      <w:bookmarkEnd w:id="68"/>
      <w:r w:rsidRPr="00512D7B">
        <w:t>: Drug cost per patient for BmBd and DBd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BmBd and DBd"/>
      </w:tblPr>
      <w:tblGrid>
        <w:gridCol w:w="1552"/>
        <w:gridCol w:w="2489"/>
        <w:gridCol w:w="2489"/>
        <w:gridCol w:w="2487"/>
      </w:tblGrid>
      <w:tr w:rsidR="002411FC" w:rsidRPr="00512D7B" w14:paraId="4E6A340E" w14:textId="77777777">
        <w:trPr>
          <w:cantSplit/>
          <w:tblHeader/>
          <w:jc w:val="center"/>
        </w:trPr>
        <w:tc>
          <w:tcPr>
            <w:tcW w:w="861" w:type="pct"/>
            <w:vAlign w:val="center"/>
          </w:tcPr>
          <w:p w14:paraId="23151D09" w14:textId="77777777" w:rsidR="002411FC" w:rsidRPr="00512D7B" w:rsidRDefault="002411FC" w:rsidP="00DD4D39">
            <w:pPr>
              <w:pStyle w:val="In-tableHeading"/>
              <w:jc w:val="center"/>
              <w:rPr>
                <w:lang w:val="en-AU"/>
              </w:rPr>
            </w:pPr>
          </w:p>
        </w:tc>
        <w:tc>
          <w:tcPr>
            <w:tcW w:w="1380" w:type="pct"/>
            <w:vAlign w:val="center"/>
          </w:tcPr>
          <w:p w14:paraId="7C07972A" w14:textId="77777777" w:rsidR="002411FC" w:rsidRPr="00512D7B" w:rsidRDefault="002411FC" w:rsidP="00DD4D39">
            <w:pPr>
              <w:pStyle w:val="COMTableheadingrow"/>
              <w:jc w:val="center"/>
            </w:pPr>
            <w:r w:rsidRPr="00512D7B">
              <w:t>Clinical evidence</w:t>
            </w:r>
          </w:p>
        </w:tc>
        <w:tc>
          <w:tcPr>
            <w:tcW w:w="1380" w:type="pct"/>
            <w:vAlign w:val="center"/>
          </w:tcPr>
          <w:p w14:paraId="4A3F2F9A" w14:textId="77777777" w:rsidR="002411FC" w:rsidRPr="00512D7B" w:rsidRDefault="002411FC" w:rsidP="00DD4D39">
            <w:pPr>
              <w:pStyle w:val="COMTableheadingrow"/>
              <w:jc w:val="center"/>
            </w:pPr>
            <w:r w:rsidRPr="00512D7B">
              <w:t>Economic model</w:t>
            </w:r>
          </w:p>
        </w:tc>
        <w:tc>
          <w:tcPr>
            <w:tcW w:w="1379" w:type="pct"/>
            <w:vAlign w:val="center"/>
          </w:tcPr>
          <w:p w14:paraId="7511FED5" w14:textId="77777777" w:rsidR="002411FC" w:rsidRPr="00512D7B" w:rsidRDefault="002411FC" w:rsidP="00DD4D39">
            <w:pPr>
              <w:pStyle w:val="COMTableheadingrow"/>
              <w:jc w:val="center"/>
            </w:pPr>
            <w:r w:rsidRPr="00512D7B">
              <w:t>Financial estimates</w:t>
            </w:r>
          </w:p>
        </w:tc>
      </w:tr>
      <w:tr w:rsidR="002411FC" w:rsidRPr="00512D7B" w14:paraId="6C0F2240" w14:textId="77777777">
        <w:trPr>
          <w:cantSplit/>
          <w:jc w:val="center"/>
        </w:trPr>
        <w:tc>
          <w:tcPr>
            <w:tcW w:w="5000" w:type="pct"/>
            <w:gridSpan w:val="4"/>
            <w:vAlign w:val="center"/>
          </w:tcPr>
          <w:p w14:paraId="5B5BCE88" w14:textId="77777777" w:rsidR="002411FC" w:rsidRPr="00512D7B" w:rsidRDefault="002411FC" w:rsidP="00DD4D39">
            <w:pPr>
              <w:pStyle w:val="COMTabletext"/>
              <w:rPr>
                <w:b/>
                <w:bCs w:val="0"/>
              </w:rPr>
            </w:pPr>
            <w:r w:rsidRPr="00512D7B">
              <w:rPr>
                <w:b/>
                <w:bCs w:val="0"/>
              </w:rPr>
              <w:t>BmBd</w:t>
            </w:r>
          </w:p>
        </w:tc>
      </w:tr>
      <w:tr w:rsidR="002411FC" w:rsidRPr="00A172A2" w14:paraId="2ED57F98" w14:textId="77777777">
        <w:trPr>
          <w:cantSplit/>
          <w:jc w:val="center"/>
        </w:trPr>
        <w:tc>
          <w:tcPr>
            <w:tcW w:w="5000" w:type="pct"/>
            <w:gridSpan w:val="4"/>
            <w:vAlign w:val="center"/>
          </w:tcPr>
          <w:p w14:paraId="1BA1F234" w14:textId="77777777" w:rsidR="002411FC" w:rsidRPr="00A172A2" w:rsidRDefault="002411FC" w:rsidP="00DD4D39">
            <w:pPr>
              <w:pStyle w:val="COMTabletext"/>
              <w:rPr>
                <w:b/>
                <w:bCs w:val="0"/>
                <w:smallCaps/>
              </w:rPr>
            </w:pPr>
            <w:r w:rsidRPr="00A172A2">
              <w:rPr>
                <w:b/>
                <w:bCs w:val="0"/>
                <w:smallCaps/>
              </w:rPr>
              <w:t>Belantamab mafodotin</w:t>
            </w:r>
          </w:p>
        </w:tc>
      </w:tr>
      <w:tr w:rsidR="002411FC" w:rsidRPr="00512D7B" w14:paraId="4F6D494E" w14:textId="77777777">
        <w:trPr>
          <w:cantSplit/>
          <w:jc w:val="center"/>
        </w:trPr>
        <w:tc>
          <w:tcPr>
            <w:tcW w:w="861" w:type="pct"/>
            <w:vAlign w:val="center"/>
          </w:tcPr>
          <w:p w14:paraId="4F8CC7BB" w14:textId="77777777" w:rsidR="002411FC" w:rsidRPr="00512D7B" w:rsidRDefault="002411FC" w:rsidP="00DD4D39">
            <w:pPr>
              <w:pStyle w:val="COMTabletext"/>
            </w:pPr>
            <w:r w:rsidRPr="00512D7B">
              <w:t>Cost per script</w:t>
            </w:r>
          </w:p>
        </w:tc>
        <w:tc>
          <w:tcPr>
            <w:tcW w:w="1380" w:type="pct"/>
            <w:vAlign w:val="center"/>
          </w:tcPr>
          <w:p w14:paraId="66D71EC8" w14:textId="77777777" w:rsidR="002411FC" w:rsidRPr="00512D7B" w:rsidRDefault="002411FC" w:rsidP="00DD4D39">
            <w:pPr>
              <w:pStyle w:val="COMTabletext"/>
              <w:jc w:val="center"/>
            </w:pPr>
            <w:r w:rsidRPr="00512D7B">
              <w:t>-</w:t>
            </w:r>
          </w:p>
        </w:tc>
        <w:tc>
          <w:tcPr>
            <w:tcW w:w="1380" w:type="pct"/>
            <w:vAlign w:val="center"/>
          </w:tcPr>
          <w:p w14:paraId="65C4D44B" w14:textId="77777777" w:rsidR="002411FC" w:rsidRPr="00512D7B" w:rsidRDefault="002411FC" w:rsidP="00DD4D39">
            <w:pPr>
              <w:pStyle w:val="COMTabletext"/>
              <w:jc w:val="center"/>
              <w:rPr>
                <w:vertAlign w:val="superscript"/>
              </w:rPr>
            </w:pPr>
            <w:r w:rsidRPr="00512D7B">
              <w:t xml:space="preserve">Not estimable </w:t>
            </w:r>
            <w:r w:rsidRPr="00512D7B">
              <w:rPr>
                <w:vertAlign w:val="superscript"/>
              </w:rPr>
              <w:t>a</w:t>
            </w:r>
          </w:p>
        </w:tc>
        <w:tc>
          <w:tcPr>
            <w:tcW w:w="1379" w:type="pct"/>
            <w:vAlign w:val="center"/>
          </w:tcPr>
          <w:p w14:paraId="4B1121D4" w14:textId="63AD1F15" w:rsidR="002411FC" w:rsidRPr="00512D7B" w:rsidRDefault="002411FC" w:rsidP="00DD4D39">
            <w:pPr>
              <w:pStyle w:val="COMTabletext"/>
              <w:jc w:val="center"/>
              <w:rPr>
                <w:vertAlign w:val="superscript"/>
              </w:rPr>
            </w:pPr>
            <w:r w:rsidRPr="00512D7B">
              <w:t>100 mg: $</w:t>
            </w:r>
            <w:r w:rsidR="0040410B" w:rsidRPr="0040410B">
              <w:rPr>
                <w:highlight w:val="black"/>
              </w:rPr>
              <w:t>&amp;&amp;&amp;&amp;</w:t>
            </w:r>
            <w:r w:rsidRPr="00512D7B">
              <w:t xml:space="preserve"> </w:t>
            </w:r>
            <w:r w:rsidRPr="00512D7B">
              <w:rPr>
                <w:vertAlign w:val="superscript"/>
              </w:rPr>
              <w:t>b</w:t>
            </w:r>
          </w:p>
          <w:p w14:paraId="6B4BA106" w14:textId="0855D0B2" w:rsidR="002411FC" w:rsidRPr="00512D7B" w:rsidRDefault="002411FC" w:rsidP="00DD4D39">
            <w:pPr>
              <w:pStyle w:val="COMTabletext"/>
              <w:jc w:val="center"/>
              <w:rPr>
                <w:vertAlign w:val="superscript"/>
              </w:rPr>
            </w:pPr>
            <w:r w:rsidRPr="00512D7B">
              <w:t>70 mg: $</w:t>
            </w:r>
            <w:r w:rsidR="0040410B" w:rsidRPr="0040410B">
              <w:rPr>
                <w:highlight w:val="black"/>
              </w:rPr>
              <w:t>&amp;&amp;&amp;&amp;</w:t>
            </w:r>
            <w:r w:rsidRPr="00512D7B">
              <w:t xml:space="preserve"> </w:t>
            </w:r>
            <w:r w:rsidRPr="00512D7B">
              <w:rPr>
                <w:vertAlign w:val="superscript"/>
              </w:rPr>
              <w:t>b</w:t>
            </w:r>
          </w:p>
        </w:tc>
      </w:tr>
      <w:tr w:rsidR="002411FC" w:rsidRPr="00512D7B" w14:paraId="4D441FD7" w14:textId="77777777">
        <w:trPr>
          <w:cantSplit/>
          <w:trHeight w:val="45"/>
          <w:jc w:val="center"/>
        </w:trPr>
        <w:tc>
          <w:tcPr>
            <w:tcW w:w="861" w:type="pct"/>
            <w:vAlign w:val="center"/>
          </w:tcPr>
          <w:p w14:paraId="2EA2255B" w14:textId="77777777" w:rsidR="002411FC" w:rsidRPr="00512D7B" w:rsidRDefault="002411FC" w:rsidP="00DD4D39">
            <w:pPr>
              <w:pStyle w:val="COMTabletext"/>
              <w:keepLines w:val="0"/>
            </w:pPr>
            <w:r w:rsidRPr="00512D7B">
              <w:t>Treatment regimen</w:t>
            </w:r>
          </w:p>
        </w:tc>
        <w:tc>
          <w:tcPr>
            <w:tcW w:w="4139" w:type="pct"/>
            <w:gridSpan w:val="3"/>
            <w:vAlign w:val="center"/>
          </w:tcPr>
          <w:p w14:paraId="1D7FDCBE" w14:textId="77777777" w:rsidR="002411FC" w:rsidRPr="00512D7B" w:rsidRDefault="002411FC" w:rsidP="00DD4D39">
            <w:pPr>
              <w:pStyle w:val="COMTabletext"/>
              <w:keepLines w:val="0"/>
              <w:jc w:val="center"/>
              <w:rPr>
                <w:vertAlign w:val="superscript"/>
              </w:rPr>
            </w:pPr>
            <w:r w:rsidRPr="00512D7B">
              <w:t>2.5 mg/kg IV every 3 weeks until disease progression.</w:t>
            </w:r>
          </w:p>
        </w:tc>
      </w:tr>
      <w:tr w:rsidR="002411FC" w:rsidRPr="00512D7B" w14:paraId="16E5B77D" w14:textId="77777777">
        <w:trPr>
          <w:cantSplit/>
          <w:trHeight w:val="913"/>
          <w:jc w:val="center"/>
        </w:trPr>
        <w:tc>
          <w:tcPr>
            <w:tcW w:w="861" w:type="pct"/>
            <w:tcBorders>
              <w:bottom w:val="single" w:sz="4" w:space="0" w:color="auto"/>
            </w:tcBorders>
            <w:vAlign w:val="center"/>
          </w:tcPr>
          <w:p w14:paraId="49866B7F" w14:textId="77777777" w:rsidR="002411FC" w:rsidRPr="00512D7B" w:rsidRDefault="002411FC" w:rsidP="00DD4D39">
            <w:pPr>
              <w:pStyle w:val="COMTabletext"/>
              <w:keepLines w:val="0"/>
            </w:pPr>
            <w:r w:rsidRPr="00512D7B">
              <w:t>Adherence</w:t>
            </w:r>
          </w:p>
        </w:tc>
        <w:tc>
          <w:tcPr>
            <w:tcW w:w="1380" w:type="pct"/>
            <w:tcBorders>
              <w:bottom w:val="single" w:sz="4" w:space="0" w:color="auto"/>
            </w:tcBorders>
            <w:vAlign w:val="center"/>
          </w:tcPr>
          <w:p w14:paraId="44D6D2A9" w14:textId="40C1CB5B" w:rsidR="002411FC" w:rsidRPr="001543A5" w:rsidRDefault="002411FC" w:rsidP="00DD4D39">
            <w:pPr>
              <w:pStyle w:val="COMTabletext"/>
              <w:keepLines w:val="0"/>
              <w:jc w:val="center"/>
              <w:rPr>
                <w:vertAlign w:val="superscript"/>
              </w:rPr>
            </w:pPr>
            <w:r w:rsidRPr="001543A5">
              <w:t xml:space="preserve">57.1% </w:t>
            </w:r>
            <w:r w:rsidRPr="001543A5">
              <w:rPr>
                <w:vertAlign w:val="superscript"/>
              </w:rPr>
              <w:t>c</w:t>
            </w:r>
            <w:r w:rsidR="003074E8" w:rsidRPr="001543A5">
              <w:rPr>
                <w:vertAlign w:val="superscript"/>
              </w:rPr>
              <w:t>,l</w:t>
            </w:r>
          </w:p>
        </w:tc>
        <w:tc>
          <w:tcPr>
            <w:tcW w:w="1380" w:type="pct"/>
            <w:vMerge w:val="restart"/>
            <w:tcBorders>
              <w:bottom w:val="single" w:sz="4" w:space="0" w:color="auto"/>
            </w:tcBorders>
            <w:vAlign w:val="center"/>
          </w:tcPr>
          <w:p w14:paraId="005C69FA" w14:textId="77777777" w:rsidR="002411FC" w:rsidRPr="001543A5" w:rsidRDefault="002411FC" w:rsidP="00DD4D39">
            <w:pPr>
              <w:pStyle w:val="COMTabletext"/>
              <w:keepLines w:val="0"/>
              <w:jc w:val="center"/>
              <w:rPr>
                <w:vertAlign w:val="superscript"/>
              </w:rPr>
            </w:pPr>
            <w:r w:rsidRPr="001543A5">
              <w:t xml:space="preserve">Y1: 100% </w:t>
            </w:r>
            <w:r w:rsidRPr="001543A5">
              <w:rPr>
                <w:vertAlign w:val="superscript"/>
              </w:rPr>
              <w:t>e</w:t>
            </w:r>
          </w:p>
          <w:p w14:paraId="745A415B" w14:textId="77777777" w:rsidR="002411FC" w:rsidRPr="001543A5" w:rsidRDefault="002411FC" w:rsidP="00DD4D39">
            <w:pPr>
              <w:pStyle w:val="COMTabletext"/>
              <w:keepLines w:val="0"/>
              <w:jc w:val="center"/>
              <w:rPr>
                <w:vertAlign w:val="superscript"/>
              </w:rPr>
            </w:pPr>
            <w:r w:rsidRPr="001543A5">
              <w:t xml:space="preserve">Y2: 52.8% </w:t>
            </w:r>
            <w:r w:rsidRPr="001543A5">
              <w:rPr>
                <w:vertAlign w:val="superscript"/>
              </w:rPr>
              <w:t>e</w:t>
            </w:r>
          </w:p>
          <w:p w14:paraId="458A4056" w14:textId="77777777" w:rsidR="002411FC" w:rsidRPr="001543A5" w:rsidRDefault="002411FC" w:rsidP="00DD4D39">
            <w:pPr>
              <w:pStyle w:val="COMTabletext"/>
              <w:keepLines w:val="0"/>
              <w:jc w:val="center"/>
              <w:rPr>
                <w:vertAlign w:val="superscript"/>
              </w:rPr>
            </w:pPr>
            <w:r w:rsidRPr="001543A5">
              <w:t xml:space="preserve">Y3: 36.2% </w:t>
            </w:r>
            <w:r w:rsidRPr="001543A5">
              <w:rPr>
                <w:vertAlign w:val="superscript"/>
              </w:rPr>
              <w:t>e</w:t>
            </w:r>
          </w:p>
          <w:p w14:paraId="63D30A44" w14:textId="77777777" w:rsidR="002411FC" w:rsidRPr="001543A5" w:rsidRDefault="002411FC" w:rsidP="00DD4D39">
            <w:pPr>
              <w:pStyle w:val="COMTabletext"/>
              <w:keepLines w:val="0"/>
              <w:jc w:val="center"/>
              <w:rPr>
                <w:vertAlign w:val="superscript"/>
              </w:rPr>
            </w:pPr>
            <w:r w:rsidRPr="001543A5">
              <w:t xml:space="preserve">Y4: 28.2% </w:t>
            </w:r>
            <w:r w:rsidRPr="001543A5">
              <w:rPr>
                <w:vertAlign w:val="superscript"/>
              </w:rPr>
              <w:t>e</w:t>
            </w:r>
          </w:p>
          <w:p w14:paraId="323DC98A" w14:textId="77777777" w:rsidR="002411FC" w:rsidRPr="001543A5" w:rsidRDefault="002411FC" w:rsidP="00DD4D39">
            <w:pPr>
              <w:pStyle w:val="COMTabletext"/>
              <w:keepLines w:val="0"/>
              <w:jc w:val="center"/>
              <w:rPr>
                <w:vertAlign w:val="superscript"/>
              </w:rPr>
            </w:pPr>
            <w:r w:rsidRPr="001543A5">
              <w:t xml:space="preserve">Y5: 20.4% </w:t>
            </w:r>
            <w:r w:rsidRPr="001543A5">
              <w:rPr>
                <w:vertAlign w:val="superscript"/>
              </w:rPr>
              <w:t>e</w:t>
            </w:r>
          </w:p>
          <w:p w14:paraId="0769901F" w14:textId="77777777" w:rsidR="002411FC" w:rsidRPr="001543A5" w:rsidRDefault="002411FC" w:rsidP="00DD4D39">
            <w:pPr>
              <w:pStyle w:val="COMTabletext"/>
              <w:keepLines w:val="0"/>
              <w:jc w:val="center"/>
              <w:rPr>
                <w:vertAlign w:val="superscript"/>
              </w:rPr>
            </w:pPr>
            <w:r w:rsidRPr="001543A5">
              <w:t xml:space="preserve">Y6: 16.5% </w:t>
            </w:r>
            <w:r w:rsidRPr="001543A5">
              <w:rPr>
                <w:vertAlign w:val="superscript"/>
              </w:rPr>
              <w:t>e</w:t>
            </w:r>
          </w:p>
        </w:tc>
        <w:tc>
          <w:tcPr>
            <w:tcW w:w="1379" w:type="pct"/>
            <w:vMerge w:val="restart"/>
            <w:tcBorders>
              <w:bottom w:val="single" w:sz="4" w:space="0" w:color="auto"/>
            </w:tcBorders>
            <w:vAlign w:val="center"/>
          </w:tcPr>
          <w:p w14:paraId="77CAB8B2" w14:textId="77777777" w:rsidR="002411FC" w:rsidRPr="001543A5" w:rsidRDefault="002411FC" w:rsidP="00DD4D39">
            <w:pPr>
              <w:pStyle w:val="COMTabletext"/>
              <w:keepLines w:val="0"/>
              <w:jc w:val="center"/>
              <w:rPr>
                <w:u w:val="single"/>
                <w:vertAlign w:val="superscript"/>
              </w:rPr>
            </w:pPr>
            <w:r w:rsidRPr="001543A5">
              <w:rPr>
                <w:u w:val="single"/>
              </w:rPr>
              <w:t xml:space="preserve">100 mg vials </w:t>
            </w:r>
            <w:r w:rsidRPr="001543A5">
              <w:rPr>
                <w:u w:val="single"/>
                <w:vertAlign w:val="superscript"/>
              </w:rPr>
              <w:t>f</w:t>
            </w:r>
          </w:p>
          <w:p w14:paraId="371C70C9" w14:textId="77777777" w:rsidR="002411FC" w:rsidRPr="001543A5" w:rsidRDefault="002411FC" w:rsidP="00DD4D39">
            <w:pPr>
              <w:pStyle w:val="COMTabletext"/>
              <w:keepLines w:val="0"/>
              <w:jc w:val="center"/>
            </w:pPr>
            <w:r w:rsidRPr="001543A5">
              <w:t>Y1 (init.): 49.5%; Y1 (cont.): 11.8%; Y2: 13.0%; Y3: 7.2%; Y4: 5.2%; Y5: 4.1%; Y6: 3.3%.</w:t>
            </w:r>
          </w:p>
          <w:p w14:paraId="591FAD0E" w14:textId="77777777" w:rsidR="002411FC" w:rsidRPr="001543A5" w:rsidRDefault="002411FC" w:rsidP="00DD4D39">
            <w:pPr>
              <w:pStyle w:val="COMTabletext"/>
              <w:keepLines w:val="0"/>
              <w:jc w:val="center"/>
              <w:rPr>
                <w:u w:val="single"/>
                <w:vertAlign w:val="superscript"/>
              </w:rPr>
            </w:pPr>
            <w:r w:rsidRPr="001543A5">
              <w:rPr>
                <w:u w:val="single"/>
              </w:rPr>
              <w:t xml:space="preserve">70 mg vials </w:t>
            </w:r>
            <w:r w:rsidRPr="001543A5">
              <w:rPr>
                <w:u w:val="single"/>
                <w:vertAlign w:val="superscript"/>
              </w:rPr>
              <w:t>f</w:t>
            </w:r>
          </w:p>
          <w:p w14:paraId="2F3ECA5A" w14:textId="77777777" w:rsidR="002411FC" w:rsidRPr="001543A5" w:rsidRDefault="002411FC" w:rsidP="00DD4D39">
            <w:pPr>
              <w:pStyle w:val="COMTabletext"/>
              <w:keepLines w:val="0"/>
              <w:jc w:val="center"/>
            </w:pPr>
            <w:r w:rsidRPr="001543A5">
              <w:t>Y1 (init): 57.6%; Y1 (cont): 16.4%; Y2: 19.8%; Y3: 11.9%; Y4: 8.6%; Y5: 6.8%; Y6: 5.5%.</w:t>
            </w:r>
          </w:p>
        </w:tc>
      </w:tr>
      <w:tr w:rsidR="002411FC" w:rsidRPr="00512D7B" w14:paraId="0412BF27" w14:textId="77777777">
        <w:trPr>
          <w:cantSplit/>
          <w:trHeight w:val="913"/>
          <w:jc w:val="center"/>
        </w:trPr>
        <w:tc>
          <w:tcPr>
            <w:tcW w:w="861" w:type="pct"/>
            <w:vAlign w:val="center"/>
          </w:tcPr>
          <w:p w14:paraId="05BCF341" w14:textId="77777777" w:rsidR="002411FC" w:rsidRPr="00512D7B" w:rsidRDefault="002411FC" w:rsidP="00DD4D39">
            <w:pPr>
              <w:pStyle w:val="COMTabletext"/>
              <w:keepLines w:val="0"/>
            </w:pPr>
            <w:r w:rsidRPr="00512D7B">
              <w:t>Persistence</w:t>
            </w:r>
          </w:p>
        </w:tc>
        <w:tc>
          <w:tcPr>
            <w:tcW w:w="1380" w:type="pct"/>
            <w:vAlign w:val="center"/>
          </w:tcPr>
          <w:p w14:paraId="3CCCCAF9" w14:textId="0A41F313" w:rsidR="002411FC" w:rsidRPr="00512D7B" w:rsidRDefault="002411FC" w:rsidP="00DD4D39">
            <w:pPr>
              <w:pStyle w:val="COMTabletext"/>
              <w:keepLines w:val="0"/>
              <w:jc w:val="center"/>
              <w:rPr>
                <w:vertAlign w:val="superscript"/>
              </w:rPr>
            </w:pPr>
            <w:r w:rsidRPr="001543A5">
              <w:t xml:space="preserve">13.2 cycles </w:t>
            </w:r>
            <w:r w:rsidRPr="001543A5">
              <w:rPr>
                <w:vertAlign w:val="superscript"/>
              </w:rPr>
              <w:t>d</w:t>
            </w:r>
            <w:r w:rsidR="003074E8" w:rsidRPr="001543A5">
              <w:rPr>
                <w:vertAlign w:val="superscript"/>
              </w:rPr>
              <w:t>,l</w:t>
            </w:r>
          </w:p>
        </w:tc>
        <w:tc>
          <w:tcPr>
            <w:tcW w:w="1380" w:type="pct"/>
            <w:vMerge/>
            <w:vAlign w:val="center"/>
          </w:tcPr>
          <w:p w14:paraId="17937B71" w14:textId="77777777" w:rsidR="002411FC" w:rsidRPr="00512D7B" w:rsidRDefault="002411FC" w:rsidP="00DD4D39">
            <w:pPr>
              <w:pStyle w:val="COMTabletext"/>
              <w:keepLines w:val="0"/>
              <w:jc w:val="center"/>
            </w:pPr>
          </w:p>
        </w:tc>
        <w:tc>
          <w:tcPr>
            <w:tcW w:w="1379" w:type="pct"/>
            <w:vMerge/>
            <w:vAlign w:val="center"/>
          </w:tcPr>
          <w:p w14:paraId="0FF34E62" w14:textId="77777777" w:rsidR="002411FC" w:rsidRPr="00512D7B" w:rsidRDefault="002411FC" w:rsidP="00DD4D39">
            <w:pPr>
              <w:pStyle w:val="COMTabletext"/>
              <w:keepLines w:val="0"/>
            </w:pPr>
          </w:p>
        </w:tc>
      </w:tr>
      <w:tr w:rsidR="002411FC" w:rsidRPr="00512D7B" w14:paraId="2A8F27F2" w14:textId="77777777">
        <w:trPr>
          <w:cantSplit/>
          <w:jc w:val="center"/>
        </w:trPr>
        <w:tc>
          <w:tcPr>
            <w:tcW w:w="861" w:type="pct"/>
            <w:vAlign w:val="center"/>
          </w:tcPr>
          <w:p w14:paraId="5E3BDB76" w14:textId="77777777" w:rsidR="002411FC" w:rsidRPr="00512D7B" w:rsidRDefault="002411FC" w:rsidP="00DD4D39">
            <w:pPr>
              <w:pStyle w:val="COMTabletext"/>
              <w:keepLines w:val="0"/>
            </w:pPr>
            <w:r w:rsidRPr="00512D7B">
              <w:t>Cost/patient/course</w:t>
            </w:r>
          </w:p>
        </w:tc>
        <w:tc>
          <w:tcPr>
            <w:tcW w:w="1380" w:type="pct"/>
            <w:vAlign w:val="center"/>
          </w:tcPr>
          <w:p w14:paraId="395F22B9" w14:textId="77777777" w:rsidR="002411FC" w:rsidRPr="00512D7B" w:rsidRDefault="002411FC" w:rsidP="00DD4D39">
            <w:pPr>
              <w:pStyle w:val="COMTabletext"/>
              <w:keepLines w:val="0"/>
              <w:jc w:val="center"/>
            </w:pPr>
            <w:r w:rsidRPr="00512D7B">
              <w:t>-</w:t>
            </w:r>
          </w:p>
        </w:tc>
        <w:tc>
          <w:tcPr>
            <w:tcW w:w="1380" w:type="pct"/>
            <w:vAlign w:val="center"/>
          </w:tcPr>
          <w:p w14:paraId="11C3D96B" w14:textId="64967D82" w:rsidR="002411FC" w:rsidRPr="00512D7B" w:rsidRDefault="002411FC" w:rsidP="00DD4D39">
            <w:pPr>
              <w:pStyle w:val="COMTabletext"/>
              <w:keepLines w:val="0"/>
              <w:jc w:val="center"/>
              <w:rPr>
                <w:vertAlign w:val="superscript"/>
              </w:rPr>
            </w:pPr>
            <w:r w:rsidRPr="00512D7B">
              <w:t>$</w:t>
            </w:r>
            <w:r w:rsidR="0040410B" w:rsidRPr="0040410B">
              <w:rPr>
                <w:highlight w:val="black"/>
              </w:rPr>
              <w:t>&amp;&amp;&amp;&amp;</w:t>
            </w:r>
            <w:r w:rsidRPr="00512D7B">
              <w:t xml:space="preserve"> </w:t>
            </w:r>
            <w:r w:rsidRPr="00512D7B">
              <w:rPr>
                <w:vertAlign w:val="superscript"/>
              </w:rPr>
              <w:t>g</w:t>
            </w:r>
          </w:p>
        </w:tc>
        <w:tc>
          <w:tcPr>
            <w:tcW w:w="1379" w:type="pct"/>
            <w:vAlign w:val="center"/>
          </w:tcPr>
          <w:p w14:paraId="217898EB" w14:textId="1F01E89E" w:rsidR="002411FC" w:rsidRPr="00512D7B" w:rsidRDefault="002411FC" w:rsidP="00DD4D39">
            <w:pPr>
              <w:pStyle w:val="COMTabletext"/>
              <w:keepLines w:val="0"/>
              <w:jc w:val="center"/>
              <w:rPr>
                <w:vertAlign w:val="superscript"/>
              </w:rPr>
            </w:pPr>
            <w:r w:rsidRPr="00512D7B">
              <w:t>$</w:t>
            </w:r>
            <w:r w:rsidR="0040410B" w:rsidRPr="0040410B">
              <w:rPr>
                <w:highlight w:val="black"/>
              </w:rPr>
              <w:t>&amp;&amp;&amp;&amp;</w:t>
            </w:r>
            <w:r w:rsidRPr="00512D7B">
              <w:t xml:space="preserve"> (</w:t>
            </w:r>
            <w:r w:rsidR="00A409A2" w:rsidRPr="00512D7B">
              <w:t xml:space="preserve">over </w:t>
            </w:r>
            <w:r w:rsidRPr="00512D7B">
              <w:t>6 years)</w:t>
            </w:r>
          </w:p>
        </w:tc>
      </w:tr>
      <w:tr w:rsidR="002411FC" w:rsidRPr="00A172A2" w14:paraId="748C3ED1" w14:textId="77777777">
        <w:trPr>
          <w:cantSplit/>
          <w:jc w:val="center"/>
        </w:trPr>
        <w:tc>
          <w:tcPr>
            <w:tcW w:w="5000" w:type="pct"/>
            <w:gridSpan w:val="4"/>
            <w:vAlign w:val="center"/>
          </w:tcPr>
          <w:p w14:paraId="50FC27B6" w14:textId="77777777" w:rsidR="002411FC" w:rsidRPr="00A172A2" w:rsidRDefault="002411FC" w:rsidP="00DD4D39">
            <w:pPr>
              <w:pStyle w:val="COMTabletext"/>
              <w:keepLines w:val="0"/>
              <w:rPr>
                <w:b/>
                <w:bCs w:val="0"/>
                <w:smallCaps/>
              </w:rPr>
            </w:pPr>
            <w:r w:rsidRPr="00A172A2">
              <w:rPr>
                <w:b/>
                <w:bCs w:val="0"/>
                <w:smallCaps/>
              </w:rPr>
              <w:t>Bortezomib</w:t>
            </w:r>
          </w:p>
        </w:tc>
      </w:tr>
      <w:tr w:rsidR="002411FC" w:rsidRPr="00512D7B" w14:paraId="0D5BD2E1" w14:textId="77777777">
        <w:trPr>
          <w:cantSplit/>
          <w:jc w:val="center"/>
        </w:trPr>
        <w:tc>
          <w:tcPr>
            <w:tcW w:w="861" w:type="pct"/>
            <w:vAlign w:val="center"/>
          </w:tcPr>
          <w:p w14:paraId="1B3D03C5" w14:textId="77777777" w:rsidR="002411FC" w:rsidRPr="00512D7B" w:rsidRDefault="002411FC" w:rsidP="00DD4D39">
            <w:pPr>
              <w:pStyle w:val="COMTabletext"/>
              <w:keepLines w:val="0"/>
            </w:pPr>
            <w:r w:rsidRPr="00512D7B">
              <w:t>Cost/patient/course</w:t>
            </w:r>
          </w:p>
        </w:tc>
        <w:tc>
          <w:tcPr>
            <w:tcW w:w="1380" w:type="pct"/>
            <w:vAlign w:val="center"/>
          </w:tcPr>
          <w:p w14:paraId="0EC66759" w14:textId="77777777" w:rsidR="002411FC" w:rsidRPr="00512D7B" w:rsidRDefault="002411FC" w:rsidP="00DD4D39">
            <w:pPr>
              <w:pStyle w:val="COMTabletext"/>
              <w:keepLines w:val="0"/>
              <w:jc w:val="center"/>
            </w:pPr>
            <w:r w:rsidRPr="00512D7B">
              <w:t>-</w:t>
            </w:r>
          </w:p>
        </w:tc>
        <w:tc>
          <w:tcPr>
            <w:tcW w:w="1380" w:type="pct"/>
            <w:vAlign w:val="center"/>
          </w:tcPr>
          <w:p w14:paraId="6C777F72" w14:textId="77777777" w:rsidR="002411FC" w:rsidRPr="00512D7B" w:rsidRDefault="002411FC" w:rsidP="00DD4D39">
            <w:pPr>
              <w:pStyle w:val="COMTabletext"/>
              <w:keepLines w:val="0"/>
              <w:jc w:val="center"/>
            </w:pPr>
            <w:r w:rsidRPr="00512D7B">
              <w:t>$3,902</w:t>
            </w:r>
          </w:p>
        </w:tc>
        <w:tc>
          <w:tcPr>
            <w:tcW w:w="1379" w:type="pct"/>
            <w:vAlign w:val="center"/>
          </w:tcPr>
          <w:p w14:paraId="3F612882" w14:textId="77777777" w:rsidR="002411FC" w:rsidRPr="00512D7B" w:rsidRDefault="002411FC" w:rsidP="00DD4D39">
            <w:pPr>
              <w:pStyle w:val="COMTabletext"/>
              <w:keepLines w:val="0"/>
              <w:jc w:val="center"/>
            </w:pPr>
            <w:r w:rsidRPr="00512D7B">
              <w:t>$3,082</w:t>
            </w:r>
          </w:p>
        </w:tc>
      </w:tr>
      <w:tr w:rsidR="002411FC" w:rsidRPr="00A172A2" w14:paraId="54716B17" w14:textId="77777777">
        <w:trPr>
          <w:cantSplit/>
          <w:jc w:val="center"/>
        </w:trPr>
        <w:tc>
          <w:tcPr>
            <w:tcW w:w="5000" w:type="pct"/>
            <w:gridSpan w:val="4"/>
            <w:vAlign w:val="center"/>
          </w:tcPr>
          <w:p w14:paraId="16B5B870" w14:textId="77777777" w:rsidR="002411FC" w:rsidRPr="00A172A2" w:rsidRDefault="002411FC" w:rsidP="00DD4D39">
            <w:pPr>
              <w:pStyle w:val="COMTabletext"/>
              <w:keepLines w:val="0"/>
              <w:rPr>
                <w:b/>
                <w:smallCaps/>
              </w:rPr>
            </w:pPr>
            <w:r w:rsidRPr="00A172A2">
              <w:rPr>
                <w:b/>
                <w:smallCaps/>
              </w:rPr>
              <w:t>Dexamethasone</w:t>
            </w:r>
          </w:p>
        </w:tc>
      </w:tr>
      <w:tr w:rsidR="002411FC" w:rsidRPr="00512D7B" w14:paraId="262A8FDF" w14:textId="77777777">
        <w:trPr>
          <w:cantSplit/>
          <w:jc w:val="center"/>
        </w:trPr>
        <w:tc>
          <w:tcPr>
            <w:tcW w:w="861" w:type="pct"/>
            <w:vAlign w:val="center"/>
          </w:tcPr>
          <w:p w14:paraId="171A8FDF" w14:textId="77777777" w:rsidR="002411FC" w:rsidRPr="00512D7B" w:rsidRDefault="002411FC" w:rsidP="00DD4D39">
            <w:pPr>
              <w:pStyle w:val="COMTabletext"/>
              <w:keepLines w:val="0"/>
            </w:pPr>
            <w:r w:rsidRPr="00512D7B">
              <w:t>Cost/patient/course</w:t>
            </w:r>
          </w:p>
        </w:tc>
        <w:tc>
          <w:tcPr>
            <w:tcW w:w="1380" w:type="pct"/>
            <w:vAlign w:val="center"/>
          </w:tcPr>
          <w:p w14:paraId="710E1947" w14:textId="77777777" w:rsidR="002411FC" w:rsidRPr="00512D7B" w:rsidRDefault="002411FC" w:rsidP="00DD4D39">
            <w:pPr>
              <w:pStyle w:val="COMTabletext"/>
              <w:keepLines w:val="0"/>
              <w:jc w:val="center"/>
            </w:pPr>
            <w:r w:rsidRPr="00512D7B">
              <w:t>-</w:t>
            </w:r>
          </w:p>
        </w:tc>
        <w:tc>
          <w:tcPr>
            <w:tcW w:w="1380" w:type="pct"/>
            <w:vAlign w:val="center"/>
          </w:tcPr>
          <w:p w14:paraId="44ECACA2" w14:textId="77777777" w:rsidR="002411FC" w:rsidRPr="00512D7B" w:rsidRDefault="002411FC" w:rsidP="00DD4D39">
            <w:pPr>
              <w:pStyle w:val="COMTabletext"/>
              <w:keepLines w:val="0"/>
              <w:jc w:val="center"/>
            </w:pPr>
            <w:r w:rsidRPr="00512D7B">
              <w:t>$139</w:t>
            </w:r>
          </w:p>
        </w:tc>
        <w:tc>
          <w:tcPr>
            <w:tcW w:w="1379" w:type="pct"/>
            <w:vAlign w:val="center"/>
          </w:tcPr>
          <w:p w14:paraId="46A795CC" w14:textId="77777777" w:rsidR="002411FC" w:rsidRPr="00512D7B" w:rsidRDefault="002411FC" w:rsidP="00DD4D39">
            <w:pPr>
              <w:pStyle w:val="COMTabletext"/>
              <w:keepLines w:val="0"/>
              <w:jc w:val="center"/>
            </w:pPr>
            <w:r w:rsidRPr="00512D7B">
              <w:t>$140</w:t>
            </w:r>
          </w:p>
        </w:tc>
      </w:tr>
      <w:tr w:rsidR="002411FC" w:rsidRPr="00512D7B" w14:paraId="6C53C066" w14:textId="77777777">
        <w:trPr>
          <w:cantSplit/>
          <w:jc w:val="center"/>
        </w:trPr>
        <w:tc>
          <w:tcPr>
            <w:tcW w:w="5000" w:type="pct"/>
            <w:gridSpan w:val="4"/>
            <w:vAlign w:val="center"/>
          </w:tcPr>
          <w:p w14:paraId="49DE32E8" w14:textId="77777777" w:rsidR="002411FC" w:rsidRPr="00512D7B" w:rsidRDefault="002411FC" w:rsidP="00DD4D39">
            <w:pPr>
              <w:pStyle w:val="COMTabletext"/>
              <w:keepLines w:val="0"/>
              <w:jc w:val="both"/>
              <w:rPr>
                <w:b/>
                <w:bCs w:val="0"/>
              </w:rPr>
            </w:pPr>
            <w:r w:rsidRPr="00512D7B">
              <w:rPr>
                <w:b/>
                <w:bCs w:val="0"/>
              </w:rPr>
              <w:t>DBd</w:t>
            </w:r>
          </w:p>
        </w:tc>
      </w:tr>
      <w:tr w:rsidR="002411FC" w:rsidRPr="00A172A2" w14:paraId="4A27F58D" w14:textId="77777777">
        <w:trPr>
          <w:cantSplit/>
          <w:jc w:val="center"/>
        </w:trPr>
        <w:tc>
          <w:tcPr>
            <w:tcW w:w="5000" w:type="pct"/>
            <w:gridSpan w:val="4"/>
            <w:vAlign w:val="center"/>
          </w:tcPr>
          <w:p w14:paraId="64090C41" w14:textId="77777777" w:rsidR="002411FC" w:rsidRPr="00A172A2" w:rsidRDefault="002411FC" w:rsidP="00DD4D39">
            <w:pPr>
              <w:pStyle w:val="COMTabletext"/>
              <w:keepLines w:val="0"/>
              <w:jc w:val="both"/>
              <w:rPr>
                <w:b/>
                <w:bCs w:val="0"/>
                <w:smallCaps/>
              </w:rPr>
            </w:pPr>
            <w:r w:rsidRPr="00A172A2">
              <w:rPr>
                <w:b/>
                <w:bCs w:val="0"/>
                <w:smallCaps/>
              </w:rPr>
              <w:t>Daratumumab</w:t>
            </w:r>
          </w:p>
        </w:tc>
      </w:tr>
      <w:tr w:rsidR="002411FC" w:rsidRPr="00512D7B" w14:paraId="216F42AB" w14:textId="77777777">
        <w:trPr>
          <w:cantSplit/>
          <w:jc w:val="center"/>
        </w:trPr>
        <w:tc>
          <w:tcPr>
            <w:tcW w:w="861" w:type="pct"/>
            <w:vAlign w:val="center"/>
          </w:tcPr>
          <w:p w14:paraId="7A03F730" w14:textId="77777777" w:rsidR="002411FC" w:rsidRPr="00512D7B" w:rsidRDefault="002411FC" w:rsidP="00DD4D39">
            <w:pPr>
              <w:pStyle w:val="COMTabletext"/>
              <w:keepLines w:val="0"/>
            </w:pPr>
            <w:r w:rsidRPr="00512D7B">
              <w:t>Cost per script</w:t>
            </w:r>
          </w:p>
        </w:tc>
        <w:tc>
          <w:tcPr>
            <w:tcW w:w="1380" w:type="pct"/>
            <w:vAlign w:val="center"/>
          </w:tcPr>
          <w:p w14:paraId="052EEBE5" w14:textId="77777777" w:rsidR="002411FC" w:rsidRPr="00512D7B" w:rsidRDefault="002411FC" w:rsidP="00DD4D39">
            <w:pPr>
              <w:pStyle w:val="COMTabletext"/>
              <w:keepLines w:val="0"/>
              <w:jc w:val="center"/>
            </w:pPr>
            <w:r w:rsidRPr="00512D7B">
              <w:t>-</w:t>
            </w:r>
          </w:p>
        </w:tc>
        <w:tc>
          <w:tcPr>
            <w:tcW w:w="1380" w:type="pct"/>
            <w:vAlign w:val="center"/>
          </w:tcPr>
          <w:p w14:paraId="741C629E" w14:textId="5284F002" w:rsidR="002411FC" w:rsidRPr="00512D7B" w:rsidRDefault="002411FC" w:rsidP="00DD4D39">
            <w:pPr>
              <w:pStyle w:val="COMTabletext"/>
              <w:keepLines w:val="0"/>
              <w:jc w:val="center"/>
              <w:rPr>
                <w:vertAlign w:val="superscript"/>
              </w:rPr>
            </w:pPr>
            <w:r w:rsidRPr="00512D7B">
              <w:t xml:space="preserve">$7,776.99 </w:t>
            </w:r>
            <w:r w:rsidR="00B657D3">
              <w:rPr>
                <w:vertAlign w:val="superscript"/>
              </w:rPr>
              <w:t>h</w:t>
            </w:r>
          </w:p>
        </w:tc>
        <w:tc>
          <w:tcPr>
            <w:tcW w:w="1379" w:type="pct"/>
            <w:vAlign w:val="center"/>
          </w:tcPr>
          <w:p w14:paraId="00002A9C" w14:textId="50F87057" w:rsidR="002411FC" w:rsidRPr="00512D7B" w:rsidRDefault="002411FC" w:rsidP="00DD4D39">
            <w:pPr>
              <w:pStyle w:val="COMTabletext"/>
              <w:keepLines w:val="0"/>
              <w:jc w:val="center"/>
              <w:rPr>
                <w:vertAlign w:val="superscript"/>
              </w:rPr>
            </w:pPr>
            <w:r w:rsidRPr="00512D7B">
              <w:t xml:space="preserve">$7,776.99 </w:t>
            </w:r>
            <w:r w:rsidR="00B657D3">
              <w:rPr>
                <w:vertAlign w:val="superscript"/>
              </w:rPr>
              <w:t>i</w:t>
            </w:r>
          </w:p>
        </w:tc>
      </w:tr>
      <w:tr w:rsidR="002411FC" w:rsidRPr="00512D7B" w14:paraId="6A890DD3" w14:textId="77777777">
        <w:trPr>
          <w:cantSplit/>
          <w:jc w:val="center"/>
        </w:trPr>
        <w:tc>
          <w:tcPr>
            <w:tcW w:w="861" w:type="pct"/>
            <w:vAlign w:val="center"/>
          </w:tcPr>
          <w:p w14:paraId="445D631A" w14:textId="77777777" w:rsidR="002411FC" w:rsidRPr="00512D7B" w:rsidRDefault="002411FC" w:rsidP="00DD4D39">
            <w:pPr>
              <w:pStyle w:val="COMTabletext"/>
              <w:keepLines w:val="0"/>
            </w:pPr>
            <w:r w:rsidRPr="00512D7B">
              <w:t>Treatment regimen</w:t>
            </w:r>
          </w:p>
        </w:tc>
        <w:tc>
          <w:tcPr>
            <w:tcW w:w="4139" w:type="pct"/>
            <w:gridSpan w:val="3"/>
            <w:vAlign w:val="center"/>
          </w:tcPr>
          <w:p w14:paraId="4DAFC0EC" w14:textId="77777777" w:rsidR="002411FC" w:rsidRPr="00512D7B" w:rsidRDefault="002411FC" w:rsidP="00DD4D39">
            <w:pPr>
              <w:pStyle w:val="COMTabletext"/>
              <w:keepLines w:val="0"/>
              <w:jc w:val="center"/>
            </w:pPr>
            <w:r w:rsidRPr="00512D7B">
              <w:t>16 mg/kg IV once a week for 3 × 21-day cycles (9 weeks), once every 3 weeks for 5 × 21-day cycles (15 weeks), and once 4 weeks thereafter (until disease progression).</w:t>
            </w:r>
          </w:p>
        </w:tc>
      </w:tr>
      <w:tr w:rsidR="002411FC" w:rsidRPr="00512D7B" w14:paraId="454277A0" w14:textId="77777777">
        <w:trPr>
          <w:cantSplit/>
          <w:jc w:val="center"/>
        </w:trPr>
        <w:tc>
          <w:tcPr>
            <w:tcW w:w="861" w:type="pct"/>
            <w:vAlign w:val="center"/>
          </w:tcPr>
          <w:p w14:paraId="26E44DAB" w14:textId="77777777" w:rsidR="002411FC" w:rsidRPr="00512D7B" w:rsidRDefault="002411FC" w:rsidP="00DD4D39">
            <w:pPr>
              <w:pStyle w:val="COMTabletext"/>
              <w:keepLines w:val="0"/>
            </w:pPr>
            <w:r w:rsidRPr="00512D7B">
              <w:t>Adherence</w:t>
            </w:r>
          </w:p>
        </w:tc>
        <w:tc>
          <w:tcPr>
            <w:tcW w:w="1380" w:type="pct"/>
            <w:vAlign w:val="center"/>
          </w:tcPr>
          <w:p w14:paraId="1F844FD2" w14:textId="77777777" w:rsidR="002411FC" w:rsidRPr="00512D7B" w:rsidRDefault="002411FC" w:rsidP="00DD4D39">
            <w:pPr>
              <w:pStyle w:val="COMTabletext"/>
              <w:keepLines w:val="0"/>
              <w:jc w:val="center"/>
              <w:rPr>
                <w:vertAlign w:val="superscript"/>
              </w:rPr>
            </w:pPr>
            <w:r w:rsidRPr="00512D7B">
              <w:t xml:space="preserve">Cycles 1-3: 87.1% </w:t>
            </w:r>
            <w:r w:rsidRPr="00512D7B">
              <w:rPr>
                <w:vertAlign w:val="superscript"/>
              </w:rPr>
              <w:t>c</w:t>
            </w:r>
          </w:p>
          <w:p w14:paraId="31F6F5B2" w14:textId="77777777" w:rsidR="002411FC" w:rsidRPr="00512D7B" w:rsidRDefault="002411FC" w:rsidP="00DD4D39">
            <w:pPr>
              <w:pStyle w:val="COMTabletext"/>
              <w:keepLines w:val="0"/>
              <w:jc w:val="center"/>
              <w:rPr>
                <w:vertAlign w:val="superscript"/>
              </w:rPr>
            </w:pPr>
            <w:r w:rsidRPr="00512D7B">
              <w:t xml:space="preserve">Cycles 4-8: 95.6% </w:t>
            </w:r>
            <w:r w:rsidRPr="00512D7B">
              <w:rPr>
                <w:vertAlign w:val="superscript"/>
              </w:rPr>
              <w:t>c</w:t>
            </w:r>
          </w:p>
          <w:p w14:paraId="6A3C6F4D" w14:textId="77777777" w:rsidR="002411FC" w:rsidRPr="00512D7B" w:rsidRDefault="002411FC" w:rsidP="00DD4D39">
            <w:pPr>
              <w:pStyle w:val="COMTabletext"/>
              <w:keepLines w:val="0"/>
              <w:jc w:val="center"/>
              <w:rPr>
                <w:vertAlign w:val="superscript"/>
              </w:rPr>
            </w:pPr>
            <w:r w:rsidRPr="00512D7B">
              <w:t xml:space="preserve">Cycle 9+: 97.0% </w:t>
            </w:r>
            <w:r w:rsidRPr="00512D7B">
              <w:rPr>
                <w:vertAlign w:val="superscript"/>
              </w:rPr>
              <w:t>c</w:t>
            </w:r>
          </w:p>
        </w:tc>
        <w:tc>
          <w:tcPr>
            <w:tcW w:w="1380" w:type="pct"/>
            <w:vAlign w:val="center"/>
          </w:tcPr>
          <w:p w14:paraId="2B86BB4F" w14:textId="77777777" w:rsidR="002411FC" w:rsidRPr="00512D7B" w:rsidRDefault="002411FC" w:rsidP="00DD4D39">
            <w:pPr>
              <w:pStyle w:val="COMTabletext"/>
              <w:keepLines w:val="0"/>
              <w:jc w:val="center"/>
              <w:rPr>
                <w:vertAlign w:val="superscript"/>
              </w:rPr>
            </w:pPr>
            <w:r w:rsidRPr="00512D7B">
              <w:t xml:space="preserve">97.2% </w:t>
            </w:r>
            <w:r w:rsidRPr="00512D7B">
              <w:rPr>
                <w:vertAlign w:val="superscript"/>
              </w:rPr>
              <w:t>j</w:t>
            </w:r>
          </w:p>
        </w:tc>
        <w:tc>
          <w:tcPr>
            <w:tcW w:w="1379" w:type="pct"/>
            <w:vAlign w:val="center"/>
          </w:tcPr>
          <w:p w14:paraId="6ACC9379" w14:textId="77777777" w:rsidR="002411FC" w:rsidRPr="00512D7B" w:rsidRDefault="002411FC" w:rsidP="00DD4D39">
            <w:pPr>
              <w:pStyle w:val="COMTabletext"/>
              <w:keepLines w:val="0"/>
              <w:jc w:val="center"/>
              <w:rPr>
                <w:vertAlign w:val="superscript"/>
              </w:rPr>
            </w:pPr>
            <w:r w:rsidRPr="00512D7B">
              <w:t xml:space="preserve">97.0% </w:t>
            </w:r>
            <w:r w:rsidRPr="00512D7B">
              <w:rPr>
                <w:vertAlign w:val="superscript"/>
              </w:rPr>
              <w:t>j</w:t>
            </w:r>
          </w:p>
        </w:tc>
      </w:tr>
      <w:tr w:rsidR="002411FC" w:rsidRPr="00512D7B" w14:paraId="3A4EF473" w14:textId="77777777">
        <w:trPr>
          <w:cantSplit/>
          <w:jc w:val="center"/>
        </w:trPr>
        <w:tc>
          <w:tcPr>
            <w:tcW w:w="861" w:type="pct"/>
            <w:vAlign w:val="center"/>
          </w:tcPr>
          <w:p w14:paraId="21F419E8" w14:textId="77777777" w:rsidR="002411FC" w:rsidRPr="00512D7B" w:rsidRDefault="002411FC" w:rsidP="00DD4D39">
            <w:pPr>
              <w:pStyle w:val="COMTabletext"/>
              <w:keepLines w:val="0"/>
            </w:pPr>
            <w:r w:rsidRPr="00512D7B">
              <w:t>Persistence</w:t>
            </w:r>
          </w:p>
        </w:tc>
        <w:tc>
          <w:tcPr>
            <w:tcW w:w="1380" w:type="pct"/>
            <w:vAlign w:val="center"/>
          </w:tcPr>
          <w:p w14:paraId="2C929886" w14:textId="77777777" w:rsidR="002411FC" w:rsidRPr="00512D7B" w:rsidRDefault="002411FC" w:rsidP="00DD4D39">
            <w:pPr>
              <w:pStyle w:val="COMTabletext"/>
              <w:keepLines w:val="0"/>
              <w:jc w:val="center"/>
              <w:rPr>
                <w:highlight w:val="yellow"/>
                <w:vertAlign w:val="superscript"/>
              </w:rPr>
            </w:pPr>
            <w:r w:rsidRPr="00512D7B">
              <w:t xml:space="preserve">15.5 cycles </w:t>
            </w:r>
            <w:r w:rsidRPr="00512D7B">
              <w:rPr>
                <w:vertAlign w:val="superscript"/>
              </w:rPr>
              <w:t>d</w:t>
            </w:r>
          </w:p>
        </w:tc>
        <w:tc>
          <w:tcPr>
            <w:tcW w:w="1380" w:type="pct"/>
            <w:vAlign w:val="center"/>
          </w:tcPr>
          <w:p w14:paraId="0EF20BD9" w14:textId="65FA9DDC" w:rsidR="002411FC" w:rsidRPr="001543A5" w:rsidRDefault="002411FC" w:rsidP="00DD4D39">
            <w:pPr>
              <w:pStyle w:val="COMTabletext"/>
              <w:keepLines w:val="0"/>
              <w:jc w:val="center"/>
              <w:rPr>
                <w:vertAlign w:val="superscript"/>
              </w:rPr>
            </w:pPr>
            <w:r w:rsidRPr="001543A5">
              <w:t xml:space="preserve">Cycles 1-3: 8.42 weeks </w:t>
            </w:r>
            <w:r w:rsidR="00B657D3" w:rsidRPr="001543A5">
              <w:rPr>
                <w:vertAlign w:val="superscript"/>
              </w:rPr>
              <w:t>k</w:t>
            </w:r>
          </w:p>
          <w:p w14:paraId="76BD3C06" w14:textId="5A86DC1C" w:rsidR="002411FC" w:rsidRPr="001543A5" w:rsidRDefault="002411FC" w:rsidP="00DD4D39">
            <w:pPr>
              <w:pStyle w:val="COMTabletext"/>
              <w:keepLines w:val="0"/>
              <w:jc w:val="center"/>
              <w:rPr>
                <w:vertAlign w:val="superscript"/>
              </w:rPr>
            </w:pPr>
            <w:r w:rsidRPr="001543A5">
              <w:t xml:space="preserve">Cycles 4-8: 11.72 weeks </w:t>
            </w:r>
            <w:r w:rsidR="00B657D3" w:rsidRPr="001543A5">
              <w:rPr>
                <w:vertAlign w:val="superscript"/>
              </w:rPr>
              <w:t>k</w:t>
            </w:r>
          </w:p>
          <w:p w14:paraId="54B4BB39" w14:textId="02B6FA30" w:rsidR="002411FC" w:rsidRPr="001543A5" w:rsidRDefault="002411FC" w:rsidP="00DD4D39">
            <w:pPr>
              <w:pStyle w:val="COMTabletext"/>
              <w:keepLines w:val="0"/>
              <w:jc w:val="center"/>
              <w:rPr>
                <w:vertAlign w:val="superscript"/>
              </w:rPr>
            </w:pPr>
            <w:r w:rsidRPr="001543A5">
              <w:t xml:space="preserve">Cycle 9+: 59.50 weeks </w:t>
            </w:r>
            <w:r w:rsidR="00B657D3" w:rsidRPr="001543A5">
              <w:rPr>
                <w:vertAlign w:val="superscript"/>
              </w:rPr>
              <w:t>k</w:t>
            </w:r>
          </w:p>
        </w:tc>
        <w:tc>
          <w:tcPr>
            <w:tcW w:w="1379" w:type="pct"/>
            <w:vAlign w:val="center"/>
          </w:tcPr>
          <w:p w14:paraId="347F5C17" w14:textId="40A8B903" w:rsidR="002411FC" w:rsidRPr="001543A5" w:rsidRDefault="002411FC" w:rsidP="00DD4D39">
            <w:pPr>
              <w:pStyle w:val="COMTabletext"/>
              <w:keepLines w:val="0"/>
              <w:jc w:val="center"/>
              <w:rPr>
                <w:vertAlign w:val="superscript"/>
              </w:rPr>
            </w:pPr>
            <w:r w:rsidRPr="001543A5">
              <w:t xml:space="preserve">Cycles 1-3: 8.42 weeks </w:t>
            </w:r>
            <w:r w:rsidR="00B657D3" w:rsidRPr="001543A5">
              <w:rPr>
                <w:vertAlign w:val="superscript"/>
              </w:rPr>
              <w:t>k</w:t>
            </w:r>
          </w:p>
          <w:p w14:paraId="14FCA4CB" w14:textId="23CE7D10" w:rsidR="002411FC" w:rsidRPr="001543A5" w:rsidRDefault="002411FC" w:rsidP="00DD4D39">
            <w:pPr>
              <w:pStyle w:val="COMTabletext"/>
              <w:keepLines w:val="0"/>
              <w:jc w:val="center"/>
              <w:rPr>
                <w:vertAlign w:val="superscript"/>
              </w:rPr>
            </w:pPr>
            <w:r w:rsidRPr="001543A5">
              <w:t xml:space="preserve">Cycles 4-8: 11.72 weeks </w:t>
            </w:r>
            <w:r w:rsidR="00B657D3" w:rsidRPr="001543A5">
              <w:rPr>
                <w:vertAlign w:val="superscript"/>
              </w:rPr>
              <w:t>k</w:t>
            </w:r>
          </w:p>
          <w:p w14:paraId="3B4AA955" w14:textId="43A0988B" w:rsidR="002411FC" w:rsidRPr="001543A5" w:rsidRDefault="002411FC" w:rsidP="00DD4D39">
            <w:pPr>
              <w:pStyle w:val="COMTabletext"/>
              <w:keepLines w:val="0"/>
              <w:jc w:val="center"/>
              <w:rPr>
                <w:vertAlign w:val="superscript"/>
              </w:rPr>
            </w:pPr>
            <w:r w:rsidRPr="001543A5">
              <w:t xml:space="preserve">Cycle 9+: 59.50 weeks </w:t>
            </w:r>
            <w:r w:rsidR="00B657D3" w:rsidRPr="001543A5">
              <w:rPr>
                <w:vertAlign w:val="superscript"/>
              </w:rPr>
              <w:t>k</w:t>
            </w:r>
          </w:p>
        </w:tc>
      </w:tr>
      <w:tr w:rsidR="002411FC" w:rsidRPr="00512D7B" w14:paraId="3D18E0BD" w14:textId="77777777">
        <w:trPr>
          <w:cantSplit/>
          <w:jc w:val="center"/>
        </w:trPr>
        <w:tc>
          <w:tcPr>
            <w:tcW w:w="861" w:type="pct"/>
            <w:vAlign w:val="center"/>
          </w:tcPr>
          <w:p w14:paraId="0204C010" w14:textId="77777777" w:rsidR="002411FC" w:rsidRPr="00512D7B" w:rsidRDefault="002411FC" w:rsidP="00DD4D39">
            <w:pPr>
              <w:pStyle w:val="COMTabletext"/>
              <w:keepLines w:val="0"/>
            </w:pPr>
            <w:r w:rsidRPr="00512D7B">
              <w:t>Cost/patient/course</w:t>
            </w:r>
          </w:p>
        </w:tc>
        <w:tc>
          <w:tcPr>
            <w:tcW w:w="1380" w:type="pct"/>
            <w:vAlign w:val="center"/>
          </w:tcPr>
          <w:p w14:paraId="0B48E8F4" w14:textId="77777777" w:rsidR="002411FC" w:rsidRPr="00512D7B" w:rsidRDefault="002411FC" w:rsidP="00DD4D39">
            <w:pPr>
              <w:pStyle w:val="COMTabletext"/>
              <w:keepLines w:val="0"/>
              <w:jc w:val="center"/>
            </w:pPr>
            <w:r w:rsidRPr="00512D7B">
              <w:t>-</w:t>
            </w:r>
          </w:p>
        </w:tc>
        <w:tc>
          <w:tcPr>
            <w:tcW w:w="1380" w:type="pct"/>
            <w:vAlign w:val="center"/>
          </w:tcPr>
          <w:p w14:paraId="071D8288" w14:textId="77777777" w:rsidR="002411FC" w:rsidRPr="00512D7B" w:rsidRDefault="002411FC" w:rsidP="00DD4D39">
            <w:pPr>
              <w:pStyle w:val="COMTabletext"/>
              <w:keepLines w:val="0"/>
              <w:jc w:val="center"/>
            </w:pPr>
            <w:r w:rsidRPr="00512D7B">
              <w:t>$214,781</w:t>
            </w:r>
          </w:p>
        </w:tc>
        <w:tc>
          <w:tcPr>
            <w:tcW w:w="1379" w:type="pct"/>
            <w:vAlign w:val="center"/>
          </w:tcPr>
          <w:p w14:paraId="1225541F" w14:textId="77777777" w:rsidR="002411FC" w:rsidRPr="00512D7B" w:rsidRDefault="002411FC" w:rsidP="00DD4D39">
            <w:pPr>
              <w:pStyle w:val="COMTabletext"/>
              <w:keepLines w:val="0"/>
              <w:jc w:val="center"/>
            </w:pPr>
            <w:r w:rsidRPr="00512D7B">
              <w:t>$205,201</w:t>
            </w:r>
          </w:p>
        </w:tc>
      </w:tr>
      <w:tr w:rsidR="002411FC" w:rsidRPr="00A172A2" w14:paraId="0943162C" w14:textId="77777777">
        <w:trPr>
          <w:cantSplit/>
          <w:jc w:val="center"/>
        </w:trPr>
        <w:tc>
          <w:tcPr>
            <w:tcW w:w="5000" w:type="pct"/>
            <w:gridSpan w:val="4"/>
            <w:vAlign w:val="center"/>
          </w:tcPr>
          <w:p w14:paraId="7E727D6F" w14:textId="77777777" w:rsidR="002411FC" w:rsidRPr="00A172A2" w:rsidRDefault="002411FC" w:rsidP="00DD4D39">
            <w:pPr>
              <w:pStyle w:val="COMTabletext"/>
              <w:keepLines w:val="0"/>
              <w:jc w:val="both"/>
              <w:rPr>
                <w:b/>
                <w:bCs w:val="0"/>
              </w:rPr>
            </w:pPr>
            <w:r w:rsidRPr="00A172A2">
              <w:rPr>
                <w:b/>
                <w:bCs w:val="0"/>
                <w:smallCaps/>
              </w:rPr>
              <w:t>Bortezomib</w:t>
            </w:r>
          </w:p>
        </w:tc>
      </w:tr>
      <w:tr w:rsidR="002411FC" w:rsidRPr="00512D7B" w14:paraId="3EDE4A81" w14:textId="77777777">
        <w:trPr>
          <w:cantSplit/>
          <w:jc w:val="center"/>
        </w:trPr>
        <w:tc>
          <w:tcPr>
            <w:tcW w:w="861" w:type="pct"/>
            <w:vAlign w:val="center"/>
          </w:tcPr>
          <w:p w14:paraId="306A3E64" w14:textId="77777777" w:rsidR="002411FC" w:rsidRPr="00512D7B" w:rsidRDefault="002411FC" w:rsidP="00DD4D39">
            <w:pPr>
              <w:pStyle w:val="COMTabletext"/>
              <w:keepLines w:val="0"/>
            </w:pPr>
            <w:r w:rsidRPr="00512D7B">
              <w:t>Cost/patient/course</w:t>
            </w:r>
          </w:p>
        </w:tc>
        <w:tc>
          <w:tcPr>
            <w:tcW w:w="1380" w:type="pct"/>
            <w:vAlign w:val="center"/>
          </w:tcPr>
          <w:p w14:paraId="76E8483C" w14:textId="77777777" w:rsidR="002411FC" w:rsidRPr="00512D7B" w:rsidRDefault="002411FC" w:rsidP="00DD4D39">
            <w:pPr>
              <w:pStyle w:val="COMTabletext"/>
              <w:keepLines w:val="0"/>
              <w:jc w:val="center"/>
            </w:pPr>
            <w:r w:rsidRPr="00512D7B">
              <w:t>-</w:t>
            </w:r>
          </w:p>
        </w:tc>
        <w:tc>
          <w:tcPr>
            <w:tcW w:w="1380" w:type="pct"/>
            <w:vAlign w:val="center"/>
          </w:tcPr>
          <w:p w14:paraId="482811B2" w14:textId="77777777" w:rsidR="002411FC" w:rsidRPr="00512D7B" w:rsidRDefault="002411FC" w:rsidP="00DD4D39">
            <w:pPr>
              <w:pStyle w:val="COMTabletext"/>
              <w:keepLines w:val="0"/>
              <w:jc w:val="center"/>
            </w:pPr>
            <w:r w:rsidRPr="00512D7B">
              <w:t>$3,887</w:t>
            </w:r>
          </w:p>
        </w:tc>
        <w:tc>
          <w:tcPr>
            <w:tcW w:w="1379" w:type="pct"/>
            <w:vAlign w:val="center"/>
          </w:tcPr>
          <w:p w14:paraId="443BA2B8" w14:textId="77777777" w:rsidR="002411FC" w:rsidRPr="00512D7B" w:rsidRDefault="002411FC" w:rsidP="00DD4D39">
            <w:pPr>
              <w:pStyle w:val="COMTabletext"/>
              <w:keepLines w:val="0"/>
              <w:jc w:val="center"/>
            </w:pPr>
            <w:r w:rsidRPr="00512D7B">
              <w:t>$3,025</w:t>
            </w:r>
          </w:p>
        </w:tc>
      </w:tr>
      <w:tr w:rsidR="002411FC" w:rsidRPr="00A172A2" w14:paraId="6C2157B3" w14:textId="77777777">
        <w:trPr>
          <w:cantSplit/>
          <w:jc w:val="center"/>
        </w:trPr>
        <w:tc>
          <w:tcPr>
            <w:tcW w:w="5000" w:type="pct"/>
            <w:gridSpan w:val="4"/>
            <w:vAlign w:val="center"/>
          </w:tcPr>
          <w:p w14:paraId="70DD12A6" w14:textId="77777777" w:rsidR="002411FC" w:rsidRPr="00A172A2" w:rsidRDefault="002411FC" w:rsidP="00DD4D39">
            <w:pPr>
              <w:pStyle w:val="COMTabletext"/>
              <w:keepLines w:val="0"/>
              <w:jc w:val="both"/>
              <w:rPr>
                <w:b/>
              </w:rPr>
            </w:pPr>
            <w:r w:rsidRPr="00A172A2">
              <w:rPr>
                <w:b/>
                <w:smallCaps/>
              </w:rPr>
              <w:t>Dexamethasone</w:t>
            </w:r>
          </w:p>
        </w:tc>
      </w:tr>
      <w:tr w:rsidR="002411FC" w:rsidRPr="00512D7B" w14:paraId="24C5E28B" w14:textId="77777777">
        <w:trPr>
          <w:cantSplit/>
          <w:jc w:val="center"/>
        </w:trPr>
        <w:tc>
          <w:tcPr>
            <w:tcW w:w="861" w:type="pct"/>
            <w:vAlign w:val="center"/>
          </w:tcPr>
          <w:p w14:paraId="3C43FE32" w14:textId="77777777" w:rsidR="002411FC" w:rsidRPr="00512D7B" w:rsidRDefault="002411FC" w:rsidP="00DD4D39">
            <w:pPr>
              <w:pStyle w:val="COMTabletext"/>
              <w:keepLines w:val="0"/>
            </w:pPr>
            <w:r w:rsidRPr="00512D7B">
              <w:t>Cost/patient/course</w:t>
            </w:r>
          </w:p>
        </w:tc>
        <w:tc>
          <w:tcPr>
            <w:tcW w:w="1380" w:type="pct"/>
            <w:vAlign w:val="center"/>
          </w:tcPr>
          <w:p w14:paraId="177B89A0" w14:textId="77777777" w:rsidR="002411FC" w:rsidRPr="00512D7B" w:rsidRDefault="002411FC" w:rsidP="00DD4D39">
            <w:pPr>
              <w:pStyle w:val="COMTabletext"/>
              <w:keepLines w:val="0"/>
              <w:jc w:val="center"/>
            </w:pPr>
            <w:r w:rsidRPr="00512D7B">
              <w:t>-</w:t>
            </w:r>
          </w:p>
        </w:tc>
        <w:tc>
          <w:tcPr>
            <w:tcW w:w="1380" w:type="pct"/>
            <w:vAlign w:val="center"/>
          </w:tcPr>
          <w:p w14:paraId="795B8135" w14:textId="77777777" w:rsidR="002411FC" w:rsidRPr="00512D7B" w:rsidRDefault="002411FC" w:rsidP="00DD4D39">
            <w:pPr>
              <w:pStyle w:val="COMTabletext"/>
              <w:keepLines w:val="0"/>
              <w:jc w:val="center"/>
            </w:pPr>
            <w:r w:rsidRPr="00512D7B">
              <w:t>$139</w:t>
            </w:r>
          </w:p>
        </w:tc>
        <w:tc>
          <w:tcPr>
            <w:tcW w:w="1379" w:type="pct"/>
            <w:vAlign w:val="center"/>
          </w:tcPr>
          <w:p w14:paraId="4678D666" w14:textId="77777777" w:rsidR="002411FC" w:rsidRPr="00512D7B" w:rsidRDefault="002411FC" w:rsidP="00DD4D39">
            <w:pPr>
              <w:pStyle w:val="COMTabletext"/>
              <w:keepLines w:val="0"/>
              <w:jc w:val="center"/>
            </w:pPr>
            <w:r w:rsidRPr="00512D7B">
              <w:t>$137</w:t>
            </w:r>
          </w:p>
        </w:tc>
      </w:tr>
    </w:tbl>
    <w:p w14:paraId="5690C004" w14:textId="77777777" w:rsidR="002411FC" w:rsidRPr="00512D7B" w:rsidRDefault="002411FC" w:rsidP="002411FC">
      <w:pPr>
        <w:pStyle w:val="COMTablefooter"/>
      </w:pPr>
      <w:r w:rsidRPr="00512D7B">
        <w:t xml:space="preserve">Source: Table 3.1101406, Table 3.1101506, Table 3.1101606, Table 3.1101706 of the October 2024 clinical study report supplementary data; Section 3 economic model Excel workbook; Section 4 financial implications Excel workbook. </w:t>
      </w:r>
    </w:p>
    <w:p w14:paraId="0A234B46" w14:textId="77777777" w:rsidR="002411FC" w:rsidRPr="00512D7B" w:rsidRDefault="002411FC" w:rsidP="002411FC">
      <w:pPr>
        <w:pStyle w:val="COMTablefooter"/>
      </w:pPr>
      <w:r w:rsidRPr="00512D7B">
        <w:t>Abbreviations: BmBd, belantamab mafodotin in combination with bortezomib and dexamethasone; cont., continuing treatment; DBd, daratumumab in combination with bortezomib and dexamethasone; init., initial treatment; IV, intravenous; PO, per oral; SC, subcutaneous; Y, Year.</w:t>
      </w:r>
    </w:p>
    <w:p w14:paraId="070B6C8A" w14:textId="77777777" w:rsidR="002411FC" w:rsidRPr="00512D7B" w:rsidRDefault="002411FC" w:rsidP="002411FC">
      <w:pPr>
        <w:pStyle w:val="COMTablefooter"/>
      </w:pPr>
      <w:proofErr w:type="spellStart"/>
      <w:r w:rsidRPr="00512D7B">
        <w:rPr>
          <w:vertAlign w:val="superscript"/>
        </w:rPr>
        <w:t>a</w:t>
      </w:r>
      <w:proofErr w:type="spellEnd"/>
      <w:r w:rsidRPr="00512D7B">
        <w:t xml:space="preserve"> The cost of belantamab mafodotin was derived based on an analysis of weekly vial utilisation in the DREAMM-7 trial and varied from week to week.</w:t>
      </w:r>
    </w:p>
    <w:p w14:paraId="5C4F8EC5" w14:textId="6B8719E4" w:rsidR="002411FC" w:rsidRPr="00512D7B" w:rsidRDefault="002411FC" w:rsidP="002411FC">
      <w:pPr>
        <w:pStyle w:val="COMTablefooter"/>
      </w:pPr>
      <w:r w:rsidRPr="00512D7B">
        <w:rPr>
          <w:vertAlign w:val="superscript"/>
        </w:rPr>
        <w:t>b</w:t>
      </w:r>
      <w:r w:rsidRPr="00512D7B">
        <w:t xml:space="preserve"> Based on the proposed effective AEMP of $</w:t>
      </w:r>
      <w:r w:rsidR="0040410B" w:rsidRPr="0040410B">
        <w:rPr>
          <w:highlight w:val="black"/>
        </w:rPr>
        <w:t>&amp;&amp;&amp;&amp;</w:t>
      </w:r>
      <w:r w:rsidRPr="00512D7B">
        <w:t xml:space="preserve"> per 100 mg vial and $</w:t>
      </w:r>
      <w:r w:rsidR="0040410B" w:rsidRPr="0040410B">
        <w:rPr>
          <w:highlight w:val="black"/>
        </w:rPr>
        <w:t>&amp;&amp;&amp;&amp;</w:t>
      </w:r>
      <w:r w:rsidRPr="00512D7B">
        <w:t xml:space="preserve"> per 70 mg vial. The average required number of 100 mg and 70 mg vials were derived separately, with markups applied on a proportional basis. The submission assumed that an average of 1.25 × 100 mg vials and 1.19 × 70 mg vials were required for a 2.5 mg/kg dose.</w:t>
      </w:r>
    </w:p>
    <w:p w14:paraId="732514F3" w14:textId="77777777" w:rsidR="002411FC" w:rsidRPr="00512D7B" w:rsidRDefault="002411FC" w:rsidP="002411FC">
      <w:pPr>
        <w:pStyle w:val="COMTablefooter"/>
      </w:pPr>
      <w:r w:rsidRPr="00512D7B">
        <w:rPr>
          <w:vertAlign w:val="superscript"/>
        </w:rPr>
        <w:t>c</w:t>
      </w:r>
      <w:r w:rsidRPr="00512D7B">
        <w:t xml:space="preserve"> Mean relative dose intensity for the lenalidomide-exposed subgroup in the DREAMM-7 trial at the October 2024 data cut.</w:t>
      </w:r>
    </w:p>
    <w:p w14:paraId="70A19201" w14:textId="77777777" w:rsidR="002411FC" w:rsidRPr="00512D7B" w:rsidRDefault="002411FC" w:rsidP="002411FC">
      <w:pPr>
        <w:pStyle w:val="COMTablefooter"/>
      </w:pPr>
      <w:r w:rsidRPr="00512D7B">
        <w:rPr>
          <w:vertAlign w:val="superscript"/>
        </w:rPr>
        <w:t>d</w:t>
      </w:r>
      <w:r w:rsidRPr="00512D7B">
        <w:t xml:space="preserve"> Mean number of treatment cycles at the time of the October 2024 data cut.</w:t>
      </w:r>
    </w:p>
    <w:p w14:paraId="016B2794" w14:textId="77777777" w:rsidR="002411FC" w:rsidRPr="00512D7B" w:rsidRDefault="002411FC" w:rsidP="002411FC">
      <w:pPr>
        <w:pStyle w:val="COMTablefooter"/>
      </w:pPr>
      <w:r w:rsidRPr="00512D7B">
        <w:rPr>
          <w:vertAlign w:val="superscript"/>
        </w:rPr>
        <w:t>e</w:t>
      </w:r>
      <w:r w:rsidRPr="00512D7B">
        <w:t xml:space="preserve"> The proportion of patients remaining on treatment at the start each year in the economic model.</w:t>
      </w:r>
    </w:p>
    <w:p w14:paraId="06DA0BF2" w14:textId="77777777" w:rsidR="002411FC" w:rsidRPr="00512D7B" w:rsidRDefault="002411FC" w:rsidP="002411FC">
      <w:pPr>
        <w:pStyle w:val="COMTablefooter"/>
      </w:pPr>
      <w:r w:rsidRPr="00512D7B">
        <w:rPr>
          <w:vertAlign w:val="superscript"/>
        </w:rPr>
        <w:t>f</w:t>
      </w:r>
      <w:r w:rsidRPr="00512D7B">
        <w:t xml:space="preserve"> Assumed dose intensity per dosing period versus a full dose of 2.5 mg/kg derived from weekly dosing data for the lenalidomide-exposed subgroup of the DREAMM-7 trial, including adjustment for the proportion of patients remaining on treatment.</w:t>
      </w:r>
    </w:p>
    <w:p w14:paraId="7608F8B6" w14:textId="4A7F62A8" w:rsidR="002411FC" w:rsidRPr="00512D7B" w:rsidRDefault="002411FC" w:rsidP="002411FC">
      <w:pPr>
        <w:pStyle w:val="COMTablefooter"/>
      </w:pPr>
      <w:r w:rsidRPr="00512D7B">
        <w:rPr>
          <w:vertAlign w:val="superscript"/>
        </w:rPr>
        <w:t>g</w:t>
      </w:r>
      <w:r w:rsidRPr="00512D7B">
        <w:t xml:space="preserve"> The cost per patient for belantamab mafodotin over the initial 6 years in the economic model was $</w:t>
      </w:r>
      <w:r w:rsidR="0040410B" w:rsidRPr="0040410B">
        <w:rPr>
          <w:highlight w:val="black"/>
        </w:rPr>
        <w:t>&amp;&amp;&amp;&amp;</w:t>
      </w:r>
      <w:r w:rsidRPr="00512D7B">
        <w:t>.</w:t>
      </w:r>
    </w:p>
    <w:p w14:paraId="07A0DDDE" w14:textId="51DF9780" w:rsidR="002411FC" w:rsidRPr="00512D7B" w:rsidRDefault="00B657D3" w:rsidP="002411FC">
      <w:pPr>
        <w:pStyle w:val="COMTablefooter"/>
      </w:pPr>
      <w:r>
        <w:rPr>
          <w:vertAlign w:val="superscript"/>
        </w:rPr>
        <w:t>h</w:t>
      </w:r>
      <w:r w:rsidRPr="00512D7B">
        <w:t xml:space="preserve"> </w:t>
      </w:r>
      <w:r w:rsidR="002411FC" w:rsidRPr="00512D7B">
        <w:t>Based on a dispensed price of $7,776.99 per script, assuming a requirement of 1,300 mg (derived assuming a dose of 16 mg/kg, a mean weight of 77.8 kg, including treatment adherence of 97.2%, with rounding of the resulting dose of 1,209 mg to the nearest vial), assuming 100% use of the intravenous formulation, and a 39%/61% weighted public/private hospital split.</w:t>
      </w:r>
    </w:p>
    <w:p w14:paraId="416C362F" w14:textId="09C3EC7C" w:rsidR="002411FC" w:rsidRDefault="00B657D3" w:rsidP="002411FC">
      <w:pPr>
        <w:pStyle w:val="COMTablefooter"/>
      </w:pPr>
      <w:r>
        <w:rPr>
          <w:vertAlign w:val="superscript"/>
        </w:rPr>
        <w:lastRenderedPageBreak/>
        <w:t>i</w:t>
      </w:r>
      <w:r w:rsidR="002411FC" w:rsidRPr="00512D7B">
        <w:t xml:space="preserve"> Based on a dispensed price of $7,776.99 per script, assuming a requirement of 1,300 mg (derived assuming a dose of 16 mg/kg, a mean weight of 77.8 kg, with rounding of the resulting dose of 1,245 mg to the nearest vial), assuming 100% use of the intravenous formulation, and a 39%/61% weighted public/private hospital split.</w:t>
      </w:r>
    </w:p>
    <w:p w14:paraId="59B176B0" w14:textId="77777777" w:rsidR="00B657D3" w:rsidRPr="00512D7B" w:rsidRDefault="00B657D3" w:rsidP="00B657D3">
      <w:pPr>
        <w:pStyle w:val="COMTablefooter"/>
      </w:pPr>
      <w:r w:rsidRPr="00512D7B">
        <w:rPr>
          <w:vertAlign w:val="superscript"/>
        </w:rPr>
        <w:t>j</w:t>
      </w:r>
      <w:r w:rsidRPr="00512D7B">
        <w:t xml:space="preserve"> In the economic model, treatment adherence was applied as part of the dose calculation; whereas in the financial estimates, treatment adherence was applied to the estimated number of scripts.</w:t>
      </w:r>
    </w:p>
    <w:p w14:paraId="6F678D2D" w14:textId="0E48F5F9" w:rsidR="002411FC" w:rsidRDefault="00EF0316" w:rsidP="002411FC">
      <w:pPr>
        <w:pStyle w:val="COMTablefooter"/>
      </w:pPr>
      <w:r>
        <w:rPr>
          <w:vertAlign w:val="superscript"/>
        </w:rPr>
        <w:t>k</w:t>
      </w:r>
      <w:r w:rsidR="002411FC" w:rsidRPr="00512D7B">
        <w:rPr>
          <w:vertAlign w:val="subscript"/>
        </w:rPr>
        <w:t xml:space="preserve"> </w:t>
      </w:r>
      <w:r w:rsidR="002411FC" w:rsidRPr="00512D7B">
        <w:t>Persistence based on the modelled time to treatment discontinuation for the DBd arm, assuming a maximum of 8 cycles for bortezomib and dexamethasone, and ongoing treatment for daratumumab.</w:t>
      </w:r>
    </w:p>
    <w:p w14:paraId="4F9DAED8" w14:textId="77047BD3" w:rsidR="003074E8" w:rsidRPr="003074E8" w:rsidRDefault="003074E8" w:rsidP="002411FC">
      <w:pPr>
        <w:pStyle w:val="COMTablefooter"/>
      </w:pPr>
      <w:r>
        <w:rPr>
          <w:vertAlign w:val="superscript"/>
        </w:rPr>
        <w:t>l</w:t>
      </w:r>
      <w:r>
        <w:t xml:space="preserve"> </w:t>
      </w:r>
      <w:r w:rsidRPr="003074E8">
        <w:rPr>
          <w:i/>
          <w:iCs/>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268768EF" w14:textId="3626F292" w:rsidR="00B60939" w:rsidRPr="00512D7B" w:rsidRDefault="00B60939" w:rsidP="002B05A1">
      <w:pPr>
        <w:pStyle w:val="COMESSubsectionheading"/>
        <w:rPr>
          <w:color w:val="auto"/>
        </w:rPr>
      </w:pPr>
      <w:bookmarkStart w:id="69" w:name="_Toc22897647"/>
      <w:bookmarkStart w:id="70" w:name="_Toc208839496"/>
      <w:bookmarkEnd w:id="67"/>
      <w:r w:rsidRPr="00512D7B">
        <w:rPr>
          <w:color w:val="auto"/>
        </w:rPr>
        <w:t>Estimated PBS usage &amp; financial implications</w:t>
      </w:r>
      <w:bookmarkEnd w:id="69"/>
      <w:bookmarkEnd w:id="70"/>
    </w:p>
    <w:p w14:paraId="1FEC619D" w14:textId="4C8BBDE7" w:rsidR="00AA553F" w:rsidRPr="00EF0316" w:rsidRDefault="00AA553F" w:rsidP="00AA553F">
      <w:pPr>
        <w:pStyle w:val="COMESnumberedpara"/>
      </w:pPr>
      <w:bookmarkStart w:id="71" w:name="_Toc22897648"/>
      <w:bookmarkStart w:id="72" w:name="_Toc208839497"/>
      <w:r w:rsidRPr="005A57D7">
        <w:t xml:space="preserve">This </w:t>
      </w:r>
      <w:r w:rsidRPr="00EF0316">
        <w:t xml:space="preserve">submission </w:t>
      </w:r>
      <w:r w:rsidR="00C60066" w:rsidRPr="00EF0316">
        <w:t>was</w:t>
      </w:r>
      <w:r w:rsidRPr="00EF0316">
        <w:t xml:space="preserve"> considered by DUSC. </w:t>
      </w:r>
    </w:p>
    <w:p w14:paraId="4A6976E9" w14:textId="77777777" w:rsidR="00AA553F" w:rsidRPr="00EF0316" w:rsidRDefault="00AA553F" w:rsidP="00AA553F">
      <w:pPr>
        <w:pStyle w:val="COMESnumberedpara"/>
      </w:pPr>
      <w:r w:rsidRPr="00EF0316">
        <w:t>The submission used a mixed epidemiological/market share approach to estimate the utilisation and financial implications of listing belantamab mafodotin for the treatment of patients with relapsed or refractory multiple myeloma after one prior line of therapy.</w:t>
      </w:r>
    </w:p>
    <w:p w14:paraId="4B03AF4C" w14:textId="150FBF6F" w:rsidR="00AA553F" w:rsidRPr="00EF0316" w:rsidRDefault="00AA553F" w:rsidP="00AA553F">
      <w:pPr>
        <w:pStyle w:val="COMESnumberedpara"/>
      </w:pPr>
      <w:r w:rsidRPr="00EF0316">
        <w:fldChar w:fldCharType="begin"/>
      </w:r>
      <w:r w:rsidRPr="00EF0316">
        <w:instrText xml:space="preserve"> REF _Ref104805262 \h  \* MERGEFORMAT </w:instrText>
      </w:r>
      <w:r w:rsidRPr="00EF0316">
        <w:fldChar w:fldCharType="separate"/>
      </w:r>
      <w:r w:rsidR="00674A1F" w:rsidRPr="00EF0316">
        <w:t xml:space="preserve">Table </w:t>
      </w:r>
      <w:r w:rsidR="00674A1F">
        <w:t>14</w:t>
      </w:r>
      <w:r w:rsidRPr="00EF0316">
        <w:fldChar w:fldCharType="end"/>
      </w:r>
      <w:r w:rsidRPr="00EF0316">
        <w:t xml:space="preserve"> presents the key inputs relied on in the financial estimates.</w:t>
      </w:r>
    </w:p>
    <w:p w14:paraId="4158D2CE" w14:textId="121E7C41" w:rsidR="0021449D" w:rsidRPr="00EF0316" w:rsidRDefault="00AA553F" w:rsidP="0021449D">
      <w:pPr>
        <w:pStyle w:val="COMTableFigurecaption"/>
        <w:rPr>
          <w:rStyle w:val="eop"/>
          <w:b w:val="0"/>
          <w:bCs w:val="0"/>
          <w:color w:val="000000"/>
          <w:szCs w:val="20"/>
          <w:shd w:val="clear" w:color="auto" w:fill="FFFFFF"/>
        </w:rPr>
      </w:pPr>
      <w:bookmarkStart w:id="73" w:name="_Ref104805262"/>
      <w:r w:rsidRPr="00EF0316">
        <w:t xml:space="preserve">Table </w:t>
      </w:r>
      <w:r w:rsidR="00BB23C8">
        <w:fldChar w:fldCharType="begin"/>
      </w:r>
      <w:r w:rsidR="00BB23C8">
        <w:instrText xml:space="preserve"> SEQ Table \* ARABIC </w:instrText>
      </w:r>
      <w:r w:rsidR="00BB23C8">
        <w:fldChar w:fldCharType="separate"/>
      </w:r>
      <w:r w:rsidR="00674A1F">
        <w:rPr>
          <w:noProof/>
        </w:rPr>
        <w:t>14</w:t>
      </w:r>
      <w:r w:rsidR="00BB23C8">
        <w:rPr>
          <w:noProof/>
        </w:rPr>
        <w:fldChar w:fldCharType="end"/>
      </w:r>
      <w:bookmarkEnd w:id="73"/>
      <w:r w:rsidRPr="00EF0316">
        <w:t xml:space="preserve">: </w:t>
      </w:r>
      <w:r w:rsidR="004944EC" w:rsidRPr="00EF0316">
        <w:t>Key d</w:t>
      </w:r>
      <w:r w:rsidR="0021449D" w:rsidRPr="00EF0316">
        <w:rPr>
          <w:rStyle w:val="normaltextrun"/>
          <w:color w:val="000000"/>
          <w:szCs w:val="20"/>
          <w:shd w:val="clear" w:color="auto" w:fill="FFFFFF"/>
        </w:rPr>
        <w:t>ata sources and parameter values applied in the utilisation and financial estimates</w:t>
      </w:r>
      <w:r w:rsidR="0021449D" w:rsidRPr="00EF0316">
        <w:rPr>
          <w:rStyle w:val="eop"/>
          <w:color w:val="000000"/>
          <w:szCs w:val="20"/>
          <w:shd w:val="clear" w:color="auto" w:fill="FFFFFF"/>
        </w:rPr>
        <w:t> </w:t>
      </w:r>
    </w:p>
    <w:tbl>
      <w:tblPr>
        <w:tblpPr w:leftFromText="180" w:rightFromText="180" w:vertAnchor="text" w:tblpXSpec="right" w:tblpY="1"/>
        <w:tblOverlap w:val="neve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ata sources and parameter values applied in the utilisation and financial estimates "/>
      </w:tblPr>
      <w:tblGrid>
        <w:gridCol w:w="1555"/>
        <w:gridCol w:w="1271"/>
        <w:gridCol w:w="2414"/>
        <w:gridCol w:w="3776"/>
      </w:tblGrid>
      <w:tr w:rsidR="0021449D" w:rsidRPr="0021449D" w14:paraId="3DCFC43C" w14:textId="77777777" w:rsidTr="001C3C06">
        <w:trPr>
          <w:cantSplit/>
          <w:tblHeader/>
        </w:trPr>
        <w:tc>
          <w:tcPr>
            <w:tcW w:w="1555" w:type="dxa"/>
            <w:tcBorders>
              <w:top w:val="single" w:sz="4" w:space="0" w:color="auto"/>
              <w:left w:val="single" w:sz="4" w:space="0" w:color="auto"/>
              <w:bottom w:val="single" w:sz="4" w:space="0" w:color="auto"/>
              <w:right w:val="single" w:sz="4" w:space="0" w:color="auto"/>
            </w:tcBorders>
          </w:tcPr>
          <w:p w14:paraId="079BF903" w14:textId="77777777" w:rsidR="0021449D" w:rsidRPr="0021449D" w:rsidRDefault="0021449D" w:rsidP="006A58D9">
            <w:pPr>
              <w:pStyle w:val="COMTableheadingrow"/>
            </w:pPr>
            <w:r w:rsidRPr="0021449D">
              <w:t>Data</w:t>
            </w:r>
          </w:p>
        </w:tc>
        <w:tc>
          <w:tcPr>
            <w:tcW w:w="1271" w:type="dxa"/>
            <w:tcBorders>
              <w:top w:val="single" w:sz="4" w:space="0" w:color="auto"/>
              <w:left w:val="single" w:sz="4" w:space="0" w:color="auto"/>
              <w:bottom w:val="single" w:sz="4" w:space="0" w:color="auto"/>
              <w:right w:val="single" w:sz="4" w:space="0" w:color="auto"/>
            </w:tcBorders>
          </w:tcPr>
          <w:p w14:paraId="05ACA935" w14:textId="77777777" w:rsidR="0021449D" w:rsidRPr="0021449D" w:rsidRDefault="0021449D" w:rsidP="006A58D9">
            <w:pPr>
              <w:pStyle w:val="COMTableheadingrow"/>
            </w:pPr>
            <w:r w:rsidRPr="0021449D">
              <w:t>Value</w:t>
            </w:r>
          </w:p>
        </w:tc>
        <w:tc>
          <w:tcPr>
            <w:tcW w:w="2414" w:type="dxa"/>
            <w:tcBorders>
              <w:top w:val="single" w:sz="4" w:space="0" w:color="auto"/>
              <w:left w:val="single" w:sz="4" w:space="0" w:color="auto"/>
              <w:bottom w:val="single" w:sz="4" w:space="0" w:color="auto"/>
              <w:right w:val="single" w:sz="4" w:space="0" w:color="auto"/>
            </w:tcBorders>
          </w:tcPr>
          <w:p w14:paraId="4BE403CF" w14:textId="77777777" w:rsidR="0021449D" w:rsidRPr="0021449D" w:rsidRDefault="0021449D" w:rsidP="006A58D9">
            <w:pPr>
              <w:pStyle w:val="COMTableheadingrow"/>
            </w:pPr>
            <w:r w:rsidRPr="0021449D">
              <w:t>Source</w:t>
            </w:r>
          </w:p>
        </w:tc>
        <w:tc>
          <w:tcPr>
            <w:tcW w:w="3776" w:type="dxa"/>
            <w:tcBorders>
              <w:top w:val="single" w:sz="4" w:space="0" w:color="auto"/>
              <w:left w:val="single" w:sz="4" w:space="0" w:color="auto"/>
              <w:bottom w:val="single" w:sz="4" w:space="0" w:color="auto"/>
              <w:right w:val="single" w:sz="4" w:space="0" w:color="auto"/>
            </w:tcBorders>
          </w:tcPr>
          <w:p w14:paraId="28D99256" w14:textId="4E7213F1" w:rsidR="0021449D" w:rsidRPr="0021449D" w:rsidRDefault="0021449D" w:rsidP="006A58D9">
            <w:pPr>
              <w:pStyle w:val="COMTableheadingrow"/>
            </w:pPr>
            <w:r w:rsidRPr="0021449D">
              <w:t>Comments</w:t>
            </w:r>
          </w:p>
        </w:tc>
      </w:tr>
      <w:tr w:rsidR="0021449D" w:rsidRPr="0021449D" w14:paraId="5729A584" w14:textId="77777777" w:rsidTr="001C3C06">
        <w:trPr>
          <w:cantSplit/>
        </w:trPr>
        <w:tc>
          <w:tcPr>
            <w:tcW w:w="9016" w:type="dxa"/>
            <w:gridSpan w:val="4"/>
            <w:tcBorders>
              <w:top w:val="single" w:sz="4" w:space="0" w:color="auto"/>
              <w:left w:val="single" w:sz="4" w:space="0" w:color="auto"/>
              <w:bottom w:val="single" w:sz="4" w:space="0" w:color="auto"/>
              <w:right w:val="single" w:sz="4" w:space="0" w:color="auto"/>
            </w:tcBorders>
          </w:tcPr>
          <w:p w14:paraId="66A80737" w14:textId="77777777" w:rsidR="0021449D" w:rsidRPr="0021449D" w:rsidRDefault="0021449D" w:rsidP="006A58D9">
            <w:pPr>
              <w:pStyle w:val="COMTableheadingrow"/>
            </w:pPr>
            <w:r w:rsidRPr="0021449D">
              <w:t>Eligible population</w:t>
            </w:r>
          </w:p>
        </w:tc>
      </w:tr>
      <w:tr w:rsidR="0021449D" w:rsidRPr="0021449D" w14:paraId="41E0515A" w14:textId="77777777" w:rsidTr="001C3C06">
        <w:trPr>
          <w:cantSplit/>
        </w:trPr>
        <w:tc>
          <w:tcPr>
            <w:tcW w:w="1555" w:type="dxa"/>
          </w:tcPr>
          <w:p w14:paraId="73BF9F4D" w14:textId="3E7B5AAB" w:rsidR="0021449D" w:rsidRPr="0021449D" w:rsidRDefault="0021449D" w:rsidP="006A58D9">
            <w:pPr>
              <w:pStyle w:val="COMTabletext"/>
            </w:pPr>
            <w:r w:rsidRPr="0021449D">
              <w:t xml:space="preserve">Prevalent first line </w:t>
            </w:r>
            <w:r>
              <w:t>MM</w:t>
            </w:r>
            <w:r w:rsidRPr="0021449D">
              <w:t xml:space="preserve"> patients in 2020-2024</w:t>
            </w:r>
          </w:p>
        </w:tc>
        <w:tc>
          <w:tcPr>
            <w:tcW w:w="1271" w:type="dxa"/>
            <w:tcBorders>
              <w:right w:val="single" w:sz="4" w:space="0" w:color="auto"/>
            </w:tcBorders>
          </w:tcPr>
          <w:p w14:paraId="194F51D3" w14:textId="3C21B591" w:rsidR="0021449D" w:rsidRPr="005F320A" w:rsidRDefault="0021449D" w:rsidP="006A58D9">
            <w:pPr>
              <w:pStyle w:val="COMTabletext"/>
              <w:rPr>
                <w:vertAlign w:val="superscript"/>
              </w:rPr>
            </w:pPr>
            <w:r w:rsidRPr="001C45D8">
              <w:t xml:space="preserve">2020: </w:t>
            </w:r>
            <w:r w:rsidR="0040410B" w:rsidRPr="0040410B">
              <w:rPr>
                <w:highlight w:val="black"/>
              </w:rPr>
              <w:t>&amp;&amp;&amp;&amp;</w:t>
            </w:r>
            <w:r w:rsidR="005F320A">
              <w:rPr>
                <w:vertAlign w:val="superscript"/>
              </w:rPr>
              <w:t>1</w:t>
            </w:r>
          </w:p>
          <w:p w14:paraId="1302C114" w14:textId="3A81947E" w:rsidR="0021449D" w:rsidRPr="005F320A" w:rsidRDefault="0021449D" w:rsidP="006A58D9">
            <w:pPr>
              <w:pStyle w:val="COMTabletext"/>
              <w:rPr>
                <w:vertAlign w:val="superscript"/>
              </w:rPr>
            </w:pPr>
            <w:r w:rsidRPr="001C45D8">
              <w:t xml:space="preserve">2021: </w:t>
            </w:r>
            <w:r w:rsidR="0040410B" w:rsidRPr="0040410B">
              <w:rPr>
                <w:highlight w:val="black"/>
              </w:rPr>
              <w:t>&amp;&amp;&amp;&amp;</w:t>
            </w:r>
            <w:r w:rsidR="005F320A">
              <w:rPr>
                <w:vertAlign w:val="superscript"/>
              </w:rPr>
              <w:t>1</w:t>
            </w:r>
          </w:p>
          <w:p w14:paraId="6BB5E34C" w14:textId="2E6C1E5E" w:rsidR="0021449D" w:rsidRPr="005F320A" w:rsidRDefault="0021449D" w:rsidP="006A58D9">
            <w:pPr>
              <w:pStyle w:val="COMTabletext"/>
              <w:rPr>
                <w:vertAlign w:val="superscript"/>
              </w:rPr>
            </w:pPr>
            <w:r w:rsidRPr="001C45D8">
              <w:t xml:space="preserve">2022: </w:t>
            </w:r>
            <w:r w:rsidR="0040410B" w:rsidRPr="0040410B">
              <w:rPr>
                <w:highlight w:val="black"/>
              </w:rPr>
              <w:t>&amp;&amp;&amp;&amp;</w:t>
            </w:r>
            <w:r w:rsidR="005F320A">
              <w:rPr>
                <w:vertAlign w:val="superscript"/>
              </w:rPr>
              <w:t>1</w:t>
            </w:r>
          </w:p>
          <w:p w14:paraId="3BDDBBF1" w14:textId="19376B54" w:rsidR="0021449D" w:rsidRPr="005F320A" w:rsidRDefault="0021449D" w:rsidP="006A58D9">
            <w:pPr>
              <w:pStyle w:val="COMTabletext"/>
              <w:rPr>
                <w:vertAlign w:val="superscript"/>
              </w:rPr>
            </w:pPr>
            <w:r w:rsidRPr="001C45D8">
              <w:t xml:space="preserve">2023: </w:t>
            </w:r>
            <w:r w:rsidR="0040410B" w:rsidRPr="0040410B">
              <w:rPr>
                <w:highlight w:val="black"/>
              </w:rPr>
              <w:t>&amp;&amp;&amp;&amp;</w:t>
            </w:r>
            <w:r w:rsidR="005F320A">
              <w:rPr>
                <w:vertAlign w:val="superscript"/>
              </w:rPr>
              <w:t>2</w:t>
            </w:r>
          </w:p>
          <w:p w14:paraId="447FE497" w14:textId="41135A6D" w:rsidR="0021449D" w:rsidRPr="005F320A" w:rsidRDefault="0021449D" w:rsidP="006A58D9">
            <w:pPr>
              <w:pStyle w:val="COMTabletext"/>
              <w:rPr>
                <w:vertAlign w:val="superscript"/>
              </w:rPr>
            </w:pPr>
            <w:r w:rsidRPr="001C45D8">
              <w:t xml:space="preserve">2024: </w:t>
            </w:r>
            <w:r w:rsidR="0040410B" w:rsidRPr="0040410B">
              <w:rPr>
                <w:highlight w:val="black"/>
              </w:rPr>
              <w:t>&amp;&amp;&amp;&amp;</w:t>
            </w:r>
            <w:r w:rsidR="005F320A">
              <w:rPr>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79715F1A" w14:textId="5C0D65EC" w:rsidR="0021449D" w:rsidRPr="0021449D" w:rsidRDefault="008476F0" w:rsidP="006A58D9">
            <w:pPr>
              <w:pStyle w:val="COMTabletext"/>
            </w:pPr>
            <w:r>
              <w:t>P</w:t>
            </w:r>
            <w:r w:rsidR="0021449D" w:rsidRPr="0021449D">
              <w:t xml:space="preserve">atients receiving first line </w:t>
            </w:r>
            <w:r w:rsidR="0021449D">
              <w:t>MM</w:t>
            </w:r>
            <w:r w:rsidR="0021449D" w:rsidRPr="0021449D">
              <w:t xml:space="preserve"> treatment from </w:t>
            </w:r>
            <w:r w:rsidR="00C77C14">
              <w:t>a</w:t>
            </w:r>
            <w:r w:rsidR="0021449D" w:rsidRPr="0021449D">
              <w:t xml:space="preserve"> 10% PBS sample data.</w:t>
            </w:r>
          </w:p>
        </w:tc>
        <w:tc>
          <w:tcPr>
            <w:tcW w:w="3776" w:type="dxa"/>
            <w:tcBorders>
              <w:left w:val="single" w:sz="4" w:space="0" w:color="auto"/>
            </w:tcBorders>
          </w:tcPr>
          <w:p w14:paraId="5DEF56C3" w14:textId="11B184DB" w:rsidR="0021449D" w:rsidRPr="0021449D" w:rsidRDefault="0021449D" w:rsidP="006A58D9">
            <w:pPr>
              <w:pStyle w:val="COMTabletext"/>
            </w:pPr>
            <w:r w:rsidRPr="0021449D">
              <w:t xml:space="preserve">There was limited information provided regarding the methodology used to identify first line prevalent patients. It </w:t>
            </w:r>
            <w:r w:rsidR="003D4D4B">
              <w:t>was</w:t>
            </w:r>
            <w:r w:rsidRPr="0021449D">
              <w:t xml:space="preserve"> unclear whether the analysis captured all first line </w:t>
            </w:r>
            <w:r w:rsidR="008F3AC9">
              <w:t>MM</w:t>
            </w:r>
            <w:r w:rsidRPr="0021449D">
              <w:t xml:space="preserve"> patients.</w:t>
            </w:r>
          </w:p>
        </w:tc>
      </w:tr>
      <w:tr w:rsidR="0021449D" w:rsidRPr="0021449D" w14:paraId="42690AA1" w14:textId="77777777" w:rsidTr="001C3C06">
        <w:trPr>
          <w:cantSplit/>
        </w:trPr>
        <w:tc>
          <w:tcPr>
            <w:tcW w:w="1555" w:type="dxa"/>
          </w:tcPr>
          <w:p w14:paraId="559DD3B8" w14:textId="62428E89" w:rsidR="0021449D" w:rsidRPr="0021449D" w:rsidRDefault="0021449D" w:rsidP="006A58D9">
            <w:pPr>
              <w:pStyle w:val="COMTabletext"/>
            </w:pPr>
            <w:r w:rsidRPr="0021449D">
              <w:t xml:space="preserve">Prevalent first line </w:t>
            </w:r>
            <w:r w:rsidR="003D4D4B">
              <w:t>MM</w:t>
            </w:r>
            <w:r w:rsidRPr="0021449D">
              <w:t xml:space="preserve"> patients in 2025</w:t>
            </w:r>
            <w:r w:rsidR="008F3AC9">
              <w:t xml:space="preserve"> and Year 1 of listing</w:t>
            </w:r>
          </w:p>
        </w:tc>
        <w:tc>
          <w:tcPr>
            <w:tcW w:w="1271" w:type="dxa"/>
            <w:tcBorders>
              <w:right w:val="single" w:sz="4" w:space="0" w:color="auto"/>
            </w:tcBorders>
          </w:tcPr>
          <w:p w14:paraId="4B6CE333" w14:textId="51EAD0A2" w:rsidR="0021449D" w:rsidRPr="005F320A" w:rsidRDefault="00FC3A01" w:rsidP="006A58D9">
            <w:pPr>
              <w:pStyle w:val="COMTabletext"/>
              <w:rPr>
                <w:vertAlign w:val="superscript"/>
              </w:rPr>
            </w:pPr>
            <w:r w:rsidRPr="0054422C">
              <w:t xml:space="preserve">2025: </w:t>
            </w:r>
            <w:r w:rsidR="0040410B" w:rsidRPr="0040410B">
              <w:rPr>
                <w:highlight w:val="black"/>
              </w:rPr>
              <w:t>&amp;&amp;&amp;&amp;</w:t>
            </w:r>
            <w:r w:rsidR="005F320A">
              <w:rPr>
                <w:vertAlign w:val="superscript"/>
              </w:rPr>
              <w:t>2</w:t>
            </w:r>
          </w:p>
          <w:p w14:paraId="22D01482" w14:textId="59A16D55" w:rsidR="00FC3A01" w:rsidRPr="005F320A" w:rsidRDefault="00FC3A01" w:rsidP="006A58D9">
            <w:pPr>
              <w:pStyle w:val="COMTabletext"/>
              <w:rPr>
                <w:vertAlign w:val="superscript"/>
              </w:rPr>
            </w:pPr>
            <w:r w:rsidRPr="0054422C">
              <w:t>2026:</w:t>
            </w:r>
            <w:r w:rsidR="0040410B" w:rsidRPr="0040410B">
              <w:rPr>
                <w:highlight w:val="black"/>
              </w:rPr>
              <w:t>&amp;&amp;&amp;&amp;</w:t>
            </w:r>
            <w:r w:rsidR="005F320A">
              <w:rPr>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097F85D5" w14:textId="675C8669" w:rsidR="0021449D" w:rsidRDefault="0021449D" w:rsidP="006A58D9">
            <w:pPr>
              <w:pStyle w:val="COMTabletext"/>
            </w:pPr>
            <w:r w:rsidRPr="0021449D">
              <w:t>Derived by applying the average annual growth rate in prevalent patients from 2020 to 2024 (7.16%) to the estimated number of prevalent patients in 2024.</w:t>
            </w:r>
            <w:r w:rsidR="00FC3A01">
              <w:t xml:space="preserve"> The 2026 number was assumed to equal the 2025 number.</w:t>
            </w:r>
          </w:p>
          <w:p w14:paraId="23AF90D3" w14:textId="639D610E" w:rsidR="008F3AC9" w:rsidRPr="0021449D" w:rsidRDefault="008F3AC9" w:rsidP="006A58D9">
            <w:pPr>
              <w:pStyle w:val="COMTabletext"/>
            </w:pPr>
          </w:p>
        </w:tc>
        <w:tc>
          <w:tcPr>
            <w:tcW w:w="3776" w:type="dxa"/>
            <w:tcBorders>
              <w:left w:val="single" w:sz="4" w:space="0" w:color="auto"/>
            </w:tcBorders>
          </w:tcPr>
          <w:p w14:paraId="1BEB98DC" w14:textId="11018AF9" w:rsidR="0021449D" w:rsidRDefault="0021449D" w:rsidP="006A58D9">
            <w:pPr>
              <w:pStyle w:val="COMTabletext"/>
            </w:pPr>
            <w:r w:rsidRPr="0021449D">
              <w:t xml:space="preserve">While the approach to estimate the growth rate appeared reasonable, it </w:t>
            </w:r>
            <w:r w:rsidR="003D4D4B">
              <w:t>was</w:t>
            </w:r>
            <w:r w:rsidR="003D4D4B" w:rsidRPr="0021449D">
              <w:t xml:space="preserve"> </w:t>
            </w:r>
            <w:r w:rsidRPr="0021449D">
              <w:t xml:space="preserve">unclear whether the 10% PBS sample data analysis accurately captured all first line </w:t>
            </w:r>
            <w:r w:rsidR="003D4D4B">
              <w:t>MM</w:t>
            </w:r>
            <w:r w:rsidRPr="0021449D">
              <w:t xml:space="preserve"> patients in 2020-2024.</w:t>
            </w:r>
          </w:p>
          <w:p w14:paraId="2522C840" w14:textId="5C0667AA" w:rsidR="008F3AC9" w:rsidRPr="0021449D" w:rsidRDefault="008F3AC9" w:rsidP="006A58D9">
            <w:pPr>
              <w:pStyle w:val="COMTabletext"/>
            </w:pPr>
            <w:r w:rsidRPr="0021449D">
              <w:t>No patients experiencing death or disease progression were removed from the prevalent pool in 2025, resulting in an overestimation of the prevalent population in Year 1 of listing (which carried over into subsequent years). However, a proportion of patients experiencing disease progression in 2025 would represent grandfathered patients.</w:t>
            </w:r>
          </w:p>
        </w:tc>
      </w:tr>
      <w:tr w:rsidR="0021449D" w:rsidRPr="0021449D" w14:paraId="12904747" w14:textId="77777777" w:rsidTr="001C3C06">
        <w:trPr>
          <w:cantSplit/>
        </w:trPr>
        <w:tc>
          <w:tcPr>
            <w:tcW w:w="1555" w:type="dxa"/>
          </w:tcPr>
          <w:p w14:paraId="626E6F6E" w14:textId="1BFF90FD" w:rsidR="0021449D" w:rsidRPr="0021449D" w:rsidRDefault="0021449D" w:rsidP="006A58D9">
            <w:pPr>
              <w:pStyle w:val="COMTabletext"/>
            </w:pPr>
            <w:r w:rsidRPr="0021449D">
              <w:t xml:space="preserve">Number of transplant eligible incident </w:t>
            </w:r>
            <w:r w:rsidR="008F3AC9">
              <w:t>MM</w:t>
            </w:r>
            <w:r w:rsidRPr="0021449D">
              <w:t xml:space="preserve"> patients in 202</w:t>
            </w:r>
            <w:r w:rsidR="008337DE">
              <w:t>2</w:t>
            </w:r>
            <w:r w:rsidRPr="0021449D">
              <w:t>-2024</w:t>
            </w:r>
          </w:p>
        </w:tc>
        <w:tc>
          <w:tcPr>
            <w:tcW w:w="1271" w:type="dxa"/>
            <w:tcBorders>
              <w:right w:val="single" w:sz="4" w:space="0" w:color="auto"/>
            </w:tcBorders>
          </w:tcPr>
          <w:p w14:paraId="41B5B158" w14:textId="1F2080D4" w:rsidR="0021449D" w:rsidRPr="005F320A" w:rsidRDefault="0021449D" w:rsidP="006A58D9">
            <w:pPr>
              <w:pStyle w:val="COMTabletext"/>
              <w:rPr>
                <w:vertAlign w:val="superscript"/>
              </w:rPr>
            </w:pPr>
            <w:r w:rsidRPr="0054422C">
              <w:t xml:space="preserve">2022: </w:t>
            </w:r>
            <w:r w:rsidR="0040410B" w:rsidRPr="0040410B">
              <w:rPr>
                <w:highlight w:val="black"/>
              </w:rPr>
              <w:t>&amp;&amp;&amp;&amp;</w:t>
            </w:r>
            <w:r w:rsidR="005F320A">
              <w:rPr>
                <w:vertAlign w:val="superscript"/>
              </w:rPr>
              <w:t>1</w:t>
            </w:r>
          </w:p>
          <w:p w14:paraId="72614366" w14:textId="07435B99" w:rsidR="0021449D" w:rsidRPr="005F320A" w:rsidRDefault="0021449D" w:rsidP="006A58D9">
            <w:pPr>
              <w:pStyle w:val="COMTabletext"/>
              <w:rPr>
                <w:vertAlign w:val="superscript"/>
              </w:rPr>
            </w:pPr>
            <w:r w:rsidRPr="0054422C">
              <w:t xml:space="preserve">2023: </w:t>
            </w:r>
            <w:r w:rsidR="0040410B" w:rsidRPr="0040410B">
              <w:rPr>
                <w:highlight w:val="black"/>
              </w:rPr>
              <w:t>&amp;&amp;&amp;&amp;</w:t>
            </w:r>
            <w:r w:rsidR="005F320A">
              <w:rPr>
                <w:vertAlign w:val="superscript"/>
              </w:rPr>
              <w:t>1</w:t>
            </w:r>
          </w:p>
          <w:p w14:paraId="1863965F" w14:textId="155C7116" w:rsidR="0021449D" w:rsidRPr="005F320A" w:rsidRDefault="0021449D" w:rsidP="006A58D9">
            <w:pPr>
              <w:pStyle w:val="COMTabletext"/>
              <w:rPr>
                <w:vertAlign w:val="superscript"/>
              </w:rPr>
            </w:pPr>
            <w:r w:rsidRPr="0054422C">
              <w:t xml:space="preserve">2024: </w:t>
            </w:r>
            <w:r w:rsidR="0040410B" w:rsidRPr="0040410B">
              <w:rPr>
                <w:highlight w:val="black"/>
              </w:rPr>
              <w:t>&amp;&amp;&amp;&amp;</w:t>
            </w:r>
            <w:r w:rsidR="005F320A">
              <w:rPr>
                <w:vertAlign w:val="superscript"/>
              </w:rPr>
              <w:t>1</w:t>
            </w:r>
          </w:p>
        </w:tc>
        <w:tc>
          <w:tcPr>
            <w:tcW w:w="2414" w:type="dxa"/>
            <w:vMerge w:val="restart"/>
            <w:tcBorders>
              <w:top w:val="single" w:sz="4" w:space="0" w:color="auto"/>
              <w:left w:val="single" w:sz="4" w:space="0" w:color="auto"/>
              <w:bottom w:val="single" w:sz="4" w:space="0" w:color="auto"/>
              <w:right w:val="single" w:sz="4" w:space="0" w:color="auto"/>
            </w:tcBorders>
          </w:tcPr>
          <w:p w14:paraId="08506100" w14:textId="06CD6CE6" w:rsidR="0021449D" w:rsidRPr="0021449D" w:rsidRDefault="00C77C14" w:rsidP="006A58D9">
            <w:pPr>
              <w:pStyle w:val="COMTabletext"/>
            </w:pPr>
            <w:r>
              <w:t>B</w:t>
            </w:r>
            <w:r w:rsidR="0021449D" w:rsidRPr="0021449D">
              <w:t xml:space="preserve">ased on </w:t>
            </w:r>
            <w:r>
              <w:t xml:space="preserve">a </w:t>
            </w:r>
            <w:r w:rsidR="0021449D" w:rsidRPr="0021449D">
              <w:t>10% PBS sample</w:t>
            </w:r>
            <w:r w:rsidR="00065098">
              <w:t xml:space="preserve">, </w:t>
            </w:r>
            <w:r w:rsidR="0021449D" w:rsidRPr="0021449D">
              <w:t xml:space="preserve"> determined by post-ASCT PBS item codes, PBS item codes specific to transplant eligibility/ineligibility, and patient age (patients not categorised </w:t>
            </w:r>
            <w:proofErr w:type="gramStart"/>
            <w:r w:rsidR="0021449D" w:rsidRPr="0021449D">
              <w:t>on the basis of</w:t>
            </w:r>
            <w:proofErr w:type="gramEnd"/>
            <w:r w:rsidR="0021449D" w:rsidRPr="0021449D">
              <w:t xml:space="preserve"> PBS item codes were assumed to be transplant eligible if aged ≤70 years).</w:t>
            </w:r>
          </w:p>
        </w:tc>
        <w:tc>
          <w:tcPr>
            <w:tcW w:w="3776" w:type="dxa"/>
            <w:vMerge w:val="restart"/>
            <w:tcBorders>
              <w:left w:val="single" w:sz="4" w:space="0" w:color="auto"/>
            </w:tcBorders>
          </w:tcPr>
          <w:p w14:paraId="2BC07D36" w14:textId="24D37D36" w:rsidR="0021449D" w:rsidRPr="0021449D" w:rsidRDefault="0021449D" w:rsidP="006A58D9">
            <w:pPr>
              <w:pStyle w:val="COMTabletext"/>
            </w:pPr>
            <w:r w:rsidRPr="0021449D">
              <w:t>There was a lack of information provided regarding the methodology used to identify first line incident patients. The item codes used to determine transplant eligibility were not provided</w:t>
            </w:r>
            <w:r w:rsidR="004944EC">
              <w:t xml:space="preserve"> and it was</w:t>
            </w:r>
            <w:r w:rsidRPr="0021449D">
              <w:t xml:space="preserve"> unclear how accurately the included criteria identified incident transplant eligible/ineligible patients.</w:t>
            </w:r>
          </w:p>
        </w:tc>
      </w:tr>
      <w:tr w:rsidR="0021449D" w:rsidRPr="0021449D" w14:paraId="27ED93C4" w14:textId="77777777" w:rsidTr="001C3C06">
        <w:trPr>
          <w:cantSplit/>
        </w:trPr>
        <w:tc>
          <w:tcPr>
            <w:tcW w:w="1555" w:type="dxa"/>
          </w:tcPr>
          <w:p w14:paraId="440B2D49" w14:textId="11D76F93" w:rsidR="0021449D" w:rsidRPr="0021449D" w:rsidRDefault="0021449D" w:rsidP="006A58D9">
            <w:pPr>
              <w:pStyle w:val="COMTabletext"/>
            </w:pPr>
            <w:r w:rsidRPr="0021449D">
              <w:t xml:space="preserve">Transplant ineligible incident </w:t>
            </w:r>
            <w:r w:rsidR="008F3AC9">
              <w:t>MM</w:t>
            </w:r>
            <w:r w:rsidR="00930E1B">
              <w:t xml:space="preserve"> </w:t>
            </w:r>
            <w:r w:rsidRPr="0021449D">
              <w:t>patients in 202</w:t>
            </w:r>
            <w:r w:rsidR="008337DE">
              <w:t>2</w:t>
            </w:r>
            <w:r w:rsidRPr="0021449D">
              <w:t>-2024</w:t>
            </w:r>
          </w:p>
        </w:tc>
        <w:tc>
          <w:tcPr>
            <w:tcW w:w="1271" w:type="dxa"/>
            <w:tcBorders>
              <w:right w:val="single" w:sz="4" w:space="0" w:color="auto"/>
            </w:tcBorders>
          </w:tcPr>
          <w:p w14:paraId="7BD50FB9" w14:textId="27A13D0A" w:rsidR="0021449D" w:rsidRPr="005F320A" w:rsidRDefault="0021449D" w:rsidP="006A58D9">
            <w:pPr>
              <w:pStyle w:val="COMTabletext"/>
              <w:rPr>
                <w:vertAlign w:val="superscript"/>
              </w:rPr>
            </w:pPr>
            <w:r w:rsidRPr="0054422C">
              <w:t xml:space="preserve">2022: </w:t>
            </w:r>
            <w:r w:rsidR="0040410B" w:rsidRPr="0040410B">
              <w:rPr>
                <w:highlight w:val="black"/>
              </w:rPr>
              <w:t>&amp;&amp;&amp;&amp;</w:t>
            </w:r>
            <w:r w:rsidR="005F320A">
              <w:rPr>
                <w:vertAlign w:val="superscript"/>
              </w:rPr>
              <w:t>1</w:t>
            </w:r>
          </w:p>
          <w:p w14:paraId="37C933FA" w14:textId="36DD5F4A" w:rsidR="0021449D" w:rsidRPr="005F320A" w:rsidRDefault="0021449D" w:rsidP="006A58D9">
            <w:pPr>
              <w:pStyle w:val="COMTabletext"/>
              <w:rPr>
                <w:vertAlign w:val="superscript"/>
              </w:rPr>
            </w:pPr>
            <w:r w:rsidRPr="0054422C">
              <w:t xml:space="preserve">2023: </w:t>
            </w:r>
            <w:r w:rsidR="0040410B" w:rsidRPr="0040410B">
              <w:rPr>
                <w:highlight w:val="black"/>
              </w:rPr>
              <w:t>&amp;&amp;&amp;&amp;</w:t>
            </w:r>
            <w:r w:rsidR="005F320A">
              <w:rPr>
                <w:vertAlign w:val="superscript"/>
              </w:rPr>
              <w:t>1</w:t>
            </w:r>
          </w:p>
          <w:p w14:paraId="3CDBDCC1" w14:textId="65D1C1D7" w:rsidR="0021449D" w:rsidRPr="005F320A" w:rsidRDefault="0021449D" w:rsidP="006A58D9">
            <w:pPr>
              <w:pStyle w:val="COMTabletext"/>
              <w:rPr>
                <w:vertAlign w:val="superscript"/>
              </w:rPr>
            </w:pPr>
            <w:r w:rsidRPr="0054422C">
              <w:t xml:space="preserve">2024: </w:t>
            </w:r>
            <w:r w:rsidR="0040410B" w:rsidRPr="0040410B">
              <w:rPr>
                <w:highlight w:val="black"/>
              </w:rPr>
              <w:t>&amp;&amp;&amp;&amp;</w:t>
            </w:r>
            <w:r w:rsidR="005F320A">
              <w:rPr>
                <w:vertAlign w:val="superscript"/>
              </w:rPr>
              <w:t>1</w:t>
            </w:r>
          </w:p>
        </w:tc>
        <w:tc>
          <w:tcPr>
            <w:tcW w:w="2414" w:type="dxa"/>
            <w:vMerge/>
            <w:tcBorders>
              <w:top w:val="single" w:sz="4" w:space="0" w:color="auto"/>
              <w:left w:val="single" w:sz="4" w:space="0" w:color="auto"/>
              <w:bottom w:val="single" w:sz="4" w:space="0" w:color="auto"/>
              <w:right w:val="single" w:sz="4" w:space="0" w:color="auto"/>
            </w:tcBorders>
          </w:tcPr>
          <w:p w14:paraId="59B0B745" w14:textId="77777777" w:rsidR="0021449D" w:rsidRPr="0021449D" w:rsidRDefault="0021449D" w:rsidP="006A58D9">
            <w:pPr>
              <w:pStyle w:val="COMTabletext"/>
            </w:pPr>
          </w:p>
        </w:tc>
        <w:tc>
          <w:tcPr>
            <w:tcW w:w="3776" w:type="dxa"/>
            <w:vMerge/>
            <w:tcBorders>
              <w:left w:val="single" w:sz="4" w:space="0" w:color="auto"/>
            </w:tcBorders>
          </w:tcPr>
          <w:p w14:paraId="5384C7B0" w14:textId="77777777" w:rsidR="0021449D" w:rsidRPr="0021449D" w:rsidRDefault="0021449D" w:rsidP="006A58D9">
            <w:pPr>
              <w:pStyle w:val="COMTabletext"/>
            </w:pPr>
          </w:p>
        </w:tc>
      </w:tr>
      <w:tr w:rsidR="0021449D" w:rsidRPr="0021449D" w14:paraId="6EADC350" w14:textId="77777777" w:rsidTr="001C3C06">
        <w:trPr>
          <w:cantSplit/>
        </w:trPr>
        <w:tc>
          <w:tcPr>
            <w:tcW w:w="1555" w:type="dxa"/>
          </w:tcPr>
          <w:p w14:paraId="5324935A" w14:textId="77777777" w:rsidR="0021449D" w:rsidRPr="0021449D" w:rsidRDefault="0021449D" w:rsidP="006A58D9">
            <w:pPr>
              <w:pStyle w:val="COMTabletext"/>
            </w:pPr>
            <w:r w:rsidRPr="0021449D">
              <w:t>First line treatment utilisation among transplant ineligible prevalent patients</w:t>
            </w:r>
          </w:p>
        </w:tc>
        <w:tc>
          <w:tcPr>
            <w:tcW w:w="1271" w:type="dxa"/>
            <w:tcBorders>
              <w:right w:val="single" w:sz="4" w:space="0" w:color="auto"/>
            </w:tcBorders>
          </w:tcPr>
          <w:p w14:paraId="3D35B525" w14:textId="77777777" w:rsidR="0021449D" w:rsidRPr="0021449D" w:rsidRDefault="0021449D" w:rsidP="006A58D9">
            <w:pPr>
              <w:pStyle w:val="COMTabletext"/>
            </w:pPr>
            <w:proofErr w:type="spellStart"/>
            <w:r w:rsidRPr="0021449D">
              <w:t>LBd</w:t>
            </w:r>
            <w:proofErr w:type="spellEnd"/>
            <w:r w:rsidRPr="0021449D">
              <w:t>: 68%</w:t>
            </w:r>
          </w:p>
          <w:p w14:paraId="507310ED" w14:textId="77777777" w:rsidR="0021449D" w:rsidRPr="0021449D" w:rsidRDefault="0021449D" w:rsidP="006A58D9">
            <w:pPr>
              <w:pStyle w:val="COMTabletext"/>
            </w:pPr>
            <w:proofErr w:type="spellStart"/>
            <w:r w:rsidRPr="0021449D">
              <w:t>Ld</w:t>
            </w:r>
            <w:proofErr w:type="spellEnd"/>
            <w:r w:rsidRPr="0021449D">
              <w:t>: 32%</w:t>
            </w:r>
          </w:p>
        </w:tc>
        <w:tc>
          <w:tcPr>
            <w:tcW w:w="2414" w:type="dxa"/>
            <w:tcBorders>
              <w:top w:val="single" w:sz="4" w:space="0" w:color="auto"/>
              <w:left w:val="single" w:sz="4" w:space="0" w:color="auto"/>
              <w:bottom w:val="single" w:sz="4" w:space="0" w:color="auto"/>
              <w:right w:val="single" w:sz="4" w:space="0" w:color="auto"/>
            </w:tcBorders>
          </w:tcPr>
          <w:p w14:paraId="695D2EAF" w14:textId="757E24F1" w:rsidR="0021449D" w:rsidRPr="0021449D" w:rsidRDefault="0021449D" w:rsidP="006A58D9">
            <w:pPr>
              <w:pStyle w:val="COMTabletext"/>
            </w:pPr>
            <w:r w:rsidRPr="0021449D">
              <w:t>Based on MRDR data included in the March 2023 daratumumab resubmission.</w:t>
            </w:r>
          </w:p>
        </w:tc>
        <w:tc>
          <w:tcPr>
            <w:tcW w:w="3776" w:type="dxa"/>
            <w:tcBorders>
              <w:left w:val="single" w:sz="4" w:space="0" w:color="auto"/>
            </w:tcBorders>
          </w:tcPr>
          <w:p w14:paraId="1FB7F138" w14:textId="45C4E495" w:rsidR="0021449D" w:rsidRPr="0021449D" w:rsidRDefault="0021449D" w:rsidP="006A58D9">
            <w:pPr>
              <w:pStyle w:val="COMTabletext"/>
            </w:pPr>
            <w:r w:rsidRPr="0021449D">
              <w:t xml:space="preserve">In the context of the daratumumab submission, the PBAC considered that weighting of the data from the MRDR would be appropriate (paragraph 7.6, daratumumab, </w:t>
            </w:r>
            <w:r w:rsidR="00733E33">
              <w:t>PSD</w:t>
            </w:r>
            <w:r w:rsidRPr="0021449D">
              <w:t>, March 2023 PBAC meeting).</w:t>
            </w:r>
          </w:p>
        </w:tc>
      </w:tr>
      <w:tr w:rsidR="00733E33" w:rsidRPr="0021449D" w14:paraId="3E6B16FD" w14:textId="77777777" w:rsidTr="001C3C06">
        <w:trPr>
          <w:cantSplit/>
          <w:trHeight w:val="2593"/>
        </w:trPr>
        <w:tc>
          <w:tcPr>
            <w:tcW w:w="1555" w:type="dxa"/>
          </w:tcPr>
          <w:p w14:paraId="1B2AC954" w14:textId="035C1D60" w:rsidR="00733E33" w:rsidRPr="0021449D" w:rsidRDefault="00733E33" w:rsidP="006A58D9">
            <w:pPr>
              <w:pStyle w:val="COMTabletext"/>
            </w:pPr>
            <w:r w:rsidRPr="0021449D">
              <w:lastRenderedPageBreak/>
              <w:t xml:space="preserve">Annual disease progression </w:t>
            </w:r>
            <w:r>
              <w:t xml:space="preserve">and death </w:t>
            </w:r>
            <w:r w:rsidRPr="0021449D">
              <w:t>rate</w:t>
            </w:r>
            <w:r>
              <w:t>s</w:t>
            </w:r>
            <w:r w:rsidRPr="0021449D">
              <w:t xml:space="preserve"> on first line </w:t>
            </w:r>
            <w:proofErr w:type="spellStart"/>
            <w:r w:rsidRPr="0021449D">
              <w:t>LBd</w:t>
            </w:r>
            <w:proofErr w:type="spellEnd"/>
            <w:r>
              <w:t xml:space="preserve"> and </w:t>
            </w:r>
            <w:proofErr w:type="spellStart"/>
            <w:r>
              <w:t>Ld</w:t>
            </w:r>
            <w:proofErr w:type="spellEnd"/>
            <w:r>
              <w:t xml:space="preserve"> </w:t>
            </w:r>
            <w:r w:rsidRPr="0021449D">
              <w:t>treatment</w:t>
            </w:r>
          </w:p>
        </w:tc>
        <w:tc>
          <w:tcPr>
            <w:tcW w:w="1271" w:type="dxa"/>
            <w:tcBorders>
              <w:right w:val="single" w:sz="4" w:space="0" w:color="auto"/>
            </w:tcBorders>
          </w:tcPr>
          <w:p w14:paraId="396394B8" w14:textId="77777777" w:rsidR="00733E33" w:rsidRDefault="00733E33" w:rsidP="006A58D9">
            <w:pPr>
              <w:pStyle w:val="COMTabletext"/>
            </w:pPr>
            <w:proofErr w:type="spellStart"/>
            <w:r>
              <w:t>LBd</w:t>
            </w:r>
            <w:proofErr w:type="spellEnd"/>
            <w:r>
              <w:t xml:space="preserve"> progression: </w:t>
            </w:r>
            <w:r w:rsidRPr="0021449D">
              <w:t>20.4%</w:t>
            </w:r>
            <w:r>
              <w:t>;</w:t>
            </w:r>
          </w:p>
          <w:p w14:paraId="31CF3C35" w14:textId="77777777" w:rsidR="00733E33" w:rsidRDefault="00733E33" w:rsidP="006A58D9">
            <w:pPr>
              <w:pStyle w:val="COMTabletext"/>
            </w:pPr>
            <w:proofErr w:type="spellStart"/>
            <w:r>
              <w:t>Ld</w:t>
            </w:r>
            <w:proofErr w:type="spellEnd"/>
            <w:r>
              <w:t xml:space="preserve"> progression: 28.7%;</w:t>
            </w:r>
          </w:p>
          <w:p w14:paraId="59684289" w14:textId="77777777" w:rsidR="00733E33" w:rsidRDefault="00733E33" w:rsidP="006A58D9">
            <w:pPr>
              <w:pStyle w:val="COMTabletext"/>
            </w:pPr>
            <w:proofErr w:type="spellStart"/>
            <w:r>
              <w:t>LBd</w:t>
            </w:r>
            <w:proofErr w:type="spellEnd"/>
            <w:r>
              <w:t xml:space="preserve"> death: 7.4%</w:t>
            </w:r>
          </w:p>
          <w:p w14:paraId="537A5955" w14:textId="2908C837" w:rsidR="00733E33" w:rsidRPr="0021449D" w:rsidRDefault="00733E33" w:rsidP="006A58D9">
            <w:pPr>
              <w:pStyle w:val="COMTabletext"/>
            </w:pPr>
            <w:proofErr w:type="spellStart"/>
            <w:r>
              <w:t>Ld</w:t>
            </w:r>
            <w:proofErr w:type="spellEnd"/>
            <w:r>
              <w:t xml:space="preserve"> death: 12.1%</w:t>
            </w:r>
          </w:p>
        </w:tc>
        <w:tc>
          <w:tcPr>
            <w:tcW w:w="2414" w:type="dxa"/>
            <w:tcBorders>
              <w:top w:val="single" w:sz="4" w:space="0" w:color="auto"/>
              <w:left w:val="single" w:sz="4" w:space="0" w:color="auto"/>
              <w:bottom w:val="single" w:sz="4" w:space="0" w:color="auto"/>
              <w:right w:val="single" w:sz="4" w:space="0" w:color="auto"/>
            </w:tcBorders>
          </w:tcPr>
          <w:p w14:paraId="17C1E61A" w14:textId="43247805" w:rsidR="00733E33" w:rsidRPr="0021449D" w:rsidRDefault="00733E33" w:rsidP="006A58D9">
            <w:pPr>
              <w:pStyle w:val="COMTabletext"/>
            </w:pPr>
            <w:r w:rsidRPr="0021449D">
              <w:t xml:space="preserve">Estimated from median </w:t>
            </w:r>
            <w:r>
              <w:t>PFS and OS</w:t>
            </w:r>
            <w:r w:rsidRPr="0021449D">
              <w:t xml:space="preserve"> reported for the </w:t>
            </w:r>
            <w:proofErr w:type="spellStart"/>
            <w:r w:rsidRPr="0021449D">
              <w:t>LBd</w:t>
            </w:r>
            <w:proofErr w:type="spellEnd"/>
            <w:r w:rsidRPr="0021449D">
              <w:t xml:space="preserve"> </w:t>
            </w:r>
            <w:r>
              <w:t xml:space="preserve">and </w:t>
            </w:r>
            <w:proofErr w:type="spellStart"/>
            <w:r>
              <w:t>Ld</w:t>
            </w:r>
            <w:proofErr w:type="spellEnd"/>
            <w:r>
              <w:t xml:space="preserve"> </w:t>
            </w:r>
            <w:r w:rsidRPr="0021449D">
              <w:t>arm</w:t>
            </w:r>
            <w:r>
              <w:t>s</w:t>
            </w:r>
            <w:r w:rsidRPr="0021449D">
              <w:t xml:space="preserve"> of the SWOG S0777 trial (Durie et al., 2020). Converted to an annual rate.</w:t>
            </w:r>
          </w:p>
        </w:tc>
        <w:tc>
          <w:tcPr>
            <w:tcW w:w="3776" w:type="dxa"/>
            <w:tcBorders>
              <w:left w:val="single" w:sz="4" w:space="0" w:color="auto"/>
            </w:tcBorders>
          </w:tcPr>
          <w:p w14:paraId="1A46F119" w14:textId="5DBD9D46" w:rsidR="00733E33" w:rsidRDefault="00733E33" w:rsidP="006A58D9">
            <w:pPr>
              <w:pStyle w:val="COMTabletext"/>
            </w:pPr>
            <w:r w:rsidRPr="0021449D">
              <w:t>The assumed linear rate of disease progression over time may not reflect the natural history of the disease.</w:t>
            </w:r>
          </w:p>
          <w:p w14:paraId="4845111C" w14:textId="2832286D" w:rsidR="00733E33" w:rsidRPr="0021449D" w:rsidRDefault="00733E33" w:rsidP="006A58D9">
            <w:pPr>
              <w:pStyle w:val="COMTabletext"/>
            </w:pPr>
            <w:r w:rsidRPr="0021449D">
              <w:t xml:space="preserve">The median </w:t>
            </w:r>
            <w:r>
              <w:t>OS</w:t>
            </w:r>
            <w:r w:rsidRPr="0021449D">
              <w:t xml:space="preserve"> for the </w:t>
            </w:r>
            <w:proofErr w:type="spellStart"/>
            <w:r w:rsidRPr="0021449D">
              <w:t>LBd</w:t>
            </w:r>
            <w:proofErr w:type="spellEnd"/>
            <w:r w:rsidRPr="0021449D">
              <w:t xml:space="preserve"> arm was not reached at the time trial publication. Therefore, the rate was derived from the proportion of patients remaining alive at 5 years. Additionally, the applicability of the data to the PBS population was unclear.</w:t>
            </w:r>
          </w:p>
          <w:p w14:paraId="4FC4728B" w14:textId="511F5B4D" w:rsidR="00733E33" w:rsidRPr="00930E1B" w:rsidRDefault="00733E33" w:rsidP="006A58D9">
            <w:pPr>
              <w:pStyle w:val="COMTabletext"/>
            </w:pPr>
            <w:r w:rsidRPr="00930E1B">
              <w:t>The DUSC considered that the annual death rates were over-estimated. The DUSC Analysis of medicines to treat multiple myeloma 2017 report had a 2-year death rate of 11% which was before triple therapy was recommended.</w:t>
            </w:r>
          </w:p>
        </w:tc>
      </w:tr>
      <w:tr w:rsidR="0021449D" w:rsidRPr="0021449D" w14:paraId="4C6813C3" w14:textId="77777777" w:rsidTr="001C3C06">
        <w:trPr>
          <w:cantSplit/>
        </w:trPr>
        <w:tc>
          <w:tcPr>
            <w:tcW w:w="1555" w:type="dxa"/>
          </w:tcPr>
          <w:p w14:paraId="00347717" w14:textId="77777777" w:rsidR="0021449D" w:rsidRPr="0021449D" w:rsidRDefault="0021449D" w:rsidP="006A58D9">
            <w:pPr>
              <w:pStyle w:val="COMTabletext"/>
            </w:pPr>
            <w:r w:rsidRPr="0021449D">
              <w:t>Incident first line patient growth rate for 2025 to 2031</w:t>
            </w:r>
          </w:p>
        </w:tc>
        <w:tc>
          <w:tcPr>
            <w:tcW w:w="1271" w:type="dxa"/>
            <w:tcBorders>
              <w:right w:val="single" w:sz="4" w:space="0" w:color="auto"/>
            </w:tcBorders>
          </w:tcPr>
          <w:p w14:paraId="77C96FD0" w14:textId="77777777" w:rsidR="0021449D" w:rsidRPr="0021449D" w:rsidRDefault="0021449D" w:rsidP="006A58D9">
            <w:pPr>
              <w:pStyle w:val="COMTabletext"/>
            </w:pPr>
            <w:r w:rsidRPr="0021449D">
              <w:t>2024-25: 2.2%</w:t>
            </w:r>
          </w:p>
          <w:p w14:paraId="05D38331" w14:textId="77777777" w:rsidR="0021449D" w:rsidRPr="0021449D" w:rsidRDefault="0021449D" w:rsidP="006A58D9">
            <w:pPr>
              <w:pStyle w:val="COMTabletext"/>
            </w:pPr>
            <w:r w:rsidRPr="0021449D">
              <w:t>2025-26: 3.6%</w:t>
            </w:r>
          </w:p>
          <w:p w14:paraId="1E5C9DA2" w14:textId="77777777" w:rsidR="0021449D" w:rsidRPr="0021449D" w:rsidRDefault="0021449D" w:rsidP="006A58D9">
            <w:pPr>
              <w:pStyle w:val="COMTabletext"/>
            </w:pPr>
            <w:r w:rsidRPr="0021449D">
              <w:t>2026-27: 3.7%</w:t>
            </w:r>
          </w:p>
          <w:p w14:paraId="6218177B" w14:textId="77777777" w:rsidR="0021449D" w:rsidRPr="0021449D" w:rsidRDefault="0021449D" w:rsidP="006A58D9">
            <w:pPr>
              <w:pStyle w:val="COMTabletext"/>
            </w:pPr>
            <w:r w:rsidRPr="0021449D">
              <w:t>2027-28: 3.4%</w:t>
            </w:r>
          </w:p>
          <w:p w14:paraId="5149BC66" w14:textId="77777777" w:rsidR="0021449D" w:rsidRPr="0021449D" w:rsidRDefault="0021449D" w:rsidP="006A58D9">
            <w:pPr>
              <w:pStyle w:val="COMTabletext"/>
            </w:pPr>
            <w:r w:rsidRPr="0021449D">
              <w:t>2028-29: 2.9%</w:t>
            </w:r>
          </w:p>
          <w:p w14:paraId="14CD726B" w14:textId="77777777" w:rsidR="0021449D" w:rsidRPr="0021449D" w:rsidRDefault="0021449D" w:rsidP="006A58D9">
            <w:pPr>
              <w:pStyle w:val="COMTabletext"/>
            </w:pPr>
            <w:r w:rsidRPr="0021449D">
              <w:t>2029-30: 2.9%</w:t>
            </w:r>
          </w:p>
          <w:p w14:paraId="28AB32C9" w14:textId="77777777" w:rsidR="0021449D" w:rsidRPr="0021449D" w:rsidRDefault="0021449D" w:rsidP="006A58D9">
            <w:pPr>
              <w:pStyle w:val="COMTabletext"/>
            </w:pPr>
            <w:r w:rsidRPr="0021449D">
              <w:t>2030-31: 2.7%</w:t>
            </w:r>
          </w:p>
        </w:tc>
        <w:tc>
          <w:tcPr>
            <w:tcW w:w="2414" w:type="dxa"/>
            <w:tcBorders>
              <w:top w:val="single" w:sz="4" w:space="0" w:color="auto"/>
              <w:left w:val="single" w:sz="4" w:space="0" w:color="auto"/>
              <w:bottom w:val="single" w:sz="4" w:space="0" w:color="auto"/>
              <w:right w:val="single" w:sz="4" w:space="0" w:color="auto"/>
            </w:tcBorders>
          </w:tcPr>
          <w:p w14:paraId="4AC82089" w14:textId="2C9E34E7" w:rsidR="0021449D" w:rsidRPr="0021449D" w:rsidRDefault="0021449D" w:rsidP="006A58D9">
            <w:pPr>
              <w:pStyle w:val="COMTabletext"/>
            </w:pPr>
            <w:r w:rsidRPr="0021449D">
              <w:t xml:space="preserve">Derived from annual projected cases of incident </w:t>
            </w:r>
            <w:r w:rsidR="002C5233">
              <w:t>MM</w:t>
            </w:r>
            <w:r w:rsidRPr="0021449D">
              <w:t xml:space="preserve"> reported by the AIHW.</w:t>
            </w:r>
          </w:p>
        </w:tc>
        <w:tc>
          <w:tcPr>
            <w:tcW w:w="3776" w:type="dxa"/>
            <w:tcBorders>
              <w:left w:val="single" w:sz="4" w:space="0" w:color="auto"/>
            </w:tcBorders>
          </w:tcPr>
          <w:p w14:paraId="425184FF" w14:textId="11991B2F" w:rsidR="0021449D" w:rsidRPr="001C7C6A" w:rsidRDefault="002C5233" w:rsidP="006A58D9">
            <w:pPr>
              <w:pStyle w:val="COMTabletext"/>
            </w:pPr>
            <w:r w:rsidRPr="001C7C6A">
              <w:t xml:space="preserve">The </w:t>
            </w:r>
            <w:r w:rsidR="0021449D" w:rsidRPr="001C7C6A">
              <w:t>DUSC considered that it was not necessary to use an incident approach here. A prevalent approach would capture incident use, thus the prevalent growth already factors in incident growth.</w:t>
            </w:r>
          </w:p>
        </w:tc>
      </w:tr>
      <w:tr w:rsidR="0021449D" w:rsidRPr="0021449D" w14:paraId="737643F9" w14:textId="77777777" w:rsidTr="001C3C06">
        <w:trPr>
          <w:cantSplit/>
        </w:trPr>
        <w:tc>
          <w:tcPr>
            <w:tcW w:w="9016" w:type="dxa"/>
            <w:gridSpan w:val="4"/>
            <w:tcBorders>
              <w:top w:val="single" w:sz="4" w:space="0" w:color="auto"/>
              <w:left w:val="single" w:sz="4" w:space="0" w:color="auto"/>
              <w:bottom w:val="single" w:sz="4" w:space="0" w:color="auto"/>
              <w:right w:val="single" w:sz="4" w:space="0" w:color="auto"/>
            </w:tcBorders>
          </w:tcPr>
          <w:p w14:paraId="0CA6BB90" w14:textId="77777777" w:rsidR="0021449D" w:rsidRPr="0021449D" w:rsidRDefault="0021449D" w:rsidP="006A58D9">
            <w:pPr>
              <w:pStyle w:val="COMTabletext"/>
              <w:rPr>
                <w:b/>
                <w:bCs w:val="0"/>
              </w:rPr>
            </w:pPr>
            <w:r w:rsidRPr="0021449D">
              <w:rPr>
                <w:b/>
                <w:bCs w:val="0"/>
              </w:rPr>
              <w:t>Treatment utilisation</w:t>
            </w:r>
          </w:p>
        </w:tc>
      </w:tr>
      <w:tr w:rsidR="0021449D" w:rsidRPr="0021449D" w14:paraId="46B4B457" w14:textId="77777777" w:rsidTr="001C3C06">
        <w:trPr>
          <w:cantSplit/>
        </w:trPr>
        <w:tc>
          <w:tcPr>
            <w:tcW w:w="1555" w:type="dxa"/>
          </w:tcPr>
          <w:p w14:paraId="1B1A9E4C" w14:textId="77777777" w:rsidR="0021449D" w:rsidRPr="0021449D" w:rsidRDefault="0021449D" w:rsidP="006A58D9">
            <w:pPr>
              <w:pStyle w:val="COMTabletext"/>
            </w:pPr>
            <w:r w:rsidRPr="0021449D">
              <w:t>BmBd uptake rate (prevalent and incident patients)</w:t>
            </w:r>
          </w:p>
        </w:tc>
        <w:tc>
          <w:tcPr>
            <w:tcW w:w="1271" w:type="dxa"/>
            <w:tcBorders>
              <w:right w:val="single" w:sz="4" w:space="0" w:color="auto"/>
            </w:tcBorders>
          </w:tcPr>
          <w:p w14:paraId="67378061" w14:textId="7B1ADF5A" w:rsidR="0021449D" w:rsidRPr="0021449D" w:rsidRDefault="0021449D" w:rsidP="006A58D9">
            <w:pPr>
              <w:pStyle w:val="COMTabletext"/>
            </w:pPr>
            <w:r w:rsidRPr="0021449D">
              <w:t xml:space="preserve">Year 1: </w:t>
            </w:r>
            <w:r w:rsidR="0040410B" w:rsidRPr="0040410B">
              <w:rPr>
                <w:highlight w:val="black"/>
              </w:rPr>
              <w:t>&amp;&amp;&amp;&amp;</w:t>
            </w:r>
            <w:r w:rsidRPr="0021449D">
              <w:t>%</w:t>
            </w:r>
          </w:p>
          <w:p w14:paraId="574500F9" w14:textId="43625BBF" w:rsidR="0021449D" w:rsidRPr="0021449D" w:rsidRDefault="0021449D" w:rsidP="006A58D9">
            <w:pPr>
              <w:pStyle w:val="COMTabletext"/>
            </w:pPr>
            <w:r w:rsidRPr="0021449D">
              <w:t xml:space="preserve">Year 2: </w:t>
            </w:r>
            <w:r w:rsidR="0040410B" w:rsidRPr="0040410B">
              <w:rPr>
                <w:highlight w:val="black"/>
              </w:rPr>
              <w:t>&amp;&amp;&amp;&amp;</w:t>
            </w:r>
            <w:r w:rsidRPr="0021449D">
              <w:t>%</w:t>
            </w:r>
          </w:p>
          <w:p w14:paraId="0D433457" w14:textId="0DEEEEF1" w:rsidR="0021449D" w:rsidRPr="0021449D" w:rsidRDefault="0021449D" w:rsidP="006A58D9">
            <w:pPr>
              <w:pStyle w:val="COMTabletext"/>
            </w:pPr>
            <w:r w:rsidRPr="0021449D">
              <w:t>Year</w:t>
            </w:r>
            <w:r w:rsidR="00D34154">
              <w:t>s</w:t>
            </w:r>
            <w:r w:rsidRPr="0021449D">
              <w:t xml:space="preserve"> 3</w:t>
            </w:r>
            <w:r w:rsidR="00D34154">
              <w:t>-6</w:t>
            </w:r>
            <w:r w:rsidRPr="0021449D">
              <w:t xml:space="preserve">: </w:t>
            </w:r>
            <w:r w:rsidR="0040410B" w:rsidRPr="0040410B">
              <w:rPr>
                <w:highlight w:val="black"/>
              </w:rPr>
              <w:t>&amp;&amp;&amp;&amp;</w:t>
            </w:r>
            <w:r w:rsidRPr="0021449D">
              <w:t>%</w:t>
            </w:r>
          </w:p>
          <w:p w14:paraId="381E6A42" w14:textId="3B78665E" w:rsidR="0021449D" w:rsidRPr="0021449D" w:rsidRDefault="0021449D" w:rsidP="006A58D9">
            <w:pPr>
              <w:pStyle w:val="COMTabletext"/>
            </w:pPr>
          </w:p>
        </w:tc>
        <w:tc>
          <w:tcPr>
            <w:tcW w:w="2414" w:type="dxa"/>
            <w:tcBorders>
              <w:top w:val="single" w:sz="4" w:space="0" w:color="auto"/>
              <w:left w:val="single" w:sz="4" w:space="0" w:color="auto"/>
              <w:bottom w:val="single" w:sz="4" w:space="0" w:color="auto"/>
              <w:right w:val="single" w:sz="4" w:space="0" w:color="auto"/>
            </w:tcBorders>
          </w:tcPr>
          <w:p w14:paraId="01DF2632" w14:textId="77777777" w:rsidR="0021449D" w:rsidRPr="0021449D" w:rsidRDefault="0021449D" w:rsidP="006A58D9">
            <w:pPr>
              <w:pStyle w:val="COMTabletext"/>
            </w:pPr>
            <w:r w:rsidRPr="0021449D">
              <w:t>Assumption based on expert opinion.</w:t>
            </w:r>
          </w:p>
        </w:tc>
        <w:tc>
          <w:tcPr>
            <w:tcW w:w="3776" w:type="dxa"/>
            <w:tcBorders>
              <w:left w:val="single" w:sz="4" w:space="0" w:color="auto"/>
            </w:tcBorders>
          </w:tcPr>
          <w:p w14:paraId="2E824013" w14:textId="14FBEE8E" w:rsidR="0021449D" w:rsidRPr="0021449D" w:rsidRDefault="0021449D" w:rsidP="006A58D9">
            <w:pPr>
              <w:pStyle w:val="COMTabletext"/>
              <w:rPr>
                <w:b/>
              </w:rPr>
            </w:pPr>
            <w:r w:rsidRPr="0021449D">
              <w:t xml:space="preserve">While the DREAMM-7 trial demonstrated improvements in </w:t>
            </w:r>
            <w:r w:rsidR="001C7C6A">
              <w:t>PFS</w:t>
            </w:r>
            <w:r w:rsidRPr="0021449D">
              <w:t xml:space="preserve"> and </w:t>
            </w:r>
            <w:r w:rsidR="001C7C6A">
              <w:t>OS</w:t>
            </w:r>
            <w:r w:rsidRPr="0021449D">
              <w:t xml:space="preserve"> for BmBd versus DBd, treatment with BmBd was associated with high rates of ocular adverse events</w:t>
            </w:r>
            <w:r w:rsidR="00FF63EB">
              <w:t xml:space="preserve"> which</w:t>
            </w:r>
            <w:r w:rsidRPr="0021449D">
              <w:t xml:space="preserve"> may reduce the uptake of belantamab mafodotin. The listing of </w:t>
            </w:r>
            <w:proofErr w:type="spellStart"/>
            <w:r w:rsidRPr="0021449D">
              <w:t>DLd</w:t>
            </w:r>
            <w:proofErr w:type="spellEnd"/>
            <w:r w:rsidRPr="0021449D">
              <w:t xml:space="preserve"> as a first line treatment </w:t>
            </w:r>
            <w:r w:rsidR="000B326E">
              <w:t xml:space="preserve">and potential listing of elranatamab in </w:t>
            </w:r>
            <w:r w:rsidR="00A11635">
              <w:t xml:space="preserve">a later line </w:t>
            </w:r>
            <w:r w:rsidRPr="0021449D">
              <w:t>may also impact the uptake of BmBd in the second line setting.</w:t>
            </w:r>
          </w:p>
          <w:p w14:paraId="00187E5F" w14:textId="1FFB7F3A" w:rsidR="0021449D" w:rsidRPr="001C7C6A" w:rsidRDefault="001C7C6A" w:rsidP="006A58D9">
            <w:pPr>
              <w:pStyle w:val="COMTabletext"/>
            </w:pPr>
            <w:r w:rsidRPr="001C7C6A">
              <w:t xml:space="preserve">The </w:t>
            </w:r>
            <w:r w:rsidR="0021449D" w:rsidRPr="001C7C6A">
              <w:t xml:space="preserve">DUSC considered that the uptake rate </w:t>
            </w:r>
            <w:r w:rsidRPr="001C7C6A">
              <w:t xml:space="preserve">would </w:t>
            </w:r>
            <w:r w:rsidR="0021449D" w:rsidRPr="001C7C6A">
              <w:t>be dependent on access to co-ordinated care with ophthalmologists/</w:t>
            </w:r>
            <w:r w:rsidR="00FF63EB">
              <w:t xml:space="preserve"> </w:t>
            </w:r>
            <w:r w:rsidR="0021449D" w:rsidRPr="001C7C6A">
              <w:t>optometrists to manage ocular adverse events.</w:t>
            </w:r>
          </w:p>
        </w:tc>
      </w:tr>
      <w:tr w:rsidR="0021449D" w:rsidRPr="0021449D" w14:paraId="35CA7002" w14:textId="77777777" w:rsidTr="001C3C06">
        <w:trPr>
          <w:cantSplit/>
        </w:trPr>
        <w:tc>
          <w:tcPr>
            <w:tcW w:w="1555" w:type="dxa"/>
          </w:tcPr>
          <w:p w14:paraId="1D773F6E" w14:textId="77777777" w:rsidR="0021449D" w:rsidRPr="0021449D" w:rsidRDefault="0021449D" w:rsidP="006A58D9">
            <w:pPr>
              <w:pStyle w:val="COMTabletext"/>
            </w:pPr>
            <w:r w:rsidRPr="0021449D">
              <w:t>Grandfathered patients</w:t>
            </w:r>
          </w:p>
        </w:tc>
        <w:tc>
          <w:tcPr>
            <w:tcW w:w="1271" w:type="dxa"/>
            <w:tcBorders>
              <w:right w:val="single" w:sz="4" w:space="0" w:color="auto"/>
            </w:tcBorders>
          </w:tcPr>
          <w:p w14:paraId="02C92D91" w14:textId="22809054" w:rsidR="0021449D" w:rsidRPr="0021449D" w:rsidRDefault="0040410B" w:rsidP="006A58D9">
            <w:pPr>
              <w:pStyle w:val="COMTabletext"/>
            </w:pPr>
            <w:r w:rsidRPr="0040410B">
              <w:rPr>
                <w:highlight w:val="black"/>
              </w:rPr>
              <w:t>&amp;&amp;&amp;&amp;</w:t>
            </w:r>
            <w:r w:rsidR="00AB4D47">
              <w:rPr>
                <w:vertAlign w:val="superscript"/>
              </w:rPr>
              <w:t>3</w:t>
            </w:r>
            <w:r w:rsidR="0021449D" w:rsidRPr="0021449D">
              <w:t xml:space="preserve"> patients</w:t>
            </w:r>
          </w:p>
        </w:tc>
        <w:tc>
          <w:tcPr>
            <w:tcW w:w="2414" w:type="dxa"/>
            <w:tcBorders>
              <w:top w:val="single" w:sz="4" w:space="0" w:color="auto"/>
              <w:left w:val="single" w:sz="4" w:space="0" w:color="auto"/>
              <w:bottom w:val="single" w:sz="4" w:space="0" w:color="auto"/>
              <w:right w:val="single" w:sz="4" w:space="0" w:color="auto"/>
            </w:tcBorders>
          </w:tcPr>
          <w:p w14:paraId="7AE5B58A" w14:textId="2AA0DB96" w:rsidR="0021449D" w:rsidRPr="0021449D" w:rsidRDefault="0021449D" w:rsidP="006A58D9">
            <w:pPr>
              <w:pStyle w:val="COMTabletext"/>
            </w:pPr>
            <w:r w:rsidRPr="0021449D">
              <w:t xml:space="preserve">An additional </w:t>
            </w:r>
            <w:r w:rsidR="0040410B" w:rsidRPr="0040410B">
              <w:rPr>
                <w:highlight w:val="black"/>
              </w:rPr>
              <w:t>&amp;&amp;&amp;&amp;</w:t>
            </w:r>
            <w:r w:rsidR="00AB4D47">
              <w:rPr>
                <w:vertAlign w:val="superscript"/>
              </w:rPr>
              <w:t>3</w:t>
            </w:r>
            <w:r w:rsidRPr="0021449D">
              <w:t xml:space="preserve"> patients were included in Year 1.</w:t>
            </w:r>
          </w:p>
        </w:tc>
        <w:tc>
          <w:tcPr>
            <w:tcW w:w="3776" w:type="dxa"/>
            <w:tcBorders>
              <w:left w:val="single" w:sz="4" w:space="0" w:color="auto"/>
            </w:tcBorders>
          </w:tcPr>
          <w:p w14:paraId="16BB9832" w14:textId="5C01511C" w:rsidR="0021449D" w:rsidRPr="0021449D" w:rsidRDefault="00EF0316" w:rsidP="006A58D9">
            <w:pPr>
              <w:pStyle w:val="COMTabletext"/>
            </w:pPr>
            <w:r>
              <w:t>-</w:t>
            </w:r>
          </w:p>
        </w:tc>
      </w:tr>
      <w:tr w:rsidR="0021449D" w:rsidRPr="0021449D" w14:paraId="555D7A01" w14:textId="77777777" w:rsidTr="001C3C06">
        <w:trPr>
          <w:cantSplit/>
        </w:trPr>
        <w:tc>
          <w:tcPr>
            <w:tcW w:w="1555" w:type="dxa"/>
          </w:tcPr>
          <w:p w14:paraId="3855E162" w14:textId="114ED9E9" w:rsidR="0021449D" w:rsidRPr="00C51F1E" w:rsidRDefault="0021449D" w:rsidP="006A58D9">
            <w:pPr>
              <w:pStyle w:val="COMTabletext"/>
              <w:rPr>
                <w:vertAlign w:val="superscript"/>
              </w:rPr>
            </w:pPr>
            <w:r w:rsidRPr="0021449D">
              <w:t>Belantamab mafodotin vials required for a 2.5 mg/kg dose</w:t>
            </w:r>
            <w:r w:rsidR="00C51F1E">
              <w:rPr>
                <w:vertAlign w:val="superscript"/>
              </w:rPr>
              <w:t>*</w:t>
            </w:r>
          </w:p>
        </w:tc>
        <w:tc>
          <w:tcPr>
            <w:tcW w:w="1271" w:type="dxa"/>
            <w:tcBorders>
              <w:right w:val="single" w:sz="4" w:space="0" w:color="auto"/>
            </w:tcBorders>
          </w:tcPr>
          <w:p w14:paraId="51B42E2A" w14:textId="4E476FA1" w:rsidR="0021449D" w:rsidRPr="00C51F1E" w:rsidRDefault="0021449D" w:rsidP="006A58D9">
            <w:pPr>
              <w:pStyle w:val="COMTabletext"/>
            </w:pPr>
            <w:r w:rsidRPr="00C51F1E">
              <w:t>100 mg: 1.25</w:t>
            </w:r>
          </w:p>
          <w:p w14:paraId="085BD8A1" w14:textId="77777777" w:rsidR="0021449D" w:rsidRPr="00C51F1E" w:rsidRDefault="0021449D" w:rsidP="006A58D9">
            <w:pPr>
              <w:pStyle w:val="COMTabletext"/>
            </w:pPr>
            <w:r w:rsidRPr="00C51F1E">
              <w:t>70 mg: 1.19</w:t>
            </w:r>
          </w:p>
        </w:tc>
        <w:tc>
          <w:tcPr>
            <w:tcW w:w="2414" w:type="dxa"/>
            <w:vMerge w:val="restart"/>
            <w:tcBorders>
              <w:top w:val="single" w:sz="4" w:space="0" w:color="auto"/>
              <w:left w:val="single" w:sz="4" w:space="0" w:color="auto"/>
              <w:bottom w:val="single" w:sz="4" w:space="0" w:color="auto"/>
              <w:right w:val="single" w:sz="4" w:space="0" w:color="auto"/>
            </w:tcBorders>
          </w:tcPr>
          <w:p w14:paraId="46924406" w14:textId="5931397A" w:rsidR="0021449D" w:rsidRPr="00C51F1E" w:rsidRDefault="00FF63EB" w:rsidP="006A58D9">
            <w:pPr>
              <w:pStyle w:val="COMTabletext"/>
            </w:pPr>
            <w:r w:rsidRPr="00C51F1E">
              <w:t>A</w:t>
            </w:r>
            <w:r w:rsidR="0021449D" w:rsidRPr="00C51F1E">
              <w:t>ssum</w:t>
            </w:r>
            <w:r w:rsidRPr="00C51F1E">
              <w:t>ed</w:t>
            </w:r>
            <w:r w:rsidR="00C341F0" w:rsidRPr="00C51F1E">
              <w:t xml:space="preserve"> </w:t>
            </w:r>
            <w:r w:rsidR="0021449D" w:rsidRPr="00C51F1E">
              <w:t>a normal distribution of body weight around the mean weight reported for the lenalidomide-exposed subgroup of the DREAMM-7 trial (77.8 kg)</w:t>
            </w:r>
            <w:r w:rsidR="00C51F1E" w:rsidRPr="00C51F1E">
              <w:t>*</w:t>
            </w:r>
            <w:r w:rsidR="0021449D" w:rsidRPr="00C51F1E">
              <w:t>.</w:t>
            </w:r>
          </w:p>
        </w:tc>
        <w:tc>
          <w:tcPr>
            <w:tcW w:w="3776" w:type="dxa"/>
            <w:vMerge w:val="restart"/>
            <w:tcBorders>
              <w:left w:val="single" w:sz="4" w:space="0" w:color="auto"/>
            </w:tcBorders>
          </w:tcPr>
          <w:p w14:paraId="17E8B466" w14:textId="13D2B11B" w:rsidR="0021449D" w:rsidRPr="0021449D" w:rsidRDefault="00FD6970" w:rsidP="006A58D9">
            <w:pPr>
              <w:pStyle w:val="COMTabletext"/>
            </w:pPr>
            <w:r>
              <w:t>-</w:t>
            </w:r>
          </w:p>
        </w:tc>
      </w:tr>
      <w:tr w:rsidR="0021449D" w:rsidRPr="0021449D" w14:paraId="7221E1FC" w14:textId="77777777" w:rsidTr="001C3C06">
        <w:trPr>
          <w:cantSplit/>
        </w:trPr>
        <w:tc>
          <w:tcPr>
            <w:tcW w:w="1555" w:type="dxa"/>
          </w:tcPr>
          <w:p w14:paraId="7E1E671B" w14:textId="1A364E86" w:rsidR="0021449D" w:rsidRPr="0021449D" w:rsidRDefault="0021449D" w:rsidP="006A58D9">
            <w:pPr>
              <w:pStyle w:val="COMTabletext"/>
            </w:pPr>
            <w:r w:rsidRPr="0021449D">
              <w:t>Belantamab mafodotin vials required for a 1.9 mg/kg dose</w:t>
            </w:r>
            <w:r w:rsidR="00C51F1E">
              <w:t>*</w:t>
            </w:r>
          </w:p>
        </w:tc>
        <w:tc>
          <w:tcPr>
            <w:tcW w:w="1271" w:type="dxa"/>
            <w:tcBorders>
              <w:right w:val="single" w:sz="4" w:space="0" w:color="auto"/>
            </w:tcBorders>
          </w:tcPr>
          <w:p w14:paraId="6F66627A" w14:textId="77777777" w:rsidR="0021449D" w:rsidRPr="00C51F1E" w:rsidRDefault="0021449D" w:rsidP="006A58D9">
            <w:pPr>
              <w:pStyle w:val="COMTabletext"/>
            </w:pPr>
            <w:r w:rsidRPr="00C51F1E">
              <w:t>100 mg: 0.74</w:t>
            </w:r>
          </w:p>
          <w:p w14:paraId="45DCE346" w14:textId="77777777" w:rsidR="0021449D" w:rsidRPr="00C51F1E" w:rsidRDefault="0021449D" w:rsidP="006A58D9">
            <w:pPr>
              <w:pStyle w:val="COMTabletext"/>
            </w:pPr>
            <w:r w:rsidRPr="00C51F1E">
              <w:t>70 mg: 1.28</w:t>
            </w:r>
          </w:p>
        </w:tc>
        <w:tc>
          <w:tcPr>
            <w:tcW w:w="2414" w:type="dxa"/>
            <w:vMerge/>
            <w:tcBorders>
              <w:top w:val="single" w:sz="4" w:space="0" w:color="auto"/>
              <w:left w:val="single" w:sz="4" w:space="0" w:color="auto"/>
              <w:bottom w:val="single" w:sz="4" w:space="0" w:color="auto"/>
              <w:right w:val="single" w:sz="4" w:space="0" w:color="auto"/>
            </w:tcBorders>
          </w:tcPr>
          <w:p w14:paraId="4607BF22" w14:textId="77777777" w:rsidR="0021449D" w:rsidRPr="00C51F1E" w:rsidRDefault="0021449D" w:rsidP="006A58D9">
            <w:pPr>
              <w:pStyle w:val="COMTabletext"/>
            </w:pPr>
          </w:p>
        </w:tc>
        <w:tc>
          <w:tcPr>
            <w:tcW w:w="3776" w:type="dxa"/>
            <w:vMerge/>
            <w:tcBorders>
              <w:left w:val="single" w:sz="4" w:space="0" w:color="auto"/>
            </w:tcBorders>
          </w:tcPr>
          <w:p w14:paraId="5029E423" w14:textId="77777777" w:rsidR="0021449D" w:rsidRPr="0021449D" w:rsidRDefault="0021449D" w:rsidP="006A58D9">
            <w:pPr>
              <w:pStyle w:val="COMTabletext"/>
              <w:rPr>
                <w:b/>
              </w:rPr>
            </w:pPr>
          </w:p>
        </w:tc>
      </w:tr>
      <w:tr w:rsidR="0021449D" w:rsidRPr="0021449D" w14:paraId="21E101C4" w14:textId="77777777" w:rsidTr="001C3C06">
        <w:trPr>
          <w:cantSplit/>
        </w:trPr>
        <w:tc>
          <w:tcPr>
            <w:tcW w:w="1555" w:type="dxa"/>
          </w:tcPr>
          <w:p w14:paraId="1ACCBBF6" w14:textId="77777777" w:rsidR="0021449D" w:rsidRPr="0021449D" w:rsidRDefault="0021449D" w:rsidP="006A58D9">
            <w:pPr>
              <w:pStyle w:val="COMTabletext"/>
            </w:pPr>
            <w:r w:rsidRPr="0021449D">
              <w:t>Belantamab mafodotin 100 mg dose intensity</w:t>
            </w:r>
          </w:p>
        </w:tc>
        <w:tc>
          <w:tcPr>
            <w:tcW w:w="1271" w:type="dxa"/>
            <w:tcBorders>
              <w:right w:val="single" w:sz="4" w:space="0" w:color="auto"/>
            </w:tcBorders>
          </w:tcPr>
          <w:p w14:paraId="3B5384A4" w14:textId="77777777" w:rsidR="0021449D" w:rsidRPr="00757A8C" w:rsidRDefault="0021449D" w:rsidP="006A58D9">
            <w:pPr>
              <w:pStyle w:val="COMTabletext"/>
              <w:rPr>
                <w:lang w:val="fr-CH"/>
              </w:rPr>
            </w:pPr>
            <w:r w:rsidRPr="00757A8C">
              <w:rPr>
                <w:lang w:val="fr-CH"/>
              </w:rPr>
              <w:t>Y1 init: 49.5%</w:t>
            </w:r>
          </w:p>
          <w:p w14:paraId="0E144ADE" w14:textId="77777777" w:rsidR="0021449D" w:rsidRPr="00757A8C" w:rsidRDefault="0021449D" w:rsidP="006A58D9">
            <w:pPr>
              <w:pStyle w:val="COMTabletext"/>
              <w:rPr>
                <w:lang w:val="fr-CH"/>
              </w:rPr>
            </w:pPr>
            <w:r w:rsidRPr="00757A8C">
              <w:rPr>
                <w:lang w:val="fr-CH"/>
              </w:rPr>
              <w:t xml:space="preserve">Y1 </w:t>
            </w:r>
            <w:proofErr w:type="spellStart"/>
            <w:r w:rsidRPr="00757A8C">
              <w:rPr>
                <w:lang w:val="fr-CH"/>
              </w:rPr>
              <w:t>cont</w:t>
            </w:r>
            <w:proofErr w:type="spellEnd"/>
            <w:r w:rsidRPr="00757A8C">
              <w:rPr>
                <w:lang w:val="fr-CH"/>
              </w:rPr>
              <w:t>: 11.8%</w:t>
            </w:r>
          </w:p>
          <w:p w14:paraId="3B88DE78" w14:textId="25924E3A" w:rsidR="0021449D" w:rsidRPr="00757A8C" w:rsidRDefault="0021449D" w:rsidP="006A58D9">
            <w:pPr>
              <w:pStyle w:val="COMTabletext"/>
              <w:rPr>
                <w:lang w:val="fr-CH"/>
              </w:rPr>
            </w:pPr>
            <w:r w:rsidRPr="00757A8C">
              <w:rPr>
                <w:lang w:val="fr-CH"/>
              </w:rPr>
              <w:t xml:space="preserve">Y2 </w:t>
            </w:r>
            <w:proofErr w:type="spellStart"/>
            <w:r w:rsidRPr="00757A8C">
              <w:rPr>
                <w:lang w:val="fr-CH"/>
              </w:rPr>
              <w:t>cont</w:t>
            </w:r>
            <w:proofErr w:type="spellEnd"/>
            <w:r w:rsidRPr="00757A8C">
              <w:rPr>
                <w:lang w:val="fr-CH"/>
              </w:rPr>
              <w:t>: 13.0%</w:t>
            </w:r>
          </w:p>
          <w:p w14:paraId="0CCB87CD" w14:textId="77777777" w:rsidR="0021449D" w:rsidRPr="00757A8C" w:rsidRDefault="0021449D" w:rsidP="006A58D9">
            <w:pPr>
              <w:pStyle w:val="COMTabletext"/>
              <w:rPr>
                <w:lang w:val="fr-CH"/>
              </w:rPr>
            </w:pPr>
            <w:r w:rsidRPr="00757A8C">
              <w:rPr>
                <w:lang w:val="fr-CH"/>
              </w:rPr>
              <w:t xml:space="preserve">Y3 </w:t>
            </w:r>
            <w:proofErr w:type="spellStart"/>
            <w:r w:rsidRPr="00757A8C">
              <w:rPr>
                <w:lang w:val="fr-CH"/>
              </w:rPr>
              <w:t>cont</w:t>
            </w:r>
            <w:proofErr w:type="spellEnd"/>
            <w:r w:rsidRPr="00757A8C">
              <w:rPr>
                <w:lang w:val="fr-CH"/>
              </w:rPr>
              <w:t>: 7.2%</w:t>
            </w:r>
          </w:p>
          <w:p w14:paraId="77256DA7" w14:textId="77777777" w:rsidR="0021449D" w:rsidRPr="00757A8C" w:rsidRDefault="0021449D" w:rsidP="006A58D9">
            <w:pPr>
              <w:pStyle w:val="COMTabletext"/>
              <w:rPr>
                <w:lang w:val="fr-CH"/>
              </w:rPr>
            </w:pPr>
            <w:r w:rsidRPr="00757A8C">
              <w:rPr>
                <w:lang w:val="fr-CH"/>
              </w:rPr>
              <w:t xml:space="preserve">Y4 </w:t>
            </w:r>
            <w:proofErr w:type="spellStart"/>
            <w:r w:rsidRPr="00757A8C">
              <w:rPr>
                <w:lang w:val="fr-CH"/>
              </w:rPr>
              <w:t>cont</w:t>
            </w:r>
            <w:proofErr w:type="spellEnd"/>
            <w:r w:rsidRPr="00757A8C">
              <w:rPr>
                <w:lang w:val="fr-CH"/>
              </w:rPr>
              <w:t>: 5.2%</w:t>
            </w:r>
          </w:p>
          <w:p w14:paraId="71ECA9FC" w14:textId="77777777" w:rsidR="0021449D" w:rsidRPr="00757A8C" w:rsidRDefault="0021449D" w:rsidP="006A58D9">
            <w:pPr>
              <w:pStyle w:val="COMTabletext"/>
              <w:rPr>
                <w:lang w:val="fr-CH"/>
              </w:rPr>
            </w:pPr>
            <w:r w:rsidRPr="00757A8C">
              <w:rPr>
                <w:lang w:val="fr-CH"/>
              </w:rPr>
              <w:t xml:space="preserve">Y5 </w:t>
            </w:r>
            <w:proofErr w:type="spellStart"/>
            <w:r w:rsidRPr="00757A8C">
              <w:rPr>
                <w:lang w:val="fr-CH"/>
              </w:rPr>
              <w:t>cont</w:t>
            </w:r>
            <w:proofErr w:type="spellEnd"/>
            <w:r w:rsidRPr="00757A8C">
              <w:rPr>
                <w:lang w:val="fr-CH"/>
              </w:rPr>
              <w:t>: 4.1%</w:t>
            </w:r>
          </w:p>
          <w:p w14:paraId="1F420E60" w14:textId="77777777" w:rsidR="0021449D" w:rsidRPr="00757A8C" w:rsidRDefault="0021449D" w:rsidP="006A58D9">
            <w:pPr>
              <w:pStyle w:val="COMTabletext"/>
            </w:pPr>
            <w:r w:rsidRPr="00757A8C">
              <w:t>Y6 cont: 3.3%</w:t>
            </w:r>
          </w:p>
        </w:tc>
        <w:tc>
          <w:tcPr>
            <w:tcW w:w="2414" w:type="dxa"/>
            <w:vMerge w:val="restart"/>
            <w:tcBorders>
              <w:top w:val="single" w:sz="4" w:space="0" w:color="auto"/>
              <w:left w:val="single" w:sz="4" w:space="0" w:color="auto"/>
              <w:bottom w:val="single" w:sz="4" w:space="0" w:color="auto"/>
              <w:right w:val="single" w:sz="4" w:space="0" w:color="auto"/>
            </w:tcBorders>
          </w:tcPr>
          <w:p w14:paraId="442E4D05" w14:textId="5F652EDA" w:rsidR="0021449D" w:rsidRPr="00757A8C" w:rsidRDefault="0021449D" w:rsidP="006A58D9">
            <w:pPr>
              <w:pStyle w:val="COMTabletext"/>
            </w:pPr>
            <w:r w:rsidRPr="00757A8C">
              <w:t>Estimated for each dosing period (initial treatment: 24 weeks in Year 1, continuing treatment: 28 weeks in Year 1, continuing treatment 52 weeks in Years 2 to 6)</w:t>
            </w:r>
            <w:r w:rsidR="00EF0316" w:rsidRPr="00757A8C">
              <w:t>.</w:t>
            </w:r>
          </w:p>
        </w:tc>
        <w:tc>
          <w:tcPr>
            <w:tcW w:w="3776" w:type="dxa"/>
            <w:vMerge w:val="restart"/>
            <w:tcBorders>
              <w:left w:val="single" w:sz="4" w:space="0" w:color="auto"/>
            </w:tcBorders>
          </w:tcPr>
          <w:p w14:paraId="1DE629DF" w14:textId="78CFDFA2" w:rsidR="0021449D" w:rsidRPr="0021449D" w:rsidRDefault="0021449D" w:rsidP="006A58D9">
            <w:pPr>
              <w:pStyle w:val="COMTabletext"/>
            </w:pPr>
            <w:r w:rsidRPr="0021449D">
              <w:t>The dose intensity for the 28-week continuing treatment period in Year 1 was inappropriately derived by dividing the number of vials used over the 28-week period by the number of vials required for a full 52 weeks of with 2.5 mg/kg. However, this issue appeared to be balanced by the assumption of a 52-week treatment period in the duration of treatment groups worksheet.</w:t>
            </w:r>
          </w:p>
        </w:tc>
      </w:tr>
      <w:tr w:rsidR="0021449D" w:rsidRPr="0021449D" w14:paraId="62C01C7C" w14:textId="77777777" w:rsidTr="001C3C06">
        <w:trPr>
          <w:cantSplit/>
        </w:trPr>
        <w:tc>
          <w:tcPr>
            <w:tcW w:w="1555" w:type="dxa"/>
          </w:tcPr>
          <w:p w14:paraId="500D870E" w14:textId="77777777" w:rsidR="0021449D" w:rsidRPr="0021449D" w:rsidRDefault="0021449D" w:rsidP="006A58D9">
            <w:pPr>
              <w:pStyle w:val="COMTabletext"/>
            </w:pPr>
            <w:r w:rsidRPr="0021449D">
              <w:t>Belantamab mafodotin 70 mg dose intensity</w:t>
            </w:r>
          </w:p>
        </w:tc>
        <w:tc>
          <w:tcPr>
            <w:tcW w:w="1271" w:type="dxa"/>
            <w:tcBorders>
              <w:right w:val="single" w:sz="4" w:space="0" w:color="auto"/>
            </w:tcBorders>
          </w:tcPr>
          <w:p w14:paraId="32030F89" w14:textId="77777777" w:rsidR="0021449D" w:rsidRPr="00757A8C" w:rsidRDefault="0021449D" w:rsidP="006A58D9">
            <w:pPr>
              <w:pStyle w:val="COMTabletext"/>
              <w:rPr>
                <w:lang w:val="fr-CH"/>
              </w:rPr>
            </w:pPr>
            <w:r w:rsidRPr="00757A8C">
              <w:rPr>
                <w:lang w:val="fr-CH"/>
              </w:rPr>
              <w:t>Y1 init: 57.6%</w:t>
            </w:r>
          </w:p>
          <w:p w14:paraId="3A77C061" w14:textId="77777777" w:rsidR="0021449D" w:rsidRPr="00757A8C" w:rsidRDefault="0021449D" w:rsidP="006A58D9">
            <w:pPr>
              <w:pStyle w:val="COMTabletext"/>
              <w:rPr>
                <w:lang w:val="fr-CH"/>
              </w:rPr>
            </w:pPr>
            <w:r w:rsidRPr="00757A8C">
              <w:rPr>
                <w:lang w:val="fr-CH"/>
              </w:rPr>
              <w:t xml:space="preserve">Y1 </w:t>
            </w:r>
            <w:proofErr w:type="spellStart"/>
            <w:r w:rsidRPr="00757A8C">
              <w:rPr>
                <w:lang w:val="fr-CH"/>
              </w:rPr>
              <w:t>cont</w:t>
            </w:r>
            <w:proofErr w:type="spellEnd"/>
            <w:r w:rsidRPr="00757A8C">
              <w:rPr>
                <w:lang w:val="fr-CH"/>
              </w:rPr>
              <w:t>: 16.4%</w:t>
            </w:r>
          </w:p>
          <w:p w14:paraId="1F1C1944" w14:textId="59C33E83" w:rsidR="0021449D" w:rsidRPr="00757A8C" w:rsidRDefault="0021449D" w:rsidP="006A58D9">
            <w:pPr>
              <w:pStyle w:val="COMTabletext"/>
              <w:rPr>
                <w:lang w:val="fr-CH"/>
              </w:rPr>
            </w:pPr>
            <w:r w:rsidRPr="00757A8C">
              <w:rPr>
                <w:lang w:val="fr-CH"/>
              </w:rPr>
              <w:t xml:space="preserve">Y2 </w:t>
            </w:r>
            <w:proofErr w:type="spellStart"/>
            <w:r w:rsidRPr="00757A8C">
              <w:rPr>
                <w:lang w:val="fr-CH"/>
              </w:rPr>
              <w:t>cont</w:t>
            </w:r>
            <w:proofErr w:type="spellEnd"/>
            <w:r w:rsidRPr="00757A8C">
              <w:rPr>
                <w:lang w:val="fr-CH"/>
              </w:rPr>
              <w:t>: 19.8%</w:t>
            </w:r>
          </w:p>
          <w:p w14:paraId="1401F8E2" w14:textId="77777777" w:rsidR="0021449D" w:rsidRPr="00757A8C" w:rsidRDefault="0021449D" w:rsidP="006A58D9">
            <w:pPr>
              <w:pStyle w:val="COMTabletext"/>
              <w:rPr>
                <w:lang w:val="fr-CH"/>
              </w:rPr>
            </w:pPr>
            <w:r w:rsidRPr="00757A8C">
              <w:rPr>
                <w:lang w:val="fr-CH"/>
              </w:rPr>
              <w:lastRenderedPageBreak/>
              <w:t xml:space="preserve">Y3 </w:t>
            </w:r>
            <w:proofErr w:type="spellStart"/>
            <w:r w:rsidRPr="00757A8C">
              <w:rPr>
                <w:lang w:val="fr-CH"/>
              </w:rPr>
              <w:t>cont</w:t>
            </w:r>
            <w:proofErr w:type="spellEnd"/>
            <w:r w:rsidRPr="00757A8C">
              <w:rPr>
                <w:lang w:val="fr-CH"/>
              </w:rPr>
              <w:t>: 11.9%</w:t>
            </w:r>
          </w:p>
          <w:p w14:paraId="2AB5ABE7" w14:textId="77777777" w:rsidR="0021449D" w:rsidRPr="00757A8C" w:rsidRDefault="0021449D" w:rsidP="006A58D9">
            <w:pPr>
              <w:pStyle w:val="COMTabletext"/>
              <w:rPr>
                <w:lang w:val="fr-CH"/>
              </w:rPr>
            </w:pPr>
            <w:r w:rsidRPr="00757A8C">
              <w:rPr>
                <w:lang w:val="fr-CH"/>
              </w:rPr>
              <w:t xml:space="preserve">Y4 </w:t>
            </w:r>
            <w:proofErr w:type="spellStart"/>
            <w:r w:rsidRPr="00757A8C">
              <w:rPr>
                <w:lang w:val="fr-CH"/>
              </w:rPr>
              <w:t>cont</w:t>
            </w:r>
            <w:proofErr w:type="spellEnd"/>
            <w:r w:rsidRPr="00757A8C">
              <w:rPr>
                <w:lang w:val="fr-CH"/>
              </w:rPr>
              <w:t>: 8.6%</w:t>
            </w:r>
          </w:p>
          <w:p w14:paraId="1690806E" w14:textId="77777777" w:rsidR="0021449D" w:rsidRPr="00757A8C" w:rsidRDefault="0021449D" w:rsidP="006A58D9">
            <w:pPr>
              <w:pStyle w:val="COMTabletext"/>
              <w:rPr>
                <w:lang w:val="fr-CH"/>
              </w:rPr>
            </w:pPr>
            <w:r w:rsidRPr="00757A8C">
              <w:rPr>
                <w:lang w:val="fr-CH"/>
              </w:rPr>
              <w:t xml:space="preserve">Y5 </w:t>
            </w:r>
            <w:proofErr w:type="spellStart"/>
            <w:r w:rsidRPr="00757A8C">
              <w:rPr>
                <w:lang w:val="fr-CH"/>
              </w:rPr>
              <w:t>cont</w:t>
            </w:r>
            <w:proofErr w:type="spellEnd"/>
            <w:r w:rsidRPr="00757A8C">
              <w:rPr>
                <w:lang w:val="fr-CH"/>
              </w:rPr>
              <w:t>: 6.8%</w:t>
            </w:r>
          </w:p>
          <w:p w14:paraId="409BC8B0" w14:textId="77777777" w:rsidR="0021449D" w:rsidRPr="00757A8C" w:rsidRDefault="0021449D" w:rsidP="006A58D9">
            <w:pPr>
              <w:pStyle w:val="COMTabletext"/>
            </w:pPr>
            <w:r w:rsidRPr="00757A8C">
              <w:t>Y6 cont: 5.5%</w:t>
            </w:r>
          </w:p>
        </w:tc>
        <w:tc>
          <w:tcPr>
            <w:tcW w:w="2414" w:type="dxa"/>
            <w:vMerge/>
            <w:tcBorders>
              <w:top w:val="single" w:sz="4" w:space="0" w:color="auto"/>
              <w:left w:val="single" w:sz="4" w:space="0" w:color="auto"/>
              <w:bottom w:val="single" w:sz="4" w:space="0" w:color="auto"/>
              <w:right w:val="single" w:sz="4" w:space="0" w:color="auto"/>
            </w:tcBorders>
          </w:tcPr>
          <w:p w14:paraId="336EE1C7" w14:textId="77777777" w:rsidR="0021449D" w:rsidRPr="00757A8C" w:rsidRDefault="0021449D" w:rsidP="006A58D9">
            <w:pPr>
              <w:pStyle w:val="COMTabletext"/>
            </w:pPr>
          </w:p>
        </w:tc>
        <w:tc>
          <w:tcPr>
            <w:tcW w:w="3776" w:type="dxa"/>
            <w:vMerge/>
            <w:tcBorders>
              <w:left w:val="single" w:sz="4" w:space="0" w:color="auto"/>
            </w:tcBorders>
          </w:tcPr>
          <w:p w14:paraId="6B0CBD1E" w14:textId="77777777" w:rsidR="0021449D" w:rsidRPr="0021449D" w:rsidRDefault="0021449D" w:rsidP="006A58D9">
            <w:pPr>
              <w:pStyle w:val="COMTabletext"/>
              <w:rPr>
                <w:b/>
              </w:rPr>
            </w:pPr>
          </w:p>
        </w:tc>
      </w:tr>
      <w:tr w:rsidR="0021449D" w:rsidRPr="0021449D" w14:paraId="1EFE0BB3" w14:textId="77777777" w:rsidTr="001C3C06">
        <w:trPr>
          <w:cantSplit/>
        </w:trPr>
        <w:tc>
          <w:tcPr>
            <w:tcW w:w="1555" w:type="dxa"/>
          </w:tcPr>
          <w:p w14:paraId="6ED56F2F" w14:textId="77777777" w:rsidR="0021449D" w:rsidRPr="0021449D" w:rsidRDefault="0021449D" w:rsidP="006A58D9">
            <w:pPr>
              <w:pStyle w:val="COMTabletext"/>
            </w:pPr>
            <w:r w:rsidRPr="0021449D">
              <w:t>Daratumumab treatment adherence (DBd)</w:t>
            </w:r>
          </w:p>
        </w:tc>
        <w:tc>
          <w:tcPr>
            <w:tcW w:w="1271" w:type="dxa"/>
            <w:tcBorders>
              <w:right w:val="single" w:sz="4" w:space="0" w:color="auto"/>
            </w:tcBorders>
          </w:tcPr>
          <w:p w14:paraId="0D176386" w14:textId="77777777" w:rsidR="0021449D" w:rsidRPr="0021449D" w:rsidRDefault="0021449D" w:rsidP="006A58D9">
            <w:pPr>
              <w:pStyle w:val="COMTabletext"/>
            </w:pPr>
            <w:r w:rsidRPr="0021449D">
              <w:t>97%</w:t>
            </w:r>
          </w:p>
        </w:tc>
        <w:tc>
          <w:tcPr>
            <w:tcW w:w="2414" w:type="dxa"/>
            <w:tcBorders>
              <w:top w:val="single" w:sz="4" w:space="0" w:color="auto"/>
              <w:left w:val="single" w:sz="4" w:space="0" w:color="auto"/>
              <w:bottom w:val="single" w:sz="4" w:space="0" w:color="auto"/>
              <w:right w:val="single" w:sz="4" w:space="0" w:color="auto"/>
            </w:tcBorders>
          </w:tcPr>
          <w:p w14:paraId="5551D27C" w14:textId="77777777" w:rsidR="0021449D" w:rsidRPr="0021449D" w:rsidRDefault="0021449D" w:rsidP="006A58D9">
            <w:pPr>
              <w:pStyle w:val="COMTabletext"/>
            </w:pPr>
            <w:r w:rsidRPr="0021449D">
              <w:t>Based on the mean relative dose intensity for daratumumab reported in the DREAMM</w:t>
            </w:r>
            <w:r w:rsidRPr="0021449D">
              <w:noBreakHyphen/>
              <w:t>7 trial.</w:t>
            </w:r>
          </w:p>
        </w:tc>
        <w:tc>
          <w:tcPr>
            <w:tcW w:w="3776" w:type="dxa"/>
            <w:tcBorders>
              <w:left w:val="single" w:sz="4" w:space="0" w:color="auto"/>
            </w:tcBorders>
          </w:tcPr>
          <w:p w14:paraId="36F2E312" w14:textId="7C267719" w:rsidR="0021449D" w:rsidRPr="0021449D" w:rsidRDefault="0021449D" w:rsidP="006A58D9">
            <w:pPr>
              <w:pStyle w:val="COMTabletext"/>
            </w:pPr>
            <w:r w:rsidRPr="0021449D">
              <w:t>The dose intensity for daratumumab was based on the mean relative dose intensity reported for Cycle 9+. It would have been preferable to use separate dose intensities for the respective treatment periods.</w:t>
            </w:r>
          </w:p>
        </w:tc>
      </w:tr>
      <w:tr w:rsidR="0021449D" w:rsidRPr="0021449D" w14:paraId="196CAABC" w14:textId="77777777" w:rsidTr="001C3C06">
        <w:trPr>
          <w:cantSplit/>
          <w:trHeight w:val="1530"/>
        </w:trPr>
        <w:tc>
          <w:tcPr>
            <w:tcW w:w="1555" w:type="dxa"/>
          </w:tcPr>
          <w:p w14:paraId="1069AE09" w14:textId="77777777" w:rsidR="0021449D" w:rsidRPr="0021449D" w:rsidRDefault="0021449D" w:rsidP="006A58D9">
            <w:pPr>
              <w:pStyle w:val="COMTabletext"/>
            </w:pPr>
            <w:r w:rsidRPr="0021449D">
              <w:t>Daratumumab treatment persistence</w:t>
            </w:r>
          </w:p>
        </w:tc>
        <w:tc>
          <w:tcPr>
            <w:tcW w:w="1271" w:type="dxa"/>
            <w:tcBorders>
              <w:right w:val="single" w:sz="4" w:space="0" w:color="auto"/>
            </w:tcBorders>
          </w:tcPr>
          <w:p w14:paraId="4146375B" w14:textId="4C3AD44E" w:rsidR="0021449D" w:rsidRPr="004433FD" w:rsidRDefault="0021449D" w:rsidP="006A58D9">
            <w:pPr>
              <w:pStyle w:val="COMTabletext"/>
            </w:pPr>
            <w:r w:rsidRPr="004433FD">
              <w:t xml:space="preserve">Cycles 1-3: </w:t>
            </w:r>
            <w:r w:rsidR="0031771B" w:rsidRPr="004433FD">
              <w:br/>
            </w:r>
            <w:r w:rsidRPr="004433FD">
              <w:t>8.42 weeks</w:t>
            </w:r>
          </w:p>
          <w:p w14:paraId="3DC67EB7" w14:textId="77777777" w:rsidR="0021449D" w:rsidRPr="004433FD" w:rsidRDefault="0021449D" w:rsidP="006A58D9">
            <w:pPr>
              <w:pStyle w:val="COMTabletext"/>
            </w:pPr>
            <w:r w:rsidRPr="004433FD">
              <w:t>Cycles 4-8: 11.72 weeks</w:t>
            </w:r>
          </w:p>
          <w:p w14:paraId="02F81876" w14:textId="37615B8A" w:rsidR="0021449D" w:rsidRPr="004433FD" w:rsidRDefault="0021449D" w:rsidP="006A58D9">
            <w:pPr>
              <w:pStyle w:val="COMTabletext"/>
            </w:pPr>
            <w:r w:rsidRPr="004433FD">
              <w:t xml:space="preserve">Cycle 9+: </w:t>
            </w:r>
            <w:r w:rsidR="0031771B" w:rsidRPr="004433FD">
              <w:br/>
            </w:r>
            <w:r w:rsidRPr="004433FD">
              <w:t>59.50 weeks</w:t>
            </w:r>
          </w:p>
        </w:tc>
        <w:tc>
          <w:tcPr>
            <w:tcW w:w="2414" w:type="dxa"/>
            <w:tcBorders>
              <w:top w:val="single" w:sz="4" w:space="0" w:color="auto"/>
              <w:left w:val="single" w:sz="4" w:space="0" w:color="auto"/>
              <w:bottom w:val="single" w:sz="4" w:space="0" w:color="auto"/>
              <w:right w:val="single" w:sz="4" w:space="0" w:color="auto"/>
            </w:tcBorders>
          </w:tcPr>
          <w:p w14:paraId="4486610C" w14:textId="6AB3FBBE" w:rsidR="0021449D" w:rsidRPr="004433FD" w:rsidRDefault="00537805" w:rsidP="006A58D9">
            <w:pPr>
              <w:pStyle w:val="COMTabletext"/>
            </w:pPr>
            <w:r w:rsidRPr="004433FD">
              <w:t>B</w:t>
            </w:r>
            <w:r w:rsidR="0021449D" w:rsidRPr="004433FD">
              <w:t xml:space="preserve">ased on an analysis of time to treatment discontinuation for DBd in the economic model, which indicated a mean time on treatment of 79.64 weeks. </w:t>
            </w:r>
          </w:p>
        </w:tc>
        <w:tc>
          <w:tcPr>
            <w:tcW w:w="3776" w:type="dxa"/>
            <w:tcBorders>
              <w:left w:val="single" w:sz="4" w:space="0" w:color="auto"/>
            </w:tcBorders>
          </w:tcPr>
          <w:p w14:paraId="0009F79B" w14:textId="2DEF3493" w:rsidR="0021449D" w:rsidRPr="0021449D" w:rsidRDefault="0021449D" w:rsidP="006A58D9">
            <w:pPr>
              <w:pStyle w:val="COMTabletext"/>
            </w:pPr>
            <w:r w:rsidRPr="0021449D">
              <w:t xml:space="preserve">The submission inappropriately </w:t>
            </w:r>
            <w:r w:rsidRPr="004433FD">
              <w:t>attributed 72.14 weeks of daratumumab treatment to the initial year of treatment, rather than 52 weeks in the initial treatment year and 27.64 weeks of treatment in the second year. This resulted in a larger daratumumab cost offset in Year 1 than would be realised in clinical practice (culminating</w:t>
            </w:r>
            <w:r w:rsidRPr="0021449D">
              <w:t xml:space="preserve"> in a net saving to the PBS/RPBS in Year 1 of listing).</w:t>
            </w:r>
          </w:p>
        </w:tc>
      </w:tr>
      <w:tr w:rsidR="0021449D" w:rsidRPr="0021449D" w14:paraId="76539AD0" w14:textId="77777777" w:rsidTr="001C3C06">
        <w:trPr>
          <w:cantSplit/>
        </w:trPr>
        <w:tc>
          <w:tcPr>
            <w:tcW w:w="9016" w:type="dxa"/>
            <w:gridSpan w:val="4"/>
            <w:tcBorders>
              <w:top w:val="single" w:sz="4" w:space="0" w:color="auto"/>
              <w:left w:val="single" w:sz="4" w:space="0" w:color="auto"/>
              <w:bottom w:val="single" w:sz="4" w:space="0" w:color="auto"/>
              <w:right w:val="single" w:sz="4" w:space="0" w:color="auto"/>
            </w:tcBorders>
          </w:tcPr>
          <w:p w14:paraId="436E377D" w14:textId="77777777" w:rsidR="0021449D" w:rsidRPr="0021449D" w:rsidRDefault="0021449D" w:rsidP="006A58D9">
            <w:pPr>
              <w:pStyle w:val="COMTabletext"/>
              <w:rPr>
                <w:b/>
                <w:bCs w:val="0"/>
              </w:rPr>
            </w:pPr>
            <w:r w:rsidRPr="0021449D">
              <w:rPr>
                <w:b/>
                <w:bCs w:val="0"/>
              </w:rPr>
              <w:t>Costs</w:t>
            </w:r>
          </w:p>
        </w:tc>
      </w:tr>
      <w:tr w:rsidR="00EF0316" w:rsidRPr="0021449D" w14:paraId="0885C567" w14:textId="77777777" w:rsidTr="001C3C06">
        <w:trPr>
          <w:cantSplit/>
          <w:trHeight w:val="1152"/>
        </w:trPr>
        <w:tc>
          <w:tcPr>
            <w:tcW w:w="1555" w:type="dxa"/>
          </w:tcPr>
          <w:p w14:paraId="006706B1" w14:textId="77777777" w:rsidR="00EF0316" w:rsidRPr="0021449D" w:rsidRDefault="00EF0316" w:rsidP="006A58D9">
            <w:pPr>
              <w:pStyle w:val="COMTabletext"/>
            </w:pPr>
            <w:r w:rsidRPr="0021449D">
              <w:t>Belantamab cost per script (100 mg vial component)</w:t>
            </w:r>
          </w:p>
        </w:tc>
        <w:tc>
          <w:tcPr>
            <w:tcW w:w="1271" w:type="dxa"/>
            <w:tcBorders>
              <w:right w:val="single" w:sz="4" w:space="0" w:color="auto"/>
            </w:tcBorders>
          </w:tcPr>
          <w:p w14:paraId="0B7861C9" w14:textId="528D7AA1" w:rsidR="00EF0316" w:rsidRPr="0021449D" w:rsidRDefault="00EF0316" w:rsidP="006A58D9">
            <w:pPr>
              <w:pStyle w:val="COMTabletext"/>
            </w:pPr>
            <w:r w:rsidRPr="0021449D">
              <w:t>$</w:t>
            </w:r>
            <w:r w:rsidR="0040410B" w:rsidRPr="0040410B">
              <w:rPr>
                <w:highlight w:val="black"/>
              </w:rPr>
              <w:t>&amp;&amp;&amp;&amp;</w:t>
            </w:r>
          </w:p>
        </w:tc>
        <w:tc>
          <w:tcPr>
            <w:tcW w:w="2414" w:type="dxa"/>
            <w:vMerge w:val="restart"/>
            <w:tcBorders>
              <w:top w:val="single" w:sz="4" w:space="0" w:color="auto"/>
              <w:left w:val="single" w:sz="4" w:space="0" w:color="auto"/>
              <w:bottom w:val="single" w:sz="4" w:space="0" w:color="auto"/>
              <w:right w:val="single" w:sz="4" w:space="0" w:color="auto"/>
            </w:tcBorders>
          </w:tcPr>
          <w:p w14:paraId="244C1950" w14:textId="629A8D26" w:rsidR="00EF0316" w:rsidRPr="0021449D" w:rsidRDefault="00EF0316" w:rsidP="006A58D9">
            <w:pPr>
              <w:pStyle w:val="COMTabletext"/>
            </w:pPr>
            <w:r w:rsidRPr="0021449D">
              <w:t>Based on the proposed effective EMP of $</w:t>
            </w:r>
            <w:r w:rsidR="0040410B" w:rsidRPr="0040410B">
              <w:rPr>
                <w:highlight w:val="black"/>
              </w:rPr>
              <w:t>&amp;&amp;&amp;&amp;</w:t>
            </w:r>
            <w:r w:rsidRPr="0021449D">
              <w:t xml:space="preserve"> per 100 mg vial</w:t>
            </w:r>
            <w:r>
              <w:t xml:space="preserve"> and $</w:t>
            </w:r>
            <w:r w:rsidR="0040410B" w:rsidRPr="0040410B">
              <w:rPr>
                <w:highlight w:val="black"/>
              </w:rPr>
              <w:t>&amp;&amp;&amp;&amp;</w:t>
            </w:r>
            <w:r>
              <w:t xml:space="preserve"> per 70 mg vial</w:t>
            </w:r>
            <w:r w:rsidRPr="0021449D">
              <w:t>, a 51.25%/48.75% split of the applicable PBS markups between the 100 mg and 70 mg vials, and a weighted 38.81%/61.19% public/private hospital split.</w:t>
            </w:r>
          </w:p>
        </w:tc>
        <w:tc>
          <w:tcPr>
            <w:tcW w:w="3776" w:type="dxa"/>
            <w:vMerge w:val="restart"/>
            <w:tcBorders>
              <w:left w:val="single" w:sz="4" w:space="0" w:color="auto"/>
            </w:tcBorders>
          </w:tcPr>
          <w:p w14:paraId="77EE3575" w14:textId="246F97C5" w:rsidR="00EF0316" w:rsidRPr="0021449D" w:rsidRDefault="00EF0316" w:rsidP="006A58D9">
            <w:pPr>
              <w:pStyle w:val="COMTabletext"/>
            </w:pPr>
            <w:r w:rsidRPr="0021449D">
              <w:t>The method used to derive the utilisation and financial estimates for belantamab mafodotin was complex, and it is unclear whether the separate derivation of 100 mg and 70 mg vial costs with pricing applied on a proportional basis was reasonable.</w:t>
            </w:r>
          </w:p>
        </w:tc>
      </w:tr>
      <w:tr w:rsidR="00EF0316" w:rsidRPr="0021449D" w14:paraId="069EF01B" w14:textId="77777777" w:rsidTr="001C3C06">
        <w:trPr>
          <w:cantSplit/>
          <w:trHeight w:val="684"/>
        </w:trPr>
        <w:tc>
          <w:tcPr>
            <w:tcW w:w="1555" w:type="dxa"/>
            <w:tcBorders>
              <w:bottom w:val="single" w:sz="4" w:space="0" w:color="auto"/>
            </w:tcBorders>
          </w:tcPr>
          <w:p w14:paraId="22CEE0B2" w14:textId="4104CE7D" w:rsidR="00EF0316" w:rsidRPr="0021449D" w:rsidRDefault="00EF0316" w:rsidP="006A58D9">
            <w:pPr>
              <w:pStyle w:val="COMTabletext"/>
            </w:pPr>
            <w:r w:rsidRPr="0021449D">
              <w:t>Belantamab cost per script (70 mg vial component)</w:t>
            </w:r>
          </w:p>
        </w:tc>
        <w:tc>
          <w:tcPr>
            <w:tcW w:w="1271" w:type="dxa"/>
            <w:tcBorders>
              <w:bottom w:val="single" w:sz="4" w:space="0" w:color="auto"/>
              <w:right w:val="single" w:sz="4" w:space="0" w:color="auto"/>
            </w:tcBorders>
          </w:tcPr>
          <w:p w14:paraId="758ED93D" w14:textId="6AB936D1" w:rsidR="00EF0316" w:rsidRPr="0021449D" w:rsidRDefault="00EF0316" w:rsidP="006A58D9">
            <w:pPr>
              <w:pStyle w:val="COMTabletext"/>
            </w:pPr>
            <w:r w:rsidRPr="0021449D">
              <w:t>$</w:t>
            </w:r>
            <w:r w:rsidR="0040410B" w:rsidRPr="0040410B">
              <w:rPr>
                <w:highlight w:val="black"/>
              </w:rPr>
              <w:t>&amp;&amp;&amp;&amp;</w:t>
            </w:r>
          </w:p>
        </w:tc>
        <w:tc>
          <w:tcPr>
            <w:tcW w:w="2414" w:type="dxa"/>
            <w:vMerge/>
            <w:tcBorders>
              <w:top w:val="single" w:sz="4" w:space="0" w:color="auto"/>
              <w:left w:val="single" w:sz="4" w:space="0" w:color="auto"/>
              <w:bottom w:val="single" w:sz="4" w:space="0" w:color="auto"/>
              <w:right w:val="single" w:sz="4" w:space="0" w:color="auto"/>
            </w:tcBorders>
          </w:tcPr>
          <w:p w14:paraId="0430EB6E" w14:textId="77777777" w:rsidR="00EF0316" w:rsidRPr="0021449D" w:rsidRDefault="00EF0316" w:rsidP="006A58D9">
            <w:pPr>
              <w:pStyle w:val="COMTabletext"/>
            </w:pPr>
          </w:p>
        </w:tc>
        <w:tc>
          <w:tcPr>
            <w:tcW w:w="3776" w:type="dxa"/>
            <w:vMerge/>
            <w:tcBorders>
              <w:left w:val="single" w:sz="4" w:space="0" w:color="auto"/>
              <w:bottom w:val="single" w:sz="4" w:space="0" w:color="auto"/>
            </w:tcBorders>
          </w:tcPr>
          <w:p w14:paraId="63C48E96" w14:textId="77777777" w:rsidR="00EF0316" w:rsidRPr="0021449D" w:rsidDel="00B92509" w:rsidRDefault="00EF0316" w:rsidP="006A58D9">
            <w:pPr>
              <w:pStyle w:val="COMTabletext"/>
            </w:pPr>
          </w:p>
        </w:tc>
      </w:tr>
      <w:tr w:rsidR="0021449D" w:rsidRPr="0021449D" w14:paraId="65D49890" w14:textId="77777777" w:rsidTr="001C3C06">
        <w:trPr>
          <w:cantSplit/>
        </w:trPr>
        <w:tc>
          <w:tcPr>
            <w:tcW w:w="1555" w:type="dxa"/>
          </w:tcPr>
          <w:p w14:paraId="71226AD8" w14:textId="77777777" w:rsidR="0021449D" w:rsidRPr="0021449D" w:rsidRDefault="0021449D" w:rsidP="006A58D9">
            <w:pPr>
              <w:pStyle w:val="COMTabletext"/>
            </w:pPr>
            <w:r w:rsidRPr="0021449D">
              <w:t>Daratumumab cost per script</w:t>
            </w:r>
          </w:p>
        </w:tc>
        <w:tc>
          <w:tcPr>
            <w:tcW w:w="1271" w:type="dxa"/>
            <w:tcBorders>
              <w:right w:val="single" w:sz="4" w:space="0" w:color="auto"/>
            </w:tcBorders>
          </w:tcPr>
          <w:p w14:paraId="5069DDAC" w14:textId="77777777" w:rsidR="0021449D" w:rsidRPr="0021449D" w:rsidRDefault="0021449D" w:rsidP="006A58D9">
            <w:pPr>
              <w:pStyle w:val="COMTabletext"/>
            </w:pPr>
            <w:r w:rsidRPr="0021449D">
              <w:t>$7,776.99</w:t>
            </w:r>
          </w:p>
        </w:tc>
        <w:tc>
          <w:tcPr>
            <w:tcW w:w="2414" w:type="dxa"/>
            <w:tcBorders>
              <w:top w:val="single" w:sz="4" w:space="0" w:color="auto"/>
              <w:left w:val="single" w:sz="4" w:space="0" w:color="auto"/>
              <w:bottom w:val="single" w:sz="4" w:space="0" w:color="auto"/>
              <w:right w:val="single" w:sz="4" w:space="0" w:color="auto"/>
            </w:tcBorders>
          </w:tcPr>
          <w:p w14:paraId="0869FD68" w14:textId="66E6A253" w:rsidR="0021449D" w:rsidRPr="0021449D" w:rsidRDefault="0021449D" w:rsidP="006A58D9">
            <w:pPr>
              <w:pStyle w:val="COMTabletext"/>
            </w:pPr>
            <w:r w:rsidRPr="0021449D">
              <w:t xml:space="preserve">Based on a </w:t>
            </w:r>
            <w:r w:rsidR="00E35C51">
              <w:t xml:space="preserve">published </w:t>
            </w:r>
            <w:r w:rsidRPr="0021449D">
              <w:t xml:space="preserve">dispensed price of $7,776.99 per script, assuming a requirement of 1,300 mg, 100% use of the </w:t>
            </w:r>
            <w:r w:rsidR="00603B4E">
              <w:t>IV</w:t>
            </w:r>
            <w:r w:rsidRPr="0021449D">
              <w:t>, and a 39%/61% weighted public/private hospital split.</w:t>
            </w:r>
          </w:p>
        </w:tc>
        <w:tc>
          <w:tcPr>
            <w:tcW w:w="3776" w:type="dxa"/>
            <w:tcBorders>
              <w:left w:val="single" w:sz="4" w:space="0" w:color="auto"/>
            </w:tcBorders>
          </w:tcPr>
          <w:p w14:paraId="47E2E0BD" w14:textId="128CCDA7" w:rsidR="0021449D" w:rsidRPr="0021449D" w:rsidRDefault="0021449D" w:rsidP="006A58D9">
            <w:pPr>
              <w:pStyle w:val="COMTabletext"/>
            </w:pPr>
            <w:r w:rsidRPr="0021449D">
              <w:t>The subcutaneous formulation of daratumumab is likely to be used more frequently in clinical practice and is based on a flat dose of 1,800 mg. The submission presented the results of a sensitivity analysis in which the cost of daratumumab was based on 100% utilisation of the subcutaneous daratumumab formulation. A cost associated with daratumumab premedication with dexamethasone was included in the economic model.</w:t>
            </w:r>
          </w:p>
        </w:tc>
      </w:tr>
      <w:tr w:rsidR="0021449D" w:rsidRPr="0021449D" w14:paraId="2845FB51" w14:textId="77777777" w:rsidTr="001C3C06">
        <w:trPr>
          <w:cantSplit/>
        </w:trPr>
        <w:tc>
          <w:tcPr>
            <w:tcW w:w="1555" w:type="dxa"/>
          </w:tcPr>
          <w:p w14:paraId="110E87B8" w14:textId="77777777" w:rsidR="0021449D" w:rsidRPr="0021449D" w:rsidRDefault="0021449D" w:rsidP="006A58D9">
            <w:pPr>
              <w:pStyle w:val="COMTabletext"/>
            </w:pPr>
            <w:r w:rsidRPr="0021449D">
              <w:t>Eye care professional visits</w:t>
            </w:r>
          </w:p>
        </w:tc>
        <w:tc>
          <w:tcPr>
            <w:tcW w:w="1271" w:type="dxa"/>
            <w:tcBorders>
              <w:right w:val="single" w:sz="4" w:space="0" w:color="auto"/>
            </w:tcBorders>
          </w:tcPr>
          <w:p w14:paraId="75796566" w14:textId="77777777" w:rsidR="0021449D" w:rsidRPr="0021449D" w:rsidRDefault="0021449D" w:rsidP="006A58D9">
            <w:pPr>
              <w:pStyle w:val="COMTabletext"/>
            </w:pPr>
            <w:r w:rsidRPr="0021449D">
              <w:t>$28.58</w:t>
            </w:r>
          </w:p>
        </w:tc>
        <w:tc>
          <w:tcPr>
            <w:tcW w:w="2414" w:type="dxa"/>
            <w:tcBorders>
              <w:top w:val="single" w:sz="4" w:space="0" w:color="auto"/>
              <w:left w:val="single" w:sz="4" w:space="0" w:color="auto"/>
              <w:bottom w:val="single" w:sz="4" w:space="0" w:color="auto"/>
              <w:right w:val="single" w:sz="4" w:space="0" w:color="auto"/>
            </w:tcBorders>
          </w:tcPr>
          <w:p w14:paraId="4D33E5CD" w14:textId="3E2A63BE" w:rsidR="0021449D" w:rsidRPr="0021449D" w:rsidRDefault="0021449D" w:rsidP="006A58D9">
            <w:pPr>
              <w:pStyle w:val="COMTabletext"/>
            </w:pPr>
            <w:r w:rsidRPr="0021449D">
              <w:t>MBS Item 10918, based on 75% of the Schedule fee. Four services for each patient initiating BmBd were assumed</w:t>
            </w:r>
          </w:p>
        </w:tc>
        <w:tc>
          <w:tcPr>
            <w:tcW w:w="3776" w:type="dxa"/>
            <w:tcBorders>
              <w:left w:val="single" w:sz="4" w:space="0" w:color="auto"/>
            </w:tcBorders>
          </w:tcPr>
          <w:p w14:paraId="3B939849" w14:textId="7B414EBB" w:rsidR="0021449D" w:rsidRPr="0021449D" w:rsidRDefault="0021449D" w:rsidP="006A58D9">
            <w:pPr>
              <w:pStyle w:val="COMTabletext"/>
            </w:pPr>
            <w:r w:rsidRPr="0021449D">
              <w:t>Costs associated with monitoring and management of eye toxicity are likely to be substantially higher in clinical practice given the frequency of eye related adverse events among patients in the DREAMM-7 trial. Additionally, the submission only included costs associated with optometrist consultations. In clinical practice, some patients may be managed by an ophthalmologist, or by an optometrist and an ophthalmologist. The MBS cost should be based on 80% of the Schedule fee.</w:t>
            </w:r>
          </w:p>
        </w:tc>
      </w:tr>
      <w:tr w:rsidR="0021449D" w:rsidRPr="0021449D" w14:paraId="54C174B6" w14:textId="77777777" w:rsidTr="001C3C06">
        <w:trPr>
          <w:cantSplit/>
        </w:trPr>
        <w:tc>
          <w:tcPr>
            <w:tcW w:w="1555" w:type="dxa"/>
          </w:tcPr>
          <w:p w14:paraId="1FC72141" w14:textId="775C562F" w:rsidR="0021449D" w:rsidRPr="0021449D" w:rsidRDefault="0021449D" w:rsidP="006A58D9">
            <w:pPr>
              <w:pStyle w:val="COMTabletext"/>
            </w:pPr>
            <w:r w:rsidRPr="0021449D">
              <w:t>Administration cost (BmBd</w:t>
            </w:r>
            <w:r w:rsidR="00AE2F13">
              <w:t xml:space="preserve"> and DBd</w:t>
            </w:r>
            <w:r w:rsidRPr="0021449D">
              <w:t>)</w:t>
            </w:r>
          </w:p>
        </w:tc>
        <w:tc>
          <w:tcPr>
            <w:tcW w:w="1271" w:type="dxa"/>
            <w:tcBorders>
              <w:right w:val="single" w:sz="4" w:space="0" w:color="auto"/>
            </w:tcBorders>
          </w:tcPr>
          <w:p w14:paraId="35537163" w14:textId="77777777" w:rsidR="0021449D" w:rsidRPr="0021449D" w:rsidRDefault="0021449D" w:rsidP="006A58D9">
            <w:pPr>
              <w:pStyle w:val="COMTabletext"/>
            </w:pPr>
            <w:r w:rsidRPr="0021449D">
              <w:t>$92.29</w:t>
            </w:r>
          </w:p>
        </w:tc>
        <w:tc>
          <w:tcPr>
            <w:tcW w:w="2414" w:type="dxa"/>
            <w:tcBorders>
              <w:top w:val="single" w:sz="4" w:space="0" w:color="auto"/>
              <w:left w:val="single" w:sz="4" w:space="0" w:color="auto"/>
              <w:bottom w:val="single" w:sz="4" w:space="0" w:color="auto"/>
              <w:right w:val="single" w:sz="4" w:space="0" w:color="auto"/>
            </w:tcBorders>
          </w:tcPr>
          <w:p w14:paraId="5D31B456" w14:textId="13764C8E" w:rsidR="0021449D" w:rsidRPr="0021449D" w:rsidRDefault="0021449D" w:rsidP="006A58D9">
            <w:pPr>
              <w:pStyle w:val="COMTabletext"/>
            </w:pPr>
            <w:r w:rsidRPr="0021449D">
              <w:t>MBS Item 13950, based on 75% of the Schedule fee.</w:t>
            </w:r>
          </w:p>
        </w:tc>
        <w:tc>
          <w:tcPr>
            <w:tcW w:w="3776" w:type="dxa"/>
            <w:tcBorders>
              <w:left w:val="single" w:sz="4" w:space="0" w:color="auto"/>
            </w:tcBorders>
          </w:tcPr>
          <w:p w14:paraId="239C51A6" w14:textId="3E2F6C70" w:rsidR="0021449D" w:rsidRDefault="0021449D" w:rsidP="006A58D9">
            <w:pPr>
              <w:pStyle w:val="COMTabletext"/>
            </w:pPr>
            <w:r w:rsidRPr="0021449D">
              <w:t xml:space="preserve">Bortezomib administrations </w:t>
            </w:r>
            <w:r w:rsidR="00B55A29">
              <w:t>were not included</w:t>
            </w:r>
            <w:r w:rsidRPr="0021449D">
              <w:t>. The MBS cost should be based on 80% of the Schedule fee.</w:t>
            </w:r>
          </w:p>
          <w:p w14:paraId="70E322F8" w14:textId="4D7278F7" w:rsidR="0027756D" w:rsidRPr="0021449D" w:rsidRDefault="0027756D" w:rsidP="006A58D9">
            <w:pPr>
              <w:pStyle w:val="COMTabletext"/>
            </w:pPr>
            <w:r>
              <w:t>For BmBd, t</w:t>
            </w:r>
            <w:r w:rsidRPr="0021449D">
              <w:t>he submission based the number of administrations on the number of 70 mg vials, which was higher than the estimated number of 100 mg vials required.</w:t>
            </w:r>
          </w:p>
        </w:tc>
      </w:tr>
    </w:tbl>
    <w:p w14:paraId="22AD4181" w14:textId="77777777" w:rsidR="0021449D" w:rsidRPr="00F7198A" w:rsidRDefault="0021449D" w:rsidP="0021449D">
      <w:pPr>
        <w:pStyle w:val="COMTablefooter"/>
      </w:pPr>
      <w:r w:rsidRPr="00F7198A">
        <w:t>Source: Table 4.1.1, pp146-153 of the Commentary.</w:t>
      </w:r>
    </w:p>
    <w:p w14:paraId="2560CC73" w14:textId="77777777" w:rsidR="006B7E8E" w:rsidRDefault="0021449D" w:rsidP="006B7E8E">
      <w:pPr>
        <w:pStyle w:val="COMTablefooter"/>
        <w:rPr>
          <w:i/>
          <w:szCs w:val="18"/>
        </w:rPr>
      </w:pPr>
      <w:r w:rsidRPr="00F7198A">
        <w:lastRenderedPageBreak/>
        <w:t xml:space="preserve">Abbreviations: AEMP, approved ex-manufacturer price; AIHW, Australian Institute of Health and Welfare; ASCT, autologous stem cell transplant; BmBd, belantamab in combination with bortezomib and dexamethasone; cont, continuing; DBd, daratumumab in combination with bortezomib and dexamethasone; init, initial; ITT, intention to treat; </w:t>
      </w:r>
      <w:proofErr w:type="spellStart"/>
      <w:r w:rsidRPr="00F7198A">
        <w:t>LBd</w:t>
      </w:r>
      <w:proofErr w:type="spellEnd"/>
      <w:r w:rsidRPr="00F7198A">
        <w:t xml:space="preserve">, lenalidomide in combination with bortezomib and dexamethasone; </w:t>
      </w:r>
      <w:proofErr w:type="spellStart"/>
      <w:r w:rsidRPr="00F7198A">
        <w:t>Ld</w:t>
      </w:r>
      <w:proofErr w:type="spellEnd"/>
      <w:r w:rsidRPr="00F7198A">
        <w:t xml:space="preserve">, lenalidomide in combination with dexamethasone; MBS, Medicare Benefits Schedule; </w:t>
      </w:r>
      <w:r w:rsidR="0031771B" w:rsidRPr="00F7198A">
        <w:t xml:space="preserve">MM = multiple myeloma; </w:t>
      </w:r>
      <w:r w:rsidRPr="00F7198A">
        <w:t>MRDR, Myeloma and Related Diseases Registry</w:t>
      </w:r>
      <w:r w:rsidR="00F7198A" w:rsidRPr="00F7198A">
        <w:t>; OS = overall survival; PFS = progression free survival</w:t>
      </w:r>
      <w:r w:rsidRPr="00F7198A">
        <w:t>.</w:t>
      </w:r>
      <w:r w:rsidR="006B7E8E" w:rsidRPr="006B7E8E">
        <w:rPr>
          <w:i/>
          <w:szCs w:val="18"/>
        </w:rPr>
        <w:t xml:space="preserve"> </w:t>
      </w:r>
    </w:p>
    <w:p w14:paraId="6ED3449C" w14:textId="5FADB0B4" w:rsidR="006B7E8E" w:rsidRPr="006B7E8E" w:rsidRDefault="006B7E8E" w:rsidP="006B7E8E">
      <w:pPr>
        <w:pStyle w:val="COMTablefooter"/>
        <w:rPr>
          <w:i/>
        </w:rPr>
      </w:pPr>
      <w:r w:rsidRPr="006B7E8E">
        <w:rPr>
          <w:i/>
        </w:rPr>
        <w:t xml:space="preserve">The redacted values correspond to the following ranges: </w:t>
      </w:r>
    </w:p>
    <w:p w14:paraId="06DAD38E" w14:textId="5859FB63" w:rsidR="005F320A" w:rsidRDefault="00770BC8" w:rsidP="008A478E">
      <w:pPr>
        <w:pStyle w:val="COMTablefooter"/>
        <w:rPr>
          <w:i/>
        </w:rPr>
      </w:pPr>
      <w:r>
        <w:rPr>
          <w:i/>
          <w:vertAlign w:val="superscript"/>
        </w:rPr>
        <w:t>1</w:t>
      </w:r>
      <w:r w:rsidR="006B7E8E" w:rsidRPr="006B7E8E">
        <w:rPr>
          <w:i/>
        </w:rPr>
        <w:t xml:space="preserve"> </w:t>
      </w:r>
      <w:r w:rsidR="00361BBD" w:rsidRPr="00361BBD">
        <w:rPr>
          <w:i/>
        </w:rPr>
        <w:t>500 to &lt; 5,000</w:t>
      </w:r>
    </w:p>
    <w:p w14:paraId="5584C220" w14:textId="53E8B93C" w:rsidR="005F320A" w:rsidRPr="005F320A" w:rsidRDefault="005F320A" w:rsidP="008A478E">
      <w:pPr>
        <w:pStyle w:val="COMTablefooter"/>
        <w:rPr>
          <w:i/>
        </w:rPr>
      </w:pPr>
      <w:r>
        <w:rPr>
          <w:i/>
          <w:vertAlign w:val="superscript"/>
        </w:rPr>
        <w:t>2</w:t>
      </w:r>
      <w:r w:rsidR="00AB4D47">
        <w:rPr>
          <w:i/>
          <w:vertAlign w:val="superscript"/>
        </w:rPr>
        <w:t xml:space="preserve"> </w:t>
      </w:r>
      <w:r w:rsidR="00AB4D47" w:rsidRPr="00AB4D47">
        <w:rPr>
          <w:i/>
        </w:rPr>
        <w:t>5,000 to &lt; 10,000</w:t>
      </w:r>
    </w:p>
    <w:p w14:paraId="541A1B4A" w14:textId="0B16DAF6" w:rsidR="008A478E" w:rsidRPr="008A478E" w:rsidRDefault="005F320A" w:rsidP="008A478E">
      <w:pPr>
        <w:pStyle w:val="COMTablefooter"/>
        <w:rPr>
          <w:i/>
        </w:rPr>
      </w:pPr>
      <w:r>
        <w:rPr>
          <w:i/>
          <w:vertAlign w:val="superscript"/>
        </w:rPr>
        <w:t xml:space="preserve">3 </w:t>
      </w:r>
      <w:r w:rsidR="008A478E" w:rsidRPr="008A478E">
        <w:rPr>
          <w:i/>
        </w:rPr>
        <w:t>&lt; 500</w:t>
      </w:r>
    </w:p>
    <w:p w14:paraId="716A8D6A" w14:textId="30FDB8B3" w:rsidR="0021449D" w:rsidRPr="00146780" w:rsidRDefault="00146780" w:rsidP="00F7198A">
      <w:pPr>
        <w:pStyle w:val="COMTablefooter"/>
      </w:pPr>
      <w:r>
        <w:t xml:space="preserve">* </w:t>
      </w:r>
      <w:r w:rsidRPr="00146780">
        <w:rPr>
          <w:i/>
          <w:iCs/>
        </w:rPr>
        <w:t>Note that the results presented for the lenalidomide-exposed subgroup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7AFE07E1" w14:textId="6D78FC7E" w:rsidR="00AA553F" w:rsidRPr="005A57D7" w:rsidRDefault="00AA553F" w:rsidP="00AA553F">
      <w:pPr>
        <w:pStyle w:val="COMESnumberedpara"/>
      </w:pPr>
      <w:r w:rsidRPr="005A57D7">
        <w:fldChar w:fldCharType="begin"/>
      </w:r>
      <w:r w:rsidRPr="005A57D7">
        <w:instrText xml:space="preserve"> REF _Ref104805295 \h  \* MERGEFORMAT </w:instrText>
      </w:r>
      <w:r w:rsidRPr="005A57D7">
        <w:fldChar w:fldCharType="separate"/>
      </w:r>
      <w:r w:rsidR="00674A1F" w:rsidRPr="005A57D7">
        <w:t xml:space="preserve">Table </w:t>
      </w:r>
      <w:r w:rsidR="00674A1F">
        <w:t>15</w:t>
      </w:r>
      <w:r w:rsidRPr="005A57D7">
        <w:fldChar w:fldCharType="end"/>
      </w:r>
      <w:r>
        <w:t xml:space="preserve"> </w:t>
      </w:r>
      <w:r w:rsidRPr="00BB6188">
        <w:t xml:space="preserve">presents the estimated </w:t>
      </w:r>
      <w:r>
        <w:t>utilisation</w:t>
      </w:r>
      <w:r w:rsidRPr="00BB6188">
        <w:t xml:space="preserve"> and financial implications of listing </w:t>
      </w:r>
      <w:r>
        <w:t xml:space="preserve">belantamab mafodotin </w:t>
      </w:r>
      <w:r w:rsidRPr="00BB6188">
        <w:t>on the PBS</w:t>
      </w:r>
      <w:r>
        <w:t>/RPBS</w:t>
      </w:r>
      <w:r w:rsidRPr="00BB6188">
        <w:t>.</w:t>
      </w:r>
    </w:p>
    <w:p w14:paraId="7E814B54" w14:textId="0B809F42" w:rsidR="00AA553F" w:rsidRPr="005A57D7" w:rsidRDefault="00AA553F" w:rsidP="006A58D9">
      <w:pPr>
        <w:pStyle w:val="COMTableFigurecaption"/>
      </w:pPr>
      <w:bookmarkStart w:id="74" w:name="_Ref104805295"/>
      <w:r w:rsidRPr="005A57D7">
        <w:lastRenderedPageBreak/>
        <w:t xml:space="preserve">Table </w:t>
      </w:r>
      <w:r w:rsidR="00BB23C8">
        <w:fldChar w:fldCharType="begin"/>
      </w:r>
      <w:r w:rsidR="00BB23C8">
        <w:instrText xml:space="preserve"> SEQ Table \* ARABIC </w:instrText>
      </w:r>
      <w:r w:rsidR="00BB23C8">
        <w:fldChar w:fldCharType="separate"/>
      </w:r>
      <w:r w:rsidR="00674A1F">
        <w:rPr>
          <w:noProof/>
        </w:rPr>
        <w:t>15</w:t>
      </w:r>
      <w:r w:rsidR="00BB23C8">
        <w:rPr>
          <w:noProof/>
        </w:rPr>
        <w:fldChar w:fldCharType="end"/>
      </w:r>
      <w:bookmarkEnd w:id="74"/>
      <w:r w:rsidRPr="005A57D7">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w:tblPr>
      <w:tblGrid>
        <w:gridCol w:w="2405"/>
        <w:gridCol w:w="1102"/>
        <w:gridCol w:w="1102"/>
        <w:gridCol w:w="1102"/>
        <w:gridCol w:w="1102"/>
        <w:gridCol w:w="1102"/>
        <w:gridCol w:w="1102"/>
      </w:tblGrid>
      <w:tr w:rsidR="00AA553F" w:rsidRPr="005A57D7" w14:paraId="7EA4DB29" w14:textId="77777777">
        <w:trPr>
          <w:tblHeader/>
        </w:trPr>
        <w:tc>
          <w:tcPr>
            <w:tcW w:w="1334" w:type="pct"/>
            <w:vAlign w:val="center"/>
          </w:tcPr>
          <w:p w14:paraId="4133DAD0" w14:textId="77777777" w:rsidR="00AA553F" w:rsidRPr="005A57D7" w:rsidRDefault="00AA553F" w:rsidP="006A58D9">
            <w:pPr>
              <w:pStyle w:val="COMTableheadingrow"/>
            </w:pPr>
          </w:p>
        </w:tc>
        <w:tc>
          <w:tcPr>
            <w:tcW w:w="611" w:type="pct"/>
            <w:vAlign w:val="center"/>
          </w:tcPr>
          <w:p w14:paraId="7D5E3CCB" w14:textId="77777777" w:rsidR="00AA553F" w:rsidRPr="005A57D7" w:rsidRDefault="00AA553F" w:rsidP="006A58D9">
            <w:pPr>
              <w:pStyle w:val="COMTableheadingrow"/>
              <w:jc w:val="center"/>
            </w:pPr>
            <w:r w:rsidRPr="005A57D7">
              <w:t>Year 1</w:t>
            </w:r>
          </w:p>
        </w:tc>
        <w:tc>
          <w:tcPr>
            <w:tcW w:w="611" w:type="pct"/>
            <w:vAlign w:val="center"/>
          </w:tcPr>
          <w:p w14:paraId="234F32C8" w14:textId="77777777" w:rsidR="00AA553F" w:rsidRPr="005A57D7" w:rsidRDefault="00AA553F" w:rsidP="006A58D9">
            <w:pPr>
              <w:pStyle w:val="COMTableheadingrow"/>
              <w:jc w:val="center"/>
            </w:pPr>
            <w:r w:rsidRPr="005A57D7">
              <w:t>Year 2</w:t>
            </w:r>
          </w:p>
        </w:tc>
        <w:tc>
          <w:tcPr>
            <w:tcW w:w="611" w:type="pct"/>
            <w:vAlign w:val="center"/>
          </w:tcPr>
          <w:p w14:paraId="305BE006" w14:textId="77777777" w:rsidR="00AA553F" w:rsidRPr="005A57D7" w:rsidRDefault="00AA553F" w:rsidP="006A58D9">
            <w:pPr>
              <w:pStyle w:val="COMTableheadingrow"/>
              <w:jc w:val="center"/>
            </w:pPr>
            <w:r w:rsidRPr="005A57D7">
              <w:t>Year 3</w:t>
            </w:r>
          </w:p>
        </w:tc>
        <w:tc>
          <w:tcPr>
            <w:tcW w:w="611" w:type="pct"/>
            <w:vAlign w:val="center"/>
          </w:tcPr>
          <w:p w14:paraId="4FAE16F4" w14:textId="77777777" w:rsidR="00AA553F" w:rsidRPr="005A57D7" w:rsidRDefault="00AA553F" w:rsidP="006A58D9">
            <w:pPr>
              <w:pStyle w:val="COMTableheadingrow"/>
              <w:jc w:val="center"/>
            </w:pPr>
            <w:r w:rsidRPr="005A57D7">
              <w:t>Year 4</w:t>
            </w:r>
          </w:p>
        </w:tc>
        <w:tc>
          <w:tcPr>
            <w:tcW w:w="611" w:type="pct"/>
            <w:vAlign w:val="center"/>
          </w:tcPr>
          <w:p w14:paraId="64B36122" w14:textId="77777777" w:rsidR="00AA553F" w:rsidRPr="005A57D7" w:rsidRDefault="00AA553F" w:rsidP="006A58D9">
            <w:pPr>
              <w:pStyle w:val="COMTableheadingrow"/>
              <w:jc w:val="center"/>
            </w:pPr>
            <w:r w:rsidRPr="005A57D7">
              <w:t>Year 5</w:t>
            </w:r>
          </w:p>
        </w:tc>
        <w:tc>
          <w:tcPr>
            <w:tcW w:w="611" w:type="pct"/>
          </w:tcPr>
          <w:p w14:paraId="50A25507" w14:textId="77777777" w:rsidR="00AA553F" w:rsidRPr="005A57D7" w:rsidRDefault="00AA553F" w:rsidP="006A58D9">
            <w:pPr>
              <w:pStyle w:val="COMTableheadingrow"/>
              <w:jc w:val="center"/>
            </w:pPr>
            <w:r w:rsidRPr="005A57D7">
              <w:t>Year 6</w:t>
            </w:r>
          </w:p>
        </w:tc>
      </w:tr>
      <w:tr w:rsidR="00AA553F" w:rsidRPr="005A57D7" w14:paraId="5123A61A" w14:textId="77777777">
        <w:tc>
          <w:tcPr>
            <w:tcW w:w="5000" w:type="pct"/>
            <w:gridSpan w:val="7"/>
            <w:vAlign w:val="center"/>
          </w:tcPr>
          <w:p w14:paraId="1578AA22" w14:textId="77777777" w:rsidR="00AA553F" w:rsidRPr="005A57D7" w:rsidRDefault="00AA553F" w:rsidP="006A58D9">
            <w:pPr>
              <w:pStyle w:val="COMTableheadingrow"/>
            </w:pPr>
            <w:r w:rsidRPr="005A57D7">
              <w:t>Estimated extent of use</w:t>
            </w:r>
          </w:p>
        </w:tc>
      </w:tr>
      <w:tr w:rsidR="00AA553F" w:rsidRPr="005A57D7" w14:paraId="455B8D1F" w14:textId="77777777">
        <w:tc>
          <w:tcPr>
            <w:tcW w:w="1334" w:type="pct"/>
            <w:vAlign w:val="center"/>
          </w:tcPr>
          <w:p w14:paraId="5FA825C9" w14:textId="77777777" w:rsidR="00AA553F" w:rsidRPr="005A57D7" w:rsidRDefault="00AA553F" w:rsidP="006A58D9">
            <w:pPr>
              <w:pStyle w:val="COMTabletext"/>
              <w:rPr>
                <w:rFonts w:ascii="Times" w:hAnsi="Times"/>
              </w:rPr>
            </w:pPr>
            <w:r w:rsidRPr="00BB6188">
              <w:t xml:space="preserve">Total patients initiating </w:t>
            </w:r>
            <w:r>
              <w:t>BmBd</w:t>
            </w:r>
          </w:p>
        </w:tc>
        <w:tc>
          <w:tcPr>
            <w:tcW w:w="611" w:type="pct"/>
          </w:tcPr>
          <w:p w14:paraId="50BE70E7" w14:textId="5ECF489C"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c>
          <w:tcPr>
            <w:tcW w:w="611" w:type="pct"/>
          </w:tcPr>
          <w:p w14:paraId="34FE2270" w14:textId="0B0BF366"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c>
          <w:tcPr>
            <w:tcW w:w="611" w:type="pct"/>
          </w:tcPr>
          <w:p w14:paraId="147BF855" w14:textId="6A6228B6"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c>
          <w:tcPr>
            <w:tcW w:w="611" w:type="pct"/>
          </w:tcPr>
          <w:p w14:paraId="72F29FF4" w14:textId="458AA192"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c>
          <w:tcPr>
            <w:tcW w:w="611" w:type="pct"/>
          </w:tcPr>
          <w:p w14:paraId="60EF53FE" w14:textId="2FD2C7C6"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c>
          <w:tcPr>
            <w:tcW w:w="611" w:type="pct"/>
          </w:tcPr>
          <w:p w14:paraId="587616F5" w14:textId="6A81F5B8" w:rsidR="00AA553F" w:rsidRPr="00520E6C" w:rsidRDefault="0040410B" w:rsidP="006A58D9">
            <w:pPr>
              <w:pStyle w:val="COMTabletext"/>
              <w:jc w:val="center"/>
              <w:rPr>
                <w:vertAlign w:val="superscript"/>
              </w:rPr>
            </w:pPr>
            <w:r w:rsidRPr="0040410B">
              <w:rPr>
                <w:highlight w:val="black"/>
              </w:rPr>
              <w:t>&amp;&amp;&amp;&amp;</w:t>
            </w:r>
            <w:r w:rsidR="00520E6C">
              <w:rPr>
                <w:vertAlign w:val="superscript"/>
              </w:rPr>
              <w:t>1</w:t>
            </w:r>
          </w:p>
        </w:tc>
      </w:tr>
      <w:tr w:rsidR="00AA553F" w:rsidRPr="005A57D7" w14:paraId="4601A8FB" w14:textId="77777777">
        <w:tc>
          <w:tcPr>
            <w:tcW w:w="5000" w:type="pct"/>
            <w:gridSpan w:val="7"/>
            <w:vAlign w:val="center"/>
          </w:tcPr>
          <w:p w14:paraId="6441A91D" w14:textId="77777777" w:rsidR="00AA553F" w:rsidRPr="00C27333" w:rsidRDefault="00AA553F" w:rsidP="006A58D9">
            <w:pPr>
              <w:pStyle w:val="COMTabletext"/>
              <w:rPr>
                <w:b/>
                <w:bCs w:val="0"/>
              </w:rPr>
            </w:pPr>
            <w:r w:rsidRPr="00C27333">
              <w:rPr>
                <w:b/>
                <w:bCs w:val="0"/>
              </w:rPr>
              <w:t>Number of scripts dispensed</w:t>
            </w:r>
            <w:r>
              <w:rPr>
                <w:b/>
                <w:bCs w:val="0"/>
              </w:rPr>
              <w:t xml:space="preserve"> for BmBd</w:t>
            </w:r>
          </w:p>
        </w:tc>
      </w:tr>
      <w:tr w:rsidR="00AA553F" w:rsidRPr="005A57D7" w14:paraId="6A6AEA5D" w14:textId="77777777">
        <w:tc>
          <w:tcPr>
            <w:tcW w:w="1334" w:type="pct"/>
            <w:vAlign w:val="center"/>
          </w:tcPr>
          <w:p w14:paraId="48BC9128" w14:textId="77777777" w:rsidR="00AA553F" w:rsidRPr="005A57D7" w:rsidRDefault="00AA553F" w:rsidP="006A58D9">
            <w:pPr>
              <w:pStyle w:val="COMTabletext"/>
            </w:pPr>
            <w:r>
              <w:t>Dispensed belantamab mafodotin 100 mg vials</w:t>
            </w:r>
          </w:p>
        </w:tc>
        <w:tc>
          <w:tcPr>
            <w:tcW w:w="611" w:type="pct"/>
            <w:vAlign w:val="center"/>
          </w:tcPr>
          <w:p w14:paraId="05197B8F" w14:textId="5BA520BD"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vAlign w:val="center"/>
          </w:tcPr>
          <w:p w14:paraId="3DA5D020" w14:textId="5264A1DD"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vAlign w:val="center"/>
          </w:tcPr>
          <w:p w14:paraId="1D2E37CA" w14:textId="66D0712D"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111F03E5" w14:textId="49B4C79F"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6DE534EA" w14:textId="3833BB4A"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0D2BF537" w14:textId="57780A42"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r>
      <w:tr w:rsidR="00AA553F" w:rsidRPr="005A57D7" w14:paraId="3EF7F4DD" w14:textId="77777777">
        <w:tc>
          <w:tcPr>
            <w:tcW w:w="1334" w:type="pct"/>
            <w:vAlign w:val="center"/>
          </w:tcPr>
          <w:p w14:paraId="22ADD225" w14:textId="77777777" w:rsidR="00AA553F" w:rsidRPr="005A57D7" w:rsidRDefault="00AA553F" w:rsidP="006A58D9">
            <w:pPr>
              <w:pStyle w:val="COMTabletext"/>
            </w:pPr>
            <w:r>
              <w:t>Dispensed belantamab mafodotin 70 mg vials</w:t>
            </w:r>
          </w:p>
        </w:tc>
        <w:tc>
          <w:tcPr>
            <w:tcW w:w="611" w:type="pct"/>
            <w:vAlign w:val="center"/>
          </w:tcPr>
          <w:p w14:paraId="01639F8D" w14:textId="1501E7E5"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vAlign w:val="center"/>
          </w:tcPr>
          <w:p w14:paraId="65EC89FC" w14:textId="353840A8"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3E76775E" w14:textId="2AB7886E"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61CE28E3" w14:textId="4F32C752"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3D038134" w14:textId="51CC38F9" w:rsidR="00AA553F" w:rsidRPr="00121915" w:rsidRDefault="0040410B" w:rsidP="006A58D9">
            <w:pPr>
              <w:pStyle w:val="COMTabletext"/>
              <w:jc w:val="center"/>
              <w:rPr>
                <w:vertAlign w:val="superscript"/>
              </w:rPr>
            </w:pPr>
            <w:r w:rsidRPr="0040410B">
              <w:rPr>
                <w:highlight w:val="black"/>
              </w:rPr>
              <w:t>&amp;&amp;&amp;&amp;</w:t>
            </w:r>
            <w:r w:rsidR="00121915">
              <w:rPr>
                <w:vertAlign w:val="superscript"/>
              </w:rPr>
              <w:t>3</w:t>
            </w:r>
          </w:p>
        </w:tc>
        <w:tc>
          <w:tcPr>
            <w:tcW w:w="611" w:type="pct"/>
            <w:vAlign w:val="center"/>
          </w:tcPr>
          <w:p w14:paraId="4A808194" w14:textId="34F87263" w:rsidR="00AA553F" w:rsidRPr="00033D76" w:rsidRDefault="0040410B" w:rsidP="006A58D9">
            <w:pPr>
              <w:pStyle w:val="COMTabletext"/>
              <w:jc w:val="center"/>
              <w:rPr>
                <w:vertAlign w:val="superscript"/>
              </w:rPr>
            </w:pPr>
            <w:r w:rsidRPr="0040410B">
              <w:rPr>
                <w:highlight w:val="black"/>
              </w:rPr>
              <w:t>&amp;&amp;&amp;&amp;</w:t>
            </w:r>
            <w:r w:rsidR="00033D76">
              <w:rPr>
                <w:vertAlign w:val="superscript"/>
              </w:rPr>
              <w:t>4</w:t>
            </w:r>
          </w:p>
        </w:tc>
      </w:tr>
      <w:tr w:rsidR="00AA553F" w:rsidRPr="005A57D7" w14:paraId="16761C09" w14:textId="77777777">
        <w:tc>
          <w:tcPr>
            <w:tcW w:w="1334" w:type="pct"/>
            <w:vAlign w:val="center"/>
          </w:tcPr>
          <w:p w14:paraId="4979A3EB" w14:textId="77777777" w:rsidR="00AA553F" w:rsidRPr="005A57D7" w:rsidRDefault="00AA553F" w:rsidP="006A58D9">
            <w:pPr>
              <w:pStyle w:val="COMTabletext"/>
            </w:pPr>
            <w:r w:rsidRPr="00BB6188">
              <w:t>Bortezomib scripts</w:t>
            </w:r>
          </w:p>
        </w:tc>
        <w:tc>
          <w:tcPr>
            <w:tcW w:w="611" w:type="pct"/>
          </w:tcPr>
          <w:p w14:paraId="5A923BD8" w14:textId="1EF1A238" w:rsidR="00AA553F" w:rsidRPr="001D37AC" w:rsidRDefault="0040410B" w:rsidP="006A58D9">
            <w:pPr>
              <w:pStyle w:val="COMTabletext"/>
              <w:jc w:val="center"/>
              <w:rPr>
                <w:vertAlign w:val="superscript"/>
              </w:rPr>
            </w:pPr>
            <w:r w:rsidRPr="0040410B">
              <w:rPr>
                <w:highlight w:val="black"/>
              </w:rPr>
              <w:t>&amp;&amp;&amp;&amp;</w:t>
            </w:r>
            <w:r w:rsidR="001D37AC">
              <w:rPr>
                <w:vertAlign w:val="superscript"/>
              </w:rPr>
              <w:t>3</w:t>
            </w:r>
          </w:p>
        </w:tc>
        <w:tc>
          <w:tcPr>
            <w:tcW w:w="611" w:type="pct"/>
          </w:tcPr>
          <w:p w14:paraId="370EC6A1" w14:textId="26601F9C" w:rsidR="00AA553F" w:rsidRPr="005A57D7" w:rsidRDefault="0040410B" w:rsidP="006A58D9">
            <w:pPr>
              <w:pStyle w:val="COMTabletext"/>
              <w:jc w:val="center"/>
            </w:pPr>
            <w:r w:rsidRPr="0040410B">
              <w:rPr>
                <w:highlight w:val="black"/>
              </w:rPr>
              <w:t>&amp;&amp;&amp;&amp;</w:t>
            </w:r>
            <w:r w:rsidR="00033D76">
              <w:rPr>
                <w:vertAlign w:val="superscript"/>
              </w:rPr>
              <w:t>4</w:t>
            </w:r>
          </w:p>
        </w:tc>
        <w:tc>
          <w:tcPr>
            <w:tcW w:w="611" w:type="pct"/>
          </w:tcPr>
          <w:p w14:paraId="4CE6DD50" w14:textId="11521B7D" w:rsidR="00AA553F" w:rsidRPr="005A57D7" w:rsidRDefault="0040410B" w:rsidP="006A58D9">
            <w:pPr>
              <w:pStyle w:val="COMTabletext"/>
              <w:jc w:val="center"/>
            </w:pPr>
            <w:r w:rsidRPr="0040410B">
              <w:rPr>
                <w:highlight w:val="black"/>
              </w:rPr>
              <w:t>&amp;&amp;&amp;&amp;</w:t>
            </w:r>
            <w:r w:rsidR="00033D76">
              <w:rPr>
                <w:vertAlign w:val="superscript"/>
              </w:rPr>
              <w:t>4</w:t>
            </w:r>
          </w:p>
        </w:tc>
        <w:tc>
          <w:tcPr>
            <w:tcW w:w="611" w:type="pct"/>
          </w:tcPr>
          <w:p w14:paraId="4FC52333" w14:textId="7E4DE85F" w:rsidR="00AA553F" w:rsidRPr="005A57D7" w:rsidRDefault="0040410B" w:rsidP="006A58D9">
            <w:pPr>
              <w:pStyle w:val="COMTabletext"/>
              <w:jc w:val="center"/>
            </w:pPr>
            <w:r w:rsidRPr="0040410B">
              <w:rPr>
                <w:highlight w:val="black"/>
              </w:rPr>
              <w:t>&amp;&amp;&amp;&amp;</w:t>
            </w:r>
            <w:r w:rsidR="00033D76">
              <w:rPr>
                <w:vertAlign w:val="superscript"/>
              </w:rPr>
              <w:t>4</w:t>
            </w:r>
          </w:p>
        </w:tc>
        <w:tc>
          <w:tcPr>
            <w:tcW w:w="611" w:type="pct"/>
          </w:tcPr>
          <w:p w14:paraId="58E42CE6" w14:textId="46E0ECCC" w:rsidR="00AA553F" w:rsidRPr="005A57D7" w:rsidRDefault="0040410B" w:rsidP="006A58D9">
            <w:pPr>
              <w:pStyle w:val="COMTabletext"/>
              <w:jc w:val="center"/>
            </w:pPr>
            <w:r w:rsidRPr="0040410B">
              <w:rPr>
                <w:highlight w:val="black"/>
              </w:rPr>
              <w:t>&amp;&amp;&amp;&amp;</w:t>
            </w:r>
            <w:r w:rsidR="00033D76">
              <w:rPr>
                <w:vertAlign w:val="superscript"/>
              </w:rPr>
              <w:t>4</w:t>
            </w:r>
          </w:p>
        </w:tc>
        <w:tc>
          <w:tcPr>
            <w:tcW w:w="611" w:type="pct"/>
          </w:tcPr>
          <w:p w14:paraId="449B576F" w14:textId="32B75D95" w:rsidR="00AA553F" w:rsidRPr="005A57D7" w:rsidRDefault="0040410B" w:rsidP="006A58D9">
            <w:pPr>
              <w:pStyle w:val="COMTabletext"/>
              <w:jc w:val="center"/>
            </w:pPr>
            <w:r w:rsidRPr="0040410B">
              <w:rPr>
                <w:highlight w:val="black"/>
              </w:rPr>
              <w:t>&amp;&amp;&amp;&amp;</w:t>
            </w:r>
            <w:r w:rsidR="00033D76">
              <w:rPr>
                <w:vertAlign w:val="superscript"/>
              </w:rPr>
              <w:t>4</w:t>
            </w:r>
            <w:r w:rsidR="00AA553F" w:rsidRPr="00875A89">
              <w:t xml:space="preserve"> </w:t>
            </w:r>
          </w:p>
        </w:tc>
      </w:tr>
      <w:tr w:rsidR="00AA553F" w:rsidRPr="005A57D7" w14:paraId="050B1EB3" w14:textId="77777777">
        <w:tc>
          <w:tcPr>
            <w:tcW w:w="1334" w:type="pct"/>
            <w:vAlign w:val="center"/>
          </w:tcPr>
          <w:p w14:paraId="4C1E4F86" w14:textId="77777777" w:rsidR="00AA553F" w:rsidRPr="005A57D7" w:rsidRDefault="00AA553F" w:rsidP="006A58D9">
            <w:pPr>
              <w:pStyle w:val="COMTabletext"/>
            </w:pPr>
            <w:r w:rsidRPr="009B7CD2">
              <w:t>Dexamethasone scripts</w:t>
            </w:r>
          </w:p>
        </w:tc>
        <w:tc>
          <w:tcPr>
            <w:tcW w:w="611" w:type="pct"/>
          </w:tcPr>
          <w:p w14:paraId="41DDA1BE" w14:textId="430F07DD"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tcPr>
          <w:p w14:paraId="6E92DC99" w14:textId="43CEA858"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tcPr>
          <w:p w14:paraId="1325CCFA" w14:textId="762D3BCB"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tcPr>
          <w:p w14:paraId="2C353BCF" w14:textId="1E1F5722" w:rsidR="00AA553F" w:rsidRPr="00A96669" w:rsidRDefault="0040410B" w:rsidP="006A58D9">
            <w:pPr>
              <w:pStyle w:val="COMTabletext"/>
              <w:jc w:val="center"/>
              <w:rPr>
                <w:vertAlign w:val="superscript"/>
              </w:rPr>
            </w:pPr>
            <w:r w:rsidRPr="0040410B">
              <w:rPr>
                <w:highlight w:val="black"/>
              </w:rPr>
              <w:t>&amp;&amp;&amp;&amp;</w:t>
            </w:r>
            <w:r w:rsidR="00A96669">
              <w:rPr>
                <w:vertAlign w:val="superscript"/>
              </w:rPr>
              <w:t>2</w:t>
            </w:r>
          </w:p>
        </w:tc>
        <w:tc>
          <w:tcPr>
            <w:tcW w:w="611" w:type="pct"/>
          </w:tcPr>
          <w:p w14:paraId="11443564" w14:textId="4B251BF3" w:rsidR="00AA553F" w:rsidRPr="005A57D7" w:rsidRDefault="0040410B" w:rsidP="006A58D9">
            <w:pPr>
              <w:pStyle w:val="COMTabletext"/>
              <w:jc w:val="center"/>
            </w:pPr>
            <w:r w:rsidRPr="0040410B">
              <w:rPr>
                <w:highlight w:val="black"/>
              </w:rPr>
              <w:t>&amp;&amp;&amp;&amp;</w:t>
            </w:r>
            <w:r w:rsidR="00A96669">
              <w:rPr>
                <w:vertAlign w:val="superscript"/>
              </w:rPr>
              <w:t>2</w:t>
            </w:r>
            <w:r w:rsidR="00AA553F" w:rsidRPr="00D96E71">
              <w:t xml:space="preserve"> </w:t>
            </w:r>
          </w:p>
        </w:tc>
        <w:tc>
          <w:tcPr>
            <w:tcW w:w="611" w:type="pct"/>
          </w:tcPr>
          <w:p w14:paraId="00C0F1DB" w14:textId="56FD8D9C" w:rsidR="00AA553F" w:rsidRPr="005A57D7" w:rsidRDefault="0040410B" w:rsidP="006A58D9">
            <w:pPr>
              <w:pStyle w:val="COMTabletext"/>
              <w:jc w:val="center"/>
            </w:pPr>
            <w:r w:rsidRPr="0040410B">
              <w:rPr>
                <w:highlight w:val="black"/>
              </w:rPr>
              <w:t>&amp;&amp;&amp;&amp;</w:t>
            </w:r>
            <w:r w:rsidR="00A96669">
              <w:rPr>
                <w:vertAlign w:val="superscript"/>
              </w:rPr>
              <w:t>2</w:t>
            </w:r>
          </w:p>
        </w:tc>
      </w:tr>
      <w:tr w:rsidR="00AA553F" w:rsidRPr="005A57D7" w14:paraId="66094DF5" w14:textId="77777777">
        <w:tc>
          <w:tcPr>
            <w:tcW w:w="5000" w:type="pct"/>
            <w:gridSpan w:val="7"/>
            <w:vAlign w:val="center"/>
          </w:tcPr>
          <w:p w14:paraId="16A57F17" w14:textId="77777777" w:rsidR="00AA553F" w:rsidRPr="005A57D7" w:rsidRDefault="00AA553F" w:rsidP="006A58D9">
            <w:pPr>
              <w:pStyle w:val="COMTableheadingrow"/>
            </w:pPr>
            <w:r w:rsidRPr="005A57D7">
              <w:t xml:space="preserve">Estimated financial implications of </w:t>
            </w:r>
            <w:r>
              <w:t>BmBd</w:t>
            </w:r>
          </w:p>
        </w:tc>
      </w:tr>
      <w:tr w:rsidR="00AA553F" w:rsidRPr="005A57D7" w14:paraId="1B2E2405" w14:textId="77777777">
        <w:tc>
          <w:tcPr>
            <w:tcW w:w="1334" w:type="pct"/>
            <w:vAlign w:val="center"/>
          </w:tcPr>
          <w:p w14:paraId="0E009E35" w14:textId="575A6D5D" w:rsidR="00AA553F" w:rsidRPr="005A57D7" w:rsidRDefault="00AA553F" w:rsidP="006A58D9">
            <w:pPr>
              <w:pStyle w:val="COMTabletext"/>
              <w:rPr>
                <w:sz w:val="19"/>
                <w:szCs w:val="19"/>
              </w:rPr>
            </w:pPr>
            <w:r w:rsidRPr="005A57D7">
              <w:rPr>
                <w:sz w:val="19"/>
                <w:szCs w:val="19"/>
              </w:rPr>
              <w:t>Cost to PBS/RPBS less copayments</w:t>
            </w:r>
          </w:p>
        </w:tc>
        <w:tc>
          <w:tcPr>
            <w:tcW w:w="611" w:type="pct"/>
            <w:vAlign w:val="center"/>
          </w:tcPr>
          <w:p w14:paraId="48C21A04" w14:textId="0D312ACD" w:rsidR="00AA553F" w:rsidRPr="00517472" w:rsidRDefault="00AA553F" w:rsidP="006A58D9">
            <w:pPr>
              <w:pStyle w:val="COMTabletext"/>
              <w:jc w:val="center"/>
              <w:rPr>
                <w:vertAlign w:val="superscript"/>
              </w:rPr>
            </w:pPr>
            <w:r w:rsidRPr="000B6F2A">
              <w:t>$</w:t>
            </w:r>
            <w:r w:rsidR="0040410B" w:rsidRPr="0040410B">
              <w:rPr>
                <w:highlight w:val="black"/>
              </w:rPr>
              <w:t>&amp;&amp;&amp;&amp;</w:t>
            </w:r>
            <w:r w:rsidR="00517472">
              <w:rPr>
                <w:vertAlign w:val="superscript"/>
              </w:rPr>
              <w:t>5</w:t>
            </w:r>
          </w:p>
        </w:tc>
        <w:tc>
          <w:tcPr>
            <w:tcW w:w="611" w:type="pct"/>
            <w:vAlign w:val="center"/>
          </w:tcPr>
          <w:p w14:paraId="596CDF39" w14:textId="6CB3CF92" w:rsidR="00AA553F" w:rsidRPr="006325FB" w:rsidRDefault="00AA553F" w:rsidP="006A58D9">
            <w:pPr>
              <w:pStyle w:val="COMTabletext"/>
              <w:jc w:val="center"/>
              <w:rPr>
                <w:vertAlign w:val="superscript"/>
              </w:rPr>
            </w:pPr>
            <w:r w:rsidRPr="000B6F2A">
              <w:t>$</w:t>
            </w:r>
            <w:r w:rsidR="0040410B" w:rsidRPr="0040410B">
              <w:rPr>
                <w:highlight w:val="black"/>
              </w:rPr>
              <w:t>&amp;&amp;&amp;&amp;</w:t>
            </w:r>
            <w:r w:rsidR="006325FB">
              <w:rPr>
                <w:vertAlign w:val="superscript"/>
              </w:rPr>
              <w:t>6</w:t>
            </w:r>
          </w:p>
        </w:tc>
        <w:tc>
          <w:tcPr>
            <w:tcW w:w="611" w:type="pct"/>
            <w:vAlign w:val="center"/>
          </w:tcPr>
          <w:p w14:paraId="40BC6A65" w14:textId="2DD50419" w:rsidR="00AA553F" w:rsidRPr="009C331C" w:rsidRDefault="00AA553F" w:rsidP="006A58D9">
            <w:pPr>
              <w:pStyle w:val="COMTabletext"/>
              <w:jc w:val="center"/>
              <w:rPr>
                <w:vertAlign w:val="superscript"/>
              </w:rPr>
            </w:pPr>
            <w:r w:rsidRPr="000B6F2A">
              <w:t>$</w:t>
            </w:r>
            <w:r w:rsidR="0040410B" w:rsidRPr="0040410B">
              <w:rPr>
                <w:highlight w:val="black"/>
              </w:rPr>
              <w:t>&amp;&amp;&amp;&amp;</w:t>
            </w:r>
            <w:r w:rsidR="009C331C">
              <w:rPr>
                <w:vertAlign w:val="superscript"/>
              </w:rPr>
              <w:t>7</w:t>
            </w:r>
          </w:p>
        </w:tc>
        <w:tc>
          <w:tcPr>
            <w:tcW w:w="611" w:type="pct"/>
            <w:vAlign w:val="center"/>
          </w:tcPr>
          <w:p w14:paraId="174A729F" w14:textId="1FEACEB7" w:rsidR="00AA553F" w:rsidRPr="009C331C" w:rsidRDefault="00AA553F" w:rsidP="006A58D9">
            <w:pPr>
              <w:pStyle w:val="COMTabletext"/>
              <w:jc w:val="center"/>
              <w:rPr>
                <w:vertAlign w:val="superscript"/>
              </w:rPr>
            </w:pPr>
            <w:r w:rsidRPr="000B6F2A">
              <w:t>$</w:t>
            </w:r>
            <w:r w:rsidR="0040410B" w:rsidRPr="0040410B">
              <w:rPr>
                <w:highlight w:val="black"/>
              </w:rPr>
              <w:t>&amp;&amp;&amp;&amp;</w:t>
            </w:r>
            <w:r w:rsidR="009C331C">
              <w:rPr>
                <w:vertAlign w:val="superscript"/>
              </w:rPr>
              <w:t>7</w:t>
            </w:r>
          </w:p>
        </w:tc>
        <w:tc>
          <w:tcPr>
            <w:tcW w:w="611" w:type="pct"/>
            <w:vAlign w:val="center"/>
          </w:tcPr>
          <w:p w14:paraId="1E1BEDA5" w14:textId="0A9F54DC" w:rsidR="00AA553F" w:rsidRPr="009C331C" w:rsidRDefault="00AA553F" w:rsidP="006A58D9">
            <w:pPr>
              <w:pStyle w:val="COMTabletext"/>
              <w:jc w:val="center"/>
              <w:rPr>
                <w:vertAlign w:val="superscript"/>
              </w:rPr>
            </w:pPr>
            <w:r w:rsidRPr="000B6F2A">
              <w:t>$</w:t>
            </w:r>
            <w:r w:rsidR="0040410B" w:rsidRPr="0040410B">
              <w:rPr>
                <w:highlight w:val="black"/>
              </w:rPr>
              <w:t>&amp;&amp;&amp;&amp;</w:t>
            </w:r>
            <w:r w:rsidR="009C331C">
              <w:rPr>
                <w:vertAlign w:val="superscript"/>
              </w:rPr>
              <w:t>7</w:t>
            </w:r>
          </w:p>
        </w:tc>
        <w:tc>
          <w:tcPr>
            <w:tcW w:w="611" w:type="pct"/>
            <w:vAlign w:val="center"/>
          </w:tcPr>
          <w:p w14:paraId="3078890A" w14:textId="646EE207" w:rsidR="00AA553F" w:rsidRPr="00A943E4" w:rsidRDefault="00AA553F" w:rsidP="006A58D9">
            <w:pPr>
              <w:pStyle w:val="COMTabletext"/>
              <w:jc w:val="center"/>
              <w:rPr>
                <w:vertAlign w:val="superscript"/>
              </w:rPr>
            </w:pPr>
            <w:r w:rsidRPr="000B6F2A">
              <w:t>$</w:t>
            </w:r>
            <w:r w:rsidR="0040410B" w:rsidRPr="0040410B">
              <w:rPr>
                <w:highlight w:val="black"/>
              </w:rPr>
              <w:t>&amp;&amp;&amp;&amp;</w:t>
            </w:r>
            <w:r w:rsidR="00A943E4">
              <w:rPr>
                <w:vertAlign w:val="superscript"/>
              </w:rPr>
              <w:t>8</w:t>
            </w:r>
          </w:p>
        </w:tc>
      </w:tr>
      <w:tr w:rsidR="00AA553F" w:rsidRPr="005A57D7" w14:paraId="332B6ACA" w14:textId="77777777">
        <w:tc>
          <w:tcPr>
            <w:tcW w:w="5000" w:type="pct"/>
            <w:gridSpan w:val="7"/>
            <w:vAlign w:val="center"/>
          </w:tcPr>
          <w:p w14:paraId="5428900F" w14:textId="77777777" w:rsidR="00AA553F" w:rsidRPr="009B7CD2" w:rsidRDefault="00AA553F" w:rsidP="006A58D9">
            <w:pPr>
              <w:pStyle w:val="COMTabletext"/>
              <w:rPr>
                <w:b/>
                <w:bCs w:val="0"/>
              </w:rPr>
            </w:pPr>
            <w:r w:rsidRPr="009B7CD2">
              <w:rPr>
                <w:b/>
                <w:bCs w:val="0"/>
              </w:rPr>
              <w:t xml:space="preserve">Estimated financial implications for </w:t>
            </w:r>
            <w:r>
              <w:rPr>
                <w:b/>
                <w:bCs w:val="0"/>
              </w:rPr>
              <w:t>DBd</w:t>
            </w:r>
          </w:p>
        </w:tc>
      </w:tr>
      <w:tr w:rsidR="00AA553F" w:rsidRPr="006325FB" w14:paraId="352A5FEC" w14:textId="77777777">
        <w:tc>
          <w:tcPr>
            <w:tcW w:w="1334" w:type="pct"/>
            <w:vAlign w:val="center"/>
          </w:tcPr>
          <w:p w14:paraId="23AC8AF8" w14:textId="77777777" w:rsidR="00AA553F" w:rsidRPr="005A57D7" w:rsidRDefault="00AA553F" w:rsidP="006A58D9">
            <w:pPr>
              <w:pStyle w:val="COMTabletext"/>
              <w:rPr>
                <w:sz w:val="19"/>
                <w:szCs w:val="19"/>
              </w:rPr>
            </w:pPr>
            <w:r w:rsidRPr="005A57D7">
              <w:rPr>
                <w:sz w:val="19"/>
                <w:szCs w:val="19"/>
              </w:rPr>
              <w:t>Cost to PBS/RPBS less copayments</w:t>
            </w:r>
          </w:p>
        </w:tc>
        <w:tc>
          <w:tcPr>
            <w:tcW w:w="611" w:type="pct"/>
            <w:vAlign w:val="center"/>
          </w:tcPr>
          <w:p w14:paraId="2D5C1FCA" w14:textId="5A1DA8C2" w:rsidR="00AA553F" w:rsidRPr="00517472" w:rsidRDefault="00AA553F" w:rsidP="006A58D9">
            <w:pPr>
              <w:pStyle w:val="COMTabletext"/>
              <w:jc w:val="center"/>
              <w:rPr>
                <w:vertAlign w:val="superscript"/>
              </w:rPr>
            </w:pPr>
            <w:r w:rsidRPr="00304218">
              <w:t>$</w:t>
            </w:r>
            <w:r w:rsidR="0040410B" w:rsidRPr="0040410B">
              <w:rPr>
                <w:highlight w:val="black"/>
              </w:rPr>
              <w:t>&amp;&amp;&amp;&amp;</w:t>
            </w:r>
            <w:r w:rsidR="00517472">
              <w:rPr>
                <w:vertAlign w:val="superscript"/>
              </w:rPr>
              <w:t>5</w:t>
            </w:r>
          </w:p>
        </w:tc>
        <w:tc>
          <w:tcPr>
            <w:tcW w:w="611" w:type="pct"/>
            <w:vAlign w:val="center"/>
          </w:tcPr>
          <w:p w14:paraId="423C5E1A" w14:textId="30EEB620" w:rsidR="00AA553F" w:rsidRPr="006325FB" w:rsidRDefault="00AA553F" w:rsidP="006A58D9">
            <w:pPr>
              <w:pStyle w:val="COMTabletext"/>
              <w:jc w:val="center"/>
              <w:rPr>
                <w:vertAlign w:val="superscript"/>
              </w:rPr>
            </w:pPr>
            <w:r w:rsidRPr="00304218">
              <w:t>$</w:t>
            </w:r>
            <w:r w:rsidR="0040410B" w:rsidRPr="0040410B">
              <w:rPr>
                <w:highlight w:val="black"/>
              </w:rPr>
              <w:t>&amp;&amp;&amp;&amp;</w:t>
            </w:r>
            <w:r w:rsidR="006325FB">
              <w:rPr>
                <w:vertAlign w:val="superscript"/>
              </w:rPr>
              <w:t>6</w:t>
            </w:r>
          </w:p>
        </w:tc>
        <w:tc>
          <w:tcPr>
            <w:tcW w:w="611" w:type="pct"/>
            <w:vAlign w:val="center"/>
          </w:tcPr>
          <w:p w14:paraId="20F2DD7E" w14:textId="7E0A7DD8" w:rsidR="00AA553F" w:rsidRPr="006325FB" w:rsidRDefault="00AA553F" w:rsidP="006A58D9">
            <w:pPr>
              <w:pStyle w:val="COMTabletext"/>
              <w:jc w:val="center"/>
              <w:rPr>
                <w:vertAlign w:val="superscript"/>
              </w:rPr>
            </w:pPr>
            <w:r w:rsidRPr="00304218">
              <w:t>$</w:t>
            </w:r>
            <w:r w:rsidR="0040410B" w:rsidRPr="0040410B">
              <w:rPr>
                <w:highlight w:val="black"/>
              </w:rPr>
              <w:t>&amp;&amp;&amp;&amp;</w:t>
            </w:r>
            <w:r w:rsidR="006325FB">
              <w:rPr>
                <w:vertAlign w:val="superscript"/>
              </w:rPr>
              <w:t>6</w:t>
            </w:r>
          </w:p>
        </w:tc>
        <w:tc>
          <w:tcPr>
            <w:tcW w:w="611" w:type="pct"/>
            <w:vAlign w:val="center"/>
          </w:tcPr>
          <w:p w14:paraId="202800A5" w14:textId="2B5AA2FE" w:rsidR="00AA553F" w:rsidRPr="006325FB" w:rsidRDefault="00AA553F" w:rsidP="006A58D9">
            <w:pPr>
              <w:pStyle w:val="COMTabletext"/>
              <w:jc w:val="center"/>
              <w:rPr>
                <w:vertAlign w:val="superscript"/>
              </w:rPr>
            </w:pPr>
            <w:r w:rsidRPr="00304218">
              <w:t>$</w:t>
            </w:r>
            <w:r w:rsidR="0040410B" w:rsidRPr="0040410B">
              <w:rPr>
                <w:highlight w:val="black"/>
              </w:rPr>
              <w:t>&amp;&amp;&amp;&amp;</w:t>
            </w:r>
            <w:r w:rsidR="006325FB">
              <w:rPr>
                <w:vertAlign w:val="superscript"/>
              </w:rPr>
              <w:t>6</w:t>
            </w:r>
          </w:p>
        </w:tc>
        <w:tc>
          <w:tcPr>
            <w:tcW w:w="611" w:type="pct"/>
            <w:vAlign w:val="center"/>
          </w:tcPr>
          <w:p w14:paraId="39AD7390" w14:textId="5B2C73EF" w:rsidR="00AA553F" w:rsidRPr="006325FB" w:rsidRDefault="00AA553F" w:rsidP="006A58D9">
            <w:pPr>
              <w:pStyle w:val="COMTabletext"/>
              <w:jc w:val="center"/>
              <w:rPr>
                <w:vertAlign w:val="superscript"/>
              </w:rPr>
            </w:pPr>
            <w:r w:rsidRPr="00304218">
              <w:t>$</w:t>
            </w:r>
            <w:r w:rsidR="0040410B" w:rsidRPr="0040410B">
              <w:rPr>
                <w:highlight w:val="black"/>
              </w:rPr>
              <w:t>&amp;&amp;&amp;&amp;</w:t>
            </w:r>
            <w:r w:rsidR="006325FB">
              <w:rPr>
                <w:vertAlign w:val="superscript"/>
              </w:rPr>
              <w:t>6</w:t>
            </w:r>
          </w:p>
        </w:tc>
        <w:tc>
          <w:tcPr>
            <w:tcW w:w="611" w:type="pct"/>
            <w:vAlign w:val="center"/>
          </w:tcPr>
          <w:p w14:paraId="4E3728F0" w14:textId="69111619" w:rsidR="00AA553F" w:rsidRPr="006325FB" w:rsidRDefault="00AA553F" w:rsidP="006A58D9">
            <w:pPr>
              <w:pStyle w:val="COMTabletext"/>
              <w:jc w:val="center"/>
              <w:rPr>
                <w:vertAlign w:val="superscript"/>
              </w:rPr>
            </w:pPr>
            <w:r w:rsidRPr="00304218">
              <w:t>$</w:t>
            </w:r>
            <w:r w:rsidR="0040410B" w:rsidRPr="0040410B">
              <w:rPr>
                <w:highlight w:val="black"/>
              </w:rPr>
              <w:t>&amp;&amp;&amp;&amp;</w:t>
            </w:r>
            <w:r w:rsidR="006325FB">
              <w:rPr>
                <w:vertAlign w:val="superscript"/>
              </w:rPr>
              <w:t>6</w:t>
            </w:r>
          </w:p>
        </w:tc>
      </w:tr>
      <w:tr w:rsidR="00AA553F" w:rsidRPr="005A57D7" w14:paraId="0855AC51" w14:textId="77777777">
        <w:tc>
          <w:tcPr>
            <w:tcW w:w="5000" w:type="pct"/>
            <w:gridSpan w:val="7"/>
            <w:vAlign w:val="center"/>
          </w:tcPr>
          <w:p w14:paraId="35AEA751" w14:textId="77777777" w:rsidR="00AA553F" w:rsidRPr="005A57D7" w:rsidRDefault="00AA553F" w:rsidP="006A58D9">
            <w:pPr>
              <w:pStyle w:val="COMTableheadingrow"/>
            </w:pPr>
            <w:r w:rsidRPr="005A57D7">
              <w:t>Net financial implications</w:t>
            </w:r>
          </w:p>
        </w:tc>
      </w:tr>
      <w:tr w:rsidR="00AA553F" w:rsidRPr="005A57D7" w14:paraId="546BC079" w14:textId="77777777">
        <w:tc>
          <w:tcPr>
            <w:tcW w:w="1334" w:type="pct"/>
            <w:vAlign w:val="center"/>
          </w:tcPr>
          <w:p w14:paraId="59C04364" w14:textId="77777777" w:rsidR="00AA553F" w:rsidRPr="00E45DE6" w:rsidRDefault="00AA553F" w:rsidP="006A58D9">
            <w:pPr>
              <w:pStyle w:val="COMTabletext"/>
              <w:rPr>
                <w:sz w:val="19"/>
                <w:szCs w:val="19"/>
                <w:vertAlign w:val="superscript"/>
              </w:rPr>
            </w:pPr>
            <w:r w:rsidRPr="005A57D7">
              <w:rPr>
                <w:sz w:val="19"/>
                <w:szCs w:val="19"/>
              </w:rPr>
              <w:t>Net cost to PBS/RPBS</w:t>
            </w:r>
            <w:r>
              <w:rPr>
                <w:sz w:val="19"/>
                <w:szCs w:val="19"/>
              </w:rPr>
              <w:t xml:space="preserve"> </w:t>
            </w:r>
            <w:r>
              <w:rPr>
                <w:sz w:val="19"/>
                <w:szCs w:val="19"/>
                <w:vertAlign w:val="superscript"/>
              </w:rPr>
              <w:t>a</w:t>
            </w:r>
          </w:p>
        </w:tc>
        <w:tc>
          <w:tcPr>
            <w:tcW w:w="611" w:type="pct"/>
          </w:tcPr>
          <w:p w14:paraId="1F7B0E15" w14:textId="727FE791" w:rsidR="00472CE1" w:rsidRDefault="00AA553F" w:rsidP="006A58D9">
            <w:pPr>
              <w:pStyle w:val="COMTabletext"/>
              <w:jc w:val="center"/>
            </w:pPr>
            <w:r w:rsidRPr="005D25ED">
              <w:t>-$</w:t>
            </w:r>
            <w:r w:rsidR="0040410B" w:rsidRPr="0040410B">
              <w:rPr>
                <w:highlight w:val="black"/>
              </w:rPr>
              <w:t>&amp;&amp;&amp;&amp;</w:t>
            </w:r>
          </w:p>
          <w:p w14:paraId="3FE6345C" w14:textId="124295D7" w:rsidR="00AA553F" w:rsidRPr="00472CE1" w:rsidRDefault="00472CE1" w:rsidP="006A58D9">
            <w:pPr>
              <w:pStyle w:val="COMTabletext"/>
              <w:jc w:val="center"/>
              <w:rPr>
                <w:vertAlign w:val="superscript"/>
              </w:rPr>
            </w:pPr>
            <w:r w:rsidRPr="003B0175">
              <w:rPr>
                <w:vertAlign w:val="superscript"/>
              </w:rPr>
              <w:t>9</w:t>
            </w:r>
          </w:p>
        </w:tc>
        <w:tc>
          <w:tcPr>
            <w:tcW w:w="611" w:type="pct"/>
          </w:tcPr>
          <w:p w14:paraId="6041183C" w14:textId="4B42BBC7" w:rsidR="007D7461" w:rsidRDefault="00AA553F" w:rsidP="006A58D9">
            <w:pPr>
              <w:pStyle w:val="COMTabletext"/>
              <w:jc w:val="center"/>
            </w:pPr>
            <w:r w:rsidRPr="005D25ED">
              <w:t>$</w:t>
            </w:r>
            <w:r w:rsidR="0040410B" w:rsidRPr="0040410B">
              <w:rPr>
                <w:highlight w:val="black"/>
              </w:rPr>
              <w:t>&amp;&amp;&amp;&amp;</w:t>
            </w:r>
          </w:p>
          <w:p w14:paraId="7D738FE0" w14:textId="7562897B" w:rsidR="00AA553F" w:rsidRPr="007D7461" w:rsidRDefault="007D7461" w:rsidP="006A58D9">
            <w:pPr>
              <w:pStyle w:val="COMTabletext"/>
              <w:jc w:val="center"/>
              <w:rPr>
                <w:vertAlign w:val="superscript"/>
              </w:rPr>
            </w:pPr>
            <w:r>
              <w:rPr>
                <w:vertAlign w:val="superscript"/>
              </w:rPr>
              <w:t>10</w:t>
            </w:r>
          </w:p>
        </w:tc>
        <w:tc>
          <w:tcPr>
            <w:tcW w:w="611" w:type="pct"/>
          </w:tcPr>
          <w:p w14:paraId="292E9DFE" w14:textId="30F588DC" w:rsidR="00BD5093" w:rsidRDefault="00AA553F" w:rsidP="006A58D9">
            <w:pPr>
              <w:pStyle w:val="COMTabletext"/>
              <w:jc w:val="center"/>
            </w:pPr>
            <w:r w:rsidRPr="005D25ED">
              <w:t>$</w:t>
            </w:r>
            <w:r w:rsidR="0040410B" w:rsidRPr="0040410B">
              <w:rPr>
                <w:highlight w:val="black"/>
              </w:rPr>
              <w:t>&amp;&amp;&amp;&amp;</w:t>
            </w:r>
          </w:p>
          <w:p w14:paraId="55637823" w14:textId="10C9CF9E" w:rsidR="00AA553F" w:rsidRPr="006D2F3F" w:rsidRDefault="006D2F3F" w:rsidP="006A58D9">
            <w:pPr>
              <w:pStyle w:val="COMTabletext"/>
              <w:jc w:val="center"/>
              <w:rPr>
                <w:vertAlign w:val="superscript"/>
              </w:rPr>
            </w:pPr>
            <w:r>
              <w:rPr>
                <w:vertAlign w:val="superscript"/>
              </w:rPr>
              <w:t>11</w:t>
            </w:r>
          </w:p>
        </w:tc>
        <w:tc>
          <w:tcPr>
            <w:tcW w:w="611" w:type="pct"/>
          </w:tcPr>
          <w:p w14:paraId="1D93E049" w14:textId="737DFC9B" w:rsidR="00BD5093" w:rsidRDefault="00AA553F" w:rsidP="006A58D9">
            <w:pPr>
              <w:pStyle w:val="COMTabletext"/>
              <w:jc w:val="center"/>
            </w:pPr>
            <w:r w:rsidRPr="005D25ED">
              <w:t>$</w:t>
            </w:r>
            <w:r w:rsidR="0040410B" w:rsidRPr="0040410B">
              <w:rPr>
                <w:highlight w:val="black"/>
              </w:rPr>
              <w:t>&amp;&amp;&amp;&amp;</w:t>
            </w:r>
          </w:p>
          <w:p w14:paraId="6404C8FB" w14:textId="21ADA4B1" w:rsidR="00AA553F" w:rsidRPr="00BD5093" w:rsidRDefault="00BD5093" w:rsidP="006A58D9">
            <w:pPr>
              <w:pStyle w:val="COMTabletext"/>
              <w:jc w:val="center"/>
              <w:rPr>
                <w:vertAlign w:val="superscript"/>
              </w:rPr>
            </w:pPr>
            <w:r>
              <w:rPr>
                <w:vertAlign w:val="superscript"/>
              </w:rPr>
              <w:t>12</w:t>
            </w:r>
          </w:p>
        </w:tc>
        <w:tc>
          <w:tcPr>
            <w:tcW w:w="611" w:type="pct"/>
          </w:tcPr>
          <w:p w14:paraId="269F1F19" w14:textId="0DC536CA" w:rsidR="00AA553F" w:rsidRPr="00517472" w:rsidRDefault="00AA553F" w:rsidP="006A58D9">
            <w:pPr>
              <w:pStyle w:val="COMTabletext"/>
              <w:jc w:val="center"/>
              <w:rPr>
                <w:vertAlign w:val="superscript"/>
              </w:rPr>
            </w:pPr>
            <w:r w:rsidRPr="005D25ED">
              <w:t>$</w:t>
            </w:r>
            <w:r w:rsidR="0040410B" w:rsidRPr="0040410B">
              <w:rPr>
                <w:highlight w:val="black"/>
              </w:rPr>
              <w:t>&amp;&amp;&amp;&amp;</w:t>
            </w:r>
            <w:r w:rsidR="00517472">
              <w:rPr>
                <w:vertAlign w:val="superscript"/>
              </w:rPr>
              <w:t>5</w:t>
            </w:r>
          </w:p>
        </w:tc>
        <w:tc>
          <w:tcPr>
            <w:tcW w:w="611" w:type="pct"/>
          </w:tcPr>
          <w:p w14:paraId="4178DAB9" w14:textId="0EF5D496" w:rsidR="00AA553F" w:rsidRPr="00517472" w:rsidRDefault="00AA553F" w:rsidP="006A58D9">
            <w:pPr>
              <w:pStyle w:val="COMTabletext"/>
              <w:jc w:val="center"/>
              <w:rPr>
                <w:vertAlign w:val="superscript"/>
              </w:rPr>
            </w:pPr>
            <w:r w:rsidRPr="005D25ED">
              <w:t>$</w:t>
            </w:r>
            <w:r w:rsidR="0040410B" w:rsidRPr="0040410B">
              <w:rPr>
                <w:highlight w:val="black"/>
              </w:rPr>
              <w:t>&amp;&amp;&amp;&amp;</w:t>
            </w:r>
            <w:r w:rsidR="00517472">
              <w:rPr>
                <w:vertAlign w:val="superscript"/>
              </w:rPr>
              <w:t>5</w:t>
            </w:r>
          </w:p>
        </w:tc>
      </w:tr>
      <w:tr w:rsidR="00AA553F" w:rsidRPr="005A57D7" w14:paraId="1B1D0F4E" w14:textId="77777777">
        <w:tc>
          <w:tcPr>
            <w:tcW w:w="1334" w:type="pct"/>
            <w:vAlign w:val="center"/>
          </w:tcPr>
          <w:p w14:paraId="44C3D6EC" w14:textId="77777777" w:rsidR="00AA553F" w:rsidRPr="005A57D7" w:rsidRDefault="00AA553F" w:rsidP="006A58D9">
            <w:pPr>
              <w:pStyle w:val="COMTabletext"/>
              <w:rPr>
                <w:rFonts w:ascii="Times" w:hAnsi="Times"/>
              </w:rPr>
            </w:pPr>
            <w:r w:rsidRPr="005A57D7">
              <w:rPr>
                <w:sz w:val="19"/>
                <w:szCs w:val="19"/>
              </w:rPr>
              <w:t>Net cost to MBS</w:t>
            </w:r>
            <w:r w:rsidRPr="006E4E00">
              <w:rPr>
                <w:sz w:val="19"/>
                <w:szCs w:val="19"/>
                <w:vertAlign w:val="superscript"/>
              </w:rPr>
              <w:t xml:space="preserve"> </w:t>
            </w:r>
            <w:r>
              <w:rPr>
                <w:sz w:val="19"/>
                <w:szCs w:val="19"/>
                <w:vertAlign w:val="superscript"/>
              </w:rPr>
              <w:t>b</w:t>
            </w:r>
          </w:p>
        </w:tc>
        <w:tc>
          <w:tcPr>
            <w:tcW w:w="611" w:type="pct"/>
          </w:tcPr>
          <w:p w14:paraId="68235FA6" w14:textId="19511BB5" w:rsidR="00AA553F" w:rsidRDefault="00AA553F" w:rsidP="006A58D9">
            <w:pPr>
              <w:pStyle w:val="COMTabletext"/>
              <w:jc w:val="center"/>
            </w:pPr>
            <w:r w:rsidRPr="000315B2">
              <w:t>-$</w:t>
            </w:r>
            <w:r w:rsidR="0040410B" w:rsidRPr="0040410B">
              <w:rPr>
                <w:highlight w:val="black"/>
              </w:rPr>
              <w:t>&amp;&amp;&amp;&amp;</w:t>
            </w:r>
          </w:p>
          <w:p w14:paraId="2818E3F8" w14:textId="00E75F68" w:rsidR="00370B2E" w:rsidRPr="00370B2E" w:rsidRDefault="00370B2E" w:rsidP="006A58D9">
            <w:pPr>
              <w:pStyle w:val="COMTabletext"/>
              <w:jc w:val="center"/>
              <w:rPr>
                <w:vertAlign w:val="superscript"/>
              </w:rPr>
            </w:pPr>
            <w:r>
              <w:rPr>
                <w:vertAlign w:val="superscript"/>
              </w:rPr>
              <w:t>9</w:t>
            </w:r>
          </w:p>
        </w:tc>
        <w:tc>
          <w:tcPr>
            <w:tcW w:w="611" w:type="pct"/>
          </w:tcPr>
          <w:p w14:paraId="63226B36" w14:textId="494899EC" w:rsidR="00AA553F" w:rsidRDefault="00AA553F" w:rsidP="006A58D9">
            <w:pPr>
              <w:pStyle w:val="COMTabletext"/>
              <w:jc w:val="center"/>
            </w:pPr>
            <w:r w:rsidRPr="000315B2">
              <w:t>-$</w:t>
            </w:r>
            <w:r w:rsidR="0040410B" w:rsidRPr="0040410B">
              <w:rPr>
                <w:highlight w:val="black"/>
              </w:rPr>
              <w:t>&amp;&amp;&amp;&amp;</w:t>
            </w:r>
          </w:p>
          <w:p w14:paraId="5DEE5877" w14:textId="36162225" w:rsidR="00370B2E" w:rsidRPr="00370B2E" w:rsidRDefault="00370B2E" w:rsidP="006A58D9">
            <w:pPr>
              <w:pStyle w:val="COMTabletext"/>
              <w:jc w:val="center"/>
              <w:rPr>
                <w:vertAlign w:val="superscript"/>
              </w:rPr>
            </w:pPr>
            <w:r>
              <w:rPr>
                <w:vertAlign w:val="superscript"/>
              </w:rPr>
              <w:t>9</w:t>
            </w:r>
          </w:p>
        </w:tc>
        <w:tc>
          <w:tcPr>
            <w:tcW w:w="611" w:type="pct"/>
          </w:tcPr>
          <w:p w14:paraId="0E44F07C" w14:textId="6FD9BD25" w:rsidR="00AA553F" w:rsidRDefault="00AA553F" w:rsidP="006A58D9">
            <w:pPr>
              <w:pStyle w:val="COMTabletext"/>
              <w:jc w:val="center"/>
            </w:pPr>
            <w:r w:rsidRPr="000315B2">
              <w:t>-$</w:t>
            </w:r>
            <w:r w:rsidR="0040410B" w:rsidRPr="0040410B">
              <w:rPr>
                <w:highlight w:val="black"/>
              </w:rPr>
              <w:t>&amp;&amp;&amp;&amp;</w:t>
            </w:r>
          </w:p>
          <w:p w14:paraId="1BC4AFFD" w14:textId="74498979" w:rsidR="00370B2E" w:rsidRPr="00370B2E" w:rsidRDefault="00370B2E" w:rsidP="006A58D9">
            <w:pPr>
              <w:pStyle w:val="COMTabletext"/>
              <w:jc w:val="center"/>
              <w:rPr>
                <w:vertAlign w:val="superscript"/>
              </w:rPr>
            </w:pPr>
            <w:r>
              <w:rPr>
                <w:vertAlign w:val="superscript"/>
              </w:rPr>
              <w:t>9</w:t>
            </w:r>
          </w:p>
        </w:tc>
        <w:tc>
          <w:tcPr>
            <w:tcW w:w="611" w:type="pct"/>
          </w:tcPr>
          <w:p w14:paraId="753D3F54" w14:textId="47AC1386" w:rsidR="00AA553F" w:rsidRDefault="00AA553F" w:rsidP="006A58D9">
            <w:pPr>
              <w:pStyle w:val="COMTabletext"/>
              <w:jc w:val="center"/>
            </w:pPr>
            <w:r w:rsidRPr="000315B2">
              <w:t>-$</w:t>
            </w:r>
            <w:r w:rsidR="0040410B" w:rsidRPr="0040410B">
              <w:rPr>
                <w:highlight w:val="black"/>
              </w:rPr>
              <w:t>&amp;&amp;&amp;&amp;</w:t>
            </w:r>
          </w:p>
          <w:p w14:paraId="63A03FD2" w14:textId="0E746327" w:rsidR="00370B2E" w:rsidRPr="00370B2E" w:rsidRDefault="00370B2E" w:rsidP="006A58D9">
            <w:pPr>
              <w:pStyle w:val="COMTabletext"/>
              <w:jc w:val="center"/>
              <w:rPr>
                <w:vertAlign w:val="superscript"/>
              </w:rPr>
            </w:pPr>
            <w:r>
              <w:rPr>
                <w:vertAlign w:val="superscript"/>
              </w:rPr>
              <w:t>9</w:t>
            </w:r>
          </w:p>
        </w:tc>
        <w:tc>
          <w:tcPr>
            <w:tcW w:w="611" w:type="pct"/>
          </w:tcPr>
          <w:p w14:paraId="0A6F2784" w14:textId="546259F2" w:rsidR="00AA553F" w:rsidRDefault="00AA553F" w:rsidP="006A58D9">
            <w:pPr>
              <w:pStyle w:val="COMTabletext"/>
              <w:jc w:val="center"/>
            </w:pPr>
            <w:r w:rsidRPr="000315B2">
              <w:t>-$</w:t>
            </w:r>
            <w:r w:rsidR="0040410B" w:rsidRPr="0040410B">
              <w:rPr>
                <w:highlight w:val="black"/>
              </w:rPr>
              <w:t>&amp;&amp;&amp;&amp;</w:t>
            </w:r>
          </w:p>
          <w:p w14:paraId="15BD3D00" w14:textId="053E8FFD" w:rsidR="00370B2E" w:rsidRPr="00370B2E" w:rsidRDefault="00370B2E" w:rsidP="006A58D9">
            <w:pPr>
              <w:pStyle w:val="COMTabletext"/>
              <w:jc w:val="center"/>
              <w:rPr>
                <w:vertAlign w:val="superscript"/>
              </w:rPr>
            </w:pPr>
            <w:r>
              <w:rPr>
                <w:vertAlign w:val="superscript"/>
              </w:rPr>
              <w:t>9</w:t>
            </w:r>
          </w:p>
        </w:tc>
        <w:tc>
          <w:tcPr>
            <w:tcW w:w="611" w:type="pct"/>
          </w:tcPr>
          <w:p w14:paraId="27C45CF2" w14:textId="0E60D811" w:rsidR="00AA553F" w:rsidRDefault="00AA553F" w:rsidP="006A58D9">
            <w:pPr>
              <w:pStyle w:val="COMTabletext"/>
              <w:jc w:val="center"/>
            </w:pPr>
            <w:r w:rsidRPr="000315B2">
              <w:t>-$</w:t>
            </w:r>
            <w:r w:rsidR="0040410B" w:rsidRPr="0040410B">
              <w:rPr>
                <w:highlight w:val="black"/>
              </w:rPr>
              <w:t>&amp;&amp;&amp;&amp;</w:t>
            </w:r>
          </w:p>
          <w:p w14:paraId="17D9D715" w14:textId="37AEB369" w:rsidR="00370B2E" w:rsidRPr="00370B2E" w:rsidRDefault="00370B2E" w:rsidP="006A58D9">
            <w:pPr>
              <w:pStyle w:val="COMTabletext"/>
              <w:jc w:val="center"/>
              <w:rPr>
                <w:vertAlign w:val="superscript"/>
              </w:rPr>
            </w:pPr>
            <w:r>
              <w:rPr>
                <w:vertAlign w:val="superscript"/>
              </w:rPr>
              <w:t>9</w:t>
            </w:r>
          </w:p>
        </w:tc>
      </w:tr>
      <w:tr w:rsidR="00AA553F" w:rsidRPr="005A57D7" w14:paraId="1753EA05" w14:textId="77777777">
        <w:tc>
          <w:tcPr>
            <w:tcW w:w="1334" w:type="pct"/>
            <w:vAlign w:val="center"/>
          </w:tcPr>
          <w:p w14:paraId="44E0F289" w14:textId="77777777" w:rsidR="00AA553F" w:rsidRPr="00B925A3" w:rsidRDefault="00AA553F" w:rsidP="006A58D9">
            <w:pPr>
              <w:pStyle w:val="COMTabletext"/>
              <w:rPr>
                <w:b/>
                <w:bCs w:val="0"/>
                <w:sz w:val="19"/>
                <w:szCs w:val="19"/>
              </w:rPr>
            </w:pPr>
            <w:r w:rsidRPr="00B925A3">
              <w:rPr>
                <w:b/>
                <w:bCs w:val="0"/>
                <w:sz w:val="19"/>
                <w:szCs w:val="19"/>
              </w:rPr>
              <w:t>Net cost to PBS/RPBS/MBS</w:t>
            </w:r>
          </w:p>
        </w:tc>
        <w:tc>
          <w:tcPr>
            <w:tcW w:w="611" w:type="pct"/>
          </w:tcPr>
          <w:p w14:paraId="50F31782" w14:textId="268DDC31" w:rsidR="007D7461" w:rsidRDefault="00AA553F" w:rsidP="006A58D9">
            <w:pPr>
              <w:pStyle w:val="COMTabletext"/>
              <w:jc w:val="center"/>
              <w:rPr>
                <w:b/>
                <w:bCs w:val="0"/>
              </w:rPr>
            </w:pPr>
            <w:r w:rsidRPr="00B925A3">
              <w:rPr>
                <w:b/>
                <w:bCs w:val="0"/>
              </w:rPr>
              <w:t>-$</w:t>
            </w:r>
            <w:r w:rsidR="0040410B" w:rsidRPr="0040410B">
              <w:rPr>
                <w:b/>
                <w:bCs w:val="0"/>
                <w:highlight w:val="black"/>
              </w:rPr>
              <w:t>&amp;&amp;&amp;&amp;</w:t>
            </w:r>
          </w:p>
          <w:p w14:paraId="04C54B63" w14:textId="3086B780" w:rsidR="00AA553F" w:rsidRPr="007D7461" w:rsidRDefault="00225EAE" w:rsidP="006A58D9">
            <w:pPr>
              <w:pStyle w:val="COMTabletext"/>
              <w:jc w:val="center"/>
              <w:rPr>
                <w:vertAlign w:val="superscript"/>
              </w:rPr>
            </w:pPr>
            <w:r>
              <w:rPr>
                <w:vertAlign w:val="superscript"/>
              </w:rPr>
              <w:t>9</w:t>
            </w:r>
          </w:p>
        </w:tc>
        <w:tc>
          <w:tcPr>
            <w:tcW w:w="611" w:type="pct"/>
          </w:tcPr>
          <w:p w14:paraId="5E964A9D" w14:textId="142D5E29" w:rsidR="007D7461" w:rsidRDefault="00AA553F" w:rsidP="006A58D9">
            <w:pPr>
              <w:pStyle w:val="COMTabletext"/>
              <w:jc w:val="center"/>
              <w:rPr>
                <w:b/>
                <w:bCs w:val="0"/>
              </w:rPr>
            </w:pPr>
            <w:r w:rsidRPr="00B925A3">
              <w:rPr>
                <w:b/>
                <w:bCs w:val="0"/>
              </w:rPr>
              <w:t>$</w:t>
            </w:r>
            <w:r w:rsidR="0040410B" w:rsidRPr="0040410B">
              <w:rPr>
                <w:b/>
                <w:bCs w:val="0"/>
                <w:highlight w:val="black"/>
              </w:rPr>
              <w:t>&amp;&amp;&amp;&amp;</w:t>
            </w:r>
          </w:p>
          <w:p w14:paraId="1FE9D1BC" w14:textId="4F828E34" w:rsidR="00AA553F" w:rsidRPr="007D7461" w:rsidRDefault="007D7461" w:rsidP="006A58D9">
            <w:pPr>
              <w:pStyle w:val="COMTabletext"/>
              <w:jc w:val="center"/>
              <w:rPr>
                <w:b/>
                <w:bCs w:val="0"/>
                <w:vertAlign w:val="superscript"/>
              </w:rPr>
            </w:pPr>
            <w:r w:rsidRPr="007D7461">
              <w:rPr>
                <w:vertAlign w:val="superscript"/>
              </w:rPr>
              <w:t>10</w:t>
            </w:r>
          </w:p>
        </w:tc>
        <w:tc>
          <w:tcPr>
            <w:tcW w:w="611" w:type="pct"/>
          </w:tcPr>
          <w:p w14:paraId="6F83882A" w14:textId="363066DD" w:rsidR="006D2F3F" w:rsidRDefault="00AA553F" w:rsidP="006A58D9">
            <w:pPr>
              <w:pStyle w:val="COMTabletext"/>
              <w:jc w:val="center"/>
              <w:rPr>
                <w:b/>
                <w:bCs w:val="0"/>
              </w:rPr>
            </w:pPr>
            <w:r w:rsidRPr="00B925A3">
              <w:rPr>
                <w:b/>
                <w:bCs w:val="0"/>
              </w:rPr>
              <w:t>$</w:t>
            </w:r>
            <w:r w:rsidR="0040410B" w:rsidRPr="0040410B">
              <w:rPr>
                <w:b/>
                <w:bCs w:val="0"/>
                <w:highlight w:val="black"/>
              </w:rPr>
              <w:t>&amp;&amp;&amp;&amp;</w:t>
            </w:r>
          </w:p>
          <w:p w14:paraId="681FD8AF" w14:textId="7BD32D73" w:rsidR="00AA553F" w:rsidRPr="006D2F3F" w:rsidRDefault="006D2F3F" w:rsidP="006A58D9">
            <w:pPr>
              <w:pStyle w:val="COMTabletext"/>
              <w:jc w:val="center"/>
              <w:rPr>
                <w:b/>
                <w:bCs w:val="0"/>
                <w:vertAlign w:val="superscript"/>
              </w:rPr>
            </w:pPr>
            <w:r w:rsidRPr="006D2F3F">
              <w:rPr>
                <w:vertAlign w:val="superscript"/>
              </w:rPr>
              <w:t>11</w:t>
            </w:r>
          </w:p>
        </w:tc>
        <w:tc>
          <w:tcPr>
            <w:tcW w:w="611" w:type="pct"/>
          </w:tcPr>
          <w:p w14:paraId="0CBC8DF8" w14:textId="2E72B058" w:rsidR="00BD5093" w:rsidRDefault="00AA553F" w:rsidP="006A58D9">
            <w:pPr>
              <w:pStyle w:val="COMTabletext"/>
              <w:jc w:val="center"/>
              <w:rPr>
                <w:b/>
                <w:bCs w:val="0"/>
              </w:rPr>
            </w:pPr>
            <w:r w:rsidRPr="00B925A3">
              <w:rPr>
                <w:b/>
                <w:bCs w:val="0"/>
              </w:rPr>
              <w:t>$</w:t>
            </w:r>
            <w:r w:rsidR="0040410B" w:rsidRPr="0040410B">
              <w:rPr>
                <w:b/>
                <w:bCs w:val="0"/>
                <w:highlight w:val="black"/>
              </w:rPr>
              <w:t>&amp;&amp;&amp;&amp;</w:t>
            </w:r>
          </w:p>
          <w:p w14:paraId="28C8A50A" w14:textId="138C699E" w:rsidR="00AA553F" w:rsidRPr="00BD5093" w:rsidRDefault="00BD5093" w:rsidP="006A58D9">
            <w:pPr>
              <w:pStyle w:val="COMTabletext"/>
              <w:jc w:val="center"/>
              <w:rPr>
                <w:vertAlign w:val="superscript"/>
              </w:rPr>
            </w:pPr>
            <w:r w:rsidRPr="00BD5093">
              <w:rPr>
                <w:vertAlign w:val="superscript"/>
              </w:rPr>
              <w:t>12</w:t>
            </w:r>
          </w:p>
        </w:tc>
        <w:tc>
          <w:tcPr>
            <w:tcW w:w="611" w:type="pct"/>
          </w:tcPr>
          <w:p w14:paraId="347046F4" w14:textId="403C0230" w:rsidR="00AA553F" w:rsidRPr="00517472" w:rsidRDefault="00AA553F" w:rsidP="006A58D9">
            <w:pPr>
              <w:pStyle w:val="COMTabletext"/>
              <w:jc w:val="center"/>
              <w:rPr>
                <w:vertAlign w:val="superscript"/>
              </w:rPr>
            </w:pPr>
            <w:r w:rsidRPr="00B925A3">
              <w:rPr>
                <w:b/>
                <w:bCs w:val="0"/>
              </w:rPr>
              <w:t>$</w:t>
            </w:r>
            <w:r w:rsidR="0040410B" w:rsidRPr="0040410B">
              <w:rPr>
                <w:b/>
                <w:bCs w:val="0"/>
                <w:highlight w:val="black"/>
              </w:rPr>
              <w:t>&amp;&amp;&amp;&amp;</w:t>
            </w:r>
            <w:r w:rsidR="00517472">
              <w:rPr>
                <w:vertAlign w:val="superscript"/>
              </w:rPr>
              <w:t>5</w:t>
            </w:r>
          </w:p>
        </w:tc>
        <w:tc>
          <w:tcPr>
            <w:tcW w:w="611" w:type="pct"/>
          </w:tcPr>
          <w:p w14:paraId="525EBBB5" w14:textId="26344AF2" w:rsidR="00AA553F" w:rsidRPr="00517472" w:rsidRDefault="00AA553F" w:rsidP="006A58D9">
            <w:pPr>
              <w:pStyle w:val="COMTabletext"/>
              <w:jc w:val="center"/>
              <w:rPr>
                <w:vertAlign w:val="superscript"/>
              </w:rPr>
            </w:pPr>
            <w:r w:rsidRPr="00B925A3">
              <w:rPr>
                <w:b/>
                <w:bCs w:val="0"/>
              </w:rPr>
              <w:t>$</w:t>
            </w:r>
            <w:r w:rsidR="0040410B" w:rsidRPr="0040410B">
              <w:rPr>
                <w:b/>
                <w:bCs w:val="0"/>
                <w:highlight w:val="black"/>
              </w:rPr>
              <w:t>&amp;&amp;&amp;&amp;</w:t>
            </w:r>
            <w:r w:rsidR="00517472">
              <w:rPr>
                <w:vertAlign w:val="superscript"/>
              </w:rPr>
              <w:t>5</w:t>
            </w:r>
          </w:p>
        </w:tc>
      </w:tr>
    </w:tbl>
    <w:p w14:paraId="09457E70" w14:textId="77777777" w:rsidR="00AA553F" w:rsidRDefault="00AA553F" w:rsidP="006A58D9">
      <w:pPr>
        <w:pStyle w:val="COMTablefooter"/>
        <w:keepNext/>
      </w:pPr>
      <w:r w:rsidRPr="005A57D7">
        <w:t xml:space="preserve">Source: </w:t>
      </w:r>
      <w:r>
        <w:t>Section 4 financial implications Excel workbook.</w:t>
      </w:r>
    </w:p>
    <w:p w14:paraId="4A104024" w14:textId="77777777" w:rsidR="00AA553F" w:rsidRDefault="00AA553F" w:rsidP="006A58D9">
      <w:pPr>
        <w:pStyle w:val="COMTablefooter"/>
        <w:keepNext/>
      </w:pPr>
      <w:r>
        <w:t>Abbreviations: BmBd, belantamab in combination with bortezomib and dexamethasone; DBd, daratumumab in combination with bortezomib and dexamethasone; MBS, Medicare Benefits Schedule; PBS, Pharmaceutical Benefits Scheme; RPBS, Repatriation Pharmaceutical Benefits Scheme.</w:t>
      </w:r>
    </w:p>
    <w:p w14:paraId="6C797A6B" w14:textId="77777777" w:rsidR="00AA553F" w:rsidRPr="00E45DE6" w:rsidRDefault="00AA553F" w:rsidP="006A58D9">
      <w:pPr>
        <w:pStyle w:val="COMTablefooter"/>
        <w:keepNext/>
      </w:pPr>
      <w:proofErr w:type="spellStart"/>
      <w:r>
        <w:rPr>
          <w:vertAlign w:val="superscript"/>
        </w:rPr>
        <w:t>a</w:t>
      </w:r>
      <w:proofErr w:type="spellEnd"/>
      <w:r>
        <w:t xml:space="preserve"> </w:t>
      </w:r>
      <w:r w:rsidRPr="00E45DE6">
        <w:t>The submission inappropriately attributed 72.14 weeks of daratumumab treatment to the initial year of treatment year, rather than 52 weeks in the initial treatment year and 27.64 weeks of treatment in the second year. This resulted in a larger daratumumab cost offset in Year 1 than would be realised in clinical practice (culminating in a net saving to the PBS/RPBS in Year 1 of listing).</w:t>
      </w:r>
    </w:p>
    <w:p w14:paraId="520202D6" w14:textId="77777777" w:rsidR="00D922EB" w:rsidRDefault="00AA553F" w:rsidP="006A58D9">
      <w:pPr>
        <w:pStyle w:val="COMTablefooter"/>
        <w:keepNext/>
        <w:rPr>
          <w:i/>
          <w:szCs w:val="18"/>
        </w:rPr>
      </w:pPr>
      <w:r>
        <w:rPr>
          <w:vertAlign w:val="superscript"/>
        </w:rPr>
        <w:t>b</w:t>
      </w:r>
      <w:r w:rsidRPr="006E4E00">
        <w:rPr>
          <w:vertAlign w:val="superscript"/>
        </w:rPr>
        <w:t xml:space="preserve"> </w:t>
      </w:r>
      <w:r>
        <w:t xml:space="preserve">Includes additional eye examinations associated with belantamab mafodotin (MBS Item 10918); changes in administration costs associated with </w:t>
      </w:r>
      <w:r w:rsidRPr="002F4597">
        <w:t>belantamab mafodotin, daratumumab and bortezomib</w:t>
      </w:r>
      <w:r>
        <w:t xml:space="preserve"> (MBS Item 13950); and </w:t>
      </w:r>
      <w:r w:rsidRPr="006763A2">
        <w:t xml:space="preserve">changes in the utilisation of blood grouping associated with initiation of daratumumab </w:t>
      </w:r>
      <w:r>
        <w:t>(</w:t>
      </w:r>
      <w:r w:rsidRPr="006763A2">
        <w:t>MBS Item 65090</w:t>
      </w:r>
      <w:r>
        <w:t>).</w:t>
      </w:r>
      <w:r w:rsidR="00D922EB" w:rsidRPr="00D922EB">
        <w:rPr>
          <w:i/>
          <w:szCs w:val="18"/>
        </w:rPr>
        <w:t xml:space="preserve"> </w:t>
      </w:r>
    </w:p>
    <w:p w14:paraId="477B2D23" w14:textId="49475E85" w:rsidR="00D922EB" w:rsidRPr="00D922EB" w:rsidRDefault="00D922EB" w:rsidP="006A58D9">
      <w:pPr>
        <w:pStyle w:val="COMTablefooter"/>
        <w:keepNext/>
        <w:rPr>
          <w:i/>
        </w:rPr>
      </w:pPr>
      <w:r w:rsidRPr="00D922EB">
        <w:rPr>
          <w:i/>
        </w:rPr>
        <w:t xml:space="preserve">The redacted values correspond to the following ranges: </w:t>
      </w:r>
    </w:p>
    <w:p w14:paraId="5B7F778C" w14:textId="79F41C1A" w:rsidR="00D922EB" w:rsidRPr="00D922EB" w:rsidRDefault="00D922EB" w:rsidP="006A58D9">
      <w:pPr>
        <w:pStyle w:val="COMTablefooter"/>
        <w:keepNext/>
        <w:rPr>
          <w:i/>
        </w:rPr>
      </w:pPr>
      <w:r w:rsidRPr="00D922EB">
        <w:rPr>
          <w:i/>
          <w:vertAlign w:val="superscript"/>
        </w:rPr>
        <w:t>1</w:t>
      </w:r>
      <w:r w:rsidRPr="00D922EB">
        <w:rPr>
          <w:i/>
        </w:rPr>
        <w:t xml:space="preserve"> </w:t>
      </w:r>
      <w:r w:rsidR="00520E6C" w:rsidRPr="00520E6C">
        <w:rPr>
          <w:i/>
        </w:rPr>
        <w:t>500 to &lt; 5,000</w:t>
      </w:r>
    </w:p>
    <w:p w14:paraId="441A1BE9" w14:textId="6B795C76" w:rsidR="00D922EB" w:rsidRPr="00D922EB" w:rsidRDefault="00D922EB" w:rsidP="006A58D9">
      <w:pPr>
        <w:pStyle w:val="COMTablefooter"/>
        <w:keepNext/>
        <w:rPr>
          <w:i/>
        </w:rPr>
      </w:pPr>
      <w:r w:rsidRPr="00D922EB">
        <w:rPr>
          <w:i/>
          <w:vertAlign w:val="superscript"/>
        </w:rPr>
        <w:t>2</w:t>
      </w:r>
      <w:r w:rsidRPr="00D922EB">
        <w:rPr>
          <w:i/>
        </w:rPr>
        <w:t xml:space="preserve"> </w:t>
      </w:r>
      <w:bookmarkStart w:id="75" w:name="_Hlk218774930"/>
      <w:r w:rsidR="00A96669" w:rsidRPr="00A96669">
        <w:rPr>
          <w:i/>
        </w:rPr>
        <w:t>5,000 to &lt; 10,000</w:t>
      </w:r>
      <w:bookmarkEnd w:id="75"/>
    </w:p>
    <w:p w14:paraId="38ADA29F" w14:textId="2B188022" w:rsidR="00D922EB" w:rsidRPr="00D922EB" w:rsidRDefault="00D922EB" w:rsidP="006A58D9">
      <w:pPr>
        <w:pStyle w:val="COMTablefooter"/>
        <w:keepNext/>
        <w:rPr>
          <w:i/>
        </w:rPr>
      </w:pPr>
      <w:r w:rsidRPr="00D922EB">
        <w:rPr>
          <w:i/>
          <w:vertAlign w:val="superscript"/>
        </w:rPr>
        <w:t>3</w:t>
      </w:r>
      <w:r w:rsidRPr="00D922EB">
        <w:rPr>
          <w:i/>
        </w:rPr>
        <w:t xml:space="preserve"> </w:t>
      </w:r>
      <w:bookmarkStart w:id="76" w:name="_Hlk218765074"/>
      <w:r w:rsidR="00121915" w:rsidRPr="00121915">
        <w:rPr>
          <w:i/>
        </w:rPr>
        <w:t>10,000 to &lt; 20,000</w:t>
      </w:r>
      <w:bookmarkEnd w:id="76"/>
    </w:p>
    <w:p w14:paraId="78447397" w14:textId="46F4D8EC" w:rsidR="00D922EB" w:rsidRPr="00D922EB" w:rsidRDefault="00D922EB" w:rsidP="006A58D9">
      <w:pPr>
        <w:pStyle w:val="COMTablefooter"/>
        <w:keepNext/>
        <w:rPr>
          <w:i/>
        </w:rPr>
      </w:pPr>
      <w:r w:rsidRPr="00D922EB">
        <w:rPr>
          <w:i/>
          <w:vertAlign w:val="superscript"/>
        </w:rPr>
        <w:t>4</w:t>
      </w:r>
      <w:r w:rsidRPr="00D922EB">
        <w:rPr>
          <w:i/>
        </w:rPr>
        <w:t xml:space="preserve"> </w:t>
      </w:r>
      <w:r w:rsidR="0094234F" w:rsidRPr="0094234F">
        <w:rPr>
          <w:i/>
        </w:rPr>
        <w:t>20,000 to &lt; 30,000</w:t>
      </w:r>
    </w:p>
    <w:p w14:paraId="75137325" w14:textId="696D222A" w:rsidR="00D922EB" w:rsidRPr="00D922EB" w:rsidRDefault="00D922EB" w:rsidP="006A58D9">
      <w:pPr>
        <w:pStyle w:val="COMTablefooter"/>
        <w:keepNext/>
        <w:rPr>
          <w:i/>
        </w:rPr>
      </w:pPr>
      <w:r w:rsidRPr="00D922EB">
        <w:rPr>
          <w:i/>
          <w:vertAlign w:val="superscript"/>
        </w:rPr>
        <w:t>5</w:t>
      </w:r>
      <w:r w:rsidRPr="00D922EB">
        <w:rPr>
          <w:i/>
        </w:rPr>
        <w:t xml:space="preserve"> </w:t>
      </w:r>
      <w:bookmarkStart w:id="77" w:name="_Hlk218769877"/>
      <w:r w:rsidR="00517472" w:rsidRPr="00517472">
        <w:rPr>
          <w:i/>
        </w:rPr>
        <w:t>$100 million to &lt; $200 million</w:t>
      </w:r>
      <w:bookmarkEnd w:id="77"/>
    </w:p>
    <w:p w14:paraId="4C1EC460" w14:textId="77777777" w:rsidR="006325FB" w:rsidRPr="006325FB" w:rsidRDefault="00D922EB" w:rsidP="006A58D9">
      <w:pPr>
        <w:pStyle w:val="COMTablefooter"/>
        <w:keepNext/>
        <w:rPr>
          <w:i/>
        </w:rPr>
      </w:pPr>
      <w:r w:rsidRPr="00D922EB">
        <w:rPr>
          <w:i/>
          <w:vertAlign w:val="superscript"/>
        </w:rPr>
        <w:t>6</w:t>
      </w:r>
      <w:r w:rsidRPr="00D922EB">
        <w:rPr>
          <w:i/>
        </w:rPr>
        <w:t xml:space="preserve"> </w:t>
      </w:r>
      <w:r w:rsidR="006325FB" w:rsidRPr="006325FB">
        <w:rPr>
          <w:i/>
        </w:rPr>
        <w:t>$200 million to &lt; $300 million</w:t>
      </w:r>
    </w:p>
    <w:p w14:paraId="0635460F" w14:textId="519F195F" w:rsidR="00D922EB" w:rsidRDefault="006325FB" w:rsidP="006A58D9">
      <w:pPr>
        <w:pStyle w:val="COMTablefooter"/>
        <w:keepNext/>
        <w:rPr>
          <w:i/>
        </w:rPr>
      </w:pPr>
      <w:r>
        <w:rPr>
          <w:i/>
          <w:vertAlign w:val="superscript"/>
        </w:rPr>
        <w:t>7</w:t>
      </w:r>
      <w:r>
        <w:rPr>
          <w:i/>
        </w:rPr>
        <w:t xml:space="preserve"> </w:t>
      </w:r>
      <w:r w:rsidR="008E7778" w:rsidRPr="008E7778">
        <w:rPr>
          <w:i/>
        </w:rPr>
        <w:t>$300 million to &lt; $400 million</w:t>
      </w:r>
    </w:p>
    <w:p w14:paraId="6AF3B3B8" w14:textId="3965AADA" w:rsidR="00A943E4" w:rsidRDefault="00A943E4" w:rsidP="006A58D9">
      <w:pPr>
        <w:pStyle w:val="COMTablefooter"/>
        <w:keepNext/>
        <w:rPr>
          <w:i/>
        </w:rPr>
      </w:pPr>
      <w:r>
        <w:rPr>
          <w:i/>
          <w:vertAlign w:val="superscript"/>
        </w:rPr>
        <w:t>8</w:t>
      </w:r>
      <w:r>
        <w:rPr>
          <w:i/>
        </w:rPr>
        <w:t xml:space="preserve"> </w:t>
      </w:r>
      <w:r w:rsidRPr="00A943E4">
        <w:rPr>
          <w:i/>
        </w:rPr>
        <w:t>$400 million to &lt; $500 million</w:t>
      </w:r>
    </w:p>
    <w:p w14:paraId="5FE77C97" w14:textId="144BD180" w:rsidR="00472CE1" w:rsidRDefault="00472CE1" w:rsidP="006A58D9">
      <w:pPr>
        <w:pStyle w:val="COMTablefooter"/>
        <w:keepNext/>
        <w:rPr>
          <w:i/>
        </w:rPr>
      </w:pPr>
      <w:r>
        <w:rPr>
          <w:i/>
          <w:vertAlign w:val="superscript"/>
        </w:rPr>
        <w:t>9</w:t>
      </w:r>
      <w:r>
        <w:rPr>
          <w:i/>
        </w:rPr>
        <w:t xml:space="preserve"> </w:t>
      </w:r>
      <w:bookmarkStart w:id="78" w:name="_Hlk218767535"/>
      <w:r w:rsidR="009B6C4B">
        <w:rPr>
          <w:i/>
        </w:rPr>
        <w:t xml:space="preserve">net cost saving </w:t>
      </w:r>
    </w:p>
    <w:p w14:paraId="553317D1" w14:textId="381B2C18" w:rsidR="00F65B39" w:rsidRDefault="00F65B39" w:rsidP="006A58D9">
      <w:pPr>
        <w:pStyle w:val="COMTablefooter"/>
        <w:keepNext/>
        <w:rPr>
          <w:i/>
        </w:rPr>
      </w:pPr>
      <w:r>
        <w:rPr>
          <w:i/>
          <w:vertAlign w:val="superscript"/>
        </w:rPr>
        <w:t>10</w:t>
      </w:r>
      <w:r>
        <w:rPr>
          <w:i/>
        </w:rPr>
        <w:t xml:space="preserve"> </w:t>
      </w:r>
      <w:r w:rsidR="001B4371" w:rsidRPr="001B4371">
        <w:rPr>
          <w:i/>
        </w:rPr>
        <w:t>$20 million to &lt; $30 million</w:t>
      </w:r>
    </w:p>
    <w:p w14:paraId="5A494E2F" w14:textId="1EE23E39" w:rsidR="006D2F3F" w:rsidRDefault="006D2F3F" w:rsidP="006A58D9">
      <w:pPr>
        <w:pStyle w:val="COMTablefooter"/>
        <w:keepNext/>
        <w:rPr>
          <w:i/>
        </w:rPr>
      </w:pPr>
      <w:r>
        <w:rPr>
          <w:i/>
          <w:vertAlign w:val="superscript"/>
        </w:rPr>
        <w:t>11</w:t>
      </w:r>
      <w:r>
        <w:rPr>
          <w:i/>
        </w:rPr>
        <w:t xml:space="preserve"> </w:t>
      </w:r>
      <w:bookmarkStart w:id="79" w:name="_Hlk218768648"/>
      <w:r w:rsidRPr="006D2F3F">
        <w:rPr>
          <w:i/>
        </w:rPr>
        <w:t>$60 million to &lt; $70 million</w:t>
      </w:r>
      <w:bookmarkEnd w:id="79"/>
    </w:p>
    <w:p w14:paraId="253B2BE4" w14:textId="483E5FFD" w:rsidR="00472CE1" w:rsidRPr="00D922EB" w:rsidRDefault="00BD5093" w:rsidP="006A58D9">
      <w:pPr>
        <w:pStyle w:val="COMTablefooter"/>
        <w:keepNext/>
        <w:rPr>
          <w:i/>
        </w:rPr>
      </w:pPr>
      <w:r>
        <w:rPr>
          <w:i/>
          <w:vertAlign w:val="superscript"/>
        </w:rPr>
        <w:t>12</w:t>
      </w:r>
      <w:r>
        <w:rPr>
          <w:i/>
        </w:rPr>
        <w:t xml:space="preserve"> </w:t>
      </w:r>
      <w:r w:rsidR="00125D4C" w:rsidRPr="00125D4C">
        <w:rPr>
          <w:i/>
        </w:rPr>
        <w:t>$90 million to &lt; $100 million</w:t>
      </w:r>
      <w:bookmarkEnd w:id="78"/>
    </w:p>
    <w:p w14:paraId="0B5A56CE" w14:textId="44CD6B6A" w:rsidR="00AA553F" w:rsidRPr="005A57D7" w:rsidRDefault="00AA553F" w:rsidP="00AA553F">
      <w:pPr>
        <w:pStyle w:val="COMTablefooter"/>
      </w:pPr>
    </w:p>
    <w:p w14:paraId="23C0E119" w14:textId="746FA379" w:rsidR="00AA553F" w:rsidRPr="002B0839" w:rsidRDefault="00AA553F" w:rsidP="002B0839">
      <w:pPr>
        <w:pStyle w:val="COMESnumberedpara"/>
      </w:pPr>
      <w:r w:rsidRPr="002B0839">
        <w:t xml:space="preserve">The submission estimated a net saving to the PBS/RPBS/MBS of </w:t>
      </w:r>
      <w:r w:rsidR="000C62FE" w:rsidRPr="000C62FE">
        <w:t>$20 million to &lt; $30 million</w:t>
      </w:r>
      <w:r w:rsidRPr="002B0839">
        <w:t xml:space="preserve"> in Year 1 (this was due to an error in the duration of treatment attributed to daratumumab in Year 1), and a net cost of </w:t>
      </w:r>
      <w:r w:rsidR="000C62FE" w:rsidRPr="000C62FE">
        <w:t>$20 million to &lt; $30 million</w:t>
      </w:r>
      <w:r w:rsidRPr="002B0839">
        <w:t xml:space="preserve"> in Year 2, increasing to a net cost of </w:t>
      </w:r>
      <w:r w:rsidR="00812DD4" w:rsidRPr="00812DD4">
        <w:t>$100 million to &lt; $200 million</w:t>
      </w:r>
      <w:r w:rsidRPr="002B0839">
        <w:t xml:space="preserve"> in Year 6. The estimated net cost over the initial 6 years of listing was </w:t>
      </w:r>
      <w:r w:rsidR="0019128E" w:rsidRPr="0019128E">
        <w:t>$400 million to &lt; $500 million</w:t>
      </w:r>
      <w:r w:rsidRPr="002B0839">
        <w:t xml:space="preserve">. </w:t>
      </w:r>
    </w:p>
    <w:p w14:paraId="398841C4" w14:textId="34DFDF0E" w:rsidR="00AA553F" w:rsidRPr="002B0839" w:rsidRDefault="00AA553F" w:rsidP="002B0839">
      <w:pPr>
        <w:pStyle w:val="COMESnumberedpara"/>
      </w:pPr>
      <w:r w:rsidRPr="002B0839">
        <w:lastRenderedPageBreak/>
        <w:t xml:space="preserve">The estimated net cost to the PBS/RPBS was considered uncertain </w:t>
      </w:r>
      <w:r w:rsidR="00B61D79" w:rsidRPr="002B0839">
        <w:t xml:space="preserve">by the DUSC </w:t>
      </w:r>
      <w:r w:rsidRPr="002B0839">
        <w:t>due to the following reasons:</w:t>
      </w:r>
    </w:p>
    <w:p w14:paraId="3B4FD332" w14:textId="57A78B6A" w:rsidR="00AA553F" w:rsidRPr="009A7688" w:rsidRDefault="00AA553F" w:rsidP="00A21B01">
      <w:pPr>
        <w:pStyle w:val="ListParagraph"/>
        <w:numPr>
          <w:ilvl w:val="0"/>
          <w:numId w:val="9"/>
        </w:numPr>
        <w:spacing w:after="0"/>
        <w:ind w:left="1083" w:hanging="357"/>
        <w:contextualSpacing/>
        <w:jc w:val="both"/>
      </w:pPr>
      <w:r w:rsidRPr="002B0839">
        <w:t xml:space="preserve">There was limited information provided regarding the methodology used to identify the prevalent patients receiving first line therapy, based on an analysis of 10% PBS sample data, and it </w:t>
      </w:r>
      <w:r w:rsidR="00B61D79" w:rsidRPr="002B0839">
        <w:t xml:space="preserve">was </w:t>
      </w:r>
      <w:r w:rsidRPr="002B0839">
        <w:t>unclear whether the analysis identified all first line multiple myeloma patients. Additionally, it is unclear whether the 10% Medicare sample analysis appropriately identified transplant eligible/ineligible patients</w:t>
      </w:r>
      <w:r w:rsidRPr="009A7688">
        <w:t>.</w:t>
      </w:r>
      <w:r w:rsidR="00A63EF0" w:rsidRPr="009A7688">
        <w:t xml:space="preserve"> </w:t>
      </w:r>
      <w:r w:rsidR="00A63EF0" w:rsidRPr="009A7688">
        <w:rPr>
          <w:color w:val="000000" w:themeColor="text1"/>
        </w:rPr>
        <w:t xml:space="preserve">The PSCR provided additional details on the methodology for the analysis of 10% PBS sample data. The DUSC considered that </w:t>
      </w:r>
      <w:r w:rsidR="00BB5DB6">
        <w:rPr>
          <w:color w:val="000000" w:themeColor="text1"/>
        </w:rPr>
        <w:t xml:space="preserve">rather than </w:t>
      </w:r>
      <w:r w:rsidR="003C2CAA">
        <w:rPr>
          <w:color w:val="000000" w:themeColor="text1"/>
        </w:rPr>
        <w:t xml:space="preserve">a combined epidemiological/market share approach, a standard </w:t>
      </w:r>
      <w:r w:rsidR="00A63EF0" w:rsidRPr="009A7688">
        <w:rPr>
          <w:color w:val="000000" w:themeColor="text1"/>
        </w:rPr>
        <w:t>market share approach</w:t>
      </w:r>
      <w:r w:rsidR="00AE0B8C">
        <w:rPr>
          <w:color w:val="000000" w:themeColor="text1"/>
        </w:rPr>
        <w:t>,</w:t>
      </w:r>
      <w:r w:rsidR="00A63EF0" w:rsidRPr="009A7688">
        <w:rPr>
          <w:color w:val="000000" w:themeColor="text1"/>
        </w:rPr>
        <w:t xml:space="preserve"> </w:t>
      </w:r>
      <w:r w:rsidR="009325D7">
        <w:rPr>
          <w:color w:val="000000" w:themeColor="text1"/>
        </w:rPr>
        <w:t>accounting for increased survival,</w:t>
      </w:r>
      <w:r w:rsidR="00F36A9A">
        <w:rPr>
          <w:color w:val="000000" w:themeColor="text1"/>
        </w:rPr>
        <w:t xml:space="preserve"> would </w:t>
      </w:r>
      <w:r w:rsidR="00A63EF0" w:rsidRPr="009A7688">
        <w:rPr>
          <w:color w:val="000000" w:themeColor="text1"/>
        </w:rPr>
        <w:t>have provided more accurate estimates of the initial population</w:t>
      </w:r>
      <w:r w:rsidR="002C398E">
        <w:rPr>
          <w:color w:val="000000" w:themeColor="text1"/>
        </w:rPr>
        <w:t xml:space="preserve"> as the submission </w:t>
      </w:r>
      <w:r w:rsidR="009325D7">
        <w:rPr>
          <w:color w:val="000000" w:themeColor="text1"/>
        </w:rPr>
        <w:t>assume</w:t>
      </w:r>
      <w:r w:rsidR="00E57893">
        <w:rPr>
          <w:color w:val="000000" w:themeColor="text1"/>
        </w:rPr>
        <w:t>d</w:t>
      </w:r>
      <w:r w:rsidR="009325D7">
        <w:rPr>
          <w:color w:val="000000" w:themeColor="text1"/>
        </w:rPr>
        <w:t xml:space="preserve"> that BmBd will replace DBd</w:t>
      </w:r>
      <w:r w:rsidR="001509E1" w:rsidRPr="009A7688">
        <w:rPr>
          <w:color w:val="000000" w:themeColor="text1"/>
        </w:rPr>
        <w:t xml:space="preserve">. </w:t>
      </w:r>
    </w:p>
    <w:p w14:paraId="0065FA96" w14:textId="6869F281" w:rsidR="00AA553F" w:rsidRPr="002B0839" w:rsidRDefault="00E809DE" w:rsidP="0039282D">
      <w:pPr>
        <w:pStyle w:val="COMESbulletlist"/>
        <w:spacing w:after="0"/>
        <w:ind w:left="1080"/>
      </w:pPr>
      <w:r>
        <w:t>T</w:t>
      </w:r>
      <w:r w:rsidR="00AA553F" w:rsidRPr="002B0839">
        <w:t xml:space="preserve">he approach used to derive the utilisation and financial estimates for belantamab mafodotin was complex, and it </w:t>
      </w:r>
      <w:r>
        <w:t xml:space="preserve">remained </w:t>
      </w:r>
      <w:r w:rsidR="00AA553F" w:rsidRPr="002B0839">
        <w:t>unclear whether the separate derivation of 100 mg and 70 mg vial costs with markups applied on a proportional basis was reasonable.</w:t>
      </w:r>
    </w:p>
    <w:p w14:paraId="58506C47" w14:textId="42875BC3" w:rsidR="009A7688" w:rsidRPr="005117C0" w:rsidRDefault="00AA553F" w:rsidP="00A21B01">
      <w:pPr>
        <w:pStyle w:val="ListParagraph"/>
        <w:numPr>
          <w:ilvl w:val="0"/>
          <w:numId w:val="9"/>
        </w:numPr>
        <w:spacing w:after="0"/>
        <w:ind w:left="1080"/>
        <w:contextualSpacing/>
        <w:jc w:val="both"/>
      </w:pPr>
      <w:r w:rsidRPr="005117C0">
        <w:t>The assumed uptake rates were considered uncertain. While the DREAMM-7 trial demonstrated improvements in progression-free survival and overall survival for BmBd versus DBd, treatment with BmBd was associated with high rates of ocular adverse events, including blurred vision. The high rates of ocular adverse events may reduce the uptake of belantamab mafodotin given the potential impacts on activities of daily living and driving, particularly among older patients.</w:t>
      </w:r>
      <w:r w:rsidR="009A7688" w:rsidRPr="005117C0">
        <w:t xml:space="preserve"> The DUSC considered</w:t>
      </w:r>
      <w:r w:rsidR="000F4259" w:rsidRPr="005117C0">
        <w:t xml:space="preserve"> </w:t>
      </w:r>
      <w:r w:rsidR="009A7688" w:rsidRPr="005117C0">
        <w:t xml:space="preserve">that the assumptions around prescriber and patient willingness to use </w:t>
      </w:r>
      <w:r w:rsidR="000F4259" w:rsidRPr="005117C0">
        <w:t>BmBd</w:t>
      </w:r>
      <w:r w:rsidR="009A7688" w:rsidRPr="005117C0">
        <w:t xml:space="preserve"> due to toxicities </w:t>
      </w:r>
      <w:r w:rsidR="000F4259" w:rsidRPr="005117C0">
        <w:t xml:space="preserve">was </w:t>
      </w:r>
      <w:r w:rsidR="009A7688" w:rsidRPr="005117C0">
        <w:t>unclear.</w:t>
      </w:r>
    </w:p>
    <w:p w14:paraId="70E929E9" w14:textId="43593CD3" w:rsidR="00AA553F" w:rsidRPr="00103F8E" w:rsidRDefault="00AA553F" w:rsidP="00A21B01">
      <w:pPr>
        <w:pStyle w:val="ListParagraph"/>
        <w:numPr>
          <w:ilvl w:val="0"/>
          <w:numId w:val="9"/>
        </w:numPr>
        <w:spacing w:after="0"/>
        <w:ind w:left="1080"/>
        <w:contextualSpacing/>
        <w:jc w:val="both"/>
      </w:pPr>
      <w:r w:rsidRPr="00103F8E">
        <w:t>No patients experiencing death or disease progression were removed from the prevalent pool in 2025, resulting in an overestimation of the prevalent population in Year 1 of listing (which carried over into subsequent years). A proportion of patients experiencing disease progression in 2025 would represent grandfathered patients.</w:t>
      </w:r>
      <w:r w:rsidR="00E965A2" w:rsidRPr="00103F8E">
        <w:t xml:space="preserve"> The PSCR noted that as the prevalent population in 2025 was projected from earlier years (2020-2024, PBS 10% sample), this cohort already accounts for disease progression and death. The 2025 value was then projected using progression/death rates to discern the number of progressing patients. </w:t>
      </w:r>
    </w:p>
    <w:p w14:paraId="3DB3EF2B" w14:textId="2DD57B47" w:rsidR="005117C0" w:rsidRDefault="00AA553F" w:rsidP="0039282D">
      <w:pPr>
        <w:pStyle w:val="COMESbulletlist"/>
        <w:spacing w:after="0"/>
        <w:ind w:left="1080"/>
      </w:pPr>
      <w:r w:rsidRPr="00103F8E">
        <w:t xml:space="preserve">Costs associated with monitoring and management of eye toxicity are likely to be substantially higher in clinical practice given the frequency of eye related adverse events among patients in the DREAMM-7 trial. Additionally, </w:t>
      </w:r>
      <w:r w:rsidR="007B61C4" w:rsidRPr="00103F8E">
        <w:t xml:space="preserve">there are likely to be additional costs to the PBS associated with eye drops. The draft product information for belantamab mafodotin recommends that patients should administer preservative-free artificial tears at least 4 times a day beginning on the first day of infusion and continuing until completion of treatment, as this may reduce ocular symptoms. </w:t>
      </w:r>
      <w:r w:rsidR="005117C0" w:rsidRPr="00103F8E">
        <w:t xml:space="preserve">The PSCR stated that the ocular events observed in DREAMM-7 were predictable, manageable, and reversible with appropriate dose modifications (including delays, interruptions, or reductions) and follow-up, with ocular effects unlikely to be progressive and can be effectively mitigated in clinical </w:t>
      </w:r>
      <w:r w:rsidR="005117C0" w:rsidRPr="00103F8E">
        <w:lastRenderedPageBreak/>
        <w:t>practice. The DUSC considered the care required to monitor and treat the ocular toxicities will be complex and require the optimal coordination between haematologists, ophthalmologists/ optometrists, and general practitioners to identify and manage any toxic side effects and that this will need to form part of any quality use of medicine activities.</w:t>
      </w:r>
    </w:p>
    <w:p w14:paraId="35A3A677" w14:textId="6F7D24F6" w:rsidR="00C746B3" w:rsidRPr="00103F8E" w:rsidRDefault="00C746B3" w:rsidP="00C746B3">
      <w:pPr>
        <w:pStyle w:val="COMESnumberedpara"/>
      </w:pPr>
      <w:r>
        <w:t>The pre-PBAC response presented revised financial estimates which</w:t>
      </w:r>
      <w:r w:rsidR="009E0208">
        <w:t xml:space="preserve"> corrected the duration of daratumumab in Year 1 and</w:t>
      </w:r>
      <w:r>
        <w:t xml:space="preserve"> </w:t>
      </w:r>
      <w:r w:rsidR="00E809DE">
        <w:t>applied</w:t>
      </w:r>
      <w:r>
        <w:t xml:space="preserve"> a lower death rate</w:t>
      </w:r>
      <w:r w:rsidR="00CC0697">
        <w:t>, lower uptake rates in Years 1 to 3 and treatment costs based on the ITT population</w:t>
      </w:r>
      <w:r w:rsidR="00346B65">
        <w:t xml:space="preserve">. This resulted in a net cost to the PBS/RPBS over the first 6 years of listing of </w:t>
      </w:r>
      <w:r w:rsidR="00EA1AD9" w:rsidRPr="00EA1AD9">
        <w:t>$40 million to &lt; $50 million</w:t>
      </w:r>
      <w:r w:rsidR="005267FD">
        <w:t>.</w:t>
      </w:r>
    </w:p>
    <w:p w14:paraId="2238DEE9" w14:textId="21808D2C" w:rsidR="00576972" w:rsidRPr="00512D7B" w:rsidRDefault="00576972" w:rsidP="00606FBA">
      <w:pPr>
        <w:pStyle w:val="COMESSubsectionheading"/>
        <w:rPr>
          <w:color w:val="auto"/>
        </w:rPr>
      </w:pPr>
      <w:r w:rsidRPr="00512D7B">
        <w:rPr>
          <w:color w:val="auto"/>
        </w:rPr>
        <w:t>Quality Use of Medicines</w:t>
      </w:r>
      <w:bookmarkEnd w:id="71"/>
      <w:bookmarkEnd w:id="72"/>
    </w:p>
    <w:p w14:paraId="52947436" w14:textId="77777777" w:rsidR="006712E4" w:rsidRPr="00512D7B" w:rsidRDefault="006712E4" w:rsidP="006712E4">
      <w:pPr>
        <w:pStyle w:val="COMESnumberedpara"/>
      </w:pPr>
      <w:r w:rsidRPr="00512D7B">
        <w:t>The submission listed the following activities to support the quality use of medicines:</w:t>
      </w:r>
    </w:p>
    <w:p w14:paraId="2364DD07" w14:textId="77777777" w:rsidR="006712E4" w:rsidRPr="00512D7B" w:rsidRDefault="006712E4" w:rsidP="006712E4">
      <w:pPr>
        <w:pStyle w:val="COMESbulletlist"/>
        <w:spacing w:after="0"/>
      </w:pPr>
      <w:r w:rsidRPr="00512D7B">
        <w:t>Medical education for health care professionals, including peer to peer medical education, nurse education, a myeloma clinical education workshop, and formation of a team providing education for eye care professionals.</w:t>
      </w:r>
    </w:p>
    <w:p w14:paraId="12238731" w14:textId="4D7BD9F1" w:rsidR="006712E4" w:rsidRPr="00512D7B" w:rsidRDefault="006712E4" w:rsidP="006712E4">
      <w:pPr>
        <w:pStyle w:val="COMESbulletlist"/>
        <w:spacing w:after="0"/>
      </w:pPr>
      <w:r w:rsidRPr="00512D7B">
        <w:t>Support materials for health care professionals, including an ophthalmic examination guide and findings materials, an eye-related side effects guide for health care professionals, and local guidelines on dosing and management of ocular adverse events for haematologists and eye care professionals.</w:t>
      </w:r>
    </w:p>
    <w:p w14:paraId="780623B0" w14:textId="77777777" w:rsidR="006712E4" w:rsidRPr="00512D7B" w:rsidRDefault="006712E4" w:rsidP="006712E4">
      <w:pPr>
        <w:pStyle w:val="COMESbulletlist"/>
        <w:spacing w:after="0"/>
      </w:pPr>
      <w:r w:rsidRPr="00512D7B">
        <w:t>Support materials for patients, including a patient wallet card and an eye-related side effects guide.</w:t>
      </w:r>
    </w:p>
    <w:p w14:paraId="1E93FC51" w14:textId="77777777" w:rsidR="006712E4" w:rsidRPr="00512D7B" w:rsidRDefault="006712E4" w:rsidP="006712E4">
      <w:pPr>
        <w:pStyle w:val="COMESbulletlist"/>
        <w:spacing w:after="0"/>
      </w:pPr>
      <w:r w:rsidRPr="00512D7B">
        <w:t>Support of patient organisations, including consultation with Myeloma Australia, sponsorship of patient advocacy groups for educational activities, and delivery of a patient education workshop.</w:t>
      </w:r>
    </w:p>
    <w:p w14:paraId="2E438020" w14:textId="77777777" w:rsidR="006712E4" w:rsidRPr="00512D7B" w:rsidRDefault="006712E4" w:rsidP="006712E4">
      <w:pPr>
        <w:pStyle w:val="COMESbulletlist"/>
        <w:spacing w:after="0"/>
      </w:pPr>
      <w:r w:rsidRPr="00512D7B">
        <w:t>General quality use of medicines activities, including sponsorship of key clinical groups/societies, and inclusion of a black triangle on the belantamab mafodotin product information and consumer medicines information.</w:t>
      </w:r>
    </w:p>
    <w:p w14:paraId="6E971726" w14:textId="77777777" w:rsidR="006712E4" w:rsidRPr="00512D7B" w:rsidRDefault="006712E4" w:rsidP="006712E4">
      <w:pPr>
        <w:pStyle w:val="COMESbulletlist"/>
        <w:spacing w:after="0"/>
      </w:pPr>
      <w:r w:rsidRPr="00512D7B">
        <w:t>Consumer market research to understand multiple myeloma.</w:t>
      </w:r>
    </w:p>
    <w:p w14:paraId="3560109B" w14:textId="77777777" w:rsidR="006712E4" w:rsidRPr="00512D7B" w:rsidRDefault="006712E4" w:rsidP="006712E4">
      <w:pPr>
        <w:pStyle w:val="COMESbulletlist"/>
      </w:pPr>
      <w:r w:rsidRPr="00512D7B">
        <w:t>Disease awareness communications, including via myeloma peak bodies.</w:t>
      </w:r>
    </w:p>
    <w:p w14:paraId="7D230910" w14:textId="7A7CA716" w:rsidR="00B66D6A" w:rsidRDefault="00B66D6A" w:rsidP="00B66D6A">
      <w:pPr>
        <w:pStyle w:val="COMESnumberedpara"/>
      </w:pPr>
      <w:r w:rsidRPr="00AC3F7C">
        <w:t xml:space="preserve">Treatment with belantamab mafodotin is associated with high rates of ocular adverse events, with potential impacts on reading, driving and other activities of daily living. Patients receiving treatment will require access to eye care professionals for monitoring and management of ocular side effects. </w:t>
      </w:r>
      <w:r w:rsidR="00086F02" w:rsidRPr="00AC3F7C">
        <w:t xml:space="preserve">The PSCR stated that patients receiving BmBd treatment would be predominantly managed by optometrists but noted that serious ocular events (such as corneal ulcers) may require ophthalmologist consultation. </w:t>
      </w:r>
      <w:r w:rsidR="005C3B9A" w:rsidRPr="007F1E8B">
        <w:t xml:space="preserve">The DUSC </w:t>
      </w:r>
      <w:r w:rsidR="007F1E8B" w:rsidRPr="007F1E8B">
        <w:t xml:space="preserve">considered </w:t>
      </w:r>
      <w:r w:rsidR="005C3B9A" w:rsidRPr="007F1E8B">
        <w:t xml:space="preserve">that the management of the ocular toxicity will be complex and involve the coordinated effort of a multidisciplinary care team in both the hospital and community settings, and that patients may have difficulty accessing ophthalmologist/optometrist at the recommended appointment frequencies. </w:t>
      </w:r>
      <w:r w:rsidR="00086F02" w:rsidRPr="00AC3F7C">
        <w:t xml:space="preserve">The ESC noted that </w:t>
      </w:r>
      <w:r w:rsidR="0084268C" w:rsidRPr="00AC3F7C">
        <w:t>the proportion of patients who will be managed by optometrists versus ophthalmologists was unclear</w:t>
      </w:r>
      <w:r w:rsidR="008A663D" w:rsidRPr="00AC3F7C">
        <w:t>. Costs associated with ophthalmologist attendances are likely to be higher than those associated with opto</w:t>
      </w:r>
      <w:r w:rsidR="005F68C6" w:rsidRPr="00AC3F7C">
        <w:t>metrist attendances.</w:t>
      </w:r>
    </w:p>
    <w:p w14:paraId="6015A395" w14:textId="28F2A1B5" w:rsidR="00576972" w:rsidRPr="00512D7B" w:rsidRDefault="00576972" w:rsidP="00606FBA">
      <w:pPr>
        <w:pStyle w:val="COMESSubsectionheading"/>
        <w:rPr>
          <w:color w:val="auto"/>
        </w:rPr>
      </w:pPr>
      <w:bookmarkStart w:id="80" w:name="_Toc22897649"/>
      <w:bookmarkStart w:id="81" w:name="_Toc208839498"/>
      <w:r w:rsidRPr="00512D7B">
        <w:rPr>
          <w:color w:val="auto"/>
        </w:rPr>
        <w:lastRenderedPageBreak/>
        <w:t>Financial Management – Risk Sharing Arrangements</w:t>
      </w:r>
      <w:bookmarkEnd w:id="80"/>
      <w:bookmarkEnd w:id="81"/>
    </w:p>
    <w:p w14:paraId="5ADF89E9" w14:textId="1C03ECBC" w:rsidR="006712E4" w:rsidRPr="00AC3F7C" w:rsidRDefault="006712E4" w:rsidP="006712E4">
      <w:pPr>
        <w:pStyle w:val="COMESnumberedpara"/>
      </w:pPr>
      <w:r w:rsidRPr="00AC3F7C">
        <w:t xml:space="preserve">The submission noted that a risk-sharing arrangement </w:t>
      </w:r>
      <w:r w:rsidR="00E809DE" w:rsidRPr="00AC3F7C">
        <w:t xml:space="preserve">based on agreed budget impact estimates </w:t>
      </w:r>
      <w:r w:rsidR="00E809DE">
        <w:t>would</w:t>
      </w:r>
      <w:r w:rsidR="00E809DE" w:rsidRPr="00AC3F7C">
        <w:t xml:space="preserve"> </w:t>
      </w:r>
      <w:r w:rsidRPr="00AC3F7C">
        <w:t>be required for the PBS listing of belantamab mafodotin.  The submission stated that utilisation beyond the expenditure cap would be associated with an alternative rebate level that is yet to be determined.</w:t>
      </w:r>
    </w:p>
    <w:p w14:paraId="24DB3197" w14:textId="64A57A3F" w:rsidR="00FC5512" w:rsidRPr="00AC3F7C" w:rsidRDefault="00FC5512" w:rsidP="00E809DE">
      <w:pPr>
        <w:pStyle w:val="COMESnumberedpara"/>
        <w:numPr>
          <w:ilvl w:val="0"/>
          <w:numId w:val="0"/>
        </w:numPr>
        <w:ind w:left="720"/>
      </w:pPr>
      <w:bookmarkStart w:id="82" w:name="_Toc208839500"/>
      <w:r w:rsidRPr="00FC5512">
        <w:rPr>
          <w:i/>
          <w:iCs/>
        </w:rPr>
        <w:t>For more detail on PBAC’s view, see section 7 PBAC outcome.</w:t>
      </w:r>
    </w:p>
    <w:p w14:paraId="26DAAA7F" w14:textId="77777777" w:rsidR="00FD547A" w:rsidRPr="0090150D" w:rsidRDefault="00FD547A" w:rsidP="00FD547A">
      <w:pPr>
        <w:pStyle w:val="2-SectionHeading"/>
        <w:numPr>
          <w:ilvl w:val="0"/>
          <w:numId w:val="1"/>
        </w:numPr>
      </w:pPr>
      <w:bookmarkStart w:id="83" w:name="_Hlk76381249"/>
      <w:r w:rsidRPr="0090150D">
        <w:t>PBAC Outcome</w:t>
      </w:r>
    </w:p>
    <w:p w14:paraId="453D9367" w14:textId="3B4FAFFC" w:rsidR="00D1548D" w:rsidRDefault="00FD547A" w:rsidP="00FD547A">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sidR="004D4174">
        <w:rPr>
          <w:rFonts w:asciiTheme="minorHAnsi" w:hAnsiTheme="minorHAnsi"/>
          <w:snapToGrid w:val="0"/>
          <w:lang w:val="en-GB"/>
        </w:rPr>
        <w:t xml:space="preserve"> belantamab mafodotin, in combination with bortezomib and dexamethasone (</w:t>
      </w:r>
      <w:proofErr w:type="spellStart"/>
      <w:r w:rsidR="004D4174">
        <w:rPr>
          <w:rFonts w:asciiTheme="minorHAnsi" w:hAnsiTheme="minorHAnsi"/>
          <w:snapToGrid w:val="0"/>
          <w:lang w:val="en-GB"/>
        </w:rPr>
        <w:t>BmBd</w:t>
      </w:r>
      <w:proofErr w:type="spellEnd"/>
      <w:r w:rsidR="004D4174">
        <w:rPr>
          <w:rFonts w:asciiTheme="minorHAnsi" w:hAnsiTheme="minorHAnsi"/>
          <w:snapToGrid w:val="0"/>
          <w:lang w:val="en-GB"/>
        </w:rPr>
        <w:t>), for the treatment of relapsed and/or refractory multiple myeloma (RRMM) after one prior line of therapy.</w:t>
      </w:r>
      <w:r w:rsidR="00E9245E">
        <w:rPr>
          <w:rFonts w:asciiTheme="minorHAnsi" w:hAnsiTheme="minorHAnsi"/>
          <w:snapToGrid w:val="0"/>
          <w:lang w:val="en-GB"/>
        </w:rPr>
        <w:t xml:space="preserve"> The PBAC considered that a broader listing for use in the wider RRMM setting, rather than just the second-line setting would be more appropriate. The PBAC noted that the trial evidence suggested that </w:t>
      </w:r>
      <w:proofErr w:type="spellStart"/>
      <w:r w:rsidR="00E9245E">
        <w:rPr>
          <w:rFonts w:asciiTheme="minorHAnsi" w:hAnsiTheme="minorHAnsi"/>
          <w:snapToGrid w:val="0"/>
          <w:lang w:val="en-GB"/>
        </w:rPr>
        <w:t>BmBd</w:t>
      </w:r>
      <w:proofErr w:type="spellEnd"/>
      <w:r w:rsidR="00E9245E">
        <w:rPr>
          <w:rFonts w:asciiTheme="minorHAnsi" w:hAnsiTheme="minorHAnsi"/>
          <w:snapToGrid w:val="0"/>
          <w:lang w:val="en-GB"/>
        </w:rPr>
        <w:t xml:space="preserve"> was associated with benefits in terms of progression free survival </w:t>
      </w:r>
      <w:r w:rsidR="001C5562">
        <w:rPr>
          <w:rFonts w:asciiTheme="minorHAnsi" w:hAnsiTheme="minorHAnsi"/>
          <w:snapToGrid w:val="0"/>
          <w:lang w:val="en-GB"/>
        </w:rPr>
        <w:t>and overall survival compared to the comparator</w:t>
      </w:r>
      <w:r w:rsidR="00543519">
        <w:rPr>
          <w:rFonts w:asciiTheme="minorHAnsi" w:hAnsiTheme="minorHAnsi"/>
          <w:snapToGrid w:val="0"/>
          <w:lang w:val="en-GB"/>
        </w:rPr>
        <w:t xml:space="preserve"> in the second line setting</w:t>
      </w:r>
      <w:r w:rsidR="001C5562">
        <w:rPr>
          <w:rFonts w:asciiTheme="minorHAnsi" w:hAnsiTheme="minorHAnsi"/>
          <w:snapToGrid w:val="0"/>
          <w:lang w:val="en-GB"/>
        </w:rPr>
        <w:t>, daratumumab in combination with bortezomib and dexamethasone (</w:t>
      </w:r>
      <w:proofErr w:type="spellStart"/>
      <w:r w:rsidR="001C5562">
        <w:rPr>
          <w:rFonts w:asciiTheme="minorHAnsi" w:hAnsiTheme="minorHAnsi"/>
          <w:snapToGrid w:val="0"/>
          <w:lang w:val="en-GB"/>
        </w:rPr>
        <w:t>DBd</w:t>
      </w:r>
      <w:proofErr w:type="spellEnd"/>
      <w:r w:rsidR="00172F09">
        <w:rPr>
          <w:rFonts w:asciiTheme="minorHAnsi" w:hAnsiTheme="minorHAnsi"/>
          <w:snapToGrid w:val="0"/>
          <w:lang w:val="en-GB"/>
        </w:rPr>
        <w:t xml:space="preserve">), but were concerned about the </w:t>
      </w:r>
      <w:r w:rsidR="00461249">
        <w:rPr>
          <w:rFonts w:asciiTheme="minorHAnsi" w:hAnsiTheme="minorHAnsi"/>
          <w:snapToGrid w:val="0"/>
          <w:lang w:val="en-GB"/>
        </w:rPr>
        <w:t xml:space="preserve">adverse events associated with </w:t>
      </w:r>
      <w:proofErr w:type="spellStart"/>
      <w:r w:rsidR="00461249">
        <w:rPr>
          <w:rFonts w:asciiTheme="minorHAnsi" w:hAnsiTheme="minorHAnsi"/>
          <w:snapToGrid w:val="0"/>
          <w:lang w:val="en-GB"/>
        </w:rPr>
        <w:t>BmBd</w:t>
      </w:r>
      <w:proofErr w:type="spellEnd"/>
      <w:r w:rsidR="00461249">
        <w:rPr>
          <w:rFonts w:asciiTheme="minorHAnsi" w:hAnsiTheme="minorHAnsi"/>
          <w:snapToGrid w:val="0"/>
          <w:lang w:val="en-GB"/>
        </w:rPr>
        <w:t xml:space="preserve">. </w:t>
      </w:r>
      <w:r w:rsidR="003244B8">
        <w:rPr>
          <w:rFonts w:asciiTheme="minorHAnsi" w:hAnsiTheme="minorHAnsi"/>
          <w:snapToGrid w:val="0"/>
          <w:lang w:val="en-GB"/>
        </w:rPr>
        <w:t>T</w:t>
      </w:r>
      <w:r w:rsidR="00461249">
        <w:rPr>
          <w:rFonts w:asciiTheme="minorHAnsi" w:hAnsiTheme="minorHAnsi"/>
          <w:snapToGrid w:val="0"/>
          <w:lang w:val="en-GB"/>
        </w:rPr>
        <w:t xml:space="preserve">he PBAC </w:t>
      </w:r>
      <w:r w:rsidR="009376A8">
        <w:rPr>
          <w:rFonts w:asciiTheme="minorHAnsi" w:hAnsiTheme="minorHAnsi"/>
          <w:snapToGrid w:val="0"/>
          <w:lang w:val="en-GB"/>
        </w:rPr>
        <w:t>considered that the dose modifications required to address the high rates of ocular toxicity</w:t>
      </w:r>
      <w:r w:rsidR="003244B8">
        <w:rPr>
          <w:rFonts w:asciiTheme="minorHAnsi" w:hAnsiTheme="minorHAnsi"/>
          <w:snapToGrid w:val="0"/>
          <w:lang w:val="en-GB"/>
        </w:rPr>
        <w:t xml:space="preserve"> and the recent listing of daratumumab, in combination with lenalidomide and dexamethasone (</w:t>
      </w:r>
      <w:proofErr w:type="spellStart"/>
      <w:r w:rsidR="003244B8">
        <w:rPr>
          <w:rFonts w:asciiTheme="minorHAnsi" w:hAnsiTheme="minorHAnsi"/>
          <w:snapToGrid w:val="0"/>
          <w:lang w:val="en-GB"/>
        </w:rPr>
        <w:t>DLd</w:t>
      </w:r>
      <w:proofErr w:type="spellEnd"/>
      <w:r w:rsidR="003244B8">
        <w:rPr>
          <w:rFonts w:asciiTheme="minorHAnsi" w:hAnsiTheme="minorHAnsi"/>
          <w:snapToGrid w:val="0"/>
          <w:lang w:val="en-GB"/>
        </w:rPr>
        <w:t>), in the first line setting</w:t>
      </w:r>
      <w:r w:rsidR="00D1548D">
        <w:rPr>
          <w:rFonts w:asciiTheme="minorHAnsi" w:hAnsiTheme="minorHAnsi"/>
          <w:snapToGrid w:val="0"/>
          <w:lang w:val="en-GB"/>
        </w:rPr>
        <w:t xml:space="preserve"> could affect the eff</w:t>
      </w:r>
      <w:r w:rsidR="00E61EFD">
        <w:rPr>
          <w:rFonts w:asciiTheme="minorHAnsi" w:hAnsiTheme="minorHAnsi"/>
          <w:snapToGrid w:val="0"/>
          <w:lang w:val="en-GB"/>
        </w:rPr>
        <w:t>ectiveness</w:t>
      </w:r>
      <w:r w:rsidR="00D1548D">
        <w:rPr>
          <w:rFonts w:asciiTheme="minorHAnsi" w:hAnsiTheme="minorHAnsi"/>
          <w:snapToGrid w:val="0"/>
          <w:lang w:val="en-GB"/>
        </w:rPr>
        <w:t xml:space="preserve"> of </w:t>
      </w:r>
      <w:proofErr w:type="spellStart"/>
      <w:r w:rsidR="00D1548D">
        <w:rPr>
          <w:rFonts w:asciiTheme="minorHAnsi" w:hAnsiTheme="minorHAnsi"/>
          <w:snapToGrid w:val="0"/>
          <w:lang w:val="en-GB"/>
        </w:rPr>
        <w:t>BmBd</w:t>
      </w:r>
      <w:proofErr w:type="spellEnd"/>
      <w:r w:rsidR="00D1548D">
        <w:rPr>
          <w:rFonts w:asciiTheme="minorHAnsi" w:hAnsiTheme="minorHAnsi"/>
          <w:snapToGrid w:val="0"/>
          <w:lang w:val="en-GB"/>
        </w:rPr>
        <w:t xml:space="preserve"> in clinical practice. The PBAC also considered that the incremental cost-effectiveness ratio (ICER) and financial estimates presented in the submission were high.</w:t>
      </w:r>
    </w:p>
    <w:p w14:paraId="5F089126" w14:textId="41614404" w:rsidR="00AA5242" w:rsidRPr="008B62B2" w:rsidRDefault="00AA5242"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primary reason for this outcome was the proposed place in therapy.</w:t>
      </w:r>
      <w:r w:rsidR="00523682">
        <w:rPr>
          <w:rFonts w:asciiTheme="minorHAnsi" w:hAnsiTheme="minorHAnsi"/>
          <w:snapToGrid w:val="0"/>
          <w:lang w:val="en-GB"/>
        </w:rPr>
        <w:t xml:space="preserve"> </w:t>
      </w:r>
      <w:r w:rsidR="00523682" w:rsidRPr="00AC3F7C">
        <w:t xml:space="preserve">The </w:t>
      </w:r>
      <w:r w:rsidR="00523682">
        <w:t>PBAC</w:t>
      </w:r>
      <w:r w:rsidR="00523682" w:rsidRPr="00AC3F7C">
        <w:t xml:space="preserve"> </w:t>
      </w:r>
      <w:r w:rsidR="00523682">
        <w:t>noted t</w:t>
      </w:r>
      <w:r w:rsidR="00523682" w:rsidRPr="00AC3F7C">
        <w:t>hat restricting BmBd to the second line setting did not align with the clinical trial</w:t>
      </w:r>
      <w:r w:rsidR="00486786">
        <w:t xml:space="preserve"> or </w:t>
      </w:r>
      <w:r w:rsidR="00523682" w:rsidRPr="00AC3F7C">
        <w:t>with how clinicians would like to use MM therapies. The Multiple Myeloma Stakeholder meeting (July 2025)</w:t>
      </w:r>
      <w:r w:rsidR="00523682" w:rsidRPr="00AC3F7C">
        <w:rPr>
          <w:rStyle w:val="FootnoteReference"/>
        </w:rPr>
        <w:footnoteReference w:id="20"/>
      </w:r>
      <w:r w:rsidR="00523682" w:rsidRPr="00AC3F7C">
        <w:t xml:space="preserve"> advised that treatment sequencing could be improved if determined by prior drug exposure rather than lines of therapy and that optimal care was an individualised approach. The </w:t>
      </w:r>
      <w:r w:rsidR="00970A70">
        <w:t>PBAC</w:t>
      </w:r>
      <w:r w:rsidR="00523682" w:rsidRPr="00AC3F7C">
        <w:t xml:space="preserve"> </w:t>
      </w:r>
      <w:r w:rsidR="00A13C6B">
        <w:t xml:space="preserve">considered </w:t>
      </w:r>
      <w:r w:rsidR="008B62B2">
        <w:t xml:space="preserve">that the </w:t>
      </w:r>
      <w:r w:rsidR="00523682" w:rsidRPr="00AC3F7C">
        <w:t xml:space="preserve">listing BmBd as a second line treatment </w:t>
      </w:r>
      <w:r w:rsidR="008B62B2">
        <w:t xml:space="preserve">only </w:t>
      </w:r>
      <w:r w:rsidR="00523682" w:rsidRPr="00AC3F7C">
        <w:t xml:space="preserve">would restrict patient access not only to BmBd, but to other therapies (i.e., daratumumab and other BCMA-directed therapies). The </w:t>
      </w:r>
      <w:r w:rsidR="008B62B2">
        <w:t>PBAC</w:t>
      </w:r>
      <w:r w:rsidR="00523682" w:rsidRPr="00AC3F7C">
        <w:t xml:space="preserve"> also noted feedback from health professionals via the consumer comments portal which </w:t>
      </w:r>
      <w:r w:rsidR="008B62B2">
        <w:t xml:space="preserve">stated </w:t>
      </w:r>
      <w:r w:rsidR="00523682" w:rsidRPr="00AC3F7C">
        <w:t xml:space="preserve">that restricting BmBd to the second line setting would make the treatment choice scenario in first relapse significantly worse and that flexibility in when these medications are used is needed. The </w:t>
      </w:r>
      <w:r w:rsidR="008B62B2">
        <w:t xml:space="preserve">PBAC </w:t>
      </w:r>
      <w:r w:rsidR="00523682" w:rsidRPr="00AC3F7C">
        <w:t xml:space="preserve">considered that </w:t>
      </w:r>
      <w:r w:rsidR="00523682" w:rsidRPr="00AC3F7C">
        <w:lastRenderedPageBreak/>
        <w:t>BmBd should be listed for the treatment of RRMM (consistent with the proposed TGA indication) to allow physician discretion as to when</w:t>
      </w:r>
      <w:r w:rsidR="008D3986">
        <w:t xml:space="preserve"> in the clinical pathway</w:t>
      </w:r>
      <w:r w:rsidR="00523682" w:rsidRPr="00AC3F7C">
        <w:t xml:space="preserve"> it is used.</w:t>
      </w:r>
    </w:p>
    <w:p w14:paraId="088157F7" w14:textId="6617E086" w:rsidR="008B62B2" w:rsidRDefault="00184CAD" w:rsidP="00FD547A">
      <w:pPr>
        <w:widowControl w:val="0"/>
        <w:numPr>
          <w:ilvl w:val="1"/>
          <w:numId w:val="1"/>
        </w:numPr>
        <w:spacing w:after="120"/>
        <w:rPr>
          <w:rFonts w:asciiTheme="minorHAnsi" w:hAnsiTheme="minorHAnsi"/>
          <w:snapToGrid w:val="0"/>
          <w:lang w:val="en-GB"/>
        </w:rPr>
      </w:pPr>
      <w:bookmarkStart w:id="84" w:name="_Ref215493759"/>
      <w:r>
        <w:rPr>
          <w:rFonts w:asciiTheme="minorHAnsi" w:hAnsiTheme="minorHAnsi"/>
          <w:snapToGrid w:val="0"/>
          <w:lang w:val="en-GB"/>
        </w:rPr>
        <w:t>For the proposed second-line listing</w:t>
      </w:r>
      <w:r w:rsidR="000820C6">
        <w:rPr>
          <w:rFonts w:asciiTheme="minorHAnsi" w:hAnsiTheme="minorHAnsi"/>
          <w:snapToGrid w:val="0"/>
          <w:lang w:val="en-GB"/>
        </w:rPr>
        <w:t xml:space="preserve">, the PBAC considered that the nomination of </w:t>
      </w:r>
      <w:proofErr w:type="spellStart"/>
      <w:r w:rsidR="000820C6">
        <w:rPr>
          <w:rFonts w:asciiTheme="minorHAnsi" w:hAnsiTheme="minorHAnsi"/>
          <w:snapToGrid w:val="0"/>
          <w:lang w:val="en-GB"/>
        </w:rPr>
        <w:t>DBd</w:t>
      </w:r>
      <w:proofErr w:type="spellEnd"/>
      <w:r w:rsidR="000820C6">
        <w:rPr>
          <w:rFonts w:asciiTheme="minorHAnsi" w:hAnsiTheme="minorHAnsi"/>
          <w:snapToGrid w:val="0"/>
          <w:lang w:val="en-GB"/>
        </w:rPr>
        <w:t xml:space="preserve"> as the comparator was appropriate. </w:t>
      </w:r>
      <w:r w:rsidR="008160A5">
        <w:rPr>
          <w:rFonts w:asciiTheme="minorHAnsi" w:hAnsiTheme="minorHAnsi"/>
          <w:snapToGrid w:val="0"/>
          <w:lang w:val="en-GB"/>
        </w:rPr>
        <w:t xml:space="preserve">The PBAC noted that </w:t>
      </w:r>
      <w:r w:rsidR="00A411AF">
        <w:rPr>
          <w:rFonts w:asciiTheme="minorHAnsi" w:hAnsiTheme="minorHAnsi"/>
          <w:snapToGrid w:val="0"/>
          <w:lang w:val="en-GB"/>
        </w:rPr>
        <w:t xml:space="preserve">as </w:t>
      </w:r>
      <w:proofErr w:type="spellStart"/>
      <w:r w:rsidR="008160A5">
        <w:rPr>
          <w:rFonts w:asciiTheme="minorHAnsi" w:hAnsiTheme="minorHAnsi"/>
          <w:snapToGrid w:val="0"/>
          <w:lang w:val="en-GB"/>
        </w:rPr>
        <w:t>DLd</w:t>
      </w:r>
      <w:proofErr w:type="spellEnd"/>
      <w:r w:rsidR="008160A5">
        <w:rPr>
          <w:rFonts w:asciiTheme="minorHAnsi" w:hAnsiTheme="minorHAnsi"/>
          <w:snapToGrid w:val="0"/>
          <w:lang w:val="en-GB"/>
        </w:rPr>
        <w:t xml:space="preserve"> was recently PBS listed for use in the first line settin</w:t>
      </w:r>
      <w:r w:rsidR="00E05BEB">
        <w:rPr>
          <w:rFonts w:asciiTheme="minorHAnsi" w:hAnsiTheme="minorHAnsi"/>
          <w:snapToGrid w:val="0"/>
          <w:lang w:val="en-GB"/>
        </w:rPr>
        <w:t>g</w:t>
      </w:r>
      <w:r w:rsidR="000350EE">
        <w:rPr>
          <w:rFonts w:asciiTheme="minorHAnsi" w:hAnsiTheme="minorHAnsi"/>
          <w:snapToGrid w:val="0"/>
          <w:lang w:val="en-GB"/>
        </w:rPr>
        <w:t xml:space="preserve"> for transplant ineligible patients</w:t>
      </w:r>
      <w:r w:rsidR="00E05BEB">
        <w:rPr>
          <w:rFonts w:asciiTheme="minorHAnsi" w:hAnsiTheme="minorHAnsi"/>
          <w:snapToGrid w:val="0"/>
          <w:lang w:val="en-GB"/>
        </w:rPr>
        <w:t xml:space="preserve">, </w:t>
      </w:r>
      <w:r w:rsidR="00A411AF">
        <w:rPr>
          <w:rFonts w:asciiTheme="minorHAnsi" w:hAnsiTheme="minorHAnsi"/>
          <w:snapToGrid w:val="0"/>
          <w:lang w:val="en-GB"/>
        </w:rPr>
        <w:t>the</w:t>
      </w:r>
      <w:r w:rsidR="00E05BEB">
        <w:rPr>
          <w:rFonts w:asciiTheme="minorHAnsi" w:hAnsiTheme="minorHAnsi"/>
          <w:snapToGrid w:val="0"/>
          <w:lang w:val="en-GB"/>
        </w:rPr>
        <w:t xml:space="preserve"> use of </w:t>
      </w:r>
      <w:proofErr w:type="spellStart"/>
      <w:r w:rsidR="00E05BEB">
        <w:rPr>
          <w:rFonts w:asciiTheme="minorHAnsi" w:hAnsiTheme="minorHAnsi"/>
          <w:snapToGrid w:val="0"/>
          <w:lang w:val="en-GB"/>
        </w:rPr>
        <w:t>DBd</w:t>
      </w:r>
      <w:proofErr w:type="spellEnd"/>
      <w:r w:rsidR="00E05BEB">
        <w:rPr>
          <w:rFonts w:asciiTheme="minorHAnsi" w:hAnsiTheme="minorHAnsi"/>
          <w:snapToGrid w:val="0"/>
          <w:lang w:val="en-GB"/>
        </w:rPr>
        <w:t xml:space="preserve"> in the second-line setting </w:t>
      </w:r>
      <w:r w:rsidR="000350EE">
        <w:rPr>
          <w:rFonts w:asciiTheme="minorHAnsi" w:hAnsiTheme="minorHAnsi"/>
          <w:snapToGrid w:val="0"/>
          <w:lang w:val="en-GB"/>
        </w:rPr>
        <w:t xml:space="preserve">will </w:t>
      </w:r>
      <w:r w:rsidR="001A62CE">
        <w:rPr>
          <w:rFonts w:asciiTheme="minorHAnsi" w:hAnsiTheme="minorHAnsi"/>
          <w:snapToGrid w:val="0"/>
          <w:lang w:val="en-GB"/>
        </w:rPr>
        <w:t xml:space="preserve">likely </w:t>
      </w:r>
      <w:r w:rsidR="00E05BEB">
        <w:rPr>
          <w:rFonts w:asciiTheme="minorHAnsi" w:hAnsiTheme="minorHAnsi"/>
          <w:snapToGrid w:val="0"/>
          <w:lang w:val="en-GB"/>
        </w:rPr>
        <w:t>reduce</w:t>
      </w:r>
      <w:r w:rsidR="00A37B5B">
        <w:rPr>
          <w:rFonts w:asciiTheme="minorHAnsi" w:hAnsiTheme="minorHAnsi"/>
          <w:snapToGrid w:val="0"/>
          <w:lang w:val="en-GB"/>
        </w:rPr>
        <w:t xml:space="preserve"> </w:t>
      </w:r>
      <w:r w:rsidR="007564E0">
        <w:rPr>
          <w:rFonts w:asciiTheme="minorHAnsi" w:hAnsiTheme="minorHAnsi"/>
          <w:snapToGrid w:val="0"/>
          <w:lang w:val="en-GB"/>
        </w:rPr>
        <w:t xml:space="preserve">but considered that </w:t>
      </w:r>
      <w:r w:rsidR="001A62CE">
        <w:rPr>
          <w:rFonts w:asciiTheme="minorHAnsi" w:hAnsiTheme="minorHAnsi"/>
          <w:snapToGrid w:val="0"/>
          <w:lang w:val="en-GB"/>
        </w:rPr>
        <w:t xml:space="preserve">it would take </w:t>
      </w:r>
      <w:proofErr w:type="gramStart"/>
      <w:r w:rsidR="001A62CE">
        <w:rPr>
          <w:rFonts w:asciiTheme="minorHAnsi" w:hAnsiTheme="minorHAnsi"/>
          <w:snapToGrid w:val="0"/>
          <w:lang w:val="en-GB"/>
        </w:rPr>
        <w:t>a number of</w:t>
      </w:r>
      <w:proofErr w:type="gramEnd"/>
      <w:r w:rsidR="001A62CE">
        <w:rPr>
          <w:rFonts w:asciiTheme="minorHAnsi" w:hAnsiTheme="minorHAnsi"/>
          <w:snapToGrid w:val="0"/>
          <w:lang w:val="en-GB"/>
        </w:rPr>
        <w:t xml:space="preserve"> years for this </w:t>
      </w:r>
      <w:r w:rsidR="007564E0">
        <w:rPr>
          <w:rFonts w:asciiTheme="minorHAnsi" w:hAnsiTheme="minorHAnsi"/>
          <w:snapToGrid w:val="0"/>
          <w:lang w:val="en-GB"/>
        </w:rPr>
        <w:t xml:space="preserve">change </w:t>
      </w:r>
      <w:r w:rsidR="001A62CE">
        <w:rPr>
          <w:rFonts w:asciiTheme="minorHAnsi" w:hAnsiTheme="minorHAnsi"/>
          <w:snapToGrid w:val="0"/>
          <w:lang w:val="en-GB"/>
        </w:rPr>
        <w:t>to affect the prevalent patient population. T</w:t>
      </w:r>
      <w:r w:rsidR="000820C6">
        <w:rPr>
          <w:rFonts w:asciiTheme="minorHAnsi" w:hAnsiTheme="minorHAnsi"/>
          <w:snapToGrid w:val="0"/>
          <w:lang w:val="en-GB"/>
        </w:rPr>
        <w:t xml:space="preserve">he PBAC </w:t>
      </w:r>
      <w:r w:rsidR="001A62CE">
        <w:rPr>
          <w:rFonts w:asciiTheme="minorHAnsi" w:hAnsiTheme="minorHAnsi"/>
          <w:snapToGrid w:val="0"/>
          <w:lang w:val="en-GB"/>
        </w:rPr>
        <w:t xml:space="preserve">also </w:t>
      </w:r>
      <w:r w:rsidR="00486786">
        <w:rPr>
          <w:rFonts w:asciiTheme="minorHAnsi" w:hAnsiTheme="minorHAnsi"/>
          <w:snapToGrid w:val="0"/>
          <w:lang w:val="en-GB"/>
        </w:rPr>
        <w:t>advised</w:t>
      </w:r>
      <w:r w:rsidR="00EC4DA1">
        <w:rPr>
          <w:rFonts w:asciiTheme="minorHAnsi" w:hAnsiTheme="minorHAnsi"/>
          <w:snapToGrid w:val="0"/>
          <w:lang w:val="en-GB"/>
        </w:rPr>
        <w:t xml:space="preserve"> that </w:t>
      </w:r>
      <w:r w:rsidR="00804005">
        <w:rPr>
          <w:rFonts w:asciiTheme="minorHAnsi" w:hAnsiTheme="minorHAnsi"/>
          <w:snapToGrid w:val="0"/>
          <w:lang w:val="en-GB"/>
        </w:rPr>
        <w:t>if it were to consider a broader RRMM listing, a mixed comparator that consi</w:t>
      </w:r>
      <w:r w:rsidR="00EC4DA1">
        <w:rPr>
          <w:rFonts w:asciiTheme="minorHAnsi" w:hAnsiTheme="minorHAnsi"/>
          <w:snapToGrid w:val="0"/>
          <w:lang w:val="en-GB"/>
        </w:rPr>
        <w:t>sted</w:t>
      </w:r>
      <w:r w:rsidR="00804005">
        <w:rPr>
          <w:rFonts w:asciiTheme="minorHAnsi" w:hAnsiTheme="minorHAnsi"/>
          <w:snapToGrid w:val="0"/>
          <w:lang w:val="en-GB"/>
        </w:rPr>
        <w:t xml:space="preserve"> of </w:t>
      </w:r>
      <w:r w:rsidR="00EC4DA1">
        <w:rPr>
          <w:rFonts w:asciiTheme="minorHAnsi" w:hAnsiTheme="minorHAnsi"/>
          <w:snapToGrid w:val="0"/>
          <w:lang w:val="en-GB"/>
        </w:rPr>
        <w:t>daratumumab</w:t>
      </w:r>
      <w:r w:rsidR="00804005">
        <w:rPr>
          <w:rFonts w:asciiTheme="minorHAnsi" w:hAnsiTheme="minorHAnsi"/>
          <w:snapToGrid w:val="0"/>
          <w:lang w:val="en-GB"/>
        </w:rPr>
        <w:t xml:space="preserve">, carfilzomib, </w:t>
      </w:r>
      <w:r w:rsidR="00C41F09">
        <w:rPr>
          <w:rFonts w:asciiTheme="minorHAnsi" w:hAnsiTheme="minorHAnsi"/>
          <w:snapToGrid w:val="0"/>
          <w:lang w:val="en-GB"/>
        </w:rPr>
        <w:t>pomalidomide, selinexor and elotuzumab would be reasonable.</w:t>
      </w:r>
      <w:bookmarkEnd w:id="84"/>
    </w:p>
    <w:p w14:paraId="51CED6DC" w14:textId="63A8FB37" w:rsidR="00C41F09" w:rsidRDefault="00C41F09"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was based </w:t>
      </w:r>
      <w:r w:rsidR="00F32640">
        <w:rPr>
          <w:rFonts w:asciiTheme="minorHAnsi" w:hAnsiTheme="minorHAnsi"/>
          <w:snapToGrid w:val="0"/>
          <w:lang w:val="en-GB"/>
        </w:rPr>
        <w:t>the DREAMM-</w:t>
      </w:r>
      <w:r w:rsidR="00A411AF">
        <w:rPr>
          <w:rFonts w:asciiTheme="minorHAnsi" w:hAnsiTheme="minorHAnsi"/>
          <w:snapToGrid w:val="0"/>
          <w:lang w:val="en-GB"/>
        </w:rPr>
        <w:t>7</w:t>
      </w:r>
      <w:r w:rsidR="00F32640">
        <w:rPr>
          <w:rFonts w:asciiTheme="minorHAnsi" w:hAnsiTheme="minorHAnsi"/>
          <w:snapToGrid w:val="0"/>
          <w:lang w:val="en-GB"/>
        </w:rPr>
        <w:t xml:space="preserve"> trial, which was </w:t>
      </w:r>
      <w:r>
        <w:rPr>
          <w:rFonts w:asciiTheme="minorHAnsi" w:hAnsiTheme="minorHAnsi"/>
          <w:snapToGrid w:val="0"/>
          <w:lang w:val="en-GB"/>
        </w:rPr>
        <w:t xml:space="preserve">a </w:t>
      </w:r>
      <w:r w:rsidR="00F32640">
        <w:rPr>
          <w:rFonts w:asciiTheme="minorHAnsi" w:hAnsiTheme="minorHAnsi"/>
          <w:snapToGrid w:val="0"/>
          <w:lang w:val="en-GB"/>
        </w:rPr>
        <w:t xml:space="preserve">randomised trial comparing </w:t>
      </w:r>
      <w:proofErr w:type="spellStart"/>
      <w:r w:rsidR="00F32640">
        <w:rPr>
          <w:rFonts w:asciiTheme="minorHAnsi" w:hAnsiTheme="minorHAnsi"/>
          <w:snapToGrid w:val="0"/>
          <w:lang w:val="en-GB"/>
        </w:rPr>
        <w:t>BmBd</w:t>
      </w:r>
      <w:proofErr w:type="spellEnd"/>
      <w:r w:rsidR="00F32640">
        <w:rPr>
          <w:rFonts w:asciiTheme="minorHAnsi" w:hAnsiTheme="minorHAnsi"/>
          <w:snapToGrid w:val="0"/>
          <w:lang w:val="en-GB"/>
        </w:rPr>
        <w:t xml:space="preserve"> with </w:t>
      </w:r>
      <w:proofErr w:type="spellStart"/>
      <w:r w:rsidR="00F32640">
        <w:rPr>
          <w:rFonts w:asciiTheme="minorHAnsi" w:hAnsiTheme="minorHAnsi"/>
          <w:snapToGrid w:val="0"/>
          <w:lang w:val="en-GB"/>
        </w:rPr>
        <w:t>DBd</w:t>
      </w:r>
      <w:proofErr w:type="spellEnd"/>
      <w:r w:rsidR="00F32640">
        <w:rPr>
          <w:rFonts w:asciiTheme="minorHAnsi" w:hAnsiTheme="minorHAnsi"/>
          <w:snapToGrid w:val="0"/>
          <w:lang w:val="en-GB"/>
        </w:rPr>
        <w:t xml:space="preserve"> in patients who had received at least one prior line of therapy</w:t>
      </w:r>
      <w:r w:rsidR="007B07D1">
        <w:rPr>
          <w:rFonts w:asciiTheme="minorHAnsi" w:hAnsiTheme="minorHAnsi"/>
          <w:snapToGrid w:val="0"/>
          <w:lang w:val="en-GB"/>
        </w:rPr>
        <w:t xml:space="preserve">. The PBAC noted that the </w:t>
      </w:r>
      <w:r w:rsidR="00F84157">
        <w:rPr>
          <w:rFonts w:asciiTheme="minorHAnsi" w:hAnsiTheme="minorHAnsi"/>
          <w:snapToGrid w:val="0"/>
          <w:lang w:val="en-GB"/>
        </w:rPr>
        <w:t xml:space="preserve">economic evaluation and financial estimates </w:t>
      </w:r>
      <w:r w:rsidR="00CF5A8D">
        <w:rPr>
          <w:rFonts w:asciiTheme="minorHAnsi" w:hAnsiTheme="minorHAnsi"/>
          <w:snapToGrid w:val="0"/>
          <w:lang w:val="en-GB"/>
        </w:rPr>
        <w:t xml:space="preserve">were based on the results of </w:t>
      </w:r>
      <w:r w:rsidR="00F84157">
        <w:rPr>
          <w:rFonts w:asciiTheme="minorHAnsi" w:hAnsiTheme="minorHAnsi"/>
          <w:snapToGrid w:val="0"/>
          <w:lang w:val="en-GB"/>
        </w:rPr>
        <w:t>a subgroup of patients who had received lenalidomide in any prior line of therapy</w:t>
      </w:r>
      <w:r w:rsidR="003D2927">
        <w:rPr>
          <w:rFonts w:asciiTheme="minorHAnsi" w:hAnsiTheme="minorHAnsi"/>
          <w:snapToGrid w:val="0"/>
          <w:lang w:val="en-GB"/>
        </w:rPr>
        <w:t xml:space="preserve">. The PBAC considered that the </w:t>
      </w:r>
      <w:r w:rsidR="00491299">
        <w:rPr>
          <w:rFonts w:asciiTheme="minorHAnsi" w:hAnsiTheme="minorHAnsi"/>
          <w:snapToGrid w:val="0"/>
          <w:lang w:val="en-GB"/>
        </w:rPr>
        <w:t xml:space="preserve">use of the </w:t>
      </w:r>
      <w:r w:rsidR="003D2927">
        <w:rPr>
          <w:rFonts w:asciiTheme="minorHAnsi" w:hAnsiTheme="minorHAnsi"/>
          <w:snapToGrid w:val="0"/>
          <w:lang w:val="en-GB"/>
        </w:rPr>
        <w:t xml:space="preserve">intention to treat (ITT) population would have been </w:t>
      </w:r>
      <w:r w:rsidR="00491299">
        <w:rPr>
          <w:rFonts w:asciiTheme="minorHAnsi" w:hAnsiTheme="minorHAnsi"/>
          <w:snapToGrid w:val="0"/>
          <w:lang w:val="en-GB"/>
        </w:rPr>
        <w:t xml:space="preserve">more </w:t>
      </w:r>
      <w:r w:rsidR="00294E47">
        <w:rPr>
          <w:rFonts w:asciiTheme="minorHAnsi" w:hAnsiTheme="minorHAnsi"/>
          <w:snapToGrid w:val="0"/>
          <w:lang w:val="en-GB"/>
        </w:rPr>
        <w:t>robust</w:t>
      </w:r>
      <w:r w:rsidR="00491299">
        <w:rPr>
          <w:rFonts w:asciiTheme="minorHAnsi" w:hAnsiTheme="minorHAnsi"/>
          <w:snapToGrid w:val="0"/>
          <w:lang w:val="en-GB"/>
        </w:rPr>
        <w:t xml:space="preserve"> as</w:t>
      </w:r>
      <w:r w:rsidR="00580D9D">
        <w:rPr>
          <w:rFonts w:asciiTheme="minorHAnsi" w:hAnsiTheme="minorHAnsi"/>
          <w:snapToGrid w:val="0"/>
          <w:lang w:val="en-GB"/>
        </w:rPr>
        <w:t xml:space="preserve"> although the </w:t>
      </w:r>
      <w:r w:rsidR="00A16738">
        <w:rPr>
          <w:rFonts w:asciiTheme="minorHAnsi" w:hAnsiTheme="minorHAnsi"/>
          <w:snapToGrid w:val="0"/>
          <w:lang w:val="en-GB"/>
        </w:rPr>
        <w:t>majority of first-line therapy in Australia includes lenalidomide,</w:t>
      </w:r>
      <w:r w:rsidR="00491299">
        <w:rPr>
          <w:rFonts w:asciiTheme="minorHAnsi" w:hAnsiTheme="minorHAnsi"/>
          <w:snapToGrid w:val="0"/>
          <w:lang w:val="en-GB"/>
        </w:rPr>
        <w:t xml:space="preserve"> </w:t>
      </w:r>
      <w:r w:rsidR="00BF677D">
        <w:rPr>
          <w:rFonts w:asciiTheme="minorHAnsi" w:hAnsiTheme="minorHAnsi"/>
          <w:snapToGrid w:val="0"/>
          <w:lang w:val="en-GB"/>
        </w:rPr>
        <w:t xml:space="preserve">the lenalidomide-exposed subgroup did not </w:t>
      </w:r>
      <w:r w:rsidR="002E5D41">
        <w:rPr>
          <w:rFonts w:asciiTheme="minorHAnsi" w:hAnsiTheme="minorHAnsi"/>
          <w:snapToGrid w:val="0"/>
          <w:lang w:val="en-GB"/>
        </w:rPr>
        <w:t xml:space="preserve">reflect the proposed second-line population in terms of prior lines of therapy (67% of patients had received more than </w:t>
      </w:r>
      <w:r w:rsidR="00AF4A5D">
        <w:rPr>
          <w:rFonts w:asciiTheme="minorHAnsi" w:hAnsiTheme="minorHAnsi"/>
          <w:snapToGrid w:val="0"/>
          <w:lang w:val="en-GB"/>
        </w:rPr>
        <w:t>one</w:t>
      </w:r>
      <w:r w:rsidR="002E5D41">
        <w:rPr>
          <w:rFonts w:asciiTheme="minorHAnsi" w:hAnsiTheme="minorHAnsi"/>
          <w:snapToGrid w:val="0"/>
          <w:lang w:val="en-GB"/>
        </w:rPr>
        <w:t xml:space="preserve"> prior line of therapy</w:t>
      </w:r>
      <w:r w:rsidR="00486786">
        <w:rPr>
          <w:rFonts w:asciiTheme="minorHAnsi" w:hAnsiTheme="minorHAnsi"/>
          <w:snapToGrid w:val="0"/>
          <w:lang w:val="en-GB"/>
        </w:rPr>
        <w:t>)</w:t>
      </w:r>
      <w:r w:rsidR="004833B0">
        <w:rPr>
          <w:rFonts w:asciiTheme="minorHAnsi" w:hAnsiTheme="minorHAnsi"/>
          <w:snapToGrid w:val="0"/>
          <w:lang w:val="en-GB"/>
        </w:rPr>
        <w:t>.</w:t>
      </w:r>
    </w:p>
    <w:p w14:paraId="43A6C17F" w14:textId="66C5E4E2" w:rsidR="00294E47" w:rsidRDefault="00690118"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In terms of effectiveness, the PBAC noted that the results of the DREAMM-7 trial</w:t>
      </w:r>
      <w:r w:rsidR="00DD2ACF">
        <w:rPr>
          <w:rFonts w:asciiTheme="minorHAnsi" w:hAnsiTheme="minorHAnsi"/>
          <w:snapToGrid w:val="0"/>
          <w:lang w:val="en-GB"/>
        </w:rPr>
        <w:t xml:space="preserve"> supported the claim that </w:t>
      </w:r>
      <w:proofErr w:type="spellStart"/>
      <w:r w:rsidR="00DD2ACF">
        <w:rPr>
          <w:rFonts w:asciiTheme="minorHAnsi" w:hAnsiTheme="minorHAnsi"/>
          <w:snapToGrid w:val="0"/>
          <w:lang w:val="en-GB"/>
        </w:rPr>
        <w:t>BmBd</w:t>
      </w:r>
      <w:proofErr w:type="spellEnd"/>
      <w:r w:rsidR="00DD2ACF">
        <w:rPr>
          <w:rFonts w:asciiTheme="minorHAnsi" w:hAnsiTheme="minorHAnsi"/>
          <w:snapToGrid w:val="0"/>
          <w:lang w:val="en-GB"/>
        </w:rPr>
        <w:t xml:space="preserve"> was superior compared to </w:t>
      </w:r>
      <w:proofErr w:type="spellStart"/>
      <w:r w:rsidR="00DD2ACF">
        <w:rPr>
          <w:rFonts w:asciiTheme="minorHAnsi" w:hAnsiTheme="minorHAnsi"/>
          <w:snapToGrid w:val="0"/>
          <w:lang w:val="en-GB"/>
        </w:rPr>
        <w:t>DBd</w:t>
      </w:r>
      <w:proofErr w:type="spellEnd"/>
      <w:r w:rsidR="00DD2ACF">
        <w:rPr>
          <w:rFonts w:asciiTheme="minorHAnsi" w:hAnsiTheme="minorHAnsi"/>
          <w:snapToGrid w:val="0"/>
          <w:lang w:val="en-GB"/>
        </w:rPr>
        <w:t xml:space="preserve">. </w:t>
      </w:r>
      <w:proofErr w:type="spellStart"/>
      <w:r w:rsidR="00D2758C">
        <w:rPr>
          <w:rFonts w:asciiTheme="minorHAnsi" w:hAnsiTheme="minorHAnsi"/>
          <w:snapToGrid w:val="0"/>
          <w:lang w:val="en-GB"/>
        </w:rPr>
        <w:t>BmBd</w:t>
      </w:r>
      <w:proofErr w:type="spellEnd"/>
      <w:r w:rsidR="00D2758C">
        <w:rPr>
          <w:rFonts w:asciiTheme="minorHAnsi" w:hAnsiTheme="minorHAnsi"/>
          <w:snapToGrid w:val="0"/>
          <w:lang w:val="en-GB"/>
        </w:rPr>
        <w:t xml:space="preserve"> was associated with </w:t>
      </w:r>
      <w:r w:rsidR="00C85A5E">
        <w:rPr>
          <w:rFonts w:asciiTheme="minorHAnsi" w:hAnsiTheme="minorHAnsi"/>
          <w:snapToGrid w:val="0"/>
          <w:lang w:val="en-GB"/>
        </w:rPr>
        <w:t>statistical</w:t>
      </w:r>
      <w:r w:rsidR="0020330B">
        <w:rPr>
          <w:rFonts w:asciiTheme="minorHAnsi" w:hAnsiTheme="minorHAnsi"/>
          <w:snapToGrid w:val="0"/>
          <w:lang w:val="en-GB"/>
        </w:rPr>
        <w:t>ly significant</w:t>
      </w:r>
      <w:r w:rsidR="00C85A5E">
        <w:rPr>
          <w:rFonts w:asciiTheme="minorHAnsi" w:hAnsiTheme="minorHAnsi"/>
          <w:snapToGrid w:val="0"/>
          <w:lang w:val="en-GB"/>
        </w:rPr>
        <w:t xml:space="preserve"> </w:t>
      </w:r>
      <w:r w:rsidR="00D2758C">
        <w:rPr>
          <w:rFonts w:asciiTheme="minorHAnsi" w:hAnsiTheme="minorHAnsi"/>
          <w:snapToGrid w:val="0"/>
          <w:lang w:val="en-GB"/>
        </w:rPr>
        <w:t xml:space="preserve">improvement over </w:t>
      </w:r>
      <w:proofErr w:type="spellStart"/>
      <w:r w:rsidR="00D2758C">
        <w:rPr>
          <w:rFonts w:asciiTheme="minorHAnsi" w:hAnsiTheme="minorHAnsi"/>
          <w:snapToGrid w:val="0"/>
          <w:lang w:val="en-GB"/>
        </w:rPr>
        <w:t>DBd</w:t>
      </w:r>
      <w:proofErr w:type="spellEnd"/>
      <w:r w:rsidR="000F3742">
        <w:rPr>
          <w:rFonts w:asciiTheme="minorHAnsi" w:hAnsiTheme="minorHAnsi"/>
          <w:snapToGrid w:val="0"/>
          <w:lang w:val="en-GB"/>
        </w:rPr>
        <w:t xml:space="preserve"> in progression-free survival </w:t>
      </w:r>
      <w:r w:rsidR="009B5834">
        <w:rPr>
          <w:rFonts w:asciiTheme="minorHAnsi" w:hAnsiTheme="minorHAnsi"/>
          <w:snapToGrid w:val="0"/>
          <w:lang w:val="en-GB"/>
        </w:rPr>
        <w:t xml:space="preserve">in the ITT </w:t>
      </w:r>
      <w:r w:rsidR="00A411AF">
        <w:rPr>
          <w:rFonts w:asciiTheme="minorHAnsi" w:hAnsiTheme="minorHAnsi"/>
          <w:snapToGrid w:val="0"/>
          <w:lang w:val="en-GB"/>
        </w:rPr>
        <w:t xml:space="preserve">population </w:t>
      </w:r>
      <w:r w:rsidR="000F3742">
        <w:rPr>
          <w:rFonts w:asciiTheme="minorHAnsi" w:hAnsiTheme="minorHAnsi"/>
          <w:snapToGrid w:val="0"/>
          <w:lang w:val="en-GB"/>
        </w:rPr>
        <w:t>(HR = 0.4</w:t>
      </w:r>
      <w:r w:rsidR="00557DE2">
        <w:rPr>
          <w:rFonts w:asciiTheme="minorHAnsi" w:hAnsiTheme="minorHAnsi"/>
          <w:snapToGrid w:val="0"/>
          <w:lang w:val="en-GB"/>
        </w:rPr>
        <w:t>6</w:t>
      </w:r>
      <w:r w:rsidR="000F3742">
        <w:rPr>
          <w:rFonts w:asciiTheme="minorHAnsi" w:hAnsiTheme="minorHAnsi"/>
          <w:snapToGrid w:val="0"/>
          <w:lang w:val="en-GB"/>
        </w:rPr>
        <w:t>; 95% CI 0.3</w:t>
      </w:r>
      <w:r w:rsidR="00557DE2">
        <w:rPr>
          <w:rFonts w:asciiTheme="minorHAnsi" w:hAnsiTheme="minorHAnsi"/>
          <w:snapToGrid w:val="0"/>
          <w:lang w:val="en-GB"/>
        </w:rPr>
        <w:t>5</w:t>
      </w:r>
      <w:r w:rsidR="000F3742">
        <w:rPr>
          <w:rFonts w:asciiTheme="minorHAnsi" w:hAnsiTheme="minorHAnsi"/>
          <w:snapToGrid w:val="0"/>
          <w:lang w:val="en-GB"/>
        </w:rPr>
        <w:t>, 0.5</w:t>
      </w:r>
      <w:r w:rsidR="00557DE2">
        <w:rPr>
          <w:rFonts w:asciiTheme="minorHAnsi" w:hAnsiTheme="minorHAnsi"/>
          <w:snapToGrid w:val="0"/>
          <w:lang w:val="en-GB"/>
        </w:rPr>
        <w:t>0</w:t>
      </w:r>
      <w:r w:rsidR="009B5834">
        <w:rPr>
          <w:rFonts w:asciiTheme="minorHAnsi" w:hAnsiTheme="minorHAnsi"/>
          <w:snapToGrid w:val="0"/>
          <w:lang w:val="en-GB"/>
        </w:rPr>
        <w:t xml:space="preserve">) </w:t>
      </w:r>
      <w:r w:rsidR="00C85A5E">
        <w:rPr>
          <w:rFonts w:asciiTheme="minorHAnsi" w:hAnsiTheme="minorHAnsi"/>
          <w:snapToGrid w:val="0"/>
          <w:lang w:val="en-GB"/>
        </w:rPr>
        <w:t>after approximately 40 months follow</w:t>
      </w:r>
      <w:r w:rsidR="00B35818">
        <w:rPr>
          <w:rFonts w:asciiTheme="minorHAnsi" w:hAnsiTheme="minorHAnsi"/>
          <w:snapToGrid w:val="0"/>
          <w:lang w:val="en-GB"/>
        </w:rPr>
        <w:t>-</w:t>
      </w:r>
      <w:r w:rsidR="00C85A5E">
        <w:rPr>
          <w:rFonts w:asciiTheme="minorHAnsi" w:hAnsiTheme="minorHAnsi"/>
          <w:snapToGrid w:val="0"/>
          <w:lang w:val="en-GB"/>
        </w:rPr>
        <w:t>up</w:t>
      </w:r>
      <w:r w:rsidR="003F034B">
        <w:rPr>
          <w:rFonts w:asciiTheme="minorHAnsi" w:hAnsiTheme="minorHAnsi"/>
          <w:snapToGrid w:val="0"/>
          <w:lang w:val="en-GB"/>
        </w:rPr>
        <w:t xml:space="preserve">. </w:t>
      </w:r>
      <w:proofErr w:type="spellStart"/>
      <w:r w:rsidR="003F034B">
        <w:rPr>
          <w:rFonts w:asciiTheme="minorHAnsi" w:hAnsiTheme="minorHAnsi"/>
          <w:snapToGrid w:val="0"/>
          <w:lang w:val="en-GB"/>
        </w:rPr>
        <w:t>BmBd</w:t>
      </w:r>
      <w:proofErr w:type="spellEnd"/>
      <w:r w:rsidR="003F034B">
        <w:rPr>
          <w:rFonts w:asciiTheme="minorHAnsi" w:hAnsiTheme="minorHAnsi"/>
          <w:snapToGrid w:val="0"/>
          <w:lang w:val="en-GB"/>
        </w:rPr>
        <w:t xml:space="preserve"> was also associated with statistical</w:t>
      </w:r>
      <w:r w:rsidR="0020330B">
        <w:rPr>
          <w:rFonts w:asciiTheme="minorHAnsi" w:hAnsiTheme="minorHAnsi"/>
          <w:snapToGrid w:val="0"/>
          <w:lang w:val="en-GB"/>
        </w:rPr>
        <w:t xml:space="preserve">ly significant </w:t>
      </w:r>
      <w:r w:rsidR="003F034B">
        <w:rPr>
          <w:rFonts w:asciiTheme="minorHAnsi" w:hAnsiTheme="minorHAnsi"/>
          <w:snapToGrid w:val="0"/>
          <w:lang w:val="en-GB"/>
        </w:rPr>
        <w:t>improvement in overall survival</w:t>
      </w:r>
      <w:r w:rsidR="005B35A3">
        <w:rPr>
          <w:rFonts w:asciiTheme="minorHAnsi" w:hAnsiTheme="minorHAnsi"/>
          <w:snapToGrid w:val="0"/>
          <w:lang w:val="en-GB"/>
        </w:rPr>
        <w:t xml:space="preserve"> (HR = </w:t>
      </w:r>
      <w:r w:rsidR="002442C2">
        <w:rPr>
          <w:rFonts w:asciiTheme="minorHAnsi" w:hAnsiTheme="minorHAnsi"/>
          <w:snapToGrid w:val="0"/>
          <w:lang w:val="en-GB"/>
        </w:rPr>
        <w:t>0.58</w:t>
      </w:r>
      <w:r w:rsidR="000F7952">
        <w:rPr>
          <w:rFonts w:asciiTheme="minorHAnsi" w:hAnsiTheme="minorHAnsi"/>
          <w:snapToGrid w:val="0"/>
          <w:lang w:val="en-GB"/>
        </w:rPr>
        <w:t>; 95% CI: 0.43, 0.79)</w:t>
      </w:r>
      <w:r w:rsidR="00C85A5E">
        <w:rPr>
          <w:rFonts w:asciiTheme="minorHAnsi" w:hAnsiTheme="minorHAnsi"/>
          <w:snapToGrid w:val="0"/>
          <w:lang w:val="en-GB"/>
        </w:rPr>
        <w:t>.</w:t>
      </w:r>
    </w:p>
    <w:p w14:paraId="68B04688" w14:textId="75F04264" w:rsidR="00D02FE9" w:rsidRDefault="00FC52CF"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also accepted that claim that </w:t>
      </w:r>
      <w:proofErr w:type="spellStart"/>
      <w:r>
        <w:rPr>
          <w:rFonts w:asciiTheme="minorHAnsi" w:hAnsiTheme="minorHAnsi"/>
          <w:snapToGrid w:val="0"/>
          <w:lang w:val="en-GB"/>
        </w:rPr>
        <w:t>BmBd</w:t>
      </w:r>
      <w:proofErr w:type="spellEnd"/>
      <w:r>
        <w:rPr>
          <w:rFonts w:asciiTheme="minorHAnsi" w:hAnsiTheme="minorHAnsi"/>
          <w:snapToGrid w:val="0"/>
          <w:lang w:val="en-GB"/>
        </w:rPr>
        <w:t xml:space="preserve"> was inferior in term of safety compared to </w:t>
      </w:r>
      <w:proofErr w:type="spellStart"/>
      <w:r>
        <w:rPr>
          <w:rFonts w:asciiTheme="minorHAnsi" w:hAnsiTheme="minorHAnsi"/>
          <w:snapToGrid w:val="0"/>
          <w:lang w:val="en-GB"/>
        </w:rPr>
        <w:t>DBd</w:t>
      </w:r>
      <w:proofErr w:type="spellEnd"/>
      <w:r w:rsidR="00821CC3">
        <w:rPr>
          <w:rFonts w:asciiTheme="minorHAnsi" w:hAnsiTheme="minorHAnsi"/>
          <w:snapToGrid w:val="0"/>
          <w:lang w:val="en-GB"/>
        </w:rPr>
        <w:t xml:space="preserve"> noting that </w:t>
      </w:r>
      <w:proofErr w:type="spellStart"/>
      <w:r w:rsidR="00821CC3">
        <w:rPr>
          <w:rFonts w:asciiTheme="minorHAnsi" w:hAnsiTheme="minorHAnsi"/>
          <w:snapToGrid w:val="0"/>
          <w:lang w:val="en-GB"/>
        </w:rPr>
        <w:t>BmBd</w:t>
      </w:r>
      <w:proofErr w:type="spellEnd"/>
      <w:r w:rsidR="00821CC3">
        <w:rPr>
          <w:rFonts w:asciiTheme="minorHAnsi" w:hAnsiTheme="minorHAnsi"/>
          <w:snapToGrid w:val="0"/>
          <w:lang w:val="en-GB"/>
        </w:rPr>
        <w:t xml:space="preserve"> was associated with </w:t>
      </w:r>
      <w:r w:rsidR="007D6679">
        <w:rPr>
          <w:rFonts w:asciiTheme="minorHAnsi" w:hAnsiTheme="minorHAnsi"/>
          <w:snapToGrid w:val="0"/>
          <w:lang w:val="en-GB"/>
        </w:rPr>
        <w:t xml:space="preserve">more serious adverse events, </w:t>
      </w:r>
      <w:r w:rsidR="0030090A">
        <w:rPr>
          <w:rFonts w:asciiTheme="minorHAnsi" w:hAnsiTheme="minorHAnsi"/>
          <w:snapToGrid w:val="0"/>
          <w:lang w:val="en-GB"/>
        </w:rPr>
        <w:t>Grad</w:t>
      </w:r>
      <w:r w:rsidR="00A411AF">
        <w:rPr>
          <w:rFonts w:asciiTheme="minorHAnsi" w:hAnsiTheme="minorHAnsi"/>
          <w:snapToGrid w:val="0"/>
          <w:lang w:val="en-GB"/>
        </w:rPr>
        <w:t>e</w:t>
      </w:r>
      <w:r w:rsidR="0030090A">
        <w:rPr>
          <w:rFonts w:asciiTheme="minorHAnsi" w:hAnsiTheme="minorHAnsi"/>
          <w:snapToGrid w:val="0"/>
          <w:lang w:val="en-GB"/>
        </w:rPr>
        <w:t xml:space="preserve"> 3 or 4 adverse events and more </w:t>
      </w:r>
      <w:r w:rsidR="00585B12">
        <w:rPr>
          <w:rFonts w:asciiTheme="minorHAnsi" w:hAnsiTheme="minorHAnsi"/>
          <w:snapToGrid w:val="0"/>
          <w:lang w:val="en-GB"/>
        </w:rPr>
        <w:t>adverse events that resulted in discontinuation, dose reductions and dose interruptions</w:t>
      </w:r>
      <w:r w:rsidR="00010004">
        <w:rPr>
          <w:rFonts w:asciiTheme="minorHAnsi" w:hAnsiTheme="minorHAnsi"/>
          <w:snapToGrid w:val="0"/>
          <w:lang w:val="en-GB"/>
        </w:rPr>
        <w:t xml:space="preserve">. The PBAC also noted that </w:t>
      </w:r>
      <w:proofErr w:type="spellStart"/>
      <w:r w:rsidR="00010004">
        <w:rPr>
          <w:rFonts w:asciiTheme="minorHAnsi" w:hAnsiTheme="minorHAnsi"/>
          <w:snapToGrid w:val="0"/>
          <w:lang w:val="en-GB"/>
        </w:rPr>
        <w:t>BmBd</w:t>
      </w:r>
      <w:proofErr w:type="spellEnd"/>
      <w:r w:rsidR="00010004">
        <w:rPr>
          <w:rFonts w:asciiTheme="minorHAnsi" w:hAnsiTheme="minorHAnsi"/>
          <w:snapToGrid w:val="0"/>
          <w:lang w:val="en-GB"/>
        </w:rPr>
        <w:t xml:space="preserve"> was associated with </w:t>
      </w:r>
      <w:r w:rsidR="00A7115C">
        <w:rPr>
          <w:rFonts w:asciiTheme="minorHAnsi" w:hAnsiTheme="minorHAnsi"/>
          <w:snapToGrid w:val="0"/>
          <w:lang w:val="en-GB"/>
        </w:rPr>
        <w:t xml:space="preserve">any Grade </w:t>
      </w:r>
      <w:r w:rsidR="00010004">
        <w:rPr>
          <w:rFonts w:asciiTheme="minorHAnsi" w:hAnsiTheme="minorHAnsi"/>
          <w:snapToGrid w:val="0"/>
          <w:lang w:val="en-GB"/>
        </w:rPr>
        <w:t xml:space="preserve">ocular events </w:t>
      </w:r>
      <w:r w:rsidR="00C01F23">
        <w:rPr>
          <w:rFonts w:asciiTheme="minorHAnsi" w:hAnsiTheme="minorHAnsi"/>
          <w:snapToGrid w:val="0"/>
          <w:lang w:val="en-GB"/>
        </w:rPr>
        <w:t xml:space="preserve">that resulted in blurred vision, visual impairment, dry eye and </w:t>
      </w:r>
      <w:r w:rsidR="00196FD4">
        <w:rPr>
          <w:rFonts w:asciiTheme="minorHAnsi" w:hAnsiTheme="minorHAnsi"/>
          <w:snapToGrid w:val="0"/>
          <w:lang w:val="en-GB"/>
        </w:rPr>
        <w:t xml:space="preserve">photophobia. </w:t>
      </w:r>
      <w:r w:rsidR="008F56A4">
        <w:rPr>
          <w:rFonts w:asciiTheme="minorHAnsi" w:hAnsiTheme="minorHAnsi"/>
          <w:snapToGrid w:val="0"/>
          <w:lang w:val="en-GB"/>
        </w:rPr>
        <w:t>The PBAC noted that it was recommended that patients be assessed by an optometrist or ophthalmologist before commencing treatment and then again before the next 3 doses</w:t>
      </w:r>
      <w:r w:rsidR="001F31B1">
        <w:rPr>
          <w:rFonts w:asciiTheme="minorHAnsi" w:hAnsiTheme="minorHAnsi"/>
          <w:snapToGrid w:val="0"/>
          <w:lang w:val="en-GB"/>
        </w:rPr>
        <w:t xml:space="preserve">. The PBAC also noted that </w:t>
      </w:r>
      <w:r w:rsidR="000D314F">
        <w:rPr>
          <w:rFonts w:asciiTheme="minorHAnsi" w:hAnsiTheme="minorHAnsi"/>
          <w:snapToGrid w:val="0"/>
          <w:lang w:val="en-GB"/>
        </w:rPr>
        <w:t xml:space="preserve">dose </w:t>
      </w:r>
      <w:r w:rsidR="00AC712C">
        <w:rPr>
          <w:rFonts w:asciiTheme="minorHAnsi" w:hAnsiTheme="minorHAnsi"/>
          <w:snapToGrid w:val="0"/>
          <w:lang w:val="en-GB"/>
        </w:rPr>
        <w:t xml:space="preserve">modifications were recommended to </w:t>
      </w:r>
      <w:r w:rsidR="009C0781">
        <w:rPr>
          <w:rFonts w:asciiTheme="minorHAnsi" w:hAnsiTheme="minorHAnsi"/>
          <w:snapToGrid w:val="0"/>
          <w:lang w:val="en-GB"/>
        </w:rPr>
        <w:t xml:space="preserve">manage and reverse ocular adverse events and were concerned that this </w:t>
      </w:r>
      <w:r w:rsidR="001245D8">
        <w:rPr>
          <w:rFonts w:asciiTheme="minorHAnsi" w:hAnsiTheme="minorHAnsi"/>
          <w:snapToGrid w:val="0"/>
          <w:lang w:val="en-GB"/>
        </w:rPr>
        <w:t>c</w:t>
      </w:r>
      <w:r w:rsidR="009C0781">
        <w:rPr>
          <w:rFonts w:asciiTheme="minorHAnsi" w:hAnsiTheme="minorHAnsi"/>
          <w:snapToGrid w:val="0"/>
          <w:lang w:val="en-GB"/>
        </w:rPr>
        <w:t xml:space="preserve">ould affect the effectiveness of </w:t>
      </w:r>
      <w:proofErr w:type="spellStart"/>
      <w:r w:rsidR="009C0781">
        <w:rPr>
          <w:rFonts w:asciiTheme="minorHAnsi" w:hAnsiTheme="minorHAnsi"/>
          <w:snapToGrid w:val="0"/>
          <w:lang w:val="en-GB"/>
        </w:rPr>
        <w:t>BmBd</w:t>
      </w:r>
      <w:proofErr w:type="spellEnd"/>
      <w:r w:rsidR="001245D8">
        <w:rPr>
          <w:rFonts w:asciiTheme="minorHAnsi" w:hAnsiTheme="minorHAnsi"/>
          <w:snapToGrid w:val="0"/>
          <w:lang w:val="en-GB"/>
        </w:rPr>
        <w:t xml:space="preserve"> in the </w:t>
      </w:r>
      <w:r w:rsidR="00B05260">
        <w:rPr>
          <w:rFonts w:asciiTheme="minorHAnsi" w:hAnsiTheme="minorHAnsi"/>
          <w:snapToGrid w:val="0"/>
          <w:lang w:val="en-GB"/>
        </w:rPr>
        <w:t xml:space="preserve">real world </w:t>
      </w:r>
      <w:r w:rsidR="001245D8">
        <w:rPr>
          <w:rFonts w:asciiTheme="minorHAnsi" w:hAnsiTheme="minorHAnsi"/>
          <w:snapToGrid w:val="0"/>
          <w:lang w:val="en-GB"/>
        </w:rPr>
        <w:t xml:space="preserve">compared to </w:t>
      </w:r>
      <w:r w:rsidR="00486786">
        <w:rPr>
          <w:rFonts w:asciiTheme="minorHAnsi" w:hAnsiTheme="minorHAnsi"/>
          <w:snapToGrid w:val="0"/>
          <w:lang w:val="en-GB"/>
        </w:rPr>
        <w:t xml:space="preserve">in the clinical </w:t>
      </w:r>
      <w:r w:rsidR="001245D8">
        <w:rPr>
          <w:rFonts w:asciiTheme="minorHAnsi" w:hAnsiTheme="minorHAnsi"/>
          <w:snapToGrid w:val="0"/>
          <w:lang w:val="en-GB"/>
        </w:rPr>
        <w:t>trial</w:t>
      </w:r>
      <w:r w:rsidR="00A411AF">
        <w:rPr>
          <w:rFonts w:asciiTheme="minorHAnsi" w:hAnsiTheme="minorHAnsi"/>
          <w:snapToGrid w:val="0"/>
          <w:lang w:val="en-GB"/>
        </w:rPr>
        <w:t xml:space="preserve"> setting</w:t>
      </w:r>
      <w:r w:rsidR="00B05260">
        <w:rPr>
          <w:rFonts w:asciiTheme="minorHAnsi" w:hAnsiTheme="minorHAnsi"/>
          <w:snapToGrid w:val="0"/>
          <w:lang w:val="en-GB"/>
        </w:rPr>
        <w:t>.</w:t>
      </w:r>
    </w:p>
    <w:p w14:paraId="0711B0C5" w14:textId="7A7B35FB" w:rsidR="00B05260" w:rsidRDefault="00A16738"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Given the issues with the proposed place in therapy, the PBAC considered that the economic model presented in the submission was largely uninformat</w:t>
      </w:r>
      <w:r w:rsidR="00E55E14">
        <w:rPr>
          <w:rFonts w:asciiTheme="minorHAnsi" w:hAnsiTheme="minorHAnsi"/>
          <w:snapToGrid w:val="0"/>
          <w:lang w:val="en-GB"/>
        </w:rPr>
        <w:t xml:space="preserve">ive. For the </w:t>
      </w:r>
      <w:proofErr w:type="gramStart"/>
      <w:r w:rsidR="00E55E14">
        <w:rPr>
          <w:rFonts w:asciiTheme="minorHAnsi" w:hAnsiTheme="minorHAnsi"/>
          <w:snapToGrid w:val="0"/>
          <w:lang w:val="en-GB"/>
        </w:rPr>
        <w:t>second-line</w:t>
      </w:r>
      <w:proofErr w:type="gramEnd"/>
      <w:r w:rsidR="00E55E14">
        <w:rPr>
          <w:rFonts w:asciiTheme="minorHAnsi" w:hAnsiTheme="minorHAnsi"/>
          <w:snapToGrid w:val="0"/>
          <w:lang w:val="en-GB"/>
        </w:rPr>
        <w:t xml:space="preserve"> only population, the PBAC considered that the </w:t>
      </w:r>
      <w:r w:rsidR="00A10DDD">
        <w:rPr>
          <w:rFonts w:asciiTheme="minorHAnsi" w:hAnsiTheme="minorHAnsi"/>
          <w:snapToGrid w:val="0"/>
          <w:lang w:val="en-GB"/>
        </w:rPr>
        <w:t xml:space="preserve">ICER of </w:t>
      </w:r>
      <w:r w:rsidR="00206ECA" w:rsidRPr="00206ECA">
        <w:rPr>
          <w:rFonts w:asciiTheme="minorHAnsi" w:hAnsiTheme="minorHAnsi"/>
          <w:snapToGrid w:val="0"/>
          <w:lang w:val="en-GB"/>
        </w:rPr>
        <w:t xml:space="preserve">$55,000 to </w:t>
      </w:r>
      <w:r w:rsidR="00E64B1A">
        <w:rPr>
          <w:rFonts w:asciiTheme="minorHAnsi" w:hAnsiTheme="minorHAnsi"/>
          <w:snapToGrid w:val="0"/>
          <w:lang w:val="en-GB"/>
        </w:rPr>
        <w:br/>
      </w:r>
      <w:r w:rsidR="00206ECA" w:rsidRPr="00206ECA">
        <w:rPr>
          <w:rFonts w:asciiTheme="minorHAnsi" w:hAnsiTheme="minorHAnsi"/>
          <w:snapToGrid w:val="0"/>
          <w:lang w:val="en-GB"/>
        </w:rPr>
        <w:t>&lt; $75,000</w:t>
      </w:r>
      <w:r w:rsidR="00A10DDD">
        <w:rPr>
          <w:rFonts w:asciiTheme="minorHAnsi" w:hAnsiTheme="minorHAnsi"/>
          <w:snapToGrid w:val="0"/>
          <w:lang w:val="en-GB"/>
        </w:rPr>
        <w:t xml:space="preserve"> </w:t>
      </w:r>
      <w:r w:rsidR="00DD0B61">
        <w:rPr>
          <w:rFonts w:asciiTheme="minorHAnsi" w:hAnsiTheme="minorHAnsi"/>
          <w:snapToGrid w:val="0"/>
          <w:lang w:val="en-GB"/>
        </w:rPr>
        <w:t xml:space="preserve">per quality adjusted life year (QALY) </w:t>
      </w:r>
      <w:r w:rsidR="00A10DDD">
        <w:rPr>
          <w:rFonts w:asciiTheme="minorHAnsi" w:hAnsiTheme="minorHAnsi"/>
          <w:snapToGrid w:val="0"/>
          <w:lang w:val="en-GB"/>
        </w:rPr>
        <w:t xml:space="preserve">was </w:t>
      </w:r>
      <w:r w:rsidR="0039569E">
        <w:rPr>
          <w:rFonts w:asciiTheme="minorHAnsi" w:hAnsiTheme="minorHAnsi"/>
          <w:snapToGrid w:val="0"/>
          <w:lang w:val="en-GB"/>
        </w:rPr>
        <w:t xml:space="preserve">high and likely </w:t>
      </w:r>
      <w:r w:rsidR="00DD0B61">
        <w:rPr>
          <w:rFonts w:asciiTheme="minorHAnsi" w:hAnsiTheme="minorHAnsi"/>
          <w:snapToGrid w:val="0"/>
          <w:lang w:val="en-GB"/>
        </w:rPr>
        <w:t>under</w:t>
      </w:r>
      <w:r w:rsidR="0039569E">
        <w:rPr>
          <w:rFonts w:asciiTheme="minorHAnsi" w:hAnsiTheme="minorHAnsi"/>
          <w:snapToGrid w:val="0"/>
          <w:lang w:val="en-GB"/>
        </w:rPr>
        <w:t xml:space="preserve">estimated. </w:t>
      </w:r>
      <w:r w:rsidR="0039569E">
        <w:rPr>
          <w:rFonts w:asciiTheme="minorHAnsi" w:hAnsiTheme="minorHAnsi"/>
          <w:snapToGrid w:val="0"/>
          <w:lang w:val="en-GB"/>
        </w:rPr>
        <w:lastRenderedPageBreak/>
        <w:t>The PBAC considered that the following inputs were optimistic:</w:t>
      </w:r>
    </w:p>
    <w:p w14:paraId="3FB59BDB" w14:textId="1C3D480E" w:rsidR="00DD0B61" w:rsidRDefault="0039569E" w:rsidP="00A21B01">
      <w:pPr>
        <w:widowControl w:val="0"/>
        <w:numPr>
          <w:ilvl w:val="1"/>
          <w:numId w:val="10"/>
        </w:numPr>
        <w:spacing w:after="120"/>
        <w:ind w:left="1077" w:hanging="357"/>
        <w:rPr>
          <w:rFonts w:asciiTheme="minorHAnsi" w:hAnsiTheme="minorHAnsi"/>
          <w:snapToGrid w:val="0"/>
          <w:lang w:val="en-GB"/>
        </w:rPr>
      </w:pPr>
      <w:r>
        <w:rPr>
          <w:rFonts w:asciiTheme="minorHAnsi" w:hAnsiTheme="minorHAnsi"/>
          <w:snapToGrid w:val="0"/>
          <w:lang w:val="en-GB"/>
        </w:rPr>
        <w:t>The use of the lenalidomide-exposed subgroup</w:t>
      </w:r>
      <w:r w:rsidR="005D10B2">
        <w:rPr>
          <w:rFonts w:asciiTheme="minorHAnsi" w:hAnsiTheme="minorHAnsi"/>
          <w:snapToGrid w:val="0"/>
          <w:lang w:val="en-GB"/>
        </w:rPr>
        <w:t xml:space="preserve">, which was not adequately justified in the submission. The PBAC noted that use of the more robust ITT population increased the ICER </w:t>
      </w:r>
      <w:r w:rsidR="00AC4708">
        <w:rPr>
          <w:rFonts w:asciiTheme="minorHAnsi" w:hAnsiTheme="minorHAnsi"/>
          <w:snapToGrid w:val="0"/>
          <w:lang w:val="en-GB"/>
        </w:rPr>
        <w:t>to</w:t>
      </w:r>
      <w:r w:rsidR="00DD0B61">
        <w:rPr>
          <w:rFonts w:asciiTheme="minorHAnsi" w:hAnsiTheme="minorHAnsi"/>
          <w:snapToGrid w:val="0"/>
          <w:lang w:val="en-GB"/>
        </w:rPr>
        <w:t xml:space="preserve"> approximately </w:t>
      </w:r>
      <w:r w:rsidR="0085073F" w:rsidRPr="0085073F">
        <w:rPr>
          <w:rFonts w:asciiTheme="minorHAnsi" w:hAnsiTheme="minorHAnsi"/>
          <w:snapToGrid w:val="0"/>
          <w:lang w:val="en-GB"/>
        </w:rPr>
        <w:t>$115,000 to &lt; $135,000</w:t>
      </w:r>
      <w:r w:rsidR="00DD0B61">
        <w:rPr>
          <w:rFonts w:asciiTheme="minorHAnsi" w:hAnsiTheme="minorHAnsi"/>
          <w:snapToGrid w:val="0"/>
          <w:lang w:val="en-GB"/>
        </w:rPr>
        <w:t xml:space="preserve"> per QALY;</w:t>
      </w:r>
    </w:p>
    <w:p w14:paraId="12A2ECB8" w14:textId="057E8FFF" w:rsidR="007F4C82" w:rsidRDefault="00DD0B61" w:rsidP="00A21B01">
      <w:pPr>
        <w:widowControl w:val="0"/>
        <w:numPr>
          <w:ilvl w:val="1"/>
          <w:numId w:val="10"/>
        </w:numPr>
        <w:spacing w:after="120"/>
        <w:ind w:left="1077" w:hanging="357"/>
        <w:rPr>
          <w:rFonts w:asciiTheme="minorHAnsi" w:hAnsiTheme="minorHAnsi"/>
          <w:snapToGrid w:val="0"/>
          <w:lang w:val="en-GB"/>
        </w:rPr>
      </w:pPr>
      <w:r>
        <w:rPr>
          <w:rFonts w:asciiTheme="minorHAnsi" w:hAnsiTheme="minorHAnsi"/>
          <w:snapToGrid w:val="0"/>
          <w:lang w:val="en-GB"/>
        </w:rPr>
        <w:t xml:space="preserve">The </w:t>
      </w:r>
      <w:r w:rsidR="004B260A">
        <w:rPr>
          <w:rFonts w:asciiTheme="minorHAnsi" w:hAnsiTheme="minorHAnsi"/>
          <w:snapToGrid w:val="0"/>
          <w:lang w:val="en-GB"/>
        </w:rPr>
        <w:t>use of the exponential function appeared to underestimate</w:t>
      </w:r>
      <w:r>
        <w:rPr>
          <w:rFonts w:asciiTheme="minorHAnsi" w:hAnsiTheme="minorHAnsi"/>
          <w:snapToGrid w:val="0"/>
          <w:lang w:val="en-GB"/>
        </w:rPr>
        <w:t xml:space="preserve"> </w:t>
      </w:r>
      <w:r w:rsidR="004B260A">
        <w:rPr>
          <w:rFonts w:asciiTheme="minorHAnsi" w:hAnsiTheme="minorHAnsi"/>
          <w:snapToGrid w:val="0"/>
          <w:lang w:val="en-GB"/>
        </w:rPr>
        <w:t xml:space="preserve">overall survival for patients in the </w:t>
      </w:r>
      <w:proofErr w:type="spellStart"/>
      <w:r w:rsidR="004B260A">
        <w:rPr>
          <w:rFonts w:asciiTheme="minorHAnsi" w:hAnsiTheme="minorHAnsi"/>
          <w:snapToGrid w:val="0"/>
          <w:lang w:val="en-GB"/>
        </w:rPr>
        <w:t>DBd</w:t>
      </w:r>
      <w:proofErr w:type="spellEnd"/>
      <w:r w:rsidR="004B260A">
        <w:rPr>
          <w:rFonts w:asciiTheme="minorHAnsi" w:hAnsiTheme="minorHAnsi"/>
          <w:snapToGrid w:val="0"/>
          <w:lang w:val="en-GB"/>
        </w:rPr>
        <w:t xml:space="preserve"> arm</w:t>
      </w:r>
      <w:r w:rsidR="00AD397C">
        <w:rPr>
          <w:rFonts w:asciiTheme="minorHAnsi" w:hAnsiTheme="minorHAnsi"/>
          <w:snapToGrid w:val="0"/>
          <w:lang w:val="en-GB"/>
        </w:rPr>
        <w:t xml:space="preserve">. Further, the modelled survival of patients in the </w:t>
      </w:r>
      <w:proofErr w:type="spellStart"/>
      <w:r w:rsidR="00AD397C">
        <w:rPr>
          <w:rFonts w:asciiTheme="minorHAnsi" w:hAnsiTheme="minorHAnsi"/>
          <w:snapToGrid w:val="0"/>
          <w:lang w:val="en-GB"/>
        </w:rPr>
        <w:t>BmBd</w:t>
      </w:r>
      <w:proofErr w:type="spellEnd"/>
      <w:r w:rsidR="00AD397C">
        <w:rPr>
          <w:rFonts w:asciiTheme="minorHAnsi" w:hAnsiTheme="minorHAnsi"/>
          <w:snapToGrid w:val="0"/>
          <w:lang w:val="en-GB"/>
        </w:rPr>
        <w:t xml:space="preserve"> arm </w:t>
      </w:r>
      <w:r w:rsidR="0050650B">
        <w:rPr>
          <w:rFonts w:asciiTheme="minorHAnsi" w:hAnsiTheme="minorHAnsi"/>
          <w:snapToGrid w:val="0"/>
          <w:lang w:val="en-GB"/>
        </w:rPr>
        <w:t>was implausibly high, with 11% of patients remaining alive at 20 years</w:t>
      </w:r>
      <w:r w:rsidR="007F4C82">
        <w:rPr>
          <w:rFonts w:asciiTheme="minorHAnsi" w:hAnsiTheme="minorHAnsi"/>
          <w:snapToGrid w:val="0"/>
          <w:lang w:val="en-GB"/>
        </w:rPr>
        <w:t>;</w:t>
      </w:r>
      <w:r w:rsidR="008426F2">
        <w:rPr>
          <w:rFonts w:asciiTheme="minorHAnsi" w:hAnsiTheme="minorHAnsi"/>
          <w:snapToGrid w:val="0"/>
          <w:lang w:val="en-GB"/>
        </w:rPr>
        <w:t xml:space="preserve"> and</w:t>
      </w:r>
    </w:p>
    <w:p w14:paraId="15582D79" w14:textId="0CDA4307" w:rsidR="0039569E" w:rsidRDefault="006C289C" w:rsidP="00A21B01">
      <w:pPr>
        <w:widowControl w:val="0"/>
        <w:numPr>
          <w:ilvl w:val="1"/>
          <w:numId w:val="10"/>
        </w:numPr>
        <w:spacing w:after="120"/>
        <w:ind w:left="1077" w:hanging="357"/>
        <w:rPr>
          <w:rFonts w:asciiTheme="minorHAnsi" w:hAnsiTheme="minorHAnsi"/>
          <w:snapToGrid w:val="0"/>
          <w:lang w:val="en-GB"/>
        </w:rPr>
      </w:pPr>
      <w:r>
        <w:rPr>
          <w:rFonts w:asciiTheme="minorHAnsi" w:hAnsiTheme="minorHAnsi"/>
          <w:snapToGrid w:val="0"/>
          <w:lang w:val="en-GB"/>
        </w:rPr>
        <w:t>Extrapolation of the trial data</w:t>
      </w:r>
      <w:r w:rsidR="003C2FA6">
        <w:rPr>
          <w:rFonts w:asciiTheme="minorHAnsi" w:hAnsiTheme="minorHAnsi"/>
          <w:snapToGrid w:val="0"/>
          <w:lang w:val="en-GB"/>
        </w:rPr>
        <w:t>, from a m</w:t>
      </w:r>
      <w:r w:rsidR="007F4C82">
        <w:rPr>
          <w:rFonts w:asciiTheme="minorHAnsi" w:hAnsiTheme="minorHAnsi"/>
          <w:snapToGrid w:val="0"/>
          <w:lang w:val="en-GB"/>
        </w:rPr>
        <w:t>edian follow-up of 37.5 months in the DREAMM-7 trial</w:t>
      </w:r>
      <w:r>
        <w:rPr>
          <w:rFonts w:asciiTheme="minorHAnsi" w:hAnsiTheme="minorHAnsi"/>
          <w:snapToGrid w:val="0"/>
          <w:lang w:val="en-GB"/>
        </w:rPr>
        <w:t xml:space="preserve"> </w:t>
      </w:r>
      <w:r w:rsidR="003C2FA6">
        <w:rPr>
          <w:rFonts w:asciiTheme="minorHAnsi" w:hAnsiTheme="minorHAnsi"/>
          <w:snapToGrid w:val="0"/>
          <w:lang w:val="en-GB"/>
        </w:rPr>
        <w:t>to 20 years</w:t>
      </w:r>
      <w:r w:rsidR="0050650B">
        <w:rPr>
          <w:rFonts w:asciiTheme="minorHAnsi" w:hAnsiTheme="minorHAnsi"/>
          <w:snapToGrid w:val="0"/>
          <w:lang w:val="en-GB"/>
        </w:rPr>
        <w:t>,</w:t>
      </w:r>
      <w:r w:rsidR="003C2FA6">
        <w:rPr>
          <w:rFonts w:asciiTheme="minorHAnsi" w:hAnsiTheme="minorHAnsi"/>
          <w:snapToGrid w:val="0"/>
          <w:lang w:val="en-GB"/>
        </w:rPr>
        <w:t xml:space="preserve"> was associated with a substantial amount of uncertainty</w:t>
      </w:r>
      <w:r w:rsidR="000A5827">
        <w:rPr>
          <w:rFonts w:asciiTheme="minorHAnsi" w:hAnsiTheme="minorHAnsi"/>
          <w:snapToGrid w:val="0"/>
          <w:lang w:val="en-GB"/>
        </w:rPr>
        <w:t>. Further, the PBAC considered that the 20</w:t>
      </w:r>
      <w:r w:rsidR="0050650B">
        <w:rPr>
          <w:rFonts w:asciiTheme="minorHAnsi" w:hAnsiTheme="minorHAnsi"/>
          <w:snapToGrid w:val="0"/>
          <w:lang w:val="en-GB"/>
        </w:rPr>
        <w:t>-</w:t>
      </w:r>
      <w:r w:rsidR="000A5827">
        <w:rPr>
          <w:rFonts w:asciiTheme="minorHAnsi" w:hAnsiTheme="minorHAnsi"/>
          <w:snapToGrid w:val="0"/>
          <w:lang w:val="en-GB"/>
        </w:rPr>
        <w:t xml:space="preserve">year time horizon was long as the mean age of patients diagnosed with MM </w:t>
      </w:r>
      <w:r w:rsidR="00AD397C">
        <w:rPr>
          <w:rFonts w:asciiTheme="minorHAnsi" w:hAnsiTheme="minorHAnsi"/>
          <w:snapToGrid w:val="0"/>
          <w:lang w:val="en-GB"/>
        </w:rPr>
        <w:t>in Australia was 71.5 years.</w:t>
      </w:r>
      <w:r>
        <w:rPr>
          <w:rFonts w:asciiTheme="minorHAnsi" w:hAnsiTheme="minorHAnsi"/>
          <w:snapToGrid w:val="0"/>
          <w:lang w:val="en-GB"/>
        </w:rPr>
        <w:t xml:space="preserve"> </w:t>
      </w:r>
      <w:r w:rsidR="004B260A">
        <w:rPr>
          <w:rFonts w:asciiTheme="minorHAnsi" w:hAnsiTheme="minorHAnsi"/>
          <w:snapToGrid w:val="0"/>
          <w:lang w:val="en-GB"/>
        </w:rPr>
        <w:t xml:space="preserve"> </w:t>
      </w:r>
    </w:p>
    <w:p w14:paraId="2DD4CD16" w14:textId="77777777" w:rsidR="00272BAD" w:rsidRDefault="00C71C10" w:rsidP="00FD54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Additionally, the PBAC considered that the economic model did not adequately capture the costs and quality of life impacts associated with severe ocular toxicity events</w:t>
      </w:r>
      <w:r w:rsidR="00272BAD">
        <w:rPr>
          <w:rFonts w:asciiTheme="minorHAnsi" w:hAnsiTheme="minorHAnsi"/>
          <w:snapToGrid w:val="0"/>
          <w:lang w:val="en-GB"/>
        </w:rPr>
        <w:t>.</w:t>
      </w:r>
    </w:p>
    <w:p w14:paraId="1B4AD9E7" w14:textId="72FA9C17" w:rsidR="00FC52CF" w:rsidRPr="00A241F0" w:rsidRDefault="000C0365">
      <w:pPr>
        <w:widowControl w:val="0"/>
        <w:numPr>
          <w:ilvl w:val="1"/>
          <w:numId w:val="1"/>
        </w:numPr>
        <w:spacing w:after="120"/>
        <w:rPr>
          <w:rFonts w:asciiTheme="minorHAnsi" w:hAnsiTheme="minorHAnsi"/>
          <w:snapToGrid w:val="0"/>
          <w:lang w:val="en-GB"/>
        </w:rPr>
      </w:pPr>
      <w:r w:rsidRPr="00A241F0">
        <w:rPr>
          <w:rFonts w:asciiTheme="minorHAnsi" w:hAnsiTheme="minorHAnsi"/>
          <w:snapToGrid w:val="0"/>
          <w:lang w:val="en-GB"/>
        </w:rPr>
        <w:t xml:space="preserve">The PBAC considered that the </w:t>
      </w:r>
      <w:r w:rsidR="00B76DAD" w:rsidRPr="00A241F0">
        <w:rPr>
          <w:rFonts w:asciiTheme="minorHAnsi" w:hAnsiTheme="minorHAnsi"/>
          <w:snapToGrid w:val="0"/>
          <w:lang w:val="en-GB"/>
        </w:rPr>
        <w:t xml:space="preserve">utilisation and financial impact estimates </w:t>
      </w:r>
      <w:r w:rsidR="00C37627" w:rsidRPr="00A241F0">
        <w:rPr>
          <w:rFonts w:asciiTheme="minorHAnsi" w:hAnsiTheme="minorHAnsi"/>
          <w:snapToGrid w:val="0"/>
          <w:lang w:val="en-GB"/>
        </w:rPr>
        <w:t xml:space="preserve">were </w:t>
      </w:r>
      <w:r w:rsidR="00B76DAD" w:rsidRPr="00A241F0">
        <w:rPr>
          <w:rFonts w:asciiTheme="minorHAnsi" w:hAnsiTheme="minorHAnsi"/>
          <w:snapToGrid w:val="0"/>
          <w:lang w:val="en-GB"/>
        </w:rPr>
        <w:t xml:space="preserve">largely uninformative, given the proposed place in therapy issues. </w:t>
      </w:r>
      <w:r w:rsidR="00F52EF3">
        <w:t xml:space="preserve">The PBAC considered that a </w:t>
      </w:r>
      <w:r w:rsidR="003C2CAA">
        <w:t xml:space="preserve">standard </w:t>
      </w:r>
      <w:r w:rsidR="00F52EF3">
        <w:t>market share approach</w:t>
      </w:r>
      <w:r w:rsidR="008A664E">
        <w:t>, accoun</w:t>
      </w:r>
      <w:r w:rsidR="00E57893">
        <w:t>t</w:t>
      </w:r>
      <w:r w:rsidR="008A664E">
        <w:t xml:space="preserve">ing </w:t>
      </w:r>
      <w:r w:rsidR="00E57893">
        <w:t xml:space="preserve">for increased survival, would have provided more accurate estimates of the initial population </w:t>
      </w:r>
      <w:r w:rsidR="00D45A4C">
        <w:t>than the</w:t>
      </w:r>
      <w:r w:rsidR="00DD4705">
        <w:t xml:space="preserve"> combined</w:t>
      </w:r>
      <w:r w:rsidR="00D45A4C">
        <w:t xml:space="preserve"> epidemiological</w:t>
      </w:r>
      <w:r w:rsidR="00DD4705">
        <w:t>/market share</w:t>
      </w:r>
      <w:r w:rsidR="00D45A4C">
        <w:t xml:space="preserve"> approach used </w:t>
      </w:r>
      <w:r w:rsidR="00E57893">
        <w:t>as the submission assumed that BmBd will replace DBd</w:t>
      </w:r>
      <w:r w:rsidR="00D45A4C">
        <w:t xml:space="preserve">. </w:t>
      </w:r>
      <w:r w:rsidR="00033A5E" w:rsidRPr="00A241F0">
        <w:rPr>
          <w:rFonts w:asciiTheme="minorHAnsi" w:hAnsiTheme="minorHAnsi"/>
          <w:snapToGrid w:val="0"/>
          <w:lang w:val="en-GB"/>
        </w:rPr>
        <w:t xml:space="preserve">The PBAC noted that with the listing of </w:t>
      </w:r>
      <w:proofErr w:type="spellStart"/>
      <w:r w:rsidR="00033A5E" w:rsidRPr="00A241F0">
        <w:rPr>
          <w:rFonts w:asciiTheme="minorHAnsi" w:hAnsiTheme="minorHAnsi"/>
          <w:snapToGrid w:val="0"/>
          <w:lang w:val="en-GB"/>
        </w:rPr>
        <w:t>DLd</w:t>
      </w:r>
      <w:proofErr w:type="spellEnd"/>
      <w:r w:rsidR="00033A5E" w:rsidRPr="00A241F0">
        <w:rPr>
          <w:rFonts w:asciiTheme="minorHAnsi" w:hAnsiTheme="minorHAnsi"/>
          <w:snapToGrid w:val="0"/>
          <w:lang w:val="en-GB"/>
        </w:rPr>
        <w:t xml:space="preserve"> in the first line setting, the use of </w:t>
      </w:r>
      <w:r w:rsidR="000A1E8C" w:rsidRPr="00A241F0">
        <w:rPr>
          <w:rFonts w:asciiTheme="minorHAnsi" w:hAnsiTheme="minorHAnsi"/>
          <w:snapToGrid w:val="0"/>
          <w:lang w:val="en-GB"/>
        </w:rPr>
        <w:t xml:space="preserve">other drugs, such as </w:t>
      </w:r>
      <w:proofErr w:type="spellStart"/>
      <w:r w:rsidR="000A1E8C" w:rsidRPr="00A241F0">
        <w:rPr>
          <w:rFonts w:asciiTheme="minorHAnsi" w:hAnsiTheme="minorHAnsi"/>
          <w:snapToGrid w:val="0"/>
          <w:lang w:val="en-GB"/>
        </w:rPr>
        <w:t>BmBd</w:t>
      </w:r>
      <w:proofErr w:type="spellEnd"/>
      <w:r w:rsidR="000A1E8C" w:rsidRPr="00A241F0">
        <w:rPr>
          <w:rFonts w:asciiTheme="minorHAnsi" w:hAnsiTheme="minorHAnsi"/>
          <w:snapToGrid w:val="0"/>
          <w:lang w:val="en-GB"/>
        </w:rPr>
        <w:t xml:space="preserve"> would </w:t>
      </w:r>
      <w:r w:rsidR="00F52EF3" w:rsidRPr="00A241F0">
        <w:rPr>
          <w:rFonts w:asciiTheme="minorHAnsi" w:hAnsiTheme="minorHAnsi"/>
          <w:snapToGrid w:val="0"/>
          <w:lang w:val="en-GB"/>
        </w:rPr>
        <w:t xml:space="preserve">likely </w:t>
      </w:r>
      <w:r w:rsidR="000A1E8C" w:rsidRPr="00A241F0">
        <w:rPr>
          <w:rFonts w:asciiTheme="minorHAnsi" w:hAnsiTheme="minorHAnsi"/>
          <w:snapToGrid w:val="0"/>
          <w:lang w:val="en-GB"/>
        </w:rPr>
        <w:t>increase in the second and later line settings</w:t>
      </w:r>
      <w:r w:rsidR="00E55AB4" w:rsidRPr="00A241F0">
        <w:rPr>
          <w:rFonts w:asciiTheme="minorHAnsi" w:hAnsiTheme="minorHAnsi"/>
          <w:snapToGrid w:val="0"/>
          <w:lang w:val="en-GB"/>
        </w:rPr>
        <w:t xml:space="preserve"> in approximately 3 to 4 years</w:t>
      </w:r>
      <w:r w:rsidR="00F01F25" w:rsidRPr="00A241F0">
        <w:rPr>
          <w:rFonts w:asciiTheme="minorHAnsi" w:hAnsiTheme="minorHAnsi"/>
          <w:snapToGrid w:val="0"/>
          <w:lang w:val="en-GB"/>
        </w:rPr>
        <w:t xml:space="preserve">. Conversely, the </w:t>
      </w:r>
      <w:r w:rsidR="00A411AF" w:rsidRPr="00A241F0">
        <w:rPr>
          <w:rFonts w:asciiTheme="minorHAnsi" w:hAnsiTheme="minorHAnsi"/>
          <w:snapToGrid w:val="0"/>
          <w:lang w:val="en-GB"/>
        </w:rPr>
        <w:t xml:space="preserve">potential </w:t>
      </w:r>
      <w:r w:rsidR="00F01F25" w:rsidRPr="00A241F0">
        <w:rPr>
          <w:rFonts w:asciiTheme="minorHAnsi" w:hAnsiTheme="minorHAnsi"/>
          <w:snapToGrid w:val="0"/>
          <w:lang w:val="en-GB"/>
        </w:rPr>
        <w:t xml:space="preserve">PBS listing of </w:t>
      </w:r>
      <w:r w:rsidR="000526B7" w:rsidRPr="00A241F0">
        <w:rPr>
          <w:rFonts w:asciiTheme="minorHAnsi" w:hAnsiTheme="minorHAnsi"/>
          <w:snapToGrid w:val="0"/>
          <w:lang w:val="en-GB"/>
        </w:rPr>
        <w:t>the near market comparator, elranatamab, which is also a</w:t>
      </w:r>
      <w:r w:rsidR="00DE0C59" w:rsidRPr="00A241F0">
        <w:rPr>
          <w:rFonts w:asciiTheme="minorHAnsi" w:hAnsiTheme="minorHAnsi"/>
          <w:snapToGrid w:val="0"/>
          <w:lang w:val="en-GB"/>
        </w:rPr>
        <w:t>n</w:t>
      </w:r>
      <w:r w:rsidR="000526B7" w:rsidRPr="00A241F0">
        <w:rPr>
          <w:rFonts w:asciiTheme="minorHAnsi" w:hAnsiTheme="minorHAnsi"/>
          <w:snapToGrid w:val="0"/>
          <w:lang w:val="en-GB"/>
        </w:rPr>
        <w:t xml:space="preserve"> </w:t>
      </w:r>
      <w:r w:rsidR="000526B7" w:rsidRPr="00AC3F7C">
        <w:t>antibody targeting B-cell maturation antigen (BCMA)</w:t>
      </w:r>
      <w:r w:rsidR="00DE0C59">
        <w:t>, may reduce BmBd use</w:t>
      </w:r>
      <w:r w:rsidR="0048425A">
        <w:t>.</w:t>
      </w:r>
      <w:r w:rsidR="00A411AF">
        <w:t xml:space="preserve"> </w:t>
      </w:r>
    </w:p>
    <w:p w14:paraId="47717386" w14:textId="14A57F30" w:rsidR="007A3C50" w:rsidRDefault="007A3C50" w:rsidP="00FD547A">
      <w:pPr>
        <w:widowControl w:val="0"/>
        <w:numPr>
          <w:ilvl w:val="1"/>
          <w:numId w:val="1"/>
        </w:numPr>
        <w:spacing w:after="120"/>
        <w:rPr>
          <w:rFonts w:asciiTheme="minorHAnsi" w:hAnsiTheme="minorHAnsi"/>
          <w:snapToGrid w:val="0"/>
          <w:lang w:val="en-GB"/>
        </w:rPr>
      </w:pPr>
      <w:bookmarkStart w:id="85" w:name="_Ref215493774"/>
      <w:r>
        <w:rPr>
          <w:rFonts w:asciiTheme="minorHAnsi" w:hAnsiTheme="minorHAnsi"/>
          <w:snapToGrid w:val="0"/>
          <w:lang w:val="en-GB"/>
        </w:rPr>
        <w:t xml:space="preserve">In terms of a </w:t>
      </w:r>
      <w:r w:rsidR="00D24942">
        <w:rPr>
          <w:rFonts w:asciiTheme="minorHAnsi" w:hAnsiTheme="minorHAnsi"/>
          <w:snapToGrid w:val="0"/>
          <w:lang w:val="en-GB"/>
        </w:rPr>
        <w:t>future restriction, the PBAC advised that:</w:t>
      </w:r>
      <w:bookmarkEnd w:id="85"/>
    </w:p>
    <w:p w14:paraId="1D17F92F" w14:textId="7E8FC5F4" w:rsidR="00D24942" w:rsidRDefault="00D24942" w:rsidP="00A21B01">
      <w:pPr>
        <w:widowControl w:val="0"/>
        <w:numPr>
          <w:ilvl w:val="1"/>
          <w:numId w:val="11"/>
        </w:numPr>
        <w:spacing w:after="120"/>
        <w:ind w:left="1077" w:hanging="357"/>
        <w:rPr>
          <w:rFonts w:asciiTheme="minorHAnsi" w:hAnsiTheme="minorHAnsi"/>
          <w:snapToGrid w:val="0"/>
          <w:lang w:val="en-GB"/>
        </w:rPr>
      </w:pPr>
      <w:r>
        <w:rPr>
          <w:rFonts w:asciiTheme="minorHAnsi" w:hAnsiTheme="minorHAnsi"/>
          <w:snapToGrid w:val="0"/>
          <w:lang w:val="en-GB"/>
        </w:rPr>
        <w:t>An Authority Required (telephone/online) listing for both the initial and continuing restrictions would be appropriate;</w:t>
      </w:r>
    </w:p>
    <w:p w14:paraId="3A728716" w14:textId="4D41ED42" w:rsidR="00D24942" w:rsidRDefault="001624AD" w:rsidP="00A21B01">
      <w:pPr>
        <w:widowControl w:val="0"/>
        <w:numPr>
          <w:ilvl w:val="1"/>
          <w:numId w:val="11"/>
        </w:numPr>
        <w:spacing w:after="120"/>
        <w:ind w:left="1077" w:hanging="357"/>
        <w:rPr>
          <w:rFonts w:asciiTheme="minorHAnsi" w:hAnsiTheme="minorHAnsi"/>
          <w:snapToGrid w:val="0"/>
          <w:lang w:val="en-GB"/>
        </w:rPr>
      </w:pPr>
      <w:r>
        <w:rPr>
          <w:rFonts w:asciiTheme="minorHAnsi" w:hAnsiTheme="minorHAnsi"/>
          <w:snapToGrid w:val="0"/>
          <w:lang w:val="en-GB"/>
        </w:rPr>
        <w:t xml:space="preserve">Initial treatment of belantamab mafodotin should be in combination with bortezomib and dexamethasone, i.e. </w:t>
      </w:r>
      <w:r w:rsidR="001F2098">
        <w:rPr>
          <w:rFonts w:asciiTheme="minorHAnsi" w:hAnsiTheme="minorHAnsi"/>
          <w:snapToGrid w:val="0"/>
          <w:lang w:val="en-GB"/>
        </w:rPr>
        <w:t>monotherapy should not be allowed;</w:t>
      </w:r>
    </w:p>
    <w:p w14:paraId="348A6026" w14:textId="31F6E34C" w:rsidR="001F2098" w:rsidRDefault="001F2098" w:rsidP="00A21B01">
      <w:pPr>
        <w:widowControl w:val="0"/>
        <w:numPr>
          <w:ilvl w:val="1"/>
          <w:numId w:val="11"/>
        </w:numPr>
        <w:spacing w:after="120"/>
        <w:ind w:left="1077" w:hanging="357"/>
        <w:rPr>
          <w:rFonts w:asciiTheme="minorHAnsi" w:hAnsiTheme="minorHAnsi"/>
          <w:snapToGrid w:val="0"/>
          <w:lang w:val="en-GB"/>
        </w:rPr>
      </w:pPr>
      <w:r>
        <w:rPr>
          <w:rFonts w:asciiTheme="minorHAnsi" w:hAnsiTheme="minorHAnsi"/>
          <w:snapToGrid w:val="0"/>
          <w:lang w:val="en-GB"/>
        </w:rPr>
        <w:t xml:space="preserve">The listing should be consistent with the current daratumumab listing in terms </w:t>
      </w:r>
      <w:r w:rsidR="00722B8E">
        <w:rPr>
          <w:rFonts w:asciiTheme="minorHAnsi" w:hAnsiTheme="minorHAnsi"/>
          <w:snapToGrid w:val="0"/>
          <w:lang w:val="en-GB"/>
        </w:rPr>
        <w:t xml:space="preserve">of </w:t>
      </w:r>
      <w:r w:rsidR="00CC0193">
        <w:rPr>
          <w:rFonts w:asciiTheme="minorHAnsi" w:hAnsiTheme="minorHAnsi"/>
          <w:snapToGrid w:val="0"/>
          <w:lang w:val="en-GB"/>
        </w:rPr>
        <w:t>not including an ECOG score and being age agnostic;</w:t>
      </w:r>
    </w:p>
    <w:p w14:paraId="31DEB6EA" w14:textId="509E5BDC" w:rsidR="00CC0193" w:rsidRDefault="00CC0193" w:rsidP="00A21B01">
      <w:pPr>
        <w:widowControl w:val="0"/>
        <w:numPr>
          <w:ilvl w:val="1"/>
          <w:numId w:val="11"/>
        </w:numPr>
        <w:spacing w:after="120"/>
        <w:ind w:left="1077" w:hanging="357"/>
        <w:rPr>
          <w:rFonts w:asciiTheme="minorHAnsi" w:hAnsiTheme="minorHAnsi"/>
          <w:snapToGrid w:val="0"/>
          <w:lang w:val="en-GB"/>
        </w:rPr>
      </w:pPr>
      <w:r>
        <w:rPr>
          <w:rFonts w:asciiTheme="minorHAnsi" w:hAnsiTheme="minorHAnsi"/>
          <w:snapToGrid w:val="0"/>
          <w:lang w:val="en-GB"/>
        </w:rPr>
        <w:t>A cautionary note regarding ocular toxicity should be included and reference the need for eye exams prior to the first four doses of belantamab mafodotin;</w:t>
      </w:r>
      <w:r w:rsidR="008426F2">
        <w:rPr>
          <w:rFonts w:asciiTheme="minorHAnsi" w:hAnsiTheme="minorHAnsi"/>
          <w:snapToGrid w:val="0"/>
          <w:lang w:val="en-GB"/>
        </w:rPr>
        <w:t xml:space="preserve"> and</w:t>
      </w:r>
    </w:p>
    <w:p w14:paraId="39B2F409" w14:textId="4966F32E" w:rsidR="006C2BF0" w:rsidRDefault="006C2BF0" w:rsidP="00A21B01">
      <w:pPr>
        <w:widowControl w:val="0"/>
        <w:numPr>
          <w:ilvl w:val="1"/>
          <w:numId w:val="11"/>
        </w:numPr>
        <w:spacing w:after="120"/>
        <w:ind w:left="1077" w:hanging="357"/>
        <w:rPr>
          <w:rFonts w:asciiTheme="minorHAnsi" w:hAnsiTheme="minorHAnsi"/>
          <w:snapToGrid w:val="0"/>
          <w:lang w:val="en-GB"/>
        </w:rPr>
      </w:pPr>
      <w:r>
        <w:rPr>
          <w:rFonts w:asciiTheme="minorHAnsi" w:hAnsiTheme="minorHAnsi"/>
          <w:snapToGrid w:val="0"/>
          <w:lang w:val="en-GB"/>
        </w:rPr>
        <w:t>The restriction should prevent use in patients who have received a prior BCMA therapy.</w:t>
      </w:r>
    </w:p>
    <w:p w14:paraId="279259A4" w14:textId="7516F85B" w:rsidR="00FD547A" w:rsidRPr="00C6512B" w:rsidRDefault="00FD547A" w:rsidP="00253DB1">
      <w:pPr>
        <w:pStyle w:val="COMESnumberedpara"/>
        <w:rPr>
          <w:snapToGrid w:val="0"/>
          <w:lang w:val="en-GB"/>
        </w:rPr>
      </w:pPr>
      <w:r w:rsidRPr="00C6512B">
        <w:rPr>
          <w:snapToGrid w:val="0"/>
          <w:lang w:val="en-GB"/>
        </w:rPr>
        <w:t xml:space="preserve">The PBAC considered a resubmission for </w:t>
      </w:r>
      <w:r w:rsidR="00253DB1">
        <w:rPr>
          <w:snapToGrid w:val="0"/>
          <w:lang w:val="en-GB"/>
        </w:rPr>
        <w:t>belantamab mafodotin</w:t>
      </w:r>
      <w:r w:rsidRPr="00C6512B">
        <w:rPr>
          <w:snapToGrid w:val="0"/>
          <w:lang w:val="en-GB"/>
        </w:rPr>
        <w:t xml:space="preserve"> should address the following issues:</w:t>
      </w:r>
    </w:p>
    <w:p w14:paraId="3485A725" w14:textId="0610FF1D" w:rsidR="00FD547A" w:rsidRPr="00282369" w:rsidRDefault="00852EB1" w:rsidP="00A21B01">
      <w:pPr>
        <w:pStyle w:val="ListParagraph"/>
        <w:widowControl w:val="0"/>
        <w:numPr>
          <w:ilvl w:val="1"/>
          <w:numId w:val="12"/>
        </w:numPr>
        <w:ind w:left="1077" w:hanging="357"/>
        <w:jc w:val="both"/>
        <w:rPr>
          <w:bCs/>
          <w:lang w:val="en-GB"/>
        </w:rPr>
      </w:pPr>
      <w:r w:rsidRPr="00282369">
        <w:rPr>
          <w:bCs/>
          <w:lang w:val="en-GB"/>
        </w:rPr>
        <w:t xml:space="preserve">Revise the place in therapy and present a </w:t>
      </w:r>
      <w:r w:rsidR="009E533E">
        <w:rPr>
          <w:bCs/>
          <w:lang w:val="en-GB"/>
        </w:rPr>
        <w:t>re</w:t>
      </w:r>
      <w:r w:rsidRPr="00282369">
        <w:rPr>
          <w:bCs/>
          <w:lang w:val="en-GB"/>
        </w:rPr>
        <w:t xml:space="preserve">submission based on a broader RRMM </w:t>
      </w:r>
      <w:r w:rsidRPr="00282369">
        <w:rPr>
          <w:bCs/>
          <w:lang w:val="en-GB"/>
        </w:rPr>
        <w:lastRenderedPageBreak/>
        <w:t>listing;</w:t>
      </w:r>
    </w:p>
    <w:p w14:paraId="4C1D6795" w14:textId="48496D73" w:rsidR="00852EB1" w:rsidRPr="00282369" w:rsidRDefault="00F2348A" w:rsidP="00A21B01">
      <w:pPr>
        <w:pStyle w:val="ListParagraph"/>
        <w:widowControl w:val="0"/>
        <w:numPr>
          <w:ilvl w:val="1"/>
          <w:numId w:val="12"/>
        </w:numPr>
        <w:ind w:left="1077" w:hanging="357"/>
        <w:jc w:val="both"/>
        <w:rPr>
          <w:bCs/>
          <w:lang w:val="en-GB"/>
        </w:rPr>
      </w:pPr>
      <w:r>
        <w:rPr>
          <w:bCs/>
          <w:lang w:val="en-GB"/>
        </w:rPr>
        <w:t xml:space="preserve">The comparator should be updated to a mixed basket of drugs </w:t>
      </w:r>
      <w:r w:rsidR="007F101D" w:rsidRPr="00282369">
        <w:rPr>
          <w:bCs/>
          <w:lang w:val="en-GB"/>
        </w:rPr>
        <w:t xml:space="preserve">(see paragraph </w:t>
      </w:r>
      <w:r w:rsidR="005946C0">
        <w:rPr>
          <w:bCs/>
          <w:lang w:val="en-GB"/>
        </w:rPr>
        <w:fldChar w:fldCharType="begin"/>
      </w:r>
      <w:r w:rsidR="005946C0">
        <w:rPr>
          <w:bCs/>
          <w:lang w:val="en-GB"/>
        </w:rPr>
        <w:instrText xml:space="preserve"> REF _Ref215493759 \r \h </w:instrText>
      </w:r>
      <w:r w:rsidR="009E533E">
        <w:rPr>
          <w:bCs/>
          <w:lang w:val="en-GB"/>
        </w:rPr>
        <w:instrText xml:space="preserve"> \* MERGEFORMAT </w:instrText>
      </w:r>
      <w:r w:rsidR="005946C0">
        <w:rPr>
          <w:bCs/>
          <w:lang w:val="en-GB"/>
        </w:rPr>
      </w:r>
      <w:r w:rsidR="005946C0">
        <w:rPr>
          <w:bCs/>
          <w:lang w:val="en-GB"/>
        </w:rPr>
        <w:fldChar w:fldCharType="separate"/>
      </w:r>
      <w:r w:rsidR="00674A1F">
        <w:rPr>
          <w:bCs/>
          <w:lang w:val="en-GB"/>
        </w:rPr>
        <w:t>7.3</w:t>
      </w:r>
      <w:r w:rsidR="005946C0">
        <w:rPr>
          <w:bCs/>
          <w:lang w:val="en-GB"/>
        </w:rPr>
        <w:fldChar w:fldCharType="end"/>
      </w:r>
      <w:r w:rsidR="007F101D" w:rsidRPr="00282369">
        <w:rPr>
          <w:bCs/>
          <w:lang w:val="en-GB"/>
        </w:rPr>
        <w:t>);</w:t>
      </w:r>
    </w:p>
    <w:p w14:paraId="211D5539" w14:textId="1918FF81" w:rsidR="007F101D" w:rsidRPr="00282369" w:rsidRDefault="007F101D" w:rsidP="00A21B01">
      <w:pPr>
        <w:pStyle w:val="ListParagraph"/>
        <w:widowControl w:val="0"/>
        <w:numPr>
          <w:ilvl w:val="1"/>
          <w:numId w:val="12"/>
        </w:numPr>
        <w:ind w:left="1077" w:hanging="357"/>
        <w:jc w:val="both"/>
        <w:rPr>
          <w:bCs/>
          <w:lang w:val="en-GB"/>
        </w:rPr>
      </w:pPr>
      <w:r w:rsidRPr="00282369">
        <w:rPr>
          <w:bCs/>
          <w:lang w:val="en-GB"/>
        </w:rPr>
        <w:t xml:space="preserve">Provide a new economic </w:t>
      </w:r>
      <w:r w:rsidR="00282369" w:rsidRPr="00282369">
        <w:rPr>
          <w:bCs/>
          <w:lang w:val="en-GB"/>
        </w:rPr>
        <w:t>model;</w:t>
      </w:r>
    </w:p>
    <w:p w14:paraId="3ABD4032" w14:textId="32FCB748" w:rsidR="00282369" w:rsidRPr="00282369" w:rsidRDefault="00282369" w:rsidP="00A21B01">
      <w:pPr>
        <w:pStyle w:val="ListParagraph"/>
        <w:widowControl w:val="0"/>
        <w:numPr>
          <w:ilvl w:val="1"/>
          <w:numId w:val="12"/>
        </w:numPr>
        <w:ind w:left="1077" w:hanging="357"/>
        <w:jc w:val="both"/>
        <w:rPr>
          <w:bCs/>
          <w:lang w:val="en-GB"/>
        </w:rPr>
      </w:pPr>
      <w:r w:rsidRPr="00282369">
        <w:rPr>
          <w:bCs/>
          <w:lang w:val="en-GB"/>
        </w:rPr>
        <w:t>Provide new financial estimates;</w:t>
      </w:r>
      <w:r w:rsidR="008426F2">
        <w:rPr>
          <w:bCs/>
          <w:lang w:val="en-GB"/>
        </w:rPr>
        <w:t xml:space="preserve"> and</w:t>
      </w:r>
    </w:p>
    <w:p w14:paraId="3C199980" w14:textId="34026F95" w:rsidR="00282369" w:rsidRPr="00282369" w:rsidRDefault="00282369" w:rsidP="00A21B01">
      <w:pPr>
        <w:pStyle w:val="ListParagraph"/>
        <w:widowControl w:val="0"/>
        <w:numPr>
          <w:ilvl w:val="1"/>
          <w:numId w:val="12"/>
        </w:numPr>
        <w:ind w:left="1077" w:hanging="357"/>
        <w:jc w:val="both"/>
        <w:rPr>
          <w:bCs/>
          <w:lang w:val="en-GB"/>
        </w:rPr>
      </w:pPr>
      <w:r w:rsidRPr="00282369">
        <w:rPr>
          <w:bCs/>
          <w:lang w:val="en-GB"/>
        </w:rPr>
        <w:t xml:space="preserve">Provide a revised restriction that incorporates the advice presented in paragraph </w:t>
      </w:r>
      <w:r w:rsidR="005946C0">
        <w:rPr>
          <w:bCs/>
          <w:lang w:val="en-GB"/>
        </w:rPr>
        <w:fldChar w:fldCharType="begin"/>
      </w:r>
      <w:r w:rsidR="005946C0">
        <w:rPr>
          <w:bCs/>
          <w:lang w:val="en-GB"/>
        </w:rPr>
        <w:instrText xml:space="preserve"> REF _Ref215493774 \r \h </w:instrText>
      </w:r>
      <w:r w:rsidR="005946C0">
        <w:rPr>
          <w:bCs/>
          <w:lang w:val="en-GB"/>
        </w:rPr>
      </w:r>
      <w:r w:rsidR="005946C0">
        <w:rPr>
          <w:bCs/>
          <w:lang w:val="en-GB"/>
        </w:rPr>
        <w:fldChar w:fldCharType="separate"/>
      </w:r>
      <w:r w:rsidR="00674A1F">
        <w:rPr>
          <w:bCs/>
          <w:lang w:val="en-GB"/>
        </w:rPr>
        <w:t>7.10</w:t>
      </w:r>
      <w:r w:rsidR="005946C0">
        <w:rPr>
          <w:bCs/>
          <w:lang w:val="en-GB"/>
        </w:rPr>
        <w:fldChar w:fldCharType="end"/>
      </w:r>
      <w:r w:rsidRPr="00282369">
        <w:rPr>
          <w:bCs/>
          <w:lang w:val="en-GB"/>
        </w:rPr>
        <w:t>.</w:t>
      </w:r>
    </w:p>
    <w:p w14:paraId="066A039F" w14:textId="03D97598" w:rsidR="00FD547A" w:rsidRDefault="00FD547A" w:rsidP="00FD547A">
      <w:pPr>
        <w:widowControl w:val="0"/>
        <w:ind w:left="720"/>
        <w:rPr>
          <w:rFonts w:asciiTheme="minorHAnsi" w:hAnsiTheme="minorHAnsi"/>
          <w:bCs/>
          <w:snapToGrid w:val="0"/>
          <w:lang w:val="en-GB"/>
        </w:rPr>
      </w:pPr>
      <w:r w:rsidRPr="00C6512B">
        <w:rPr>
          <w:rFonts w:asciiTheme="minorHAnsi" w:hAnsiTheme="minorHAnsi"/>
          <w:bCs/>
          <w:snapToGrid w:val="0"/>
          <w:lang w:val="en-GB"/>
        </w:rPr>
        <w:t>The resubmission may be lodged at any future standard due date for PBAC submissions using the standard re-entry pathway.</w:t>
      </w:r>
    </w:p>
    <w:p w14:paraId="261E2530" w14:textId="09A611B0" w:rsidR="00872D3A" w:rsidRPr="00A710C5" w:rsidRDefault="00346EEE" w:rsidP="00A710C5">
      <w:pPr>
        <w:pStyle w:val="COMESnumberedpara"/>
        <w:rPr>
          <w:snapToGrid w:val="0"/>
          <w:lang w:val="en-GB"/>
        </w:rPr>
      </w:pPr>
      <w:r>
        <w:rPr>
          <w:snapToGrid w:val="0"/>
          <w:lang w:val="en-GB"/>
        </w:rPr>
        <w:t xml:space="preserve">The PBAC </w:t>
      </w:r>
      <w:r w:rsidR="00E66519">
        <w:rPr>
          <w:snapToGrid w:val="0"/>
          <w:lang w:val="en-GB"/>
        </w:rPr>
        <w:t xml:space="preserve">noted the </w:t>
      </w:r>
      <w:r w:rsidR="009346D6">
        <w:rPr>
          <w:snapToGrid w:val="0"/>
          <w:lang w:val="en-GB"/>
        </w:rPr>
        <w:t xml:space="preserve">outcome from the </w:t>
      </w:r>
      <w:r w:rsidR="004F7AEF">
        <w:rPr>
          <w:snapToGrid w:val="0"/>
          <w:lang w:val="en-GB"/>
        </w:rPr>
        <w:t>M</w:t>
      </w:r>
      <w:r w:rsidR="009346D6">
        <w:rPr>
          <w:snapToGrid w:val="0"/>
          <w:lang w:val="en-GB"/>
        </w:rPr>
        <w:t>ultiple Myeloma</w:t>
      </w:r>
      <w:r w:rsidR="004F7AEF">
        <w:rPr>
          <w:snapToGrid w:val="0"/>
          <w:lang w:val="en-GB"/>
        </w:rPr>
        <w:t xml:space="preserve"> </w:t>
      </w:r>
      <w:r w:rsidR="00E66519">
        <w:rPr>
          <w:snapToGrid w:val="0"/>
          <w:lang w:val="en-GB"/>
        </w:rPr>
        <w:t xml:space="preserve">Stakeholder </w:t>
      </w:r>
      <w:r w:rsidR="004F7AEF">
        <w:rPr>
          <w:snapToGrid w:val="0"/>
          <w:lang w:val="en-GB"/>
        </w:rPr>
        <w:t xml:space="preserve">meeting </w:t>
      </w:r>
      <w:r w:rsidR="009346D6">
        <w:rPr>
          <w:snapToGrid w:val="0"/>
          <w:lang w:val="en-GB"/>
        </w:rPr>
        <w:t xml:space="preserve">stated </w:t>
      </w:r>
      <w:r>
        <w:rPr>
          <w:snapToGrid w:val="0"/>
          <w:lang w:val="en-GB"/>
        </w:rPr>
        <w:t xml:space="preserve">that </w:t>
      </w:r>
      <w:r w:rsidR="00DD0723">
        <w:rPr>
          <w:snapToGrid w:val="0"/>
          <w:lang w:val="en-GB"/>
        </w:rPr>
        <w:t xml:space="preserve">the assessment of sustained </w:t>
      </w:r>
      <w:r w:rsidR="00EE683A">
        <w:rPr>
          <w:snapToGrid w:val="0"/>
          <w:lang w:val="en-GB"/>
        </w:rPr>
        <w:t>minimal resid</w:t>
      </w:r>
      <w:r w:rsidR="000B784E">
        <w:rPr>
          <w:snapToGrid w:val="0"/>
          <w:lang w:val="en-GB"/>
        </w:rPr>
        <w:t xml:space="preserve">ual disease </w:t>
      </w:r>
      <w:r w:rsidR="008D220C">
        <w:rPr>
          <w:snapToGrid w:val="0"/>
          <w:lang w:val="en-GB"/>
        </w:rPr>
        <w:t xml:space="preserve">(MRD) </w:t>
      </w:r>
      <w:r w:rsidR="00DD0723">
        <w:rPr>
          <w:snapToGrid w:val="0"/>
          <w:lang w:val="en-GB"/>
        </w:rPr>
        <w:t xml:space="preserve">negativity </w:t>
      </w:r>
      <w:r w:rsidR="000B784E">
        <w:rPr>
          <w:snapToGrid w:val="0"/>
          <w:lang w:val="en-GB"/>
        </w:rPr>
        <w:t xml:space="preserve">may </w:t>
      </w:r>
      <w:r w:rsidR="00DD0723">
        <w:rPr>
          <w:snapToGrid w:val="0"/>
          <w:lang w:val="en-GB"/>
        </w:rPr>
        <w:t xml:space="preserve">deliver substantial clinical and economic benefits </w:t>
      </w:r>
      <w:r w:rsidR="003A4D07">
        <w:rPr>
          <w:snapToGrid w:val="0"/>
          <w:lang w:val="en-GB"/>
        </w:rPr>
        <w:t>by enabling treatment decisions that support treatment cessation, reduce unnecessary medication use and minimise toxicity</w:t>
      </w:r>
      <w:r w:rsidR="00E2638A">
        <w:rPr>
          <w:snapToGrid w:val="0"/>
          <w:lang w:val="en-GB"/>
        </w:rPr>
        <w:t>. The PBAC noted that equitable access to funded technology to measure MRD would be required.</w:t>
      </w:r>
      <w:r w:rsidR="00A43718">
        <w:rPr>
          <w:snapToGrid w:val="0"/>
          <w:lang w:val="en-GB"/>
        </w:rPr>
        <w:t xml:space="preserve"> </w:t>
      </w:r>
    </w:p>
    <w:p w14:paraId="7F423440" w14:textId="7EF6B7A5" w:rsidR="00FD547A" w:rsidRPr="007D4707" w:rsidRDefault="00FD547A" w:rsidP="005946C0">
      <w:pPr>
        <w:pStyle w:val="COMESnumberedpara"/>
        <w:rPr>
          <w:snapToGrid w:val="0"/>
          <w:lang w:val="en-GB"/>
        </w:rPr>
      </w:pPr>
      <w:r w:rsidRPr="00525B39">
        <w:rPr>
          <w:snapToGrid w:val="0"/>
          <w:lang w:val="en-GB"/>
        </w:rPr>
        <w:t xml:space="preserve">The PBAC noted that this submission is eligible for an Independent Review. </w:t>
      </w:r>
    </w:p>
    <w:p w14:paraId="29DB8917" w14:textId="77777777" w:rsidR="00FD547A" w:rsidRPr="00525B39" w:rsidRDefault="00FD547A" w:rsidP="00FD547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6270B59" w14:textId="7C22A158" w:rsidR="00FD547A" w:rsidRDefault="00FD547A" w:rsidP="00FD547A">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05291D33" w14:textId="77777777" w:rsidR="00C97F3A" w:rsidRPr="00C97F3A" w:rsidRDefault="00C97F3A" w:rsidP="00C97F3A">
      <w:pPr>
        <w:keepNext/>
        <w:spacing w:before="240" w:after="120"/>
        <w:ind w:left="720" w:hanging="720"/>
        <w:jc w:val="left"/>
        <w:outlineLvl w:val="0"/>
        <w:rPr>
          <w:rFonts w:asciiTheme="minorHAnsi" w:hAnsiTheme="minorHAnsi"/>
          <w:b/>
          <w:bCs/>
          <w:snapToGrid w:val="0"/>
          <w:sz w:val="32"/>
          <w:szCs w:val="32"/>
          <w:lang w:val="en-GB"/>
        </w:rPr>
      </w:pPr>
      <w:bookmarkStart w:id="86" w:name="_Hlk218759984"/>
      <w:r w:rsidRPr="00C97F3A">
        <w:rPr>
          <w:rFonts w:asciiTheme="minorHAnsi" w:hAnsiTheme="minorHAnsi"/>
          <w:b/>
          <w:snapToGrid w:val="0"/>
          <w:sz w:val="32"/>
          <w:szCs w:val="32"/>
        </w:rPr>
        <w:t>9</w:t>
      </w:r>
      <w:r w:rsidRPr="00C97F3A">
        <w:rPr>
          <w:rFonts w:asciiTheme="minorHAnsi" w:hAnsiTheme="minorHAnsi"/>
          <w:b/>
          <w:snapToGrid w:val="0"/>
          <w:sz w:val="32"/>
          <w:szCs w:val="32"/>
        </w:rPr>
        <w:tab/>
        <w:t>Context for Decision</w:t>
      </w:r>
    </w:p>
    <w:p w14:paraId="1551D83D" w14:textId="77777777" w:rsidR="00C97F3A" w:rsidRDefault="00C97F3A" w:rsidP="00C97F3A">
      <w:pPr>
        <w:spacing w:after="120"/>
        <w:ind w:left="720"/>
        <w:rPr>
          <w:rFonts w:asciiTheme="minorHAnsi" w:hAnsiTheme="minorHAnsi"/>
          <w:bCs/>
          <w:lang w:val="en-GB"/>
        </w:rPr>
      </w:pPr>
      <w:r w:rsidRPr="00C97F3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AF7404" w14:textId="77777777" w:rsidR="001F333D" w:rsidRPr="001F333D" w:rsidRDefault="001F333D" w:rsidP="001F333D">
      <w:pPr>
        <w:keepNext/>
        <w:spacing w:before="240" w:after="120"/>
        <w:ind w:left="720" w:hanging="720"/>
        <w:jc w:val="left"/>
        <w:outlineLvl w:val="0"/>
        <w:rPr>
          <w:rFonts w:asciiTheme="minorHAnsi" w:hAnsiTheme="minorHAnsi"/>
          <w:b/>
          <w:snapToGrid w:val="0"/>
          <w:sz w:val="32"/>
          <w:szCs w:val="32"/>
        </w:rPr>
      </w:pPr>
      <w:r w:rsidRPr="001F333D">
        <w:rPr>
          <w:rFonts w:asciiTheme="minorHAnsi" w:hAnsiTheme="minorHAnsi"/>
          <w:b/>
          <w:snapToGrid w:val="0"/>
          <w:sz w:val="32"/>
          <w:szCs w:val="32"/>
        </w:rPr>
        <w:t>10</w:t>
      </w:r>
      <w:r w:rsidRPr="001F333D">
        <w:rPr>
          <w:rFonts w:asciiTheme="minorHAnsi" w:hAnsiTheme="minorHAnsi"/>
          <w:b/>
          <w:snapToGrid w:val="0"/>
          <w:sz w:val="32"/>
          <w:szCs w:val="32"/>
        </w:rPr>
        <w:tab/>
        <w:t>Sponsor’s Comment</w:t>
      </w:r>
    </w:p>
    <w:p w14:paraId="0AF89EA1" w14:textId="265E3949" w:rsidR="00E55915" w:rsidRPr="0040410B" w:rsidRDefault="00094AE2" w:rsidP="0040410B">
      <w:pPr>
        <w:spacing w:after="120"/>
        <w:ind w:left="720"/>
        <w:rPr>
          <w:rFonts w:asciiTheme="minorHAnsi" w:hAnsiTheme="minorHAnsi"/>
          <w:bCs/>
          <w:lang w:val="en-GB"/>
        </w:rPr>
      </w:pPr>
      <w:r w:rsidRPr="00F83FA7">
        <w:rPr>
          <w:rFonts w:asciiTheme="minorHAnsi" w:eastAsiaTheme="minorHAnsi" w:hAnsiTheme="minorHAnsi"/>
          <w:bCs/>
          <w:szCs w:val="22"/>
          <w:lang w:eastAsia="en-US"/>
        </w:rPr>
        <w:t>GSK is disappointed by the decision not to recommend belantamab mafodotin (</w:t>
      </w:r>
      <w:proofErr w:type="spellStart"/>
      <w:r w:rsidRPr="00F83FA7">
        <w:rPr>
          <w:rFonts w:asciiTheme="minorHAnsi" w:eastAsiaTheme="minorHAnsi" w:hAnsiTheme="minorHAnsi"/>
          <w:bCs/>
          <w:szCs w:val="22"/>
          <w:lang w:eastAsia="en-US"/>
        </w:rPr>
        <w:t>Blenrep</w:t>
      </w:r>
      <w:proofErr w:type="spellEnd"/>
      <w:r w:rsidRPr="00F83FA7">
        <w:rPr>
          <w:rFonts w:asciiTheme="minorHAnsi" w:eastAsiaTheme="minorHAnsi" w:hAnsiTheme="minorHAnsi"/>
          <w:bCs/>
          <w:szCs w:val="22"/>
          <w:lang w:eastAsia="en-US"/>
        </w:rPr>
        <w:t>®), in combination with bortezomib and dexamethasone (</w:t>
      </w:r>
      <w:proofErr w:type="spellStart"/>
      <w:r w:rsidRPr="00F83FA7">
        <w:rPr>
          <w:rFonts w:asciiTheme="minorHAnsi" w:eastAsiaTheme="minorHAnsi" w:hAnsiTheme="minorHAnsi"/>
          <w:bCs/>
          <w:szCs w:val="22"/>
          <w:lang w:eastAsia="en-US"/>
        </w:rPr>
        <w:t>BVd</w:t>
      </w:r>
      <w:proofErr w:type="spellEnd"/>
      <w:r w:rsidRPr="00F83FA7">
        <w:rPr>
          <w:rFonts w:asciiTheme="minorHAnsi" w:eastAsiaTheme="minorHAnsi" w:hAnsiTheme="minorHAnsi"/>
          <w:bCs/>
          <w:szCs w:val="22"/>
          <w:lang w:eastAsia="en-US"/>
        </w:rPr>
        <w:t xml:space="preserve">). Equitable access to </w:t>
      </w:r>
      <w:proofErr w:type="spellStart"/>
      <w:r w:rsidRPr="00F83FA7">
        <w:rPr>
          <w:rFonts w:asciiTheme="minorHAnsi" w:eastAsiaTheme="minorHAnsi" w:hAnsiTheme="minorHAnsi"/>
          <w:bCs/>
          <w:szCs w:val="22"/>
          <w:lang w:eastAsia="en-US"/>
        </w:rPr>
        <w:t>BVd</w:t>
      </w:r>
      <w:proofErr w:type="spellEnd"/>
      <w:r w:rsidRPr="00F83FA7">
        <w:rPr>
          <w:rFonts w:asciiTheme="minorHAnsi" w:eastAsiaTheme="minorHAnsi" w:hAnsiTheme="minorHAnsi"/>
          <w:bCs/>
          <w:szCs w:val="22"/>
          <w:lang w:eastAsia="en-US"/>
        </w:rPr>
        <w:t xml:space="preserve"> for relapsed and/or refractory multiple myeloma (RRMM) is a priority for GSK, noting that the current PBS listings of drugs for RRMM create challenges in practice for the optimal sequencing of RRMM treatments. GSK will work with the PBAC to ensure such barriers to optimal care are resolved in a future resubmission.</w:t>
      </w:r>
      <w:bookmarkEnd w:id="82"/>
      <w:bookmarkEnd w:id="83"/>
      <w:bookmarkEnd w:id="86"/>
    </w:p>
    <w:sectPr w:rsidR="00E55915" w:rsidRPr="0040410B" w:rsidSect="0068430B">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39C3" w14:textId="77777777" w:rsidR="00CD241D" w:rsidRPr="00512D7B" w:rsidRDefault="00CD241D" w:rsidP="00124A51">
      <w:r w:rsidRPr="00512D7B">
        <w:separator/>
      </w:r>
    </w:p>
    <w:p w14:paraId="75CEA4C2" w14:textId="77777777" w:rsidR="00CD241D" w:rsidRPr="00512D7B" w:rsidRDefault="00CD241D"/>
    <w:p w14:paraId="1393AC27" w14:textId="77777777" w:rsidR="00CD241D" w:rsidRPr="00512D7B" w:rsidRDefault="00CD241D"/>
    <w:p w14:paraId="23400972" w14:textId="77777777" w:rsidR="00CD241D" w:rsidRPr="00512D7B" w:rsidRDefault="00CD241D"/>
    <w:p w14:paraId="6AB71382" w14:textId="77777777" w:rsidR="00CD241D" w:rsidRPr="00512D7B" w:rsidRDefault="00CD241D"/>
  </w:endnote>
  <w:endnote w:type="continuationSeparator" w:id="0">
    <w:p w14:paraId="648CCEB0" w14:textId="77777777" w:rsidR="00CD241D" w:rsidRPr="00512D7B" w:rsidRDefault="00CD241D" w:rsidP="00124A51">
      <w:r w:rsidRPr="00512D7B">
        <w:continuationSeparator/>
      </w:r>
    </w:p>
    <w:p w14:paraId="08E22044" w14:textId="77777777" w:rsidR="00CD241D" w:rsidRPr="00512D7B" w:rsidRDefault="00CD241D"/>
    <w:p w14:paraId="65FC7A83" w14:textId="77777777" w:rsidR="00CD241D" w:rsidRPr="00512D7B" w:rsidRDefault="00CD241D"/>
    <w:p w14:paraId="21F4DB11" w14:textId="77777777" w:rsidR="00CD241D" w:rsidRPr="00512D7B" w:rsidRDefault="00CD241D"/>
    <w:p w14:paraId="4984EF18" w14:textId="77777777" w:rsidR="00CD241D" w:rsidRPr="00512D7B" w:rsidRDefault="00CD2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EE7C" w14:textId="6284041F" w:rsidR="00AD1EFD" w:rsidRDefault="00AD1EFD">
    <w:pPr>
      <w:pStyle w:val="Footer"/>
    </w:pPr>
    <w:r>
      <w:rPr>
        <w:noProof/>
      </w:rPr>
      <mc:AlternateContent>
        <mc:Choice Requires="wps">
          <w:drawing>
            <wp:anchor distT="0" distB="0" distL="0" distR="0" simplePos="0" relativeHeight="251658244" behindDoc="0" locked="0" layoutInCell="1" allowOverlap="1" wp14:anchorId="7D9EFA5E" wp14:editId="27437CF1">
              <wp:simplePos x="635" y="635"/>
              <wp:positionH relativeFrom="page">
                <wp:align>center</wp:align>
              </wp:positionH>
              <wp:positionV relativeFrom="page">
                <wp:align>bottom</wp:align>
              </wp:positionV>
              <wp:extent cx="622300" cy="376555"/>
              <wp:effectExtent l="0" t="0" r="6350" b="0"/>
              <wp:wrapNone/>
              <wp:docPr id="2080415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8F8EA5" w14:textId="746041C1"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EFA5E"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E8F8EA5" w14:textId="746041C1"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A996AB0" w:rsidR="00D843F2" w:rsidRPr="00512D7B" w:rsidRDefault="00AD1EFD" w:rsidP="00753B29">
    <w:pPr>
      <w:jc w:val="center"/>
    </w:pPr>
    <w:r>
      <w:rPr>
        <w:noProof/>
      </w:rPr>
      <mc:AlternateContent>
        <mc:Choice Requires="wps">
          <w:drawing>
            <wp:anchor distT="0" distB="0" distL="0" distR="0" simplePos="0" relativeHeight="251658245" behindDoc="0" locked="0" layoutInCell="1" allowOverlap="1" wp14:anchorId="1A9ED734" wp14:editId="3E8D74B5">
              <wp:simplePos x="635" y="635"/>
              <wp:positionH relativeFrom="page">
                <wp:align>center</wp:align>
              </wp:positionH>
              <wp:positionV relativeFrom="page">
                <wp:align>bottom</wp:align>
              </wp:positionV>
              <wp:extent cx="622300" cy="376555"/>
              <wp:effectExtent l="0" t="0" r="6350" b="0"/>
              <wp:wrapNone/>
              <wp:docPr id="15575414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A08B3" w14:textId="37CC9637"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ED73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E1A08B3" w14:textId="37CC9637"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p>
  <w:p w14:paraId="37484CD3" w14:textId="6A197F42" w:rsidR="00D843F2" w:rsidRPr="00512D7B" w:rsidRDefault="00000000" w:rsidP="006028D3">
    <w:pPr>
      <w:pStyle w:val="PageFooter"/>
    </w:pPr>
    <w:sdt>
      <w:sdtPr>
        <w:id w:val="1036156457"/>
        <w:docPartObj>
          <w:docPartGallery w:val="Page Numbers (Bottom of Page)"/>
          <w:docPartUnique/>
        </w:docPartObj>
      </w:sdtPr>
      <w:sdtContent>
        <w:r w:rsidR="00D843F2" w:rsidRPr="00512D7B">
          <w:fldChar w:fldCharType="begin"/>
        </w:r>
        <w:r w:rsidR="00D843F2" w:rsidRPr="00512D7B">
          <w:instrText xml:space="preserve"> PAGE   \* MERGEFORMAT </w:instrText>
        </w:r>
        <w:r w:rsidR="00D843F2" w:rsidRPr="00512D7B">
          <w:fldChar w:fldCharType="separate"/>
        </w:r>
        <w:r w:rsidR="00D843F2" w:rsidRPr="00512D7B">
          <w:t>2</w:t>
        </w:r>
        <w:r w:rsidR="00D843F2" w:rsidRPr="00512D7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19FF" w14:textId="266AD183" w:rsidR="00AD1EFD" w:rsidRDefault="00AD1EFD">
    <w:pPr>
      <w:pStyle w:val="Footer"/>
    </w:pPr>
    <w:r>
      <w:rPr>
        <w:noProof/>
      </w:rPr>
      <mc:AlternateContent>
        <mc:Choice Requires="wps">
          <w:drawing>
            <wp:anchor distT="0" distB="0" distL="0" distR="0" simplePos="0" relativeHeight="251658243" behindDoc="0" locked="0" layoutInCell="1" allowOverlap="1" wp14:anchorId="6AF44669" wp14:editId="5842B12A">
              <wp:simplePos x="635" y="635"/>
              <wp:positionH relativeFrom="page">
                <wp:align>center</wp:align>
              </wp:positionH>
              <wp:positionV relativeFrom="page">
                <wp:align>bottom</wp:align>
              </wp:positionV>
              <wp:extent cx="622300" cy="376555"/>
              <wp:effectExtent l="0" t="0" r="6350" b="0"/>
              <wp:wrapNone/>
              <wp:docPr id="6872333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DCF9B1" w14:textId="1B63E0FB"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44669"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FDCF9B1" w14:textId="1B63E0FB"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00E1" w14:textId="77777777" w:rsidR="00CD241D" w:rsidRPr="00512D7B" w:rsidRDefault="00CD241D" w:rsidP="00124A51">
      <w:r w:rsidRPr="00512D7B">
        <w:separator/>
      </w:r>
    </w:p>
    <w:p w14:paraId="0BE376D5" w14:textId="77777777" w:rsidR="00CD241D" w:rsidRPr="00512D7B" w:rsidRDefault="00CD241D"/>
    <w:p w14:paraId="30527A9C" w14:textId="77777777" w:rsidR="00CD241D" w:rsidRPr="00512D7B" w:rsidRDefault="00CD241D"/>
    <w:p w14:paraId="6736731C" w14:textId="77777777" w:rsidR="00CD241D" w:rsidRPr="00512D7B" w:rsidRDefault="00CD241D"/>
    <w:p w14:paraId="2EEADB1B" w14:textId="77777777" w:rsidR="00CD241D" w:rsidRPr="00512D7B" w:rsidRDefault="00CD241D"/>
  </w:footnote>
  <w:footnote w:type="continuationSeparator" w:id="0">
    <w:p w14:paraId="0DEF1D6D" w14:textId="77777777" w:rsidR="00CD241D" w:rsidRPr="00512D7B" w:rsidRDefault="00CD241D" w:rsidP="00124A51">
      <w:r w:rsidRPr="00512D7B">
        <w:continuationSeparator/>
      </w:r>
    </w:p>
    <w:p w14:paraId="29488890" w14:textId="77777777" w:rsidR="00CD241D" w:rsidRPr="00512D7B" w:rsidRDefault="00CD241D"/>
    <w:p w14:paraId="5EABBC00" w14:textId="77777777" w:rsidR="00CD241D" w:rsidRPr="00512D7B" w:rsidRDefault="00CD241D"/>
    <w:p w14:paraId="7D5834F9" w14:textId="77777777" w:rsidR="00CD241D" w:rsidRPr="00512D7B" w:rsidRDefault="00CD241D"/>
    <w:p w14:paraId="3BF520A7" w14:textId="77777777" w:rsidR="00CD241D" w:rsidRPr="00512D7B" w:rsidRDefault="00CD241D"/>
  </w:footnote>
  <w:footnote w:id="1">
    <w:p w14:paraId="703A9E7C" w14:textId="77777777" w:rsidR="00E85338" w:rsidRPr="00512D7B" w:rsidRDefault="00E85338" w:rsidP="00E85338">
      <w:pPr>
        <w:pStyle w:val="FootnoteText"/>
      </w:pPr>
      <w:r w:rsidRPr="00512D7B">
        <w:rPr>
          <w:rStyle w:val="FootnoteReference"/>
        </w:rPr>
        <w:footnoteRef/>
      </w:r>
      <w:r w:rsidRPr="00512D7B">
        <w:t xml:space="preserve"> Multiple Myeloma Stakeholder Meeting Outcome Statement. July 2025. Available at: https://www.pbs.gov.au/industry/listing/elements/pbac-meetings/pbac-stakeholder-meetings/Multiple-Myeloma-Meeting-Outcome-Statement.pdf</w:t>
      </w:r>
    </w:p>
  </w:footnote>
  <w:footnote w:id="2">
    <w:p w14:paraId="6279873F" w14:textId="77777777" w:rsidR="001E5DE3" w:rsidRPr="001E5DE3" w:rsidRDefault="00176ADA" w:rsidP="001E5DE3">
      <w:pPr>
        <w:pStyle w:val="FootnoteText"/>
      </w:pPr>
      <w:r>
        <w:rPr>
          <w:rStyle w:val="FootnoteReference"/>
        </w:rPr>
        <w:footnoteRef/>
      </w:r>
      <w:r>
        <w:t xml:space="preserve"> </w:t>
      </w:r>
      <w:r w:rsidR="001E5DE3" w:rsidRPr="001E5DE3">
        <w:rPr>
          <w:i/>
          <w:iCs/>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4402E3EF" w14:textId="6B466AB4" w:rsidR="00176ADA" w:rsidRDefault="00176ADA">
      <w:pPr>
        <w:pStyle w:val="FootnoteText"/>
      </w:pPr>
    </w:p>
  </w:footnote>
  <w:footnote w:id="3">
    <w:p w14:paraId="27CB5B84" w14:textId="2CD96310" w:rsidR="00D67EC1" w:rsidRPr="00D67EC1" w:rsidRDefault="00D67EC1" w:rsidP="00D67EC1">
      <w:pPr>
        <w:pStyle w:val="pf0"/>
        <w:rPr>
          <w:rFonts w:ascii="Arial" w:hAnsi="Arial"/>
          <w:sz w:val="20"/>
          <w:szCs w:val="20"/>
        </w:rPr>
      </w:pPr>
      <w:r>
        <w:rPr>
          <w:rStyle w:val="FootnoteReference"/>
        </w:rPr>
        <w:footnoteRef/>
      </w:r>
      <w:r>
        <w:t xml:space="preserve"> </w:t>
      </w:r>
      <w:r w:rsidRPr="00D67EC1">
        <w:rPr>
          <w:rFonts w:ascii="Segoe UI" w:hAnsi="Segoe UI" w:cs="Segoe UI"/>
          <w:i/>
          <w:iCs/>
          <w:color w:val="222222"/>
          <w:sz w:val="18"/>
          <w:szCs w:val="18"/>
          <w:shd w:val="clear" w:color="auto" w:fill="FFFFFF"/>
        </w:rPr>
        <w:t>Note that the results presented in Table 4 for the lenalidomide-exposed subgroup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4">
    <w:p w14:paraId="2C55827F" w14:textId="1F0B525C" w:rsidR="00573D8E" w:rsidRDefault="00573D8E">
      <w:pPr>
        <w:pStyle w:val="FootnoteText"/>
      </w:pPr>
      <w:r>
        <w:rPr>
          <w:rStyle w:val="FootnoteReference"/>
        </w:rPr>
        <w:footnoteRef/>
      </w:r>
      <w:r>
        <w:t xml:space="preserve"> </w:t>
      </w:r>
      <w:r w:rsidRPr="00573D8E">
        <w:rPr>
          <w:i/>
          <w:iCs/>
        </w:rPr>
        <w:t>Note that the results presented in Figure 1 is derived from ad-hoc/ post-hoc analyses conducted by the applicant specifically for the purposes of informing the PBAC consideration. PFS was not formally re-tested at IA2 given statistical significance was achieved at IA1 in DREAMM-7.  Interpretation of the results and their application should therefore be limited to seeking to understand the basis for the PBAC outcome and should not be used for any other purpose.</w:t>
      </w:r>
    </w:p>
  </w:footnote>
  <w:footnote w:id="5">
    <w:p w14:paraId="307F3563" w14:textId="721B1633" w:rsidR="008F5881" w:rsidRDefault="008F5881">
      <w:pPr>
        <w:pStyle w:val="FootnoteText"/>
        <w:rPr>
          <w:rFonts w:ascii="Segoe UI" w:eastAsia="Times New Roman" w:hAnsi="Segoe UI" w:cs="Segoe UI"/>
          <w:i/>
          <w:iCs/>
          <w:color w:val="222222"/>
          <w:sz w:val="18"/>
          <w:szCs w:val="18"/>
          <w:shd w:val="clear" w:color="auto" w:fill="FFFFFF"/>
        </w:rPr>
      </w:pPr>
      <w:r>
        <w:rPr>
          <w:rStyle w:val="FootnoteReference"/>
        </w:rPr>
        <w:footnoteRef/>
      </w:r>
      <w:r>
        <w:t xml:space="preserve"> </w:t>
      </w:r>
      <w:r w:rsidRPr="008F5881">
        <w:rPr>
          <w:rFonts w:ascii="Segoe UI" w:eastAsia="Times New Roman" w:hAnsi="Segoe UI" w:cs="Segoe UI"/>
          <w:i/>
          <w:iCs/>
          <w:color w:val="222222"/>
          <w:sz w:val="18"/>
          <w:szCs w:val="18"/>
          <w:shd w:val="clear" w:color="auto" w:fill="FFFFFF"/>
        </w:rPr>
        <w:t>Note that the results presented in Figure 2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0806116C" w14:textId="77777777" w:rsidR="00C272F4" w:rsidRDefault="00C272F4">
      <w:pPr>
        <w:pStyle w:val="FootnoteText"/>
      </w:pPr>
    </w:p>
  </w:footnote>
  <w:footnote w:id="6">
    <w:p w14:paraId="40864EC7" w14:textId="64E64B52" w:rsidR="00C272F4" w:rsidRDefault="00C272F4">
      <w:pPr>
        <w:pStyle w:val="FootnoteText"/>
      </w:pPr>
      <w:r>
        <w:rPr>
          <w:rStyle w:val="FootnoteReference"/>
        </w:rPr>
        <w:footnoteRef/>
      </w:r>
      <w:r>
        <w:t xml:space="preserve"> </w:t>
      </w:r>
      <w:r w:rsidRPr="00C272F4">
        <w:rPr>
          <w:rFonts w:ascii="Segoe UI" w:eastAsia="Times New Roman" w:hAnsi="Segoe UI" w:cs="Segoe UI"/>
          <w:i/>
          <w:iCs/>
          <w:color w:val="222222"/>
          <w:sz w:val="18"/>
          <w:szCs w:val="18"/>
          <w:shd w:val="clear" w:color="auto" w:fill="FFFFFF"/>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7">
    <w:p w14:paraId="45B3131D" w14:textId="0ADFD3EA" w:rsidR="00DE67DD" w:rsidRDefault="00DE67DD">
      <w:pPr>
        <w:pStyle w:val="FootnoteText"/>
      </w:pPr>
      <w:r>
        <w:rPr>
          <w:rStyle w:val="FootnoteReference"/>
        </w:rPr>
        <w:footnoteRef/>
      </w:r>
      <w:r>
        <w:t xml:space="preserve"> </w:t>
      </w:r>
      <w:r w:rsidRPr="00DE67DD">
        <w:rPr>
          <w:rFonts w:ascii="Segoe UI" w:eastAsia="Times New Roman" w:hAnsi="Segoe UI" w:cs="Segoe UI"/>
          <w:i/>
          <w:iCs/>
          <w:color w:val="222222"/>
          <w:sz w:val="18"/>
          <w:szCs w:val="18"/>
          <w:shd w:val="clear" w:color="auto" w:fill="FFFFFF"/>
        </w:rPr>
        <w:t>Note that the results presented in Table 5 for the lenalidomide-exposed subgroup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8">
    <w:p w14:paraId="6CAA9FC5" w14:textId="77777777" w:rsidR="007F4F9C" w:rsidRPr="007F4F9C" w:rsidRDefault="007F4F9C" w:rsidP="007F4F9C">
      <w:pPr>
        <w:pStyle w:val="FootnoteText"/>
      </w:pPr>
      <w:r>
        <w:rPr>
          <w:rStyle w:val="FootnoteReference"/>
        </w:rPr>
        <w:footnoteRef/>
      </w:r>
      <w:r>
        <w:t xml:space="preserve"> </w:t>
      </w:r>
      <w:r w:rsidRPr="007F4F9C">
        <w:rPr>
          <w:i/>
          <w:iCs/>
        </w:rPr>
        <w:t>Note that the results presented in Figure 4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6FA2CD64" w14:textId="68C0373C" w:rsidR="007F4F9C" w:rsidRDefault="007F4F9C">
      <w:pPr>
        <w:pStyle w:val="FootnoteText"/>
      </w:pPr>
    </w:p>
  </w:footnote>
  <w:footnote w:id="9">
    <w:p w14:paraId="7ADBF9C4" w14:textId="77777777" w:rsidR="00923333" w:rsidRPr="00923333" w:rsidRDefault="00923333" w:rsidP="00923333">
      <w:pPr>
        <w:pStyle w:val="FootnoteText"/>
      </w:pPr>
      <w:r>
        <w:rPr>
          <w:rStyle w:val="FootnoteReference"/>
        </w:rPr>
        <w:footnoteRef/>
      </w:r>
      <w:r>
        <w:t xml:space="preserve"> </w:t>
      </w:r>
      <w:r w:rsidRPr="00923333">
        <w:rPr>
          <w:i/>
          <w:iCs/>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4D4BE836" w14:textId="6409C2DF" w:rsidR="00923333" w:rsidRDefault="00923333">
      <w:pPr>
        <w:pStyle w:val="FootnoteText"/>
      </w:pPr>
    </w:p>
  </w:footnote>
  <w:footnote w:id="10">
    <w:p w14:paraId="42861732" w14:textId="673EE202" w:rsidR="00E23291" w:rsidRDefault="00E23291">
      <w:pPr>
        <w:pStyle w:val="FootnoteText"/>
      </w:pPr>
      <w:r>
        <w:rPr>
          <w:rStyle w:val="FootnoteReference"/>
        </w:rPr>
        <w:footnoteRef/>
      </w:r>
      <w:r>
        <w:t xml:space="preserve"> </w:t>
      </w:r>
      <w:r w:rsidRPr="00E23291">
        <w:rPr>
          <w:i/>
          <w:iCs/>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1">
    <w:p w14:paraId="25ADAFAC" w14:textId="5EE142E0" w:rsidR="00E23291" w:rsidRDefault="00E23291">
      <w:pPr>
        <w:pStyle w:val="FootnoteText"/>
      </w:pPr>
      <w:r>
        <w:rPr>
          <w:rStyle w:val="FootnoteReference"/>
        </w:rPr>
        <w:footnoteRef/>
      </w:r>
      <w:r>
        <w:t xml:space="preserve"> </w:t>
      </w:r>
      <w:r w:rsidRPr="00E23291">
        <w:rPr>
          <w:rFonts w:ascii="Segoe UI" w:eastAsia="Times New Roman" w:hAnsi="Segoe UI" w:cs="Segoe UI"/>
          <w:i/>
          <w:iCs/>
          <w:color w:val="222222"/>
          <w:sz w:val="18"/>
          <w:szCs w:val="18"/>
          <w:shd w:val="clear" w:color="auto" w:fill="FFFFFF"/>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2">
    <w:p w14:paraId="0554635E" w14:textId="2A73BCF6" w:rsidR="001B67AD" w:rsidRDefault="001B67AD">
      <w:pPr>
        <w:pStyle w:val="FootnoteText"/>
      </w:pPr>
      <w:r>
        <w:rPr>
          <w:rStyle w:val="FootnoteReference"/>
        </w:rPr>
        <w:footnoteRef/>
      </w:r>
      <w:r>
        <w:t xml:space="preserve"> </w:t>
      </w:r>
      <w:r w:rsidRPr="001B67AD">
        <w:rPr>
          <w:rFonts w:ascii="Segoe UI" w:eastAsia="Times New Roman" w:hAnsi="Segoe UI" w:cs="Segoe UI"/>
          <w:i/>
          <w:iCs/>
          <w:color w:val="222222"/>
          <w:sz w:val="18"/>
          <w:szCs w:val="18"/>
          <w:shd w:val="clear" w:color="auto" w:fill="FFFFFF"/>
        </w:rPr>
        <w:t>Note that the results presented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3">
    <w:p w14:paraId="22C71801" w14:textId="3E5AAA0B" w:rsidR="00FE3DC0" w:rsidRDefault="00FE3DC0">
      <w:pPr>
        <w:pStyle w:val="FootnoteText"/>
      </w:pPr>
      <w:r>
        <w:rPr>
          <w:rStyle w:val="FootnoteReference"/>
        </w:rPr>
        <w:footnoteRef/>
      </w:r>
      <w:r>
        <w:t xml:space="preserve"> </w:t>
      </w:r>
      <w:r w:rsidRPr="00FE3DC0">
        <w:rPr>
          <w:rFonts w:ascii="Segoe UI" w:eastAsia="Times New Roman" w:hAnsi="Segoe UI" w:cs="Segoe UI"/>
          <w:i/>
          <w:iCs/>
          <w:color w:val="222222"/>
          <w:sz w:val="18"/>
          <w:szCs w:val="18"/>
          <w:shd w:val="clear" w:color="auto" w:fill="FFFFFF"/>
        </w:rPr>
        <w:t>Note that the results presented in Table 9 for the lenalidomide-exposed subgroup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4">
    <w:p w14:paraId="6952BD89" w14:textId="1D4A70EE" w:rsidR="000C7F7A" w:rsidRDefault="000C7F7A">
      <w:pPr>
        <w:pStyle w:val="FootnoteText"/>
      </w:pPr>
      <w:r>
        <w:rPr>
          <w:rStyle w:val="FootnoteReference"/>
        </w:rPr>
        <w:footnoteRef/>
      </w:r>
      <w:r>
        <w:t xml:space="preserve"> </w:t>
      </w:r>
      <w:r w:rsidRPr="000C7F7A">
        <w:rPr>
          <w:i/>
          <w:iCs/>
        </w:rPr>
        <w:t>Note that the results presented for Australia-specific utility values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5">
    <w:p w14:paraId="6FF0CFF5" w14:textId="77777777" w:rsidR="00777247" w:rsidRPr="00512D7B" w:rsidRDefault="00777247" w:rsidP="00777247">
      <w:pPr>
        <w:pStyle w:val="FootnoteText"/>
      </w:pPr>
      <w:r w:rsidRPr="00512D7B">
        <w:rPr>
          <w:rStyle w:val="FootnoteReference"/>
        </w:rPr>
        <w:footnoteRef/>
      </w:r>
      <w:r w:rsidRPr="00512D7B">
        <w:t xml:space="preserve"> Luo Q. Multiple myeloma incidence, mortality, and prevalence estimates and projections, Australia, 1982-2043: a statistical modelling study. Med J Australia. 2024;221(2):103-110.</w:t>
      </w:r>
    </w:p>
  </w:footnote>
  <w:footnote w:id="16">
    <w:p w14:paraId="5871A677" w14:textId="4E6F4BC3" w:rsidR="004B52C9" w:rsidRDefault="004B52C9">
      <w:pPr>
        <w:pStyle w:val="FootnoteText"/>
      </w:pPr>
      <w:r>
        <w:rPr>
          <w:rStyle w:val="FootnoteReference"/>
        </w:rPr>
        <w:footnoteRef/>
      </w:r>
      <w:r>
        <w:t xml:space="preserve"> </w:t>
      </w:r>
      <w:r w:rsidRPr="004B52C9">
        <w:rPr>
          <w:rFonts w:ascii="Segoe UI" w:eastAsia="Times New Roman" w:hAnsi="Segoe UI" w:cs="Segoe UI"/>
          <w:i/>
          <w:iCs/>
          <w:color w:val="222222"/>
          <w:sz w:val="18"/>
          <w:szCs w:val="18"/>
          <w:shd w:val="clear" w:color="auto" w:fill="FFFFFF"/>
        </w:rPr>
        <w:t>Note that the Kaplan Meier plots and fitted curves depicted in Figure 5 are presented specifically for the purposes of informing the PBAC consideration. Their interpretation and application should therefore be limited to seeking to understand the basis for the PBAC outcome and should not be used for any other purpose.</w:t>
      </w:r>
    </w:p>
  </w:footnote>
  <w:footnote w:id="17">
    <w:p w14:paraId="5FE62B29" w14:textId="77777777" w:rsidR="00E02FE0" w:rsidRPr="00512D7B" w:rsidRDefault="009F0990" w:rsidP="00E02FE0">
      <w:pPr>
        <w:pStyle w:val="EndNoteBibliography"/>
        <w:spacing w:after="0"/>
        <w:rPr>
          <w:rFonts w:asciiTheme="minorHAnsi" w:hAnsiTheme="minorHAnsi" w:cstheme="minorHAnsi"/>
          <w:noProof w:val="0"/>
          <w:sz w:val="20"/>
          <w:szCs w:val="20"/>
          <w:lang w:val="en-AU"/>
        </w:rPr>
      </w:pPr>
      <w:r w:rsidRPr="00512D7B">
        <w:rPr>
          <w:rStyle w:val="FootnoteReference"/>
          <w:rFonts w:asciiTheme="minorHAnsi" w:hAnsiTheme="minorHAnsi" w:cstheme="minorHAnsi"/>
          <w:noProof w:val="0"/>
          <w:sz w:val="20"/>
          <w:szCs w:val="20"/>
          <w:lang w:val="en-AU"/>
        </w:rPr>
        <w:footnoteRef/>
      </w:r>
      <w:r w:rsidRPr="00512D7B">
        <w:rPr>
          <w:rFonts w:asciiTheme="minorHAnsi" w:hAnsiTheme="minorHAnsi" w:cstheme="minorHAnsi"/>
          <w:noProof w:val="0"/>
          <w:sz w:val="20"/>
          <w:szCs w:val="20"/>
          <w:lang w:val="en-AU"/>
        </w:rPr>
        <w:t xml:space="preserve"> </w:t>
      </w:r>
      <w:r w:rsidR="00E02FE0" w:rsidRPr="00512D7B">
        <w:rPr>
          <w:rFonts w:asciiTheme="minorHAnsi" w:hAnsiTheme="minorHAnsi" w:cstheme="minorHAnsi"/>
          <w:noProof w:val="0"/>
          <w:sz w:val="20"/>
          <w:szCs w:val="20"/>
          <w:lang w:val="en-AU"/>
        </w:rPr>
        <w:t>ANZ MRDR (2024). Australian and New Zealand Myeloma and Related Diseases Registry (ANZ MRDR) 2024 Annual Report.</w:t>
      </w:r>
    </w:p>
    <w:p w14:paraId="1A0D1C66" w14:textId="1C129F76" w:rsidR="009F0990" w:rsidRDefault="009F0990">
      <w:pPr>
        <w:pStyle w:val="FootnoteText"/>
      </w:pPr>
    </w:p>
  </w:footnote>
  <w:footnote w:id="18">
    <w:p w14:paraId="329882FB" w14:textId="090430DC" w:rsidR="00953069" w:rsidRDefault="00953069">
      <w:pPr>
        <w:pStyle w:val="FootnoteText"/>
      </w:pPr>
      <w:r>
        <w:rPr>
          <w:rStyle w:val="FootnoteReference"/>
        </w:rPr>
        <w:footnoteRef/>
      </w:r>
      <w:r>
        <w:t xml:space="preserve"> </w:t>
      </w:r>
      <w:r w:rsidRPr="00953069">
        <w:rPr>
          <w:i/>
          <w:iCs/>
        </w:rPr>
        <w:t>Note that the results presented in Table 10 for the lenalidomide-exposed subgroup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footnote>
  <w:footnote w:id="19">
    <w:p w14:paraId="0359F875" w14:textId="77777777" w:rsidR="00A32C6A" w:rsidRPr="00A32C6A" w:rsidRDefault="00A32C6A" w:rsidP="00A32C6A">
      <w:pPr>
        <w:pStyle w:val="FootnoteText"/>
      </w:pPr>
      <w:r>
        <w:rPr>
          <w:rStyle w:val="FootnoteReference"/>
        </w:rPr>
        <w:footnoteRef/>
      </w:r>
      <w:r>
        <w:t xml:space="preserve"> </w:t>
      </w:r>
      <w:r w:rsidRPr="00A32C6A">
        <w:rPr>
          <w:i/>
          <w:iCs/>
        </w:rPr>
        <w:t>Note that the results presented for Australia-specific utility values are derived from ad-hoc/ post-hoc analyses conducted by the applicant specifically for the purposes of informing the PBAC consideration. These analyses were not part of the pre-specified statistical plan for DREAMM-7. Interpretation of the results and their application should therefore be limited to seeking to understand the basis for the PBAC outcome and should not be used for any other purpose.</w:t>
      </w:r>
    </w:p>
    <w:p w14:paraId="4C3AD15E" w14:textId="2D9D4A2A" w:rsidR="00A32C6A" w:rsidRDefault="00A32C6A">
      <w:pPr>
        <w:pStyle w:val="FootnoteText"/>
      </w:pPr>
    </w:p>
  </w:footnote>
  <w:footnote w:id="20">
    <w:p w14:paraId="3DAB1741" w14:textId="77777777" w:rsidR="00523682" w:rsidRPr="00512D7B" w:rsidRDefault="00523682" w:rsidP="00523682">
      <w:pPr>
        <w:pStyle w:val="FootnoteText"/>
      </w:pPr>
      <w:r w:rsidRPr="00512D7B">
        <w:rPr>
          <w:rStyle w:val="FootnoteReference"/>
        </w:rPr>
        <w:footnoteRef/>
      </w:r>
      <w:r w:rsidRPr="00512D7B">
        <w:t xml:space="preserve"> Multiple Myeloma Stakeholder Meeting Outcome Statement. July 2025. Available at: https://www.pbs.gov.au/industry/listing/elements/pbac-meetings/pbac-stakeholder-meetings/Multiple-Myeloma-Meeting-Outcome-Statement.pdf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C92" w14:textId="3BDCC975" w:rsidR="00AD1EFD" w:rsidRDefault="00AD1EFD">
    <w:pPr>
      <w:pStyle w:val="Header"/>
    </w:pPr>
    <w:r>
      <w:rPr>
        <w:noProof/>
      </w:rPr>
      <mc:AlternateContent>
        <mc:Choice Requires="wps">
          <w:drawing>
            <wp:anchor distT="0" distB="0" distL="0" distR="0" simplePos="0" relativeHeight="251658241" behindDoc="0" locked="0" layoutInCell="1" allowOverlap="1" wp14:anchorId="20295044" wp14:editId="46D86D5E">
              <wp:simplePos x="635" y="635"/>
              <wp:positionH relativeFrom="page">
                <wp:align>center</wp:align>
              </wp:positionH>
              <wp:positionV relativeFrom="page">
                <wp:align>top</wp:align>
              </wp:positionV>
              <wp:extent cx="622300" cy="376555"/>
              <wp:effectExtent l="0" t="0" r="6350" b="4445"/>
              <wp:wrapNone/>
              <wp:docPr id="1830493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7081F2" w14:textId="6835D7C2"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9504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57081F2" w14:textId="6835D7C2"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560ACE0" w:rsidR="00D843F2" w:rsidRPr="00512D7B" w:rsidRDefault="00AD1EFD" w:rsidP="00B94414">
    <w:pPr>
      <w:pStyle w:val="Header"/>
    </w:pPr>
    <w:r>
      <w:rPr>
        <w:noProof/>
      </w:rPr>
      <mc:AlternateContent>
        <mc:Choice Requires="wps">
          <w:drawing>
            <wp:anchor distT="0" distB="0" distL="0" distR="0" simplePos="0" relativeHeight="251658242" behindDoc="0" locked="0" layoutInCell="1" allowOverlap="1" wp14:anchorId="799ADB5A" wp14:editId="176502C6">
              <wp:simplePos x="635" y="635"/>
              <wp:positionH relativeFrom="page">
                <wp:align>center</wp:align>
              </wp:positionH>
              <wp:positionV relativeFrom="page">
                <wp:align>top</wp:align>
              </wp:positionV>
              <wp:extent cx="622300" cy="376555"/>
              <wp:effectExtent l="0" t="0" r="6350" b="4445"/>
              <wp:wrapNone/>
              <wp:docPr id="1527507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9C1640" w14:textId="470E7D53"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ADB5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89C1640" w14:textId="470E7D53"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r w:rsidR="00795713">
      <w:t>Public Summary Document</w:t>
    </w:r>
    <w:r w:rsidR="00AC3F7C">
      <w:t xml:space="preserve"> - </w:t>
    </w:r>
    <w:r w:rsidR="00F80E60" w:rsidRPr="00512D7B">
      <w:t>November 2025</w:t>
    </w:r>
    <w:r w:rsidR="00D843F2" w:rsidRPr="00512D7B">
      <w:t xml:space="preserve"> PBAC Meeting</w:t>
    </w:r>
  </w:p>
  <w:p w14:paraId="03AF943B" w14:textId="77777777" w:rsidR="00D843F2" w:rsidRPr="00512D7B" w:rsidRDefault="00D843F2" w:rsidP="00B9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A7AB" w14:textId="4F0385FC" w:rsidR="00AD1EFD" w:rsidRDefault="00AD1EFD">
    <w:pPr>
      <w:pStyle w:val="Header"/>
    </w:pPr>
    <w:r>
      <w:rPr>
        <w:noProof/>
      </w:rPr>
      <mc:AlternateContent>
        <mc:Choice Requires="wps">
          <w:drawing>
            <wp:anchor distT="0" distB="0" distL="0" distR="0" simplePos="0" relativeHeight="251658240" behindDoc="0" locked="0" layoutInCell="1" allowOverlap="1" wp14:anchorId="5537E611" wp14:editId="386072C3">
              <wp:simplePos x="635" y="635"/>
              <wp:positionH relativeFrom="page">
                <wp:align>center</wp:align>
              </wp:positionH>
              <wp:positionV relativeFrom="page">
                <wp:align>top</wp:align>
              </wp:positionV>
              <wp:extent cx="622300" cy="376555"/>
              <wp:effectExtent l="0" t="0" r="6350" b="4445"/>
              <wp:wrapNone/>
              <wp:docPr id="13589752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047506" w14:textId="1A0A6091"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7E61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4047506" w14:textId="1A0A6091" w:rsidR="00AD1EFD" w:rsidRPr="00AD1EFD" w:rsidRDefault="00AD1EFD" w:rsidP="00AD1EFD">
                    <w:pPr>
                      <w:rPr>
                        <w:rFonts w:ascii="Aptos" w:eastAsia="Aptos" w:hAnsi="Aptos" w:cs="Aptos"/>
                        <w:noProof/>
                        <w:color w:val="FF0000"/>
                      </w:rPr>
                    </w:pPr>
                    <w:r w:rsidRPr="00AD1EF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9AF301D"/>
    <w:multiLevelType w:val="hybridMultilevel"/>
    <w:tmpl w:val="2F6CAF00"/>
    <w:lvl w:ilvl="0" w:tplc="2EE09346">
      <w:start w:val="1"/>
      <w:numFmt w:val="bullet"/>
      <w:lvlText w:val=""/>
      <w:lvlJc w:val="left"/>
      <w:pPr>
        <w:ind w:left="1020" w:hanging="360"/>
      </w:pPr>
      <w:rPr>
        <w:rFonts w:ascii="Symbol" w:hAnsi="Symbol"/>
      </w:rPr>
    </w:lvl>
    <w:lvl w:ilvl="1" w:tplc="63E83922">
      <w:start w:val="1"/>
      <w:numFmt w:val="bullet"/>
      <w:lvlText w:val=""/>
      <w:lvlJc w:val="left"/>
      <w:pPr>
        <w:ind w:left="1020" w:hanging="360"/>
      </w:pPr>
      <w:rPr>
        <w:rFonts w:ascii="Symbol" w:hAnsi="Symbol"/>
      </w:rPr>
    </w:lvl>
    <w:lvl w:ilvl="2" w:tplc="2FA05C66">
      <w:start w:val="1"/>
      <w:numFmt w:val="bullet"/>
      <w:lvlText w:val=""/>
      <w:lvlJc w:val="left"/>
      <w:pPr>
        <w:ind w:left="1020" w:hanging="360"/>
      </w:pPr>
      <w:rPr>
        <w:rFonts w:ascii="Symbol" w:hAnsi="Symbol"/>
      </w:rPr>
    </w:lvl>
    <w:lvl w:ilvl="3" w:tplc="42ECB2C6">
      <w:start w:val="1"/>
      <w:numFmt w:val="bullet"/>
      <w:lvlText w:val=""/>
      <w:lvlJc w:val="left"/>
      <w:pPr>
        <w:ind w:left="1020" w:hanging="360"/>
      </w:pPr>
      <w:rPr>
        <w:rFonts w:ascii="Symbol" w:hAnsi="Symbol"/>
      </w:rPr>
    </w:lvl>
    <w:lvl w:ilvl="4" w:tplc="04E62C3E">
      <w:start w:val="1"/>
      <w:numFmt w:val="bullet"/>
      <w:lvlText w:val=""/>
      <w:lvlJc w:val="left"/>
      <w:pPr>
        <w:ind w:left="1020" w:hanging="360"/>
      </w:pPr>
      <w:rPr>
        <w:rFonts w:ascii="Symbol" w:hAnsi="Symbol"/>
      </w:rPr>
    </w:lvl>
    <w:lvl w:ilvl="5" w:tplc="BFD6EE22">
      <w:start w:val="1"/>
      <w:numFmt w:val="bullet"/>
      <w:lvlText w:val=""/>
      <w:lvlJc w:val="left"/>
      <w:pPr>
        <w:ind w:left="1020" w:hanging="360"/>
      </w:pPr>
      <w:rPr>
        <w:rFonts w:ascii="Symbol" w:hAnsi="Symbol"/>
      </w:rPr>
    </w:lvl>
    <w:lvl w:ilvl="6" w:tplc="3D60FD0A">
      <w:start w:val="1"/>
      <w:numFmt w:val="bullet"/>
      <w:lvlText w:val=""/>
      <w:lvlJc w:val="left"/>
      <w:pPr>
        <w:ind w:left="1020" w:hanging="360"/>
      </w:pPr>
      <w:rPr>
        <w:rFonts w:ascii="Symbol" w:hAnsi="Symbol"/>
      </w:rPr>
    </w:lvl>
    <w:lvl w:ilvl="7" w:tplc="04B020A6">
      <w:start w:val="1"/>
      <w:numFmt w:val="bullet"/>
      <w:lvlText w:val=""/>
      <w:lvlJc w:val="left"/>
      <w:pPr>
        <w:ind w:left="1020" w:hanging="360"/>
      </w:pPr>
      <w:rPr>
        <w:rFonts w:ascii="Symbol" w:hAnsi="Symbol"/>
      </w:rPr>
    </w:lvl>
    <w:lvl w:ilvl="8" w:tplc="026C6242">
      <w:start w:val="1"/>
      <w:numFmt w:val="bullet"/>
      <w:lvlText w:val=""/>
      <w:lvlJc w:val="left"/>
      <w:pPr>
        <w:ind w:left="1020" w:hanging="360"/>
      </w:pPr>
      <w:rPr>
        <w:rFonts w:ascii="Symbol" w:hAnsi="Symbol"/>
      </w:rPr>
    </w:lvl>
  </w:abstractNum>
  <w:abstractNum w:abstractNumId="2" w15:restartNumberingAfterBreak="0">
    <w:nsid w:val="17695F3F"/>
    <w:multiLevelType w:val="hybridMultilevel"/>
    <w:tmpl w:val="3E6E61A2"/>
    <w:lvl w:ilvl="0" w:tplc="0754643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219F8"/>
    <w:multiLevelType w:val="hybridMultilevel"/>
    <w:tmpl w:val="6CA0CEB4"/>
    <w:lvl w:ilvl="0" w:tplc="4F38898A">
      <w:start w:val="1"/>
      <w:numFmt w:val="bullet"/>
      <w:pStyle w:val="COMES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002249"/>
    <w:multiLevelType w:val="multilevel"/>
    <w:tmpl w:val="316A0B2A"/>
    <w:lvl w:ilvl="0">
      <w:start w:val="1"/>
      <w:numFmt w:val="decimal"/>
      <w:lvlText w:val="%1"/>
      <w:lvlJc w:val="left"/>
      <w:pPr>
        <w:ind w:left="720" w:hanging="720"/>
      </w:pPr>
      <w:rPr>
        <w:rFonts w:ascii="Calibri" w:hAnsi="Calibri" w:hint="default"/>
        <w:b/>
        <w:i w:val="0"/>
        <w:sz w:val="32"/>
        <w:szCs w:val="32"/>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1F7DA2"/>
    <w:multiLevelType w:val="multilevel"/>
    <w:tmpl w:val="316A0B2A"/>
    <w:lvl w:ilvl="0">
      <w:start w:val="1"/>
      <w:numFmt w:val="decimal"/>
      <w:lvlText w:val="%1"/>
      <w:lvlJc w:val="left"/>
      <w:pPr>
        <w:ind w:left="720" w:hanging="720"/>
      </w:pPr>
      <w:rPr>
        <w:rFonts w:ascii="Calibri" w:hAnsi="Calibri" w:hint="default"/>
        <w:b/>
        <w:i w:val="0"/>
        <w:sz w:val="32"/>
        <w:szCs w:val="32"/>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346AD7"/>
    <w:multiLevelType w:val="hybridMultilevel"/>
    <w:tmpl w:val="D5C697E6"/>
    <w:lvl w:ilvl="0" w:tplc="CFE87BE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07FCC"/>
    <w:multiLevelType w:val="hybridMultilevel"/>
    <w:tmpl w:val="1B8895C4"/>
    <w:lvl w:ilvl="0" w:tplc="E6781E56">
      <w:start w:val="1"/>
      <w:numFmt w:val="bullet"/>
      <w:lvlText w:val=""/>
      <w:lvlJc w:val="left"/>
      <w:pPr>
        <w:ind w:left="1020" w:hanging="360"/>
      </w:pPr>
      <w:rPr>
        <w:rFonts w:ascii="Symbol" w:hAnsi="Symbol"/>
      </w:rPr>
    </w:lvl>
    <w:lvl w:ilvl="1" w:tplc="2D325058">
      <w:start w:val="1"/>
      <w:numFmt w:val="bullet"/>
      <w:lvlText w:val=""/>
      <w:lvlJc w:val="left"/>
      <w:pPr>
        <w:ind w:left="1020" w:hanging="360"/>
      </w:pPr>
      <w:rPr>
        <w:rFonts w:ascii="Symbol" w:hAnsi="Symbol"/>
      </w:rPr>
    </w:lvl>
    <w:lvl w:ilvl="2" w:tplc="AEA20502">
      <w:start w:val="1"/>
      <w:numFmt w:val="bullet"/>
      <w:lvlText w:val=""/>
      <w:lvlJc w:val="left"/>
      <w:pPr>
        <w:ind w:left="1020" w:hanging="360"/>
      </w:pPr>
      <w:rPr>
        <w:rFonts w:ascii="Symbol" w:hAnsi="Symbol"/>
      </w:rPr>
    </w:lvl>
    <w:lvl w:ilvl="3" w:tplc="9208BCA0">
      <w:start w:val="1"/>
      <w:numFmt w:val="bullet"/>
      <w:lvlText w:val=""/>
      <w:lvlJc w:val="left"/>
      <w:pPr>
        <w:ind w:left="1020" w:hanging="360"/>
      </w:pPr>
      <w:rPr>
        <w:rFonts w:ascii="Symbol" w:hAnsi="Symbol"/>
      </w:rPr>
    </w:lvl>
    <w:lvl w:ilvl="4" w:tplc="F5962806">
      <w:start w:val="1"/>
      <w:numFmt w:val="bullet"/>
      <w:lvlText w:val=""/>
      <w:lvlJc w:val="left"/>
      <w:pPr>
        <w:ind w:left="1020" w:hanging="360"/>
      </w:pPr>
      <w:rPr>
        <w:rFonts w:ascii="Symbol" w:hAnsi="Symbol"/>
      </w:rPr>
    </w:lvl>
    <w:lvl w:ilvl="5" w:tplc="DAEE873A">
      <w:start w:val="1"/>
      <w:numFmt w:val="bullet"/>
      <w:lvlText w:val=""/>
      <w:lvlJc w:val="left"/>
      <w:pPr>
        <w:ind w:left="1020" w:hanging="360"/>
      </w:pPr>
      <w:rPr>
        <w:rFonts w:ascii="Symbol" w:hAnsi="Symbol"/>
      </w:rPr>
    </w:lvl>
    <w:lvl w:ilvl="6" w:tplc="24205524">
      <w:start w:val="1"/>
      <w:numFmt w:val="bullet"/>
      <w:lvlText w:val=""/>
      <w:lvlJc w:val="left"/>
      <w:pPr>
        <w:ind w:left="1020" w:hanging="360"/>
      </w:pPr>
      <w:rPr>
        <w:rFonts w:ascii="Symbol" w:hAnsi="Symbol"/>
      </w:rPr>
    </w:lvl>
    <w:lvl w:ilvl="7" w:tplc="AFBEC288">
      <w:start w:val="1"/>
      <w:numFmt w:val="bullet"/>
      <w:lvlText w:val=""/>
      <w:lvlJc w:val="left"/>
      <w:pPr>
        <w:ind w:left="1020" w:hanging="360"/>
      </w:pPr>
      <w:rPr>
        <w:rFonts w:ascii="Symbol" w:hAnsi="Symbol"/>
      </w:rPr>
    </w:lvl>
    <w:lvl w:ilvl="8" w:tplc="7D4E7DC2">
      <w:start w:val="1"/>
      <w:numFmt w:val="bullet"/>
      <w:lvlText w:val=""/>
      <w:lvlJc w:val="left"/>
      <w:pPr>
        <w:ind w:left="1020" w:hanging="360"/>
      </w:pPr>
      <w:rPr>
        <w:rFonts w:ascii="Symbol" w:hAnsi="Symbol"/>
      </w:rPr>
    </w:lvl>
  </w:abstractNum>
  <w:abstractNum w:abstractNumId="9" w15:restartNumberingAfterBreak="0">
    <w:nsid w:val="480E0166"/>
    <w:multiLevelType w:val="multilevel"/>
    <w:tmpl w:val="316A0B2A"/>
    <w:lvl w:ilvl="0">
      <w:start w:val="1"/>
      <w:numFmt w:val="decimal"/>
      <w:lvlText w:val="%1"/>
      <w:lvlJc w:val="left"/>
      <w:pPr>
        <w:ind w:left="720" w:hanging="720"/>
      </w:pPr>
      <w:rPr>
        <w:rFonts w:ascii="Calibri" w:hAnsi="Calibri" w:hint="default"/>
        <w:b/>
        <w:i w:val="0"/>
        <w:sz w:val="32"/>
        <w:szCs w:val="32"/>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031CCE"/>
    <w:multiLevelType w:val="hybridMultilevel"/>
    <w:tmpl w:val="98CEAC6C"/>
    <w:lvl w:ilvl="0" w:tplc="300CAA42">
      <w:start w:val="1"/>
      <w:numFmt w:val="bullet"/>
      <w:lvlText w:val=""/>
      <w:lvlJc w:val="left"/>
      <w:pPr>
        <w:ind w:left="1020" w:hanging="360"/>
      </w:pPr>
      <w:rPr>
        <w:rFonts w:ascii="Symbol" w:hAnsi="Symbol"/>
      </w:rPr>
    </w:lvl>
    <w:lvl w:ilvl="1" w:tplc="5546C0DC">
      <w:start w:val="1"/>
      <w:numFmt w:val="bullet"/>
      <w:lvlText w:val=""/>
      <w:lvlJc w:val="left"/>
      <w:pPr>
        <w:ind w:left="1020" w:hanging="360"/>
      </w:pPr>
      <w:rPr>
        <w:rFonts w:ascii="Symbol" w:hAnsi="Symbol"/>
      </w:rPr>
    </w:lvl>
    <w:lvl w:ilvl="2" w:tplc="6AB4FF04">
      <w:start w:val="1"/>
      <w:numFmt w:val="bullet"/>
      <w:lvlText w:val=""/>
      <w:lvlJc w:val="left"/>
      <w:pPr>
        <w:ind w:left="1020" w:hanging="360"/>
      </w:pPr>
      <w:rPr>
        <w:rFonts w:ascii="Symbol" w:hAnsi="Symbol"/>
      </w:rPr>
    </w:lvl>
    <w:lvl w:ilvl="3" w:tplc="FF4A6E36">
      <w:start w:val="1"/>
      <w:numFmt w:val="bullet"/>
      <w:lvlText w:val=""/>
      <w:lvlJc w:val="left"/>
      <w:pPr>
        <w:ind w:left="1020" w:hanging="360"/>
      </w:pPr>
      <w:rPr>
        <w:rFonts w:ascii="Symbol" w:hAnsi="Symbol"/>
      </w:rPr>
    </w:lvl>
    <w:lvl w:ilvl="4" w:tplc="6F58F0B6">
      <w:start w:val="1"/>
      <w:numFmt w:val="bullet"/>
      <w:lvlText w:val=""/>
      <w:lvlJc w:val="left"/>
      <w:pPr>
        <w:ind w:left="1020" w:hanging="360"/>
      </w:pPr>
      <w:rPr>
        <w:rFonts w:ascii="Symbol" w:hAnsi="Symbol"/>
      </w:rPr>
    </w:lvl>
    <w:lvl w:ilvl="5" w:tplc="3E3AB356">
      <w:start w:val="1"/>
      <w:numFmt w:val="bullet"/>
      <w:lvlText w:val=""/>
      <w:lvlJc w:val="left"/>
      <w:pPr>
        <w:ind w:left="1020" w:hanging="360"/>
      </w:pPr>
      <w:rPr>
        <w:rFonts w:ascii="Symbol" w:hAnsi="Symbol"/>
      </w:rPr>
    </w:lvl>
    <w:lvl w:ilvl="6" w:tplc="79320556">
      <w:start w:val="1"/>
      <w:numFmt w:val="bullet"/>
      <w:lvlText w:val=""/>
      <w:lvlJc w:val="left"/>
      <w:pPr>
        <w:ind w:left="1020" w:hanging="360"/>
      </w:pPr>
      <w:rPr>
        <w:rFonts w:ascii="Symbol" w:hAnsi="Symbol"/>
      </w:rPr>
    </w:lvl>
    <w:lvl w:ilvl="7" w:tplc="F7869C40">
      <w:start w:val="1"/>
      <w:numFmt w:val="bullet"/>
      <w:lvlText w:val=""/>
      <w:lvlJc w:val="left"/>
      <w:pPr>
        <w:ind w:left="1020" w:hanging="360"/>
      </w:pPr>
      <w:rPr>
        <w:rFonts w:ascii="Symbol" w:hAnsi="Symbol"/>
      </w:rPr>
    </w:lvl>
    <w:lvl w:ilvl="8" w:tplc="F4004F00">
      <w:start w:val="1"/>
      <w:numFmt w:val="bullet"/>
      <w:lvlText w:val=""/>
      <w:lvlJc w:val="left"/>
      <w:pPr>
        <w:ind w:left="1020" w:hanging="360"/>
      </w:pPr>
      <w:rPr>
        <w:rFonts w:ascii="Symbol" w:hAnsi="Symbol"/>
      </w:rPr>
    </w:lvl>
  </w:abstractNum>
  <w:abstractNum w:abstractNumId="11" w15:restartNumberingAfterBreak="0">
    <w:nsid w:val="5B646727"/>
    <w:multiLevelType w:val="hybridMultilevel"/>
    <w:tmpl w:val="33165500"/>
    <w:lvl w:ilvl="0" w:tplc="31248F0A">
      <w:start w:val="1"/>
      <w:numFmt w:val="bullet"/>
      <w:lvlText w:val=""/>
      <w:lvlJc w:val="left"/>
      <w:pPr>
        <w:ind w:left="1020" w:hanging="360"/>
      </w:pPr>
      <w:rPr>
        <w:rFonts w:ascii="Symbol" w:hAnsi="Symbol"/>
      </w:rPr>
    </w:lvl>
    <w:lvl w:ilvl="1" w:tplc="EB92C382">
      <w:start w:val="1"/>
      <w:numFmt w:val="bullet"/>
      <w:lvlText w:val=""/>
      <w:lvlJc w:val="left"/>
      <w:pPr>
        <w:ind w:left="1020" w:hanging="360"/>
      </w:pPr>
      <w:rPr>
        <w:rFonts w:ascii="Symbol" w:hAnsi="Symbol"/>
      </w:rPr>
    </w:lvl>
    <w:lvl w:ilvl="2" w:tplc="03A631CE">
      <w:start w:val="1"/>
      <w:numFmt w:val="bullet"/>
      <w:lvlText w:val=""/>
      <w:lvlJc w:val="left"/>
      <w:pPr>
        <w:ind w:left="1020" w:hanging="360"/>
      </w:pPr>
      <w:rPr>
        <w:rFonts w:ascii="Symbol" w:hAnsi="Symbol"/>
      </w:rPr>
    </w:lvl>
    <w:lvl w:ilvl="3" w:tplc="291CA59A">
      <w:start w:val="1"/>
      <w:numFmt w:val="bullet"/>
      <w:lvlText w:val=""/>
      <w:lvlJc w:val="left"/>
      <w:pPr>
        <w:ind w:left="1020" w:hanging="360"/>
      </w:pPr>
      <w:rPr>
        <w:rFonts w:ascii="Symbol" w:hAnsi="Symbol"/>
      </w:rPr>
    </w:lvl>
    <w:lvl w:ilvl="4" w:tplc="7FF69340">
      <w:start w:val="1"/>
      <w:numFmt w:val="bullet"/>
      <w:lvlText w:val=""/>
      <w:lvlJc w:val="left"/>
      <w:pPr>
        <w:ind w:left="1020" w:hanging="360"/>
      </w:pPr>
      <w:rPr>
        <w:rFonts w:ascii="Symbol" w:hAnsi="Symbol"/>
      </w:rPr>
    </w:lvl>
    <w:lvl w:ilvl="5" w:tplc="9F702440">
      <w:start w:val="1"/>
      <w:numFmt w:val="bullet"/>
      <w:lvlText w:val=""/>
      <w:lvlJc w:val="left"/>
      <w:pPr>
        <w:ind w:left="1020" w:hanging="360"/>
      </w:pPr>
      <w:rPr>
        <w:rFonts w:ascii="Symbol" w:hAnsi="Symbol"/>
      </w:rPr>
    </w:lvl>
    <w:lvl w:ilvl="6" w:tplc="1F1E0B84">
      <w:start w:val="1"/>
      <w:numFmt w:val="bullet"/>
      <w:lvlText w:val=""/>
      <w:lvlJc w:val="left"/>
      <w:pPr>
        <w:ind w:left="1020" w:hanging="360"/>
      </w:pPr>
      <w:rPr>
        <w:rFonts w:ascii="Symbol" w:hAnsi="Symbol"/>
      </w:rPr>
    </w:lvl>
    <w:lvl w:ilvl="7" w:tplc="3CB6A004">
      <w:start w:val="1"/>
      <w:numFmt w:val="bullet"/>
      <w:lvlText w:val=""/>
      <w:lvlJc w:val="left"/>
      <w:pPr>
        <w:ind w:left="1020" w:hanging="360"/>
      </w:pPr>
      <w:rPr>
        <w:rFonts w:ascii="Symbol" w:hAnsi="Symbol"/>
      </w:rPr>
    </w:lvl>
    <w:lvl w:ilvl="8" w:tplc="57583DE2">
      <w:start w:val="1"/>
      <w:numFmt w:val="bullet"/>
      <w:lvlText w:val=""/>
      <w:lvlJc w:val="left"/>
      <w:pPr>
        <w:ind w:left="1020" w:hanging="360"/>
      </w:pPr>
      <w:rPr>
        <w:rFonts w:ascii="Symbol" w:hAnsi="Symbol"/>
      </w:rPr>
    </w:lvl>
  </w:abstractNum>
  <w:abstractNum w:abstractNumId="12"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84D033C"/>
    <w:multiLevelType w:val="multilevel"/>
    <w:tmpl w:val="B4DCDC0A"/>
    <w:lvl w:ilvl="0">
      <w:start w:val="1"/>
      <w:numFmt w:val="decimal"/>
      <w:pStyle w:val="COMESH2"/>
      <w:lvlText w:val="%1"/>
      <w:lvlJc w:val="left"/>
      <w:pPr>
        <w:ind w:left="720" w:hanging="720"/>
      </w:pPr>
      <w:rPr>
        <w:rFonts w:ascii="Calibri" w:hAnsi="Calibri" w:hint="default"/>
        <w:b/>
        <w:i w:val="0"/>
        <w:sz w:val="32"/>
        <w:szCs w:val="32"/>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4"/>
  </w:num>
  <w:num w:numId="2" w16cid:durableId="917793048">
    <w:abstractNumId w:val="7"/>
  </w:num>
  <w:num w:numId="3" w16cid:durableId="220360847">
    <w:abstractNumId w:val="13"/>
  </w:num>
  <w:num w:numId="4" w16cid:durableId="268196418">
    <w:abstractNumId w:val="6"/>
  </w:num>
  <w:num w:numId="5" w16cid:durableId="1048839230">
    <w:abstractNumId w:val="14"/>
  </w:num>
  <w:num w:numId="6" w16cid:durableId="374349641">
    <w:abstractNumId w:val="0"/>
  </w:num>
  <w:num w:numId="7" w16cid:durableId="1681078653">
    <w:abstractNumId w:val="3"/>
  </w:num>
  <w:num w:numId="8" w16cid:durableId="423502646">
    <w:abstractNumId w:val="2"/>
  </w:num>
  <w:num w:numId="9" w16cid:durableId="2024552312">
    <w:abstractNumId w:val="12"/>
  </w:num>
  <w:num w:numId="10" w16cid:durableId="211505714">
    <w:abstractNumId w:val="5"/>
  </w:num>
  <w:num w:numId="11" w16cid:durableId="1845630191">
    <w:abstractNumId w:val="9"/>
  </w:num>
  <w:num w:numId="12" w16cid:durableId="844981559">
    <w:abstractNumId w:val="4"/>
  </w:num>
  <w:num w:numId="13" w16cid:durableId="688488324">
    <w:abstractNumId w:val="11"/>
  </w:num>
  <w:num w:numId="14" w16cid:durableId="2081904130">
    <w:abstractNumId w:val="1"/>
  </w:num>
  <w:num w:numId="15" w16cid:durableId="504635157">
    <w:abstractNumId w:val="10"/>
  </w:num>
  <w:num w:numId="16" w16cid:durableId="17068330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03"/>
    <w:rsid w:val="00000790"/>
    <w:rsid w:val="00000B86"/>
    <w:rsid w:val="0000110B"/>
    <w:rsid w:val="00001430"/>
    <w:rsid w:val="00001556"/>
    <w:rsid w:val="0000178A"/>
    <w:rsid w:val="000027C1"/>
    <w:rsid w:val="00002C96"/>
    <w:rsid w:val="00002DC8"/>
    <w:rsid w:val="00002FBD"/>
    <w:rsid w:val="00003190"/>
    <w:rsid w:val="00003499"/>
    <w:rsid w:val="000039B7"/>
    <w:rsid w:val="00003ADF"/>
    <w:rsid w:val="00003E6A"/>
    <w:rsid w:val="00003EEA"/>
    <w:rsid w:val="00004204"/>
    <w:rsid w:val="00004487"/>
    <w:rsid w:val="00004CC4"/>
    <w:rsid w:val="000051C7"/>
    <w:rsid w:val="000056B9"/>
    <w:rsid w:val="00005AB6"/>
    <w:rsid w:val="00005B7B"/>
    <w:rsid w:val="00006336"/>
    <w:rsid w:val="0000639A"/>
    <w:rsid w:val="000063E3"/>
    <w:rsid w:val="00006D24"/>
    <w:rsid w:val="00007C5B"/>
    <w:rsid w:val="00010004"/>
    <w:rsid w:val="000105BC"/>
    <w:rsid w:val="000106B5"/>
    <w:rsid w:val="000111AD"/>
    <w:rsid w:val="0001183F"/>
    <w:rsid w:val="00011F98"/>
    <w:rsid w:val="000126EB"/>
    <w:rsid w:val="00013247"/>
    <w:rsid w:val="00013D67"/>
    <w:rsid w:val="00013DC9"/>
    <w:rsid w:val="0001421C"/>
    <w:rsid w:val="0001568A"/>
    <w:rsid w:val="00015886"/>
    <w:rsid w:val="000162EF"/>
    <w:rsid w:val="00016CA1"/>
    <w:rsid w:val="000202F4"/>
    <w:rsid w:val="0002045D"/>
    <w:rsid w:val="00020686"/>
    <w:rsid w:val="000207C9"/>
    <w:rsid w:val="00020AE0"/>
    <w:rsid w:val="00021422"/>
    <w:rsid w:val="00021ED9"/>
    <w:rsid w:val="0002225F"/>
    <w:rsid w:val="000225CE"/>
    <w:rsid w:val="00023136"/>
    <w:rsid w:val="000232F7"/>
    <w:rsid w:val="00023763"/>
    <w:rsid w:val="000244ED"/>
    <w:rsid w:val="00024EB5"/>
    <w:rsid w:val="0002514B"/>
    <w:rsid w:val="0002572C"/>
    <w:rsid w:val="000274B8"/>
    <w:rsid w:val="00027DC0"/>
    <w:rsid w:val="00030614"/>
    <w:rsid w:val="0003198A"/>
    <w:rsid w:val="00031E62"/>
    <w:rsid w:val="00033024"/>
    <w:rsid w:val="00033078"/>
    <w:rsid w:val="00033863"/>
    <w:rsid w:val="000339F6"/>
    <w:rsid w:val="00033A5E"/>
    <w:rsid w:val="00033D76"/>
    <w:rsid w:val="00033DBD"/>
    <w:rsid w:val="00033E17"/>
    <w:rsid w:val="00034B76"/>
    <w:rsid w:val="000350EE"/>
    <w:rsid w:val="00035662"/>
    <w:rsid w:val="00035DC0"/>
    <w:rsid w:val="00035EE8"/>
    <w:rsid w:val="00036439"/>
    <w:rsid w:val="000366E8"/>
    <w:rsid w:val="00036829"/>
    <w:rsid w:val="00036B93"/>
    <w:rsid w:val="00040395"/>
    <w:rsid w:val="000404F2"/>
    <w:rsid w:val="00040829"/>
    <w:rsid w:val="00040895"/>
    <w:rsid w:val="00040D7C"/>
    <w:rsid w:val="00040DF8"/>
    <w:rsid w:val="00040F1C"/>
    <w:rsid w:val="000410A0"/>
    <w:rsid w:val="00041A8D"/>
    <w:rsid w:val="00041BE1"/>
    <w:rsid w:val="00041C21"/>
    <w:rsid w:val="00041DCC"/>
    <w:rsid w:val="00042191"/>
    <w:rsid w:val="00042388"/>
    <w:rsid w:val="000435EE"/>
    <w:rsid w:val="00043863"/>
    <w:rsid w:val="00043C37"/>
    <w:rsid w:val="00043DEA"/>
    <w:rsid w:val="000446A0"/>
    <w:rsid w:val="00044C38"/>
    <w:rsid w:val="00045017"/>
    <w:rsid w:val="00045A2B"/>
    <w:rsid w:val="00045B1A"/>
    <w:rsid w:val="00045F75"/>
    <w:rsid w:val="00046356"/>
    <w:rsid w:val="0004698F"/>
    <w:rsid w:val="00046D64"/>
    <w:rsid w:val="000470A0"/>
    <w:rsid w:val="0004768E"/>
    <w:rsid w:val="00047784"/>
    <w:rsid w:val="0005015F"/>
    <w:rsid w:val="0005047D"/>
    <w:rsid w:val="000508C2"/>
    <w:rsid w:val="000511C1"/>
    <w:rsid w:val="00051E96"/>
    <w:rsid w:val="000526B7"/>
    <w:rsid w:val="00052D89"/>
    <w:rsid w:val="000539D0"/>
    <w:rsid w:val="00053C8B"/>
    <w:rsid w:val="0005425F"/>
    <w:rsid w:val="00054621"/>
    <w:rsid w:val="00054687"/>
    <w:rsid w:val="000546D7"/>
    <w:rsid w:val="000546DB"/>
    <w:rsid w:val="00054A8D"/>
    <w:rsid w:val="00055553"/>
    <w:rsid w:val="000558AE"/>
    <w:rsid w:val="000567A0"/>
    <w:rsid w:val="000568B3"/>
    <w:rsid w:val="00056ECF"/>
    <w:rsid w:val="000577E4"/>
    <w:rsid w:val="000604DF"/>
    <w:rsid w:val="00060DCD"/>
    <w:rsid w:val="00060F3C"/>
    <w:rsid w:val="00060FEA"/>
    <w:rsid w:val="00061532"/>
    <w:rsid w:val="000615C7"/>
    <w:rsid w:val="00062324"/>
    <w:rsid w:val="000624AE"/>
    <w:rsid w:val="0006309E"/>
    <w:rsid w:val="00064215"/>
    <w:rsid w:val="0006437D"/>
    <w:rsid w:val="0006506C"/>
    <w:rsid w:val="00065098"/>
    <w:rsid w:val="000653B5"/>
    <w:rsid w:val="00066360"/>
    <w:rsid w:val="00066A75"/>
    <w:rsid w:val="00066AF8"/>
    <w:rsid w:val="00066B6D"/>
    <w:rsid w:val="00067A34"/>
    <w:rsid w:val="000705F7"/>
    <w:rsid w:val="000708E5"/>
    <w:rsid w:val="00070E73"/>
    <w:rsid w:val="00071248"/>
    <w:rsid w:val="0007174F"/>
    <w:rsid w:val="000717C7"/>
    <w:rsid w:val="00071FB3"/>
    <w:rsid w:val="000720B9"/>
    <w:rsid w:val="00072348"/>
    <w:rsid w:val="000727EB"/>
    <w:rsid w:val="000728C0"/>
    <w:rsid w:val="00072F59"/>
    <w:rsid w:val="00073591"/>
    <w:rsid w:val="000737F7"/>
    <w:rsid w:val="000740E8"/>
    <w:rsid w:val="0007438A"/>
    <w:rsid w:val="00074DCB"/>
    <w:rsid w:val="00075B15"/>
    <w:rsid w:val="00075BDC"/>
    <w:rsid w:val="00075C12"/>
    <w:rsid w:val="000761D8"/>
    <w:rsid w:val="00076221"/>
    <w:rsid w:val="0007672F"/>
    <w:rsid w:val="00076B54"/>
    <w:rsid w:val="00077363"/>
    <w:rsid w:val="000774F0"/>
    <w:rsid w:val="00077A42"/>
    <w:rsid w:val="00077A9C"/>
    <w:rsid w:val="00080909"/>
    <w:rsid w:val="00080D92"/>
    <w:rsid w:val="00080FB7"/>
    <w:rsid w:val="000812AF"/>
    <w:rsid w:val="000812CA"/>
    <w:rsid w:val="00081C0F"/>
    <w:rsid w:val="00081E63"/>
    <w:rsid w:val="000820C6"/>
    <w:rsid w:val="000822AB"/>
    <w:rsid w:val="0008258D"/>
    <w:rsid w:val="00082DC6"/>
    <w:rsid w:val="0008318E"/>
    <w:rsid w:val="0008335D"/>
    <w:rsid w:val="00083E99"/>
    <w:rsid w:val="00084310"/>
    <w:rsid w:val="0008472D"/>
    <w:rsid w:val="000848E1"/>
    <w:rsid w:val="00084AEF"/>
    <w:rsid w:val="00084E54"/>
    <w:rsid w:val="00084F55"/>
    <w:rsid w:val="00084FA8"/>
    <w:rsid w:val="000856C5"/>
    <w:rsid w:val="00085C31"/>
    <w:rsid w:val="00086509"/>
    <w:rsid w:val="00086F02"/>
    <w:rsid w:val="00087610"/>
    <w:rsid w:val="000878B4"/>
    <w:rsid w:val="00087EDD"/>
    <w:rsid w:val="0009023F"/>
    <w:rsid w:val="000902D9"/>
    <w:rsid w:val="00090C7E"/>
    <w:rsid w:val="00090E8D"/>
    <w:rsid w:val="000911AC"/>
    <w:rsid w:val="0009133E"/>
    <w:rsid w:val="000921C8"/>
    <w:rsid w:val="00092600"/>
    <w:rsid w:val="0009262B"/>
    <w:rsid w:val="00092EDE"/>
    <w:rsid w:val="00093310"/>
    <w:rsid w:val="000934CE"/>
    <w:rsid w:val="000938B6"/>
    <w:rsid w:val="00093E93"/>
    <w:rsid w:val="000942F1"/>
    <w:rsid w:val="0009438E"/>
    <w:rsid w:val="0009445C"/>
    <w:rsid w:val="00094530"/>
    <w:rsid w:val="00094AE2"/>
    <w:rsid w:val="00095200"/>
    <w:rsid w:val="00095BEE"/>
    <w:rsid w:val="00095C84"/>
    <w:rsid w:val="00095FE5"/>
    <w:rsid w:val="00096284"/>
    <w:rsid w:val="00097E3D"/>
    <w:rsid w:val="000A017D"/>
    <w:rsid w:val="000A02E0"/>
    <w:rsid w:val="000A0A17"/>
    <w:rsid w:val="000A0DA4"/>
    <w:rsid w:val="000A1BC0"/>
    <w:rsid w:val="000A1E8C"/>
    <w:rsid w:val="000A1F8D"/>
    <w:rsid w:val="000A22E6"/>
    <w:rsid w:val="000A25BC"/>
    <w:rsid w:val="000A2B28"/>
    <w:rsid w:val="000A2F9E"/>
    <w:rsid w:val="000A3028"/>
    <w:rsid w:val="000A3BA8"/>
    <w:rsid w:val="000A3E47"/>
    <w:rsid w:val="000A4922"/>
    <w:rsid w:val="000A5218"/>
    <w:rsid w:val="000A522B"/>
    <w:rsid w:val="000A536A"/>
    <w:rsid w:val="000A557D"/>
    <w:rsid w:val="000A5827"/>
    <w:rsid w:val="000A6039"/>
    <w:rsid w:val="000A6A7F"/>
    <w:rsid w:val="000A6BA3"/>
    <w:rsid w:val="000A6CA0"/>
    <w:rsid w:val="000A6FD3"/>
    <w:rsid w:val="000A7160"/>
    <w:rsid w:val="000A7453"/>
    <w:rsid w:val="000A7D08"/>
    <w:rsid w:val="000B0121"/>
    <w:rsid w:val="000B02F4"/>
    <w:rsid w:val="000B039D"/>
    <w:rsid w:val="000B0670"/>
    <w:rsid w:val="000B0D03"/>
    <w:rsid w:val="000B0E75"/>
    <w:rsid w:val="000B2C64"/>
    <w:rsid w:val="000B2DCB"/>
    <w:rsid w:val="000B326E"/>
    <w:rsid w:val="000B4953"/>
    <w:rsid w:val="000B56D9"/>
    <w:rsid w:val="000B58A7"/>
    <w:rsid w:val="000B5972"/>
    <w:rsid w:val="000B5CE0"/>
    <w:rsid w:val="000B5D46"/>
    <w:rsid w:val="000B6CAC"/>
    <w:rsid w:val="000B7612"/>
    <w:rsid w:val="000B784E"/>
    <w:rsid w:val="000B78AE"/>
    <w:rsid w:val="000C0365"/>
    <w:rsid w:val="000C0833"/>
    <w:rsid w:val="000C1428"/>
    <w:rsid w:val="000C16FE"/>
    <w:rsid w:val="000C1894"/>
    <w:rsid w:val="000C1E50"/>
    <w:rsid w:val="000C29B9"/>
    <w:rsid w:val="000C3C5D"/>
    <w:rsid w:val="000C3D10"/>
    <w:rsid w:val="000C3DF9"/>
    <w:rsid w:val="000C4551"/>
    <w:rsid w:val="000C4CF2"/>
    <w:rsid w:val="000C5D7E"/>
    <w:rsid w:val="000C62FE"/>
    <w:rsid w:val="000C6713"/>
    <w:rsid w:val="000C7E61"/>
    <w:rsid w:val="000C7F7A"/>
    <w:rsid w:val="000D14A5"/>
    <w:rsid w:val="000D14C9"/>
    <w:rsid w:val="000D1BFC"/>
    <w:rsid w:val="000D1D5D"/>
    <w:rsid w:val="000D216C"/>
    <w:rsid w:val="000D281A"/>
    <w:rsid w:val="000D2848"/>
    <w:rsid w:val="000D2C63"/>
    <w:rsid w:val="000D2CC5"/>
    <w:rsid w:val="000D30A8"/>
    <w:rsid w:val="000D314F"/>
    <w:rsid w:val="000D3178"/>
    <w:rsid w:val="000D31DF"/>
    <w:rsid w:val="000D326A"/>
    <w:rsid w:val="000D3507"/>
    <w:rsid w:val="000D3A27"/>
    <w:rsid w:val="000D3C10"/>
    <w:rsid w:val="000D3F5F"/>
    <w:rsid w:val="000D44C8"/>
    <w:rsid w:val="000D4A09"/>
    <w:rsid w:val="000D4ED5"/>
    <w:rsid w:val="000D51FB"/>
    <w:rsid w:val="000D73D5"/>
    <w:rsid w:val="000D7775"/>
    <w:rsid w:val="000E0640"/>
    <w:rsid w:val="000E0747"/>
    <w:rsid w:val="000E092B"/>
    <w:rsid w:val="000E11D2"/>
    <w:rsid w:val="000E135D"/>
    <w:rsid w:val="000E1384"/>
    <w:rsid w:val="000E1BE4"/>
    <w:rsid w:val="000E2978"/>
    <w:rsid w:val="000E318E"/>
    <w:rsid w:val="000E4783"/>
    <w:rsid w:val="000E49DE"/>
    <w:rsid w:val="000E529A"/>
    <w:rsid w:val="000E56BD"/>
    <w:rsid w:val="000E713C"/>
    <w:rsid w:val="000E7C2B"/>
    <w:rsid w:val="000F00BA"/>
    <w:rsid w:val="000F0691"/>
    <w:rsid w:val="000F169E"/>
    <w:rsid w:val="000F20FD"/>
    <w:rsid w:val="000F23E6"/>
    <w:rsid w:val="000F264B"/>
    <w:rsid w:val="000F316A"/>
    <w:rsid w:val="000F3614"/>
    <w:rsid w:val="000F3742"/>
    <w:rsid w:val="000F399F"/>
    <w:rsid w:val="000F3C74"/>
    <w:rsid w:val="000F4227"/>
    <w:rsid w:val="000F4259"/>
    <w:rsid w:val="000F49A7"/>
    <w:rsid w:val="000F4BB8"/>
    <w:rsid w:val="000F4FA9"/>
    <w:rsid w:val="000F53FB"/>
    <w:rsid w:val="000F5F25"/>
    <w:rsid w:val="000F6E3C"/>
    <w:rsid w:val="000F7127"/>
    <w:rsid w:val="000F7952"/>
    <w:rsid w:val="000F7B54"/>
    <w:rsid w:val="00100061"/>
    <w:rsid w:val="001000B3"/>
    <w:rsid w:val="00100185"/>
    <w:rsid w:val="001006C0"/>
    <w:rsid w:val="00100F8A"/>
    <w:rsid w:val="00100FFA"/>
    <w:rsid w:val="001010AC"/>
    <w:rsid w:val="00102222"/>
    <w:rsid w:val="001030EA"/>
    <w:rsid w:val="00103F8E"/>
    <w:rsid w:val="0010452E"/>
    <w:rsid w:val="00105AE2"/>
    <w:rsid w:val="001060C6"/>
    <w:rsid w:val="00106B80"/>
    <w:rsid w:val="0011024D"/>
    <w:rsid w:val="0011032E"/>
    <w:rsid w:val="00110C69"/>
    <w:rsid w:val="00110D14"/>
    <w:rsid w:val="00110E80"/>
    <w:rsid w:val="00110FA1"/>
    <w:rsid w:val="00111259"/>
    <w:rsid w:val="00111F99"/>
    <w:rsid w:val="0011348B"/>
    <w:rsid w:val="00114A57"/>
    <w:rsid w:val="00114D0B"/>
    <w:rsid w:val="00115982"/>
    <w:rsid w:val="00115F4F"/>
    <w:rsid w:val="001165C5"/>
    <w:rsid w:val="00116765"/>
    <w:rsid w:val="00116C53"/>
    <w:rsid w:val="0011705A"/>
    <w:rsid w:val="001179E9"/>
    <w:rsid w:val="00117B7B"/>
    <w:rsid w:val="00121799"/>
    <w:rsid w:val="00121915"/>
    <w:rsid w:val="00121941"/>
    <w:rsid w:val="00121D1B"/>
    <w:rsid w:val="001222FC"/>
    <w:rsid w:val="001223FD"/>
    <w:rsid w:val="00122729"/>
    <w:rsid w:val="00122A33"/>
    <w:rsid w:val="00122CC2"/>
    <w:rsid w:val="001234E0"/>
    <w:rsid w:val="00123902"/>
    <w:rsid w:val="00123921"/>
    <w:rsid w:val="00123BFB"/>
    <w:rsid w:val="001245D8"/>
    <w:rsid w:val="00124A51"/>
    <w:rsid w:val="00124F17"/>
    <w:rsid w:val="00125D4C"/>
    <w:rsid w:val="001263B0"/>
    <w:rsid w:val="00126621"/>
    <w:rsid w:val="00126B1D"/>
    <w:rsid w:val="00126CE9"/>
    <w:rsid w:val="00127726"/>
    <w:rsid w:val="00127DAE"/>
    <w:rsid w:val="001301E9"/>
    <w:rsid w:val="0013095A"/>
    <w:rsid w:val="001319BB"/>
    <w:rsid w:val="00131D82"/>
    <w:rsid w:val="001322B7"/>
    <w:rsid w:val="001328A3"/>
    <w:rsid w:val="00132AC1"/>
    <w:rsid w:val="00132B22"/>
    <w:rsid w:val="0013332B"/>
    <w:rsid w:val="00133D36"/>
    <w:rsid w:val="00133EA8"/>
    <w:rsid w:val="00133FE3"/>
    <w:rsid w:val="00134477"/>
    <w:rsid w:val="001353B2"/>
    <w:rsid w:val="00135570"/>
    <w:rsid w:val="00135ABD"/>
    <w:rsid w:val="00136440"/>
    <w:rsid w:val="00137374"/>
    <w:rsid w:val="00137645"/>
    <w:rsid w:val="00137AEC"/>
    <w:rsid w:val="00137F10"/>
    <w:rsid w:val="0014015A"/>
    <w:rsid w:val="001409C0"/>
    <w:rsid w:val="00140A32"/>
    <w:rsid w:val="00140E99"/>
    <w:rsid w:val="00141776"/>
    <w:rsid w:val="001419B0"/>
    <w:rsid w:val="00143034"/>
    <w:rsid w:val="00143A93"/>
    <w:rsid w:val="00143C6B"/>
    <w:rsid w:val="00143F67"/>
    <w:rsid w:val="00144D8E"/>
    <w:rsid w:val="00144F5B"/>
    <w:rsid w:val="00145234"/>
    <w:rsid w:val="00145540"/>
    <w:rsid w:val="00145654"/>
    <w:rsid w:val="001456B0"/>
    <w:rsid w:val="00146780"/>
    <w:rsid w:val="00146842"/>
    <w:rsid w:val="00146B3D"/>
    <w:rsid w:val="001478F9"/>
    <w:rsid w:val="00147C07"/>
    <w:rsid w:val="00147C38"/>
    <w:rsid w:val="0015021E"/>
    <w:rsid w:val="001504E3"/>
    <w:rsid w:val="001509E1"/>
    <w:rsid w:val="00150B02"/>
    <w:rsid w:val="00151292"/>
    <w:rsid w:val="00151624"/>
    <w:rsid w:val="00151ADC"/>
    <w:rsid w:val="00152557"/>
    <w:rsid w:val="00152E7A"/>
    <w:rsid w:val="00153777"/>
    <w:rsid w:val="0015392D"/>
    <w:rsid w:val="00153D6F"/>
    <w:rsid w:val="001543A5"/>
    <w:rsid w:val="001544C0"/>
    <w:rsid w:val="001547AB"/>
    <w:rsid w:val="00154F3C"/>
    <w:rsid w:val="00155835"/>
    <w:rsid w:val="00155B19"/>
    <w:rsid w:val="00156100"/>
    <w:rsid w:val="00156CF7"/>
    <w:rsid w:val="00156F8F"/>
    <w:rsid w:val="00157130"/>
    <w:rsid w:val="001576B1"/>
    <w:rsid w:val="00157EB5"/>
    <w:rsid w:val="0016047B"/>
    <w:rsid w:val="00160A4C"/>
    <w:rsid w:val="00161DD8"/>
    <w:rsid w:val="00161E96"/>
    <w:rsid w:val="001622C6"/>
    <w:rsid w:val="001624AD"/>
    <w:rsid w:val="00162913"/>
    <w:rsid w:val="00163EFF"/>
    <w:rsid w:val="00163F66"/>
    <w:rsid w:val="00164624"/>
    <w:rsid w:val="0016478E"/>
    <w:rsid w:val="001650B4"/>
    <w:rsid w:val="00165DAC"/>
    <w:rsid w:val="00165DC5"/>
    <w:rsid w:val="00165E5A"/>
    <w:rsid w:val="00165E82"/>
    <w:rsid w:val="00165EC4"/>
    <w:rsid w:val="00165F51"/>
    <w:rsid w:val="001661FB"/>
    <w:rsid w:val="001669BA"/>
    <w:rsid w:val="00167158"/>
    <w:rsid w:val="001671A0"/>
    <w:rsid w:val="0016767F"/>
    <w:rsid w:val="00167B53"/>
    <w:rsid w:val="00167DE6"/>
    <w:rsid w:val="00170E86"/>
    <w:rsid w:val="00170F3C"/>
    <w:rsid w:val="001719C3"/>
    <w:rsid w:val="00171BB6"/>
    <w:rsid w:val="00172778"/>
    <w:rsid w:val="00172F09"/>
    <w:rsid w:val="00173502"/>
    <w:rsid w:val="00173565"/>
    <w:rsid w:val="00173B07"/>
    <w:rsid w:val="0017467C"/>
    <w:rsid w:val="0017467F"/>
    <w:rsid w:val="0017487F"/>
    <w:rsid w:val="00174EFD"/>
    <w:rsid w:val="001751FA"/>
    <w:rsid w:val="0017625A"/>
    <w:rsid w:val="00176ADA"/>
    <w:rsid w:val="00176C1C"/>
    <w:rsid w:val="0017719C"/>
    <w:rsid w:val="001778FE"/>
    <w:rsid w:val="00180172"/>
    <w:rsid w:val="0018074D"/>
    <w:rsid w:val="00180939"/>
    <w:rsid w:val="00180D9C"/>
    <w:rsid w:val="00181C10"/>
    <w:rsid w:val="00181D9C"/>
    <w:rsid w:val="001820E4"/>
    <w:rsid w:val="001821E0"/>
    <w:rsid w:val="0018275F"/>
    <w:rsid w:val="001833B2"/>
    <w:rsid w:val="001837FF"/>
    <w:rsid w:val="00183CF4"/>
    <w:rsid w:val="00183ED1"/>
    <w:rsid w:val="001841D9"/>
    <w:rsid w:val="001841EC"/>
    <w:rsid w:val="0018463F"/>
    <w:rsid w:val="001846AC"/>
    <w:rsid w:val="00184B0E"/>
    <w:rsid w:val="00184CAD"/>
    <w:rsid w:val="0018562E"/>
    <w:rsid w:val="001857C7"/>
    <w:rsid w:val="001867D8"/>
    <w:rsid w:val="0018687A"/>
    <w:rsid w:val="0018752F"/>
    <w:rsid w:val="00187867"/>
    <w:rsid w:val="001879CB"/>
    <w:rsid w:val="00187B74"/>
    <w:rsid w:val="0019056A"/>
    <w:rsid w:val="00190985"/>
    <w:rsid w:val="0019128E"/>
    <w:rsid w:val="00191B65"/>
    <w:rsid w:val="00191C46"/>
    <w:rsid w:val="001933B4"/>
    <w:rsid w:val="00193838"/>
    <w:rsid w:val="00193847"/>
    <w:rsid w:val="00193DA5"/>
    <w:rsid w:val="00194851"/>
    <w:rsid w:val="00194AD8"/>
    <w:rsid w:val="00194BBE"/>
    <w:rsid w:val="00195222"/>
    <w:rsid w:val="00195452"/>
    <w:rsid w:val="001966EE"/>
    <w:rsid w:val="00196FD4"/>
    <w:rsid w:val="001975D8"/>
    <w:rsid w:val="001A025B"/>
    <w:rsid w:val="001A02A2"/>
    <w:rsid w:val="001A0664"/>
    <w:rsid w:val="001A0B5E"/>
    <w:rsid w:val="001A114C"/>
    <w:rsid w:val="001A1371"/>
    <w:rsid w:val="001A178E"/>
    <w:rsid w:val="001A265B"/>
    <w:rsid w:val="001A43FA"/>
    <w:rsid w:val="001A47C5"/>
    <w:rsid w:val="001A53D6"/>
    <w:rsid w:val="001A54BE"/>
    <w:rsid w:val="001A59E7"/>
    <w:rsid w:val="001A59FB"/>
    <w:rsid w:val="001A5E55"/>
    <w:rsid w:val="001A5E9E"/>
    <w:rsid w:val="001A600C"/>
    <w:rsid w:val="001A62CE"/>
    <w:rsid w:val="001A6354"/>
    <w:rsid w:val="001A6366"/>
    <w:rsid w:val="001A6917"/>
    <w:rsid w:val="001A6FCE"/>
    <w:rsid w:val="001A7A37"/>
    <w:rsid w:val="001A7AE8"/>
    <w:rsid w:val="001B14F5"/>
    <w:rsid w:val="001B153E"/>
    <w:rsid w:val="001B204E"/>
    <w:rsid w:val="001B2372"/>
    <w:rsid w:val="001B2DC8"/>
    <w:rsid w:val="001B2FF6"/>
    <w:rsid w:val="001B3029"/>
    <w:rsid w:val="001B3041"/>
    <w:rsid w:val="001B3443"/>
    <w:rsid w:val="001B3568"/>
    <w:rsid w:val="001B3683"/>
    <w:rsid w:val="001B3C90"/>
    <w:rsid w:val="001B3E3B"/>
    <w:rsid w:val="001B4371"/>
    <w:rsid w:val="001B4AB3"/>
    <w:rsid w:val="001B4D20"/>
    <w:rsid w:val="001B4DE6"/>
    <w:rsid w:val="001B5567"/>
    <w:rsid w:val="001B596B"/>
    <w:rsid w:val="001B6158"/>
    <w:rsid w:val="001B67AD"/>
    <w:rsid w:val="001B7241"/>
    <w:rsid w:val="001B7F84"/>
    <w:rsid w:val="001C00CB"/>
    <w:rsid w:val="001C06AD"/>
    <w:rsid w:val="001C1F6F"/>
    <w:rsid w:val="001C26E9"/>
    <w:rsid w:val="001C2A9B"/>
    <w:rsid w:val="001C2BB0"/>
    <w:rsid w:val="001C2EED"/>
    <w:rsid w:val="001C343A"/>
    <w:rsid w:val="001C3C06"/>
    <w:rsid w:val="001C3DD6"/>
    <w:rsid w:val="001C3E73"/>
    <w:rsid w:val="001C413B"/>
    <w:rsid w:val="001C41F3"/>
    <w:rsid w:val="001C4252"/>
    <w:rsid w:val="001C4299"/>
    <w:rsid w:val="001C45D8"/>
    <w:rsid w:val="001C4874"/>
    <w:rsid w:val="001C5562"/>
    <w:rsid w:val="001C5B59"/>
    <w:rsid w:val="001C5C36"/>
    <w:rsid w:val="001C5F94"/>
    <w:rsid w:val="001C62A5"/>
    <w:rsid w:val="001C667A"/>
    <w:rsid w:val="001C6B82"/>
    <w:rsid w:val="001C6E66"/>
    <w:rsid w:val="001C7402"/>
    <w:rsid w:val="001C7C6A"/>
    <w:rsid w:val="001D0751"/>
    <w:rsid w:val="001D10D2"/>
    <w:rsid w:val="001D1100"/>
    <w:rsid w:val="001D112F"/>
    <w:rsid w:val="001D1391"/>
    <w:rsid w:val="001D244C"/>
    <w:rsid w:val="001D25D7"/>
    <w:rsid w:val="001D2E25"/>
    <w:rsid w:val="001D3118"/>
    <w:rsid w:val="001D34FA"/>
    <w:rsid w:val="001D37AC"/>
    <w:rsid w:val="001D3A2F"/>
    <w:rsid w:val="001D3DAC"/>
    <w:rsid w:val="001D3DCA"/>
    <w:rsid w:val="001D40B9"/>
    <w:rsid w:val="001D4C28"/>
    <w:rsid w:val="001D50B2"/>
    <w:rsid w:val="001D51D0"/>
    <w:rsid w:val="001D5D85"/>
    <w:rsid w:val="001D6377"/>
    <w:rsid w:val="001D6392"/>
    <w:rsid w:val="001D6938"/>
    <w:rsid w:val="001D71F4"/>
    <w:rsid w:val="001D72FD"/>
    <w:rsid w:val="001D7645"/>
    <w:rsid w:val="001D7C26"/>
    <w:rsid w:val="001D7CD5"/>
    <w:rsid w:val="001D7F2E"/>
    <w:rsid w:val="001E08FA"/>
    <w:rsid w:val="001E11EA"/>
    <w:rsid w:val="001E1692"/>
    <w:rsid w:val="001E1E1C"/>
    <w:rsid w:val="001E1E86"/>
    <w:rsid w:val="001E238E"/>
    <w:rsid w:val="001E2483"/>
    <w:rsid w:val="001E25C1"/>
    <w:rsid w:val="001E2870"/>
    <w:rsid w:val="001E2A2B"/>
    <w:rsid w:val="001E2B1E"/>
    <w:rsid w:val="001E2CFF"/>
    <w:rsid w:val="001E2F24"/>
    <w:rsid w:val="001E30D4"/>
    <w:rsid w:val="001E34DF"/>
    <w:rsid w:val="001E35AC"/>
    <w:rsid w:val="001E3788"/>
    <w:rsid w:val="001E3BDB"/>
    <w:rsid w:val="001E45E7"/>
    <w:rsid w:val="001E47B2"/>
    <w:rsid w:val="001E4BBB"/>
    <w:rsid w:val="001E51BD"/>
    <w:rsid w:val="001E526E"/>
    <w:rsid w:val="001E52EB"/>
    <w:rsid w:val="001E5946"/>
    <w:rsid w:val="001E5DE3"/>
    <w:rsid w:val="001E61D2"/>
    <w:rsid w:val="001E628A"/>
    <w:rsid w:val="001E6678"/>
    <w:rsid w:val="001E740C"/>
    <w:rsid w:val="001E7F54"/>
    <w:rsid w:val="001F0AA1"/>
    <w:rsid w:val="001F0E37"/>
    <w:rsid w:val="001F1235"/>
    <w:rsid w:val="001F1CB3"/>
    <w:rsid w:val="001F2098"/>
    <w:rsid w:val="001F24C3"/>
    <w:rsid w:val="001F264F"/>
    <w:rsid w:val="001F31B1"/>
    <w:rsid w:val="001F3322"/>
    <w:rsid w:val="001F333D"/>
    <w:rsid w:val="001F33F1"/>
    <w:rsid w:val="001F3508"/>
    <w:rsid w:val="001F38B5"/>
    <w:rsid w:val="001F3CAE"/>
    <w:rsid w:val="001F3CEE"/>
    <w:rsid w:val="001F4081"/>
    <w:rsid w:val="001F43CE"/>
    <w:rsid w:val="001F530B"/>
    <w:rsid w:val="001F5482"/>
    <w:rsid w:val="001F5CE2"/>
    <w:rsid w:val="001F5DEA"/>
    <w:rsid w:val="001F648F"/>
    <w:rsid w:val="001F6953"/>
    <w:rsid w:val="001F71BF"/>
    <w:rsid w:val="001F7361"/>
    <w:rsid w:val="001F783D"/>
    <w:rsid w:val="001F7960"/>
    <w:rsid w:val="001F7DF3"/>
    <w:rsid w:val="002007AE"/>
    <w:rsid w:val="00200F19"/>
    <w:rsid w:val="002011B0"/>
    <w:rsid w:val="00201C2C"/>
    <w:rsid w:val="00203181"/>
    <w:rsid w:val="002031BF"/>
    <w:rsid w:val="0020330B"/>
    <w:rsid w:val="0020374E"/>
    <w:rsid w:val="00203783"/>
    <w:rsid w:val="0020385F"/>
    <w:rsid w:val="0020469B"/>
    <w:rsid w:val="002046F8"/>
    <w:rsid w:val="00204938"/>
    <w:rsid w:val="00204E2C"/>
    <w:rsid w:val="00205CB1"/>
    <w:rsid w:val="002068A0"/>
    <w:rsid w:val="00206ECA"/>
    <w:rsid w:val="00207021"/>
    <w:rsid w:val="0020732F"/>
    <w:rsid w:val="0020748F"/>
    <w:rsid w:val="00207D00"/>
    <w:rsid w:val="002105C1"/>
    <w:rsid w:val="0021081A"/>
    <w:rsid w:val="00211197"/>
    <w:rsid w:val="0021149E"/>
    <w:rsid w:val="002116FD"/>
    <w:rsid w:val="002118F8"/>
    <w:rsid w:val="00212658"/>
    <w:rsid w:val="00213782"/>
    <w:rsid w:val="00213BC7"/>
    <w:rsid w:val="00213EF5"/>
    <w:rsid w:val="0021424A"/>
    <w:rsid w:val="0021449D"/>
    <w:rsid w:val="0021460F"/>
    <w:rsid w:val="00215700"/>
    <w:rsid w:val="00215BF4"/>
    <w:rsid w:val="0021622E"/>
    <w:rsid w:val="00216723"/>
    <w:rsid w:val="00216BF5"/>
    <w:rsid w:val="00217FB6"/>
    <w:rsid w:val="00220469"/>
    <w:rsid w:val="00220AD1"/>
    <w:rsid w:val="0022112B"/>
    <w:rsid w:val="00221726"/>
    <w:rsid w:val="00221C74"/>
    <w:rsid w:val="0022287E"/>
    <w:rsid w:val="00222942"/>
    <w:rsid w:val="0022349C"/>
    <w:rsid w:val="00223B49"/>
    <w:rsid w:val="00223D5A"/>
    <w:rsid w:val="002245F5"/>
    <w:rsid w:val="00224AEF"/>
    <w:rsid w:val="00224C93"/>
    <w:rsid w:val="00224DD4"/>
    <w:rsid w:val="00225087"/>
    <w:rsid w:val="00225EAE"/>
    <w:rsid w:val="002269EA"/>
    <w:rsid w:val="00227459"/>
    <w:rsid w:val="00227899"/>
    <w:rsid w:val="002278A0"/>
    <w:rsid w:val="00227A14"/>
    <w:rsid w:val="00227A86"/>
    <w:rsid w:val="00227B4C"/>
    <w:rsid w:val="00227F77"/>
    <w:rsid w:val="002301F5"/>
    <w:rsid w:val="00230635"/>
    <w:rsid w:val="002309CC"/>
    <w:rsid w:val="00230C28"/>
    <w:rsid w:val="00230F43"/>
    <w:rsid w:val="00231955"/>
    <w:rsid w:val="00231BA9"/>
    <w:rsid w:val="00231CA6"/>
    <w:rsid w:val="0023209F"/>
    <w:rsid w:val="00232570"/>
    <w:rsid w:val="0023294C"/>
    <w:rsid w:val="00232FEC"/>
    <w:rsid w:val="00233072"/>
    <w:rsid w:val="00233642"/>
    <w:rsid w:val="00233C01"/>
    <w:rsid w:val="0023413C"/>
    <w:rsid w:val="002342C0"/>
    <w:rsid w:val="002346F0"/>
    <w:rsid w:val="00234B43"/>
    <w:rsid w:val="00235095"/>
    <w:rsid w:val="00235379"/>
    <w:rsid w:val="002353C5"/>
    <w:rsid w:val="00235E9C"/>
    <w:rsid w:val="00235F11"/>
    <w:rsid w:val="0023629D"/>
    <w:rsid w:val="00236827"/>
    <w:rsid w:val="002369A2"/>
    <w:rsid w:val="00236E84"/>
    <w:rsid w:val="00237255"/>
    <w:rsid w:val="002379B2"/>
    <w:rsid w:val="002411FC"/>
    <w:rsid w:val="0024216F"/>
    <w:rsid w:val="002424AF"/>
    <w:rsid w:val="00242F3F"/>
    <w:rsid w:val="00243690"/>
    <w:rsid w:val="00243896"/>
    <w:rsid w:val="002439DC"/>
    <w:rsid w:val="00243A39"/>
    <w:rsid w:val="00243BDA"/>
    <w:rsid w:val="00243C30"/>
    <w:rsid w:val="002441D2"/>
    <w:rsid w:val="002442C2"/>
    <w:rsid w:val="00244A6C"/>
    <w:rsid w:val="00244DC8"/>
    <w:rsid w:val="0024524A"/>
    <w:rsid w:val="002452F8"/>
    <w:rsid w:val="002454AA"/>
    <w:rsid w:val="002458BA"/>
    <w:rsid w:val="002459A5"/>
    <w:rsid w:val="00245CE9"/>
    <w:rsid w:val="00246080"/>
    <w:rsid w:val="0024636C"/>
    <w:rsid w:val="002467E6"/>
    <w:rsid w:val="00247795"/>
    <w:rsid w:val="00247925"/>
    <w:rsid w:val="00247E2C"/>
    <w:rsid w:val="0025004B"/>
    <w:rsid w:val="00250401"/>
    <w:rsid w:val="00251006"/>
    <w:rsid w:val="0025104E"/>
    <w:rsid w:val="002511CC"/>
    <w:rsid w:val="00251746"/>
    <w:rsid w:val="00251FF1"/>
    <w:rsid w:val="002521AE"/>
    <w:rsid w:val="002524D5"/>
    <w:rsid w:val="00252D70"/>
    <w:rsid w:val="00252F9D"/>
    <w:rsid w:val="00253513"/>
    <w:rsid w:val="00253B1D"/>
    <w:rsid w:val="00253DB1"/>
    <w:rsid w:val="00254DCF"/>
    <w:rsid w:val="0025512B"/>
    <w:rsid w:val="00255215"/>
    <w:rsid w:val="0025534B"/>
    <w:rsid w:val="00255445"/>
    <w:rsid w:val="00255495"/>
    <w:rsid w:val="00255795"/>
    <w:rsid w:val="00255812"/>
    <w:rsid w:val="00255BB7"/>
    <w:rsid w:val="00256200"/>
    <w:rsid w:val="0025629F"/>
    <w:rsid w:val="0025636C"/>
    <w:rsid w:val="00256523"/>
    <w:rsid w:val="00257541"/>
    <w:rsid w:val="00257608"/>
    <w:rsid w:val="00257A39"/>
    <w:rsid w:val="00257AC4"/>
    <w:rsid w:val="00257BBE"/>
    <w:rsid w:val="00260BB6"/>
    <w:rsid w:val="00261EEF"/>
    <w:rsid w:val="00262325"/>
    <w:rsid w:val="00262A04"/>
    <w:rsid w:val="00262A1A"/>
    <w:rsid w:val="00262A87"/>
    <w:rsid w:val="00262ED0"/>
    <w:rsid w:val="00263E09"/>
    <w:rsid w:val="00264861"/>
    <w:rsid w:val="00264C29"/>
    <w:rsid w:val="00264D26"/>
    <w:rsid w:val="00264E16"/>
    <w:rsid w:val="002651F6"/>
    <w:rsid w:val="002666D8"/>
    <w:rsid w:val="00267642"/>
    <w:rsid w:val="00267747"/>
    <w:rsid w:val="00267AEA"/>
    <w:rsid w:val="00267C02"/>
    <w:rsid w:val="002700E6"/>
    <w:rsid w:val="002708AC"/>
    <w:rsid w:val="00270DD4"/>
    <w:rsid w:val="00270F43"/>
    <w:rsid w:val="002710CA"/>
    <w:rsid w:val="00271240"/>
    <w:rsid w:val="00271585"/>
    <w:rsid w:val="002715B7"/>
    <w:rsid w:val="002722AD"/>
    <w:rsid w:val="0027294B"/>
    <w:rsid w:val="00272BAD"/>
    <w:rsid w:val="00272D41"/>
    <w:rsid w:val="00273714"/>
    <w:rsid w:val="00273D11"/>
    <w:rsid w:val="00273EB4"/>
    <w:rsid w:val="0027461A"/>
    <w:rsid w:val="00274682"/>
    <w:rsid w:val="002747B0"/>
    <w:rsid w:val="00275158"/>
    <w:rsid w:val="00275C5A"/>
    <w:rsid w:val="00275E56"/>
    <w:rsid w:val="0027611B"/>
    <w:rsid w:val="00276C58"/>
    <w:rsid w:val="0027756D"/>
    <w:rsid w:val="0028037B"/>
    <w:rsid w:val="00280A98"/>
    <w:rsid w:val="00281014"/>
    <w:rsid w:val="002815FF"/>
    <w:rsid w:val="00281AF0"/>
    <w:rsid w:val="00281EAC"/>
    <w:rsid w:val="0028211C"/>
    <w:rsid w:val="00282369"/>
    <w:rsid w:val="002823A3"/>
    <w:rsid w:val="00282592"/>
    <w:rsid w:val="002830B7"/>
    <w:rsid w:val="002838BC"/>
    <w:rsid w:val="00283BCB"/>
    <w:rsid w:val="0028424C"/>
    <w:rsid w:val="0028508F"/>
    <w:rsid w:val="00285689"/>
    <w:rsid w:val="00285B54"/>
    <w:rsid w:val="00285BCE"/>
    <w:rsid w:val="00285EA1"/>
    <w:rsid w:val="0028665D"/>
    <w:rsid w:val="00286719"/>
    <w:rsid w:val="00286948"/>
    <w:rsid w:val="00286F4A"/>
    <w:rsid w:val="0028775D"/>
    <w:rsid w:val="00287961"/>
    <w:rsid w:val="00287B8B"/>
    <w:rsid w:val="00290C74"/>
    <w:rsid w:val="0029181E"/>
    <w:rsid w:val="00292485"/>
    <w:rsid w:val="002929BE"/>
    <w:rsid w:val="00292C76"/>
    <w:rsid w:val="00293D96"/>
    <w:rsid w:val="0029428A"/>
    <w:rsid w:val="00294AC5"/>
    <w:rsid w:val="00294D7C"/>
    <w:rsid w:val="00294DA9"/>
    <w:rsid w:val="00294E47"/>
    <w:rsid w:val="00295489"/>
    <w:rsid w:val="00296136"/>
    <w:rsid w:val="00296176"/>
    <w:rsid w:val="00296D3F"/>
    <w:rsid w:val="0029754F"/>
    <w:rsid w:val="00297E93"/>
    <w:rsid w:val="00297EF3"/>
    <w:rsid w:val="002A00A9"/>
    <w:rsid w:val="002A0A7C"/>
    <w:rsid w:val="002A0E3C"/>
    <w:rsid w:val="002A12FB"/>
    <w:rsid w:val="002A14AB"/>
    <w:rsid w:val="002A19A4"/>
    <w:rsid w:val="002A256A"/>
    <w:rsid w:val="002A2ADE"/>
    <w:rsid w:val="002A2F50"/>
    <w:rsid w:val="002A333F"/>
    <w:rsid w:val="002A398A"/>
    <w:rsid w:val="002A3CB0"/>
    <w:rsid w:val="002A45D6"/>
    <w:rsid w:val="002A461B"/>
    <w:rsid w:val="002A47B1"/>
    <w:rsid w:val="002A4935"/>
    <w:rsid w:val="002A4A47"/>
    <w:rsid w:val="002A5633"/>
    <w:rsid w:val="002A56AB"/>
    <w:rsid w:val="002A5F1C"/>
    <w:rsid w:val="002A657E"/>
    <w:rsid w:val="002A6928"/>
    <w:rsid w:val="002A6E47"/>
    <w:rsid w:val="002A6E85"/>
    <w:rsid w:val="002A7186"/>
    <w:rsid w:val="002A725E"/>
    <w:rsid w:val="002A73C7"/>
    <w:rsid w:val="002A74D7"/>
    <w:rsid w:val="002A7673"/>
    <w:rsid w:val="002A77D1"/>
    <w:rsid w:val="002A7943"/>
    <w:rsid w:val="002A7C53"/>
    <w:rsid w:val="002A7DCA"/>
    <w:rsid w:val="002B01E9"/>
    <w:rsid w:val="002B02C8"/>
    <w:rsid w:val="002B05A1"/>
    <w:rsid w:val="002B0839"/>
    <w:rsid w:val="002B09A4"/>
    <w:rsid w:val="002B12E5"/>
    <w:rsid w:val="002B1C1F"/>
    <w:rsid w:val="002B22C7"/>
    <w:rsid w:val="002B271A"/>
    <w:rsid w:val="002B2723"/>
    <w:rsid w:val="002B432F"/>
    <w:rsid w:val="002B44B6"/>
    <w:rsid w:val="002B58EC"/>
    <w:rsid w:val="002B5AC7"/>
    <w:rsid w:val="002B62B3"/>
    <w:rsid w:val="002B63BC"/>
    <w:rsid w:val="002B66AB"/>
    <w:rsid w:val="002B6754"/>
    <w:rsid w:val="002B6CCE"/>
    <w:rsid w:val="002C1A7F"/>
    <w:rsid w:val="002C1E66"/>
    <w:rsid w:val="002C237C"/>
    <w:rsid w:val="002C2510"/>
    <w:rsid w:val="002C25AA"/>
    <w:rsid w:val="002C2775"/>
    <w:rsid w:val="002C27C1"/>
    <w:rsid w:val="002C28EA"/>
    <w:rsid w:val="002C2B0E"/>
    <w:rsid w:val="002C3059"/>
    <w:rsid w:val="002C3451"/>
    <w:rsid w:val="002C36BD"/>
    <w:rsid w:val="002C36E3"/>
    <w:rsid w:val="002C398E"/>
    <w:rsid w:val="002C4965"/>
    <w:rsid w:val="002C5099"/>
    <w:rsid w:val="002C5233"/>
    <w:rsid w:val="002C5889"/>
    <w:rsid w:val="002C5970"/>
    <w:rsid w:val="002C61AF"/>
    <w:rsid w:val="002C71CE"/>
    <w:rsid w:val="002C7BE6"/>
    <w:rsid w:val="002D00F9"/>
    <w:rsid w:val="002D08F8"/>
    <w:rsid w:val="002D095B"/>
    <w:rsid w:val="002D1C11"/>
    <w:rsid w:val="002D2242"/>
    <w:rsid w:val="002D3006"/>
    <w:rsid w:val="002D345A"/>
    <w:rsid w:val="002D3780"/>
    <w:rsid w:val="002D38C9"/>
    <w:rsid w:val="002D577C"/>
    <w:rsid w:val="002D5ACB"/>
    <w:rsid w:val="002D62B5"/>
    <w:rsid w:val="002D62CC"/>
    <w:rsid w:val="002D67D3"/>
    <w:rsid w:val="002D67D9"/>
    <w:rsid w:val="002D75E7"/>
    <w:rsid w:val="002D7832"/>
    <w:rsid w:val="002D7FB4"/>
    <w:rsid w:val="002E1071"/>
    <w:rsid w:val="002E15B9"/>
    <w:rsid w:val="002E1DFB"/>
    <w:rsid w:val="002E1F7F"/>
    <w:rsid w:val="002E213D"/>
    <w:rsid w:val="002E2158"/>
    <w:rsid w:val="002E2D96"/>
    <w:rsid w:val="002E3351"/>
    <w:rsid w:val="002E37A3"/>
    <w:rsid w:val="002E46E5"/>
    <w:rsid w:val="002E4F02"/>
    <w:rsid w:val="002E52A3"/>
    <w:rsid w:val="002E537B"/>
    <w:rsid w:val="002E5476"/>
    <w:rsid w:val="002E5823"/>
    <w:rsid w:val="002E5D41"/>
    <w:rsid w:val="002E5FB4"/>
    <w:rsid w:val="002E68F6"/>
    <w:rsid w:val="002E6C1A"/>
    <w:rsid w:val="002E712C"/>
    <w:rsid w:val="002E7216"/>
    <w:rsid w:val="002E7722"/>
    <w:rsid w:val="002F0758"/>
    <w:rsid w:val="002F07BA"/>
    <w:rsid w:val="002F0B32"/>
    <w:rsid w:val="002F0DA9"/>
    <w:rsid w:val="002F1014"/>
    <w:rsid w:val="002F1460"/>
    <w:rsid w:val="002F1975"/>
    <w:rsid w:val="002F1E3B"/>
    <w:rsid w:val="002F1F1F"/>
    <w:rsid w:val="002F1FA8"/>
    <w:rsid w:val="002F272B"/>
    <w:rsid w:val="002F2742"/>
    <w:rsid w:val="002F3402"/>
    <w:rsid w:val="002F3720"/>
    <w:rsid w:val="002F3764"/>
    <w:rsid w:val="002F3E32"/>
    <w:rsid w:val="002F4170"/>
    <w:rsid w:val="002F429C"/>
    <w:rsid w:val="002F4597"/>
    <w:rsid w:val="002F51CE"/>
    <w:rsid w:val="002F5257"/>
    <w:rsid w:val="002F6286"/>
    <w:rsid w:val="002F643C"/>
    <w:rsid w:val="002F71C0"/>
    <w:rsid w:val="002F71F2"/>
    <w:rsid w:val="002F74F1"/>
    <w:rsid w:val="002F75A8"/>
    <w:rsid w:val="002F7B09"/>
    <w:rsid w:val="0030090A"/>
    <w:rsid w:val="00300C70"/>
    <w:rsid w:val="00301017"/>
    <w:rsid w:val="00301245"/>
    <w:rsid w:val="0030124F"/>
    <w:rsid w:val="003012CC"/>
    <w:rsid w:val="00301406"/>
    <w:rsid w:val="0030155F"/>
    <w:rsid w:val="00302CDC"/>
    <w:rsid w:val="00303169"/>
    <w:rsid w:val="00303813"/>
    <w:rsid w:val="00303B9A"/>
    <w:rsid w:val="003055F4"/>
    <w:rsid w:val="0030587B"/>
    <w:rsid w:val="00305F6A"/>
    <w:rsid w:val="003067A4"/>
    <w:rsid w:val="00306D98"/>
    <w:rsid w:val="00307015"/>
    <w:rsid w:val="003074E8"/>
    <w:rsid w:val="0030786C"/>
    <w:rsid w:val="00307A65"/>
    <w:rsid w:val="00307DE7"/>
    <w:rsid w:val="00310143"/>
    <w:rsid w:val="00310220"/>
    <w:rsid w:val="0031031A"/>
    <w:rsid w:val="00310981"/>
    <w:rsid w:val="00310A13"/>
    <w:rsid w:val="00310BB7"/>
    <w:rsid w:val="003118E3"/>
    <w:rsid w:val="00311B5E"/>
    <w:rsid w:val="00311D46"/>
    <w:rsid w:val="00311D9B"/>
    <w:rsid w:val="00312306"/>
    <w:rsid w:val="003124D9"/>
    <w:rsid w:val="00312594"/>
    <w:rsid w:val="003126AA"/>
    <w:rsid w:val="00312E9C"/>
    <w:rsid w:val="00313117"/>
    <w:rsid w:val="00313DD6"/>
    <w:rsid w:val="00314AAC"/>
    <w:rsid w:val="00314B7F"/>
    <w:rsid w:val="00315498"/>
    <w:rsid w:val="00315818"/>
    <w:rsid w:val="00315C3E"/>
    <w:rsid w:val="00316474"/>
    <w:rsid w:val="00316E9C"/>
    <w:rsid w:val="00316EF5"/>
    <w:rsid w:val="00316F0B"/>
    <w:rsid w:val="00316F2C"/>
    <w:rsid w:val="003174AF"/>
    <w:rsid w:val="003175B4"/>
    <w:rsid w:val="003176A8"/>
    <w:rsid w:val="0031771B"/>
    <w:rsid w:val="003178DB"/>
    <w:rsid w:val="00317BA3"/>
    <w:rsid w:val="00317CEE"/>
    <w:rsid w:val="00317F12"/>
    <w:rsid w:val="00320243"/>
    <w:rsid w:val="00320501"/>
    <w:rsid w:val="0032072C"/>
    <w:rsid w:val="00321373"/>
    <w:rsid w:val="003219A3"/>
    <w:rsid w:val="00322107"/>
    <w:rsid w:val="00322355"/>
    <w:rsid w:val="00322377"/>
    <w:rsid w:val="00322846"/>
    <w:rsid w:val="003228B5"/>
    <w:rsid w:val="00322A57"/>
    <w:rsid w:val="00323B27"/>
    <w:rsid w:val="003244B8"/>
    <w:rsid w:val="00324508"/>
    <w:rsid w:val="00324547"/>
    <w:rsid w:val="00324670"/>
    <w:rsid w:val="00324FBD"/>
    <w:rsid w:val="003252A2"/>
    <w:rsid w:val="00325E10"/>
    <w:rsid w:val="0032601F"/>
    <w:rsid w:val="00326D31"/>
    <w:rsid w:val="00326DA7"/>
    <w:rsid w:val="003270E4"/>
    <w:rsid w:val="00327D93"/>
    <w:rsid w:val="00327ED5"/>
    <w:rsid w:val="003307BD"/>
    <w:rsid w:val="00330DAA"/>
    <w:rsid w:val="00330DEB"/>
    <w:rsid w:val="00330F13"/>
    <w:rsid w:val="00330F5C"/>
    <w:rsid w:val="00331000"/>
    <w:rsid w:val="00331710"/>
    <w:rsid w:val="00331729"/>
    <w:rsid w:val="00331EE5"/>
    <w:rsid w:val="00332321"/>
    <w:rsid w:val="00332F8E"/>
    <w:rsid w:val="003336FF"/>
    <w:rsid w:val="00333DC6"/>
    <w:rsid w:val="00334662"/>
    <w:rsid w:val="00334820"/>
    <w:rsid w:val="00334B37"/>
    <w:rsid w:val="00335A5F"/>
    <w:rsid w:val="00335C0C"/>
    <w:rsid w:val="003366C9"/>
    <w:rsid w:val="00336939"/>
    <w:rsid w:val="003371B0"/>
    <w:rsid w:val="00337331"/>
    <w:rsid w:val="00340650"/>
    <w:rsid w:val="00340DDA"/>
    <w:rsid w:val="00340DF1"/>
    <w:rsid w:val="00340E8F"/>
    <w:rsid w:val="003425CA"/>
    <w:rsid w:val="0034297E"/>
    <w:rsid w:val="00342CCD"/>
    <w:rsid w:val="00343118"/>
    <w:rsid w:val="003432F7"/>
    <w:rsid w:val="00343782"/>
    <w:rsid w:val="003446CC"/>
    <w:rsid w:val="00345F2D"/>
    <w:rsid w:val="00346574"/>
    <w:rsid w:val="00346A66"/>
    <w:rsid w:val="00346B65"/>
    <w:rsid w:val="00346EEE"/>
    <w:rsid w:val="00347E06"/>
    <w:rsid w:val="003501A4"/>
    <w:rsid w:val="00350548"/>
    <w:rsid w:val="00350F2A"/>
    <w:rsid w:val="003517F9"/>
    <w:rsid w:val="00351BA9"/>
    <w:rsid w:val="00351D53"/>
    <w:rsid w:val="003529ED"/>
    <w:rsid w:val="00352DA0"/>
    <w:rsid w:val="003536A9"/>
    <w:rsid w:val="00353D1F"/>
    <w:rsid w:val="0035418D"/>
    <w:rsid w:val="003541FF"/>
    <w:rsid w:val="0035422B"/>
    <w:rsid w:val="003545B1"/>
    <w:rsid w:val="00354A01"/>
    <w:rsid w:val="00354F64"/>
    <w:rsid w:val="00355E27"/>
    <w:rsid w:val="00355F96"/>
    <w:rsid w:val="0035620E"/>
    <w:rsid w:val="00356522"/>
    <w:rsid w:val="003565AE"/>
    <w:rsid w:val="003572BC"/>
    <w:rsid w:val="003575BE"/>
    <w:rsid w:val="003579D4"/>
    <w:rsid w:val="00357D5B"/>
    <w:rsid w:val="00357E67"/>
    <w:rsid w:val="00360345"/>
    <w:rsid w:val="00360656"/>
    <w:rsid w:val="00361182"/>
    <w:rsid w:val="003619B2"/>
    <w:rsid w:val="00361A05"/>
    <w:rsid w:val="00361BBD"/>
    <w:rsid w:val="003624C4"/>
    <w:rsid w:val="00363119"/>
    <w:rsid w:val="0036315F"/>
    <w:rsid w:val="00363611"/>
    <w:rsid w:val="00363749"/>
    <w:rsid w:val="003638AB"/>
    <w:rsid w:val="00363B00"/>
    <w:rsid w:val="00363C20"/>
    <w:rsid w:val="00363F97"/>
    <w:rsid w:val="00364E36"/>
    <w:rsid w:val="0036528B"/>
    <w:rsid w:val="003652B9"/>
    <w:rsid w:val="003654AC"/>
    <w:rsid w:val="003666A8"/>
    <w:rsid w:val="0036790C"/>
    <w:rsid w:val="00367958"/>
    <w:rsid w:val="00367A2C"/>
    <w:rsid w:val="00367A8A"/>
    <w:rsid w:val="00367B5B"/>
    <w:rsid w:val="00367D2F"/>
    <w:rsid w:val="00367FE4"/>
    <w:rsid w:val="0037022D"/>
    <w:rsid w:val="00370B2E"/>
    <w:rsid w:val="00371042"/>
    <w:rsid w:val="003710CF"/>
    <w:rsid w:val="0037133E"/>
    <w:rsid w:val="0037171F"/>
    <w:rsid w:val="00372285"/>
    <w:rsid w:val="003726C0"/>
    <w:rsid w:val="0037315E"/>
    <w:rsid w:val="0037358A"/>
    <w:rsid w:val="00374092"/>
    <w:rsid w:val="003749D9"/>
    <w:rsid w:val="003750F6"/>
    <w:rsid w:val="003758EB"/>
    <w:rsid w:val="00375BEB"/>
    <w:rsid w:val="00375DF8"/>
    <w:rsid w:val="003760FC"/>
    <w:rsid w:val="0037627D"/>
    <w:rsid w:val="003762C1"/>
    <w:rsid w:val="0037685F"/>
    <w:rsid w:val="00376FD1"/>
    <w:rsid w:val="0038150F"/>
    <w:rsid w:val="00381A3D"/>
    <w:rsid w:val="00381C5B"/>
    <w:rsid w:val="0038300C"/>
    <w:rsid w:val="0038365C"/>
    <w:rsid w:val="0038369B"/>
    <w:rsid w:val="00383B78"/>
    <w:rsid w:val="00385419"/>
    <w:rsid w:val="00385A9D"/>
    <w:rsid w:val="00385CE9"/>
    <w:rsid w:val="00385D2F"/>
    <w:rsid w:val="003867D0"/>
    <w:rsid w:val="00387111"/>
    <w:rsid w:val="00387121"/>
    <w:rsid w:val="003902B1"/>
    <w:rsid w:val="003903DF"/>
    <w:rsid w:val="00390CF6"/>
    <w:rsid w:val="0039149F"/>
    <w:rsid w:val="0039179C"/>
    <w:rsid w:val="00391C86"/>
    <w:rsid w:val="00391EBC"/>
    <w:rsid w:val="00392019"/>
    <w:rsid w:val="00392430"/>
    <w:rsid w:val="0039282D"/>
    <w:rsid w:val="00392919"/>
    <w:rsid w:val="00392BE6"/>
    <w:rsid w:val="00392DC8"/>
    <w:rsid w:val="00392EE8"/>
    <w:rsid w:val="00393AEE"/>
    <w:rsid w:val="00394278"/>
    <w:rsid w:val="00395699"/>
    <w:rsid w:val="0039569E"/>
    <w:rsid w:val="003956F3"/>
    <w:rsid w:val="00396896"/>
    <w:rsid w:val="00396FD0"/>
    <w:rsid w:val="0039734C"/>
    <w:rsid w:val="00397403"/>
    <w:rsid w:val="00397416"/>
    <w:rsid w:val="003978D7"/>
    <w:rsid w:val="00397946"/>
    <w:rsid w:val="003A03D5"/>
    <w:rsid w:val="003A06B1"/>
    <w:rsid w:val="003A08EB"/>
    <w:rsid w:val="003A1616"/>
    <w:rsid w:val="003A16CA"/>
    <w:rsid w:val="003A1A7A"/>
    <w:rsid w:val="003A1F8F"/>
    <w:rsid w:val="003A2392"/>
    <w:rsid w:val="003A24E1"/>
    <w:rsid w:val="003A2831"/>
    <w:rsid w:val="003A28E7"/>
    <w:rsid w:val="003A2A88"/>
    <w:rsid w:val="003A3CB6"/>
    <w:rsid w:val="003A3ED1"/>
    <w:rsid w:val="003A42E0"/>
    <w:rsid w:val="003A44DB"/>
    <w:rsid w:val="003A488B"/>
    <w:rsid w:val="003A497C"/>
    <w:rsid w:val="003A4C14"/>
    <w:rsid w:val="003A4D07"/>
    <w:rsid w:val="003A4E6D"/>
    <w:rsid w:val="003A53A2"/>
    <w:rsid w:val="003A6C30"/>
    <w:rsid w:val="003B0175"/>
    <w:rsid w:val="003B025D"/>
    <w:rsid w:val="003B089D"/>
    <w:rsid w:val="003B10FB"/>
    <w:rsid w:val="003B1DDD"/>
    <w:rsid w:val="003B1FD4"/>
    <w:rsid w:val="003B2213"/>
    <w:rsid w:val="003B24C7"/>
    <w:rsid w:val="003B2B85"/>
    <w:rsid w:val="003B2F29"/>
    <w:rsid w:val="003B3489"/>
    <w:rsid w:val="003B3971"/>
    <w:rsid w:val="003B419A"/>
    <w:rsid w:val="003B46B2"/>
    <w:rsid w:val="003B55D1"/>
    <w:rsid w:val="003B567A"/>
    <w:rsid w:val="003B5B61"/>
    <w:rsid w:val="003B5DA8"/>
    <w:rsid w:val="003B6C1A"/>
    <w:rsid w:val="003B7F7F"/>
    <w:rsid w:val="003C0585"/>
    <w:rsid w:val="003C058A"/>
    <w:rsid w:val="003C09E7"/>
    <w:rsid w:val="003C1123"/>
    <w:rsid w:val="003C1340"/>
    <w:rsid w:val="003C1654"/>
    <w:rsid w:val="003C22F3"/>
    <w:rsid w:val="003C2367"/>
    <w:rsid w:val="003C281B"/>
    <w:rsid w:val="003C2CAA"/>
    <w:rsid w:val="003C2FA6"/>
    <w:rsid w:val="003C3BA0"/>
    <w:rsid w:val="003C3CED"/>
    <w:rsid w:val="003C3D47"/>
    <w:rsid w:val="003C4E55"/>
    <w:rsid w:val="003C5542"/>
    <w:rsid w:val="003C6041"/>
    <w:rsid w:val="003C7C15"/>
    <w:rsid w:val="003C7D19"/>
    <w:rsid w:val="003C7D2F"/>
    <w:rsid w:val="003C7E31"/>
    <w:rsid w:val="003C7FBE"/>
    <w:rsid w:val="003D040D"/>
    <w:rsid w:val="003D0C5A"/>
    <w:rsid w:val="003D0CFE"/>
    <w:rsid w:val="003D14CF"/>
    <w:rsid w:val="003D16ED"/>
    <w:rsid w:val="003D1828"/>
    <w:rsid w:val="003D1B27"/>
    <w:rsid w:val="003D1DE4"/>
    <w:rsid w:val="003D1E9A"/>
    <w:rsid w:val="003D2422"/>
    <w:rsid w:val="003D2927"/>
    <w:rsid w:val="003D36B9"/>
    <w:rsid w:val="003D39A1"/>
    <w:rsid w:val="003D3FBF"/>
    <w:rsid w:val="003D4A30"/>
    <w:rsid w:val="003D4D4B"/>
    <w:rsid w:val="003D500F"/>
    <w:rsid w:val="003D51F6"/>
    <w:rsid w:val="003D5517"/>
    <w:rsid w:val="003D5AC7"/>
    <w:rsid w:val="003D5C5B"/>
    <w:rsid w:val="003D5D44"/>
    <w:rsid w:val="003D5D63"/>
    <w:rsid w:val="003D6A41"/>
    <w:rsid w:val="003D7452"/>
    <w:rsid w:val="003D777B"/>
    <w:rsid w:val="003D78C1"/>
    <w:rsid w:val="003D79BB"/>
    <w:rsid w:val="003D7C98"/>
    <w:rsid w:val="003D7D9D"/>
    <w:rsid w:val="003E0543"/>
    <w:rsid w:val="003E0EB1"/>
    <w:rsid w:val="003E13F1"/>
    <w:rsid w:val="003E1AA7"/>
    <w:rsid w:val="003E1C07"/>
    <w:rsid w:val="003E1E5B"/>
    <w:rsid w:val="003E244D"/>
    <w:rsid w:val="003E2583"/>
    <w:rsid w:val="003E2997"/>
    <w:rsid w:val="003E3433"/>
    <w:rsid w:val="003E37ED"/>
    <w:rsid w:val="003E38F2"/>
    <w:rsid w:val="003E4203"/>
    <w:rsid w:val="003E440B"/>
    <w:rsid w:val="003E4FAD"/>
    <w:rsid w:val="003E5002"/>
    <w:rsid w:val="003E539F"/>
    <w:rsid w:val="003E5603"/>
    <w:rsid w:val="003E749E"/>
    <w:rsid w:val="003E7524"/>
    <w:rsid w:val="003E768D"/>
    <w:rsid w:val="003F034B"/>
    <w:rsid w:val="003F0975"/>
    <w:rsid w:val="003F0FCE"/>
    <w:rsid w:val="003F17BA"/>
    <w:rsid w:val="003F17D9"/>
    <w:rsid w:val="003F2CFA"/>
    <w:rsid w:val="003F3596"/>
    <w:rsid w:val="003F3B50"/>
    <w:rsid w:val="003F4156"/>
    <w:rsid w:val="003F4307"/>
    <w:rsid w:val="003F497E"/>
    <w:rsid w:val="003F5ADF"/>
    <w:rsid w:val="003F6300"/>
    <w:rsid w:val="003F6F1B"/>
    <w:rsid w:val="003F6F43"/>
    <w:rsid w:val="003F743A"/>
    <w:rsid w:val="003F74B6"/>
    <w:rsid w:val="0040058A"/>
    <w:rsid w:val="00400B29"/>
    <w:rsid w:val="00401208"/>
    <w:rsid w:val="0040126E"/>
    <w:rsid w:val="00401847"/>
    <w:rsid w:val="004019F6"/>
    <w:rsid w:val="004026E5"/>
    <w:rsid w:val="00402812"/>
    <w:rsid w:val="00402CE7"/>
    <w:rsid w:val="0040321D"/>
    <w:rsid w:val="00403720"/>
    <w:rsid w:val="0040410B"/>
    <w:rsid w:val="0040504B"/>
    <w:rsid w:val="004059F4"/>
    <w:rsid w:val="00405F6D"/>
    <w:rsid w:val="00406478"/>
    <w:rsid w:val="004069F7"/>
    <w:rsid w:val="004074F7"/>
    <w:rsid w:val="00407A45"/>
    <w:rsid w:val="00407F2E"/>
    <w:rsid w:val="00407FE5"/>
    <w:rsid w:val="004101B0"/>
    <w:rsid w:val="00410326"/>
    <w:rsid w:val="004105E2"/>
    <w:rsid w:val="00410708"/>
    <w:rsid w:val="00410780"/>
    <w:rsid w:val="00410E61"/>
    <w:rsid w:val="00410EC7"/>
    <w:rsid w:val="00411457"/>
    <w:rsid w:val="00411AB2"/>
    <w:rsid w:val="00411B39"/>
    <w:rsid w:val="00411F55"/>
    <w:rsid w:val="00411FE2"/>
    <w:rsid w:val="0041210F"/>
    <w:rsid w:val="0041230D"/>
    <w:rsid w:val="004127A7"/>
    <w:rsid w:val="0041317C"/>
    <w:rsid w:val="0041328E"/>
    <w:rsid w:val="00413632"/>
    <w:rsid w:val="004138A3"/>
    <w:rsid w:val="00413916"/>
    <w:rsid w:val="00413A1E"/>
    <w:rsid w:val="00414476"/>
    <w:rsid w:val="00414C2E"/>
    <w:rsid w:val="00414CE9"/>
    <w:rsid w:val="004151CF"/>
    <w:rsid w:val="00416364"/>
    <w:rsid w:val="004169B5"/>
    <w:rsid w:val="00416B26"/>
    <w:rsid w:val="0042047F"/>
    <w:rsid w:val="00420512"/>
    <w:rsid w:val="00420AA6"/>
    <w:rsid w:val="00420B9F"/>
    <w:rsid w:val="00420C9F"/>
    <w:rsid w:val="00421801"/>
    <w:rsid w:val="0042192C"/>
    <w:rsid w:val="00422260"/>
    <w:rsid w:val="00422C3C"/>
    <w:rsid w:val="00423001"/>
    <w:rsid w:val="0042371D"/>
    <w:rsid w:val="0042413F"/>
    <w:rsid w:val="0042498F"/>
    <w:rsid w:val="004250E0"/>
    <w:rsid w:val="00427E27"/>
    <w:rsid w:val="00427E5F"/>
    <w:rsid w:val="004302C8"/>
    <w:rsid w:val="004304A1"/>
    <w:rsid w:val="00430655"/>
    <w:rsid w:val="004319F8"/>
    <w:rsid w:val="00431E55"/>
    <w:rsid w:val="004321F6"/>
    <w:rsid w:val="0043269D"/>
    <w:rsid w:val="00432C8F"/>
    <w:rsid w:val="00432E43"/>
    <w:rsid w:val="00433044"/>
    <w:rsid w:val="00433764"/>
    <w:rsid w:val="00433A40"/>
    <w:rsid w:val="00433F9D"/>
    <w:rsid w:val="00434088"/>
    <w:rsid w:val="00434EA1"/>
    <w:rsid w:val="00434FE4"/>
    <w:rsid w:val="00436073"/>
    <w:rsid w:val="004364BE"/>
    <w:rsid w:val="00437290"/>
    <w:rsid w:val="004375B9"/>
    <w:rsid w:val="00440623"/>
    <w:rsid w:val="00441124"/>
    <w:rsid w:val="00441C50"/>
    <w:rsid w:val="00441DB2"/>
    <w:rsid w:val="00441DDB"/>
    <w:rsid w:val="0044231C"/>
    <w:rsid w:val="004428D0"/>
    <w:rsid w:val="00442CEE"/>
    <w:rsid w:val="00442D50"/>
    <w:rsid w:val="004433FD"/>
    <w:rsid w:val="00443ABE"/>
    <w:rsid w:val="00444185"/>
    <w:rsid w:val="004443A7"/>
    <w:rsid w:val="0044442C"/>
    <w:rsid w:val="004450A1"/>
    <w:rsid w:val="004452AA"/>
    <w:rsid w:val="00445941"/>
    <w:rsid w:val="00445D35"/>
    <w:rsid w:val="004464EB"/>
    <w:rsid w:val="00446ACC"/>
    <w:rsid w:val="00447D18"/>
    <w:rsid w:val="00447D26"/>
    <w:rsid w:val="00447DFC"/>
    <w:rsid w:val="004504D3"/>
    <w:rsid w:val="00451CDA"/>
    <w:rsid w:val="00451FEA"/>
    <w:rsid w:val="00453DB0"/>
    <w:rsid w:val="0045424C"/>
    <w:rsid w:val="004548D1"/>
    <w:rsid w:val="00454D30"/>
    <w:rsid w:val="00454E64"/>
    <w:rsid w:val="00454F38"/>
    <w:rsid w:val="004558BD"/>
    <w:rsid w:val="00455D45"/>
    <w:rsid w:val="00456B36"/>
    <w:rsid w:val="00457262"/>
    <w:rsid w:val="00457340"/>
    <w:rsid w:val="0045768D"/>
    <w:rsid w:val="0045783A"/>
    <w:rsid w:val="00457AC8"/>
    <w:rsid w:val="00457BC7"/>
    <w:rsid w:val="00457D0A"/>
    <w:rsid w:val="00460A93"/>
    <w:rsid w:val="00461249"/>
    <w:rsid w:val="00461C71"/>
    <w:rsid w:val="00461F38"/>
    <w:rsid w:val="00462278"/>
    <w:rsid w:val="004622E2"/>
    <w:rsid w:val="00462669"/>
    <w:rsid w:val="00462AD8"/>
    <w:rsid w:val="00462F36"/>
    <w:rsid w:val="004637F0"/>
    <w:rsid w:val="00463BAB"/>
    <w:rsid w:val="00464595"/>
    <w:rsid w:val="00465310"/>
    <w:rsid w:val="004658B5"/>
    <w:rsid w:val="00465970"/>
    <w:rsid w:val="004661A4"/>
    <w:rsid w:val="004662F2"/>
    <w:rsid w:val="004663E9"/>
    <w:rsid w:val="00466B8C"/>
    <w:rsid w:val="004700E1"/>
    <w:rsid w:val="00470A82"/>
    <w:rsid w:val="00470F3E"/>
    <w:rsid w:val="00471331"/>
    <w:rsid w:val="00471548"/>
    <w:rsid w:val="00471642"/>
    <w:rsid w:val="00471A85"/>
    <w:rsid w:val="00471AD8"/>
    <w:rsid w:val="00471EA5"/>
    <w:rsid w:val="00472A79"/>
    <w:rsid w:val="00472CE1"/>
    <w:rsid w:val="00473356"/>
    <w:rsid w:val="00473794"/>
    <w:rsid w:val="00473F19"/>
    <w:rsid w:val="00474418"/>
    <w:rsid w:val="00474D0D"/>
    <w:rsid w:val="0047505F"/>
    <w:rsid w:val="00475205"/>
    <w:rsid w:val="00475CA1"/>
    <w:rsid w:val="00475E22"/>
    <w:rsid w:val="00476BA1"/>
    <w:rsid w:val="00480341"/>
    <w:rsid w:val="004807E6"/>
    <w:rsid w:val="0048088E"/>
    <w:rsid w:val="00480F2B"/>
    <w:rsid w:val="00481F40"/>
    <w:rsid w:val="00481F5F"/>
    <w:rsid w:val="00482720"/>
    <w:rsid w:val="00482987"/>
    <w:rsid w:val="00482A69"/>
    <w:rsid w:val="00482BD7"/>
    <w:rsid w:val="0048303D"/>
    <w:rsid w:val="004833B0"/>
    <w:rsid w:val="004835E7"/>
    <w:rsid w:val="0048425A"/>
    <w:rsid w:val="004859E1"/>
    <w:rsid w:val="00485B55"/>
    <w:rsid w:val="004864D7"/>
    <w:rsid w:val="00486786"/>
    <w:rsid w:val="004867E2"/>
    <w:rsid w:val="00486D3D"/>
    <w:rsid w:val="00487088"/>
    <w:rsid w:val="00487BCE"/>
    <w:rsid w:val="00487DCE"/>
    <w:rsid w:val="0049066D"/>
    <w:rsid w:val="00490B17"/>
    <w:rsid w:val="00490E18"/>
    <w:rsid w:val="00491299"/>
    <w:rsid w:val="00491B3A"/>
    <w:rsid w:val="00491B5B"/>
    <w:rsid w:val="004924ED"/>
    <w:rsid w:val="00492CBE"/>
    <w:rsid w:val="00492CFD"/>
    <w:rsid w:val="00492FCF"/>
    <w:rsid w:val="0049329D"/>
    <w:rsid w:val="00493A39"/>
    <w:rsid w:val="00493DD7"/>
    <w:rsid w:val="00493EB4"/>
    <w:rsid w:val="00493F0F"/>
    <w:rsid w:val="00494061"/>
    <w:rsid w:val="00494207"/>
    <w:rsid w:val="004944EC"/>
    <w:rsid w:val="004945C7"/>
    <w:rsid w:val="00494853"/>
    <w:rsid w:val="00494DD5"/>
    <w:rsid w:val="00495461"/>
    <w:rsid w:val="00495B9E"/>
    <w:rsid w:val="00495D43"/>
    <w:rsid w:val="00495DF7"/>
    <w:rsid w:val="004962D2"/>
    <w:rsid w:val="00496357"/>
    <w:rsid w:val="004969D6"/>
    <w:rsid w:val="004972A3"/>
    <w:rsid w:val="004A0A39"/>
    <w:rsid w:val="004A0DA1"/>
    <w:rsid w:val="004A13D6"/>
    <w:rsid w:val="004A1A3D"/>
    <w:rsid w:val="004A25D3"/>
    <w:rsid w:val="004A3064"/>
    <w:rsid w:val="004A3158"/>
    <w:rsid w:val="004A38F9"/>
    <w:rsid w:val="004A52E9"/>
    <w:rsid w:val="004A53BE"/>
    <w:rsid w:val="004A54BE"/>
    <w:rsid w:val="004A6040"/>
    <w:rsid w:val="004A6597"/>
    <w:rsid w:val="004A6A34"/>
    <w:rsid w:val="004A71FF"/>
    <w:rsid w:val="004A748C"/>
    <w:rsid w:val="004A7848"/>
    <w:rsid w:val="004A793B"/>
    <w:rsid w:val="004B01A6"/>
    <w:rsid w:val="004B1CB4"/>
    <w:rsid w:val="004B1E8D"/>
    <w:rsid w:val="004B21BF"/>
    <w:rsid w:val="004B231B"/>
    <w:rsid w:val="004B242A"/>
    <w:rsid w:val="004B260A"/>
    <w:rsid w:val="004B2F18"/>
    <w:rsid w:val="004B33D0"/>
    <w:rsid w:val="004B3DDB"/>
    <w:rsid w:val="004B44E2"/>
    <w:rsid w:val="004B44FD"/>
    <w:rsid w:val="004B4B35"/>
    <w:rsid w:val="004B52C9"/>
    <w:rsid w:val="004B56CB"/>
    <w:rsid w:val="004B582D"/>
    <w:rsid w:val="004B5CFC"/>
    <w:rsid w:val="004B688E"/>
    <w:rsid w:val="004B6A81"/>
    <w:rsid w:val="004B6DFC"/>
    <w:rsid w:val="004B6F79"/>
    <w:rsid w:val="004B70BA"/>
    <w:rsid w:val="004B7266"/>
    <w:rsid w:val="004B774D"/>
    <w:rsid w:val="004C0E97"/>
    <w:rsid w:val="004C188F"/>
    <w:rsid w:val="004C2144"/>
    <w:rsid w:val="004C2264"/>
    <w:rsid w:val="004C24E4"/>
    <w:rsid w:val="004C2AC2"/>
    <w:rsid w:val="004C2C92"/>
    <w:rsid w:val="004C3432"/>
    <w:rsid w:val="004C34C8"/>
    <w:rsid w:val="004C38A3"/>
    <w:rsid w:val="004C3B02"/>
    <w:rsid w:val="004C49C8"/>
    <w:rsid w:val="004C4A87"/>
    <w:rsid w:val="004C4AED"/>
    <w:rsid w:val="004C5252"/>
    <w:rsid w:val="004C52DE"/>
    <w:rsid w:val="004C60E5"/>
    <w:rsid w:val="004C62BA"/>
    <w:rsid w:val="004C6858"/>
    <w:rsid w:val="004C6963"/>
    <w:rsid w:val="004C69F8"/>
    <w:rsid w:val="004C6E69"/>
    <w:rsid w:val="004C7AF6"/>
    <w:rsid w:val="004D05D8"/>
    <w:rsid w:val="004D0EAD"/>
    <w:rsid w:val="004D134F"/>
    <w:rsid w:val="004D16FE"/>
    <w:rsid w:val="004D2621"/>
    <w:rsid w:val="004D2C2D"/>
    <w:rsid w:val="004D2DF0"/>
    <w:rsid w:val="004D2F40"/>
    <w:rsid w:val="004D4174"/>
    <w:rsid w:val="004D46D6"/>
    <w:rsid w:val="004D4893"/>
    <w:rsid w:val="004D4DF4"/>
    <w:rsid w:val="004D5D48"/>
    <w:rsid w:val="004D5E68"/>
    <w:rsid w:val="004D5FF8"/>
    <w:rsid w:val="004D61FF"/>
    <w:rsid w:val="004D632C"/>
    <w:rsid w:val="004D640C"/>
    <w:rsid w:val="004D69B5"/>
    <w:rsid w:val="004D7227"/>
    <w:rsid w:val="004D73A2"/>
    <w:rsid w:val="004D7427"/>
    <w:rsid w:val="004D75A7"/>
    <w:rsid w:val="004D7682"/>
    <w:rsid w:val="004D7B55"/>
    <w:rsid w:val="004D7B5E"/>
    <w:rsid w:val="004E0E7F"/>
    <w:rsid w:val="004E0EB8"/>
    <w:rsid w:val="004E18E9"/>
    <w:rsid w:val="004E197E"/>
    <w:rsid w:val="004E1AC7"/>
    <w:rsid w:val="004E25B9"/>
    <w:rsid w:val="004E2ADC"/>
    <w:rsid w:val="004E2F75"/>
    <w:rsid w:val="004E3927"/>
    <w:rsid w:val="004E3931"/>
    <w:rsid w:val="004E3A34"/>
    <w:rsid w:val="004E43B2"/>
    <w:rsid w:val="004E468B"/>
    <w:rsid w:val="004E46CE"/>
    <w:rsid w:val="004E59D6"/>
    <w:rsid w:val="004E615D"/>
    <w:rsid w:val="004E6748"/>
    <w:rsid w:val="004E70D4"/>
    <w:rsid w:val="004E746D"/>
    <w:rsid w:val="004E7821"/>
    <w:rsid w:val="004E7C98"/>
    <w:rsid w:val="004F0B02"/>
    <w:rsid w:val="004F0D60"/>
    <w:rsid w:val="004F1409"/>
    <w:rsid w:val="004F1D02"/>
    <w:rsid w:val="004F2679"/>
    <w:rsid w:val="004F275E"/>
    <w:rsid w:val="004F2864"/>
    <w:rsid w:val="004F2F21"/>
    <w:rsid w:val="004F30A6"/>
    <w:rsid w:val="004F31EF"/>
    <w:rsid w:val="004F385F"/>
    <w:rsid w:val="004F38B0"/>
    <w:rsid w:val="004F3B6B"/>
    <w:rsid w:val="004F3DBA"/>
    <w:rsid w:val="004F3DE5"/>
    <w:rsid w:val="004F46EC"/>
    <w:rsid w:val="004F4B26"/>
    <w:rsid w:val="004F63E8"/>
    <w:rsid w:val="004F6913"/>
    <w:rsid w:val="004F6A99"/>
    <w:rsid w:val="004F7865"/>
    <w:rsid w:val="004F7AEF"/>
    <w:rsid w:val="005002F0"/>
    <w:rsid w:val="00500CB4"/>
    <w:rsid w:val="00500DE8"/>
    <w:rsid w:val="005015AA"/>
    <w:rsid w:val="0050174E"/>
    <w:rsid w:val="00501854"/>
    <w:rsid w:val="0050219B"/>
    <w:rsid w:val="005029E6"/>
    <w:rsid w:val="00502CB5"/>
    <w:rsid w:val="00502DB1"/>
    <w:rsid w:val="00502DFF"/>
    <w:rsid w:val="0050335F"/>
    <w:rsid w:val="005035F5"/>
    <w:rsid w:val="005039D4"/>
    <w:rsid w:val="00503C92"/>
    <w:rsid w:val="00503F17"/>
    <w:rsid w:val="00503F3A"/>
    <w:rsid w:val="005040AC"/>
    <w:rsid w:val="005042D1"/>
    <w:rsid w:val="0050456F"/>
    <w:rsid w:val="00504A20"/>
    <w:rsid w:val="005051A2"/>
    <w:rsid w:val="005055FC"/>
    <w:rsid w:val="0050650B"/>
    <w:rsid w:val="005068F3"/>
    <w:rsid w:val="00506928"/>
    <w:rsid w:val="00506B7F"/>
    <w:rsid w:val="00507333"/>
    <w:rsid w:val="005077EF"/>
    <w:rsid w:val="00507C60"/>
    <w:rsid w:val="00510805"/>
    <w:rsid w:val="00510C90"/>
    <w:rsid w:val="005112BE"/>
    <w:rsid w:val="005117C0"/>
    <w:rsid w:val="00511AD5"/>
    <w:rsid w:val="00511DC7"/>
    <w:rsid w:val="00511EFD"/>
    <w:rsid w:val="0051292F"/>
    <w:rsid w:val="00512D7B"/>
    <w:rsid w:val="00513530"/>
    <w:rsid w:val="005141A7"/>
    <w:rsid w:val="005142C5"/>
    <w:rsid w:val="0051481D"/>
    <w:rsid w:val="00514B54"/>
    <w:rsid w:val="0051501B"/>
    <w:rsid w:val="0051525F"/>
    <w:rsid w:val="005152B5"/>
    <w:rsid w:val="0051567C"/>
    <w:rsid w:val="00515886"/>
    <w:rsid w:val="00515A34"/>
    <w:rsid w:val="005160E9"/>
    <w:rsid w:val="00516208"/>
    <w:rsid w:val="005164BC"/>
    <w:rsid w:val="005164E8"/>
    <w:rsid w:val="00516872"/>
    <w:rsid w:val="005168EB"/>
    <w:rsid w:val="00516937"/>
    <w:rsid w:val="00516A3D"/>
    <w:rsid w:val="00516D73"/>
    <w:rsid w:val="0051712E"/>
    <w:rsid w:val="0051736C"/>
    <w:rsid w:val="005173F4"/>
    <w:rsid w:val="00517472"/>
    <w:rsid w:val="00520076"/>
    <w:rsid w:val="0052084E"/>
    <w:rsid w:val="005208D4"/>
    <w:rsid w:val="00520B20"/>
    <w:rsid w:val="00520E6C"/>
    <w:rsid w:val="0052115C"/>
    <w:rsid w:val="0052123C"/>
    <w:rsid w:val="00521283"/>
    <w:rsid w:val="00521319"/>
    <w:rsid w:val="00522395"/>
    <w:rsid w:val="00522512"/>
    <w:rsid w:val="00522998"/>
    <w:rsid w:val="00522BC8"/>
    <w:rsid w:val="00522BD1"/>
    <w:rsid w:val="00522C71"/>
    <w:rsid w:val="00523682"/>
    <w:rsid w:val="00523C28"/>
    <w:rsid w:val="00524F39"/>
    <w:rsid w:val="00525799"/>
    <w:rsid w:val="005267FD"/>
    <w:rsid w:val="00526BA0"/>
    <w:rsid w:val="00526EFE"/>
    <w:rsid w:val="005279CC"/>
    <w:rsid w:val="00527A8C"/>
    <w:rsid w:val="005302BC"/>
    <w:rsid w:val="005304A5"/>
    <w:rsid w:val="00530A7D"/>
    <w:rsid w:val="005313DF"/>
    <w:rsid w:val="0053176B"/>
    <w:rsid w:val="00531E5A"/>
    <w:rsid w:val="00533622"/>
    <w:rsid w:val="005341B3"/>
    <w:rsid w:val="00535130"/>
    <w:rsid w:val="00535140"/>
    <w:rsid w:val="00535673"/>
    <w:rsid w:val="00535F83"/>
    <w:rsid w:val="00536CFA"/>
    <w:rsid w:val="00536D8C"/>
    <w:rsid w:val="00536F42"/>
    <w:rsid w:val="00537182"/>
    <w:rsid w:val="00537805"/>
    <w:rsid w:val="00537B57"/>
    <w:rsid w:val="0054020E"/>
    <w:rsid w:val="0054117B"/>
    <w:rsid w:val="00541EDD"/>
    <w:rsid w:val="00542743"/>
    <w:rsid w:val="00542B81"/>
    <w:rsid w:val="00542C2D"/>
    <w:rsid w:val="00543241"/>
    <w:rsid w:val="00543519"/>
    <w:rsid w:val="00543604"/>
    <w:rsid w:val="0054378C"/>
    <w:rsid w:val="0054422C"/>
    <w:rsid w:val="00545A69"/>
    <w:rsid w:val="00545E63"/>
    <w:rsid w:val="0054607F"/>
    <w:rsid w:val="0054680A"/>
    <w:rsid w:val="005478BD"/>
    <w:rsid w:val="005479E3"/>
    <w:rsid w:val="005479FF"/>
    <w:rsid w:val="005506AA"/>
    <w:rsid w:val="00551683"/>
    <w:rsid w:val="00551985"/>
    <w:rsid w:val="00551AE6"/>
    <w:rsid w:val="00551C4A"/>
    <w:rsid w:val="005528FC"/>
    <w:rsid w:val="00552BD3"/>
    <w:rsid w:val="005532A0"/>
    <w:rsid w:val="00553CCD"/>
    <w:rsid w:val="00554349"/>
    <w:rsid w:val="00554B14"/>
    <w:rsid w:val="00555109"/>
    <w:rsid w:val="005551B4"/>
    <w:rsid w:val="00555571"/>
    <w:rsid w:val="0055595D"/>
    <w:rsid w:val="00555DDC"/>
    <w:rsid w:val="00555F35"/>
    <w:rsid w:val="005560D3"/>
    <w:rsid w:val="005560F3"/>
    <w:rsid w:val="005562F9"/>
    <w:rsid w:val="0055675E"/>
    <w:rsid w:val="00556B35"/>
    <w:rsid w:val="0055741A"/>
    <w:rsid w:val="00557DE2"/>
    <w:rsid w:val="00557FE3"/>
    <w:rsid w:val="0056075F"/>
    <w:rsid w:val="00560AF6"/>
    <w:rsid w:val="00560BF7"/>
    <w:rsid w:val="005611B7"/>
    <w:rsid w:val="00561531"/>
    <w:rsid w:val="005618D4"/>
    <w:rsid w:val="00562058"/>
    <w:rsid w:val="005628EA"/>
    <w:rsid w:val="00562B56"/>
    <w:rsid w:val="00562C58"/>
    <w:rsid w:val="00562D8A"/>
    <w:rsid w:val="005637AE"/>
    <w:rsid w:val="00564867"/>
    <w:rsid w:val="00564D99"/>
    <w:rsid w:val="00565076"/>
    <w:rsid w:val="00565A4F"/>
    <w:rsid w:val="00565ADA"/>
    <w:rsid w:val="00565C79"/>
    <w:rsid w:val="00565DF0"/>
    <w:rsid w:val="005665FB"/>
    <w:rsid w:val="0056696F"/>
    <w:rsid w:val="00566FF3"/>
    <w:rsid w:val="00567115"/>
    <w:rsid w:val="005708E9"/>
    <w:rsid w:val="00570BE5"/>
    <w:rsid w:val="00570D1A"/>
    <w:rsid w:val="00570ED9"/>
    <w:rsid w:val="005713C7"/>
    <w:rsid w:val="0057165B"/>
    <w:rsid w:val="00571A81"/>
    <w:rsid w:val="00572269"/>
    <w:rsid w:val="0057244A"/>
    <w:rsid w:val="00572F26"/>
    <w:rsid w:val="00573363"/>
    <w:rsid w:val="005739B5"/>
    <w:rsid w:val="00573C6D"/>
    <w:rsid w:val="00573D8E"/>
    <w:rsid w:val="0057473E"/>
    <w:rsid w:val="005747BC"/>
    <w:rsid w:val="005750C5"/>
    <w:rsid w:val="005752DE"/>
    <w:rsid w:val="005756A9"/>
    <w:rsid w:val="00575D60"/>
    <w:rsid w:val="00575D8D"/>
    <w:rsid w:val="00576947"/>
    <w:rsid w:val="00576972"/>
    <w:rsid w:val="00577248"/>
    <w:rsid w:val="005778D4"/>
    <w:rsid w:val="0058056D"/>
    <w:rsid w:val="00580D9D"/>
    <w:rsid w:val="00580E07"/>
    <w:rsid w:val="0058122F"/>
    <w:rsid w:val="00581998"/>
    <w:rsid w:val="005819A2"/>
    <w:rsid w:val="005820D6"/>
    <w:rsid w:val="00583699"/>
    <w:rsid w:val="00584C53"/>
    <w:rsid w:val="00585B12"/>
    <w:rsid w:val="00585CDD"/>
    <w:rsid w:val="00585D5A"/>
    <w:rsid w:val="00586715"/>
    <w:rsid w:val="005868C2"/>
    <w:rsid w:val="005869C3"/>
    <w:rsid w:val="00586C50"/>
    <w:rsid w:val="00586E92"/>
    <w:rsid w:val="00587058"/>
    <w:rsid w:val="005872DE"/>
    <w:rsid w:val="0058754E"/>
    <w:rsid w:val="0058792C"/>
    <w:rsid w:val="00590018"/>
    <w:rsid w:val="00590E47"/>
    <w:rsid w:val="005913FC"/>
    <w:rsid w:val="005914E0"/>
    <w:rsid w:val="005915E5"/>
    <w:rsid w:val="00591957"/>
    <w:rsid w:val="00591C03"/>
    <w:rsid w:val="00593174"/>
    <w:rsid w:val="005934B8"/>
    <w:rsid w:val="005938E8"/>
    <w:rsid w:val="00593A0E"/>
    <w:rsid w:val="00593E93"/>
    <w:rsid w:val="0059432F"/>
    <w:rsid w:val="0059434A"/>
    <w:rsid w:val="005946C0"/>
    <w:rsid w:val="00594AE0"/>
    <w:rsid w:val="00594FBA"/>
    <w:rsid w:val="0059509F"/>
    <w:rsid w:val="00595AB9"/>
    <w:rsid w:val="005962E8"/>
    <w:rsid w:val="0059703F"/>
    <w:rsid w:val="0059725A"/>
    <w:rsid w:val="005973D4"/>
    <w:rsid w:val="005976F9"/>
    <w:rsid w:val="00597BF9"/>
    <w:rsid w:val="00597CD5"/>
    <w:rsid w:val="005A01D4"/>
    <w:rsid w:val="005A02D3"/>
    <w:rsid w:val="005A07FE"/>
    <w:rsid w:val="005A0A0A"/>
    <w:rsid w:val="005A0C11"/>
    <w:rsid w:val="005A127F"/>
    <w:rsid w:val="005A1773"/>
    <w:rsid w:val="005A1B8E"/>
    <w:rsid w:val="005A2063"/>
    <w:rsid w:val="005A2A5B"/>
    <w:rsid w:val="005A2DD8"/>
    <w:rsid w:val="005A2FB7"/>
    <w:rsid w:val="005A3063"/>
    <w:rsid w:val="005A309A"/>
    <w:rsid w:val="005A373D"/>
    <w:rsid w:val="005A42F9"/>
    <w:rsid w:val="005A4428"/>
    <w:rsid w:val="005A44E0"/>
    <w:rsid w:val="005A543B"/>
    <w:rsid w:val="005A57D7"/>
    <w:rsid w:val="005A6899"/>
    <w:rsid w:val="005A68BE"/>
    <w:rsid w:val="005A6AC8"/>
    <w:rsid w:val="005A6EED"/>
    <w:rsid w:val="005A7189"/>
    <w:rsid w:val="005A7327"/>
    <w:rsid w:val="005A73EC"/>
    <w:rsid w:val="005B0012"/>
    <w:rsid w:val="005B0250"/>
    <w:rsid w:val="005B0959"/>
    <w:rsid w:val="005B096A"/>
    <w:rsid w:val="005B0B58"/>
    <w:rsid w:val="005B190C"/>
    <w:rsid w:val="005B1EFB"/>
    <w:rsid w:val="005B2AE8"/>
    <w:rsid w:val="005B2ECA"/>
    <w:rsid w:val="005B3449"/>
    <w:rsid w:val="005B35A3"/>
    <w:rsid w:val="005B3845"/>
    <w:rsid w:val="005B3A13"/>
    <w:rsid w:val="005B407C"/>
    <w:rsid w:val="005B40A1"/>
    <w:rsid w:val="005B4372"/>
    <w:rsid w:val="005B44A0"/>
    <w:rsid w:val="005B4E53"/>
    <w:rsid w:val="005B5857"/>
    <w:rsid w:val="005B592D"/>
    <w:rsid w:val="005B5A2F"/>
    <w:rsid w:val="005B5B4F"/>
    <w:rsid w:val="005B6CD3"/>
    <w:rsid w:val="005B73A3"/>
    <w:rsid w:val="005B74F3"/>
    <w:rsid w:val="005B779F"/>
    <w:rsid w:val="005B7B10"/>
    <w:rsid w:val="005C01E9"/>
    <w:rsid w:val="005C03FC"/>
    <w:rsid w:val="005C0769"/>
    <w:rsid w:val="005C19C4"/>
    <w:rsid w:val="005C1B83"/>
    <w:rsid w:val="005C2380"/>
    <w:rsid w:val="005C25FF"/>
    <w:rsid w:val="005C28DD"/>
    <w:rsid w:val="005C2D55"/>
    <w:rsid w:val="005C2F4F"/>
    <w:rsid w:val="005C346B"/>
    <w:rsid w:val="005C3B9A"/>
    <w:rsid w:val="005C3C5B"/>
    <w:rsid w:val="005C4215"/>
    <w:rsid w:val="005C4C1E"/>
    <w:rsid w:val="005C5166"/>
    <w:rsid w:val="005C547F"/>
    <w:rsid w:val="005C56D7"/>
    <w:rsid w:val="005C5ABC"/>
    <w:rsid w:val="005C5E14"/>
    <w:rsid w:val="005C648D"/>
    <w:rsid w:val="005C6834"/>
    <w:rsid w:val="005C7471"/>
    <w:rsid w:val="005C768C"/>
    <w:rsid w:val="005C7ADB"/>
    <w:rsid w:val="005D03DC"/>
    <w:rsid w:val="005D044D"/>
    <w:rsid w:val="005D0612"/>
    <w:rsid w:val="005D0ABD"/>
    <w:rsid w:val="005D0F1F"/>
    <w:rsid w:val="005D10B2"/>
    <w:rsid w:val="005D18AD"/>
    <w:rsid w:val="005D26B4"/>
    <w:rsid w:val="005D38EF"/>
    <w:rsid w:val="005D3A0A"/>
    <w:rsid w:val="005D4831"/>
    <w:rsid w:val="005D4D39"/>
    <w:rsid w:val="005D530E"/>
    <w:rsid w:val="005D561B"/>
    <w:rsid w:val="005D5BC3"/>
    <w:rsid w:val="005D6D6C"/>
    <w:rsid w:val="005D6EF4"/>
    <w:rsid w:val="005D71AF"/>
    <w:rsid w:val="005D74B0"/>
    <w:rsid w:val="005D7B07"/>
    <w:rsid w:val="005D7B52"/>
    <w:rsid w:val="005D7C9C"/>
    <w:rsid w:val="005E03F2"/>
    <w:rsid w:val="005E0C2C"/>
    <w:rsid w:val="005E0CE3"/>
    <w:rsid w:val="005E15BD"/>
    <w:rsid w:val="005E1995"/>
    <w:rsid w:val="005E1DC1"/>
    <w:rsid w:val="005E2308"/>
    <w:rsid w:val="005E2532"/>
    <w:rsid w:val="005E2A75"/>
    <w:rsid w:val="005E4D13"/>
    <w:rsid w:val="005E50BC"/>
    <w:rsid w:val="005E5A01"/>
    <w:rsid w:val="005E5AC8"/>
    <w:rsid w:val="005E64EF"/>
    <w:rsid w:val="005E6CBC"/>
    <w:rsid w:val="005E72FF"/>
    <w:rsid w:val="005E73C0"/>
    <w:rsid w:val="005E7819"/>
    <w:rsid w:val="005E7CA7"/>
    <w:rsid w:val="005E7F49"/>
    <w:rsid w:val="005F07ED"/>
    <w:rsid w:val="005F0EE3"/>
    <w:rsid w:val="005F111E"/>
    <w:rsid w:val="005F1CCF"/>
    <w:rsid w:val="005F23A3"/>
    <w:rsid w:val="005F2706"/>
    <w:rsid w:val="005F27BF"/>
    <w:rsid w:val="005F2F0B"/>
    <w:rsid w:val="005F320A"/>
    <w:rsid w:val="005F4430"/>
    <w:rsid w:val="005F4F17"/>
    <w:rsid w:val="005F50B8"/>
    <w:rsid w:val="005F5BC0"/>
    <w:rsid w:val="005F6409"/>
    <w:rsid w:val="005F67E2"/>
    <w:rsid w:val="005F68C6"/>
    <w:rsid w:val="005F6A8F"/>
    <w:rsid w:val="005F6BB7"/>
    <w:rsid w:val="005F6D77"/>
    <w:rsid w:val="005F72CB"/>
    <w:rsid w:val="005F7588"/>
    <w:rsid w:val="005F7658"/>
    <w:rsid w:val="005F7739"/>
    <w:rsid w:val="006000A3"/>
    <w:rsid w:val="00600272"/>
    <w:rsid w:val="00600A2C"/>
    <w:rsid w:val="00600BA4"/>
    <w:rsid w:val="00601395"/>
    <w:rsid w:val="00601953"/>
    <w:rsid w:val="00601C69"/>
    <w:rsid w:val="00601CCA"/>
    <w:rsid w:val="0060217D"/>
    <w:rsid w:val="006028D3"/>
    <w:rsid w:val="006031CC"/>
    <w:rsid w:val="00603263"/>
    <w:rsid w:val="00603978"/>
    <w:rsid w:val="00603B4E"/>
    <w:rsid w:val="00603DB9"/>
    <w:rsid w:val="00604337"/>
    <w:rsid w:val="00606130"/>
    <w:rsid w:val="00606B3C"/>
    <w:rsid w:val="00606E4B"/>
    <w:rsid w:val="00606FBA"/>
    <w:rsid w:val="00607251"/>
    <w:rsid w:val="00607669"/>
    <w:rsid w:val="006076F4"/>
    <w:rsid w:val="00607AFD"/>
    <w:rsid w:val="006102E4"/>
    <w:rsid w:val="006103BF"/>
    <w:rsid w:val="006106DC"/>
    <w:rsid w:val="00611B12"/>
    <w:rsid w:val="00611E07"/>
    <w:rsid w:val="00611E47"/>
    <w:rsid w:val="00612978"/>
    <w:rsid w:val="00612F97"/>
    <w:rsid w:val="0061345D"/>
    <w:rsid w:val="00613462"/>
    <w:rsid w:val="006139E3"/>
    <w:rsid w:val="00613D06"/>
    <w:rsid w:val="00614238"/>
    <w:rsid w:val="0061549B"/>
    <w:rsid w:val="006154CC"/>
    <w:rsid w:val="00615608"/>
    <w:rsid w:val="006164A9"/>
    <w:rsid w:val="00616802"/>
    <w:rsid w:val="00616A75"/>
    <w:rsid w:val="00616ABE"/>
    <w:rsid w:val="00616C54"/>
    <w:rsid w:val="00616D84"/>
    <w:rsid w:val="00617256"/>
    <w:rsid w:val="00617E12"/>
    <w:rsid w:val="00620403"/>
    <w:rsid w:val="006206FD"/>
    <w:rsid w:val="00620A0D"/>
    <w:rsid w:val="00620C25"/>
    <w:rsid w:val="00621477"/>
    <w:rsid w:val="00621763"/>
    <w:rsid w:val="00621ADA"/>
    <w:rsid w:val="00622137"/>
    <w:rsid w:val="00622373"/>
    <w:rsid w:val="006223D6"/>
    <w:rsid w:val="00622B57"/>
    <w:rsid w:val="00623A42"/>
    <w:rsid w:val="00623F7B"/>
    <w:rsid w:val="006241E3"/>
    <w:rsid w:val="006242A2"/>
    <w:rsid w:val="00624BD4"/>
    <w:rsid w:val="00625684"/>
    <w:rsid w:val="0062627F"/>
    <w:rsid w:val="0062691E"/>
    <w:rsid w:val="00626F6E"/>
    <w:rsid w:val="00627C6B"/>
    <w:rsid w:val="00627E2A"/>
    <w:rsid w:val="00630CD2"/>
    <w:rsid w:val="0063158F"/>
    <w:rsid w:val="00631833"/>
    <w:rsid w:val="00631B1F"/>
    <w:rsid w:val="00631D6B"/>
    <w:rsid w:val="00632183"/>
    <w:rsid w:val="006321E5"/>
    <w:rsid w:val="00632294"/>
    <w:rsid w:val="0063230B"/>
    <w:rsid w:val="006323AA"/>
    <w:rsid w:val="006325FB"/>
    <w:rsid w:val="00632794"/>
    <w:rsid w:val="006330A1"/>
    <w:rsid w:val="00633CBD"/>
    <w:rsid w:val="00633E34"/>
    <w:rsid w:val="0063479F"/>
    <w:rsid w:val="006353F0"/>
    <w:rsid w:val="00635418"/>
    <w:rsid w:val="006356D4"/>
    <w:rsid w:val="006357B5"/>
    <w:rsid w:val="006357F2"/>
    <w:rsid w:val="006361ED"/>
    <w:rsid w:val="006363AD"/>
    <w:rsid w:val="006364A1"/>
    <w:rsid w:val="0063678E"/>
    <w:rsid w:val="00636F48"/>
    <w:rsid w:val="006377B3"/>
    <w:rsid w:val="00637BFD"/>
    <w:rsid w:val="00637C5C"/>
    <w:rsid w:val="00637F4C"/>
    <w:rsid w:val="0064063F"/>
    <w:rsid w:val="0064097A"/>
    <w:rsid w:val="00640D34"/>
    <w:rsid w:val="00640F56"/>
    <w:rsid w:val="00641C4E"/>
    <w:rsid w:val="00641FB3"/>
    <w:rsid w:val="006421B7"/>
    <w:rsid w:val="006425A2"/>
    <w:rsid w:val="00643589"/>
    <w:rsid w:val="00643BFE"/>
    <w:rsid w:val="00644135"/>
    <w:rsid w:val="00644326"/>
    <w:rsid w:val="0064434C"/>
    <w:rsid w:val="006458FB"/>
    <w:rsid w:val="00645BA8"/>
    <w:rsid w:val="00646061"/>
    <w:rsid w:val="0064675A"/>
    <w:rsid w:val="006471CC"/>
    <w:rsid w:val="006472FE"/>
    <w:rsid w:val="006476DA"/>
    <w:rsid w:val="00647A29"/>
    <w:rsid w:val="00650211"/>
    <w:rsid w:val="0065079F"/>
    <w:rsid w:val="00650B9A"/>
    <w:rsid w:val="00650BD6"/>
    <w:rsid w:val="00650D18"/>
    <w:rsid w:val="00651961"/>
    <w:rsid w:val="00651CAE"/>
    <w:rsid w:val="00652686"/>
    <w:rsid w:val="00652A28"/>
    <w:rsid w:val="0065379F"/>
    <w:rsid w:val="00654372"/>
    <w:rsid w:val="006545D3"/>
    <w:rsid w:val="00655432"/>
    <w:rsid w:val="006556AD"/>
    <w:rsid w:val="006557D0"/>
    <w:rsid w:val="00655815"/>
    <w:rsid w:val="00656188"/>
    <w:rsid w:val="00656DF3"/>
    <w:rsid w:val="0065715A"/>
    <w:rsid w:val="00657A3F"/>
    <w:rsid w:val="00657B22"/>
    <w:rsid w:val="0066009C"/>
    <w:rsid w:val="006603D9"/>
    <w:rsid w:val="00660649"/>
    <w:rsid w:val="006610F1"/>
    <w:rsid w:val="0066151E"/>
    <w:rsid w:val="00661C6B"/>
    <w:rsid w:val="006620AE"/>
    <w:rsid w:val="00662188"/>
    <w:rsid w:val="00662D3E"/>
    <w:rsid w:val="00664969"/>
    <w:rsid w:val="0066497C"/>
    <w:rsid w:val="00665BD1"/>
    <w:rsid w:val="00665DCE"/>
    <w:rsid w:val="00666847"/>
    <w:rsid w:val="00667335"/>
    <w:rsid w:val="0066746A"/>
    <w:rsid w:val="00667549"/>
    <w:rsid w:val="006676A6"/>
    <w:rsid w:val="00667A92"/>
    <w:rsid w:val="00667BE3"/>
    <w:rsid w:val="0067059B"/>
    <w:rsid w:val="00670BA1"/>
    <w:rsid w:val="00670C11"/>
    <w:rsid w:val="00670FC5"/>
    <w:rsid w:val="00671004"/>
    <w:rsid w:val="006712E4"/>
    <w:rsid w:val="00671598"/>
    <w:rsid w:val="00672646"/>
    <w:rsid w:val="00672F6F"/>
    <w:rsid w:val="006734B7"/>
    <w:rsid w:val="00673834"/>
    <w:rsid w:val="00673C41"/>
    <w:rsid w:val="00674A1F"/>
    <w:rsid w:val="00674E42"/>
    <w:rsid w:val="00675328"/>
    <w:rsid w:val="00675D05"/>
    <w:rsid w:val="006761B8"/>
    <w:rsid w:val="006763A2"/>
    <w:rsid w:val="00676554"/>
    <w:rsid w:val="00676563"/>
    <w:rsid w:val="00676B5A"/>
    <w:rsid w:val="00676CB3"/>
    <w:rsid w:val="0067732B"/>
    <w:rsid w:val="00677E09"/>
    <w:rsid w:val="006801A7"/>
    <w:rsid w:val="00680791"/>
    <w:rsid w:val="006813F8"/>
    <w:rsid w:val="0068185E"/>
    <w:rsid w:val="00682112"/>
    <w:rsid w:val="0068271C"/>
    <w:rsid w:val="00682BA6"/>
    <w:rsid w:val="00683605"/>
    <w:rsid w:val="0068430B"/>
    <w:rsid w:val="00684587"/>
    <w:rsid w:val="006845CF"/>
    <w:rsid w:val="00684679"/>
    <w:rsid w:val="00684DB8"/>
    <w:rsid w:val="00684FF5"/>
    <w:rsid w:val="006856D1"/>
    <w:rsid w:val="00685CFE"/>
    <w:rsid w:val="006860C3"/>
    <w:rsid w:val="0068638F"/>
    <w:rsid w:val="00686878"/>
    <w:rsid w:val="00686957"/>
    <w:rsid w:val="0068717C"/>
    <w:rsid w:val="006872BA"/>
    <w:rsid w:val="00690118"/>
    <w:rsid w:val="00690505"/>
    <w:rsid w:val="006906CA"/>
    <w:rsid w:val="00690795"/>
    <w:rsid w:val="00690992"/>
    <w:rsid w:val="006909E9"/>
    <w:rsid w:val="006911E4"/>
    <w:rsid w:val="00691287"/>
    <w:rsid w:val="0069163D"/>
    <w:rsid w:val="00691648"/>
    <w:rsid w:val="006917D7"/>
    <w:rsid w:val="00693405"/>
    <w:rsid w:val="006938DA"/>
    <w:rsid w:val="006941AD"/>
    <w:rsid w:val="006942B0"/>
    <w:rsid w:val="0069434C"/>
    <w:rsid w:val="00694F44"/>
    <w:rsid w:val="006957D1"/>
    <w:rsid w:val="0069582D"/>
    <w:rsid w:val="00695EDE"/>
    <w:rsid w:val="0069654F"/>
    <w:rsid w:val="00696EF9"/>
    <w:rsid w:val="00696F51"/>
    <w:rsid w:val="0069713B"/>
    <w:rsid w:val="00697626"/>
    <w:rsid w:val="006979A5"/>
    <w:rsid w:val="006A016F"/>
    <w:rsid w:val="006A052D"/>
    <w:rsid w:val="006A0596"/>
    <w:rsid w:val="006A0DF7"/>
    <w:rsid w:val="006A16C4"/>
    <w:rsid w:val="006A1B42"/>
    <w:rsid w:val="006A1B79"/>
    <w:rsid w:val="006A1D20"/>
    <w:rsid w:val="006A26A1"/>
    <w:rsid w:val="006A31F8"/>
    <w:rsid w:val="006A398F"/>
    <w:rsid w:val="006A4321"/>
    <w:rsid w:val="006A43D9"/>
    <w:rsid w:val="006A490E"/>
    <w:rsid w:val="006A4ABC"/>
    <w:rsid w:val="006A548B"/>
    <w:rsid w:val="006A58D9"/>
    <w:rsid w:val="006A6455"/>
    <w:rsid w:val="006A649B"/>
    <w:rsid w:val="006A6B19"/>
    <w:rsid w:val="006A6B99"/>
    <w:rsid w:val="006A6DA5"/>
    <w:rsid w:val="006A7DBF"/>
    <w:rsid w:val="006A7E5F"/>
    <w:rsid w:val="006A7E8E"/>
    <w:rsid w:val="006B02AD"/>
    <w:rsid w:val="006B08B4"/>
    <w:rsid w:val="006B0D99"/>
    <w:rsid w:val="006B0EE3"/>
    <w:rsid w:val="006B107E"/>
    <w:rsid w:val="006B1C5E"/>
    <w:rsid w:val="006B222C"/>
    <w:rsid w:val="006B261B"/>
    <w:rsid w:val="006B271E"/>
    <w:rsid w:val="006B2C90"/>
    <w:rsid w:val="006B2E19"/>
    <w:rsid w:val="006B35E6"/>
    <w:rsid w:val="006B37C2"/>
    <w:rsid w:val="006B3F34"/>
    <w:rsid w:val="006B410F"/>
    <w:rsid w:val="006B4537"/>
    <w:rsid w:val="006B465A"/>
    <w:rsid w:val="006B5FED"/>
    <w:rsid w:val="006B609B"/>
    <w:rsid w:val="006B6231"/>
    <w:rsid w:val="006B624C"/>
    <w:rsid w:val="006B68CA"/>
    <w:rsid w:val="006B6DD0"/>
    <w:rsid w:val="006B75C6"/>
    <w:rsid w:val="006B7E8E"/>
    <w:rsid w:val="006B7FBA"/>
    <w:rsid w:val="006C0263"/>
    <w:rsid w:val="006C02B1"/>
    <w:rsid w:val="006C0399"/>
    <w:rsid w:val="006C125D"/>
    <w:rsid w:val="006C1D68"/>
    <w:rsid w:val="006C1F3A"/>
    <w:rsid w:val="006C1F43"/>
    <w:rsid w:val="006C20DB"/>
    <w:rsid w:val="006C289C"/>
    <w:rsid w:val="006C2A8E"/>
    <w:rsid w:val="006C2BF0"/>
    <w:rsid w:val="006C3255"/>
    <w:rsid w:val="006C33FB"/>
    <w:rsid w:val="006C3F26"/>
    <w:rsid w:val="006C44E3"/>
    <w:rsid w:val="006C49CC"/>
    <w:rsid w:val="006C4FCD"/>
    <w:rsid w:val="006C56B5"/>
    <w:rsid w:val="006C5742"/>
    <w:rsid w:val="006C5A3E"/>
    <w:rsid w:val="006C6EA5"/>
    <w:rsid w:val="006C7D45"/>
    <w:rsid w:val="006D0346"/>
    <w:rsid w:val="006D0D17"/>
    <w:rsid w:val="006D0F75"/>
    <w:rsid w:val="006D1343"/>
    <w:rsid w:val="006D18E6"/>
    <w:rsid w:val="006D1BD6"/>
    <w:rsid w:val="006D2EC0"/>
    <w:rsid w:val="006D2F3F"/>
    <w:rsid w:val="006D3285"/>
    <w:rsid w:val="006D343D"/>
    <w:rsid w:val="006D3804"/>
    <w:rsid w:val="006D3C7D"/>
    <w:rsid w:val="006D41B5"/>
    <w:rsid w:val="006D4240"/>
    <w:rsid w:val="006D4375"/>
    <w:rsid w:val="006D44F8"/>
    <w:rsid w:val="006D4659"/>
    <w:rsid w:val="006D47B1"/>
    <w:rsid w:val="006D5D5F"/>
    <w:rsid w:val="006D68FB"/>
    <w:rsid w:val="006D6D20"/>
    <w:rsid w:val="006D798B"/>
    <w:rsid w:val="006D7EA3"/>
    <w:rsid w:val="006E0B4D"/>
    <w:rsid w:val="006E137D"/>
    <w:rsid w:val="006E152A"/>
    <w:rsid w:val="006E1F17"/>
    <w:rsid w:val="006E2868"/>
    <w:rsid w:val="006E2A37"/>
    <w:rsid w:val="006E2D17"/>
    <w:rsid w:val="006E2E26"/>
    <w:rsid w:val="006E3F77"/>
    <w:rsid w:val="006E4599"/>
    <w:rsid w:val="006E4E00"/>
    <w:rsid w:val="006E5961"/>
    <w:rsid w:val="006E5CDD"/>
    <w:rsid w:val="006E5ED4"/>
    <w:rsid w:val="006E6738"/>
    <w:rsid w:val="006E7706"/>
    <w:rsid w:val="006E770C"/>
    <w:rsid w:val="006F06A2"/>
    <w:rsid w:val="006F207D"/>
    <w:rsid w:val="006F21C8"/>
    <w:rsid w:val="006F2352"/>
    <w:rsid w:val="006F2B94"/>
    <w:rsid w:val="006F306C"/>
    <w:rsid w:val="006F30D9"/>
    <w:rsid w:val="006F3506"/>
    <w:rsid w:val="006F46D1"/>
    <w:rsid w:val="006F5174"/>
    <w:rsid w:val="006F56C3"/>
    <w:rsid w:val="006F62A8"/>
    <w:rsid w:val="006F63A5"/>
    <w:rsid w:val="006F6669"/>
    <w:rsid w:val="006F6999"/>
    <w:rsid w:val="006F7987"/>
    <w:rsid w:val="00700BE3"/>
    <w:rsid w:val="00700E9B"/>
    <w:rsid w:val="0070142B"/>
    <w:rsid w:val="0070173B"/>
    <w:rsid w:val="0070192F"/>
    <w:rsid w:val="00701A3B"/>
    <w:rsid w:val="00701D46"/>
    <w:rsid w:val="00701D66"/>
    <w:rsid w:val="007023D9"/>
    <w:rsid w:val="00702422"/>
    <w:rsid w:val="0070276E"/>
    <w:rsid w:val="007029DB"/>
    <w:rsid w:val="00702F8F"/>
    <w:rsid w:val="0070347C"/>
    <w:rsid w:val="007048FE"/>
    <w:rsid w:val="00704AFD"/>
    <w:rsid w:val="00706301"/>
    <w:rsid w:val="0070718A"/>
    <w:rsid w:val="007079FC"/>
    <w:rsid w:val="00710360"/>
    <w:rsid w:val="007115A9"/>
    <w:rsid w:val="00711A36"/>
    <w:rsid w:val="00711B34"/>
    <w:rsid w:val="007122CE"/>
    <w:rsid w:val="007125D3"/>
    <w:rsid w:val="00712A1D"/>
    <w:rsid w:val="00712B47"/>
    <w:rsid w:val="00712D9F"/>
    <w:rsid w:val="00712E6B"/>
    <w:rsid w:val="007130BA"/>
    <w:rsid w:val="00713ADF"/>
    <w:rsid w:val="007140D6"/>
    <w:rsid w:val="007148A1"/>
    <w:rsid w:val="00714C26"/>
    <w:rsid w:val="00715075"/>
    <w:rsid w:val="0071529C"/>
    <w:rsid w:val="00717027"/>
    <w:rsid w:val="007170DA"/>
    <w:rsid w:val="007172AD"/>
    <w:rsid w:val="00717546"/>
    <w:rsid w:val="00717B51"/>
    <w:rsid w:val="00720184"/>
    <w:rsid w:val="00720225"/>
    <w:rsid w:val="00720801"/>
    <w:rsid w:val="00720CC3"/>
    <w:rsid w:val="00720E06"/>
    <w:rsid w:val="007213D5"/>
    <w:rsid w:val="00721874"/>
    <w:rsid w:val="007221A5"/>
    <w:rsid w:val="00722B1B"/>
    <w:rsid w:val="00722B8E"/>
    <w:rsid w:val="00723350"/>
    <w:rsid w:val="00723B7D"/>
    <w:rsid w:val="0072416F"/>
    <w:rsid w:val="00724715"/>
    <w:rsid w:val="00725072"/>
    <w:rsid w:val="007258A1"/>
    <w:rsid w:val="007263A9"/>
    <w:rsid w:val="007270A7"/>
    <w:rsid w:val="007276C5"/>
    <w:rsid w:val="00727C94"/>
    <w:rsid w:val="00727DA2"/>
    <w:rsid w:val="007300A6"/>
    <w:rsid w:val="0073064B"/>
    <w:rsid w:val="00730B43"/>
    <w:rsid w:val="00730F1F"/>
    <w:rsid w:val="00731A84"/>
    <w:rsid w:val="00731B0A"/>
    <w:rsid w:val="00731BB3"/>
    <w:rsid w:val="00731EAE"/>
    <w:rsid w:val="0073250E"/>
    <w:rsid w:val="00732B96"/>
    <w:rsid w:val="00733073"/>
    <w:rsid w:val="00733472"/>
    <w:rsid w:val="00733E33"/>
    <w:rsid w:val="00734345"/>
    <w:rsid w:val="007345A2"/>
    <w:rsid w:val="0073492E"/>
    <w:rsid w:val="0073494B"/>
    <w:rsid w:val="00734D1B"/>
    <w:rsid w:val="00735033"/>
    <w:rsid w:val="00735328"/>
    <w:rsid w:val="00735DB8"/>
    <w:rsid w:val="00735EA0"/>
    <w:rsid w:val="0073612E"/>
    <w:rsid w:val="00736223"/>
    <w:rsid w:val="0073678B"/>
    <w:rsid w:val="0073685B"/>
    <w:rsid w:val="0073721C"/>
    <w:rsid w:val="007373EA"/>
    <w:rsid w:val="007400B1"/>
    <w:rsid w:val="007401A0"/>
    <w:rsid w:val="007408B0"/>
    <w:rsid w:val="0074096D"/>
    <w:rsid w:val="00740B69"/>
    <w:rsid w:val="00740EDC"/>
    <w:rsid w:val="00741516"/>
    <w:rsid w:val="007424EF"/>
    <w:rsid w:val="00742536"/>
    <w:rsid w:val="00742DD1"/>
    <w:rsid w:val="00743AA7"/>
    <w:rsid w:val="00743BC1"/>
    <w:rsid w:val="00744518"/>
    <w:rsid w:val="007446AC"/>
    <w:rsid w:val="007449BF"/>
    <w:rsid w:val="007458A3"/>
    <w:rsid w:val="00745E9C"/>
    <w:rsid w:val="007463FE"/>
    <w:rsid w:val="00746BC0"/>
    <w:rsid w:val="00747023"/>
    <w:rsid w:val="0075082F"/>
    <w:rsid w:val="007510B4"/>
    <w:rsid w:val="00751388"/>
    <w:rsid w:val="00752142"/>
    <w:rsid w:val="007523F9"/>
    <w:rsid w:val="00752984"/>
    <w:rsid w:val="00752C8A"/>
    <w:rsid w:val="00752F14"/>
    <w:rsid w:val="00753542"/>
    <w:rsid w:val="0075357E"/>
    <w:rsid w:val="00753B29"/>
    <w:rsid w:val="00753CA7"/>
    <w:rsid w:val="00754B76"/>
    <w:rsid w:val="007550EF"/>
    <w:rsid w:val="007564E0"/>
    <w:rsid w:val="00756FBC"/>
    <w:rsid w:val="007571D9"/>
    <w:rsid w:val="007573E8"/>
    <w:rsid w:val="00757A8C"/>
    <w:rsid w:val="007606B7"/>
    <w:rsid w:val="0076081D"/>
    <w:rsid w:val="00760C4E"/>
    <w:rsid w:val="00760D33"/>
    <w:rsid w:val="00760DF9"/>
    <w:rsid w:val="00760F9E"/>
    <w:rsid w:val="0076123D"/>
    <w:rsid w:val="0076146E"/>
    <w:rsid w:val="00761501"/>
    <w:rsid w:val="007616E6"/>
    <w:rsid w:val="00761FCA"/>
    <w:rsid w:val="007627BE"/>
    <w:rsid w:val="00762BC4"/>
    <w:rsid w:val="0076314B"/>
    <w:rsid w:val="007634AD"/>
    <w:rsid w:val="00763C15"/>
    <w:rsid w:val="0076407A"/>
    <w:rsid w:val="00764979"/>
    <w:rsid w:val="00764F03"/>
    <w:rsid w:val="00765303"/>
    <w:rsid w:val="00765435"/>
    <w:rsid w:val="00765ABC"/>
    <w:rsid w:val="00765B1A"/>
    <w:rsid w:val="00765DC1"/>
    <w:rsid w:val="007666D0"/>
    <w:rsid w:val="00766B9E"/>
    <w:rsid w:val="00766D7F"/>
    <w:rsid w:val="00766E01"/>
    <w:rsid w:val="00766E92"/>
    <w:rsid w:val="007670EB"/>
    <w:rsid w:val="00767486"/>
    <w:rsid w:val="00767511"/>
    <w:rsid w:val="00767562"/>
    <w:rsid w:val="00767D02"/>
    <w:rsid w:val="00770387"/>
    <w:rsid w:val="00770BC8"/>
    <w:rsid w:val="0077151A"/>
    <w:rsid w:val="00771B30"/>
    <w:rsid w:val="00772136"/>
    <w:rsid w:val="007728BF"/>
    <w:rsid w:val="0077298B"/>
    <w:rsid w:val="007730F9"/>
    <w:rsid w:val="00773F9A"/>
    <w:rsid w:val="007742C4"/>
    <w:rsid w:val="00774FE5"/>
    <w:rsid w:val="00775038"/>
    <w:rsid w:val="00775CA2"/>
    <w:rsid w:val="007762B9"/>
    <w:rsid w:val="00776A29"/>
    <w:rsid w:val="00777247"/>
    <w:rsid w:val="00777335"/>
    <w:rsid w:val="007807DF"/>
    <w:rsid w:val="00780DD0"/>
    <w:rsid w:val="00780F7F"/>
    <w:rsid w:val="00781F43"/>
    <w:rsid w:val="007821EB"/>
    <w:rsid w:val="00783567"/>
    <w:rsid w:val="00783F14"/>
    <w:rsid w:val="007843F2"/>
    <w:rsid w:val="007846FA"/>
    <w:rsid w:val="00784B94"/>
    <w:rsid w:val="00785808"/>
    <w:rsid w:val="00785A9F"/>
    <w:rsid w:val="00785ED8"/>
    <w:rsid w:val="00786652"/>
    <w:rsid w:val="0078690B"/>
    <w:rsid w:val="00786A92"/>
    <w:rsid w:val="00786BE7"/>
    <w:rsid w:val="00786E67"/>
    <w:rsid w:val="0078723B"/>
    <w:rsid w:val="007902E4"/>
    <w:rsid w:val="007925DF"/>
    <w:rsid w:val="007927F3"/>
    <w:rsid w:val="00792C1D"/>
    <w:rsid w:val="00792E11"/>
    <w:rsid w:val="00792F19"/>
    <w:rsid w:val="00793914"/>
    <w:rsid w:val="00793A71"/>
    <w:rsid w:val="00794269"/>
    <w:rsid w:val="0079481C"/>
    <w:rsid w:val="00794B1A"/>
    <w:rsid w:val="00794B68"/>
    <w:rsid w:val="00794C9E"/>
    <w:rsid w:val="00794F90"/>
    <w:rsid w:val="00795542"/>
    <w:rsid w:val="00795713"/>
    <w:rsid w:val="007963F4"/>
    <w:rsid w:val="00796501"/>
    <w:rsid w:val="00796780"/>
    <w:rsid w:val="007968C8"/>
    <w:rsid w:val="007977DA"/>
    <w:rsid w:val="00797A2A"/>
    <w:rsid w:val="00797C1F"/>
    <w:rsid w:val="007A08AA"/>
    <w:rsid w:val="007A0A12"/>
    <w:rsid w:val="007A0D50"/>
    <w:rsid w:val="007A0FB5"/>
    <w:rsid w:val="007A132D"/>
    <w:rsid w:val="007A1345"/>
    <w:rsid w:val="007A17F1"/>
    <w:rsid w:val="007A1BDF"/>
    <w:rsid w:val="007A254E"/>
    <w:rsid w:val="007A2DDB"/>
    <w:rsid w:val="007A329A"/>
    <w:rsid w:val="007A3C50"/>
    <w:rsid w:val="007A3CC1"/>
    <w:rsid w:val="007A4B9F"/>
    <w:rsid w:val="007A517F"/>
    <w:rsid w:val="007A62B1"/>
    <w:rsid w:val="007A6443"/>
    <w:rsid w:val="007A6708"/>
    <w:rsid w:val="007A6D23"/>
    <w:rsid w:val="007A70BA"/>
    <w:rsid w:val="007A7318"/>
    <w:rsid w:val="007A7910"/>
    <w:rsid w:val="007A7DF4"/>
    <w:rsid w:val="007B07D1"/>
    <w:rsid w:val="007B0D62"/>
    <w:rsid w:val="007B0D68"/>
    <w:rsid w:val="007B14A3"/>
    <w:rsid w:val="007B1742"/>
    <w:rsid w:val="007B1873"/>
    <w:rsid w:val="007B1CC5"/>
    <w:rsid w:val="007B1D21"/>
    <w:rsid w:val="007B251D"/>
    <w:rsid w:val="007B26C5"/>
    <w:rsid w:val="007B2ECD"/>
    <w:rsid w:val="007B3533"/>
    <w:rsid w:val="007B38B3"/>
    <w:rsid w:val="007B3A17"/>
    <w:rsid w:val="007B3C46"/>
    <w:rsid w:val="007B4438"/>
    <w:rsid w:val="007B450A"/>
    <w:rsid w:val="007B455D"/>
    <w:rsid w:val="007B456F"/>
    <w:rsid w:val="007B4774"/>
    <w:rsid w:val="007B4F58"/>
    <w:rsid w:val="007B528D"/>
    <w:rsid w:val="007B55B6"/>
    <w:rsid w:val="007B57F0"/>
    <w:rsid w:val="007B5BDE"/>
    <w:rsid w:val="007B61C4"/>
    <w:rsid w:val="007B63CA"/>
    <w:rsid w:val="007B6811"/>
    <w:rsid w:val="007B77D1"/>
    <w:rsid w:val="007B7D34"/>
    <w:rsid w:val="007C043E"/>
    <w:rsid w:val="007C0674"/>
    <w:rsid w:val="007C07C7"/>
    <w:rsid w:val="007C1620"/>
    <w:rsid w:val="007C1CD9"/>
    <w:rsid w:val="007C2BB2"/>
    <w:rsid w:val="007C32EF"/>
    <w:rsid w:val="007C361D"/>
    <w:rsid w:val="007C3D56"/>
    <w:rsid w:val="007C4B84"/>
    <w:rsid w:val="007C53BB"/>
    <w:rsid w:val="007C5404"/>
    <w:rsid w:val="007C5A8D"/>
    <w:rsid w:val="007C660A"/>
    <w:rsid w:val="007C675F"/>
    <w:rsid w:val="007C70FF"/>
    <w:rsid w:val="007C762C"/>
    <w:rsid w:val="007C7C25"/>
    <w:rsid w:val="007D004F"/>
    <w:rsid w:val="007D005A"/>
    <w:rsid w:val="007D035F"/>
    <w:rsid w:val="007D06B2"/>
    <w:rsid w:val="007D0B38"/>
    <w:rsid w:val="007D10A6"/>
    <w:rsid w:val="007D1588"/>
    <w:rsid w:val="007D1E93"/>
    <w:rsid w:val="007D315C"/>
    <w:rsid w:val="007D3CFB"/>
    <w:rsid w:val="007D3D0B"/>
    <w:rsid w:val="007D485A"/>
    <w:rsid w:val="007D4E00"/>
    <w:rsid w:val="007D4E47"/>
    <w:rsid w:val="007D5440"/>
    <w:rsid w:val="007D5E69"/>
    <w:rsid w:val="007D61AB"/>
    <w:rsid w:val="007D649B"/>
    <w:rsid w:val="007D6610"/>
    <w:rsid w:val="007D6679"/>
    <w:rsid w:val="007D69EB"/>
    <w:rsid w:val="007D6A52"/>
    <w:rsid w:val="007D7173"/>
    <w:rsid w:val="007D7256"/>
    <w:rsid w:val="007D73A3"/>
    <w:rsid w:val="007D7461"/>
    <w:rsid w:val="007E126C"/>
    <w:rsid w:val="007E128F"/>
    <w:rsid w:val="007E186A"/>
    <w:rsid w:val="007E1B11"/>
    <w:rsid w:val="007E2681"/>
    <w:rsid w:val="007E284F"/>
    <w:rsid w:val="007E37A8"/>
    <w:rsid w:val="007E3AC9"/>
    <w:rsid w:val="007E3BE2"/>
    <w:rsid w:val="007E4EB9"/>
    <w:rsid w:val="007E5899"/>
    <w:rsid w:val="007E6945"/>
    <w:rsid w:val="007E69E0"/>
    <w:rsid w:val="007E7A53"/>
    <w:rsid w:val="007F0065"/>
    <w:rsid w:val="007F03B6"/>
    <w:rsid w:val="007F03B8"/>
    <w:rsid w:val="007F1017"/>
    <w:rsid w:val="007F101D"/>
    <w:rsid w:val="007F11E6"/>
    <w:rsid w:val="007F1468"/>
    <w:rsid w:val="007F1BDC"/>
    <w:rsid w:val="007F1E8B"/>
    <w:rsid w:val="007F1F15"/>
    <w:rsid w:val="007F1FCD"/>
    <w:rsid w:val="007F25A9"/>
    <w:rsid w:val="007F2D5C"/>
    <w:rsid w:val="007F3D54"/>
    <w:rsid w:val="007F4157"/>
    <w:rsid w:val="007F41E6"/>
    <w:rsid w:val="007F4A3F"/>
    <w:rsid w:val="007F4A61"/>
    <w:rsid w:val="007F4C82"/>
    <w:rsid w:val="007F4F9C"/>
    <w:rsid w:val="007F4FEA"/>
    <w:rsid w:val="007F5169"/>
    <w:rsid w:val="007F5255"/>
    <w:rsid w:val="007F56CC"/>
    <w:rsid w:val="007F5729"/>
    <w:rsid w:val="007F5E38"/>
    <w:rsid w:val="007F61C2"/>
    <w:rsid w:val="007F6479"/>
    <w:rsid w:val="007F7E3E"/>
    <w:rsid w:val="007F7EA9"/>
    <w:rsid w:val="00800467"/>
    <w:rsid w:val="00800951"/>
    <w:rsid w:val="00800F6F"/>
    <w:rsid w:val="008018D9"/>
    <w:rsid w:val="00801A97"/>
    <w:rsid w:val="00802781"/>
    <w:rsid w:val="00802EE5"/>
    <w:rsid w:val="00804005"/>
    <w:rsid w:val="008041F5"/>
    <w:rsid w:val="00805142"/>
    <w:rsid w:val="008054B7"/>
    <w:rsid w:val="0080566B"/>
    <w:rsid w:val="00805C37"/>
    <w:rsid w:val="00805FCE"/>
    <w:rsid w:val="008061BE"/>
    <w:rsid w:val="0080667C"/>
    <w:rsid w:val="00807512"/>
    <w:rsid w:val="008079ED"/>
    <w:rsid w:val="00807A8B"/>
    <w:rsid w:val="00810083"/>
    <w:rsid w:val="00810501"/>
    <w:rsid w:val="00811383"/>
    <w:rsid w:val="00812149"/>
    <w:rsid w:val="00812CAC"/>
    <w:rsid w:val="00812DD4"/>
    <w:rsid w:val="00813BA7"/>
    <w:rsid w:val="008143B9"/>
    <w:rsid w:val="00814781"/>
    <w:rsid w:val="0081491A"/>
    <w:rsid w:val="0081534D"/>
    <w:rsid w:val="008158EF"/>
    <w:rsid w:val="008160A5"/>
    <w:rsid w:val="00816361"/>
    <w:rsid w:val="008166EF"/>
    <w:rsid w:val="00816DAA"/>
    <w:rsid w:val="00816FEF"/>
    <w:rsid w:val="0081765E"/>
    <w:rsid w:val="00817F54"/>
    <w:rsid w:val="00817F8E"/>
    <w:rsid w:val="00820A8C"/>
    <w:rsid w:val="0082100A"/>
    <w:rsid w:val="008215FB"/>
    <w:rsid w:val="00821CC3"/>
    <w:rsid w:val="008220A0"/>
    <w:rsid w:val="008220CC"/>
    <w:rsid w:val="00823174"/>
    <w:rsid w:val="0082337B"/>
    <w:rsid w:val="00823F9D"/>
    <w:rsid w:val="0082445C"/>
    <w:rsid w:val="008244D7"/>
    <w:rsid w:val="0082532D"/>
    <w:rsid w:val="00825751"/>
    <w:rsid w:val="0082622E"/>
    <w:rsid w:val="008264EB"/>
    <w:rsid w:val="008268CE"/>
    <w:rsid w:val="008268D3"/>
    <w:rsid w:val="00827224"/>
    <w:rsid w:val="0082760F"/>
    <w:rsid w:val="00827C23"/>
    <w:rsid w:val="00827E89"/>
    <w:rsid w:val="00830E04"/>
    <w:rsid w:val="00830F78"/>
    <w:rsid w:val="00830F93"/>
    <w:rsid w:val="00831450"/>
    <w:rsid w:val="00832391"/>
    <w:rsid w:val="008327C7"/>
    <w:rsid w:val="0083307C"/>
    <w:rsid w:val="00833293"/>
    <w:rsid w:val="008337DE"/>
    <w:rsid w:val="00833914"/>
    <w:rsid w:val="00833B05"/>
    <w:rsid w:val="00833BB0"/>
    <w:rsid w:val="00833D8E"/>
    <w:rsid w:val="00834591"/>
    <w:rsid w:val="00834D3C"/>
    <w:rsid w:val="008354BC"/>
    <w:rsid w:val="008362B4"/>
    <w:rsid w:val="008364FD"/>
    <w:rsid w:val="00836659"/>
    <w:rsid w:val="00836C9F"/>
    <w:rsid w:val="00837108"/>
    <w:rsid w:val="0084004D"/>
    <w:rsid w:val="008403D9"/>
    <w:rsid w:val="00840CA2"/>
    <w:rsid w:val="00841952"/>
    <w:rsid w:val="008419D4"/>
    <w:rsid w:val="00841F59"/>
    <w:rsid w:val="008423B4"/>
    <w:rsid w:val="0084268C"/>
    <w:rsid w:val="008426F2"/>
    <w:rsid w:val="00842D5C"/>
    <w:rsid w:val="0084374F"/>
    <w:rsid w:val="00843761"/>
    <w:rsid w:val="00843A6A"/>
    <w:rsid w:val="00843E39"/>
    <w:rsid w:val="00844A22"/>
    <w:rsid w:val="00844A45"/>
    <w:rsid w:val="00844B8A"/>
    <w:rsid w:val="0084557A"/>
    <w:rsid w:val="00845C0F"/>
    <w:rsid w:val="008475A9"/>
    <w:rsid w:val="008476F0"/>
    <w:rsid w:val="00847703"/>
    <w:rsid w:val="008478C4"/>
    <w:rsid w:val="00847DF5"/>
    <w:rsid w:val="00850017"/>
    <w:rsid w:val="00850245"/>
    <w:rsid w:val="0085073F"/>
    <w:rsid w:val="008507F7"/>
    <w:rsid w:val="00851DAE"/>
    <w:rsid w:val="0085213B"/>
    <w:rsid w:val="0085224B"/>
    <w:rsid w:val="00852EB1"/>
    <w:rsid w:val="0085309D"/>
    <w:rsid w:val="008535DF"/>
    <w:rsid w:val="008540A1"/>
    <w:rsid w:val="00855293"/>
    <w:rsid w:val="00855831"/>
    <w:rsid w:val="00855ED5"/>
    <w:rsid w:val="00856207"/>
    <w:rsid w:val="00856897"/>
    <w:rsid w:val="00856AF9"/>
    <w:rsid w:val="00856E9A"/>
    <w:rsid w:val="00857024"/>
    <w:rsid w:val="00857331"/>
    <w:rsid w:val="00860538"/>
    <w:rsid w:val="0086075D"/>
    <w:rsid w:val="00861441"/>
    <w:rsid w:val="00861E48"/>
    <w:rsid w:val="00861EA6"/>
    <w:rsid w:val="0086202E"/>
    <w:rsid w:val="00862410"/>
    <w:rsid w:val="00862464"/>
    <w:rsid w:val="0086246E"/>
    <w:rsid w:val="00862502"/>
    <w:rsid w:val="00862CC1"/>
    <w:rsid w:val="00862F1B"/>
    <w:rsid w:val="008642A7"/>
    <w:rsid w:val="0086453A"/>
    <w:rsid w:val="008646C4"/>
    <w:rsid w:val="008660D4"/>
    <w:rsid w:val="00866B2F"/>
    <w:rsid w:val="00867F4E"/>
    <w:rsid w:val="0087029C"/>
    <w:rsid w:val="008702B9"/>
    <w:rsid w:val="008704BD"/>
    <w:rsid w:val="0087086A"/>
    <w:rsid w:val="00870DC0"/>
    <w:rsid w:val="008718EA"/>
    <w:rsid w:val="00871CDE"/>
    <w:rsid w:val="00871FA9"/>
    <w:rsid w:val="008728E9"/>
    <w:rsid w:val="00872D3A"/>
    <w:rsid w:val="00872E64"/>
    <w:rsid w:val="00872F70"/>
    <w:rsid w:val="008733E9"/>
    <w:rsid w:val="008735F2"/>
    <w:rsid w:val="008740E6"/>
    <w:rsid w:val="00874564"/>
    <w:rsid w:val="00874AF0"/>
    <w:rsid w:val="00874FBC"/>
    <w:rsid w:val="00875586"/>
    <w:rsid w:val="00877213"/>
    <w:rsid w:val="00877579"/>
    <w:rsid w:val="008801E0"/>
    <w:rsid w:val="00880705"/>
    <w:rsid w:val="00880A35"/>
    <w:rsid w:val="00880FEB"/>
    <w:rsid w:val="008817B8"/>
    <w:rsid w:val="00881DB0"/>
    <w:rsid w:val="0088209E"/>
    <w:rsid w:val="00882874"/>
    <w:rsid w:val="00882E3C"/>
    <w:rsid w:val="0088308A"/>
    <w:rsid w:val="008832DA"/>
    <w:rsid w:val="00883787"/>
    <w:rsid w:val="00883D8D"/>
    <w:rsid w:val="00884D62"/>
    <w:rsid w:val="008852BF"/>
    <w:rsid w:val="008855E4"/>
    <w:rsid w:val="0088646A"/>
    <w:rsid w:val="00886CD2"/>
    <w:rsid w:val="00886CD8"/>
    <w:rsid w:val="00886E24"/>
    <w:rsid w:val="00887290"/>
    <w:rsid w:val="008875A3"/>
    <w:rsid w:val="0088790F"/>
    <w:rsid w:val="00887F6D"/>
    <w:rsid w:val="0089015F"/>
    <w:rsid w:val="0089073C"/>
    <w:rsid w:val="00891575"/>
    <w:rsid w:val="008916C4"/>
    <w:rsid w:val="00891E6F"/>
    <w:rsid w:val="00891FBE"/>
    <w:rsid w:val="0089275D"/>
    <w:rsid w:val="008927B4"/>
    <w:rsid w:val="00892A36"/>
    <w:rsid w:val="00893239"/>
    <w:rsid w:val="00893637"/>
    <w:rsid w:val="0089381B"/>
    <w:rsid w:val="00893895"/>
    <w:rsid w:val="0089420E"/>
    <w:rsid w:val="00894489"/>
    <w:rsid w:val="00894CD6"/>
    <w:rsid w:val="0089507A"/>
    <w:rsid w:val="008963A5"/>
    <w:rsid w:val="00896D5D"/>
    <w:rsid w:val="00897174"/>
    <w:rsid w:val="00897297"/>
    <w:rsid w:val="008978FD"/>
    <w:rsid w:val="00897974"/>
    <w:rsid w:val="008A101A"/>
    <w:rsid w:val="008A1200"/>
    <w:rsid w:val="008A28D0"/>
    <w:rsid w:val="008A2BBA"/>
    <w:rsid w:val="008A3158"/>
    <w:rsid w:val="008A3237"/>
    <w:rsid w:val="008A3363"/>
    <w:rsid w:val="008A3371"/>
    <w:rsid w:val="008A33F2"/>
    <w:rsid w:val="008A3C3E"/>
    <w:rsid w:val="008A41B2"/>
    <w:rsid w:val="008A4635"/>
    <w:rsid w:val="008A478E"/>
    <w:rsid w:val="008A4D71"/>
    <w:rsid w:val="008A5D2B"/>
    <w:rsid w:val="008A6292"/>
    <w:rsid w:val="008A63DE"/>
    <w:rsid w:val="008A663D"/>
    <w:rsid w:val="008A664E"/>
    <w:rsid w:val="008A79DE"/>
    <w:rsid w:val="008B0588"/>
    <w:rsid w:val="008B1489"/>
    <w:rsid w:val="008B152D"/>
    <w:rsid w:val="008B1757"/>
    <w:rsid w:val="008B1C33"/>
    <w:rsid w:val="008B209C"/>
    <w:rsid w:val="008B20F9"/>
    <w:rsid w:val="008B244E"/>
    <w:rsid w:val="008B259B"/>
    <w:rsid w:val="008B3759"/>
    <w:rsid w:val="008B37EC"/>
    <w:rsid w:val="008B3CF8"/>
    <w:rsid w:val="008B3DFC"/>
    <w:rsid w:val="008B432F"/>
    <w:rsid w:val="008B4B6F"/>
    <w:rsid w:val="008B569C"/>
    <w:rsid w:val="008B5B43"/>
    <w:rsid w:val="008B5DC6"/>
    <w:rsid w:val="008B62B2"/>
    <w:rsid w:val="008B69BE"/>
    <w:rsid w:val="008B6B29"/>
    <w:rsid w:val="008B757C"/>
    <w:rsid w:val="008B7992"/>
    <w:rsid w:val="008B7D7E"/>
    <w:rsid w:val="008B7D91"/>
    <w:rsid w:val="008C04A8"/>
    <w:rsid w:val="008C09AB"/>
    <w:rsid w:val="008C0AF8"/>
    <w:rsid w:val="008C147C"/>
    <w:rsid w:val="008C165E"/>
    <w:rsid w:val="008C1745"/>
    <w:rsid w:val="008C1CBB"/>
    <w:rsid w:val="008C1F12"/>
    <w:rsid w:val="008C2149"/>
    <w:rsid w:val="008C2161"/>
    <w:rsid w:val="008C23C1"/>
    <w:rsid w:val="008C2614"/>
    <w:rsid w:val="008C2BCF"/>
    <w:rsid w:val="008C4831"/>
    <w:rsid w:val="008C5081"/>
    <w:rsid w:val="008C5486"/>
    <w:rsid w:val="008C5610"/>
    <w:rsid w:val="008C5739"/>
    <w:rsid w:val="008C5AF6"/>
    <w:rsid w:val="008C5F20"/>
    <w:rsid w:val="008C6D9C"/>
    <w:rsid w:val="008C7282"/>
    <w:rsid w:val="008C72C6"/>
    <w:rsid w:val="008C7ECB"/>
    <w:rsid w:val="008C7EE0"/>
    <w:rsid w:val="008D0F20"/>
    <w:rsid w:val="008D1054"/>
    <w:rsid w:val="008D137E"/>
    <w:rsid w:val="008D1598"/>
    <w:rsid w:val="008D1E3C"/>
    <w:rsid w:val="008D220C"/>
    <w:rsid w:val="008D273E"/>
    <w:rsid w:val="008D3986"/>
    <w:rsid w:val="008D3B61"/>
    <w:rsid w:val="008D3B86"/>
    <w:rsid w:val="008D43FD"/>
    <w:rsid w:val="008D4755"/>
    <w:rsid w:val="008D4C3D"/>
    <w:rsid w:val="008D6001"/>
    <w:rsid w:val="008D6212"/>
    <w:rsid w:val="008D743C"/>
    <w:rsid w:val="008D768E"/>
    <w:rsid w:val="008D7A06"/>
    <w:rsid w:val="008E047D"/>
    <w:rsid w:val="008E0D3C"/>
    <w:rsid w:val="008E1122"/>
    <w:rsid w:val="008E11EF"/>
    <w:rsid w:val="008E1B9E"/>
    <w:rsid w:val="008E2E2E"/>
    <w:rsid w:val="008E331B"/>
    <w:rsid w:val="008E4C5A"/>
    <w:rsid w:val="008E4DA8"/>
    <w:rsid w:val="008E55AB"/>
    <w:rsid w:val="008E55ED"/>
    <w:rsid w:val="008E5BFC"/>
    <w:rsid w:val="008E6871"/>
    <w:rsid w:val="008E745D"/>
    <w:rsid w:val="008E7778"/>
    <w:rsid w:val="008E7876"/>
    <w:rsid w:val="008F027C"/>
    <w:rsid w:val="008F04F4"/>
    <w:rsid w:val="008F120A"/>
    <w:rsid w:val="008F1576"/>
    <w:rsid w:val="008F234D"/>
    <w:rsid w:val="008F2435"/>
    <w:rsid w:val="008F27E0"/>
    <w:rsid w:val="008F2B63"/>
    <w:rsid w:val="008F3134"/>
    <w:rsid w:val="008F315B"/>
    <w:rsid w:val="008F39F4"/>
    <w:rsid w:val="008F3AC9"/>
    <w:rsid w:val="008F4038"/>
    <w:rsid w:val="008F40AD"/>
    <w:rsid w:val="008F42A0"/>
    <w:rsid w:val="008F48EB"/>
    <w:rsid w:val="008F4A3D"/>
    <w:rsid w:val="008F4E1D"/>
    <w:rsid w:val="008F4F0B"/>
    <w:rsid w:val="008F56A4"/>
    <w:rsid w:val="008F5881"/>
    <w:rsid w:val="008F5889"/>
    <w:rsid w:val="008F5D81"/>
    <w:rsid w:val="008F5F2D"/>
    <w:rsid w:val="008F5F79"/>
    <w:rsid w:val="008F5FDB"/>
    <w:rsid w:val="008F719F"/>
    <w:rsid w:val="00900246"/>
    <w:rsid w:val="00900CB0"/>
    <w:rsid w:val="00900F59"/>
    <w:rsid w:val="009012EA"/>
    <w:rsid w:val="00901BF8"/>
    <w:rsid w:val="00902066"/>
    <w:rsid w:val="0090293D"/>
    <w:rsid w:val="00902AF3"/>
    <w:rsid w:val="00902E3C"/>
    <w:rsid w:val="009046C4"/>
    <w:rsid w:val="00904763"/>
    <w:rsid w:val="00904FD2"/>
    <w:rsid w:val="00905BAF"/>
    <w:rsid w:val="009062A5"/>
    <w:rsid w:val="00907699"/>
    <w:rsid w:val="00907C8E"/>
    <w:rsid w:val="00910FA7"/>
    <w:rsid w:val="00910FDD"/>
    <w:rsid w:val="00911272"/>
    <w:rsid w:val="00911339"/>
    <w:rsid w:val="0091156F"/>
    <w:rsid w:val="00912B12"/>
    <w:rsid w:val="009135A9"/>
    <w:rsid w:val="009135D6"/>
    <w:rsid w:val="00913B68"/>
    <w:rsid w:val="00913C8B"/>
    <w:rsid w:val="00914082"/>
    <w:rsid w:val="0091435C"/>
    <w:rsid w:val="00914C77"/>
    <w:rsid w:val="00921650"/>
    <w:rsid w:val="0092168A"/>
    <w:rsid w:val="0092190F"/>
    <w:rsid w:val="00921ACB"/>
    <w:rsid w:val="00921C37"/>
    <w:rsid w:val="00923048"/>
    <w:rsid w:val="009230FC"/>
    <w:rsid w:val="00923333"/>
    <w:rsid w:val="0092369B"/>
    <w:rsid w:val="00923B38"/>
    <w:rsid w:val="0092579D"/>
    <w:rsid w:val="00925C53"/>
    <w:rsid w:val="0092654B"/>
    <w:rsid w:val="00926C86"/>
    <w:rsid w:val="0092703D"/>
    <w:rsid w:val="0092746B"/>
    <w:rsid w:val="0092782D"/>
    <w:rsid w:val="0092784D"/>
    <w:rsid w:val="00927DA3"/>
    <w:rsid w:val="00930C71"/>
    <w:rsid w:val="00930E1B"/>
    <w:rsid w:val="009314A3"/>
    <w:rsid w:val="0093185A"/>
    <w:rsid w:val="00931994"/>
    <w:rsid w:val="00931BCF"/>
    <w:rsid w:val="00931D0C"/>
    <w:rsid w:val="00931E60"/>
    <w:rsid w:val="00932258"/>
    <w:rsid w:val="009325D7"/>
    <w:rsid w:val="009336BB"/>
    <w:rsid w:val="009340A5"/>
    <w:rsid w:val="00934336"/>
    <w:rsid w:val="009346D6"/>
    <w:rsid w:val="009348DE"/>
    <w:rsid w:val="00934988"/>
    <w:rsid w:val="00934B2E"/>
    <w:rsid w:val="00934E12"/>
    <w:rsid w:val="0093570B"/>
    <w:rsid w:val="00935918"/>
    <w:rsid w:val="00935CAA"/>
    <w:rsid w:val="00936220"/>
    <w:rsid w:val="00936420"/>
    <w:rsid w:val="00936A51"/>
    <w:rsid w:val="00936FDA"/>
    <w:rsid w:val="00937089"/>
    <w:rsid w:val="0093744F"/>
    <w:rsid w:val="009376A8"/>
    <w:rsid w:val="009401D8"/>
    <w:rsid w:val="0094031F"/>
    <w:rsid w:val="00940C4D"/>
    <w:rsid w:val="00941420"/>
    <w:rsid w:val="00941B09"/>
    <w:rsid w:val="009422D9"/>
    <w:rsid w:val="0094234F"/>
    <w:rsid w:val="00942863"/>
    <w:rsid w:val="00942B68"/>
    <w:rsid w:val="00942CA7"/>
    <w:rsid w:val="00942E78"/>
    <w:rsid w:val="00942F8A"/>
    <w:rsid w:val="0094335E"/>
    <w:rsid w:val="00943563"/>
    <w:rsid w:val="00943AE8"/>
    <w:rsid w:val="00944D6F"/>
    <w:rsid w:val="00944F8A"/>
    <w:rsid w:val="0094526C"/>
    <w:rsid w:val="00945AF6"/>
    <w:rsid w:val="009465B0"/>
    <w:rsid w:val="0094688E"/>
    <w:rsid w:val="0094766E"/>
    <w:rsid w:val="0095021F"/>
    <w:rsid w:val="00950ECB"/>
    <w:rsid w:val="009510A2"/>
    <w:rsid w:val="00951B6D"/>
    <w:rsid w:val="00952E1E"/>
    <w:rsid w:val="00953069"/>
    <w:rsid w:val="00953257"/>
    <w:rsid w:val="009533FE"/>
    <w:rsid w:val="009535B8"/>
    <w:rsid w:val="009538F4"/>
    <w:rsid w:val="0095474C"/>
    <w:rsid w:val="00954831"/>
    <w:rsid w:val="0095519C"/>
    <w:rsid w:val="00955428"/>
    <w:rsid w:val="00955618"/>
    <w:rsid w:val="00955AB8"/>
    <w:rsid w:val="00955E81"/>
    <w:rsid w:val="009562CE"/>
    <w:rsid w:val="00956E9A"/>
    <w:rsid w:val="0095727E"/>
    <w:rsid w:val="00957D92"/>
    <w:rsid w:val="009606CB"/>
    <w:rsid w:val="00960A6B"/>
    <w:rsid w:val="00960FBC"/>
    <w:rsid w:val="00961BA5"/>
    <w:rsid w:val="009624EE"/>
    <w:rsid w:val="00962CB9"/>
    <w:rsid w:val="009637E5"/>
    <w:rsid w:val="00964312"/>
    <w:rsid w:val="00964749"/>
    <w:rsid w:val="00964C64"/>
    <w:rsid w:val="00965B0F"/>
    <w:rsid w:val="00965B8A"/>
    <w:rsid w:val="0096687E"/>
    <w:rsid w:val="00967D4B"/>
    <w:rsid w:val="00970354"/>
    <w:rsid w:val="0097071F"/>
    <w:rsid w:val="00970A70"/>
    <w:rsid w:val="00970D01"/>
    <w:rsid w:val="009717AC"/>
    <w:rsid w:val="00971C56"/>
    <w:rsid w:val="00972162"/>
    <w:rsid w:val="009726DE"/>
    <w:rsid w:val="009734ED"/>
    <w:rsid w:val="009737D5"/>
    <w:rsid w:val="00973DF5"/>
    <w:rsid w:val="00974BC0"/>
    <w:rsid w:val="009751C1"/>
    <w:rsid w:val="009752A3"/>
    <w:rsid w:val="00975664"/>
    <w:rsid w:val="009765B8"/>
    <w:rsid w:val="00976AC6"/>
    <w:rsid w:val="00976B4C"/>
    <w:rsid w:val="00976FF5"/>
    <w:rsid w:val="009773BC"/>
    <w:rsid w:val="009801E7"/>
    <w:rsid w:val="009808A4"/>
    <w:rsid w:val="00980906"/>
    <w:rsid w:val="009811F1"/>
    <w:rsid w:val="00981413"/>
    <w:rsid w:val="0098262F"/>
    <w:rsid w:val="0098278B"/>
    <w:rsid w:val="009829FD"/>
    <w:rsid w:val="00982FCC"/>
    <w:rsid w:val="00983C28"/>
    <w:rsid w:val="00983E57"/>
    <w:rsid w:val="00984131"/>
    <w:rsid w:val="00984171"/>
    <w:rsid w:val="0098442C"/>
    <w:rsid w:val="00984848"/>
    <w:rsid w:val="00984F90"/>
    <w:rsid w:val="00985155"/>
    <w:rsid w:val="00985B24"/>
    <w:rsid w:val="00985BCF"/>
    <w:rsid w:val="00985DE2"/>
    <w:rsid w:val="0098675D"/>
    <w:rsid w:val="00987242"/>
    <w:rsid w:val="00987383"/>
    <w:rsid w:val="0098756D"/>
    <w:rsid w:val="00987BA4"/>
    <w:rsid w:val="00987D15"/>
    <w:rsid w:val="00991422"/>
    <w:rsid w:val="0099153F"/>
    <w:rsid w:val="00991F9C"/>
    <w:rsid w:val="00992017"/>
    <w:rsid w:val="009926E0"/>
    <w:rsid w:val="009936ED"/>
    <w:rsid w:val="0099451E"/>
    <w:rsid w:val="0099460A"/>
    <w:rsid w:val="00994871"/>
    <w:rsid w:val="00994A19"/>
    <w:rsid w:val="00994BA0"/>
    <w:rsid w:val="00995572"/>
    <w:rsid w:val="009959A2"/>
    <w:rsid w:val="00996339"/>
    <w:rsid w:val="00996B1A"/>
    <w:rsid w:val="00996E51"/>
    <w:rsid w:val="009972D1"/>
    <w:rsid w:val="009974B0"/>
    <w:rsid w:val="009976CD"/>
    <w:rsid w:val="009A01BA"/>
    <w:rsid w:val="009A0593"/>
    <w:rsid w:val="009A06AD"/>
    <w:rsid w:val="009A0A2C"/>
    <w:rsid w:val="009A0C4A"/>
    <w:rsid w:val="009A0EEE"/>
    <w:rsid w:val="009A0F9B"/>
    <w:rsid w:val="009A16EA"/>
    <w:rsid w:val="009A18F6"/>
    <w:rsid w:val="009A27FF"/>
    <w:rsid w:val="009A2D28"/>
    <w:rsid w:val="009A2DCC"/>
    <w:rsid w:val="009A4137"/>
    <w:rsid w:val="009A41C5"/>
    <w:rsid w:val="009A5A61"/>
    <w:rsid w:val="009A5ABC"/>
    <w:rsid w:val="009A6675"/>
    <w:rsid w:val="009A7104"/>
    <w:rsid w:val="009A7688"/>
    <w:rsid w:val="009A7F10"/>
    <w:rsid w:val="009B0943"/>
    <w:rsid w:val="009B1B69"/>
    <w:rsid w:val="009B2BB8"/>
    <w:rsid w:val="009B2E4F"/>
    <w:rsid w:val="009B3E26"/>
    <w:rsid w:val="009B3F83"/>
    <w:rsid w:val="009B530F"/>
    <w:rsid w:val="009B5706"/>
    <w:rsid w:val="009B5834"/>
    <w:rsid w:val="009B5A25"/>
    <w:rsid w:val="009B5DB5"/>
    <w:rsid w:val="009B5ED0"/>
    <w:rsid w:val="009B5F04"/>
    <w:rsid w:val="009B6658"/>
    <w:rsid w:val="009B6C4B"/>
    <w:rsid w:val="009B7120"/>
    <w:rsid w:val="009B7A7F"/>
    <w:rsid w:val="009B7CD2"/>
    <w:rsid w:val="009C003F"/>
    <w:rsid w:val="009C0781"/>
    <w:rsid w:val="009C0CD3"/>
    <w:rsid w:val="009C10FC"/>
    <w:rsid w:val="009C1190"/>
    <w:rsid w:val="009C1271"/>
    <w:rsid w:val="009C1B5E"/>
    <w:rsid w:val="009C1C96"/>
    <w:rsid w:val="009C331C"/>
    <w:rsid w:val="009C3706"/>
    <w:rsid w:val="009C3A3A"/>
    <w:rsid w:val="009C426B"/>
    <w:rsid w:val="009C465C"/>
    <w:rsid w:val="009C5906"/>
    <w:rsid w:val="009C6CEA"/>
    <w:rsid w:val="009C7034"/>
    <w:rsid w:val="009C7B85"/>
    <w:rsid w:val="009D0117"/>
    <w:rsid w:val="009D0254"/>
    <w:rsid w:val="009D1A64"/>
    <w:rsid w:val="009D1E5E"/>
    <w:rsid w:val="009D2290"/>
    <w:rsid w:val="009D3185"/>
    <w:rsid w:val="009D3A09"/>
    <w:rsid w:val="009D3CC6"/>
    <w:rsid w:val="009D41FB"/>
    <w:rsid w:val="009D45C4"/>
    <w:rsid w:val="009D543B"/>
    <w:rsid w:val="009D5B91"/>
    <w:rsid w:val="009D5BF5"/>
    <w:rsid w:val="009D6188"/>
    <w:rsid w:val="009D67E8"/>
    <w:rsid w:val="009D7640"/>
    <w:rsid w:val="009D76C7"/>
    <w:rsid w:val="009D792E"/>
    <w:rsid w:val="009D7C41"/>
    <w:rsid w:val="009E0208"/>
    <w:rsid w:val="009E0377"/>
    <w:rsid w:val="009E041A"/>
    <w:rsid w:val="009E04B3"/>
    <w:rsid w:val="009E0DFE"/>
    <w:rsid w:val="009E0EE7"/>
    <w:rsid w:val="009E1297"/>
    <w:rsid w:val="009E18E1"/>
    <w:rsid w:val="009E1E42"/>
    <w:rsid w:val="009E2197"/>
    <w:rsid w:val="009E2426"/>
    <w:rsid w:val="009E2808"/>
    <w:rsid w:val="009E2E07"/>
    <w:rsid w:val="009E31A8"/>
    <w:rsid w:val="009E31F6"/>
    <w:rsid w:val="009E396B"/>
    <w:rsid w:val="009E4368"/>
    <w:rsid w:val="009E4B54"/>
    <w:rsid w:val="009E4C07"/>
    <w:rsid w:val="009E4E8C"/>
    <w:rsid w:val="009E533E"/>
    <w:rsid w:val="009E5B9E"/>
    <w:rsid w:val="009E6861"/>
    <w:rsid w:val="009E717C"/>
    <w:rsid w:val="009E7287"/>
    <w:rsid w:val="009E777F"/>
    <w:rsid w:val="009F0990"/>
    <w:rsid w:val="009F0CD9"/>
    <w:rsid w:val="009F17E3"/>
    <w:rsid w:val="009F2024"/>
    <w:rsid w:val="009F27C0"/>
    <w:rsid w:val="009F390E"/>
    <w:rsid w:val="009F4882"/>
    <w:rsid w:val="009F4EDE"/>
    <w:rsid w:val="009F511F"/>
    <w:rsid w:val="009F57D4"/>
    <w:rsid w:val="009F5881"/>
    <w:rsid w:val="009F5C4F"/>
    <w:rsid w:val="009F603F"/>
    <w:rsid w:val="009F6120"/>
    <w:rsid w:val="009F61A5"/>
    <w:rsid w:val="009F6482"/>
    <w:rsid w:val="009F6B3D"/>
    <w:rsid w:val="009F6D40"/>
    <w:rsid w:val="009F74BF"/>
    <w:rsid w:val="00A003FF"/>
    <w:rsid w:val="00A00886"/>
    <w:rsid w:val="00A00B95"/>
    <w:rsid w:val="00A00D76"/>
    <w:rsid w:val="00A01184"/>
    <w:rsid w:val="00A01204"/>
    <w:rsid w:val="00A01449"/>
    <w:rsid w:val="00A01D8C"/>
    <w:rsid w:val="00A01FA1"/>
    <w:rsid w:val="00A02804"/>
    <w:rsid w:val="00A033E0"/>
    <w:rsid w:val="00A034E3"/>
    <w:rsid w:val="00A037C2"/>
    <w:rsid w:val="00A037C3"/>
    <w:rsid w:val="00A03D43"/>
    <w:rsid w:val="00A040F8"/>
    <w:rsid w:val="00A04380"/>
    <w:rsid w:val="00A04786"/>
    <w:rsid w:val="00A04A91"/>
    <w:rsid w:val="00A05246"/>
    <w:rsid w:val="00A053AC"/>
    <w:rsid w:val="00A05472"/>
    <w:rsid w:val="00A05ACA"/>
    <w:rsid w:val="00A05C32"/>
    <w:rsid w:val="00A0653F"/>
    <w:rsid w:val="00A065F0"/>
    <w:rsid w:val="00A06BDD"/>
    <w:rsid w:val="00A06C9D"/>
    <w:rsid w:val="00A07A01"/>
    <w:rsid w:val="00A100E9"/>
    <w:rsid w:val="00A10A7F"/>
    <w:rsid w:val="00A10DDD"/>
    <w:rsid w:val="00A11154"/>
    <w:rsid w:val="00A11635"/>
    <w:rsid w:val="00A11899"/>
    <w:rsid w:val="00A118D4"/>
    <w:rsid w:val="00A11CD0"/>
    <w:rsid w:val="00A12090"/>
    <w:rsid w:val="00A123B2"/>
    <w:rsid w:val="00A1259C"/>
    <w:rsid w:val="00A1272D"/>
    <w:rsid w:val="00A127C6"/>
    <w:rsid w:val="00A133E7"/>
    <w:rsid w:val="00A13910"/>
    <w:rsid w:val="00A13948"/>
    <w:rsid w:val="00A13C6B"/>
    <w:rsid w:val="00A13CD2"/>
    <w:rsid w:val="00A14746"/>
    <w:rsid w:val="00A15283"/>
    <w:rsid w:val="00A1555B"/>
    <w:rsid w:val="00A155C5"/>
    <w:rsid w:val="00A1585C"/>
    <w:rsid w:val="00A158D1"/>
    <w:rsid w:val="00A1629D"/>
    <w:rsid w:val="00A16738"/>
    <w:rsid w:val="00A16AD8"/>
    <w:rsid w:val="00A1725F"/>
    <w:rsid w:val="00A172A2"/>
    <w:rsid w:val="00A176CA"/>
    <w:rsid w:val="00A17CB5"/>
    <w:rsid w:val="00A2021C"/>
    <w:rsid w:val="00A2021E"/>
    <w:rsid w:val="00A20521"/>
    <w:rsid w:val="00A20A92"/>
    <w:rsid w:val="00A20C13"/>
    <w:rsid w:val="00A20CE8"/>
    <w:rsid w:val="00A21843"/>
    <w:rsid w:val="00A21B01"/>
    <w:rsid w:val="00A21C95"/>
    <w:rsid w:val="00A21CF3"/>
    <w:rsid w:val="00A2374A"/>
    <w:rsid w:val="00A241F0"/>
    <w:rsid w:val="00A245E0"/>
    <w:rsid w:val="00A24813"/>
    <w:rsid w:val="00A24EDB"/>
    <w:rsid w:val="00A24FC2"/>
    <w:rsid w:val="00A25126"/>
    <w:rsid w:val="00A255AC"/>
    <w:rsid w:val="00A25E23"/>
    <w:rsid w:val="00A25EAA"/>
    <w:rsid w:val="00A25ED5"/>
    <w:rsid w:val="00A2673C"/>
    <w:rsid w:val="00A26D1B"/>
    <w:rsid w:val="00A26F82"/>
    <w:rsid w:val="00A27AEC"/>
    <w:rsid w:val="00A30A53"/>
    <w:rsid w:val="00A30F4C"/>
    <w:rsid w:val="00A30FEA"/>
    <w:rsid w:val="00A310EF"/>
    <w:rsid w:val="00A311FF"/>
    <w:rsid w:val="00A31DF7"/>
    <w:rsid w:val="00A320DB"/>
    <w:rsid w:val="00A32C6A"/>
    <w:rsid w:val="00A3383F"/>
    <w:rsid w:val="00A33FF3"/>
    <w:rsid w:val="00A3466B"/>
    <w:rsid w:val="00A34C43"/>
    <w:rsid w:val="00A3507A"/>
    <w:rsid w:val="00A35389"/>
    <w:rsid w:val="00A354E1"/>
    <w:rsid w:val="00A35606"/>
    <w:rsid w:val="00A35D16"/>
    <w:rsid w:val="00A36200"/>
    <w:rsid w:val="00A36820"/>
    <w:rsid w:val="00A37A12"/>
    <w:rsid w:val="00A37B5B"/>
    <w:rsid w:val="00A37BCD"/>
    <w:rsid w:val="00A37F7E"/>
    <w:rsid w:val="00A40994"/>
    <w:rsid w:val="00A409A2"/>
    <w:rsid w:val="00A40F3E"/>
    <w:rsid w:val="00A411AF"/>
    <w:rsid w:val="00A41689"/>
    <w:rsid w:val="00A42592"/>
    <w:rsid w:val="00A42847"/>
    <w:rsid w:val="00A429DB"/>
    <w:rsid w:val="00A435E6"/>
    <w:rsid w:val="00A43718"/>
    <w:rsid w:val="00A43C59"/>
    <w:rsid w:val="00A43EE8"/>
    <w:rsid w:val="00A45794"/>
    <w:rsid w:val="00A45A37"/>
    <w:rsid w:val="00A4708E"/>
    <w:rsid w:val="00A471CB"/>
    <w:rsid w:val="00A47737"/>
    <w:rsid w:val="00A50ECD"/>
    <w:rsid w:val="00A5103D"/>
    <w:rsid w:val="00A518E7"/>
    <w:rsid w:val="00A518F3"/>
    <w:rsid w:val="00A51EB5"/>
    <w:rsid w:val="00A520C4"/>
    <w:rsid w:val="00A52729"/>
    <w:rsid w:val="00A52843"/>
    <w:rsid w:val="00A52D62"/>
    <w:rsid w:val="00A53675"/>
    <w:rsid w:val="00A54B22"/>
    <w:rsid w:val="00A553B9"/>
    <w:rsid w:val="00A55C59"/>
    <w:rsid w:val="00A564D7"/>
    <w:rsid w:val="00A565E2"/>
    <w:rsid w:val="00A56607"/>
    <w:rsid w:val="00A56B2B"/>
    <w:rsid w:val="00A56B6A"/>
    <w:rsid w:val="00A56D65"/>
    <w:rsid w:val="00A578DC"/>
    <w:rsid w:val="00A60120"/>
    <w:rsid w:val="00A605F2"/>
    <w:rsid w:val="00A60608"/>
    <w:rsid w:val="00A60886"/>
    <w:rsid w:val="00A61022"/>
    <w:rsid w:val="00A61448"/>
    <w:rsid w:val="00A61E4A"/>
    <w:rsid w:val="00A6272A"/>
    <w:rsid w:val="00A634C1"/>
    <w:rsid w:val="00A63E58"/>
    <w:rsid w:val="00A63EF0"/>
    <w:rsid w:val="00A640E2"/>
    <w:rsid w:val="00A6480C"/>
    <w:rsid w:val="00A64AD5"/>
    <w:rsid w:val="00A64D65"/>
    <w:rsid w:val="00A64E7B"/>
    <w:rsid w:val="00A6633A"/>
    <w:rsid w:val="00A663A2"/>
    <w:rsid w:val="00A665FC"/>
    <w:rsid w:val="00A6725B"/>
    <w:rsid w:val="00A674B4"/>
    <w:rsid w:val="00A67931"/>
    <w:rsid w:val="00A67ABB"/>
    <w:rsid w:val="00A70314"/>
    <w:rsid w:val="00A70369"/>
    <w:rsid w:val="00A70605"/>
    <w:rsid w:val="00A7080D"/>
    <w:rsid w:val="00A710C5"/>
    <w:rsid w:val="00A7115C"/>
    <w:rsid w:val="00A7117C"/>
    <w:rsid w:val="00A712A6"/>
    <w:rsid w:val="00A7187B"/>
    <w:rsid w:val="00A72B9E"/>
    <w:rsid w:val="00A73134"/>
    <w:rsid w:val="00A7365A"/>
    <w:rsid w:val="00A737F1"/>
    <w:rsid w:val="00A739A1"/>
    <w:rsid w:val="00A73D7F"/>
    <w:rsid w:val="00A76001"/>
    <w:rsid w:val="00A76B67"/>
    <w:rsid w:val="00A76E01"/>
    <w:rsid w:val="00A772A9"/>
    <w:rsid w:val="00A777B2"/>
    <w:rsid w:val="00A77BF8"/>
    <w:rsid w:val="00A77CD9"/>
    <w:rsid w:val="00A80337"/>
    <w:rsid w:val="00A805BF"/>
    <w:rsid w:val="00A80B46"/>
    <w:rsid w:val="00A81492"/>
    <w:rsid w:val="00A81543"/>
    <w:rsid w:val="00A815F9"/>
    <w:rsid w:val="00A81659"/>
    <w:rsid w:val="00A81905"/>
    <w:rsid w:val="00A825D4"/>
    <w:rsid w:val="00A825E5"/>
    <w:rsid w:val="00A826BE"/>
    <w:rsid w:val="00A828F6"/>
    <w:rsid w:val="00A82B73"/>
    <w:rsid w:val="00A82EB0"/>
    <w:rsid w:val="00A8421D"/>
    <w:rsid w:val="00A84895"/>
    <w:rsid w:val="00A85260"/>
    <w:rsid w:val="00A859BE"/>
    <w:rsid w:val="00A8614E"/>
    <w:rsid w:val="00A865A4"/>
    <w:rsid w:val="00A8689A"/>
    <w:rsid w:val="00A86E8B"/>
    <w:rsid w:val="00A87164"/>
    <w:rsid w:val="00A871A9"/>
    <w:rsid w:val="00A872C0"/>
    <w:rsid w:val="00A87768"/>
    <w:rsid w:val="00A913A6"/>
    <w:rsid w:val="00A917BC"/>
    <w:rsid w:val="00A93072"/>
    <w:rsid w:val="00A9323F"/>
    <w:rsid w:val="00A933E1"/>
    <w:rsid w:val="00A938BD"/>
    <w:rsid w:val="00A93953"/>
    <w:rsid w:val="00A94074"/>
    <w:rsid w:val="00A9432C"/>
    <w:rsid w:val="00A943E4"/>
    <w:rsid w:val="00A949B7"/>
    <w:rsid w:val="00A94A4B"/>
    <w:rsid w:val="00A94B53"/>
    <w:rsid w:val="00A952AD"/>
    <w:rsid w:val="00A959D8"/>
    <w:rsid w:val="00A963D0"/>
    <w:rsid w:val="00A96669"/>
    <w:rsid w:val="00A96D62"/>
    <w:rsid w:val="00A96DF9"/>
    <w:rsid w:val="00A973D9"/>
    <w:rsid w:val="00A979BD"/>
    <w:rsid w:val="00AA059C"/>
    <w:rsid w:val="00AA113D"/>
    <w:rsid w:val="00AA13DA"/>
    <w:rsid w:val="00AA1DF7"/>
    <w:rsid w:val="00AA1E19"/>
    <w:rsid w:val="00AA20AF"/>
    <w:rsid w:val="00AA21E4"/>
    <w:rsid w:val="00AA2796"/>
    <w:rsid w:val="00AA2D7A"/>
    <w:rsid w:val="00AA2E27"/>
    <w:rsid w:val="00AA39F9"/>
    <w:rsid w:val="00AA3A75"/>
    <w:rsid w:val="00AA5203"/>
    <w:rsid w:val="00AA5242"/>
    <w:rsid w:val="00AA553F"/>
    <w:rsid w:val="00AA6320"/>
    <w:rsid w:val="00AA6BD5"/>
    <w:rsid w:val="00AA6BD8"/>
    <w:rsid w:val="00AA6C7D"/>
    <w:rsid w:val="00AA70D1"/>
    <w:rsid w:val="00AA714B"/>
    <w:rsid w:val="00AA720F"/>
    <w:rsid w:val="00AA7BC2"/>
    <w:rsid w:val="00AA7FD6"/>
    <w:rsid w:val="00AB042A"/>
    <w:rsid w:val="00AB09E6"/>
    <w:rsid w:val="00AB0A93"/>
    <w:rsid w:val="00AB11AD"/>
    <w:rsid w:val="00AB14CA"/>
    <w:rsid w:val="00AB162D"/>
    <w:rsid w:val="00AB19EF"/>
    <w:rsid w:val="00AB1C9C"/>
    <w:rsid w:val="00AB1CCF"/>
    <w:rsid w:val="00AB1E65"/>
    <w:rsid w:val="00AB2495"/>
    <w:rsid w:val="00AB2B65"/>
    <w:rsid w:val="00AB2D34"/>
    <w:rsid w:val="00AB2EB2"/>
    <w:rsid w:val="00AB3427"/>
    <w:rsid w:val="00AB3430"/>
    <w:rsid w:val="00AB3783"/>
    <w:rsid w:val="00AB37B9"/>
    <w:rsid w:val="00AB3EC8"/>
    <w:rsid w:val="00AB419D"/>
    <w:rsid w:val="00AB4519"/>
    <w:rsid w:val="00AB4AD1"/>
    <w:rsid w:val="00AB4AEE"/>
    <w:rsid w:val="00AB4D47"/>
    <w:rsid w:val="00AB4EB6"/>
    <w:rsid w:val="00AB505E"/>
    <w:rsid w:val="00AB59A8"/>
    <w:rsid w:val="00AB5ADB"/>
    <w:rsid w:val="00AB5E07"/>
    <w:rsid w:val="00AB6969"/>
    <w:rsid w:val="00AB728B"/>
    <w:rsid w:val="00AB75A5"/>
    <w:rsid w:val="00AB75F0"/>
    <w:rsid w:val="00AB7660"/>
    <w:rsid w:val="00AB7933"/>
    <w:rsid w:val="00AB7CFA"/>
    <w:rsid w:val="00AC01CF"/>
    <w:rsid w:val="00AC0E47"/>
    <w:rsid w:val="00AC0E68"/>
    <w:rsid w:val="00AC15F2"/>
    <w:rsid w:val="00AC317D"/>
    <w:rsid w:val="00AC3459"/>
    <w:rsid w:val="00AC347D"/>
    <w:rsid w:val="00AC3E9A"/>
    <w:rsid w:val="00AC3F7C"/>
    <w:rsid w:val="00AC4618"/>
    <w:rsid w:val="00AC4708"/>
    <w:rsid w:val="00AC4862"/>
    <w:rsid w:val="00AC5759"/>
    <w:rsid w:val="00AC577D"/>
    <w:rsid w:val="00AC5B42"/>
    <w:rsid w:val="00AC5B48"/>
    <w:rsid w:val="00AC68A9"/>
    <w:rsid w:val="00AC712C"/>
    <w:rsid w:val="00AC7248"/>
    <w:rsid w:val="00AC7B0D"/>
    <w:rsid w:val="00AD025B"/>
    <w:rsid w:val="00AD0CE9"/>
    <w:rsid w:val="00AD0E10"/>
    <w:rsid w:val="00AD118B"/>
    <w:rsid w:val="00AD1450"/>
    <w:rsid w:val="00AD15E8"/>
    <w:rsid w:val="00AD1EFD"/>
    <w:rsid w:val="00AD292F"/>
    <w:rsid w:val="00AD294B"/>
    <w:rsid w:val="00AD2E13"/>
    <w:rsid w:val="00AD344C"/>
    <w:rsid w:val="00AD347E"/>
    <w:rsid w:val="00AD356D"/>
    <w:rsid w:val="00AD397C"/>
    <w:rsid w:val="00AD3CF5"/>
    <w:rsid w:val="00AD3DEF"/>
    <w:rsid w:val="00AD43D1"/>
    <w:rsid w:val="00AD4902"/>
    <w:rsid w:val="00AD5453"/>
    <w:rsid w:val="00AD6502"/>
    <w:rsid w:val="00AD7148"/>
    <w:rsid w:val="00AD77BF"/>
    <w:rsid w:val="00AE0695"/>
    <w:rsid w:val="00AE0B8C"/>
    <w:rsid w:val="00AE0EB3"/>
    <w:rsid w:val="00AE0F83"/>
    <w:rsid w:val="00AE1318"/>
    <w:rsid w:val="00AE2242"/>
    <w:rsid w:val="00AE2F13"/>
    <w:rsid w:val="00AE3432"/>
    <w:rsid w:val="00AE34A9"/>
    <w:rsid w:val="00AE3532"/>
    <w:rsid w:val="00AE3989"/>
    <w:rsid w:val="00AE3B45"/>
    <w:rsid w:val="00AE3E7E"/>
    <w:rsid w:val="00AE43C9"/>
    <w:rsid w:val="00AE4772"/>
    <w:rsid w:val="00AE5598"/>
    <w:rsid w:val="00AE5A13"/>
    <w:rsid w:val="00AE6D86"/>
    <w:rsid w:val="00AE7E53"/>
    <w:rsid w:val="00AF0081"/>
    <w:rsid w:val="00AF08B2"/>
    <w:rsid w:val="00AF0C4F"/>
    <w:rsid w:val="00AF1064"/>
    <w:rsid w:val="00AF1189"/>
    <w:rsid w:val="00AF1315"/>
    <w:rsid w:val="00AF19BF"/>
    <w:rsid w:val="00AF2686"/>
    <w:rsid w:val="00AF28FB"/>
    <w:rsid w:val="00AF2DAB"/>
    <w:rsid w:val="00AF2DC3"/>
    <w:rsid w:val="00AF38FA"/>
    <w:rsid w:val="00AF3EEF"/>
    <w:rsid w:val="00AF42BB"/>
    <w:rsid w:val="00AF4A5D"/>
    <w:rsid w:val="00AF6574"/>
    <w:rsid w:val="00AF6D15"/>
    <w:rsid w:val="00AF736E"/>
    <w:rsid w:val="00B00489"/>
    <w:rsid w:val="00B01107"/>
    <w:rsid w:val="00B01816"/>
    <w:rsid w:val="00B020E8"/>
    <w:rsid w:val="00B02A07"/>
    <w:rsid w:val="00B033E5"/>
    <w:rsid w:val="00B0343D"/>
    <w:rsid w:val="00B03A63"/>
    <w:rsid w:val="00B03D44"/>
    <w:rsid w:val="00B041A3"/>
    <w:rsid w:val="00B043DF"/>
    <w:rsid w:val="00B04AD4"/>
    <w:rsid w:val="00B04AE8"/>
    <w:rsid w:val="00B04B52"/>
    <w:rsid w:val="00B05260"/>
    <w:rsid w:val="00B067EA"/>
    <w:rsid w:val="00B0683D"/>
    <w:rsid w:val="00B0723D"/>
    <w:rsid w:val="00B10D38"/>
    <w:rsid w:val="00B1226B"/>
    <w:rsid w:val="00B129A4"/>
    <w:rsid w:val="00B12B98"/>
    <w:rsid w:val="00B12CA8"/>
    <w:rsid w:val="00B13BB7"/>
    <w:rsid w:val="00B13C29"/>
    <w:rsid w:val="00B13E28"/>
    <w:rsid w:val="00B14287"/>
    <w:rsid w:val="00B14CE1"/>
    <w:rsid w:val="00B15F2A"/>
    <w:rsid w:val="00B15FD8"/>
    <w:rsid w:val="00B1673E"/>
    <w:rsid w:val="00B1737E"/>
    <w:rsid w:val="00B17555"/>
    <w:rsid w:val="00B17766"/>
    <w:rsid w:val="00B17893"/>
    <w:rsid w:val="00B17C62"/>
    <w:rsid w:val="00B201A4"/>
    <w:rsid w:val="00B201D1"/>
    <w:rsid w:val="00B213A6"/>
    <w:rsid w:val="00B21D8E"/>
    <w:rsid w:val="00B2284B"/>
    <w:rsid w:val="00B23001"/>
    <w:rsid w:val="00B235B0"/>
    <w:rsid w:val="00B23868"/>
    <w:rsid w:val="00B247EE"/>
    <w:rsid w:val="00B24DF6"/>
    <w:rsid w:val="00B2515D"/>
    <w:rsid w:val="00B251F3"/>
    <w:rsid w:val="00B2520C"/>
    <w:rsid w:val="00B254D2"/>
    <w:rsid w:val="00B25A64"/>
    <w:rsid w:val="00B25B5D"/>
    <w:rsid w:val="00B26781"/>
    <w:rsid w:val="00B26DE0"/>
    <w:rsid w:val="00B27367"/>
    <w:rsid w:val="00B27A61"/>
    <w:rsid w:val="00B27EDC"/>
    <w:rsid w:val="00B30144"/>
    <w:rsid w:val="00B30C03"/>
    <w:rsid w:val="00B30C1A"/>
    <w:rsid w:val="00B31082"/>
    <w:rsid w:val="00B316B2"/>
    <w:rsid w:val="00B31896"/>
    <w:rsid w:val="00B31B23"/>
    <w:rsid w:val="00B31C2C"/>
    <w:rsid w:val="00B3252F"/>
    <w:rsid w:val="00B338BB"/>
    <w:rsid w:val="00B34FE2"/>
    <w:rsid w:val="00B35166"/>
    <w:rsid w:val="00B351A0"/>
    <w:rsid w:val="00B357D8"/>
    <w:rsid w:val="00B35818"/>
    <w:rsid w:val="00B360F4"/>
    <w:rsid w:val="00B36416"/>
    <w:rsid w:val="00B366D8"/>
    <w:rsid w:val="00B36A00"/>
    <w:rsid w:val="00B36B05"/>
    <w:rsid w:val="00B3749C"/>
    <w:rsid w:val="00B3792B"/>
    <w:rsid w:val="00B37BFC"/>
    <w:rsid w:val="00B37D49"/>
    <w:rsid w:val="00B37D8C"/>
    <w:rsid w:val="00B40358"/>
    <w:rsid w:val="00B40537"/>
    <w:rsid w:val="00B40A15"/>
    <w:rsid w:val="00B41614"/>
    <w:rsid w:val="00B416AB"/>
    <w:rsid w:val="00B42851"/>
    <w:rsid w:val="00B429FC"/>
    <w:rsid w:val="00B42F80"/>
    <w:rsid w:val="00B435CB"/>
    <w:rsid w:val="00B44080"/>
    <w:rsid w:val="00B44626"/>
    <w:rsid w:val="00B449D1"/>
    <w:rsid w:val="00B44FCD"/>
    <w:rsid w:val="00B459E3"/>
    <w:rsid w:val="00B46000"/>
    <w:rsid w:val="00B465EC"/>
    <w:rsid w:val="00B4663D"/>
    <w:rsid w:val="00B478DD"/>
    <w:rsid w:val="00B47BD6"/>
    <w:rsid w:val="00B505C8"/>
    <w:rsid w:val="00B50A22"/>
    <w:rsid w:val="00B50DB8"/>
    <w:rsid w:val="00B511CB"/>
    <w:rsid w:val="00B512A5"/>
    <w:rsid w:val="00B5149E"/>
    <w:rsid w:val="00B5150F"/>
    <w:rsid w:val="00B51F96"/>
    <w:rsid w:val="00B5243C"/>
    <w:rsid w:val="00B52B1F"/>
    <w:rsid w:val="00B5302B"/>
    <w:rsid w:val="00B53654"/>
    <w:rsid w:val="00B53905"/>
    <w:rsid w:val="00B5393A"/>
    <w:rsid w:val="00B546DB"/>
    <w:rsid w:val="00B54903"/>
    <w:rsid w:val="00B54B5B"/>
    <w:rsid w:val="00B5562E"/>
    <w:rsid w:val="00B55862"/>
    <w:rsid w:val="00B55A29"/>
    <w:rsid w:val="00B55D65"/>
    <w:rsid w:val="00B56305"/>
    <w:rsid w:val="00B56578"/>
    <w:rsid w:val="00B568DD"/>
    <w:rsid w:val="00B57000"/>
    <w:rsid w:val="00B573BF"/>
    <w:rsid w:val="00B574B5"/>
    <w:rsid w:val="00B57739"/>
    <w:rsid w:val="00B577E4"/>
    <w:rsid w:val="00B60759"/>
    <w:rsid w:val="00B60939"/>
    <w:rsid w:val="00B60AFD"/>
    <w:rsid w:val="00B61D79"/>
    <w:rsid w:val="00B62715"/>
    <w:rsid w:val="00B62AFA"/>
    <w:rsid w:val="00B63FD0"/>
    <w:rsid w:val="00B64726"/>
    <w:rsid w:val="00B64D68"/>
    <w:rsid w:val="00B64E6B"/>
    <w:rsid w:val="00B65611"/>
    <w:rsid w:val="00B657D3"/>
    <w:rsid w:val="00B668CC"/>
    <w:rsid w:val="00B66D6A"/>
    <w:rsid w:val="00B67C2C"/>
    <w:rsid w:val="00B708B5"/>
    <w:rsid w:val="00B70E8E"/>
    <w:rsid w:val="00B71D04"/>
    <w:rsid w:val="00B71EBD"/>
    <w:rsid w:val="00B72C2E"/>
    <w:rsid w:val="00B74607"/>
    <w:rsid w:val="00B74797"/>
    <w:rsid w:val="00B74FEE"/>
    <w:rsid w:val="00B76C92"/>
    <w:rsid w:val="00B76DAD"/>
    <w:rsid w:val="00B76E67"/>
    <w:rsid w:val="00B76EFB"/>
    <w:rsid w:val="00B77841"/>
    <w:rsid w:val="00B7796C"/>
    <w:rsid w:val="00B80736"/>
    <w:rsid w:val="00B80EFD"/>
    <w:rsid w:val="00B80F02"/>
    <w:rsid w:val="00B810F6"/>
    <w:rsid w:val="00B813F4"/>
    <w:rsid w:val="00B818A4"/>
    <w:rsid w:val="00B818AB"/>
    <w:rsid w:val="00B8298F"/>
    <w:rsid w:val="00B834B2"/>
    <w:rsid w:val="00B83583"/>
    <w:rsid w:val="00B8358E"/>
    <w:rsid w:val="00B83739"/>
    <w:rsid w:val="00B83FF3"/>
    <w:rsid w:val="00B84117"/>
    <w:rsid w:val="00B848F4"/>
    <w:rsid w:val="00B849EC"/>
    <w:rsid w:val="00B84C1A"/>
    <w:rsid w:val="00B84F8A"/>
    <w:rsid w:val="00B8556C"/>
    <w:rsid w:val="00B858F0"/>
    <w:rsid w:val="00B85AA2"/>
    <w:rsid w:val="00B8649C"/>
    <w:rsid w:val="00B8695D"/>
    <w:rsid w:val="00B86AC8"/>
    <w:rsid w:val="00B86BC1"/>
    <w:rsid w:val="00B86FA3"/>
    <w:rsid w:val="00B87606"/>
    <w:rsid w:val="00B87DD6"/>
    <w:rsid w:val="00B87F0A"/>
    <w:rsid w:val="00B90184"/>
    <w:rsid w:val="00B906DC"/>
    <w:rsid w:val="00B91D09"/>
    <w:rsid w:val="00B91D50"/>
    <w:rsid w:val="00B91E0A"/>
    <w:rsid w:val="00B92509"/>
    <w:rsid w:val="00B925A3"/>
    <w:rsid w:val="00B92A8C"/>
    <w:rsid w:val="00B92D0B"/>
    <w:rsid w:val="00B941F0"/>
    <w:rsid w:val="00B94414"/>
    <w:rsid w:val="00B94492"/>
    <w:rsid w:val="00B94945"/>
    <w:rsid w:val="00B94A6E"/>
    <w:rsid w:val="00B94DD6"/>
    <w:rsid w:val="00B958FD"/>
    <w:rsid w:val="00B964A9"/>
    <w:rsid w:val="00B972BC"/>
    <w:rsid w:val="00B97CBA"/>
    <w:rsid w:val="00B97E9A"/>
    <w:rsid w:val="00BA0D57"/>
    <w:rsid w:val="00BA0FDB"/>
    <w:rsid w:val="00BA1D5E"/>
    <w:rsid w:val="00BA2F9D"/>
    <w:rsid w:val="00BA322D"/>
    <w:rsid w:val="00BA3AAD"/>
    <w:rsid w:val="00BA3DAC"/>
    <w:rsid w:val="00BA432E"/>
    <w:rsid w:val="00BA489C"/>
    <w:rsid w:val="00BA4D43"/>
    <w:rsid w:val="00BA54E5"/>
    <w:rsid w:val="00BA5822"/>
    <w:rsid w:val="00BA5880"/>
    <w:rsid w:val="00BA58E9"/>
    <w:rsid w:val="00BA5998"/>
    <w:rsid w:val="00BA5AC2"/>
    <w:rsid w:val="00BA5BE3"/>
    <w:rsid w:val="00BA63FA"/>
    <w:rsid w:val="00BA6EE1"/>
    <w:rsid w:val="00BA7228"/>
    <w:rsid w:val="00BA75C0"/>
    <w:rsid w:val="00BB00B3"/>
    <w:rsid w:val="00BB0B52"/>
    <w:rsid w:val="00BB0BDD"/>
    <w:rsid w:val="00BB12B2"/>
    <w:rsid w:val="00BB176C"/>
    <w:rsid w:val="00BB23C8"/>
    <w:rsid w:val="00BB2A73"/>
    <w:rsid w:val="00BB2E3D"/>
    <w:rsid w:val="00BB3A45"/>
    <w:rsid w:val="00BB3F5B"/>
    <w:rsid w:val="00BB3FC3"/>
    <w:rsid w:val="00BB4112"/>
    <w:rsid w:val="00BB4ACC"/>
    <w:rsid w:val="00BB5366"/>
    <w:rsid w:val="00BB5DB6"/>
    <w:rsid w:val="00BB6188"/>
    <w:rsid w:val="00BB65EA"/>
    <w:rsid w:val="00BB6835"/>
    <w:rsid w:val="00BB6D32"/>
    <w:rsid w:val="00BB6D63"/>
    <w:rsid w:val="00BB703E"/>
    <w:rsid w:val="00BB732D"/>
    <w:rsid w:val="00BB7405"/>
    <w:rsid w:val="00BB79D7"/>
    <w:rsid w:val="00BB7F17"/>
    <w:rsid w:val="00BC0280"/>
    <w:rsid w:val="00BC0727"/>
    <w:rsid w:val="00BC0998"/>
    <w:rsid w:val="00BC0A7B"/>
    <w:rsid w:val="00BC1318"/>
    <w:rsid w:val="00BC1993"/>
    <w:rsid w:val="00BC1C8F"/>
    <w:rsid w:val="00BC223E"/>
    <w:rsid w:val="00BC28C1"/>
    <w:rsid w:val="00BC2F88"/>
    <w:rsid w:val="00BC3631"/>
    <w:rsid w:val="00BC3719"/>
    <w:rsid w:val="00BC42E3"/>
    <w:rsid w:val="00BC591F"/>
    <w:rsid w:val="00BC5C6A"/>
    <w:rsid w:val="00BC5CBB"/>
    <w:rsid w:val="00BC6158"/>
    <w:rsid w:val="00BC7D6D"/>
    <w:rsid w:val="00BC7EA3"/>
    <w:rsid w:val="00BC7FEE"/>
    <w:rsid w:val="00BD055D"/>
    <w:rsid w:val="00BD058E"/>
    <w:rsid w:val="00BD0944"/>
    <w:rsid w:val="00BD12B7"/>
    <w:rsid w:val="00BD1D03"/>
    <w:rsid w:val="00BD2108"/>
    <w:rsid w:val="00BD2C63"/>
    <w:rsid w:val="00BD2F57"/>
    <w:rsid w:val="00BD3113"/>
    <w:rsid w:val="00BD365E"/>
    <w:rsid w:val="00BD3D34"/>
    <w:rsid w:val="00BD4813"/>
    <w:rsid w:val="00BD4826"/>
    <w:rsid w:val="00BD490C"/>
    <w:rsid w:val="00BD4965"/>
    <w:rsid w:val="00BD4A97"/>
    <w:rsid w:val="00BD4DF8"/>
    <w:rsid w:val="00BD5093"/>
    <w:rsid w:val="00BD51E2"/>
    <w:rsid w:val="00BD68A3"/>
    <w:rsid w:val="00BD6938"/>
    <w:rsid w:val="00BD6CF3"/>
    <w:rsid w:val="00BD7111"/>
    <w:rsid w:val="00BD7209"/>
    <w:rsid w:val="00BD7AE0"/>
    <w:rsid w:val="00BD7F72"/>
    <w:rsid w:val="00BE04A3"/>
    <w:rsid w:val="00BE0ECA"/>
    <w:rsid w:val="00BE115A"/>
    <w:rsid w:val="00BE11D8"/>
    <w:rsid w:val="00BE197A"/>
    <w:rsid w:val="00BE2180"/>
    <w:rsid w:val="00BE21F2"/>
    <w:rsid w:val="00BE28E7"/>
    <w:rsid w:val="00BE2E1B"/>
    <w:rsid w:val="00BE32DE"/>
    <w:rsid w:val="00BE3FE7"/>
    <w:rsid w:val="00BE4275"/>
    <w:rsid w:val="00BE4A36"/>
    <w:rsid w:val="00BE502C"/>
    <w:rsid w:val="00BE5990"/>
    <w:rsid w:val="00BE65AD"/>
    <w:rsid w:val="00BE688F"/>
    <w:rsid w:val="00BE7BB4"/>
    <w:rsid w:val="00BF00CD"/>
    <w:rsid w:val="00BF0637"/>
    <w:rsid w:val="00BF06AE"/>
    <w:rsid w:val="00BF0CCD"/>
    <w:rsid w:val="00BF0EEE"/>
    <w:rsid w:val="00BF0F95"/>
    <w:rsid w:val="00BF2433"/>
    <w:rsid w:val="00BF2E6E"/>
    <w:rsid w:val="00BF2FA2"/>
    <w:rsid w:val="00BF335C"/>
    <w:rsid w:val="00BF41AE"/>
    <w:rsid w:val="00BF4EDB"/>
    <w:rsid w:val="00BF548F"/>
    <w:rsid w:val="00BF5627"/>
    <w:rsid w:val="00BF565F"/>
    <w:rsid w:val="00BF61C9"/>
    <w:rsid w:val="00BF677D"/>
    <w:rsid w:val="00BF6C94"/>
    <w:rsid w:val="00C00424"/>
    <w:rsid w:val="00C0078E"/>
    <w:rsid w:val="00C00BB0"/>
    <w:rsid w:val="00C00C46"/>
    <w:rsid w:val="00C01F23"/>
    <w:rsid w:val="00C0242C"/>
    <w:rsid w:val="00C02830"/>
    <w:rsid w:val="00C02E6E"/>
    <w:rsid w:val="00C03C7A"/>
    <w:rsid w:val="00C04055"/>
    <w:rsid w:val="00C043AE"/>
    <w:rsid w:val="00C04411"/>
    <w:rsid w:val="00C04B0A"/>
    <w:rsid w:val="00C0604B"/>
    <w:rsid w:val="00C063EE"/>
    <w:rsid w:val="00C06A38"/>
    <w:rsid w:val="00C07A9E"/>
    <w:rsid w:val="00C1011E"/>
    <w:rsid w:val="00C10C6F"/>
    <w:rsid w:val="00C1179D"/>
    <w:rsid w:val="00C1179F"/>
    <w:rsid w:val="00C1188E"/>
    <w:rsid w:val="00C119A3"/>
    <w:rsid w:val="00C12472"/>
    <w:rsid w:val="00C127B9"/>
    <w:rsid w:val="00C128FA"/>
    <w:rsid w:val="00C12C14"/>
    <w:rsid w:val="00C130B0"/>
    <w:rsid w:val="00C131FC"/>
    <w:rsid w:val="00C14846"/>
    <w:rsid w:val="00C15123"/>
    <w:rsid w:val="00C158BF"/>
    <w:rsid w:val="00C15B3E"/>
    <w:rsid w:val="00C15F04"/>
    <w:rsid w:val="00C162D2"/>
    <w:rsid w:val="00C169F6"/>
    <w:rsid w:val="00C16BF3"/>
    <w:rsid w:val="00C16FDF"/>
    <w:rsid w:val="00C17357"/>
    <w:rsid w:val="00C17505"/>
    <w:rsid w:val="00C179B3"/>
    <w:rsid w:val="00C17E3F"/>
    <w:rsid w:val="00C200AA"/>
    <w:rsid w:val="00C208B5"/>
    <w:rsid w:val="00C20E59"/>
    <w:rsid w:val="00C235B6"/>
    <w:rsid w:val="00C236B2"/>
    <w:rsid w:val="00C237ED"/>
    <w:rsid w:val="00C23E99"/>
    <w:rsid w:val="00C24149"/>
    <w:rsid w:val="00C24632"/>
    <w:rsid w:val="00C24A50"/>
    <w:rsid w:val="00C24DF3"/>
    <w:rsid w:val="00C25418"/>
    <w:rsid w:val="00C25CB1"/>
    <w:rsid w:val="00C25D9C"/>
    <w:rsid w:val="00C25EB5"/>
    <w:rsid w:val="00C26853"/>
    <w:rsid w:val="00C26FC3"/>
    <w:rsid w:val="00C272F4"/>
    <w:rsid w:val="00C27333"/>
    <w:rsid w:val="00C2778B"/>
    <w:rsid w:val="00C277A5"/>
    <w:rsid w:val="00C30019"/>
    <w:rsid w:val="00C306F0"/>
    <w:rsid w:val="00C310CE"/>
    <w:rsid w:val="00C3135F"/>
    <w:rsid w:val="00C31649"/>
    <w:rsid w:val="00C31C4C"/>
    <w:rsid w:val="00C3212E"/>
    <w:rsid w:val="00C3297A"/>
    <w:rsid w:val="00C32D02"/>
    <w:rsid w:val="00C33B12"/>
    <w:rsid w:val="00C341F0"/>
    <w:rsid w:val="00C3434C"/>
    <w:rsid w:val="00C34657"/>
    <w:rsid w:val="00C34B49"/>
    <w:rsid w:val="00C34BB3"/>
    <w:rsid w:val="00C3504E"/>
    <w:rsid w:val="00C3561B"/>
    <w:rsid w:val="00C35C6C"/>
    <w:rsid w:val="00C362FB"/>
    <w:rsid w:val="00C364F3"/>
    <w:rsid w:val="00C36AC5"/>
    <w:rsid w:val="00C37512"/>
    <w:rsid w:val="00C37627"/>
    <w:rsid w:val="00C3784E"/>
    <w:rsid w:val="00C379B4"/>
    <w:rsid w:val="00C40385"/>
    <w:rsid w:val="00C41768"/>
    <w:rsid w:val="00C41873"/>
    <w:rsid w:val="00C418B7"/>
    <w:rsid w:val="00C41D95"/>
    <w:rsid w:val="00C41DE5"/>
    <w:rsid w:val="00C41EC7"/>
    <w:rsid w:val="00C41F09"/>
    <w:rsid w:val="00C42933"/>
    <w:rsid w:val="00C42C11"/>
    <w:rsid w:val="00C431B1"/>
    <w:rsid w:val="00C43463"/>
    <w:rsid w:val="00C43B91"/>
    <w:rsid w:val="00C440FB"/>
    <w:rsid w:val="00C44109"/>
    <w:rsid w:val="00C446EA"/>
    <w:rsid w:val="00C44CD8"/>
    <w:rsid w:val="00C46088"/>
    <w:rsid w:val="00C461B0"/>
    <w:rsid w:val="00C466D8"/>
    <w:rsid w:val="00C46796"/>
    <w:rsid w:val="00C46B59"/>
    <w:rsid w:val="00C475AA"/>
    <w:rsid w:val="00C47649"/>
    <w:rsid w:val="00C477A1"/>
    <w:rsid w:val="00C47B92"/>
    <w:rsid w:val="00C47F8C"/>
    <w:rsid w:val="00C5054D"/>
    <w:rsid w:val="00C51835"/>
    <w:rsid w:val="00C51D75"/>
    <w:rsid w:val="00C51E85"/>
    <w:rsid w:val="00C51F1E"/>
    <w:rsid w:val="00C527C7"/>
    <w:rsid w:val="00C52E8B"/>
    <w:rsid w:val="00C539A3"/>
    <w:rsid w:val="00C53C98"/>
    <w:rsid w:val="00C547A5"/>
    <w:rsid w:val="00C54E11"/>
    <w:rsid w:val="00C54ECE"/>
    <w:rsid w:val="00C55806"/>
    <w:rsid w:val="00C55978"/>
    <w:rsid w:val="00C5642E"/>
    <w:rsid w:val="00C56FCF"/>
    <w:rsid w:val="00C572F6"/>
    <w:rsid w:val="00C5753B"/>
    <w:rsid w:val="00C577AE"/>
    <w:rsid w:val="00C577C1"/>
    <w:rsid w:val="00C57B6C"/>
    <w:rsid w:val="00C60066"/>
    <w:rsid w:val="00C600B4"/>
    <w:rsid w:val="00C600B7"/>
    <w:rsid w:val="00C6040B"/>
    <w:rsid w:val="00C61A59"/>
    <w:rsid w:val="00C625BF"/>
    <w:rsid w:val="00C628A6"/>
    <w:rsid w:val="00C636CF"/>
    <w:rsid w:val="00C63767"/>
    <w:rsid w:val="00C641C9"/>
    <w:rsid w:val="00C64344"/>
    <w:rsid w:val="00C6454D"/>
    <w:rsid w:val="00C64DB2"/>
    <w:rsid w:val="00C65108"/>
    <w:rsid w:val="00C6554F"/>
    <w:rsid w:val="00C65576"/>
    <w:rsid w:val="00C65A50"/>
    <w:rsid w:val="00C65BC9"/>
    <w:rsid w:val="00C66165"/>
    <w:rsid w:val="00C6616A"/>
    <w:rsid w:val="00C661CD"/>
    <w:rsid w:val="00C66254"/>
    <w:rsid w:val="00C66542"/>
    <w:rsid w:val="00C66AC3"/>
    <w:rsid w:val="00C66EA4"/>
    <w:rsid w:val="00C67E22"/>
    <w:rsid w:val="00C67E2C"/>
    <w:rsid w:val="00C70352"/>
    <w:rsid w:val="00C7060A"/>
    <w:rsid w:val="00C70CDF"/>
    <w:rsid w:val="00C71512"/>
    <w:rsid w:val="00C7151A"/>
    <w:rsid w:val="00C71733"/>
    <w:rsid w:val="00C717E3"/>
    <w:rsid w:val="00C71927"/>
    <w:rsid w:val="00C71964"/>
    <w:rsid w:val="00C71C10"/>
    <w:rsid w:val="00C71F60"/>
    <w:rsid w:val="00C72150"/>
    <w:rsid w:val="00C72241"/>
    <w:rsid w:val="00C73699"/>
    <w:rsid w:val="00C73B6C"/>
    <w:rsid w:val="00C745C6"/>
    <w:rsid w:val="00C746B3"/>
    <w:rsid w:val="00C749DC"/>
    <w:rsid w:val="00C750C8"/>
    <w:rsid w:val="00C75235"/>
    <w:rsid w:val="00C752A4"/>
    <w:rsid w:val="00C7560F"/>
    <w:rsid w:val="00C75703"/>
    <w:rsid w:val="00C75EDB"/>
    <w:rsid w:val="00C765E4"/>
    <w:rsid w:val="00C7667F"/>
    <w:rsid w:val="00C76A49"/>
    <w:rsid w:val="00C77257"/>
    <w:rsid w:val="00C7731A"/>
    <w:rsid w:val="00C77352"/>
    <w:rsid w:val="00C77626"/>
    <w:rsid w:val="00C77C14"/>
    <w:rsid w:val="00C80A0E"/>
    <w:rsid w:val="00C80B8A"/>
    <w:rsid w:val="00C8213F"/>
    <w:rsid w:val="00C82A64"/>
    <w:rsid w:val="00C82F2A"/>
    <w:rsid w:val="00C82F39"/>
    <w:rsid w:val="00C8303F"/>
    <w:rsid w:val="00C83041"/>
    <w:rsid w:val="00C83BA4"/>
    <w:rsid w:val="00C84909"/>
    <w:rsid w:val="00C84D7F"/>
    <w:rsid w:val="00C85154"/>
    <w:rsid w:val="00C85A5E"/>
    <w:rsid w:val="00C85A70"/>
    <w:rsid w:val="00C85A74"/>
    <w:rsid w:val="00C8609B"/>
    <w:rsid w:val="00C86233"/>
    <w:rsid w:val="00C876B0"/>
    <w:rsid w:val="00C8797A"/>
    <w:rsid w:val="00C87A42"/>
    <w:rsid w:val="00C87ADC"/>
    <w:rsid w:val="00C87F10"/>
    <w:rsid w:val="00C900B8"/>
    <w:rsid w:val="00C90197"/>
    <w:rsid w:val="00C90C71"/>
    <w:rsid w:val="00C918A6"/>
    <w:rsid w:val="00C91CFA"/>
    <w:rsid w:val="00C91FD1"/>
    <w:rsid w:val="00C92AFE"/>
    <w:rsid w:val="00C92C57"/>
    <w:rsid w:val="00C930A0"/>
    <w:rsid w:val="00C931CF"/>
    <w:rsid w:val="00C934B4"/>
    <w:rsid w:val="00C93573"/>
    <w:rsid w:val="00C938CF"/>
    <w:rsid w:val="00C93F8E"/>
    <w:rsid w:val="00C94053"/>
    <w:rsid w:val="00C95065"/>
    <w:rsid w:val="00C9624D"/>
    <w:rsid w:val="00C9630A"/>
    <w:rsid w:val="00C969DA"/>
    <w:rsid w:val="00C96C16"/>
    <w:rsid w:val="00C971CD"/>
    <w:rsid w:val="00C97202"/>
    <w:rsid w:val="00C97870"/>
    <w:rsid w:val="00C97998"/>
    <w:rsid w:val="00C97F3A"/>
    <w:rsid w:val="00CA021C"/>
    <w:rsid w:val="00CA1C80"/>
    <w:rsid w:val="00CA20B8"/>
    <w:rsid w:val="00CA291B"/>
    <w:rsid w:val="00CA2C77"/>
    <w:rsid w:val="00CA420D"/>
    <w:rsid w:val="00CA444F"/>
    <w:rsid w:val="00CA4DE8"/>
    <w:rsid w:val="00CA5245"/>
    <w:rsid w:val="00CA6176"/>
    <w:rsid w:val="00CA6C31"/>
    <w:rsid w:val="00CA6DB0"/>
    <w:rsid w:val="00CA71F4"/>
    <w:rsid w:val="00CA7B09"/>
    <w:rsid w:val="00CB009D"/>
    <w:rsid w:val="00CB0ED0"/>
    <w:rsid w:val="00CB12A5"/>
    <w:rsid w:val="00CB17E3"/>
    <w:rsid w:val="00CB1CAC"/>
    <w:rsid w:val="00CB2429"/>
    <w:rsid w:val="00CB2594"/>
    <w:rsid w:val="00CB2F2A"/>
    <w:rsid w:val="00CB2FA6"/>
    <w:rsid w:val="00CB305E"/>
    <w:rsid w:val="00CB352C"/>
    <w:rsid w:val="00CB35B9"/>
    <w:rsid w:val="00CB39D7"/>
    <w:rsid w:val="00CB3DAA"/>
    <w:rsid w:val="00CB5683"/>
    <w:rsid w:val="00CB5B1A"/>
    <w:rsid w:val="00CB5BAB"/>
    <w:rsid w:val="00CB5CCB"/>
    <w:rsid w:val="00CB6823"/>
    <w:rsid w:val="00CB699E"/>
    <w:rsid w:val="00CB6B22"/>
    <w:rsid w:val="00CB74A0"/>
    <w:rsid w:val="00CB7F5F"/>
    <w:rsid w:val="00CB7F6A"/>
    <w:rsid w:val="00CC0193"/>
    <w:rsid w:val="00CC0697"/>
    <w:rsid w:val="00CC0A5C"/>
    <w:rsid w:val="00CC13A8"/>
    <w:rsid w:val="00CC1B39"/>
    <w:rsid w:val="00CC1BFA"/>
    <w:rsid w:val="00CC1F91"/>
    <w:rsid w:val="00CC21C6"/>
    <w:rsid w:val="00CC2C6A"/>
    <w:rsid w:val="00CC2E76"/>
    <w:rsid w:val="00CC2E9F"/>
    <w:rsid w:val="00CC35EA"/>
    <w:rsid w:val="00CC3848"/>
    <w:rsid w:val="00CC4422"/>
    <w:rsid w:val="00CC509D"/>
    <w:rsid w:val="00CC5780"/>
    <w:rsid w:val="00CC5EDB"/>
    <w:rsid w:val="00CC6D5E"/>
    <w:rsid w:val="00CC6E7F"/>
    <w:rsid w:val="00CC7A9D"/>
    <w:rsid w:val="00CD00DD"/>
    <w:rsid w:val="00CD0200"/>
    <w:rsid w:val="00CD09A7"/>
    <w:rsid w:val="00CD1588"/>
    <w:rsid w:val="00CD1D09"/>
    <w:rsid w:val="00CD241D"/>
    <w:rsid w:val="00CD2BF7"/>
    <w:rsid w:val="00CD2D1E"/>
    <w:rsid w:val="00CD3092"/>
    <w:rsid w:val="00CD3250"/>
    <w:rsid w:val="00CD3626"/>
    <w:rsid w:val="00CD3F77"/>
    <w:rsid w:val="00CD5110"/>
    <w:rsid w:val="00CD569C"/>
    <w:rsid w:val="00CD5A23"/>
    <w:rsid w:val="00CD5CEC"/>
    <w:rsid w:val="00CD637D"/>
    <w:rsid w:val="00CD6ADC"/>
    <w:rsid w:val="00CD6C61"/>
    <w:rsid w:val="00CD6F40"/>
    <w:rsid w:val="00CD7193"/>
    <w:rsid w:val="00CD7DED"/>
    <w:rsid w:val="00CD7E17"/>
    <w:rsid w:val="00CE041C"/>
    <w:rsid w:val="00CE2074"/>
    <w:rsid w:val="00CE24B6"/>
    <w:rsid w:val="00CE2763"/>
    <w:rsid w:val="00CE2CFA"/>
    <w:rsid w:val="00CE3282"/>
    <w:rsid w:val="00CE3743"/>
    <w:rsid w:val="00CE38C8"/>
    <w:rsid w:val="00CE4431"/>
    <w:rsid w:val="00CE4548"/>
    <w:rsid w:val="00CE4DDE"/>
    <w:rsid w:val="00CE5110"/>
    <w:rsid w:val="00CE516E"/>
    <w:rsid w:val="00CE524F"/>
    <w:rsid w:val="00CE58CC"/>
    <w:rsid w:val="00CE60FE"/>
    <w:rsid w:val="00CE621B"/>
    <w:rsid w:val="00CE6274"/>
    <w:rsid w:val="00CE6B8B"/>
    <w:rsid w:val="00CE77B6"/>
    <w:rsid w:val="00CE7DF0"/>
    <w:rsid w:val="00CF0954"/>
    <w:rsid w:val="00CF1F48"/>
    <w:rsid w:val="00CF2768"/>
    <w:rsid w:val="00CF2B8D"/>
    <w:rsid w:val="00CF3A1B"/>
    <w:rsid w:val="00CF3A9F"/>
    <w:rsid w:val="00CF3B2F"/>
    <w:rsid w:val="00CF3B91"/>
    <w:rsid w:val="00CF3BA4"/>
    <w:rsid w:val="00CF456B"/>
    <w:rsid w:val="00CF5356"/>
    <w:rsid w:val="00CF59C8"/>
    <w:rsid w:val="00CF5A22"/>
    <w:rsid w:val="00CF5A8D"/>
    <w:rsid w:val="00CF5B43"/>
    <w:rsid w:val="00CF605A"/>
    <w:rsid w:val="00CF62B6"/>
    <w:rsid w:val="00CF64D8"/>
    <w:rsid w:val="00CF6940"/>
    <w:rsid w:val="00CF6C85"/>
    <w:rsid w:val="00CF770D"/>
    <w:rsid w:val="00CF7C5A"/>
    <w:rsid w:val="00D001BD"/>
    <w:rsid w:val="00D003AC"/>
    <w:rsid w:val="00D01693"/>
    <w:rsid w:val="00D025E0"/>
    <w:rsid w:val="00D0262E"/>
    <w:rsid w:val="00D02D27"/>
    <w:rsid w:val="00D02FE9"/>
    <w:rsid w:val="00D03029"/>
    <w:rsid w:val="00D03679"/>
    <w:rsid w:val="00D03BA6"/>
    <w:rsid w:val="00D03D73"/>
    <w:rsid w:val="00D04183"/>
    <w:rsid w:val="00D0479F"/>
    <w:rsid w:val="00D05E3D"/>
    <w:rsid w:val="00D06139"/>
    <w:rsid w:val="00D06242"/>
    <w:rsid w:val="00D072D4"/>
    <w:rsid w:val="00D07817"/>
    <w:rsid w:val="00D100BD"/>
    <w:rsid w:val="00D110BD"/>
    <w:rsid w:val="00D1152B"/>
    <w:rsid w:val="00D11697"/>
    <w:rsid w:val="00D12099"/>
    <w:rsid w:val="00D12FA9"/>
    <w:rsid w:val="00D131FD"/>
    <w:rsid w:val="00D13315"/>
    <w:rsid w:val="00D134DE"/>
    <w:rsid w:val="00D13675"/>
    <w:rsid w:val="00D136BE"/>
    <w:rsid w:val="00D139E7"/>
    <w:rsid w:val="00D141E1"/>
    <w:rsid w:val="00D14BE0"/>
    <w:rsid w:val="00D14CDB"/>
    <w:rsid w:val="00D15314"/>
    <w:rsid w:val="00D1548D"/>
    <w:rsid w:val="00D15B48"/>
    <w:rsid w:val="00D15CDD"/>
    <w:rsid w:val="00D15E81"/>
    <w:rsid w:val="00D169EF"/>
    <w:rsid w:val="00D16C66"/>
    <w:rsid w:val="00D171A3"/>
    <w:rsid w:val="00D1795F"/>
    <w:rsid w:val="00D17D6C"/>
    <w:rsid w:val="00D20067"/>
    <w:rsid w:val="00D2042F"/>
    <w:rsid w:val="00D20721"/>
    <w:rsid w:val="00D2155B"/>
    <w:rsid w:val="00D2232E"/>
    <w:rsid w:val="00D22F11"/>
    <w:rsid w:val="00D23316"/>
    <w:rsid w:val="00D233E7"/>
    <w:rsid w:val="00D233F3"/>
    <w:rsid w:val="00D23B8F"/>
    <w:rsid w:val="00D23D11"/>
    <w:rsid w:val="00D244B6"/>
    <w:rsid w:val="00D24942"/>
    <w:rsid w:val="00D24B8C"/>
    <w:rsid w:val="00D25235"/>
    <w:rsid w:val="00D2627D"/>
    <w:rsid w:val="00D2754D"/>
    <w:rsid w:val="00D2758C"/>
    <w:rsid w:val="00D27B27"/>
    <w:rsid w:val="00D27EFF"/>
    <w:rsid w:val="00D307D2"/>
    <w:rsid w:val="00D30D5B"/>
    <w:rsid w:val="00D30ED1"/>
    <w:rsid w:val="00D31103"/>
    <w:rsid w:val="00D319A9"/>
    <w:rsid w:val="00D31BE9"/>
    <w:rsid w:val="00D31C77"/>
    <w:rsid w:val="00D32FDC"/>
    <w:rsid w:val="00D33BE9"/>
    <w:rsid w:val="00D33F90"/>
    <w:rsid w:val="00D33F93"/>
    <w:rsid w:val="00D34154"/>
    <w:rsid w:val="00D357FF"/>
    <w:rsid w:val="00D35965"/>
    <w:rsid w:val="00D35A25"/>
    <w:rsid w:val="00D369E1"/>
    <w:rsid w:val="00D36AD9"/>
    <w:rsid w:val="00D373CA"/>
    <w:rsid w:val="00D37706"/>
    <w:rsid w:val="00D4094D"/>
    <w:rsid w:val="00D40FE9"/>
    <w:rsid w:val="00D41599"/>
    <w:rsid w:val="00D41727"/>
    <w:rsid w:val="00D4187D"/>
    <w:rsid w:val="00D41E13"/>
    <w:rsid w:val="00D424C7"/>
    <w:rsid w:val="00D43395"/>
    <w:rsid w:val="00D434D3"/>
    <w:rsid w:val="00D43B2A"/>
    <w:rsid w:val="00D43CF1"/>
    <w:rsid w:val="00D43D83"/>
    <w:rsid w:val="00D44114"/>
    <w:rsid w:val="00D44504"/>
    <w:rsid w:val="00D45090"/>
    <w:rsid w:val="00D45A4C"/>
    <w:rsid w:val="00D46AD5"/>
    <w:rsid w:val="00D471B5"/>
    <w:rsid w:val="00D47483"/>
    <w:rsid w:val="00D47575"/>
    <w:rsid w:val="00D4797E"/>
    <w:rsid w:val="00D47A56"/>
    <w:rsid w:val="00D50199"/>
    <w:rsid w:val="00D504BA"/>
    <w:rsid w:val="00D50A0A"/>
    <w:rsid w:val="00D50D4B"/>
    <w:rsid w:val="00D51225"/>
    <w:rsid w:val="00D52275"/>
    <w:rsid w:val="00D5243B"/>
    <w:rsid w:val="00D533EC"/>
    <w:rsid w:val="00D5357A"/>
    <w:rsid w:val="00D53588"/>
    <w:rsid w:val="00D543AE"/>
    <w:rsid w:val="00D548FD"/>
    <w:rsid w:val="00D54D7A"/>
    <w:rsid w:val="00D55087"/>
    <w:rsid w:val="00D553A4"/>
    <w:rsid w:val="00D55CD6"/>
    <w:rsid w:val="00D55DBB"/>
    <w:rsid w:val="00D560EE"/>
    <w:rsid w:val="00D564DE"/>
    <w:rsid w:val="00D56A95"/>
    <w:rsid w:val="00D56CFA"/>
    <w:rsid w:val="00D56EEA"/>
    <w:rsid w:val="00D57289"/>
    <w:rsid w:val="00D57307"/>
    <w:rsid w:val="00D60168"/>
    <w:rsid w:val="00D6076E"/>
    <w:rsid w:val="00D61320"/>
    <w:rsid w:val="00D61340"/>
    <w:rsid w:val="00D61C16"/>
    <w:rsid w:val="00D62619"/>
    <w:rsid w:val="00D62980"/>
    <w:rsid w:val="00D64A31"/>
    <w:rsid w:val="00D65290"/>
    <w:rsid w:val="00D654D9"/>
    <w:rsid w:val="00D660EA"/>
    <w:rsid w:val="00D66123"/>
    <w:rsid w:val="00D66D34"/>
    <w:rsid w:val="00D66DD7"/>
    <w:rsid w:val="00D673A9"/>
    <w:rsid w:val="00D676C2"/>
    <w:rsid w:val="00D67D1A"/>
    <w:rsid w:val="00D67D49"/>
    <w:rsid w:val="00D67EC1"/>
    <w:rsid w:val="00D702E5"/>
    <w:rsid w:val="00D70D2B"/>
    <w:rsid w:val="00D70F16"/>
    <w:rsid w:val="00D7127D"/>
    <w:rsid w:val="00D71D6B"/>
    <w:rsid w:val="00D72440"/>
    <w:rsid w:val="00D72617"/>
    <w:rsid w:val="00D72F57"/>
    <w:rsid w:val="00D74253"/>
    <w:rsid w:val="00D74B57"/>
    <w:rsid w:val="00D75917"/>
    <w:rsid w:val="00D75938"/>
    <w:rsid w:val="00D75C41"/>
    <w:rsid w:val="00D75F3A"/>
    <w:rsid w:val="00D76A44"/>
    <w:rsid w:val="00D76C73"/>
    <w:rsid w:val="00D771B1"/>
    <w:rsid w:val="00D77AD2"/>
    <w:rsid w:val="00D77C34"/>
    <w:rsid w:val="00D80578"/>
    <w:rsid w:val="00D81299"/>
    <w:rsid w:val="00D813F0"/>
    <w:rsid w:val="00D815EF"/>
    <w:rsid w:val="00D81949"/>
    <w:rsid w:val="00D81BD3"/>
    <w:rsid w:val="00D81E34"/>
    <w:rsid w:val="00D81F26"/>
    <w:rsid w:val="00D822E2"/>
    <w:rsid w:val="00D8316B"/>
    <w:rsid w:val="00D83196"/>
    <w:rsid w:val="00D83C46"/>
    <w:rsid w:val="00D843F2"/>
    <w:rsid w:val="00D84574"/>
    <w:rsid w:val="00D845EB"/>
    <w:rsid w:val="00D85DDE"/>
    <w:rsid w:val="00D86096"/>
    <w:rsid w:val="00D86231"/>
    <w:rsid w:val="00D901B3"/>
    <w:rsid w:val="00D908DE"/>
    <w:rsid w:val="00D90E2F"/>
    <w:rsid w:val="00D912AB"/>
    <w:rsid w:val="00D9177D"/>
    <w:rsid w:val="00D91923"/>
    <w:rsid w:val="00D919B1"/>
    <w:rsid w:val="00D922EB"/>
    <w:rsid w:val="00D92D9D"/>
    <w:rsid w:val="00D93753"/>
    <w:rsid w:val="00D93A2B"/>
    <w:rsid w:val="00D93D1D"/>
    <w:rsid w:val="00D941C0"/>
    <w:rsid w:val="00D94FD7"/>
    <w:rsid w:val="00D95072"/>
    <w:rsid w:val="00D951DF"/>
    <w:rsid w:val="00D954A4"/>
    <w:rsid w:val="00D9615A"/>
    <w:rsid w:val="00D963A0"/>
    <w:rsid w:val="00D9656C"/>
    <w:rsid w:val="00D9688D"/>
    <w:rsid w:val="00D973A7"/>
    <w:rsid w:val="00D97EEA"/>
    <w:rsid w:val="00DA08A6"/>
    <w:rsid w:val="00DA094D"/>
    <w:rsid w:val="00DA0EB5"/>
    <w:rsid w:val="00DA3091"/>
    <w:rsid w:val="00DA3167"/>
    <w:rsid w:val="00DA318A"/>
    <w:rsid w:val="00DA3D55"/>
    <w:rsid w:val="00DA4043"/>
    <w:rsid w:val="00DA4058"/>
    <w:rsid w:val="00DA406A"/>
    <w:rsid w:val="00DA4DC3"/>
    <w:rsid w:val="00DA5438"/>
    <w:rsid w:val="00DA567A"/>
    <w:rsid w:val="00DA605A"/>
    <w:rsid w:val="00DA77A5"/>
    <w:rsid w:val="00DB0AF5"/>
    <w:rsid w:val="00DB0E36"/>
    <w:rsid w:val="00DB0EE1"/>
    <w:rsid w:val="00DB1A88"/>
    <w:rsid w:val="00DB1CF3"/>
    <w:rsid w:val="00DB224E"/>
    <w:rsid w:val="00DB229A"/>
    <w:rsid w:val="00DB2723"/>
    <w:rsid w:val="00DB2742"/>
    <w:rsid w:val="00DB2C38"/>
    <w:rsid w:val="00DB2E10"/>
    <w:rsid w:val="00DB38FF"/>
    <w:rsid w:val="00DB3DBF"/>
    <w:rsid w:val="00DB4362"/>
    <w:rsid w:val="00DB4416"/>
    <w:rsid w:val="00DB484F"/>
    <w:rsid w:val="00DB4B80"/>
    <w:rsid w:val="00DB50B4"/>
    <w:rsid w:val="00DB5338"/>
    <w:rsid w:val="00DB5C59"/>
    <w:rsid w:val="00DB5E93"/>
    <w:rsid w:val="00DB5F2D"/>
    <w:rsid w:val="00DB6197"/>
    <w:rsid w:val="00DB678C"/>
    <w:rsid w:val="00DB69D3"/>
    <w:rsid w:val="00DB722C"/>
    <w:rsid w:val="00DB7CCB"/>
    <w:rsid w:val="00DC04F6"/>
    <w:rsid w:val="00DC0690"/>
    <w:rsid w:val="00DC0B30"/>
    <w:rsid w:val="00DC13EF"/>
    <w:rsid w:val="00DC1464"/>
    <w:rsid w:val="00DC1490"/>
    <w:rsid w:val="00DC199B"/>
    <w:rsid w:val="00DC19AB"/>
    <w:rsid w:val="00DC1A82"/>
    <w:rsid w:val="00DC1D1D"/>
    <w:rsid w:val="00DC1D65"/>
    <w:rsid w:val="00DC2A3E"/>
    <w:rsid w:val="00DC379D"/>
    <w:rsid w:val="00DC39A6"/>
    <w:rsid w:val="00DC3C57"/>
    <w:rsid w:val="00DC4058"/>
    <w:rsid w:val="00DC4B11"/>
    <w:rsid w:val="00DC4CFF"/>
    <w:rsid w:val="00DC4E7E"/>
    <w:rsid w:val="00DC5501"/>
    <w:rsid w:val="00DC591C"/>
    <w:rsid w:val="00DC5DE4"/>
    <w:rsid w:val="00DC6821"/>
    <w:rsid w:val="00DC6C05"/>
    <w:rsid w:val="00DC6C3B"/>
    <w:rsid w:val="00DC7154"/>
    <w:rsid w:val="00DC7853"/>
    <w:rsid w:val="00DC7E8A"/>
    <w:rsid w:val="00DD0723"/>
    <w:rsid w:val="00DD0B61"/>
    <w:rsid w:val="00DD0F78"/>
    <w:rsid w:val="00DD1123"/>
    <w:rsid w:val="00DD1C16"/>
    <w:rsid w:val="00DD273C"/>
    <w:rsid w:val="00DD2ACF"/>
    <w:rsid w:val="00DD31DF"/>
    <w:rsid w:val="00DD3375"/>
    <w:rsid w:val="00DD39D6"/>
    <w:rsid w:val="00DD3F28"/>
    <w:rsid w:val="00DD4446"/>
    <w:rsid w:val="00DD4537"/>
    <w:rsid w:val="00DD4705"/>
    <w:rsid w:val="00DD4D39"/>
    <w:rsid w:val="00DD4E0A"/>
    <w:rsid w:val="00DD4E15"/>
    <w:rsid w:val="00DD521E"/>
    <w:rsid w:val="00DD5A46"/>
    <w:rsid w:val="00DD6F6B"/>
    <w:rsid w:val="00DD73CC"/>
    <w:rsid w:val="00DD7416"/>
    <w:rsid w:val="00DD7A85"/>
    <w:rsid w:val="00DD7B7B"/>
    <w:rsid w:val="00DE00EC"/>
    <w:rsid w:val="00DE0350"/>
    <w:rsid w:val="00DE0C59"/>
    <w:rsid w:val="00DE1F2B"/>
    <w:rsid w:val="00DE2304"/>
    <w:rsid w:val="00DE26B9"/>
    <w:rsid w:val="00DE28A2"/>
    <w:rsid w:val="00DE3138"/>
    <w:rsid w:val="00DE37F8"/>
    <w:rsid w:val="00DE3AD0"/>
    <w:rsid w:val="00DE4273"/>
    <w:rsid w:val="00DE4441"/>
    <w:rsid w:val="00DE4CE2"/>
    <w:rsid w:val="00DE4FCB"/>
    <w:rsid w:val="00DE4FCF"/>
    <w:rsid w:val="00DE5A87"/>
    <w:rsid w:val="00DE5D07"/>
    <w:rsid w:val="00DE67A1"/>
    <w:rsid w:val="00DE67DD"/>
    <w:rsid w:val="00DE72A7"/>
    <w:rsid w:val="00DE7832"/>
    <w:rsid w:val="00DF1744"/>
    <w:rsid w:val="00DF18FC"/>
    <w:rsid w:val="00DF27C8"/>
    <w:rsid w:val="00DF2A26"/>
    <w:rsid w:val="00DF3256"/>
    <w:rsid w:val="00DF3ADF"/>
    <w:rsid w:val="00DF41CD"/>
    <w:rsid w:val="00DF46DA"/>
    <w:rsid w:val="00DF4A13"/>
    <w:rsid w:val="00DF4FAB"/>
    <w:rsid w:val="00DF5882"/>
    <w:rsid w:val="00DF5D2B"/>
    <w:rsid w:val="00DF6341"/>
    <w:rsid w:val="00DF69F6"/>
    <w:rsid w:val="00DF6C11"/>
    <w:rsid w:val="00DF6DD3"/>
    <w:rsid w:val="00DF7705"/>
    <w:rsid w:val="00DF77BD"/>
    <w:rsid w:val="00E002F0"/>
    <w:rsid w:val="00E00E8E"/>
    <w:rsid w:val="00E0128D"/>
    <w:rsid w:val="00E0170B"/>
    <w:rsid w:val="00E0207F"/>
    <w:rsid w:val="00E02398"/>
    <w:rsid w:val="00E02FE0"/>
    <w:rsid w:val="00E03868"/>
    <w:rsid w:val="00E0399E"/>
    <w:rsid w:val="00E03D73"/>
    <w:rsid w:val="00E03D77"/>
    <w:rsid w:val="00E03EEE"/>
    <w:rsid w:val="00E04075"/>
    <w:rsid w:val="00E04761"/>
    <w:rsid w:val="00E05630"/>
    <w:rsid w:val="00E05BEB"/>
    <w:rsid w:val="00E06D3E"/>
    <w:rsid w:val="00E06DBB"/>
    <w:rsid w:val="00E06E02"/>
    <w:rsid w:val="00E06E87"/>
    <w:rsid w:val="00E074BE"/>
    <w:rsid w:val="00E10149"/>
    <w:rsid w:val="00E101D9"/>
    <w:rsid w:val="00E10AC3"/>
    <w:rsid w:val="00E10FBF"/>
    <w:rsid w:val="00E11103"/>
    <w:rsid w:val="00E11340"/>
    <w:rsid w:val="00E11E4B"/>
    <w:rsid w:val="00E121E4"/>
    <w:rsid w:val="00E122A1"/>
    <w:rsid w:val="00E13DED"/>
    <w:rsid w:val="00E140F8"/>
    <w:rsid w:val="00E141B7"/>
    <w:rsid w:val="00E141DC"/>
    <w:rsid w:val="00E14D01"/>
    <w:rsid w:val="00E1580D"/>
    <w:rsid w:val="00E16372"/>
    <w:rsid w:val="00E1696E"/>
    <w:rsid w:val="00E16AD8"/>
    <w:rsid w:val="00E16BF7"/>
    <w:rsid w:val="00E16FEA"/>
    <w:rsid w:val="00E17700"/>
    <w:rsid w:val="00E17FFA"/>
    <w:rsid w:val="00E20913"/>
    <w:rsid w:val="00E20E4D"/>
    <w:rsid w:val="00E20ED6"/>
    <w:rsid w:val="00E21358"/>
    <w:rsid w:val="00E2167D"/>
    <w:rsid w:val="00E216E7"/>
    <w:rsid w:val="00E21ECC"/>
    <w:rsid w:val="00E2219C"/>
    <w:rsid w:val="00E2249B"/>
    <w:rsid w:val="00E224FB"/>
    <w:rsid w:val="00E22A0D"/>
    <w:rsid w:val="00E22E7A"/>
    <w:rsid w:val="00E23291"/>
    <w:rsid w:val="00E24154"/>
    <w:rsid w:val="00E244D0"/>
    <w:rsid w:val="00E244F6"/>
    <w:rsid w:val="00E25101"/>
    <w:rsid w:val="00E258DB"/>
    <w:rsid w:val="00E25A02"/>
    <w:rsid w:val="00E25A9B"/>
    <w:rsid w:val="00E25BB6"/>
    <w:rsid w:val="00E2638A"/>
    <w:rsid w:val="00E2655F"/>
    <w:rsid w:val="00E26D67"/>
    <w:rsid w:val="00E26D6D"/>
    <w:rsid w:val="00E2771E"/>
    <w:rsid w:val="00E27E4A"/>
    <w:rsid w:val="00E311EF"/>
    <w:rsid w:val="00E31569"/>
    <w:rsid w:val="00E31FF3"/>
    <w:rsid w:val="00E32035"/>
    <w:rsid w:val="00E32180"/>
    <w:rsid w:val="00E327FE"/>
    <w:rsid w:val="00E33B6C"/>
    <w:rsid w:val="00E347A3"/>
    <w:rsid w:val="00E34948"/>
    <w:rsid w:val="00E355B8"/>
    <w:rsid w:val="00E35C51"/>
    <w:rsid w:val="00E37569"/>
    <w:rsid w:val="00E37625"/>
    <w:rsid w:val="00E3775A"/>
    <w:rsid w:val="00E401B2"/>
    <w:rsid w:val="00E40212"/>
    <w:rsid w:val="00E4068C"/>
    <w:rsid w:val="00E40A18"/>
    <w:rsid w:val="00E41B58"/>
    <w:rsid w:val="00E41C14"/>
    <w:rsid w:val="00E41E30"/>
    <w:rsid w:val="00E42A13"/>
    <w:rsid w:val="00E42EAE"/>
    <w:rsid w:val="00E42F73"/>
    <w:rsid w:val="00E43662"/>
    <w:rsid w:val="00E43B4C"/>
    <w:rsid w:val="00E43BED"/>
    <w:rsid w:val="00E43D70"/>
    <w:rsid w:val="00E44A34"/>
    <w:rsid w:val="00E455E7"/>
    <w:rsid w:val="00E45DE6"/>
    <w:rsid w:val="00E460ED"/>
    <w:rsid w:val="00E466F3"/>
    <w:rsid w:val="00E46A37"/>
    <w:rsid w:val="00E47B2C"/>
    <w:rsid w:val="00E507F3"/>
    <w:rsid w:val="00E508C4"/>
    <w:rsid w:val="00E51560"/>
    <w:rsid w:val="00E515FC"/>
    <w:rsid w:val="00E51821"/>
    <w:rsid w:val="00E51B21"/>
    <w:rsid w:val="00E520C3"/>
    <w:rsid w:val="00E52693"/>
    <w:rsid w:val="00E52F58"/>
    <w:rsid w:val="00E533AA"/>
    <w:rsid w:val="00E53FC8"/>
    <w:rsid w:val="00E54347"/>
    <w:rsid w:val="00E54529"/>
    <w:rsid w:val="00E54711"/>
    <w:rsid w:val="00E54A7C"/>
    <w:rsid w:val="00E54DBB"/>
    <w:rsid w:val="00E55424"/>
    <w:rsid w:val="00E55915"/>
    <w:rsid w:val="00E55AB4"/>
    <w:rsid w:val="00E55BB5"/>
    <w:rsid w:val="00E55E14"/>
    <w:rsid w:val="00E56C4C"/>
    <w:rsid w:val="00E56E28"/>
    <w:rsid w:val="00E56EB9"/>
    <w:rsid w:val="00E57893"/>
    <w:rsid w:val="00E60C5A"/>
    <w:rsid w:val="00E611DF"/>
    <w:rsid w:val="00E6132E"/>
    <w:rsid w:val="00E6170D"/>
    <w:rsid w:val="00E61EFD"/>
    <w:rsid w:val="00E61F8F"/>
    <w:rsid w:val="00E62DA5"/>
    <w:rsid w:val="00E631F8"/>
    <w:rsid w:val="00E63A73"/>
    <w:rsid w:val="00E642D9"/>
    <w:rsid w:val="00E648DE"/>
    <w:rsid w:val="00E64B1A"/>
    <w:rsid w:val="00E655B8"/>
    <w:rsid w:val="00E65782"/>
    <w:rsid w:val="00E65E79"/>
    <w:rsid w:val="00E6602B"/>
    <w:rsid w:val="00E663B9"/>
    <w:rsid w:val="00E66519"/>
    <w:rsid w:val="00E66BA2"/>
    <w:rsid w:val="00E670F1"/>
    <w:rsid w:val="00E67416"/>
    <w:rsid w:val="00E70F1E"/>
    <w:rsid w:val="00E718B6"/>
    <w:rsid w:val="00E71A4A"/>
    <w:rsid w:val="00E71FAC"/>
    <w:rsid w:val="00E72284"/>
    <w:rsid w:val="00E723BA"/>
    <w:rsid w:val="00E726A4"/>
    <w:rsid w:val="00E73581"/>
    <w:rsid w:val="00E73EB6"/>
    <w:rsid w:val="00E73FEB"/>
    <w:rsid w:val="00E7456A"/>
    <w:rsid w:val="00E74CF9"/>
    <w:rsid w:val="00E74EEE"/>
    <w:rsid w:val="00E7521E"/>
    <w:rsid w:val="00E76154"/>
    <w:rsid w:val="00E7663D"/>
    <w:rsid w:val="00E778C8"/>
    <w:rsid w:val="00E809DE"/>
    <w:rsid w:val="00E80D27"/>
    <w:rsid w:val="00E81DBB"/>
    <w:rsid w:val="00E82432"/>
    <w:rsid w:val="00E826EC"/>
    <w:rsid w:val="00E833F7"/>
    <w:rsid w:val="00E835AA"/>
    <w:rsid w:val="00E837E3"/>
    <w:rsid w:val="00E83BDF"/>
    <w:rsid w:val="00E8454B"/>
    <w:rsid w:val="00E84566"/>
    <w:rsid w:val="00E84FEA"/>
    <w:rsid w:val="00E8516E"/>
    <w:rsid w:val="00E851CC"/>
    <w:rsid w:val="00E85316"/>
    <w:rsid w:val="00E85338"/>
    <w:rsid w:val="00E862E2"/>
    <w:rsid w:val="00E86FCC"/>
    <w:rsid w:val="00E8716B"/>
    <w:rsid w:val="00E87A1D"/>
    <w:rsid w:val="00E87F17"/>
    <w:rsid w:val="00E904FC"/>
    <w:rsid w:val="00E9094A"/>
    <w:rsid w:val="00E910E4"/>
    <w:rsid w:val="00E91B62"/>
    <w:rsid w:val="00E91D35"/>
    <w:rsid w:val="00E92004"/>
    <w:rsid w:val="00E9245E"/>
    <w:rsid w:val="00E9247B"/>
    <w:rsid w:val="00E9264A"/>
    <w:rsid w:val="00E926A5"/>
    <w:rsid w:val="00E93A8C"/>
    <w:rsid w:val="00E93EEE"/>
    <w:rsid w:val="00E94800"/>
    <w:rsid w:val="00E94D06"/>
    <w:rsid w:val="00E94E72"/>
    <w:rsid w:val="00E94F5A"/>
    <w:rsid w:val="00E95535"/>
    <w:rsid w:val="00E95C9D"/>
    <w:rsid w:val="00E962CC"/>
    <w:rsid w:val="00E96452"/>
    <w:rsid w:val="00E965A2"/>
    <w:rsid w:val="00E9682B"/>
    <w:rsid w:val="00EA000D"/>
    <w:rsid w:val="00EA051E"/>
    <w:rsid w:val="00EA0665"/>
    <w:rsid w:val="00EA0D4A"/>
    <w:rsid w:val="00EA17C3"/>
    <w:rsid w:val="00EA1AD9"/>
    <w:rsid w:val="00EA27D0"/>
    <w:rsid w:val="00EA2CAA"/>
    <w:rsid w:val="00EA2D0E"/>
    <w:rsid w:val="00EA3129"/>
    <w:rsid w:val="00EA3864"/>
    <w:rsid w:val="00EA3BBF"/>
    <w:rsid w:val="00EA3F23"/>
    <w:rsid w:val="00EA44D3"/>
    <w:rsid w:val="00EA4FAE"/>
    <w:rsid w:val="00EA5412"/>
    <w:rsid w:val="00EA5CC1"/>
    <w:rsid w:val="00EA62D6"/>
    <w:rsid w:val="00EA644D"/>
    <w:rsid w:val="00EA776E"/>
    <w:rsid w:val="00EA7782"/>
    <w:rsid w:val="00EA7F1C"/>
    <w:rsid w:val="00EA7FED"/>
    <w:rsid w:val="00EB0DCA"/>
    <w:rsid w:val="00EB0FCB"/>
    <w:rsid w:val="00EB1082"/>
    <w:rsid w:val="00EB14B8"/>
    <w:rsid w:val="00EB15B6"/>
    <w:rsid w:val="00EB1AB8"/>
    <w:rsid w:val="00EB1FBE"/>
    <w:rsid w:val="00EB201D"/>
    <w:rsid w:val="00EB26C3"/>
    <w:rsid w:val="00EB3D06"/>
    <w:rsid w:val="00EB417E"/>
    <w:rsid w:val="00EB4669"/>
    <w:rsid w:val="00EB46A0"/>
    <w:rsid w:val="00EB47AA"/>
    <w:rsid w:val="00EB47E1"/>
    <w:rsid w:val="00EB4848"/>
    <w:rsid w:val="00EB4916"/>
    <w:rsid w:val="00EB5762"/>
    <w:rsid w:val="00EB5E10"/>
    <w:rsid w:val="00EB6B5B"/>
    <w:rsid w:val="00EB6FFB"/>
    <w:rsid w:val="00EB780D"/>
    <w:rsid w:val="00EC00C9"/>
    <w:rsid w:val="00EC02A4"/>
    <w:rsid w:val="00EC0DD9"/>
    <w:rsid w:val="00EC0F42"/>
    <w:rsid w:val="00EC1EE0"/>
    <w:rsid w:val="00EC1F18"/>
    <w:rsid w:val="00EC2649"/>
    <w:rsid w:val="00EC2773"/>
    <w:rsid w:val="00EC31ED"/>
    <w:rsid w:val="00EC3CD5"/>
    <w:rsid w:val="00EC4146"/>
    <w:rsid w:val="00EC4492"/>
    <w:rsid w:val="00EC4515"/>
    <w:rsid w:val="00EC4DA1"/>
    <w:rsid w:val="00EC5836"/>
    <w:rsid w:val="00EC5900"/>
    <w:rsid w:val="00EC688C"/>
    <w:rsid w:val="00EC6E30"/>
    <w:rsid w:val="00EC752C"/>
    <w:rsid w:val="00ED016F"/>
    <w:rsid w:val="00ED0CBB"/>
    <w:rsid w:val="00ED12E3"/>
    <w:rsid w:val="00ED17AC"/>
    <w:rsid w:val="00ED26E0"/>
    <w:rsid w:val="00ED37D4"/>
    <w:rsid w:val="00ED38DB"/>
    <w:rsid w:val="00ED4135"/>
    <w:rsid w:val="00ED4374"/>
    <w:rsid w:val="00ED4B04"/>
    <w:rsid w:val="00ED4B70"/>
    <w:rsid w:val="00ED5173"/>
    <w:rsid w:val="00ED5252"/>
    <w:rsid w:val="00ED5760"/>
    <w:rsid w:val="00ED57EA"/>
    <w:rsid w:val="00ED5AA5"/>
    <w:rsid w:val="00ED5BD4"/>
    <w:rsid w:val="00ED6670"/>
    <w:rsid w:val="00ED6853"/>
    <w:rsid w:val="00ED7543"/>
    <w:rsid w:val="00ED78C2"/>
    <w:rsid w:val="00EE02C5"/>
    <w:rsid w:val="00EE07D3"/>
    <w:rsid w:val="00EE0B02"/>
    <w:rsid w:val="00EE0FA9"/>
    <w:rsid w:val="00EE1996"/>
    <w:rsid w:val="00EE1C01"/>
    <w:rsid w:val="00EE21E1"/>
    <w:rsid w:val="00EE22AF"/>
    <w:rsid w:val="00EE2519"/>
    <w:rsid w:val="00EE2544"/>
    <w:rsid w:val="00EE25C9"/>
    <w:rsid w:val="00EE312B"/>
    <w:rsid w:val="00EE323C"/>
    <w:rsid w:val="00EE3B20"/>
    <w:rsid w:val="00EE3E46"/>
    <w:rsid w:val="00EE401D"/>
    <w:rsid w:val="00EE48F9"/>
    <w:rsid w:val="00EE4D87"/>
    <w:rsid w:val="00EE51A7"/>
    <w:rsid w:val="00EE5903"/>
    <w:rsid w:val="00EE641D"/>
    <w:rsid w:val="00EE683A"/>
    <w:rsid w:val="00EE6C0A"/>
    <w:rsid w:val="00EE6FC5"/>
    <w:rsid w:val="00EE7434"/>
    <w:rsid w:val="00EE76E6"/>
    <w:rsid w:val="00EE787B"/>
    <w:rsid w:val="00EE7BDE"/>
    <w:rsid w:val="00EE7D04"/>
    <w:rsid w:val="00EF0171"/>
    <w:rsid w:val="00EF0316"/>
    <w:rsid w:val="00EF1745"/>
    <w:rsid w:val="00EF17B9"/>
    <w:rsid w:val="00EF1B25"/>
    <w:rsid w:val="00EF1C07"/>
    <w:rsid w:val="00EF1DA0"/>
    <w:rsid w:val="00EF229D"/>
    <w:rsid w:val="00EF25E2"/>
    <w:rsid w:val="00EF3162"/>
    <w:rsid w:val="00EF3663"/>
    <w:rsid w:val="00EF3C23"/>
    <w:rsid w:val="00EF422B"/>
    <w:rsid w:val="00EF42DB"/>
    <w:rsid w:val="00EF4747"/>
    <w:rsid w:val="00EF4A80"/>
    <w:rsid w:val="00EF4AB7"/>
    <w:rsid w:val="00EF4BF8"/>
    <w:rsid w:val="00EF55BA"/>
    <w:rsid w:val="00EF64AD"/>
    <w:rsid w:val="00EF6A6E"/>
    <w:rsid w:val="00EF6B17"/>
    <w:rsid w:val="00EF7E4E"/>
    <w:rsid w:val="00F00217"/>
    <w:rsid w:val="00F0038E"/>
    <w:rsid w:val="00F00B6E"/>
    <w:rsid w:val="00F00C9C"/>
    <w:rsid w:val="00F00FB0"/>
    <w:rsid w:val="00F01F25"/>
    <w:rsid w:val="00F02253"/>
    <w:rsid w:val="00F02698"/>
    <w:rsid w:val="00F02D8F"/>
    <w:rsid w:val="00F02F17"/>
    <w:rsid w:val="00F030DB"/>
    <w:rsid w:val="00F03426"/>
    <w:rsid w:val="00F0344B"/>
    <w:rsid w:val="00F03C2E"/>
    <w:rsid w:val="00F0462B"/>
    <w:rsid w:val="00F04A66"/>
    <w:rsid w:val="00F04B28"/>
    <w:rsid w:val="00F04B4B"/>
    <w:rsid w:val="00F0516C"/>
    <w:rsid w:val="00F05510"/>
    <w:rsid w:val="00F055BC"/>
    <w:rsid w:val="00F0591F"/>
    <w:rsid w:val="00F05972"/>
    <w:rsid w:val="00F05FEE"/>
    <w:rsid w:val="00F06383"/>
    <w:rsid w:val="00F067A2"/>
    <w:rsid w:val="00F06C76"/>
    <w:rsid w:val="00F070ED"/>
    <w:rsid w:val="00F0749C"/>
    <w:rsid w:val="00F07572"/>
    <w:rsid w:val="00F07775"/>
    <w:rsid w:val="00F07890"/>
    <w:rsid w:val="00F07B9E"/>
    <w:rsid w:val="00F1044E"/>
    <w:rsid w:val="00F104B6"/>
    <w:rsid w:val="00F1116F"/>
    <w:rsid w:val="00F1263A"/>
    <w:rsid w:val="00F129AD"/>
    <w:rsid w:val="00F12DDF"/>
    <w:rsid w:val="00F13216"/>
    <w:rsid w:val="00F13762"/>
    <w:rsid w:val="00F139C5"/>
    <w:rsid w:val="00F13CD3"/>
    <w:rsid w:val="00F14C65"/>
    <w:rsid w:val="00F15312"/>
    <w:rsid w:val="00F15B77"/>
    <w:rsid w:val="00F15D43"/>
    <w:rsid w:val="00F15EB3"/>
    <w:rsid w:val="00F15F47"/>
    <w:rsid w:val="00F15FF3"/>
    <w:rsid w:val="00F16E02"/>
    <w:rsid w:val="00F1764A"/>
    <w:rsid w:val="00F178FC"/>
    <w:rsid w:val="00F2016F"/>
    <w:rsid w:val="00F20F84"/>
    <w:rsid w:val="00F211A9"/>
    <w:rsid w:val="00F21236"/>
    <w:rsid w:val="00F21728"/>
    <w:rsid w:val="00F21C52"/>
    <w:rsid w:val="00F21D7E"/>
    <w:rsid w:val="00F22101"/>
    <w:rsid w:val="00F22149"/>
    <w:rsid w:val="00F2348A"/>
    <w:rsid w:val="00F234AA"/>
    <w:rsid w:val="00F234E6"/>
    <w:rsid w:val="00F238C9"/>
    <w:rsid w:val="00F239DF"/>
    <w:rsid w:val="00F24837"/>
    <w:rsid w:val="00F2567B"/>
    <w:rsid w:val="00F2575F"/>
    <w:rsid w:val="00F2588C"/>
    <w:rsid w:val="00F25EDC"/>
    <w:rsid w:val="00F26336"/>
    <w:rsid w:val="00F26850"/>
    <w:rsid w:val="00F26E7A"/>
    <w:rsid w:val="00F27565"/>
    <w:rsid w:val="00F275A3"/>
    <w:rsid w:val="00F27B34"/>
    <w:rsid w:val="00F30C3F"/>
    <w:rsid w:val="00F310D4"/>
    <w:rsid w:val="00F31D5A"/>
    <w:rsid w:val="00F32640"/>
    <w:rsid w:val="00F32724"/>
    <w:rsid w:val="00F32745"/>
    <w:rsid w:val="00F32BC3"/>
    <w:rsid w:val="00F33975"/>
    <w:rsid w:val="00F33DE9"/>
    <w:rsid w:val="00F34310"/>
    <w:rsid w:val="00F3483F"/>
    <w:rsid w:val="00F34B44"/>
    <w:rsid w:val="00F34CF2"/>
    <w:rsid w:val="00F354CE"/>
    <w:rsid w:val="00F35C1E"/>
    <w:rsid w:val="00F35E6D"/>
    <w:rsid w:val="00F36178"/>
    <w:rsid w:val="00F3619A"/>
    <w:rsid w:val="00F3649F"/>
    <w:rsid w:val="00F364FD"/>
    <w:rsid w:val="00F3668A"/>
    <w:rsid w:val="00F36A9A"/>
    <w:rsid w:val="00F36EEB"/>
    <w:rsid w:val="00F370B9"/>
    <w:rsid w:val="00F37FC0"/>
    <w:rsid w:val="00F408BD"/>
    <w:rsid w:val="00F40AAA"/>
    <w:rsid w:val="00F40BA7"/>
    <w:rsid w:val="00F40E40"/>
    <w:rsid w:val="00F40F9D"/>
    <w:rsid w:val="00F414B7"/>
    <w:rsid w:val="00F41ACD"/>
    <w:rsid w:val="00F421D7"/>
    <w:rsid w:val="00F42AFA"/>
    <w:rsid w:val="00F42B04"/>
    <w:rsid w:val="00F42BE4"/>
    <w:rsid w:val="00F42EFA"/>
    <w:rsid w:val="00F438E7"/>
    <w:rsid w:val="00F4476B"/>
    <w:rsid w:val="00F4488C"/>
    <w:rsid w:val="00F455F9"/>
    <w:rsid w:val="00F459C5"/>
    <w:rsid w:val="00F45A03"/>
    <w:rsid w:val="00F45AD4"/>
    <w:rsid w:val="00F461E5"/>
    <w:rsid w:val="00F46AC7"/>
    <w:rsid w:val="00F46BEB"/>
    <w:rsid w:val="00F46CB6"/>
    <w:rsid w:val="00F4756D"/>
    <w:rsid w:val="00F47ACB"/>
    <w:rsid w:val="00F47DE8"/>
    <w:rsid w:val="00F50831"/>
    <w:rsid w:val="00F50C93"/>
    <w:rsid w:val="00F510F0"/>
    <w:rsid w:val="00F51191"/>
    <w:rsid w:val="00F514E6"/>
    <w:rsid w:val="00F52EF3"/>
    <w:rsid w:val="00F531EC"/>
    <w:rsid w:val="00F53BA1"/>
    <w:rsid w:val="00F53DFB"/>
    <w:rsid w:val="00F542C1"/>
    <w:rsid w:val="00F54413"/>
    <w:rsid w:val="00F54A95"/>
    <w:rsid w:val="00F54D53"/>
    <w:rsid w:val="00F550E3"/>
    <w:rsid w:val="00F556D3"/>
    <w:rsid w:val="00F55E73"/>
    <w:rsid w:val="00F55EDA"/>
    <w:rsid w:val="00F55F8E"/>
    <w:rsid w:val="00F5680C"/>
    <w:rsid w:val="00F56966"/>
    <w:rsid w:val="00F56C80"/>
    <w:rsid w:val="00F57045"/>
    <w:rsid w:val="00F57AA3"/>
    <w:rsid w:val="00F60092"/>
    <w:rsid w:val="00F603F4"/>
    <w:rsid w:val="00F61C18"/>
    <w:rsid w:val="00F61E39"/>
    <w:rsid w:val="00F62000"/>
    <w:rsid w:val="00F620F9"/>
    <w:rsid w:val="00F623CF"/>
    <w:rsid w:val="00F6315E"/>
    <w:rsid w:val="00F635A5"/>
    <w:rsid w:val="00F63A1C"/>
    <w:rsid w:val="00F647DC"/>
    <w:rsid w:val="00F65B39"/>
    <w:rsid w:val="00F65F4B"/>
    <w:rsid w:val="00F671F5"/>
    <w:rsid w:val="00F673D0"/>
    <w:rsid w:val="00F676E9"/>
    <w:rsid w:val="00F67A69"/>
    <w:rsid w:val="00F70480"/>
    <w:rsid w:val="00F70A1D"/>
    <w:rsid w:val="00F70A8B"/>
    <w:rsid w:val="00F70B79"/>
    <w:rsid w:val="00F70BFF"/>
    <w:rsid w:val="00F70C9D"/>
    <w:rsid w:val="00F7198A"/>
    <w:rsid w:val="00F719C0"/>
    <w:rsid w:val="00F729E5"/>
    <w:rsid w:val="00F72BC6"/>
    <w:rsid w:val="00F73635"/>
    <w:rsid w:val="00F73E08"/>
    <w:rsid w:val="00F74CD9"/>
    <w:rsid w:val="00F75062"/>
    <w:rsid w:val="00F75236"/>
    <w:rsid w:val="00F75C71"/>
    <w:rsid w:val="00F76D20"/>
    <w:rsid w:val="00F76ED2"/>
    <w:rsid w:val="00F8063C"/>
    <w:rsid w:val="00F80717"/>
    <w:rsid w:val="00F80A7B"/>
    <w:rsid w:val="00F80E5D"/>
    <w:rsid w:val="00F80E60"/>
    <w:rsid w:val="00F81707"/>
    <w:rsid w:val="00F81E78"/>
    <w:rsid w:val="00F81EDA"/>
    <w:rsid w:val="00F82545"/>
    <w:rsid w:val="00F82B86"/>
    <w:rsid w:val="00F82C8E"/>
    <w:rsid w:val="00F82E0F"/>
    <w:rsid w:val="00F8320F"/>
    <w:rsid w:val="00F83916"/>
    <w:rsid w:val="00F83C3E"/>
    <w:rsid w:val="00F83FA7"/>
    <w:rsid w:val="00F8412F"/>
    <w:rsid w:val="00F84157"/>
    <w:rsid w:val="00F851CE"/>
    <w:rsid w:val="00F85366"/>
    <w:rsid w:val="00F8671F"/>
    <w:rsid w:val="00F86B93"/>
    <w:rsid w:val="00F87970"/>
    <w:rsid w:val="00F91219"/>
    <w:rsid w:val="00F91CB0"/>
    <w:rsid w:val="00F92444"/>
    <w:rsid w:val="00F929E8"/>
    <w:rsid w:val="00F92BB1"/>
    <w:rsid w:val="00F93879"/>
    <w:rsid w:val="00F9393E"/>
    <w:rsid w:val="00F93ED2"/>
    <w:rsid w:val="00F93FA9"/>
    <w:rsid w:val="00F941A4"/>
    <w:rsid w:val="00F94415"/>
    <w:rsid w:val="00F9456D"/>
    <w:rsid w:val="00F94654"/>
    <w:rsid w:val="00F94C02"/>
    <w:rsid w:val="00F95286"/>
    <w:rsid w:val="00F955EF"/>
    <w:rsid w:val="00F9675D"/>
    <w:rsid w:val="00F9693F"/>
    <w:rsid w:val="00F969F2"/>
    <w:rsid w:val="00F96DA2"/>
    <w:rsid w:val="00F96FD0"/>
    <w:rsid w:val="00F97038"/>
    <w:rsid w:val="00F97164"/>
    <w:rsid w:val="00F97A78"/>
    <w:rsid w:val="00FA0B20"/>
    <w:rsid w:val="00FA13AD"/>
    <w:rsid w:val="00FA1622"/>
    <w:rsid w:val="00FA1763"/>
    <w:rsid w:val="00FA1C8A"/>
    <w:rsid w:val="00FA24A6"/>
    <w:rsid w:val="00FA24E7"/>
    <w:rsid w:val="00FA2CDE"/>
    <w:rsid w:val="00FA3115"/>
    <w:rsid w:val="00FA33FD"/>
    <w:rsid w:val="00FA3603"/>
    <w:rsid w:val="00FA3F7C"/>
    <w:rsid w:val="00FA50B2"/>
    <w:rsid w:val="00FA558D"/>
    <w:rsid w:val="00FA5983"/>
    <w:rsid w:val="00FA5EE6"/>
    <w:rsid w:val="00FA5FE0"/>
    <w:rsid w:val="00FA7064"/>
    <w:rsid w:val="00FA7956"/>
    <w:rsid w:val="00FA7A76"/>
    <w:rsid w:val="00FB0824"/>
    <w:rsid w:val="00FB0F26"/>
    <w:rsid w:val="00FB171A"/>
    <w:rsid w:val="00FB21AD"/>
    <w:rsid w:val="00FB2787"/>
    <w:rsid w:val="00FB2FCB"/>
    <w:rsid w:val="00FB37D3"/>
    <w:rsid w:val="00FB3D33"/>
    <w:rsid w:val="00FB4C1A"/>
    <w:rsid w:val="00FB4C9C"/>
    <w:rsid w:val="00FB5F03"/>
    <w:rsid w:val="00FB61F6"/>
    <w:rsid w:val="00FB6216"/>
    <w:rsid w:val="00FB6E31"/>
    <w:rsid w:val="00FB7C55"/>
    <w:rsid w:val="00FC04D7"/>
    <w:rsid w:val="00FC0737"/>
    <w:rsid w:val="00FC0CF7"/>
    <w:rsid w:val="00FC0E99"/>
    <w:rsid w:val="00FC1074"/>
    <w:rsid w:val="00FC1464"/>
    <w:rsid w:val="00FC1884"/>
    <w:rsid w:val="00FC1F0B"/>
    <w:rsid w:val="00FC2B2C"/>
    <w:rsid w:val="00FC305D"/>
    <w:rsid w:val="00FC341E"/>
    <w:rsid w:val="00FC371D"/>
    <w:rsid w:val="00FC3A01"/>
    <w:rsid w:val="00FC3C3D"/>
    <w:rsid w:val="00FC40E9"/>
    <w:rsid w:val="00FC52CF"/>
    <w:rsid w:val="00FC5512"/>
    <w:rsid w:val="00FC5517"/>
    <w:rsid w:val="00FC5F0B"/>
    <w:rsid w:val="00FC6230"/>
    <w:rsid w:val="00FC6F54"/>
    <w:rsid w:val="00FD05CB"/>
    <w:rsid w:val="00FD0A71"/>
    <w:rsid w:val="00FD12BB"/>
    <w:rsid w:val="00FD1AC6"/>
    <w:rsid w:val="00FD1D35"/>
    <w:rsid w:val="00FD2100"/>
    <w:rsid w:val="00FD2D72"/>
    <w:rsid w:val="00FD34C5"/>
    <w:rsid w:val="00FD3AB6"/>
    <w:rsid w:val="00FD3C1F"/>
    <w:rsid w:val="00FD436C"/>
    <w:rsid w:val="00FD446D"/>
    <w:rsid w:val="00FD482F"/>
    <w:rsid w:val="00FD485D"/>
    <w:rsid w:val="00FD4BFA"/>
    <w:rsid w:val="00FD4F2C"/>
    <w:rsid w:val="00FD5465"/>
    <w:rsid w:val="00FD547A"/>
    <w:rsid w:val="00FD55F7"/>
    <w:rsid w:val="00FD59BF"/>
    <w:rsid w:val="00FD5DC5"/>
    <w:rsid w:val="00FD603B"/>
    <w:rsid w:val="00FD6394"/>
    <w:rsid w:val="00FD6970"/>
    <w:rsid w:val="00FD69B2"/>
    <w:rsid w:val="00FD71A6"/>
    <w:rsid w:val="00FD71EA"/>
    <w:rsid w:val="00FD76A3"/>
    <w:rsid w:val="00FD7846"/>
    <w:rsid w:val="00FE0E6C"/>
    <w:rsid w:val="00FE1CDC"/>
    <w:rsid w:val="00FE2387"/>
    <w:rsid w:val="00FE26C3"/>
    <w:rsid w:val="00FE3DC0"/>
    <w:rsid w:val="00FE4507"/>
    <w:rsid w:val="00FE4881"/>
    <w:rsid w:val="00FE65FD"/>
    <w:rsid w:val="00FE695B"/>
    <w:rsid w:val="00FE69D3"/>
    <w:rsid w:val="00FE7052"/>
    <w:rsid w:val="00FE70C3"/>
    <w:rsid w:val="00FE7AD5"/>
    <w:rsid w:val="00FE7D7E"/>
    <w:rsid w:val="00FE7D97"/>
    <w:rsid w:val="00FF0452"/>
    <w:rsid w:val="00FF0C8D"/>
    <w:rsid w:val="00FF0F20"/>
    <w:rsid w:val="00FF168D"/>
    <w:rsid w:val="00FF1A8B"/>
    <w:rsid w:val="00FF1BF6"/>
    <w:rsid w:val="00FF2860"/>
    <w:rsid w:val="00FF2AD9"/>
    <w:rsid w:val="00FF2D60"/>
    <w:rsid w:val="00FF359F"/>
    <w:rsid w:val="00FF3944"/>
    <w:rsid w:val="00FF3DCF"/>
    <w:rsid w:val="00FF4284"/>
    <w:rsid w:val="00FF492C"/>
    <w:rsid w:val="00FF4A21"/>
    <w:rsid w:val="00FF4D79"/>
    <w:rsid w:val="00FF4FCF"/>
    <w:rsid w:val="00FF564E"/>
    <w:rsid w:val="00FF56D7"/>
    <w:rsid w:val="00FF58C3"/>
    <w:rsid w:val="00FF5AA3"/>
    <w:rsid w:val="00FF5AD8"/>
    <w:rsid w:val="00FF5DC5"/>
    <w:rsid w:val="00FF63EB"/>
    <w:rsid w:val="00FF6426"/>
    <w:rsid w:val="00FF65E0"/>
    <w:rsid w:val="00FF6CB3"/>
    <w:rsid w:val="00FF77D6"/>
    <w:rsid w:val="00FF7E57"/>
    <w:rsid w:val="05A9EB0A"/>
    <w:rsid w:val="061F37AA"/>
    <w:rsid w:val="0E02C90B"/>
    <w:rsid w:val="1479F5CD"/>
    <w:rsid w:val="38E986E4"/>
    <w:rsid w:val="4FE1770E"/>
    <w:rsid w:val="512E7138"/>
    <w:rsid w:val="5D74F2A8"/>
    <w:rsid w:val="68F8F1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RTI AMCP Table,new style,Conclusion box,Table Grid nm,PBAC table,HTAtableplain,MSD Table Grid,Header Table,NICE instructions,Source table_,HealthConsult,Dossier table,Summary Table,统计型"/>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9A4137"/>
    <w:pPr>
      <w:keepNext/>
      <w:jc w:val="both"/>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9A4137"/>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03198A"/>
    <w:pPr>
      <w:ind w:left="1134" w:hanging="425"/>
      <w:jc w:val="both"/>
    </w:pPr>
  </w:style>
  <w:style w:type="character" w:customStyle="1" w:styleId="COMESbulletlistChar">
    <w:name w:val="COM ES bullet list Char"/>
    <w:basedOn w:val="DefaultParagraphFont"/>
    <w:link w:val="COMESbulletlist"/>
    <w:rsid w:val="0003198A"/>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character" w:styleId="CommentReference">
    <w:name w:val="annotation reference"/>
    <w:aliases w:val="Table Title,-H18,Annotationmark"/>
    <w:basedOn w:val="DefaultParagraphFont"/>
    <w:uiPriority w:val="99"/>
    <w:unhideWhenUsed/>
    <w:qFormat/>
    <w:rsid w:val="00DD73CC"/>
    <w:rPr>
      <w:sz w:val="16"/>
      <w:szCs w:val="16"/>
    </w:rPr>
  </w:style>
  <w:style w:type="paragraph" w:styleId="CommentText">
    <w:name w:val="annotation text"/>
    <w:basedOn w:val="Normal"/>
    <w:link w:val="CommentTextChar"/>
    <w:unhideWhenUsed/>
    <w:rsid w:val="00DD73CC"/>
    <w:rPr>
      <w:sz w:val="20"/>
      <w:szCs w:val="20"/>
    </w:rPr>
  </w:style>
  <w:style w:type="character" w:customStyle="1" w:styleId="CommentTextChar">
    <w:name w:val="Comment Text Char"/>
    <w:basedOn w:val="DefaultParagraphFont"/>
    <w:link w:val="CommentText"/>
    <w:rsid w:val="00DD73CC"/>
    <w:rPr>
      <w:rFonts w:ascii="Calibri" w:hAnsi="Calibri" w:cs="Arial"/>
    </w:rPr>
  </w:style>
  <w:style w:type="paragraph" w:styleId="CommentSubject">
    <w:name w:val="annotation subject"/>
    <w:basedOn w:val="CommentText"/>
    <w:next w:val="CommentText"/>
    <w:link w:val="CommentSubjectChar"/>
    <w:semiHidden/>
    <w:unhideWhenUsed/>
    <w:rsid w:val="00DD73CC"/>
    <w:rPr>
      <w:b/>
      <w:bCs/>
    </w:rPr>
  </w:style>
  <w:style w:type="character" w:customStyle="1" w:styleId="CommentSubjectChar">
    <w:name w:val="Comment Subject Char"/>
    <w:basedOn w:val="CommentTextChar"/>
    <w:link w:val="CommentSubject"/>
    <w:semiHidden/>
    <w:rsid w:val="00DD73CC"/>
    <w:rPr>
      <w:rFonts w:ascii="Calibri" w:hAnsi="Calibri" w:cs="Arial"/>
      <w:b/>
      <w:bCs/>
    </w:rPr>
  </w:style>
  <w:style w:type="paragraph" w:styleId="Footer">
    <w:name w:val="footer"/>
    <w:basedOn w:val="Normal"/>
    <w:link w:val="FooterChar"/>
    <w:uiPriority w:val="99"/>
    <w:unhideWhenUsed/>
    <w:rsid w:val="00F80E60"/>
    <w:pPr>
      <w:tabs>
        <w:tab w:val="center" w:pos="4513"/>
        <w:tab w:val="right" w:pos="9026"/>
      </w:tabs>
    </w:pPr>
  </w:style>
  <w:style w:type="character" w:customStyle="1" w:styleId="FooterChar">
    <w:name w:val="Footer Char"/>
    <w:basedOn w:val="DefaultParagraphFont"/>
    <w:link w:val="Footer"/>
    <w:uiPriority w:val="99"/>
    <w:rsid w:val="00F80E60"/>
    <w:rPr>
      <w:rFonts w:ascii="Calibri" w:hAnsi="Calibri" w:cs="Arial"/>
      <w:sz w:val="24"/>
      <w:szCs w:val="24"/>
    </w:rPr>
  </w:style>
  <w:style w:type="paragraph" w:customStyle="1" w:styleId="COMtablefigcaption">
    <w:name w:val="COM table/fig caption"/>
    <w:next w:val="COMTableheadingrow"/>
    <w:link w:val="COMtablefigcaptionChar"/>
    <w:qFormat/>
    <w:rsid w:val="00B54903"/>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B54903"/>
    <w:rPr>
      <w:rFonts w:ascii="Arial Narrow" w:eastAsiaTheme="majorEastAsia" w:hAnsi="Arial Narrow" w:cstheme="majorBidi"/>
      <w:b/>
      <w:bCs/>
      <w:szCs w:val="24"/>
    </w:rPr>
  </w:style>
  <w:style w:type="paragraph" w:customStyle="1" w:styleId="COMBody">
    <w:name w:val="COM Body"/>
    <w:basedOn w:val="Normal"/>
    <w:link w:val="COMBodyChar"/>
    <w:qFormat/>
    <w:rsid w:val="001C41F3"/>
  </w:style>
  <w:style w:type="character" w:customStyle="1" w:styleId="COMBodyChar">
    <w:name w:val="COM Body Char"/>
    <w:basedOn w:val="DefaultParagraphFont"/>
    <w:link w:val="COMBody"/>
    <w:rsid w:val="001C41F3"/>
    <w:rPr>
      <w:rFonts w:ascii="Calibri" w:hAnsi="Calibri" w:cs="Arial"/>
      <w:sz w:val="24"/>
      <w:szCs w:val="24"/>
    </w:rPr>
  </w:style>
  <w:style w:type="paragraph" w:customStyle="1" w:styleId="COMH4">
    <w:name w:val="COM H4"/>
    <w:basedOn w:val="Normal"/>
    <w:link w:val="COMH4Char"/>
    <w:qFormat/>
    <w:rsid w:val="00601395"/>
    <w:pPr>
      <w:keepNext/>
      <w:spacing w:after="120"/>
    </w:pPr>
    <w:rPr>
      <w:b/>
      <w:i/>
    </w:rPr>
  </w:style>
  <w:style w:type="character" w:customStyle="1" w:styleId="COMH4Char">
    <w:name w:val="COM H4 Char"/>
    <w:basedOn w:val="DefaultParagraphFont"/>
    <w:link w:val="COMH4"/>
    <w:rsid w:val="00601395"/>
    <w:rPr>
      <w:rFonts w:ascii="Calibri" w:hAnsi="Calibri" w:cs="Arial"/>
      <w:b/>
      <w:i/>
      <w:sz w:val="24"/>
      <w:szCs w:val="24"/>
    </w:rPr>
  </w:style>
  <w:style w:type="paragraph" w:customStyle="1" w:styleId="TableText">
    <w:name w:val="Table Text"/>
    <w:link w:val="TableTextChar"/>
    <w:autoRedefine/>
    <w:qFormat/>
    <w:rsid w:val="00834591"/>
    <w:pPr>
      <w:keepNext/>
      <w:keepLines/>
      <w:widowControl w:val="0"/>
      <w:tabs>
        <w:tab w:val="left" w:pos="164"/>
      </w:tabs>
      <w:ind w:right="-55"/>
      <w:jc w:val="center"/>
    </w:pPr>
    <w:rPr>
      <w:rFonts w:ascii="Arial Narrow" w:eastAsiaTheme="majorEastAsia" w:hAnsi="Arial Narrow" w:cstheme="majorBidi"/>
      <w:b/>
      <w:szCs w:val="24"/>
    </w:rPr>
  </w:style>
  <w:style w:type="character" w:customStyle="1" w:styleId="TableTextChar">
    <w:name w:val="Table Text Char"/>
    <w:basedOn w:val="DefaultParagraphFont"/>
    <w:link w:val="TableText"/>
    <w:rsid w:val="00834591"/>
    <w:rPr>
      <w:rFonts w:ascii="Arial Narrow" w:eastAsiaTheme="majorEastAsia" w:hAnsi="Arial Narrow" w:cstheme="majorBidi"/>
      <w:b/>
      <w:szCs w:val="24"/>
    </w:rPr>
  </w:style>
  <w:style w:type="paragraph" w:customStyle="1" w:styleId="In-tableHeading">
    <w:name w:val="In-table Heading"/>
    <w:autoRedefine/>
    <w:qFormat/>
    <w:rsid w:val="00833914"/>
    <w:pPr>
      <w:keepNext/>
      <w:keepLines/>
    </w:pPr>
    <w:rPr>
      <w:rFonts w:ascii="Arial Narrow" w:eastAsiaTheme="majorEastAsia" w:hAnsi="Arial Narrow"/>
      <w:b/>
      <w:szCs w:val="24"/>
      <w:lang w:val="en-US"/>
    </w:rPr>
  </w:style>
  <w:style w:type="paragraph" w:customStyle="1" w:styleId="COMtablefooter0">
    <w:name w:val="COM table footer"/>
    <w:basedOn w:val="COMTablefooter"/>
    <w:link w:val="COMtablefooterChar0"/>
    <w:qFormat/>
    <w:rsid w:val="000C4551"/>
  </w:style>
  <w:style w:type="character" w:customStyle="1" w:styleId="COMtablefooterChar0">
    <w:name w:val="COM table footer Char"/>
    <w:basedOn w:val="COMTablefooterChar"/>
    <w:link w:val="COMtablefooter0"/>
    <w:rsid w:val="000C4551"/>
    <w:rPr>
      <w:rFonts w:ascii="Arial Narrow" w:hAnsi="Arial Narrow" w:cs="Arial"/>
      <w:snapToGrid w:val="0"/>
      <w:sz w:val="18"/>
      <w:szCs w:val="22"/>
    </w:rPr>
  </w:style>
  <w:style w:type="paragraph" w:customStyle="1" w:styleId="Default">
    <w:name w:val="Default"/>
    <w:rsid w:val="000C4551"/>
    <w:pPr>
      <w:autoSpaceDE w:val="0"/>
      <w:autoSpaceDN w:val="0"/>
      <w:adjustRightInd w:val="0"/>
    </w:pPr>
    <w:rPr>
      <w:rFonts w:ascii="Arial" w:hAnsi="Arial" w:cs="Arial"/>
      <w:color w:val="000000"/>
      <w:sz w:val="24"/>
      <w:szCs w:val="24"/>
    </w:rPr>
  </w:style>
  <w:style w:type="paragraph" w:customStyle="1" w:styleId="PBACTabletext">
    <w:name w:val="PBAC Table text"/>
    <w:link w:val="PBACTabletextChar"/>
    <w:qFormat/>
    <w:rsid w:val="000C4551"/>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0C4551"/>
    <w:rPr>
      <w:rFonts w:ascii="Arial Narrow" w:hAnsi="Arial Narrow" w:cs="Arial"/>
      <w:szCs w:val="24"/>
      <w:lang w:eastAsia="en-GB"/>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064215"/>
    <w:pPr>
      <w:spacing w:after="200"/>
    </w:pPr>
    <w:rPr>
      <w:i/>
      <w:iCs/>
      <w:color w:val="1F497D" w:themeColor="text2"/>
      <w:sz w:val="18"/>
      <w:szCs w:val="18"/>
    </w:rPr>
  </w:style>
  <w:style w:type="paragraph" w:customStyle="1" w:styleId="TableFooter">
    <w:name w:val="Table Footer"/>
    <w:basedOn w:val="Normal"/>
    <w:link w:val="TableFooterChar"/>
    <w:qFormat/>
    <w:rsid w:val="00712D9F"/>
    <w:pPr>
      <w:widowControl w:val="0"/>
      <w:contextualSpacing/>
    </w:pPr>
    <w:rPr>
      <w:rFonts w:ascii="Arial Narrow" w:eastAsia="SimSun" w:hAnsi="Arial Narrow"/>
      <w:snapToGrid w:val="0"/>
      <w:sz w:val="18"/>
      <w:szCs w:val="20"/>
      <w:lang w:eastAsia="en-US"/>
    </w:rPr>
  </w:style>
  <w:style w:type="character" w:customStyle="1" w:styleId="TableFooterChar">
    <w:name w:val="Table Footer Char"/>
    <w:link w:val="TableFooter"/>
    <w:rsid w:val="00712D9F"/>
    <w:rPr>
      <w:rFonts w:ascii="Arial Narrow" w:eastAsia="SimSun" w:hAnsi="Arial Narrow" w:cs="Arial"/>
      <w:snapToGrid w:val="0"/>
      <w:sz w:val="18"/>
      <w:lang w:eastAsia="en-US"/>
    </w:rPr>
  </w:style>
  <w:style w:type="paragraph" w:customStyle="1" w:styleId="TableHeading">
    <w:name w:val="Table Heading"/>
    <w:basedOn w:val="TableText"/>
    <w:link w:val="TableHeadingChar"/>
    <w:qFormat/>
    <w:rsid w:val="00712D9F"/>
    <w:pPr>
      <w:widowControl/>
    </w:pPr>
    <w:rPr>
      <w:rFonts w:cs="Arial"/>
      <w:szCs w:val="20"/>
      <w:lang w:bidi="en-US"/>
    </w:rPr>
  </w:style>
  <w:style w:type="character" w:customStyle="1" w:styleId="TableHeadingChar">
    <w:name w:val="Table Heading Char"/>
    <w:link w:val="TableHeading"/>
    <w:rsid w:val="00712D9F"/>
    <w:rPr>
      <w:rFonts w:ascii="Arial Narrow" w:eastAsiaTheme="majorEastAsia" w:hAnsi="Arial Narrow" w:cs="Arial"/>
      <w:b/>
      <w:lang w:bidi="en-US"/>
    </w:rPr>
  </w:style>
  <w:style w:type="paragraph" w:customStyle="1" w:styleId="Tableheadingrow">
    <w:name w:val="Table heading row"/>
    <w:qFormat/>
    <w:rsid w:val="00712D9F"/>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712D9F"/>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712D9F"/>
    <w:rPr>
      <w:rFonts w:ascii="Arial Narrow" w:eastAsiaTheme="majorEastAsia" w:hAnsi="Arial Narrow" w:cstheme="majorBidi"/>
      <w:b/>
      <w:bCs/>
      <w:szCs w:val="24"/>
    </w:rPr>
  </w:style>
  <w:style w:type="paragraph" w:customStyle="1" w:styleId="TableNotes">
    <w:name w:val="Table Notes"/>
    <w:basedOn w:val="Normal"/>
    <w:link w:val="TableNotesChar"/>
    <w:uiPriority w:val="6"/>
    <w:qFormat/>
    <w:rsid w:val="00712D9F"/>
    <w:pPr>
      <w:spacing w:after="120"/>
      <w:contextualSpacing/>
      <w:jc w:val="left"/>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712D9F"/>
    <w:rPr>
      <w:rFonts w:ascii="Arial Narrow" w:eastAsiaTheme="majorEastAsia" w:hAnsi="Arial Narrow" w:cstheme="majorBidi"/>
      <w:sz w:val="16"/>
      <w:szCs w:val="22"/>
      <w:lang w:eastAsia="en-US"/>
    </w:rPr>
  </w:style>
  <w:style w:type="paragraph" w:customStyle="1" w:styleId="COMexecsummbulletlist">
    <w:name w:val="COM exec summ bullet list"/>
    <w:basedOn w:val="Normal"/>
    <w:link w:val="COMexecsummbulletlistChar"/>
    <w:qFormat/>
    <w:rsid w:val="00712D9F"/>
    <w:pPr>
      <w:spacing w:after="120"/>
      <w:ind w:left="1134" w:hanging="360"/>
    </w:pPr>
    <w:rPr>
      <w:rFonts w:asciiTheme="minorHAnsi" w:eastAsia="SimSun" w:hAnsiTheme="minorHAnsi"/>
      <w:snapToGrid w:val="0"/>
    </w:rPr>
  </w:style>
  <w:style w:type="character" w:customStyle="1" w:styleId="COMexecsummbulletlistChar">
    <w:name w:val="COM exec summ bullet list Char"/>
    <w:basedOn w:val="DefaultParagraphFont"/>
    <w:link w:val="COMexecsummbulletlist"/>
    <w:rsid w:val="00712D9F"/>
    <w:rPr>
      <w:rFonts w:asciiTheme="minorHAnsi" w:eastAsia="SimSun" w:hAnsiTheme="minorHAnsi" w:cs="Arial"/>
      <w:snapToGrid w:val="0"/>
      <w:sz w:val="24"/>
      <w:szCs w:val="24"/>
    </w:rPr>
  </w:style>
  <w:style w:type="paragraph" w:customStyle="1" w:styleId="TableHeading0">
    <w:name w:val="TableHeading"/>
    <w:basedOn w:val="Normal"/>
    <w:qFormat/>
    <w:rsid w:val="00712D9F"/>
    <w:pPr>
      <w:spacing w:after="60"/>
    </w:pPr>
    <w:rPr>
      <w:rFonts w:ascii="Arial Narrow" w:eastAsiaTheme="minorHAnsi" w:hAnsi="Arial Narrow" w:cstheme="minorBidi"/>
      <w:b/>
      <w:sz w:val="20"/>
      <w:szCs w:val="22"/>
      <w:lang w:eastAsia="en-US"/>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basedOn w:val="DefaultParagraphFont"/>
    <w:link w:val="Caption"/>
    <w:uiPriority w:val="35"/>
    <w:rsid w:val="00712D9F"/>
    <w:rPr>
      <w:rFonts w:ascii="Calibri" w:hAnsi="Calibri" w:cs="Arial"/>
      <w:i/>
      <w:iCs/>
      <w:color w:val="1F497D" w:themeColor="text2"/>
      <w:sz w:val="18"/>
      <w:szCs w:val="18"/>
    </w:rPr>
  </w:style>
  <w:style w:type="paragraph" w:styleId="FootnoteText">
    <w:name w:val="footnote text"/>
    <w:basedOn w:val="Normal"/>
    <w:link w:val="FootnoteTextChar"/>
    <w:semiHidden/>
    <w:unhideWhenUsed/>
    <w:rsid w:val="00712D9F"/>
    <w:rPr>
      <w:rFonts w:eastAsia="SimSun"/>
      <w:sz w:val="20"/>
      <w:szCs w:val="20"/>
    </w:rPr>
  </w:style>
  <w:style w:type="character" w:customStyle="1" w:styleId="FootnoteTextChar">
    <w:name w:val="Footnote Text Char"/>
    <w:basedOn w:val="DefaultParagraphFont"/>
    <w:link w:val="FootnoteText"/>
    <w:semiHidden/>
    <w:rsid w:val="00712D9F"/>
    <w:rPr>
      <w:rFonts w:ascii="Calibri" w:eastAsia="SimSun" w:hAnsi="Calibri" w:cs="Arial"/>
    </w:rPr>
  </w:style>
  <w:style w:type="character" w:styleId="FootnoteReference">
    <w:name w:val="footnote reference"/>
    <w:basedOn w:val="DefaultParagraphFont"/>
    <w:unhideWhenUsed/>
    <w:rsid w:val="00712D9F"/>
    <w:rPr>
      <w:vertAlign w:val="superscript"/>
    </w:rPr>
  </w:style>
  <w:style w:type="character" w:customStyle="1" w:styleId="cf01">
    <w:name w:val="cf01"/>
    <w:basedOn w:val="DefaultParagraphFont"/>
    <w:rsid w:val="00FF168D"/>
    <w:rPr>
      <w:rFonts w:ascii="Segoe UI" w:hAnsi="Segoe UI" w:cs="Segoe UI" w:hint="default"/>
      <w:sz w:val="18"/>
      <w:szCs w:val="18"/>
    </w:rPr>
  </w:style>
  <w:style w:type="paragraph" w:customStyle="1" w:styleId="PBACHeading1">
    <w:name w:val="PBAC Heading 1"/>
    <w:qFormat/>
    <w:rsid w:val="00CD09A7"/>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247795"/>
    <w:pPr>
      <w:spacing w:after="120"/>
      <w:ind w:left="720"/>
      <w:contextualSpacing/>
    </w:pPr>
    <w:rPr>
      <w:snapToGrid w:val="0"/>
    </w:rPr>
  </w:style>
  <w:style w:type="paragraph" w:customStyle="1" w:styleId="2-SectionHeading">
    <w:name w:val="2-Section Heading"/>
    <w:next w:val="3-BodyText"/>
    <w:qFormat/>
    <w:rsid w:val="00D57289"/>
    <w:pPr>
      <w:keepNext/>
      <w:spacing w:before="240" w:after="120"/>
      <w:ind w:left="720" w:hanging="720"/>
      <w:outlineLvl w:val="0"/>
    </w:pPr>
    <w:rPr>
      <w:rFonts w:asciiTheme="minorHAnsi" w:eastAsia="SimSun" w:hAnsiTheme="minorHAnsi" w:cs="Arial"/>
      <w:b/>
      <w:snapToGrid w:val="0"/>
      <w:sz w:val="32"/>
      <w:szCs w:val="32"/>
    </w:rPr>
  </w:style>
  <w:style w:type="paragraph" w:customStyle="1" w:styleId="3-BodyText">
    <w:name w:val="3-Body Text"/>
    <w:link w:val="3-BodyTextChar"/>
    <w:qFormat/>
    <w:rsid w:val="00D57289"/>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7289"/>
    <w:rPr>
      <w:rFonts w:asciiTheme="minorHAnsi" w:eastAsiaTheme="minorHAnsi" w:hAnsiTheme="minorHAnsi" w:cstheme="minorBidi"/>
      <w:snapToGrid/>
      <w:sz w:val="24"/>
      <w:szCs w:val="22"/>
    </w:rPr>
  </w:style>
  <w:style w:type="paragraph" w:customStyle="1" w:styleId="EndNoteBibliography">
    <w:name w:val="EndNote Bibliography"/>
    <w:basedOn w:val="Normal"/>
    <w:link w:val="EndNoteBibliographyChar"/>
    <w:rsid w:val="00E02FE0"/>
    <w:pPr>
      <w:spacing w:after="80"/>
    </w:pPr>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E02FE0"/>
    <w:rPr>
      <w:rFonts w:ascii="Calibri" w:eastAsiaTheme="minorHAnsi" w:hAnsi="Calibri" w:cs="Calibri"/>
      <w:noProof/>
      <w:sz w:val="22"/>
      <w:szCs w:val="22"/>
      <w:lang w:val="en-US" w:eastAsia="en-US"/>
    </w:rPr>
  </w:style>
  <w:style w:type="paragraph" w:customStyle="1" w:styleId="3-SubsectionHeading">
    <w:name w:val="3-Subsection Heading"/>
    <w:basedOn w:val="Heading2"/>
    <w:next w:val="Normal"/>
    <w:link w:val="3-SubsectionHeadingChar"/>
    <w:qFormat/>
    <w:rsid w:val="00F421D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421D7"/>
    <w:rPr>
      <w:rFonts w:asciiTheme="minorHAnsi" w:eastAsiaTheme="majorEastAsia" w:hAnsiTheme="minorHAnsi" w:cstheme="majorBidi"/>
      <w:b/>
      <w:i/>
      <w:snapToGrid/>
      <w:spacing w:val="5"/>
      <w:kern w:val="28"/>
      <w:sz w:val="28"/>
      <w:szCs w:val="36"/>
      <w:lang w:eastAsia="en-US"/>
    </w:rPr>
  </w:style>
  <w:style w:type="character" w:customStyle="1" w:styleId="normaltextrun">
    <w:name w:val="normaltextrun"/>
    <w:basedOn w:val="DefaultParagraphFont"/>
    <w:rsid w:val="00772136"/>
  </w:style>
  <w:style w:type="character" w:customStyle="1" w:styleId="eop">
    <w:name w:val="eop"/>
    <w:basedOn w:val="DefaultParagraphFont"/>
    <w:rsid w:val="00772136"/>
  </w:style>
  <w:style w:type="character" w:styleId="Mention">
    <w:name w:val="Mention"/>
    <w:basedOn w:val="DefaultParagraphFont"/>
    <w:uiPriority w:val="99"/>
    <w:unhideWhenUsed/>
    <w:rsid w:val="005B592D"/>
    <w:rPr>
      <w:color w:val="2B579A"/>
      <w:shd w:val="clear" w:color="auto" w:fill="E1DFDD"/>
    </w:rPr>
  </w:style>
  <w:style w:type="paragraph" w:customStyle="1" w:styleId="pf0">
    <w:name w:val="pf0"/>
    <w:basedOn w:val="Normal"/>
    <w:rsid w:val="00D67EC1"/>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0985518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5068754">
      <w:bodyDiv w:val="1"/>
      <w:marLeft w:val="0"/>
      <w:marRight w:val="0"/>
      <w:marTop w:val="0"/>
      <w:marBottom w:val="0"/>
      <w:divBdr>
        <w:top w:val="none" w:sz="0" w:space="0" w:color="auto"/>
        <w:left w:val="none" w:sz="0" w:space="0" w:color="auto"/>
        <w:bottom w:val="none" w:sz="0" w:space="0" w:color="auto"/>
        <w:right w:val="none" w:sz="0" w:space="0" w:color="auto"/>
      </w:divBdr>
    </w:div>
    <w:div w:id="1662544604">
      <w:bodyDiv w:val="1"/>
      <w:marLeft w:val="0"/>
      <w:marRight w:val="0"/>
      <w:marTop w:val="0"/>
      <w:marBottom w:val="0"/>
      <w:divBdr>
        <w:top w:val="none" w:sz="0" w:space="0" w:color="auto"/>
        <w:left w:val="none" w:sz="0" w:space="0" w:color="auto"/>
        <w:bottom w:val="none" w:sz="0" w:space="0" w:color="auto"/>
        <w:right w:val="none" w:sz="0" w:space="0" w:color="auto"/>
      </w:divBdr>
    </w:div>
    <w:div w:id="17986009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44928106">
      <w:bodyDiv w:val="1"/>
      <w:marLeft w:val="0"/>
      <w:marRight w:val="0"/>
      <w:marTop w:val="0"/>
      <w:marBottom w:val="0"/>
      <w:divBdr>
        <w:top w:val="none" w:sz="0" w:space="0" w:color="auto"/>
        <w:left w:val="none" w:sz="0" w:space="0" w:color="auto"/>
        <w:bottom w:val="none" w:sz="0" w:space="0" w:color="auto"/>
        <w:right w:val="none" w:sz="0" w:space="0" w:color="auto"/>
      </w:divBdr>
      <w:divsChild>
        <w:div w:id="42507921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007A3-A1CF-48E3-ABFC-6A713014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73C793D3-9A92-43F9-92AA-0E1633EB831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2476E0C4-FF69-49C7-9BD2-5481A44DC427}">
  <ds:schemaRefs>
    <ds:schemaRef ds:uri="http://schemas.microsoft.com/sharepoint/v3/contenttype/forms"/>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16639</Words>
  <Characters>92518</Characters>
  <Application>Microsoft Office Word</Application>
  <DocSecurity>0</DocSecurity>
  <Lines>2372</Lines>
  <Paragraphs>1455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107702</CharactersWithSpaces>
  <SharedDoc>false</SharedDoc>
  <HLinks>
    <vt:vector size="18" baseType="variant">
      <vt:variant>
        <vt:i4>8061009</vt:i4>
      </vt:variant>
      <vt:variant>
        <vt:i4>6</vt:i4>
      </vt:variant>
      <vt:variant>
        <vt:i4>0</vt:i4>
      </vt:variant>
      <vt:variant>
        <vt:i4>5</vt:i4>
      </vt:variant>
      <vt:variant>
        <vt:lpwstr>mailto:john.s.kim@gsk.com</vt:lpwstr>
      </vt:variant>
      <vt:variant>
        <vt:lpwstr/>
      </vt:variant>
      <vt:variant>
        <vt:i4>1507409</vt:i4>
      </vt:variant>
      <vt:variant>
        <vt:i4>3</vt:i4>
      </vt:variant>
      <vt:variant>
        <vt:i4>0</vt:i4>
      </vt:variant>
      <vt:variant>
        <vt:i4>5</vt:i4>
      </vt:variant>
      <vt:variant>
        <vt:lpwstr>https://www.pbs.gov.au/industry/listing/elements/pbac-meetings/psd/2022-03/files/pembrolizumab-ec-psd-03-2022-03-2023.pdf</vt:lpwstr>
      </vt:variant>
      <vt:variant>
        <vt:lpwstr/>
      </vt:variant>
      <vt:variant>
        <vt:i4>8061009</vt:i4>
      </vt:variant>
      <vt:variant>
        <vt:i4>0</vt:i4>
      </vt:variant>
      <vt:variant>
        <vt:i4>0</vt:i4>
      </vt:variant>
      <vt:variant>
        <vt:i4>5</vt:i4>
      </vt:variant>
      <vt:variant>
        <vt:lpwstr>mailto:john.s.kim@gsk.com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2026-03-01T23:12:00Z</dcterms:created>
  <dcterms:modified xsi:type="dcterms:W3CDTF">2026-03-20T00:01:00Z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Removed">
    <vt:lpwstr>False</vt:lpwstr>
  </property>
  <property fmtid="{D5CDD505-2E9C-101B-9397-08002B2CF9AE}" pid="5" name="MSIP_Label_7cd3e8b9-ffed-43a8-b7f4-cc2fa0382d36_Method">
    <vt:lpwstr>Privileged</vt:lpwstr>
  </property>
  <property fmtid="{D5CDD505-2E9C-101B-9397-08002B2CF9AE}" pid="6" name="MSIP_Label_7cd3e8b9-ffed-43a8-b7f4-cc2fa0382d36_Tag">
    <vt:lpwstr>10, 0, 1, 1</vt:lpwstr>
  </property>
  <property fmtid="{D5CDD505-2E9C-101B-9397-08002B2CF9AE}" pid="7" name="ClassificationContentMarkingHeaderText">
    <vt:lpwstr>OFFICIAL</vt:lpwstr>
  </property>
  <property fmtid="{D5CDD505-2E9C-101B-9397-08002B2CF9AE}" pid="8" name="MSIP_Label_7cd3e8b9-ffed-43a8-b7f4-cc2fa0382d36_ActionId">
    <vt:lpwstr>12b93205-0489-40a4-a265-94698d809658</vt:lpwstr>
  </property>
  <property fmtid="{D5CDD505-2E9C-101B-9397-08002B2CF9AE}" pid="9" name="MediaServiceImageTags">
    <vt:lpwstr/>
  </property>
  <property fmtid="{D5CDD505-2E9C-101B-9397-08002B2CF9AE}" pid="10" name="ContentTypeId">
    <vt:lpwstr>0x0101007FED174C5281F747A8037A05221D6DBD</vt:lpwstr>
  </property>
  <property fmtid="{D5CDD505-2E9C-101B-9397-08002B2CF9AE}" pid="11" name="ClassificationContentMarkingHeaderFontProps">
    <vt:lpwstr>#ff0000,12,Aptos</vt:lpwstr>
  </property>
  <property fmtid="{D5CDD505-2E9C-101B-9397-08002B2CF9AE}" pid="12" name="MSIP_Label_7cd3e8b9-ffed-43a8-b7f4-cc2fa0382d36_ContentBits">
    <vt:lpwstr>3</vt:lpwstr>
  </property>
  <property fmtid="{D5CDD505-2E9C-101B-9397-08002B2CF9AE}" pid="13" name="docLang">
    <vt:lpwstr>en</vt:lpwstr>
  </property>
  <property fmtid="{D5CDD505-2E9C-101B-9397-08002B2CF9AE}" pid="14" name="MSIP_Label_7cd3e8b9-ffed-43a8-b7f4-cc2fa0382d36_Name">
    <vt:lpwstr>O</vt:lpwstr>
  </property>
  <property fmtid="{D5CDD505-2E9C-101B-9397-08002B2CF9AE}" pid="15" name="MSIP_Label_7cd3e8b9-ffed-43a8-b7f4-cc2fa0382d36_Extended_MSFT_Method">
    <vt:lpwstr>Standard</vt:lpwstr>
  </property>
  <property fmtid="{D5CDD505-2E9C-101B-9397-08002B2CF9AE}" pid="16" name="ClassificationContentMarkingFooterShapeIds">
    <vt:lpwstr>28f65961,7c009e7a,5cd63259</vt:lpwstr>
  </property>
  <property fmtid="{D5CDD505-2E9C-101B-9397-08002B2CF9AE}" pid="17" name="MSIP_Label_7cd3e8b9-ffed-43a8-b7f4-cc2fa0382d36_Enabled">
    <vt:lpwstr>true</vt:lpwstr>
  </property>
  <property fmtid="{D5CDD505-2E9C-101B-9397-08002B2CF9AE}" pid="18" name="Sensitivity">
    <vt:lpwstr>OFFICIAL</vt:lpwstr>
  </property>
  <property fmtid="{D5CDD505-2E9C-101B-9397-08002B2CF9AE}" pid="19" name="ClassificationContentMarkingHeaderShapeIds">
    <vt:lpwstr>51005143,ae91c9d,91acab7</vt:lpwstr>
  </property>
  <property fmtid="{D5CDD505-2E9C-101B-9397-08002B2CF9AE}" pid="20" name="ClassificationContentMarkingFooterFontProps">
    <vt:lpwstr>#ff0000,12,Aptos</vt:lpwstr>
  </property>
  <property fmtid="{D5CDD505-2E9C-101B-9397-08002B2CF9AE}" pid="21" name="MSIP_Label_7cd3e8b9-ffed-43a8-b7f4-cc2fa0382d36_SetDate">
    <vt:lpwstr>2025-12-12T03:16:54Z</vt:lpwstr>
  </property>
</Properties>
</file>